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336B43">
          <w:type w:val="continuous"/>
          <w:pgSz w:w="11906" w:h="16838" w:code="9"/>
          <w:pgMar w:top="1701" w:right="1418" w:bottom="1701" w:left="1701" w:header="1701" w:footer="0" w:gutter="0"/>
          <w:cols w:space="708"/>
          <w:titlePg/>
          <w:docGrid w:linePitch="360"/>
        </w:sectPr>
      </w:pPr>
    </w:p>
    <w:p w14:paraId="2E667253" w14:textId="32C05AB4" w:rsidR="00E978D0" w:rsidRPr="00665323" w:rsidRDefault="00670C15" w:rsidP="00665323">
      <w:pPr>
        <w:pStyle w:val="CETTitle"/>
      </w:pPr>
      <w:r w:rsidRPr="00670C15">
        <w:t xml:space="preserve">Integrating IOW in the Estimation of the Risk of an Atmospheric Distillation Unit by Using a </w:t>
      </w:r>
      <w:r w:rsidR="00B278D7">
        <w:t>b</w:t>
      </w:r>
      <w:r w:rsidRPr="00162439">
        <w:t>ayes</w:t>
      </w:r>
      <w:r w:rsidR="00162439" w:rsidRPr="00162439">
        <w:t>ian</w:t>
      </w:r>
      <w:r w:rsidRPr="00670C15">
        <w:t xml:space="preserve"> Network</w:t>
      </w:r>
    </w:p>
    <w:p w14:paraId="0488FED2" w14:textId="4FFB68E6" w:rsidR="00B57E6F" w:rsidRPr="001F27D3" w:rsidRDefault="0070715A" w:rsidP="00B57E6F">
      <w:pPr>
        <w:pStyle w:val="CETAuthors"/>
        <w:rPr>
          <w:lang w:val="it-IT"/>
        </w:rPr>
      </w:pPr>
      <w:r w:rsidRPr="001F27D3">
        <w:rPr>
          <w:lang w:val="it-IT"/>
        </w:rPr>
        <w:t>Antonino Giacobbe</w:t>
      </w:r>
      <w:r w:rsidRPr="001F27D3">
        <w:rPr>
          <w:vertAlign w:val="superscript"/>
          <w:lang w:val="it-IT"/>
        </w:rPr>
        <w:t>a</w:t>
      </w:r>
      <w:r w:rsidR="001F27D3" w:rsidRPr="001F27D3">
        <w:rPr>
          <w:vertAlign w:val="superscript"/>
          <w:lang w:val="it-IT"/>
        </w:rPr>
        <w:t>,</w:t>
      </w:r>
      <w:r w:rsidRPr="001F27D3">
        <w:rPr>
          <w:lang w:val="it-IT"/>
        </w:rPr>
        <w:t>*, Giuseppa Ancione</w:t>
      </w:r>
      <w:r w:rsidRPr="001F27D3">
        <w:rPr>
          <w:vertAlign w:val="superscript"/>
          <w:lang w:val="it-IT"/>
        </w:rPr>
        <w:t>a</w:t>
      </w:r>
      <w:r w:rsidRPr="001F27D3">
        <w:rPr>
          <w:lang w:val="it-IT"/>
        </w:rPr>
        <w:t>, Maria F</w:t>
      </w:r>
      <w:r w:rsidR="00FC3DBC">
        <w:rPr>
          <w:lang w:val="it-IT"/>
        </w:rPr>
        <w:t>rancesca</w:t>
      </w:r>
      <w:r w:rsidRPr="001F27D3">
        <w:rPr>
          <w:lang w:val="it-IT"/>
        </w:rPr>
        <w:t xml:space="preserve"> Milazzo</w:t>
      </w:r>
      <w:r w:rsidRPr="001F27D3">
        <w:rPr>
          <w:vertAlign w:val="superscript"/>
          <w:lang w:val="it-IT"/>
        </w:rPr>
        <w:t>a</w:t>
      </w:r>
      <w:r w:rsidRPr="001F27D3">
        <w:rPr>
          <w:lang w:val="it-IT"/>
        </w:rPr>
        <w:t>, Fabrizio D’Antonio</w:t>
      </w:r>
      <w:r w:rsidRPr="001F27D3">
        <w:rPr>
          <w:vertAlign w:val="superscript"/>
          <w:lang w:val="it-IT"/>
        </w:rPr>
        <w:t>b</w:t>
      </w:r>
      <w:r w:rsidRPr="001F27D3">
        <w:rPr>
          <w:lang w:val="it-IT"/>
        </w:rPr>
        <w:t>, Paolo Bragatto</w:t>
      </w:r>
      <w:r w:rsidRPr="001F27D3">
        <w:rPr>
          <w:vertAlign w:val="superscript"/>
          <w:lang w:val="it-IT"/>
        </w:rPr>
        <w:t>c</w:t>
      </w:r>
      <w:r w:rsidRPr="001F27D3">
        <w:rPr>
          <w:lang w:val="it-IT"/>
        </w:rPr>
        <w:t>, Elpida Piperopoulos</w:t>
      </w:r>
      <w:r w:rsidRPr="001F27D3">
        <w:rPr>
          <w:vertAlign w:val="superscript"/>
          <w:lang w:val="it-IT"/>
        </w:rPr>
        <w:t>a</w:t>
      </w:r>
    </w:p>
    <w:p w14:paraId="6B2D21B3" w14:textId="13DCD2D3" w:rsidR="00B57E6F" w:rsidRPr="00B57B36" w:rsidRDefault="00B57E6F" w:rsidP="00B57E6F">
      <w:pPr>
        <w:pStyle w:val="CETAddress"/>
      </w:pPr>
      <w:r w:rsidRPr="00B57B36">
        <w:rPr>
          <w:vertAlign w:val="superscript"/>
        </w:rPr>
        <w:t>a</w:t>
      </w:r>
      <w:r w:rsidR="00864224" w:rsidRPr="00864224">
        <w:t>Department of Engineering, University of Messina, Contrada di Dio, 98166 Messina, Italy</w:t>
      </w:r>
      <w:r w:rsidRPr="00B57B36">
        <w:t xml:space="preserve"> </w:t>
      </w:r>
    </w:p>
    <w:p w14:paraId="46A603D8" w14:textId="026C6AC6" w:rsidR="008016B6" w:rsidRDefault="00B57E6F" w:rsidP="00B57E6F">
      <w:pPr>
        <w:pStyle w:val="CETAddress"/>
        <w:rPr>
          <w:lang w:val="it-IT"/>
        </w:rPr>
      </w:pPr>
      <w:r w:rsidRPr="008016B6">
        <w:rPr>
          <w:vertAlign w:val="superscript"/>
          <w:lang w:val="it-IT"/>
        </w:rPr>
        <w:t>b</w:t>
      </w:r>
      <w:r w:rsidR="008016B6" w:rsidRPr="008016B6">
        <w:rPr>
          <w:lang w:val="it-IT"/>
        </w:rPr>
        <w:t>Raffineria di Milazzo S.C.p.A., Contrada Mangiavacca, 98057 Milazzo (ME), Italy</w:t>
      </w:r>
    </w:p>
    <w:p w14:paraId="3D72B0B0" w14:textId="4A2A01E9" w:rsidR="00B57E6F" w:rsidRDefault="008016B6" w:rsidP="00B57E6F">
      <w:pPr>
        <w:pStyle w:val="CETAddress"/>
        <w:rPr>
          <w:lang w:val="it-IT"/>
        </w:rPr>
      </w:pPr>
      <w:r w:rsidRPr="008016B6">
        <w:rPr>
          <w:vertAlign w:val="superscript"/>
          <w:lang w:val="it-IT"/>
        </w:rPr>
        <w:t>c</w:t>
      </w:r>
      <w:r w:rsidR="00B57E6F" w:rsidRPr="008016B6">
        <w:rPr>
          <w:vertAlign w:val="superscript"/>
          <w:lang w:val="it-IT"/>
        </w:rPr>
        <w:t xml:space="preserve"> </w:t>
      </w:r>
      <w:r w:rsidR="000A19D3" w:rsidRPr="000A19D3">
        <w:rPr>
          <w:lang w:val="it-IT"/>
        </w:rPr>
        <w:t>Università Campus Biomedico, Via Alvaro del Portillo, 21, 00128 Roma, Italy</w:t>
      </w:r>
    </w:p>
    <w:p w14:paraId="73F1267A" w14:textId="4BDD954B" w:rsidR="00B57E6F" w:rsidRPr="00B87EA7" w:rsidRDefault="00B57E6F" w:rsidP="00B57E6F">
      <w:pPr>
        <w:pStyle w:val="CETemail"/>
        <w:rPr>
          <w:lang w:val="en-US"/>
        </w:rPr>
      </w:pPr>
      <w:r w:rsidRPr="007B4622">
        <w:rPr>
          <w:lang w:val="it-IT"/>
        </w:rPr>
        <w:t xml:space="preserve"> </w:t>
      </w:r>
      <w:r w:rsidR="00140F9E" w:rsidRPr="00B87EA7">
        <w:rPr>
          <w:lang w:val="en-US"/>
        </w:rPr>
        <w:t>giacobbe.antonino@studenti.unime.it</w:t>
      </w:r>
    </w:p>
    <w:p w14:paraId="37A61FCE" w14:textId="1C67A26A" w:rsidR="00DA24C6" w:rsidRDefault="00C36FE6" w:rsidP="00D11144">
      <w:pPr>
        <w:pStyle w:val="CETnumberingbullets"/>
        <w:jc w:val="both"/>
      </w:pPr>
      <w:bookmarkStart w:id="0" w:name="_Hlk495475023"/>
      <w:r>
        <w:t>Sulfidation and naphthenic acid corrosion are well-known damage mechanisms</w:t>
      </w:r>
      <w:r w:rsidR="00FC3DBC">
        <w:t>, hence,</w:t>
      </w:r>
      <w:r>
        <w:t xml:space="preserve"> there are many ways to deal with them. These mechanisms are common in refineries and petrochemical industry due to the treatment of sour crude oils. The industrial manager usually takes advantages from the use of sour crude oils from an economic point of view, but at the same time he/she has to cope with sulfidation and naphthenic acid corrosion because of their implication on safety. A recent study, which is based on the use of a </w:t>
      </w:r>
      <w:r w:rsidR="00B278D7">
        <w:t>b</w:t>
      </w:r>
      <w:r>
        <w:t>ayes</w:t>
      </w:r>
      <w:r w:rsidR="00162439">
        <w:t>ian</w:t>
      </w:r>
      <w:r>
        <w:t xml:space="preserve"> network for the management of the previous mentioned corrosion mechanisms and the dynamic updating of the Residual Useful Lifetime (RUL), has been improved. The new approach integrates the estimated RUL in the risk evaluation, giving a dynamic update of the position of the equipment in the risk matrix by introducing the performance coefficients (KPI – Key Performance Indicators) belonging to the Asset Integrity. The approach has been applied to the pre-heating section of an atmospheric distillation unit of the Milazzo Refinery. The parameters that have been taken into consideration are the material metallurgy, the characteristics of feedstock, the temperature and the number of inspections carried out during a reference period. An attempt has been made to link the approach to the integrity operating windows (IOW), which have been already implemented in a homemade software by </w:t>
      </w:r>
      <w:r w:rsidR="00D11144">
        <w:t xml:space="preserve">the </w:t>
      </w:r>
      <w:r>
        <w:t>I&amp;T department of the refinery.</w:t>
      </w:r>
      <w:bookmarkEnd w:id="0"/>
    </w:p>
    <w:p w14:paraId="476B2F2E" w14:textId="77777777" w:rsidR="00600535" w:rsidRPr="00B57B36" w:rsidRDefault="00600535" w:rsidP="00FB0F95">
      <w:pPr>
        <w:pStyle w:val="CETHeading1"/>
        <w:numPr>
          <w:ilvl w:val="0"/>
          <w:numId w:val="37"/>
        </w:numPr>
        <w:rPr>
          <w:lang w:val="en-GB"/>
        </w:rPr>
      </w:pPr>
      <w:r w:rsidRPr="00B57B36">
        <w:rPr>
          <w:lang w:val="en-GB"/>
        </w:rPr>
        <w:t>Introduction</w:t>
      </w:r>
    </w:p>
    <w:p w14:paraId="5A848F50" w14:textId="057D867A" w:rsidR="00D11144" w:rsidRDefault="000704EA" w:rsidP="006F14A3">
      <w:pPr>
        <w:pStyle w:val="CETBodytext"/>
        <w:rPr>
          <w:lang w:val="en-GB"/>
        </w:rPr>
      </w:pPr>
      <w:r>
        <w:rPr>
          <w:lang w:val="en-GB"/>
        </w:rPr>
        <w:t>I</w:t>
      </w:r>
      <w:r w:rsidRPr="000704EA">
        <w:rPr>
          <w:lang w:val="en-GB"/>
        </w:rPr>
        <w:t>n recent years, the O</w:t>
      </w:r>
      <w:r>
        <w:rPr>
          <w:lang w:val="en-GB"/>
        </w:rPr>
        <w:t>il</w:t>
      </w:r>
      <w:r w:rsidRPr="000704EA">
        <w:rPr>
          <w:lang w:val="en-GB"/>
        </w:rPr>
        <w:t>&amp;G</w:t>
      </w:r>
      <w:r>
        <w:rPr>
          <w:lang w:val="en-GB"/>
        </w:rPr>
        <w:t>as</w:t>
      </w:r>
      <w:r w:rsidRPr="000704EA">
        <w:rPr>
          <w:lang w:val="en-GB"/>
        </w:rPr>
        <w:t xml:space="preserve"> industry has focused on </w:t>
      </w:r>
      <w:r>
        <w:rPr>
          <w:lang w:val="en-GB"/>
        </w:rPr>
        <w:t xml:space="preserve">so-called </w:t>
      </w:r>
      <w:r w:rsidRPr="000704EA">
        <w:rPr>
          <w:lang w:val="en-GB"/>
        </w:rPr>
        <w:t>ter</w:t>
      </w:r>
      <w:r w:rsidR="00522340">
        <w:rPr>
          <w:lang w:val="en-GB"/>
        </w:rPr>
        <w:t>tiary recovery techniques and</w:t>
      </w:r>
      <w:r w:rsidRPr="000704EA">
        <w:rPr>
          <w:lang w:val="en-GB"/>
        </w:rPr>
        <w:t xml:space="preserve"> </w:t>
      </w:r>
      <w:r>
        <w:rPr>
          <w:lang w:val="en-GB"/>
        </w:rPr>
        <w:t xml:space="preserve">on </w:t>
      </w:r>
      <w:r w:rsidRPr="000704EA">
        <w:rPr>
          <w:lang w:val="en-GB"/>
        </w:rPr>
        <w:t>the extraction of heavier and more acidic crude oils. Recovery techniques allow the extraction from the</w:t>
      </w:r>
      <w:r>
        <w:rPr>
          <w:lang w:val="en-GB"/>
        </w:rPr>
        <w:t xml:space="preserve"> deposit to be pushed beyond 30%</w:t>
      </w:r>
      <w:r w:rsidRPr="000704EA">
        <w:rPr>
          <w:lang w:val="en-GB"/>
        </w:rPr>
        <w:t xml:space="preserve"> of its nominal volume, but require </w:t>
      </w:r>
      <w:r>
        <w:rPr>
          <w:lang w:val="en-GB"/>
        </w:rPr>
        <w:t xml:space="preserve">significant </w:t>
      </w:r>
      <w:r w:rsidRPr="000704EA">
        <w:rPr>
          <w:lang w:val="en-GB"/>
        </w:rPr>
        <w:t xml:space="preserve">economic and technological efforts; acid crudes, on the other hand, are </w:t>
      </w:r>
      <w:r>
        <w:rPr>
          <w:lang w:val="en-GB"/>
        </w:rPr>
        <w:t>cheap</w:t>
      </w:r>
      <w:r w:rsidRPr="000704EA">
        <w:rPr>
          <w:lang w:val="en-GB"/>
        </w:rPr>
        <w:t xml:space="preserve"> but </w:t>
      </w:r>
      <w:r w:rsidR="009B61CA">
        <w:rPr>
          <w:lang w:val="en-GB"/>
        </w:rPr>
        <w:t xml:space="preserve">they </w:t>
      </w:r>
      <w:r w:rsidRPr="000704EA">
        <w:rPr>
          <w:lang w:val="en-GB"/>
        </w:rPr>
        <w:t>contain higher amounts of metals, aromatic compounds and sulphur</w:t>
      </w:r>
      <w:r>
        <w:rPr>
          <w:lang w:val="en-GB"/>
        </w:rPr>
        <w:t xml:space="preserve">: </w:t>
      </w:r>
      <w:r w:rsidR="00456EA0" w:rsidRPr="00456EA0">
        <w:rPr>
          <w:lang w:val="en-GB"/>
        </w:rPr>
        <w:t>this implies great</w:t>
      </w:r>
      <w:r>
        <w:rPr>
          <w:lang w:val="en-GB"/>
        </w:rPr>
        <w:t xml:space="preserve">er difficulty in processing, </w:t>
      </w:r>
      <w:r w:rsidR="00456EA0" w:rsidRPr="00456EA0">
        <w:rPr>
          <w:lang w:val="en-GB"/>
        </w:rPr>
        <w:t xml:space="preserve">increased costs to ensure the safety </w:t>
      </w:r>
      <w:r>
        <w:rPr>
          <w:lang w:val="en-GB"/>
        </w:rPr>
        <w:t xml:space="preserve">and </w:t>
      </w:r>
      <w:r w:rsidR="00A55174">
        <w:rPr>
          <w:lang w:val="en-GB"/>
        </w:rPr>
        <w:t xml:space="preserve">the </w:t>
      </w:r>
      <w:r>
        <w:rPr>
          <w:lang w:val="en-GB"/>
        </w:rPr>
        <w:t>integrity of the facilities, a greater associated risk.</w:t>
      </w:r>
    </w:p>
    <w:p w14:paraId="17348C95" w14:textId="3045BD9C" w:rsidR="00C47021" w:rsidRDefault="00652DF9" w:rsidP="00652DF9">
      <w:pPr>
        <w:pStyle w:val="CETBodytext"/>
        <w:rPr>
          <w:lang w:val="en-GB"/>
        </w:rPr>
      </w:pPr>
      <w:r w:rsidRPr="00652DF9">
        <w:rPr>
          <w:lang w:val="en-GB"/>
        </w:rPr>
        <w:t xml:space="preserve">In atmospheric and vacuum distillation units, the main damage mechanisms are naphthenic acid corrosion and hydrogen sulphide corrosion. Naphthenic acids are </w:t>
      </w:r>
      <w:r w:rsidR="00427E3B">
        <w:rPr>
          <w:lang w:val="en-GB"/>
        </w:rPr>
        <w:t>made of cyclopentane and cyclohexane rings, a</w:t>
      </w:r>
      <w:r w:rsidRPr="00652DF9">
        <w:rPr>
          <w:lang w:val="en-GB"/>
        </w:rPr>
        <w:t xml:space="preserve"> </w:t>
      </w:r>
      <w:r w:rsidR="00427E3B">
        <w:rPr>
          <w:lang w:val="en-GB"/>
        </w:rPr>
        <w:t xml:space="preserve">lateral aliphatic </w:t>
      </w:r>
      <w:r w:rsidR="00FA1C65" w:rsidRPr="00652DF9">
        <w:rPr>
          <w:lang w:val="en-GB"/>
        </w:rPr>
        <w:t>c</w:t>
      </w:r>
      <w:r w:rsidR="00427E3B">
        <w:rPr>
          <w:lang w:val="en-GB"/>
        </w:rPr>
        <w:t>hain</w:t>
      </w:r>
      <w:r w:rsidRPr="00652DF9">
        <w:rPr>
          <w:lang w:val="en-GB"/>
        </w:rPr>
        <w:t xml:space="preserve"> and a terminal carboxylic group; their </w:t>
      </w:r>
      <w:r w:rsidRPr="00CA45AD">
        <w:rPr>
          <w:lang w:val="en-GB"/>
        </w:rPr>
        <w:t>formula is</w:t>
      </w:r>
      <w:r w:rsidR="00BE055E" w:rsidRPr="00CA45AD">
        <w:rPr>
          <w:lang w:val="en-GB"/>
        </w:rPr>
        <w:t xml:space="preserve"> </w:t>
      </w:r>
      <w:r w:rsidRPr="00CA45AD">
        <w:rPr>
          <w:lang w:val="en-GB"/>
        </w:rPr>
        <w:t>(C</w:t>
      </w:r>
      <w:r w:rsidRPr="00CA45AD">
        <w:rPr>
          <w:vertAlign w:val="subscript"/>
          <w:lang w:val="en-GB"/>
        </w:rPr>
        <w:t>n</w:t>
      </w:r>
      <w:r w:rsidRPr="00CA45AD">
        <w:rPr>
          <w:lang w:val="en-GB"/>
        </w:rPr>
        <w:t>H</w:t>
      </w:r>
      <w:r w:rsidRPr="00CA45AD">
        <w:rPr>
          <w:vertAlign w:val="subscript"/>
          <w:lang w:val="en-GB"/>
        </w:rPr>
        <w:t>2n+z</w:t>
      </w:r>
      <w:r w:rsidRPr="00CA45AD">
        <w:rPr>
          <w:lang w:val="en-GB"/>
        </w:rPr>
        <w:t>O</w:t>
      </w:r>
      <w:r w:rsidR="004505EE" w:rsidRPr="00CA45AD">
        <w:rPr>
          <w:vertAlign w:val="subscript"/>
          <w:lang w:val="en-GB"/>
        </w:rPr>
        <w:t>2</w:t>
      </w:r>
      <w:r w:rsidRPr="00CA45AD">
        <w:rPr>
          <w:lang w:val="en-GB"/>
        </w:rPr>
        <w:t>),</w:t>
      </w:r>
      <w:r w:rsidRPr="00652DF9">
        <w:rPr>
          <w:lang w:val="en-GB"/>
        </w:rPr>
        <w:t xml:space="preserve"> with n number of carbon atoms and z represents zero or negative even integers. </w:t>
      </w:r>
      <w:r w:rsidR="00427E3B">
        <w:rPr>
          <w:lang w:val="en-GB"/>
        </w:rPr>
        <w:t xml:space="preserve">They exhibit corrosive features toward metals, in particular toward carbon steels: when temperature exceeds </w:t>
      </w:r>
      <w:r w:rsidRPr="00652DF9">
        <w:rPr>
          <w:lang w:val="en-GB"/>
        </w:rPr>
        <w:t>200°C</w:t>
      </w:r>
      <w:r w:rsidR="00427E3B">
        <w:rPr>
          <w:lang w:val="en-GB"/>
        </w:rPr>
        <w:t>, the corrosive</w:t>
      </w:r>
      <w:r w:rsidR="00A55174">
        <w:rPr>
          <w:lang w:val="en-GB"/>
        </w:rPr>
        <w:t xml:space="preserve"> phenomenon</w:t>
      </w:r>
      <w:r w:rsidR="00427E3B">
        <w:rPr>
          <w:lang w:val="en-GB"/>
        </w:rPr>
        <w:t xml:space="preserve"> activates, it achieves the reactivity peak</w:t>
      </w:r>
      <w:r w:rsidRPr="00652DF9">
        <w:rPr>
          <w:lang w:val="en-GB"/>
        </w:rPr>
        <w:t xml:space="preserve"> around 350°C and then </w:t>
      </w:r>
      <w:r w:rsidR="00427E3B">
        <w:rPr>
          <w:lang w:val="en-GB"/>
        </w:rPr>
        <w:t xml:space="preserve">it </w:t>
      </w:r>
      <w:r w:rsidRPr="00652DF9">
        <w:rPr>
          <w:lang w:val="en-GB"/>
        </w:rPr>
        <w:t xml:space="preserve">diminishes </w:t>
      </w:r>
      <w:r w:rsidR="00427E3B">
        <w:rPr>
          <w:lang w:val="en-GB"/>
        </w:rPr>
        <w:t>over</w:t>
      </w:r>
      <w:r w:rsidRPr="00652DF9">
        <w:rPr>
          <w:lang w:val="en-GB"/>
        </w:rPr>
        <w:t xml:space="preserve"> 400°C</w:t>
      </w:r>
      <w:r w:rsidR="00661CDA">
        <w:rPr>
          <w:lang w:val="en-GB"/>
        </w:rPr>
        <w:t xml:space="preserve"> (</w:t>
      </w:r>
      <w:r w:rsidR="00661CDA" w:rsidRPr="00661CDA">
        <w:rPr>
          <w:lang w:val="en-GB"/>
        </w:rPr>
        <w:t>Al-Moubaraki</w:t>
      </w:r>
      <w:r w:rsidR="00661CDA">
        <w:rPr>
          <w:lang w:val="en-GB"/>
        </w:rPr>
        <w:t xml:space="preserve"> </w:t>
      </w:r>
      <w:r w:rsidR="00026009">
        <w:rPr>
          <w:lang w:val="en-GB"/>
        </w:rPr>
        <w:t>and Obot</w:t>
      </w:r>
      <w:r w:rsidR="00661CDA">
        <w:rPr>
          <w:lang w:val="en-GB"/>
        </w:rPr>
        <w:t>, 2021)</w:t>
      </w:r>
      <w:r w:rsidRPr="00652DF9">
        <w:rPr>
          <w:lang w:val="en-GB"/>
        </w:rPr>
        <w:t>.</w:t>
      </w:r>
      <w:r w:rsidR="00427E3B" w:rsidRPr="00427E3B">
        <w:t xml:space="preserve"> </w:t>
      </w:r>
      <w:r w:rsidR="00427E3B">
        <w:rPr>
          <w:lang w:val="en-GB"/>
        </w:rPr>
        <w:t>T</w:t>
      </w:r>
      <w:r w:rsidR="00427E3B" w:rsidRPr="00427E3B">
        <w:rPr>
          <w:lang w:val="en-GB"/>
        </w:rPr>
        <w:t>he mechanism involves three main reactions</w:t>
      </w:r>
      <w:r w:rsidR="00427E3B">
        <w:rPr>
          <w:lang w:val="en-GB"/>
        </w:rPr>
        <w:t xml:space="preserve">: </w:t>
      </w:r>
      <w:r w:rsidRPr="00652DF9">
        <w:rPr>
          <w:lang w:val="en-GB"/>
        </w:rPr>
        <w:t>n</w:t>
      </w:r>
      <w:r w:rsidR="00427E3B">
        <w:rPr>
          <w:lang w:val="en-GB"/>
        </w:rPr>
        <w:t>aphthenic acids react with iron and they form iron naphthenates; s</w:t>
      </w:r>
      <w:r w:rsidRPr="00652DF9">
        <w:rPr>
          <w:lang w:val="en-GB"/>
        </w:rPr>
        <w:t xml:space="preserve">imultaneously, hydrogen </w:t>
      </w:r>
      <w:r w:rsidR="007823F3" w:rsidRPr="00652DF9">
        <w:rPr>
          <w:lang w:val="en-GB"/>
        </w:rPr>
        <w:t>sulphide</w:t>
      </w:r>
      <w:r w:rsidR="00A55174">
        <w:rPr>
          <w:lang w:val="en-GB"/>
        </w:rPr>
        <w:t xml:space="preserve"> reacts with the base metal</w:t>
      </w:r>
      <w:r w:rsidRPr="00652DF9">
        <w:rPr>
          <w:lang w:val="en-GB"/>
        </w:rPr>
        <w:t xml:space="preserve"> </w:t>
      </w:r>
      <w:r w:rsidR="006C2011">
        <w:rPr>
          <w:lang w:val="en-GB"/>
        </w:rPr>
        <w:t>to form</w:t>
      </w:r>
      <w:r w:rsidRPr="00652DF9">
        <w:rPr>
          <w:lang w:val="en-GB"/>
        </w:rPr>
        <w:t xml:space="preserve"> solid iron </w:t>
      </w:r>
      <w:r w:rsidR="000F38A8" w:rsidRPr="00652DF9">
        <w:rPr>
          <w:lang w:val="en-GB"/>
        </w:rPr>
        <w:t>sulphide</w:t>
      </w:r>
      <w:r w:rsidRPr="00652DF9">
        <w:rPr>
          <w:lang w:val="en-GB"/>
        </w:rPr>
        <w:t>, which d</w:t>
      </w:r>
      <w:r w:rsidR="006C2011">
        <w:rPr>
          <w:lang w:val="en-GB"/>
        </w:rPr>
        <w:t>eposits onto the metal surface; finally, h</w:t>
      </w:r>
      <w:r w:rsidRPr="00652DF9">
        <w:rPr>
          <w:lang w:val="en-GB"/>
        </w:rPr>
        <w:t xml:space="preserve">ydrogen </w:t>
      </w:r>
      <w:r w:rsidR="007823F3" w:rsidRPr="00652DF9">
        <w:rPr>
          <w:lang w:val="en-GB"/>
        </w:rPr>
        <w:t>sulphide</w:t>
      </w:r>
      <w:r w:rsidRPr="00652DF9">
        <w:rPr>
          <w:lang w:val="en-GB"/>
        </w:rPr>
        <w:t xml:space="preserve"> reacts with iron naphthenates to produce iron </w:t>
      </w:r>
      <w:r w:rsidR="000F38A8" w:rsidRPr="00652DF9">
        <w:rPr>
          <w:lang w:val="en-GB"/>
        </w:rPr>
        <w:t>sulphides</w:t>
      </w:r>
      <w:r w:rsidRPr="00652DF9">
        <w:rPr>
          <w:lang w:val="en-GB"/>
        </w:rPr>
        <w:t xml:space="preserve"> and </w:t>
      </w:r>
      <w:r w:rsidR="00A55174">
        <w:rPr>
          <w:lang w:val="en-GB"/>
        </w:rPr>
        <w:t xml:space="preserve">to </w:t>
      </w:r>
      <w:r w:rsidRPr="00652DF9">
        <w:rPr>
          <w:lang w:val="en-GB"/>
        </w:rPr>
        <w:t xml:space="preserve">regenerate naphthenic acid. </w:t>
      </w:r>
      <w:r w:rsidR="006C2011">
        <w:rPr>
          <w:lang w:val="en-GB"/>
        </w:rPr>
        <w:t>I</w:t>
      </w:r>
      <w:r w:rsidR="006C2011" w:rsidRPr="006C2011">
        <w:rPr>
          <w:lang w:val="en-GB"/>
        </w:rPr>
        <w:t>t is clear how the acid</w:t>
      </w:r>
      <w:r w:rsidR="00A55174">
        <w:rPr>
          <w:lang w:val="en-GB"/>
        </w:rPr>
        <w:t>ic</w:t>
      </w:r>
      <w:r w:rsidR="006C2011" w:rsidRPr="006C2011">
        <w:rPr>
          <w:lang w:val="en-GB"/>
        </w:rPr>
        <w:t xml:space="preserve"> component </w:t>
      </w:r>
      <w:r w:rsidR="006C2011">
        <w:rPr>
          <w:lang w:val="en-GB"/>
        </w:rPr>
        <w:t xml:space="preserve">is always renewed, the </w:t>
      </w:r>
      <w:r w:rsidR="006C2011" w:rsidRPr="006C2011">
        <w:rPr>
          <w:lang w:val="en-GB"/>
        </w:rPr>
        <w:t xml:space="preserve">deposited </w:t>
      </w:r>
      <w:r w:rsidR="006C2011">
        <w:rPr>
          <w:lang w:val="en-GB"/>
        </w:rPr>
        <w:t xml:space="preserve">film </w:t>
      </w:r>
      <w:r w:rsidR="006C2011" w:rsidRPr="006C2011">
        <w:rPr>
          <w:lang w:val="en-GB"/>
        </w:rPr>
        <w:t>on the surface is removed and the base m</w:t>
      </w:r>
      <w:r w:rsidR="006C2011">
        <w:rPr>
          <w:lang w:val="en-GB"/>
        </w:rPr>
        <w:t>etal</w:t>
      </w:r>
      <w:r w:rsidR="006C2011" w:rsidRPr="006C2011">
        <w:rPr>
          <w:lang w:val="en-GB"/>
        </w:rPr>
        <w:t xml:space="preserve"> is consumed</w:t>
      </w:r>
      <w:r w:rsidR="006C2011">
        <w:rPr>
          <w:lang w:val="en-GB"/>
        </w:rPr>
        <w:t xml:space="preserve">. </w:t>
      </w:r>
      <w:r w:rsidRPr="00652DF9">
        <w:rPr>
          <w:lang w:val="en-GB"/>
        </w:rPr>
        <w:t>The factors that influe</w:t>
      </w:r>
      <w:r w:rsidR="006C2011">
        <w:rPr>
          <w:lang w:val="en-GB"/>
        </w:rPr>
        <w:t xml:space="preserve">nce these reactions are </w:t>
      </w:r>
      <w:r w:rsidRPr="00652DF9">
        <w:rPr>
          <w:lang w:val="en-GB"/>
        </w:rPr>
        <w:t>crude</w:t>
      </w:r>
      <w:r w:rsidR="006C2011">
        <w:rPr>
          <w:lang w:val="en-GB"/>
        </w:rPr>
        <w:t>’s features (sulphur and TAN)</w:t>
      </w:r>
      <w:r w:rsidRPr="00652DF9">
        <w:rPr>
          <w:lang w:val="en-GB"/>
        </w:rPr>
        <w:t>, temperat</w:t>
      </w:r>
      <w:r w:rsidR="006C2011">
        <w:rPr>
          <w:lang w:val="en-GB"/>
        </w:rPr>
        <w:t xml:space="preserve">ure, flow velocity, metallurgy and </w:t>
      </w:r>
      <w:r w:rsidRPr="00652DF9">
        <w:rPr>
          <w:lang w:val="en-GB"/>
        </w:rPr>
        <w:t>surface conditions.</w:t>
      </w:r>
      <w:r w:rsidR="004712B1">
        <w:rPr>
          <w:lang w:val="en-GB"/>
        </w:rPr>
        <w:t xml:space="preserve"> </w:t>
      </w:r>
      <w:r w:rsidRPr="00652DF9">
        <w:rPr>
          <w:lang w:val="en-GB"/>
        </w:rPr>
        <w:t xml:space="preserve">Sulfidation, or </w:t>
      </w:r>
      <w:r w:rsidR="00024C25" w:rsidRPr="00652DF9">
        <w:rPr>
          <w:lang w:val="en-GB"/>
        </w:rPr>
        <w:t>hydrogen sulphide corrosion</w:t>
      </w:r>
      <w:r w:rsidRPr="00652DF9">
        <w:rPr>
          <w:lang w:val="en-GB"/>
        </w:rPr>
        <w:t xml:space="preserve">, is a </w:t>
      </w:r>
      <w:r w:rsidRPr="00652DF9">
        <w:rPr>
          <w:lang w:val="en-GB"/>
        </w:rPr>
        <w:lastRenderedPageBreak/>
        <w:t>phenomenon that occurs in oil containing sulphur species between 230 and 425°C (</w:t>
      </w:r>
      <w:r w:rsidRPr="00BC483F">
        <w:rPr>
          <w:lang w:val="en-GB"/>
        </w:rPr>
        <w:t>Rebak,</w:t>
      </w:r>
      <w:r w:rsidR="00211BF3" w:rsidRPr="00BC483F">
        <w:rPr>
          <w:lang w:val="en-GB"/>
        </w:rPr>
        <w:t xml:space="preserve"> </w:t>
      </w:r>
      <w:r w:rsidRPr="00BC483F">
        <w:rPr>
          <w:lang w:val="en-GB"/>
        </w:rPr>
        <w:t>2011</w:t>
      </w:r>
      <w:r w:rsidRPr="00652DF9">
        <w:rPr>
          <w:lang w:val="en-GB"/>
        </w:rPr>
        <w:t xml:space="preserve">): the reduction of hydrogen and the oxidation of iron are responsible for the formation of </w:t>
      </w:r>
      <w:r w:rsidR="00522340">
        <w:rPr>
          <w:lang w:val="en-GB"/>
        </w:rPr>
        <w:t xml:space="preserve">iron sulphide </w:t>
      </w:r>
      <w:r w:rsidRPr="00652DF9">
        <w:rPr>
          <w:lang w:val="en-GB"/>
        </w:rPr>
        <w:t xml:space="preserve">FeS, </w:t>
      </w:r>
      <w:r w:rsidR="00522340">
        <w:rPr>
          <w:lang w:val="en-GB"/>
        </w:rPr>
        <w:t xml:space="preserve">which </w:t>
      </w:r>
      <w:r w:rsidRPr="00652DF9">
        <w:rPr>
          <w:lang w:val="en-GB"/>
        </w:rPr>
        <w:t>form</w:t>
      </w:r>
      <w:r w:rsidR="00522340">
        <w:rPr>
          <w:lang w:val="en-GB"/>
        </w:rPr>
        <w:t xml:space="preserve">s </w:t>
      </w:r>
      <w:r w:rsidRPr="00652DF9">
        <w:rPr>
          <w:lang w:val="en-GB"/>
        </w:rPr>
        <w:t xml:space="preserve">a pseudo-passive and not tenacious film. Several </w:t>
      </w:r>
      <w:r w:rsidR="00522340">
        <w:rPr>
          <w:lang w:val="en-GB"/>
        </w:rPr>
        <w:t xml:space="preserve">film morphologies are known but </w:t>
      </w:r>
      <w:r w:rsidRPr="00652DF9">
        <w:rPr>
          <w:lang w:val="en-GB"/>
        </w:rPr>
        <w:t xml:space="preserve">the boundary between one morphology and another </w:t>
      </w:r>
      <w:r w:rsidR="00A55174">
        <w:rPr>
          <w:lang w:val="en-GB"/>
        </w:rPr>
        <w:t xml:space="preserve">one </w:t>
      </w:r>
      <w:r w:rsidRPr="00652DF9">
        <w:rPr>
          <w:lang w:val="en-GB"/>
        </w:rPr>
        <w:t>is not yet well delineated. The factors that determine the corrosion rate and the formation of iron sulphide are flow velocity, temperature, partial pressure of H</w:t>
      </w:r>
      <w:r w:rsidRPr="00B53C4E">
        <w:rPr>
          <w:vertAlign w:val="subscript"/>
          <w:lang w:val="en-GB"/>
        </w:rPr>
        <w:t>2</w:t>
      </w:r>
      <w:r w:rsidRPr="00652DF9">
        <w:rPr>
          <w:lang w:val="en-GB"/>
        </w:rPr>
        <w:t xml:space="preserve">S, </w:t>
      </w:r>
      <w:r w:rsidR="0082660E" w:rsidRPr="00652DF9">
        <w:rPr>
          <w:lang w:val="en-GB"/>
        </w:rPr>
        <w:t>concentration of H</w:t>
      </w:r>
      <w:r w:rsidR="0082660E" w:rsidRPr="00B53C4E">
        <w:rPr>
          <w:vertAlign w:val="subscript"/>
          <w:lang w:val="en-GB"/>
        </w:rPr>
        <w:t>2</w:t>
      </w:r>
      <w:r w:rsidR="0082660E" w:rsidRPr="00652DF9">
        <w:rPr>
          <w:lang w:val="en-GB"/>
        </w:rPr>
        <w:t>S</w:t>
      </w:r>
      <w:r w:rsidR="0082660E">
        <w:rPr>
          <w:lang w:val="en-GB"/>
        </w:rPr>
        <w:t xml:space="preserve">, </w:t>
      </w:r>
      <w:r w:rsidRPr="00652DF9">
        <w:rPr>
          <w:lang w:val="en-GB"/>
        </w:rPr>
        <w:t>exposure time, concentration of dis</w:t>
      </w:r>
      <w:r w:rsidR="0082660E">
        <w:rPr>
          <w:lang w:val="en-GB"/>
        </w:rPr>
        <w:t>solved salts and organic acids,</w:t>
      </w:r>
      <w:r w:rsidRPr="00652DF9">
        <w:rPr>
          <w:lang w:val="en-GB"/>
        </w:rPr>
        <w:t xml:space="preserve"> metallurgy, presence of oxygen and chemical properties of the fluid</w:t>
      </w:r>
      <w:r w:rsidR="00640132">
        <w:rPr>
          <w:lang w:val="en-GB"/>
        </w:rPr>
        <w:t>.</w:t>
      </w:r>
    </w:p>
    <w:p w14:paraId="37D4B9D3" w14:textId="03479081" w:rsidR="00652DF9" w:rsidRDefault="00FA3AB1" w:rsidP="00600535">
      <w:pPr>
        <w:pStyle w:val="CETBodytext"/>
        <w:rPr>
          <w:lang w:val="en-GB"/>
        </w:rPr>
      </w:pPr>
      <w:r w:rsidRPr="00FA3AB1">
        <w:rPr>
          <w:lang w:val="en-GB"/>
        </w:rPr>
        <w:t xml:space="preserve">There are several techniques to keep the corrosion process under control: blending with lower acidity crude oils, conversion of naphthenic acids through esterification and decarboxylation processes, coating of surfaces, cathodic protection, corrosion inhibitors. However, the </w:t>
      </w:r>
      <w:r w:rsidR="007B70A6">
        <w:rPr>
          <w:lang w:val="en-GB"/>
        </w:rPr>
        <w:t>recent trend</w:t>
      </w:r>
      <w:r w:rsidRPr="00FA3AB1">
        <w:rPr>
          <w:lang w:val="en-GB"/>
        </w:rPr>
        <w:t xml:space="preserve"> is to monitor the phenomenon continuously, to determine the plant health and choose maintenance and corrective actions according to what is happening. Therefore</w:t>
      </w:r>
      <w:r>
        <w:rPr>
          <w:lang w:val="en-GB"/>
        </w:rPr>
        <w:t>,</w:t>
      </w:r>
      <w:r w:rsidRPr="00FA3AB1">
        <w:rPr>
          <w:lang w:val="en-GB"/>
        </w:rPr>
        <w:t xml:space="preserve"> static preventive maintenance, based on the replacement of consumable components at a given deadline, is no longer effective; predictive maintenance is more appropriate. Predictive maintenance is, by definition, a type of maintenance that consists of constant monitoring of the </w:t>
      </w:r>
      <w:r w:rsidR="002C0BE3" w:rsidRPr="00FA3AB1">
        <w:rPr>
          <w:lang w:val="en-GB"/>
        </w:rPr>
        <w:t xml:space="preserve">asset </w:t>
      </w:r>
      <w:r w:rsidRPr="00FA3AB1">
        <w:rPr>
          <w:lang w:val="en-GB"/>
        </w:rPr>
        <w:t xml:space="preserve">condition, through the application of sensors: these sensors provide real-time data that, when processed using appropriate mathematical models, can predict when maintenance action will be needed. </w:t>
      </w:r>
      <w:r w:rsidR="00B278D7">
        <w:rPr>
          <w:lang w:val="en-GB"/>
        </w:rPr>
        <w:t>b</w:t>
      </w:r>
      <w:r w:rsidRPr="00FA3AB1">
        <w:rPr>
          <w:lang w:val="en-GB"/>
        </w:rPr>
        <w:t>ayes</w:t>
      </w:r>
      <w:r w:rsidR="00162439">
        <w:rPr>
          <w:lang w:val="en-GB"/>
        </w:rPr>
        <w:t>ian</w:t>
      </w:r>
      <w:r w:rsidRPr="00FA3AB1">
        <w:rPr>
          <w:lang w:val="en-GB"/>
        </w:rPr>
        <w:t xml:space="preserve"> networks represent a probabilistic data processing technique.</w:t>
      </w:r>
    </w:p>
    <w:p w14:paraId="553359E6" w14:textId="6498FAF4" w:rsidR="00F658F8" w:rsidRDefault="00F658F8" w:rsidP="00600535">
      <w:pPr>
        <w:pStyle w:val="CETBodytext"/>
        <w:rPr>
          <w:lang w:val="en-GB"/>
        </w:rPr>
      </w:pPr>
      <w:r w:rsidRPr="00F658F8">
        <w:rPr>
          <w:lang w:val="en-GB"/>
        </w:rPr>
        <w:t xml:space="preserve">In this paper, a recent </w:t>
      </w:r>
      <w:r w:rsidR="00B278D7">
        <w:rPr>
          <w:lang w:val="en-GB"/>
        </w:rPr>
        <w:t>b</w:t>
      </w:r>
      <w:r w:rsidRPr="00F658F8">
        <w:rPr>
          <w:lang w:val="en-GB"/>
        </w:rPr>
        <w:t>ayes</w:t>
      </w:r>
      <w:r w:rsidR="00162439">
        <w:rPr>
          <w:lang w:val="en-GB"/>
        </w:rPr>
        <w:t>ian</w:t>
      </w:r>
      <w:r w:rsidRPr="00F658F8">
        <w:rPr>
          <w:lang w:val="en-GB"/>
        </w:rPr>
        <w:t xml:space="preserve"> network model (Ancione et al., 2023), developed to handle the previously mentioned corrosion mechanisms and dynamic updating of the Residual Useful Life (RUL), is improved to integrate the estimated RUL into the risk assessment. The approach provides a dynamic update of equipment position in the risk matrix by introducing Key Performance Indicators (KPIs</w:t>
      </w:r>
      <w:r w:rsidR="0091451C">
        <w:rPr>
          <w:lang w:val="en-GB"/>
        </w:rPr>
        <w:t>) belonging to Asset Integrity</w:t>
      </w:r>
      <w:r w:rsidR="000A270F">
        <w:rPr>
          <w:lang w:val="en-GB"/>
        </w:rPr>
        <w:t xml:space="preserve"> </w:t>
      </w:r>
      <w:r w:rsidR="000A270F">
        <w:t>(RAM, 2023)</w:t>
      </w:r>
      <w:r w:rsidR="0091451C">
        <w:rPr>
          <w:lang w:val="en-GB"/>
        </w:rPr>
        <w:t xml:space="preserve">; in fact, one of the performance indicators of an asset integrity management system concerns the performed inspections, as it will be seen later. </w:t>
      </w:r>
      <w:r w:rsidRPr="00F658F8">
        <w:rPr>
          <w:lang w:val="en-GB"/>
        </w:rPr>
        <w:t>The manuscript is organized as follows: Section 2 describes the proposed methodology for defining a performance coefficient for dynamic updating of equipment position in the plant risk matrix; Section 3 presents the case study used to apply the methodology; Section 4 provides some results and a brief discussion. Finally, Section 5 reports the conclusions of the work.</w:t>
      </w:r>
    </w:p>
    <w:p w14:paraId="3CDC6582" w14:textId="790D188B" w:rsidR="00FB0F95" w:rsidRPr="002C6C9E" w:rsidRDefault="00264D8B" w:rsidP="002C6C9E">
      <w:pPr>
        <w:pStyle w:val="CETHeading1"/>
        <w:numPr>
          <w:ilvl w:val="0"/>
          <w:numId w:val="37"/>
        </w:numPr>
      </w:pPr>
      <w:r w:rsidRPr="002C6C9E">
        <w:t>Methodology</w:t>
      </w:r>
    </w:p>
    <w:p w14:paraId="3813EDAE" w14:textId="3CEA6CD7" w:rsidR="00B53A2D" w:rsidRDefault="00B53A2D" w:rsidP="00B53A2D">
      <w:pPr>
        <w:pStyle w:val="CETBodytext"/>
        <w:rPr>
          <w:lang w:val="en-GB"/>
        </w:rPr>
      </w:pPr>
      <w:r w:rsidRPr="00F74B7A">
        <w:rPr>
          <w:lang w:val="en-GB"/>
        </w:rPr>
        <w:t xml:space="preserve">A </w:t>
      </w:r>
      <w:r w:rsidR="00B278D7">
        <w:rPr>
          <w:lang w:val="en-GB"/>
        </w:rPr>
        <w:t>b</w:t>
      </w:r>
      <w:r w:rsidRPr="00162439">
        <w:rPr>
          <w:lang w:val="en-GB"/>
        </w:rPr>
        <w:t>ayesian network</w:t>
      </w:r>
      <w:r w:rsidRPr="00F74B7A">
        <w:rPr>
          <w:lang w:val="en-GB"/>
        </w:rPr>
        <w:t xml:space="preserve"> </w:t>
      </w:r>
      <w:r>
        <w:rPr>
          <w:lang w:val="en-GB"/>
        </w:rPr>
        <w:t xml:space="preserve">(BN) </w:t>
      </w:r>
      <w:r w:rsidRPr="00F74B7A">
        <w:rPr>
          <w:lang w:val="en-GB"/>
        </w:rPr>
        <w:t xml:space="preserve">is a directed acyclic graph in which nodes represent variables, arcs represent direct dependencies between variables and the intensity of these dependencies is quantified through so-called </w:t>
      </w:r>
      <w:r w:rsidRPr="00635A2D">
        <w:rPr>
          <w:lang w:val="en-GB"/>
        </w:rPr>
        <w:t>conditional probabilities</w:t>
      </w:r>
      <w:r w:rsidRPr="00F74B7A">
        <w:rPr>
          <w:lang w:val="en-GB"/>
        </w:rPr>
        <w:t xml:space="preserve"> (</w:t>
      </w:r>
      <w:r w:rsidRPr="00BC483F">
        <w:rPr>
          <w:lang w:val="en-GB"/>
        </w:rPr>
        <w:t>Pearl, 1988</w:t>
      </w:r>
      <w:r w:rsidRPr="00F74B7A">
        <w:rPr>
          <w:lang w:val="en-GB"/>
        </w:rPr>
        <w:t>)</w:t>
      </w:r>
      <w:r>
        <w:rPr>
          <w:lang w:val="en-GB"/>
        </w:rPr>
        <w:t>.</w:t>
      </w:r>
      <w:r w:rsidRPr="00F74B7A">
        <w:rPr>
          <w:lang w:val="en-GB"/>
        </w:rPr>
        <w:t xml:space="preserve"> </w:t>
      </w:r>
      <w:r>
        <w:rPr>
          <w:lang w:val="en-GB"/>
        </w:rPr>
        <w:t>I</w:t>
      </w:r>
      <w:r w:rsidRPr="00F74B7A">
        <w:rPr>
          <w:lang w:val="en-GB"/>
        </w:rPr>
        <w:t>t allows estimat</w:t>
      </w:r>
      <w:r w:rsidR="00B87EA7">
        <w:rPr>
          <w:lang w:val="en-GB"/>
        </w:rPr>
        <w:t>ing</w:t>
      </w:r>
      <w:r w:rsidRPr="00F74B7A">
        <w:rPr>
          <w:lang w:val="en-GB"/>
        </w:rPr>
        <w:t xml:space="preserve"> the a posteriori probability of a variable, exclusively from a priori knowledge of the variables connected to it </w:t>
      </w:r>
      <w:r w:rsidRPr="003D0417">
        <w:rPr>
          <w:lang w:val="en-GB"/>
        </w:rPr>
        <w:t>(</w:t>
      </w:r>
      <w:r w:rsidRPr="00BC483F">
        <w:rPr>
          <w:lang w:val="en-GB"/>
        </w:rPr>
        <w:t>Torres-Toledano, 1998</w:t>
      </w:r>
      <w:r w:rsidRPr="003D0417">
        <w:rPr>
          <w:lang w:val="en-GB"/>
        </w:rPr>
        <w:t>)</w:t>
      </w:r>
      <w:r>
        <w:rPr>
          <w:lang w:val="en-GB"/>
        </w:rPr>
        <w:t>.</w:t>
      </w:r>
      <w:r w:rsidRPr="003D0417">
        <w:rPr>
          <w:lang w:val="en-GB"/>
        </w:rPr>
        <w:t xml:space="preserve"> </w:t>
      </w:r>
      <w:r w:rsidRPr="00F74B7A">
        <w:rPr>
          <w:lang w:val="en-GB"/>
        </w:rPr>
        <w:t>The structure of the network itself returns the direct and indirect relationships between the variables involved. The centre of the network is Bayes' Theorem</w:t>
      </w:r>
      <w:r>
        <w:rPr>
          <w:lang w:val="en-GB"/>
        </w:rPr>
        <w:t xml:space="preserve"> </w:t>
      </w:r>
      <w:r w:rsidRPr="00012936">
        <w:rPr>
          <w:lang w:val="en-GB"/>
        </w:rPr>
        <w:t>of Eq. (1).</w:t>
      </w:r>
      <w:r>
        <w:rPr>
          <w:lang w:val="en-GB"/>
        </w:rPr>
        <w:t xml:space="preserve"> It</w:t>
      </w:r>
      <w:r w:rsidRPr="00F74B7A">
        <w:rPr>
          <w:lang w:val="en-GB"/>
        </w:rPr>
        <w:t xml:space="preserve"> defines the conditional probability of a variable:</w:t>
      </w:r>
      <w:r>
        <w:rPr>
          <w:lang w:val="en-GB"/>
        </w:rPr>
        <w:t xml:space="preserve"> </w:t>
      </w:r>
      <w:r w:rsidRPr="00F74B7A">
        <w:rPr>
          <w:lang w:val="en-GB"/>
        </w:rPr>
        <w:t>given two events A and B with nonzero probabilities, the conditional probability of A with respect to B is given by the product of the conditional probability of B with respect to A and the probability of A, divided by the probability of B</w:t>
      </w:r>
    </w:p>
    <w:tbl>
      <w:tblPr>
        <w:tblW w:w="5000" w:type="pct"/>
        <w:tblLook w:val="04A0" w:firstRow="1" w:lastRow="0" w:firstColumn="1" w:lastColumn="0" w:noHBand="0" w:noVBand="1"/>
      </w:tblPr>
      <w:tblGrid>
        <w:gridCol w:w="7985"/>
        <w:gridCol w:w="802"/>
      </w:tblGrid>
      <w:tr w:rsidR="00B53A2D" w:rsidRPr="00B57B36" w14:paraId="24AEA2AA" w14:textId="77777777" w:rsidTr="001520E5">
        <w:tc>
          <w:tcPr>
            <w:tcW w:w="8188" w:type="dxa"/>
            <w:shd w:val="clear" w:color="auto" w:fill="auto"/>
            <w:vAlign w:val="center"/>
          </w:tcPr>
          <w:p w14:paraId="6F91EFB8" w14:textId="77777777" w:rsidR="00B53A2D" w:rsidRPr="00B57B36" w:rsidRDefault="00B53A2D" w:rsidP="001520E5">
            <w:pPr>
              <w:pStyle w:val="CETEquation"/>
            </w:pPr>
            <w:r w:rsidRPr="003F69B4">
              <w:rPr>
                <w:noProof/>
                <w:lang w:val="it-IT" w:eastAsia="it-IT"/>
              </w:rPr>
              <w:drawing>
                <wp:inline distT="0" distB="0" distL="0" distR="0" wp14:anchorId="1F5D0B00" wp14:editId="4F7BBB18">
                  <wp:extent cx="1314450" cy="310515"/>
                  <wp:effectExtent l="0" t="0" r="0" b="0"/>
                  <wp:docPr id="9799976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8011" r="38432"/>
                          <a:stretch/>
                        </pic:blipFill>
                        <pic:spPr bwMode="auto">
                          <a:xfrm>
                            <a:off x="0" y="0"/>
                            <a:ext cx="1314450" cy="3105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4CA658EF" w14:textId="77777777" w:rsidR="00B53A2D" w:rsidRPr="00B57B36" w:rsidRDefault="00B53A2D" w:rsidP="001520E5">
            <w:pPr>
              <w:pStyle w:val="CETEquation"/>
              <w:jc w:val="right"/>
            </w:pPr>
            <w:r w:rsidRPr="00B57B36">
              <w:t>(1)</w:t>
            </w:r>
          </w:p>
        </w:tc>
      </w:tr>
    </w:tbl>
    <w:p w14:paraId="5AA3256E" w14:textId="257C479B" w:rsidR="00B53A2D" w:rsidRPr="007A74CF" w:rsidRDefault="00B53A2D" w:rsidP="00B53A2D">
      <w:pPr>
        <w:pStyle w:val="CETBodytext"/>
        <w:rPr>
          <w:lang w:val="en-GB"/>
        </w:rPr>
      </w:pPr>
      <w:r w:rsidRPr="007A74CF">
        <w:rPr>
          <w:lang w:val="en-GB"/>
        </w:rPr>
        <w:t xml:space="preserve">In reliability analysis, the most difficult events to predict are </w:t>
      </w:r>
      <w:r w:rsidRPr="00A05400">
        <w:rPr>
          <w:lang w:val="en-GB"/>
        </w:rPr>
        <w:t>dependent random events.</w:t>
      </w:r>
      <w:r w:rsidRPr="007A74CF">
        <w:rPr>
          <w:lang w:val="en-GB"/>
        </w:rPr>
        <w:t xml:space="preserve"> </w:t>
      </w:r>
      <w:r w:rsidR="00B278D7">
        <w:rPr>
          <w:lang w:val="en-GB"/>
        </w:rPr>
        <w:t>b</w:t>
      </w:r>
      <w:r w:rsidRPr="00162439">
        <w:rPr>
          <w:lang w:val="en-GB"/>
        </w:rPr>
        <w:t>ayesian networks</w:t>
      </w:r>
      <w:r w:rsidRPr="007A74CF">
        <w:rPr>
          <w:lang w:val="en-GB"/>
        </w:rPr>
        <w:t xml:space="preserve"> allow the explicit representation of such events (</w:t>
      </w:r>
      <w:r w:rsidRPr="00BC483F">
        <w:rPr>
          <w:lang w:val="en-GB"/>
        </w:rPr>
        <w:t>Torres-Toledano, 1998</w:t>
      </w:r>
      <w:r w:rsidRPr="007A74CF">
        <w:rPr>
          <w:lang w:val="en-GB"/>
        </w:rPr>
        <w:t>):</w:t>
      </w:r>
    </w:p>
    <w:p w14:paraId="3FDFC65A" w14:textId="77777777" w:rsidR="00B53A2D" w:rsidRPr="007A74CF" w:rsidRDefault="00B53A2D" w:rsidP="00B53A2D">
      <w:pPr>
        <w:pStyle w:val="CETnumberingbullets"/>
        <w:numPr>
          <w:ilvl w:val="0"/>
          <w:numId w:val="29"/>
        </w:numPr>
        <w:ind w:left="340" w:hanging="227"/>
      </w:pPr>
      <w:r w:rsidRPr="007A74CF">
        <w:t>Common causes. Events causing multiple elementary failures</w:t>
      </w:r>
      <w:r>
        <w:t>.</w:t>
      </w:r>
    </w:p>
    <w:p w14:paraId="06C938ED" w14:textId="77777777" w:rsidR="00B53A2D" w:rsidRPr="007A74CF" w:rsidRDefault="00B53A2D" w:rsidP="00B53A2D">
      <w:pPr>
        <w:pStyle w:val="CETnumberingbullets"/>
        <w:numPr>
          <w:ilvl w:val="0"/>
          <w:numId w:val="29"/>
        </w:numPr>
        <w:ind w:left="340" w:hanging="227"/>
      </w:pPr>
      <w:r w:rsidRPr="007A74CF">
        <w:t>Mutually exclusive primary events. The occurrence of one event automatically excludes the other</w:t>
      </w:r>
      <w:r>
        <w:t>.</w:t>
      </w:r>
    </w:p>
    <w:p w14:paraId="7099817C" w14:textId="77777777" w:rsidR="00B53A2D" w:rsidRPr="007A74CF" w:rsidRDefault="00B53A2D" w:rsidP="00B53A2D">
      <w:pPr>
        <w:pStyle w:val="CETnumberingbullets"/>
        <w:numPr>
          <w:ilvl w:val="0"/>
          <w:numId w:val="29"/>
        </w:numPr>
        <w:ind w:left="340" w:hanging="227"/>
      </w:pPr>
      <w:r w:rsidRPr="007A74CF">
        <w:t>Stand-by redundancies. When one component fails, the standby component is put into service</w:t>
      </w:r>
      <w:r>
        <w:t>,</w:t>
      </w:r>
      <w:r w:rsidRPr="007A74CF">
        <w:t xml:space="preserve"> so the standby component becomes more susceptible to failure</w:t>
      </w:r>
      <w:r>
        <w:t>.</w:t>
      </w:r>
    </w:p>
    <w:p w14:paraId="4C096463" w14:textId="77777777" w:rsidR="00B53A2D" w:rsidRDefault="00B53A2D" w:rsidP="00B53A2D">
      <w:pPr>
        <w:pStyle w:val="CETnumberingbullets"/>
        <w:numPr>
          <w:ilvl w:val="0"/>
          <w:numId w:val="29"/>
        </w:numPr>
        <w:ind w:left="340" w:hanging="227"/>
      </w:pPr>
      <w:r w:rsidRPr="007A74CF">
        <w:t>Components under load. The failure of one component results in an increased load on the remaining components; as a result, the remaining components are more susceptible to failure.</w:t>
      </w:r>
    </w:p>
    <w:p w14:paraId="131CF55A" w14:textId="7578BC46" w:rsidR="00386F5C" w:rsidRDefault="00090423" w:rsidP="00162911">
      <w:pPr>
        <w:spacing w:line="276" w:lineRule="auto"/>
        <w:rPr>
          <w:rFonts w:eastAsia="Calibri"/>
          <w:kern w:val="2"/>
          <w:szCs w:val="24"/>
          <w14:ligatures w14:val="standardContextual"/>
        </w:rPr>
      </w:pPr>
      <w:r w:rsidRPr="006979DA">
        <w:rPr>
          <w:color w:val="000000" w:themeColor="text1"/>
        </w:rPr>
        <w:t xml:space="preserve">The </w:t>
      </w:r>
      <w:r w:rsidR="00DC5707" w:rsidRPr="006979DA">
        <w:rPr>
          <w:color w:val="000000" w:themeColor="text1"/>
        </w:rPr>
        <w:t>approach</w:t>
      </w:r>
      <w:r w:rsidRPr="006979DA">
        <w:rPr>
          <w:color w:val="000000" w:themeColor="text1"/>
        </w:rPr>
        <w:t xml:space="preserve"> </w:t>
      </w:r>
      <w:r w:rsidR="00546205">
        <w:rPr>
          <w:color w:val="000000" w:themeColor="text1"/>
        </w:rPr>
        <w:t xml:space="preserve">proposed </w:t>
      </w:r>
      <w:r w:rsidR="002222FF">
        <w:rPr>
          <w:color w:val="000000" w:themeColor="text1"/>
        </w:rPr>
        <w:t xml:space="preserve">in this work </w:t>
      </w:r>
      <w:r w:rsidR="00546205">
        <w:rPr>
          <w:color w:val="000000" w:themeColor="text1"/>
        </w:rPr>
        <w:t xml:space="preserve">takes inspiration by </w:t>
      </w:r>
      <w:r w:rsidR="00803B8D">
        <w:rPr>
          <w:color w:val="000000" w:themeColor="text1"/>
        </w:rPr>
        <w:t xml:space="preserve">a model presented by </w:t>
      </w:r>
      <w:r w:rsidR="00803B8D" w:rsidRPr="00BC483F">
        <w:rPr>
          <w:color w:val="000000" w:themeColor="text1"/>
        </w:rPr>
        <w:t xml:space="preserve">Ancione </w:t>
      </w:r>
      <w:r w:rsidR="002222FF" w:rsidRPr="00BC483F">
        <w:rPr>
          <w:color w:val="000000" w:themeColor="text1"/>
        </w:rPr>
        <w:t xml:space="preserve">et al. </w:t>
      </w:r>
      <w:r w:rsidR="006327DE" w:rsidRPr="00BC483F">
        <w:rPr>
          <w:color w:val="000000" w:themeColor="text1"/>
        </w:rPr>
        <w:t>(</w:t>
      </w:r>
      <w:r w:rsidR="00803B8D" w:rsidRPr="00BC483F">
        <w:rPr>
          <w:color w:val="000000" w:themeColor="text1"/>
        </w:rPr>
        <w:t>2023</w:t>
      </w:r>
      <w:r w:rsidR="00803B8D" w:rsidRPr="00B45DF1">
        <w:rPr>
          <w:color w:val="000000" w:themeColor="text1"/>
        </w:rPr>
        <w:t>)</w:t>
      </w:r>
      <w:r w:rsidR="00345FDC" w:rsidRPr="00345FDC">
        <w:t xml:space="preserve"> </w:t>
      </w:r>
      <w:r w:rsidR="00345FDC" w:rsidRPr="00345FDC">
        <w:rPr>
          <w:color w:val="000000" w:themeColor="text1"/>
        </w:rPr>
        <w:t xml:space="preserve">and </w:t>
      </w:r>
      <w:r w:rsidR="00F658F8">
        <w:rPr>
          <w:color w:val="000000" w:themeColor="text1"/>
        </w:rPr>
        <w:t xml:space="preserve">it </w:t>
      </w:r>
      <w:r w:rsidR="00345FDC" w:rsidRPr="00345FDC">
        <w:rPr>
          <w:color w:val="000000" w:themeColor="text1"/>
        </w:rPr>
        <w:t xml:space="preserve">extends it in order to integrate the contribution of inspections </w:t>
      </w:r>
      <w:r w:rsidR="00B040EA" w:rsidRPr="00B040EA">
        <w:rPr>
          <w:color w:val="000000" w:themeColor="text1"/>
        </w:rPr>
        <w:t xml:space="preserve">and define a risk index for </w:t>
      </w:r>
      <w:r w:rsidR="004C29CA">
        <w:rPr>
          <w:color w:val="000000" w:themeColor="text1"/>
        </w:rPr>
        <w:t xml:space="preserve">the </w:t>
      </w:r>
      <w:r w:rsidR="00B040EA" w:rsidRPr="00B040EA">
        <w:rPr>
          <w:color w:val="000000" w:themeColor="text1"/>
        </w:rPr>
        <w:t xml:space="preserve">dynamic updating of the </w:t>
      </w:r>
      <w:r w:rsidR="00F658F8">
        <w:rPr>
          <w:color w:val="000000" w:themeColor="text1"/>
        </w:rPr>
        <w:t xml:space="preserve">risk matric. </w:t>
      </w:r>
      <w:r w:rsidR="006327DE">
        <w:rPr>
          <w:color w:val="000000" w:themeColor="text1"/>
        </w:rPr>
        <w:t>It</w:t>
      </w:r>
      <w:r w:rsidR="00803B8D">
        <w:rPr>
          <w:color w:val="000000" w:themeColor="text1"/>
        </w:rPr>
        <w:t xml:space="preserve"> </w:t>
      </w:r>
      <w:r w:rsidRPr="006979DA">
        <w:rPr>
          <w:color w:val="000000" w:themeColor="text1"/>
        </w:rPr>
        <w:t xml:space="preserve">consists of </w:t>
      </w:r>
      <w:r w:rsidR="00204F1B">
        <w:rPr>
          <w:color w:val="000000" w:themeColor="text1"/>
        </w:rPr>
        <w:t xml:space="preserve">a </w:t>
      </w:r>
      <w:r w:rsidR="00B278D7">
        <w:rPr>
          <w:color w:val="000000" w:themeColor="text1"/>
        </w:rPr>
        <w:t>b</w:t>
      </w:r>
      <w:r w:rsidR="00204F1B" w:rsidRPr="00E76017">
        <w:rPr>
          <w:color w:val="000000" w:themeColor="text1"/>
        </w:rPr>
        <w:t>ayes</w:t>
      </w:r>
      <w:r w:rsidR="00162439">
        <w:rPr>
          <w:color w:val="000000" w:themeColor="text1"/>
        </w:rPr>
        <w:t>ian</w:t>
      </w:r>
      <w:r w:rsidR="00DC5707" w:rsidRPr="00E76017">
        <w:rPr>
          <w:color w:val="000000" w:themeColor="text1"/>
        </w:rPr>
        <w:t xml:space="preserve"> network</w:t>
      </w:r>
      <w:r w:rsidR="00204F1B">
        <w:rPr>
          <w:color w:val="000000" w:themeColor="text1"/>
        </w:rPr>
        <w:t xml:space="preserve"> model</w:t>
      </w:r>
      <w:r w:rsidR="00DC5707" w:rsidRPr="006979DA">
        <w:rPr>
          <w:color w:val="000000" w:themeColor="text1"/>
        </w:rPr>
        <w:t xml:space="preserve"> </w:t>
      </w:r>
      <w:r w:rsidR="00F1349E" w:rsidRPr="006979DA">
        <w:rPr>
          <w:color w:val="000000" w:themeColor="text1"/>
        </w:rPr>
        <w:t xml:space="preserve">represented by </w:t>
      </w:r>
      <w:r w:rsidRPr="006979DA">
        <w:rPr>
          <w:color w:val="000000" w:themeColor="text1"/>
        </w:rPr>
        <w:t xml:space="preserve">8 nodes, 5 of </w:t>
      </w:r>
      <w:r w:rsidR="002222FF">
        <w:rPr>
          <w:color w:val="000000" w:themeColor="text1"/>
        </w:rPr>
        <w:t>them</w:t>
      </w:r>
      <w:r w:rsidR="002222FF" w:rsidRPr="006979DA">
        <w:rPr>
          <w:color w:val="000000" w:themeColor="text1"/>
        </w:rPr>
        <w:t xml:space="preserve"> </w:t>
      </w:r>
      <w:r w:rsidRPr="006979DA">
        <w:rPr>
          <w:color w:val="000000" w:themeColor="text1"/>
        </w:rPr>
        <w:t xml:space="preserve">are independent </w:t>
      </w:r>
      <w:r w:rsidR="002D2234">
        <w:rPr>
          <w:color w:val="000000" w:themeColor="text1"/>
        </w:rPr>
        <w:t xml:space="preserve">variables </w:t>
      </w:r>
      <w:r w:rsidRPr="006979DA">
        <w:rPr>
          <w:color w:val="000000" w:themeColor="text1"/>
        </w:rPr>
        <w:t>and 3 dependent</w:t>
      </w:r>
      <w:r w:rsidR="002D2234">
        <w:rPr>
          <w:color w:val="000000" w:themeColor="text1"/>
        </w:rPr>
        <w:t xml:space="preserve"> variable</w:t>
      </w:r>
      <w:r w:rsidR="00F97246">
        <w:rPr>
          <w:color w:val="000000" w:themeColor="text1"/>
        </w:rPr>
        <w:t>s</w:t>
      </w:r>
      <w:r w:rsidR="006979DA" w:rsidRPr="006979DA">
        <w:rPr>
          <w:color w:val="000000" w:themeColor="text1"/>
        </w:rPr>
        <w:t>.</w:t>
      </w:r>
      <w:r w:rsidRPr="006979DA">
        <w:rPr>
          <w:color w:val="000000" w:themeColor="text1"/>
        </w:rPr>
        <w:t xml:space="preserve"> </w:t>
      </w:r>
      <w:r w:rsidR="006979DA" w:rsidRPr="006979DA">
        <w:rPr>
          <w:color w:val="000000" w:themeColor="text1"/>
        </w:rPr>
        <w:t>T</w:t>
      </w:r>
      <w:r w:rsidRPr="006979DA">
        <w:rPr>
          <w:color w:val="000000" w:themeColor="text1"/>
        </w:rPr>
        <w:t xml:space="preserve">he independent nodes (or parent nodes) </w:t>
      </w:r>
      <w:r w:rsidRPr="00012936">
        <w:rPr>
          <w:color w:val="000000" w:themeColor="text1"/>
        </w:rPr>
        <w:t xml:space="preserve">are </w:t>
      </w:r>
      <w:r w:rsidRPr="00012936">
        <w:rPr>
          <w:i/>
          <w:iCs/>
          <w:color w:val="000000" w:themeColor="text1"/>
        </w:rPr>
        <w:t>Sulphur</w:t>
      </w:r>
      <w:r w:rsidRPr="00012936">
        <w:rPr>
          <w:color w:val="000000" w:themeColor="text1"/>
        </w:rPr>
        <w:t xml:space="preserve">, </w:t>
      </w:r>
      <w:r w:rsidRPr="000E0D35">
        <w:rPr>
          <w:i/>
          <w:iCs/>
          <w:color w:val="000000" w:themeColor="text1"/>
        </w:rPr>
        <w:t>TAN</w:t>
      </w:r>
      <w:r w:rsidRPr="00012936">
        <w:rPr>
          <w:color w:val="000000" w:themeColor="text1"/>
        </w:rPr>
        <w:t xml:space="preserve">, </w:t>
      </w:r>
      <w:r w:rsidRPr="00012936">
        <w:rPr>
          <w:i/>
          <w:iCs/>
          <w:color w:val="000000" w:themeColor="text1"/>
        </w:rPr>
        <w:t>Temperature</w:t>
      </w:r>
      <w:r w:rsidRPr="00012936">
        <w:rPr>
          <w:color w:val="000000" w:themeColor="text1"/>
        </w:rPr>
        <w:t xml:space="preserve">, </w:t>
      </w:r>
      <w:r w:rsidRPr="00012936">
        <w:rPr>
          <w:i/>
          <w:iCs/>
          <w:color w:val="000000" w:themeColor="text1"/>
        </w:rPr>
        <w:t>Initial Conditions</w:t>
      </w:r>
      <w:r w:rsidRPr="00012936">
        <w:rPr>
          <w:color w:val="000000" w:themeColor="text1"/>
        </w:rPr>
        <w:t xml:space="preserve"> and performed inspections </w:t>
      </w:r>
      <w:r w:rsidR="0003208E" w:rsidRPr="00012936">
        <w:rPr>
          <w:color w:val="000000" w:themeColor="text1"/>
        </w:rPr>
        <w:t>(</w:t>
      </w:r>
      <w:r w:rsidRPr="00012936">
        <w:rPr>
          <w:color w:val="000000" w:themeColor="text1"/>
        </w:rPr>
        <w:t>n</w:t>
      </w:r>
      <w:r w:rsidR="0003208E" w:rsidRPr="00012936">
        <w:rPr>
          <w:color w:val="000000" w:themeColor="text1"/>
        </w:rPr>
        <w:t>amed</w:t>
      </w:r>
      <w:r w:rsidRPr="00012936">
        <w:rPr>
          <w:color w:val="000000" w:themeColor="text1"/>
        </w:rPr>
        <w:t xml:space="preserve"> </w:t>
      </w:r>
      <w:r w:rsidRPr="00012936">
        <w:rPr>
          <w:i/>
          <w:iCs/>
          <w:color w:val="000000" w:themeColor="text1"/>
        </w:rPr>
        <w:t>Inspections</w:t>
      </w:r>
      <w:r w:rsidRPr="00012936">
        <w:rPr>
          <w:color w:val="000000" w:themeColor="text1"/>
        </w:rPr>
        <w:t>)</w:t>
      </w:r>
      <w:r w:rsidR="00F658F8">
        <w:rPr>
          <w:color w:val="000000" w:themeColor="text1"/>
        </w:rPr>
        <w:t>; t</w:t>
      </w:r>
      <w:r w:rsidRPr="00012936">
        <w:rPr>
          <w:color w:val="000000" w:themeColor="text1"/>
        </w:rPr>
        <w:t xml:space="preserve">he dependent nodes (or child nodes) are </w:t>
      </w:r>
      <w:r w:rsidRPr="00012936">
        <w:rPr>
          <w:i/>
          <w:iCs/>
          <w:color w:val="000000" w:themeColor="text1"/>
        </w:rPr>
        <w:t>Corrosion Rate</w:t>
      </w:r>
      <w:r w:rsidR="00ED3961" w:rsidRPr="00012936">
        <w:rPr>
          <w:i/>
          <w:iCs/>
          <w:color w:val="000000" w:themeColor="text1"/>
        </w:rPr>
        <w:t xml:space="preserve"> </w:t>
      </w:r>
      <w:r w:rsidR="00ED3961" w:rsidRPr="00012936">
        <w:rPr>
          <w:rFonts w:eastAsia="Calibri"/>
          <w:kern w:val="2"/>
          <w:szCs w:val="24"/>
          <w14:ligatures w14:val="standardContextual"/>
        </w:rPr>
        <w:t>(CR)</w:t>
      </w:r>
      <w:r w:rsidRPr="00012936">
        <w:rPr>
          <w:color w:val="000000" w:themeColor="text1"/>
        </w:rPr>
        <w:t xml:space="preserve">, </w:t>
      </w:r>
      <w:r w:rsidR="00CE05BE" w:rsidRPr="00012936">
        <w:rPr>
          <w:i/>
          <w:iCs/>
          <w:color w:val="000000" w:themeColor="text1"/>
        </w:rPr>
        <w:t>Consumed Life</w:t>
      </w:r>
      <w:r w:rsidR="00CE05BE" w:rsidRPr="00012936">
        <w:rPr>
          <w:color w:val="000000" w:themeColor="text1"/>
        </w:rPr>
        <w:t xml:space="preserve"> (ΔRUL)</w:t>
      </w:r>
      <w:r w:rsidRPr="00012936">
        <w:rPr>
          <w:color w:val="000000" w:themeColor="text1"/>
        </w:rPr>
        <w:t xml:space="preserve"> and </w:t>
      </w:r>
      <w:r w:rsidRPr="00012936">
        <w:rPr>
          <w:i/>
          <w:iCs/>
          <w:color w:val="000000" w:themeColor="text1"/>
        </w:rPr>
        <w:t>Risk Index</w:t>
      </w:r>
      <w:r w:rsidRPr="00012936">
        <w:rPr>
          <w:color w:val="000000" w:themeColor="text1"/>
        </w:rPr>
        <w:t xml:space="preserve"> </w:t>
      </w:r>
      <w:r w:rsidR="003A7B32" w:rsidRPr="00012936">
        <w:rPr>
          <w:color w:val="000000" w:themeColor="text1"/>
        </w:rPr>
        <w:t>(</w:t>
      </w:r>
      <w:r w:rsidRPr="00012936">
        <w:rPr>
          <w:color w:val="000000" w:themeColor="text1"/>
        </w:rPr>
        <w:t>k</w:t>
      </w:r>
      <w:r w:rsidR="003A7B32" w:rsidRPr="00012936">
        <w:rPr>
          <w:color w:val="000000" w:themeColor="text1"/>
        </w:rPr>
        <w:t>)</w:t>
      </w:r>
      <w:r w:rsidRPr="00012936">
        <w:rPr>
          <w:color w:val="000000" w:themeColor="text1"/>
        </w:rPr>
        <w:t xml:space="preserve">. </w:t>
      </w:r>
      <w:r w:rsidR="00ED3961" w:rsidRPr="00012936">
        <w:rPr>
          <w:color w:val="000000" w:themeColor="text1"/>
        </w:rPr>
        <w:t xml:space="preserve">The </w:t>
      </w:r>
      <w:r w:rsidR="00B10D01" w:rsidRPr="00012936">
        <w:rPr>
          <w:color w:val="000000" w:themeColor="text1"/>
        </w:rPr>
        <w:t xml:space="preserve">CR node is </w:t>
      </w:r>
      <w:r w:rsidR="00532460" w:rsidRPr="00012936">
        <w:rPr>
          <w:color w:val="000000" w:themeColor="text1"/>
        </w:rPr>
        <w:t xml:space="preserve">a </w:t>
      </w:r>
      <w:r w:rsidR="00B10D01" w:rsidRPr="00012936">
        <w:rPr>
          <w:color w:val="000000" w:themeColor="text1"/>
        </w:rPr>
        <w:t xml:space="preserve">child of </w:t>
      </w:r>
      <w:r w:rsidR="00CE05BE" w:rsidRPr="000E0D35">
        <w:rPr>
          <w:i/>
          <w:iCs/>
          <w:color w:val="000000" w:themeColor="text1"/>
        </w:rPr>
        <w:t>Sulphur</w:t>
      </w:r>
      <w:r w:rsidR="00CE05BE" w:rsidRPr="00012936">
        <w:rPr>
          <w:color w:val="000000" w:themeColor="text1"/>
        </w:rPr>
        <w:t xml:space="preserve">, </w:t>
      </w:r>
      <w:r w:rsidR="00CE05BE" w:rsidRPr="000E0D35">
        <w:rPr>
          <w:i/>
          <w:iCs/>
          <w:color w:val="000000" w:themeColor="text1"/>
        </w:rPr>
        <w:t>TAN</w:t>
      </w:r>
      <w:r w:rsidR="002222FF">
        <w:rPr>
          <w:color w:val="000000" w:themeColor="text1"/>
        </w:rPr>
        <w:t xml:space="preserve"> and</w:t>
      </w:r>
      <w:r w:rsidR="00CE05BE" w:rsidRPr="00012936">
        <w:rPr>
          <w:color w:val="000000" w:themeColor="text1"/>
        </w:rPr>
        <w:t xml:space="preserve"> </w:t>
      </w:r>
      <w:r w:rsidR="00CE05BE" w:rsidRPr="00012936">
        <w:rPr>
          <w:i/>
          <w:iCs/>
          <w:color w:val="000000" w:themeColor="text1"/>
        </w:rPr>
        <w:t>Temperature</w:t>
      </w:r>
      <w:r w:rsidR="00532460" w:rsidRPr="00012936">
        <w:rPr>
          <w:color w:val="000000" w:themeColor="text1"/>
        </w:rPr>
        <w:t xml:space="preserve"> nodes</w:t>
      </w:r>
      <w:r w:rsidR="009A26BA" w:rsidRPr="00012936">
        <w:rPr>
          <w:color w:val="000000" w:themeColor="text1"/>
        </w:rPr>
        <w:t xml:space="preserve">, according to </w:t>
      </w:r>
      <w:r w:rsidR="002222FF">
        <w:rPr>
          <w:color w:val="000000" w:themeColor="text1"/>
        </w:rPr>
        <w:t xml:space="preserve">the </w:t>
      </w:r>
      <w:r w:rsidR="009A26BA" w:rsidRPr="00012936">
        <w:rPr>
          <w:rFonts w:eastAsia="Calibri"/>
          <w:kern w:val="2"/>
          <w:szCs w:val="24"/>
          <w14:ligatures w14:val="standardContextual"/>
        </w:rPr>
        <w:t>Standard API 581 (2016)</w:t>
      </w:r>
      <w:r w:rsidR="00950975" w:rsidRPr="00012936">
        <w:rPr>
          <w:rFonts w:eastAsia="Calibri"/>
          <w:kern w:val="2"/>
          <w:szCs w:val="24"/>
          <w14:ligatures w14:val="standardContextual"/>
        </w:rPr>
        <w:t>.</w:t>
      </w:r>
      <w:r w:rsidR="00CE05BE" w:rsidRPr="00CE05BE">
        <w:rPr>
          <w:color w:val="000000" w:themeColor="text1"/>
        </w:rPr>
        <w:t xml:space="preserve"> </w:t>
      </w:r>
      <w:r w:rsidR="00950975">
        <w:rPr>
          <w:color w:val="000000" w:themeColor="text1"/>
        </w:rPr>
        <w:t>T</w:t>
      </w:r>
      <w:r w:rsidR="00CE05BE">
        <w:rPr>
          <w:color w:val="000000" w:themeColor="text1"/>
        </w:rPr>
        <w:t xml:space="preserve">he </w:t>
      </w:r>
      <w:r w:rsidR="00532460" w:rsidRPr="00CE05BE">
        <w:rPr>
          <w:color w:val="000000" w:themeColor="text1"/>
        </w:rPr>
        <w:t>ΔRUL</w:t>
      </w:r>
      <w:r w:rsidR="00532460">
        <w:rPr>
          <w:color w:val="000000" w:themeColor="text1"/>
        </w:rPr>
        <w:t xml:space="preserve"> </w:t>
      </w:r>
      <w:r w:rsidR="00CE05BE">
        <w:rPr>
          <w:color w:val="000000" w:themeColor="text1"/>
        </w:rPr>
        <w:t>node</w:t>
      </w:r>
      <w:r w:rsidR="00532460">
        <w:rPr>
          <w:color w:val="000000" w:themeColor="text1"/>
        </w:rPr>
        <w:t xml:space="preserve"> </w:t>
      </w:r>
      <w:r w:rsidR="00950975">
        <w:rPr>
          <w:color w:val="000000" w:themeColor="text1"/>
        </w:rPr>
        <w:t xml:space="preserve">depends on </w:t>
      </w:r>
      <w:r w:rsidR="00532460" w:rsidRPr="00877526">
        <w:rPr>
          <w:i/>
          <w:iCs/>
          <w:color w:val="000000" w:themeColor="text1"/>
        </w:rPr>
        <w:t>Initial Condition</w:t>
      </w:r>
      <w:r w:rsidR="00532460">
        <w:rPr>
          <w:color w:val="000000" w:themeColor="text1"/>
        </w:rPr>
        <w:t xml:space="preserve"> and CR</w:t>
      </w:r>
      <w:r w:rsidR="001A6D92">
        <w:rPr>
          <w:color w:val="000000" w:themeColor="text1"/>
        </w:rPr>
        <w:t>,</w:t>
      </w:r>
      <w:r w:rsidR="00532460">
        <w:rPr>
          <w:color w:val="000000" w:themeColor="text1"/>
        </w:rPr>
        <w:t xml:space="preserve"> whereas</w:t>
      </w:r>
      <w:r w:rsidR="003A7B32">
        <w:rPr>
          <w:color w:val="000000" w:themeColor="text1"/>
        </w:rPr>
        <w:t xml:space="preserve"> the k node depend</w:t>
      </w:r>
      <w:r w:rsidR="00C26B54">
        <w:rPr>
          <w:color w:val="000000" w:themeColor="text1"/>
        </w:rPr>
        <w:t xml:space="preserve">s on </w:t>
      </w:r>
      <w:r w:rsidR="00C26B54" w:rsidRPr="00CE05BE">
        <w:rPr>
          <w:color w:val="000000" w:themeColor="text1"/>
        </w:rPr>
        <w:t>ΔRUL</w:t>
      </w:r>
      <w:r w:rsidR="00C26B54">
        <w:rPr>
          <w:color w:val="000000" w:themeColor="text1"/>
        </w:rPr>
        <w:t xml:space="preserve"> and </w:t>
      </w:r>
      <w:r w:rsidR="00C26B54" w:rsidRPr="00877526">
        <w:rPr>
          <w:i/>
          <w:iCs/>
          <w:color w:val="000000" w:themeColor="text1"/>
        </w:rPr>
        <w:t>Inspections</w:t>
      </w:r>
      <w:r w:rsidR="00C26B54">
        <w:rPr>
          <w:color w:val="000000" w:themeColor="text1"/>
        </w:rPr>
        <w:t>.</w:t>
      </w:r>
      <w:r w:rsidR="00CE05BE">
        <w:rPr>
          <w:color w:val="000000" w:themeColor="text1"/>
        </w:rPr>
        <w:t xml:space="preserve"> </w:t>
      </w:r>
      <w:r w:rsidRPr="00A1247A">
        <w:rPr>
          <w:rFonts w:eastAsia="Calibri"/>
          <w:kern w:val="2"/>
          <w:szCs w:val="24"/>
          <w14:ligatures w14:val="standardContextual"/>
        </w:rPr>
        <w:t xml:space="preserve">The variables </w:t>
      </w:r>
      <w:r w:rsidR="00272691">
        <w:rPr>
          <w:rFonts w:eastAsia="Calibri"/>
          <w:kern w:val="2"/>
          <w:szCs w:val="24"/>
          <w14:ligatures w14:val="standardContextual"/>
        </w:rPr>
        <w:t>are</w:t>
      </w:r>
      <w:r w:rsidRPr="00A1247A">
        <w:rPr>
          <w:rFonts w:eastAsia="Calibri"/>
          <w:kern w:val="2"/>
          <w:szCs w:val="24"/>
          <w14:ligatures w14:val="standardContextual"/>
        </w:rPr>
        <w:t xml:space="preserve"> discreti</w:t>
      </w:r>
      <w:r w:rsidR="001A6D92">
        <w:rPr>
          <w:rFonts w:eastAsia="Calibri"/>
          <w:kern w:val="2"/>
          <w:szCs w:val="24"/>
          <w14:ligatures w14:val="standardContextual"/>
        </w:rPr>
        <w:t>s</w:t>
      </w:r>
      <w:r w:rsidRPr="00A1247A">
        <w:rPr>
          <w:rFonts w:eastAsia="Calibri"/>
          <w:kern w:val="2"/>
          <w:szCs w:val="24"/>
          <w14:ligatures w14:val="standardContextual"/>
        </w:rPr>
        <w:t>ed according to t</w:t>
      </w:r>
      <w:r>
        <w:rPr>
          <w:rFonts w:eastAsia="Calibri"/>
          <w:kern w:val="2"/>
          <w:szCs w:val="24"/>
          <w14:ligatures w14:val="standardContextual"/>
        </w:rPr>
        <w:t xml:space="preserve">he criteria established </w:t>
      </w:r>
      <w:r w:rsidRPr="00012936">
        <w:rPr>
          <w:rFonts w:eastAsia="Calibri"/>
          <w:kern w:val="2"/>
          <w:szCs w:val="24"/>
          <w14:ligatures w14:val="standardContextual"/>
        </w:rPr>
        <w:t xml:space="preserve">in Table </w:t>
      </w:r>
      <w:r w:rsidR="00272691" w:rsidRPr="00012936">
        <w:rPr>
          <w:rFonts w:eastAsia="Calibri"/>
          <w:kern w:val="2"/>
          <w:szCs w:val="24"/>
          <w14:ligatures w14:val="standardContextual"/>
        </w:rPr>
        <w:t>1</w:t>
      </w:r>
      <w:r w:rsidR="004858AC" w:rsidRPr="00012936">
        <w:rPr>
          <w:rFonts w:eastAsia="Calibri"/>
          <w:kern w:val="2"/>
          <w:szCs w:val="24"/>
          <w14:ligatures w14:val="standardContextual"/>
        </w:rPr>
        <w:t xml:space="preserve"> and 2</w:t>
      </w:r>
      <w:r w:rsidR="00F450EF" w:rsidRPr="00012936">
        <w:rPr>
          <w:rFonts w:eastAsia="Calibri"/>
          <w:kern w:val="2"/>
          <w:szCs w:val="24"/>
          <w14:ligatures w14:val="standardContextual"/>
        </w:rPr>
        <w:t xml:space="preserve">. </w:t>
      </w:r>
      <w:r w:rsidR="00105D0B" w:rsidRPr="00012936">
        <w:rPr>
          <w:rFonts w:eastAsia="Calibri"/>
          <w:kern w:val="2"/>
          <w:szCs w:val="24"/>
          <w14:ligatures w14:val="standardContextual"/>
        </w:rPr>
        <w:t xml:space="preserve">The relationships between </w:t>
      </w:r>
      <w:r w:rsidR="00877526" w:rsidRPr="00012936">
        <w:rPr>
          <w:rFonts w:eastAsia="Calibri"/>
          <w:kern w:val="2"/>
          <w:szCs w:val="24"/>
          <w14:ligatures w14:val="standardContextual"/>
        </w:rPr>
        <w:t>CR</w:t>
      </w:r>
      <w:r w:rsidR="00105D0B" w:rsidRPr="00012936">
        <w:rPr>
          <w:rFonts w:eastAsia="Calibri"/>
          <w:kern w:val="2"/>
          <w:szCs w:val="24"/>
          <w14:ligatures w14:val="standardContextual"/>
        </w:rPr>
        <w:t xml:space="preserve"> and </w:t>
      </w:r>
      <w:r w:rsidR="00B10F44" w:rsidRPr="00012936">
        <w:rPr>
          <w:rFonts w:eastAsia="Calibri"/>
          <w:i/>
          <w:iCs/>
          <w:kern w:val="2"/>
          <w:szCs w:val="24"/>
          <w14:ligatures w14:val="standardContextual"/>
        </w:rPr>
        <w:t>Initial Conditions</w:t>
      </w:r>
      <w:r w:rsidR="00105D0B" w:rsidRPr="00012936">
        <w:rPr>
          <w:rFonts w:eastAsia="Calibri"/>
          <w:kern w:val="2"/>
          <w:szCs w:val="24"/>
          <w14:ligatures w14:val="standardContextual"/>
        </w:rPr>
        <w:t xml:space="preserve"> </w:t>
      </w:r>
      <w:r w:rsidR="0013266A" w:rsidRPr="00012936">
        <w:rPr>
          <w:rFonts w:eastAsia="Calibri"/>
          <w:kern w:val="2"/>
          <w:szCs w:val="24"/>
          <w14:ligatures w14:val="standardContextual"/>
        </w:rPr>
        <w:t xml:space="preserve">are </w:t>
      </w:r>
      <w:r w:rsidR="00105D0B" w:rsidRPr="00012936">
        <w:rPr>
          <w:rFonts w:eastAsia="Calibri"/>
          <w:kern w:val="2"/>
          <w:szCs w:val="24"/>
          <w14:ligatures w14:val="standardContextual"/>
        </w:rPr>
        <w:t>shown in Table 3</w:t>
      </w:r>
      <w:r w:rsidR="00674026" w:rsidRPr="00012936">
        <w:rPr>
          <w:rFonts w:eastAsia="Calibri"/>
          <w:kern w:val="2"/>
          <w:szCs w:val="24"/>
          <w14:ligatures w14:val="standardContextual"/>
        </w:rPr>
        <w:t xml:space="preserve"> and </w:t>
      </w:r>
      <w:r w:rsidR="008E464D" w:rsidRPr="00012936">
        <w:rPr>
          <w:rFonts w:eastAsia="Calibri"/>
          <w:kern w:val="2"/>
          <w:szCs w:val="24"/>
          <w14:ligatures w14:val="standardContextual"/>
        </w:rPr>
        <w:t>those regarding the Risk Index node are reported in Table 4</w:t>
      </w:r>
      <w:r w:rsidR="00105D0B" w:rsidRPr="00012936">
        <w:rPr>
          <w:rFonts w:eastAsia="Calibri"/>
          <w:kern w:val="2"/>
          <w:szCs w:val="24"/>
          <w14:ligatures w14:val="standardContextual"/>
        </w:rPr>
        <w:t>.</w:t>
      </w:r>
      <w:r w:rsidR="00AD0974" w:rsidRPr="00012936">
        <w:rPr>
          <w:rFonts w:eastAsia="Calibri"/>
          <w:kern w:val="2"/>
          <w:szCs w:val="24"/>
          <w14:ligatures w14:val="standardContextual"/>
        </w:rPr>
        <w:t xml:space="preserve"> </w:t>
      </w:r>
      <w:r w:rsidR="007E3E3B" w:rsidRPr="00012936">
        <w:rPr>
          <w:rFonts w:eastAsia="Calibri"/>
          <w:kern w:val="2"/>
          <w:szCs w:val="24"/>
          <w14:ligatures w14:val="standardContextual"/>
        </w:rPr>
        <w:t>Concerning</w:t>
      </w:r>
      <w:r w:rsidR="00AD0974" w:rsidRPr="00012936">
        <w:rPr>
          <w:rFonts w:eastAsia="Calibri"/>
          <w:kern w:val="2"/>
          <w:szCs w:val="24"/>
          <w14:ligatures w14:val="standardContextual"/>
        </w:rPr>
        <w:t xml:space="preserve"> the </w:t>
      </w:r>
      <w:r w:rsidR="00AD0974" w:rsidRPr="00012936">
        <w:rPr>
          <w:rFonts w:eastAsia="Calibri"/>
          <w:i/>
          <w:iCs/>
          <w:kern w:val="2"/>
          <w:szCs w:val="24"/>
          <w14:ligatures w14:val="standardContextual"/>
        </w:rPr>
        <w:t>Inspections</w:t>
      </w:r>
      <w:r w:rsidR="00AD0974" w:rsidRPr="00012936">
        <w:rPr>
          <w:rFonts w:eastAsia="Calibri"/>
          <w:kern w:val="2"/>
          <w:szCs w:val="24"/>
          <w14:ligatures w14:val="standardContextual"/>
        </w:rPr>
        <w:t xml:space="preserve"> node,</w:t>
      </w:r>
      <w:r w:rsidR="00AD0974" w:rsidRPr="009C38AE">
        <w:rPr>
          <w:rFonts w:eastAsia="Calibri"/>
          <w:kern w:val="2"/>
          <w:szCs w:val="24"/>
          <w14:ligatures w14:val="standardContextual"/>
        </w:rPr>
        <w:t xml:space="preserve"> </w:t>
      </w:r>
      <w:r w:rsidR="00AD0974">
        <w:rPr>
          <w:rFonts w:eastAsia="Calibri"/>
          <w:kern w:val="2"/>
          <w:szCs w:val="24"/>
          <w14:ligatures w14:val="standardContextual"/>
        </w:rPr>
        <w:t>it</w:t>
      </w:r>
      <w:r w:rsidR="00AD0974" w:rsidRPr="009C38AE">
        <w:rPr>
          <w:rFonts w:eastAsia="Calibri"/>
          <w:kern w:val="2"/>
          <w:szCs w:val="24"/>
          <w14:ligatures w14:val="standardContextual"/>
        </w:rPr>
        <w:t xml:space="preserve"> takes into </w:t>
      </w:r>
      <w:r w:rsidR="00AD0974" w:rsidRPr="009C38AE">
        <w:rPr>
          <w:rFonts w:eastAsia="Calibri"/>
          <w:kern w:val="2"/>
          <w:szCs w:val="24"/>
          <w14:ligatures w14:val="standardContextual"/>
        </w:rPr>
        <w:lastRenderedPageBreak/>
        <w:t xml:space="preserve">account the number of </w:t>
      </w:r>
      <w:r w:rsidR="00AD0974">
        <w:rPr>
          <w:rFonts w:eastAsia="Calibri"/>
          <w:kern w:val="2"/>
          <w:szCs w:val="24"/>
          <w14:ligatures w14:val="standardContextual"/>
        </w:rPr>
        <w:t xml:space="preserve">performed </w:t>
      </w:r>
      <w:r w:rsidR="00AD0974" w:rsidRPr="009C38AE">
        <w:rPr>
          <w:rFonts w:eastAsia="Calibri"/>
          <w:kern w:val="2"/>
          <w:szCs w:val="24"/>
          <w14:ligatures w14:val="standardContextual"/>
        </w:rPr>
        <w:t>inspections compared to the number of insp</w:t>
      </w:r>
      <w:r w:rsidR="00AD0974">
        <w:rPr>
          <w:rFonts w:eastAsia="Calibri"/>
          <w:kern w:val="2"/>
          <w:szCs w:val="24"/>
          <w14:ligatures w14:val="standardContextual"/>
        </w:rPr>
        <w:t xml:space="preserve">ections scheduled in a </w:t>
      </w:r>
      <w:r w:rsidR="00C46B9F">
        <w:rPr>
          <w:rFonts w:eastAsia="Calibri"/>
          <w:kern w:val="2"/>
          <w:szCs w:val="24"/>
          <w14:ligatures w14:val="standardContextual"/>
        </w:rPr>
        <w:t xml:space="preserve">defined </w:t>
      </w:r>
      <w:r w:rsidR="00AD0974">
        <w:rPr>
          <w:rFonts w:eastAsia="Calibri"/>
          <w:kern w:val="2"/>
          <w:szCs w:val="24"/>
          <w14:ligatures w14:val="standardContextual"/>
        </w:rPr>
        <w:t>reference</w:t>
      </w:r>
      <w:r w:rsidR="00AD0974" w:rsidRPr="009C38AE">
        <w:rPr>
          <w:rFonts w:eastAsia="Calibri"/>
          <w:kern w:val="2"/>
          <w:szCs w:val="24"/>
          <w14:ligatures w14:val="standardContextual"/>
        </w:rPr>
        <w:t xml:space="preserve"> period</w:t>
      </w:r>
      <w:r w:rsidR="00AD0974">
        <w:rPr>
          <w:rFonts w:eastAsia="Calibri"/>
          <w:kern w:val="2"/>
          <w:szCs w:val="24"/>
          <w14:ligatures w14:val="standardContextual"/>
        </w:rPr>
        <w:t>.</w:t>
      </w:r>
    </w:p>
    <w:p w14:paraId="0D591333" w14:textId="77777777" w:rsidR="00204F1B" w:rsidRDefault="00204F1B" w:rsidP="00162911">
      <w:pPr>
        <w:spacing w:line="276" w:lineRule="auto"/>
        <w:rPr>
          <w:rFonts w:eastAsia="Calibri"/>
          <w:kern w:val="2"/>
          <w:szCs w:val="24"/>
          <w14:ligatures w14:val="standardContextual"/>
        </w:rPr>
      </w:pPr>
    </w:p>
    <w:p w14:paraId="63D3AE07" w14:textId="3D16976B" w:rsidR="001679C4" w:rsidRPr="00BC483F" w:rsidRDefault="001679C4" w:rsidP="00BC483F">
      <w:pPr>
        <w:pStyle w:val="Didascalia"/>
        <w:keepNext/>
        <w:rPr>
          <w:rFonts w:eastAsia="Calibri"/>
          <w:i/>
          <w:iCs/>
          <w:kern w:val="2"/>
          <w:szCs w:val="24"/>
          <w14:ligatures w14:val="standardContextual"/>
        </w:rPr>
      </w:pPr>
      <w:r w:rsidRPr="00BC483F">
        <w:rPr>
          <w:rFonts w:eastAsia="Calibri"/>
          <w:b w:val="0"/>
          <w:bCs w:val="0"/>
          <w:i/>
          <w:iCs/>
          <w:color w:val="auto"/>
          <w:kern w:val="2"/>
          <w:szCs w:val="24"/>
          <w14:ligatures w14:val="standardContextual"/>
        </w:rPr>
        <w:t>Table 1. State definition of Sulphur, TAN, Temperature, and Corrosion Rate.</w:t>
      </w:r>
    </w:p>
    <w:tbl>
      <w:tblPr>
        <w:tblStyle w:val="StileCET"/>
        <w:tblW w:w="8080" w:type="dxa"/>
        <w:tblLayout w:type="fixed"/>
        <w:tblLook w:val="04A0" w:firstRow="1" w:lastRow="0" w:firstColumn="1" w:lastColumn="0" w:noHBand="0" w:noVBand="1"/>
      </w:tblPr>
      <w:tblGrid>
        <w:gridCol w:w="709"/>
        <w:gridCol w:w="1134"/>
        <w:gridCol w:w="709"/>
        <w:gridCol w:w="1276"/>
        <w:gridCol w:w="708"/>
        <w:gridCol w:w="1134"/>
        <w:gridCol w:w="1134"/>
        <w:gridCol w:w="1276"/>
      </w:tblGrid>
      <w:tr w:rsidR="001679C4" w:rsidRPr="0025399F" w14:paraId="6BD8A2F3" w14:textId="77777777" w:rsidTr="008B7D2F">
        <w:trPr>
          <w:trHeight w:val="227"/>
        </w:trPr>
        <w:tc>
          <w:tcPr>
            <w:tcW w:w="1843" w:type="dxa"/>
            <w:gridSpan w:val="2"/>
            <w:tcBorders>
              <w:top w:val="single" w:sz="12" w:space="0" w:color="00B050"/>
              <w:bottom w:val="single" w:sz="6" w:space="0" w:color="00B050"/>
            </w:tcBorders>
            <w:noWrap/>
            <w:hideMark/>
          </w:tcPr>
          <w:p w14:paraId="72B50DB8" w14:textId="77777777" w:rsidR="001679C4" w:rsidRPr="007E18F2" w:rsidRDefault="001679C4" w:rsidP="00344125">
            <w:pPr>
              <w:spacing w:line="259" w:lineRule="auto"/>
              <w:jc w:val="left"/>
              <w:rPr>
                <w:rFonts w:eastAsia="Calibri" w:cs="Arial"/>
                <w:bCs/>
                <w:szCs w:val="18"/>
              </w:rPr>
            </w:pPr>
            <w:r w:rsidRPr="007E18F2">
              <w:rPr>
                <w:rFonts w:eastAsia="Calibri" w:cs="Arial"/>
                <w:bCs/>
                <w:szCs w:val="18"/>
              </w:rPr>
              <w:t xml:space="preserve">Sulphur </w:t>
            </w:r>
            <w:r>
              <w:rPr>
                <w:rFonts w:eastAsia="Calibri" w:cs="Arial"/>
                <w:bCs/>
                <w:szCs w:val="18"/>
              </w:rPr>
              <w:t>[S%]</w:t>
            </w:r>
          </w:p>
          <w:p w14:paraId="26DC526B" w14:textId="77777777" w:rsidR="001679C4" w:rsidRPr="007E18F2" w:rsidRDefault="001679C4" w:rsidP="00344125">
            <w:pPr>
              <w:spacing w:line="259" w:lineRule="auto"/>
              <w:jc w:val="left"/>
              <w:rPr>
                <w:rFonts w:eastAsia="Calibri" w:cs="Arial"/>
                <w:bCs/>
                <w:szCs w:val="18"/>
              </w:rPr>
            </w:pPr>
          </w:p>
        </w:tc>
        <w:tc>
          <w:tcPr>
            <w:tcW w:w="1985" w:type="dxa"/>
            <w:gridSpan w:val="2"/>
            <w:tcBorders>
              <w:top w:val="single" w:sz="12" w:space="0" w:color="00B050"/>
              <w:bottom w:val="single" w:sz="6" w:space="0" w:color="00B050"/>
            </w:tcBorders>
            <w:noWrap/>
            <w:hideMark/>
          </w:tcPr>
          <w:p w14:paraId="6D528F09" w14:textId="77777777" w:rsidR="001679C4" w:rsidRPr="007E18F2" w:rsidRDefault="001679C4" w:rsidP="00344125">
            <w:pPr>
              <w:spacing w:line="259" w:lineRule="auto"/>
              <w:jc w:val="left"/>
              <w:rPr>
                <w:rFonts w:eastAsia="Calibri" w:cs="Arial"/>
                <w:bCs/>
                <w:szCs w:val="18"/>
              </w:rPr>
            </w:pPr>
            <w:r w:rsidRPr="007E18F2">
              <w:rPr>
                <w:rFonts w:eastAsia="Calibri" w:cs="Arial"/>
                <w:bCs/>
                <w:szCs w:val="18"/>
              </w:rPr>
              <w:t>TAN [mgKOH/g]</w:t>
            </w:r>
          </w:p>
          <w:p w14:paraId="13464701" w14:textId="77777777" w:rsidR="001679C4" w:rsidRPr="007E18F2" w:rsidRDefault="001679C4" w:rsidP="00344125">
            <w:pPr>
              <w:spacing w:line="259" w:lineRule="auto"/>
              <w:jc w:val="left"/>
              <w:rPr>
                <w:rFonts w:eastAsia="Calibri" w:cs="Arial"/>
                <w:bCs/>
                <w:szCs w:val="18"/>
              </w:rPr>
            </w:pPr>
          </w:p>
        </w:tc>
        <w:tc>
          <w:tcPr>
            <w:tcW w:w="1842" w:type="dxa"/>
            <w:gridSpan w:val="2"/>
            <w:tcBorders>
              <w:top w:val="single" w:sz="12" w:space="0" w:color="00B050"/>
              <w:bottom w:val="single" w:sz="6" w:space="0" w:color="00B050"/>
            </w:tcBorders>
            <w:noWrap/>
            <w:hideMark/>
          </w:tcPr>
          <w:p w14:paraId="0A1EB939" w14:textId="77777777" w:rsidR="001679C4" w:rsidRPr="007E18F2" w:rsidRDefault="001679C4" w:rsidP="00344125">
            <w:pPr>
              <w:spacing w:line="259" w:lineRule="auto"/>
              <w:jc w:val="left"/>
              <w:rPr>
                <w:rFonts w:eastAsia="Calibri" w:cs="Arial"/>
                <w:bCs/>
                <w:szCs w:val="18"/>
              </w:rPr>
            </w:pPr>
            <w:r w:rsidRPr="007E18F2">
              <w:rPr>
                <w:rFonts w:eastAsia="Calibri" w:cs="Arial"/>
                <w:bCs/>
                <w:szCs w:val="18"/>
              </w:rPr>
              <w:t>Temperature [°C]</w:t>
            </w:r>
          </w:p>
          <w:p w14:paraId="57B47A99" w14:textId="77777777" w:rsidR="001679C4" w:rsidRPr="007E18F2" w:rsidRDefault="001679C4" w:rsidP="00344125">
            <w:pPr>
              <w:spacing w:line="259" w:lineRule="auto"/>
              <w:jc w:val="left"/>
              <w:rPr>
                <w:rFonts w:eastAsia="Calibri" w:cs="Arial"/>
                <w:bCs/>
                <w:szCs w:val="18"/>
              </w:rPr>
            </w:pPr>
          </w:p>
        </w:tc>
        <w:tc>
          <w:tcPr>
            <w:tcW w:w="2410" w:type="dxa"/>
            <w:gridSpan w:val="2"/>
            <w:tcBorders>
              <w:top w:val="single" w:sz="12" w:space="0" w:color="00B050"/>
              <w:bottom w:val="single" w:sz="6" w:space="0" w:color="00B050"/>
            </w:tcBorders>
          </w:tcPr>
          <w:p w14:paraId="41D036F1" w14:textId="77777777" w:rsidR="001679C4" w:rsidRPr="007E18F2" w:rsidRDefault="001679C4" w:rsidP="00344125">
            <w:pPr>
              <w:spacing w:line="259" w:lineRule="auto"/>
              <w:jc w:val="center"/>
              <w:rPr>
                <w:rFonts w:eastAsia="Calibri" w:cs="Arial"/>
                <w:bCs/>
                <w:szCs w:val="18"/>
              </w:rPr>
            </w:pPr>
            <w:r w:rsidRPr="007E18F2">
              <w:rPr>
                <w:rFonts w:eastAsia="Calibri" w:cs="Arial"/>
                <w:bCs/>
                <w:szCs w:val="18"/>
              </w:rPr>
              <w:t>CR [mm/y</w:t>
            </w:r>
            <w:r>
              <w:rPr>
                <w:rFonts w:eastAsia="Calibri" w:cs="Arial"/>
                <w:bCs/>
                <w:szCs w:val="18"/>
              </w:rPr>
              <w:t>]</w:t>
            </w:r>
          </w:p>
        </w:tc>
      </w:tr>
      <w:tr w:rsidR="007B0217" w:rsidRPr="0025399F" w14:paraId="2D2EDD69" w14:textId="77777777" w:rsidTr="008B7D2F">
        <w:trPr>
          <w:trHeight w:val="227"/>
        </w:trPr>
        <w:tc>
          <w:tcPr>
            <w:tcW w:w="709" w:type="dxa"/>
            <w:tcBorders>
              <w:top w:val="single" w:sz="6" w:space="0" w:color="00B050"/>
              <w:bottom w:val="single" w:sz="6" w:space="0" w:color="00B050"/>
            </w:tcBorders>
            <w:noWrap/>
          </w:tcPr>
          <w:p w14:paraId="70F03797" w14:textId="77777777" w:rsidR="001679C4" w:rsidRPr="007E18F2" w:rsidRDefault="001679C4" w:rsidP="00344125">
            <w:pPr>
              <w:spacing w:line="259" w:lineRule="auto"/>
              <w:jc w:val="left"/>
              <w:rPr>
                <w:rFonts w:eastAsia="Calibri" w:cs="Arial"/>
                <w:bCs/>
                <w:szCs w:val="18"/>
              </w:rPr>
            </w:pPr>
            <w:r>
              <w:rPr>
                <w:rFonts w:eastAsia="Calibri" w:cs="Arial"/>
                <w:bCs/>
                <w:szCs w:val="18"/>
              </w:rPr>
              <w:t>State name</w:t>
            </w:r>
          </w:p>
        </w:tc>
        <w:tc>
          <w:tcPr>
            <w:tcW w:w="1134" w:type="dxa"/>
            <w:tcBorders>
              <w:top w:val="single" w:sz="6" w:space="0" w:color="00B050"/>
              <w:bottom w:val="single" w:sz="6" w:space="0" w:color="00B050"/>
            </w:tcBorders>
          </w:tcPr>
          <w:p w14:paraId="4A918AAD" w14:textId="374B4F8E" w:rsidR="001679C4" w:rsidRPr="007E18F2" w:rsidRDefault="007B0217" w:rsidP="007B0217">
            <w:pPr>
              <w:spacing w:line="259" w:lineRule="auto"/>
              <w:jc w:val="left"/>
              <w:rPr>
                <w:rFonts w:eastAsia="Calibri" w:cs="Arial"/>
                <w:bCs/>
                <w:szCs w:val="18"/>
              </w:rPr>
            </w:pPr>
            <w:r>
              <w:rPr>
                <w:rFonts w:eastAsia="Calibri" w:cs="Arial"/>
                <w:bCs/>
                <w:szCs w:val="18"/>
              </w:rPr>
              <w:t>Range</w:t>
            </w:r>
          </w:p>
        </w:tc>
        <w:tc>
          <w:tcPr>
            <w:tcW w:w="709" w:type="dxa"/>
            <w:tcBorders>
              <w:top w:val="single" w:sz="6" w:space="0" w:color="00B050"/>
              <w:bottom w:val="single" w:sz="6" w:space="0" w:color="00B050"/>
            </w:tcBorders>
            <w:noWrap/>
          </w:tcPr>
          <w:p w14:paraId="4C81DB33" w14:textId="77777777" w:rsidR="001679C4" w:rsidRPr="007E18F2" w:rsidRDefault="001679C4" w:rsidP="00344125">
            <w:pPr>
              <w:spacing w:line="259" w:lineRule="auto"/>
              <w:jc w:val="left"/>
              <w:rPr>
                <w:rFonts w:eastAsia="Calibri" w:cs="Arial"/>
                <w:bCs/>
                <w:szCs w:val="18"/>
              </w:rPr>
            </w:pPr>
            <w:r>
              <w:rPr>
                <w:rFonts w:eastAsia="Calibri" w:cs="Arial"/>
                <w:bCs/>
                <w:szCs w:val="18"/>
              </w:rPr>
              <w:t>State name</w:t>
            </w:r>
          </w:p>
        </w:tc>
        <w:tc>
          <w:tcPr>
            <w:tcW w:w="1276" w:type="dxa"/>
            <w:tcBorders>
              <w:top w:val="single" w:sz="6" w:space="0" w:color="00B050"/>
              <w:bottom w:val="single" w:sz="6" w:space="0" w:color="00B050"/>
            </w:tcBorders>
          </w:tcPr>
          <w:p w14:paraId="2CC310E4" w14:textId="34D94431" w:rsidR="001679C4" w:rsidRPr="007E18F2" w:rsidRDefault="007B0217" w:rsidP="007B0217">
            <w:pPr>
              <w:spacing w:line="259" w:lineRule="auto"/>
              <w:jc w:val="left"/>
              <w:rPr>
                <w:rFonts w:eastAsia="Calibri" w:cs="Arial"/>
                <w:bCs/>
                <w:szCs w:val="18"/>
              </w:rPr>
            </w:pPr>
            <w:r>
              <w:rPr>
                <w:rFonts w:eastAsia="Calibri" w:cs="Arial"/>
                <w:bCs/>
                <w:szCs w:val="18"/>
              </w:rPr>
              <w:t>Range</w:t>
            </w:r>
          </w:p>
        </w:tc>
        <w:tc>
          <w:tcPr>
            <w:tcW w:w="708" w:type="dxa"/>
            <w:tcBorders>
              <w:top w:val="single" w:sz="6" w:space="0" w:color="00B050"/>
              <w:bottom w:val="single" w:sz="6" w:space="0" w:color="00B050"/>
            </w:tcBorders>
            <w:noWrap/>
          </w:tcPr>
          <w:p w14:paraId="526BBABE" w14:textId="77777777" w:rsidR="001679C4" w:rsidRPr="007E18F2" w:rsidRDefault="001679C4" w:rsidP="00344125">
            <w:pPr>
              <w:spacing w:line="259" w:lineRule="auto"/>
              <w:jc w:val="left"/>
              <w:rPr>
                <w:rFonts w:eastAsia="Calibri" w:cs="Arial"/>
                <w:bCs/>
                <w:szCs w:val="18"/>
              </w:rPr>
            </w:pPr>
            <w:r>
              <w:rPr>
                <w:rFonts w:eastAsia="Calibri" w:cs="Arial"/>
                <w:bCs/>
                <w:szCs w:val="18"/>
              </w:rPr>
              <w:t>State name</w:t>
            </w:r>
          </w:p>
        </w:tc>
        <w:tc>
          <w:tcPr>
            <w:tcW w:w="1134" w:type="dxa"/>
            <w:tcBorders>
              <w:top w:val="single" w:sz="6" w:space="0" w:color="00B050"/>
              <w:bottom w:val="single" w:sz="6" w:space="0" w:color="00B050"/>
            </w:tcBorders>
          </w:tcPr>
          <w:p w14:paraId="09E7E28B" w14:textId="3F7573D5" w:rsidR="001679C4" w:rsidRPr="007E18F2" w:rsidRDefault="007B0217" w:rsidP="007B0217">
            <w:pPr>
              <w:spacing w:line="259" w:lineRule="auto"/>
              <w:jc w:val="center"/>
              <w:rPr>
                <w:rFonts w:eastAsia="Calibri" w:cs="Arial"/>
                <w:bCs/>
                <w:szCs w:val="18"/>
              </w:rPr>
            </w:pPr>
            <w:r>
              <w:rPr>
                <w:rFonts w:eastAsia="Calibri" w:cs="Arial"/>
                <w:bCs/>
                <w:szCs w:val="18"/>
              </w:rPr>
              <w:t>Range</w:t>
            </w:r>
          </w:p>
        </w:tc>
        <w:tc>
          <w:tcPr>
            <w:tcW w:w="1134" w:type="dxa"/>
            <w:tcBorders>
              <w:top w:val="single" w:sz="6" w:space="0" w:color="00B050"/>
              <w:bottom w:val="single" w:sz="6" w:space="0" w:color="00B050"/>
            </w:tcBorders>
          </w:tcPr>
          <w:p w14:paraId="1FEAA7F8" w14:textId="77777777" w:rsidR="001679C4" w:rsidRDefault="001679C4" w:rsidP="00344125">
            <w:pPr>
              <w:spacing w:line="259" w:lineRule="auto"/>
              <w:jc w:val="left"/>
              <w:rPr>
                <w:rFonts w:eastAsia="Calibri" w:cs="Arial"/>
                <w:bCs/>
                <w:szCs w:val="18"/>
              </w:rPr>
            </w:pPr>
            <w:r>
              <w:rPr>
                <w:rFonts w:eastAsia="Calibri" w:cs="Arial"/>
                <w:bCs/>
                <w:szCs w:val="18"/>
              </w:rPr>
              <w:t>State name</w:t>
            </w:r>
          </w:p>
        </w:tc>
        <w:tc>
          <w:tcPr>
            <w:tcW w:w="1276" w:type="dxa"/>
            <w:tcBorders>
              <w:top w:val="single" w:sz="6" w:space="0" w:color="00B050"/>
              <w:bottom w:val="single" w:sz="6" w:space="0" w:color="00B050"/>
            </w:tcBorders>
          </w:tcPr>
          <w:p w14:paraId="083A94C9" w14:textId="2FB1CACE" w:rsidR="001679C4" w:rsidRDefault="007B0217" w:rsidP="00344125">
            <w:pPr>
              <w:spacing w:line="259" w:lineRule="auto"/>
              <w:jc w:val="left"/>
              <w:rPr>
                <w:rFonts w:eastAsia="Calibri" w:cs="Arial"/>
                <w:bCs/>
                <w:szCs w:val="18"/>
              </w:rPr>
            </w:pPr>
            <w:r>
              <w:rPr>
                <w:rFonts w:eastAsia="Calibri" w:cs="Arial"/>
                <w:bCs/>
                <w:szCs w:val="18"/>
              </w:rPr>
              <w:t>Range</w:t>
            </w:r>
          </w:p>
        </w:tc>
      </w:tr>
      <w:tr w:rsidR="007B0217" w:rsidRPr="0025399F" w14:paraId="350AA114" w14:textId="77777777" w:rsidTr="008B7D2F">
        <w:trPr>
          <w:trHeight w:val="227"/>
        </w:trPr>
        <w:tc>
          <w:tcPr>
            <w:tcW w:w="709" w:type="dxa"/>
            <w:tcBorders>
              <w:top w:val="single" w:sz="6" w:space="0" w:color="00B050"/>
              <w:bottom w:val="nil"/>
            </w:tcBorders>
            <w:noWrap/>
            <w:hideMark/>
          </w:tcPr>
          <w:p w14:paraId="7860FDAE" w14:textId="4A0E7F71" w:rsidR="001679C4" w:rsidRPr="008753AE" w:rsidRDefault="001679C4" w:rsidP="00344125">
            <w:pPr>
              <w:spacing w:line="259" w:lineRule="auto"/>
              <w:jc w:val="left"/>
              <w:rPr>
                <w:rFonts w:eastAsia="Calibri" w:cs="Arial"/>
                <w:szCs w:val="18"/>
              </w:rPr>
            </w:pPr>
            <w:r>
              <w:rPr>
                <w:rFonts w:eastAsia="Calibri" w:cs="Arial"/>
                <w:szCs w:val="18"/>
              </w:rPr>
              <w:t>S1</w:t>
            </w:r>
          </w:p>
        </w:tc>
        <w:tc>
          <w:tcPr>
            <w:tcW w:w="1134" w:type="dxa"/>
            <w:tcBorders>
              <w:top w:val="single" w:sz="6" w:space="0" w:color="00B050"/>
              <w:bottom w:val="nil"/>
            </w:tcBorders>
          </w:tcPr>
          <w:p w14:paraId="3BF10781" w14:textId="35A5BC52" w:rsidR="001679C4" w:rsidRPr="008753AE" w:rsidRDefault="008B7D2F" w:rsidP="00344125">
            <w:pPr>
              <w:spacing w:line="259" w:lineRule="auto"/>
              <w:jc w:val="left"/>
              <w:rPr>
                <w:rFonts w:eastAsia="Calibri" w:cs="Arial"/>
                <w:szCs w:val="18"/>
              </w:rPr>
            </w:pPr>
            <w:r>
              <w:rPr>
                <w:rFonts w:eastAsia="Calibri" w:cs="Arial"/>
                <w:szCs w:val="18"/>
              </w:rPr>
              <w:t>≤ 0.</w:t>
            </w:r>
            <w:r w:rsidR="001679C4" w:rsidRPr="008753AE">
              <w:rPr>
                <w:rFonts w:eastAsia="Calibri" w:cs="Arial"/>
                <w:szCs w:val="18"/>
              </w:rPr>
              <w:t>3</w:t>
            </w:r>
          </w:p>
        </w:tc>
        <w:tc>
          <w:tcPr>
            <w:tcW w:w="709" w:type="dxa"/>
            <w:tcBorders>
              <w:top w:val="single" w:sz="6" w:space="0" w:color="00B050"/>
              <w:bottom w:val="nil"/>
            </w:tcBorders>
            <w:noWrap/>
            <w:hideMark/>
          </w:tcPr>
          <w:p w14:paraId="28B9AD1E" w14:textId="222257AE" w:rsidR="001679C4" w:rsidRPr="008753AE" w:rsidRDefault="001679C4" w:rsidP="00344125">
            <w:pPr>
              <w:spacing w:line="259" w:lineRule="auto"/>
              <w:jc w:val="left"/>
              <w:rPr>
                <w:rFonts w:eastAsia="Calibri" w:cs="Arial"/>
                <w:szCs w:val="18"/>
              </w:rPr>
            </w:pPr>
            <w:r>
              <w:rPr>
                <w:rFonts w:eastAsia="Calibri" w:cs="Arial"/>
                <w:szCs w:val="18"/>
              </w:rPr>
              <w:t>S1</w:t>
            </w:r>
          </w:p>
        </w:tc>
        <w:tc>
          <w:tcPr>
            <w:tcW w:w="1276" w:type="dxa"/>
            <w:tcBorders>
              <w:top w:val="single" w:sz="6" w:space="0" w:color="00B050"/>
              <w:bottom w:val="nil"/>
            </w:tcBorders>
          </w:tcPr>
          <w:p w14:paraId="763315C9" w14:textId="2724C5B9" w:rsidR="001679C4" w:rsidRPr="008753AE" w:rsidRDefault="008B7D2F" w:rsidP="00344125">
            <w:pPr>
              <w:spacing w:line="259" w:lineRule="auto"/>
              <w:jc w:val="left"/>
              <w:rPr>
                <w:rFonts w:eastAsia="Calibri" w:cs="Arial"/>
                <w:szCs w:val="18"/>
              </w:rPr>
            </w:pPr>
            <w:r>
              <w:rPr>
                <w:rFonts w:eastAsia="Calibri" w:cs="Arial"/>
                <w:szCs w:val="18"/>
              </w:rPr>
              <w:t>≤ 0.</w:t>
            </w:r>
            <w:r w:rsidR="001679C4" w:rsidRPr="008753AE">
              <w:rPr>
                <w:rFonts w:eastAsia="Calibri" w:cs="Arial"/>
                <w:szCs w:val="18"/>
              </w:rPr>
              <w:t>5</w:t>
            </w:r>
          </w:p>
        </w:tc>
        <w:tc>
          <w:tcPr>
            <w:tcW w:w="708" w:type="dxa"/>
            <w:tcBorders>
              <w:top w:val="single" w:sz="6" w:space="0" w:color="00B050"/>
              <w:bottom w:val="nil"/>
            </w:tcBorders>
            <w:noWrap/>
            <w:hideMark/>
          </w:tcPr>
          <w:p w14:paraId="20D7C193" w14:textId="1A40C242" w:rsidR="001679C4" w:rsidRPr="008753AE" w:rsidRDefault="001679C4" w:rsidP="00344125">
            <w:pPr>
              <w:spacing w:line="259" w:lineRule="auto"/>
              <w:jc w:val="left"/>
              <w:rPr>
                <w:rFonts w:eastAsia="Calibri" w:cs="Arial"/>
                <w:szCs w:val="18"/>
              </w:rPr>
            </w:pPr>
            <w:r>
              <w:rPr>
                <w:rFonts w:eastAsia="Calibri" w:cs="Arial"/>
                <w:szCs w:val="18"/>
              </w:rPr>
              <w:t>S1</w:t>
            </w:r>
          </w:p>
        </w:tc>
        <w:tc>
          <w:tcPr>
            <w:tcW w:w="1134" w:type="dxa"/>
            <w:tcBorders>
              <w:top w:val="single" w:sz="6" w:space="0" w:color="00B050"/>
              <w:bottom w:val="nil"/>
            </w:tcBorders>
          </w:tcPr>
          <w:p w14:paraId="1029DA21" w14:textId="4CD91A10" w:rsidR="001679C4" w:rsidRPr="008753AE" w:rsidRDefault="001679C4" w:rsidP="00344125">
            <w:pPr>
              <w:spacing w:line="259" w:lineRule="auto"/>
              <w:jc w:val="left"/>
              <w:rPr>
                <w:rFonts w:eastAsia="Calibri" w:cs="Arial"/>
                <w:szCs w:val="18"/>
              </w:rPr>
            </w:pPr>
            <w:r w:rsidRPr="008753AE">
              <w:rPr>
                <w:rFonts w:eastAsia="Calibri" w:cs="Arial"/>
                <w:szCs w:val="18"/>
              </w:rPr>
              <w:t>≤ 232</w:t>
            </w:r>
          </w:p>
        </w:tc>
        <w:tc>
          <w:tcPr>
            <w:tcW w:w="1134" w:type="dxa"/>
            <w:tcBorders>
              <w:top w:val="single" w:sz="6" w:space="0" w:color="00B050"/>
              <w:bottom w:val="nil"/>
            </w:tcBorders>
            <w:noWrap/>
            <w:hideMark/>
          </w:tcPr>
          <w:p w14:paraId="30A1E088" w14:textId="77777777" w:rsidR="001679C4" w:rsidRPr="008753AE" w:rsidRDefault="001679C4" w:rsidP="00344125">
            <w:pPr>
              <w:spacing w:line="259" w:lineRule="auto"/>
              <w:jc w:val="left"/>
              <w:rPr>
                <w:rFonts w:eastAsia="Calibri" w:cs="Arial"/>
                <w:szCs w:val="18"/>
              </w:rPr>
            </w:pPr>
            <w:r w:rsidRPr="008753AE">
              <w:rPr>
                <w:rFonts w:eastAsia="Calibri" w:cs="Arial"/>
                <w:szCs w:val="18"/>
              </w:rPr>
              <w:t>Very_Low</w:t>
            </w:r>
          </w:p>
        </w:tc>
        <w:tc>
          <w:tcPr>
            <w:tcW w:w="1276" w:type="dxa"/>
            <w:tcBorders>
              <w:top w:val="single" w:sz="6" w:space="0" w:color="00B050"/>
              <w:bottom w:val="nil"/>
            </w:tcBorders>
          </w:tcPr>
          <w:p w14:paraId="4D2F9241" w14:textId="441DF3D0" w:rsidR="001679C4" w:rsidRPr="008753AE" w:rsidRDefault="008B7D2F" w:rsidP="00344125">
            <w:pPr>
              <w:spacing w:line="259" w:lineRule="auto"/>
              <w:jc w:val="left"/>
              <w:rPr>
                <w:rFonts w:eastAsia="Calibri" w:cs="Arial"/>
                <w:szCs w:val="18"/>
              </w:rPr>
            </w:pPr>
            <w:r>
              <w:rPr>
                <w:rFonts w:eastAsia="Calibri" w:cs="Arial"/>
                <w:szCs w:val="18"/>
              </w:rPr>
              <w:t>≤ 0.</w:t>
            </w:r>
            <w:r w:rsidR="001679C4" w:rsidRPr="008753AE">
              <w:rPr>
                <w:rFonts w:eastAsia="Calibri" w:cs="Arial"/>
                <w:szCs w:val="18"/>
              </w:rPr>
              <w:t>075</w:t>
            </w:r>
          </w:p>
        </w:tc>
      </w:tr>
      <w:tr w:rsidR="007B0217" w:rsidRPr="00F13894" w14:paraId="0BDD0BF1" w14:textId="77777777" w:rsidTr="008B7D2F">
        <w:trPr>
          <w:trHeight w:val="227"/>
        </w:trPr>
        <w:tc>
          <w:tcPr>
            <w:tcW w:w="709" w:type="dxa"/>
            <w:tcBorders>
              <w:top w:val="nil"/>
              <w:bottom w:val="nil"/>
            </w:tcBorders>
            <w:noWrap/>
            <w:hideMark/>
          </w:tcPr>
          <w:p w14:paraId="73D25175" w14:textId="528E6382" w:rsidR="001679C4" w:rsidRPr="008753AE" w:rsidRDefault="001679C4" w:rsidP="00344125">
            <w:pPr>
              <w:spacing w:line="259" w:lineRule="auto"/>
              <w:jc w:val="left"/>
              <w:rPr>
                <w:rFonts w:eastAsia="Calibri" w:cs="Arial"/>
                <w:szCs w:val="18"/>
              </w:rPr>
            </w:pPr>
            <w:r>
              <w:rPr>
                <w:rFonts w:eastAsia="Calibri" w:cs="Arial"/>
                <w:szCs w:val="18"/>
              </w:rPr>
              <w:t>S2</w:t>
            </w:r>
          </w:p>
        </w:tc>
        <w:tc>
          <w:tcPr>
            <w:tcW w:w="1134" w:type="dxa"/>
            <w:tcBorders>
              <w:top w:val="nil"/>
              <w:bottom w:val="nil"/>
            </w:tcBorders>
          </w:tcPr>
          <w:p w14:paraId="668BE37F" w14:textId="05AF6ACE" w:rsidR="001679C4" w:rsidRPr="008753AE" w:rsidRDefault="008B7D2F" w:rsidP="00344125">
            <w:pPr>
              <w:spacing w:line="259" w:lineRule="auto"/>
              <w:jc w:val="left"/>
              <w:rPr>
                <w:rFonts w:eastAsia="Calibri" w:cs="Arial"/>
                <w:szCs w:val="18"/>
              </w:rPr>
            </w:pPr>
            <w:r>
              <w:rPr>
                <w:rFonts w:eastAsia="Calibri" w:cs="Arial"/>
                <w:szCs w:val="18"/>
              </w:rPr>
              <w:t>0.</w:t>
            </w:r>
            <w:r w:rsidR="001679C4" w:rsidRPr="008753AE">
              <w:rPr>
                <w:rFonts w:eastAsia="Calibri" w:cs="Arial"/>
                <w:szCs w:val="18"/>
              </w:rPr>
              <w:t xml:space="preserve">3 </w:t>
            </w:r>
            <w:r>
              <w:rPr>
                <w:rFonts w:eastAsia="Calibri" w:cs="Arial"/>
                <w:szCs w:val="18"/>
              </w:rPr>
              <w:t>–</w:t>
            </w:r>
            <w:r w:rsidR="007B0217">
              <w:rPr>
                <w:rFonts w:eastAsia="Calibri" w:cs="Arial"/>
                <w:szCs w:val="18"/>
              </w:rPr>
              <w:t xml:space="preserve"> </w:t>
            </w:r>
            <w:r>
              <w:rPr>
                <w:rFonts w:eastAsia="Calibri" w:cs="Arial"/>
                <w:szCs w:val="18"/>
              </w:rPr>
              <w:t>0.</w:t>
            </w:r>
            <w:r w:rsidR="001679C4" w:rsidRPr="008753AE">
              <w:rPr>
                <w:rFonts w:eastAsia="Calibri" w:cs="Arial"/>
                <w:szCs w:val="18"/>
              </w:rPr>
              <w:t>5</w:t>
            </w:r>
          </w:p>
        </w:tc>
        <w:tc>
          <w:tcPr>
            <w:tcW w:w="709" w:type="dxa"/>
            <w:tcBorders>
              <w:top w:val="nil"/>
              <w:bottom w:val="nil"/>
            </w:tcBorders>
            <w:noWrap/>
            <w:hideMark/>
          </w:tcPr>
          <w:p w14:paraId="1FA371DB" w14:textId="68694555" w:rsidR="001679C4" w:rsidRPr="008753AE" w:rsidRDefault="001679C4" w:rsidP="00344125">
            <w:pPr>
              <w:spacing w:line="259" w:lineRule="auto"/>
              <w:jc w:val="left"/>
              <w:rPr>
                <w:rFonts w:eastAsia="Calibri" w:cs="Arial"/>
                <w:szCs w:val="18"/>
              </w:rPr>
            </w:pPr>
            <w:r>
              <w:rPr>
                <w:rFonts w:eastAsia="Calibri" w:cs="Arial"/>
                <w:szCs w:val="18"/>
              </w:rPr>
              <w:t>S2</w:t>
            </w:r>
          </w:p>
        </w:tc>
        <w:tc>
          <w:tcPr>
            <w:tcW w:w="1276" w:type="dxa"/>
            <w:tcBorders>
              <w:top w:val="nil"/>
              <w:bottom w:val="nil"/>
            </w:tcBorders>
          </w:tcPr>
          <w:p w14:paraId="5C53958E" w14:textId="3E601529" w:rsidR="001679C4" w:rsidRPr="008753AE" w:rsidRDefault="008B7D2F" w:rsidP="00344125">
            <w:pPr>
              <w:spacing w:line="259" w:lineRule="auto"/>
              <w:jc w:val="left"/>
              <w:rPr>
                <w:rFonts w:eastAsia="Calibri" w:cs="Arial"/>
                <w:szCs w:val="18"/>
              </w:rPr>
            </w:pPr>
            <w:r>
              <w:rPr>
                <w:rFonts w:eastAsia="Calibri" w:cs="Arial"/>
                <w:szCs w:val="18"/>
              </w:rPr>
              <w:t>0.</w:t>
            </w:r>
            <w:r w:rsidR="001679C4" w:rsidRPr="008753AE">
              <w:rPr>
                <w:rFonts w:eastAsia="Calibri" w:cs="Arial"/>
                <w:szCs w:val="18"/>
              </w:rPr>
              <w:t xml:space="preserve">5 </w:t>
            </w:r>
            <w:r>
              <w:rPr>
                <w:rFonts w:eastAsia="Calibri" w:cs="Arial"/>
                <w:szCs w:val="18"/>
              </w:rPr>
              <w:t>– 1.</w:t>
            </w:r>
            <w:r w:rsidR="001679C4" w:rsidRPr="008753AE">
              <w:rPr>
                <w:rFonts w:eastAsia="Calibri" w:cs="Arial"/>
                <w:szCs w:val="18"/>
              </w:rPr>
              <w:t>1</w:t>
            </w:r>
          </w:p>
        </w:tc>
        <w:tc>
          <w:tcPr>
            <w:tcW w:w="708" w:type="dxa"/>
            <w:tcBorders>
              <w:top w:val="nil"/>
              <w:bottom w:val="nil"/>
            </w:tcBorders>
            <w:noWrap/>
            <w:hideMark/>
          </w:tcPr>
          <w:p w14:paraId="0D9D4EDE" w14:textId="1472CD38" w:rsidR="001679C4" w:rsidRPr="008753AE" w:rsidRDefault="001679C4" w:rsidP="00344125">
            <w:pPr>
              <w:spacing w:line="259" w:lineRule="auto"/>
              <w:jc w:val="left"/>
              <w:rPr>
                <w:rFonts w:eastAsia="Calibri" w:cs="Arial"/>
                <w:szCs w:val="18"/>
              </w:rPr>
            </w:pPr>
            <w:r>
              <w:rPr>
                <w:rFonts w:eastAsia="Calibri" w:cs="Arial"/>
                <w:szCs w:val="18"/>
              </w:rPr>
              <w:t>S2</w:t>
            </w:r>
          </w:p>
        </w:tc>
        <w:tc>
          <w:tcPr>
            <w:tcW w:w="1134" w:type="dxa"/>
            <w:tcBorders>
              <w:top w:val="nil"/>
              <w:bottom w:val="nil"/>
            </w:tcBorders>
          </w:tcPr>
          <w:p w14:paraId="66E74BCD" w14:textId="5737F8B8" w:rsidR="001679C4" w:rsidRPr="008753AE" w:rsidRDefault="001679C4" w:rsidP="00344125">
            <w:pPr>
              <w:spacing w:line="259" w:lineRule="auto"/>
              <w:jc w:val="left"/>
              <w:rPr>
                <w:rFonts w:eastAsia="Calibri" w:cs="Arial"/>
                <w:szCs w:val="18"/>
              </w:rPr>
            </w:pPr>
            <w:r w:rsidRPr="008753AE">
              <w:rPr>
                <w:rFonts w:eastAsia="Calibri" w:cs="Arial"/>
                <w:szCs w:val="18"/>
              </w:rPr>
              <w:t xml:space="preserve">232 </w:t>
            </w:r>
            <w:r w:rsidR="007B0217">
              <w:rPr>
                <w:rFonts w:eastAsia="Calibri" w:cs="Arial"/>
                <w:szCs w:val="18"/>
              </w:rPr>
              <w:t>-</w:t>
            </w:r>
            <w:r w:rsidRPr="008753AE">
              <w:rPr>
                <w:rFonts w:eastAsia="Calibri" w:cs="Arial"/>
                <w:szCs w:val="18"/>
              </w:rPr>
              <w:t xml:space="preserve"> 260</w:t>
            </w:r>
          </w:p>
        </w:tc>
        <w:tc>
          <w:tcPr>
            <w:tcW w:w="1134" w:type="dxa"/>
            <w:tcBorders>
              <w:top w:val="nil"/>
              <w:bottom w:val="nil"/>
            </w:tcBorders>
            <w:noWrap/>
            <w:hideMark/>
          </w:tcPr>
          <w:p w14:paraId="5253D74E" w14:textId="77777777" w:rsidR="001679C4" w:rsidRPr="008753AE" w:rsidRDefault="001679C4" w:rsidP="00344125">
            <w:pPr>
              <w:spacing w:line="259" w:lineRule="auto"/>
              <w:jc w:val="left"/>
              <w:rPr>
                <w:rFonts w:eastAsia="Calibri" w:cs="Arial"/>
                <w:szCs w:val="18"/>
              </w:rPr>
            </w:pPr>
            <w:r w:rsidRPr="008753AE">
              <w:rPr>
                <w:rFonts w:eastAsia="Calibri" w:cs="Arial"/>
                <w:szCs w:val="18"/>
              </w:rPr>
              <w:t>Low</w:t>
            </w:r>
          </w:p>
        </w:tc>
        <w:tc>
          <w:tcPr>
            <w:tcW w:w="1276" w:type="dxa"/>
            <w:tcBorders>
              <w:top w:val="nil"/>
              <w:bottom w:val="nil"/>
            </w:tcBorders>
          </w:tcPr>
          <w:p w14:paraId="7577B163" w14:textId="42AEFE8B" w:rsidR="001679C4" w:rsidRPr="008753AE" w:rsidRDefault="008B7D2F" w:rsidP="00344125">
            <w:pPr>
              <w:spacing w:line="259" w:lineRule="auto"/>
              <w:jc w:val="left"/>
              <w:rPr>
                <w:rFonts w:eastAsia="Calibri" w:cs="Arial"/>
                <w:szCs w:val="18"/>
              </w:rPr>
            </w:pPr>
            <w:r>
              <w:rPr>
                <w:rFonts w:eastAsia="Calibri" w:cs="Arial"/>
                <w:szCs w:val="18"/>
              </w:rPr>
              <w:t>0.075 – 0.</w:t>
            </w:r>
            <w:r w:rsidR="001679C4" w:rsidRPr="008753AE">
              <w:rPr>
                <w:rFonts w:eastAsia="Calibri" w:cs="Arial"/>
                <w:szCs w:val="18"/>
              </w:rPr>
              <w:t>15</w:t>
            </w:r>
          </w:p>
        </w:tc>
      </w:tr>
      <w:tr w:rsidR="007B0217" w:rsidRPr="00F13894" w14:paraId="1EF2FFE4" w14:textId="77777777" w:rsidTr="008B7D2F">
        <w:trPr>
          <w:trHeight w:val="227"/>
        </w:trPr>
        <w:tc>
          <w:tcPr>
            <w:tcW w:w="709" w:type="dxa"/>
            <w:tcBorders>
              <w:top w:val="nil"/>
              <w:bottom w:val="nil"/>
            </w:tcBorders>
            <w:noWrap/>
            <w:hideMark/>
          </w:tcPr>
          <w:p w14:paraId="3A1FE276" w14:textId="7BBFE297" w:rsidR="001679C4" w:rsidRPr="008753AE" w:rsidRDefault="001679C4" w:rsidP="00344125">
            <w:pPr>
              <w:spacing w:line="259" w:lineRule="auto"/>
              <w:jc w:val="left"/>
              <w:rPr>
                <w:rFonts w:eastAsia="Calibri" w:cs="Arial"/>
                <w:szCs w:val="18"/>
              </w:rPr>
            </w:pPr>
            <w:r>
              <w:rPr>
                <w:rFonts w:eastAsia="Calibri" w:cs="Arial"/>
                <w:szCs w:val="18"/>
              </w:rPr>
              <w:t>S3</w:t>
            </w:r>
          </w:p>
        </w:tc>
        <w:tc>
          <w:tcPr>
            <w:tcW w:w="1134" w:type="dxa"/>
            <w:tcBorders>
              <w:top w:val="nil"/>
              <w:bottom w:val="nil"/>
            </w:tcBorders>
          </w:tcPr>
          <w:p w14:paraId="743F8E66" w14:textId="0E3C13EC" w:rsidR="001679C4" w:rsidRPr="008753AE" w:rsidRDefault="008B7D2F" w:rsidP="00344125">
            <w:pPr>
              <w:spacing w:line="259" w:lineRule="auto"/>
              <w:jc w:val="left"/>
              <w:rPr>
                <w:rFonts w:eastAsia="Calibri" w:cs="Arial"/>
                <w:szCs w:val="18"/>
              </w:rPr>
            </w:pPr>
            <w:r>
              <w:rPr>
                <w:rFonts w:eastAsia="Calibri" w:cs="Arial"/>
                <w:szCs w:val="18"/>
              </w:rPr>
              <w:t>0.</w:t>
            </w:r>
            <w:r w:rsidR="001679C4" w:rsidRPr="008753AE">
              <w:rPr>
                <w:rFonts w:eastAsia="Calibri" w:cs="Arial"/>
                <w:szCs w:val="18"/>
              </w:rPr>
              <w:t>5</w:t>
            </w:r>
            <w:r w:rsidR="007B0217">
              <w:rPr>
                <w:rFonts w:eastAsia="Calibri" w:cs="Arial"/>
                <w:szCs w:val="18"/>
              </w:rPr>
              <w:t xml:space="preserve"> </w:t>
            </w:r>
            <w:r>
              <w:rPr>
                <w:rFonts w:eastAsia="Calibri" w:cs="Arial"/>
                <w:szCs w:val="18"/>
              </w:rPr>
              <w:t>–</w:t>
            </w:r>
            <w:r w:rsidR="007B0217">
              <w:rPr>
                <w:rFonts w:eastAsia="Calibri" w:cs="Arial"/>
                <w:szCs w:val="18"/>
              </w:rPr>
              <w:t xml:space="preserve"> </w:t>
            </w:r>
            <w:r>
              <w:rPr>
                <w:rFonts w:eastAsia="Calibri" w:cs="Arial"/>
                <w:szCs w:val="18"/>
              </w:rPr>
              <w:t>1.</w:t>
            </w:r>
            <w:r w:rsidR="001679C4" w:rsidRPr="008753AE">
              <w:rPr>
                <w:rFonts w:eastAsia="Calibri" w:cs="Arial"/>
                <w:szCs w:val="18"/>
              </w:rPr>
              <w:t>05</w:t>
            </w:r>
          </w:p>
        </w:tc>
        <w:tc>
          <w:tcPr>
            <w:tcW w:w="709" w:type="dxa"/>
            <w:tcBorders>
              <w:top w:val="nil"/>
              <w:bottom w:val="nil"/>
            </w:tcBorders>
            <w:noWrap/>
            <w:hideMark/>
          </w:tcPr>
          <w:p w14:paraId="4546CE79" w14:textId="4ACD523C" w:rsidR="001679C4" w:rsidRPr="008753AE" w:rsidRDefault="001679C4" w:rsidP="00344125">
            <w:pPr>
              <w:spacing w:line="259" w:lineRule="auto"/>
              <w:jc w:val="left"/>
              <w:rPr>
                <w:rFonts w:eastAsia="Calibri" w:cs="Arial"/>
                <w:szCs w:val="18"/>
              </w:rPr>
            </w:pPr>
            <w:r>
              <w:rPr>
                <w:rFonts w:eastAsia="Calibri" w:cs="Arial"/>
                <w:szCs w:val="18"/>
              </w:rPr>
              <w:t>S3</w:t>
            </w:r>
          </w:p>
        </w:tc>
        <w:tc>
          <w:tcPr>
            <w:tcW w:w="1276" w:type="dxa"/>
            <w:tcBorders>
              <w:top w:val="nil"/>
              <w:bottom w:val="nil"/>
            </w:tcBorders>
          </w:tcPr>
          <w:p w14:paraId="486BD5B1" w14:textId="7A6F9569" w:rsidR="001679C4" w:rsidRPr="008753AE" w:rsidRDefault="008B7D2F" w:rsidP="00344125">
            <w:pPr>
              <w:spacing w:line="259" w:lineRule="auto"/>
              <w:jc w:val="left"/>
              <w:rPr>
                <w:rFonts w:eastAsia="Calibri" w:cs="Arial"/>
                <w:szCs w:val="18"/>
              </w:rPr>
            </w:pPr>
            <w:r>
              <w:rPr>
                <w:rFonts w:eastAsia="Calibri" w:cs="Arial"/>
                <w:szCs w:val="18"/>
              </w:rPr>
              <w:t>1.</w:t>
            </w:r>
            <w:r w:rsidR="001679C4" w:rsidRPr="008753AE">
              <w:rPr>
                <w:rFonts w:eastAsia="Calibri" w:cs="Arial"/>
                <w:szCs w:val="18"/>
              </w:rPr>
              <w:t xml:space="preserve">1 </w:t>
            </w:r>
            <w:r>
              <w:rPr>
                <w:rFonts w:eastAsia="Calibri" w:cs="Arial"/>
                <w:szCs w:val="18"/>
              </w:rPr>
              <w:t>– 2.</w:t>
            </w:r>
            <w:r w:rsidR="001679C4" w:rsidRPr="008753AE">
              <w:rPr>
                <w:rFonts w:eastAsia="Calibri" w:cs="Arial"/>
                <w:szCs w:val="18"/>
              </w:rPr>
              <w:t>5</w:t>
            </w:r>
          </w:p>
        </w:tc>
        <w:tc>
          <w:tcPr>
            <w:tcW w:w="708" w:type="dxa"/>
            <w:tcBorders>
              <w:top w:val="nil"/>
              <w:bottom w:val="nil"/>
            </w:tcBorders>
            <w:noWrap/>
            <w:hideMark/>
          </w:tcPr>
          <w:p w14:paraId="6BF1CA0E" w14:textId="14AD8E80" w:rsidR="001679C4" w:rsidRPr="008753AE" w:rsidRDefault="001679C4" w:rsidP="00344125">
            <w:pPr>
              <w:spacing w:line="259" w:lineRule="auto"/>
              <w:jc w:val="left"/>
              <w:rPr>
                <w:rFonts w:eastAsia="Calibri" w:cs="Arial"/>
                <w:szCs w:val="18"/>
              </w:rPr>
            </w:pPr>
            <w:r>
              <w:rPr>
                <w:rFonts w:eastAsia="Calibri" w:cs="Arial"/>
                <w:szCs w:val="18"/>
              </w:rPr>
              <w:t>S3</w:t>
            </w:r>
          </w:p>
        </w:tc>
        <w:tc>
          <w:tcPr>
            <w:tcW w:w="1134" w:type="dxa"/>
            <w:tcBorders>
              <w:top w:val="nil"/>
              <w:bottom w:val="nil"/>
            </w:tcBorders>
          </w:tcPr>
          <w:p w14:paraId="35E1645C" w14:textId="7CC3A68E" w:rsidR="001679C4" w:rsidRPr="008753AE" w:rsidRDefault="001679C4" w:rsidP="00344125">
            <w:pPr>
              <w:spacing w:line="259" w:lineRule="auto"/>
              <w:jc w:val="left"/>
              <w:rPr>
                <w:rFonts w:eastAsia="Calibri" w:cs="Arial"/>
                <w:szCs w:val="18"/>
              </w:rPr>
            </w:pPr>
            <w:r w:rsidRPr="008753AE">
              <w:rPr>
                <w:rFonts w:eastAsia="Calibri" w:cs="Arial"/>
                <w:szCs w:val="18"/>
              </w:rPr>
              <w:t xml:space="preserve">260 </w:t>
            </w:r>
            <w:r w:rsidR="007B0217">
              <w:rPr>
                <w:rFonts w:eastAsia="Calibri" w:cs="Arial"/>
                <w:szCs w:val="18"/>
              </w:rPr>
              <w:t>-</w:t>
            </w:r>
            <w:r w:rsidRPr="008753AE">
              <w:rPr>
                <w:rFonts w:eastAsia="Calibri" w:cs="Arial"/>
                <w:szCs w:val="18"/>
              </w:rPr>
              <w:t xml:space="preserve"> 288</w:t>
            </w:r>
          </w:p>
        </w:tc>
        <w:tc>
          <w:tcPr>
            <w:tcW w:w="1134" w:type="dxa"/>
            <w:tcBorders>
              <w:top w:val="nil"/>
              <w:bottom w:val="nil"/>
            </w:tcBorders>
            <w:noWrap/>
            <w:hideMark/>
          </w:tcPr>
          <w:p w14:paraId="22D3FF35" w14:textId="77777777" w:rsidR="001679C4" w:rsidRPr="008753AE" w:rsidRDefault="001679C4" w:rsidP="00344125">
            <w:pPr>
              <w:spacing w:line="259" w:lineRule="auto"/>
              <w:jc w:val="left"/>
              <w:rPr>
                <w:rFonts w:eastAsia="Calibri" w:cs="Arial"/>
                <w:szCs w:val="18"/>
              </w:rPr>
            </w:pPr>
            <w:r w:rsidRPr="008753AE">
              <w:rPr>
                <w:rFonts w:eastAsia="Calibri" w:cs="Arial"/>
                <w:szCs w:val="18"/>
              </w:rPr>
              <w:t>Med_Low</w:t>
            </w:r>
          </w:p>
        </w:tc>
        <w:tc>
          <w:tcPr>
            <w:tcW w:w="1276" w:type="dxa"/>
            <w:tcBorders>
              <w:top w:val="nil"/>
              <w:bottom w:val="nil"/>
            </w:tcBorders>
          </w:tcPr>
          <w:p w14:paraId="39F2494E" w14:textId="6B91CD94" w:rsidR="001679C4" w:rsidRPr="008753AE" w:rsidRDefault="008B7D2F" w:rsidP="00344125">
            <w:pPr>
              <w:spacing w:line="259" w:lineRule="auto"/>
              <w:jc w:val="left"/>
              <w:rPr>
                <w:rFonts w:eastAsia="Calibri" w:cs="Arial"/>
                <w:szCs w:val="18"/>
              </w:rPr>
            </w:pPr>
            <w:r>
              <w:rPr>
                <w:rFonts w:eastAsia="Calibri" w:cs="Arial"/>
                <w:szCs w:val="18"/>
              </w:rPr>
              <w:t>0.15 – 0.</w:t>
            </w:r>
            <w:r w:rsidR="001679C4" w:rsidRPr="008753AE">
              <w:rPr>
                <w:rFonts w:eastAsia="Calibri" w:cs="Arial"/>
                <w:szCs w:val="18"/>
              </w:rPr>
              <w:t>25</w:t>
            </w:r>
          </w:p>
        </w:tc>
      </w:tr>
      <w:tr w:rsidR="007B0217" w:rsidRPr="00F13894" w14:paraId="6DF91899" w14:textId="77777777" w:rsidTr="008B7D2F">
        <w:trPr>
          <w:trHeight w:val="227"/>
        </w:trPr>
        <w:tc>
          <w:tcPr>
            <w:tcW w:w="709" w:type="dxa"/>
            <w:tcBorders>
              <w:top w:val="nil"/>
              <w:bottom w:val="nil"/>
            </w:tcBorders>
            <w:noWrap/>
            <w:hideMark/>
          </w:tcPr>
          <w:p w14:paraId="6B4F9D66" w14:textId="400402FA" w:rsidR="001679C4" w:rsidRPr="008753AE" w:rsidRDefault="001679C4" w:rsidP="00344125">
            <w:pPr>
              <w:spacing w:line="259" w:lineRule="auto"/>
              <w:jc w:val="left"/>
              <w:rPr>
                <w:rFonts w:eastAsia="Calibri" w:cs="Arial"/>
                <w:szCs w:val="18"/>
              </w:rPr>
            </w:pPr>
            <w:r>
              <w:rPr>
                <w:rFonts w:eastAsia="Calibri" w:cs="Arial"/>
                <w:szCs w:val="18"/>
              </w:rPr>
              <w:t>S4</w:t>
            </w:r>
          </w:p>
        </w:tc>
        <w:tc>
          <w:tcPr>
            <w:tcW w:w="1134" w:type="dxa"/>
            <w:tcBorders>
              <w:top w:val="nil"/>
              <w:bottom w:val="nil"/>
            </w:tcBorders>
          </w:tcPr>
          <w:p w14:paraId="68564E82" w14:textId="16980768" w:rsidR="001679C4" w:rsidRPr="008753AE" w:rsidRDefault="008B7D2F" w:rsidP="00344125">
            <w:pPr>
              <w:spacing w:line="259" w:lineRule="auto"/>
              <w:jc w:val="left"/>
              <w:rPr>
                <w:rFonts w:eastAsia="Calibri" w:cs="Arial"/>
                <w:szCs w:val="18"/>
              </w:rPr>
            </w:pPr>
            <w:r>
              <w:rPr>
                <w:rFonts w:eastAsia="Calibri" w:cs="Arial"/>
                <w:szCs w:val="18"/>
              </w:rPr>
              <w:t>1.</w:t>
            </w:r>
            <w:r w:rsidR="001679C4" w:rsidRPr="008753AE">
              <w:rPr>
                <w:rFonts w:eastAsia="Calibri" w:cs="Arial"/>
                <w:szCs w:val="18"/>
              </w:rPr>
              <w:t xml:space="preserve">05 </w:t>
            </w:r>
            <w:r w:rsidR="007B0217">
              <w:rPr>
                <w:rFonts w:eastAsia="Calibri" w:cs="Arial"/>
                <w:szCs w:val="18"/>
              </w:rPr>
              <w:t>-</w:t>
            </w:r>
            <w:r w:rsidR="001679C4" w:rsidRPr="008753AE">
              <w:rPr>
                <w:rFonts w:eastAsia="Calibri" w:cs="Arial"/>
                <w:szCs w:val="18"/>
              </w:rPr>
              <w:t xml:space="preserve"> 2</w:t>
            </w:r>
          </w:p>
        </w:tc>
        <w:tc>
          <w:tcPr>
            <w:tcW w:w="709" w:type="dxa"/>
            <w:tcBorders>
              <w:top w:val="nil"/>
              <w:bottom w:val="nil"/>
            </w:tcBorders>
            <w:noWrap/>
            <w:hideMark/>
          </w:tcPr>
          <w:p w14:paraId="520EC630" w14:textId="1A7FACA9" w:rsidR="001679C4" w:rsidRPr="008753AE" w:rsidRDefault="001679C4" w:rsidP="00344125">
            <w:pPr>
              <w:spacing w:line="259" w:lineRule="auto"/>
              <w:jc w:val="left"/>
              <w:rPr>
                <w:rFonts w:eastAsia="Calibri" w:cs="Arial"/>
                <w:szCs w:val="18"/>
              </w:rPr>
            </w:pPr>
            <w:r>
              <w:rPr>
                <w:rFonts w:eastAsia="Calibri" w:cs="Arial"/>
                <w:szCs w:val="18"/>
              </w:rPr>
              <w:t>S4</w:t>
            </w:r>
          </w:p>
        </w:tc>
        <w:tc>
          <w:tcPr>
            <w:tcW w:w="1276" w:type="dxa"/>
            <w:tcBorders>
              <w:top w:val="nil"/>
              <w:bottom w:val="nil"/>
            </w:tcBorders>
          </w:tcPr>
          <w:p w14:paraId="1BD60E09" w14:textId="18E3F579" w:rsidR="001679C4" w:rsidRPr="008753AE" w:rsidRDefault="008B7D2F" w:rsidP="00344125">
            <w:pPr>
              <w:spacing w:line="259" w:lineRule="auto"/>
              <w:jc w:val="left"/>
              <w:rPr>
                <w:rFonts w:eastAsia="Calibri" w:cs="Arial"/>
                <w:szCs w:val="18"/>
              </w:rPr>
            </w:pPr>
            <w:r>
              <w:rPr>
                <w:rFonts w:eastAsia="Calibri" w:cs="Arial"/>
                <w:szCs w:val="18"/>
              </w:rPr>
              <w:t>2.</w:t>
            </w:r>
            <w:r w:rsidR="001679C4" w:rsidRPr="008753AE">
              <w:rPr>
                <w:rFonts w:eastAsia="Calibri" w:cs="Arial"/>
                <w:szCs w:val="18"/>
              </w:rPr>
              <w:t xml:space="preserve">5 </w:t>
            </w:r>
            <w:r>
              <w:rPr>
                <w:rFonts w:eastAsia="Calibri" w:cs="Arial"/>
                <w:szCs w:val="18"/>
              </w:rPr>
              <w:t>– 3.</w:t>
            </w:r>
            <w:r w:rsidR="001679C4" w:rsidRPr="008753AE">
              <w:rPr>
                <w:rFonts w:eastAsia="Calibri" w:cs="Arial"/>
                <w:szCs w:val="18"/>
              </w:rPr>
              <w:t>5</w:t>
            </w:r>
          </w:p>
        </w:tc>
        <w:tc>
          <w:tcPr>
            <w:tcW w:w="708" w:type="dxa"/>
            <w:tcBorders>
              <w:top w:val="nil"/>
              <w:bottom w:val="nil"/>
            </w:tcBorders>
            <w:noWrap/>
            <w:hideMark/>
          </w:tcPr>
          <w:p w14:paraId="7DE526A3" w14:textId="656D8998" w:rsidR="001679C4" w:rsidRPr="008753AE" w:rsidRDefault="001679C4" w:rsidP="00344125">
            <w:pPr>
              <w:spacing w:line="259" w:lineRule="auto"/>
              <w:jc w:val="left"/>
              <w:rPr>
                <w:rFonts w:eastAsia="Calibri" w:cs="Arial"/>
                <w:szCs w:val="18"/>
              </w:rPr>
            </w:pPr>
            <w:r>
              <w:rPr>
                <w:rFonts w:eastAsia="Calibri" w:cs="Arial"/>
                <w:szCs w:val="18"/>
              </w:rPr>
              <w:t>S4</w:t>
            </w:r>
          </w:p>
        </w:tc>
        <w:tc>
          <w:tcPr>
            <w:tcW w:w="1134" w:type="dxa"/>
            <w:tcBorders>
              <w:top w:val="nil"/>
              <w:bottom w:val="nil"/>
            </w:tcBorders>
          </w:tcPr>
          <w:p w14:paraId="5B084455" w14:textId="15904EDB" w:rsidR="001679C4" w:rsidRPr="008753AE" w:rsidRDefault="001679C4" w:rsidP="00344125">
            <w:pPr>
              <w:spacing w:line="259" w:lineRule="auto"/>
              <w:jc w:val="left"/>
              <w:rPr>
                <w:rFonts w:eastAsia="Calibri" w:cs="Arial"/>
                <w:szCs w:val="18"/>
              </w:rPr>
            </w:pPr>
            <w:r w:rsidRPr="008753AE">
              <w:rPr>
                <w:rFonts w:eastAsia="Calibri" w:cs="Arial"/>
                <w:szCs w:val="18"/>
              </w:rPr>
              <w:t xml:space="preserve">288 </w:t>
            </w:r>
            <w:r w:rsidR="007B0217">
              <w:rPr>
                <w:rFonts w:eastAsia="Calibri" w:cs="Arial"/>
                <w:szCs w:val="18"/>
              </w:rPr>
              <w:t>-</w:t>
            </w:r>
            <w:r w:rsidRPr="008753AE">
              <w:rPr>
                <w:rFonts w:eastAsia="Calibri" w:cs="Arial"/>
                <w:szCs w:val="18"/>
              </w:rPr>
              <w:t xml:space="preserve"> 315</w:t>
            </w:r>
          </w:p>
        </w:tc>
        <w:tc>
          <w:tcPr>
            <w:tcW w:w="1134" w:type="dxa"/>
            <w:tcBorders>
              <w:top w:val="nil"/>
              <w:bottom w:val="nil"/>
            </w:tcBorders>
            <w:noWrap/>
            <w:hideMark/>
          </w:tcPr>
          <w:p w14:paraId="67325A4D" w14:textId="77777777" w:rsidR="001679C4" w:rsidRPr="008753AE" w:rsidRDefault="001679C4" w:rsidP="00344125">
            <w:pPr>
              <w:spacing w:line="259" w:lineRule="auto"/>
              <w:jc w:val="left"/>
              <w:rPr>
                <w:rFonts w:eastAsia="Calibri" w:cs="Arial"/>
                <w:szCs w:val="18"/>
              </w:rPr>
            </w:pPr>
            <w:r w:rsidRPr="008753AE">
              <w:rPr>
                <w:rFonts w:eastAsia="Calibri" w:cs="Arial"/>
                <w:szCs w:val="18"/>
              </w:rPr>
              <w:t>Medium</w:t>
            </w:r>
          </w:p>
        </w:tc>
        <w:tc>
          <w:tcPr>
            <w:tcW w:w="1276" w:type="dxa"/>
            <w:tcBorders>
              <w:top w:val="nil"/>
              <w:bottom w:val="nil"/>
            </w:tcBorders>
          </w:tcPr>
          <w:p w14:paraId="11BF2B9E" w14:textId="0138DB23" w:rsidR="001679C4" w:rsidRPr="008753AE" w:rsidRDefault="008B7D2F" w:rsidP="00344125">
            <w:pPr>
              <w:spacing w:line="259" w:lineRule="auto"/>
              <w:jc w:val="left"/>
              <w:rPr>
                <w:rFonts w:eastAsia="Calibri" w:cs="Arial"/>
                <w:szCs w:val="18"/>
              </w:rPr>
            </w:pPr>
            <w:r>
              <w:rPr>
                <w:rFonts w:eastAsia="Calibri" w:cs="Arial"/>
                <w:szCs w:val="18"/>
              </w:rPr>
              <w:t>0.25 – 0.</w:t>
            </w:r>
            <w:r w:rsidR="001679C4" w:rsidRPr="008753AE">
              <w:rPr>
                <w:rFonts w:eastAsia="Calibri" w:cs="Arial"/>
                <w:szCs w:val="18"/>
              </w:rPr>
              <w:t>35</w:t>
            </w:r>
          </w:p>
        </w:tc>
      </w:tr>
      <w:tr w:rsidR="007B0217" w:rsidRPr="00F13894" w14:paraId="49625FC0" w14:textId="77777777" w:rsidTr="008B7D2F">
        <w:trPr>
          <w:trHeight w:val="227"/>
        </w:trPr>
        <w:tc>
          <w:tcPr>
            <w:tcW w:w="709" w:type="dxa"/>
            <w:tcBorders>
              <w:top w:val="nil"/>
              <w:bottom w:val="nil"/>
            </w:tcBorders>
            <w:noWrap/>
            <w:hideMark/>
          </w:tcPr>
          <w:p w14:paraId="08319B5F" w14:textId="11C0EDE2" w:rsidR="001679C4" w:rsidRPr="008753AE" w:rsidRDefault="001679C4" w:rsidP="00344125">
            <w:pPr>
              <w:spacing w:line="259" w:lineRule="auto"/>
              <w:jc w:val="left"/>
              <w:rPr>
                <w:rFonts w:eastAsia="Calibri" w:cs="Arial"/>
                <w:szCs w:val="18"/>
              </w:rPr>
            </w:pPr>
            <w:r>
              <w:rPr>
                <w:rFonts w:eastAsia="Calibri" w:cs="Arial"/>
                <w:szCs w:val="18"/>
              </w:rPr>
              <w:t>S5</w:t>
            </w:r>
          </w:p>
        </w:tc>
        <w:tc>
          <w:tcPr>
            <w:tcW w:w="1134" w:type="dxa"/>
            <w:tcBorders>
              <w:top w:val="nil"/>
              <w:bottom w:val="nil"/>
            </w:tcBorders>
          </w:tcPr>
          <w:p w14:paraId="722253AA" w14:textId="0E404C76" w:rsidR="001679C4" w:rsidRPr="008753AE" w:rsidRDefault="001679C4" w:rsidP="00344125">
            <w:pPr>
              <w:spacing w:line="259" w:lineRule="auto"/>
              <w:jc w:val="left"/>
              <w:rPr>
                <w:rFonts w:eastAsia="Calibri" w:cs="Arial"/>
                <w:szCs w:val="18"/>
              </w:rPr>
            </w:pPr>
            <w:r w:rsidRPr="008753AE">
              <w:rPr>
                <w:rFonts w:eastAsia="Calibri" w:cs="Arial"/>
                <w:szCs w:val="18"/>
              </w:rPr>
              <w:t xml:space="preserve">2 </w:t>
            </w:r>
            <w:r w:rsidR="008B7D2F">
              <w:rPr>
                <w:rFonts w:eastAsia="Calibri" w:cs="Arial"/>
                <w:szCs w:val="18"/>
              </w:rPr>
              <w:t>– 2.</w:t>
            </w:r>
            <w:r w:rsidRPr="008753AE">
              <w:rPr>
                <w:rFonts w:eastAsia="Calibri" w:cs="Arial"/>
                <w:szCs w:val="18"/>
              </w:rPr>
              <w:t>75</w:t>
            </w:r>
          </w:p>
        </w:tc>
        <w:tc>
          <w:tcPr>
            <w:tcW w:w="709" w:type="dxa"/>
            <w:tcBorders>
              <w:top w:val="nil"/>
              <w:bottom w:val="nil"/>
            </w:tcBorders>
            <w:noWrap/>
            <w:hideMark/>
          </w:tcPr>
          <w:p w14:paraId="29F09DE4" w14:textId="09FF6502" w:rsidR="001679C4" w:rsidRPr="008753AE" w:rsidRDefault="001679C4" w:rsidP="00344125">
            <w:pPr>
              <w:spacing w:line="259" w:lineRule="auto"/>
              <w:jc w:val="left"/>
              <w:rPr>
                <w:rFonts w:eastAsia="Calibri" w:cs="Arial"/>
                <w:szCs w:val="18"/>
              </w:rPr>
            </w:pPr>
            <w:r>
              <w:rPr>
                <w:rFonts w:eastAsia="Calibri" w:cs="Arial"/>
                <w:szCs w:val="18"/>
              </w:rPr>
              <w:t>S5</w:t>
            </w:r>
          </w:p>
        </w:tc>
        <w:tc>
          <w:tcPr>
            <w:tcW w:w="1276" w:type="dxa"/>
            <w:tcBorders>
              <w:top w:val="nil"/>
              <w:bottom w:val="nil"/>
            </w:tcBorders>
          </w:tcPr>
          <w:p w14:paraId="0EE5F47F" w14:textId="6FD02415" w:rsidR="001679C4" w:rsidRPr="008753AE" w:rsidRDefault="008B7D2F" w:rsidP="00344125">
            <w:pPr>
              <w:spacing w:line="259" w:lineRule="auto"/>
              <w:jc w:val="left"/>
              <w:rPr>
                <w:rFonts w:eastAsia="Calibri" w:cs="Arial"/>
                <w:szCs w:val="18"/>
              </w:rPr>
            </w:pPr>
            <w:r>
              <w:rPr>
                <w:rFonts w:eastAsia="Calibri" w:cs="Arial"/>
                <w:szCs w:val="18"/>
              </w:rPr>
              <w:t>&gt; 3.</w:t>
            </w:r>
            <w:r w:rsidR="001679C4" w:rsidRPr="008753AE">
              <w:rPr>
                <w:rFonts w:eastAsia="Calibri" w:cs="Arial"/>
                <w:szCs w:val="18"/>
              </w:rPr>
              <w:t>5</w:t>
            </w:r>
          </w:p>
        </w:tc>
        <w:tc>
          <w:tcPr>
            <w:tcW w:w="708" w:type="dxa"/>
            <w:tcBorders>
              <w:top w:val="nil"/>
              <w:bottom w:val="nil"/>
            </w:tcBorders>
            <w:noWrap/>
            <w:hideMark/>
          </w:tcPr>
          <w:p w14:paraId="26E15640" w14:textId="2EA1C761" w:rsidR="001679C4" w:rsidRPr="008753AE" w:rsidRDefault="001679C4" w:rsidP="00344125">
            <w:pPr>
              <w:spacing w:line="259" w:lineRule="auto"/>
              <w:jc w:val="left"/>
              <w:rPr>
                <w:rFonts w:eastAsia="Calibri" w:cs="Arial"/>
                <w:szCs w:val="18"/>
              </w:rPr>
            </w:pPr>
            <w:r>
              <w:rPr>
                <w:rFonts w:eastAsia="Calibri" w:cs="Arial"/>
                <w:szCs w:val="18"/>
              </w:rPr>
              <w:t>S5</w:t>
            </w:r>
          </w:p>
        </w:tc>
        <w:tc>
          <w:tcPr>
            <w:tcW w:w="1134" w:type="dxa"/>
            <w:tcBorders>
              <w:top w:val="nil"/>
              <w:bottom w:val="nil"/>
            </w:tcBorders>
          </w:tcPr>
          <w:p w14:paraId="2DB68BE0" w14:textId="2B350606" w:rsidR="001679C4" w:rsidRPr="008753AE" w:rsidRDefault="001679C4" w:rsidP="00344125">
            <w:pPr>
              <w:spacing w:line="259" w:lineRule="auto"/>
              <w:jc w:val="left"/>
              <w:rPr>
                <w:rFonts w:eastAsia="Calibri" w:cs="Arial"/>
                <w:szCs w:val="18"/>
              </w:rPr>
            </w:pPr>
            <w:r w:rsidRPr="008753AE">
              <w:rPr>
                <w:rFonts w:eastAsia="Calibri" w:cs="Arial"/>
                <w:szCs w:val="18"/>
              </w:rPr>
              <w:t xml:space="preserve">315 </w:t>
            </w:r>
            <w:r w:rsidR="007B0217">
              <w:rPr>
                <w:rFonts w:eastAsia="Calibri" w:cs="Arial"/>
                <w:szCs w:val="18"/>
              </w:rPr>
              <w:t>-</w:t>
            </w:r>
            <w:r w:rsidRPr="008753AE">
              <w:rPr>
                <w:rFonts w:eastAsia="Calibri" w:cs="Arial"/>
                <w:szCs w:val="18"/>
              </w:rPr>
              <w:t xml:space="preserve"> 343</w:t>
            </w:r>
          </w:p>
        </w:tc>
        <w:tc>
          <w:tcPr>
            <w:tcW w:w="1134" w:type="dxa"/>
            <w:tcBorders>
              <w:top w:val="nil"/>
              <w:bottom w:val="nil"/>
            </w:tcBorders>
            <w:noWrap/>
            <w:hideMark/>
          </w:tcPr>
          <w:p w14:paraId="4F20D3CF" w14:textId="77777777" w:rsidR="001679C4" w:rsidRPr="008753AE" w:rsidRDefault="001679C4" w:rsidP="00344125">
            <w:pPr>
              <w:spacing w:line="259" w:lineRule="auto"/>
              <w:jc w:val="left"/>
              <w:rPr>
                <w:rFonts w:eastAsia="Calibri" w:cs="Arial"/>
                <w:szCs w:val="18"/>
              </w:rPr>
            </w:pPr>
            <w:r w:rsidRPr="008753AE">
              <w:rPr>
                <w:rFonts w:eastAsia="Calibri" w:cs="Arial"/>
                <w:szCs w:val="18"/>
              </w:rPr>
              <w:t>Med_High</w:t>
            </w:r>
          </w:p>
        </w:tc>
        <w:tc>
          <w:tcPr>
            <w:tcW w:w="1276" w:type="dxa"/>
            <w:tcBorders>
              <w:top w:val="nil"/>
              <w:bottom w:val="nil"/>
            </w:tcBorders>
          </w:tcPr>
          <w:p w14:paraId="396A9852" w14:textId="36DFD9FF" w:rsidR="001679C4" w:rsidRPr="008753AE" w:rsidRDefault="008B7D2F" w:rsidP="00344125">
            <w:pPr>
              <w:spacing w:line="259" w:lineRule="auto"/>
              <w:jc w:val="left"/>
              <w:rPr>
                <w:rFonts w:eastAsia="Calibri" w:cs="Arial"/>
                <w:szCs w:val="18"/>
              </w:rPr>
            </w:pPr>
            <w:r>
              <w:rPr>
                <w:rFonts w:eastAsia="Calibri" w:cs="Arial"/>
                <w:szCs w:val="18"/>
              </w:rPr>
              <w:t>0.35 – 0.</w:t>
            </w:r>
            <w:r w:rsidR="001679C4" w:rsidRPr="008753AE">
              <w:rPr>
                <w:rFonts w:eastAsia="Calibri" w:cs="Arial"/>
                <w:szCs w:val="18"/>
              </w:rPr>
              <w:t>50</w:t>
            </w:r>
          </w:p>
        </w:tc>
      </w:tr>
      <w:tr w:rsidR="007B0217" w:rsidRPr="00F13894" w14:paraId="1F709897" w14:textId="77777777" w:rsidTr="008B7D2F">
        <w:trPr>
          <w:trHeight w:val="227"/>
        </w:trPr>
        <w:tc>
          <w:tcPr>
            <w:tcW w:w="709" w:type="dxa"/>
            <w:tcBorders>
              <w:top w:val="nil"/>
              <w:bottom w:val="nil"/>
            </w:tcBorders>
            <w:noWrap/>
            <w:hideMark/>
          </w:tcPr>
          <w:p w14:paraId="5E001A0C" w14:textId="708ED0D2" w:rsidR="001679C4" w:rsidRPr="008753AE" w:rsidRDefault="001679C4" w:rsidP="00344125">
            <w:pPr>
              <w:spacing w:line="259" w:lineRule="auto"/>
              <w:jc w:val="left"/>
              <w:rPr>
                <w:rFonts w:eastAsia="Calibri" w:cs="Arial"/>
                <w:szCs w:val="18"/>
              </w:rPr>
            </w:pPr>
            <w:r>
              <w:rPr>
                <w:rFonts w:eastAsia="Calibri" w:cs="Arial"/>
                <w:szCs w:val="18"/>
              </w:rPr>
              <w:t>S6</w:t>
            </w:r>
          </w:p>
        </w:tc>
        <w:tc>
          <w:tcPr>
            <w:tcW w:w="1134" w:type="dxa"/>
            <w:tcBorders>
              <w:top w:val="nil"/>
              <w:bottom w:val="nil"/>
            </w:tcBorders>
          </w:tcPr>
          <w:p w14:paraId="44F41B45" w14:textId="0EC5E437" w:rsidR="001679C4" w:rsidRPr="008753AE" w:rsidRDefault="008B7D2F" w:rsidP="00344125">
            <w:pPr>
              <w:spacing w:line="259" w:lineRule="auto"/>
              <w:jc w:val="left"/>
              <w:rPr>
                <w:rFonts w:eastAsia="Calibri" w:cs="Arial"/>
                <w:szCs w:val="18"/>
              </w:rPr>
            </w:pPr>
            <w:r>
              <w:rPr>
                <w:rFonts w:eastAsia="Calibri" w:cs="Arial"/>
                <w:szCs w:val="18"/>
              </w:rPr>
              <w:t>&gt; 2.</w:t>
            </w:r>
            <w:r w:rsidR="001679C4" w:rsidRPr="008753AE">
              <w:rPr>
                <w:rFonts w:eastAsia="Calibri" w:cs="Arial"/>
                <w:szCs w:val="18"/>
              </w:rPr>
              <w:t>75</w:t>
            </w:r>
          </w:p>
        </w:tc>
        <w:tc>
          <w:tcPr>
            <w:tcW w:w="709" w:type="dxa"/>
            <w:tcBorders>
              <w:top w:val="nil"/>
              <w:bottom w:val="nil"/>
            </w:tcBorders>
            <w:noWrap/>
            <w:hideMark/>
          </w:tcPr>
          <w:p w14:paraId="63C708E5" w14:textId="77777777" w:rsidR="001679C4" w:rsidRPr="008753AE" w:rsidRDefault="001679C4" w:rsidP="00344125">
            <w:pPr>
              <w:spacing w:line="259" w:lineRule="auto"/>
              <w:jc w:val="left"/>
              <w:rPr>
                <w:rFonts w:eastAsia="Calibri" w:cs="Arial"/>
                <w:szCs w:val="18"/>
              </w:rPr>
            </w:pPr>
          </w:p>
        </w:tc>
        <w:tc>
          <w:tcPr>
            <w:tcW w:w="1276" w:type="dxa"/>
            <w:tcBorders>
              <w:top w:val="nil"/>
              <w:bottom w:val="nil"/>
            </w:tcBorders>
          </w:tcPr>
          <w:p w14:paraId="65AD296F" w14:textId="77777777" w:rsidR="001679C4" w:rsidRPr="008753AE" w:rsidRDefault="001679C4" w:rsidP="00344125">
            <w:pPr>
              <w:spacing w:line="259" w:lineRule="auto"/>
              <w:jc w:val="left"/>
              <w:rPr>
                <w:rFonts w:eastAsia="Calibri" w:cs="Arial"/>
                <w:szCs w:val="18"/>
              </w:rPr>
            </w:pPr>
          </w:p>
        </w:tc>
        <w:tc>
          <w:tcPr>
            <w:tcW w:w="708" w:type="dxa"/>
            <w:tcBorders>
              <w:top w:val="nil"/>
              <w:bottom w:val="nil"/>
            </w:tcBorders>
            <w:noWrap/>
            <w:hideMark/>
          </w:tcPr>
          <w:p w14:paraId="3F1B64E9" w14:textId="64076C51" w:rsidR="001679C4" w:rsidRPr="008753AE" w:rsidRDefault="001679C4" w:rsidP="00344125">
            <w:pPr>
              <w:spacing w:line="259" w:lineRule="auto"/>
              <w:jc w:val="left"/>
              <w:rPr>
                <w:rFonts w:eastAsia="Calibri" w:cs="Arial"/>
                <w:szCs w:val="18"/>
              </w:rPr>
            </w:pPr>
            <w:r>
              <w:rPr>
                <w:rFonts w:eastAsia="Calibri" w:cs="Arial"/>
                <w:szCs w:val="18"/>
              </w:rPr>
              <w:t>S6</w:t>
            </w:r>
          </w:p>
        </w:tc>
        <w:tc>
          <w:tcPr>
            <w:tcW w:w="1134" w:type="dxa"/>
            <w:tcBorders>
              <w:top w:val="nil"/>
              <w:bottom w:val="nil"/>
            </w:tcBorders>
          </w:tcPr>
          <w:p w14:paraId="18FB1377" w14:textId="25E988CF" w:rsidR="001679C4" w:rsidRPr="008753AE" w:rsidRDefault="001679C4" w:rsidP="00344125">
            <w:pPr>
              <w:spacing w:line="259" w:lineRule="auto"/>
              <w:jc w:val="left"/>
              <w:rPr>
                <w:rFonts w:eastAsia="Calibri" w:cs="Arial"/>
                <w:szCs w:val="18"/>
              </w:rPr>
            </w:pPr>
            <w:r w:rsidRPr="008753AE">
              <w:rPr>
                <w:rFonts w:eastAsia="Calibri" w:cs="Arial"/>
                <w:szCs w:val="18"/>
              </w:rPr>
              <w:t xml:space="preserve">343 </w:t>
            </w:r>
            <w:r w:rsidR="007B0217">
              <w:rPr>
                <w:rFonts w:eastAsia="Calibri" w:cs="Arial"/>
                <w:szCs w:val="18"/>
              </w:rPr>
              <w:t>-</w:t>
            </w:r>
            <w:r w:rsidRPr="008753AE">
              <w:rPr>
                <w:rFonts w:eastAsia="Calibri" w:cs="Arial"/>
                <w:szCs w:val="18"/>
              </w:rPr>
              <w:t xml:space="preserve"> 371</w:t>
            </w:r>
          </w:p>
        </w:tc>
        <w:tc>
          <w:tcPr>
            <w:tcW w:w="1134" w:type="dxa"/>
            <w:tcBorders>
              <w:top w:val="nil"/>
              <w:bottom w:val="nil"/>
            </w:tcBorders>
            <w:noWrap/>
            <w:hideMark/>
          </w:tcPr>
          <w:p w14:paraId="73268761" w14:textId="77777777" w:rsidR="001679C4" w:rsidRPr="008753AE" w:rsidRDefault="001679C4" w:rsidP="00344125">
            <w:pPr>
              <w:spacing w:line="259" w:lineRule="auto"/>
              <w:jc w:val="left"/>
              <w:rPr>
                <w:rFonts w:eastAsia="Calibri" w:cs="Arial"/>
                <w:szCs w:val="18"/>
              </w:rPr>
            </w:pPr>
            <w:r w:rsidRPr="008753AE">
              <w:rPr>
                <w:rFonts w:eastAsia="Calibri" w:cs="Arial"/>
                <w:szCs w:val="18"/>
              </w:rPr>
              <w:t>High</w:t>
            </w:r>
          </w:p>
        </w:tc>
        <w:tc>
          <w:tcPr>
            <w:tcW w:w="1276" w:type="dxa"/>
            <w:tcBorders>
              <w:top w:val="nil"/>
              <w:bottom w:val="nil"/>
            </w:tcBorders>
          </w:tcPr>
          <w:p w14:paraId="28249B90" w14:textId="0D2A8D24" w:rsidR="001679C4" w:rsidRPr="008753AE" w:rsidRDefault="008B7D2F" w:rsidP="00344125">
            <w:pPr>
              <w:spacing w:line="259" w:lineRule="auto"/>
              <w:jc w:val="left"/>
              <w:rPr>
                <w:rFonts w:eastAsia="Calibri" w:cs="Arial"/>
                <w:szCs w:val="18"/>
              </w:rPr>
            </w:pPr>
            <w:r>
              <w:rPr>
                <w:rFonts w:eastAsia="Calibri" w:cs="Arial"/>
                <w:szCs w:val="18"/>
              </w:rPr>
              <w:t>0.</w:t>
            </w:r>
            <w:r w:rsidR="001679C4" w:rsidRPr="008753AE">
              <w:rPr>
                <w:rFonts w:eastAsia="Calibri" w:cs="Arial"/>
                <w:szCs w:val="18"/>
              </w:rPr>
              <w:t xml:space="preserve">50 </w:t>
            </w:r>
            <w:r>
              <w:rPr>
                <w:rFonts w:eastAsia="Calibri" w:cs="Arial"/>
                <w:szCs w:val="18"/>
              </w:rPr>
              <w:t>–</w:t>
            </w:r>
            <w:r w:rsidR="001679C4" w:rsidRPr="008753AE">
              <w:rPr>
                <w:rFonts w:eastAsia="Calibri" w:cs="Arial"/>
                <w:szCs w:val="18"/>
              </w:rPr>
              <w:t xml:space="preserve"> 1</w:t>
            </w:r>
          </w:p>
        </w:tc>
      </w:tr>
      <w:tr w:rsidR="007B0217" w:rsidRPr="00F13894" w14:paraId="5109E816" w14:textId="77777777" w:rsidTr="008B7D2F">
        <w:trPr>
          <w:trHeight w:val="227"/>
        </w:trPr>
        <w:tc>
          <w:tcPr>
            <w:tcW w:w="709" w:type="dxa"/>
            <w:tcBorders>
              <w:top w:val="nil"/>
              <w:bottom w:val="nil"/>
            </w:tcBorders>
            <w:noWrap/>
            <w:hideMark/>
          </w:tcPr>
          <w:p w14:paraId="3D9A91F4" w14:textId="77777777" w:rsidR="001679C4" w:rsidRPr="008753AE" w:rsidRDefault="001679C4" w:rsidP="00344125">
            <w:pPr>
              <w:spacing w:line="259" w:lineRule="auto"/>
              <w:jc w:val="left"/>
              <w:rPr>
                <w:rFonts w:eastAsia="Calibri" w:cs="Arial"/>
                <w:szCs w:val="18"/>
              </w:rPr>
            </w:pPr>
          </w:p>
        </w:tc>
        <w:tc>
          <w:tcPr>
            <w:tcW w:w="1134" w:type="dxa"/>
            <w:tcBorders>
              <w:top w:val="nil"/>
              <w:bottom w:val="nil"/>
            </w:tcBorders>
          </w:tcPr>
          <w:p w14:paraId="6DDE00D9" w14:textId="77777777" w:rsidR="001679C4" w:rsidRPr="008753AE" w:rsidRDefault="001679C4" w:rsidP="00344125">
            <w:pPr>
              <w:spacing w:line="259" w:lineRule="auto"/>
              <w:jc w:val="left"/>
              <w:rPr>
                <w:rFonts w:eastAsia="Calibri" w:cs="Arial"/>
                <w:szCs w:val="18"/>
              </w:rPr>
            </w:pPr>
          </w:p>
        </w:tc>
        <w:tc>
          <w:tcPr>
            <w:tcW w:w="709" w:type="dxa"/>
            <w:tcBorders>
              <w:top w:val="nil"/>
              <w:bottom w:val="nil"/>
            </w:tcBorders>
            <w:noWrap/>
            <w:hideMark/>
          </w:tcPr>
          <w:p w14:paraId="78D38269" w14:textId="77777777" w:rsidR="001679C4" w:rsidRPr="008753AE" w:rsidRDefault="001679C4" w:rsidP="00344125">
            <w:pPr>
              <w:spacing w:line="259" w:lineRule="auto"/>
              <w:jc w:val="left"/>
              <w:rPr>
                <w:rFonts w:eastAsia="Calibri" w:cs="Arial"/>
                <w:szCs w:val="18"/>
              </w:rPr>
            </w:pPr>
          </w:p>
        </w:tc>
        <w:tc>
          <w:tcPr>
            <w:tcW w:w="1276" w:type="dxa"/>
            <w:tcBorders>
              <w:top w:val="nil"/>
              <w:bottom w:val="nil"/>
            </w:tcBorders>
          </w:tcPr>
          <w:p w14:paraId="653EE077" w14:textId="77777777" w:rsidR="001679C4" w:rsidRPr="008753AE" w:rsidRDefault="001679C4" w:rsidP="00344125">
            <w:pPr>
              <w:spacing w:line="259" w:lineRule="auto"/>
              <w:jc w:val="left"/>
              <w:rPr>
                <w:rFonts w:eastAsia="Calibri" w:cs="Arial"/>
                <w:szCs w:val="18"/>
              </w:rPr>
            </w:pPr>
          </w:p>
        </w:tc>
        <w:tc>
          <w:tcPr>
            <w:tcW w:w="708" w:type="dxa"/>
            <w:tcBorders>
              <w:top w:val="nil"/>
              <w:bottom w:val="nil"/>
            </w:tcBorders>
            <w:noWrap/>
            <w:hideMark/>
          </w:tcPr>
          <w:p w14:paraId="38362BD8" w14:textId="0D17C5B1" w:rsidR="001679C4" w:rsidRPr="008753AE" w:rsidRDefault="008A39DE" w:rsidP="00344125">
            <w:pPr>
              <w:spacing w:line="259" w:lineRule="auto"/>
              <w:jc w:val="left"/>
              <w:rPr>
                <w:rFonts w:eastAsia="Calibri" w:cs="Arial"/>
                <w:szCs w:val="18"/>
              </w:rPr>
            </w:pPr>
            <w:r>
              <w:rPr>
                <w:rFonts w:eastAsia="Calibri" w:cs="Arial"/>
                <w:szCs w:val="18"/>
              </w:rPr>
              <w:t>S7</w:t>
            </w:r>
          </w:p>
        </w:tc>
        <w:tc>
          <w:tcPr>
            <w:tcW w:w="1134" w:type="dxa"/>
            <w:tcBorders>
              <w:top w:val="nil"/>
              <w:bottom w:val="nil"/>
            </w:tcBorders>
          </w:tcPr>
          <w:p w14:paraId="113CC58E" w14:textId="6FA317E4" w:rsidR="001679C4" w:rsidRPr="008753AE" w:rsidRDefault="001679C4" w:rsidP="00344125">
            <w:pPr>
              <w:spacing w:line="259" w:lineRule="auto"/>
              <w:jc w:val="left"/>
              <w:rPr>
                <w:rFonts w:eastAsia="Calibri" w:cs="Arial"/>
                <w:szCs w:val="18"/>
              </w:rPr>
            </w:pPr>
            <w:r w:rsidRPr="008753AE">
              <w:rPr>
                <w:rFonts w:eastAsia="Calibri" w:cs="Arial"/>
                <w:szCs w:val="18"/>
              </w:rPr>
              <w:t xml:space="preserve">371 </w:t>
            </w:r>
            <w:r w:rsidR="007B0217">
              <w:rPr>
                <w:rFonts w:eastAsia="Calibri" w:cs="Arial"/>
                <w:szCs w:val="18"/>
              </w:rPr>
              <w:t>-</w:t>
            </w:r>
            <w:r w:rsidRPr="008753AE">
              <w:rPr>
                <w:rFonts w:eastAsia="Calibri" w:cs="Arial"/>
                <w:szCs w:val="18"/>
              </w:rPr>
              <w:t xml:space="preserve"> 392</w:t>
            </w:r>
          </w:p>
        </w:tc>
        <w:tc>
          <w:tcPr>
            <w:tcW w:w="1134" w:type="dxa"/>
            <w:tcBorders>
              <w:top w:val="nil"/>
              <w:bottom w:val="nil"/>
            </w:tcBorders>
            <w:noWrap/>
            <w:hideMark/>
          </w:tcPr>
          <w:p w14:paraId="63738205" w14:textId="77777777" w:rsidR="001679C4" w:rsidRPr="008753AE" w:rsidRDefault="001679C4" w:rsidP="00344125">
            <w:pPr>
              <w:spacing w:line="259" w:lineRule="auto"/>
              <w:jc w:val="left"/>
              <w:rPr>
                <w:rFonts w:eastAsia="Calibri" w:cs="Arial"/>
                <w:szCs w:val="18"/>
              </w:rPr>
            </w:pPr>
            <w:r w:rsidRPr="008753AE">
              <w:rPr>
                <w:rFonts w:eastAsia="Calibri" w:cs="Arial"/>
                <w:szCs w:val="18"/>
              </w:rPr>
              <w:t>Very_High</w:t>
            </w:r>
          </w:p>
        </w:tc>
        <w:tc>
          <w:tcPr>
            <w:tcW w:w="1276" w:type="dxa"/>
            <w:tcBorders>
              <w:top w:val="nil"/>
              <w:bottom w:val="nil"/>
            </w:tcBorders>
          </w:tcPr>
          <w:p w14:paraId="614FE4D0" w14:textId="5244AD2F" w:rsidR="001679C4" w:rsidRPr="008753AE" w:rsidRDefault="008B7D2F" w:rsidP="00344125">
            <w:pPr>
              <w:spacing w:line="259" w:lineRule="auto"/>
              <w:jc w:val="left"/>
              <w:rPr>
                <w:rFonts w:eastAsia="Calibri" w:cs="Arial"/>
                <w:szCs w:val="18"/>
              </w:rPr>
            </w:pPr>
            <w:r>
              <w:rPr>
                <w:rFonts w:eastAsia="Calibri" w:cs="Arial"/>
                <w:szCs w:val="18"/>
              </w:rPr>
              <w:t>1 – 1.</w:t>
            </w:r>
            <w:r w:rsidR="001679C4" w:rsidRPr="008753AE">
              <w:rPr>
                <w:rFonts w:eastAsia="Calibri" w:cs="Arial"/>
                <w:szCs w:val="18"/>
              </w:rPr>
              <w:t>5</w:t>
            </w:r>
          </w:p>
        </w:tc>
      </w:tr>
      <w:tr w:rsidR="007B0217" w:rsidRPr="00F13894" w14:paraId="4F3E9B0A" w14:textId="77777777" w:rsidTr="008B7D2F">
        <w:trPr>
          <w:trHeight w:val="227"/>
        </w:trPr>
        <w:tc>
          <w:tcPr>
            <w:tcW w:w="709" w:type="dxa"/>
            <w:tcBorders>
              <w:top w:val="nil"/>
              <w:bottom w:val="single" w:sz="12" w:space="0" w:color="00B050"/>
            </w:tcBorders>
            <w:noWrap/>
            <w:hideMark/>
          </w:tcPr>
          <w:p w14:paraId="04197CBF" w14:textId="77777777" w:rsidR="001679C4" w:rsidRPr="008753AE" w:rsidRDefault="001679C4" w:rsidP="00344125">
            <w:pPr>
              <w:spacing w:line="259" w:lineRule="auto"/>
              <w:jc w:val="left"/>
              <w:rPr>
                <w:rFonts w:eastAsia="Calibri" w:cs="Arial"/>
                <w:szCs w:val="18"/>
              </w:rPr>
            </w:pPr>
          </w:p>
        </w:tc>
        <w:tc>
          <w:tcPr>
            <w:tcW w:w="1134" w:type="dxa"/>
            <w:tcBorders>
              <w:top w:val="nil"/>
              <w:bottom w:val="single" w:sz="12" w:space="0" w:color="00B050"/>
            </w:tcBorders>
          </w:tcPr>
          <w:p w14:paraId="60D35C50" w14:textId="77777777" w:rsidR="001679C4" w:rsidRPr="008753AE" w:rsidRDefault="001679C4" w:rsidP="00344125">
            <w:pPr>
              <w:spacing w:line="259" w:lineRule="auto"/>
              <w:jc w:val="left"/>
              <w:rPr>
                <w:rFonts w:eastAsia="Calibri" w:cs="Arial"/>
                <w:szCs w:val="18"/>
              </w:rPr>
            </w:pPr>
          </w:p>
        </w:tc>
        <w:tc>
          <w:tcPr>
            <w:tcW w:w="709" w:type="dxa"/>
            <w:tcBorders>
              <w:top w:val="nil"/>
              <w:bottom w:val="single" w:sz="12" w:space="0" w:color="00B050"/>
            </w:tcBorders>
            <w:noWrap/>
            <w:hideMark/>
          </w:tcPr>
          <w:p w14:paraId="27895A5B" w14:textId="77777777" w:rsidR="001679C4" w:rsidRPr="008753AE" w:rsidRDefault="001679C4" w:rsidP="00344125">
            <w:pPr>
              <w:spacing w:line="259" w:lineRule="auto"/>
              <w:jc w:val="left"/>
              <w:rPr>
                <w:rFonts w:eastAsia="Calibri" w:cs="Arial"/>
                <w:szCs w:val="18"/>
              </w:rPr>
            </w:pPr>
          </w:p>
        </w:tc>
        <w:tc>
          <w:tcPr>
            <w:tcW w:w="1276" w:type="dxa"/>
            <w:tcBorders>
              <w:top w:val="nil"/>
              <w:bottom w:val="single" w:sz="12" w:space="0" w:color="00B050"/>
            </w:tcBorders>
          </w:tcPr>
          <w:p w14:paraId="5B5C211C" w14:textId="77777777" w:rsidR="001679C4" w:rsidRPr="008753AE" w:rsidRDefault="001679C4" w:rsidP="00344125">
            <w:pPr>
              <w:spacing w:line="259" w:lineRule="auto"/>
              <w:jc w:val="left"/>
              <w:rPr>
                <w:rFonts w:eastAsia="Calibri" w:cs="Arial"/>
                <w:szCs w:val="18"/>
              </w:rPr>
            </w:pPr>
          </w:p>
        </w:tc>
        <w:tc>
          <w:tcPr>
            <w:tcW w:w="708" w:type="dxa"/>
            <w:tcBorders>
              <w:top w:val="nil"/>
              <w:bottom w:val="single" w:sz="12" w:space="0" w:color="00B050"/>
            </w:tcBorders>
            <w:noWrap/>
            <w:hideMark/>
          </w:tcPr>
          <w:p w14:paraId="786F1705" w14:textId="704A519D" w:rsidR="001679C4" w:rsidRPr="008753AE" w:rsidRDefault="008A39DE" w:rsidP="00344125">
            <w:pPr>
              <w:spacing w:line="259" w:lineRule="auto"/>
              <w:jc w:val="left"/>
              <w:rPr>
                <w:rFonts w:eastAsia="Calibri" w:cs="Arial"/>
                <w:szCs w:val="18"/>
              </w:rPr>
            </w:pPr>
            <w:r>
              <w:rPr>
                <w:rFonts w:eastAsia="Calibri" w:cs="Arial"/>
                <w:szCs w:val="18"/>
              </w:rPr>
              <w:t>S8</w:t>
            </w:r>
          </w:p>
        </w:tc>
        <w:tc>
          <w:tcPr>
            <w:tcW w:w="1134" w:type="dxa"/>
            <w:tcBorders>
              <w:top w:val="nil"/>
              <w:bottom w:val="single" w:sz="12" w:space="0" w:color="00B050"/>
            </w:tcBorders>
          </w:tcPr>
          <w:p w14:paraId="58D31194" w14:textId="2F3F64D5" w:rsidR="001679C4" w:rsidRPr="008753AE" w:rsidRDefault="001679C4" w:rsidP="00344125">
            <w:pPr>
              <w:spacing w:line="259" w:lineRule="auto"/>
              <w:jc w:val="left"/>
              <w:rPr>
                <w:rFonts w:eastAsia="Calibri" w:cs="Arial"/>
                <w:szCs w:val="18"/>
              </w:rPr>
            </w:pPr>
            <w:r w:rsidRPr="008753AE">
              <w:rPr>
                <w:rFonts w:eastAsia="Calibri" w:cs="Arial"/>
                <w:szCs w:val="18"/>
              </w:rPr>
              <w:t>&gt; 392</w:t>
            </w:r>
          </w:p>
        </w:tc>
        <w:tc>
          <w:tcPr>
            <w:tcW w:w="1134" w:type="dxa"/>
            <w:tcBorders>
              <w:top w:val="nil"/>
              <w:bottom w:val="single" w:sz="12" w:space="0" w:color="00B050"/>
            </w:tcBorders>
            <w:noWrap/>
            <w:hideMark/>
          </w:tcPr>
          <w:p w14:paraId="345630DC" w14:textId="77777777" w:rsidR="001679C4" w:rsidRPr="008753AE" w:rsidRDefault="001679C4" w:rsidP="00344125">
            <w:pPr>
              <w:spacing w:line="259" w:lineRule="auto"/>
              <w:jc w:val="left"/>
              <w:rPr>
                <w:rFonts w:eastAsia="Calibri" w:cs="Arial"/>
                <w:szCs w:val="18"/>
              </w:rPr>
            </w:pPr>
            <w:r w:rsidRPr="008753AE">
              <w:rPr>
                <w:rFonts w:eastAsia="Calibri" w:cs="Arial"/>
                <w:szCs w:val="18"/>
              </w:rPr>
              <w:t>Highest</w:t>
            </w:r>
          </w:p>
        </w:tc>
        <w:tc>
          <w:tcPr>
            <w:tcW w:w="1276" w:type="dxa"/>
            <w:tcBorders>
              <w:top w:val="nil"/>
              <w:bottom w:val="single" w:sz="12" w:space="0" w:color="00B050"/>
            </w:tcBorders>
          </w:tcPr>
          <w:p w14:paraId="699D3672" w14:textId="612842E4" w:rsidR="001679C4" w:rsidRPr="008753AE" w:rsidRDefault="008B7D2F" w:rsidP="00344125">
            <w:pPr>
              <w:spacing w:line="259" w:lineRule="auto"/>
              <w:jc w:val="left"/>
              <w:rPr>
                <w:rFonts w:eastAsia="Calibri" w:cs="Arial"/>
                <w:szCs w:val="18"/>
              </w:rPr>
            </w:pPr>
            <w:r>
              <w:rPr>
                <w:rFonts w:eastAsia="Calibri" w:cs="Arial"/>
                <w:szCs w:val="18"/>
              </w:rPr>
              <w:t>&gt; 1.</w:t>
            </w:r>
            <w:r w:rsidR="001679C4" w:rsidRPr="008753AE">
              <w:rPr>
                <w:rFonts w:eastAsia="Calibri" w:cs="Arial"/>
                <w:szCs w:val="18"/>
              </w:rPr>
              <w:t>5</w:t>
            </w:r>
          </w:p>
        </w:tc>
      </w:tr>
    </w:tbl>
    <w:p w14:paraId="1418986F" w14:textId="77777777" w:rsidR="001679C4" w:rsidRDefault="001679C4" w:rsidP="00090423">
      <w:pPr>
        <w:pStyle w:val="CETBodytext"/>
        <w:rPr>
          <w:lang w:val="en-GB"/>
        </w:rPr>
      </w:pPr>
    </w:p>
    <w:p w14:paraId="7003C641" w14:textId="437ABDD3" w:rsidR="004858AC" w:rsidRPr="004858AC" w:rsidRDefault="004858AC" w:rsidP="00090423">
      <w:pPr>
        <w:spacing w:line="276" w:lineRule="auto"/>
        <w:rPr>
          <w:rFonts w:eastAsia="Calibri"/>
          <w:kern w:val="2"/>
          <w:szCs w:val="24"/>
          <w14:ligatures w14:val="standardContextual"/>
        </w:rPr>
      </w:pPr>
      <w:r w:rsidRPr="00012936">
        <w:rPr>
          <w:rFonts w:eastAsia="Calibri"/>
          <w:i/>
          <w:iCs/>
          <w:kern w:val="2"/>
          <w:szCs w:val="24"/>
          <w14:ligatures w14:val="standardContextual"/>
        </w:rPr>
        <w:t>Table 2.</w:t>
      </w:r>
      <w:r w:rsidRPr="00D22C4B">
        <w:rPr>
          <w:rFonts w:eastAsia="Calibri"/>
          <w:i/>
          <w:iCs/>
          <w:kern w:val="2"/>
          <w:szCs w:val="24"/>
          <w14:ligatures w14:val="standardContextual"/>
        </w:rPr>
        <w:t xml:space="preserve"> </w:t>
      </w:r>
      <w:r w:rsidR="001A3AD2" w:rsidRPr="00D22C4B">
        <w:rPr>
          <w:rFonts w:eastAsia="Calibri"/>
          <w:i/>
          <w:iCs/>
          <w:kern w:val="2"/>
          <w:szCs w:val="24"/>
          <w14:ligatures w14:val="standardContextual"/>
        </w:rPr>
        <w:t>S</w:t>
      </w:r>
      <w:r w:rsidR="008E5ACA" w:rsidRPr="00D22C4B">
        <w:rPr>
          <w:rFonts w:eastAsia="Calibri"/>
          <w:i/>
          <w:iCs/>
          <w:kern w:val="2"/>
          <w:szCs w:val="24"/>
          <w14:ligatures w14:val="standardContextual"/>
        </w:rPr>
        <w:t>tate definition of Initial Condition</w:t>
      </w:r>
      <w:r w:rsidR="00B73284" w:rsidRPr="00D22C4B">
        <w:rPr>
          <w:rFonts w:eastAsia="Calibri"/>
          <w:i/>
          <w:iCs/>
          <w:kern w:val="2"/>
          <w:szCs w:val="24"/>
          <w14:ligatures w14:val="standardContextual"/>
        </w:rPr>
        <w:t>,</w:t>
      </w:r>
      <w:r w:rsidR="008E5ACA" w:rsidRPr="00D22C4B">
        <w:rPr>
          <w:rFonts w:eastAsia="Calibri"/>
          <w:i/>
          <w:iCs/>
          <w:kern w:val="2"/>
          <w:szCs w:val="24"/>
          <w14:ligatures w14:val="standardContextual"/>
        </w:rPr>
        <w:t xml:space="preserve"> Inspection</w:t>
      </w:r>
      <w:r w:rsidR="00B73284" w:rsidRPr="00D22C4B">
        <w:rPr>
          <w:rFonts w:eastAsia="Calibri"/>
          <w:i/>
          <w:iCs/>
          <w:kern w:val="2"/>
          <w:szCs w:val="24"/>
          <w14:ligatures w14:val="standardContextual"/>
        </w:rPr>
        <w:t>,</w:t>
      </w:r>
      <w:r w:rsidR="008E5ACA" w:rsidRPr="00D22C4B">
        <w:rPr>
          <w:rFonts w:eastAsia="Calibri"/>
          <w:i/>
          <w:iCs/>
          <w:kern w:val="2"/>
          <w:szCs w:val="24"/>
          <w14:ligatures w14:val="standardContextual"/>
        </w:rPr>
        <w:t xml:space="preserve"> </w:t>
      </w:r>
      <w:r w:rsidR="00B73284" w:rsidRPr="00D22C4B">
        <w:rPr>
          <w:rFonts w:eastAsia="Calibri"/>
          <w:i/>
          <w:iCs/>
          <w:kern w:val="2"/>
          <w:szCs w:val="24"/>
          <w14:ligatures w14:val="standardContextual"/>
        </w:rPr>
        <w:t>and Risk Index</w:t>
      </w:r>
      <w:r w:rsidR="001A3AD2" w:rsidRPr="00D22C4B">
        <w:rPr>
          <w:rFonts w:eastAsia="Calibri"/>
          <w:i/>
          <w:iCs/>
          <w:kern w:val="2"/>
          <w:szCs w:val="24"/>
          <w14:ligatures w14:val="standardContextual"/>
        </w:rPr>
        <w:t xml:space="preserve"> nodes</w:t>
      </w:r>
      <w:r w:rsidR="00674026">
        <w:rPr>
          <w:rFonts w:eastAsia="Calibri"/>
          <w:kern w:val="2"/>
          <w:szCs w:val="24"/>
          <w14:ligatures w14:val="standardContextual"/>
        </w:rPr>
        <w:t>.</w:t>
      </w:r>
    </w:p>
    <w:tbl>
      <w:tblPr>
        <w:tblStyle w:val="StileCET"/>
        <w:tblW w:w="0" w:type="auto"/>
        <w:tblLook w:val="04A0" w:firstRow="1" w:lastRow="0" w:firstColumn="1" w:lastColumn="0" w:noHBand="0" w:noVBand="1"/>
      </w:tblPr>
      <w:tblGrid>
        <w:gridCol w:w="1137"/>
        <w:gridCol w:w="1057"/>
        <w:gridCol w:w="1137"/>
        <w:gridCol w:w="1087"/>
        <w:gridCol w:w="1277"/>
        <w:gridCol w:w="1067"/>
        <w:gridCol w:w="677"/>
      </w:tblGrid>
      <w:tr w:rsidR="00D75F57" w:rsidRPr="004858AC" w14:paraId="10D1DD53" w14:textId="429ADFCF" w:rsidTr="007D11D3">
        <w:trPr>
          <w:trHeight w:val="227"/>
        </w:trPr>
        <w:tc>
          <w:tcPr>
            <w:tcW w:w="0" w:type="auto"/>
            <w:gridSpan w:val="2"/>
            <w:tcBorders>
              <w:top w:val="single" w:sz="12" w:space="0" w:color="00B050"/>
              <w:bottom w:val="single" w:sz="6" w:space="0" w:color="00B050"/>
            </w:tcBorders>
          </w:tcPr>
          <w:p w14:paraId="7EFA3C69" w14:textId="34BE738E" w:rsidR="00D75F57" w:rsidRPr="004858AC" w:rsidRDefault="00D75F57" w:rsidP="004845D1">
            <w:pPr>
              <w:spacing w:line="259" w:lineRule="auto"/>
              <w:jc w:val="center"/>
              <w:rPr>
                <w:rFonts w:eastAsia="Calibri" w:cs="Arial"/>
                <w:szCs w:val="18"/>
              </w:rPr>
            </w:pPr>
            <w:r w:rsidRPr="004858AC">
              <w:rPr>
                <w:rFonts w:eastAsia="Calibri" w:cs="Arial"/>
                <w:szCs w:val="18"/>
              </w:rPr>
              <w:t>Initial Conditions</w:t>
            </w:r>
          </w:p>
        </w:tc>
        <w:tc>
          <w:tcPr>
            <w:tcW w:w="0" w:type="auto"/>
            <w:gridSpan w:val="2"/>
            <w:tcBorders>
              <w:top w:val="single" w:sz="12" w:space="0" w:color="00B050"/>
              <w:bottom w:val="single" w:sz="6" w:space="0" w:color="00B050"/>
            </w:tcBorders>
          </w:tcPr>
          <w:p w14:paraId="6B1E4D8A" w14:textId="19952EDD" w:rsidR="00D75F57" w:rsidRPr="004858AC" w:rsidRDefault="00D75F57" w:rsidP="004845D1">
            <w:pPr>
              <w:spacing w:line="259" w:lineRule="auto"/>
              <w:jc w:val="center"/>
              <w:rPr>
                <w:rFonts w:eastAsia="Calibri" w:cs="Arial"/>
                <w:szCs w:val="18"/>
              </w:rPr>
            </w:pPr>
            <w:r w:rsidRPr="00DD108A">
              <w:rPr>
                <w:rFonts w:eastAsia="Calibri" w:cs="Arial"/>
                <w:bCs/>
                <w:szCs w:val="18"/>
              </w:rPr>
              <w:t>Inspections</w:t>
            </w:r>
          </w:p>
        </w:tc>
        <w:tc>
          <w:tcPr>
            <w:tcW w:w="0" w:type="auto"/>
            <w:gridSpan w:val="3"/>
            <w:tcBorders>
              <w:top w:val="single" w:sz="12" w:space="0" w:color="00B050"/>
              <w:bottom w:val="single" w:sz="6" w:space="0" w:color="00B050"/>
            </w:tcBorders>
          </w:tcPr>
          <w:p w14:paraId="0C6F1D9B" w14:textId="1ABC6E00" w:rsidR="00D75F57" w:rsidRDefault="00D75F57" w:rsidP="004845D1">
            <w:pPr>
              <w:spacing w:line="259" w:lineRule="auto"/>
              <w:jc w:val="center"/>
              <w:rPr>
                <w:rFonts w:eastAsia="Calibri" w:cs="Arial"/>
                <w:bCs/>
                <w:szCs w:val="18"/>
              </w:rPr>
            </w:pPr>
            <w:r>
              <w:rPr>
                <w:rFonts w:eastAsia="Calibri" w:cs="Arial"/>
                <w:bCs/>
                <w:szCs w:val="18"/>
              </w:rPr>
              <w:t>Risk Index</w:t>
            </w:r>
          </w:p>
        </w:tc>
      </w:tr>
      <w:tr w:rsidR="00D75F57" w:rsidRPr="004858AC" w14:paraId="7E19A994" w14:textId="09888606" w:rsidTr="007D11D3">
        <w:trPr>
          <w:trHeight w:val="227"/>
        </w:trPr>
        <w:tc>
          <w:tcPr>
            <w:tcW w:w="0" w:type="auto"/>
            <w:tcBorders>
              <w:top w:val="single" w:sz="6" w:space="0" w:color="00B050"/>
              <w:bottom w:val="single" w:sz="4" w:space="0" w:color="00B050"/>
            </w:tcBorders>
          </w:tcPr>
          <w:p w14:paraId="6599ECEC" w14:textId="2320CC60" w:rsidR="00D75F57" w:rsidRDefault="00D75F57" w:rsidP="00D75F57">
            <w:pPr>
              <w:spacing w:line="259" w:lineRule="auto"/>
              <w:jc w:val="left"/>
              <w:rPr>
                <w:rFonts w:eastAsia="Calibri" w:cs="Arial"/>
                <w:szCs w:val="18"/>
              </w:rPr>
            </w:pPr>
            <w:r>
              <w:rPr>
                <w:rFonts w:eastAsia="Calibri" w:cs="Arial"/>
                <w:szCs w:val="18"/>
              </w:rPr>
              <w:t>State name</w:t>
            </w:r>
          </w:p>
        </w:tc>
        <w:tc>
          <w:tcPr>
            <w:tcW w:w="0" w:type="auto"/>
            <w:tcBorders>
              <w:top w:val="single" w:sz="6" w:space="0" w:color="00B050"/>
              <w:bottom w:val="single" w:sz="4" w:space="0" w:color="00B050"/>
            </w:tcBorders>
          </w:tcPr>
          <w:p w14:paraId="5D230CE6" w14:textId="32545211" w:rsidR="00D75F57" w:rsidRPr="004858AC" w:rsidRDefault="00D75F57" w:rsidP="00D75F57">
            <w:pPr>
              <w:spacing w:line="259" w:lineRule="auto"/>
              <w:jc w:val="left"/>
              <w:rPr>
                <w:rFonts w:eastAsia="Calibri" w:cs="Arial"/>
                <w:szCs w:val="18"/>
              </w:rPr>
            </w:pPr>
            <w:r>
              <w:rPr>
                <w:rFonts w:eastAsia="Calibri" w:cs="Arial"/>
                <w:szCs w:val="18"/>
              </w:rPr>
              <w:t>Range [%]</w:t>
            </w:r>
          </w:p>
        </w:tc>
        <w:tc>
          <w:tcPr>
            <w:tcW w:w="0" w:type="auto"/>
            <w:tcBorders>
              <w:top w:val="single" w:sz="6" w:space="0" w:color="00B050"/>
              <w:bottom w:val="single" w:sz="4" w:space="0" w:color="00B050"/>
            </w:tcBorders>
          </w:tcPr>
          <w:p w14:paraId="24B2B45D" w14:textId="4BEA74E5" w:rsidR="00D75F57" w:rsidRPr="004858AC" w:rsidRDefault="00D75F57" w:rsidP="00D75F57">
            <w:pPr>
              <w:spacing w:line="259" w:lineRule="auto"/>
              <w:jc w:val="left"/>
              <w:rPr>
                <w:rFonts w:eastAsia="Calibri" w:cs="Arial"/>
                <w:szCs w:val="18"/>
              </w:rPr>
            </w:pPr>
            <w:r>
              <w:rPr>
                <w:rFonts w:eastAsia="Calibri" w:cs="Arial"/>
                <w:szCs w:val="18"/>
              </w:rPr>
              <w:t>State name</w:t>
            </w:r>
          </w:p>
        </w:tc>
        <w:tc>
          <w:tcPr>
            <w:tcW w:w="0" w:type="auto"/>
            <w:tcBorders>
              <w:top w:val="single" w:sz="6" w:space="0" w:color="00B050"/>
              <w:bottom w:val="single" w:sz="4" w:space="0" w:color="00B050"/>
            </w:tcBorders>
          </w:tcPr>
          <w:p w14:paraId="76BE2155" w14:textId="5B359528" w:rsidR="00D75F57" w:rsidRPr="004858AC" w:rsidRDefault="00D75F57" w:rsidP="00D75F57">
            <w:pPr>
              <w:spacing w:line="259" w:lineRule="auto"/>
              <w:jc w:val="left"/>
              <w:rPr>
                <w:rFonts w:eastAsia="Calibri" w:cs="Arial"/>
                <w:szCs w:val="18"/>
              </w:rPr>
            </w:pPr>
            <w:r>
              <w:rPr>
                <w:rFonts w:eastAsia="Calibri" w:cs="Arial"/>
                <w:szCs w:val="18"/>
              </w:rPr>
              <w:t>Range [%]</w:t>
            </w:r>
          </w:p>
        </w:tc>
        <w:tc>
          <w:tcPr>
            <w:tcW w:w="0" w:type="auto"/>
            <w:tcBorders>
              <w:top w:val="single" w:sz="6" w:space="0" w:color="00B050"/>
              <w:bottom w:val="single" w:sz="4" w:space="0" w:color="00B050"/>
            </w:tcBorders>
          </w:tcPr>
          <w:p w14:paraId="32422EA5" w14:textId="526DDE4E" w:rsidR="00D75F57" w:rsidRDefault="00D75F57" w:rsidP="00D75F57">
            <w:pPr>
              <w:spacing w:line="259" w:lineRule="auto"/>
              <w:jc w:val="left"/>
              <w:rPr>
                <w:rFonts w:eastAsia="Calibri" w:cs="Arial"/>
                <w:szCs w:val="18"/>
              </w:rPr>
            </w:pPr>
            <w:r>
              <w:rPr>
                <w:rFonts w:eastAsia="Calibri" w:cs="Arial"/>
                <w:szCs w:val="18"/>
              </w:rPr>
              <w:t>State name</w:t>
            </w:r>
          </w:p>
        </w:tc>
        <w:tc>
          <w:tcPr>
            <w:tcW w:w="0" w:type="auto"/>
            <w:tcBorders>
              <w:top w:val="single" w:sz="6" w:space="0" w:color="00B050"/>
              <w:bottom w:val="single" w:sz="4" w:space="0" w:color="00B050"/>
            </w:tcBorders>
          </w:tcPr>
          <w:p w14:paraId="09E06976" w14:textId="2898B616" w:rsidR="00D75F57" w:rsidRDefault="00D75F57" w:rsidP="00D75F57">
            <w:pPr>
              <w:spacing w:line="259" w:lineRule="auto"/>
              <w:jc w:val="left"/>
              <w:rPr>
                <w:rFonts w:eastAsia="Calibri" w:cs="Arial"/>
                <w:szCs w:val="18"/>
              </w:rPr>
            </w:pPr>
            <w:r>
              <w:rPr>
                <w:rFonts w:eastAsia="Calibri" w:cs="Arial"/>
                <w:szCs w:val="18"/>
              </w:rPr>
              <w:t>Coefficient</w:t>
            </w:r>
          </w:p>
        </w:tc>
        <w:tc>
          <w:tcPr>
            <w:tcW w:w="0" w:type="auto"/>
            <w:tcBorders>
              <w:top w:val="single" w:sz="6" w:space="0" w:color="00B050"/>
              <w:bottom w:val="single" w:sz="4" w:space="0" w:color="00B050"/>
            </w:tcBorders>
          </w:tcPr>
          <w:p w14:paraId="69FD565F" w14:textId="46451519" w:rsidR="00D75F57" w:rsidRPr="00E92DB6" w:rsidRDefault="00E92DB6" w:rsidP="00D75F57">
            <w:pPr>
              <w:spacing w:line="259" w:lineRule="auto"/>
              <w:jc w:val="left"/>
              <w:rPr>
                <w:rFonts w:eastAsia="Calibri" w:cs="Arial"/>
                <w:szCs w:val="18"/>
              </w:rPr>
            </w:pPr>
            <w:r w:rsidRPr="00E92DB6">
              <w:rPr>
                <w:rFonts w:eastAsia="Calibri" w:cs="Arial"/>
                <w:szCs w:val="18"/>
              </w:rPr>
              <w:t>Value</w:t>
            </w:r>
          </w:p>
        </w:tc>
      </w:tr>
      <w:tr w:rsidR="00D75F57" w:rsidRPr="004858AC" w14:paraId="36261123" w14:textId="416DC719" w:rsidTr="00D75F57">
        <w:trPr>
          <w:trHeight w:val="227"/>
        </w:trPr>
        <w:tc>
          <w:tcPr>
            <w:tcW w:w="0" w:type="auto"/>
            <w:tcBorders>
              <w:top w:val="single" w:sz="4" w:space="0" w:color="00B050"/>
              <w:bottom w:val="nil"/>
            </w:tcBorders>
          </w:tcPr>
          <w:p w14:paraId="73FF1473" w14:textId="2D7F23E4" w:rsidR="00D75F57" w:rsidRPr="004858AC" w:rsidRDefault="00D75F57" w:rsidP="00D75F57">
            <w:pPr>
              <w:spacing w:line="259" w:lineRule="auto"/>
              <w:jc w:val="left"/>
              <w:rPr>
                <w:rFonts w:eastAsia="Calibri" w:cs="Arial"/>
                <w:szCs w:val="18"/>
              </w:rPr>
            </w:pPr>
            <w:r w:rsidRPr="00A1247A">
              <w:rPr>
                <w:rFonts w:eastAsia="Calibri"/>
                <w:kern w:val="2"/>
                <w:szCs w:val="24"/>
                <w14:ligatures w14:val="standardContextual"/>
              </w:rPr>
              <w:t>Normal</w:t>
            </w:r>
          </w:p>
        </w:tc>
        <w:tc>
          <w:tcPr>
            <w:tcW w:w="0" w:type="auto"/>
            <w:tcBorders>
              <w:top w:val="single" w:sz="4" w:space="0" w:color="00B050"/>
              <w:bottom w:val="nil"/>
            </w:tcBorders>
          </w:tcPr>
          <w:p w14:paraId="274629D9" w14:textId="5F084460" w:rsidR="00D75F57" w:rsidRPr="004858AC" w:rsidRDefault="00D75F57" w:rsidP="00D75F57">
            <w:pPr>
              <w:spacing w:line="259" w:lineRule="auto"/>
              <w:jc w:val="left"/>
              <w:rPr>
                <w:rFonts w:eastAsia="Calibri" w:cs="Arial"/>
                <w:szCs w:val="18"/>
              </w:rPr>
            </w:pPr>
            <w:r w:rsidRPr="004858AC">
              <w:rPr>
                <w:rFonts w:eastAsia="Calibri" w:cs="Arial"/>
                <w:szCs w:val="18"/>
              </w:rPr>
              <w:t xml:space="preserve">10 - 100 </w:t>
            </w:r>
          </w:p>
        </w:tc>
        <w:tc>
          <w:tcPr>
            <w:tcW w:w="0" w:type="auto"/>
            <w:tcBorders>
              <w:top w:val="single" w:sz="4" w:space="0" w:color="00B050"/>
              <w:bottom w:val="nil"/>
            </w:tcBorders>
          </w:tcPr>
          <w:p w14:paraId="7BEE6212" w14:textId="20AF0C98" w:rsidR="00D75F57" w:rsidRPr="004858AC" w:rsidRDefault="00204F1B" w:rsidP="00D75F57">
            <w:pPr>
              <w:spacing w:line="259" w:lineRule="auto"/>
              <w:jc w:val="left"/>
              <w:rPr>
                <w:rFonts w:eastAsia="Calibri" w:cs="Arial"/>
                <w:szCs w:val="18"/>
              </w:rPr>
            </w:pPr>
            <w:r>
              <w:rPr>
                <w:rFonts w:eastAsia="Calibri" w:cs="Arial"/>
                <w:szCs w:val="18"/>
              </w:rPr>
              <w:t>S</w:t>
            </w:r>
            <w:r w:rsidR="00D75F57">
              <w:rPr>
                <w:rFonts w:eastAsia="Calibri" w:cs="Arial"/>
                <w:szCs w:val="18"/>
              </w:rPr>
              <w:t>1</w:t>
            </w:r>
          </w:p>
        </w:tc>
        <w:tc>
          <w:tcPr>
            <w:tcW w:w="0" w:type="auto"/>
            <w:tcBorders>
              <w:top w:val="single" w:sz="4" w:space="0" w:color="00B050"/>
              <w:bottom w:val="nil"/>
            </w:tcBorders>
          </w:tcPr>
          <w:p w14:paraId="13A6EB18" w14:textId="5C5068DC" w:rsidR="00D75F57" w:rsidRPr="004858AC" w:rsidRDefault="00D75F57" w:rsidP="00D75F57">
            <w:pPr>
              <w:spacing w:line="259" w:lineRule="auto"/>
              <w:jc w:val="left"/>
              <w:rPr>
                <w:rFonts w:eastAsia="Calibri" w:cs="Arial"/>
                <w:szCs w:val="18"/>
              </w:rPr>
            </w:pPr>
            <w:r w:rsidRPr="00DD108A">
              <w:rPr>
                <w:rFonts w:eastAsia="Calibri" w:cs="Arial"/>
                <w:bCs/>
                <w:szCs w:val="18"/>
              </w:rPr>
              <w:t>80 - 100 %</w:t>
            </w:r>
          </w:p>
        </w:tc>
        <w:tc>
          <w:tcPr>
            <w:tcW w:w="0" w:type="auto"/>
            <w:tcBorders>
              <w:top w:val="single" w:sz="4" w:space="0" w:color="00B050"/>
              <w:bottom w:val="nil"/>
            </w:tcBorders>
          </w:tcPr>
          <w:p w14:paraId="3A146391" w14:textId="6B7D255A" w:rsidR="00D75F57" w:rsidRPr="00DD108A" w:rsidRDefault="00D75F57" w:rsidP="00D75F57">
            <w:pPr>
              <w:spacing w:line="259" w:lineRule="auto"/>
              <w:jc w:val="left"/>
              <w:rPr>
                <w:rFonts w:eastAsia="Calibri" w:cs="Arial"/>
                <w:bCs/>
                <w:szCs w:val="18"/>
              </w:rPr>
            </w:pPr>
            <w:r w:rsidRPr="00DD108A">
              <w:rPr>
                <w:rFonts w:eastAsia="Calibri" w:cs="Arial"/>
                <w:bCs/>
                <w:szCs w:val="18"/>
              </w:rPr>
              <w:t>Low</w:t>
            </w:r>
          </w:p>
        </w:tc>
        <w:tc>
          <w:tcPr>
            <w:tcW w:w="0" w:type="auto"/>
            <w:tcBorders>
              <w:top w:val="single" w:sz="4" w:space="0" w:color="00B050"/>
              <w:bottom w:val="nil"/>
            </w:tcBorders>
          </w:tcPr>
          <w:p w14:paraId="5D2DBCD5" w14:textId="3B3AD1AB" w:rsidR="00D75F57" w:rsidRPr="00DD108A" w:rsidRDefault="003E7C01" w:rsidP="00D75F57">
            <w:pPr>
              <w:spacing w:line="259" w:lineRule="auto"/>
              <w:jc w:val="left"/>
              <w:rPr>
                <w:rFonts w:eastAsia="Calibri" w:cs="Arial"/>
                <w:bCs/>
                <w:szCs w:val="18"/>
              </w:rPr>
            </w:pPr>
            <m:oMathPara>
              <m:oMath>
                <m:sSub>
                  <m:sSubPr>
                    <m:ctrlPr>
                      <w:rPr>
                        <w:rFonts w:ascii="Cambria Math" w:eastAsia="Calibri" w:hAnsi="Cambria Math" w:cs="Arial"/>
                        <w:szCs w:val="18"/>
                      </w:rPr>
                    </m:ctrlPr>
                  </m:sSubPr>
                  <m:e>
                    <m:r>
                      <w:rPr>
                        <w:rFonts w:ascii="Cambria Math" w:eastAsia="Calibri" w:hAnsi="Cambria Math" w:cs="Arial"/>
                        <w:szCs w:val="18"/>
                      </w:rPr>
                      <m:t>f</m:t>
                    </m:r>
                  </m:e>
                  <m:sub>
                    <m:r>
                      <m:rPr>
                        <m:sty m:val="p"/>
                      </m:rPr>
                      <w:rPr>
                        <w:rFonts w:ascii="Cambria Math" w:eastAsia="Calibri" w:hAnsi="Cambria Math" w:cs="Arial"/>
                        <w:szCs w:val="18"/>
                      </w:rPr>
                      <m:t>1</m:t>
                    </m:r>
                  </m:sub>
                </m:sSub>
              </m:oMath>
            </m:oMathPara>
          </w:p>
        </w:tc>
        <w:tc>
          <w:tcPr>
            <w:tcW w:w="0" w:type="auto"/>
            <w:tcBorders>
              <w:top w:val="single" w:sz="4" w:space="0" w:color="00B050"/>
              <w:bottom w:val="nil"/>
            </w:tcBorders>
          </w:tcPr>
          <w:p w14:paraId="6708606F" w14:textId="09F9F782" w:rsidR="00D75F57" w:rsidRPr="00E92DB6" w:rsidRDefault="00E92DB6" w:rsidP="00D75F57">
            <w:pPr>
              <w:spacing w:line="259" w:lineRule="auto"/>
              <w:jc w:val="left"/>
              <w:rPr>
                <w:rFonts w:eastAsia="Calibri" w:cs="Arial"/>
                <w:szCs w:val="18"/>
              </w:rPr>
            </w:pPr>
            <w:r w:rsidRPr="00E92DB6">
              <w:rPr>
                <w:rFonts w:eastAsia="Calibri" w:cs="Arial"/>
                <w:szCs w:val="18"/>
              </w:rPr>
              <w:t>0.</w:t>
            </w:r>
            <w:r w:rsidR="00D75F57" w:rsidRPr="00E92DB6">
              <w:rPr>
                <w:rFonts w:eastAsia="Calibri" w:cs="Arial"/>
                <w:szCs w:val="18"/>
              </w:rPr>
              <w:t xml:space="preserve">25 </w:t>
            </w:r>
          </w:p>
        </w:tc>
      </w:tr>
      <w:tr w:rsidR="00D75F57" w:rsidRPr="004858AC" w14:paraId="6A98EE14" w14:textId="6BC5AF9D" w:rsidTr="00D75F57">
        <w:trPr>
          <w:trHeight w:val="227"/>
        </w:trPr>
        <w:tc>
          <w:tcPr>
            <w:tcW w:w="0" w:type="auto"/>
            <w:tcBorders>
              <w:top w:val="nil"/>
              <w:bottom w:val="nil"/>
            </w:tcBorders>
          </w:tcPr>
          <w:p w14:paraId="32843719" w14:textId="5872D85A" w:rsidR="00D75F57" w:rsidRPr="004858AC" w:rsidRDefault="00D75F57" w:rsidP="00D75F57">
            <w:pPr>
              <w:spacing w:line="259" w:lineRule="auto"/>
              <w:jc w:val="left"/>
              <w:rPr>
                <w:rFonts w:eastAsia="Calibri" w:cs="Arial"/>
                <w:szCs w:val="18"/>
              </w:rPr>
            </w:pPr>
            <w:r w:rsidRPr="00A1247A">
              <w:rPr>
                <w:rFonts w:eastAsia="Calibri"/>
                <w:kern w:val="2"/>
                <w:szCs w:val="24"/>
                <w14:ligatures w14:val="standardContextual"/>
              </w:rPr>
              <w:t>Warning</w:t>
            </w:r>
          </w:p>
        </w:tc>
        <w:tc>
          <w:tcPr>
            <w:tcW w:w="0" w:type="auto"/>
            <w:tcBorders>
              <w:top w:val="nil"/>
              <w:bottom w:val="nil"/>
            </w:tcBorders>
          </w:tcPr>
          <w:p w14:paraId="59F4FEEF" w14:textId="5B33EFD0" w:rsidR="00D75F57" w:rsidRPr="004858AC" w:rsidRDefault="00D75F57" w:rsidP="00D75F57">
            <w:pPr>
              <w:spacing w:line="259" w:lineRule="auto"/>
              <w:jc w:val="left"/>
              <w:rPr>
                <w:rFonts w:eastAsia="Calibri" w:cs="Arial"/>
                <w:szCs w:val="18"/>
              </w:rPr>
            </w:pPr>
            <w:r w:rsidRPr="004858AC">
              <w:rPr>
                <w:rFonts w:eastAsia="Calibri" w:cs="Arial"/>
                <w:szCs w:val="18"/>
              </w:rPr>
              <w:t xml:space="preserve">5 - 10 </w:t>
            </w:r>
          </w:p>
        </w:tc>
        <w:tc>
          <w:tcPr>
            <w:tcW w:w="0" w:type="auto"/>
            <w:tcBorders>
              <w:top w:val="nil"/>
              <w:bottom w:val="nil"/>
            </w:tcBorders>
          </w:tcPr>
          <w:p w14:paraId="59C2A247" w14:textId="6574E072" w:rsidR="00D75F57" w:rsidRPr="004858AC" w:rsidRDefault="00204F1B" w:rsidP="00D75F57">
            <w:pPr>
              <w:spacing w:line="259" w:lineRule="auto"/>
              <w:jc w:val="left"/>
              <w:rPr>
                <w:rFonts w:eastAsia="Calibri" w:cs="Arial"/>
                <w:szCs w:val="18"/>
              </w:rPr>
            </w:pPr>
            <w:r>
              <w:rPr>
                <w:rFonts w:eastAsia="Calibri" w:cs="Arial"/>
                <w:szCs w:val="18"/>
              </w:rPr>
              <w:t>S</w:t>
            </w:r>
            <w:r w:rsidR="00D75F57">
              <w:rPr>
                <w:rFonts w:eastAsia="Calibri" w:cs="Arial"/>
                <w:szCs w:val="18"/>
              </w:rPr>
              <w:t>2</w:t>
            </w:r>
          </w:p>
        </w:tc>
        <w:tc>
          <w:tcPr>
            <w:tcW w:w="0" w:type="auto"/>
            <w:tcBorders>
              <w:top w:val="nil"/>
              <w:bottom w:val="nil"/>
            </w:tcBorders>
          </w:tcPr>
          <w:p w14:paraId="420611CF" w14:textId="13D3A993" w:rsidR="00D75F57" w:rsidRPr="004858AC" w:rsidRDefault="00D75F57" w:rsidP="00D75F57">
            <w:pPr>
              <w:spacing w:line="259" w:lineRule="auto"/>
              <w:jc w:val="left"/>
              <w:rPr>
                <w:rFonts w:eastAsia="Calibri" w:cs="Arial"/>
                <w:szCs w:val="18"/>
              </w:rPr>
            </w:pPr>
            <w:r w:rsidRPr="00DD108A">
              <w:rPr>
                <w:rFonts w:eastAsia="Calibri" w:cs="Arial"/>
                <w:bCs/>
                <w:szCs w:val="18"/>
              </w:rPr>
              <w:t>50 - 80 %</w:t>
            </w:r>
          </w:p>
        </w:tc>
        <w:tc>
          <w:tcPr>
            <w:tcW w:w="0" w:type="auto"/>
            <w:tcBorders>
              <w:top w:val="nil"/>
              <w:bottom w:val="nil"/>
            </w:tcBorders>
          </w:tcPr>
          <w:p w14:paraId="7886DD44" w14:textId="3B0EE61B" w:rsidR="00D75F57" w:rsidRPr="00DD108A" w:rsidRDefault="00D75F57" w:rsidP="00D75F57">
            <w:pPr>
              <w:spacing w:line="259" w:lineRule="auto"/>
              <w:jc w:val="left"/>
              <w:rPr>
                <w:rFonts w:eastAsia="Calibri" w:cs="Arial"/>
                <w:bCs/>
                <w:szCs w:val="18"/>
              </w:rPr>
            </w:pPr>
            <w:r w:rsidRPr="00DD108A">
              <w:rPr>
                <w:rFonts w:eastAsia="Calibri" w:cs="Arial"/>
                <w:bCs/>
                <w:szCs w:val="18"/>
              </w:rPr>
              <w:t>Medium Low</w:t>
            </w:r>
          </w:p>
        </w:tc>
        <w:tc>
          <w:tcPr>
            <w:tcW w:w="0" w:type="auto"/>
            <w:tcBorders>
              <w:top w:val="nil"/>
              <w:bottom w:val="nil"/>
            </w:tcBorders>
          </w:tcPr>
          <w:p w14:paraId="089D418D" w14:textId="083E3855" w:rsidR="00D75F57" w:rsidRPr="00DD108A" w:rsidRDefault="003E7C01" w:rsidP="00D75F57">
            <w:pPr>
              <w:spacing w:line="259" w:lineRule="auto"/>
              <w:jc w:val="left"/>
              <w:rPr>
                <w:rFonts w:eastAsia="Calibri" w:cs="Arial"/>
                <w:bCs/>
                <w:szCs w:val="18"/>
              </w:rPr>
            </w:pPr>
            <m:oMathPara>
              <m:oMath>
                <m:sSub>
                  <m:sSubPr>
                    <m:ctrlPr>
                      <w:rPr>
                        <w:rFonts w:ascii="Cambria Math" w:eastAsia="Calibri" w:hAnsi="Cambria Math" w:cs="Arial"/>
                        <w:szCs w:val="18"/>
                      </w:rPr>
                    </m:ctrlPr>
                  </m:sSubPr>
                  <m:e>
                    <m:r>
                      <w:rPr>
                        <w:rFonts w:ascii="Cambria Math" w:eastAsia="Calibri" w:hAnsi="Cambria Math" w:cs="Arial"/>
                        <w:szCs w:val="18"/>
                      </w:rPr>
                      <m:t>f</m:t>
                    </m:r>
                  </m:e>
                  <m:sub>
                    <m:r>
                      <m:rPr>
                        <m:sty m:val="p"/>
                      </m:rPr>
                      <w:rPr>
                        <w:rFonts w:ascii="Cambria Math" w:eastAsia="Calibri" w:hAnsi="Cambria Math" w:cs="Arial"/>
                        <w:szCs w:val="18"/>
                      </w:rPr>
                      <m:t>2</m:t>
                    </m:r>
                  </m:sub>
                </m:sSub>
              </m:oMath>
            </m:oMathPara>
          </w:p>
        </w:tc>
        <w:tc>
          <w:tcPr>
            <w:tcW w:w="0" w:type="auto"/>
            <w:tcBorders>
              <w:top w:val="nil"/>
              <w:bottom w:val="nil"/>
            </w:tcBorders>
          </w:tcPr>
          <w:p w14:paraId="356BEF35" w14:textId="7D954399" w:rsidR="00D75F57" w:rsidRPr="00E92DB6" w:rsidRDefault="00E92DB6" w:rsidP="00D75F57">
            <w:pPr>
              <w:spacing w:line="259" w:lineRule="auto"/>
              <w:jc w:val="left"/>
              <w:rPr>
                <w:rFonts w:eastAsia="Calibri" w:cs="Arial"/>
                <w:szCs w:val="18"/>
              </w:rPr>
            </w:pPr>
            <w:r w:rsidRPr="00E92DB6">
              <w:rPr>
                <w:rFonts w:eastAsia="Calibri" w:cs="Arial"/>
                <w:szCs w:val="18"/>
              </w:rPr>
              <w:t>0.</w:t>
            </w:r>
            <w:r w:rsidR="00D75F57" w:rsidRPr="00E92DB6">
              <w:rPr>
                <w:rFonts w:eastAsia="Calibri" w:cs="Arial"/>
                <w:szCs w:val="18"/>
              </w:rPr>
              <w:t xml:space="preserve">35 </w:t>
            </w:r>
          </w:p>
        </w:tc>
      </w:tr>
      <w:tr w:rsidR="00D75F57" w:rsidRPr="008753AE" w14:paraId="7A1B9F13" w14:textId="736E17E8" w:rsidTr="00D75F57">
        <w:trPr>
          <w:trHeight w:val="227"/>
        </w:trPr>
        <w:tc>
          <w:tcPr>
            <w:tcW w:w="0" w:type="auto"/>
            <w:tcBorders>
              <w:top w:val="nil"/>
              <w:bottom w:val="nil"/>
            </w:tcBorders>
          </w:tcPr>
          <w:p w14:paraId="025033D7" w14:textId="083F14C6" w:rsidR="00D75F57" w:rsidRPr="008753AE" w:rsidRDefault="00D75F57" w:rsidP="00D75F57">
            <w:pPr>
              <w:spacing w:line="259" w:lineRule="auto"/>
              <w:jc w:val="left"/>
              <w:rPr>
                <w:rFonts w:eastAsia="Calibri" w:cs="Arial"/>
                <w:szCs w:val="18"/>
              </w:rPr>
            </w:pPr>
            <w:r w:rsidRPr="00A1247A">
              <w:rPr>
                <w:rFonts w:eastAsia="Calibri"/>
                <w:kern w:val="2"/>
                <w:szCs w:val="24"/>
                <w14:ligatures w14:val="standardContextual"/>
              </w:rPr>
              <w:t>Pre-Critical</w:t>
            </w:r>
          </w:p>
        </w:tc>
        <w:tc>
          <w:tcPr>
            <w:tcW w:w="0" w:type="auto"/>
            <w:tcBorders>
              <w:top w:val="nil"/>
              <w:bottom w:val="nil"/>
            </w:tcBorders>
          </w:tcPr>
          <w:p w14:paraId="41397548" w14:textId="7283EFB4" w:rsidR="00D75F57" w:rsidRPr="008753AE" w:rsidRDefault="00D75F57" w:rsidP="00D75F57">
            <w:pPr>
              <w:spacing w:line="259" w:lineRule="auto"/>
              <w:jc w:val="left"/>
              <w:rPr>
                <w:rFonts w:eastAsia="Calibri" w:cs="Arial"/>
                <w:szCs w:val="18"/>
              </w:rPr>
            </w:pPr>
            <w:r w:rsidRPr="008753AE">
              <w:rPr>
                <w:rFonts w:eastAsia="Calibri" w:cs="Arial"/>
                <w:szCs w:val="18"/>
              </w:rPr>
              <w:t>2 - 5</w:t>
            </w:r>
          </w:p>
        </w:tc>
        <w:tc>
          <w:tcPr>
            <w:tcW w:w="0" w:type="auto"/>
            <w:tcBorders>
              <w:top w:val="nil"/>
              <w:bottom w:val="nil"/>
            </w:tcBorders>
          </w:tcPr>
          <w:p w14:paraId="078CC5F9" w14:textId="64B3FB30" w:rsidR="00D75F57" w:rsidRPr="008753AE" w:rsidRDefault="00204F1B" w:rsidP="00D75F57">
            <w:pPr>
              <w:spacing w:line="259" w:lineRule="auto"/>
              <w:jc w:val="left"/>
              <w:rPr>
                <w:rFonts w:eastAsia="Calibri" w:cs="Arial"/>
                <w:szCs w:val="18"/>
              </w:rPr>
            </w:pPr>
            <w:r>
              <w:rPr>
                <w:rFonts w:eastAsia="Calibri" w:cs="Arial"/>
                <w:szCs w:val="18"/>
              </w:rPr>
              <w:t>S</w:t>
            </w:r>
            <w:r w:rsidR="00D75F57">
              <w:rPr>
                <w:rFonts w:eastAsia="Calibri" w:cs="Arial"/>
                <w:szCs w:val="18"/>
              </w:rPr>
              <w:t>3</w:t>
            </w:r>
          </w:p>
        </w:tc>
        <w:tc>
          <w:tcPr>
            <w:tcW w:w="0" w:type="auto"/>
            <w:tcBorders>
              <w:top w:val="nil"/>
              <w:bottom w:val="nil"/>
            </w:tcBorders>
          </w:tcPr>
          <w:p w14:paraId="740768CA" w14:textId="79431467" w:rsidR="00D75F57" w:rsidRPr="008753AE" w:rsidRDefault="008B7D2F" w:rsidP="00D75F57">
            <w:pPr>
              <w:spacing w:line="259" w:lineRule="auto"/>
              <w:jc w:val="left"/>
              <w:rPr>
                <w:rFonts w:eastAsia="Calibri" w:cs="Arial"/>
                <w:szCs w:val="18"/>
              </w:rPr>
            </w:pPr>
            <w:r w:rsidRPr="00634129">
              <w:rPr>
                <w:rFonts w:eastAsia="Calibri" w:cs="Arial"/>
                <w:szCs w:val="18"/>
              </w:rPr>
              <w:t>≤</w:t>
            </w:r>
            <w:r w:rsidR="00D75F57" w:rsidRPr="002B63E6">
              <w:rPr>
                <w:rFonts w:eastAsia="Calibri" w:cs="Arial"/>
                <w:szCs w:val="18"/>
              </w:rPr>
              <w:t xml:space="preserve"> 50%</w:t>
            </w:r>
          </w:p>
        </w:tc>
        <w:tc>
          <w:tcPr>
            <w:tcW w:w="0" w:type="auto"/>
            <w:tcBorders>
              <w:top w:val="nil"/>
              <w:bottom w:val="nil"/>
            </w:tcBorders>
          </w:tcPr>
          <w:p w14:paraId="5B920362" w14:textId="459E6FC0" w:rsidR="00D75F57" w:rsidRPr="002B63E6" w:rsidRDefault="00D75F57" w:rsidP="00D75F57">
            <w:pPr>
              <w:spacing w:line="259" w:lineRule="auto"/>
              <w:jc w:val="left"/>
              <w:rPr>
                <w:rFonts w:eastAsia="Calibri" w:cs="Arial"/>
                <w:szCs w:val="18"/>
              </w:rPr>
            </w:pPr>
            <w:r w:rsidRPr="002B63E6">
              <w:rPr>
                <w:rFonts w:eastAsia="Calibri" w:cs="Arial"/>
                <w:szCs w:val="18"/>
              </w:rPr>
              <w:t>Medium</w:t>
            </w:r>
          </w:p>
        </w:tc>
        <w:tc>
          <w:tcPr>
            <w:tcW w:w="0" w:type="auto"/>
            <w:tcBorders>
              <w:top w:val="nil"/>
              <w:bottom w:val="nil"/>
            </w:tcBorders>
          </w:tcPr>
          <w:p w14:paraId="384F48DA" w14:textId="682D539E" w:rsidR="00D75F57" w:rsidRPr="002B63E6" w:rsidRDefault="003E7C01" w:rsidP="00D75F57">
            <w:pPr>
              <w:spacing w:line="259" w:lineRule="auto"/>
              <w:jc w:val="left"/>
              <w:rPr>
                <w:rFonts w:eastAsia="Calibri" w:cs="Arial"/>
                <w:szCs w:val="18"/>
              </w:rPr>
            </w:pPr>
            <m:oMathPara>
              <m:oMath>
                <m:sSub>
                  <m:sSubPr>
                    <m:ctrlPr>
                      <w:rPr>
                        <w:rFonts w:ascii="Cambria Math" w:eastAsia="Calibri" w:hAnsi="Cambria Math" w:cs="Arial"/>
                        <w:szCs w:val="18"/>
                      </w:rPr>
                    </m:ctrlPr>
                  </m:sSubPr>
                  <m:e>
                    <m:r>
                      <w:rPr>
                        <w:rFonts w:ascii="Cambria Math" w:eastAsia="Calibri" w:hAnsi="Cambria Math" w:cs="Arial"/>
                        <w:szCs w:val="18"/>
                      </w:rPr>
                      <m:t>f</m:t>
                    </m:r>
                  </m:e>
                  <m:sub>
                    <m:r>
                      <m:rPr>
                        <m:sty m:val="p"/>
                      </m:rPr>
                      <w:rPr>
                        <w:rFonts w:ascii="Cambria Math" w:eastAsia="Calibri" w:hAnsi="Cambria Math" w:cs="Arial"/>
                        <w:szCs w:val="18"/>
                      </w:rPr>
                      <m:t>3</m:t>
                    </m:r>
                  </m:sub>
                </m:sSub>
              </m:oMath>
            </m:oMathPara>
          </w:p>
        </w:tc>
        <w:tc>
          <w:tcPr>
            <w:tcW w:w="0" w:type="auto"/>
            <w:tcBorders>
              <w:top w:val="nil"/>
              <w:bottom w:val="nil"/>
            </w:tcBorders>
          </w:tcPr>
          <w:p w14:paraId="3725CE04" w14:textId="6EC37434" w:rsidR="00D75F57" w:rsidRPr="00E92DB6" w:rsidRDefault="00E92DB6" w:rsidP="00D75F57">
            <w:pPr>
              <w:spacing w:line="259" w:lineRule="auto"/>
              <w:jc w:val="left"/>
              <w:rPr>
                <w:rFonts w:eastAsia="Calibri" w:cs="Arial"/>
                <w:szCs w:val="18"/>
              </w:rPr>
            </w:pPr>
            <w:r w:rsidRPr="00E92DB6">
              <w:rPr>
                <w:rFonts w:eastAsia="Calibri" w:cs="Arial"/>
                <w:szCs w:val="18"/>
              </w:rPr>
              <w:t>0.</w:t>
            </w:r>
            <w:r w:rsidR="00D75F57" w:rsidRPr="00E92DB6">
              <w:rPr>
                <w:rFonts w:eastAsia="Calibri" w:cs="Arial"/>
                <w:szCs w:val="18"/>
              </w:rPr>
              <w:t xml:space="preserve">50 </w:t>
            </w:r>
          </w:p>
        </w:tc>
      </w:tr>
      <w:tr w:rsidR="00D75F57" w:rsidRPr="008753AE" w14:paraId="2D33FE74" w14:textId="6FF81E02" w:rsidTr="00D75F57">
        <w:trPr>
          <w:trHeight w:val="227"/>
        </w:trPr>
        <w:tc>
          <w:tcPr>
            <w:tcW w:w="0" w:type="auto"/>
            <w:tcBorders>
              <w:top w:val="nil"/>
              <w:bottom w:val="nil"/>
            </w:tcBorders>
          </w:tcPr>
          <w:p w14:paraId="01977530" w14:textId="571F7253" w:rsidR="00D75F57" w:rsidRPr="00A1247A" w:rsidRDefault="00D75F57" w:rsidP="00D75F57">
            <w:pPr>
              <w:spacing w:line="259" w:lineRule="auto"/>
              <w:jc w:val="left"/>
              <w:rPr>
                <w:rFonts w:eastAsia="Calibri"/>
                <w:kern w:val="2"/>
                <w:szCs w:val="24"/>
                <w14:ligatures w14:val="standardContextual"/>
              </w:rPr>
            </w:pPr>
            <w:r>
              <w:rPr>
                <w:rFonts w:eastAsia="Calibri"/>
                <w:kern w:val="2"/>
                <w:szCs w:val="24"/>
                <w14:ligatures w14:val="standardContextual"/>
              </w:rPr>
              <w:t>Critical</w:t>
            </w:r>
          </w:p>
        </w:tc>
        <w:tc>
          <w:tcPr>
            <w:tcW w:w="0" w:type="auto"/>
            <w:tcBorders>
              <w:top w:val="nil"/>
              <w:bottom w:val="nil"/>
            </w:tcBorders>
          </w:tcPr>
          <w:p w14:paraId="2A7762EB" w14:textId="0F015093" w:rsidR="00D75F57" w:rsidRPr="008753AE" w:rsidRDefault="00D75F57" w:rsidP="00D75F57">
            <w:pPr>
              <w:spacing w:line="259" w:lineRule="auto"/>
              <w:jc w:val="left"/>
              <w:rPr>
                <w:rFonts w:eastAsia="Calibri" w:cs="Arial"/>
                <w:szCs w:val="18"/>
              </w:rPr>
            </w:pPr>
            <w:r w:rsidRPr="00634129">
              <w:rPr>
                <w:rFonts w:eastAsia="Calibri" w:cs="Arial"/>
                <w:szCs w:val="18"/>
              </w:rPr>
              <w:t>≤ 2</w:t>
            </w:r>
          </w:p>
        </w:tc>
        <w:tc>
          <w:tcPr>
            <w:tcW w:w="0" w:type="auto"/>
            <w:tcBorders>
              <w:top w:val="nil"/>
              <w:bottom w:val="nil"/>
            </w:tcBorders>
          </w:tcPr>
          <w:p w14:paraId="411A98DB" w14:textId="77777777" w:rsidR="00D75F57" w:rsidRDefault="00D75F57" w:rsidP="00D75F57">
            <w:pPr>
              <w:spacing w:line="259" w:lineRule="auto"/>
              <w:jc w:val="left"/>
              <w:rPr>
                <w:rFonts w:eastAsia="Calibri" w:cs="Arial"/>
                <w:szCs w:val="18"/>
              </w:rPr>
            </w:pPr>
          </w:p>
        </w:tc>
        <w:tc>
          <w:tcPr>
            <w:tcW w:w="0" w:type="auto"/>
            <w:tcBorders>
              <w:top w:val="nil"/>
              <w:bottom w:val="nil"/>
            </w:tcBorders>
          </w:tcPr>
          <w:p w14:paraId="3466D37A" w14:textId="77777777" w:rsidR="00D75F57" w:rsidRPr="002B63E6" w:rsidRDefault="00D75F57" w:rsidP="00D75F57">
            <w:pPr>
              <w:spacing w:line="259" w:lineRule="auto"/>
              <w:jc w:val="left"/>
              <w:rPr>
                <w:rFonts w:eastAsia="Calibri" w:cs="Arial"/>
                <w:szCs w:val="18"/>
              </w:rPr>
            </w:pPr>
          </w:p>
        </w:tc>
        <w:tc>
          <w:tcPr>
            <w:tcW w:w="0" w:type="auto"/>
            <w:tcBorders>
              <w:top w:val="nil"/>
              <w:bottom w:val="nil"/>
            </w:tcBorders>
          </w:tcPr>
          <w:p w14:paraId="67CBBD3E" w14:textId="6A31FFB3" w:rsidR="00D75F57" w:rsidRPr="002B63E6" w:rsidRDefault="00D75F57" w:rsidP="00D75F57">
            <w:pPr>
              <w:spacing w:line="259" w:lineRule="auto"/>
              <w:jc w:val="left"/>
              <w:rPr>
                <w:rFonts w:eastAsia="Calibri" w:cs="Arial"/>
                <w:szCs w:val="18"/>
              </w:rPr>
            </w:pPr>
            <w:r w:rsidRPr="002B63E6">
              <w:rPr>
                <w:rFonts w:eastAsia="Calibri" w:cs="Arial"/>
                <w:szCs w:val="18"/>
              </w:rPr>
              <w:t>Medium High</w:t>
            </w:r>
          </w:p>
        </w:tc>
        <w:tc>
          <w:tcPr>
            <w:tcW w:w="0" w:type="auto"/>
            <w:tcBorders>
              <w:top w:val="nil"/>
              <w:bottom w:val="nil"/>
            </w:tcBorders>
          </w:tcPr>
          <w:p w14:paraId="0E27F022" w14:textId="1804C97E" w:rsidR="00D75F57" w:rsidRPr="002B63E6" w:rsidRDefault="003E7C01" w:rsidP="00D75F57">
            <w:pPr>
              <w:spacing w:line="259" w:lineRule="auto"/>
              <w:jc w:val="left"/>
              <w:rPr>
                <w:rFonts w:eastAsia="Calibri" w:cs="Arial"/>
                <w:szCs w:val="18"/>
              </w:rPr>
            </w:pPr>
            <m:oMathPara>
              <m:oMath>
                <m:sSub>
                  <m:sSubPr>
                    <m:ctrlPr>
                      <w:rPr>
                        <w:rFonts w:ascii="Cambria Math" w:eastAsia="Calibri" w:hAnsi="Cambria Math" w:cs="Arial"/>
                        <w:szCs w:val="18"/>
                      </w:rPr>
                    </m:ctrlPr>
                  </m:sSubPr>
                  <m:e>
                    <m:r>
                      <w:rPr>
                        <w:rFonts w:ascii="Cambria Math" w:eastAsia="Calibri" w:hAnsi="Cambria Math" w:cs="Arial"/>
                        <w:szCs w:val="18"/>
                      </w:rPr>
                      <m:t>f</m:t>
                    </m:r>
                  </m:e>
                  <m:sub>
                    <m:r>
                      <m:rPr>
                        <m:sty m:val="p"/>
                      </m:rPr>
                      <w:rPr>
                        <w:rFonts w:ascii="Cambria Math" w:eastAsia="Calibri" w:hAnsi="Cambria Math" w:cs="Arial"/>
                        <w:szCs w:val="18"/>
                      </w:rPr>
                      <m:t>4</m:t>
                    </m:r>
                  </m:sub>
                </m:sSub>
              </m:oMath>
            </m:oMathPara>
          </w:p>
        </w:tc>
        <w:tc>
          <w:tcPr>
            <w:tcW w:w="0" w:type="auto"/>
            <w:tcBorders>
              <w:top w:val="nil"/>
              <w:bottom w:val="nil"/>
            </w:tcBorders>
          </w:tcPr>
          <w:p w14:paraId="24E86E95" w14:textId="55511434" w:rsidR="00D75F57" w:rsidRPr="00E92DB6" w:rsidRDefault="00E92DB6" w:rsidP="00D75F57">
            <w:pPr>
              <w:spacing w:line="259" w:lineRule="auto"/>
              <w:jc w:val="left"/>
              <w:rPr>
                <w:rFonts w:eastAsia="Calibri" w:cs="Arial"/>
                <w:szCs w:val="18"/>
              </w:rPr>
            </w:pPr>
            <w:r w:rsidRPr="00E92DB6">
              <w:rPr>
                <w:rFonts w:eastAsia="Calibri" w:cs="Arial"/>
                <w:szCs w:val="18"/>
              </w:rPr>
              <w:t>0.</w:t>
            </w:r>
            <w:r w:rsidR="00D75F57" w:rsidRPr="00E92DB6">
              <w:rPr>
                <w:rFonts w:eastAsia="Calibri" w:cs="Arial"/>
                <w:szCs w:val="18"/>
              </w:rPr>
              <w:t xml:space="preserve">65 </w:t>
            </w:r>
          </w:p>
        </w:tc>
      </w:tr>
      <w:tr w:rsidR="00D75F57" w:rsidRPr="008753AE" w14:paraId="2ED68CA9" w14:textId="619EAA82" w:rsidTr="00D75F57">
        <w:trPr>
          <w:trHeight w:val="227"/>
        </w:trPr>
        <w:tc>
          <w:tcPr>
            <w:tcW w:w="0" w:type="auto"/>
            <w:tcBorders>
              <w:top w:val="nil"/>
              <w:bottom w:val="single" w:sz="12" w:space="0" w:color="00B050"/>
            </w:tcBorders>
          </w:tcPr>
          <w:p w14:paraId="745B04AA" w14:textId="1020B8A9" w:rsidR="00D75F57" w:rsidRPr="008753AE" w:rsidRDefault="00D75F57" w:rsidP="00D75F57">
            <w:pPr>
              <w:spacing w:line="259" w:lineRule="auto"/>
              <w:jc w:val="left"/>
              <w:rPr>
                <w:rFonts w:eastAsia="Calibri" w:cs="Arial"/>
                <w:szCs w:val="18"/>
              </w:rPr>
            </w:pPr>
          </w:p>
        </w:tc>
        <w:tc>
          <w:tcPr>
            <w:tcW w:w="0" w:type="auto"/>
            <w:tcBorders>
              <w:top w:val="nil"/>
              <w:bottom w:val="single" w:sz="12" w:space="0" w:color="00B050"/>
            </w:tcBorders>
          </w:tcPr>
          <w:p w14:paraId="7E3BC5AA" w14:textId="407CD5BE" w:rsidR="00D75F57" w:rsidRPr="008753AE" w:rsidRDefault="00D75F57" w:rsidP="00D75F57">
            <w:pPr>
              <w:spacing w:line="259" w:lineRule="auto"/>
              <w:jc w:val="left"/>
              <w:rPr>
                <w:rFonts w:eastAsia="Calibri" w:cs="Arial"/>
                <w:szCs w:val="18"/>
              </w:rPr>
            </w:pPr>
          </w:p>
        </w:tc>
        <w:tc>
          <w:tcPr>
            <w:tcW w:w="0" w:type="auto"/>
            <w:tcBorders>
              <w:top w:val="nil"/>
              <w:bottom w:val="single" w:sz="12" w:space="0" w:color="00B050"/>
            </w:tcBorders>
          </w:tcPr>
          <w:p w14:paraId="1EEE293B" w14:textId="77777777" w:rsidR="00D75F57" w:rsidRPr="008753AE" w:rsidRDefault="00D75F57" w:rsidP="00D75F57">
            <w:pPr>
              <w:spacing w:line="259" w:lineRule="auto"/>
              <w:jc w:val="left"/>
              <w:rPr>
                <w:rFonts w:eastAsia="Calibri" w:cs="Arial"/>
                <w:szCs w:val="18"/>
              </w:rPr>
            </w:pPr>
          </w:p>
        </w:tc>
        <w:tc>
          <w:tcPr>
            <w:tcW w:w="0" w:type="auto"/>
            <w:tcBorders>
              <w:top w:val="nil"/>
              <w:bottom w:val="single" w:sz="12" w:space="0" w:color="00B050"/>
            </w:tcBorders>
          </w:tcPr>
          <w:p w14:paraId="2D31C4E1" w14:textId="77777777" w:rsidR="00D75F57" w:rsidRPr="008753AE" w:rsidRDefault="00D75F57" w:rsidP="00D75F57">
            <w:pPr>
              <w:spacing w:line="259" w:lineRule="auto"/>
              <w:jc w:val="left"/>
              <w:rPr>
                <w:rFonts w:eastAsia="Calibri" w:cs="Arial"/>
                <w:szCs w:val="18"/>
              </w:rPr>
            </w:pPr>
          </w:p>
        </w:tc>
        <w:tc>
          <w:tcPr>
            <w:tcW w:w="0" w:type="auto"/>
            <w:tcBorders>
              <w:top w:val="nil"/>
              <w:bottom w:val="single" w:sz="12" w:space="0" w:color="00B050"/>
            </w:tcBorders>
          </w:tcPr>
          <w:p w14:paraId="462614CB" w14:textId="1B2B65E6" w:rsidR="00D75F57" w:rsidRPr="008753AE" w:rsidRDefault="00D75F57" w:rsidP="00D75F57">
            <w:pPr>
              <w:spacing w:line="259" w:lineRule="auto"/>
              <w:jc w:val="left"/>
              <w:rPr>
                <w:rFonts w:eastAsia="Calibri" w:cs="Arial"/>
                <w:szCs w:val="18"/>
              </w:rPr>
            </w:pPr>
            <w:r w:rsidRPr="002B63E6">
              <w:rPr>
                <w:rFonts w:eastAsia="Calibri" w:cs="Arial"/>
                <w:szCs w:val="18"/>
              </w:rPr>
              <w:t>High</w:t>
            </w:r>
          </w:p>
        </w:tc>
        <w:tc>
          <w:tcPr>
            <w:tcW w:w="0" w:type="auto"/>
            <w:tcBorders>
              <w:top w:val="nil"/>
              <w:bottom w:val="single" w:sz="12" w:space="0" w:color="00B050"/>
            </w:tcBorders>
          </w:tcPr>
          <w:p w14:paraId="490DEBC1" w14:textId="002502D1" w:rsidR="00D75F57" w:rsidRPr="008753AE" w:rsidRDefault="003E7C01" w:rsidP="00D75F57">
            <w:pPr>
              <w:spacing w:line="259" w:lineRule="auto"/>
              <w:jc w:val="left"/>
              <w:rPr>
                <w:rFonts w:eastAsia="Calibri" w:cs="Arial"/>
                <w:szCs w:val="18"/>
              </w:rPr>
            </w:pPr>
            <m:oMathPara>
              <m:oMath>
                <m:sSub>
                  <m:sSubPr>
                    <m:ctrlPr>
                      <w:rPr>
                        <w:rFonts w:ascii="Cambria Math" w:eastAsia="Calibri" w:hAnsi="Cambria Math" w:cs="Arial"/>
                        <w:szCs w:val="18"/>
                      </w:rPr>
                    </m:ctrlPr>
                  </m:sSubPr>
                  <m:e>
                    <m:r>
                      <w:rPr>
                        <w:rFonts w:ascii="Cambria Math" w:eastAsia="Calibri" w:hAnsi="Cambria Math" w:cs="Arial"/>
                        <w:szCs w:val="18"/>
                      </w:rPr>
                      <m:t>f</m:t>
                    </m:r>
                  </m:e>
                  <m:sub>
                    <m:r>
                      <m:rPr>
                        <m:sty m:val="p"/>
                      </m:rPr>
                      <w:rPr>
                        <w:rFonts w:ascii="Cambria Math" w:eastAsia="Calibri" w:hAnsi="Cambria Math" w:cs="Arial"/>
                        <w:szCs w:val="18"/>
                      </w:rPr>
                      <m:t>5</m:t>
                    </m:r>
                  </m:sub>
                </m:sSub>
              </m:oMath>
            </m:oMathPara>
          </w:p>
        </w:tc>
        <w:tc>
          <w:tcPr>
            <w:tcW w:w="0" w:type="auto"/>
            <w:tcBorders>
              <w:top w:val="nil"/>
              <w:bottom w:val="single" w:sz="12" w:space="0" w:color="00B050"/>
            </w:tcBorders>
          </w:tcPr>
          <w:p w14:paraId="026F1C74" w14:textId="5A103813" w:rsidR="00D75F57" w:rsidRPr="00E92DB6" w:rsidRDefault="00E92DB6" w:rsidP="00D75F57">
            <w:pPr>
              <w:spacing w:line="259" w:lineRule="auto"/>
              <w:jc w:val="left"/>
              <w:rPr>
                <w:rFonts w:eastAsia="Calibri" w:cs="Arial"/>
                <w:szCs w:val="18"/>
              </w:rPr>
            </w:pPr>
            <w:r w:rsidRPr="00E92DB6">
              <w:rPr>
                <w:rFonts w:eastAsia="Calibri" w:cs="Arial"/>
                <w:szCs w:val="18"/>
              </w:rPr>
              <w:t>1.00</w:t>
            </w:r>
            <w:r w:rsidR="00D75F57" w:rsidRPr="00E92DB6">
              <w:rPr>
                <w:rFonts w:eastAsia="Calibri" w:cs="Arial"/>
                <w:szCs w:val="18"/>
              </w:rPr>
              <w:t xml:space="preserve"> </w:t>
            </w:r>
          </w:p>
        </w:tc>
      </w:tr>
    </w:tbl>
    <w:p w14:paraId="6AD301A5" w14:textId="3F061BBE" w:rsidR="00090423" w:rsidRPr="0065731E" w:rsidRDefault="00090423" w:rsidP="00090423">
      <w:pPr>
        <w:pStyle w:val="CETTabletitle"/>
      </w:pPr>
      <w:r w:rsidRPr="00012936">
        <w:t>Table 3.</w:t>
      </w:r>
      <w:r w:rsidRPr="00384F72">
        <w:t xml:space="preserve"> </w:t>
      </w:r>
      <w:r w:rsidR="00CC5646">
        <w:t xml:space="preserve">Definition of </w:t>
      </w:r>
      <w:r w:rsidR="00CC5646" w:rsidRPr="00CC5646">
        <w:rPr>
          <w:rFonts w:eastAsia="Calibri"/>
          <w:kern w:val="2"/>
          <w:szCs w:val="24"/>
          <w14:ligatures w14:val="standardContextual"/>
        </w:rPr>
        <w:t>Consumed Life</w:t>
      </w:r>
      <w:r w:rsidR="00CC5646" w:rsidRPr="00C51D8B">
        <w:rPr>
          <w:rFonts w:eastAsia="Calibri"/>
          <w:kern w:val="2"/>
          <w:szCs w:val="24"/>
          <w14:ligatures w14:val="standardContextual"/>
        </w:rPr>
        <w:t xml:space="preserve"> </w:t>
      </w:r>
      <w:r w:rsidR="00CC5646">
        <w:rPr>
          <w:rFonts w:eastAsia="Calibri"/>
          <w:kern w:val="2"/>
          <w:szCs w:val="24"/>
          <w14:ligatures w14:val="standardContextual"/>
        </w:rPr>
        <w:t>(</w:t>
      </w:r>
      <w:r w:rsidR="00CC5646" w:rsidRPr="00C51D8B">
        <w:rPr>
          <w:rFonts w:eastAsia="Calibri"/>
          <w:kern w:val="2"/>
          <w:szCs w:val="24"/>
          <w14:ligatures w14:val="standardContextual"/>
        </w:rPr>
        <w:t>ΔRUL</w:t>
      </w:r>
      <w:r w:rsidR="00CC5646">
        <w:rPr>
          <w:rFonts w:eastAsia="Calibri"/>
          <w:kern w:val="2"/>
          <w:szCs w:val="24"/>
          <w14:ligatures w14:val="standardContextual"/>
        </w:rPr>
        <w:t>)</w:t>
      </w:r>
      <w:r w:rsidR="001A3AD2">
        <w:rPr>
          <w:rFonts w:eastAsia="Calibri"/>
          <w:kern w:val="2"/>
          <w:szCs w:val="24"/>
          <w14:ligatures w14:val="standardContextual"/>
        </w:rPr>
        <w:t xml:space="preserve"> node</w:t>
      </w:r>
      <w:r w:rsidR="00CC5646">
        <w:rPr>
          <w:rFonts w:eastAsia="Calibri"/>
          <w:kern w:val="2"/>
          <w:szCs w:val="24"/>
          <w14:ligatures w14:val="standardContextual"/>
        </w:rPr>
        <w:t>.</w:t>
      </w:r>
    </w:p>
    <w:tbl>
      <w:tblPr>
        <w:tblStyle w:val="StileCET"/>
        <w:tblW w:w="8222" w:type="dxa"/>
        <w:tblLook w:val="04A0" w:firstRow="1" w:lastRow="0" w:firstColumn="1" w:lastColumn="0" w:noHBand="0" w:noVBand="1"/>
      </w:tblPr>
      <w:tblGrid>
        <w:gridCol w:w="1134"/>
        <w:gridCol w:w="1134"/>
        <w:gridCol w:w="851"/>
        <w:gridCol w:w="567"/>
        <w:gridCol w:w="627"/>
        <w:gridCol w:w="857"/>
        <w:gridCol w:w="857"/>
        <w:gridCol w:w="636"/>
        <w:gridCol w:w="708"/>
        <w:gridCol w:w="851"/>
      </w:tblGrid>
      <w:tr w:rsidR="00090423" w:rsidRPr="00E67707" w14:paraId="53C1787F" w14:textId="77777777" w:rsidTr="008B7D2F">
        <w:trPr>
          <w:cantSplit/>
          <w:trHeight w:val="227"/>
        </w:trPr>
        <w:tc>
          <w:tcPr>
            <w:tcW w:w="2268" w:type="dxa"/>
            <w:gridSpan w:val="2"/>
            <w:vMerge w:val="restart"/>
            <w:tcBorders>
              <w:top w:val="single" w:sz="12" w:space="0" w:color="00B050"/>
            </w:tcBorders>
          </w:tcPr>
          <w:p w14:paraId="3BF30E87" w14:textId="77777777" w:rsidR="00090423" w:rsidRPr="009032BB" w:rsidRDefault="00090423" w:rsidP="00F833E5">
            <w:pPr>
              <w:spacing w:line="259" w:lineRule="auto"/>
              <w:jc w:val="center"/>
              <w:rPr>
                <w:rFonts w:eastAsia="Calibri" w:cs="Arial"/>
                <w:szCs w:val="18"/>
              </w:rPr>
            </w:pPr>
          </w:p>
        </w:tc>
        <w:tc>
          <w:tcPr>
            <w:tcW w:w="5954" w:type="dxa"/>
            <w:gridSpan w:val="8"/>
            <w:tcBorders>
              <w:top w:val="single" w:sz="12" w:space="0" w:color="00B050"/>
              <w:bottom w:val="single" w:sz="6" w:space="0" w:color="00B050"/>
            </w:tcBorders>
          </w:tcPr>
          <w:p w14:paraId="768126FC"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CR [mm/y]</w:t>
            </w:r>
          </w:p>
        </w:tc>
      </w:tr>
      <w:tr w:rsidR="003C5682" w:rsidRPr="00E67707" w14:paraId="6B80C077" w14:textId="77777777" w:rsidTr="008B7D2F">
        <w:trPr>
          <w:cantSplit/>
          <w:trHeight w:val="227"/>
        </w:trPr>
        <w:tc>
          <w:tcPr>
            <w:tcW w:w="2268" w:type="dxa"/>
            <w:gridSpan w:val="2"/>
            <w:vMerge/>
          </w:tcPr>
          <w:p w14:paraId="40389028" w14:textId="77777777" w:rsidR="00090423" w:rsidRPr="009032BB" w:rsidRDefault="00090423" w:rsidP="00F833E5">
            <w:pPr>
              <w:spacing w:line="259" w:lineRule="auto"/>
              <w:jc w:val="center"/>
              <w:rPr>
                <w:rFonts w:eastAsia="Calibri" w:cs="Arial"/>
                <w:szCs w:val="18"/>
              </w:rPr>
            </w:pPr>
          </w:p>
        </w:tc>
        <w:tc>
          <w:tcPr>
            <w:tcW w:w="851" w:type="dxa"/>
            <w:tcBorders>
              <w:top w:val="single" w:sz="6" w:space="0" w:color="00B050"/>
              <w:bottom w:val="single" w:sz="6" w:space="0" w:color="00B050"/>
            </w:tcBorders>
          </w:tcPr>
          <w:p w14:paraId="54FF1736"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Very Low</w:t>
            </w:r>
          </w:p>
        </w:tc>
        <w:tc>
          <w:tcPr>
            <w:tcW w:w="567" w:type="dxa"/>
            <w:tcBorders>
              <w:top w:val="single" w:sz="6" w:space="0" w:color="00B050"/>
              <w:bottom w:val="single" w:sz="6" w:space="0" w:color="00B050"/>
            </w:tcBorders>
          </w:tcPr>
          <w:p w14:paraId="592A53CC"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Low</w:t>
            </w:r>
          </w:p>
        </w:tc>
        <w:tc>
          <w:tcPr>
            <w:tcW w:w="627" w:type="dxa"/>
            <w:tcBorders>
              <w:top w:val="single" w:sz="6" w:space="0" w:color="00B050"/>
              <w:bottom w:val="single" w:sz="6" w:space="0" w:color="00B050"/>
            </w:tcBorders>
          </w:tcPr>
          <w:p w14:paraId="47DDA980"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Med-Low</w:t>
            </w:r>
          </w:p>
        </w:tc>
        <w:tc>
          <w:tcPr>
            <w:tcW w:w="857" w:type="dxa"/>
            <w:tcBorders>
              <w:top w:val="single" w:sz="6" w:space="0" w:color="00B050"/>
              <w:bottom w:val="single" w:sz="6" w:space="0" w:color="00B050"/>
            </w:tcBorders>
          </w:tcPr>
          <w:p w14:paraId="1DBC7F06"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Medium</w:t>
            </w:r>
          </w:p>
        </w:tc>
        <w:tc>
          <w:tcPr>
            <w:tcW w:w="857" w:type="dxa"/>
            <w:tcBorders>
              <w:top w:val="single" w:sz="6" w:space="0" w:color="00B050"/>
              <w:bottom w:val="single" w:sz="6" w:space="0" w:color="00B050"/>
            </w:tcBorders>
          </w:tcPr>
          <w:p w14:paraId="6361D5C1"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Medium High</w:t>
            </w:r>
          </w:p>
        </w:tc>
        <w:tc>
          <w:tcPr>
            <w:tcW w:w="636" w:type="dxa"/>
            <w:tcBorders>
              <w:top w:val="single" w:sz="6" w:space="0" w:color="00B050"/>
              <w:bottom w:val="single" w:sz="6" w:space="0" w:color="00B050"/>
            </w:tcBorders>
          </w:tcPr>
          <w:p w14:paraId="3B523F61"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High</w:t>
            </w:r>
          </w:p>
        </w:tc>
        <w:tc>
          <w:tcPr>
            <w:tcW w:w="708" w:type="dxa"/>
            <w:tcBorders>
              <w:top w:val="single" w:sz="6" w:space="0" w:color="00B050"/>
              <w:bottom w:val="single" w:sz="6" w:space="0" w:color="00B050"/>
            </w:tcBorders>
          </w:tcPr>
          <w:p w14:paraId="5D564627"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Very High</w:t>
            </w:r>
          </w:p>
        </w:tc>
        <w:tc>
          <w:tcPr>
            <w:tcW w:w="851" w:type="dxa"/>
            <w:tcBorders>
              <w:top w:val="single" w:sz="6" w:space="0" w:color="00B050"/>
              <w:bottom w:val="single" w:sz="6" w:space="0" w:color="00B050"/>
            </w:tcBorders>
          </w:tcPr>
          <w:p w14:paraId="51CE1ECF" w14:textId="77777777" w:rsidR="00090423" w:rsidRPr="00016E1F" w:rsidRDefault="00090423" w:rsidP="00F833E5">
            <w:pPr>
              <w:spacing w:line="259" w:lineRule="auto"/>
              <w:jc w:val="center"/>
              <w:rPr>
                <w:rFonts w:eastAsia="Calibri" w:cs="Arial"/>
                <w:bCs/>
                <w:szCs w:val="18"/>
              </w:rPr>
            </w:pPr>
            <w:r w:rsidRPr="00016E1F">
              <w:rPr>
                <w:rFonts w:eastAsia="Calibri" w:cs="Arial"/>
                <w:bCs/>
                <w:szCs w:val="18"/>
              </w:rPr>
              <w:t>Highest</w:t>
            </w:r>
          </w:p>
        </w:tc>
      </w:tr>
      <w:tr w:rsidR="00155B4E" w:rsidRPr="00E67707" w14:paraId="79B101CE" w14:textId="77777777" w:rsidTr="008B7D2F">
        <w:trPr>
          <w:cantSplit/>
          <w:trHeight w:val="227"/>
        </w:trPr>
        <w:tc>
          <w:tcPr>
            <w:tcW w:w="1134" w:type="dxa"/>
            <w:vMerge w:val="restart"/>
            <w:tcBorders>
              <w:top w:val="single" w:sz="6" w:space="0" w:color="00B050"/>
            </w:tcBorders>
          </w:tcPr>
          <w:p w14:paraId="45648A32" w14:textId="14B8E531" w:rsidR="00155B4E" w:rsidRPr="00016E1F" w:rsidRDefault="00155B4E" w:rsidP="00155B4E">
            <w:pPr>
              <w:spacing w:line="259" w:lineRule="auto"/>
              <w:jc w:val="center"/>
              <w:rPr>
                <w:rFonts w:eastAsia="Calibri" w:cs="Arial"/>
                <w:bCs/>
                <w:szCs w:val="18"/>
              </w:rPr>
            </w:pPr>
            <w:r>
              <w:rPr>
                <w:rFonts w:eastAsia="Calibri" w:cs="Arial"/>
                <w:bCs/>
                <w:szCs w:val="18"/>
              </w:rPr>
              <w:t xml:space="preserve">Initial </w:t>
            </w:r>
            <w:r w:rsidRPr="00016E1F">
              <w:rPr>
                <w:rFonts w:eastAsia="Calibri" w:cs="Arial"/>
                <w:bCs/>
                <w:szCs w:val="18"/>
              </w:rPr>
              <w:t>Conditions</w:t>
            </w:r>
          </w:p>
        </w:tc>
        <w:tc>
          <w:tcPr>
            <w:tcW w:w="1134" w:type="dxa"/>
            <w:tcBorders>
              <w:top w:val="single" w:sz="6" w:space="0" w:color="00B050"/>
              <w:bottom w:val="nil"/>
            </w:tcBorders>
          </w:tcPr>
          <w:p w14:paraId="3D166878" w14:textId="02068385" w:rsidR="00155B4E" w:rsidRPr="009032BB" w:rsidRDefault="00155B4E" w:rsidP="00155B4E">
            <w:pPr>
              <w:spacing w:line="259" w:lineRule="auto"/>
              <w:jc w:val="center"/>
              <w:rPr>
                <w:rFonts w:eastAsia="Calibri" w:cs="Arial"/>
                <w:szCs w:val="18"/>
              </w:rPr>
            </w:pPr>
            <w:r w:rsidRPr="00A1247A">
              <w:rPr>
                <w:rFonts w:eastAsia="Calibri"/>
                <w:kern w:val="2"/>
                <w:szCs w:val="24"/>
                <w14:ligatures w14:val="standardContextual"/>
              </w:rPr>
              <w:t>Normal</w:t>
            </w:r>
          </w:p>
        </w:tc>
        <w:tc>
          <w:tcPr>
            <w:tcW w:w="851" w:type="dxa"/>
            <w:tcBorders>
              <w:top w:val="single" w:sz="6" w:space="0" w:color="00B050"/>
              <w:bottom w:val="nil"/>
            </w:tcBorders>
          </w:tcPr>
          <w:p w14:paraId="1FB2A84D" w14:textId="77777777" w:rsidR="00155B4E" w:rsidRPr="009032BB" w:rsidRDefault="00155B4E" w:rsidP="00155B4E">
            <w:pPr>
              <w:spacing w:line="259" w:lineRule="auto"/>
              <w:jc w:val="center"/>
              <w:rPr>
                <w:rFonts w:eastAsia="Calibri" w:cs="Arial"/>
                <w:szCs w:val="18"/>
              </w:rPr>
            </w:pPr>
            <w:r>
              <w:rPr>
                <w:rFonts w:eastAsia="Calibri" w:cs="Arial"/>
                <w:szCs w:val="18"/>
              </w:rPr>
              <w:t>L</w:t>
            </w:r>
          </w:p>
        </w:tc>
        <w:tc>
          <w:tcPr>
            <w:tcW w:w="567" w:type="dxa"/>
            <w:tcBorders>
              <w:top w:val="single" w:sz="6" w:space="0" w:color="00B050"/>
              <w:bottom w:val="nil"/>
            </w:tcBorders>
          </w:tcPr>
          <w:p w14:paraId="23EF4A3F" w14:textId="77777777" w:rsidR="00155B4E" w:rsidRPr="009032BB" w:rsidRDefault="00155B4E" w:rsidP="00155B4E">
            <w:pPr>
              <w:spacing w:line="259" w:lineRule="auto"/>
              <w:jc w:val="center"/>
              <w:rPr>
                <w:rFonts w:eastAsia="Calibri" w:cs="Arial"/>
                <w:szCs w:val="18"/>
              </w:rPr>
            </w:pPr>
            <w:r>
              <w:rPr>
                <w:rFonts w:eastAsia="Calibri" w:cs="Arial"/>
                <w:szCs w:val="18"/>
              </w:rPr>
              <w:t>N</w:t>
            </w:r>
          </w:p>
        </w:tc>
        <w:tc>
          <w:tcPr>
            <w:tcW w:w="627" w:type="dxa"/>
            <w:tcBorders>
              <w:top w:val="single" w:sz="6" w:space="0" w:color="00B050"/>
              <w:bottom w:val="nil"/>
            </w:tcBorders>
          </w:tcPr>
          <w:p w14:paraId="2E00162C" w14:textId="77777777" w:rsidR="00155B4E" w:rsidRPr="009032BB" w:rsidRDefault="00155B4E" w:rsidP="00155B4E">
            <w:pPr>
              <w:spacing w:line="259" w:lineRule="auto"/>
              <w:jc w:val="center"/>
              <w:rPr>
                <w:rFonts w:eastAsia="Calibri" w:cs="Arial"/>
                <w:szCs w:val="18"/>
              </w:rPr>
            </w:pPr>
            <w:r>
              <w:rPr>
                <w:rFonts w:eastAsia="Calibri" w:cs="Arial"/>
                <w:szCs w:val="18"/>
              </w:rPr>
              <w:t>N</w:t>
            </w:r>
          </w:p>
        </w:tc>
        <w:tc>
          <w:tcPr>
            <w:tcW w:w="857" w:type="dxa"/>
            <w:tcBorders>
              <w:top w:val="single" w:sz="6" w:space="0" w:color="00B050"/>
              <w:bottom w:val="nil"/>
            </w:tcBorders>
            <w:vAlign w:val="top"/>
          </w:tcPr>
          <w:p w14:paraId="545F742B" w14:textId="77777777" w:rsidR="00155B4E" w:rsidRPr="009032BB" w:rsidRDefault="00155B4E" w:rsidP="00155B4E">
            <w:pPr>
              <w:spacing w:line="259" w:lineRule="auto"/>
              <w:jc w:val="center"/>
              <w:rPr>
                <w:rFonts w:eastAsia="Calibri" w:cs="Arial"/>
                <w:szCs w:val="18"/>
              </w:rPr>
            </w:pPr>
            <w:r w:rsidRPr="00397263">
              <w:rPr>
                <w:rFonts w:eastAsia="Calibri" w:cs="Arial"/>
                <w:szCs w:val="18"/>
              </w:rPr>
              <w:t>H</w:t>
            </w:r>
          </w:p>
        </w:tc>
        <w:tc>
          <w:tcPr>
            <w:tcW w:w="857" w:type="dxa"/>
            <w:tcBorders>
              <w:top w:val="single" w:sz="6" w:space="0" w:color="00B050"/>
              <w:bottom w:val="nil"/>
            </w:tcBorders>
          </w:tcPr>
          <w:p w14:paraId="6CF87BD2" w14:textId="77777777" w:rsidR="00155B4E" w:rsidRPr="009032BB" w:rsidRDefault="00155B4E" w:rsidP="00155B4E">
            <w:pPr>
              <w:spacing w:line="259" w:lineRule="auto"/>
              <w:jc w:val="center"/>
              <w:rPr>
                <w:rFonts w:eastAsia="Calibri" w:cs="Arial"/>
                <w:szCs w:val="18"/>
              </w:rPr>
            </w:pPr>
            <w:r>
              <w:rPr>
                <w:rFonts w:eastAsia="Calibri" w:cs="Arial"/>
                <w:szCs w:val="18"/>
              </w:rPr>
              <w:t>H</w:t>
            </w:r>
          </w:p>
        </w:tc>
        <w:tc>
          <w:tcPr>
            <w:tcW w:w="636" w:type="dxa"/>
            <w:tcBorders>
              <w:top w:val="single" w:sz="6" w:space="0" w:color="00B050"/>
              <w:bottom w:val="nil"/>
            </w:tcBorders>
            <w:vAlign w:val="top"/>
          </w:tcPr>
          <w:p w14:paraId="13B31E34" w14:textId="77777777" w:rsidR="00155B4E" w:rsidRPr="009032BB" w:rsidRDefault="00155B4E" w:rsidP="00155B4E">
            <w:pPr>
              <w:spacing w:line="259" w:lineRule="auto"/>
              <w:jc w:val="center"/>
              <w:rPr>
                <w:rFonts w:eastAsia="Calibri" w:cs="Arial"/>
                <w:szCs w:val="18"/>
              </w:rPr>
            </w:pPr>
            <w:r w:rsidRPr="0009089E">
              <w:rPr>
                <w:rFonts w:eastAsia="Calibri" w:cs="Arial"/>
                <w:szCs w:val="18"/>
              </w:rPr>
              <w:t>VH</w:t>
            </w:r>
          </w:p>
        </w:tc>
        <w:tc>
          <w:tcPr>
            <w:tcW w:w="708" w:type="dxa"/>
            <w:tcBorders>
              <w:top w:val="single" w:sz="6" w:space="0" w:color="00B050"/>
              <w:bottom w:val="nil"/>
            </w:tcBorders>
            <w:vAlign w:val="top"/>
          </w:tcPr>
          <w:p w14:paraId="599A6E8E" w14:textId="77777777" w:rsidR="00155B4E" w:rsidRPr="009032BB" w:rsidRDefault="00155B4E" w:rsidP="00155B4E">
            <w:pPr>
              <w:spacing w:line="259" w:lineRule="auto"/>
              <w:jc w:val="center"/>
              <w:rPr>
                <w:rFonts w:eastAsia="Calibri" w:cs="Arial"/>
                <w:szCs w:val="18"/>
              </w:rPr>
            </w:pPr>
            <w:r w:rsidRPr="0009089E">
              <w:rPr>
                <w:rFonts w:eastAsia="Calibri" w:cs="Arial"/>
                <w:szCs w:val="18"/>
              </w:rPr>
              <w:t>VH</w:t>
            </w:r>
          </w:p>
        </w:tc>
        <w:tc>
          <w:tcPr>
            <w:tcW w:w="851" w:type="dxa"/>
            <w:tcBorders>
              <w:top w:val="single" w:sz="6" w:space="0" w:color="00B050"/>
              <w:bottom w:val="nil"/>
            </w:tcBorders>
          </w:tcPr>
          <w:p w14:paraId="14902A3C"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r>
      <w:tr w:rsidR="00155B4E" w:rsidRPr="00E67707" w14:paraId="303C1F3C" w14:textId="77777777" w:rsidTr="008B7D2F">
        <w:trPr>
          <w:cantSplit/>
          <w:trHeight w:val="227"/>
        </w:trPr>
        <w:tc>
          <w:tcPr>
            <w:tcW w:w="1134" w:type="dxa"/>
            <w:vMerge/>
          </w:tcPr>
          <w:p w14:paraId="169F3D04" w14:textId="77777777" w:rsidR="00155B4E" w:rsidRPr="009032BB" w:rsidRDefault="00155B4E" w:rsidP="00155B4E">
            <w:pPr>
              <w:spacing w:line="259" w:lineRule="auto"/>
              <w:jc w:val="center"/>
              <w:rPr>
                <w:rFonts w:eastAsia="Calibri" w:cs="Arial"/>
                <w:szCs w:val="18"/>
              </w:rPr>
            </w:pPr>
          </w:p>
        </w:tc>
        <w:tc>
          <w:tcPr>
            <w:tcW w:w="1134" w:type="dxa"/>
            <w:tcBorders>
              <w:top w:val="nil"/>
              <w:bottom w:val="nil"/>
            </w:tcBorders>
          </w:tcPr>
          <w:p w14:paraId="75F47B9F" w14:textId="6DC2F7D2" w:rsidR="00155B4E" w:rsidRPr="009032BB" w:rsidRDefault="00155B4E" w:rsidP="00155B4E">
            <w:pPr>
              <w:spacing w:line="259" w:lineRule="auto"/>
              <w:jc w:val="center"/>
              <w:rPr>
                <w:rFonts w:eastAsia="Calibri" w:cs="Arial"/>
                <w:szCs w:val="18"/>
              </w:rPr>
            </w:pPr>
            <w:r w:rsidRPr="00A1247A">
              <w:rPr>
                <w:rFonts w:eastAsia="Calibri"/>
                <w:kern w:val="2"/>
                <w:szCs w:val="24"/>
                <w14:ligatures w14:val="standardContextual"/>
              </w:rPr>
              <w:t>Warning</w:t>
            </w:r>
          </w:p>
        </w:tc>
        <w:tc>
          <w:tcPr>
            <w:tcW w:w="851" w:type="dxa"/>
            <w:tcBorders>
              <w:top w:val="nil"/>
              <w:bottom w:val="nil"/>
            </w:tcBorders>
            <w:vAlign w:val="top"/>
          </w:tcPr>
          <w:p w14:paraId="3F37734E"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567" w:type="dxa"/>
            <w:tcBorders>
              <w:top w:val="nil"/>
              <w:bottom w:val="nil"/>
            </w:tcBorders>
            <w:vAlign w:val="top"/>
          </w:tcPr>
          <w:p w14:paraId="4D4F4A95"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627" w:type="dxa"/>
            <w:tcBorders>
              <w:top w:val="nil"/>
              <w:bottom w:val="nil"/>
            </w:tcBorders>
            <w:vAlign w:val="top"/>
          </w:tcPr>
          <w:p w14:paraId="75ED0866" w14:textId="77777777" w:rsidR="00155B4E" w:rsidRPr="009032BB" w:rsidRDefault="00155B4E" w:rsidP="00155B4E">
            <w:pPr>
              <w:spacing w:line="259" w:lineRule="auto"/>
              <w:jc w:val="center"/>
              <w:rPr>
                <w:rFonts w:eastAsia="Calibri" w:cs="Arial"/>
                <w:szCs w:val="18"/>
              </w:rPr>
            </w:pPr>
            <w:r w:rsidRPr="00331FB4">
              <w:rPr>
                <w:rFonts w:eastAsia="Calibri" w:cs="Arial"/>
                <w:szCs w:val="18"/>
              </w:rPr>
              <w:t>H</w:t>
            </w:r>
          </w:p>
        </w:tc>
        <w:tc>
          <w:tcPr>
            <w:tcW w:w="857" w:type="dxa"/>
            <w:tcBorders>
              <w:top w:val="nil"/>
              <w:bottom w:val="nil"/>
            </w:tcBorders>
            <w:vAlign w:val="top"/>
          </w:tcPr>
          <w:p w14:paraId="21681BD4" w14:textId="77777777" w:rsidR="00155B4E" w:rsidRPr="009032BB" w:rsidRDefault="00155B4E" w:rsidP="00155B4E">
            <w:pPr>
              <w:spacing w:line="259" w:lineRule="auto"/>
              <w:jc w:val="center"/>
              <w:rPr>
                <w:rFonts w:eastAsia="Calibri" w:cs="Arial"/>
                <w:szCs w:val="18"/>
              </w:rPr>
            </w:pPr>
            <w:r w:rsidRPr="00397263">
              <w:rPr>
                <w:rFonts w:eastAsia="Calibri" w:cs="Arial"/>
                <w:szCs w:val="18"/>
              </w:rPr>
              <w:t>H</w:t>
            </w:r>
          </w:p>
        </w:tc>
        <w:tc>
          <w:tcPr>
            <w:tcW w:w="857" w:type="dxa"/>
            <w:tcBorders>
              <w:top w:val="nil"/>
              <w:bottom w:val="nil"/>
            </w:tcBorders>
            <w:vAlign w:val="top"/>
          </w:tcPr>
          <w:p w14:paraId="320067B6" w14:textId="77777777" w:rsidR="00155B4E" w:rsidRPr="009032BB" w:rsidRDefault="00155B4E" w:rsidP="00155B4E">
            <w:pPr>
              <w:spacing w:line="259" w:lineRule="auto"/>
              <w:jc w:val="center"/>
              <w:rPr>
                <w:rFonts w:eastAsia="Calibri" w:cs="Arial"/>
                <w:szCs w:val="18"/>
              </w:rPr>
            </w:pPr>
            <w:r w:rsidRPr="001B1DA6">
              <w:rPr>
                <w:rFonts w:eastAsia="Calibri" w:cs="Arial"/>
                <w:szCs w:val="18"/>
              </w:rPr>
              <w:t>VH</w:t>
            </w:r>
          </w:p>
        </w:tc>
        <w:tc>
          <w:tcPr>
            <w:tcW w:w="636" w:type="dxa"/>
            <w:tcBorders>
              <w:top w:val="nil"/>
              <w:bottom w:val="nil"/>
            </w:tcBorders>
            <w:vAlign w:val="top"/>
          </w:tcPr>
          <w:p w14:paraId="549786D6" w14:textId="77777777" w:rsidR="00155B4E" w:rsidRPr="009032BB" w:rsidRDefault="00155B4E" w:rsidP="00155B4E">
            <w:pPr>
              <w:spacing w:line="259" w:lineRule="auto"/>
              <w:jc w:val="center"/>
              <w:rPr>
                <w:rFonts w:eastAsia="Calibri" w:cs="Arial"/>
                <w:szCs w:val="18"/>
              </w:rPr>
            </w:pPr>
            <w:r w:rsidRPr="001B1DA6">
              <w:rPr>
                <w:rFonts w:eastAsia="Calibri" w:cs="Arial"/>
                <w:szCs w:val="18"/>
              </w:rPr>
              <w:t>VH</w:t>
            </w:r>
          </w:p>
        </w:tc>
        <w:tc>
          <w:tcPr>
            <w:tcW w:w="708" w:type="dxa"/>
            <w:tcBorders>
              <w:top w:val="nil"/>
              <w:bottom w:val="nil"/>
            </w:tcBorders>
            <w:vAlign w:val="top"/>
          </w:tcPr>
          <w:p w14:paraId="541C91CA" w14:textId="77777777" w:rsidR="00155B4E" w:rsidRPr="009032BB" w:rsidRDefault="00155B4E" w:rsidP="00155B4E">
            <w:pPr>
              <w:spacing w:line="259" w:lineRule="auto"/>
              <w:jc w:val="center"/>
              <w:rPr>
                <w:rFonts w:eastAsia="Calibri" w:cs="Arial"/>
                <w:szCs w:val="18"/>
              </w:rPr>
            </w:pPr>
            <w:r w:rsidRPr="001B1DA6">
              <w:rPr>
                <w:rFonts w:eastAsia="Calibri" w:cs="Arial"/>
                <w:szCs w:val="18"/>
              </w:rPr>
              <w:t>VH</w:t>
            </w:r>
          </w:p>
        </w:tc>
        <w:tc>
          <w:tcPr>
            <w:tcW w:w="851" w:type="dxa"/>
            <w:tcBorders>
              <w:top w:val="nil"/>
              <w:bottom w:val="nil"/>
            </w:tcBorders>
            <w:vAlign w:val="top"/>
          </w:tcPr>
          <w:p w14:paraId="6711C840"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r>
      <w:tr w:rsidR="00155B4E" w:rsidRPr="00E67707" w14:paraId="0E04E52D" w14:textId="77777777" w:rsidTr="008B7D2F">
        <w:trPr>
          <w:cantSplit/>
          <w:trHeight w:val="227"/>
        </w:trPr>
        <w:tc>
          <w:tcPr>
            <w:tcW w:w="1134" w:type="dxa"/>
            <w:vMerge/>
          </w:tcPr>
          <w:p w14:paraId="0D870E6D" w14:textId="77777777" w:rsidR="00155B4E" w:rsidRPr="009032BB" w:rsidRDefault="00155B4E" w:rsidP="00155B4E">
            <w:pPr>
              <w:spacing w:line="259" w:lineRule="auto"/>
              <w:jc w:val="center"/>
              <w:rPr>
                <w:rFonts w:eastAsia="Calibri" w:cs="Arial"/>
                <w:szCs w:val="18"/>
              </w:rPr>
            </w:pPr>
          </w:p>
        </w:tc>
        <w:tc>
          <w:tcPr>
            <w:tcW w:w="1134" w:type="dxa"/>
            <w:tcBorders>
              <w:top w:val="nil"/>
              <w:bottom w:val="nil"/>
            </w:tcBorders>
          </w:tcPr>
          <w:p w14:paraId="114125F8" w14:textId="76B51213" w:rsidR="00155B4E" w:rsidRPr="009032BB" w:rsidRDefault="00155B4E" w:rsidP="00155B4E">
            <w:pPr>
              <w:spacing w:line="259" w:lineRule="auto"/>
              <w:jc w:val="center"/>
              <w:rPr>
                <w:rFonts w:eastAsia="Calibri" w:cs="Arial"/>
                <w:szCs w:val="18"/>
              </w:rPr>
            </w:pPr>
            <w:r w:rsidRPr="00A1247A">
              <w:rPr>
                <w:rFonts w:eastAsia="Calibri"/>
                <w:kern w:val="2"/>
                <w:szCs w:val="24"/>
                <w14:ligatures w14:val="standardContextual"/>
              </w:rPr>
              <w:t>Pre-Critical</w:t>
            </w:r>
          </w:p>
        </w:tc>
        <w:tc>
          <w:tcPr>
            <w:tcW w:w="851" w:type="dxa"/>
            <w:tcBorders>
              <w:top w:val="nil"/>
              <w:bottom w:val="nil"/>
            </w:tcBorders>
            <w:vAlign w:val="top"/>
          </w:tcPr>
          <w:p w14:paraId="0B5A61AE"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567" w:type="dxa"/>
            <w:tcBorders>
              <w:top w:val="nil"/>
              <w:bottom w:val="nil"/>
            </w:tcBorders>
            <w:vAlign w:val="top"/>
          </w:tcPr>
          <w:p w14:paraId="256207BC"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627" w:type="dxa"/>
            <w:tcBorders>
              <w:top w:val="nil"/>
              <w:bottom w:val="nil"/>
            </w:tcBorders>
            <w:vAlign w:val="top"/>
          </w:tcPr>
          <w:p w14:paraId="3CCF81A0" w14:textId="77777777" w:rsidR="00155B4E" w:rsidRPr="009032BB" w:rsidRDefault="00155B4E" w:rsidP="00155B4E">
            <w:pPr>
              <w:spacing w:line="259" w:lineRule="auto"/>
              <w:jc w:val="center"/>
              <w:rPr>
                <w:rFonts w:eastAsia="Calibri" w:cs="Arial"/>
                <w:szCs w:val="18"/>
              </w:rPr>
            </w:pPr>
            <w:r w:rsidRPr="00331FB4">
              <w:rPr>
                <w:rFonts w:eastAsia="Calibri" w:cs="Arial"/>
                <w:szCs w:val="18"/>
              </w:rPr>
              <w:t>H</w:t>
            </w:r>
          </w:p>
        </w:tc>
        <w:tc>
          <w:tcPr>
            <w:tcW w:w="857" w:type="dxa"/>
            <w:tcBorders>
              <w:top w:val="nil"/>
              <w:bottom w:val="nil"/>
            </w:tcBorders>
            <w:vAlign w:val="top"/>
          </w:tcPr>
          <w:p w14:paraId="7FACB827" w14:textId="77777777" w:rsidR="00155B4E" w:rsidRPr="009032BB" w:rsidRDefault="00155B4E" w:rsidP="00155B4E">
            <w:pPr>
              <w:spacing w:line="259" w:lineRule="auto"/>
              <w:jc w:val="center"/>
              <w:rPr>
                <w:rFonts w:eastAsia="Calibri" w:cs="Arial"/>
                <w:szCs w:val="18"/>
              </w:rPr>
            </w:pPr>
            <w:r w:rsidRPr="00397263">
              <w:rPr>
                <w:rFonts w:eastAsia="Calibri" w:cs="Arial"/>
                <w:szCs w:val="18"/>
              </w:rPr>
              <w:t>H</w:t>
            </w:r>
          </w:p>
        </w:tc>
        <w:tc>
          <w:tcPr>
            <w:tcW w:w="857" w:type="dxa"/>
            <w:tcBorders>
              <w:top w:val="nil"/>
              <w:bottom w:val="nil"/>
            </w:tcBorders>
          </w:tcPr>
          <w:p w14:paraId="2021B8FD"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c>
          <w:tcPr>
            <w:tcW w:w="636" w:type="dxa"/>
            <w:tcBorders>
              <w:top w:val="nil"/>
              <w:bottom w:val="nil"/>
            </w:tcBorders>
            <w:vAlign w:val="top"/>
          </w:tcPr>
          <w:p w14:paraId="48C28F76"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708" w:type="dxa"/>
            <w:tcBorders>
              <w:top w:val="nil"/>
              <w:bottom w:val="nil"/>
            </w:tcBorders>
            <w:vAlign w:val="top"/>
          </w:tcPr>
          <w:p w14:paraId="6B067BA1"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851" w:type="dxa"/>
            <w:tcBorders>
              <w:top w:val="nil"/>
              <w:bottom w:val="nil"/>
            </w:tcBorders>
          </w:tcPr>
          <w:p w14:paraId="72C1C08D" w14:textId="77777777" w:rsidR="00155B4E" w:rsidRPr="009032BB" w:rsidRDefault="00155B4E" w:rsidP="00155B4E">
            <w:pPr>
              <w:spacing w:line="259" w:lineRule="auto"/>
              <w:jc w:val="center"/>
              <w:rPr>
                <w:rFonts w:eastAsia="Calibri" w:cs="Arial"/>
                <w:szCs w:val="18"/>
              </w:rPr>
            </w:pPr>
            <w:r>
              <w:rPr>
                <w:rFonts w:eastAsia="Calibri" w:cs="Arial"/>
                <w:szCs w:val="18"/>
              </w:rPr>
              <w:t>INT</w:t>
            </w:r>
          </w:p>
        </w:tc>
      </w:tr>
      <w:tr w:rsidR="00155B4E" w:rsidRPr="00E67707" w14:paraId="5A1E8466" w14:textId="77777777" w:rsidTr="008B7D2F">
        <w:trPr>
          <w:cantSplit/>
          <w:trHeight w:val="227"/>
        </w:trPr>
        <w:tc>
          <w:tcPr>
            <w:tcW w:w="1134" w:type="dxa"/>
            <w:vMerge/>
            <w:tcBorders>
              <w:bottom w:val="single" w:sz="12" w:space="0" w:color="00B050"/>
            </w:tcBorders>
          </w:tcPr>
          <w:p w14:paraId="6CD89DE0" w14:textId="77777777" w:rsidR="00155B4E" w:rsidRPr="009032BB" w:rsidRDefault="00155B4E" w:rsidP="00155B4E">
            <w:pPr>
              <w:spacing w:line="259" w:lineRule="auto"/>
              <w:jc w:val="center"/>
              <w:rPr>
                <w:rFonts w:eastAsia="Calibri" w:cs="Arial"/>
                <w:szCs w:val="18"/>
              </w:rPr>
            </w:pPr>
          </w:p>
        </w:tc>
        <w:tc>
          <w:tcPr>
            <w:tcW w:w="1134" w:type="dxa"/>
            <w:tcBorders>
              <w:top w:val="nil"/>
              <w:bottom w:val="single" w:sz="12" w:space="0" w:color="00B050"/>
            </w:tcBorders>
          </w:tcPr>
          <w:p w14:paraId="4D2D92DC" w14:textId="1741F9CE" w:rsidR="00155B4E" w:rsidRPr="009032BB" w:rsidRDefault="00155B4E" w:rsidP="00155B4E">
            <w:pPr>
              <w:spacing w:line="259" w:lineRule="auto"/>
              <w:jc w:val="center"/>
              <w:rPr>
                <w:rFonts w:eastAsia="Calibri" w:cs="Arial"/>
                <w:szCs w:val="18"/>
              </w:rPr>
            </w:pPr>
            <w:r>
              <w:rPr>
                <w:rFonts w:eastAsia="Calibri"/>
                <w:kern w:val="2"/>
                <w:szCs w:val="24"/>
                <w14:ligatures w14:val="standardContextual"/>
              </w:rPr>
              <w:t>Critical</w:t>
            </w:r>
          </w:p>
        </w:tc>
        <w:tc>
          <w:tcPr>
            <w:tcW w:w="851" w:type="dxa"/>
            <w:tcBorders>
              <w:top w:val="nil"/>
              <w:bottom w:val="single" w:sz="12" w:space="0" w:color="00B050"/>
            </w:tcBorders>
            <w:vAlign w:val="top"/>
          </w:tcPr>
          <w:p w14:paraId="6867DEC2" w14:textId="77777777" w:rsidR="00155B4E" w:rsidRPr="009032BB" w:rsidRDefault="00155B4E" w:rsidP="00155B4E">
            <w:pPr>
              <w:spacing w:line="259" w:lineRule="auto"/>
              <w:jc w:val="center"/>
              <w:rPr>
                <w:rFonts w:eastAsia="Calibri" w:cs="Arial"/>
                <w:szCs w:val="18"/>
              </w:rPr>
            </w:pPr>
            <w:r w:rsidRPr="008F59F3">
              <w:rPr>
                <w:rFonts w:eastAsia="Calibri" w:cs="Arial"/>
                <w:szCs w:val="18"/>
              </w:rPr>
              <w:t>H</w:t>
            </w:r>
          </w:p>
        </w:tc>
        <w:tc>
          <w:tcPr>
            <w:tcW w:w="567" w:type="dxa"/>
            <w:tcBorders>
              <w:top w:val="nil"/>
              <w:bottom w:val="single" w:sz="12" w:space="0" w:color="00B050"/>
            </w:tcBorders>
            <w:vAlign w:val="top"/>
          </w:tcPr>
          <w:p w14:paraId="73D99456" w14:textId="77777777" w:rsidR="00155B4E" w:rsidRPr="009032BB" w:rsidRDefault="00155B4E" w:rsidP="00155B4E">
            <w:pPr>
              <w:spacing w:line="259" w:lineRule="auto"/>
              <w:jc w:val="center"/>
              <w:rPr>
                <w:rFonts w:eastAsia="Calibri" w:cs="Arial"/>
                <w:szCs w:val="18"/>
              </w:rPr>
            </w:pPr>
            <w:r w:rsidRPr="008F59F3">
              <w:rPr>
                <w:rFonts w:eastAsia="Calibri" w:cs="Arial"/>
                <w:szCs w:val="18"/>
              </w:rPr>
              <w:t>H</w:t>
            </w:r>
          </w:p>
        </w:tc>
        <w:tc>
          <w:tcPr>
            <w:tcW w:w="627" w:type="dxa"/>
            <w:tcBorders>
              <w:top w:val="nil"/>
              <w:bottom w:val="single" w:sz="12" w:space="0" w:color="00B050"/>
            </w:tcBorders>
          </w:tcPr>
          <w:p w14:paraId="7D1C9B9A"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c>
          <w:tcPr>
            <w:tcW w:w="857" w:type="dxa"/>
            <w:tcBorders>
              <w:top w:val="nil"/>
              <w:bottom w:val="single" w:sz="12" w:space="0" w:color="00B050"/>
            </w:tcBorders>
            <w:vAlign w:val="top"/>
          </w:tcPr>
          <w:p w14:paraId="4D8A6698" w14:textId="77777777" w:rsidR="00155B4E" w:rsidRPr="009032BB" w:rsidRDefault="00155B4E" w:rsidP="00155B4E">
            <w:pPr>
              <w:spacing w:line="259" w:lineRule="auto"/>
              <w:jc w:val="center"/>
              <w:rPr>
                <w:rFonts w:eastAsia="Calibri" w:cs="Arial"/>
                <w:szCs w:val="18"/>
              </w:rPr>
            </w:pPr>
            <w:r w:rsidRPr="005F7301">
              <w:rPr>
                <w:rFonts w:eastAsia="Calibri" w:cs="Arial"/>
                <w:szCs w:val="18"/>
              </w:rPr>
              <w:t>INT</w:t>
            </w:r>
          </w:p>
        </w:tc>
        <w:tc>
          <w:tcPr>
            <w:tcW w:w="857" w:type="dxa"/>
            <w:tcBorders>
              <w:top w:val="nil"/>
              <w:bottom w:val="single" w:sz="12" w:space="0" w:color="00B050"/>
            </w:tcBorders>
            <w:vAlign w:val="top"/>
          </w:tcPr>
          <w:p w14:paraId="518EB49A" w14:textId="77777777" w:rsidR="00155B4E" w:rsidRPr="009032BB" w:rsidRDefault="00155B4E" w:rsidP="00155B4E">
            <w:pPr>
              <w:spacing w:line="259" w:lineRule="auto"/>
              <w:jc w:val="center"/>
              <w:rPr>
                <w:rFonts w:eastAsia="Calibri" w:cs="Arial"/>
                <w:szCs w:val="18"/>
              </w:rPr>
            </w:pPr>
            <w:r w:rsidRPr="005F7301">
              <w:rPr>
                <w:rFonts w:eastAsia="Calibri" w:cs="Arial"/>
                <w:szCs w:val="18"/>
              </w:rPr>
              <w:t>INT</w:t>
            </w:r>
          </w:p>
        </w:tc>
        <w:tc>
          <w:tcPr>
            <w:tcW w:w="636" w:type="dxa"/>
            <w:tcBorders>
              <w:top w:val="nil"/>
              <w:bottom w:val="single" w:sz="12" w:space="0" w:color="00B050"/>
            </w:tcBorders>
            <w:vAlign w:val="top"/>
          </w:tcPr>
          <w:p w14:paraId="6AB35A8C"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708" w:type="dxa"/>
            <w:tcBorders>
              <w:top w:val="nil"/>
              <w:bottom w:val="single" w:sz="12" w:space="0" w:color="00B050"/>
            </w:tcBorders>
            <w:vAlign w:val="top"/>
          </w:tcPr>
          <w:p w14:paraId="7DA5AE8F"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851" w:type="dxa"/>
            <w:tcBorders>
              <w:top w:val="nil"/>
              <w:bottom w:val="single" w:sz="12" w:space="0" w:color="00B050"/>
            </w:tcBorders>
          </w:tcPr>
          <w:p w14:paraId="58268DE6" w14:textId="77777777" w:rsidR="00155B4E" w:rsidRPr="009032BB" w:rsidRDefault="00155B4E" w:rsidP="00155B4E">
            <w:pPr>
              <w:keepNext/>
              <w:spacing w:line="259" w:lineRule="auto"/>
              <w:jc w:val="center"/>
              <w:rPr>
                <w:rFonts w:eastAsia="Calibri" w:cs="Arial"/>
                <w:szCs w:val="18"/>
              </w:rPr>
            </w:pPr>
            <w:r>
              <w:rPr>
                <w:rFonts w:eastAsia="Calibri" w:cs="Arial"/>
                <w:szCs w:val="18"/>
              </w:rPr>
              <w:t>INT</w:t>
            </w:r>
          </w:p>
        </w:tc>
      </w:tr>
    </w:tbl>
    <w:p w14:paraId="5FCA20B5" w14:textId="77777777" w:rsidR="00090423" w:rsidRDefault="00090423" w:rsidP="00090423">
      <w:pPr>
        <w:pStyle w:val="CETBodytext"/>
        <w:rPr>
          <w:lang w:val="en-GB"/>
        </w:rPr>
      </w:pPr>
      <w:r w:rsidRPr="00016E1F">
        <w:rPr>
          <w:lang w:val="en-GB"/>
        </w:rPr>
        <w:t>L = Low; N = Normal; H = High; VH = Very High; INT = Intolerable.</w:t>
      </w:r>
    </w:p>
    <w:p w14:paraId="58C1720B" w14:textId="62D80F79" w:rsidR="008E464D" w:rsidRDefault="008E464D" w:rsidP="008E464D">
      <w:pPr>
        <w:pStyle w:val="CETTabletitle"/>
      </w:pPr>
      <w:r w:rsidRPr="00012936">
        <w:t>Table 4.</w:t>
      </w:r>
      <w:r>
        <w:t xml:space="preserve"> </w:t>
      </w:r>
      <w:r w:rsidR="00BC6F5D">
        <w:t xml:space="preserve">Definition of </w:t>
      </w:r>
      <w:r>
        <w:t>Risk Index</w:t>
      </w:r>
      <w:r w:rsidR="000F599F">
        <w:t xml:space="preserve"> (k)</w:t>
      </w:r>
      <w:r w:rsidR="00BC6F5D">
        <w:t xml:space="preserve"> node</w:t>
      </w:r>
      <w:r w:rsidR="000F599F">
        <w:t>.</w:t>
      </w:r>
    </w:p>
    <w:tbl>
      <w:tblPr>
        <w:tblStyle w:val="StileCET"/>
        <w:tblW w:w="0" w:type="auto"/>
        <w:tblLook w:val="04A0" w:firstRow="1" w:lastRow="0" w:firstColumn="1" w:lastColumn="0" w:noHBand="0" w:noVBand="1"/>
      </w:tblPr>
      <w:tblGrid>
        <w:gridCol w:w="1127"/>
        <w:gridCol w:w="1127"/>
        <w:gridCol w:w="1247"/>
        <w:gridCol w:w="1247"/>
        <w:gridCol w:w="1287"/>
        <w:gridCol w:w="1287"/>
        <w:gridCol w:w="1057"/>
      </w:tblGrid>
      <w:tr w:rsidR="008E464D" w:rsidRPr="00E67707" w14:paraId="1A4671DB" w14:textId="77777777" w:rsidTr="00F833E5">
        <w:trPr>
          <w:cantSplit/>
          <w:trHeight w:val="227"/>
        </w:trPr>
        <w:tc>
          <w:tcPr>
            <w:tcW w:w="0" w:type="auto"/>
            <w:gridSpan w:val="2"/>
            <w:vMerge w:val="restart"/>
            <w:tcBorders>
              <w:top w:val="single" w:sz="12" w:space="0" w:color="00B050"/>
              <w:bottom w:val="nil"/>
            </w:tcBorders>
          </w:tcPr>
          <w:p w14:paraId="1040EC9C" w14:textId="77777777" w:rsidR="008E464D" w:rsidRPr="00DD108A" w:rsidRDefault="008E464D" w:rsidP="00F833E5">
            <w:pPr>
              <w:spacing w:line="259" w:lineRule="auto"/>
              <w:jc w:val="center"/>
              <w:rPr>
                <w:rFonts w:eastAsia="Calibri" w:cs="Arial"/>
                <w:szCs w:val="18"/>
              </w:rPr>
            </w:pPr>
          </w:p>
        </w:tc>
        <w:tc>
          <w:tcPr>
            <w:tcW w:w="0" w:type="auto"/>
            <w:gridSpan w:val="5"/>
            <w:tcBorders>
              <w:top w:val="single" w:sz="12" w:space="0" w:color="00B050"/>
              <w:bottom w:val="single" w:sz="6" w:space="0" w:color="00B050"/>
            </w:tcBorders>
          </w:tcPr>
          <w:p w14:paraId="25C1E3A2" w14:textId="2988F53E" w:rsidR="008E464D" w:rsidRPr="00B951F1" w:rsidRDefault="00233D23" w:rsidP="00F833E5">
            <w:pPr>
              <w:spacing w:line="259" w:lineRule="auto"/>
              <w:jc w:val="center"/>
              <w:rPr>
                <w:rFonts w:eastAsia="Calibri" w:cs="Arial"/>
                <w:szCs w:val="18"/>
              </w:rPr>
            </w:pPr>
            <w:r w:rsidRPr="00CE05BE">
              <w:rPr>
                <w:color w:val="000000" w:themeColor="text1"/>
              </w:rPr>
              <w:t>ΔRUL</w:t>
            </w:r>
          </w:p>
        </w:tc>
      </w:tr>
      <w:tr w:rsidR="008E464D" w:rsidRPr="00E67707" w14:paraId="6A1E1FC2" w14:textId="77777777" w:rsidTr="00F833E5">
        <w:trPr>
          <w:cantSplit/>
          <w:trHeight w:val="227"/>
        </w:trPr>
        <w:tc>
          <w:tcPr>
            <w:tcW w:w="0" w:type="auto"/>
            <w:gridSpan w:val="2"/>
            <w:vMerge/>
            <w:tcBorders>
              <w:top w:val="nil"/>
              <w:bottom w:val="single" w:sz="6" w:space="0" w:color="00B050"/>
            </w:tcBorders>
          </w:tcPr>
          <w:p w14:paraId="1B8A9449" w14:textId="77777777" w:rsidR="008E464D" w:rsidRPr="00DD108A" w:rsidRDefault="008E464D" w:rsidP="00F833E5">
            <w:pPr>
              <w:spacing w:line="259" w:lineRule="auto"/>
              <w:jc w:val="center"/>
              <w:rPr>
                <w:rFonts w:eastAsia="Calibri" w:cs="Arial"/>
                <w:szCs w:val="18"/>
              </w:rPr>
            </w:pPr>
          </w:p>
        </w:tc>
        <w:tc>
          <w:tcPr>
            <w:tcW w:w="0" w:type="auto"/>
            <w:tcBorders>
              <w:top w:val="single" w:sz="6" w:space="0" w:color="00B050"/>
              <w:bottom w:val="single" w:sz="6" w:space="0" w:color="00B050"/>
            </w:tcBorders>
          </w:tcPr>
          <w:p w14:paraId="2E677110"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Low</w:t>
            </w:r>
          </w:p>
        </w:tc>
        <w:tc>
          <w:tcPr>
            <w:tcW w:w="0" w:type="auto"/>
            <w:tcBorders>
              <w:top w:val="single" w:sz="6" w:space="0" w:color="00B050"/>
              <w:bottom w:val="single" w:sz="6" w:space="0" w:color="00B050"/>
            </w:tcBorders>
          </w:tcPr>
          <w:p w14:paraId="516943A9"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Normal</w:t>
            </w:r>
          </w:p>
        </w:tc>
        <w:tc>
          <w:tcPr>
            <w:tcW w:w="0" w:type="auto"/>
            <w:tcBorders>
              <w:top w:val="single" w:sz="6" w:space="0" w:color="00B050"/>
              <w:bottom w:val="single" w:sz="6" w:space="0" w:color="00B050"/>
            </w:tcBorders>
          </w:tcPr>
          <w:p w14:paraId="4E5583DC"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High</w:t>
            </w:r>
          </w:p>
        </w:tc>
        <w:tc>
          <w:tcPr>
            <w:tcW w:w="0" w:type="auto"/>
            <w:tcBorders>
              <w:top w:val="single" w:sz="6" w:space="0" w:color="00B050"/>
              <w:bottom w:val="single" w:sz="6" w:space="0" w:color="00B050"/>
            </w:tcBorders>
          </w:tcPr>
          <w:p w14:paraId="41B0641E"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Very High</w:t>
            </w:r>
          </w:p>
        </w:tc>
        <w:tc>
          <w:tcPr>
            <w:tcW w:w="0" w:type="auto"/>
            <w:tcBorders>
              <w:top w:val="single" w:sz="6" w:space="0" w:color="00B050"/>
              <w:bottom w:val="single" w:sz="6" w:space="0" w:color="00B050"/>
            </w:tcBorders>
          </w:tcPr>
          <w:p w14:paraId="26FD9A88" w14:textId="77777777" w:rsidR="008E464D" w:rsidRPr="002B63E6" w:rsidRDefault="008E464D" w:rsidP="00F833E5">
            <w:pPr>
              <w:spacing w:line="259" w:lineRule="auto"/>
              <w:jc w:val="center"/>
              <w:rPr>
                <w:rFonts w:eastAsia="Calibri" w:cs="Arial"/>
                <w:szCs w:val="18"/>
              </w:rPr>
            </w:pPr>
            <w:r>
              <w:rPr>
                <w:rFonts w:eastAsia="Calibri" w:cs="Arial"/>
                <w:szCs w:val="18"/>
              </w:rPr>
              <w:t>Intolerable</w:t>
            </w:r>
          </w:p>
        </w:tc>
      </w:tr>
      <w:tr w:rsidR="008E464D" w:rsidRPr="00E67707" w14:paraId="3854A138" w14:textId="77777777" w:rsidTr="00F833E5">
        <w:trPr>
          <w:cantSplit/>
          <w:trHeight w:val="227"/>
        </w:trPr>
        <w:tc>
          <w:tcPr>
            <w:tcW w:w="0" w:type="auto"/>
            <w:vMerge w:val="restart"/>
            <w:tcBorders>
              <w:top w:val="single" w:sz="6" w:space="0" w:color="00B050"/>
              <w:bottom w:val="nil"/>
            </w:tcBorders>
          </w:tcPr>
          <w:p w14:paraId="20B532D7"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Inspections</w:t>
            </w:r>
          </w:p>
        </w:tc>
        <w:tc>
          <w:tcPr>
            <w:tcW w:w="0" w:type="auto"/>
            <w:tcBorders>
              <w:top w:val="single" w:sz="6" w:space="0" w:color="00B050"/>
              <w:bottom w:val="nil"/>
            </w:tcBorders>
          </w:tcPr>
          <w:p w14:paraId="626C2204"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80 – 100 %</w:t>
            </w:r>
          </w:p>
        </w:tc>
        <w:tc>
          <w:tcPr>
            <w:tcW w:w="0" w:type="auto"/>
            <w:tcBorders>
              <w:top w:val="single" w:sz="6" w:space="0" w:color="00B050"/>
              <w:bottom w:val="nil"/>
            </w:tcBorders>
          </w:tcPr>
          <w:p w14:paraId="6961F155"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Low</w:t>
            </w:r>
          </w:p>
        </w:tc>
        <w:tc>
          <w:tcPr>
            <w:tcW w:w="0" w:type="auto"/>
            <w:tcBorders>
              <w:top w:val="single" w:sz="6" w:space="0" w:color="00B050"/>
              <w:bottom w:val="nil"/>
            </w:tcBorders>
          </w:tcPr>
          <w:p w14:paraId="6D7429B6"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Low</w:t>
            </w:r>
          </w:p>
        </w:tc>
        <w:tc>
          <w:tcPr>
            <w:tcW w:w="0" w:type="auto"/>
            <w:tcBorders>
              <w:top w:val="single" w:sz="6" w:space="0" w:color="00B050"/>
              <w:bottom w:val="nil"/>
            </w:tcBorders>
          </w:tcPr>
          <w:p w14:paraId="1C71112C"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Medium</w:t>
            </w:r>
          </w:p>
        </w:tc>
        <w:tc>
          <w:tcPr>
            <w:tcW w:w="0" w:type="auto"/>
            <w:tcBorders>
              <w:top w:val="single" w:sz="6" w:space="0" w:color="00B050"/>
              <w:bottom w:val="nil"/>
            </w:tcBorders>
          </w:tcPr>
          <w:p w14:paraId="38AC87BF" w14:textId="77777777" w:rsidR="008E464D" w:rsidRPr="00DD108A" w:rsidRDefault="008E464D" w:rsidP="00F833E5">
            <w:pPr>
              <w:spacing w:line="259" w:lineRule="auto"/>
              <w:jc w:val="center"/>
              <w:rPr>
                <w:rFonts w:eastAsia="Calibri" w:cs="Arial"/>
                <w:szCs w:val="18"/>
              </w:rPr>
            </w:pPr>
            <w:r w:rsidRPr="00DD108A">
              <w:rPr>
                <w:rFonts w:eastAsia="Calibri" w:cs="Arial"/>
                <w:szCs w:val="18"/>
              </w:rPr>
              <w:t>Medium-High</w:t>
            </w:r>
          </w:p>
        </w:tc>
        <w:tc>
          <w:tcPr>
            <w:tcW w:w="0" w:type="auto"/>
            <w:tcBorders>
              <w:top w:val="single" w:sz="6" w:space="0" w:color="00B050"/>
              <w:bottom w:val="nil"/>
            </w:tcBorders>
          </w:tcPr>
          <w:p w14:paraId="4DE07E28" w14:textId="77777777" w:rsidR="008E464D" w:rsidRPr="002B63E6" w:rsidRDefault="008E464D" w:rsidP="00F833E5">
            <w:pPr>
              <w:spacing w:line="259" w:lineRule="auto"/>
              <w:jc w:val="center"/>
              <w:rPr>
                <w:rFonts w:eastAsia="Calibri" w:cs="Arial"/>
                <w:szCs w:val="18"/>
              </w:rPr>
            </w:pPr>
            <w:r>
              <w:rPr>
                <w:rFonts w:eastAsia="Calibri" w:cs="Arial"/>
                <w:szCs w:val="18"/>
              </w:rPr>
              <w:t>High</w:t>
            </w:r>
          </w:p>
        </w:tc>
      </w:tr>
      <w:tr w:rsidR="008E464D" w:rsidRPr="00E67707" w14:paraId="7BF55139" w14:textId="77777777" w:rsidTr="00F833E5">
        <w:trPr>
          <w:cantSplit/>
          <w:trHeight w:val="227"/>
        </w:trPr>
        <w:tc>
          <w:tcPr>
            <w:tcW w:w="0" w:type="auto"/>
            <w:vMerge/>
            <w:tcBorders>
              <w:top w:val="nil"/>
              <w:bottom w:val="nil"/>
            </w:tcBorders>
          </w:tcPr>
          <w:p w14:paraId="21B9AF45" w14:textId="77777777" w:rsidR="008E464D" w:rsidRPr="002B63E6" w:rsidRDefault="008E464D" w:rsidP="00F833E5">
            <w:pPr>
              <w:spacing w:line="259" w:lineRule="auto"/>
              <w:jc w:val="center"/>
              <w:rPr>
                <w:rFonts w:eastAsia="Calibri" w:cs="Arial"/>
                <w:szCs w:val="18"/>
              </w:rPr>
            </w:pPr>
          </w:p>
        </w:tc>
        <w:tc>
          <w:tcPr>
            <w:tcW w:w="0" w:type="auto"/>
            <w:tcBorders>
              <w:top w:val="nil"/>
              <w:bottom w:val="nil"/>
            </w:tcBorders>
          </w:tcPr>
          <w:p w14:paraId="6B85C04E" w14:textId="77777777" w:rsidR="008E464D" w:rsidRPr="002B63E6" w:rsidRDefault="008E464D" w:rsidP="00F833E5">
            <w:pPr>
              <w:spacing w:line="259" w:lineRule="auto"/>
              <w:jc w:val="center"/>
              <w:rPr>
                <w:rFonts w:eastAsia="Calibri" w:cs="Arial"/>
                <w:szCs w:val="18"/>
              </w:rPr>
            </w:pPr>
            <w:r w:rsidRPr="002B63E6">
              <w:rPr>
                <w:rFonts w:eastAsia="Calibri" w:cs="Arial"/>
                <w:szCs w:val="18"/>
              </w:rPr>
              <w:t>50 – 80 %</w:t>
            </w:r>
          </w:p>
        </w:tc>
        <w:tc>
          <w:tcPr>
            <w:tcW w:w="0" w:type="auto"/>
            <w:tcBorders>
              <w:top w:val="nil"/>
              <w:bottom w:val="nil"/>
            </w:tcBorders>
          </w:tcPr>
          <w:p w14:paraId="052F732A" w14:textId="77777777" w:rsidR="008E464D" w:rsidRPr="002B63E6" w:rsidRDefault="008E464D" w:rsidP="00F833E5">
            <w:pPr>
              <w:spacing w:line="259" w:lineRule="auto"/>
              <w:jc w:val="center"/>
              <w:rPr>
                <w:rFonts w:eastAsia="Calibri" w:cs="Arial"/>
                <w:szCs w:val="18"/>
              </w:rPr>
            </w:pPr>
            <w:r>
              <w:rPr>
                <w:rFonts w:eastAsia="Calibri" w:cs="Arial"/>
                <w:szCs w:val="18"/>
              </w:rPr>
              <w:t>Low</w:t>
            </w:r>
          </w:p>
        </w:tc>
        <w:tc>
          <w:tcPr>
            <w:tcW w:w="0" w:type="auto"/>
            <w:tcBorders>
              <w:top w:val="nil"/>
              <w:bottom w:val="nil"/>
            </w:tcBorders>
          </w:tcPr>
          <w:p w14:paraId="0861CB6F" w14:textId="77777777" w:rsidR="008E464D" w:rsidRPr="002B63E6" w:rsidRDefault="008E464D" w:rsidP="00F833E5">
            <w:pPr>
              <w:spacing w:line="259" w:lineRule="auto"/>
              <w:jc w:val="center"/>
              <w:rPr>
                <w:rFonts w:eastAsia="Calibri" w:cs="Arial"/>
                <w:szCs w:val="18"/>
              </w:rPr>
            </w:pPr>
            <w:r>
              <w:rPr>
                <w:rFonts w:eastAsia="Calibri" w:cs="Arial"/>
                <w:szCs w:val="18"/>
              </w:rPr>
              <w:t>Medium-Low</w:t>
            </w:r>
          </w:p>
        </w:tc>
        <w:tc>
          <w:tcPr>
            <w:tcW w:w="0" w:type="auto"/>
            <w:tcBorders>
              <w:top w:val="nil"/>
              <w:bottom w:val="nil"/>
            </w:tcBorders>
          </w:tcPr>
          <w:p w14:paraId="2AC60524" w14:textId="77777777" w:rsidR="008E464D" w:rsidRPr="002B63E6" w:rsidRDefault="008E464D" w:rsidP="00F833E5">
            <w:pPr>
              <w:spacing w:line="259" w:lineRule="auto"/>
              <w:jc w:val="center"/>
              <w:rPr>
                <w:rFonts w:eastAsia="Calibri" w:cs="Arial"/>
                <w:szCs w:val="18"/>
              </w:rPr>
            </w:pPr>
            <w:r>
              <w:rPr>
                <w:rFonts w:eastAsia="Calibri" w:cs="Arial"/>
                <w:szCs w:val="18"/>
              </w:rPr>
              <w:t>Medium</w:t>
            </w:r>
          </w:p>
        </w:tc>
        <w:tc>
          <w:tcPr>
            <w:tcW w:w="0" w:type="auto"/>
            <w:tcBorders>
              <w:top w:val="nil"/>
              <w:bottom w:val="nil"/>
            </w:tcBorders>
          </w:tcPr>
          <w:p w14:paraId="09C0092D" w14:textId="77777777" w:rsidR="008E464D" w:rsidRPr="002B63E6" w:rsidRDefault="008E464D" w:rsidP="00F833E5">
            <w:pPr>
              <w:spacing w:line="259" w:lineRule="auto"/>
              <w:jc w:val="center"/>
              <w:rPr>
                <w:rFonts w:eastAsia="Calibri" w:cs="Arial"/>
                <w:szCs w:val="18"/>
              </w:rPr>
            </w:pPr>
            <w:r w:rsidRPr="002B63E6">
              <w:rPr>
                <w:rFonts w:eastAsia="Calibri" w:cs="Arial"/>
                <w:szCs w:val="18"/>
              </w:rPr>
              <w:t>Medi</w:t>
            </w:r>
            <w:r>
              <w:rPr>
                <w:rFonts w:eastAsia="Calibri" w:cs="Arial"/>
                <w:szCs w:val="18"/>
              </w:rPr>
              <w:t>um-High</w:t>
            </w:r>
          </w:p>
        </w:tc>
        <w:tc>
          <w:tcPr>
            <w:tcW w:w="0" w:type="auto"/>
            <w:tcBorders>
              <w:top w:val="nil"/>
              <w:bottom w:val="nil"/>
            </w:tcBorders>
          </w:tcPr>
          <w:p w14:paraId="272CC7AF" w14:textId="77777777" w:rsidR="008E464D" w:rsidRPr="002B63E6" w:rsidRDefault="008E464D" w:rsidP="00F833E5">
            <w:pPr>
              <w:spacing w:line="259" w:lineRule="auto"/>
              <w:jc w:val="center"/>
              <w:rPr>
                <w:rFonts w:eastAsia="Calibri" w:cs="Arial"/>
                <w:szCs w:val="18"/>
              </w:rPr>
            </w:pPr>
            <w:r>
              <w:rPr>
                <w:rFonts w:eastAsia="Calibri" w:cs="Arial"/>
                <w:szCs w:val="18"/>
              </w:rPr>
              <w:t>High</w:t>
            </w:r>
          </w:p>
        </w:tc>
      </w:tr>
      <w:tr w:rsidR="008E464D" w:rsidRPr="00E67707" w14:paraId="3EAE473B" w14:textId="77777777" w:rsidTr="00F833E5">
        <w:trPr>
          <w:cantSplit/>
          <w:trHeight w:val="227"/>
        </w:trPr>
        <w:tc>
          <w:tcPr>
            <w:tcW w:w="0" w:type="auto"/>
            <w:vMerge/>
            <w:tcBorders>
              <w:top w:val="nil"/>
              <w:bottom w:val="single" w:sz="12" w:space="0" w:color="00B050"/>
            </w:tcBorders>
          </w:tcPr>
          <w:p w14:paraId="0D39F0F2" w14:textId="77777777" w:rsidR="008E464D" w:rsidRPr="002B63E6" w:rsidRDefault="008E464D" w:rsidP="00F833E5">
            <w:pPr>
              <w:spacing w:line="259" w:lineRule="auto"/>
              <w:jc w:val="center"/>
              <w:rPr>
                <w:rFonts w:eastAsia="Calibri" w:cs="Arial"/>
                <w:szCs w:val="18"/>
              </w:rPr>
            </w:pPr>
          </w:p>
        </w:tc>
        <w:tc>
          <w:tcPr>
            <w:tcW w:w="0" w:type="auto"/>
            <w:tcBorders>
              <w:top w:val="nil"/>
              <w:bottom w:val="single" w:sz="12" w:space="0" w:color="00B050"/>
            </w:tcBorders>
          </w:tcPr>
          <w:p w14:paraId="02DD237F" w14:textId="77777777" w:rsidR="008E464D" w:rsidRPr="002B63E6" w:rsidRDefault="008E464D" w:rsidP="00F833E5">
            <w:pPr>
              <w:spacing w:line="259" w:lineRule="auto"/>
              <w:jc w:val="center"/>
              <w:rPr>
                <w:rFonts w:eastAsia="Calibri" w:cs="Arial"/>
                <w:szCs w:val="18"/>
              </w:rPr>
            </w:pPr>
            <w:r w:rsidRPr="002B63E6">
              <w:rPr>
                <w:rFonts w:eastAsia="Calibri" w:cs="Arial"/>
                <w:szCs w:val="18"/>
              </w:rPr>
              <w:t>≤ 50 %</w:t>
            </w:r>
          </w:p>
        </w:tc>
        <w:tc>
          <w:tcPr>
            <w:tcW w:w="0" w:type="auto"/>
            <w:tcBorders>
              <w:top w:val="nil"/>
              <w:bottom w:val="single" w:sz="12" w:space="0" w:color="00B050"/>
            </w:tcBorders>
          </w:tcPr>
          <w:p w14:paraId="78A77FB9" w14:textId="77777777" w:rsidR="008E464D" w:rsidRPr="002B63E6" w:rsidRDefault="008E464D" w:rsidP="00F833E5">
            <w:pPr>
              <w:spacing w:line="259" w:lineRule="auto"/>
              <w:jc w:val="center"/>
              <w:rPr>
                <w:rFonts w:eastAsia="Calibri" w:cs="Arial"/>
                <w:szCs w:val="18"/>
              </w:rPr>
            </w:pPr>
            <w:r>
              <w:rPr>
                <w:rFonts w:eastAsia="Calibri" w:cs="Arial"/>
                <w:szCs w:val="18"/>
              </w:rPr>
              <w:t>Medium-Low</w:t>
            </w:r>
          </w:p>
        </w:tc>
        <w:tc>
          <w:tcPr>
            <w:tcW w:w="0" w:type="auto"/>
            <w:tcBorders>
              <w:top w:val="nil"/>
              <w:bottom w:val="single" w:sz="12" w:space="0" w:color="00B050"/>
            </w:tcBorders>
          </w:tcPr>
          <w:p w14:paraId="4CDBCC14" w14:textId="77777777" w:rsidR="008E464D" w:rsidRPr="002B63E6" w:rsidRDefault="008E464D" w:rsidP="00F833E5">
            <w:pPr>
              <w:spacing w:line="259" w:lineRule="auto"/>
              <w:jc w:val="center"/>
              <w:rPr>
                <w:rFonts w:eastAsia="Calibri" w:cs="Arial"/>
                <w:szCs w:val="18"/>
              </w:rPr>
            </w:pPr>
            <w:r>
              <w:rPr>
                <w:rFonts w:eastAsia="Calibri" w:cs="Arial"/>
                <w:szCs w:val="18"/>
              </w:rPr>
              <w:t>Medium</w:t>
            </w:r>
          </w:p>
        </w:tc>
        <w:tc>
          <w:tcPr>
            <w:tcW w:w="0" w:type="auto"/>
            <w:tcBorders>
              <w:top w:val="nil"/>
              <w:bottom w:val="single" w:sz="12" w:space="0" w:color="00B050"/>
            </w:tcBorders>
          </w:tcPr>
          <w:p w14:paraId="2730ED04" w14:textId="05B20706" w:rsidR="008E464D" w:rsidRPr="002B63E6" w:rsidRDefault="008E464D" w:rsidP="00F833E5">
            <w:pPr>
              <w:spacing w:line="259" w:lineRule="auto"/>
              <w:jc w:val="center"/>
              <w:rPr>
                <w:rFonts w:eastAsia="Calibri" w:cs="Arial"/>
                <w:szCs w:val="18"/>
              </w:rPr>
            </w:pPr>
            <w:r w:rsidRPr="002B63E6">
              <w:rPr>
                <w:rFonts w:eastAsia="Calibri" w:cs="Arial"/>
                <w:szCs w:val="18"/>
              </w:rPr>
              <w:t>Me</w:t>
            </w:r>
            <w:r>
              <w:rPr>
                <w:rFonts w:eastAsia="Calibri" w:cs="Arial"/>
                <w:szCs w:val="18"/>
              </w:rPr>
              <w:t>dium-High</w:t>
            </w:r>
          </w:p>
        </w:tc>
        <w:tc>
          <w:tcPr>
            <w:tcW w:w="0" w:type="auto"/>
            <w:tcBorders>
              <w:top w:val="nil"/>
              <w:bottom w:val="single" w:sz="12" w:space="0" w:color="00B050"/>
            </w:tcBorders>
            <w:vAlign w:val="top"/>
          </w:tcPr>
          <w:p w14:paraId="1B016C73" w14:textId="77777777" w:rsidR="008E464D" w:rsidRPr="002B63E6" w:rsidRDefault="008E464D" w:rsidP="00F833E5">
            <w:pPr>
              <w:spacing w:line="259" w:lineRule="auto"/>
              <w:jc w:val="center"/>
              <w:rPr>
                <w:rFonts w:eastAsia="Calibri" w:cs="Arial"/>
                <w:szCs w:val="18"/>
              </w:rPr>
            </w:pPr>
            <w:r w:rsidRPr="00B7177C">
              <w:rPr>
                <w:rFonts w:eastAsia="Calibri" w:cs="Arial"/>
                <w:szCs w:val="18"/>
              </w:rPr>
              <w:t>High</w:t>
            </w:r>
          </w:p>
        </w:tc>
        <w:tc>
          <w:tcPr>
            <w:tcW w:w="0" w:type="auto"/>
            <w:tcBorders>
              <w:top w:val="nil"/>
              <w:bottom w:val="single" w:sz="12" w:space="0" w:color="00B050"/>
            </w:tcBorders>
            <w:vAlign w:val="top"/>
          </w:tcPr>
          <w:p w14:paraId="20AA41E2" w14:textId="77777777" w:rsidR="008E464D" w:rsidRPr="002B63E6" w:rsidRDefault="008E464D" w:rsidP="00F833E5">
            <w:pPr>
              <w:keepNext/>
              <w:spacing w:line="259" w:lineRule="auto"/>
              <w:jc w:val="center"/>
              <w:rPr>
                <w:rFonts w:eastAsia="Calibri" w:cs="Arial"/>
                <w:szCs w:val="18"/>
              </w:rPr>
            </w:pPr>
            <w:r w:rsidRPr="00B7177C">
              <w:rPr>
                <w:rFonts w:eastAsia="Calibri" w:cs="Arial"/>
                <w:szCs w:val="18"/>
              </w:rPr>
              <w:t>High</w:t>
            </w:r>
          </w:p>
        </w:tc>
      </w:tr>
    </w:tbl>
    <w:p w14:paraId="6855AFEB" w14:textId="77777777" w:rsidR="00090423" w:rsidRDefault="00090423" w:rsidP="00090423">
      <w:pPr>
        <w:pStyle w:val="CETBodytext"/>
        <w:rPr>
          <w:lang w:val="en-GB"/>
        </w:rPr>
      </w:pPr>
    </w:p>
    <w:p w14:paraId="579AF9F5" w14:textId="67078A32" w:rsidR="00090423" w:rsidRPr="001D56DA" w:rsidRDefault="00090423" w:rsidP="00090423">
      <w:pPr>
        <w:spacing w:line="276" w:lineRule="auto"/>
        <w:rPr>
          <w:rFonts w:eastAsia="Calibri"/>
          <w:kern w:val="2"/>
          <w:szCs w:val="24"/>
          <w14:ligatures w14:val="standardContextual"/>
        </w:rPr>
      </w:pPr>
      <w:r w:rsidRPr="001D56DA">
        <w:rPr>
          <w:rFonts w:eastAsia="Calibri"/>
          <w:kern w:val="2"/>
          <w:szCs w:val="24"/>
          <w14:ligatures w14:val="standardContextual"/>
        </w:rPr>
        <w:t xml:space="preserve">The </w:t>
      </w:r>
      <w:r w:rsidR="001F2FDF" w:rsidRPr="001D56DA">
        <w:rPr>
          <w:rFonts w:eastAsia="Calibri"/>
          <w:i/>
          <w:iCs/>
          <w:kern w:val="2"/>
          <w:szCs w:val="24"/>
          <w14:ligatures w14:val="standardContextual"/>
        </w:rPr>
        <w:t>Residual Useful Lifetime</w:t>
      </w:r>
      <w:r w:rsidR="001F2FDF" w:rsidRPr="001D56DA">
        <w:rPr>
          <w:rFonts w:eastAsia="Calibri"/>
          <w:kern w:val="2"/>
          <w:szCs w:val="24"/>
          <w14:ligatures w14:val="standardContextual"/>
        </w:rPr>
        <w:t xml:space="preserve"> </w:t>
      </w:r>
      <w:r w:rsidR="00631627" w:rsidRPr="001D56DA">
        <w:rPr>
          <w:rFonts w:eastAsia="Calibri"/>
          <w:kern w:val="2"/>
          <w:szCs w:val="24"/>
          <w14:ligatures w14:val="standardContextual"/>
        </w:rPr>
        <w:t>(</w:t>
      </w:r>
      <w:r w:rsidRPr="001D56DA">
        <w:rPr>
          <w:rFonts w:eastAsia="Calibri"/>
          <w:kern w:val="2"/>
          <w:szCs w:val="24"/>
          <w14:ligatures w14:val="standardContextual"/>
        </w:rPr>
        <w:t>RUL</w:t>
      </w:r>
      <w:r w:rsidR="00631627" w:rsidRPr="001D56DA">
        <w:rPr>
          <w:rFonts w:eastAsia="Calibri"/>
          <w:kern w:val="2"/>
          <w:szCs w:val="24"/>
          <w14:ligatures w14:val="standardContextual"/>
        </w:rPr>
        <w:t>)</w:t>
      </w:r>
      <w:r w:rsidRPr="001D56DA">
        <w:rPr>
          <w:rFonts w:eastAsia="Calibri"/>
          <w:kern w:val="2"/>
          <w:szCs w:val="24"/>
          <w14:ligatures w14:val="standardContextual"/>
        </w:rPr>
        <w:t xml:space="preserve"> is obtained by</w:t>
      </w:r>
      <w:r w:rsidR="00BE31FD" w:rsidRPr="001D56DA">
        <w:rPr>
          <w:rFonts w:eastAsia="Calibri"/>
          <w:kern w:val="2"/>
          <w:szCs w:val="24"/>
          <w14:ligatures w14:val="standardContextual"/>
        </w:rPr>
        <w:t xml:space="preserve"> </w:t>
      </w:r>
      <w:r w:rsidRPr="001D56DA">
        <w:rPr>
          <w:rFonts w:eastAsia="Calibri"/>
          <w:kern w:val="2"/>
          <w:szCs w:val="24"/>
          <w14:ligatures w14:val="standardContextual"/>
        </w:rPr>
        <w:t xml:space="preserve">subtracting the life actually consumed </w:t>
      </w:r>
      <w:r w:rsidR="00EF7FF2" w:rsidRPr="001D56DA">
        <w:rPr>
          <w:rFonts w:eastAsia="Calibri"/>
          <w:kern w:val="2"/>
          <w:szCs w:val="24"/>
          <w14:ligatures w14:val="standardContextual"/>
        </w:rPr>
        <w:t>from</w:t>
      </w:r>
      <w:r w:rsidRPr="001D56DA">
        <w:rPr>
          <w:rFonts w:eastAsia="Calibri"/>
          <w:kern w:val="2"/>
          <w:szCs w:val="24"/>
          <w14:ligatures w14:val="standardContextual"/>
        </w:rPr>
        <w:t xml:space="preserve"> the reference period</w:t>
      </w:r>
      <w:r w:rsidR="00BE31FD" w:rsidRPr="001D56DA">
        <w:rPr>
          <w:rFonts w:eastAsia="Calibri"/>
          <w:kern w:val="2"/>
          <w:szCs w:val="24"/>
          <w14:ligatures w14:val="standardContextual"/>
        </w:rPr>
        <w:t xml:space="preserve">, </w:t>
      </w:r>
      <w:r w:rsidR="00A876A5" w:rsidRPr="001D56DA">
        <w:rPr>
          <w:rFonts w:eastAsia="Calibri"/>
          <w:kern w:val="2"/>
          <w:szCs w:val="24"/>
          <w14:ligatures w14:val="standardContextual"/>
        </w:rPr>
        <w:t>usually 10 ye</w:t>
      </w:r>
      <w:r w:rsidR="00BE79AA" w:rsidRPr="001D56DA">
        <w:rPr>
          <w:rFonts w:eastAsia="Calibri"/>
          <w:kern w:val="2"/>
          <w:szCs w:val="24"/>
          <w14:ligatures w14:val="standardContextual"/>
        </w:rPr>
        <w:t>ars</w:t>
      </w:r>
      <w:r w:rsidR="00364F24" w:rsidRPr="001D56DA">
        <w:rPr>
          <w:rFonts w:eastAsia="Calibri"/>
          <w:kern w:val="2"/>
          <w:szCs w:val="24"/>
          <w14:ligatures w14:val="standardContextual"/>
        </w:rPr>
        <w:t xml:space="preserve"> </w:t>
      </w:r>
      <w:r w:rsidR="00F22A30" w:rsidRPr="001D56DA">
        <w:rPr>
          <w:rFonts w:eastAsia="Calibri"/>
          <w:kern w:val="2"/>
          <w:szCs w:val="24"/>
          <w14:ligatures w14:val="standardContextual"/>
        </w:rPr>
        <w:t>(</w:t>
      </w:r>
      <w:r w:rsidR="00364F24" w:rsidRPr="001D56DA">
        <w:rPr>
          <w:rFonts w:eastAsia="Calibri"/>
          <w:kern w:val="2"/>
          <w:szCs w:val="24"/>
          <w14:ligatures w14:val="standardContextual"/>
        </w:rPr>
        <w:t>expressed in days</w:t>
      </w:r>
      <w:r w:rsidR="00F22A30" w:rsidRPr="001D56DA">
        <w:rPr>
          <w:rFonts w:eastAsia="Calibri"/>
          <w:kern w:val="2"/>
          <w:szCs w:val="24"/>
          <w14:ligatures w14:val="standardContextual"/>
        </w:rPr>
        <w:t>)</w:t>
      </w:r>
      <w:r w:rsidR="00692740" w:rsidRPr="001D56DA">
        <w:rPr>
          <w:rFonts w:eastAsia="Calibri"/>
          <w:kern w:val="2"/>
          <w:szCs w:val="24"/>
          <w14:ligatures w14:val="standardContextual"/>
        </w:rPr>
        <w:t>,</w:t>
      </w:r>
      <w:r w:rsidR="00BE31FD" w:rsidRPr="001D56DA">
        <w:rPr>
          <w:rFonts w:eastAsia="Calibri"/>
          <w:kern w:val="2"/>
          <w:szCs w:val="24"/>
          <w14:ligatures w14:val="standardContextual"/>
        </w:rPr>
        <w:t xml:space="preserve"> </w:t>
      </w:r>
      <w:r w:rsidR="00692740" w:rsidRPr="001D56DA">
        <w:rPr>
          <w:rFonts w:eastAsia="Calibri"/>
          <w:kern w:val="2"/>
          <w:szCs w:val="24"/>
          <w14:ligatures w14:val="standardContextual"/>
        </w:rPr>
        <w:t xml:space="preserve">as given </w:t>
      </w:r>
      <w:r w:rsidR="002222FF">
        <w:rPr>
          <w:rFonts w:eastAsia="Calibri"/>
          <w:kern w:val="2"/>
          <w:szCs w:val="24"/>
          <w14:ligatures w14:val="standardContextual"/>
        </w:rPr>
        <w:t>by</w:t>
      </w:r>
      <w:r w:rsidR="002222FF" w:rsidRPr="001D56DA">
        <w:rPr>
          <w:rFonts w:eastAsia="Calibri"/>
          <w:kern w:val="2"/>
          <w:szCs w:val="24"/>
          <w14:ligatures w14:val="standardContextual"/>
        </w:rPr>
        <w:t xml:space="preserve"> </w:t>
      </w:r>
      <w:r w:rsidR="00692740" w:rsidRPr="001D56DA">
        <w:rPr>
          <w:rFonts w:eastAsia="Calibri"/>
          <w:kern w:val="2"/>
          <w:szCs w:val="24"/>
          <w14:ligatures w14:val="standardContextual"/>
        </w:rPr>
        <w:t>Eq. (</w:t>
      </w:r>
      <w:r w:rsidR="006E7C8D" w:rsidRPr="001D56DA">
        <w:rPr>
          <w:rFonts w:eastAsia="Calibri"/>
          <w:kern w:val="2"/>
          <w:szCs w:val="24"/>
          <w14:ligatures w14:val="standardContextual"/>
        </w:rPr>
        <w:t>2</w:t>
      </w:r>
      <w:r w:rsidR="00BE31FD" w:rsidRPr="001D56DA">
        <w:rPr>
          <w:rFonts w:eastAsia="Calibri"/>
          <w:kern w:val="2"/>
          <w:szCs w:val="24"/>
          <w14:ligatures w14:val="standardContextual"/>
        </w:rPr>
        <w:t>)</w:t>
      </w:r>
      <w:r w:rsidRPr="001D56DA">
        <w:rPr>
          <w:rFonts w:eastAsia="Calibri"/>
          <w:kern w:val="2"/>
          <w:szCs w:val="24"/>
          <w14:ligatures w14:val="standardContextual"/>
        </w:rPr>
        <w:t>:</w:t>
      </w:r>
    </w:p>
    <w:tbl>
      <w:tblPr>
        <w:tblW w:w="5000" w:type="pct"/>
        <w:tblLook w:val="04A0" w:firstRow="1" w:lastRow="0" w:firstColumn="1" w:lastColumn="0" w:noHBand="0" w:noVBand="1"/>
      </w:tblPr>
      <w:tblGrid>
        <w:gridCol w:w="7985"/>
        <w:gridCol w:w="802"/>
      </w:tblGrid>
      <w:tr w:rsidR="001D56DA" w:rsidRPr="001D56DA" w14:paraId="64902E02" w14:textId="77777777" w:rsidTr="00F833E5">
        <w:tc>
          <w:tcPr>
            <w:tcW w:w="8188" w:type="dxa"/>
            <w:shd w:val="clear" w:color="auto" w:fill="auto"/>
            <w:vAlign w:val="center"/>
          </w:tcPr>
          <w:p w14:paraId="6F741CC5" w14:textId="77777777" w:rsidR="00090423" w:rsidRPr="001D56DA" w:rsidRDefault="00090423" w:rsidP="00F833E5">
            <w:pPr>
              <w:pStyle w:val="CETEquation"/>
            </w:pPr>
            <w:r w:rsidRPr="001D56DA">
              <w:rPr>
                <w:noProof/>
                <w:lang w:val="it-IT" w:eastAsia="it-IT"/>
              </w:rPr>
              <w:drawing>
                <wp:inline distT="0" distB="0" distL="0" distR="0" wp14:anchorId="1DA5FC68" wp14:editId="2B14AC77">
                  <wp:extent cx="1212850" cy="177800"/>
                  <wp:effectExtent l="0" t="0" r="6350" b="0"/>
                  <wp:docPr id="135719232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 r="73671" b="21126"/>
                          <a:stretch/>
                        </pic:blipFill>
                        <pic:spPr bwMode="auto">
                          <a:xfrm>
                            <a:off x="0" y="0"/>
                            <a:ext cx="1234893" cy="1810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54809991" w14:textId="50FE57B7" w:rsidR="00090423" w:rsidRPr="001D56DA" w:rsidRDefault="00090423" w:rsidP="00F833E5">
            <w:pPr>
              <w:pStyle w:val="CETEquation"/>
              <w:jc w:val="right"/>
            </w:pPr>
            <w:r w:rsidRPr="001D56DA">
              <w:t>(</w:t>
            </w:r>
            <w:r w:rsidR="006E7C8D" w:rsidRPr="001D56DA">
              <w:t>2</w:t>
            </w:r>
            <w:r w:rsidRPr="001D56DA">
              <w:t>)</w:t>
            </w:r>
          </w:p>
        </w:tc>
      </w:tr>
    </w:tbl>
    <w:p w14:paraId="79C28BA2" w14:textId="0E86D06E" w:rsidR="006E7C8D" w:rsidRPr="001D56DA" w:rsidRDefault="001F2FDF" w:rsidP="006E7C8D">
      <w:pPr>
        <w:spacing w:line="276" w:lineRule="auto"/>
        <w:rPr>
          <w:rFonts w:eastAsia="Calibri"/>
          <w:kern w:val="2"/>
          <w:szCs w:val="24"/>
          <w14:ligatures w14:val="standardContextual"/>
        </w:rPr>
      </w:pPr>
      <w:r w:rsidRPr="001D56DA">
        <w:rPr>
          <w:rFonts w:eastAsia="Calibri"/>
          <w:kern w:val="2"/>
          <w:szCs w:val="24"/>
          <w14:ligatures w14:val="standardContextual"/>
        </w:rPr>
        <w:t xml:space="preserve">The </w:t>
      </w:r>
      <w:r w:rsidRPr="001D56DA">
        <w:rPr>
          <w:rFonts w:eastAsia="Calibri"/>
          <w:i/>
          <w:iCs/>
          <w:kern w:val="2"/>
          <w:szCs w:val="24"/>
          <w14:ligatures w14:val="standardContextual"/>
        </w:rPr>
        <w:t>Consumed Life</w:t>
      </w:r>
      <w:r w:rsidR="00B0582F" w:rsidRPr="001D56DA">
        <w:rPr>
          <w:rFonts w:eastAsia="Calibri"/>
          <w:kern w:val="2"/>
          <w:szCs w:val="24"/>
          <w14:ligatures w14:val="standardContextual"/>
        </w:rPr>
        <w:t xml:space="preserve"> </w:t>
      </w:r>
      <w:r w:rsidRPr="001D56DA">
        <w:rPr>
          <w:rFonts w:eastAsia="Calibri"/>
          <w:kern w:val="2"/>
          <w:szCs w:val="24"/>
          <w14:ligatures w14:val="standardContextual"/>
        </w:rPr>
        <w:t>(</w:t>
      </w:r>
      <w:r w:rsidR="006E7C8D" w:rsidRPr="001D56DA">
        <w:rPr>
          <w:rFonts w:eastAsia="Calibri"/>
          <w:kern w:val="2"/>
          <w:szCs w:val="24"/>
          <w14:ligatures w14:val="standardContextual"/>
        </w:rPr>
        <w:t>ΔRUL</w:t>
      </w:r>
      <w:r w:rsidRPr="001D56DA">
        <w:rPr>
          <w:rFonts w:eastAsia="Calibri"/>
          <w:kern w:val="2"/>
          <w:szCs w:val="24"/>
          <w14:ligatures w14:val="standardContextual"/>
        </w:rPr>
        <w:t>)</w:t>
      </w:r>
      <w:r w:rsidR="00DE7903">
        <w:rPr>
          <w:rFonts w:eastAsia="Calibri"/>
          <w:kern w:val="2"/>
          <w:szCs w:val="24"/>
          <w14:ligatures w14:val="standardContextual"/>
        </w:rPr>
        <w:t>,</w:t>
      </w:r>
      <w:r w:rsidR="006E7C8D" w:rsidRPr="001D56DA">
        <w:rPr>
          <w:rFonts w:eastAsia="Calibri"/>
          <w:kern w:val="2"/>
          <w:szCs w:val="24"/>
          <w14:ligatures w14:val="standardContextual"/>
        </w:rPr>
        <w:t xml:space="preserve"> </w:t>
      </w:r>
      <w:r w:rsidR="00B0582F" w:rsidRPr="001D56DA">
        <w:rPr>
          <w:rFonts w:eastAsia="Calibri"/>
          <w:kern w:val="2"/>
          <w:szCs w:val="24"/>
          <w14:ligatures w14:val="standardContextual"/>
        </w:rPr>
        <w:t xml:space="preserve">also </w:t>
      </w:r>
      <w:r w:rsidR="006E7C8D" w:rsidRPr="001D56DA">
        <w:rPr>
          <w:rFonts w:eastAsia="Calibri"/>
          <w:kern w:val="2"/>
          <w:szCs w:val="24"/>
          <w14:ligatures w14:val="standardContextual"/>
        </w:rPr>
        <w:t xml:space="preserve">expressed in days, </w:t>
      </w:r>
      <w:r w:rsidR="005B1D30" w:rsidRPr="001D56DA">
        <w:rPr>
          <w:rFonts w:eastAsia="Calibri"/>
          <w:kern w:val="2"/>
          <w:szCs w:val="24"/>
          <w14:ligatures w14:val="standardContextual"/>
        </w:rPr>
        <w:t xml:space="preserve">is calculated </w:t>
      </w:r>
      <w:r w:rsidR="002222FF">
        <w:rPr>
          <w:rFonts w:eastAsia="Calibri"/>
          <w:kern w:val="2"/>
          <w:szCs w:val="24"/>
          <w14:ligatures w14:val="standardContextual"/>
        </w:rPr>
        <w:t>by</w:t>
      </w:r>
      <w:r w:rsidR="002222FF" w:rsidRPr="001D56DA">
        <w:rPr>
          <w:rFonts w:eastAsia="Calibri"/>
          <w:kern w:val="2"/>
          <w:szCs w:val="24"/>
          <w14:ligatures w14:val="standardContextual"/>
        </w:rPr>
        <w:t xml:space="preserve"> </w:t>
      </w:r>
      <w:r w:rsidR="006E7C8D" w:rsidRPr="001D56DA">
        <w:rPr>
          <w:rFonts w:eastAsia="Calibri"/>
          <w:kern w:val="2"/>
          <w:szCs w:val="24"/>
          <w14:ligatures w14:val="standardContextual"/>
        </w:rPr>
        <w:t>Eq. (3):</w:t>
      </w:r>
    </w:p>
    <w:tbl>
      <w:tblPr>
        <w:tblW w:w="5000" w:type="pct"/>
        <w:tblLook w:val="04A0" w:firstRow="1" w:lastRow="0" w:firstColumn="1" w:lastColumn="0" w:noHBand="0" w:noVBand="1"/>
      </w:tblPr>
      <w:tblGrid>
        <w:gridCol w:w="7991"/>
        <w:gridCol w:w="796"/>
      </w:tblGrid>
      <w:tr w:rsidR="001D56DA" w:rsidRPr="001D56DA" w14:paraId="3A5CA890" w14:textId="77777777" w:rsidTr="00F833E5">
        <w:tc>
          <w:tcPr>
            <w:tcW w:w="8188" w:type="dxa"/>
            <w:shd w:val="clear" w:color="auto" w:fill="auto"/>
            <w:vAlign w:val="center"/>
          </w:tcPr>
          <w:p w14:paraId="3773B93E" w14:textId="77777777" w:rsidR="006E7C8D" w:rsidRPr="001D56DA" w:rsidRDefault="006E7C8D" w:rsidP="00F833E5">
            <w:pPr>
              <w:pStyle w:val="CETEquation"/>
            </w:pPr>
            <w:r w:rsidRPr="001D56DA">
              <w:rPr>
                <w:noProof/>
                <w:lang w:val="it-IT" w:eastAsia="it-IT"/>
              </w:rPr>
              <w:drawing>
                <wp:inline distT="0" distB="0" distL="0" distR="0" wp14:anchorId="25DE85C6" wp14:editId="5AC127E1">
                  <wp:extent cx="2607128" cy="204245"/>
                  <wp:effectExtent l="0" t="0" r="0" b="0"/>
                  <wp:docPr id="8281682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57926" b="-25925"/>
                          <a:stretch/>
                        </pic:blipFill>
                        <pic:spPr bwMode="auto">
                          <a:xfrm>
                            <a:off x="0" y="0"/>
                            <a:ext cx="2735211" cy="2142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6D964EDF" w14:textId="3D0B6165" w:rsidR="006E7C8D" w:rsidRPr="001D56DA" w:rsidRDefault="006E7C8D" w:rsidP="00F833E5">
            <w:pPr>
              <w:pStyle w:val="CETEquation"/>
              <w:jc w:val="right"/>
            </w:pPr>
            <w:r w:rsidRPr="001D56DA">
              <w:t>(3)</w:t>
            </w:r>
          </w:p>
        </w:tc>
      </w:tr>
    </w:tbl>
    <w:p w14:paraId="12E1A9B7" w14:textId="007FDA4D" w:rsidR="006C5F31" w:rsidRPr="001D56DA" w:rsidRDefault="006E7C8D" w:rsidP="006E7C8D">
      <w:pPr>
        <w:spacing w:line="276" w:lineRule="auto"/>
        <w:rPr>
          <w:rFonts w:eastAsia="Calibri"/>
          <w:kern w:val="2"/>
          <w:szCs w:val="24"/>
          <w14:ligatures w14:val="standardContextual"/>
        </w:rPr>
      </w:pPr>
      <w:r w:rsidRPr="001D56DA">
        <w:rPr>
          <w:rFonts w:eastAsia="Calibri"/>
          <w:kern w:val="2"/>
          <w:szCs w:val="24"/>
          <w14:ligatures w14:val="standardContextual"/>
        </w:rPr>
        <w:t xml:space="preserve">where </w:t>
      </w:r>
      <w:r w:rsidR="006C5F31" w:rsidRPr="001D56DA">
        <w:rPr>
          <w:rFonts w:eastAsia="Calibri"/>
          <w:kern w:val="2"/>
          <w:szCs w:val="24"/>
          <w14:ligatures w14:val="standardContextual"/>
        </w:rPr>
        <w:t>p</w:t>
      </w:r>
      <w:r w:rsidR="006C5F31" w:rsidRPr="001D56DA">
        <w:rPr>
          <w:rFonts w:eastAsia="Calibri"/>
          <w:kern w:val="2"/>
          <w:szCs w:val="24"/>
          <w:vertAlign w:val="subscript"/>
          <w14:ligatures w14:val="standardContextual"/>
        </w:rPr>
        <w:t>n</w:t>
      </w:r>
      <w:r w:rsidR="00186BC7" w:rsidRPr="001D56DA">
        <w:rPr>
          <w:rFonts w:eastAsia="Calibri"/>
          <w:kern w:val="2"/>
          <w:szCs w:val="24"/>
          <w14:ligatures w14:val="standardContextual"/>
        </w:rPr>
        <w:t xml:space="preserve"> </w:t>
      </w:r>
      <w:r w:rsidR="006C5F31" w:rsidRPr="001D56DA">
        <w:rPr>
          <w:rFonts w:eastAsia="Calibri"/>
          <w:kern w:val="2"/>
          <w:szCs w:val="24"/>
          <w14:ligatures w14:val="standardContextual"/>
        </w:rPr>
        <w:t xml:space="preserve">are the states probabilities </w:t>
      </w:r>
      <w:r w:rsidR="000C63CC" w:rsidRPr="001D56DA">
        <w:rPr>
          <w:rFonts w:eastAsia="Calibri"/>
          <w:kern w:val="2"/>
          <w:szCs w:val="24"/>
          <w14:ligatures w14:val="standardContextual"/>
        </w:rPr>
        <w:t xml:space="preserve">of ΔRUL </w:t>
      </w:r>
      <w:r w:rsidR="00F65C01" w:rsidRPr="001D56DA">
        <w:rPr>
          <w:rFonts w:eastAsia="Calibri"/>
          <w:kern w:val="2"/>
          <w:szCs w:val="24"/>
          <w14:ligatures w14:val="standardContextual"/>
        </w:rPr>
        <w:t xml:space="preserve">node </w:t>
      </w:r>
      <w:r w:rsidR="000C63CC" w:rsidRPr="001D56DA">
        <w:rPr>
          <w:rFonts w:eastAsia="Calibri"/>
          <w:kern w:val="2"/>
          <w:szCs w:val="24"/>
          <w14:ligatures w14:val="standardContextual"/>
        </w:rPr>
        <w:t xml:space="preserve">and </w:t>
      </w:r>
      <w:r w:rsidRPr="001D56DA">
        <w:rPr>
          <w:rFonts w:eastAsia="Calibri"/>
          <w:kern w:val="2"/>
          <w:szCs w:val="24"/>
          <w14:ligatures w14:val="standardContextual"/>
        </w:rPr>
        <w:t>Δt is the time interval considered</w:t>
      </w:r>
      <w:r w:rsidR="00F65C01" w:rsidRPr="001D56DA">
        <w:rPr>
          <w:rFonts w:eastAsia="Calibri"/>
          <w:kern w:val="2"/>
          <w:szCs w:val="24"/>
          <w14:ligatures w14:val="standardContextual"/>
        </w:rPr>
        <w:t xml:space="preserve">, whereas </w:t>
      </w:r>
      <w:r w:rsidR="006A4513" w:rsidRPr="001D56DA">
        <w:rPr>
          <w:rFonts w:eastAsia="Calibri"/>
          <w:kern w:val="2"/>
          <w:szCs w:val="24"/>
          <w14:ligatures w14:val="standardContextual"/>
        </w:rPr>
        <w:t>t</w:t>
      </w:r>
      <w:r w:rsidR="00DF448D" w:rsidRPr="001D56DA">
        <w:rPr>
          <w:rFonts w:eastAsia="Calibri"/>
          <w:kern w:val="2"/>
          <w:szCs w:val="24"/>
          <w14:ligatures w14:val="standardContextual"/>
        </w:rPr>
        <w:t>he</w:t>
      </w:r>
      <w:r w:rsidR="006C5F31" w:rsidRPr="001D56DA">
        <w:rPr>
          <w:rFonts w:eastAsia="Calibri"/>
          <w:kern w:val="2"/>
          <w:szCs w:val="24"/>
          <w14:ligatures w14:val="standardContextual"/>
        </w:rPr>
        <w:t xml:space="preserve"> </w:t>
      </w:r>
      <w:r w:rsidR="006A4513" w:rsidRPr="001D56DA">
        <w:rPr>
          <w:rFonts w:eastAsia="Calibri"/>
          <w:kern w:val="2"/>
          <w:szCs w:val="24"/>
          <w14:ligatures w14:val="standardContextual"/>
        </w:rPr>
        <w:t xml:space="preserve">numerical </w:t>
      </w:r>
      <w:r w:rsidR="006C5F31" w:rsidRPr="001D56DA">
        <w:rPr>
          <w:rFonts w:eastAsia="Calibri"/>
          <w:kern w:val="2"/>
          <w:szCs w:val="24"/>
          <w14:ligatures w14:val="standardContextual"/>
        </w:rPr>
        <w:t>coefficients</w:t>
      </w:r>
      <w:r w:rsidR="00CD7102" w:rsidRPr="001D56DA">
        <w:rPr>
          <w:rFonts w:eastAsia="Calibri"/>
          <w:kern w:val="2"/>
          <w:szCs w:val="24"/>
          <w14:ligatures w14:val="standardContextual"/>
        </w:rPr>
        <w:t xml:space="preserve"> </w:t>
      </w:r>
      <w:r w:rsidR="00217D33" w:rsidRPr="001D56DA">
        <w:rPr>
          <w:rFonts w:eastAsia="Calibri"/>
          <w:kern w:val="2"/>
          <w:szCs w:val="24"/>
          <w14:ligatures w14:val="standardContextual"/>
        </w:rPr>
        <w:t xml:space="preserve">represent the </w:t>
      </w:r>
      <w:r w:rsidR="00A927C1" w:rsidRPr="001D56DA">
        <w:rPr>
          <w:rFonts w:eastAsia="Calibri"/>
          <w:kern w:val="2"/>
          <w:szCs w:val="24"/>
          <w14:ligatures w14:val="standardContextual"/>
        </w:rPr>
        <w:t>states</w:t>
      </w:r>
      <w:r w:rsidR="00217D33" w:rsidRPr="001D56DA">
        <w:rPr>
          <w:rFonts w:eastAsia="Calibri"/>
          <w:kern w:val="2"/>
          <w:szCs w:val="24"/>
          <w14:ligatures w14:val="standardContextual"/>
        </w:rPr>
        <w:t xml:space="preserve"> weights</w:t>
      </w:r>
      <w:r w:rsidR="0023194D" w:rsidRPr="001D56DA">
        <w:rPr>
          <w:rFonts w:eastAsia="Calibri"/>
          <w:kern w:val="2"/>
          <w:szCs w:val="24"/>
          <w14:ligatures w14:val="standardContextual"/>
        </w:rPr>
        <w:t xml:space="preserve"> defined</w:t>
      </w:r>
      <w:r w:rsidR="00A927C1" w:rsidRPr="001D56DA">
        <w:rPr>
          <w:rFonts w:eastAsia="Calibri"/>
          <w:kern w:val="2"/>
          <w:szCs w:val="24"/>
          <w14:ligatures w14:val="standardContextual"/>
        </w:rPr>
        <w:t>.</w:t>
      </w:r>
    </w:p>
    <w:p w14:paraId="0F10664E" w14:textId="2E7376C9" w:rsidR="00090423" w:rsidRPr="001D56DA" w:rsidRDefault="00090423" w:rsidP="00090423">
      <w:pPr>
        <w:spacing w:line="276" w:lineRule="auto"/>
        <w:rPr>
          <w:rFonts w:eastAsia="Calibri"/>
          <w:kern w:val="2"/>
          <w:szCs w:val="24"/>
          <w14:ligatures w14:val="standardContextual"/>
        </w:rPr>
      </w:pPr>
      <w:r w:rsidRPr="001D56DA">
        <w:rPr>
          <w:rFonts w:eastAsia="Calibri"/>
          <w:kern w:val="2"/>
          <w:szCs w:val="24"/>
          <w14:ligatures w14:val="standardContextual"/>
        </w:rPr>
        <w:t xml:space="preserve">The </w:t>
      </w:r>
      <w:r w:rsidR="00A35B99" w:rsidRPr="001D56DA">
        <w:rPr>
          <w:rFonts w:eastAsia="Calibri"/>
          <w:kern w:val="2"/>
          <w:szCs w:val="24"/>
          <w14:ligatures w14:val="standardContextual"/>
        </w:rPr>
        <w:t>k</w:t>
      </w:r>
      <w:r w:rsidR="003948C0" w:rsidRPr="001D56DA">
        <w:rPr>
          <w:rFonts w:eastAsia="Calibri"/>
          <w:kern w:val="2"/>
          <w:szCs w:val="24"/>
          <w14:ligatures w14:val="standardContextual"/>
        </w:rPr>
        <w:t xml:space="preserve"> </w:t>
      </w:r>
      <w:r w:rsidR="0023194D" w:rsidRPr="001D56DA">
        <w:rPr>
          <w:rFonts w:eastAsia="Calibri"/>
          <w:kern w:val="2"/>
          <w:szCs w:val="24"/>
          <w14:ligatures w14:val="standardContextual"/>
        </w:rPr>
        <w:t>parameter</w:t>
      </w:r>
      <w:r w:rsidR="00B9533F" w:rsidRPr="001D56DA">
        <w:rPr>
          <w:rFonts w:eastAsia="Calibri"/>
          <w:kern w:val="2"/>
          <w:szCs w:val="24"/>
          <w14:ligatures w14:val="standardContextual"/>
        </w:rPr>
        <w:t xml:space="preserve"> represent</w:t>
      </w:r>
      <w:r w:rsidR="00AC0532" w:rsidRPr="001D56DA">
        <w:rPr>
          <w:rFonts w:eastAsia="Calibri"/>
          <w:kern w:val="2"/>
          <w:szCs w:val="24"/>
          <w14:ligatures w14:val="standardContextual"/>
        </w:rPr>
        <w:t>s</w:t>
      </w:r>
      <w:r w:rsidR="00B9533F" w:rsidRPr="001D56DA">
        <w:rPr>
          <w:rFonts w:eastAsia="Calibri"/>
          <w:kern w:val="2"/>
          <w:szCs w:val="24"/>
          <w14:ligatures w14:val="standardContextual"/>
        </w:rPr>
        <w:t xml:space="preserve"> </w:t>
      </w:r>
      <w:r w:rsidR="00A35B99" w:rsidRPr="001D56DA">
        <w:rPr>
          <w:rFonts w:eastAsia="Calibri"/>
          <w:kern w:val="2"/>
          <w:szCs w:val="24"/>
          <w14:ligatures w14:val="standardContextual"/>
        </w:rPr>
        <w:t>the</w:t>
      </w:r>
      <w:r w:rsidR="00B9533F" w:rsidRPr="001D56DA">
        <w:rPr>
          <w:rFonts w:eastAsia="Calibri"/>
          <w:kern w:val="2"/>
          <w:szCs w:val="24"/>
          <w14:ligatures w14:val="standardContextual"/>
        </w:rPr>
        <w:t xml:space="preserve"> </w:t>
      </w:r>
      <w:r w:rsidR="00AC0532" w:rsidRPr="001D56DA">
        <w:rPr>
          <w:rFonts w:eastAsia="Calibri"/>
          <w:kern w:val="2"/>
          <w:szCs w:val="24"/>
          <w14:ligatures w14:val="standardContextual"/>
        </w:rPr>
        <w:t xml:space="preserve">weight </w:t>
      </w:r>
      <w:r w:rsidR="00B9533F" w:rsidRPr="001D56DA">
        <w:rPr>
          <w:rFonts w:eastAsia="Calibri"/>
          <w:kern w:val="2"/>
          <w:szCs w:val="24"/>
          <w14:ligatures w14:val="standardContextual"/>
        </w:rPr>
        <w:t>average</w:t>
      </w:r>
      <w:r w:rsidR="007E091A" w:rsidRPr="001D56DA">
        <w:rPr>
          <w:rFonts w:eastAsia="Calibri"/>
          <w:kern w:val="2"/>
          <w:szCs w:val="24"/>
          <w14:ligatures w14:val="standardContextual"/>
        </w:rPr>
        <w:t xml:space="preserve"> </w:t>
      </w:r>
      <w:r w:rsidR="00A35B99" w:rsidRPr="001D56DA">
        <w:rPr>
          <w:rFonts w:eastAsia="Calibri"/>
          <w:kern w:val="2"/>
          <w:szCs w:val="24"/>
          <w14:ligatures w14:val="standardContextual"/>
        </w:rPr>
        <w:t xml:space="preserve">of the </w:t>
      </w:r>
      <w:r w:rsidR="00D31426" w:rsidRPr="001D56DA">
        <w:rPr>
          <w:rFonts w:eastAsia="Calibri"/>
          <w:kern w:val="2"/>
          <w:szCs w:val="24"/>
          <w14:ligatures w14:val="standardContextual"/>
        </w:rPr>
        <w:t>node,</w:t>
      </w:r>
      <w:r w:rsidR="003B3AD5" w:rsidRPr="001D56DA">
        <w:rPr>
          <w:rFonts w:eastAsia="Calibri"/>
          <w:kern w:val="2"/>
          <w:szCs w:val="24"/>
          <w14:ligatures w14:val="standardContextual"/>
        </w:rPr>
        <w:t xml:space="preserve"> and it</w:t>
      </w:r>
      <w:r w:rsidR="00B9533F" w:rsidRPr="001D56DA">
        <w:rPr>
          <w:rFonts w:eastAsia="Calibri"/>
          <w:kern w:val="2"/>
          <w:szCs w:val="24"/>
          <w14:ligatures w14:val="standardContextual"/>
        </w:rPr>
        <w:t xml:space="preserve"> </w:t>
      </w:r>
      <w:r w:rsidRPr="001D56DA">
        <w:rPr>
          <w:rFonts w:eastAsia="Calibri"/>
          <w:kern w:val="2"/>
          <w:szCs w:val="24"/>
          <w14:ligatures w14:val="standardContextual"/>
        </w:rPr>
        <w:t xml:space="preserve">is </w:t>
      </w:r>
      <w:r w:rsidR="005C0539" w:rsidRPr="001D56DA">
        <w:rPr>
          <w:rFonts w:eastAsia="Calibri"/>
          <w:kern w:val="2"/>
          <w:szCs w:val="24"/>
          <w14:ligatures w14:val="standardContextual"/>
        </w:rPr>
        <w:t>calculated</w:t>
      </w:r>
      <w:r w:rsidRPr="001D56DA">
        <w:rPr>
          <w:rFonts w:eastAsia="Calibri"/>
          <w:kern w:val="2"/>
          <w:szCs w:val="24"/>
          <w14:ligatures w14:val="standardContextual"/>
        </w:rPr>
        <w:t xml:space="preserve"> </w:t>
      </w:r>
      <w:r w:rsidR="00D31426" w:rsidRPr="001D56DA">
        <w:rPr>
          <w:rFonts w:eastAsia="Calibri"/>
          <w:kern w:val="2"/>
          <w:szCs w:val="24"/>
          <w14:ligatures w14:val="standardContextual"/>
        </w:rPr>
        <w:t>with</w:t>
      </w:r>
      <w:r w:rsidR="003948C0" w:rsidRPr="001D56DA">
        <w:rPr>
          <w:rFonts w:eastAsia="Calibri"/>
          <w:kern w:val="2"/>
          <w:szCs w:val="24"/>
          <w14:ligatures w14:val="standardContextual"/>
        </w:rPr>
        <w:t xml:space="preserve"> Eq. (4)</w:t>
      </w:r>
      <w:r w:rsidR="00274558" w:rsidRPr="001D56DA">
        <w:rPr>
          <w:rFonts w:eastAsia="Calibri"/>
          <w:kern w:val="2"/>
          <w:szCs w:val="24"/>
          <w14:ligatures w14:val="standardContextual"/>
        </w:rPr>
        <w:t xml:space="preserve">. It is a coefficient that amplifies or reduces </w:t>
      </w:r>
      <w:r w:rsidR="00D14E5C" w:rsidRPr="001D56DA">
        <w:rPr>
          <w:rFonts w:eastAsia="Calibri"/>
          <w:kern w:val="2"/>
          <w:szCs w:val="24"/>
          <w14:ligatures w14:val="standardContextual"/>
        </w:rPr>
        <w:t xml:space="preserve">the </w:t>
      </w:r>
      <w:r w:rsidR="00274558" w:rsidRPr="001D56DA">
        <w:rPr>
          <w:rFonts w:eastAsia="Calibri"/>
          <w:kern w:val="2"/>
          <w:szCs w:val="24"/>
          <w14:ligatures w14:val="standardContextual"/>
        </w:rPr>
        <w:t xml:space="preserve">overall </w:t>
      </w:r>
      <w:r w:rsidR="00D14E5C" w:rsidRPr="001D56DA">
        <w:rPr>
          <w:rFonts w:eastAsia="Calibri"/>
          <w:kern w:val="2"/>
          <w:szCs w:val="24"/>
          <w14:ligatures w14:val="standardContextual"/>
        </w:rPr>
        <w:t xml:space="preserve">risk </w:t>
      </w:r>
      <w:r w:rsidR="00274558" w:rsidRPr="001D56DA">
        <w:rPr>
          <w:rFonts w:eastAsia="Calibri"/>
          <w:kern w:val="2"/>
          <w:szCs w:val="24"/>
          <w14:ligatures w14:val="standardContextual"/>
        </w:rPr>
        <w:t>value</w:t>
      </w:r>
      <w:r w:rsidR="002B3187" w:rsidRPr="001D56DA">
        <w:rPr>
          <w:rFonts w:eastAsia="Calibri"/>
          <w:kern w:val="2"/>
          <w:szCs w:val="24"/>
          <w14:ligatures w14:val="standardContextual"/>
        </w:rPr>
        <w:t xml:space="preserve"> </w:t>
      </w:r>
      <w:r w:rsidR="00D61CDD">
        <w:rPr>
          <w:rFonts w:eastAsia="Calibri"/>
          <w:kern w:val="2"/>
          <w:szCs w:val="24"/>
          <w14:ligatures w14:val="standardContextual"/>
        </w:rPr>
        <w:t xml:space="preserve">changing </w:t>
      </w:r>
      <w:r w:rsidR="00D61CDD">
        <w:t xml:space="preserve">the position of the equipment in the </w:t>
      </w:r>
      <w:r w:rsidR="00D61CDD" w:rsidRPr="008A39DE">
        <w:t>Risk matrix</w:t>
      </w:r>
      <w:r w:rsidR="00274558" w:rsidRPr="008A39DE">
        <w:rPr>
          <w:rFonts w:eastAsia="Calibri"/>
          <w:kern w:val="2"/>
          <w:szCs w:val="24"/>
          <w14:ligatures w14:val="standardContextual"/>
        </w:rPr>
        <w:t xml:space="preserve"> </w:t>
      </w:r>
      <w:r w:rsidR="003D45A5" w:rsidRPr="008A39DE">
        <w:rPr>
          <w:rFonts w:eastAsia="Calibri"/>
          <w:kern w:val="2"/>
          <w:szCs w:val="24"/>
          <w14:ligatures w14:val="standardContextual"/>
        </w:rPr>
        <w:t>(R)</w:t>
      </w:r>
      <w:r w:rsidR="003D45A5">
        <w:rPr>
          <w:rFonts w:eastAsia="Calibri"/>
          <w:kern w:val="2"/>
          <w:szCs w:val="24"/>
          <w14:ligatures w14:val="standardContextual"/>
        </w:rPr>
        <w:t xml:space="preserve"> of </w:t>
      </w:r>
      <w:r w:rsidR="00D61CDD" w:rsidRPr="001D56DA">
        <w:rPr>
          <w:rFonts w:eastAsia="Calibri"/>
          <w:kern w:val="2"/>
          <w:szCs w:val="24"/>
          <w14:ligatures w14:val="standardContextual"/>
        </w:rPr>
        <w:t>(Eq. 5)</w:t>
      </w:r>
      <w:r w:rsidR="00D61CDD">
        <w:rPr>
          <w:rFonts w:eastAsia="Calibri"/>
          <w:kern w:val="2"/>
          <w:szCs w:val="24"/>
          <w14:ligatures w14:val="standardContextual"/>
        </w:rPr>
        <w:t xml:space="preserve"> </w:t>
      </w:r>
      <w:r w:rsidR="00274558" w:rsidRPr="001D56DA">
        <w:rPr>
          <w:rFonts w:eastAsia="Calibri"/>
          <w:kern w:val="2"/>
          <w:szCs w:val="24"/>
          <w14:ligatures w14:val="standardContextual"/>
        </w:rPr>
        <w:t xml:space="preserve">in the considered plant section and </w:t>
      </w:r>
      <w:r w:rsidR="002D5733">
        <w:rPr>
          <w:rFonts w:eastAsia="Calibri"/>
          <w:kern w:val="2"/>
          <w:szCs w:val="24"/>
          <w14:ligatures w14:val="standardContextual"/>
        </w:rPr>
        <w:t xml:space="preserve">after </w:t>
      </w:r>
      <w:r w:rsidR="00274558" w:rsidRPr="001D56DA">
        <w:rPr>
          <w:rFonts w:eastAsia="Calibri"/>
          <w:kern w:val="2"/>
          <w:szCs w:val="24"/>
          <w14:ligatures w14:val="standardContextual"/>
        </w:rPr>
        <w:t>the examined time interval</w:t>
      </w:r>
      <w:r w:rsidRPr="001D56DA">
        <w:rPr>
          <w:rFonts w:eastAsia="Calibri"/>
          <w:kern w:val="2"/>
          <w:szCs w:val="24"/>
          <w14:ligatures w14:val="standardContextual"/>
        </w:rPr>
        <w:t>:</w:t>
      </w:r>
    </w:p>
    <w:tbl>
      <w:tblPr>
        <w:tblW w:w="5000" w:type="pct"/>
        <w:tblLook w:val="04A0" w:firstRow="1" w:lastRow="0" w:firstColumn="1" w:lastColumn="0" w:noHBand="0" w:noVBand="1"/>
      </w:tblPr>
      <w:tblGrid>
        <w:gridCol w:w="7989"/>
        <w:gridCol w:w="798"/>
      </w:tblGrid>
      <w:tr w:rsidR="00090423" w:rsidRPr="00B57B36" w14:paraId="0B99C96F" w14:textId="77777777" w:rsidTr="00F833E5">
        <w:tc>
          <w:tcPr>
            <w:tcW w:w="8188" w:type="dxa"/>
            <w:shd w:val="clear" w:color="auto" w:fill="auto"/>
            <w:vAlign w:val="center"/>
          </w:tcPr>
          <w:p w14:paraId="033180BA" w14:textId="5E81B08F" w:rsidR="00090423" w:rsidRPr="00B57B36" w:rsidRDefault="001F6DD7" w:rsidP="00F833E5">
            <w:pPr>
              <w:pStyle w:val="CETEquation"/>
            </w:pPr>
            <w:r w:rsidRPr="001F6DD7">
              <w:rPr>
                <w:noProof/>
                <w:lang w:val="it-IT" w:eastAsia="it-IT"/>
              </w:rPr>
              <w:lastRenderedPageBreak/>
              <w:drawing>
                <wp:inline distT="0" distB="0" distL="0" distR="0" wp14:anchorId="4F3A539D" wp14:editId="32E326C9">
                  <wp:extent cx="2182585" cy="197181"/>
                  <wp:effectExtent l="0" t="0" r="0" b="0"/>
                  <wp:docPr id="203944149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l="31638" r="31831" b="-25000"/>
                          <a:stretch/>
                        </pic:blipFill>
                        <pic:spPr bwMode="auto">
                          <a:xfrm>
                            <a:off x="0" y="0"/>
                            <a:ext cx="2313207" cy="2089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1D241080" w14:textId="539A3401" w:rsidR="00090423" w:rsidRPr="00B57B36" w:rsidRDefault="00090423" w:rsidP="00F833E5">
            <w:pPr>
              <w:pStyle w:val="CETEquation"/>
              <w:jc w:val="right"/>
            </w:pPr>
            <w:r w:rsidRPr="00B57B36">
              <w:t>(</w:t>
            </w:r>
            <w:r w:rsidR="00B9533F">
              <w:t>4</w:t>
            </w:r>
            <w:r w:rsidRPr="00B57B36">
              <w:t>)</w:t>
            </w:r>
          </w:p>
        </w:tc>
      </w:tr>
    </w:tbl>
    <w:p w14:paraId="25D16405" w14:textId="2012C579" w:rsidR="00090423" w:rsidRDefault="00292459" w:rsidP="00090423">
      <w:r>
        <w:t>where</w:t>
      </w:r>
      <w:r w:rsidR="00090423" w:rsidRPr="00EE668A">
        <w:t xml:space="preserve"> </w:t>
      </w:r>
      <m:oMath>
        <m:sSub>
          <m:sSubPr>
            <m:ctrlPr>
              <w:rPr>
                <w:rFonts w:ascii="Cambria Math" w:eastAsia="Calibri" w:hAnsi="Cambria Math"/>
                <w:i/>
                <w:kern w:val="2"/>
                <w:szCs w:val="24"/>
                <w14:ligatures w14:val="standardContextual"/>
              </w:rPr>
            </m:ctrlPr>
          </m:sSubPr>
          <m:e>
            <m:r>
              <w:rPr>
                <w:rFonts w:ascii="Cambria Math" w:eastAsia="Calibri" w:hAnsi="Cambria Math"/>
                <w:kern w:val="2"/>
                <w:szCs w:val="24"/>
                <w14:ligatures w14:val="standardContextual"/>
              </w:rPr>
              <m:t>f</m:t>
            </m:r>
          </m:e>
          <m:sub>
            <m:r>
              <w:rPr>
                <w:rFonts w:ascii="Cambria Math" w:eastAsia="Calibri" w:hAnsi="Cambria Math"/>
                <w:kern w:val="2"/>
                <w:szCs w:val="24"/>
                <w14:ligatures w14:val="standardContextual"/>
              </w:rPr>
              <m:t>i</m:t>
            </m:r>
          </m:sub>
        </m:sSub>
      </m:oMath>
      <w:r w:rsidR="00090423" w:rsidRPr="00EE668A">
        <w:rPr>
          <w:rFonts w:eastAsiaTheme="minorEastAsia"/>
          <w:kern w:val="2"/>
          <w:szCs w:val="24"/>
          <w14:ligatures w14:val="standardContextual"/>
        </w:rPr>
        <w:t xml:space="preserve"> </w:t>
      </w:r>
      <w:r w:rsidR="00472EAA">
        <w:rPr>
          <w:rFonts w:eastAsiaTheme="minorEastAsia"/>
          <w:kern w:val="2"/>
          <w:szCs w:val="24"/>
          <w14:ligatures w14:val="standardContextual"/>
        </w:rPr>
        <w:t xml:space="preserve">coefficients </w:t>
      </w:r>
      <w:r w:rsidR="00090423" w:rsidRPr="00EE668A">
        <w:t>represent</w:t>
      </w:r>
      <w:r w:rsidR="00804764">
        <w:t xml:space="preserve"> </w:t>
      </w:r>
      <w:r w:rsidR="00090423" w:rsidRPr="00EE668A">
        <w:t xml:space="preserve">the weights </w:t>
      </w:r>
      <w:r w:rsidR="00906B52">
        <w:t>assigned for</w:t>
      </w:r>
      <w:r w:rsidR="00090423" w:rsidRPr="00EE668A">
        <w:t xml:space="preserve"> each state</w:t>
      </w:r>
      <w:r w:rsidR="00906B52">
        <w:t xml:space="preserve"> of the </w:t>
      </w:r>
      <w:r w:rsidR="00346F28">
        <w:t>k node</w:t>
      </w:r>
      <w:r w:rsidR="00804764">
        <w:t xml:space="preserve"> (</w:t>
      </w:r>
      <w:r w:rsidR="00472EAA">
        <w:t xml:space="preserve">see </w:t>
      </w:r>
      <w:r w:rsidR="00804764" w:rsidRPr="00012936">
        <w:t>Table 2</w:t>
      </w:r>
      <w:r w:rsidR="00804764">
        <w:t>)</w:t>
      </w:r>
      <w:r w:rsidR="00193C79">
        <w:t xml:space="preserve"> and r</w:t>
      </w:r>
      <w:r w:rsidR="000F3375" w:rsidRPr="000F3375">
        <w:rPr>
          <w:vertAlign w:val="subscript"/>
        </w:rPr>
        <w:t>i</w:t>
      </w:r>
      <w:r w:rsidR="00090423">
        <w:t xml:space="preserve"> </w:t>
      </w:r>
      <w:r w:rsidR="00193C79" w:rsidRPr="00C51D8B">
        <w:rPr>
          <w:rFonts w:eastAsia="Calibri"/>
          <w:kern w:val="2"/>
          <w:szCs w:val="24"/>
          <w14:ligatures w14:val="standardContextual"/>
        </w:rPr>
        <w:t xml:space="preserve">the </w:t>
      </w:r>
      <w:r w:rsidR="00193C79">
        <w:rPr>
          <w:rFonts w:eastAsia="Calibri"/>
          <w:kern w:val="2"/>
          <w:szCs w:val="24"/>
          <w14:ligatures w14:val="standardContextual"/>
        </w:rPr>
        <w:t xml:space="preserve">states </w:t>
      </w:r>
      <w:r w:rsidR="00193C79" w:rsidRPr="00C51D8B">
        <w:rPr>
          <w:rFonts w:eastAsia="Calibri"/>
          <w:kern w:val="2"/>
          <w:szCs w:val="24"/>
          <w14:ligatures w14:val="standardContextual"/>
        </w:rPr>
        <w:t xml:space="preserve">probabilities </w:t>
      </w:r>
      <w:r w:rsidR="00193C79">
        <w:rPr>
          <w:rFonts w:eastAsia="Calibri"/>
          <w:kern w:val="2"/>
          <w:szCs w:val="24"/>
          <w14:ligatures w14:val="standardContextual"/>
        </w:rPr>
        <w:t xml:space="preserve">of </w:t>
      </w:r>
      <w:r w:rsidR="00346F28">
        <w:rPr>
          <w:rFonts w:eastAsia="Calibri"/>
          <w:kern w:val="2"/>
          <w:szCs w:val="24"/>
          <w14:ligatures w14:val="standardContextual"/>
        </w:rPr>
        <w:t>same</w:t>
      </w:r>
      <w:r w:rsidR="00193C79">
        <w:rPr>
          <w:rFonts w:eastAsia="Calibri"/>
          <w:kern w:val="2"/>
          <w:szCs w:val="24"/>
          <w14:ligatures w14:val="standardContextual"/>
        </w:rPr>
        <w:t xml:space="preserve"> node.</w:t>
      </w:r>
    </w:p>
    <w:tbl>
      <w:tblPr>
        <w:tblW w:w="5000" w:type="pct"/>
        <w:tblLook w:val="04A0" w:firstRow="1" w:lastRow="0" w:firstColumn="1" w:lastColumn="0" w:noHBand="0" w:noVBand="1"/>
      </w:tblPr>
      <w:tblGrid>
        <w:gridCol w:w="7984"/>
        <w:gridCol w:w="803"/>
      </w:tblGrid>
      <w:tr w:rsidR="00C16591" w:rsidRPr="00B57B36" w14:paraId="6CE63A03" w14:textId="77777777" w:rsidTr="00F4143D">
        <w:tc>
          <w:tcPr>
            <w:tcW w:w="8188" w:type="dxa"/>
            <w:shd w:val="clear" w:color="auto" w:fill="auto"/>
            <w:vAlign w:val="center"/>
          </w:tcPr>
          <w:p w14:paraId="15585B63" w14:textId="77777777" w:rsidR="00C16591" w:rsidRPr="00B57B36" w:rsidRDefault="00C16591" w:rsidP="00F4143D">
            <w:pPr>
              <w:pStyle w:val="CETEquation"/>
            </w:pPr>
            <w:r w:rsidRPr="00400ED2">
              <w:rPr>
                <w:noProof/>
                <w:lang w:val="it-IT" w:eastAsia="it-IT"/>
              </w:rPr>
              <w:drawing>
                <wp:inline distT="0" distB="0" distL="0" distR="0" wp14:anchorId="2DFE5BDB" wp14:editId="713FE3F5">
                  <wp:extent cx="849085" cy="162742"/>
                  <wp:effectExtent l="0" t="0" r="0" b="0"/>
                  <wp:docPr id="1272320734"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r="86343"/>
                          <a:stretch/>
                        </pic:blipFill>
                        <pic:spPr bwMode="auto">
                          <a:xfrm>
                            <a:off x="0" y="0"/>
                            <a:ext cx="865862" cy="1659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79B697B0" w14:textId="2832AECF" w:rsidR="00C16591" w:rsidRPr="00B57B36" w:rsidRDefault="00C16591" w:rsidP="00F4143D">
            <w:pPr>
              <w:pStyle w:val="CETEquation"/>
              <w:jc w:val="right"/>
            </w:pPr>
            <w:r w:rsidRPr="00B57B36">
              <w:t>(</w:t>
            </w:r>
            <w:r w:rsidR="00B9533F">
              <w:t>5</w:t>
            </w:r>
            <w:r w:rsidRPr="00B57B36">
              <w:t>)</w:t>
            </w:r>
          </w:p>
        </w:tc>
      </w:tr>
    </w:tbl>
    <w:p w14:paraId="574C87B0" w14:textId="303748B8" w:rsidR="00C16591" w:rsidRDefault="00C16591" w:rsidP="00C16591">
      <w:pPr>
        <w:rPr>
          <w:rFonts w:eastAsia="Calibri"/>
          <w:kern w:val="2"/>
          <w:szCs w:val="24"/>
          <w14:ligatures w14:val="standardContextual"/>
        </w:rPr>
      </w:pPr>
      <w:r>
        <w:rPr>
          <w:rFonts w:eastAsia="Calibri"/>
          <w:kern w:val="2"/>
          <w:szCs w:val="24"/>
          <w14:ligatures w14:val="standardContextual"/>
        </w:rPr>
        <w:t>In which</w:t>
      </w:r>
      <w:r>
        <w:t xml:space="preserve"> P is the </w:t>
      </w:r>
      <w:r w:rsidR="00A85234">
        <w:rPr>
          <w:rFonts w:eastAsia="Calibri"/>
          <w:kern w:val="2"/>
          <w:szCs w:val="24"/>
          <w14:ligatures w14:val="standardContextual"/>
        </w:rPr>
        <w:t>failures</w:t>
      </w:r>
      <w:r w:rsidR="00A85234" w:rsidRPr="009C38AE">
        <w:rPr>
          <w:rFonts w:eastAsia="Calibri"/>
          <w:kern w:val="2"/>
          <w:szCs w:val="24"/>
          <w14:ligatures w14:val="standardContextual"/>
        </w:rPr>
        <w:t xml:space="preserve"> </w:t>
      </w:r>
      <w:r w:rsidRPr="009C38AE">
        <w:rPr>
          <w:rFonts w:eastAsia="Calibri"/>
          <w:kern w:val="2"/>
          <w:szCs w:val="24"/>
          <w14:ligatures w14:val="standardContextual"/>
        </w:rPr>
        <w:t>probabilit</w:t>
      </w:r>
      <w:r w:rsidR="00FB6078">
        <w:rPr>
          <w:rFonts w:eastAsia="Calibri"/>
          <w:kern w:val="2"/>
          <w:szCs w:val="24"/>
          <w14:ligatures w14:val="standardContextual"/>
        </w:rPr>
        <w:t>ies</w:t>
      </w:r>
      <w:r>
        <w:rPr>
          <w:rFonts w:eastAsia="Calibri"/>
          <w:kern w:val="2"/>
          <w:szCs w:val="24"/>
          <w14:ligatures w14:val="standardContextual"/>
        </w:rPr>
        <w:t xml:space="preserve"> </w:t>
      </w:r>
      <w:r w:rsidR="003D45A5">
        <w:rPr>
          <w:rFonts w:eastAsia="Calibri"/>
          <w:kern w:val="2"/>
          <w:szCs w:val="24"/>
          <w14:ligatures w14:val="standardContextual"/>
        </w:rPr>
        <w:t xml:space="preserve">matrix </w:t>
      </w:r>
      <w:r>
        <w:rPr>
          <w:rFonts w:eastAsia="Calibri"/>
          <w:kern w:val="2"/>
          <w:szCs w:val="24"/>
          <w14:ligatures w14:val="standardContextual"/>
        </w:rPr>
        <w:t xml:space="preserve">and C </w:t>
      </w:r>
      <w:r w:rsidR="00224D62">
        <w:rPr>
          <w:rFonts w:eastAsia="Calibri"/>
          <w:kern w:val="2"/>
          <w:szCs w:val="24"/>
          <w14:ligatures w14:val="standardContextual"/>
        </w:rPr>
        <w:t>being</w:t>
      </w:r>
      <w:r w:rsidR="00EA5398">
        <w:rPr>
          <w:rFonts w:eastAsia="Calibri"/>
          <w:kern w:val="2"/>
          <w:szCs w:val="24"/>
          <w14:ligatures w14:val="standardContextual"/>
        </w:rPr>
        <w:t xml:space="preserve"> the</w:t>
      </w:r>
      <w:r w:rsidR="00266202">
        <w:rPr>
          <w:rFonts w:eastAsia="Calibri"/>
          <w:kern w:val="2"/>
          <w:szCs w:val="24"/>
          <w14:ligatures w14:val="standardContextual"/>
        </w:rPr>
        <w:t xml:space="preserve"> associated</w:t>
      </w:r>
      <w:r>
        <w:rPr>
          <w:rFonts w:eastAsia="Calibri"/>
          <w:kern w:val="2"/>
          <w:szCs w:val="24"/>
          <w14:ligatures w14:val="standardContextual"/>
        </w:rPr>
        <w:t xml:space="preserve"> </w:t>
      </w:r>
      <w:r w:rsidRPr="009C38AE">
        <w:rPr>
          <w:rFonts w:eastAsia="Calibri"/>
          <w:kern w:val="2"/>
          <w:szCs w:val="24"/>
          <w14:ligatures w14:val="standardContextual"/>
        </w:rPr>
        <w:t>consequences</w:t>
      </w:r>
      <w:r w:rsidR="00FB6078">
        <w:rPr>
          <w:rFonts w:eastAsia="Calibri"/>
          <w:kern w:val="2"/>
          <w:szCs w:val="24"/>
          <w14:ligatures w14:val="standardContextual"/>
        </w:rPr>
        <w:t xml:space="preserve"> matrix</w:t>
      </w:r>
      <w:r>
        <w:rPr>
          <w:rFonts w:eastAsia="Calibri"/>
          <w:kern w:val="2"/>
          <w:szCs w:val="24"/>
          <w14:ligatures w14:val="standardContextual"/>
        </w:rPr>
        <w:t>.</w:t>
      </w:r>
    </w:p>
    <w:p w14:paraId="24684501" w14:textId="2BE0C4D9" w:rsidR="00652DF9" w:rsidRDefault="00FF58BC" w:rsidP="00FB0F95">
      <w:pPr>
        <w:pStyle w:val="CETHeading1"/>
        <w:numPr>
          <w:ilvl w:val="0"/>
          <w:numId w:val="37"/>
        </w:numPr>
        <w:rPr>
          <w:lang w:val="en-GB"/>
        </w:rPr>
      </w:pPr>
      <w:r w:rsidRPr="00FB0F95">
        <w:t>Case</w:t>
      </w:r>
      <w:r>
        <w:rPr>
          <w:lang w:val="en-GB"/>
        </w:rPr>
        <w:t xml:space="preserve"> study</w:t>
      </w:r>
    </w:p>
    <w:p w14:paraId="37325496" w14:textId="72115BA6" w:rsidR="009F3F3C" w:rsidRPr="00D63750" w:rsidRDefault="006A3A42" w:rsidP="00D63750">
      <w:pPr>
        <w:spacing w:line="276" w:lineRule="auto"/>
        <w:rPr>
          <w:rFonts w:eastAsia="Calibri"/>
          <w:kern w:val="2"/>
          <w:szCs w:val="24"/>
          <w14:ligatures w14:val="standardContextual"/>
        </w:rPr>
      </w:pPr>
      <w:r>
        <w:t xml:space="preserve">The case study is </w:t>
      </w:r>
      <w:r w:rsidR="00E20B84">
        <w:t>represented by an</w:t>
      </w:r>
      <w:r w:rsidR="00F05445">
        <w:t xml:space="preserve"> atmospheric distillation unit of the Milazzo Refinery. </w:t>
      </w:r>
      <w:r w:rsidR="00E1469F" w:rsidRPr="00D63750">
        <w:rPr>
          <w:rFonts w:eastAsia="Calibri"/>
          <w:kern w:val="2"/>
          <w:szCs w:val="24"/>
          <w14:ligatures w14:val="standardContextual"/>
        </w:rPr>
        <w:t xml:space="preserve">Two </w:t>
      </w:r>
      <w:r w:rsidR="006032B8">
        <w:rPr>
          <w:rFonts w:eastAsia="Calibri"/>
          <w:kern w:val="2"/>
          <w:szCs w:val="24"/>
          <w14:ligatures w14:val="standardContextual"/>
        </w:rPr>
        <w:t>equipment</w:t>
      </w:r>
      <w:r w:rsidR="00E1469F" w:rsidRPr="00D63750">
        <w:rPr>
          <w:rFonts w:eastAsia="Calibri"/>
          <w:kern w:val="2"/>
          <w:szCs w:val="24"/>
          <w14:ligatures w14:val="standardContextual"/>
        </w:rPr>
        <w:t xml:space="preserve"> were examined: the second preheating </w:t>
      </w:r>
      <w:r w:rsidR="0034047F">
        <w:rPr>
          <w:rFonts w:eastAsia="Calibri"/>
          <w:kern w:val="2"/>
          <w:szCs w:val="24"/>
          <w14:ligatures w14:val="standardContextual"/>
        </w:rPr>
        <w:t xml:space="preserve">train </w:t>
      </w:r>
      <w:r w:rsidR="00E1469F" w:rsidRPr="00D63750">
        <w:rPr>
          <w:rFonts w:eastAsia="Calibri"/>
          <w:kern w:val="2"/>
          <w:szCs w:val="24"/>
          <w14:ligatures w14:val="standardContextual"/>
        </w:rPr>
        <w:t>(E8 A/H) and the transfer line down to the furnace (F1</w:t>
      </w:r>
      <w:r w:rsidR="009F3F3C">
        <w:rPr>
          <w:rFonts w:eastAsia="Calibri"/>
          <w:kern w:val="2"/>
          <w:szCs w:val="24"/>
          <w14:ligatures w14:val="standardContextual"/>
        </w:rPr>
        <w:t>)</w:t>
      </w:r>
      <w:r w:rsidR="007D6E3C">
        <w:rPr>
          <w:rFonts w:eastAsia="Calibri"/>
          <w:kern w:val="2"/>
          <w:szCs w:val="24"/>
          <w14:ligatures w14:val="standardContextual"/>
        </w:rPr>
        <w:t xml:space="preserve">. </w:t>
      </w:r>
      <w:r w:rsidR="008E75C3">
        <w:rPr>
          <w:rFonts w:eastAsia="Calibri"/>
          <w:kern w:val="2"/>
          <w:szCs w:val="24"/>
          <w14:ligatures w14:val="standardContextual"/>
        </w:rPr>
        <w:t>Both</w:t>
      </w:r>
      <w:r w:rsidR="007D6E3C">
        <w:rPr>
          <w:rFonts w:eastAsia="Calibri"/>
          <w:kern w:val="2"/>
          <w:szCs w:val="24"/>
          <w14:ligatures w14:val="standardContextual"/>
        </w:rPr>
        <w:t xml:space="preserve"> are</w:t>
      </w:r>
      <w:r w:rsidR="00E1469F" w:rsidRPr="00D63750">
        <w:rPr>
          <w:rFonts w:eastAsia="Calibri"/>
          <w:kern w:val="2"/>
          <w:szCs w:val="24"/>
          <w14:ligatures w14:val="standardContextual"/>
        </w:rPr>
        <w:t xml:space="preserve"> identified in </w:t>
      </w:r>
      <w:r w:rsidR="00735B99" w:rsidRPr="00012936">
        <w:rPr>
          <w:rFonts w:eastAsia="Calibri"/>
          <w:kern w:val="2"/>
          <w:szCs w:val="24"/>
          <w14:ligatures w14:val="standardContextual"/>
        </w:rPr>
        <w:t>F</w:t>
      </w:r>
      <w:r w:rsidR="00E1469F" w:rsidRPr="00012936">
        <w:rPr>
          <w:rFonts w:eastAsia="Calibri"/>
          <w:kern w:val="2"/>
          <w:szCs w:val="24"/>
          <w14:ligatures w14:val="standardContextual"/>
        </w:rPr>
        <w:t xml:space="preserve">igure </w:t>
      </w:r>
      <w:r w:rsidR="00735B99" w:rsidRPr="00012936">
        <w:rPr>
          <w:rFonts w:eastAsia="Calibri"/>
          <w:kern w:val="2"/>
          <w:szCs w:val="24"/>
          <w14:ligatures w14:val="standardContextual"/>
        </w:rPr>
        <w:t>1</w:t>
      </w:r>
      <w:r w:rsidR="008E75C3" w:rsidRPr="00012936">
        <w:rPr>
          <w:rFonts w:eastAsia="Calibri"/>
          <w:kern w:val="2"/>
          <w:szCs w:val="24"/>
          <w14:ligatures w14:val="standardContextual"/>
        </w:rPr>
        <w:t xml:space="preserve">. </w:t>
      </w:r>
      <w:r w:rsidR="00AE6F26" w:rsidRPr="00012936">
        <w:rPr>
          <w:rFonts w:eastAsia="Calibri"/>
          <w:kern w:val="2"/>
          <w:szCs w:val="24"/>
          <w14:ligatures w14:val="standardContextual"/>
        </w:rPr>
        <w:t xml:space="preserve">The </w:t>
      </w:r>
      <w:r w:rsidR="00CD5669" w:rsidRPr="00012936">
        <w:rPr>
          <w:rFonts w:eastAsia="Calibri"/>
          <w:kern w:val="2"/>
          <w:szCs w:val="24"/>
          <w14:ligatures w14:val="standardContextual"/>
        </w:rPr>
        <w:t>materials, the degradation mechanism,</w:t>
      </w:r>
      <w:r w:rsidR="00E1469F" w:rsidRPr="00012936">
        <w:rPr>
          <w:rFonts w:eastAsia="Calibri"/>
          <w:kern w:val="2"/>
          <w:szCs w:val="24"/>
          <w14:ligatures w14:val="standardContextual"/>
        </w:rPr>
        <w:t xml:space="preserve"> </w:t>
      </w:r>
      <w:r w:rsidR="00A06DA8" w:rsidRPr="00012936">
        <w:rPr>
          <w:rFonts w:eastAsia="Calibri"/>
          <w:kern w:val="2"/>
          <w:szCs w:val="24"/>
          <w14:ligatures w14:val="standardContextual"/>
        </w:rPr>
        <w:t>and</w:t>
      </w:r>
      <w:r w:rsidR="00E1469F" w:rsidRPr="00012936">
        <w:rPr>
          <w:rFonts w:eastAsia="Calibri"/>
          <w:kern w:val="2"/>
          <w:szCs w:val="24"/>
          <w14:ligatures w14:val="standardContextual"/>
        </w:rPr>
        <w:t xml:space="preserve"> the nominal conditions </w:t>
      </w:r>
      <w:r w:rsidR="008D2A88" w:rsidRPr="00012936">
        <w:rPr>
          <w:rFonts w:eastAsia="Calibri"/>
          <w:kern w:val="2"/>
          <w:szCs w:val="24"/>
          <w14:ligatures w14:val="standardContextual"/>
        </w:rPr>
        <w:t>of the</w:t>
      </w:r>
      <w:r w:rsidR="00CD5669" w:rsidRPr="00012936">
        <w:rPr>
          <w:rFonts w:eastAsia="Calibri"/>
          <w:kern w:val="2"/>
          <w:szCs w:val="24"/>
          <w14:ligatures w14:val="standardContextual"/>
        </w:rPr>
        <w:t xml:space="preserve"> </w:t>
      </w:r>
      <w:r w:rsidR="00B57173" w:rsidRPr="00012936">
        <w:rPr>
          <w:rFonts w:eastAsia="Calibri"/>
          <w:kern w:val="2"/>
          <w:szCs w:val="24"/>
          <w14:ligatures w14:val="standardContextual"/>
        </w:rPr>
        <w:t>items</w:t>
      </w:r>
      <w:r w:rsidR="00CD5669" w:rsidRPr="00012936">
        <w:rPr>
          <w:rFonts w:eastAsia="Calibri"/>
          <w:kern w:val="2"/>
          <w:szCs w:val="24"/>
          <w14:ligatures w14:val="standardContextual"/>
        </w:rPr>
        <w:t xml:space="preserve"> </w:t>
      </w:r>
      <w:r w:rsidR="008D2A88" w:rsidRPr="00012936">
        <w:rPr>
          <w:rFonts w:eastAsia="Calibri"/>
          <w:kern w:val="2"/>
          <w:szCs w:val="24"/>
          <w14:ligatures w14:val="standardContextual"/>
        </w:rPr>
        <w:t>analysed a</w:t>
      </w:r>
      <w:r w:rsidR="00A06DA8" w:rsidRPr="00012936">
        <w:rPr>
          <w:rFonts w:eastAsia="Calibri"/>
          <w:kern w:val="2"/>
          <w:szCs w:val="24"/>
          <w14:ligatures w14:val="standardContextual"/>
        </w:rPr>
        <w:t xml:space="preserve">re </w:t>
      </w:r>
      <w:r w:rsidR="00E1469F" w:rsidRPr="00012936">
        <w:rPr>
          <w:rFonts w:eastAsia="Calibri"/>
          <w:kern w:val="2"/>
          <w:szCs w:val="24"/>
          <w14:ligatures w14:val="standardContextual"/>
        </w:rPr>
        <w:t>given in</w:t>
      </w:r>
      <w:r w:rsidR="00E1469F" w:rsidRPr="00012936">
        <w:rPr>
          <w:rFonts w:eastAsia="Calibri"/>
          <w:color w:val="FF0000"/>
          <w:kern w:val="2"/>
          <w:szCs w:val="24"/>
          <w14:ligatures w14:val="standardContextual"/>
        </w:rPr>
        <w:t xml:space="preserve"> </w:t>
      </w:r>
      <w:r w:rsidR="00E1469F" w:rsidRPr="00012936">
        <w:rPr>
          <w:rFonts w:eastAsia="Calibri"/>
          <w:kern w:val="2"/>
          <w:szCs w:val="24"/>
          <w14:ligatures w14:val="standardContextual"/>
        </w:rPr>
        <w:t xml:space="preserve">Table </w:t>
      </w:r>
      <w:r w:rsidR="00012936" w:rsidRPr="00012936">
        <w:rPr>
          <w:rFonts w:eastAsia="Calibri"/>
          <w:kern w:val="2"/>
          <w:szCs w:val="24"/>
          <w14:ligatures w14:val="standardContextual"/>
        </w:rPr>
        <w:t>5</w:t>
      </w:r>
      <w:r w:rsidR="0091798D" w:rsidRPr="00012936">
        <w:rPr>
          <w:rFonts w:eastAsia="Calibri"/>
          <w:kern w:val="2"/>
          <w:szCs w:val="24"/>
          <w14:ligatures w14:val="standardContextual"/>
        </w:rPr>
        <w:t>.</w:t>
      </w:r>
      <w:r w:rsidR="008A72EC" w:rsidRPr="00281FF6">
        <w:rPr>
          <w:rFonts w:eastAsia="Calibri"/>
          <w:kern w:val="2"/>
          <w:szCs w:val="24"/>
          <w14:ligatures w14:val="standardContextual"/>
        </w:rPr>
        <w:t xml:space="preserve"> </w:t>
      </w:r>
      <w:r w:rsidR="00AE6F26">
        <w:rPr>
          <w:rFonts w:eastAsia="Calibri"/>
          <w:kern w:val="2"/>
          <w:szCs w:val="24"/>
          <w14:ligatures w14:val="standardContextual"/>
        </w:rPr>
        <w:t xml:space="preserve">Furthermore, </w:t>
      </w:r>
      <w:r w:rsidR="001866BE">
        <w:rPr>
          <w:rFonts w:eastAsia="Calibri"/>
          <w:kern w:val="2"/>
          <w:szCs w:val="24"/>
          <w14:ligatures w14:val="standardContextual"/>
        </w:rPr>
        <w:t xml:space="preserve">to </w:t>
      </w:r>
      <w:r w:rsidR="00AE6F26">
        <w:rPr>
          <w:rFonts w:eastAsia="Calibri"/>
          <w:kern w:val="2"/>
          <w:szCs w:val="24"/>
          <w14:ligatures w14:val="standardContextual"/>
        </w:rPr>
        <w:t>e</w:t>
      </w:r>
      <w:r w:rsidR="00882D69" w:rsidRPr="00882D69">
        <w:rPr>
          <w:rFonts w:eastAsia="Calibri"/>
          <w:kern w:val="2"/>
          <w:szCs w:val="24"/>
          <w14:ligatures w14:val="standardContextual"/>
        </w:rPr>
        <w:t xml:space="preserve">ach </w:t>
      </w:r>
      <w:r w:rsidR="008D2A88">
        <w:rPr>
          <w:rFonts w:eastAsia="Calibri"/>
          <w:kern w:val="2"/>
          <w:szCs w:val="24"/>
          <w14:ligatures w14:val="standardContextual"/>
        </w:rPr>
        <w:t xml:space="preserve">of them </w:t>
      </w:r>
      <w:r w:rsidR="00882D69" w:rsidRPr="00882D69">
        <w:rPr>
          <w:rFonts w:eastAsia="Calibri"/>
          <w:kern w:val="2"/>
          <w:szCs w:val="24"/>
          <w14:ligatures w14:val="standardContextual"/>
        </w:rPr>
        <w:t xml:space="preserve">is associated an </w:t>
      </w:r>
      <w:r w:rsidR="00DD4124">
        <w:rPr>
          <w:rFonts w:eastAsia="Calibri"/>
          <w:kern w:val="2"/>
          <w:szCs w:val="24"/>
          <w14:ligatures w14:val="standardContextual"/>
        </w:rPr>
        <w:t xml:space="preserve">integrity </w:t>
      </w:r>
      <w:r w:rsidR="00882D69" w:rsidRPr="00882D69">
        <w:rPr>
          <w:rFonts w:eastAsia="Calibri"/>
          <w:kern w:val="2"/>
          <w:szCs w:val="24"/>
          <w14:ligatures w14:val="standardContextual"/>
        </w:rPr>
        <w:t>operati</w:t>
      </w:r>
      <w:r w:rsidR="00DD4124">
        <w:rPr>
          <w:rFonts w:eastAsia="Calibri"/>
          <w:kern w:val="2"/>
          <w:szCs w:val="24"/>
          <w14:ligatures w14:val="standardContextual"/>
        </w:rPr>
        <w:t>ng</w:t>
      </w:r>
      <w:r w:rsidR="00882D69" w:rsidRPr="00882D69">
        <w:rPr>
          <w:rFonts w:eastAsia="Calibri"/>
          <w:kern w:val="2"/>
          <w:szCs w:val="24"/>
          <w14:ligatures w14:val="standardContextual"/>
        </w:rPr>
        <w:t xml:space="preserve"> window</w:t>
      </w:r>
      <w:r w:rsidR="000A270F">
        <w:rPr>
          <w:rFonts w:eastAsia="Calibri"/>
          <w:kern w:val="2"/>
          <w:szCs w:val="24"/>
          <w14:ligatures w14:val="standardContextual"/>
        </w:rPr>
        <w:t xml:space="preserve"> (API RP 584, 2014)</w:t>
      </w:r>
      <w:r w:rsidR="00882D69" w:rsidRPr="00882D69">
        <w:rPr>
          <w:rFonts w:eastAsia="Calibri"/>
          <w:kern w:val="2"/>
          <w:szCs w:val="24"/>
          <w14:ligatures w14:val="standardContextual"/>
        </w:rPr>
        <w:t xml:space="preserve">, respectively: </w:t>
      </w:r>
      <w:r w:rsidR="009F3F3C" w:rsidRPr="00882D69">
        <w:rPr>
          <w:rFonts w:eastAsia="Calibri"/>
          <w:kern w:val="2"/>
          <w:szCs w:val="24"/>
          <w14:ligatures w14:val="standardContextual"/>
        </w:rPr>
        <w:t xml:space="preserve">IOW 76 </w:t>
      </w:r>
      <w:r w:rsidR="00B5523A">
        <w:rPr>
          <w:rFonts w:eastAsia="Calibri"/>
          <w:kern w:val="2"/>
          <w:szCs w:val="24"/>
          <w14:ligatures w14:val="standardContextual"/>
        </w:rPr>
        <w:t xml:space="preserve">with upper threshold 254°C, </w:t>
      </w:r>
      <w:r w:rsidR="00882D69" w:rsidRPr="00882D69">
        <w:rPr>
          <w:rFonts w:eastAsia="Calibri"/>
          <w:kern w:val="2"/>
          <w:szCs w:val="24"/>
          <w14:ligatures w14:val="standardContextual"/>
        </w:rPr>
        <w:t>and</w:t>
      </w:r>
      <w:r w:rsidR="009F3F3C" w:rsidRPr="00882D69">
        <w:rPr>
          <w:rFonts w:eastAsia="Calibri"/>
          <w:kern w:val="2"/>
          <w:szCs w:val="24"/>
          <w14:ligatures w14:val="standardContextual"/>
        </w:rPr>
        <w:t xml:space="preserve"> IOW 78</w:t>
      </w:r>
      <w:r w:rsidR="00B5523A">
        <w:rPr>
          <w:rFonts w:eastAsia="Calibri"/>
          <w:kern w:val="2"/>
          <w:szCs w:val="24"/>
          <w14:ligatures w14:val="standardContextual"/>
        </w:rPr>
        <w:t xml:space="preserve"> with </w:t>
      </w:r>
      <w:r w:rsidR="00230A8A">
        <w:rPr>
          <w:rFonts w:eastAsia="Calibri"/>
          <w:kern w:val="2"/>
          <w:szCs w:val="24"/>
          <w14:ligatures w14:val="standardContextual"/>
        </w:rPr>
        <w:t>upper threshold 365°C</w:t>
      </w:r>
      <w:r w:rsidR="00882D69">
        <w:rPr>
          <w:rFonts w:eastAsia="Calibri"/>
          <w:kern w:val="2"/>
          <w:szCs w:val="24"/>
          <w14:ligatures w14:val="standardContextual"/>
        </w:rPr>
        <w:t>.</w:t>
      </w:r>
    </w:p>
    <w:p w14:paraId="59C2A859" w14:textId="7151EA40" w:rsidR="00793FED" w:rsidRDefault="00386294" w:rsidP="00F73D9B">
      <w:pPr>
        <w:pStyle w:val="CETBodytext"/>
        <w:jc w:val="left"/>
        <w:rPr>
          <w:lang w:val="en-GB"/>
        </w:rPr>
      </w:pPr>
      <w:r>
        <w:rPr>
          <w:rFonts w:eastAsia="SimSun"/>
          <w:noProof/>
          <w:szCs w:val="24"/>
          <w:lang w:val="it-IT" w:eastAsia="it-IT"/>
        </w:rPr>
        <w:drawing>
          <wp:inline distT="0" distB="0" distL="0" distR="0" wp14:anchorId="6E948B5D" wp14:editId="21B8E69C">
            <wp:extent cx="5558400" cy="252000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8400" cy="2520000"/>
                    </a:xfrm>
                    <a:prstGeom prst="rect">
                      <a:avLst/>
                    </a:prstGeom>
                    <a:noFill/>
                    <a:ln>
                      <a:noFill/>
                    </a:ln>
                  </pic:spPr>
                </pic:pic>
              </a:graphicData>
            </a:graphic>
          </wp:inline>
        </w:drawing>
      </w:r>
    </w:p>
    <w:p w14:paraId="5908938D" w14:textId="441E8237" w:rsidR="00F73D9B" w:rsidRPr="00F73D9B" w:rsidRDefault="00F73D9B" w:rsidP="00F73D9B">
      <w:pPr>
        <w:pStyle w:val="CETCaption"/>
        <w:rPr>
          <w:rStyle w:val="CETCaptionCarattere"/>
          <w:i/>
        </w:rPr>
      </w:pPr>
      <w:r w:rsidRPr="00F73D9B">
        <w:rPr>
          <w:rStyle w:val="CETCaptionCarattere"/>
          <w:i/>
        </w:rPr>
        <w:t xml:space="preserve">Figure </w:t>
      </w:r>
      <w:r w:rsidR="00735B99">
        <w:rPr>
          <w:rStyle w:val="CETCaptionCarattere"/>
          <w:i/>
        </w:rPr>
        <w:t>1</w:t>
      </w:r>
      <w:r w:rsidRPr="00F73D9B">
        <w:rPr>
          <w:rStyle w:val="CETCaptionCarattere"/>
          <w:i/>
        </w:rPr>
        <w:t>. Simplified P&amp;I diagram of the first part of the examined distillation unit and the IOW locations</w:t>
      </w:r>
    </w:p>
    <w:p w14:paraId="702A99C7" w14:textId="65A8DDBB" w:rsidR="00FB75EF" w:rsidRPr="00266673" w:rsidRDefault="00FB75EF" w:rsidP="00537A04">
      <w:pPr>
        <w:pStyle w:val="CETTabletitle"/>
      </w:pPr>
      <w:r>
        <w:t>Table</w:t>
      </w:r>
      <w:r w:rsidRPr="00266673">
        <w:t xml:space="preserve"> </w:t>
      </w:r>
      <w:r w:rsidR="00012936">
        <w:t>5</w:t>
      </w:r>
      <w:r w:rsidRPr="00266673">
        <w:t xml:space="preserve">. </w:t>
      </w:r>
      <w:r w:rsidR="0050667A">
        <w:t>Characteristics</w:t>
      </w:r>
      <w:r w:rsidRPr="00266673">
        <w:t xml:space="preserve"> and nominal conditions of the </w:t>
      </w:r>
      <w:r w:rsidR="00791C91">
        <w:t>items</w:t>
      </w:r>
      <w:r w:rsidR="0050667A">
        <w:t>.</w:t>
      </w:r>
    </w:p>
    <w:tbl>
      <w:tblPr>
        <w:tblStyle w:val="StileCET"/>
        <w:tblW w:w="0" w:type="auto"/>
        <w:tblLook w:val="04A0" w:firstRow="1" w:lastRow="0" w:firstColumn="1" w:lastColumn="0" w:noHBand="0" w:noVBand="1"/>
      </w:tblPr>
      <w:tblGrid>
        <w:gridCol w:w="567"/>
        <w:gridCol w:w="1867"/>
        <w:gridCol w:w="1267"/>
        <w:gridCol w:w="748"/>
        <w:gridCol w:w="947"/>
      </w:tblGrid>
      <w:tr w:rsidR="00AC5ACC" w:rsidRPr="00531568" w14:paraId="3145C468" w14:textId="77777777" w:rsidTr="00AC5ACC">
        <w:trPr>
          <w:trHeight w:val="20"/>
        </w:trPr>
        <w:tc>
          <w:tcPr>
            <w:tcW w:w="0" w:type="auto"/>
            <w:tcBorders>
              <w:top w:val="single" w:sz="12" w:space="0" w:color="00B050"/>
              <w:bottom w:val="single" w:sz="4" w:space="0" w:color="auto"/>
            </w:tcBorders>
          </w:tcPr>
          <w:p w14:paraId="398BC556" w14:textId="240F6D77" w:rsidR="00AC5ACC" w:rsidRPr="00FF6E84" w:rsidRDefault="006D569E" w:rsidP="001A6CA7">
            <w:pPr>
              <w:spacing w:line="276" w:lineRule="auto"/>
              <w:jc w:val="center"/>
              <w:rPr>
                <w:rFonts w:cs="Arial"/>
                <w:bCs/>
                <w:szCs w:val="18"/>
              </w:rPr>
            </w:pPr>
            <w:r>
              <w:rPr>
                <w:rFonts w:cs="Arial"/>
                <w:bCs/>
                <w:szCs w:val="18"/>
              </w:rPr>
              <w:t>Item</w:t>
            </w:r>
          </w:p>
        </w:tc>
        <w:tc>
          <w:tcPr>
            <w:tcW w:w="0" w:type="auto"/>
            <w:tcBorders>
              <w:top w:val="single" w:sz="12" w:space="0" w:color="00B050"/>
              <w:bottom w:val="single" w:sz="4" w:space="0" w:color="auto"/>
            </w:tcBorders>
          </w:tcPr>
          <w:p w14:paraId="27ACE67F" w14:textId="687A5E97" w:rsidR="00AC5ACC" w:rsidRPr="00FF6E84" w:rsidRDefault="00AC5ACC" w:rsidP="001A6CA7">
            <w:pPr>
              <w:spacing w:line="276" w:lineRule="auto"/>
              <w:jc w:val="center"/>
              <w:rPr>
                <w:rFonts w:cs="Arial"/>
                <w:bCs/>
                <w:szCs w:val="18"/>
              </w:rPr>
            </w:pPr>
            <w:r w:rsidRPr="00FF6E84">
              <w:rPr>
                <w:rFonts w:cs="Arial"/>
                <w:bCs/>
                <w:szCs w:val="18"/>
              </w:rPr>
              <w:t>Damage Mechanism</w:t>
            </w:r>
          </w:p>
        </w:tc>
        <w:tc>
          <w:tcPr>
            <w:tcW w:w="0" w:type="auto"/>
            <w:tcBorders>
              <w:top w:val="single" w:sz="12" w:space="0" w:color="00B050"/>
              <w:bottom w:val="single" w:sz="4" w:space="0" w:color="auto"/>
            </w:tcBorders>
          </w:tcPr>
          <w:p w14:paraId="408E256F" w14:textId="4458ADAF" w:rsidR="00AC5ACC" w:rsidRPr="00FF6E84" w:rsidRDefault="00AC5ACC" w:rsidP="001A6CA7">
            <w:pPr>
              <w:spacing w:line="276" w:lineRule="auto"/>
              <w:jc w:val="center"/>
              <w:rPr>
                <w:rFonts w:cs="Arial"/>
                <w:bCs/>
                <w:i/>
                <w:szCs w:val="18"/>
              </w:rPr>
            </w:pPr>
            <w:r w:rsidRPr="00FF6E84">
              <w:rPr>
                <w:rFonts w:cs="Arial"/>
                <w:bCs/>
                <w:szCs w:val="18"/>
              </w:rPr>
              <w:t>Material</w:t>
            </w:r>
          </w:p>
        </w:tc>
        <w:tc>
          <w:tcPr>
            <w:tcW w:w="0" w:type="auto"/>
            <w:tcBorders>
              <w:top w:val="single" w:sz="12" w:space="0" w:color="00B050"/>
              <w:bottom w:val="single" w:sz="4" w:space="0" w:color="auto"/>
            </w:tcBorders>
          </w:tcPr>
          <w:p w14:paraId="20C2C685" w14:textId="1728C392" w:rsidR="00AC5ACC" w:rsidRPr="00FF6E84" w:rsidRDefault="00AC5ACC" w:rsidP="001A6CA7">
            <w:pPr>
              <w:spacing w:line="276" w:lineRule="auto"/>
              <w:jc w:val="center"/>
              <w:rPr>
                <w:rFonts w:cs="Arial"/>
                <w:bCs/>
                <w:i/>
                <w:szCs w:val="18"/>
              </w:rPr>
            </w:pPr>
            <w:r>
              <w:rPr>
                <w:rFonts w:cs="Arial"/>
                <w:bCs/>
                <w:szCs w:val="18"/>
              </w:rPr>
              <w:t>T</w:t>
            </w:r>
            <w:r w:rsidRPr="001A6CA7">
              <w:rPr>
                <w:rFonts w:cs="Arial"/>
                <w:bCs/>
                <w:szCs w:val="18"/>
                <w:vertAlign w:val="subscript"/>
              </w:rPr>
              <w:t>N</w:t>
            </w:r>
            <w:r w:rsidR="00B959C6">
              <w:rPr>
                <w:rFonts w:cs="Arial"/>
                <w:bCs/>
                <w:szCs w:val="18"/>
                <w:vertAlign w:val="subscript"/>
              </w:rPr>
              <w:t xml:space="preserve"> </w:t>
            </w:r>
            <w:r w:rsidRPr="00FF6E84">
              <w:rPr>
                <w:rFonts w:cs="Arial"/>
                <w:bCs/>
                <w:szCs w:val="18"/>
              </w:rPr>
              <w:t>[°C]</w:t>
            </w:r>
          </w:p>
        </w:tc>
        <w:tc>
          <w:tcPr>
            <w:tcW w:w="0" w:type="auto"/>
            <w:tcBorders>
              <w:top w:val="single" w:sz="12" w:space="0" w:color="00B050"/>
              <w:bottom w:val="single" w:sz="4" w:space="0" w:color="auto"/>
            </w:tcBorders>
          </w:tcPr>
          <w:p w14:paraId="1509BA89" w14:textId="4D47A367" w:rsidR="00AC5ACC" w:rsidRPr="00FF6E84" w:rsidRDefault="00AC5ACC" w:rsidP="001A6CA7">
            <w:pPr>
              <w:spacing w:line="276" w:lineRule="auto"/>
              <w:jc w:val="center"/>
              <w:rPr>
                <w:rFonts w:cs="Arial"/>
                <w:bCs/>
                <w:szCs w:val="18"/>
              </w:rPr>
            </w:pPr>
            <w:r>
              <w:rPr>
                <w:rFonts w:cs="Arial"/>
                <w:bCs/>
                <w:szCs w:val="18"/>
              </w:rPr>
              <w:t>S</w:t>
            </w:r>
            <w:r w:rsidRPr="001A6CA7">
              <w:rPr>
                <w:rFonts w:cs="Arial"/>
                <w:bCs/>
                <w:szCs w:val="18"/>
                <w:vertAlign w:val="subscript"/>
              </w:rPr>
              <w:t>N</w:t>
            </w:r>
            <w:r>
              <w:rPr>
                <w:rFonts w:cs="Arial"/>
                <w:bCs/>
                <w:szCs w:val="18"/>
                <w:vertAlign w:val="subscript"/>
              </w:rPr>
              <w:t xml:space="preserve"> </w:t>
            </w:r>
            <w:r w:rsidRPr="00FF6E84">
              <w:rPr>
                <w:rFonts w:cs="Arial"/>
                <w:bCs/>
                <w:szCs w:val="18"/>
              </w:rPr>
              <w:t>[wt %]</w:t>
            </w:r>
          </w:p>
        </w:tc>
      </w:tr>
      <w:tr w:rsidR="00AC5ACC" w:rsidRPr="00531568" w14:paraId="4C94910B" w14:textId="77777777" w:rsidTr="00AC5ACC">
        <w:trPr>
          <w:trHeight w:val="20"/>
        </w:trPr>
        <w:tc>
          <w:tcPr>
            <w:tcW w:w="0" w:type="auto"/>
            <w:tcBorders>
              <w:top w:val="single" w:sz="4" w:space="0" w:color="auto"/>
              <w:bottom w:val="nil"/>
            </w:tcBorders>
          </w:tcPr>
          <w:p w14:paraId="11758176" w14:textId="68C1ECD7" w:rsidR="00AC5ACC" w:rsidRPr="00383676" w:rsidRDefault="00AC5ACC" w:rsidP="001A6CA7">
            <w:pPr>
              <w:spacing w:line="276" w:lineRule="auto"/>
              <w:jc w:val="center"/>
              <w:rPr>
                <w:rFonts w:cs="Arial"/>
                <w:bCs/>
                <w:szCs w:val="18"/>
                <w:highlight w:val="yellow"/>
              </w:rPr>
            </w:pPr>
            <w:r w:rsidRPr="00D63750">
              <w:rPr>
                <w:rFonts w:eastAsia="Calibri"/>
                <w:kern w:val="2"/>
                <w:szCs w:val="24"/>
                <w14:ligatures w14:val="standardContextual"/>
              </w:rPr>
              <w:t>E</w:t>
            </w:r>
            <w:r w:rsidR="008B7D2F">
              <w:rPr>
                <w:rFonts w:eastAsia="Calibri"/>
                <w:kern w:val="2"/>
                <w:szCs w:val="24"/>
                <w14:ligatures w14:val="standardContextual"/>
              </w:rPr>
              <w:t>-</w:t>
            </w:r>
            <w:r w:rsidRPr="00D63750">
              <w:rPr>
                <w:rFonts w:eastAsia="Calibri"/>
                <w:kern w:val="2"/>
                <w:szCs w:val="24"/>
                <w14:ligatures w14:val="standardContextual"/>
              </w:rPr>
              <w:t>8</w:t>
            </w:r>
          </w:p>
        </w:tc>
        <w:tc>
          <w:tcPr>
            <w:tcW w:w="0" w:type="auto"/>
            <w:vMerge w:val="restart"/>
            <w:tcBorders>
              <w:top w:val="single" w:sz="4" w:space="0" w:color="auto"/>
              <w:bottom w:val="single" w:sz="6" w:space="0" w:color="F79646" w:themeColor="accent6"/>
            </w:tcBorders>
          </w:tcPr>
          <w:p w14:paraId="6EA37DE7" w14:textId="5E3F46FD" w:rsidR="00AC5ACC" w:rsidRPr="00FF6E84" w:rsidRDefault="00AC5ACC" w:rsidP="001A6CA7">
            <w:pPr>
              <w:spacing w:line="276" w:lineRule="auto"/>
              <w:jc w:val="center"/>
              <w:rPr>
                <w:rFonts w:cs="Arial"/>
                <w:bCs/>
                <w:szCs w:val="18"/>
              </w:rPr>
            </w:pPr>
            <w:r w:rsidRPr="00AC5ACC">
              <w:rPr>
                <w:rFonts w:cs="Arial"/>
                <w:bCs/>
                <w:szCs w:val="18"/>
              </w:rPr>
              <w:t>Sulfidation</w:t>
            </w:r>
          </w:p>
        </w:tc>
        <w:tc>
          <w:tcPr>
            <w:tcW w:w="0" w:type="auto"/>
            <w:tcBorders>
              <w:top w:val="single" w:sz="4" w:space="0" w:color="auto"/>
              <w:bottom w:val="nil"/>
            </w:tcBorders>
          </w:tcPr>
          <w:p w14:paraId="2A9C8CFB" w14:textId="190BEF1D" w:rsidR="00AC5ACC" w:rsidRPr="00FF6E84" w:rsidRDefault="00AC5ACC" w:rsidP="001A6CA7">
            <w:pPr>
              <w:spacing w:line="276" w:lineRule="auto"/>
              <w:jc w:val="center"/>
              <w:rPr>
                <w:rFonts w:cs="Arial"/>
                <w:bCs/>
                <w:szCs w:val="18"/>
              </w:rPr>
            </w:pPr>
            <w:r w:rsidRPr="00FF6E84">
              <w:rPr>
                <w:rFonts w:cs="Arial"/>
                <w:bCs/>
                <w:szCs w:val="18"/>
              </w:rPr>
              <w:t>Carbon Steel</w:t>
            </w:r>
          </w:p>
        </w:tc>
        <w:tc>
          <w:tcPr>
            <w:tcW w:w="0" w:type="auto"/>
            <w:tcBorders>
              <w:top w:val="single" w:sz="4" w:space="0" w:color="auto"/>
              <w:bottom w:val="nil"/>
            </w:tcBorders>
          </w:tcPr>
          <w:p w14:paraId="4F49E5DA" w14:textId="62895E6A" w:rsidR="00AC5ACC" w:rsidRPr="00FF6E84" w:rsidRDefault="00AC5ACC" w:rsidP="001A6CA7">
            <w:pPr>
              <w:spacing w:line="276" w:lineRule="auto"/>
              <w:jc w:val="center"/>
              <w:rPr>
                <w:rFonts w:cs="Arial"/>
                <w:bCs/>
                <w:szCs w:val="18"/>
              </w:rPr>
            </w:pPr>
            <w:r w:rsidRPr="00FF6E84">
              <w:rPr>
                <w:rFonts w:cs="Arial"/>
                <w:bCs/>
                <w:szCs w:val="18"/>
              </w:rPr>
              <w:t>266</w:t>
            </w:r>
          </w:p>
        </w:tc>
        <w:tc>
          <w:tcPr>
            <w:tcW w:w="0" w:type="auto"/>
            <w:tcBorders>
              <w:top w:val="single" w:sz="4" w:space="0" w:color="auto"/>
              <w:bottom w:val="nil"/>
            </w:tcBorders>
          </w:tcPr>
          <w:p w14:paraId="5E646571" w14:textId="3DCC5D2F" w:rsidR="00AC5ACC" w:rsidRPr="00FF6E84" w:rsidRDefault="00AC5ACC" w:rsidP="001A6CA7">
            <w:pPr>
              <w:spacing w:line="276" w:lineRule="auto"/>
              <w:jc w:val="center"/>
              <w:rPr>
                <w:rFonts w:cs="Arial"/>
                <w:bCs/>
                <w:szCs w:val="18"/>
              </w:rPr>
            </w:pPr>
            <w:r w:rsidRPr="00FF6E84">
              <w:rPr>
                <w:rFonts w:cs="Arial"/>
                <w:bCs/>
                <w:szCs w:val="18"/>
              </w:rPr>
              <w:t>3.3</w:t>
            </w:r>
          </w:p>
        </w:tc>
      </w:tr>
      <w:tr w:rsidR="00AC5ACC" w:rsidRPr="00531568" w14:paraId="637A7F75" w14:textId="77777777" w:rsidTr="00AC5ACC">
        <w:trPr>
          <w:trHeight w:val="20"/>
        </w:trPr>
        <w:tc>
          <w:tcPr>
            <w:tcW w:w="0" w:type="auto"/>
            <w:tcBorders>
              <w:top w:val="nil"/>
              <w:bottom w:val="single" w:sz="12" w:space="0" w:color="00B050"/>
            </w:tcBorders>
          </w:tcPr>
          <w:p w14:paraId="63C5F782" w14:textId="72A7D7C2" w:rsidR="00AC5ACC" w:rsidRPr="00FF6E84" w:rsidRDefault="00AC5ACC" w:rsidP="001A6CA7">
            <w:pPr>
              <w:spacing w:line="276" w:lineRule="auto"/>
              <w:jc w:val="center"/>
              <w:rPr>
                <w:rFonts w:cs="Arial"/>
                <w:bCs/>
                <w:szCs w:val="18"/>
              </w:rPr>
            </w:pPr>
            <w:r>
              <w:rPr>
                <w:rFonts w:cs="Arial"/>
                <w:bCs/>
                <w:szCs w:val="18"/>
              </w:rPr>
              <w:t>F</w:t>
            </w:r>
            <w:r w:rsidR="008B7D2F">
              <w:rPr>
                <w:rFonts w:cs="Arial"/>
                <w:bCs/>
                <w:szCs w:val="18"/>
              </w:rPr>
              <w:t>-</w:t>
            </w:r>
            <w:r>
              <w:rPr>
                <w:rFonts w:cs="Arial"/>
                <w:bCs/>
                <w:szCs w:val="18"/>
              </w:rPr>
              <w:t>1</w:t>
            </w:r>
          </w:p>
        </w:tc>
        <w:tc>
          <w:tcPr>
            <w:tcW w:w="0" w:type="auto"/>
            <w:vMerge/>
            <w:tcBorders>
              <w:top w:val="single" w:sz="6" w:space="0" w:color="F79646" w:themeColor="accent6"/>
              <w:bottom w:val="single" w:sz="12" w:space="0" w:color="00B050"/>
            </w:tcBorders>
          </w:tcPr>
          <w:p w14:paraId="76568BDB" w14:textId="64EC9967" w:rsidR="00AC5ACC" w:rsidRPr="00FF6E84" w:rsidRDefault="00AC5ACC" w:rsidP="001A6CA7">
            <w:pPr>
              <w:spacing w:line="276" w:lineRule="auto"/>
              <w:jc w:val="center"/>
              <w:rPr>
                <w:rFonts w:cs="Arial"/>
                <w:bCs/>
                <w:szCs w:val="18"/>
              </w:rPr>
            </w:pPr>
          </w:p>
        </w:tc>
        <w:tc>
          <w:tcPr>
            <w:tcW w:w="0" w:type="auto"/>
            <w:tcBorders>
              <w:top w:val="nil"/>
              <w:bottom w:val="single" w:sz="12" w:space="0" w:color="00B050"/>
            </w:tcBorders>
          </w:tcPr>
          <w:p w14:paraId="777D843A" w14:textId="79E0EB85" w:rsidR="00AC5ACC" w:rsidRPr="00FF6E84" w:rsidRDefault="00AC5ACC" w:rsidP="001A6CA7">
            <w:pPr>
              <w:keepNext/>
              <w:spacing w:line="276" w:lineRule="auto"/>
              <w:jc w:val="center"/>
              <w:rPr>
                <w:rFonts w:cs="Arial"/>
                <w:bCs/>
                <w:szCs w:val="18"/>
              </w:rPr>
            </w:pPr>
            <w:r w:rsidRPr="00FF6E84">
              <w:rPr>
                <w:rFonts w:cs="Arial"/>
                <w:bCs/>
                <w:szCs w:val="18"/>
              </w:rPr>
              <w:t>5 Cr</w:t>
            </w:r>
          </w:p>
        </w:tc>
        <w:tc>
          <w:tcPr>
            <w:tcW w:w="0" w:type="auto"/>
            <w:tcBorders>
              <w:top w:val="nil"/>
              <w:bottom w:val="single" w:sz="12" w:space="0" w:color="00B050"/>
            </w:tcBorders>
          </w:tcPr>
          <w:p w14:paraId="042D27B7" w14:textId="4AF80257" w:rsidR="00AC5ACC" w:rsidRPr="00FF6E84" w:rsidRDefault="00AC5ACC" w:rsidP="001A6CA7">
            <w:pPr>
              <w:keepNext/>
              <w:spacing w:line="276" w:lineRule="auto"/>
              <w:jc w:val="center"/>
              <w:rPr>
                <w:rFonts w:cs="Arial"/>
                <w:bCs/>
                <w:szCs w:val="18"/>
              </w:rPr>
            </w:pPr>
            <w:r w:rsidRPr="00FF6E84">
              <w:rPr>
                <w:rFonts w:cs="Arial"/>
                <w:bCs/>
                <w:szCs w:val="18"/>
              </w:rPr>
              <w:t>362</w:t>
            </w:r>
          </w:p>
        </w:tc>
        <w:tc>
          <w:tcPr>
            <w:tcW w:w="0" w:type="auto"/>
            <w:tcBorders>
              <w:top w:val="nil"/>
              <w:bottom w:val="single" w:sz="12" w:space="0" w:color="00B050"/>
            </w:tcBorders>
          </w:tcPr>
          <w:p w14:paraId="4947D31B" w14:textId="268EDE80" w:rsidR="00AC5ACC" w:rsidRPr="00FF6E84" w:rsidRDefault="00AC5ACC" w:rsidP="001A6CA7">
            <w:pPr>
              <w:keepNext/>
              <w:spacing w:line="276" w:lineRule="auto"/>
              <w:jc w:val="center"/>
              <w:rPr>
                <w:rFonts w:cs="Arial"/>
                <w:bCs/>
                <w:szCs w:val="18"/>
              </w:rPr>
            </w:pPr>
            <w:r w:rsidRPr="00FF6E84">
              <w:rPr>
                <w:rFonts w:cs="Arial"/>
                <w:bCs/>
                <w:szCs w:val="18"/>
              </w:rPr>
              <w:t>3.3</w:t>
            </w:r>
          </w:p>
        </w:tc>
      </w:tr>
    </w:tbl>
    <w:p w14:paraId="6AEF9FDD" w14:textId="0526F5D4" w:rsidR="001259A0" w:rsidRPr="00352B1F" w:rsidRDefault="008B7994" w:rsidP="001259A0">
      <w:pPr>
        <w:pStyle w:val="CETBodytext"/>
        <w:rPr>
          <w:lang w:val="en-GB"/>
        </w:rPr>
      </w:pPr>
      <w:r w:rsidRPr="00352B1F">
        <w:rPr>
          <w:lang w:val="en-GB"/>
        </w:rPr>
        <w:t>T</w:t>
      </w:r>
      <w:r w:rsidRPr="00352B1F">
        <w:rPr>
          <w:vertAlign w:val="subscript"/>
          <w:lang w:val="en-GB"/>
        </w:rPr>
        <w:t>N</w:t>
      </w:r>
      <w:r w:rsidRPr="00352B1F">
        <w:rPr>
          <w:lang w:val="en-GB"/>
        </w:rPr>
        <w:t xml:space="preserve"> nominal temperature</w:t>
      </w:r>
      <w:r>
        <w:rPr>
          <w:lang w:val="en-GB"/>
        </w:rPr>
        <w:t>,</w:t>
      </w:r>
      <w:r w:rsidRPr="00352B1F">
        <w:rPr>
          <w:lang w:val="en-GB"/>
        </w:rPr>
        <w:t xml:space="preserve"> S</w:t>
      </w:r>
      <w:r w:rsidRPr="00352B1F">
        <w:rPr>
          <w:vertAlign w:val="subscript"/>
          <w:lang w:val="en-GB"/>
        </w:rPr>
        <w:t>N</w:t>
      </w:r>
      <w:r w:rsidRPr="00352B1F">
        <w:rPr>
          <w:lang w:val="en-GB"/>
        </w:rPr>
        <w:t xml:space="preserve"> nominal sulphur percentage.</w:t>
      </w:r>
    </w:p>
    <w:p w14:paraId="1CF79F4A" w14:textId="3823387F" w:rsidR="009568B3" w:rsidRPr="003F299B" w:rsidRDefault="009568B3" w:rsidP="00086409">
      <w:pPr>
        <w:pStyle w:val="CETHeading1"/>
        <w:numPr>
          <w:ilvl w:val="1"/>
          <w:numId w:val="36"/>
        </w:numPr>
      </w:pPr>
      <w:r>
        <w:t>Results</w:t>
      </w:r>
      <w:r w:rsidR="002D1937">
        <w:t xml:space="preserve"> and discussion</w:t>
      </w:r>
    </w:p>
    <w:p w14:paraId="0E9B3343" w14:textId="0FF5F312" w:rsidR="00C678E9" w:rsidRDefault="000D5054" w:rsidP="009568B3">
      <w:pPr>
        <w:spacing w:line="276" w:lineRule="auto"/>
        <w:rPr>
          <w:rFonts w:eastAsia="Calibri"/>
          <w:kern w:val="2"/>
          <w:szCs w:val="24"/>
          <w14:ligatures w14:val="standardContextual"/>
        </w:rPr>
      </w:pPr>
      <w:r w:rsidRPr="00A26C3F">
        <w:rPr>
          <w:rFonts w:eastAsia="Calibri"/>
          <w:kern w:val="2"/>
          <w:szCs w:val="24"/>
          <w14:ligatures w14:val="standardContextual"/>
        </w:rPr>
        <w:t>For the sake of brevity</w:t>
      </w:r>
      <w:r>
        <w:rPr>
          <w:rFonts w:eastAsia="Calibri"/>
          <w:kern w:val="2"/>
          <w:szCs w:val="24"/>
          <w14:ligatures w14:val="standardContextual"/>
        </w:rPr>
        <w:t xml:space="preserve">, </w:t>
      </w:r>
      <w:r w:rsidRPr="0050422A">
        <w:rPr>
          <w:rFonts w:eastAsia="Calibri"/>
          <w:kern w:val="2"/>
          <w:szCs w:val="24"/>
          <w14:ligatures w14:val="standardContextual"/>
        </w:rPr>
        <w:t xml:space="preserve">only the results for the first </w:t>
      </w:r>
      <w:r w:rsidR="00791C91">
        <w:rPr>
          <w:rFonts w:eastAsia="Calibri"/>
          <w:kern w:val="2"/>
          <w:szCs w:val="24"/>
          <w14:ligatures w14:val="standardContextual"/>
        </w:rPr>
        <w:t>equipment</w:t>
      </w:r>
      <w:r w:rsidRPr="0050422A">
        <w:rPr>
          <w:rFonts w:eastAsia="Calibri"/>
          <w:kern w:val="2"/>
          <w:szCs w:val="24"/>
          <w14:ligatures w14:val="standardContextual"/>
        </w:rPr>
        <w:t xml:space="preserve"> analy</w:t>
      </w:r>
      <w:r>
        <w:rPr>
          <w:rFonts w:eastAsia="Calibri"/>
          <w:kern w:val="2"/>
          <w:szCs w:val="24"/>
          <w14:ligatures w14:val="standardContextual"/>
        </w:rPr>
        <w:t>s</w:t>
      </w:r>
      <w:r w:rsidRPr="0050422A">
        <w:rPr>
          <w:rFonts w:eastAsia="Calibri"/>
          <w:kern w:val="2"/>
          <w:szCs w:val="24"/>
          <w14:ligatures w14:val="standardContextual"/>
        </w:rPr>
        <w:t>ed are reported here</w:t>
      </w:r>
      <w:r w:rsidRPr="00012936">
        <w:rPr>
          <w:rFonts w:eastAsia="Calibri"/>
          <w:kern w:val="2"/>
          <w:szCs w:val="24"/>
          <w14:ligatures w14:val="standardContextual"/>
        </w:rPr>
        <w:t xml:space="preserve">. </w:t>
      </w:r>
      <w:r w:rsidR="002408EF" w:rsidRPr="00012936">
        <w:rPr>
          <w:rFonts w:eastAsia="Calibri"/>
          <w:kern w:val="2"/>
          <w:szCs w:val="24"/>
          <w14:ligatures w14:val="standardContextual"/>
        </w:rPr>
        <w:t>Figure</w:t>
      </w:r>
      <w:r w:rsidR="00F95C5C" w:rsidRPr="00012936">
        <w:rPr>
          <w:rFonts w:eastAsia="Calibri"/>
          <w:kern w:val="2"/>
          <w:szCs w:val="24"/>
          <w14:ligatures w14:val="standardContextual"/>
        </w:rPr>
        <w:t xml:space="preserve"> </w:t>
      </w:r>
      <w:r w:rsidR="002408EF" w:rsidRPr="00012936">
        <w:rPr>
          <w:rFonts w:eastAsia="Calibri"/>
          <w:kern w:val="2"/>
          <w:szCs w:val="24"/>
          <w14:ligatures w14:val="standardContextual"/>
        </w:rPr>
        <w:t>2 provides t</w:t>
      </w:r>
      <w:r w:rsidR="00AA1DEE" w:rsidRPr="00012936">
        <w:rPr>
          <w:rFonts w:eastAsia="Calibri"/>
          <w:kern w:val="2"/>
          <w:szCs w:val="24"/>
          <w14:ligatures w14:val="standardContextual"/>
        </w:rPr>
        <w:t>he feed data</w:t>
      </w:r>
      <w:r w:rsidR="002408EF" w:rsidRPr="00012936">
        <w:rPr>
          <w:rFonts w:eastAsia="Calibri"/>
          <w:kern w:val="2"/>
          <w:szCs w:val="24"/>
          <w14:ligatures w14:val="standardContextual"/>
        </w:rPr>
        <w:t xml:space="preserve"> </w:t>
      </w:r>
      <w:r w:rsidR="0020303F" w:rsidRPr="00012936">
        <w:rPr>
          <w:rFonts w:eastAsia="Calibri"/>
          <w:kern w:val="2"/>
          <w:szCs w:val="24"/>
          <w14:ligatures w14:val="standardContextual"/>
        </w:rPr>
        <w:t>characteri</w:t>
      </w:r>
      <w:r w:rsidR="00DD3D84" w:rsidRPr="00012936">
        <w:rPr>
          <w:rFonts w:eastAsia="Calibri"/>
          <w:kern w:val="2"/>
          <w:szCs w:val="24"/>
          <w14:ligatures w14:val="standardContextual"/>
        </w:rPr>
        <w:t>sed by Sulphur and TAN of the</w:t>
      </w:r>
      <w:r w:rsidR="0020303F" w:rsidRPr="00012936">
        <w:rPr>
          <w:rFonts w:eastAsia="Calibri"/>
          <w:kern w:val="2"/>
          <w:szCs w:val="24"/>
          <w14:ligatures w14:val="standardContextual"/>
        </w:rPr>
        <w:t xml:space="preserve"> </w:t>
      </w:r>
      <w:r w:rsidR="00AA1DEE" w:rsidRPr="00012936">
        <w:rPr>
          <w:rFonts w:eastAsia="Calibri"/>
          <w:kern w:val="2"/>
          <w:szCs w:val="24"/>
          <w14:ligatures w14:val="standardContextual"/>
        </w:rPr>
        <w:t>crude</w:t>
      </w:r>
      <w:r w:rsidR="00F30E3E" w:rsidRPr="00012936">
        <w:rPr>
          <w:rFonts w:eastAsia="Calibri"/>
          <w:kern w:val="2"/>
          <w:szCs w:val="24"/>
          <w14:ligatures w14:val="standardContextual"/>
        </w:rPr>
        <w:t>s</w:t>
      </w:r>
      <w:r w:rsidR="00AA1DEE" w:rsidRPr="00012936">
        <w:rPr>
          <w:rFonts w:eastAsia="Calibri"/>
          <w:kern w:val="2"/>
          <w:szCs w:val="24"/>
          <w14:ligatures w14:val="standardContextual"/>
        </w:rPr>
        <w:t xml:space="preserve"> </w:t>
      </w:r>
      <w:r w:rsidR="005A7074" w:rsidRPr="00012936">
        <w:rPr>
          <w:rFonts w:eastAsia="Calibri"/>
          <w:kern w:val="2"/>
          <w:szCs w:val="24"/>
          <w14:ligatures w14:val="standardContextual"/>
        </w:rPr>
        <w:t>processed</w:t>
      </w:r>
      <w:r w:rsidR="00EE2E1D" w:rsidRPr="00012936">
        <w:rPr>
          <w:rFonts w:eastAsia="Calibri"/>
          <w:kern w:val="2"/>
          <w:szCs w:val="24"/>
          <w14:ligatures w14:val="standardContextual"/>
        </w:rPr>
        <w:t xml:space="preserve"> </w:t>
      </w:r>
      <w:r w:rsidR="005A7074" w:rsidRPr="00012936">
        <w:rPr>
          <w:rFonts w:eastAsia="Calibri"/>
          <w:kern w:val="2"/>
          <w:szCs w:val="24"/>
          <w14:ligatures w14:val="standardContextual"/>
        </w:rPr>
        <w:t xml:space="preserve">in the </w:t>
      </w:r>
      <w:r w:rsidR="009568B3" w:rsidRPr="00012936">
        <w:rPr>
          <w:rFonts w:eastAsia="Calibri"/>
          <w:kern w:val="2"/>
          <w:szCs w:val="24"/>
          <w14:ligatures w14:val="standardContextual"/>
        </w:rPr>
        <w:t>July-September 2023 quarter</w:t>
      </w:r>
      <w:r w:rsidR="0065771D">
        <w:rPr>
          <w:rFonts w:eastAsia="Calibri"/>
          <w:kern w:val="2"/>
          <w:szCs w:val="24"/>
          <w14:ligatures w14:val="standardContextual"/>
        </w:rPr>
        <w:t xml:space="preserve"> </w:t>
      </w:r>
      <w:r w:rsidR="00622248">
        <w:rPr>
          <w:rFonts w:eastAsia="Calibri"/>
          <w:kern w:val="2"/>
          <w:szCs w:val="24"/>
          <w14:ligatures w14:val="standardContextual"/>
        </w:rPr>
        <w:t>[</w:t>
      </w:r>
      <w:r w:rsidR="0065771D" w:rsidRPr="003B4077">
        <w:rPr>
          <w:rFonts w:eastAsia="Calibri"/>
          <w:kern w:val="2"/>
          <w:szCs w:val="24"/>
          <w14:ligatures w14:val="standardContextual"/>
        </w:rPr>
        <w:t>Δt</w:t>
      </w:r>
      <w:r w:rsidR="0065771D">
        <w:rPr>
          <w:rFonts w:eastAsia="Calibri"/>
          <w:kern w:val="2"/>
          <w:szCs w:val="24"/>
          <w14:ligatures w14:val="standardContextual"/>
        </w:rPr>
        <w:t xml:space="preserve"> </w:t>
      </w:r>
      <w:r w:rsidR="00622248">
        <w:rPr>
          <w:rFonts w:eastAsia="Calibri"/>
          <w:kern w:val="2"/>
          <w:szCs w:val="24"/>
          <w14:ligatures w14:val="standardContextual"/>
        </w:rPr>
        <w:t xml:space="preserve">is </w:t>
      </w:r>
      <w:r w:rsidR="0065771D">
        <w:rPr>
          <w:rFonts w:eastAsia="Calibri"/>
          <w:kern w:val="2"/>
          <w:szCs w:val="24"/>
          <w14:ligatures w14:val="standardContextual"/>
        </w:rPr>
        <w:t>90 days]</w:t>
      </w:r>
      <w:r w:rsidR="00EE2E1D">
        <w:rPr>
          <w:rFonts w:eastAsia="Calibri"/>
          <w:kern w:val="2"/>
          <w:szCs w:val="24"/>
          <w14:ligatures w14:val="standardContextual"/>
        </w:rPr>
        <w:t xml:space="preserve">. </w:t>
      </w:r>
      <w:r w:rsidR="00EE2E1D" w:rsidRPr="00012936">
        <w:rPr>
          <w:rFonts w:eastAsia="Calibri"/>
          <w:kern w:val="2"/>
          <w:szCs w:val="24"/>
          <w14:ligatures w14:val="standardContextual"/>
        </w:rPr>
        <w:t>Figure</w:t>
      </w:r>
      <w:r w:rsidRPr="00012936">
        <w:rPr>
          <w:rFonts w:eastAsia="Calibri"/>
          <w:kern w:val="2"/>
          <w:szCs w:val="24"/>
          <w14:ligatures w14:val="standardContextual"/>
        </w:rPr>
        <w:t xml:space="preserve"> </w:t>
      </w:r>
      <w:r w:rsidR="00745B87" w:rsidRPr="00012936">
        <w:rPr>
          <w:rFonts w:eastAsia="Calibri"/>
          <w:kern w:val="2"/>
          <w:szCs w:val="24"/>
          <w14:ligatures w14:val="standardContextual"/>
        </w:rPr>
        <w:t>3</w:t>
      </w:r>
      <w:r w:rsidR="00EE2E1D" w:rsidRPr="00012936">
        <w:rPr>
          <w:rFonts w:eastAsia="Calibri"/>
          <w:kern w:val="2"/>
          <w:szCs w:val="24"/>
          <w14:ligatures w14:val="standardContextual"/>
        </w:rPr>
        <w:t xml:space="preserve"> </w:t>
      </w:r>
      <w:r w:rsidR="00EF0CCE" w:rsidRPr="00012936">
        <w:rPr>
          <w:rFonts w:eastAsia="Calibri"/>
          <w:kern w:val="2"/>
          <w:szCs w:val="24"/>
          <w14:ligatures w14:val="standardContextual"/>
        </w:rPr>
        <w:t>illustr</w:t>
      </w:r>
      <w:r w:rsidR="007876F4" w:rsidRPr="00012936">
        <w:rPr>
          <w:rFonts w:eastAsia="Calibri"/>
          <w:kern w:val="2"/>
          <w:szCs w:val="24"/>
          <w14:ligatures w14:val="standardContextual"/>
        </w:rPr>
        <w:t>at</w:t>
      </w:r>
      <w:r w:rsidR="00EF0CCE" w:rsidRPr="00012936">
        <w:rPr>
          <w:rFonts w:eastAsia="Calibri"/>
          <w:kern w:val="2"/>
          <w:szCs w:val="24"/>
          <w14:ligatures w14:val="standardContextual"/>
        </w:rPr>
        <w:t>es</w:t>
      </w:r>
      <w:r w:rsidR="00EE2E1D" w:rsidRPr="00012936">
        <w:rPr>
          <w:rFonts w:eastAsia="Calibri"/>
          <w:kern w:val="2"/>
          <w:szCs w:val="24"/>
          <w14:ligatures w14:val="standardContextual"/>
        </w:rPr>
        <w:t xml:space="preserve"> the hourly detected temperatures </w:t>
      </w:r>
      <w:r w:rsidR="007876F4" w:rsidRPr="00012936">
        <w:rPr>
          <w:rFonts w:eastAsia="Calibri"/>
          <w:kern w:val="2"/>
          <w:szCs w:val="24"/>
          <w14:ligatures w14:val="standardContextual"/>
        </w:rPr>
        <w:t>and the upper threshold IOW</w:t>
      </w:r>
      <w:r w:rsidR="00D828E0" w:rsidRPr="00012936">
        <w:rPr>
          <w:rFonts w:eastAsia="Calibri"/>
          <w:kern w:val="2"/>
          <w:szCs w:val="24"/>
          <w14:ligatures w14:val="standardContextual"/>
        </w:rPr>
        <w:t xml:space="preserve"> </w:t>
      </w:r>
      <w:r w:rsidR="00012936" w:rsidRPr="00012936">
        <w:rPr>
          <w:rFonts w:eastAsia="Calibri"/>
          <w:kern w:val="2"/>
          <w:szCs w:val="24"/>
          <w14:ligatures w14:val="standardContextual"/>
        </w:rPr>
        <w:t>concerned, whereas</w:t>
      </w:r>
      <w:r w:rsidR="00457ABB" w:rsidRPr="00012936">
        <w:rPr>
          <w:rFonts w:eastAsia="Calibri"/>
          <w:kern w:val="2"/>
          <w:szCs w:val="24"/>
          <w14:ligatures w14:val="standardContextual"/>
        </w:rPr>
        <w:t xml:space="preserve"> Figure </w:t>
      </w:r>
      <w:r w:rsidR="00745B87" w:rsidRPr="00012936">
        <w:rPr>
          <w:rFonts w:eastAsia="Calibri"/>
          <w:kern w:val="2"/>
          <w:szCs w:val="24"/>
          <w14:ligatures w14:val="standardContextual"/>
        </w:rPr>
        <w:t>4</w:t>
      </w:r>
      <w:r w:rsidR="00457ABB">
        <w:rPr>
          <w:rFonts w:eastAsia="Calibri"/>
          <w:kern w:val="2"/>
          <w:szCs w:val="24"/>
          <w14:ligatures w14:val="standardContextual"/>
        </w:rPr>
        <w:t xml:space="preserve"> </w:t>
      </w:r>
      <w:r w:rsidR="00EF0CCE" w:rsidRPr="00EE2E1D">
        <w:rPr>
          <w:rFonts w:eastAsia="Calibri"/>
          <w:kern w:val="2"/>
          <w:szCs w:val="24"/>
          <w14:ligatures w14:val="standardContextual"/>
        </w:rPr>
        <w:t>shows</w:t>
      </w:r>
      <w:r w:rsidR="00204F1B">
        <w:rPr>
          <w:rFonts w:eastAsia="Calibri"/>
          <w:kern w:val="2"/>
          <w:szCs w:val="24"/>
          <w14:ligatures w14:val="standardContextual"/>
        </w:rPr>
        <w:t xml:space="preserve"> the </w:t>
      </w:r>
      <w:r w:rsidR="00B278D7">
        <w:rPr>
          <w:rFonts w:eastAsia="Calibri"/>
          <w:kern w:val="2"/>
          <w:szCs w:val="24"/>
          <w14:ligatures w14:val="standardContextual"/>
        </w:rPr>
        <w:t>b</w:t>
      </w:r>
      <w:r w:rsidR="00204F1B">
        <w:rPr>
          <w:rFonts w:eastAsia="Calibri"/>
          <w:kern w:val="2"/>
          <w:szCs w:val="24"/>
          <w14:ligatures w14:val="standardContextual"/>
        </w:rPr>
        <w:t>ayes</w:t>
      </w:r>
      <w:r w:rsidR="00162439">
        <w:rPr>
          <w:rFonts w:eastAsia="Calibri"/>
          <w:kern w:val="2"/>
          <w:szCs w:val="24"/>
          <w14:ligatures w14:val="standardContextual"/>
        </w:rPr>
        <w:t>ian</w:t>
      </w:r>
      <w:r w:rsidR="00E02D3F">
        <w:rPr>
          <w:rFonts w:eastAsia="Calibri"/>
          <w:kern w:val="2"/>
          <w:szCs w:val="24"/>
          <w14:ligatures w14:val="standardContextual"/>
        </w:rPr>
        <w:t xml:space="preserve"> network</w:t>
      </w:r>
      <w:r w:rsidR="00204F1B">
        <w:rPr>
          <w:rFonts w:eastAsia="Calibri"/>
          <w:kern w:val="2"/>
          <w:szCs w:val="24"/>
          <w14:ligatures w14:val="standardContextual"/>
        </w:rPr>
        <w:t xml:space="preserve"> model</w:t>
      </w:r>
      <w:r w:rsidR="00E02D3F">
        <w:rPr>
          <w:rFonts w:eastAsia="Calibri"/>
          <w:kern w:val="2"/>
          <w:szCs w:val="24"/>
          <w14:ligatures w14:val="standardContextual"/>
        </w:rPr>
        <w:t xml:space="preserve"> applied to the case study</w:t>
      </w:r>
      <w:r w:rsidR="004A5CED">
        <w:rPr>
          <w:rFonts w:eastAsia="Calibri"/>
          <w:kern w:val="2"/>
          <w:szCs w:val="24"/>
          <w14:ligatures w14:val="standardContextual"/>
        </w:rPr>
        <w:t xml:space="preserve"> </w:t>
      </w:r>
      <w:r w:rsidR="000A787D">
        <w:rPr>
          <w:rFonts w:eastAsia="Calibri"/>
          <w:kern w:val="2"/>
          <w:szCs w:val="24"/>
          <w14:ligatures w14:val="standardContextual"/>
        </w:rPr>
        <w:t xml:space="preserve">concerning the carbon steel </w:t>
      </w:r>
      <w:r w:rsidR="001569C9">
        <w:rPr>
          <w:rFonts w:eastAsia="Calibri"/>
          <w:kern w:val="2"/>
          <w:szCs w:val="24"/>
          <w14:ligatures w14:val="standardContextual"/>
        </w:rPr>
        <w:t>item</w:t>
      </w:r>
      <w:r w:rsidR="00E02D3F">
        <w:rPr>
          <w:rFonts w:eastAsia="Calibri"/>
          <w:kern w:val="2"/>
          <w:szCs w:val="24"/>
          <w14:ligatures w14:val="standardContextual"/>
        </w:rPr>
        <w:t>.</w:t>
      </w:r>
    </w:p>
    <w:p w14:paraId="2E134B5C" w14:textId="5E3767EF" w:rsidR="009568B3" w:rsidRDefault="005929A2" w:rsidP="009568B3">
      <w:pPr>
        <w:spacing w:line="276" w:lineRule="auto"/>
        <w:rPr>
          <w:rFonts w:eastAsia="Calibri"/>
          <w:kern w:val="2"/>
          <w:szCs w:val="24"/>
          <w14:ligatures w14:val="standardContextual"/>
        </w:rPr>
      </w:pPr>
      <w:r>
        <w:rPr>
          <w:rFonts w:eastAsia="Calibri"/>
          <w:kern w:val="2"/>
          <w:szCs w:val="24"/>
          <w14:ligatures w14:val="standardContextual"/>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515CC7" w14:paraId="6FAE8A35" w14:textId="77777777" w:rsidTr="009328FF">
        <w:tc>
          <w:tcPr>
            <w:tcW w:w="4506" w:type="dxa"/>
          </w:tcPr>
          <w:p w14:paraId="5B5DFDE8" w14:textId="29505E39" w:rsidR="00515CC7" w:rsidRDefault="00206B51" w:rsidP="00206B51">
            <w:pPr>
              <w:spacing w:line="276" w:lineRule="auto"/>
              <w:rPr>
                <w:rFonts w:eastAsia="Calibri"/>
                <w:kern w:val="2"/>
                <w:szCs w:val="24"/>
                <w14:ligatures w14:val="standardContextual"/>
              </w:rPr>
            </w:pPr>
            <w:r w:rsidRPr="00206B51">
              <w:rPr>
                <w:rFonts w:eastAsia="Calibri"/>
                <w:noProof/>
                <w:kern w:val="2"/>
                <w:szCs w:val="24"/>
                <w:lang w:val="it-IT" w:eastAsia="it-IT"/>
                <w14:ligatures w14:val="standardContextual"/>
              </w:rPr>
              <w:lastRenderedPageBreak/>
              <w:drawing>
                <wp:inline distT="0" distB="0" distL="0" distR="0" wp14:anchorId="0B3B88C0" wp14:editId="7BC75159">
                  <wp:extent cx="2822400" cy="1728000"/>
                  <wp:effectExtent l="0" t="0" r="0" b="5715"/>
                  <wp:docPr id="4313528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52840" name=""/>
                          <pic:cNvPicPr/>
                        </pic:nvPicPr>
                        <pic:blipFill>
                          <a:blip r:embed="rId16"/>
                          <a:stretch>
                            <a:fillRect/>
                          </a:stretch>
                        </pic:blipFill>
                        <pic:spPr>
                          <a:xfrm>
                            <a:off x="0" y="0"/>
                            <a:ext cx="2822400" cy="1728000"/>
                          </a:xfrm>
                          <a:prstGeom prst="rect">
                            <a:avLst/>
                          </a:prstGeom>
                        </pic:spPr>
                      </pic:pic>
                    </a:graphicData>
                  </a:graphic>
                </wp:inline>
              </w:drawing>
            </w:r>
          </w:p>
        </w:tc>
        <w:tc>
          <w:tcPr>
            <w:tcW w:w="4479" w:type="dxa"/>
          </w:tcPr>
          <w:p w14:paraId="3FE28253" w14:textId="3E987D60" w:rsidR="00515CC7" w:rsidRDefault="00206B51" w:rsidP="00C678E9">
            <w:pPr>
              <w:spacing w:line="276" w:lineRule="auto"/>
              <w:jc w:val="left"/>
              <w:rPr>
                <w:rFonts w:eastAsia="Calibri"/>
                <w:kern w:val="2"/>
                <w:szCs w:val="24"/>
                <w14:ligatures w14:val="standardContextual"/>
              </w:rPr>
            </w:pPr>
            <w:r>
              <w:rPr>
                <w:rFonts w:eastAsia="Calibri"/>
                <w:noProof/>
                <w:kern w:val="2"/>
                <w:szCs w:val="24"/>
                <w:lang w:val="it-IT" w:eastAsia="it-IT"/>
                <w14:ligatures w14:val="standardContextual"/>
              </w:rPr>
              <w:drawing>
                <wp:inline distT="0" distB="0" distL="0" distR="0" wp14:anchorId="2A2DFA51" wp14:editId="2888BC7E">
                  <wp:extent cx="2822400" cy="1728000"/>
                  <wp:effectExtent l="0" t="0" r="0" b="5715"/>
                  <wp:docPr id="20363508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400" cy="1728000"/>
                          </a:xfrm>
                          <a:prstGeom prst="rect">
                            <a:avLst/>
                          </a:prstGeom>
                          <a:noFill/>
                        </pic:spPr>
                      </pic:pic>
                    </a:graphicData>
                  </a:graphic>
                </wp:inline>
              </w:drawing>
            </w:r>
          </w:p>
        </w:tc>
      </w:tr>
      <w:tr w:rsidR="00515CC7" w14:paraId="1FCF2043" w14:textId="77777777" w:rsidTr="009328FF">
        <w:tc>
          <w:tcPr>
            <w:tcW w:w="4506" w:type="dxa"/>
          </w:tcPr>
          <w:p w14:paraId="15F90E37" w14:textId="60EEFF4F" w:rsidR="00515CC7" w:rsidRDefault="00515CC7" w:rsidP="009568B3">
            <w:pPr>
              <w:spacing w:line="276" w:lineRule="auto"/>
              <w:rPr>
                <w:rFonts w:eastAsia="Calibri"/>
                <w:kern w:val="2"/>
                <w:szCs w:val="24"/>
                <w14:ligatures w14:val="standardContextual"/>
              </w:rPr>
            </w:pPr>
            <w:r>
              <w:rPr>
                <w:rFonts w:eastAsia="Calibri"/>
                <w:kern w:val="2"/>
                <w:szCs w:val="24"/>
                <w14:ligatures w14:val="standardContextual"/>
              </w:rPr>
              <w:t>(a)</w:t>
            </w:r>
          </w:p>
        </w:tc>
        <w:tc>
          <w:tcPr>
            <w:tcW w:w="4479" w:type="dxa"/>
          </w:tcPr>
          <w:p w14:paraId="0EA30A4F" w14:textId="3F41F8B5" w:rsidR="00515CC7" w:rsidRDefault="00515CC7" w:rsidP="009568B3">
            <w:pPr>
              <w:spacing w:line="276" w:lineRule="auto"/>
              <w:rPr>
                <w:rFonts w:eastAsia="Calibri"/>
                <w:kern w:val="2"/>
                <w:szCs w:val="24"/>
                <w14:ligatures w14:val="standardContextual"/>
              </w:rPr>
            </w:pPr>
            <w:r>
              <w:rPr>
                <w:rFonts w:eastAsia="Calibri"/>
                <w:kern w:val="2"/>
                <w:szCs w:val="24"/>
                <w14:ligatures w14:val="standardContextual"/>
              </w:rPr>
              <w:t>(b)</w:t>
            </w:r>
          </w:p>
        </w:tc>
      </w:tr>
    </w:tbl>
    <w:p w14:paraId="07B8B6B6" w14:textId="06271071" w:rsidR="009568B3" w:rsidRPr="00745B87" w:rsidRDefault="009568B3" w:rsidP="00F324C3">
      <w:pPr>
        <w:pStyle w:val="CETCaption"/>
        <w:spacing w:before="0"/>
        <w:rPr>
          <w:rStyle w:val="CETCaptionCarattere"/>
          <w:rFonts w:eastAsia="Calibri"/>
          <w:i/>
          <w:iCs/>
        </w:rPr>
      </w:pPr>
      <w:r w:rsidRPr="00012936">
        <w:rPr>
          <w:rStyle w:val="CETCaptionCarattere"/>
          <w:i/>
          <w:iCs/>
        </w:rPr>
        <w:t xml:space="preserve">Figure </w:t>
      </w:r>
      <w:r w:rsidR="00745B87" w:rsidRPr="00012936">
        <w:rPr>
          <w:rStyle w:val="CETCaptionCarattere"/>
          <w:i/>
          <w:iCs/>
        </w:rPr>
        <w:t>2</w:t>
      </w:r>
      <w:r w:rsidRPr="00012936">
        <w:rPr>
          <w:rStyle w:val="CETCaptionCarattere"/>
          <w:i/>
          <w:iCs/>
        </w:rPr>
        <w:t>.</w:t>
      </w:r>
      <w:r w:rsidRPr="00745B87">
        <w:rPr>
          <w:rStyle w:val="CETCaptionCarattere"/>
          <w:i/>
          <w:iCs/>
        </w:rPr>
        <w:t xml:space="preserve"> Sulphur (a) and TAN (b) trends of July-September 2023 quarter</w:t>
      </w:r>
    </w:p>
    <w:p w14:paraId="1D82F0BC" w14:textId="61C26979" w:rsidR="009568B3" w:rsidRDefault="00206B51" w:rsidP="00B53940">
      <w:pPr>
        <w:keepNext/>
        <w:spacing w:line="276" w:lineRule="auto"/>
        <w:jc w:val="left"/>
      </w:pPr>
      <w:r>
        <w:rPr>
          <w:noProof/>
          <w:lang w:val="it-IT" w:eastAsia="it-IT"/>
        </w:rPr>
        <w:drawing>
          <wp:inline distT="0" distB="0" distL="0" distR="0" wp14:anchorId="09C6915D" wp14:editId="30FA2B36">
            <wp:extent cx="3592800" cy="2160000"/>
            <wp:effectExtent l="0" t="0" r="8255" b="0"/>
            <wp:docPr id="14199566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2800" cy="2160000"/>
                    </a:xfrm>
                    <a:prstGeom prst="rect">
                      <a:avLst/>
                    </a:prstGeom>
                    <a:noFill/>
                  </pic:spPr>
                </pic:pic>
              </a:graphicData>
            </a:graphic>
          </wp:inline>
        </w:drawing>
      </w:r>
    </w:p>
    <w:p w14:paraId="435A0D9A" w14:textId="23AE700E" w:rsidR="009568B3" w:rsidRDefault="009568B3" w:rsidP="00FE2FD9">
      <w:pPr>
        <w:pStyle w:val="CETCaption"/>
        <w:rPr>
          <w:rStyle w:val="CETCaptionCarattere"/>
          <w:i/>
        </w:rPr>
      </w:pPr>
      <w:r w:rsidRPr="00012936">
        <w:rPr>
          <w:rStyle w:val="CETCaptionCarattere"/>
          <w:i/>
        </w:rPr>
        <w:t xml:space="preserve">Figure </w:t>
      </w:r>
      <w:r w:rsidR="00745B87" w:rsidRPr="00012936">
        <w:rPr>
          <w:rStyle w:val="CETCaptionCarattere"/>
          <w:i/>
        </w:rPr>
        <w:t>3</w:t>
      </w:r>
      <w:r w:rsidRPr="00012936">
        <w:rPr>
          <w:rStyle w:val="CETCaptionCarattere"/>
          <w:i/>
        </w:rPr>
        <w:t>.</w:t>
      </w:r>
      <w:r w:rsidRPr="00FE2FD9">
        <w:rPr>
          <w:rStyle w:val="CETCaptionCarattere"/>
          <w:i/>
        </w:rPr>
        <w:t xml:space="preserve"> Temperature trend of IOW 76 during the July-September 2023 quarter</w:t>
      </w:r>
    </w:p>
    <w:p w14:paraId="0A23E1D4" w14:textId="5420B284" w:rsidR="00E02D3F" w:rsidRDefault="00D5795F" w:rsidP="00E02D3F">
      <w:pPr>
        <w:spacing w:line="240" w:lineRule="auto"/>
        <w:rPr>
          <w:rFonts w:eastAsia="Calibri"/>
          <w:kern w:val="2"/>
          <w:szCs w:val="24"/>
          <w14:ligatures w14:val="standardContextual"/>
        </w:rPr>
      </w:pPr>
      <w:r w:rsidRPr="00D5795F">
        <w:rPr>
          <w:rFonts w:eastAsia="Calibri"/>
          <w:noProof/>
          <w:kern w:val="2"/>
          <w:szCs w:val="24"/>
          <w:lang w:val="it-IT" w:eastAsia="it-IT"/>
          <w14:ligatures w14:val="standardContextual"/>
        </w:rPr>
        <w:drawing>
          <wp:inline distT="0" distB="0" distL="0" distR="0" wp14:anchorId="056D60B3" wp14:editId="28389474">
            <wp:extent cx="5579745" cy="2279015"/>
            <wp:effectExtent l="0" t="0" r="1905" b="6985"/>
            <wp:docPr id="22710097" name="Immagine 1" descr="Immagine che contiene testo, Rettangolo,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0097" name="Immagine 1" descr="Immagine che contiene testo, Rettangolo, schermata, diagramma&#10;&#10;Descrizione generata automaticamente"/>
                    <pic:cNvPicPr/>
                  </pic:nvPicPr>
                  <pic:blipFill>
                    <a:blip r:embed="rId19"/>
                    <a:stretch>
                      <a:fillRect/>
                    </a:stretch>
                  </pic:blipFill>
                  <pic:spPr>
                    <a:xfrm>
                      <a:off x="0" y="0"/>
                      <a:ext cx="5579745" cy="2279015"/>
                    </a:xfrm>
                    <a:prstGeom prst="rect">
                      <a:avLst/>
                    </a:prstGeom>
                  </pic:spPr>
                </pic:pic>
              </a:graphicData>
            </a:graphic>
          </wp:inline>
        </w:drawing>
      </w:r>
    </w:p>
    <w:p w14:paraId="62BD1036" w14:textId="1EE03345" w:rsidR="00E02D3F" w:rsidRPr="001E13A8" w:rsidRDefault="00E02D3F" w:rsidP="00E02D3F">
      <w:pPr>
        <w:pStyle w:val="CETCaption"/>
        <w:rPr>
          <w:rStyle w:val="CETCaptionCarattere"/>
          <w:i/>
          <w:color w:val="FF0000"/>
          <w:lang w:val="en-US"/>
        </w:rPr>
      </w:pPr>
      <w:r w:rsidRPr="00012936">
        <w:rPr>
          <w:rFonts w:eastAsia="Calibri"/>
        </w:rPr>
        <w:t xml:space="preserve">Figure </w:t>
      </w:r>
      <w:r w:rsidR="00745B87" w:rsidRPr="00012936">
        <w:rPr>
          <w:rFonts w:eastAsia="Calibri"/>
        </w:rPr>
        <w:t>4</w:t>
      </w:r>
      <w:r w:rsidRPr="00012936">
        <w:rPr>
          <w:rFonts w:eastAsia="Calibri"/>
        </w:rPr>
        <w:t>.</w:t>
      </w:r>
      <w:r>
        <w:rPr>
          <w:rFonts w:eastAsia="Calibri"/>
        </w:rPr>
        <w:t xml:space="preserve"> </w:t>
      </w:r>
      <w:r w:rsidR="003E7C01">
        <w:rPr>
          <w:rFonts w:eastAsia="Calibri"/>
        </w:rPr>
        <w:t>B</w:t>
      </w:r>
      <w:r w:rsidRPr="00162439">
        <w:rPr>
          <w:rFonts w:eastAsia="Calibri"/>
        </w:rPr>
        <w:t>ayesian network</w:t>
      </w:r>
      <w:r w:rsidRPr="00C3339B">
        <w:rPr>
          <w:rFonts w:eastAsia="Calibri"/>
        </w:rPr>
        <w:t xml:space="preserve"> for the </w:t>
      </w:r>
      <w:r>
        <w:rPr>
          <w:rFonts w:eastAsia="Calibri"/>
        </w:rPr>
        <w:t xml:space="preserve">Carbon Steel </w:t>
      </w:r>
      <w:r w:rsidRPr="00C3339B">
        <w:rPr>
          <w:rFonts w:eastAsia="Calibri"/>
        </w:rPr>
        <w:t>crude preheating section</w:t>
      </w:r>
      <w:r>
        <w:rPr>
          <w:rFonts w:eastAsia="Calibri"/>
        </w:rPr>
        <w:t>.</w:t>
      </w:r>
      <w:r w:rsidR="00CD13FB">
        <w:rPr>
          <w:rFonts w:eastAsia="Calibri"/>
        </w:rPr>
        <w:t xml:space="preserve"> </w:t>
      </w:r>
    </w:p>
    <w:p w14:paraId="1908296D" w14:textId="5A9DA8F8" w:rsidR="008A39DE" w:rsidRDefault="00ED00DC" w:rsidP="002C520D">
      <w:pPr>
        <w:spacing w:line="276" w:lineRule="auto"/>
        <w:rPr>
          <w:rFonts w:eastAsia="Calibri"/>
          <w:kern w:val="2"/>
          <w:szCs w:val="24"/>
          <w14:ligatures w14:val="standardContextual"/>
        </w:rPr>
      </w:pPr>
      <w:r>
        <w:rPr>
          <w:rFonts w:eastAsia="Calibri"/>
          <w:kern w:val="2"/>
          <w:szCs w:val="24"/>
          <w14:ligatures w14:val="standardContextual"/>
        </w:rPr>
        <w:t>The CR node has been</w:t>
      </w:r>
      <w:r w:rsidR="009568B3">
        <w:rPr>
          <w:rFonts w:eastAsia="Calibri"/>
          <w:kern w:val="2"/>
          <w:szCs w:val="24"/>
          <w14:ligatures w14:val="standardContextual"/>
        </w:rPr>
        <w:t xml:space="preserve"> </w:t>
      </w:r>
      <w:r w:rsidR="009568B3" w:rsidRPr="00E537CF">
        <w:rPr>
          <w:rFonts w:eastAsia="Calibri"/>
          <w:kern w:val="2"/>
          <w:szCs w:val="24"/>
          <w14:ligatures w14:val="standardContextual"/>
        </w:rPr>
        <w:t xml:space="preserve">trained </w:t>
      </w:r>
      <w:r w:rsidR="00720127">
        <w:rPr>
          <w:rFonts w:eastAsia="Calibri"/>
          <w:kern w:val="2"/>
          <w:szCs w:val="24"/>
          <w14:ligatures w14:val="standardContextual"/>
        </w:rPr>
        <w:t>according to</w:t>
      </w:r>
      <w:r w:rsidR="00B63CB2">
        <w:rPr>
          <w:rFonts w:eastAsia="Calibri"/>
          <w:kern w:val="2"/>
          <w:szCs w:val="24"/>
          <w14:ligatures w14:val="standardContextual"/>
        </w:rPr>
        <w:t xml:space="preserve"> the</w:t>
      </w:r>
      <w:r w:rsidR="009568B3">
        <w:rPr>
          <w:rFonts w:eastAsia="Calibri"/>
          <w:kern w:val="2"/>
          <w:szCs w:val="24"/>
          <w14:ligatures w14:val="standardContextual"/>
        </w:rPr>
        <w:t xml:space="preserve"> </w:t>
      </w:r>
      <w:r w:rsidR="009568B3" w:rsidRPr="00E537CF">
        <w:rPr>
          <w:rFonts w:eastAsia="Calibri"/>
          <w:kern w:val="2"/>
          <w:szCs w:val="24"/>
          <w14:ligatures w14:val="standardContextual"/>
        </w:rPr>
        <w:t>API 581</w:t>
      </w:r>
      <w:r w:rsidR="009568B3">
        <w:rPr>
          <w:rFonts w:eastAsia="Calibri"/>
          <w:kern w:val="2"/>
          <w:szCs w:val="24"/>
          <w14:ligatures w14:val="standardContextual"/>
        </w:rPr>
        <w:t xml:space="preserve">, </w:t>
      </w:r>
      <w:r w:rsidR="009568B3" w:rsidRPr="00E537CF">
        <w:rPr>
          <w:rFonts w:eastAsia="Calibri"/>
          <w:kern w:val="2"/>
          <w:szCs w:val="24"/>
          <w14:ligatures w14:val="standardContextual"/>
        </w:rPr>
        <w:t xml:space="preserve">with respect </w:t>
      </w:r>
      <w:r w:rsidR="009C2D55">
        <w:rPr>
          <w:rFonts w:eastAsia="Calibri"/>
          <w:kern w:val="2"/>
          <w:szCs w:val="24"/>
          <w14:ligatures w14:val="standardContextual"/>
        </w:rPr>
        <w:t xml:space="preserve">for </w:t>
      </w:r>
      <w:r w:rsidR="009568B3" w:rsidRPr="00E537CF">
        <w:rPr>
          <w:rFonts w:eastAsia="Calibri"/>
          <w:kern w:val="2"/>
          <w:szCs w:val="24"/>
          <w14:ligatures w14:val="standardContextual"/>
        </w:rPr>
        <w:t xml:space="preserve">the </w:t>
      </w:r>
      <w:r w:rsidR="009568B3">
        <w:rPr>
          <w:rFonts w:eastAsia="Calibri"/>
          <w:kern w:val="2"/>
          <w:szCs w:val="24"/>
          <w14:ligatures w14:val="standardContextual"/>
        </w:rPr>
        <w:t>sulfi</w:t>
      </w:r>
      <w:r w:rsidR="009568B3" w:rsidRPr="00E537CF">
        <w:rPr>
          <w:rFonts w:eastAsia="Calibri"/>
          <w:kern w:val="2"/>
          <w:szCs w:val="24"/>
          <w14:ligatures w14:val="standardContextual"/>
        </w:rPr>
        <w:t xml:space="preserve">dation mechanism for </w:t>
      </w:r>
      <w:r w:rsidR="009568B3">
        <w:rPr>
          <w:rFonts w:eastAsia="Calibri"/>
          <w:kern w:val="2"/>
          <w:szCs w:val="24"/>
          <w14:ligatures w14:val="standardContextual"/>
        </w:rPr>
        <w:t>carbon steel</w:t>
      </w:r>
      <w:r w:rsidR="001356C0">
        <w:rPr>
          <w:rFonts w:eastAsia="Calibri"/>
          <w:kern w:val="2"/>
          <w:szCs w:val="24"/>
          <w14:ligatures w14:val="standardContextual"/>
        </w:rPr>
        <w:t>.</w:t>
      </w:r>
      <w:r w:rsidR="00355F0A" w:rsidRPr="00355F0A">
        <w:rPr>
          <w:rFonts w:eastAsia="Calibri"/>
          <w:kern w:val="2"/>
          <w:szCs w:val="24"/>
          <w14:ligatures w14:val="standardContextual"/>
        </w:rPr>
        <w:t xml:space="preserve"> </w:t>
      </w:r>
      <w:r w:rsidR="00892772">
        <w:rPr>
          <w:rFonts w:eastAsia="Calibri"/>
          <w:kern w:val="2"/>
          <w:szCs w:val="24"/>
          <w14:ligatures w14:val="standardContextual"/>
        </w:rPr>
        <w:t xml:space="preserve">Then </w:t>
      </w:r>
      <w:r w:rsidR="004A5CED" w:rsidRPr="004A5CED">
        <w:rPr>
          <w:rFonts w:eastAsia="Calibri"/>
          <w:kern w:val="2"/>
          <w:szCs w:val="24"/>
          <w14:ligatures w14:val="standardContextual"/>
        </w:rPr>
        <w:t xml:space="preserve">the data from the crude oils processed in the quarter </w:t>
      </w:r>
      <w:r w:rsidR="004A5CED">
        <w:rPr>
          <w:rFonts w:eastAsia="Calibri"/>
          <w:kern w:val="2"/>
          <w:szCs w:val="24"/>
          <w14:ligatures w14:val="standardContextual"/>
        </w:rPr>
        <w:t>analysed has been</w:t>
      </w:r>
      <w:r w:rsidR="004A5CED" w:rsidRPr="004A5CED">
        <w:rPr>
          <w:rFonts w:eastAsia="Calibri"/>
          <w:kern w:val="2"/>
          <w:szCs w:val="24"/>
          <w14:ligatures w14:val="standardContextual"/>
        </w:rPr>
        <w:t xml:space="preserve"> loaded into the model</w:t>
      </w:r>
      <w:r w:rsidR="004A5CED">
        <w:rPr>
          <w:rFonts w:eastAsia="Calibri"/>
          <w:kern w:val="2"/>
          <w:szCs w:val="24"/>
          <w14:ligatures w14:val="standardContextual"/>
        </w:rPr>
        <w:t>.</w:t>
      </w:r>
      <w:r w:rsidR="00892772">
        <w:rPr>
          <w:rFonts w:eastAsia="Calibri"/>
          <w:kern w:val="2"/>
          <w:szCs w:val="24"/>
          <w14:ligatures w14:val="standardContextual"/>
        </w:rPr>
        <w:t xml:space="preserve"> </w:t>
      </w:r>
      <w:r w:rsidR="000765E3" w:rsidRPr="003B4077">
        <w:rPr>
          <w:rFonts w:eastAsia="Calibri"/>
          <w:kern w:val="2"/>
          <w:szCs w:val="24"/>
          <w14:ligatures w14:val="standardContextual"/>
        </w:rPr>
        <w:t xml:space="preserve">Considering </w:t>
      </w:r>
      <w:r w:rsidR="00E442FF">
        <w:rPr>
          <w:rFonts w:eastAsia="Calibri"/>
          <w:kern w:val="2"/>
          <w:szCs w:val="24"/>
          <w14:ligatures w14:val="standardContextual"/>
        </w:rPr>
        <w:t xml:space="preserve">that </w:t>
      </w:r>
      <w:r w:rsidR="000765E3" w:rsidRPr="003B4077">
        <w:rPr>
          <w:rFonts w:eastAsia="Calibri"/>
          <w:kern w:val="2"/>
          <w:szCs w:val="24"/>
          <w14:ligatures w14:val="standardContextual"/>
        </w:rPr>
        <w:t xml:space="preserve">the initial </w:t>
      </w:r>
      <w:r w:rsidR="00944DF3" w:rsidRPr="003B4077">
        <w:rPr>
          <w:rFonts w:eastAsia="Calibri"/>
          <w:kern w:val="2"/>
          <w:szCs w:val="24"/>
          <w14:ligatures w14:val="standardContextual"/>
        </w:rPr>
        <w:t>condition</w:t>
      </w:r>
      <w:r w:rsidR="000765E3" w:rsidRPr="003B4077">
        <w:rPr>
          <w:rFonts w:eastAsia="Calibri"/>
          <w:kern w:val="2"/>
          <w:szCs w:val="24"/>
          <w14:ligatures w14:val="standardContextual"/>
        </w:rPr>
        <w:t xml:space="preserve"> of the </w:t>
      </w:r>
      <w:r w:rsidR="000765E3">
        <w:rPr>
          <w:rFonts w:eastAsia="Calibri"/>
          <w:kern w:val="2"/>
          <w:szCs w:val="24"/>
          <w14:ligatures w14:val="standardContextual"/>
        </w:rPr>
        <w:t xml:space="preserve">examined </w:t>
      </w:r>
      <w:r w:rsidR="004B44DD">
        <w:rPr>
          <w:rFonts w:eastAsia="Calibri"/>
          <w:kern w:val="2"/>
          <w:szCs w:val="24"/>
          <w14:ligatures w14:val="standardContextual"/>
        </w:rPr>
        <w:t>equipment</w:t>
      </w:r>
      <w:r w:rsidR="000765E3" w:rsidRPr="003B4077">
        <w:rPr>
          <w:rFonts w:eastAsia="Calibri"/>
          <w:kern w:val="2"/>
          <w:szCs w:val="24"/>
          <w14:ligatures w14:val="standardContextual"/>
        </w:rPr>
        <w:t xml:space="preserve"> </w:t>
      </w:r>
      <w:r w:rsidR="00E442FF">
        <w:rPr>
          <w:rFonts w:eastAsia="Calibri"/>
          <w:kern w:val="2"/>
          <w:szCs w:val="24"/>
          <w14:ligatures w14:val="standardContextual"/>
        </w:rPr>
        <w:t xml:space="preserve">is </w:t>
      </w:r>
      <w:r w:rsidR="00155B4E" w:rsidRPr="00D2564A">
        <w:rPr>
          <w:rFonts w:eastAsia="Calibri"/>
          <w:kern w:val="2"/>
          <w:szCs w:val="24"/>
          <w14:ligatures w14:val="standardContextual"/>
        </w:rPr>
        <w:t>normal</w:t>
      </w:r>
      <w:r w:rsidR="004B0973">
        <w:rPr>
          <w:rFonts w:eastAsia="Calibri"/>
          <w:kern w:val="2"/>
          <w:szCs w:val="24"/>
          <w14:ligatures w14:val="standardContextual"/>
        </w:rPr>
        <w:t xml:space="preserve"> (between 10 and 100% of the design life)</w:t>
      </w:r>
      <w:r w:rsidR="000765E3" w:rsidRPr="003B4077">
        <w:rPr>
          <w:rFonts w:eastAsia="Calibri"/>
          <w:kern w:val="2"/>
          <w:szCs w:val="24"/>
          <w14:ligatures w14:val="standardContextual"/>
        </w:rPr>
        <w:t xml:space="preserve">, </w:t>
      </w:r>
      <w:r w:rsidR="005B100A">
        <w:rPr>
          <w:rFonts w:eastAsia="Calibri"/>
          <w:kern w:val="2"/>
          <w:szCs w:val="24"/>
          <w14:ligatures w14:val="standardContextual"/>
        </w:rPr>
        <w:t>t</w:t>
      </w:r>
      <w:r w:rsidR="001356C0">
        <w:rPr>
          <w:rFonts w:eastAsia="Calibri"/>
          <w:kern w:val="2"/>
          <w:szCs w:val="24"/>
          <w14:ligatures w14:val="standardContextual"/>
        </w:rPr>
        <w:t xml:space="preserve">he </w:t>
      </w:r>
      <w:r w:rsidR="00E55B6A" w:rsidRPr="00C51D8B">
        <w:rPr>
          <w:rFonts w:eastAsia="Calibri"/>
          <w:kern w:val="2"/>
          <w:szCs w:val="24"/>
          <w14:ligatures w14:val="standardContextual"/>
        </w:rPr>
        <w:t>ΔRUL</w:t>
      </w:r>
      <w:r w:rsidR="00E55B6A" w:rsidRPr="00E55B6A">
        <w:rPr>
          <w:rFonts w:eastAsia="Calibri"/>
          <w:kern w:val="2"/>
          <w:szCs w:val="24"/>
          <w14:ligatures w14:val="standardContextual"/>
        </w:rPr>
        <w:t xml:space="preserve"> </w:t>
      </w:r>
      <w:r w:rsidR="00052F36">
        <w:rPr>
          <w:rFonts w:eastAsia="Calibri"/>
          <w:kern w:val="2"/>
          <w:szCs w:val="24"/>
          <w14:ligatures w14:val="standardContextual"/>
        </w:rPr>
        <w:t xml:space="preserve">estimated for the </w:t>
      </w:r>
      <w:r w:rsidR="005B100A">
        <w:rPr>
          <w:rFonts w:eastAsia="Calibri"/>
          <w:kern w:val="2"/>
          <w:szCs w:val="24"/>
          <w14:ligatures w14:val="standardContextual"/>
        </w:rPr>
        <w:t>period</w:t>
      </w:r>
      <w:r w:rsidR="00D77288">
        <w:rPr>
          <w:rFonts w:eastAsia="Calibri"/>
          <w:kern w:val="2"/>
          <w:szCs w:val="24"/>
          <w14:ligatures w14:val="standardContextual"/>
        </w:rPr>
        <w:t xml:space="preserve"> observed</w:t>
      </w:r>
      <w:r w:rsidR="00052F36">
        <w:rPr>
          <w:rFonts w:eastAsia="Calibri"/>
          <w:kern w:val="2"/>
          <w:szCs w:val="24"/>
          <w14:ligatures w14:val="standardContextual"/>
        </w:rPr>
        <w:t xml:space="preserve"> has been about </w:t>
      </w:r>
      <w:r w:rsidR="00B87FA8">
        <w:rPr>
          <w:rFonts w:eastAsia="Calibri"/>
          <w:kern w:val="2"/>
          <w:szCs w:val="24"/>
          <w14:ligatures w14:val="standardContextual"/>
        </w:rPr>
        <w:t>43</w:t>
      </w:r>
      <w:r w:rsidR="00B87FA8" w:rsidRPr="003B4077">
        <w:rPr>
          <w:rFonts w:eastAsia="Calibri"/>
          <w:kern w:val="2"/>
          <w:szCs w:val="24"/>
          <w14:ligatures w14:val="standardContextual"/>
        </w:rPr>
        <w:t xml:space="preserve"> days</w:t>
      </w:r>
      <w:r w:rsidR="003E206A">
        <w:rPr>
          <w:rFonts w:eastAsia="Calibri"/>
          <w:kern w:val="2"/>
          <w:szCs w:val="24"/>
          <w14:ligatures w14:val="standardContextual"/>
        </w:rPr>
        <w:t>, that means</w:t>
      </w:r>
      <w:r w:rsidR="003E206A" w:rsidRPr="003B4077">
        <w:rPr>
          <w:rFonts w:eastAsia="Calibri"/>
          <w:kern w:val="2"/>
          <w:szCs w:val="24"/>
          <w14:ligatures w14:val="standardContextual"/>
        </w:rPr>
        <w:t xml:space="preserve"> the remaining </w:t>
      </w:r>
      <w:r w:rsidR="00D77288">
        <w:rPr>
          <w:rFonts w:eastAsia="Calibri"/>
          <w:kern w:val="2"/>
          <w:szCs w:val="24"/>
          <w14:ligatures w14:val="standardContextual"/>
        </w:rPr>
        <w:t xml:space="preserve">useful </w:t>
      </w:r>
      <w:r w:rsidR="003E206A" w:rsidRPr="003B4077">
        <w:rPr>
          <w:rFonts w:eastAsia="Calibri"/>
          <w:kern w:val="2"/>
          <w:szCs w:val="24"/>
          <w14:ligatures w14:val="standardContextual"/>
        </w:rPr>
        <w:t>life</w:t>
      </w:r>
      <w:r w:rsidR="00D77288">
        <w:rPr>
          <w:rFonts w:eastAsia="Calibri"/>
          <w:kern w:val="2"/>
          <w:szCs w:val="24"/>
          <w14:ligatures w14:val="standardContextual"/>
        </w:rPr>
        <w:t>time</w:t>
      </w:r>
      <w:r w:rsidR="003E206A" w:rsidRPr="003B4077">
        <w:rPr>
          <w:rFonts w:eastAsia="Calibri"/>
          <w:kern w:val="2"/>
          <w:szCs w:val="24"/>
          <w14:ligatures w14:val="standardContextual"/>
        </w:rPr>
        <w:t xml:space="preserve"> </w:t>
      </w:r>
      <w:r w:rsidR="003E206A">
        <w:rPr>
          <w:rFonts w:eastAsia="Calibri"/>
          <w:kern w:val="2"/>
          <w:szCs w:val="24"/>
          <w14:ligatures w14:val="standardContextual"/>
        </w:rPr>
        <w:t>is</w:t>
      </w:r>
      <w:r w:rsidR="00167828">
        <w:rPr>
          <w:rFonts w:eastAsia="Calibri"/>
          <w:kern w:val="2"/>
          <w:szCs w:val="24"/>
          <w14:ligatures w14:val="standardContextual"/>
        </w:rPr>
        <w:t xml:space="preserve"> equal to</w:t>
      </w:r>
      <w:r w:rsidR="003E206A" w:rsidRPr="003B4077">
        <w:rPr>
          <w:rFonts w:eastAsia="Calibri"/>
          <w:kern w:val="2"/>
          <w:szCs w:val="24"/>
          <w14:ligatures w14:val="standardContextual"/>
        </w:rPr>
        <w:t xml:space="preserve"> 3</w:t>
      </w:r>
      <w:r w:rsidR="003E206A">
        <w:rPr>
          <w:rFonts w:eastAsia="Calibri"/>
          <w:kern w:val="2"/>
          <w:szCs w:val="24"/>
          <w14:ligatures w14:val="standardContextual"/>
        </w:rPr>
        <w:t>607 days</w:t>
      </w:r>
      <w:r w:rsidR="003E206A" w:rsidRPr="003B4077">
        <w:rPr>
          <w:rFonts w:eastAsia="Calibri"/>
          <w:kern w:val="2"/>
          <w:szCs w:val="24"/>
          <w14:ligatures w14:val="standardContextual"/>
        </w:rPr>
        <w:t xml:space="preserve"> on a </w:t>
      </w:r>
      <w:r w:rsidR="008F28AD" w:rsidRPr="003B4077">
        <w:rPr>
          <w:rFonts w:eastAsia="Calibri"/>
          <w:kern w:val="2"/>
          <w:szCs w:val="24"/>
          <w14:ligatures w14:val="standardContextual"/>
        </w:rPr>
        <w:t>10</w:t>
      </w:r>
      <w:r w:rsidR="008F28AD">
        <w:rPr>
          <w:rFonts w:eastAsia="Calibri"/>
          <w:kern w:val="2"/>
          <w:szCs w:val="24"/>
          <w14:ligatures w14:val="standardContextual"/>
        </w:rPr>
        <w:t>-year</w:t>
      </w:r>
      <w:r w:rsidR="003E206A" w:rsidRPr="003B4077">
        <w:rPr>
          <w:rFonts w:eastAsia="Calibri"/>
          <w:kern w:val="2"/>
          <w:szCs w:val="24"/>
          <w14:ligatures w14:val="standardContextual"/>
        </w:rPr>
        <w:t xml:space="preserve"> basis</w:t>
      </w:r>
      <w:r w:rsidR="00167828">
        <w:rPr>
          <w:rFonts w:eastAsia="Calibri"/>
          <w:kern w:val="2"/>
          <w:szCs w:val="24"/>
          <w14:ligatures w14:val="standardContextual"/>
        </w:rPr>
        <w:t>.</w:t>
      </w:r>
      <w:r w:rsidR="005F2EDD">
        <w:rPr>
          <w:rFonts w:eastAsia="Calibri"/>
          <w:kern w:val="2"/>
          <w:szCs w:val="24"/>
          <w14:ligatures w14:val="standardContextual"/>
        </w:rPr>
        <w:t xml:space="preserve"> </w:t>
      </w:r>
      <w:r w:rsidR="00563203">
        <w:rPr>
          <w:rFonts w:eastAsia="Calibri"/>
          <w:kern w:val="2"/>
          <w:szCs w:val="24"/>
          <w14:ligatures w14:val="standardContextual"/>
        </w:rPr>
        <w:t>This first result</w:t>
      </w:r>
      <w:r w:rsidR="00944DF3">
        <w:rPr>
          <w:rFonts w:eastAsia="Calibri"/>
          <w:kern w:val="2"/>
          <w:szCs w:val="24"/>
          <w14:ligatures w14:val="standardContextual"/>
        </w:rPr>
        <w:t xml:space="preserve"> </w:t>
      </w:r>
      <w:r w:rsidR="00944DF3" w:rsidRPr="00944DF3">
        <w:rPr>
          <w:rFonts w:eastAsia="Calibri"/>
          <w:kern w:val="2"/>
          <w:szCs w:val="24"/>
          <w14:ligatures w14:val="standardContextual"/>
        </w:rPr>
        <w:t>highlights a significantly reduced lifetime consumption compared to that expected, i.e. 90 days</w:t>
      </w:r>
      <w:r w:rsidR="00944DF3">
        <w:rPr>
          <w:rFonts w:eastAsia="Calibri"/>
          <w:kern w:val="2"/>
          <w:szCs w:val="24"/>
          <w14:ligatures w14:val="standardContextual"/>
        </w:rPr>
        <w:t>.</w:t>
      </w:r>
      <w:r w:rsidR="00F376F9">
        <w:rPr>
          <w:rFonts w:eastAsia="Calibri"/>
          <w:kern w:val="2"/>
          <w:szCs w:val="24"/>
          <w14:ligatures w14:val="standardContextual"/>
        </w:rPr>
        <w:t xml:space="preserve"> Furthermore, c</w:t>
      </w:r>
      <w:r w:rsidR="009568B3" w:rsidRPr="003B4077">
        <w:rPr>
          <w:rFonts w:eastAsia="Calibri"/>
          <w:kern w:val="2"/>
          <w:szCs w:val="24"/>
          <w14:ligatures w14:val="standardContextual"/>
        </w:rPr>
        <w:t xml:space="preserve">onsidering that the </w:t>
      </w:r>
      <w:r w:rsidR="00AE4B21">
        <w:rPr>
          <w:rFonts w:eastAsia="Calibri"/>
          <w:kern w:val="2"/>
          <w:szCs w:val="24"/>
          <w14:ligatures w14:val="standardContextual"/>
        </w:rPr>
        <w:t xml:space="preserve">performed </w:t>
      </w:r>
      <w:r w:rsidR="009568B3" w:rsidRPr="003B4077">
        <w:rPr>
          <w:rFonts w:eastAsia="Calibri"/>
          <w:kern w:val="2"/>
          <w:szCs w:val="24"/>
          <w14:ligatures w14:val="standardContextual"/>
        </w:rPr>
        <w:t xml:space="preserve">inspections </w:t>
      </w:r>
      <w:r w:rsidR="005C0553">
        <w:rPr>
          <w:rFonts w:eastAsia="Calibri"/>
          <w:kern w:val="2"/>
          <w:szCs w:val="24"/>
          <w14:ligatures w14:val="standardContextual"/>
        </w:rPr>
        <w:lastRenderedPageBreak/>
        <w:t>have</w:t>
      </w:r>
      <w:r w:rsidR="00305E3E">
        <w:rPr>
          <w:rFonts w:eastAsia="Calibri"/>
          <w:kern w:val="2"/>
          <w:szCs w:val="24"/>
          <w14:ligatures w14:val="standardContextual"/>
        </w:rPr>
        <w:t xml:space="preserve"> been</w:t>
      </w:r>
      <w:r w:rsidR="009568B3" w:rsidRPr="003B4077">
        <w:rPr>
          <w:rFonts w:eastAsia="Calibri"/>
          <w:kern w:val="2"/>
          <w:szCs w:val="24"/>
          <w14:ligatures w14:val="standardContextual"/>
        </w:rPr>
        <w:t xml:space="preserve"> in the range of 80</w:t>
      </w:r>
      <w:r w:rsidR="00305E3E">
        <w:rPr>
          <w:rFonts w:eastAsia="Calibri"/>
          <w:kern w:val="2"/>
          <w:szCs w:val="24"/>
          <w14:ligatures w14:val="standardContextual"/>
        </w:rPr>
        <w:t xml:space="preserve"> </w:t>
      </w:r>
      <w:r w:rsidR="009568B3" w:rsidRPr="003B4077">
        <w:rPr>
          <w:rFonts w:eastAsia="Calibri"/>
          <w:kern w:val="2"/>
          <w:szCs w:val="24"/>
          <w14:ligatures w14:val="standardContextual"/>
        </w:rPr>
        <w:t>-</w:t>
      </w:r>
      <w:r w:rsidR="00305E3E">
        <w:rPr>
          <w:rFonts w:eastAsia="Calibri"/>
          <w:kern w:val="2"/>
          <w:szCs w:val="24"/>
          <w14:ligatures w14:val="standardContextual"/>
        </w:rPr>
        <w:t xml:space="preserve"> </w:t>
      </w:r>
      <w:r w:rsidR="009568B3" w:rsidRPr="003B4077">
        <w:rPr>
          <w:rFonts w:eastAsia="Calibri"/>
          <w:kern w:val="2"/>
          <w:szCs w:val="24"/>
          <w14:ligatures w14:val="standardContextual"/>
        </w:rPr>
        <w:t xml:space="preserve">100 %, the </w:t>
      </w:r>
      <w:r w:rsidR="004869E4">
        <w:rPr>
          <w:rFonts w:eastAsia="Calibri"/>
          <w:kern w:val="2"/>
          <w:szCs w:val="24"/>
          <w14:ligatures w14:val="standardContextual"/>
        </w:rPr>
        <w:t>R</w:t>
      </w:r>
      <w:r w:rsidR="009568B3">
        <w:rPr>
          <w:rFonts w:eastAsia="Calibri"/>
          <w:kern w:val="2"/>
          <w:szCs w:val="24"/>
          <w14:ligatures w14:val="standardContextual"/>
        </w:rPr>
        <w:t xml:space="preserve">isk </w:t>
      </w:r>
      <w:r w:rsidR="0045009B">
        <w:rPr>
          <w:rFonts w:eastAsia="Calibri"/>
          <w:kern w:val="2"/>
          <w:szCs w:val="24"/>
          <w14:ligatures w14:val="standardContextual"/>
        </w:rPr>
        <w:t xml:space="preserve">index </w:t>
      </w:r>
      <w:r w:rsidR="005F7AEE">
        <w:rPr>
          <w:rFonts w:eastAsia="Calibri"/>
          <w:kern w:val="2"/>
          <w:szCs w:val="24"/>
          <w14:ligatures w14:val="standardContextual"/>
        </w:rPr>
        <w:t>obtained</w:t>
      </w:r>
      <w:r w:rsidR="00AC3054">
        <w:rPr>
          <w:rFonts w:eastAsia="Calibri"/>
          <w:kern w:val="2"/>
          <w:szCs w:val="24"/>
          <w14:ligatures w14:val="standardContextual"/>
        </w:rPr>
        <w:t xml:space="preserve"> </w:t>
      </w:r>
      <w:r w:rsidR="005F7AEE">
        <w:rPr>
          <w:rFonts w:eastAsia="Calibri"/>
          <w:kern w:val="2"/>
          <w:szCs w:val="24"/>
          <w14:ligatures w14:val="standardContextual"/>
        </w:rPr>
        <w:t xml:space="preserve">is </w:t>
      </w:r>
      <w:r w:rsidR="00634BD0" w:rsidRPr="00634BD0">
        <w:rPr>
          <w:rFonts w:eastAsia="Calibri"/>
          <w:kern w:val="2"/>
          <w:szCs w:val="24"/>
          <w14:ligatures w14:val="standardContextual"/>
        </w:rPr>
        <w:t>0.251</w:t>
      </w:r>
      <w:r w:rsidR="00B174D6">
        <w:rPr>
          <w:rFonts w:eastAsia="Calibri"/>
          <w:kern w:val="2"/>
          <w:szCs w:val="24"/>
          <w14:ligatures w14:val="standardContextual"/>
        </w:rPr>
        <w:t xml:space="preserve">. </w:t>
      </w:r>
      <w:r w:rsidR="00B174D6" w:rsidRPr="00B174D6">
        <w:rPr>
          <w:rFonts w:eastAsia="Calibri"/>
          <w:kern w:val="2"/>
          <w:szCs w:val="24"/>
          <w14:ligatures w14:val="standardContextual"/>
        </w:rPr>
        <w:t xml:space="preserve">Assuming that the risk of the plant section </w:t>
      </w:r>
      <w:r w:rsidR="00B174D6">
        <w:rPr>
          <w:rFonts w:eastAsia="Calibri"/>
          <w:kern w:val="2"/>
          <w:szCs w:val="24"/>
          <w14:ligatures w14:val="standardContextual"/>
        </w:rPr>
        <w:t>in</w:t>
      </w:r>
      <w:r w:rsidR="00B174D6" w:rsidRPr="00B174D6">
        <w:rPr>
          <w:rFonts w:eastAsia="Calibri"/>
          <w:kern w:val="2"/>
          <w:szCs w:val="24"/>
          <w14:ligatures w14:val="standardContextual"/>
        </w:rPr>
        <w:t xml:space="preserve"> </w:t>
      </w:r>
      <w:r w:rsidR="00B174D6">
        <w:rPr>
          <w:rFonts w:eastAsia="Calibri"/>
          <w:kern w:val="2"/>
          <w:szCs w:val="24"/>
          <w14:ligatures w14:val="standardContextual"/>
        </w:rPr>
        <w:t xml:space="preserve">operating </w:t>
      </w:r>
      <w:r w:rsidR="00B174D6" w:rsidRPr="00B174D6">
        <w:rPr>
          <w:rFonts w:eastAsia="Calibri"/>
          <w:kern w:val="2"/>
          <w:szCs w:val="24"/>
          <w14:ligatures w14:val="standardContextual"/>
        </w:rPr>
        <w:t>design conditions is 50%, it is reduced by 75% under current operating conditions</w:t>
      </w:r>
      <w:r w:rsidR="00B174D6">
        <w:rPr>
          <w:rFonts w:eastAsia="Calibri"/>
          <w:kern w:val="2"/>
          <w:szCs w:val="24"/>
          <w14:ligatures w14:val="standardContextual"/>
        </w:rPr>
        <w:t>: t</w:t>
      </w:r>
      <w:r w:rsidR="00B174D6" w:rsidRPr="00B174D6">
        <w:rPr>
          <w:rFonts w:eastAsia="Calibri"/>
          <w:kern w:val="2"/>
          <w:szCs w:val="24"/>
          <w14:ligatures w14:val="standardContextual"/>
        </w:rPr>
        <w:t>his means that</w:t>
      </w:r>
      <w:r w:rsidR="00B174D6">
        <w:rPr>
          <w:rFonts w:eastAsia="Calibri"/>
          <w:kern w:val="2"/>
          <w:szCs w:val="24"/>
          <w14:ligatures w14:val="standardContextual"/>
        </w:rPr>
        <w:t xml:space="preserve">, for </w:t>
      </w:r>
      <w:r w:rsidR="00B174D6" w:rsidRPr="002D1937">
        <w:rPr>
          <w:rFonts w:eastAsia="Calibri"/>
          <w:kern w:val="2"/>
          <w:szCs w:val="24"/>
          <w14:ligatures w14:val="standardContextual"/>
        </w:rPr>
        <w:t>a given scenario</w:t>
      </w:r>
      <w:r w:rsidR="00B174D6">
        <w:rPr>
          <w:rFonts w:eastAsia="Calibri"/>
          <w:kern w:val="2"/>
          <w:szCs w:val="24"/>
          <w14:ligatures w14:val="standardContextual"/>
        </w:rPr>
        <w:t xml:space="preserve"> of damage</w:t>
      </w:r>
      <w:r w:rsidR="00B174D6" w:rsidRPr="002D1937">
        <w:rPr>
          <w:rFonts w:eastAsia="Calibri"/>
          <w:kern w:val="2"/>
          <w:szCs w:val="24"/>
          <w14:ligatures w14:val="standardContextual"/>
        </w:rPr>
        <w:t xml:space="preserve">, the change in operating conditions leads to a variation of the Risk Index. Such variation, according to Eq. (5), </w:t>
      </w:r>
      <w:r w:rsidR="00B174D6">
        <w:rPr>
          <w:rFonts w:eastAsia="Calibri"/>
          <w:kern w:val="2"/>
          <w:szCs w:val="24"/>
          <w14:ligatures w14:val="standardContextual"/>
        </w:rPr>
        <w:t xml:space="preserve">can </w:t>
      </w:r>
      <w:r w:rsidR="00B174D6" w:rsidRPr="002D1937">
        <w:rPr>
          <w:rFonts w:eastAsia="Calibri"/>
          <w:kern w:val="2"/>
          <w:szCs w:val="24"/>
          <w14:ligatures w14:val="standardContextual"/>
        </w:rPr>
        <w:t xml:space="preserve">affect the overall Risk value </w:t>
      </w:r>
      <w:r w:rsidR="00B174D6">
        <w:rPr>
          <w:rFonts w:eastAsia="Calibri"/>
          <w:kern w:val="2"/>
          <w:szCs w:val="24"/>
          <w14:ligatures w14:val="standardContextual"/>
        </w:rPr>
        <w:t xml:space="preserve">and it can be represented by means an iso-risk graph to show the corresponding position of the item in the Risk matrix of the </w:t>
      </w:r>
      <w:r w:rsidR="00B174D6" w:rsidRPr="002D1937">
        <w:rPr>
          <w:rFonts w:eastAsia="Calibri"/>
          <w:kern w:val="2"/>
          <w:szCs w:val="24"/>
          <w14:ligatures w14:val="standardContextual"/>
        </w:rPr>
        <w:t>plant</w:t>
      </w:r>
      <w:r w:rsidR="00B174D6">
        <w:rPr>
          <w:rFonts w:eastAsia="Calibri"/>
          <w:kern w:val="2"/>
          <w:szCs w:val="24"/>
          <w14:ligatures w14:val="standardContextual"/>
        </w:rPr>
        <w:t xml:space="preserve"> (Figure 5).</w:t>
      </w:r>
    </w:p>
    <w:p w14:paraId="4CDA42EC" w14:textId="77777777" w:rsidR="005C09C1" w:rsidRPr="002C1823" w:rsidRDefault="005C09C1" w:rsidP="002C520D">
      <w:pPr>
        <w:spacing w:line="276" w:lineRule="auto"/>
        <w:rPr>
          <w:rFonts w:eastAsia="Calibri"/>
          <w:color w:val="FF0000"/>
          <w:kern w:val="2"/>
          <w:szCs w:val="24"/>
          <w14:ligatures w14:val="standardContextual"/>
        </w:rPr>
      </w:pPr>
    </w:p>
    <w:p w14:paraId="4CDFAAB4" w14:textId="04C87BE6" w:rsidR="005A4266" w:rsidRDefault="005C09C1" w:rsidP="002C520D">
      <w:pPr>
        <w:spacing w:line="276" w:lineRule="auto"/>
        <w:rPr>
          <w:rFonts w:eastAsia="Calibri"/>
          <w:color w:val="FF0000"/>
          <w:kern w:val="2"/>
          <w:szCs w:val="24"/>
          <w:lang w:val="it-IT"/>
          <w14:ligatures w14:val="standardContextual"/>
        </w:rPr>
      </w:pPr>
      <w:r>
        <w:rPr>
          <w:rFonts w:eastAsia="Calibri"/>
          <w:noProof/>
          <w:color w:val="FF0000"/>
          <w:kern w:val="2"/>
          <w:szCs w:val="24"/>
          <w:lang w:val="it-IT" w:eastAsia="it-IT"/>
          <w14:ligatures w14:val="standardContextual"/>
        </w:rPr>
        <w:drawing>
          <wp:inline distT="0" distB="0" distL="0" distR="0" wp14:anchorId="1B172570" wp14:editId="38CC219E">
            <wp:extent cx="5374800" cy="2016000"/>
            <wp:effectExtent l="0" t="0" r="0" b="3810"/>
            <wp:docPr id="1694151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4800" cy="2016000"/>
                    </a:xfrm>
                    <a:prstGeom prst="rect">
                      <a:avLst/>
                    </a:prstGeom>
                    <a:noFill/>
                  </pic:spPr>
                </pic:pic>
              </a:graphicData>
            </a:graphic>
          </wp:inline>
        </w:drawing>
      </w:r>
    </w:p>
    <w:p w14:paraId="792DDDF4" w14:textId="77777777" w:rsidR="003C288C" w:rsidRDefault="003C288C" w:rsidP="003C288C">
      <w:pPr>
        <w:pStyle w:val="CETCaption"/>
        <w:rPr>
          <w:rFonts w:eastAsia="Calibri"/>
        </w:rPr>
      </w:pPr>
      <w:r w:rsidRPr="003C288C">
        <w:rPr>
          <w:rFonts w:eastAsia="Calibri"/>
        </w:rPr>
        <w:t>Figure</w:t>
      </w:r>
      <w:r w:rsidRPr="00012936">
        <w:rPr>
          <w:rFonts w:eastAsia="Calibri"/>
        </w:rPr>
        <w:t xml:space="preserve"> </w:t>
      </w:r>
      <w:r>
        <w:rPr>
          <w:rFonts w:eastAsia="Calibri"/>
        </w:rPr>
        <w:t>5</w:t>
      </w:r>
      <w:r w:rsidRPr="00012936">
        <w:rPr>
          <w:rFonts w:eastAsia="Calibri"/>
        </w:rPr>
        <w:t>.</w:t>
      </w:r>
      <w:r>
        <w:rPr>
          <w:rFonts w:eastAsia="Calibri"/>
        </w:rPr>
        <w:t xml:space="preserve"> The impact in c</w:t>
      </w:r>
      <w:r w:rsidRPr="00AC5D33">
        <w:rPr>
          <w:rFonts w:eastAsia="Calibri"/>
        </w:rPr>
        <w:t>hanging the operating conditions</w:t>
      </w:r>
      <w:r>
        <w:rPr>
          <w:rFonts w:eastAsia="Calibri"/>
        </w:rPr>
        <w:t>:</w:t>
      </w:r>
      <w:r w:rsidRPr="00AC5D33">
        <w:rPr>
          <w:rFonts w:eastAsia="Calibri"/>
        </w:rPr>
        <w:t xml:space="preserve"> the consumed </w:t>
      </w:r>
      <w:r>
        <w:rPr>
          <w:rFonts w:eastAsia="Calibri"/>
        </w:rPr>
        <w:t xml:space="preserve">life </w:t>
      </w:r>
      <w:r w:rsidRPr="00AC5D33">
        <w:rPr>
          <w:rFonts w:eastAsia="Calibri"/>
        </w:rPr>
        <w:t>was reduced by 50</w:t>
      </w:r>
      <w:r>
        <w:rPr>
          <w:rFonts w:eastAsia="Calibri"/>
        </w:rPr>
        <w:t>%</w:t>
      </w:r>
      <w:r w:rsidRPr="00AC5D33">
        <w:rPr>
          <w:rFonts w:eastAsia="Calibri"/>
        </w:rPr>
        <w:t xml:space="preserve"> and the risk </w:t>
      </w:r>
      <w:r>
        <w:rPr>
          <w:rFonts w:eastAsia="Calibri"/>
        </w:rPr>
        <w:t xml:space="preserve">was </w:t>
      </w:r>
      <w:r w:rsidRPr="00AC5D33">
        <w:rPr>
          <w:rFonts w:eastAsia="Calibri"/>
        </w:rPr>
        <w:t>reduced by 75</w:t>
      </w:r>
      <w:r>
        <w:rPr>
          <w:rFonts w:eastAsia="Calibri"/>
        </w:rPr>
        <w:t>%.</w:t>
      </w:r>
    </w:p>
    <w:p w14:paraId="15C112C2" w14:textId="5652F5C5" w:rsidR="009568B3" w:rsidRPr="00EF0782" w:rsidRDefault="009568B3" w:rsidP="006A1BE0">
      <w:pPr>
        <w:pStyle w:val="CETHeading1"/>
        <w:numPr>
          <w:ilvl w:val="0"/>
          <w:numId w:val="23"/>
        </w:numPr>
        <w:rPr>
          <w:lang w:val="en-GB"/>
        </w:rPr>
      </w:pPr>
      <w:r w:rsidRPr="00EF0782">
        <w:rPr>
          <w:lang w:val="en-GB"/>
        </w:rPr>
        <w:t>Conclusions</w:t>
      </w:r>
    </w:p>
    <w:p w14:paraId="7D0C11E5" w14:textId="0A560CE2" w:rsidR="00020069" w:rsidRPr="00020069" w:rsidRDefault="00020069" w:rsidP="00020069">
      <w:pPr>
        <w:spacing w:line="276" w:lineRule="auto"/>
        <w:rPr>
          <w:rFonts w:eastAsia="SimSun"/>
          <w:szCs w:val="24"/>
        </w:rPr>
      </w:pPr>
      <w:r w:rsidRPr="00020069">
        <w:rPr>
          <w:rFonts w:eastAsia="SimSun"/>
          <w:szCs w:val="24"/>
        </w:rPr>
        <w:t xml:space="preserve">The proposed approach, using </w:t>
      </w:r>
      <w:r w:rsidR="00B278D7">
        <w:rPr>
          <w:rFonts w:eastAsia="SimSun"/>
          <w:szCs w:val="24"/>
        </w:rPr>
        <w:t>b</w:t>
      </w:r>
      <w:r w:rsidRPr="00020069">
        <w:rPr>
          <w:rFonts w:eastAsia="SimSun"/>
          <w:szCs w:val="24"/>
        </w:rPr>
        <w:t>ayes</w:t>
      </w:r>
      <w:r w:rsidR="00162439">
        <w:rPr>
          <w:rFonts w:eastAsia="SimSun"/>
          <w:szCs w:val="24"/>
        </w:rPr>
        <w:t>ian</w:t>
      </w:r>
      <w:r w:rsidRPr="00020069">
        <w:rPr>
          <w:rFonts w:eastAsia="SimSun"/>
          <w:szCs w:val="24"/>
        </w:rPr>
        <w:t xml:space="preserve"> networks methodology, exploits data from sensors to understand the operating condition</w:t>
      </w:r>
      <w:r>
        <w:rPr>
          <w:rFonts w:eastAsia="SimSun"/>
          <w:szCs w:val="24"/>
        </w:rPr>
        <w:t>s and characteristics of processed</w:t>
      </w:r>
      <w:r w:rsidRPr="00020069">
        <w:rPr>
          <w:rFonts w:eastAsia="SimSun"/>
          <w:szCs w:val="24"/>
        </w:rPr>
        <w:t xml:space="preserve"> crudes. While traditional RBI approaches allow for quantitative risk assessment as a function of measured thicknesses over a predefined time </w:t>
      </w:r>
      <w:r>
        <w:rPr>
          <w:rFonts w:eastAsia="SimSun"/>
          <w:szCs w:val="24"/>
        </w:rPr>
        <w:t>range,</w:t>
      </w:r>
      <w:r w:rsidRPr="00020069">
        <w:rPr>
          <w:rFonts w:eastAsia="SimSun"/>
          <w:szCs w:val="24"/>
        </w:rPr>
        <w:t xml:space="preserve"> this approach exploits data obtained continuously: this facilitates the prediction of the </w:t>
      </w:r>
      <w:r>
        <w:rPr>
          <w:rFonts w:eastAsia="SimSun"/>
          <w:szCs w:val="24"/>
        </w:rPr>
        <w:t xml:space="preserve">damage mechanisms’ </w:t>
      </w:r>
      <w:r w:rsidRPr="00020069">
        <w:rPr>
          <w:rFonts w:eastAsia="SimSun"/>
          <w:szCs w:val="24"/>
        </w:rPr>
        <w:t xml:space="preserve">progression, the remaining useful life of the plant section and the associated risk. </w:t>
      </w:r>
      <w:r w:rsidRPr="00162439">
        <w:rPr>
          <w:rFonts w:eastAsia="SimSun"/>
          <w:szCs w:val="24"/>
        </w:rPr>
        <w:t xml:space="preserve">As a result, decisions on plant utilization can be made, </w:t>
      </w:r>
      <w:r w:rsidR="00DB2160" w:rsidRPr="00162439">
        <w:rPr>
          <w:rFonts w:eastAsia="SimSun"/>
          <w:szCs w:val="24"/>
        </w:rPr>
        <w:t>strengthening</w:t>
      </w:r>
      <w:r w:rsidRPr="00162439">
        <w:rPr>
          <w:rFonts w:eastAsia="SimSun"/>
          <w:szCs w:val="24"/>
        </w:rPr>
        <w:t xml:space="preserve"> mitigation techniques if excessive damage is detected or exploring more aggressive operating conditions if possible.</w:t>
      </w:r>
      <w:r w:rsidRPr="00020069">
        <w:rPr>
          <w:rFonts w:eastAsia="SimSun"/>
          <w:szCs w:val="24"/>
        </w:rPr>
        <w:t xml:space="preserve"> In addition, it is planned to extend this methodology to other </w:t>
      </w:r>
      <w:r>
        <w:rPr>
          <w:rFonts w:eastAsia="SimSun"/>
          <w:szCs w:val="24"/>
        </w:rPr>
        <w:t xml:space="preserve">plant </w:t>
      </w:r>
      <w:r w:rsidRPr="00020069">
        <w:rPr>
          <w:rFonts w:eastAsia="SimSun"/>
          <w:szCs w:val="24"/>
        </w:rPr>
        <w:t xml:space="preserve">sections, including those with different damage mechanisms and metallurgies, with the goal of mapping the entire </w:t>
      </w:r>
      <w:r w:rsidR="005F5510">
        <w:rPr>
          <w:rFonts w:eastAsia="SimSun"/>
          <w:szCs w:val="24"/>
        </w:rPr>
        <w:t>atmospheric distillation unit</w:t>
      </w:r>
      <w:r w:rsidRPr="00020069">
        <w:rPr>
          <w:rFonts w:eastAsia="SimSun"/>
          <w:szCs w:val="24"/>
        </w:rPr>
        <w:t>.</w:t>
      </w:r>
    </w:p>
    <w:p w14:paraId="69E9C2F7" w14:textId="77777777" w:rsidR="00B174D6" w:rsidRPr="00E92622" w:rsidRDefault="00B174D6" w:rsidP="00E92622">
      <w:pPr>
        <w:pStyle w:val="CETAcknowledgementstitle"/>
      </w:pPr>
      <w:r w:rsidRPr="00E92622">
        <w:t>Acknowledgments</w:t>
      </w:r>
    </w:p>
    <w:p w14:paraId="420BB302" w14:textId="69F4B5E4" w:rsidR="00B174D6" w:rsidRDefault="00B174D6" w:rsidP="00B174D6">
      <w:pPr>
        <w:spacing w:line="276" w:lineRule="auto"/>
        <w:rPr>
          <w:rFonts w:eastAsia="SimSun"/>
          <w:szCs w:val="24"/>
        </w:rPr>
      </w:pPr>
      <w:r w:rsidRPr="00B174D6">
        <w:rPr>
          <w:rFonts w:eastAsia="SimSun"/>
          <w:szCs w:val="24"/>
        </w:rPr>
        <w:t xml:space="preserve">This work has been funded by the </w:t>
      </w:r>
      <w:r w:rsidR="003C288C" w:rsidRPr="003C288C">
        <w:rPr>
          <w:rFonts w:eastAsia="SimSun"/>
          <w:szCs w:val="24"/>
        </w:rPr>
        <w:t>project DYN-RISK (BRIC/2019 ID = 02)</w:t>
      </w:r>
    </w:p>
    <w:p w14:paraId="1D916482" w14:textId="77777777" w:rsidR="00DF627A" w:rsidRPr="00E92622" w:rsidRDefault="00DF627A" w:rsidP="00E92622">
      <w:pPr>
        <w:pStyle w:val="CETReference"/>
      </w:pPr>
      <w:r w:rsidRPr="00E92622">
        <w:t>References</w:t>
      </w:r>
    </w:p>
    <w:p w14:paraId="5C88B742" w14:textId="220A83FC" w:rsidR="00661CDA" w:rsidRPr="00661CDA" w:rsidRDefault="00661CDA" w:rsidP="00661CDA">
      <w:pPr>
        <w:pStyle w:val="CETReferencetext"/>
      </w:pPr>
      <w:r w:rsidRPr="00661CDA">
        <w:t xml:space="preserve">Al-Moubaraki </w:t>
      </w:r>
      <w:r w:rsidR="00026009">
        <w:t xml:space="preserve">A.H., Obot I.B., </w:t>
      </w:r>
      <w:r>
        <w:t xml:space="preserve">2021, </w:t>
      </w:r>
      <w:r w:rsidRPr="00661CDA">
        <w:t>Corrosion challenges in petroleum refinery</w:t>
      </w:r>
      <w:r>
        <w:t xml:space="preserve"> </w:t>
      </w:r>
      <w:r w:rsidRPr="00661CDA">
        <w:t>operations: Sources, mechanisms, mitigation, and</w:t>
      </w:r>
      <w:r>
        <w:t xml:space="preserve"> </w:t>
      </w:r>
      <w:r w:rsidRPr="00661CDA">
        <w:t>future outlook</w:t>
      </w:r>
      <w:r>
        <w:t xml:space="preserve">, </w:t>
      </w:r>
      <w:r w:rsidRPr="00661CDA">
        <w:t>Journal of Saudi Chemical Society</w:t>
      </w:r>
      <w:r w:rsidR="00026009">
        <w:t xml:space="preserve">, 25, </w:t>
      </w:r>
      <w:r>
        <w:t>10-14</w:t>
      </w:r>
      <w:r w:rsidR="00026009">
        <w:t xml:space="preserve">. </w:t>
      </w:r>
    </w:p>
    <w:p w14:paraId="383F0B9A" w14:textId="77777777" w:rsidR="00026009" w:rsidRDefault="00026009" w:rsidP="00A47E25">
      <w:pPr>
        <w:pStyle w:val="CETReferencetext"/>
      </w:pPr>
      <w:r w:rsidRPr="00026009">
        <w:t>Ancione G., Bartolozzi V., Bragatto P., Milazzo M.F., 2023, Monitoring Equipment Corrosion due to Sour Crude Oils: a Bayesian Approach, Chemical Engineering Transactions, 99, 337-342.</w:t>
      </w:r>
    </w:p>
    <w:p w14:paraId="23F0A941" w14:textId="45CE3425" w:rsidR="00A47E25" w:rsidRDefault="00A47E25" w:rsidP="00A47E25">
      <w:pPr>
        <w:pStyle w:val="CETReferencetext"/>
      </w:pPr>
      <w:r>
        <w:t>API RP 581 (American Petroleum Institute), 2016, Risk-Based Inspection Methodology, 3rd ed. API Publishing Services, Washington</w:t>
      </w:r>
      <w:r w:rsidR="004A553D">
        <w:t xml:space="preserve"> (USA).</w:t>
      </w:r>
    </w:p>
    <w:p w14:paraId="166BEAE6" w14:textId="1ECE247D" w:rsidR="00027F81" w:rsidRDefault="00027F81" w:rsidP="00A47E25">
      <w:pPr>
        <w:pStyle w:val="CETReferencetext"/>
      </w:pPr>
      <w:r>
        <w:t>API RP 584 (American Petroleum Institute), 2014, Integrity Operating Windows, 1st ed. API Publishing Services, Washington (USA).</w:t>
      </w:r>
    </w:p>
    <w:p w14:paraId="718BBABA" w14:textId="1BDD3400" w:rsidR="00A47E25" w:rsidRDefault="00A47E25" w:rsidP="00A47E25">
      <w:pPr>
        <w:pStyle w:val="CETReferencetext"/>
      </w:pPr>
      <w:r w:rsidRPr="00EA3CCC">
        <w:t>Torres-Toledano</w:t>
      </w:r>
      <w:r>
        <w:t xml:space="preserve">, </w:t>
      </w:r>
      <w:r w:rsidRPr="00EA3CCC">
        <w:t>J.G.</w:t>
      </w:r>
      <w:r>
        <w:t>,</w:t>
      </w:r>
      <w:r w:rsidRPr="00EA3CCC">
        <w:t xml:space="preserve"> 1998</w:t>
      </w:r>
      <w:r>
        <w:t>, “</w:t>
      </w:r>
      <w:r w:rsidRPr="00EA3CCC">
        <w:t>Bayesian Networks for Reliability Analysis of Complex Systems</w:t>
      </w:r>
      <w:r>
        <w:t xml:space="preserve">”, </w:t>
      </w:r>
      <w:r w:rsidRPr="00EA3CCC">
        <w:t>Progress in Artificial Intelligence [Conference]</w:t>
      </w:r>
      <w:r>
        <w:t xml:space="preserve">, </w:t>
      </w:r>
      <w:r w:rsidRPr="006726FB">
        <w:t>Lisbon, Portugal</w:t>
      </w:r>
      <w:r>
        <w:t>, 31th Agust-2</w:t>
      </w:r>
      <w:r w:rsidR="004A553D">
        <w:t>nd</w:t>
      </w:r>
      <w:r>
        <w:t xml:space="preserve"> September</w:t>
      </w:r>
      <w:r w:rsidR="004A553D">
        <w:t>.</w:t>
      </w:r>
    </w:p>
    <w:p w14:paraId="65F1C35F" w14:textId="1A1B9644" w:rsidR="00A47E25" w:rsidRDefault="00A47E25" w:rsidP="00A47E25">
      <w:pPr>
        <w:pStyle w:val="CETReferencetext"/>
        <w:rPr>
          <w:lang w:val="en-US"/>
        </w:rPr>
      </w:pPr>
      <w:r w:rsidRPr="001E13A8">
        <w:rPr>
          <w:lang w:val="en-US"/>
        </w:rPr>
        <w:t xml:space="preserve">Pearl, J., 1988, Probabilistic Reasoning in Intelligent Systems: Network of Plausible Inference, </w:t>
      </w:r>
      <w:r w:rsidRPr="00A47E25">
        <w:rPr>
          <w:lang w:val="en-US"/>
        </w:rPr>
        <w:t>1st edition</w:t>
      </w:r>
      <w:r w:rsidRPr="001E13A8">
        <w:rPr>
          <w:lang w:val="en-US"/>
        </w:rPr>
        <w:t xml:space="preserve"> </w:t>
      </w:r>
      <w:r w:rsidRPr="00A47E25">
        <w:rPr>
          <w:lang w:val="en-US"/>
        </w:rPr>
        <w:t>Morgan Kaufmann</w:t>
      </w:r>
      <w:r>
        <w:rPr>
          <w:lang w:val="en-US"/>
        </w:rPr>
        <w:t>,</w:t>
      </w:r>
      <w:r w:rsidRPr="00A47E25">
        <w:rPr>
          <w:lang w:val="en-US"/>
        </w:rPr>
        <w:t xml:space="preserve"> </w:t>
      </w:r>
      <w:r w:rsidRPr="001E13A8">
        <w:rPr>
          <w:lang w:val="en-US"/>
        </w:rPr>
        <w:t>Los Angeles</w:t>
      </w:r>
      <w:r>
        <w:rPr>
          <w:lang w:val="en-US"/>
        </w:rPr>
        <w:t xml:space="preserve"> (</w:t>
      </w:r>
      <w:r w:rsidRPr="001E13A8">
        <w:rPr>
          <w:lang w:val="en-US"/>
        </w:rPr>
        <w:t>USA</w:t>
      </w:r>
      <w:r>
        <w:rPr>
          <w:lang w:val="en-US"/>
        </w:rPr>
        <w:t>)</w:t>
      </w:r>
      <w:r w:rsidR="003E7C01">
        <w:rPr>
          <w:lang w:val="en-US"/>
        </w:rPr>
        <w:t>.</w:t>
      </w:r>
      <w:bookmarkStart w:id="1" w:name="_GoBack"/>
      <w:bookmarkEnd w:id="1"/>
    </w:p>
    <w:p w14:paraId="7EAA7FEB" w14:textId="1EF5D24A" w:rsidR="00796890" w:rsidRPr="003E7C01" w:rsidRDefault="00796890" w:rsidP="00A47E25">
      <w:pPr>
        <w:pStyle w:val="CETReferencetext"/>
        <w:rPr>
          <w:lang w:val="it-IT"/>
        </w:rPr>
      </w:pPr>
      <w:r w:rsidRPr="003E7C01">
        <w:rPr>
          <w:lang w:val="it-IT"/>
        </w:rPr>
        <w:t>RAM S.C.p.A. (Raffineria di Milazzo), 2023, Manuale del Sistema di Gestione dell’Asset Integrity (Confidential)</w:t>
      </w:r>
      <w:r w:rsidR="000A270F" w:rsidRPr="003E7C01">
        <w:rPr>
          <w:lang w:val="it-IT"/>
        </w:rPr>
        <w:t>.</w:t>
      </w:r>
    </w:p>
    <w:p w14:paraId="3E3B753F" w14:textId="12B34457" w:rsidR="00026009" w:rsidRDefault="00026009" w:rsidP="00A47E25">
      <w:pPr>
        <w:pStyle w:val="CETReferencetext"/>
        <w:rPr>
          <w:lang w:val="en-US"/>
        </w:rPr>
      </w:pPr>
      <w:r>
        <w:rPr>
          <w:lang w:val="en-US"/>
        </w:rPr>
        <w:t>Rebak R.B., 2011, Sulfidic corrosion in refineries – A review, Corrosion Reviews, vol. 29, p. 123-133</w:t>
      </w:r>
      <w:r w:rsidR="004A553D">
        <w:rPr>
          <w:lang w:val="en-US"/>
        </w:rPr>
        <w:t>.</w:t>
      </w:r>
    </w:p>
    <w:p w14:paraId="65C0FA4E" w14:textId="36CAE11D" w:rsidR="00A47E25" w:rsidRDefault="00A47E25" w:rsidP="00A47E25">
      <w:pPr>
        <w:pStyle w:val="CETReferencetext"/>
      </w:pPr>
      <w:r w:rsidRPr="007874B5">
        <w:t>US Department Office of Fossil Energy and Carbon management &lt;https://www.energy.gov/fecm/enhanced-oil-recovery&gt; accessed 24.02.2024</w:t>
      </w:r>
      <w:r>
        <w:t>.</w:t>
      </w:r>
    </w:p>
    <w:p w14:paraId="2A460777" w14:textId="77777777" w:rsidR="00A47E25" w:rsidRPr="00A47E25" w:rsidRDefault="00A47E25" w:rsidP="00A47E25">
      <w:pPr>
        <w:pStyle w:val="CETReferencetext"/>
        <w:rPr>
          <w:lang w:val="en-US"/>
        </w:rPr>
      </w:pPr>
    </w:p>
    <w:sectPr w:rsidR="00A47E25" w:rsidRPr="00A47E25" w:rsidSect="00336B4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F140" w14:textId="77777777" w:rsidR="00336B43" w:rsidRDefault="00336B43" w:rsidP="004F5E36">
      <w:r>
        <w:separator/>
      </w:r>
    </w:p>
  </w:endnote>
  <w:endnote w:type="continuationSeparator" w:id="0">
    <w:p w14:paraId="711312D2" w14:textId="77777777" w:rsidR="00336B43" w:rsidRDefault="00336B4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FC0A" w14:textId="77777777" w:rsidR="00336B43" w:rsidRDefault="00336B43" w:rsidP="004F5E36">
      <w:r>
        <w:separator/>
      </w:r>
    </w:p>
  </w:footnote>
  <w:footnote w:type="continuationSeparator" w:id="0">
    <w:p w14:paraId="3818048F" w14:textId="77777777" w:rsidR="00336B43" w:rsidRDefault="00336B4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DF8D65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A0764F"/>
    <w:multiLevelType w:val="hybridMultilevel"/>
    <w:tmpl w:val="0434A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173E7B"/>
    <w:multiLevelType w:val="hybridMultilevel"/>
    <w:tmpl w:val="E97A7E88"/>
    <w:lvl w:ilvl="0" w:tplc="FFFFFFFF">
      <w:start w:val="1"/>
      <w:numFmt w:val="decimal"/>
      <w:suff w:val="nothing"/>
      <w:lvlText w:val="%1."/>
      <w:lvlJc w:val="left"/>
      <w:pPr>
        <w:ind w:left="720" w:hanging="663"/>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07FFB"/>
    <w:multiLevelType w:val="hybridMultilevel"/>
    <w:tmpl w:val="11F40012"/>
    <w:lvl w:ilvl="0" w:tplc="E4A07EA6">
      <w:start w:val="1"/>
      <w:numFmt w:val="decimal"/>
      <w:suff w:val="nothing"/>
      <w:lvlText w:val="%1."/>
      <w:lvlJc w:val="left"/>
      <w:pPr>
        <w:ind w:left="720" w:hanging="663"/>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3054D73"/>
    <w:multiLevelType w:val="hybridMultilevel"/>
    <w:tmpl w:val="42F87D0E"/>
    <w:lvl w:ilvl="0" w:tplc="5E28B8BA">
      <w:start w:val="7"/>
      <w:numFmt w:val="decimal"/>
      <w:suff w:val="nothing"/>
      <w:lvlText w:val="%1."/>
      <w:lvlJc w:val="left"/>
      <w:pPr>
        <w:ind w:left="720" w:hanging="663"/>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C57748"/>
    <w:multiLevelType w:val="hybridMultilevel"/>
    <w:tmpl w:val="13121364"/>
    <w:lvl w:ilvl="0" w:tplc="13DC6668">
      <w:numFmt w:val="bullet"/>
      <w:lvlText w:val="•"/>
      <w:lvlJc w:val="left"/>
      <w:pPr>
        <w:ind w:left="2568" w:hanging="22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CB5534"/>
    <w:multiLevelType w:val="hybridMultilevel"/>
    <w:tmpl w:val="C2DA9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110001"/>
    <w:multiLevelType w:val="hybridMultilevel"/>
    <w:tmpl w:val="CD6E8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3"/>
  </w:num>
  <w:num w:numId="14">
    <w:abstractNumId w:val="23"/>
  </w:num>
  <w:num w:numId="15">
    <w:abstractNumId w:val="25"/>
  </w:num>
  <w:num w:numId="16">
    <w:abstractNumId w:val="24"/>
  </w:num>
  <w:num w:numId="17">
    <w:abstractNumId w:val="12"/>
  </w:num>
  <w:num w:numId="18">
    <w:abstractNumId w:val="13"/>
    <w:lvlOverride w:ilvl="0">
      <w:startOverride w:val="1"/>
    </w:lvlOverride>
  </w:num>
  <w:num w:numId="19">
    <w:abstractNumId w:val="20"/>
  </w:num>
  <w:num w:numId="20">
    <w:abstractNumId w:val="19"/>
  </w:num>
  <w:num w:numId="21">
    <w:abstractNumId w:val="17"/>
  </w:num>
  <w:num w:numId="22">
    <w:abstractNumId w:val="15"/>
  </w:num>
  <w:num w:numId="23">
    <w:abstractNumId w:val="18"/>
  </w:num>
  <w:num w:numId="24">
    <w:abstractNumId w:val="10"/>
  </w:num>
  <w:num w:numId="25">
    <w:abstractNumId w:val="10"/>
  </w:num>
  <w:num w:numId="26">
    <w:abstractNumId w:val="10"/>
  </w:num>
  <w:num w:numId="27">
    <w:abstractNumId w:val="26"/>
  </w:num>
  <w:num w:numId="28">
    <w:abstractNumId w:val="22"/>
  </w:num>
  <w:num w:numId="29">
    <w:abstractNumId w:val="27"/>
  </w:num>
  <w:num w:numId="30">
    <w:abstractNumId w:val="10"/>
  </w:num>
  <w:num w:numId="31">
    <w:abstractNumId w:val="11"/>
  </w:num>
  <w:num w:numId="32">
    <w:abstractNumId w:val="14"/>
  </w:num>
  <w:num w:numId="33">
    <w:abstractNumId w:val="10"/>
  </w:num>
  <w:num w:numId="34">
    <w:abstractNumId w:val="10"/>
  </w:num>
  <w:num w:numId="35">
    <w:abstractNumId w:val="10"/>
  </w:num>
  <w:num w:numId="36">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5E1"/>
    <w:rsid w:val="000052FB"/>
    <w:rsid w:val="000117CB"/>
    <w:rsid w:val="00012936"/>
    <w:rsid w:val="00016E1F"/>
    <w:rsid w:val="00020069"/>
    <w:rsid w:val="00024C25"/>
    <w:rsid w:val="00026009"/>
    <w:rsid w:val="00027F81"/>
    <w:rsid w:val="0003148D"/>
    <w:rsid w:val="00031EEC"/>
    <w:rsid w:val="0003208E"/>
    <w:rsid w:val="0003250B"/>
    <w:rsid w:val="00032AAC"/>
    <w:rsid w:val="00032B5D"/>
    <w:rsid w:val="00051566"/>
    <w:rsid w:val="00052F36"/>
    <w:rsid w:val="00061DE5"/>
    <w:rsid w:val="00062A9A"/>
    <w:rsid w:val="00065058"/>
    <w:rsid w:val="000704EA"/>
    <w:rsid w:val="000765E3"/>
    <w:rsid w:val="00085ED3"/>
    <w:rsid w:val="00086409"/>
    <w:rsid w:val="00086C39"/>
    <w:rsid w:val="000871E8"/>
    <w:rsid w:val="000878C6"/>
    <w:rsid w:val="00090423"/>
    <w:rsid w:val="00090556"/>
    <w:rsid w:val="00090B8A"/>
    <w:rsid w:val="000A03B2"/>
    <w:rsid w:val="000A19D3"/>
    <w:rsid w:val="000A270F"/>
    <w:rsid w:val="000A787D"/>
    <w:rsid w:val="000B1132"/>
    <w:rsid w:val="000C63CC"/>
    <w:rsid w:val="000D0268"/>
    <w:rsid w:val="000D34BE"/>
    <w:rsid w:val="000D5054"/>
    <w:rsid w:val="000E0D35"/>
    <w:rsid w:val="000E0DDA"/>
    <w:rsid w:val="000E102F"/>
    <w:rsid w:val="000E36F1"/>
    <w:rsid w:val="000E3A73"/>
    <w:rsid w:val="000E414A"/>
    <w:rsid w:val="000E58A8"/>
    <w:rsid w:val="000E6CC7"/>
    <w:rsid w:val="000E79F3"/>
    <w:rsid w:val="000F093C"/>
    <w:rsid w:val="000F13E9"/>
    <w:rsid w:val="000F3375"/>
    <w:rsid w:val="000F38A8"/>
    <w:rsid w:val="000F599F"/>
    <w:rsid w:val="000F787B"/>
    <w:rsid w:val="001024A7"/>
    <w:rsid w:val="00105D0B"/>
    <w:rsid w:val="00106B28"/>
    <w:rsid w:val="001150A0"/>
    <w:rsid w:val="0012091F"/>
    <w:rsid w:val="0012154B"/>
    <w:rsid w:val="00124B89"/>
    <w:rsid w:val="001259A0"/>
    <w:rsid w:val="00126BC2"/>
    <w:rsid w:val="001308B6"/>
    <w:rsid w:val="0013121F"/>
    <w:rsid w:val="00131693"/>
    <w:rsid w:val="00131FE6"/>
    <w:rsid w:val="0013263F"/>
    <w:rsid w:val="0013266A"/>
    <w:rsid w:val="001331DF"/>
    <w:rsid w:val="00134DE4"/>
    <w:rsid w:val="001356C0"/>
    <w:rsid w:val="001366B2"/>
    <w:rsid w:val="0014034D"/>
    <w:rsid w:val="00140F9E"/>
    <w:rsid w:val="00141954"/>
    <w:rsid w:val="00144D16"/>
    <w:rsid w:val="00146DC6"/>
    <w:rsid w:val="00150E59"/>
    <w:rsid w:val="00152C15"/>
    <w:rsid w:val="00152DE3"/>
    <w:rsid w:val="00155B4E"/>
    <w:rsid w:val="001569C9"/>
    <w:rsid w:val="00160E1D"/>
    <w:rsid w:val="00162439"/>
    <w:rsid w:val="00162911"/>
    <w:rsid w:val="00164CF9"/>
    <w:rsid w:val="001667A6"/>
    <w:rsid w:val="00167828"/>
    <w:rsid w:val="001679C4"/>
    <w:rsid w:val="001752BE"/>
    <w:rsid w:val="00177D8A"/>
    <w:rsid w:val="00184AD6"/>
    <w:rsid w:val="001866BE"/>
    <w:rsid w:val="00186BC7"/>
    <w:rsid w:val="00193C79"/>
    <w:rsid w:val="001A3AD2"/>
    <w:rsid w:val="001A4AF7"/>
    <w:rsid w:val="001A6CA7"/>
    <w:rsid w:val="001A6D92"/>
    <w:rsid w:val="001B0349"/>
    <w:rsid w:val="001B1E93"/>
    <w:rsid w:val="001B65C1"/>
    <w:rsid w:val="001C0714"/>
    <w:rsid w:val="001C2068"/>
    <w:rsid w:val="001C3EFF"/>
    <w:rsid w:val="001C684B"/>
    <w:rsid w:val="001C781B"/>
    <w:rsid w:val="001D0CFB"/>
    <w:rsid w:val="001D1588"/>
    <w:rsid w:val="001D4E4A"/>
    <w:rsid w:val="001D53FC"/>
    <w:rsid w:val="001D56DA"/>
    <w:rsid w:val="001E13A8"/>
    <w:rsid w:val="001E5230"/>
    <w:rsid w:val="001F27D3"/>
    <w:rsid w:val="001F2FDF"/>
    <w:rsid w:val="001F42A5"/>
    <w:rsid w:val="001F6DD7"/>
    <w:rsid w:val="001F7B9D"/>
    <w:rsid w:val="00201236"/>
    <w:rsid w:val="00201C93"/>
    <w:rsid w:val="00202870"/>
    <w:rsid w:val="0020303F"/>
    <w:rsid w:val="00204F1B"/>
    <w:rsid w:val="00206B51"/>
    <w:rsid w:val="00211BF3"/>
    <w:rsid w:val="00217D33"/>
    <w:rsid w:val="002222FF"/>
    <w:rsid w:val="002224B4"/>
    <w:rsid w:val="00222EEA"/>
    <w:rsid w:val="00224D62"/>
    <w:rsid w:val="00225530"/>
    <w:rsid w:val="002266C9"/>
    <w:rsid w:val="00230A8A"/>
    <w:rsid w:val="0023194D"/>
    <w:rsid w:val="002328D1"/>
    <w:rsid w:val="00232FBF"/>
    <w:rsid w:val="00233D23"/>
    <w:rsid w:val="002345B6"/>
    <w:rsid w:val="002408EF"/>
    <w:rsid w:val="002447EF"/>
    <w:rsid w:val="00251550"/>
    <w:rsid w:val="002540FD"/>
    <w:rsid w:val="0025703B"/>
    <w:rsid w:val="00263B05"/>
    <w:rsid w:val="00264D8B"/>
    <w:rsid w:val="00266202"/>
    <w:rsid w:val="0027221A"/>
    <w:rsid w:val="00272691"/>
    <w:rsid w:val="00274558"/>
    <w:rsid w:val="00275B61"/>
    <w:rsid w:val="00277ED6"/>
    <w:rsid w:val="00280FAF"/>
    <w:rsid w:val="00281FF6"/>
    <w:rsid w:val="00282656"/>
    <w:rsid w:val="00292459"/>
    <w:rsid w:val="00293754"/>
    <w:rsid w:val="00293E01"/>
    <w:rsid w:val="00296B83"/>
    <w:rsid w:val="002A5D0D"/>
    <w:rsid w:val="002B3187"/>
    <w:rsid w:val="002B4015"/>
    <w:rsid w:val="002B78CE"/>
    <w:rsid w:val="002B7D91"/>
    <w:rsid w:val="002C0BE3"/>
    <w:rsid w:val="002C1823"/>
    <w:rsid w:val="002C190F"/>
    <w:rsid w:val="002C2FB6"/>
    <w:rsid w:val="002C31E6"/>
    <w:rsid w:val="002C520D"/>
    <w:rsid w:val="002C6C9E"/>
    <w:rsid w:val="002D1937"/>
    <w:rsid w:val="002D2234"/>
    <w:rsid w:val="002D5733"/>
    <w:rsid w:val="002D5753"/>
    <w:rsid w:val="002E0077"/>
    <w:rsid w:val="002E5FA7"/>
    <w:rsid w:val="002F3309"/>
    <w:rsid w:val="002F7963"/>
    <w:rsid w:val="003008CE"/>
    <w:rsid w:val="003009B7"/>
    <w:rsid w:val="00300E56"/>
    <w:rsid w:val="0030469C"/>
    <w:rsid w:val="00305E3E"/>
    <w:rsid w:val="003065A3"/>
    <w:rsid w:val="00306FDC"/>
    <w:rsid w:val="00311429"/>
    <w:rsid w:val="003123CB"/>
    <w:rsid w:val="00314EC3"/>
    <w:rsid w:val="00321CA6"/>
    <w:rsid w:val="00323763"/>
    <w:rsid w:val="00334C09"/>
    <w:rsid w:val="00336B43"/>
    <w:rsid w:val="0034047F"/>
    <w:rsid w:val="0034099E"/>
    <w:rsid w:val="0034276E"/>
    <w:rsid w:val="00345FDC"/>
    <w:rsid w:val="00346F28"/>
    <w:rsid w:val="00352B1F"/>
    <w:rsid w:val="00353729"/>
    <w:rsid w:val="00354D28"/>
    <w:rsid w:val="00355F0A"/>
    <w:rsid w:val="00364F24"/>
    <w:rsid w:val="00371754"/>
    <w:rsid w:val="003723D4"/>
    <w:rsid w:val="00381905"/>
    <w:rsid w:val="00383676"/>
    <w:rsid w:val="00384CC8"/>
    <w:rsid w:val="00386294"/>
    <w:rsid w:val="00386F5C"/>
    <w:rsid w:val="003871FD"/>
    <w:rsid w:val="00393A4D"/>
    <w:rsid w:val="003948C0"/>
    <w:rsid w:val="00397AF5"/>
    <w:rsid w:val="003A1E30"/>
    <w:rsid w:val="003A2829"/>
    <w:rsid w:val="003A6C2C"/>
    <w:rsid w:val="003A6C7B"/>
    <w:rsid w:val="003A7B32"/>
    <w:rsid w:val="003A7D1C"/>
    <w:rsid w:val="003B304B"/>
    <w:rsid w:val="003B3146"/>
    <w:rsid w:val="003B3AD5"/>
    <w:rsid w:val="003B482B"/>
    <w:rsid w:val="003C288C"/>
    <w:rsid w:val="003C49D1"/>
    <w:rsid w:val="003C5682"/>
    <w:rsid w:val="003C581E"/>
    <w:rsid w:val="003D0417"/>
    <w:rsid w:val="003D45A5"/>
    <w:rsid w:val="003D679A"/>
    <w:rsid w:val="003E206A"/>
    <w:rsid w:val="003E2F8F"/>
    <w:rsid w:val="003E518B"/>
    <w:rsid w:val="003E7C01"/>
    <w:rsid w:val="003F015E"/>
    <w:rsid w:val="003F0443"/>
    <w:rsid w:val="003F299B"/>
    <w:rsid w:val="003F69B4"/>
    <w:rsid w:val="00400414"/>
    <w:rsid w:val="00400ED2"/>
    <w:rsid w:val="004076BC"/>
    <w:rsid w:val="00410C1E"/>
    <w:rsid w:val="00411B48"/>
    <w:rsid w:val="0041446B"/>
    <w:rsid w:val="00420C23"/>
    <w:rsid w:val="00427E3B"/>
    <w:rsid w:val="00431DAF"/>
    <w:rsid w:val="00432FEE"/>
    <w:rsid w:val="00436B42"/>
    <w:rsid w:val="0044329C"/>
    <w:rsid w:val="00445A99"/>
    <w:rsid w:val="0044622B"/>
    <w:rsid w:val="0045009B"/>
    <w:rsid w:val="00450183"/>
    <w:rsid w:val="004505EE"/>
    <w:rsid w:val="00453DB8"/>
    <w:rsid w:val="00453E24"/>
    <w:rsid w:val="00456D87"/>
    <w:rsid w:val="00456EA0"/>
    <w:rsid w:val="00457456"/>
    <w:rsid w:val="004577FE"/>
    <w:rsid w:val="00457ABB"/>
    <w:rsid w:val="00457B9C"/>
    <w:rsid w:val="0046164A"/>
    <w:rsid w:val="004628D2"/>
    <w:rsid w:val="00462DCD"/>
    <w:rsid w:val="004648AD"/>
    <w:rsid w:val="004703A9"/>
    <w:rsid w:val="004712B1"/>
    <w:rsid w:val="00472EAA"/>
    <w:rsid w:val="00475427"/>
    <w:rsid w:val="004760DE"/>
    <w:rsid w:val="004763D7"/>
    <w:rsid w:val="004811EA"/>
    <w:rsid w:val="00483BB9"/>
    <w:rsid w:val="004845D1"/>
    <w:rsid w:val="004858AC"/>
    <w:rsid w:val="004869E4"/>
    <w:rsid w:val="00487DAF"/>
    <w:rsid w:val="00491677"/>
    <w:rsid w:val="004A004E"/>
    <w:rsid w:val="004A23AD"/>
    <w:rsid w:val="004A24CF"/>
    <w:rsid w:val="004A553D"/>
    <w:rsid w:val="004A5CED"/>
    <w:rsid w:val="004A5FF7"/>
    <w:rsid w:val="004A604C"/>
    <w:rsid w:val="004A742B"/>
    <w:rsid w:val="004B0973"/>
    <w:rsid w:val="004B44DD"/>
    <w:rsid w:val="004B7CD2"/>
    <w:rsid w:val="004C0E9E"/>
    <w:rsid w:val="004C29CA"/>
    <w:rsid w:val="004C3D1D"/>
    <w:rsid w:val="004C6441"/>
    <w:rsid w:val="004C7913"/>
    <w:rsid w:val="004D5A3A"/>
    <w:rsid w:val="004D6C71"/>
    <w:rsid w:val="004D72BB"/>
    <w:rsid w:val="004E4209"/>
    <w:rsid w:val="004E4DD6"/>
    <w:rsid w:val="004F0330"/>
    <w:rsid w:val="004F3873"/>
    <w:rsid w:val="004F461F"/>
    <w:rsid w:val="004F5E36"/>
    <w:rsid w:val="0050422A"/>
    <w:rsid w:val="0050667A"/>
    <w:rsid w:val="005076E9"/>
    <w:rsid w:val="00507B47"/>
    <w:rsid w:val="00507BEF"/>
    <w:rsid w:val="00507CC9"/>
    <w:rsid w:val="005119A5"/>
    <w:rsid w:val="005130AE"/>
    <w:rsid w:val="00515239"/>
    <w:rsid w:val="00515CC7"/>
    <w:rsid w:val="00522340"/>
    <w:rsid w:val="005278B7"/>
    <w:rsid w:val="00530133"/>
    <w:rsid w:val="00531568"/>
    <w:rsid w:val="00532016"/>
    <w:rsid w:val="00532460"/>
    <w:rsid w:val="005346C8"/>
    <w:rsid w:val="00535A35"/>
    <w:rsid w:val="0053643B"/>
    <w:rsid w:val="00537A04"/>
    <w:rsid w:val="00543E7D"/>
    <w:rsid w:val="00546205"/>
    <w:rsid w:val="00547A68"/>
    <w:rsid w:val="005531C9"/>
    <w:rsid w:val="005567B8"/>
    <w:rsid w:val="00557E28"/>
    <w:rsid w:val="00561B4E"/>
    <w:rsid w:val="00563203"/>
    <w:rsid w:val="005632D9"/>
    <w:rsid w:val="00570C43"/>
    <w:rsid w:val="00587513"/>
    <w:rsid w:val="005922E1"/>
    <w:rsid w:val="005929A2"/>
    <w:rsid w:val="0059423C"/>
    <w:rsid w:val="005A4266"/>
    <w:rsid w:val="005A6049"/>
    <w:rsid w:val="005A7074"/>
    <w:rsid w:val="005B100A"/>
    <w:rsid w:val="005B1D30"/>
    <w:rsid w:val="005B2110"/>
    <w:rsid w:val="005B4420"/>
    <w:rsid w:val="005B61E6"/>
    <w:rsid w:val="005C0539"/>
    <w:rsid w:val="005C0553"/>
    <w:rsid w:val="005C095E"/>
    <w:rsid w:val="005C09C1"/>
    <w:rsid w:val="005C5AC1"/>
    <w:rsid w:val="005C77E1"/>
    <w:rsid w:val="005D668A"/>
    <w:rsid w:val="005D6A2F"/>
    <w:rsid w:val="005E0177"/>
    <w:rsid w:val="005E1A82"/>
    <w:rsid w:val="005E794C"/>
    <w:rsid w:val="005F0A28"/>
    <w:rsid w:val="005F0E5E"/>
    <w:rsid w:val="005F2EDD"/>
    <w:rsid w:val="005F4661"/>
    <w:rsid w:val="005F5510"/>
    <w:rsid w:val="005F600F"/>
    <w:rsid w:val="005F7AEE"/>
    <w:rsid w:val="00600535"/>
    <w:rsid w:val="006032B8"/>
    <w:rsid w:val="00606F24"/>
    <w:rsid w:val="00610CD6"/>
    <w:rsid w:val="0061568A"/>
    <w:rsid w:val="00620DEE"/>
    <w:rsid w:val="00621F92"/>
    <w:rsid w:val="00622248"/>
    <w:rsid w:val="0062280A"/>
    <w:rsid w:val="00625639"/>
    <w:rsid w:val="00627901"/>
    <w:rsid w:val="006300E1"/>
    <w:rsid w:val="00631627"/>
    <w:rsid w:val="00631B33"/>
    <w:rsid w:val="006327DE"/>
    <w:rsid w:val="00634129"/>
    <w:rsid w:val="00634BD0"/>
    <w:rsid w:val="00635A2D"/>
    <w:rsid w:val="00640132"/>
    <w:rsid w:val="0064184D"/>
    <w:rsid w:val="006422CC"/>
    <w:rsid w:val="00650C70"/>
    <w:rsid w:val="00650F58"/>
    <w:rsid w:val="00652DF9"/>
    <w:rsid w:val="00653684"/>
    <w:rsid w:val="00653898"/>
    <w:rsid w:val="00653FCB"/>
    <w:rsid w:val="00656CD5"/>
    <w:rsid w:val="0065731E"/>
    <w:rsid w:val="0065771D"/>
    <w:rsid w:val="00660E3E"/>
    <w:rsid w:val="00661CDA"/>
    <w:rsid w:val="0066210B"/>
    <w:rsid w:val="00662E74"/>
    <w:rsid w:val="006640C7"/>
    <w:rsid w:val="00665323"/>
    <w:rsid w:val="00670C15"/>
    <w:rsid w:val="006726FB"/>
    <w:rsid w:val="00674026"/>
    <w:rsid w:val="0068026A"/>
    <w:rsid w:val="00680C23"/>
    <w:rsid w:val="00692740"/>
    <w:rsid w:val="00693766"/>
    <w:rsid w:val="00694704"/>
    <w:rsid w:val="00697725"/>
    <w:rsid w:val="006979DA"/>
    <w:rsid w:val="006A1BE0"/>
    <w:rsid w:val="006A2641"/>
    <w:rsid w:val="006A3281"/>
    <w:rsid w:val="006A385A"/>
    <w:rsid w:val="006A3A42"/>
    <w:rsid w:val="006A4513"/>
    <w:rsid w:val="006A4B79"/>
    <w:rsid w:val="006A50F7"/>
    <w:rsid w:val="006B106B"/>
    <w:rsid w:val="006B4888"/>
    <w:rsid w:val="006C2011"/>
    <w:rsid w:val="006C2E45"/>
    <w:rsid w:val="006C359C"/>
    <w:rsid w:val="006C5579"/>
    <w:rsid w:val="006C5F31"/>
    <w:rsid w:val="006D0C8F"/>
    <w:rsid w:val="006D569E"/>
    <w:rsid w:val="006D5715"/>
    <w:rsid w:val="006D59D5"/>
    <w:rsid w:val="006D6E8B"/>
    <w:rsid w:val="006E0257"/>
    <w:rsid w:val="006E737D"/>
    <w:rsid w:val="006E7C8D"/>
    <w:rsid w:val="006F0545"/>
    <w:rsid w:val="006F14A3"/>
    <w:rsid w:val="006F6584"/>
    <w:rsid w:val="006F68C9"/>
    <w:rsid w:val="006F7629"/>
    <w:rsid w:val="007022DE"/>
    <w:rsid w:val="007042DB"/>
    <w:rsid w:val="0070715A"/>
    <w:rsid w:val="00707C13"/>
    <w:rsid w:val="00707CD7"/>
    <w:rsid w:val="00712934"/>
    <w:rsid w:val="0071307B"/>
    <w:rsid w:val="00713973"/>
    <w:rsid w:val="00720127"/>
    <w:rsid w:val="00720A24"/>
    <w:rsid w:val="00732386"/>
    <w:rsid w:val="007345B4"/>
    <w:rsid w:val="0073514D"/>
    <w:rsid w:val="00735B99"/>
    <w:rsid w:val="007447F3"/>
    <w:rsid w:val="00745B87"/>
    <w:rsid w:val="0075074C"/>
    <w:rsid w:val="0075499F"/>
    <w:rsid w:val="00754D27"/>
    <w:rsid w:val="00755743"/>
    <w:rsid w:val="00760E61"/>
    <w:rsid w:val="007661C8"/>
    <w:rsid w:val="007663AB"/>
    <w:rsid w:val="00766D3F"/>
    <w:rsid w:val="007670FE"/>
    <w:rsid w:val="007701D3"/>
    <w:rsid w:val="0077098D"/>
    <w:rsid w:val="007738E6"/>
    <w:rsid w:val="00780605"/>
    <w:rsid w:val="007823F3"/>
    <w:rsid w:val="007874B5"/>
    <w:rsid w:val="007876F4"/>
    <w:rsid w:val="00791C91"/>
    <w:rsid w:val="00792EF6"/>
    <w:rsid w:val="007931FA"/>
    <w:rsid w:val="00793FED"/>
    <w:rsid w:val="00796890"/>
    <w:rsid w:val="007A2C93"/>
    <w:rsid w:val="007A3EE7"/>
    <w:rsid w:val="007A4861"/>
    <w:rsid w:val="007A74CF"/>
    <w:rsid w:val="007A7BBA"/>
    <w:rsid w:val="007B0217"/>
    <w:rsid w:val="007B0C50"/>
    <w:rsid w:val="007B216E"/>
    <w:rsid w:val="007B4622"/>
    <w:rsid w:val="007B48F9"/>
    <w:rsid w:val="007B70A6"/>
    <w:rsid w:val="007C1A43"/>
    <w:rsid w:val="007C4FC7"/>
    <w:rsid w:val="007D0390"/>
    <w:rsid w:val="007D11D3"/>
    <w:rsid w:val="007D6E3C"/>
    <w:rsid w:val="007E091A"/>
    <w:rsid w:val="007E18F2"/>
    <w:rsid w:val="007E1B1D"/>
    <w:rsid w:val="007E3E3B"/>
    <w:rsid w:val="007F214E"/>
    <w:rsid w:val="0080013E"/>
    <w:rsid w:val="00801142"/>
    <w:rsid w:val="008016B6"/>
    <w:rsid w:val="00803B8D"/>
    <w:rsid w:val="00804764"/>
    <w:rsid w:val="008048B1"/>
    <w:rsid w:val="00807126"/>
    <w:rsid w:val="00813288"/>
    <w:rsid w:val="008144D9"/>
    <w:rsid w:val="00815777"/>
    <w:rsid w:val="00815C5E"/>
    <w:rsid w:val="008168FC"/>
    <w:rsid w:val="00817933"/>
    <w:rsid w:val="00820986"/>
    <w:rsid w:val="00821125"/>
    <w:rsid w:val="00825DD9"/>
    <w:rsid w:val="0082626D"/>
    <w:rsid w:val="0082660E"/>
    <w:rsid w:val="00830996"/>
    <w:rsid w:val="008345F1"/>
    <w:rsid w:val="008435CC"/>
    <w:rsid w:val="00845C96"/>
    <w:rsid w:val="008528E2"/>
    <w:rsid w:val="00864224"/>
    <w:rsid w:val="00865B07"/>
    <w:rsid w:val="008667EA"/>
    <w:rsid w:val="00873354"/>
    <w:rsid w:val="00875708"/>
    <w:rsid w:val="0087637F"/>
    <w:rsid w:val="008768A4"/>
    <w:rsid w:val="00877526"/>
    <w:rsid w:val="00877BE7"/>
    <w:rsid w:val="00882D69"/>
    <w:rsid w:val="00892772"/>
    <w:rsid w:val="00892A97"/>
    <w:rsid w:val="00892AD5"/>
    <w:rsid w:val="008962B0"/>
    <w:rsid w:val="008972D1"/>
    <w:rsid w:val="008A1512"/>
    <w:rsid w:val="008A39DE"/>
    <w:rsid w:val="008A72EC"/>
    <w:rsid w:val="008B6779"/>
    <w:rsid w:val="008B7994"/>
    <w:rsid w:val="008B7D2F"/>
    <w:rsid w:val="008C7D24"/>
    <w:rsid w:val="008D2A88"/>
    <w:rsid w:val="008D32B9"/>
    <w:rsid w:val="008D420C"/>
    <w:rsid w:val="008D433B"/>
    <w:rsid w:val="008D5534"/>
    <w:rsid w:val="008D70FE"/>
    <w:rsid w:val="008D7A94"/>
    <w:rsid w:val="008E272C"/>
    <w:rsid w:val="008E464D"/>
    <w:rsid w:val="008E566E"/>
    <w:rsid w:val="008E5742"/>
    <w:rsid w:val="008E5ACA"/>
    <w:rsid w:val="008E75C3"/>
    <w:rsid w:val="008F21C6"/>
    <w:rsid w:val="008F28AD"/>
    <w:rsid w:val="008F5E91"/>
    <w:rsid w:val="0090161A"/>
    <w:rsid w:val="00901EB6"/>
    <w:rsid w:val="00904C62"/>
    <w:rsid w:val="00906B52"/>
    <w:rsid w:val="0091451C"/>
    <w:rsid w:val="00915C70"/>
    <w:rsid w:val="0091757F"/>
    <w:rsid w:val="0091798D"/>
    <w:rsid w:val="00920005"/>
    <w:rsid w:val="00922BA8"/>
    <w:rsid w:val="00924096"/>
    <w:rsid w:val="00924DAC"/>
    <w:rsid w:val="00927058"/>
    <w:rsid w:val="009328FF"/>
    <w:rsid w:val="00937220"/>
    <w:rsid w:val="00937960"/>
    <w:rsid w:val="00942750"/>
    <w:rsid w:val="00944DF3"/>
    <w:rsid w:val="009450CE"/>
    <w:rsid w:val="00947179"/>
    <w:rsid w:val="00950975"/>
    <w:rsid w:val="0095153F"/>
    <w:rsid w:val="0095164B"/>
    <w:rsid w:val="00953AE0"/>
    <w:rsid w:val="00954090"/>
    <w:rsid w:val="009557B9"/>
    <w:rsid w:val="009568B3"/>
    <w:rsid w:val="009573E7"/>
    <w:rsid w:val="009579AE"/>
    <w:rsid w:val="009619C7"/>
    <w:rsid w:val="00963E05"/>
    <w:rsid w:val="0096632F"/>
    <w:rsid w:val="00967843"/>
    <w:rsid w:val="00967D54"/>
    <w:rsid w:val="00967F5E"/>
    <w:rsid w:val="0097098D"/>
    <w:rsid w:val="00971028"/>
    <w:rsid w:val="009746D2"/>
    <w:rsid w:val="00976425"/>
    <w:rsid w:val="00987081"/>
    <w:rsid w:val="009916AF"/>
    <w:rsid w:val="0099282F"/>
    <w:rsid w:val="0099332F"/>
    <w:rsid w:val="00993B84"/>
    <w:rsid w:val="00996483"/>
    <w:rsid w:val="00996F5A"/>
    <w:rsid w:val="009A26BA"/>
    <w:rsid w:val="009A46D4"/>
    <w:rsid w:val="009B041A"/>
    <w:rsid w:val="009B61CA"/>
    <w:rsid w:val="009B76C8"/>
    <w:rsid w:val="009C2D55"/>
    <w:rsid w:val="009C37C3"/>
    <w:rsid w:val="009C4293"/>
    <w:rsid w:val="009C44D6"/>
    <w:rsid w:val="009C6BF9"/>
    <w:rsid w:val="009C7C86"/>
    <w:rsid w:val="009D2FF7"/>
    <w:rsid w:val="009E5375"/>
    <w:rsid w:val="009E7884"/>
    <w:rsid w:val="009E788A"/>
    <w:rsid w:val="009F0E08"/>
    <w:rsid w:val="009F2655"/>
    <w:rsid w:val="009F3F3C"/>
    <w:rsid w:val="009F7FF1"/>
    <w:rsid w:val="00A025F7"/>
    <w:rsid w:val="00A05400"/>
    <w:rsid w:val="00A06DA8"/>
    <w:rsid w:val="00A1763D"/>
    <w:rsid w:val="00A176E6"/>
    <w:rsid w:val="00A17CEC"/>
    <w:rsid w:val="00A27EF0"/>
    <w:rsid w:val="00A35B99"/>
    <w:rsid w:val="00A42361"/>
    <w:rsid w:val="00A45E9B"/>
    <w:rsid w:val="00A46E3A"/>
    <w:rsid w:val="00A47E25"/>
    <w:rsid w:val="00A50B20"/>
    <w:rsid w:val="00A50DD8"/>
    <w:rsid w:val="00A51390"/>
    <w:rsid w:val="00A52D84"/>
    <w:rsid w:val="00A55174"/>
    <w:rsid w:val="00A56307"/>
    <w:rsid w:val="00A56E00"/>
    <w:rsid w:val="00A571FD"/>
    <w:rsid w:val="00A60D13"/>
    <w:rsid w:val="00A6487C"/>
    <w:rsid w:val="00A7192A"/>
    <w:rsid w:val="00A72745"/>
    <w:rsid w:val="00A7597F"/>
    <w:rsid w:val="00A76EFC"/>
    <w:rsid w:val="00A813BA"/>
    <w:rsid w:val="00A85234"/>
    <w:rsid w:val="00A876A5"/>
    <w:rsid w:val="00A877DC"/>
    <w:rsid w:val="00A91010"/>
    <w:rsid w:val="00A918AE"/>
    <w:rsid w:val="00A927C1"/>
    <w:rsid w:val="00A932E6"/>
    <w:rsid w:val="00A97F29"/>
    <w:rsid w:val="00AA1DEE"/>
    <w:rsid w:val="00AA702E"/>
    <w:rsid w:val="00AB0964"/>
    <w:rsid w:val="00AB5011"/>
    <w:rsid w:val="00AC0532"/>
    <w:rsid w:val="00AC3054"/>
    <w:rsid w:val="00AC5ACC"/>
    <w:rsid w:val="00AC5D33"/>
    <w:rsid w:val="00AC7368"/>
    <w:rsid w:val="00AC7AEA"/>
    <w:rsid w:val="00AD0974"/>
    <w:rsid w:val="00AD0F94"/>
    <w:rsid w:val="00AD16B9"/>
    <w:rsid w:val="00AD673B"/>
    <w:rsid w:val="00AE377D"/>
    <w:rsid w:val="00AE4B21"/>
    <w:rsid w:val="00AE6817"/>
    <w:rsid w:val="00AE6F26"/>
    <w:rsid w:val="00AF0EBA"/>
    <w:rsid w:val="00AF3AFE"/>
    <w:rsid w:val="00AF541A"/>
    <w:rsid w:val="00B00CCC"/>
    <w:rsid w:val="00B02C8A"/>
    <w:rsid w:val="00B040EA"/>
    <w:rsid w:val="00B0582F"/>
    <w:rsid w:val="00B10D01"/>
    <w:rsid w:val="00B10F44"/>
    <w:rsid w:val="00B15355"/>
    <w:rsid w:val="00B174D6"/>
    <w:rsid w:val="00B17F7B"/>
    <w:rsid w:val="00B17FBD"/>
    <w:rsid w:val="00B2128A"/>
    <w:rsid w:val="00B2306B"/>
    <w:rsid w:val="00B278D7"/>
    <w:rsid w:val="00B315A6"/>
    <w:rsid w:val="00B31813"/>
    <w:rsid w:val="00B33365"/>
    <w:rsid w:val="00B338F5"/>
    <w:rsid w:val="00B35EF9"/>
    <w:rsid w:val="00B44255"/>
    <w:rsid w:val="00B44305"/>
    <w:rsid w:val="00B45DF1"/>
    <w:rsid w:val="00B53940"/>
    <w:rsid w:val="00B53A2D"/>
    <w:rsid w:val="00B53C4E"/>
    <w:rsid w:val="00B5523A"/>
    <w:rsid w:val="00B57173"/>
    <w:rsid w:val="00B57B36"/>
    <w:rsid w:val="00B57E6F"/>
    <w:rsid w:val="00B6038C"/>
    <w:rsid w:val="00B63CB2"/>
    <w:rsid w:val="00B65283"/>
    <w:rsid w:val="00B70677"/>
    <w:rsid w:val="00B71D93"/>
    <w:rsid w:val="00B73284"/>
    <w:rsid w:val="00B73B68"/>
    <w:rsid w:val="00B76AC7"/>
    <w:rsid w:val="00B8686D"/>
    <w:rsid w:val="00B87EA7"/>
    <w:rsid w:val="00B87FA8"/>
    <w:rsid w:val="00B93F69"/>
    <w:rsid w:val="00B951F1"/>
    <w:rsid w:val="00B9533F"/>
    <w:rsid w:val="00B9553C"/>
    <w:rsid w:val="00B959C6"/>
    <w:rsid w:val="00BB07B2"/>
    <w:rsid w:val="00BB1DDC"/>
    <w:rsid w:val="00BC30C9"/>
    <w:rsid w:val="00BC4020"/>
    <w:rsid w:val="00BC483F"/>
    <w:rsid w:val="00BC6F5D"/>
    <w:rsid w:val="00BD077D"/>
    <w:rsid w:val="00BD7768"/>
    <w:rsid w:val="00BE055E"/>
    <w:rsid w:val="00BE31FD"/>
    <w:rsid w:val="00BE3E58"/>
    <w:rsid w:val="00BE55E3"/>
    <w:rsid w:val="00BE79AA"/>
    <w:rsid w:val="00C01616"/>
    <w:rsid w:val="00C0162B"/>
    <w:rsid w:val="00C024A1"/>
    <w:rsid w:val="00C068ED"/>
    <w:rsid w:val="00C154CA"/>
    <w:rsid w:val="00C16591"/>
    <w:rsid w:val="00C1766F"/>
    <w:rsid w:val="00C22E0C"/>
    <w:rsid w:val="00C25DE5"/>
    <w:rsid w:val="00C26B54"/>
    <w:rsid w:val="00C313DD"/>
    <w:rsid w:val="00C31FE0"/>
    <w:rsid w:val="00C3339B"/>
    <w:rsid w:val="00C345B1"/>
    <w:rsid w:val="00C36FE6"/>
    <w:rsid w:val="00C40142"/>
    <w:rsid w:val="00C40714"/>
    <w:rsid w:val="00C441E7"/>
    <w:rsid w:val="00C46B9F"/>
    <w:rsid w:val="00C47021"/>
    <w:rsid w:val="00C50530"/>
    <w:rsid w:val="00C52759"/>
    <w:rsid w:val="00C52C3C"/>
    <w:rsid w:val="00C56962"/>
    <w:rsid w:val="00C57182"/>
    <w:rsid w:val="00C57863"/>
    <w:rsid w:val="00C655FD"/>
    <w:rsid w:val="00C658E3"/>
    <w:rsid w:val="00C678E9"/>
    <w:rsid w:val="00C70AA8"/>
    <w:rsid w:val="00C7459D"/>
    <w:rsid w:val="00C75407"/>
    <w:rsid w:val="00C851EE"/>
    <w:rsid w:val="00C870A8"/>
    <w:rsid w:val="00C94434"/>
    <w:rsid w:val="00CA0D75"/>
    <w:rsid w:val="00CA1C95"/>
    <w:rsid w:val="00CA45AD"/>
    <w:rsid w:val="00CA47B7"/>
    <w:rsid w:val="00CA5A9C"/>
    <w:rsid w:val="00CB11C4"/>
    <w:rsid w:val="00CB3525"/>
    <w:rsid w:val="00CC4857"/>
    <w:rsid w:val="00CC4C20"/>
    <w:rsid w:val="00CC4D58"/>
    <w:rsid w:val="00CC5646"/>
    <w:rsid w:val="00CD04B6"/>
    <w:rsid w:val="00CD13FB"/>
    <w:rsid w:val="00CD3517"/>
    <w:rsid w:val="00CD3FD1"/>
    <w:rsid w:val="00CD5669"/>
    <w:rsid w:val="00CD5FE2"/>
    <w:rsid w:val="00CD7102"/>
    <w:rsid w:val="00CE05BE"/>
    <w:rsid w:val="00CE52C2"/>
    <w:rsid w:val="00CE7C68"/>
    <w:rsid w:val="00CF1185"/>
    <w:rsid w:val="00D01C62"/>
    <w:rsid w:val="00D02B4C"/>
    <w:rsid w:val="00D02B95"/>
    <w:rsid w:val="00D02DE4"/>
    <w:rsid w:val="00D040C4"/>
    <w:rsid w:val="00D07D87"/>
    <w:rsid w:val="00D11144"/>
    <w:rsid w:val="00D14E5C"/>
    <w:rsid w:val="00D20F79"/>
    <w:rsid w:val="00D22C4B"/>
    <w:rsid w:val="00D2564A"/>
    <w:rsid w:val="00D31426"/>
    <w:rsid w:val="00D31511"/>
    <w:rsid w:val="00D46B7E"/>
    <w:rsid w:val="00D52773"/>
    <w:rsid w:val="00D5795F"/>
    <w:rsid w:val="00D57C84"/>
    <w:rsid w:val="00D6057D"/>
    <w:rsid w:val="00D60E0D"/>
    <w:rsid w:val="00D61CDD"/>
    <w:rsid w:val="00D63750"/>
    <w:rsid w:val="00D71985"/>
    <w:rsid w:val="00D75F57"/>
    <w:rsid w:val="00D76BF9"/>
    <w:rsid w:val="00D77288"/>
    <w:rsid w:val="00D80C76"/>
    <w:rsid w:val="00D8123E"/>
    <w:rsid w:val="00D828E0"/>
    <w:rsid w:val="00D836C5"/>
    <w:rsid w:val="00D84470"/>
    <w:rsid w:val="00D84576"/>
    <w:rsid w:val="00D91E0D"/>
    <w:rsid w:val="00D91E7C"/>
    <w:rsid w:val="00D948F9"/>
    <w:rsid w:val="00D956EA"/>
    <w:rsid w:val="00DA1399"/>
    <w:rsid w:val="00DA24C6"/>
    <w:rsid w:val="00DA4D7B"/>
    <w:rsid w:val="00DA57CF"/>
    <w:rsid w:val="00DB0B9D"/>
    <w:rsid w:val="00DB2160"/>
    <w:rsid w:val="00DC2941"/>
    <w:rsid w:val="00DC5707"/>
    <w:rsid w:val="00DC7242"/>
    <w:rsid w:val="00DD0271"/>
    <w:rsid w:val="00DD108A"/>
    <w:rsid w:val="00DD3D84"/>
    <w:rsid w:val="00DD4124"/>
    <w:rsid w:val="00DD5CF4"/>
    <w:rsid w:val="00DE264A"/>
    <w:rsid w:val="00DE5A47"/>
    <w:rsid w:val="00DE7903"/>
    <w:rsid w:val="00DF448D"/>
    <w:rsid w:val="00DF44B5"/>
    <w:rsid w:val="00DF5072"/>
    <w:rsid w:val="00DF627A"/>
    <w:rsid w:val="00E02D18"/>
    <w:rsid w:val="00E02D3F"/>
    <w:rsid w:val="00E041E7"/>
    <w:rsid w:val="00E12F11"/>
    <w:rsid w:val="00E1469F"/>
    <w:rsid w:val="00E20B84"/>
    <w:rsid w:val="00E23CA1"/>
    <w:rsid w:val="00E409A8"/>
    <w:rsid w:val="00E4349B"/>
    <w:rsid w:val="00E442FF"/>
    <w:rsid w:val="00E46CBF"/>
    <w:rsid w:val="00E50C12"/>
    <w:rsid w:val="00E55B6A"/>
    <w:rsid w:val="00E65B91"/>
    <w:rsid w:val="00E716D1"/>
    <w:rsid w:val="00E7209D"/>
    <w:rsid w:val="00E72EAD"/>
    <w:rsid w:val="00E73B20"/>
    <w:rsid w:val="00E73FE1"/>
    <w:rsid w:val="00E76017"/>
    <w:rsid w:val="00E77223"/>
    <w:rsid w:val="00E82239"/>
    <w:rsid w:val="00E8528B"/>
    <w:rsid w:val="00E85B94"/>
    <w:rsid w:val="00E918F1"/>
    <w:rsid w:val="00E92622"/>
    <w:rsid w:val="00E92DB6"/>
    <w:rsid w:val="00E9423F"/>
    <w:rsid w:val="00E978D0"/>
    <w:rsid w:val="00EA0F1B"/>
    <w:rsid w:val="00EA3CCC"/>
    <w:rsid w:val="00EA4613"/>
    <w:rsid w:val="00EA5398"/>
    <w:rsid w:val="00EA7F91"/>
    <w:rsid w:val="00EB1523"/>
    <w:rsid w:val="00EB57FE"/>
    <w:rsid w:val="00EC0E49"/>
    <w:rsid w:val="00EC101F"/>
    <w:rsid w:val="00EC1D9F"/>
    <w:rsid w:val="00EC7A79"/>
    <w:rsid w:val="00ED00DC"/>
    <w:rsid w:val="00ED3961"/>
    <w:rsid w:val="00ED76C6"/>
    <w:rsid w:val="00EE0131"/>
    <w:rsid w:val="00EE17B0"/>
    <w:rsid w:val="00EE2E1D"/>
    <w:rsid w:val="00EF06D9"/>
    <w:rsid w:val="00EF0782"/>
    <w:rsid w:val="00EF0CCE"/>
    <w:rsid w:val="00EF7FF2"/>
    <w:rsid w:val="00F028F6"/>
    <w:rsid w:val="00F049FD"/>
    <w:rsid w:val="00F05445"/>
    <w:rsid w:val="00F1349E"/>
    <w:rsid w:val="00F167B1"/>
    <w:rsid w:val="00F20F1A"/>
    <w:rsid w:val="00F210EB"/>
    <w:rsid w:val="00F22A30"/>
    <w:rsid w:val="00F238F2"/>
    <w:rsid w:val="00F27609"/>
    <w:rsid w:val="00F27954"/>
    <w:rsid w:val="00F30C64"/>
    <w:rsid w:val="00F30E3E"/>
    <w:rsid w:val="00F324C3"/>
    <w:rsid w:val="00F32BA2"/>
    <w:rsid w:val="00F32CDB"/>
    <w:rsid w:val="00F376F9"/>
    <w:rsid w:val="00F40070"/>
    <w:rsid w:val="00F4063E"/>
    <w:rsid w:val="00F450EF"/>
    <w:rsid w:val="00F507E7"/>
    <w:rsid w:val="00F521F9"/>
    <w:rsid w:val="00F5402C"/>
    <w:rsid w:val="00F565FE"/>
    <w:rsid w:val="00F57403"/>
    <w:rsid w:val="00F63A70"/>
    <w:rsid w:val="00F642E4"/>
    <w:rsid w:val="00F658F8"/>
    <w:rsid w:val="00F65C01"/>
    <w:rsid w:val="00F66D74"/>
    <w:rsid w:val="00F73D9B"/>
    <w:rsid w:val="00F74B7A"/>
    <w:rsid w:val="00F7534E"/>
    <w:rsid w:val="00F87CD3"/>
    <w:rsid w:val="00F938C5"/>
    <w:rsid w:val="00F95C5C"/>
    <w:rsid w:val="00F97246"/>
    <w:rsid w:val="00FA1C65"/>
    <w:rsid w:val="00FA21D0"/>
    <w:rsid w:val="00FA3AB1"/>
    <w:rsid w:val="00FA5F5F"/>
    <w:rsid w:val="00FB0F95"/>
    <w:rsid w:val="00FB100D"/>
    <w:rsid w:val="00FB6078"/>
    <w:rsid w:val="00FB730C"/>
    <w:rsid w:val="00FB75EF"/>
    <w:rsid w:val="00FC2471"/>
    <w:rsid w:val="00FC2695"/>
    <w:rsid w:val="00FC3DBC"/>
    <w:rsid w:val="00FC3E03"/>
    <w:rsid w:val="00FC3FC1"/>
    <w:rsid w:val="00FD0352"/>
    <w:rsid w:val="00FE2FD9"/>
    <w:rsid w:val="00FF172D"/>
    <w:rsid w:val="00FF4858"/>
    <w:rsid w:val="00FF5585"/>
    <w:rsid w:val="00FF58BC"/>
    <w:rsid w:val="00FF6E8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table" w:customStyle="1" w:styleId="StileCET">
    <w:name w:val="StileCET"/>
    <w:basedOn w:val="Tabellanormale"/>
    <w:uiPriority w:val="99"/>
    <w:rsid w:val="00160E1D"/>
    <w:pPr>
      <w:spacing w:after="0" w:line="240" w:lineRule="auto"/>
      <w:jc w:val="center"/>
    </w:pPr>
    <w:rPr>
      <w:rFonts w:ascii="Arial" w:hAnsi="Arial"/>
      <w:sz w:val="18"/>
    </w:rPr>
    <w:tblPr>
      <w:tblBorders>
        <w:top w:val="single" w:sz="6" w:space="0" w:color="F79646" w:themeColor="accent6"/>
        <w:bottom w:val="single" w:sz="4" w:space="0" w:color="F79646" w:themeColor="accent6"/>
        <w:insideH w:val="single" w:sz="6" w:space="0" w:color="F79646" w:themeColor="accent6"/>
      </w:tblBorders>
    </w:tblPr>
    <w:tcPr>
      <w:vAlign w:val="center"/>
    </w:tcPr>
  </w:style>
  <w:style w:type="paragraph" w:styleId="Revisione">
    <w:name w:val="Revision"/>
    <w:hidden/>
    <w:uiPriority w:val="99"/>
    <w:semiHidden/>
    <w:rsid w:val="00B73B6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41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460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GAn23</b:Tag>
    <b:SourceType>JournalArticle</b:SourceType>
    <b:Guid>{67F78B54-23D8-48EB-B788-B2027A3F5ACA}</b:Guid>
    <b:Author>
      <b:Author>
        <b:NameList>
          <b:Person>
            <b:Last>G. Ancione</b:Last>
            <b:First>V.</b:First>
            <b:Middle>Bartolozzi, P. Bragatto, M.F. Milazzo</b:Middle>
          </b:Person>
        </b:NameList>
      </b:Author>
    </b:Author>
    <b:Title>Monitoring Equipment Corrosion due to Sour Crude Oils: a Bayesian Approach</b:Title>
    <b:JournalName>CET - Chemical Engineering Transactions</b:JournalName>
    <b:Year>2023</b:Year>
    <b:RefOrder>3</b:RefOrder>
  </b:Source>
  <b:Source>
    <b:Tag>Ram17</b:Tag>
    <b:SourceType>Book</b:SourceType>
    <b:Guid>{15654F4D-3F29-4E34-9176-22A1B6F1B560}</b:Guid>
    <b:Author>
      <b:Author>
        <b:NameList>
          <b:Person>
            <b:Last>Ramirez</b:Last>
            <b:First>Corredores</b:First>
          </b:Person>
        </b:NameList>
      </b:Author>
    </b:Author>
    <b:Title>The Science and Technology of Unconventional Oil</b:Title>
    <b:Year>2017</b:Year>
    <b:RefOrder>4</b:RefOrder>
  </b:Source>
  <b:Source>
    <b:Tag>Kar21</b:Tag>
    <b:SourceType>Book</b:SourceType>
    <b:Guid>{DEA718CB-3D6B-4EF6-8EA4-29C27FA7B77A}</b:Guid>
    <b:Title>Subsea Valves and Actuators for the Oil and Gas Industry</b:Title>
    <b:Year>2021</b:Year>
    <b:Author>
      <b:Author>
        <b:NameList>
          <b:Person>
            <b:Last>Sotoodeh</b:Last>
            <b:First>Karan</b:First>
          </b:Person>
        </b:NameList>
      </b:Author>
    </b:Author>
    <b:RefOrder>5</b:RefOrder>
  </b:Source>
  <b:Source>
    <b:Tag>Jud88</b:Tag>
    <b:SourceType>Book</b:SourceType>
    <b:Guid>{5140DD80-F54C-40D9-8814-7EE544C17484}</b:Guid>
    <b:Author>
      <b:Author>
        <b:NameList>
          <b:Person>
            <b:Last>Pearl</b:Last>
            <b:First>Judea</b:First>
          </b:Person>
        </b:NameList>
      </b:Author>
    </b:Author>
    <b:Title>Probabilistic Reasoning in Intelligent Systems: Network of Plausible Inference</b:Title>
    <b:Year>1988</b:Year>
    <b:RefOrder>6</b:RefOrder>
  </b:Source>
  <b:Source>
    <b:Tag>Jos</b:Tag>
    <b:SourceType>JournalArticle</b:SourceType>
    <b:Guid>{AD836322-D692-49C8-BAB6-0453542495FF}</b:Guid>
    <b:Title>Bayesian Networks for Reliability Analysis</b:Title>
    <b:Author>
      <b:Author>
        <b:NameList>
          <b:Person>
            <b:Last>José Gerardo Torres Toledano</b:Last>
            <b:First>Luis</b:First>
            <b:Middle>Enrique Sucar Succar</b:Middle>
          </b:Person>
        </b:NameList>
      </b:Author>
    </b:Author>
    <b:RefOrder>7</b:RefOrder>
  </b:Source>
  <b:Source>
    <b:Tag>Jos98</b:Tag>
    <b:SourceType>ConferenceProceedings</b:SourceType>
    <b:Guid>{E242286E-050A-499F-9362-91CB74D6F09F}</b:Guid>
    <b:Title>Progress in Artificial Intelligence</b:Title>
    <b:Year>1998</b:Year>
    <b:Author>
      <b:Author>
        <b:NameList>
          <b:Person>
            <b:Last>J. G. Torres-Toledano</b:Last>
            <b:First>L.</b:First>
            <b:Middle>E. Sucar</b:Middle>
          </b:Person>
        </b:NameList>
      </b:Author>
    </b:Author>
    <b:BookTitle>Lecture Notes in Computer Science</b:BookTitle>
    <b:ConferenceName>Bayesian Networks for Reliability Analysis of Complex Systems</b:ConferenceName>
    <b:RefOrder>8</b:RefOrder>
  </b:Source>
  <b:Source>
    <b:Tag>Ene</b:Tag>
    <b:SourceType>DocumentFromInternetSite</b:SourceType>
    <b:Guid>{1A156271-7357-4C98-812D-DEA8BC6A58BF}</b:Guid>
    <b:Title>https://www.energy.gov/fecm/enhanced-oil-recovery</b:Title>
    <b:Author>
      <b:Author>
        <b:NameList>
          <b:Person>
            <b:Last>U.S. Department</b:Last>
            <b:First>Office</b:First>
            <b:Middle>of Fossil energy and Carbon management</b:Middle>
          </b:Person>
        </b:NameList>
      </b:Author>
    </b:Author>
    <b:InternetSiteTitle>Energy.gov</b:InternetSiteTitle>
    <b:RefOrder>1</b:RefOrder>
  </b:Source>
  <b:Source>
    <b:Tag>Rau11</b:Tag>
    <b:SourceType>JournalArticle</b:SourceType>
    <b:Guid>{DE75AB2C-59B6-417A-A095-4B38D1DF2EC1}</b:Guid>
    <b:Title>Sulfidic Corrosion in Refineries - A Review</b:Title>
    <b:Year>October 2011</b:Year>
    <b:Author>
      <b:Author>
        <b:NameList>
          <b:Person>
            <b:Last>Rebak</b:Last>
            <b:First>Raul</b:First>
            <b:Middle>B.</b:Middle>
          </b:Person>
        </b:NameList>
      </b:Author>
    </b:Author>
    <b:JournalName>Corrosion Reviews</b:JournalName>
    <b:Pages>Vol. 29</b:Pages>
    <b:RefOrder>2</b:RefOrder>
  </b:Source>
</b:Sources>
</file>

<file path=customXml/itemProps1.xml><?xml version="1.0" encoding="utf-8"?>
<ds:datastoreItem xmlns:ds="http://schemas.openxmlformats.org/officeDocument/2006/customXml" ds:itemID="{09C362AA-750C-4958-BF7D-245EEA9B2800}">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6</Pages>
  <Words>2599</Words>
  <Characters>14817</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RAM</cp:lastModifiedBy>
  <cp:revision>3</cp:revision>
  <cp:lastPrinted>2015-05-12T18:31:00Z</cp:lastPrinted>
  <dcterms:created xsi:type="dcterms:W3CDTF">2024-05-09T15:28:00Z</dcterms:created>
  <dcterms:modified xsi:type="dcterms:W3CDTF">2024-05-14T14:10:00Z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