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el-GR" w:eastAsia="el-GR"/>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38BD1662" w:rsidR="000A03B2" w:rsidRPr="00B57B36" w:rsidRDefault="00A76EFC" w:rsidP="00B57E6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825DD9">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20</w:t>
            </w:r>
            <w:r w:rsidR="00DF5072">
              <w:rPr>
                <w:rFonts w:cs="Arial"/>
                <w:b/>
                <w:bCs/>
                <w:i/>
                <w:iCs/>
                <w:color w:val="000066"/>
                <w:sz w:val="22"/>
                <w:szCs w:val="22"/>
                <w:lang w:eastAsia="it-IT"/>
              </w:rPr>
              <w:t>2</w:t>
            </w:r>
            <w:r w:rsidR="00825DD9">
              <w:rPr>
                <w:rFonts w:cs="Arial"/>
                <w:b/>
                <w:bCs/>
                <w:i/>
                <w:iCs/>
                <w:color w:val="000066"/>
                <w:sz w:val="22"/>
                <w:szCs w:val="22"/>
                <w:lang w:eastAsia="it-IT"/>
              </w:rPr>
              <w:t>4</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el-GR" w:eastAsia="el-GR"/>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4B0BB442" w14:textId="4EADF2C2" w:rsidR="00300E56" w:rsidRPr="00825DD9" w:rsidRDefault="00300E56" w:rsidP="00B57E6F">
            <w:pPr>
              <w:ind w:left="-107"/>
              <w:outlineLvl w:val="2"/>
              <w:rPr>
                <w:rFonts w:ascii="Tahoma" w:hAnsi="Tahoma" w:cs="Tahoma"/>
                <w:bCs/>
                <w:color w:val="000000"/>
                <w:sz w:val="14"/>
                <w:szCs w:val="14"/>
                <w:lang w:val="it-IT" w:eastAsia="it-IT"/>
              </w:rPr>
            </w:pPr>
            <w:r w:rsidRPr="00825DD9">
              <w:rPr>
                <w:rFonts w:ascii="Tahoma" w:hAnsi="Tahoma" w:cs="Tahoma"/>
                <w:iCs/>
                <w:color w:val="333333"/>
                <w:sz w:val="14"/>
                <w:szCs w:val="14"/>
                <w:lang w:val="it-IT" w:eastAsia="it-IT"/>
              </w:rPr>
              <w:t>Guest Editors:</w:t>
            </w:r>
            <w:r w:rsidR="00904C62" w:rsidRPr="00825DD9">
              <w:rPr>
                <w:rFonts w:ascii="Tahoma" w:hAnsi="Tahoma" w:cs="Tahoma"/>
                <w:iCs/>
                <w:color w:val="333333"/>
                <w:sz w:val="14"/>
                <w:szCs w:val="14"/>
                <w:lang w:val="it-IT" w:eastAsia="it-IT"/>
              </w:rPr>
              <w:t xml:space="preserve"> </w:t>
            </w:r>
            <w:r w:rsidR="00B57E6F" w:rsidRPr="00825DD9">
              <w:rPr>
                <w:rFonts w:ascii="Tahoma" w:hAnsi="Tahoma" w:cs="Tahoma"/>
                <w:color w:val="000000"/>
                <w:sz w:val="14"/>
                <w:szCs w:val="14"/>
                <w:shd w:val="clear" w:color="auto" w:fill="FFFFFF"/>
                <w:lang w:val="it-IT"/>
              </w:rPr>
              <w:t xml:space="preserve">Valerio Cozzani, </w:t>
            </w:r>
            <w:r w:rsidR="001331DF" w:rsidRPr="00825DD9">
              <w:rPr>
                <w:rFonts w:ascii="Tahoma" w:hAnsi="Tahoma" w:cs="Tahoma"/>
                <w:color w:val="000000"/>
                <w:sz w:val="14"/>
                <w:szCs w:val="14"/>
                <w:shd w:val="clear" w:color="auto" w:fill="FFFFFF"/>
                <w:lang w:val="it-IT"/>
              </w:rPr>
              <w:t>Bruno Fabiano</w:t>
            </w:r>
            <w:r w:rsidR="00B57E6F" w:rsidRPr="00825DD9">
              <w:rPr>
                <w:rFonts w:ascii="Tahoma" w:hAnsi="Tahoma" w:cs="Tahoma"/>
                <w:color w:val="000000"/>
                <w:sz w:val="14"/>
                <w:szCs w:val="14"/>
                <w:shd w:val="clear" w:color="auto" w:fill="FFFFFF"/>
                <w:lang w:val="it-IT"/>
              </w:rPr>
              <w:t xml:space="preserve">, </w:t>
            </w:r>
            <w:r w:rsidR="00B57E6F" w:rsidRPr="00825DD9">
              <w:rPr>
                <w:rFonts w:ascii="Tahoma" w:hAnsi="Tahoma" w:cs="Tahoma"/>
                <w:bCs/>
                <w:color w:val="000000"/>
                <w:sz w:val="14"/>
                <w:szCs w:val="14"/>
                <w:lang w:val="it-IT" w:eastAsia="it-IT"/>
              </w:rPr>
              <w:t>Genserik Reniers</w:t>
            </w:r>
          </w:p>
          <w:p w14:paraId="1B0F1814" w14:textId="7E8B8C7E" w:rsidR="000A03B2" w:rsidRPr="00B57B36" w:rsidRDefault="00FA5F5F" w:rsidP="00B57E6F">
            <w:pPr>
              <w:tabs>
                <w:tab w:val="left" w:pos="-108"/>
              </w:tabs>
              <w:spacing w:line="140" w:lineRule="atLeast"/>
              <w:ind w:left="-107"/>
              <w:jc w:val="left"/>
            </w:pPr>
            <w:r>
              <w:rPr>
                <w:rFonts w:ascii="Tahoma" w:hAnsi="Tahoma" w:cs="Tahoma"/>
                <w:iCs/>
                <w:color w:val="333333"/>
                <w:sz w:val="14"/>
                <w:szCs w:val="14"/>
                <w:lang w:eastAsia="it-IT"/>
              </w:rPr>
              <w:t>Copyright © 20</w:t>
            </w:r>
            <w:r w:rsidR="00DF5072">
              <w:rPr>
                <w:rFonts w:ascii="Tahoma" w:hAnsi="Tahoma" w:cs="Tahoma"/>
                <w:iCs/>
                <w:color w:val="333333"/>
                <w:sz w:val="14"/>
                <w:szCs w:val="14"/>
                <w:lang w:eastAsia="it-IT"/>
              </w:rPr>
              <w:t>2</w:t>
            </w:r>
            <w:r w:rsidR="00825DD9">
              <w:rPr>
                <w:rFonts w:ascii="Tahoma" w:hAnsi="Tahoma" w:cs="Tahoma"/>
                <w:iCs/>
                <w:color w:val="333333"/>
                <w:sz w:val="14"/>
                <w:szCs w:val="14"/>
                <w:lang w:eastAsia="it-IT"/>
              </w:rPr>
              <w:t>4</w:t>
            </w:r>
            <w:r w:rsidR="00904C62" w:rsidRPr="00B57B36">
              <w:rPr>
                <w:rFonts w:ascii="Tahoma" w:hAnsi="Tahoma" w:cs="Tahoma"/>
                <w:iCs/>
                <w:color w:val="333333"/>
                <w:sz w:val="14"/>
                <w:szCs w:val="14"/>
                <w:lang w:eastAsia="it-IT"/>
              </w:rPr>
              <w:t>, AIDIC Servizi S.r.l.</w:t>
            </w:r>
            <w:r w:rsidR="00300E56" w:rsidRPr="00B57B36">
              <w:rPr>
                <w:rFonts w:ascii="Tahoma" w:hAnsi="Tahoma" w:cs="Tahoma"/>
                <w:iCs/>
                <w:color w:val="333333"/>
                <w:sz w:val="14"/>
                <w:szCs w:val="14"/>
                <w:lang w:eastAsia="it-IT"/>
              </w:rPr>
              <w:br/>
            </w:r>
            <w:r w:rsidR="00300E56" w:rsidRPr="00B57B36">
              <w:rPr>
                <w:rFonts w:ascii="Tahoma" w:hAnsi="Tahoma" w:cs="Tahoma"/>
                <w:b/>
                <w:iCs/>
                <w:color w:val="000000"/>
                <w:sz w:val="14"/>
                <w:szCs w:val="14"/>
                <w:lang w:eastAsia="it-IT"/>
              </w:rPr>
              <w:t>ISBN</w:t>
            </w:r>
            <w:r w:rsidR="00300E56" w:rsidRPr="00B57B36">
              <w:rPr>
                <w:rFonts w:ascii="Tahoma" w:hAnsi="Tahoma" w:cs="Tahoma"/>
                <w:iCs/>
                <w:color w:val="000000"/>
                <w:sz w:val="14"/>
                <w:szCs w:val="14"/>
                <w:lang w:eastAsia="it-IT"/>
              </w:rPr>
              <w:t xml:space="preserve"> </w:t>
            </w:r>
            <w:r w:rsidR="00825DD9" w:rsidRPr="00825DD9">
              <w:rPr>
                <w:rFonts w:ascii="Tahoma" w:hAnsi="Tahoma" w:cs="Tahoma"/>
                <w:sz w:val="14"/>
                <w:szCs w:val="14"/>
                <w:lang w:eastAsia="it-IT"/>
              </w:rPr>
              <w:t>979-12-81206-11-3</w:t>
            </w:r>
            <w:r w:rsidR="007B48F9" w:rsidRPr="00EF06D9">
              <w:rPr>
                <w:rFonts w:ascii="Tahoma" w:hAnsi="Tahoma" w:cs="Tahoma"/>
                <w:iCs/>
                <w:color w:val="333333"/>
                <w:sz w:val="14"/>
                <w:szCs w:val="14"/>
                <w:lang w:eastAsia="it-IT"/>
              </w:rPr>
              <w:t>;</w:t>
            </w:r>
            <w:r w:rsidR="00300E56" w:rsidRPr="00B57B36">
              <w:rPr>
                <w:rFonts w:ascii="Tahoma" w:hAnsi="Tahoma" w:cs="Tahoma"/>
                <w:iCs/>
                <w:color w:val="333333"/>
                <w:sz w:val="14"/>
                <w:szCs w:val="14"/>
                <w:lang w:eastAsia="it-IT"/>
              </w:rPr>
              <w:t xml:space="preserve"> </w:t>
            </w:r>
            <w:r w:rsidR="00300E56" w:rsidRPr="00B57B36">
              <w:rPr>
                <w:rFonts w:ascii="Tahoma" w:hAnsi="Tahoma" w:cs="Tahoma"/>
                <w:b/>
                <w:iCs/>
                <w:color w:val="333333"/>
                <w:sz w:val="14"/>
                <w:szCs w:val="14"/>
                <w:lang w:eastAsia="it-IT"/>
              </w:rPr>
              <w:t>ISSN</w:t>
            </w:r>
            <w:r w:rsidR="00300E56" w:rsidRPr="00B57B36">
              <w:rPr>
                <w:rFonts w:ascii="Tahoma" w:hAnsi="Tahoma" w:cs="Tahoma"/>
                <w:iCs/>
                <w:color w:val="333333"/>
                <w:sz w:val="14"/>
                <w:szCs w:val="14"/>
                <w:lang w:eastAsia="it-IT"/>
              </w:rPr>
              <w:t xml:space="preserve"> 2283-9216</w:t>
            </w:r>
          </w:p>
        </w:tc>
      </w:tr>
    </w:tbl>
    <w:p w14:paraId="10DAA130" w14:textId="77777777" w:rsidR="000A03B2" w:rsidRPr="00B57B36" w:rsidRDefault="000A03B2" w:rsidP="000A03B2">
      <w:pPr>
        <w:pStyle w:val="CETAuthors"/>
        <w:sectPr w:rsidR="000A03B2" w:rsidRPr="00B57B36" w:rsidSect="00EA3CEB">
          <w:type w:val="continuous"/>
          <w:pgSz w:w="11906" w:h="16838" w:code="9"/>
          <w:pgMar w:top="1701" w:right="1418" w:bottom="1701" w:left="1701" w:header="1701" w:footer="0" w:gutter="0"/>
          <w:cols w:space="708"/>
          <w:titlePg/>
          <w:docGrid w:linePitch="360"/>
        </w:sectPr>
      </w:pPr>
    </w:p>
    <w:p w14:paraId="2E667253" w14:textId="663BE5D0" w:rsidR="00E978D0" w:rsidRPr="00665323" w:rsidRDefault="009E0C6B" w:rsidP="00665323">
      <w:pPr>
        <w:pStyle w:val="CETTitle"/>
      </w:pPr>
      <w:r w:rsidRPr="009E0C6B">
        <w:lastRenderedPageBreak/>
        <w:t xml:space="preserve">Hazard Identification of Liquid Hydrogen in </w:t>
      </w:r>
      <w:r w:rsidR="00930659">
        <w:rPr>
          <w:lang w:val="en-US"/>
        </w:rPr>
        <w:t>Transfer Operations</w:t>
      </w:r>
    </w:p>
    <w:p w14:paraId="0488FED2" w14:textId="6D331220" w:rsidR="00B57E6F" w:rsidRPr="00B57B36" w:rsidRDefault="009E0C6B" w:rsidP="00B57E6F">
      <w:pPr>
        <w:pStyle w:val="CETAuthors"/>
      </w:pPr>
      <w:r w:rsidRPr="009E0C6B">
        <w:t xml:space="preserve">Olga Aneziris, Ioanna Koromila, </w:t>
      </w:r>
      <w:r w:rsidR="008F4013">
        <w:t xml:space="preserve">Zoe Nivolianitou, </w:t>
      </w:r>
      <w:r w:rsidRPr="009E0C6B">
        <w:t>Alexandros Venetsanos</w:t>
      </w:r>
    </w:p>
    <w:p w14:paraId="6B2D21B3" w14:textId="5344FC07" w:rsidR="00B57E6F" w:rsidRPr="00B57B36" w:rsidRDefault="009E0C6B" w:rsidP="00B57E6F">
      <w:pPr>
        <w:pStyle w:val="CETAddress"/>
      </w:pPr>
      <w:r w:rsidRPr="009E0C6B">
        <w:t>National Center for Scientific Research “Demokritos”, Athens, Greece</w:t>
      </w:r>
      <w:r w:rsidR="00B57E6F" w:rsidRPr="00B57B36">
        <w:t xml:space="preserve"> </w:t>
      </w:r>
    </w:p>
    <w:p w14:paraId="73F1267A" w14:textId="31122479" w:rsidR="00B57E6F" w:rsidRPr="00B57B36" w:rsidRDefault="009E0C6B" w:rsidP="00B57E6F">
      <w:pPr>
        <w:pStyle w:val="CETemail"/>
      </w:pPr>
      <w:r>
        <w:t>o</w:t>
      </w:r>
      <w:r w:rsidRPr="009E0C6B">
        <w:t>lga@ipta.demokritos.gr</w:t>
      </w:r>
    </w:p>
    <w:p w14:paraId="628A179A" w14:textId="0E0F9CF2" w:rsidR="003B145B" w:rsidRPr="006148E5" w:rsidRDefault="003B145B" w:rsidP="009245FD">
      <w:pPr>
        <w:pStyle w:val="CETBodytext"/>
        <w:rPr>
          <w:lang w:val="en-GB"/>
        </w:rPr>
      </w:pPr>
      <w:r w:rsidRPr="006148E5">
        <w:rPr>
          <w:lang w:val="en-GB"/>
        </w:rPr>
        <w:t>This paper presents a hazard identification analysis for Liquid Hydrogen (LH</w:t>
      </w:r>
      <w:r w:rsidRPr="00B74AF0">
        <w:rPr>
          <w:vertAlign w:val="subscript"/>
          <w:lang w:val="en-GB"/>
        </w:rPr>
        <w:t>2</w:t>
      </w:r>
      <w:r w:rsidRPr="006148E5">
        <w:rPr>
          <w:lang w:val="en-GB"/>
        </w:rPr>
        <w:t>) in transfer operations, focusing on identifying sources of LH</w:t>
      </w:r>
      <w:r w:rsidRPr="006148E5">
        <w:rPr>
          <w:vertAlign w:val="subscript"/>
          <w:lang w:val="en-GB"/>
        </w:rPr>
        <w:t>2</w:t>
      </w:r>
      <w:r w:rsidRPr="006148E5">
        <w:rPr>
          <w:lang w:val="en-GB"/>
        </w:rPr>
        <w:t xml:space="preserve"> release and the</w:t>
      </w:r>
      <w:r w:rsidR="009245FD">
        <w:rPr>
          <w:lang w:val="en-GB"/>
        </w:rPr>
        <w:t xml:space="preserve"> associated</w:t>
      </w:r>
      <w:r w:rsidRPr="006148E5">
        <w:rPr>
          <w:lang w:val="en-GB"/>
        </w:rPr>
        <w:t xml:space="preserve"> initiating events. The analysis</w:t>
      </w:r>
      <w:r w:rsidR="009245FD">
        <w:rPr>
          <w:lang w:val="en-GB"/>
        </w:rPr>
        <w:t xml:space="preserve"> involves </w:t>
      </w:r>
      <w:r w:rsidRPr="006148E5">
        <w:rPr>
          <w:lang w:val="en-GB"/>
        </w:rPr>
        <w:t>the loading of a</w:t>
      </w:r>
      <w:r w:rsidR="00B74AF0">
        <w:t>n</w:t>
      </w:r>
      <w:r w:rsidRPr="006148E5">
        <w:rPr>
          <w:lang w:val="en-GB"/>
        </w:rPr>
        <w:t xml:space="preserve"> </w:t>
      </w:r>
      <w:r w:rsidR="009245FD" w:rsidRPr="006148E5">
        <w:rPr>
          <w:lang w:val="en-GB"/>
        </w:rPr>
        <w:t>LH</w:t>
      </w:r>
      <w:r w:rsidR="009245FD" w:rsidRPr="006148E5">
        <w:rPr>
          <w:vertAlign w:val="subscript"/>
          <w:lang w:val="en-GB"/>
        </w:rPr>
        <w:t>2</w:t>
      </w:r>
      <w:r w:rsidR="009245FD">
        <w:rPr>
          <w:vertAlign w:val="subscript"/>
          <w:lang w:val="en-GB"/>
        </w:rPr>
        <w:t xml:space="preserve"> </w:t>
      </w:r>
      <w:r w:rsidRPr="006148E5">
        <w:rPr>
          <w:lang w:val="en-GB"/>
        </w:rPr>
        <w:t>storage tank from a trailer. The Master Logic Diagram (MLD) methodology</w:t>
      </w:r>
      <w:r w:rsidR="009245FD">
        <w:rPr>
          <w:lang w:val="en-GB"/>
        </w:rPr>
        <w:t>,</w:t>
      </w:r>
      <w:r w:rsidRPr="006148E5">
        <w:rPr>
          <w:lang w:val="en-GB"/>
        </w:rPr>
        <w:t xml:space="preserve"> developed for chemical installations</w:t>
      </w:r>
      <w:r w:rsidR="009245FD">
        <w:rPr>
          <w:lang w:val="en-GB"/>
        </w:rPr>
        <w:t>,</w:t>
      </w:r>
      <w:r w:rsidRPr="006148E5">
        <w:rPr>
          <w:lang w:val="en-GB"/>
        </w:rPr>
        <w:t xml:space="preserve"> is employed to identify initiating events. Two major categories of events leading to Loss of Containment are </w:t>
      </w:r>
      <w:r w:rsidR="009245FD">
        <w:rPr>
          <w:lang w:val="en-GB"/>
        </w:rPr>
        <w:t xml:space="preserve">further </w:t>
      </w:r>
      <w:r w:rsidRPr="006148E5">
        <w:rPr>
          <w:lang w:val="en-GB"/>
        </w:rPr>
        <w:t xml:space="preserve">investigated: </w:t>
      </w:r>
      <w:r w:rsidRPr="006148E5">
        <w:t>events that lead in the direct structural failure of the containment</w:t>
      </w:r>
      <w:r w:rsidR="00B74AF0">
        <w:t>, such as</w:t>
      </w:r>
      <w:r w:rsidRPr="006148E5">
        <w:t xml:space="preserve"> overpressure</w:t>
      </w:r>
      <w:r w:rsidR="00B74AF0">
        <w:t xml:space="preserve">, </w:t>
      </w:r>
      <w:r w:rsidRPr="006148E5">
        <w:t>embrittlement</w:t>
      </w:r>
      <w:r w:rsidR="00B74AF0">
        <w:t>,</w:t>
      </w:r>
      <w:r w:rsidR="00970698">
        <w:t xml:space="preserve"> etc., </w:t>
      </w:r>
      <w:r w:rsidRPr="006148E5">
        <w:t xml:space="preserve">and events that lead </w:t>
      </w:r>
      <w:r w:rsidR="00B74AF0">
        <w:t>to</w:t>
      </w:r>
      <w:r w:rsidRPr="006148E5">
        <w:t xml:space="preserve"> containment bypass. </w:t>
      </w:r>
      <w:r w:rsidR="009245FD" w:rsidRPr="009245FD">
        <w:t xml:space="preserve">The development of the MLD </w:t>
      </w:r>
      <w:r w:rsidR="009245FD">
        <w:t>is</w:t>
      </w:r>
      <w:r w:rsidR="009245FD" w:rsidRPr="009245FD">
        <w:t xml:space="preserve"> </w:t>
      </w:r>
      <w:r w:rsidR="00B74AF0">
        <w:t xml:space="preserve">also </w:t>
      </w:r>
      <w:r w:rsidR="009245FD" w:rsidRPr="009245FD">
        <w:t>based on a systematic analysis of previous accidents.</w:t>
      </w:r>
      <w:r w:rsidRPr="006148E5">
        <w:rPr>
          <w:lang w:val="en-GB"/>
        </w:rPr>
        <w:t xml:space="preserve"> Following the identification of initiating events, the paper outlines the possible </w:t>
      </w:r>
      <w:r w:rsidR="00F226EC">
        <w:rPr>
          <w:lang w:val="en-GB"/>
        </w:rPr>
        <w:t xml:space="preserve">accident sequences and </w:t>
      </w:r>
      <w:r w:rsidRPr="006148E5">
        <w:rPr>
          <w:lang w:val="en-GB"/>
        </w:rPr>
        <w:t xml:space="preserve">damage states </w:t>
      </w:r>
      <w:r w:rsidR="00F226EC">
        <w:rPr>
          <w:lang w:val="en-GB"/>
        </w:rPr>
        <w:t xml:space="preserve">resulting to </w:t>
      </w:r>
      <w:r w:rsidRPr="006148E5">
        <w:rPr>
          <w:lang w:val="en-GB"/>
        </w:rPr>
        <w:t>LH</w:t>
      </w:r>
      <w:r w:rsidRPr="006148E5">
        <w:rPr>
          <w:vertAlign w:val="subscript"/>
          <w:lang w:val="en-GB"/>
        </w:rPr>
        <w:t>2</w:t>
      </w:r>
      <w:r w:rsidR="00B74AF0">
        <w:rPr>
          <w:vertAlign w:val="subscript"/>
          <w:lang w:val="en-GB"/>
        </w:rPr>
        <w:t xml:space="preserve"> </w:t>
      </w:r>
      <w:r w:rsidR="00B74AF0">
        <w:rPr>
          <w:lang w:val="en-GB"/>
        </w:rPr>
        <w:t>release</w:t>
      </w:r>
      <w:r w:rsidRPr="006148E5">
        <w:rPr>
          <w:lang w:val="en-GB"/>
        </w:rPr>
        <w:t xml:space="preserve">. </w:t>
      </w:r>
    </w:p>
    <w:p w14:paraId="476B2F2E" w14:textId="77777777" w:rsidR="00600535" w:rsidRPr="006148E5" w:rsidRDefault="00600535" w:rsidP="00600535">
      <w:pPr>
        <w:pStyle w:val="CETHeading1"/>
        <w:rPr>
          <w:lang w:val="en-GB"/>
        </w:rPr>
      </w:pPr>
      <w:r w:rsidRPr="006148E5">
        <w:rPr>
          <w:lang w:val="en-GB"/>
        </w:rPr>
        <w:t>Introduction</w:t>
      </w:r>
    </w:p>
    <w:p w14:paraId="063EBBB4" w14:textId="1EF80B12" w:rsidR="00B276B6" w:rsidRPr="009A40FF" w:rsidRDefault="00612797" w:rsidP="004E6059">
      <w:pPr>
        <w:pStyle w:val="CETBodytext"/>
        <w:rPr>
          <w:lang w:val="en-GB"/>
        </w:rPr>
      </w:pPr>
      <w:r w:rsidRPr="009A40FF">
        <w:rPr>
          <w:lang w:val="en-GB"/>
        </w:rPr>
        <w:t xml:space="preserve">The substantial contribution of </w:t>
      </w:r>
      <w:r w:rsidR="00B276B6" w:rsidRPr="009A40FF">
        <w:rPr>
          <w:lang w:val="en-GB"/>
        </w:rPr>
        <w:t xml:space="preserve">transportation </w:t>
      </w:r>
      <w:r w:rsidRPr="009A40FF">
        <w:rPr>
          <w:lang w:val="en-GB"/>
        </w:rPr>
        <w:t xml:space="preserve">to increased air pollution has prompted national and international authorities to issue strict regulations </w:t>
      </w:r>
      <w:r w:rsidR="00970698">
        <w:rPr>
          <w:lang w:val="en-GB"/>
        </w:rPr>
        <w:t xml:space="preserve">so as </w:t>
      </w:r>
      <w:r w:rsidRPr="009A40FF">
        <w:rPr>
          <w:lang w:val="en-GB"/>
        </w:rPr>
        <w:t>to mitigate environmental impacts and reduce harmful emissions</w:t>
      </w:r>
      <w:r w:rsidR="00871BAA">
        <w:rPr>
          <w:lang w:val="en-GB"/>
        </w:rPr>
        <w:t xml:space="preserve"> </w:t>
      </w:r>
      <w:r w:rsidR="0094153C">
        <w:rPr>
          <w:lang w:val="en-GB"/>
        </w:rPr>
        <w:t>(European Commission, 2019</w:t>
      </w:r>
      <w:r w:rsidR="00871BAA" w:rsidRPr="00871BAA">
        <w:rPr>
          <w:lang w:val="en-GB"/>
        </w:rPr>
        <w:t>)</w:t>
      </w:r>
      <w:r w:rsidRPr="009A40FF">
        <w:rPr>
          <w:lang w:val="en-GB"/>
        </w:rPr>
        <w:t>. To achieve this objective</w:t>
      </w:r>
      <w:r w:rsidR="00B276B6" w:rsidRPr="009A40FF">
        <w:rPr>
          <w:lang w:val="en-GB"/>
        </w:rPr>
        <w:t xml:space="preserve"> t</w:t>
      </w:r>
      <w:r w:rsidR="00970698">
        <w:rPr>
          <w:lang w:val="en-GB"/>
        </w:rPr>
        <w:t>owards</w:t>
      </w:r>
      <w:r w:rsidRPr="009A40FF">
        <w:rPr>
          <w:lang w:val="en-GB"/>
        </w:rPr>
        <w:t xml:space="preserve"> environmentally sustainable </w:t>
      </w:r>
      <w:r w:rsidR="00B276B6" w:rsidRPr="009A40FF">
        <w:rPr>
          <w:lang w:val="en-GB"/>
        </w:rPr>
        <w:t xml:space="preserve">transportation </w:t>
      </w:r>
      <w:r w:rsidRPr="009A40FF">
        <w:rPr>
          <w:lang w:val="en-GB"/>
        </w:rPr>
        <w:t>practices</w:t>
      </w:r>
      <w:r w:rsidR="000D3803" w:rsidRPr="009A40FF">
        <w:rPr>
          <w:lang w:val="en-GB"/>
        </w:rPr>
        <w:t>,</w:t>
      </w:r>
      <w:r w:rsidR="00B276B6" w:rsidRPr="009A40FF">
        <w:rPr>
          <w:lang w:val="en-GB"/>
        </w:rPr>
        <w:t xml:space="preserve"> </w:t>
      </w:r>
      <w:r w:rsidRPr="009A40FF">
        <w:rPr>
          <w:lang w:val="en-GB"/>
        </w:rPr>
        <w:t>liquid hydrogen (LH</w:t>
      </w:r>
      <w:r w:rsidR="004E6059" w:rsidRPr="009A40FF">
        <w:rPr>
          <w:vertAlign w:val="subscript"/>
          <w:lang w:val="en-GB"/>
        </w:rPr>
        <w:t>2</w:t>
      </w:r>
      <w:r w:rsidRPr="009A40FF">
        <w:rPr>
          <w:lang w:val="en-GB"/>
        </w:rPr>
        <w:t>)</w:t>
      </w:r>
      <w:r w:rsidR="00B276B6" w:rsidRPr="009A40FF">
        <w:rPr>
          <w:lang w:val="en-GB"/>
        </w:rPr>
        <w:t xml:space="preserve"> has gained floor in the investigation</w:t>
      </w:r>
      <w:r w:rsidR="00871BAA">
        <w:rPr>
          <w:lang w:val="en-GB"/>
        </w:rPr>
        <w:t xml:space="preserve"> (Ustolin et al., 2022; Chen et al., 2023)</w:t>
      </w:r>
      <w:r w:rsidR="00B276B6" w:rsidRPr="009A40FF">
        <w:rPr>
          <w:lang w:val="en-GB"/>
        </w:rPr>
        <w:t xml:space="preserve">. </w:t>
      </w:r>
      <w:r w:rsidR="004E6059" w:rsidRPr="009A40FF">
        <w:rPr>
          <w:lang w:val="en-GB"/>
        </w:rPr>
        <w:t>LH</w:t>
      </w:r>
      <w:r w:rsidR="004E6059" w:rsidRPr="009A40FF">
        <w:rPr>
          <w:vertAlign w:val="subscript"/>
          <w:lang w:val="en-GB"/>
        </w:rPr>
        <w:t>2</w:t>
      </w:r>
      <w:r w:rsidR="00E0129A" w:rsidRPr="000F3D57">
        <w:t xml:space="preserve">, </w:t>
      </w:r>
      <w:r w:rsidR="00E0129A">
        <w:t>however</w:t>
      </w:r>
      <w:r w:rsidR="00E0129A">
        <w:rPr>
          <w:lang w:val="en-GB"/>
        </w:rPr>
        <w:t xml:space="preserve">, </w:t>
      </w:r>
      <w:r w:rsidRPr="009A40FF">
        <w:rPr>
          <w:lang w:val="en-GB"/>
        </w:rPr>
        <w:t>poses various risks in the event of a release, necessitating a comprehensive safety assessment for the pertinent installations</w:t>
      </w:r>
      <w:r w:rsidR="00A45E19" w:rsidRPr="00886A4F">
        <w:t xml:space="preserve"> (</w:t>
      </w:r>
      <w:r w:rsidR="00F50E4D" w:rsidRPr="00F50E4D">
        <w:t>Ahmad</w:t>
      </w:r>
      <w:r w:rsidR="00F50E4D">
        <w:t xml:space="preserve"> et al., 2023</w:t>
      </w:r>
      <w:r w:rsidR="00A45E19" w:rsidRPr="00886A4F">
        <w:t>)</w:t>
      </w:r>
      <w:r w:rsidRPr="009A40FF">
        <w:rPr>
          <w:lang w:val="en-GB"/>
        </w:rPr>
        <w:t xml:space="preserve">. </w:t>
      </w:r>
    </w:p>
    <w:p w14:paraId="35338A75" w14:textId="603AC967" w:rsidR="00EC5420" w:rsidRDefault="004E6059" w:rsidP="00EC5420">
      <w:r w:rsidRPr="00B61712">
        <w:t xml:space="preserve">This paper presents a preliminary hazard identification analysis of Liquid Hydrogen in </w:t>
      </w:r>
      <w:r w:rsidR="00B61712" w:rsidRPr="00B61712">
        <w:t xml:space="preserve">case of </w:t>
      </w:r>
      <w:r w:rsidRPr="00B61712">
        <w:t>transfer operations</w:t>
      </w:r>
      <w:r w:rsidR="009A40FF">
        <w:t xml:space="preserve">, such as </w:t>
      </w:r>
      <w:r w:rsidR="00B61712" w:rsidRPr="00B61712">
        <w:t xml:space="preserve">a </w:t>
      </w:r>
      <w:r w:rsidR="004B1391">
        <w:t>trailer</w:t>
      </w:r>
      <w:r w:rsidR="009A40FF">
        <w:t xml:space="preserve"> loading a storage tank</w:t>
      </w:r>
      <w:r w:rsidRPr="00B61712">
        <w:t xml:space="preserve">. </w:t>
      </w:r>
      <w:r w:rsidR="00970698" w:rsidRPr="009E0C6B">
        <w:t xml:space="preserve">Hazard </w:t>
      </w:r>
      <w:r w:rsidR="00970698">
        <w:t>i</w:t>
      </w:r>
      <w:r w:rsidR="00970698" w:rsidRPr="009E0C6B">
        <w:t>dentification is the first phase of</w:t>
      </w:r>
      <w:r w:rsidR="00970698">
        <w:t xml:space="preserve"> a quantitative risk assessment. </w:t>
      </w:r>
      <w:r w:rsidRPr="009E0C6B">
        <w:t>The main objective of “Hazard Identification” is to identify the sources of LH</w:t>
      </w:r>
      <w:r w:rsidRPr="00B276B6">
        <w:rPr>
          <w:vertAlign w:val="subscript"/>
        </w:rPr>
        <w:t>2</w:t>
      </w:r>
      <w:r w:rsidRPr="009E0C6B">
        <w:t xml:space="preserve"> and the initiating events</w:t>
      </w:r>
      <w:r w:rsidR="00C42A4D">
        <w:t xml:space="preserve"> (IEs)</w:t>
      </w:r>
      <w:r w:rsidRPr="009E0C6B">
        <w:t xml:space="preserve"> that can lead to the release of hydrogen to the environment.</w:t>
      </w:r>
      <w:r w:rsidR="00B276B6" w:rsidRPr="000D3803">
        <w:t xml:space="preserve"> </w:t>
      </w:r>
      <w:r w:rsidRPr="000D3803">
        <w:t>The Master Logic Diagram (MLD), a method for identifying events initiating accidents in chemical installations</w:t>
      </w:r>
      <w:r w:rsidR="000D3803" w:rsidRPr="000D3803">
        <w:t xml:space="preserve"> </w:t>
      </w:r>
      <w:r w:rsidRPr="000D3803">
        <w:t>will be developed for transfer operations of LH</w:t>
      </w:r>
      <w:r w:rsidRPr="000D3803">
        <w:rPr>
          <w:vertAlign w:val="subscript"/>
        </w:rPr>
        <w:t>2</w:t>
      </w:r>
      <w:r w:rsidRPr="000D3803">
        <w:t>. It starts with a “Top event” which is the undesired event (like “Loss of Containment”) and continues decomposing it into simpler contributing events in a way that the events of a certain level will in some logical combination, cause the events of the level immediately above. The development continues until a level is reached where events directly challenging the various safety functions of the plant are identified. T</w:t>
      </w:r>
      <w:r w:rsidR="00902018">
        <w:t xml:space="preserve">hese are the initiating events. </w:t>
      </w:r>
      <w:r w:rsidR="00EC5420">
        <w:t xml:space="preserve">Methodological steps for accident sequence </w:t>
      </w:r>
      <w:r w:rsidR="00970698">
        <w:t>modelling</w:t>
      </w:r>
      <w:r w:rsidR="00EC5420">
        <w:t xml:space="preserve"> with the help of Event Trees are </w:t>
      </w:r>
      <w:r w:rsidR="00970698">
        <w:t>also developed</w:t>
      </w:r>
      <w:r w:rsidR="00EC5420">
        <w:t>. Event Trees include all initiators of potential accidents and specific system failures and successes, their timing and human responses.</w:t>
      </w:r>
    </w:p>
    <w:p w14:paraId="36AB635E" w14:textId="690E18E7" w:rsidR="00B61712" w:rsidRPr="00B61712" w:rsidRDefault="00B61712" w:rsidP="004E6059">
      <w:pPr>
        <w:pStyle w:val="CETBodytext"/>
        <w:rPr>
          <w:lang w:val="en-GB"/>
        </w:rPr>
      </w:pPr>
      <w:r>
        <w:rPr>
          <w:lang w:val="en-GB"/>
        </w:rPr>
        <w:t>The structure of the paper is as follows</w:t>
      </w:r>
      <w:r w:rsidR="00EC5420">
        <w:rPr>
          <w:lang w:val="en-GB"/>
        </w:rPr>
        <w:t xml:space="preserve">: Section 2 </w:t>
      </w:r>
      <w:r>
        <w:rPr>
          <w:lang w:val="en-GB"/>
        </w:rPr>
        <w:t xml:space="preserve">presents the </w:t>
      </w:r>
      <w:r w:rsidR="002144D0">
        <w:rPr>
          <w:lang w:val="en-GB"/>
        </w:rPr>
        <w:t xml:space="preserve">methodology for hazard identification which includes the </w:t>
      </w:r>
      <w:r>
        <w:rPr>
          <w:lang w:val="en-GB"/>
        </w:rPr>
        <w:t>develop</w:t>
      </w:r>
      <w:r w:rsidR="002144D0">
        <w:rPr>
          <w:lang w:val="en-GB"/>
        </w:rPr>
        <w:t>ment of a</w:t>
      </w:r>
      <w:r>
        <w:rPr>
          <w:lang w:val="en-GB"/>
        </w:rPr>
        <w:t xml:space="preserve"> </w:t>
      </w:r>
      <w:r w:rsidR="009A40FF">
        <w:rPr>
          <w:lang w:val="en-GB"/>
        </w:rPr>
        <w:t xml:space="preserve">generic </w:t>
      </w:r>
      <w:r>
        <w:rPr>
          <w:lang w:val="en-GB"/>
        </w:rPr>
        <w:t xml:space="preserve">MLD for </w:t>
      </w:r>
      <w:r w:rsidR="009A40FF">
        <w:rPr>
          <w:lang w:val="en-GB"/>
        </w:rPr>
        <w:t xml:space="preserve">storage and </w:t>
      </w:r>
      <w:r>
        <w:rPr>
          <w:lang w:val="en-GB"/>
        </w:rPr>
        <w:t xml:space="preserve">loading </w:t>
      </w:r>
      <w:r w:rsidR="009A40FF">
        <w:rPr>
          <w:lang w:val="en-GB"/>
        </w:rPr>
        <w:t>operations of LH</w:t>
      </w:r>
      <w:r w:rsidR="009A40FF" w:rsidRPr="009A40FF">
        <w:rPr>
          <w:vertAlign w:val="subscript"/>
          <w:lang w:val="en-GB"/>
        </w:rPr>
        <w:t>2</w:t>
      </w:r>
      <w:r w:rsidR="002144D0">
        <w:rPr>
          <w:lang w:val="en-GB"/>
        </w:rPr>
        <w:t xml:space="preserve">, </w:t>
      </w:r>
      <w:r w:rsidR="009A40FF">
        <w:rPr>
          <w:lang w:val="en-GB"/>
        </w:rPr>
        <w:t xml:space="preserve">the </w:t>
      </w:r>
      <w:r w:rsidR="00F226EC">
        <w:rPr>
          <w:lang w:val="en-GB"/>
        </w:rPr>
        <w:t>accident sequence modelling and damage state determination</w:t>
      </w:r>
      <w:r w:rsidR="00EC5420">
        <w:rPr>
          <w:lang w:val="en-GB"/>
        </w:rPr>
        <w:t>.</w:t>
      </w:r>
      <w:r w:rsidR="00F226EC">
        <w:rPr>
          <w:lang w:val="en-GB"/>
        </w:rPr>
        <w:t xml:space="preserve"> Section </w:t>
      </w:r>
      <w:r w:rsidR="002144D0">
        <w:rPr>
          <w:lang w:val="en-GB"/>
        </w:rPr>
        <w:t xml:space="preserve">3 </w:t>
      </w:r>
      <w:r w:rsidR="00EC5420">
        <w:rPr>
          <w:lang w:val="en-GB"/>
        </w:rPr>
        <w:t>describes a transfer operation which includes an LH</w:t>
      </w:r>
      <w:r w:rsidR="00EC5420" w:rsidRPr="00EC5420">
        <w:rPr>
          <w:vertAlign w:val="subscript"/>
          <w:lang w:val="en-GB"/>
        </w:rPr>
        <w:t>2</w:t>
      </w:r>
      <w:r w:rsidR="00EC5420">
        <w:rPr>
          <w:lang w:val="en-GB"/>
        </w:rPr>
        <w:t xml:space="preserve"> trailer, a hose, and a storage tank. Initiating events, safety systems, event trees modelling accident sequences and damage states are </w:t>
      </w:r>
      <w:r w:rsidR="00970698">
        <w:rPr>
          <w:lang w:val="en-GB"/>
        </w:rPr>
        <w:t>presented</w:t>
      </w:r>
      <w:r w:rsidR="00EC5420">
        <w:rPr>
          <w:lang w:val="en-GB"/>
        </w:rPr>
        <w:t xml:space="preserve">. </w:t>
      </w:r>
      <w:r>
        <w:rPr>
          <w:lang w:val="en-GB"/>
        </w:rPr>
        <w:t xml:space="preserve">Finally, conclusions are discussed in </w:t>
      </w:r>
      <w:r w:rsidR="009A40FF">
        <w:rPr>
          <w:lang w:val="en-GB"/>
        </w:rPr>
        <w:t>se</w:t>
      </w:r>
      <w:r>
        <w:rPr>
          <w:lang w:val="en-GB"/>
        </w:rPr>
        <w:t xml:space="preserve">ction </w:t>
      </w:r>
      <w:r w:rsidR="002144D0">
        <w:rPr>
          <w:lang w:val="en-GB"/>
        </w:rPr>
        <w:t>4</w:t>
      </w:r>
      <w:r>
        <w:rPr>
          <w:lang w:val="en-GB"/>
        </w:rPr>
        <w:t>.</w:t>
      </w:r>
    </w:p>
    <w:p w14:paraId="18FD20FF" w14:textId="76EB7E99" w:rsidR="00CB63F5" w:rsidRPr="00CB63F5" w:rsidRDefault="00CB63F5" w:rsidP="00CB63F5">
      <w:pPr>
        <w:pStyle w:val="CETHeading1"/>
        <w:rPr>
          <w:lang w:val="en-GB"/>
        </w:rPr>
      </w:pPr>
      <w:r w:rsidRPr="00CB63F5">
        <w:rPr>
          <w:lang w:val="en-GB"/>
        </w:rPr>
        <w:t xml:space="preserve">Methodology for </w:t>
      </w:r>
      <w:r>
        <w:rPr>
          <w:lang w:val="en-GB"/>
        </w:rPr>
        <w:t>h</w:t>
      </w:r>
      <w:r w:rsidRPr="00CB63F5">
        <w:rPr>
          <w:lang w:val="en-GB"/>
        </w:rPr>
        <w:t>azard Identification</w:t>
      </w:r>
    </w:p>
    <w:p w14:paraId="32229BB5" w14:textId="4D25D07C" w:rsidR="00CB63F5" w:rsidRPr="00CB63F5" w:rsidRDefault="00CB63F5" w:rsidP="00CB63F5">
      <w:pPr>
        <w:pStyle w:val="CETBodytext"/>
        <w:rPr>
          <w:lang w:val="en-GB"/>
        </w:rPr>
      </w:pPr>
      <w:r w:rsidRPr="00CB63F5">
        <w:rPr>
          <w:lang w:val="en-GB"/>
        </w:rPr>
        <w:t xml:space="preserve">Hazard identification consists of analyzing the transfer operations of </w:t>
      </w:r>
      <w:r w:rsidR="00E3303A">
        <w:rPr>
          <w:lang w:val="en-GB"/>
        </w:rPr>
        <w:t>a</w:t>
      </w:r>
      <w:r w:rsidRPr="00CB63F5">
        <w:rPr>
          <w:lang w:val="en-GB"/>
        </w:rPr>
        <w:t xml:space="preserve"> facility, so as to identify potential accident initiators, assess the response of the facility to these initiators and establish end damage states of the facility </w:t>
      </w:r>
      <w:r w:rsidRPr="00CB63F5">
        <w:rPr>
          <w:lang w:val="en-GB"/>
        </w:rPr>
        <w:lastRenderedPageBreak/>
        <w:t>resulting in the release of a dangerous substance in the environment. This phase can be distinguished in the following procedural tasks:</w:t>
      </w:r>
    </w:p>
    <w:p w14:paraId="4FC4832F" w14:textId="1C292CF7" w:rsidR="00CB63F5" w:rsidRPr="00CB63F5" w:rsidRDefault="002144D0" w:rsidP="00CB63F5">
      <w:pPr>
        <w:pStyle w:val="CETnumberingbullets"/>
        <w:ind w:left="340" w:hanging="227"/>
        <w:jc w:val="both"/>
      </w:pPr>
      <w:r>
        <w:t>(</w:t>
      </w:r>
      <w:r w:rsidR="00CB63F5" w:rsidRPr="00CB63F5">
        <w:t>a) Hazard source identification: the main sources of potential hazardous-substance releases are identified and the initiating events that can cause such releases are determined.</w:t>
      </w:r>
    </w:p>
    <w:p w14:paraId="370338D5" w14:textId="4BCDB7F6" w:rsidR="00CB63F5" w:rsidRPr="00CB63F5" w:rsidRDefault="002144D0" w:rsidP="00CB63F5">
      <w:pPr>
        <w:pStyle w:val="CETnumberingbullets"/>
        <w:ind w:left="340" w:hanging="227"/>
        <w:jc w:val="both"/>
      </w:pPr>
      <w:r>
        <w:t>(</w:t>
      </w:r>
      <w:r w:rsidR="00CB63F5" w:rsidRPr="00CB63F5">
        <w:t xml:space="preserve">b) Accident </w:t>
      </w:r>
      <w:r w:rsidR="00E3303A">
        <w:t>s</w:t>
      </w:r>
      <w:r w:rsidR="00CB63F5" w:rsidRPr="00CB63F5">
        <w:t xml:space="preserve">equence </w:t>
      </w:r>
      <w:r w:rsidR="00E3303A">
        <w:t>d</w:t>
      </w:r>
      <w:r w:rsidR="00CB63F5" w:rsidRPr="00CB63F5">
        <w:t xml:space="preserve">etermination: a logic model for the installation is developed in this step. The model includes each and every initiator of potential accidents and the response of the installation to these initiators. Specific accident sequences are defined (in models called </w:t>
      </w:r>
      <w:r w:rsidR="00CB63F5">
        <w:t>E</w:t>
      </w:r>
      <w:r w:rsidR="00CB63F5" w:rsidRPr="00CB63F5">
        <w:t xml:space="preserve">vent </w:t>
      </w:r>
      <w:r w:rsidR="00CB63F5">
        <w:t>T</w:t>
      </w:r>
      <w:r w:rsidR="00CB63F5" w:rsidRPr="00CB63F5">
        <w:t>rees) which consist of an initiating event, specific system failures or successes and their timing, and human responses. Accident sequences result in plant damage states, which involve release of the hazardous substance.</w:t>
      </w:r>
    </w:p>
    <w:p w14:paraId="4422E8A3" w14:textId="34E8649C" w:rsidR="00CB63F5" w:rsidRPr="00CB63F5" w:rsidRDefault="002144D0" w:rsidP="00CB63F5">
      <w:pPr>
        <w:pStyle w:val="CETnumberingbullets"/>
        <w:ind w:left="340" w:hanging="227"/>
        <w:jc w:val="both"/>
      </w:pPr>
      <w:r>
        <w:t>(</w:t>
      </w:r>
      <w:r w:rsidR="00CB63F5" w:rsidRPr="00CB63F5">
        <w:t xml:space="preserve">c) Plant </w:t>
      </w:r>
      <w:r w:rsidR="00E3303A">
        <w:t>d</w:t>
      </w:r>
      <w:r w:rsidR="00CB63F5" w:rsidRPr="00CB63F5">
        <w:t xml:space="preserve">amage </w:t>
      </w:r>
      <w:r w:rsidR="00E3303A">
        <w:t>s</w:t>
      </w:r>
      <w:r w:rsidR="00CB63F5" w:rsidRPr="00CB63F5">
        <w:t xml:space="preserve">tate </w:t>
      </w:r>
      <w:r w:rsidR="00E3303A">
        <w:t>d</w:t>
      </w:r>
      <w:r w:rsidR="00CB63F5" w:rsidRPr="00CB63F5">
        <w:t>efinition: A plant damage state uniquely characterizes the facility conditions of release of the hazardous substance (LH</w:t>
      </w:r>
      <w:r w:rsidR="00CB63F5" w:rsidRPr="00CB63F5">
        <w:rPr>
          <w:vertAlign w:val="subscript"/>
        </w:rPr>
        <w:t>2</w:t>
      </w:r>
      <w:r w:rsidR="00CB63F5" w:rsidRPr="00CB63F5">
        <w:t xml:space="preserve">). Accident sequences resulting into the same conditions of release are </w:t>
      </w:r>
      <w:r w:rsidR="000D68A0">
        <w:t>categorise</w:t>
      </w:r>
      <w:r w:rsidR="00CB63F5" w:rsidRPr="00CB63F5">
        <w:t>d into groups each corresponding to a particular plant damage state.</w:t>
      </w:r>
    </w:p>
    <w:p w14:paraId="677EBFF0" w14:textId="1E33CBEC" w:rsidR="00600535" w:rsidRDefault="00382420" w:rsidP="00311704">
      <w:pPr>
        <w:pStyle w:val="CETheadingx"/>
      </w:pPr>
      <w:r>
        <w:t>Master Logic Diagram</w:t>
      </w:r>
      <w:r w:rsidR="008E4566">
        <w:t xml:space="preserve"> for initiating event identification</w:t>
      </w:r>
    </w:p>
    <w:p w14:paraId="2369E746" w14:textId="07F37883" w:rsidR="00F73827" w:rsidRDefault="008543DE" w:rsidP="00F73827">
      <w:pPr>
        <w:pStyle w:val="CETBodytext"/>
        <w:rPr>
          <w:lang w:val="en-GB"/>
        </w:rPr>
      </w:pPr>
      <w:r w:rsidRPr="008543DE">
        <w:rPr>
          <w:lang w:val="en-GB"/>
        </w:rPr>
        <w:t>A MLD is developed to describe Loss of Containment (LOC) decomposition for</w:t>
      </w:r>
      <w:r w:rsidR="009A40FF">
        <w:rPr>
          <w:lang w:val="en-GB"/>
        </w:rPr>
        <w:t xml:space="preserve"> installations handling </w:t>
      </w:r>
      <w:r w:rsidRPr="008543DE">
        <w:rPr>
          <w:lang w:val="en-GB"/>
        </w:rPr>
        <w:t>LH</w:t>
      </w:r>
      <w:r w:rsidRPr="00630793">
        <w:rPr>
          <w:vertAlign w:val="subscript"/>
          <w:lang w:val="en-GB"/>
        </w:rPr>
        <w:t>2</w:t>
      </w:r>
      <w:r w:rsidRPr="008543DE">
        <w:rPr>
          <w:lang w:val="en-GB"/>
        </w:rPr>
        <w:t xml:space="preserve">. On the basis of the generic MLD developed by </w:t>
      </w:r>
      <w:r w:rsidRPr="00B42AD5">
        <w:rPr>
          <w:lang w:val="en-GB"/>
        </w:rPr>
        <w:t>Papazoglou and Aneziris (2003) and a systematic analysis of accidents which have occurred in the past (Ordin, 1974;</w:t>
      </w:r>
      <w:r w:rsidR="00BA29B5">
        <w:rPr>
          <w:lang w:val="en-GB"/>
        </w:rPr>
        <w:t xml:space="preserve"> </w:t>
      </w:r>
      <w:r w:rsidRPr="00B42AD5">
        <w:rPr>
          <w:lang w:val="en-GB"/>
        </w:rPr>
        <w:t xml:space="preserve">Verfondern et al., 2021; Wen et al., 2022; </w:t>
      </w:r>
      <w:r w:rsidR="00B42AD5" w:rsidRPr="00B42AD5">
        <w:rPr>
          <w:lang w:val="en-GB"/>
        </w:rPr>
        <w:t xml:space="preserve">Hydrogen Safety Panel, 2020; </w:t>
      </w:r>
      <w:r w:rsidRPr="00B42AD5">
        <w:rPr>
          <w:lang w:val="en-GB"/>
        </w:rPr>
        <w:t>Hydrogen Tools Portal-h2tools.org)</w:t>
      </w:r>
      <w:r w:rsidR="00377D84" w:rsidRPr="00B42AD5">
        <w:rPr>
          <w:lang w:val="en-GB"/>
        </w:rPr>
        <w:t>, t</w:t>
      </w:r>
      <w:r w:rsidRPr="00B42AD5">
        <w:rPr>
          <w:lang w:val="en-GB"/>
        </w:rPr>
        <w:t>he</w:t>
      </w:r>
      <w:r w:rsidRPr="008543DE">
        <w:rPr>
          <w:lang w:val="en-GB"/>
        </w:rPr>
        <w:t xml:space="preserve"> LOC is decomposed into simpler contributing events </w:t>
      </w:r>
      <w:r w:rsidR="000D3803">
        <w:rPr>
          <w:lang w:val="en-GB"/>
        </w:rPr>
        <w:t>and the initiating events</w:t>
      </w:r>
      <w:r w:rsidRPr="008543DE">
        <w:rPr>
          <w:lang w:val="en-GB"/>
        </w:rPr>
        <w:t xml:space="preserve"> are identified. The generic MLD for LH</w:t>
      </w:r>
      <w:r w:rsidRPr="00F73827">
        <w:rPr>
          <w:vertAlign w:val="subscript"/>
          <w:lang w:val="en-GB"/>
        </w:rPr>
        <w:t>2</w:t>
      </w:r>
      <w:r w:rsidRPr="008543DE">
        <w:rPr>
          <w:lang w:val="en-GB"/>
        </w:rPr>
        <w:t xml:space="preserve"> is presented in Figure </w:t>
      </w:r>
      <w:r w:rsidR="006B15FD">
        <w:rPr>
          <w:lang w:val="en-GB"/>
        </w:rPr>
        <w:t>1</w:t>
      </w:r>
      <w:r w:rsidRPr="008543DE">
        <w:rPr>
          <w:lang w:val="en-GB"/>
        </w:rPr>
        <w:t>.</w:t>
      </w:r>
    </w:p>
    <w:p w14:paraId="5BC49DF4" w14:textId="611B0441" w:rsidR="00A40731" w:rsidRDefault="00987F46" w:rsidP="00F73827">
      <w:pPr>
        <w:pStyle w:val="CETBodytext"/>
        <w:rPr>
          <w:lang w:val="en-GB"/>
        </w:rPr>
      </w:pPr>
      <w:r>
        <w:rPr>
          <w:noProof/>
          <w:lang w:val="el-GR" w:eastAsia="el-GR"/>
        </w:rPr>
        <w:drawing>
          <wp:inline distT="0" distB="0" distL="0" distR="0" wp14:anchorId="647F187D" wp14:editId="262D49EA">
            <wp:extent cx="5579745" cy="2717800"/>
            <wp:effectExtent l="0" t="0" r="190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178"/>
                    <a:stretch/>
                  </pic:blipFill>
                  <pic:spPr bwMode="auto">
                    <a:xfrm>
                      <a:off x="0" y="0"/>
                      <a:ext cx="5579745" cy="2717800"/>
                    </a:xfrm>
                    <a:prstGeom prst="rect">
                      <a:avLst/>
                    </a:prstGeom>
                    <a:ln>
                      <a:noFill/>
                    </a:ln>
                    <a:extLst>
                      <a:ext uri="{53640926-AAD7-44D8-BBD7-CCE9431645EC}">
                        <a14:shadowObscured xmlns:a14="http://schemas.microsoft.com/office/drawing/2010/main"/>
                      </a:ext>
                    </a:extLst>
                  </pic:spPr>
                </pic:pic>
              </a:graphicData>
            </a:graphic>
          </wp:inline>
        </w:drawing>
      </w:r>
    </w:p>
    <w:p w14:paraId="6466C361" w14:textId="51DEAFFB" w:rsidR="00F73827" w:rsidRPr="00987F46" w:rsidRDefault="00F73827" w:rsidP="00F73827">
      <w:pPr>
        <w:pStyle w:val="CETCaption"/>
      </w:pPr>
      <w:r w:rsidRPr="00BD077D">
        <w:rPr>
          <w:rStyle w:val="CETCaptionCarattere"/>
          <w:i/>
        </w:rPr>
        <w:t xml:space="preserve">Figure </w:t>
      </w:r>
      <w:r w:rsidR="006B15FD">
        <w:rPr>
          <w:rStyle w:val="CETCaptionCarattere"/>
          <w:i/>
        </w:rPr>
        <w:t>1</w:t>
      </w:r>
      <w:r w:rsidRPr="00BD077D">
        <w:rPr>
          <w:rStyle w:val="CETCaptionCarattere"/>
          <w:i/>
        </w:rPr>
        <w:t xml:space="preserve">: </w:t>
      </w:r>
      <w:r>
        <w:rPr>
          <w:rStyle w:val="CETCaptionCarattere"/>
          <w:i/>
        </w:rPr>
        <w:t xml:space="preserve">Generic </w:t>
      </w:r>
      <w:r w:rsidRPr="00F73827">
        <w:rPr>
          <w:rStyle w:val="CETCaptionCarattere"/>
          <w:i/>
        </w:rPr>
        <w:t xml:space="preserve">MLD </w:t>
      </w:r>
      <w:r>
        <w:rPr>
          <w:rStyle w:val="CETCaptionCarattere"/>
          <w:i/>
        </w:rPr>
        <w:t>of</w:t>
      </w:r>
      <w:r w:rsidRPr="00F73827">
        <w:rPr>
          <w:rStyle w:val="CETCaptionCarattere"/>
          <w:i/>
        </w:rPr>
        <w:t xml:space="preserve"> Loss </w:t>
      </w:r>
      <w:r w:rsidR="00E3303A">
        <w:rPr>
          <w:rStyle w:val="CETCaptionCarattere"/>
          <w:i/>
        </w:rPr>
        <w:t xml:space="preserve">of </w:t>
      </w:r>
      <w:r w:rsidRPr="00F73827">
        <w:rPr>
          <w:rStyle w:val="CETCaptionCarattere"/>
          <w:i/>
        </w:rPr>
        <w:t>Containment</w:t>
      </w:r>
      <w:r>
        <w:rPr>
          <w:rStyle w:val="CETCaptionCarattere"/>
          <w:i/>
        </w:rPr>
        <w:t xml:space="preserve"> for</w:t>
      </w:r>
      <w:r w:rsidRPr="00F73827">
        <w:rPr>
          <w:rStyle w:val="CETCaptionCarattere"/>
          <w:i/>
        </w:rPr>
        <w:t xml:space="preserve"> LH</w:t>
      </w:r>
      <w:r w:rsidRPr="00F73827">
        <w:rPr>
          <w:rStyle w:val="CETCaptionCarattere"/>
          <w:i/>
          <w:vertAlign w:val="subscript"/>
        </w:rPr>
        <w:t>2</w:t>
      </w:r>
    </w:p>
    <w:p w14:paraId="1AB908E0" w14:textId="77777777" w:rsidR="00AF6BBA" w:rsidRDefault="00382420" w:rsidP="00382420">
      <w:pPr>
        <w:pStyle w:val="CETBodytext"/>
        <w:rPr>
          <w:lang w:val="en-GB"/>
        </w:rPr>
      </w:pPr>
      <w:r w:rsidRPr="00382420">
        <w:rPr>
          <w:lang w:val="en-GB"/>
        </w:rPr>
        <w:t>The first level of decomposition of the MLD involves two major categories of events that may lead to LOC:</w:t>
      </w:r>
      <w:r w:rsidR="00AF6BBA">
        <w:rPr>
          <w:lang w:val="en-GB"/>
        </w:rPr>
        <w:t xml:space="preserve"> </w:t>
      </w:r>
    </w:p>
    <w:p w14:paraId="681DEF09" w14:textId="63056932" w:rsidR="00AF6BBA" w:rsidRDefault="00AF6BBA" w:rsidP="00AF6BBA">
      <w:pPr>
        <w:pStyle w:val="CETnumberingbullets"/>
        <w:ind w:left="340" w:hanging="227"/>
      </w:pPr>
      <w:r>
        <w:t>(a) e</w:t>
      </w:r>
      <w:r w:rsidR="00382420" w:rsidRPr="00382420">
        <w:t>vents that lead in the direct structural failure of the containment</w:t>
      </w:r>
    </w:p>
    <w:p w14:paraId="035A649D" w14:textId="4796328C" w:rsidR="00AF6BBA" w:rsidRPr="00382420" w:rsidRDefault="00AF6BBA" w:rsidP="00AF6BBA">
      <w:pPr>
        <w:pStyle w:val="CETnumberingbullets"/>
        <w:ind w:left="340" w:hanging="227"/>
      </w:pPr>
      <w:r>
        <w:t>(b) e</w:t>
      </w:r>
      <w:r w:rsidR="00382420" w:rsidRPr="00382420">
        <w:t>vents that lead in containment bypassing because of an inadvertent opening of an engineered discontinuity in the containment</w:t>
      </w:r>
      <w:r>
        <w:t>.</w:t>
      </w:r>
    </w:p>
    <w:p w14:paraId="50F8CAF3" w14:textId="40A158E7" w:rsidR="00382420" w:rsidRDefault="00382420" w:rsidP="00382420">
      <w:pPr>
        <w:pStyle w:val="CETBodytext"/>
        <w:rPr>
          <w:lang w:val="en-GB"/>
        </w:rPr>
      </w:pPr>
      <w:r w:rsidRPr="00382420">
        <w:rPr>
          <w:lang w:val="en-GB"/>
        </w:rPr>
        <w:t xml:space="preserve">The first major category of causes for LOC, the direct structural failure of the containment, may result from the following </w:t>
      </w:r>
      <w:r w:rsidR="0076557F">
        <w:rPr>
          <w:lang w:val="en-GB"/>
        </w:rPr>
        <w:t>five</w:t>
      </w:r>
      <w:r w:rsidR="0076557F" w:rsidRPr="00382420">
        <w:rPr>
          <w:lang w:val="en-GB"/>
        </w:rPr>
        <w:t xml:space="preserve"> </w:t>
      </w:r>
      <w:r w:rsidRPr="00382420">
        <w:rPr>
          <w:lang w:val="en-GB"/>
        </w:rPr>
        <w:t xml:space="preserve">direct causes: </w:t>
      </w:r>
      <w:r w:rsidR="00AF6BBA">
        <w:rPr>
          <w:lang w:val="en-GB"/>
        </w:rPr>
        <w:t>(</w:t>
      </w:r>
      <w:r w:rsidRPr="00382420">
        <w:rPr>
          <w:lang w:val="en-GB"/>
        </w:rPr>
        <w:t>a</w:t>
      </w:r>
      <w:r>
        <w:rPr>
          <w:lang w:val="en-GB"/>
        </w:rPr>
        <w:t xml:space="preserve">) </w:t>
      </w:r>
      <w:r w:rsidR="00377D84">
        <w:rPr>
          <w:lang w:val="en-GB"/>
        </w:rPr>
        <w:t>o</w:t>
      </w:r>
      <w:r w:rsidRPr="00382420">
        <w:rPr>
          <w:lang w:val="en-GB"/>
        </w:rPr>
        <w:t>verpressure</w:t>
      </w:r>
      <w:r w:rsidR="00AF6BBA">
        <w:rPr>
          <w:lang w:val="en-GB"/>
        </w:rPr>
        <w:t>, (b)</w:t>
      </w:r>
      <w:r>
        <w:rPr>
          <w:lang w:val="en-GB"/>
        </w:rPr>
        <w:t xml:space="preserve"> </w:t>
      </w:r>
      <w:r w:rsidR="00377D84">
        <w:rPr>
          <w:lang w:val="en-GB"/>
        </w:rPr>
        <w:t>c</w:t>
      </w:r>
      <w:r w:rsidRPr="00382420">
        <w:rPr>
          <w:lang w:val="en-GB"/>
        </w:rPr>
        <w:t>orrosion</w:t>
      </w:r>
      <w:r w:rsidR="00AF6BBA">
        <w:rPr>
          <w:lang w:val="en-GB"/>
        </w:rPr>
        <w:t xml:space="preserve">, (c) </w:t>
      </w:r>
      <w:r w:rsidR="00377D84">
        <w:rPr>
          <w:lang w:val="en-GB"/>
        </w:rPr>
        <w:t>e</w:t>
      </w:r>
      <w:r w:rsidRPr="00382420">
        <w:rPr>
          <w:lang w:val="en-GB"/>
        </w:rPr>
        <w:t>mbrittlement</w:t>
      </w:r>
      <w:r w:rsidR="00AF6BBA">
        <w:rPr>
          <w:lang w:val="en-GB"/>
        </w:rPr>
        <w:t>, (</w:t>
      </w:r>
      <w:r w:rsidR="0095593F">
        <w:rPr>
          <w:lang w:val="en-GB"/>
        </w:rPr>
        <w:t>d</w:t>
      </w:r>
      <w:r w:rsidRPr="00382420">
        <w:rPr>
          <w:lang w:val="en-GB"/>
        </w:rPr>
        <w:t>)</w:t>
      </w:r>
      <w:r w:rsidR="00127122">
        <w:rPr>
          <w:lang w:val="en-GB"/>
        </w:rPr>
        <w:t xml:space="preserve"> </w:t>
      </w:r>
      <w:r w:rsidR="00377D84">
        <w:rPr>
          <w:lang w:val="en-GB"/>
        </w:rPr>
        <w:t>v</w:t>
      </w:r>
      <w:r w:rsidRPr="00382420">
        <w:rPr>
          <w:lang w:val="en-GB"/>
        </w:rPr>
        <w:t>ibration</w:t>
      </w:r>
      <w:r w:rsidR="0095593F">
        <w:rPr>
          <w:lang w:val="en-GB"/>
        </w:rPr>
        <w:t>, and (</w:t>
      </w:r>
      <w:r w:rsidR="00E0129A">
        <w:rPr>
          <w:lang w:val="en-GB"/>
        </w:rPr>
        <w:t>e</w:t>
      </w:r>
      <w:r w:rsidR="00AF6BBA">
        <w:rPr>
          <w:lang w:val="en-GB"/>
        </w:rPr>
        <w:t>)</w:t>
      </w:r>
      <w:r>
        <w:rPr>
          <w:lang w:val="en-GB"/>
        </w:rPr>
        <w:t xml:space="preserve"> </w:t>
      </w:r>
      <w:r w:rsidR="00377D84">
        <w:rPr>
          <w:lang w:val="en-GB"/>
        </w:rPr>
        <w:t>e</w:t>
      </w:r>
      <w:r w:rsidRPr="00382420">
        <w:rPr>
          <w:lang w:val="en-GB"/>
        </w:rPr>
        <w:t xml:space="preserve">xternal </w:t>
      </w:r>
      <w:r w:rsidR="00377D84">
        <w:rPr>
          <w:lang w:val="en-GB"/>
        </w:rPr>
        <w:t>l</w:t>
      </w:r>
      <w:r w:rsidRPr="00382420">
        <w:rPr>
          <w:lang w:val="en-GB"/>
        </w:rPr>
        <w:t>oading</w:t>
      </w:r>
      <w:r w:rsidR="00AF6BBA">
        <w:rPr>
          <w:lang w:val="en-GB"/>
        </w:rPr>
        <w:t xml:space="preserve">. </w:t>
      </w:r>
      <w:r w:rsidR="000D68A0">
        <w:t>Each of those fundamental physical processes has the potential to induce stresses that will exceed the strength of the containment. Alternatively, they can reduce the strength of the containment to levels low enough that it cannot withstand normal stresses.</w:t>
      </w:r>
      <w:r w:rsidR="00AF6BBA">
        <w:rPr>
          <w:lang w:val="en-GB"/>
        </w:rPr>
        <w:t xml:space="preserve"> </w:t>
      </w:r>
      <w:r w:rsidRPr="00382420">
        <w:rPr>
          <w:lang w:val="en-GB"/>
        </w:rPr>
        <w:t>Each of these failure causes can be considered as the result of an initiating event coupled with the failure of one or more safety functions. The latter are combinations of engineered systems and human actions based on specific procedures aiming at preventing the initiating event from causing the failure of the containment.</w:t>
      </w:r>
    </w:p>
    <w:p w14:paraId="786D4421" w14:textId="77777777" w:rsidR="00382420" w:rsidRPr="00382420" w:rsidRDefault="00382420" w:rsidP="00382420">
      <w:pPr>
        <w:pStyle w:val="CETBodytext"/>
        <w:rPr>
          <w:lang w:val="en-GB"/>
        </w:rPr>
      </w:pPr>
      <w:r w:rsidRPr="00382420">
        <w:rPr>
          <w:lang w:val="en-GB"/>
        </w:rPr>
        <w:t xml:space="preserve">The second major category of causes for LOC, the containment bypassing, may result from the following two direct causes: </w:t>
      </w:r>
    </w:p>
    <w:p w14:paraId="12DB9064" w14:textId="199E89B6" w:rsidR="00382420" w:rsidRPr="00382420" w:rsidRDefault="00AF6BBA" w:rsidP="00AF6BBA">
      <w:pPr>
        <w:pStyle w:val="CETnumberingbullets"/>
        <w:ind w:left="340" w:hanging="227"/>
      </w:pPr>
      <w:r>
        <w:t>(</w:t>
      </w:r>
      <w:r w:rsidR="00382420" w:rsidRPr="00382420">
        <w:t>a)</w:t>
      </w:r>
      <w:r w:rsidR="00382420" w:rsidRPr="00382420">
        <w:tab/>
      </w:r>
      <w:r>
        <w:t xml:space="preserve"> o</w:t>
      </w:r>
      <w:r w:rsidR="00382420" w:rsidRPr="00382420">
        <w:t>perations start while the containment is open</w:t>
      </w:r>
    </w:p>
    <w:p w14:paraId="0C3EFD1C" w14:textId="3199E220" w:rsidR="00382420" w:rsidRPr="00382420" w:rsidRDefault="00AF6BBA" w:rsidP="00AF6BBA">
      <w:pPr>
        <w:pStyle w:val="CETnumberingbullets"/>
        <w:ind w:left="340" w:hanging="227"/>
      </w:pPr>
      <w:r>
        <w:t>(</w:t>
      </w:r>
      <w:r w:rsidR="00382420" w:rsidRPr="00382420">
        <w:t>b)</w:t>
      </w:r>
      <w:r w:rsidR="00382420" w:rsidRPr="00382420">
        <w:tab/>
      </w:r>
      <w:r>
        <w:t xml:space="preserve"> t</w:t>
      </w:r>
      <w:r w:rsidR="00382420" w:rsidRPr="00382420">
        <w:t>he containment is opening during operations</w:t>
      </w:r>
    </w:p>
    <w:p w14:paraId="27CF2167" w14:textId="3C228251" w:rsidR="002144D0" w:rsidRPr="002144D0" w:rsidRDefault="00382420" w:rsidP="002144D0">
      <w:pPr>
        <w:pStyle w:val="CETBodytext"/>
        <w:rPr>
          <w:lang w:val="en-GB"/>
        </w:rPr>
      </w:pPr>
      <w:r w:rsidRPr="00382420">
        <w:rPr>
          <w:lang w:val="en-GB"/>
        </w:rPr>
        <w:t>All these direct causes for LOC are extensively desc</w:t>
      </w:r>
      <w:r w:rsidR="00B35E49">
        <w:rPr>
          <w:lang w:val="en-GB"/>
        </w:rPr>
        <w:t xml:space="preserve">ribed in the following sections </w:t>
      </w:r>
      <w:r w:rsidR="006B15FD">
        <w:rPr>
          <w:lang w:val="en-GB"/>
        </w:rPr>
        <w:t>2</w:t>
      </w:r>
      <w:r w:rsidR="00B35E49">
        <w:rPr>
          <w:lang w:val="en-GB"/>
        </w:rPr>
        <w:t>.</w:t>
      </w:r>
      <w:r w:rsidR="0059162B">
        <w:rPr>
          <w:lang w:val="en-GB"/>
        </w:rPr>
        <w:t xml:space="preserve">2 </w:t>
      </w:r>
      <w:r w:rsidR="00E0129A">
        <w:rPr>
          <w:lang w:val="en-GB"/>
        </w:rPr>
        <w:t xml:space="preserve">to </w:t>
      </w:r>
      <w:r w:rsidR="006B15FD">
        <w:rPr>
          <w:lang w:val="en-GB"/>
        </w:rPr>
        <w:t>2</w:t>
      </w:r>
      <w:r w:rsidR="00B35E49" w:rsidRPr="00B35E49">
        <w:t>.</w:t>
      </w:r>
      <w:r w:rsidR="0059162B">
        <w:t>3.</w:t>
      </w:r>
      <w:r w:rsidR="00DF4696" w:rsidRPr="00DF4696">
        <w:t xml:space="preserve"> </w:t>
      </w:r>
      <w:r w:rsidR="0059162B" w:rsidRPr="00DF4696">
        <w:rPr>
          <w:lang w:val="en-GB"/>
        </w:rPr>
        <w:t>It is noteworthy that h</w:t>
      </w:r>
      <w:r w:rsidR="00B35E49" w:rsidRPr="00DF4696">
        <w:rPr>
          <w:lang w:val="en-GB"/>
        </w:rPr>
        <w:t xml:space="preserve">ydrogen is flammable and </w:t>
      </w:r>
      <w:r w:rsidR="00F53E03" w:rsidRPr="00DF4696">
        <w:rPr>
          <w:lang w:val="en-GB"/>
        </w:rPr>
        <w:t>explosive and therefore</w:t>
      </w:r>
      <w:r w:rsidR="00B35E49" w:rsidRPr="00DF4696">
        <w:rPr>
          <w:lang w:val="en-GB"/>
        </w:rPr>
        <w:t xml:space="preserve"> ignition sources </w:t>
      </w:r>
      <w:r w:rsidR="006B15FD" w:rsidRPr="00DF4696">
        <w:rPr>
          <w:lang w:val="en-GB"/>
        </w:rPr>
        <w:t>are important</w:t>
      </w:r>
      <w:r w:rsidR="00B35E49" w:rsidRPr="00DF4696">
        <w:rPr>
          <w:lang w:val="en-GB"/>
        </w:rPr>
        <w:t xml:space="preserve"> cause</w:t>
      </w:r>
      <w:r w:rsidR="00DF4696">
        <w:t>s</w:t>
      </w:r>
      <w:r w:rsidR="00B35E49" w:rsidRPr="00DF4696">
        <w:rPr>
          <w:lang w:val="en-GB"/>
        </w:rPr>
        <w:t xml:space="preserve"> of accidents.</w:t>
      </w:r>
      <w:r w:rsidR="0059162B" w:rsidRPr="00DF4696">
        <w:rPr>
          <w:lang w:val="en-GB"/>
        </w:rPr>
        <w:t xml:space="preserve"> </w:t>
      </w:r>
      <w:r w:rsidR="0059162B" w:rsidRPr="002144D0">
        <w:rPr>
          <w:lang w:val="en-GB"/>
        </w:rPr>
        <w:lastRenderedPageBreak/>
        <w:t>Possible sources of ignition as reported by Ordin (1974) are the following:</w:t>
      </w:r>
      <w:r w:rsidR="0059162B" w:rsidRPr="002144D0">
        <w:t xml:space="preserve"> electric short circuits and sparking,</w:t>
      </w:r>
      <w:r w:rsidR="00DF4696">
        <w:t xml:space="preserve"> </w:t>
      </w:r>
      <w:r w:rsidR="0059162B" w:rsidRPr="00DF4696">
        <w:t xml:space="preserve">static charges, hot spots, flare of </w:t>
      </w:r>
      <w:r w:rsidR="00E3303A">
        <w:t>a</w:t>
      </w:r>
      <w:r w:rsidR="0059162B" w:rsidRPr="00DF4696">
        <w:t xml:space="preserve"> vent stack, use of welding or cutting torches, grounding failure, impact due to high-velocity fragments and lightning.</w:t>
      </w:r>
    </w:p>
    <w:p w14:paraId="534FE353" w14:textId="3CD1CB84" w:rsidR="00382420" w:rsidRPr="00382420" w:rsidRDefault="00382420" w:rsidP="00311704">
      <w:pPr>
        <w:pStyle w:val="CETheadingx"/>
      </w:pPr>
      <w:r w:rsidRPr="00382420">
        <w:t>Direct cause of containment failure</w:t>
      </w:r>
    </w:p>
    <w:p w14:paraId="39F6BF2E" w14:textId="77777777" w:rsidR="008E3F9F" w:rsidRPr="008E3F9F" w:rsidRDefault="008E3F9F" w:rsidP="00382420">
      <w:pPr>
        <w:pStyle w:val="CETBodytext"/>
        <w:rPr>
          <w:i/>
          <w:iCs/>
          <w:lang w:val="en-GB"/>
        </w:rPr>
      </w:pPr>
      <w:r w:rsidRPr="008E3F9F">
        <w:rPr>
          <w:i/>
          <w:iCs/>
          <w:lang w:val="en-GB"/>
        </w:rPr>
        <w:t xml:space="preserve">Overpressure </w:t>
      </w:r>
    </w:p>
    <w:p w14:paraId="752CA615" w14:textId="03C50FAB" w:rsidR="00382420" w:rsidRPr="00382420" w:rsidRDefault="00382420" w:rsidP="00382420">
      <w:pPr>
        <w:pStyle w:val="CETBodytext"/>
        <w:rPr>
          <w:lang w:val="en-GB"/>
        </w:rPr>
      </w:pPr>
      <w:r w:rsidRPr="00382420">
        <w:rPr>
          <w:lang w:val="en-GB"/>
        </w:rPr>
        <w:t>Overpressure describes the phenomenon where the internal pressure increases to such a degree that the stresses induced on the containment overcome its strength. Overpressure may be created in the following ways:</w:t>
      </w:r>
    </w:p>
    <w:p w14:paraId="4CEC5DCD" w14:textId="1299D2C6" w:rsidR="00382420" w:rsidRPr="00382420" w:rsidRDefault="00377D84" w:rsidP="00377D84">
      <w:pPr>
        <w:pStyle w:val="CETnumberingbullets"/>
        <w:ind w:left="340" w:hanging="227"/>
      </w:pPr>
      <w:r>
        <w:t>(</w:t>
      </w:r>
      <w:r w:rsidR="00382420" w:rsidRPr="00382420">
        <w:t>a)</w:t>
      </w:r>
      <w:r>
        <w:t xml:space="preserve"> i</w:t>
      </w:r>
      <w:r w:rsidR="00382420" w:rsidRPr="00382420">
        <w:t>nternal pressure increase</w:t>
      </w:r>
    </w:p>
    <w:p w14:paraId="22D76A26" w14:textId="22B0036E" w:rsidR="00382420" w:rsidRPr="00382420" w:rsidRDefault="00377D84" w:rsidP="00377D84">
      <w:pPr>
        <w:pStyle w:val="CETnumberingbullets"/>
        <w:ind w:left="340" w:hanging="227"/>
      </w:pPr>
      <w:r>
        <w:t>(</w:t>
      </w:r>
      <w:r w:rsidR="00382420" w:rsidRPr="00382420">
        <w:t>b)</w:t>
      </w:r>
      <w:r>
        <w:t xml:space="preserve"> p</w:t>
      </w:r>
      <w:r w:rsidR="00382420" w:rsidRPr="00382420">
        <w:t>ressure shock</w:t>
      </w:r>
    </w:p>
    <w:p w14:paraId="283DC930" w14:textId="233C2252" w:rsidR="00382420" w:rsidRPr="00382420" w:rsidRDefault="00382420" w:rsidP="00382420">
      <w:pPr>
        <w:pStyle w:val="CETBodytext"/>
        <w:rPr>
          <w:lang w:val="en-GB"/>
        </w:rPr>
      </w:pPr>
      <w:r w:rsidRPr="00382420">
        <w:rPr>
          <w:lang w:val="en-GB"/>
        </w:rPr>
        <w:t>Internal pressure increase can be further developed in a third level of decomposition. This event may occur in four ways:</w:t>
      </w:r>
      <w:r w:rsidR="00377D84">
        <w:rPr>
          <w:lang w:val="en-GB"/>
        </w:rPr>
        <w:t xml:space="preserve"> c</w:t>
      </w:r>
      <w:r w:rsidRPr="00382420">
        <w:rPr>
          <w:lang w:val="en-GB"/>
        </w:rPr>
        <w:t>ooling malfunction</w:t>
      </w:r>
      <w:r w:rsidR="00377D84">
        <w:rPr>
          <w:lang w:val="en-GB"/>
        </w:rPr>
        <w:t>, d</w:t>
      </w:r>
      <w:r w:rsidRPr="00382420">
        <w:rPr>
          <w:lang w:val="en-GB"/>
        </w:rPr>
        <w:t>irect pressure increases from gas material</w:t>
      </w:r>
      <w:r w:rsidR="00377D84">
        <w:rPr>
          <w:lang w:val="en-GB"/>
        </w:rPr>
        <w:t>, o</w:t>
      </w:r>
      <w:r w:rsidRPr="00382420">
        <w:rPr>
          <w:lang w:val="en-GB"/>
        </w:rPr>
        <w:t>verfilling</w:t>
      </w:r>
      <w:r w:rsidR="00377D84">
        <w:rPr>
          <w:lang w:val="en-GB"/>
        </w:rPr>
        <w:t>, and e</w:t>
      </w:r>
      <w:r w:rsidRPr="00382420">
        <w:rPr>
          <w:lang w:val="en-GB"/>
        </w:rPr>
        <w:t>xcess heat</w:t>
      </w:r>
      <w:r w:rsidR="00377D84">
        <w:rPr>
          <w:lang w:val="en-GB"/>
        </w:rPr>
        <w:t xml:space="preserve">. </w:t>
      </w:r>
      <w:r w:rsidRPr="00382420">
        <w:rPr>
          <w:lang w:val="en-GB"/>
        </w:rPr>
        <w:t>Cooling malfunction may occur due to failure of the insulation allowing air to enter the system causing hydrogen boil-off or, in some cases, due to failure of the vacuum system</w:t>
      </w:r>
      <w:r w:rsidR="00377D84">
        <w:rPr>
          <w:lang w:val="en-GB"/>
        </w:rPr>
        <w:t>.</w:t>
      </w:r>
      <w:r w:rsidRPr="00382420">
        <w:rPr>
          <w:lang w:val="en-GB"/>
        </w:rPr>
        <w:t xml:space="preserve"> </w:t>
      </w:r>
      <w:r w:rsidR="00377D84">
        <w:rPr>
          <w:lang w:val="en-GB"/>
        </w:rPr>
        <w:t xml:space="preserve"> </w:t>
      </w:r>
      <w:r w:rsidR="008E3F9F">
        <w:rPr>
          <w:lang w:val="en-GB"/>
        </w:rPr>
        <w:t xml:space="preserve">Direct </w:t>
      </w:r>
      <w:r w:rsidR="00377D84">
        <w:rPr>
          <w:lang w:val="en-GB"/>
        </w:rPr>
        <w:t>p</w:t>
      </w:r>
      <w:r w:rsidRPr="00382420">
        <w:rPr>
          <w:lang w:val="en-GB"/>
        </w:rPr>
        <w:t>ressure may increase in the system, owing to boil off or owing to hydrogen gas entering the system, as in case of failure of pressure builder unit. In some cases, the system is pressurized due to the failure of the pressure relief devices or the venting system. The presence of water creates ice blocks in the venting system or relief devices may fail in closed position. In both cases hydrogen tanks may rupture, owing to overpressure.</w:t>
      </w:r>
      <w:r w:rsidR="008E3F9F">
        <w:rPr>
          <w:lang w:val="en-GB"/>
        </w:rPr>
        <w:t xml:space="preserve"> </w:t>
      </w:r>
      <w:r w:rsidRPr="00382420">
        <w:rPr>
          <w:lang w:val="en-GB"/>
        </w:rPr>
        <w:t>Overfilling may occur during abnormal operating procedures in loading/unloading LH</w:t>
      </w:r>
      <w:r w:rsidRPr="008E3F9F">
        <w:rPr>
          <w:vertAlign w:val="subscript"/>
          <w:lang w:val="en-GB"/>
        </w:rPr>
        <w:t>2</w:t>
      </w:r>
      <w:r w:rsidRPr="00382420">
        <w:rPr>
          <w:lang w:val="en-GB"/>
        </w:rPr>
        <w:t xml:space="preserve"> tanks. Excess heat is further decomposed in a fourth level which involves the next two causes: internally generated heat due to internal combustion or application of incompatible material, and externally generated heat due to an external fire. Internal combustion or explosion may occur when inadequate purging process takes place that allows gaseous hydrogen to remain in the system. </w:t>
      </w:r>
    </w:p>
    <w:p w14:paraId="12FB5E3E" w14:textId="20CA7F86" w:rsidR="00382420" w:rsidRPr="00382420" w:rsidRDefault="008E3F9F" w:rsidP="00382420">
      <w:pPr>
        <w:pStyle w:val="CETBodytext"/>
        <w:rPr>
          <w:lang w:val="en-GB"/>
        </w:rPr>
      </w:pPr>
      <w:r>
        <w:rPr>
          <w:lang w:val="en-GB"/>
        </w:rPr>
        <w:t>I</w:t>
      </w:r>
      <w:r w:rsidR="00382420" w:rsidRPr="00382420">
        <w:rPr>
          <w:lang w:val="en-GB"/>
        </w:rPr>
        <w:t xml:space="preserve">n addition to internal pressure increase, overpressure may occur due to pressure shock, </w:t>
      </w:r>
      <w:r>
        <w:rPr>
          <w:lang w:val="en-GB"/>
        </w:rPr>
        <w:t xml:space="preserve">known as </w:t>
      </w:r>
      <w:r w:rsidR="00382420" w:rsidRPr="00382420">
        <w:rPr>
          <w:lang w:val="en-GB"/>
        </w:rPr>
        <w:t>water hammer, which can occur by the rapid closing of a valve and a pressure wave resonance within the pipe/hose system will be developed.</w:t>
      </w:r>
    </w:p>
    <w:p w14:paraId="505B299E" w14:textId="77777777" w:rsidR="00382420" w:rsidRPr="008E3F9F" w:rsidRDefault="00382420" w:rsidP="00382420">
      <w:pPr>
        <w:pStyle w:val="CETBodytext"/>
        <w:rPr>
          <w:i/>
          <w:iCs/>
          <w:lang w:val="en-GB"/>
        </w:rPr>
      </w:pPr>
      <w:r w:rsidRPr="008E3F9F">
        <w:rPr>
          <w:i/>
          <w:iCs/>
          <w:lang w:val="en-GB"/>
        </w:rPr>
        <w:t xml:space="preserve">Embrittlement </w:t>
      </w:r>
    </w:p>
    <w:p w14:paraId="54587BF9" w14:textId="331819CB" w:rsidR="00382420" w:rsidRPr="00382420" w:rsidRDefault="00382420" w:rsidP="00382420">
      <w:pPr>
        <w:pStyle w:val="CETBodytext"/>
        <w:rPr>
          <w:lang w:val="en-GB"/>
        </w:rPr>
      </w:pPr>
      <w:r w:rsidRPr="00382420">
        <w:rPr>
          <w:lang w:val="en-GB"/>
        </w:rPr>
        <w:t>Embrittlement, which causes accelerated fatigue crack of instrumentation or the tank shell, can lead to immediate containment failure, if the temperature or pressure exceeds certain levels that significantly affect losses in tensile strength, ductility, and fracture toughness. It is typically a design-based failure due to hydrogen incompatibility of materials used.</w:t>
      </w:r>
    </w:p>
    <w:p w14:paraId="6198D6AC" w14:textId="77777777" w:rsidR="00382420" w:rsidRPr="008E3F9F" w:rsidRDefault="00382420" w:rsidP="00382420">
      <w:pPr>
        <w:pStyle w:val="CETBodytext"/>
        <w:rPr>
          <w:i/>
          <w:iCs/>
          <w:lang w:val="en-GB"/>
        </w:rPr>
      </w:pPr>
      <w:r w:rsidRPr="008E3F9F">
        <w:rPr>
          <w:i/>
          <w:iCs/>
          <w:lang w:val="en-GB"/>
        </w:rPr>
        <w:t xml:space="preserve">Corrosion </w:t>
      </w:r>
    </w:p>
    <w:p w14:paraId="3F706ECF" w14:textId="3EA2533E" w:rsidR="00382420" w:rsidRPr="00382420" w:rsidRDefault="00382420" w:rsidP="00382420">
      <w:pPr>
        <w:pStyle w:val="CETBodytext"/>
        <w:rPr>
          <w:lang w:val="en-GB"/>
        </w:rPr>
      </w:pPr>
      <w:r w:rsidRPr="00382420">
        <w:rPr>
          <w:lang w:val="en-GB"/>
        </w:rPr>
        <w:t xml:space="preserve">Considerable destruction of metal components or tank shell due to the presence of moisture and/or external ambient temperature, failure of the protective coating, or poor maintenance. </w:t>
      </w:r>
    </w:p>
    <w:p w14:paraId="313C224C" w14:textId="77777777" w:rsidR="00382420" w:rsidRPr="008E3F9F" w:rsidRDefault="00382420" w:rsidP="00382420">
      <w:pPr>
        <w:pStyle w:val="CETBodytext"/>
        <w:rPr>
          <w:i/>
          <w:iCs/>
          <w:lang w:val="en-GB"/>
        </w:rPr>
      </w:pPr>
      <w:r w:rsidRPr="008E3F9F">
        <w:rPr>
          <w:i/>
          <w:iCs/>
          <w:lang w:val="en-GB"/>
        </w:rPr>
        <w:t>Vibration</w:t>
      </w:r>
    </w:p>
    <w:p w14:paraId="6AFC9A25" w14:textId="2572EAC0" w:rsidR="00382420" w:rsidRPr="00382420" w:rsidRDefault="00382420" w:rsidP="00382420">
      <w:pPr>
        <w:pStyle w:val="CETBodytext"/>
        <w:rPr>
          <w:lang w:val="en-GB"/>
        </w:rPr>
      </w:pPr>
      <w:r w:rsidRPr="00382420">
        <w:rPr>
          <w:lang w:val="en-GB"/>
        </w:rPr>
        <w:t>Vibration exists due to systems operation. Vibration may contribute to shell cracks or valve openings</w:t>
      </w:r>
      <w:r w:rsidR="00270E7F">
        <w:rPr>
          <w:lang w:val="en-GB"/>
        </w:rPr>
        <w:t>.</w:t>
      </w:r>
    </w:p>
    <w:p w14:paraId="77B263CA" w14:textId="77777777" w:rsidR="00382420" w:rsidRPr="008E3F9F" w:rsidRDefault="00382420" w:rsidP="00382420">
      <w:pPr>
        <w:pStyle w:val="CETBodytext"/>
        <w:rPr>
          <w:i/>
          <w:iCs/>
          <w:lang w:val="en-GB"/>
        </w:rPr>
      </w:pPr>
      <w:r w:rsidRPr="008E3F9F">
        <w:rPr>
          <w:i/>
          <w:iCs/>
          <w:lang w:val="en-GB"/>
        </w:rPr>
        <w:t>External loading</w:t>
      </w:r>
    </w:p>
    <w:p w14:paraId="11AB4162" w14:textId="77777777" w:rsidR="00382420" w:rsidRPr="00382420" w:rsidRDefault="00382420" w:rsidP="00382420">
      <w:pPr>
        <w:pStyle w:val="CETBodytext"/>
        <w:rPr>
          <w:lang w:val="en-GB"/>
        </w:rPr>
      </w:pPr>
      <w:r w:rsidRPr="00382420">
        <w:rPr>
          <w:lang w:val="en-GB"/>
        </w:rPr>
        <w:t>Structural failure of containment owing to external loading occurs whenever such external loads induce stresses to the containment exceeding the strength of its material. This direct cause can be distinguished into three subcategories:</w:t>
      </w:r>
    </w:p>
    <w:p w14:paraId="71F80FF6" w14:textId="3AC97232" w:rsidR="00382420" w:rsidRPr="00382420" w:rsidRDefault="003F1654" w:rsidP="003F1654">
      <w:pPr>
        <w:pStyle w:val="CETnumberingbullets"/>
        <w:ind w:left="340" w:hanging="227"/>
      </w:pPr>
      <w:r>
        <w:t>(</w:t>
      </w:r>
      <w:r w:rsidR="00382420" w:rsidRPr="00382420">
        <w:t>a</w:t>
      </w:r>
      <w:r>
        <w:t>) l</w:t>
      </w:r>
      <w:r w:rsidR="00382420" w:rsidRPr="00382420">
        <w:t xml:space="preserve">oading from </w:t>
      </w:r>
      <w:r>
        <w:t>n</w:t>
      </w:r>
      <w:r w:rsidR="00382420" w:rsidRPr="00382420">
        <w:t xml:space="preserve">atural </w:t>
      </w:r>
      <w:r>
        <w:t>p</w:t>
      </w:r>
      <w:r w:rsidR="00382420" w:rsidRPr="00382420">
        <w:t xml:space="preserve">henomena </w:t>
      </w:r>
    </w:p>
    <w:p w14:paraId="54893585" w14:textId="0D2668EF" w:rsidR="00382420" w:rsidRPr="00382420" w:rsidRDefault="003F1654" w:rsidP="003F1654">
      <w:pPr>
        <w:pStyle w:val="CETnumberingbullets"/>
        <w:ind w:left="340" w:hanging="227"/>
      </w:pPr>
      <w:r>
        <w:t>(b) f</w:t>
      </w:r>
      <w:r w:rsidR="00382420" w:rsidRPr="00382420">
        <w:t>ailure of tank supports</w:t>
      </w:r>
    </w:p>
    <w:p w14:paraId="2ED7118C" w14:textId="15CC444A" w:rsidR="00382420" w:rsidRPr="00382420" w:rsidRDefault="003F1654" w:rsidP="003F1654">
      <w:pPr>
        <w:pStyle w:val="CETnumberingbullets"/>
        <w:ind w:left="340" w:hanging="227"/>
      </w:pPr>
      <w:r>
        <w:t>(c) e</w:t>
      </w:r>
      <w:r w:rsidR="00382420" w:rsidRPr="00382420">
        <w:t xml:space="preserve">xtra </w:t>
      </w:r>
      <w:r>
        <w:t>l</w:t>
      </w:r>
      <w:r w:rsidR="00382420" w:rsidRPr="00382420">
        <w:t xml:space="preserve">oads on the containment </w:t>
      </w:r>
    </w:p>
    <w:p w14:paraId="3B23AFD5" w14:textId="1EA54CD2" w:rsidR="008E3F9F" w:rsidRDefault="00382420" w:rsidP="00382420">
      <w:pPr>
        <w:pStyle w:val="CETBodytext"/>
        <w:rPr>
          <w:lang w:val="en-GB"/>
        </w:rPr>
      </w:pPr>
      <w:r w:rsidRPr="00382420">
        <w:rPr>
          <w:lang w:val="en-GB"/>
        </w:rPr>
        <w:t>The first category can be further subdivided into four types of natural phenomena</w:t>
      </w:r>
      <w:r w:rsidR="003F1654">
        <w:rPr>
          <w:lang w:val="en-GB"/>
        </w:rPr>
        <w:t>, namely e</w:t>
      </w:r>
      <w:r w:rsidRPr="00382420">
        <w:rPr>
          <w:lang w:val="en-GB"/>
        </w:rPr>
        <w:t>arthquake</w:t>
      </w:r>
      <w:r w:rsidR="003F1654">
        <w:rPr>
          <w:lang w:val="en-GB"/>
        </w:rPr>
        <w:t>, f</w:t>
      </w:r>
      <w:r w:rsidRPr="00382420">
        <w:rPr>
          <w:lang w:val="en-GB"/>
        </w:rPr>
        <w:t>looding</w:t>
      </w:r>
      <w:r w:rsidR="003F1654">
        <w:rPr>
          <w:lang w:val="en-GB"/>
        </w:rPr>
        <w:t>, h</w:t>
      </w:r>
      <w:r w:rsidRPr="00382420">
        <w:rPr>
          <w:lang w:val="en-GB"/>
        </w:rPr>
        <w:t>igh winds/storm</w:t>
      </w:r>
      <w:r w:rsidR="003F1654">
        <w:rPr>
          <w:lang w:val="en-GB"/>
        </w:rPr>
        <w:t>, and s</w:t>
      </w:r>
      <w:r w:rsidRPr="00382420">
        <w:rPr>
          <w:lang w:val="en-GB"/>
        </w:rPr>
        <w:t>now</w:t>
      </w:r>
      <w:r w:rsidR="003F1654">
        <w:rPr>
          <w:lang w:val="en-GB"/>
        </w:rPr>
        <w:t xml:space="preserve"> or </w:t>
      </w:r>
      <w:r w:rsidRPr="00382420">
        <w:rPr>
          <w:lang w:val="en-GB"/>
        </w:rPr>
        <w:t>ice</w:t>
      </w:r>
      <w:r w:rsidR="003F1654">
        <w:rPr>
          <w:lang w:val="en-GB"/>
        </w:rPr>
        <w:t xml:space="preserve">. </w:t>
      </w:r>
      <w:r w:rsidRPr="00382420">
        <w:rPr>
          <w:lang w:val="en-GB"/>
        </w:rPr>
        <w:t>Extra loads</w:t>
      </w:r>
      <w:r w:rsidR="003F1654">
        <w:rPr>
          <w:lang w:val="en-GB"/>
        </w:rPr>
        <w:t xml:space="preserve">, on the other hand, </w:t>
      </w:r>
      <w:r w:rsidRPr="00382420">
        <w:rPr>
          <w:lang w:val="en-GB"/>
        </w:rPr>
        <w:t>may occur if there is an impact from cranes, or other vehicles, missiles, or overpressure from a neighbour pressure vessel. This category can be divided into two events:</w:t>
      </w:r>
      <w:r w:rsidR="003F1654">
        <w:rPr>
          <w:lang w:val="en-GB"/>
        </w:rPr>
        <w:t xml:space="preserve"> d</w:t>
      </w:r>
      <w:r w:rsidRPr="00382420">
        <w:rPr>
          <w:lang w:val="en-GB"/>
        </w:rPr>
        <w:t xml:space="preserve">ropped </w:t>
      </w:r>
      <w:r w:rsidR="003F1654" w:rsidRPr="00382420">
        <w:rPr>
          <w:lang w:val="en-GB"/>
        </w:rPr>
        <w:t>object</w:t>
      </w:r>
      <w:r w:rsidR="003F1654">
        <w:rPr>
          <w:lang w:val="en-GB"/>
        </w:rPr>
        <w:t xml:space="preserve"> and c</w:t>
      </w:r>
      <w:r w:rsidRPr="00382420">
        <w:rPr>
          <w:lang w:val="en-GB"/>
        </w:rPr>
        <w:t>ontact</w:t>
      </w:r>
      <w:r w:rsidR="003F1654">
        <w:rPr>
          <w:lang w:val="en-GB"/>
        </w:rPr>
        <w:t xml:space="preserve"> or </w:t>
      </w:r>
      <w:r w:rsidRPr="00382420">
        <w:rPr>
          <w:lang w:val="en-GB"/>
        </w:rPr>
        <w:t>collision</w:t>
      </w:r>
      <w:r w:rsidR="003F1654">
        <w:rPr>
          <w:lang w:val="en-GB"/>
        </w:rPr>
        <w:t xml:space="preserve">. </w:t>
      </w:r>
    </w:p>
    <w:p w14:paraId="386A48AB" w14:textId="74604AD6" w:rsidR="00382420" w:rsidRPr="00382420" w:rsidRDefault="00382420" w:rsidP="00311704">
      <w:pPr>
        <w:pStyle w:val="CETheadingx"/>
      </w:pPr>
      <w:r w:rsidRPr="00382420">
        <w:t xml:space="preserve">Containment </w:t>
      </w:r>
      <w:r w:rsidR="00C42A4D">
        <w:t>b</w:t>
      </w:r>
      <w:r w:rsidR="00C42A4D" w:rsidRPr="00382420">
        <w:t>ypassing</w:t>
      </w:r>
    </w:p>
    <w:p w14:paraId="2A34BB19" w14:textId="6971BFD7" w:rsidR="00382420" w:rsidRDefault="001A52E6" w:rsidP="00382420">
      <w:pPr>
        <w:pStyle w:val="CETBodytext"/>
        <w:rPr>
          <w:lang w:val="en-GB"/>
        </w:rPr>
      </w:pPr>
      <w:r>
        <w:rPr>
          <w:lang w:val="en-GB"/>
        </w:rPr>
        <w:t xml:space="preserve">In addition, </w:t>
      </w:r>
      <w:r w:rsidRPr="00382420">
        <w:rPr>
          <w:lang w:val="en-GB"/>
        </w:rPr>
        <w:t>LOC may occur</w:t>
      </w:r>
      <w:r>
        <w:rPr>
          <w:lang w:val="en-GB"/>
        </w:rPr>
        <w:t xml:space="preserve"> in the case</w:t>
      </w:r>
      <w:r w:rsidR="00382420" w:rsidRPr="00382420">
        <w:rPr>
          <w:lang w:val="en-GB"/>
        </w:rPr>
        <w:t xml:space="preserve"> the containment has remained open when operations start or opens during operations. In the first case, a manual/ power valve or hatch might have been left open and not closed before operations start.</w:t>
      </w:r>
      <w:r>
        <w:rPr>
          <w:lang w:val="en-GB"/>
        </w:rPr>
        <w:t xml:space="preserve"> </w:t>
      </w:r>
      <w:r w:rsidR="00382420" w:rsidRPr="00382420">
        <w:rPr>
          <w:lang w:val="en-GB"/>
        </w:rPr>
        <w:t>In the second case, a valve or flange may open suddenly due to malfunction or operator error, or due to vibrations occurring during operations. In addition, a pressure relief device may open unexpectedly and remain open. A hose coupling may also fail during the connection of a hose to an LH</w:t>
      </w:r>
      <w:r w:rsidR="00382420" w:rsidRPr="001A52E6">
        <w:rPr>
          <w:vertAlign w:val="subscript"/>
          <w:lang w:val="en-GB"/>
        </w:rPr>
        <w:t>2</w:t>
      </w:r>
      <w:r w:rsidR="00382420" w:rsidRPr="00382420">
        <w:rPr>
          <w:lang w:val="en-GB"/>
        </w:rPr>
        <w:t xml:space="preserve"> tank resulting to hydrogen release, and finally residual LH</w:t>
      </w:r>
      <w:r w:rsidR="00382420" w:rsidRPr="001A52E6">
        <w:rPr>
          <w:vertAlign w:val="subscript"/>
          <w:lang w:val="en-GB"/>
        </w:rPr>
        <w:t>2</w:t>
      </w:r>
      <w:r w:rsidR="00382420" w:rsidRPr="00382420">
        <w:rPr>
          <w:lang w:val="en-GB"/>
        </w:rPr>
        <w:t xml:space="preserve"> may be released from a hose during disconnection, if not proper cleaning of the line has taken place. </w:t>
      </w:r>
    </w:p>
    <w:p w14:paraId="14F0AC97" w14:textId="77777777" w:rsidR="00CB63F5" w:rsidRDefault="00CB63F5" w:rsidP="00436C59">
      <w:pPr>
        <w:pStyle w:val="CETHeading1"/>
      </w:pPr>
      <w:r>
        <w:lastRenderedPageBreak/>
        <w:t>Case study</w:t>
      </w:r>
    </w:p>
    <w:p w14:paraId="18107C3E" w14:textId="02C9DB5A" w:rsidR="00436C59" w:rsidRDefault="00436C59" w:rsidP="00311704">
      <w:pPr>
        <w:pStyle w:val="CETheadingx"/>
      </w:pPr>
      <w:r>
        <w:t xml:space="preserve">Installation </w:t>
      </w:r>
      <w:r w:rsidR="00C42A4D">
        <w:t>description</w:t>
      </w:r>
    </w:p>
    <w:p w14:paraId="4C98444C" w14:textId="1CD5E888" w:rsidR="00DF370D" w:rsidRPr="00DF370D" w:rsidRDefault="00436C59" w:rsidP="00DF370D">
      <w:pPr>
        <w:pStyle w:val="CETBodytext"/>
      </w:pPr>
      <w:r w:rsidRPr="00612797">
        <w:rPr>
          <w:lang w:val="en-GB"/>
        </w:rPr>
        <w:t>A simplified diagram of the system analysed</w:t>
      </w:r>
      <w:r>
        <w:rPr>
          <w:lang w:val="en-GB"/>
        </w:rPr>
        <w:t xml:space="preserve">, that </w:t>
      </w:r>
      <w:r w:rsidRPr="008543DE">
        <w:rPr>
          <w:lang w:val="en-GB"/>
        </w:rPr>
        <w:t>address LH</w:t>
      </w:r>
      <w:r w:rsidRPr="00630793">
        <w:rPr>
          <w:vertAlign w:val="subscript"/>
          <w:lang w:val="en-GB"/>
        </w:rPr>
        <w:t>2</w:t>
      </w:r>
      <w:r>
        <w:rPr>
          <w:lang w:val="en-GB"/>
        </w:rPr>
        <w:t>,</w:t>
      </w:r>
      <w:r w:rsidRPr="00612797">
        <w:rPr>
          <w:lang w:val="en-GB"/>
        </w:rPr>
        <w:t xml:space="preserve"> is presented in Figure </w:t>
      </w:r>
      <w:r w:rsidR="0059162B">
        <w:rPr>
          <w:lang w:val="en-GB"/>
        </w:rPr>
        <w:t>2</w:t>
      </w:r>
      <w:r w:rsidRPr="00612797">
        <w:rPr>
          <w:lang w:val="en-GB"/>
        </w:rPr>
        <w:t xml:space="preserve">. It consists of </w:t>
      </w:r>
      <w:r>
        <w:rPr>
          <w:lang w:val="en-GB"/>
        </w:rPr>
        <w:t xml:space="preserve">the next </w:t>
      </w:r>
      <w:r w:rsidRPr="00612797">
        <w:rPr>
          <w:lang w:val="en-GB"/>
        </w:rPr>
        <w:t xml:space="preserve">three </w:t>
      </w:r>
      <w:r>
        <w:rPr>
          <w:lang w:val="en-GB"/>
        </w:rPr>
        <w:t xml:space="preserve">key </w:t>
      </w:r>
      <w:r w:rsidRPr="00612797">
        <w:rPr>
          <w:lang w:val="en-GB"/>
        </w:rPr>
        <w:t>subsystems</w:t>
      </w:r>
      <w:r>
        <w:rPr>
          <w:lang w:val="en-GB"/>
        </w:rPr>
        <w:t xml:space="preserve">: (a) </w:t>
      </w:r>
      <w:r w:rsidRPr="00612797">
        <w:rPr>
          <w:lang w:val="en-GB"/>
        </w:rPr>
        <w:t>a</w:t>
      </w:r>
      <w:r w:rsidR="00DF370D">
        <w:rPr>
          <w:lang w:val="en-GB"/>
        </w:rPr>
        <w:t>n</w:t>
      </w:r>
      <w:r w:rsidR="00C42A4D">
        <w:rPr>
          <w:lang w:val="en-GB"/>
        </w:rPr>
        <w:t xml:space="preserve"> </w:t>
      </w:r>
      <w:r w:rsidRPr="00612797">
        <w:rPr>
          <w:lang w:val="en-GB"/>
        </w:rPr>
        <w:t>LH</w:t>
      </w:r>
      <w:r w:rsidRPr="00382420">
        <w:rPr>
          <w:vertAlign w:val="subscript"/>
          <w:lang w:val="en-GB"/>
        </w:rPr>
        <w:t>2</w:t>
      </w:r>
      <w:r w:rsidRPr="00612797">
        <w:rPr>
          <w:lang w:val="en-GB"/>
        </w:rPr>
        <w:t xml:space="preserve"> trailer, </w:t>
      </w:r>
      <w:r>
        <w:rPr>
          <w:lang w:val="en-GB"/>
        </w:rPr>
        <w:t xml:space="preserve">(b) </w:t>
      </w:r>
      <w:r w:rsidRPr="00612797">
        <w:rPr>
          <w:lang w:val="en-GB"/>
        </w:rPr>
        <w:t>an LH</w:t>
      </w:r>
      <w:r w:rsidRPr="00382420">
        <w:rPr>
          <w:vertAlign w:val="subscript"/>
          <w:lang w:val="en-GB"/>
        </w:rPr>
        <w:t>2</w:t>
      </w:r>
      <w:r w:rsidRPr="00612797">
        <w:rPr>
          <w:lang w:val="en-GB"/>
        </w:rPr>
        <w:t xml:space="preserve"> storage tank, and </w:t>
      </w:r>
      <w:r>
        <w:rPr>
          <w:lang w:val="en-GB"/>
        </w:rPr>
        <w:t xml:space="preserve">(c) </w:t>
      </w:r>
      <w:r w:rsidRPr="00612797">
        <w:rPr>
          <w:lang w:val="en-GB"/>
        </w:rPr>
        <w:t xml:space="preserve">the connecting hose. </w:t>
      </w:r>
      <w:r w:rsidR="00DF370D">
        <w:t>The transfer of liquid hydrogen from the trailer to the storage tank is achieved via pressure difference between</w:t>
      </w:r>
      <w:r w:rsidR="0091291A">
        <w:t xml:space="preserve"> these systems, and pressure in the trailer is increased with the operation of a vaporizer. </w:t>
      </w:r>
      <w:r>
        <w:rPr>
          <w:lang w:val="en-GB"/>
        </w:rPr>
        <w:t xml:space="preserve">The trailer and the storage tank are equipped </w:t>
      </w:r>
      <w:r w:rsidRPr="00612797">
        <w:rPr>
          <w:lang w:val="en-GB"/>
        </w:rPr>
        <w:t>with control and safety equipment</w:t>
      </w:r>
      <w:r>
        <w:rPr>
          <w:lang w:val="en-GB"/>
        </w:rPr>
        <w:t>, including insulation, pressure and level control devices</w:t>
      </w:r>
      <w:r w:rsidR="00DF370D">
        <w:rPr>
          <w:lang w:val="en-GB"/>
        </w:rPr>
        <w:t>, pressure safety valves, bursting disks,</w:t>
      </w:r>
      <w:r>
        <w:rPr>
          <w:lang w:val="en-GB"/>
        </w:rPr>
        <w:t xml:space="preserve"> vent system</w:t>
      </w:r>
      <w:r w:rsidR="00DF370D">
        <w:rPr>
          <w:lang w:val="en-GB"/>
        </w:rPr>
        <w:t xml:space="preserve"> and </w:t>
      </w:r>
      <w:r w:rsidR="0091291A">
        <w:rPr>
          <w:lang w:val="en-GB"/>
        </w:rPr>
        <w:t xml:space="preserve">bumpers for </w:t>
      </w:r>
      <w:r w:rsidR="00DF370D">
        <w:rPr>
          <w:lang w:val="en-GB"/>
        </w:rPr>
        <w:t>collision protection</w:t>
      </w:r>
      <w:r>
        <w:rPr>
          <w:lang w:val="en-GB"/>
        </w:rPr>
        <w:t xml:space="preserve">. </w:t>
      </w:r>
      <w:r w:rsidR="00DF370D">
        <w:rPr>
          <w:lang w:val="en-GB"/>
        </w:rPr>
        <w:t xml:space="preserve">Figure </w:t>
      </w:r>
      <w:r w:rsidR="0059162B">
        <w:rPr>
          <w:lang w:val="en-GB"/>
        </w:rPr>
        <w:t xml:space="preserve">2 </w:t>
      </w:r>
      <w:r w:rsidR="00DF370D">
        <w:rPr>
          <w:lang w:val="en-GB"/>
        </w:rPr>
        <w:t xml:space="preserve">also presents the safety systems of the trailer and the storage </w:t>
      </w:r>
      <w:r w:rsidR="00DF370D" w:rsidRPr="0059162B">
        <w:rPr>
          <w:lang w:val="en-GB"/>
        </w:rPr>
        <w:t>tank</w:t>
      </w:r>
      <w:r w:rsidR="00DF370D" w:rsidRPr="0059162B">
        <w:t xml:space="preserve">. </w:t>
      </w:r>
      <w:r w:rsidR="00DF370D" w:rsidRPr="00DF370D">
        <w:t>The current case study uses the MLD approach to identify the initiating hazard events and determines the damage states assuming the bunkering of a</w:t>
      </w:r>
      <w:r w:rsidR="0091291A">
        <w:t>n</w:t>
      </w:r>
      <w:r w:rsidR="00DF370D" w:rsidRPr="00DF370D">
        <w:t xml:space="preserve"> LH</w:t>
      </w:r>
      <w:r w:rsidR="00DF370D" w:rsidRPr="00DF370D">
        <w:rPr>
          <w:vertAlign w:val="subscript"/>
        </w:rPr>
        <w:t>2</w:t>
      </w:r>
      <w:r w:rsidR="00DF370D" w:rsidRPr="00DF370D">
        <w:t xml:space="preserve"> storage </w:t>
      </w:r>
      <w:r w:rsidR="0091291A">
        <w:t>tank from a trailer, via</w:t>
      </w:r>
      <w:r w:rsidR="00DF370D" w:rsidRPr="00DF370D">
        <w:t xml:space="preserve"> a flexible hose. </w:t>
      </w:r>
    </w:p>
    <w:p w14:paraId="4B7B1AC8" w14:textId="40189637" w:rsidR="00436C59" w:rsidRPr="0077155F" w:rsidRDefault="00436C59" w:rsidP="00436C59">
      <w:pPr>
        <w:pStyle w:val="CETBodytext"/>
      </w:pPr>
    </w:p>
    <w:p w14:paraId="4CBF56B4" w14:textId="098DF5CC" w:rsidR="00436C59" w:rsidRDefault="00DF370D" w:rsidP="00436C59">
      <w:pPr>
        <w:pStyle w:val="CETBodytext"/>
        <w:spacing w:before="240" w:after="240"/>
        <w:jc w:val="left"/>
        <w:rPr>
          <w:lang w:val="en-GB"/>
        </w:rPr>
      </w:pPr>
      <w:r>
        <w:rPr>
          <w:noProof/>
          <w:lang w:val="el-GR" w:eastAsia="el-GR"/>
        </w:rPr>
        <w:drawing>
          <wp:inline distT="0" distB="0" distL="0" distR="0" wp14:anchorId="5340EBC6" wp14:editId="04E33CB6">
            <wp:extent cx="2708254" cy="1099056"/>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395" cy="1108041"/>
                    </a:xfrm>
                    <a:prstGeom prst="rect">
                      <a:avLst/>
                    </a:prstGeom>
                    <a:noFill/>
                  </pic:spPr>
                </pic:pic>
              </a:graphicData>
            </a:graphic>
          </wp:inline>
        </w:drawing>
      </w:r>
    </w:p>
    <w:p w14:paraId="636E0E61" w14:textId="7F70CE47" w:rsidR="00436C59" w:rsidRDefault="00436C59" w:rsidP="00436C59">
      <w:pPr>
        <w:pStyle w:val="CETCaption"/>
      </w:pPr>
      <w:r w:rsidRPr="00BD077D">
        <w:rPr>
          <w:rStyle w:val="CETCaptionCarattere"/>
          <w:i/>
        </w:rPr>
        <w:t xml:space="preserve">Figure </w:t>
      </w:r>
      <w:r w:rsidR="0065342B">
        <w:rPr>
          <w:rStyle w:val="CETCaptionCarattere"/>
          <w:i/>
        </w:rPr>
        <w:t>2</w:t>
      </w:r>
      <w:r w:rsidRPr="00BD077D">
        <w:rPr>
          <w:rStyle w:val="CETCaptionCarattere"/>
          <w:i/>
        </w:rPr>
        <w:t xml:space="preserve">: </w:t>
      </w:r>
      <w:r>
        <w:rPr>
          <w:rStyle w:val="CETCaptionCarattere"/>
          <w:i/>
        </w:rPr>
        <w:t xml:space="preserve">The examined fuelling system </w:t>
      </w:r>
      <w:r w:rsidRPr="00BD077D">
        <w:t xml:space="preserve"> </w:t>
      </w:r>
    </w:p>
    <w:p w14:paraId="5C475D70" w14:textId="77777777" w:rsidR="000C1F81" w:rsidRDefault="000C1F81" w:rsidP="000C1F81">
      <w:pPr>
        <w:pStyle w:val="CETheadingx"/>
      </w:pPr>
      <w:r w:rsidRPr="00382420">
        <w:t xml:space="preserve">Initiating </w:t>
      </w:r>
      <w:r>
        <w:t>e</w:t>
      </w:r>
      <w:r w:rsidRPr="00382420">
        <w:t xml:space="preserve">vents </w:t>
      </w:r>
      <w:r>
        <w:t xml:space="preserve">and damage states  </w:t>
      </w:r>
    </w:p>
    <w:p w14:paraId="38D88980" w14:textId="05DDEA83" w:rsidR="000C1F81" w:rsidRDefault="000C1F81" w:rsidP="000C1F81">
      <w:pPr>
        <w:pStyle w:val="CETBodytext"/>
        <w:rPr>
          <w:lang w:val="en-GB"/>
        </w:rPr>
      </w:pPr>
      <w:r w:rsidRPr="008411A4">
        <w:rPr>
          <w:lang w:val="en-GB"/>
        </w:rPr>
        <w:t>The generic MLD when applied to the Loss of Containment of the trailer</w:t>
      </w:r>
      <w:r>
        <w:rPr>
          <w:lang w:val="en-GB"/>
        </w:rPr>
        <w:t>, hose and storage tank</w:t>
      </w:r>
      <w:r w:rsidRPr="008411A4">
        <w:rPr>
          <w:lang w:val="en-GB"/>
        </w:rPr>
        <w:t xml:space="preserve"> during transferring of LH</w:t>
      </w:r>
      <w:r w:rsidRPr="00127122">
        <w:rPr>
          <w:vertAlign w:val="subscript"/>
          <w:lang w:val="en-GB"/>
        </w:rPr>
        <w:t>2</w:t>
      </w:r>
      <w:r w:rsidRPr="008411A4">
        <w:rPr>
          <w:lang w:val="en-GB"/>
        </w:rPr>
        <w:t xml:space="preserve"> from the trailer to the tank results in the direct causes </w:t>
      </w:r>
      <w:r>
        <w:rPr>
          <w:lang w:val="en-GB"/>
        </w:rPr>
        <w:t xml:space="preserve">presented in Table 1. </w:t>
      </w:r>
      <w:r w:rsidRPr="00382420">
        <w:rPr>
          <w:lang w:val="en-GB"/>
        </w:rPr>
        <w:t xml:space="preserve">All initiating events </w:t>
      </w:r>
      <w:r w:rsidR="004F7097">
        <w:rPr>
          <w:lang w:val="en-GB"/>
        </w:rPr>
        <w:t xml:space="preserve">(IEs) </w:t>
      </w:r>
      <w:r w:rsidRPr="00382420">
        <w:rPr>
          <w:lang w:val="en-GB"/>
        </w:rPr>
        <w:t xml:space="preserve">are presented in Table </w:t>
      </w:r>
      <w:r>
        <w:rPr>
          <w:lang w:val="en-GB"/>
        </w:rPr>
        <w:t>1</w:t>
      </w:r>
      <w:r w:rsidRPr="00382420">
        <w:rPr>
          <w:lang w:val="en-GB"/>
        </w:rPr>
        <w:t xml:space="preserve"> for the trailer, hose</w:t>
      </w:r>
      <w:r>
        <w:rPr>
          <w:lang w:val="en-GB"/>
        </w:rPr>
        <w:t>,</w:t>
      </w:r>
      <w:r w:rsidRPr="00382420">
        <w:rPr>
          <w:lang w:val="en-GB"/>
        </w:rPr>
        <w:t xml:space="preserve"> and storage tank respectively. </w:t>
      </w:r>
      <w:r>
        <w:t xml:space="preserve">This list was further checked for completeness with initiating events of past recorded accidents and /or studies (check lists). </w:t>
      </w:r>
      <w:r w:rsidRPr="008411A4">
        <w:rPr>
          <w:lang w:val="en-GB"/>
        </w:rPr>
        <w:t xml:space="preserve">Incidents found in NASA's accident database </w:t>
      </w:r>
      <w:r>
        <w:rPr>
          <w:lang w:val="en-GB"/>
        </w:rPr>
        <w:t>(Ordin,</w:t>
      </w:r>
      <w:r w:rsidRPr="008411A4">
        <w:rPr>
          <w:lang w:val="en-GB"/>
        </w:rPr>
        <w:t xml:space="preserve">1974) include cooling malfunction, failure to close vent or relief devices, inadequate purging, embrittlement, corrosion, vibration, extra </w:t>
      </w:r>
      <w:r w:rsidRPr="008411A4">
        <w:t xml:space="preserve">loading from natural phenomena, extra loading owning to collision or contact, </w:t>
      </w:r>
      <w:r w:rsidRPr="008411A4">
        <w:rPr>
          <w:lang w:val="en-GB"/>
        </w:rPr>
        <w:t xml:space="preserve">valve left open before operations start, and unexpectedly open of pressure relief device. </w:t>
      </w:r>
    </w:p>
    <w:p w14:paraId="20338150" w14:textId="1507F8DB" w:rsidR="00B65E06" w:rsidRPr="00B57B36" w:rsidRDefault="00B65E06" w:rsidP="00B65E06">
      <w:pPr>
        <w:pStyle w:val="CETTabletitle"/>
      </w:pPr>
      <w:r w:rsidRPr="00B57B36">
        <w:t xml:space="preserve">Table 1: </w:t>
      </w:r>
      <w:r w:rsidR="00EB2C85">
        <w:t>Identified initiating events for the trailer, hose, and storage tank</w:t>
      </w:r>
    </w:p>
    <w:tbl>
      <w:tblPr>
        <w:tblW w:w="8820"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542"/>
        <w:gridCol w:w="5241"/>
        <w:gridCol w:w="1139"/>
        <w:gridCol w:w="759"/>
        <w:gridCol w:w="1139"/>
      </w:tblGrid>
      <w:tr w:rsidR="00B65E06" w:rsidRPr="00B57B36" w14:paraId="267408EA" w14:textId="77777777" w:rsidTr="0059162B">
        <w:tc>
          <w:tcPr>
            <w:tcW w:w="542" w:type="dxa"/>
            <w:tcBorders>
              <w:top w:val="single" w:sz="12" w:space="0" w:color="008000"/>
              <w:bottom w:val="single" w:sz="6" w:space="0" w:color="008000"/>
            </w:tcBorders>
            <w:shd w:val="clear" w:color="auto" w:fill="FFFFFF"/>
          </w:tcPr>
          <w:p w14:paraId="72F4AFDA" w14:textId="78E112DB" w:rsidR="00B65E06" w:rsidRPr="00B57B36" w:rsidRDefault="00B65E06" w:rsidP="00932A2C">
            <w:pPr>
              <w:pStyle w:val="CETBodytext"/>
              <w:rPr>
                <w:lang w:val="en-GB"/>
              </w:rPr>
            </w:pPr>
            <w:r>
              <w:rPr>
                <w:lang w:val="en-GB"/>
              </w:rPr>
              <w:t>No.</w:t>
            </w:r>
          </w:p>
        </w:tc>
        <w:tc>
          <w:tcPr>
            <w:tcW w:w="5241" w:type="dxa"/>
            <w:tcBorders>
              <w:top w:val="single" w:sz="12" w:space="0" w:color="008000"/>
              <w:bottom w:val="single" w:sz="6" w:space="0" w:color="008000"/>
            </w:tcBorders>
            <w:shd w:val="clear" w:color="auto" w:fill="FFFFFF"/>
          </w:tcPr>
          <w:p w14:paraId="300B3D93" w14:textId="7E4AD0B5" w:rsidR="00B65E06" w:rsidRPr="00B57B36" w:rsidRDefault="00B65E06" w:rsidP="00932A2C">
            <w:pPr>
              <w:pStyle w:val="CETBodytext"/>
              <w:rPr>
                <w:lang w:val="en-GB"/>
              </w:rPr>
            </w:pPr>
            <w:r>
              <w:rPr>
                <w:lang w:val="en-GB"/>
              </w:rPr>
              <w:t xml:space="preserve">Initiating events </w:t>
            </w:r>
          </w:p>
        </w:tc>
        <w:tc>
          <w:tcPr>
            <w:tcW w:w="1139" w:type="dxa"/>
            <w:tcBorders>
              <w:top w:val="single" w:sz="12" w:space="0" w:color="008000"/>
              <w:bottom w:val="single" w:sz="6" w:space="0" w:color="008000"/>
            </w:tcBorders>
            <w:shd w:val="clear" w:color="auto" w:fill="FFFFFF"/>
          </w:tcPr>
          <w:p w14:paraId="3A460226" w14:textId="191F5123" w:rsidR="00B65E06" w:rsidRPr="00B57B36" w:rsidRDefault="00B65E06" w:rsidP="00932A2C">
            <w:pPr>
              <w:pStyle w:val="CETBodytext"/>
              <w:rPr>
                <w:lang w:val="en-GB"/>
              </w:rPr>
            </w:pPr>
            <w:r>
              <w:rPr>
                <w:lang w:val="en-GB"/>
              </w:rPr>
              <w:t>Trailer tank</w:t>
            </w:r>
          </w:p>
        </w:tc>
        <w:tc>
          <w:tcPr>
            <w:tcW w:w="759" w:type="dxa"/>
            <w:tcBorders>
              <w:top w:val="single" w:sz="12" w:space="0" w:color="008000"/>
              <w:bottom w:val="single" w:sz="6" w:space="0" w:color="008000"/>
            </w:tcBorders>
            <w:shd w:val="clear" w:color="auto" w:fill="FFFFFF"/>
          </w:tcPr>
          <w:p w14:paraId="2ACD4C2A" w14:textId="033FE5FE" w:rsidR="00B65E06" w:rsidRPr="00B57B36" w:rsidRDefault="00B65E06" w:rsidP="00932A2C">
            <w:pPr>
              <w:pStyle w:val="CETBodytext"/>
              <w:ind w:right="-1"/>
              <w:rPr>
                <w:rFonts w:cs="Arial"/>
                <w:szCs w:val="18"/>
                <w:lang w:val="en-GB"/>
              </w:rPr>
            </w:pPr>
            <w:r>
              <w:rPr>
                <w:rFonts w:cs="Arial"/>
                <w:szCs w:val="18"/>
                <w:lang w:val="en-GB"/>
              </w:rPr>
              <w:t xml:space="preserve">Hose </w:t>
            </w:r>
          </w:p>
        </w:tc>
        <w:tc>
          <w:tcPr>
            <w:tcW w:w="1139" w:type="dxa"/>
            <w:tcBorders>
              <w:top w:val="single" w:sz="12" w:space="0" w:color="008000"/>
              <w:bottom w:val="single" w:sz="6" w:space="0" w:color="008000"/>
            </w:tcBorders>
            <w:shd w:val="clear" w:color="auto" w:fill="FFFFFF"/>
          </w:tcPr>
          <w:p w14:paraId="20EFB15D" w14:textId="0E8F2BAF" w:rsidR="00B65E06" w:rsidRPr="00B57B36" w:rsidRDefault="00B65E06" w:rsidP="00932A2C">
            <w:pPr>
              <w:pStyle w:val="CETBodytext"/>
              <w:ind w:right="-1"/>
              <w:rPr>
                <w:rFonts w:cs="Arial"/>
                <w:szCs w:val="18"/>
                <w:lang w:val="en-GB"/>
              </w:rPr>
            </w:pPr>
            <w:r>
              <w:rPr>
                <w:rFonts w:cs="Arial"/>
                <w:szCs w:val="18"/>
                <w:lang w:val="en-GB"/>
              </w:rPr>
              <w:t>Storage tank</w:t>
            </w:r>
          </w:p>
        </w:tc>
      </w:tr>
      <w:tr w:rsidR="00B65E06" w:rsidRPr="00B57B36" w14:paraId="04D5E19C" w14:textId="77777777" w:rsidTr="0059162B">
        <w:tc>
          <w:tcPr>
            <w:tcW w:w="542" w:type="dxa"/>
            <w:shd w:val="clear" w:color="auto" w:fill="FFFFFF"/>
          </w:tcPr>
          <w:p w14:paraId="4C86C177" w14:textId="65E8D495" w:rsidR="00B65E06" w:rsidRPr="00B57B36" w:rsidRDefault="00B65E06" w:rsidP="00B65E06">
            <w:pPr>
              <w:pStyle w:val="CETBodytext"/>
              <w:rPr>
                <w:lang w:val="en-GB"/>
              </w:rPr>
            </w:pPr>
            <w:r w:rsidRPr="00D22BEE">
              <w:t>1)</w:t>
            </w:r>
          </w:p>
        </w:tc>
        <w:tc>
          <w:tcPr>
            <w:tcW w:w="5241" w:type="dxa"/>
            <w:shd w:val="clear" w:color="auto" w:fill="FFFFFF"/>
          </w:tcPr>
          <w:p w14:paraId="68B8BE81" w14:textId="30303AE3" w:rsidR="00B65E06" w:rsidRPr="00B57B36" w:rsidRDefault="00B65E06" w:rsidP="00B65E06">
            <w:pPr>
              <w:pStyle w:val="CETBodytext"/>
              <w:rPr>
                <w:lang w:val="en-GB"/>
              </w:rPr>
            </w:pPr>
            <w:r w:rsidRPr="00D22BEE">
              <w:t>Embrittlement, corrosion</w:t>
            </w:r>
          </w:p>
        </w:tc>
        <w:tc>
          <w:tcPr>
            <w:tcW w:w="1139" w:type="dxa"/>
            <w:shd w:val="clear" w:color="auto" w:fill="FFFFFF"/>
          </w:tcPr>
          <w:p w14:paraId="1271579F" w14:textId="43256AD1" w:rsidR="00B65E06" w:rsidRPr="00B57B36" w:rsidRDefault="00B65E06" w:rsidP="00CB63F5">
            <w:pPr>
              <w:pStyle w:val="CETBodytext"/>
              <w:jc w:val="left"/>
              <w:rPr>
                <w:lang w:val="en-GB"/>
              </w:rPr>
            </w:pPr>
            <w:r w:rsidRPr="00EB2923">
              <w:rPr>
                <w:lang w:val="en-GB"/>
              </w:rPr>
              <w:sym w:font="Wingdings 2" w:char="F050"/>
            </w:r>
          </w:p>
        </w:tc>
        <w:tc>
          <w:tcPr>
            <w:tcW w:w="759" w:type="dxa"/>
            <w:shd w:val="clear" w:color="auto" w:fill="FFFFFF"/>
          </w:tcPr>
          <w:p w14:paraId="213B32CC" w14:textId="2EF28409" w:rsidR="00B65E06" w:rsidRPr="00B57B36" w:rsidRDefault="00B65E06" w:rsidP="00CB63F5">
            <w:pPr>
              <w:pStyle w:val="CETBodytext"/>
              <w:ind w:right="-1"/>
              <w:jc w:val="left"/>
              <w:rPr>
                <w:rFonts w:cs="Arial"/>
                <w:szCs w:val="18"/>
                <w:lang w:val="en-GB"/>
              </w:rPr>
            </w:pPr>
            <w:r w:rsidRPr="003A6C57">
              <w:rPr>
                <w:lang w:val="en-GB"/>
              </w:rPr>
              <w:sym w:font="Wingdings 2" w:char="F050"/>
            </w:r>
          </w:p>
        </w:tc>
        <w:tc>
          <w:tcPr>
            <w:tcW w:w="1139" w:type="dxa"/>
            <w:shd w:val="clear" w:color="auto" w:fill="FFFFFF"/>
          </w:tcPr>
          <w:p w14:paraId="7718933F" w14:textId="0AAF6B31" w:rsidR="00B65E06" w:rsidRPr="00B57B36" w:rsidRDefault="00B65E06" w:rsidP="00CB63F5">
            <w:pPr>
              <w:pStyle w:val="CETBodytext"/>
              <w:ind w:right="-1"/>
              <w:jc w:val="left"/>
              <w:rPr>
                <w:rFonts w:cs="Arial"/>
                <w:szCs w:val="18"/>
                <w:lang w:val="en-GB"/>
              </w:rPr>
            </w:pPr>
            <w:r w:rsidRPr="003A6C57">
              <w:rPr>
                <w:lang w:val="en-GB"/>
              </w:rPr>
              <w:sym w:font="Wingdings 2" w:char="F050"/>
            </w:r>
          </w:p>
        </w:tc>
      </w:tr>
      <w:tr w:rsidR="00B65E06" w:rsidRPr="00B57B36" w14:paraId="70FF0D31" w14:textId="77777777" w:rsidTr="0059162B">
        <w:tc>
          <w:tcPr>
            <w:tcW w:w="542" w:type="dxa"/>
            <w:shd w:val="clear" w:color="auto" w:fill="FFFFFF"/>
          </w:tcPr>
          <w:p w14:paraId="752A1573" w14:textId="454FD960" w:rsidR="00B65E06" w:rsidRPr="00B57B36" w:rsidRDefault="00B65E06" w:rsidP="00B65E06">
            <w:pPr>
              <w:pStyle w:val="CETBodytext"/>
              <w:rPr>
                <w:lang w:val="en-GB"/>
              </w:rPr>
            </w:pPr>
            <w:r w:rsidRPr="00D22BEE">
              <w:t>2)</w:t>
            </w:r>
          </w:p>
        </w:tc>
        <w:tc>
          <w:tcPr>
            <w:tcW w:w="5241" w:type="dxa"/>
            <w:shd w:val="clear" w:color="auto" w:fill="FFFFFF"/>
          </w:tcPr>
          <w:p w14:paraId="6A85C407" w14:textId="0C2B5B22" w:rsidR="00B65E06" w:rsidRPr="00B57B36" w:rsidRDefault="00B65E06" w:rsidP="00B65E06">
            <w:pPr>
              <w:pStyle w:val="CETBodytext"/>
              <w:rPr>
                <w:lang w:val="en-GB"/>
              </w:rPr>
            </w:pPr>
            <w:r>
              <w:t>Tank</w:t>
            </w:r>
            <w:r w:rsidRPr="00D22BEE">
              <w:t xml:space="preserve"> insulation failure or vacuum loss </w:t>
            </w:r>
          </w:p>
        </w:tc>
        <w:tc>
          <w:tcPr>
            <w:tcW w:w="1139" w:type="dxa"/>
            <w:shd w:val="clear" w:color="auto" w:fill="FFFFFF"/>
          </w:tcPr>
          <w:p w14:paraId="28BE3D00" w14:textId="0D7FB230" w:rsidR="00B65E06" w:rsidRPr="00B57B36" w:rsidRDefault="00B65E06" w:rsidP="00CB63F5">
            <w:pPr>
              <w:pStyle w:val="CETBodytext"/>
              <w:jc w:val="left"/>
              <w:rPr>
                <w:lang w:val="en-GB"/>
              </w:rPr>
            </w:pPr>
            <w:r w:rsidRPr="00EB2923">
              <w:rPr>
                <w:lang w:val="en-GB"/>
              </w:rPr>
              <w:sym w:font="Wingdings 2" w:char="F050"/>
            </w:r>
          </w:p>
        </w:tc>
        <w:tc>
          <w:tcPr>
            <w:tcW w:w="759" w:type="dxa"/>
            <w:shd w:val="clear" w:color="auto" w:fill="FFFFFF"/>
          </w:tcPr>
          <w:p w14:paraId="2536F787" w14:textId="2B764916" w:rsidR="00B65E06" w:rsidRPr="00B57B36" w:rsidRDefault="00B65E06" w:rsidP="00CB63F5">
            <w:pPr>
              <w:pStyle w:val="CETBodytext"/>
              <w:ind w:right="-1"/>
              <w:jc w:val="left"/>
              <w:rPr>
                <w:rFonts w:cs="Arial"/>
                <w:szCs w:val="18"/>
                <w:lang w:val="en-GB"/>
              </w:rPr>
            </w:pPr>
          </w:p>
        </w:tc>
        <w:tc>
          <w:tcPr>
            <w:tcW w:w="1139" w:type="dxa"/>
            <w:shd w:val="clear" w:color="auto" w:fill="FFFFFF"/>
          </w:tcPr>
          <w:p w14:paraId="48C2B74E" w14:textId="06AFDAC5" w:rsidR="00B65E06" w:rsidRPr="00B57B36" w:rsidRDefault="00B65E06" w:rsidP="00CB63F5">
            <w:pPr>
              <w:pStyle w:val="CETBodytext"/>
              <w:ind w:right="-1"/>
              <w:jc w:val="left"/>
              <w:rPr>
                <w:rFonts w:cs="Arial"/>
                <w:szCs w:val="18"/>
                <w:lang w:val="en-GB"/>
              </w:rPr>
            </w:pPr>
            <w:r w:rsidRPr="003A6C57">
              <w:rPr>
                <w:lang w:val="en-GB"/>
              </w:rPr>
              <w:sym w:font="Wingdings 2" w:char="F050"/>
            </w:r>
          </w:p>
        </w:tc>
      </w:tr>
      <w:tr w:rsidR="00B65E06" w:rsidRPr="00B57B36" w14:paraId="528DA5C4" w14:textId="77777777" w:rsidTr="0059162B">
        <w:tc>
          <w:tcPr>
            <w:tcW w:w="542" w:type="dxa"/>
            <w:shd w:val="clear" w:color="auto" w:fill="FFFFFF"/>
          </w:tcPr>
          <w:p w14:paraId="4F6F69CB" w14:textId="46093D93" w:rsidR="00B65E06" w:rsidRPr="00B57B36" w:rsidRDefault="00B65E06" w:rsidP="00B65E06">
            <w:pPr>
              <w:pStyle w:val="CETBodytext"/>
              <w:rPr>
                <w:lang w:val="en-GB"/>
              </w:rPr>
            </w:pPr>
            <w:r w:rsidRPr="00D22BEE">
              <w:t>3)</w:t>
            </w:r>
          </w:p>
        </w:tc>
        <w:tc>
          <w:tcPr>
            <w:tcW w:w="5241" w:type="dxa"/>
            <w:shd w:val="clear" w:color="auto" w:fill="FFFFFF"/>
          </w:tcPr>
          <w:p w14:paraId="003A8138" w14:textId="6B8BFF13" w:rsidR="00B65E06" w:rsidRPr="00B57B36" w:rsidRDefault="00B65E06" w:rsidP="00B65E06">
            <w:pPr>
              <w:pStyle w:val="CETBodytext"/>
              <w:rPr>
                <w:lang w:val="en-GB"/>
              </w:rPr>
            </w:pPr>
            <w:r w:rsidRPr="00D22BEE">
              <w:t>Excess external heat owing to nearby external fire</w:t>
            </w:r>
          </w:p>
        </w:tc>
        <w:tc>
          <w:tcPr>
            <w:tcW w:w="1139" w:type="dxa"/>
            <w:shd w:val="clear" w:color="auto" w:fill="FFFFFF"/>
          </w:tcPr>
          <w:p w14:paraId="5F7BE71B" w14:textId="76E3A23E" w:rsidR="00B65E06" w:rsidRPr="00B57B36" w:rsidRDefault="00B65E06" w:rsidP="00CB63F5">
            <w:pPr>
              <w:pStyle w:val="CETBodytext"/>
              <w:jc w:val="left"/>
              <w:rPr>
                <w:lang w:val="en-GB"/>
              </w:rPr>
            </w:pPr>
            <w:r w:rsidRPr="00EB2923">
              <w:rPr>
                <w:lang w:val="en-GB"/>
              </w:rPr>
              <w:sym w:font="Wingdings 2" w:char="F050"/>
            </w:r>
          </w:p>
        </w:tc>
        <w:tc>
          <w:tcPr>
            <w:tcW w:w="759" w:type="dxa"/>
            <w:shd w:val="clear" w:color="auto" w:fill="FFFFFF"/>
          </w:tcPr>
          <w:p w14:paraId="2F5DE5A1" w14:textId="6C72E852" w:rsidR="00B65E06" w:rsidRPr="00B57B36" w:rsidRDefault="00B65E06" w:rsidP="00CB63F5">
            <w:pPr>
              <w:pStyle w:val="CETBodytext"/>
              <w:ind w:right="-1"/>
              <w:jc w:val="left"/>
              <w:rPr>
                <w:rFonts w:cs="Arial"/>
                <w:szCs w:val="18"/>
                <w:lang w:val="en-GB"/>
              </w:rPr>
            </w:pPr>
            <w:r w:rsidRPr="003A6C57">
              <w:rPr>
                <w:lang w:val="en-GB"/>
              </w:rPr>
              <w:sym w:font="Wingdings 2" w:char="F050"/>
            </w:r>
          </w:p>
        </w:tc>
        <w:tc>
          <w:tcPr>
            <w:tcW w:w="1139" w:type="dxa"/>
            <w:shd w:val="clear" w:color="auto" w:fill="FFFFFF"/>
          </w:tcPr>
          <w:p w14:paraId="403F2C27" w14:textId="2368723D" w:rsidR="00B65E06" w:rsidRPr="00B57B36" w:rsidRDefault="00B65E06" w:rsidP="00CB63F5">
            <w:pPr>
              <w:pStyle w:val="CETBodytext"/>
              <w:ind w:right="-1"/>
              <w:jc w:val="left"/>
              <w:rPr>
                <w:rFonts w:cs="Arial"/>
                <w:szCs w:val="18"/>
                <w:lang w:val="en-GB"/>
              </w:rPr>
            </w:pPr>
            <w:r w:rsidRPr="003A6C57">
              <w:rPr>
                <w:lang w:val="en-GB"/>
              </w:rPr>
              <w:sym w:font="Wingdings 2" w:char="F050"/>
            </w:r>
          </w:p>
        </w:tc>
      </w:tr>
      <w:tr w:rsidR="00B65E06" w:rsidRPr="00B57B36" w14:paraId="2CB547F5" w14:textId="77777777" w:rsidTr="0059162B">
        <w:tc>
          <w:tcPr>
            <w:tcW w:w="542" w:type="dxa"/>
            <w:shd w:val="clear" w:color="auto" w:fill="FFFFFF"/>
          </w:tcPr>
          <w:p w14:paraId="296DFEFA" w14:textId="5088F18B" w:rsidR="00B65E06" w:rsidRPr="00D22BEE" w:rsidRDefault="00B65E06" w:rsidP="00B65E06">
            <w:pPr>
              <w:pStyle w:val="CETBodytext"/>
            </w:pPr>
            <w:r>
              <w:t>4</w:t>
            </w:r>
            <w:r w:rsidRPr="00D26180">
              <w:t>)</w:t>
            </w:r>
          </w:p>
        </w:tc>
        <w:tc>
          <w:tcPr>
            <w:tcW w:w="5241" w:type="dxa"/>
            <w:shd w:val="clear" w:color="auto" w:fill="FFFFFF"/>
          </w:tcPr>
          <w:p w14:paraId="7BDB7709" w14:textId="0673B3A8" w:rsidR="00B65E06" w:rsidRPr="00D22BEE" w:rsidRDefault="00B65E06" w:rsidP="00B65E06">
            <w:pPr>
              <w:pStyle w:val="CETBodytext"/>
            </w:pPr>
            <w:r w:rsidRPr="00D26180">
              <w:t>Pressure shock in pipelines (Inadvertent valve closure during unloading)</w:t>
            </w:r>
          </w:p>
        </w:tc>
        <w:tc>
          <w:tcPr>
            <w:tcW w:w="1139" w:type="dxa"/>
            <w:shd w:val="clear" w:color="auto" w:fill="FFFFFF"/>
          </w:tcPr>
          <w:p w14:paraId="2D7299A5" w14:textId="77777777" w:rsidR="00B65E06" w:rsidRPr="00EB2923" w:rsidRDefault="00B65E06" w:rsidP="00CB63F5">
            <w:pPr>
              <w:pStyle w:val="CETBodytext"/>
              <w:jc w:val="left"/>
              <w:rPr>
                <w:lang w:val="en-GB"/>
              </w:rPr>
            </w:pPr>
          </w:p>
        </w:tc>
        <w:tc>
          <w:tcPr>
            <w:tcW w:w="759" w:type="dxa"/>
            <w:shd w:val="clear" w:color="auto" w:fill="FFFFFF"/>
          </w:tcPr>
          <w:p w14:paraId="207D0EB5" w14:textId="0C4147FE" w:rsidR="00B65E06" w:rsidRPr="003A6C57" w:rsidRDefault="00B65E06" w:rsidP="00CB63F5">
            <w:pPr>
              <w:pStyle w:val="CETBodytext"/>
              <w:ind w:right="-1"/>
              <w:jc w:val="left"/>
              <w:rPr>
                <w:lang w:val="en-GB"/>
              </w:rPr>
            </w:pPr>
            <w:r w:rsidRPr="00AF540C">
              <w:rPr>
                <w:lang w:val="en-GB"/>
              </w:rPr>
              <w:sym w:font="Wingdings 2" w:char="F050"/>
            </w:r>
          </w:p>
        </w:tc>
        <w:tc>
          <w:tcPr>
            <w:tcW w:w="1139" w:type="dxa"/>
            <w:shd w:val="clear" w:color="auto" w:fill="FFFFFF"/>
          </w:tcPr>
          <w:p w14:paraId="78A9FF55" w14:textId="77777777" w:rsidR="00B65E06" w:rsidRPr="003A6C57" w:rsidRDefault="00B65E06" w:rsidP="00CB63F5">
            <w:pPr>
              <w:pStyle w:val="CETBodytext"/>
              <w:ind w:right="-1"/>
              <w:jc w:val="left"/>
              <w:rPr>
                <w:lang w:val="en-GB"/>
              </w:rPr>
            </w:pPr>
          </w:p>
        </w:tc>
      </w:tr>
      <w:tr w:rsidR="00B65E06" w:rsidRPr="00B57B36" w14:paraId="0B2659DE" w14:textId="77777777" w:rsidTr="0059162B">
        <w:tc>
          <w:tcPr>
            <w:tcW w:w="542" w:type="dxa"/>
            <w:shd w:val="clear" w:color="auto" w:fill="FFFFFF"/>
          </w:tcPr>
          <w:p w14:paraId="3AE8CC93" w14:textId="1D31462C" w:rsidR="00B65E06" w:rsidRPr="00D22BEE" w:rsidRDefault="00B65E06" w:rsidP="00B65E06">
            <w:pPr>
              <w:pStyle w:val="CETBodytext"/>
            </w:pPr>
            <w:r>
              <w:t>5</w:t>
            </w:r>
            <w:r w:rsidRPr="00D26180">
              <w:t>)</w:t>
            </w:r>
          </w:p>
        </w:tc>
        <w:tc>
          <w:tcPr>
            <w:tcW w:w="5241" w:type="dxa"/>
            <w:shd w:val="clear" w:color="auto" w:fill="FFFFFF"/>
          </w:tcPr>
          <w:p w14:paraId="0FFCF1A1" w14:textId="2026F7A4" w:rsidR="00B65E06" w:rsidRPr="00D22BEE" w:rsidRDefault="00B65E06" w:rsidP="00B65E06">
            <w:pPr>
              <w:pStyle w:val="CETBodytext"/>
            </w:pPr>
            <w:r w:rsidRPr="00D26180">
              <w:t>Inadequate purging or cooling of hoses</w:t>
            </w:r>
          </w:p>
        </w:tc>
        <w:tc>
          <w:tcPr>
            <w:tcW w:w="1139" w:type="dxa"/>
            <w:shd w:val="clear" w:color="auto" w:fill="FFFFFF"/>
          </w:tcPr>
          <w:p w14:paraId="75CE793D" w14:textId="77777777" w:rsidR="00B65E06" w:rsidRPr="00EB2923" w:rsidRDefault="00B65E06" w:rsidP="00CB63F5">
            <w:pPr>
              <w:pStyle w:val="CETBodytext"/>
              <w:jc w:val="left"/>
              <w:rPr>
                <w:lang w:val="en-GB"/>
              </w:rPr>
            </w:pPr>
          </w:p>
        </w:tc>
        <w:tc>
          <w:tcPr>
            <w:tcW w:w="759" w:type="dxa"/>
            <w:shd w:val="clear" w:color="auto" w:fill="FFFFFF"/>
          </w:tcPr>
          <w:p w14:paraId="0D0E0B81" w14:textId="3F73860F" w:rsidR="00B65E06" w:rsidRPr="003A6C57" w:rsidRDefault="00B65E06" w:rsidP="00CB63F5">
            <w:pPr>
              <w:pStyle w:val="CETBodytext"/>
              <w:ind w:right="-1"/>
              <w:jc w:val="left"/>
              <w:rPr>
                <w:lang w:val="en-GB"/>
              </w:rPr>
            </w:pPr>
            <w:r w:rsidRPr="00AF540C">
              <w:rPr>
                <w:lang w:val="en-GB"/>
              </w:rPr>
              <w:sym w:font="Wingdings 2" w:char="F050"/>
            </w:r>
          </w:p>
        </w:tc>
        <w:tc>
          <w:tcPr>
            <w:tcW w:w="1139" w:type="dxa"/>
            <w:shd w:val="clear" w:color="auto" w:fill="FFFFFF"/>
          </w:tcPr>
          <w:p w14:paraId="6EDC0E88" w14:textId="77777777" w:rsidR="00B65E06" w:rsidRPr="003A6C57" w:rsidRDefault="00B65E06" w:rsidP="00CB63F5">
            <w:pPr>
              <w:pStyle w:val="CETBodytext"/>
              <w:ind w:right="-1"/>
              <w:jc w:val="left"/>
              <w:rPr>
                <w:lang w:val="en-GB"/>
              </w:rPr>
            </w:pPr>
          </w:p>
        </w:tc>
      </w:tr>
      <w:tr w:rsidR="00B65E06" w:rsidRPr="00B57B36" w14:paraId="1EFE99CD" w14:textId="77777777" w:rsidTr="0059162B">
        <w:tc>
          <w:tcPr>
            <w:tcW w:w="542" w:type="dxa"/>
            <w:shd w:val="clear" w:color="auto" w:fill="FFFFFF"/>
          </w:tcPr>
          <w:p w14:paraId="32B80CAC" w14:textId="1451BE7D" w:rsidR="00B65E06" w:rsidRPr="00B57B36" w:rsidRDefault="0091291A" w:rsidP="0091291A">
            <w:pPr>
              <w:pStyle w:val="CETBodytext"/>
              <w:rPr>
                <w:lang w:val="en-GB"/>
              </w:rPr>
            </w:pPr>
            <w:r>
              <w:t>6</w:t>
            </w:r>
            <w:r w:rsidR="00B65E06" w:rsidRPr="00D22BEE">
              <w:t>)</w:t>
            </w:r>
          </w:p>
        </w:tc>
        <w:tc>
          <w:tcPr>
            <w:tcW w:w="5241" w:type="dxa"/>
            <w:shd w:val="clear" w:color="auto" w:fill="FFFFFF"/>
          </w:tcPr>
          <w:p w14:paraId="59CAE3D2" w14:textId="15E1B8DC" w:rsidR="00B65E06" w:rsidRPr="00B57B36" w:rsidRDefault="00B65E06" w:rsidP="00B65E06">
            <w:pPr>
              <w:pStyle w:val="CETBodytext"/>
              <w:rPr>
                <w:lang w:val="en-GB"/>
              </w:rPr>
            </w:pPr>
            <w:r w:rsidRPr="00D22BEE">
              <w:t>High pressure, owing to vaporizer malfunction or not stopped</w:t>
            </w:r>
          </w:p>
        </w:tc>
        <w:tc>
          <w:tcPr>
            <w:tcW w:w="1139" w:type="dxa"/>
            <w:shd w:val="clear" w:color="auto" w:fill="FFFFFF"/>
          </w:tcPr>
          <w:p w14:paraId="5792D81D" w14:textId="060CAA7D" w:rsidR="00B65E06" w:rsidRPr="00B57B36" w:rsidRDefault="00B65E06" w:rsidP="00CB63F5">
            <w:pPr>
              <w:pStyle w:val="CETBodytext"/>
              <w:jc w:val="left"/>
              <w:rPr>
                <w:lang w:val="en-GB"/>
              </w:rPr>
            </w:pPr>
            <w:r w:rsidRPr="00EB2923">
              <w:rPr>
                <w:lang w:val="en-GB"/>
              </w:rPr>
              <w:sym w:font="Wingdings 2" w:char="F050"/>
            </w:r>
          </w:p>
        </w:tc>
        <w:tc>
          <w:tcPr>
            <w:tcW w:w="759" w:type="dxa"/>
            <w:shd w:val="clear" w:color="auto" w:fill="FFFFFF"/>
          </w:tcPr>
          <w:p w14:paraId="3779AECC" w14:textId="04A0ADD5" w:rsidR="00B65E06" w:rsidRPr="00B57B36" w:rsidRDefault="00B65E06" w:rsidP="00CB63F5">
            <w:pPr>
              <w:pStyle w:val="CETBodytext"/>
              <w:ind w:right="-1"/>
              <w:jc w:val="left"/>
              <w:rPr>
                <w:rFonts w:cs="Arial"/>
                <w:szCs w:val="18"/>
                <w:lang w:val="en-GB"/>
              </w:rPr>
            </w:pPr>
          </w:p>
        </w:tc>
        <w:tc>
          <w:tcPr>
            <w:tcW w:w="1139" w:type="dxa"/>
            <w:shd w:val="clear" w:color="auto" w:fill="FFFFFF"/>
          </w:tcPr>
          <w:p w14:paraId="52338EEA" w14:textId="1586FE5C" w:rsidR="00B65E06" w:rsidRPr="00B57B36" w:rsidRDefault="00B65E06" w:rsidP="00CB63F5">
            <w:pPr>
              <w:pStyle w:val="CETBodytext"/>
              <w:ind w:right="-1"/>
              <w:jc w:val="left"/>
              <w:rPr>
                <w:rFonts w:cs="Arial"/>
                <w:szCs w:val="18"/>
                <w:lang w:val="en-GB"/>
              </w:rPr>
            </w:pPr>
            <w:r w:rsidRPr="003A6C57">
              <w:rPr>
                <w:lang w:val="en-GB"/>
              </w:rPr>
              <w:sym w:font="Wingdings 2" w:char="F050"/>
            </w:r>
          </w:p>
        </w:tc>
      </w:tr>
      <w:tr w:rsidR="00B65E06" w:rsidRPr="00B57B36" w14:paraId="5312CBB1" w14:textId="77777777" w:rsidTr="0059162B">
        <w:tc>
          <w:tcPr>
            <w:tcW w:w="542" w:type="dxa"/>
            <w:shd w:val="clear" w:color="auto" w:fill="FFFFFF"/>
          </w:tcPr>
          <w:p w14:paraId="61E5CB8E" w14:textId="32B4D3DB" w:rsidR="00B65E06" w:rsidRPr="00B57B36" w:rsidRDefault="0091291A" w:rsidP="0091291A">
            <w:pPr>
              <w:pStyle w:val="CETBodytext"/>
              <w:rPr>
                <w:lang w:val="en-GB"/>
              </w:rPr>
            </w:pPr>
            <w:r>
              <w:t>7</w:t>
            </w:r>
            <w:r w:rsidR="00B65E06" w:rsidRPr="00D22BEE">
              <w:t>)</w:t>
            </w:r>
          </w:p>
        </w:tc>
        <w:tc>
          <w:tcPr>
            <w:tcW w:w="5241" w:type="dxa"/>
            <w:shd w:val="clear" w:color="auto" w:fill="FFFFFF"/>
          </w:tcPr>
          <w:p w14:paraId="47BEEE70" w14:textId="60261D12" w:rsidR="00B65E06" w:rsidRPr="00B57B36" w:rsidRDefault="00B65E06" w:rsidP="00B65E06">
            <w:pPr>
              <w:pStyle w:val="CETBodytext"/>
              <w:rPr>
                <w:lang w:val="en-GB"/>
              </w:rPr>
            </w:pPr>
            <w:r w:rsidRPr="00D22BEE">
              <w:t>Vibration</w:t>
            </w:r>
          </w:p>
        </w:tc>
        <w:tc>
          <w:tcPr>
            <w:tcW w:w="1139" w:type="dxa"/>
            <w:shd w:val="clear" w:color="auto" w:fill="FFFFFF"/>
          </w:tcPr>
          <w:p w14:paraId="02CE0F17" w14:textId="0F168981" w:rsidR="00B65E06" w:rsidRPr="00B57B36" w:rsidRDefault="00B65E06" w:rsidP="00CB63F5">
            <w:pPr>
              <w:pStyle w:val="CETBodytext"/>
              <w:jc w:val="left"/>
              <w:rPr>
                <w:lang w:val="en-GB"/>
              </w:rPr>
            </w:pPr>
            <w:r w:rsidRPr="00EB2923">
              <w:rPr>
                <w:lang w:val="en-GB"/>
              </w:rPr>
              <w:sym w:font="Wingdings 2" w:char="F050"/>
            </w:r>
          </w:p>
        </w:tc>
        <w:tc>
          <w:tcPr>
            <w:tcW w:w="759" w:type="dxa"/>
            <w:shd w:val="clear" w:color="auto" w:fill="FFFFFF"/>
          </w:tcPr>
          <w:p w14:paraId="36259503" w14:textId="30F1BB8E" w:rsidR="00B65E06" w:rsidRPr="00B57B36" w:rsidRDefault="00B65E06" w:rsidP="00CB63F5">
            <w:pPr>
              <w:pStyle w:val="CETBodytext"/>
              <w:ind w:right="-1"/>
              <w:jc w:val="left"/>
              <w:rPr>
                <w:rFonts w:cs="Arial"/>
                <w:szCs w:val="18"/>
                <w:lang w:val="en-GB"/>
              </w:rPr>
            </w:pPr>
            <w:r w:rsidRPr="003A6C57">
              <w:rPr>
                <w:lang w:val="en-GB"/>
              </w:rPr>
              <w:sym w:font="Wingdings 2" w:char="F050"/>
            </w:r>
          </w:p>
        </w:tc>
        <w:tc>
          <w:tcPr>
            <w:tcW w:w="1139" w:type="dxa"/>
            <w:shd w:val="clear" w:color="auto" w:fill="FFFFFF"/>
          </w:tcPr>
          <w:p w14:paraId="5AD25BA6" w14:textId="74BCA318" w:rsidR="00B65E06" w:rsidRPr="00B57B36" w:rsidRDefault="00B65E06" w:rsidP="00CB63F5">
            <w:pPr>
              <w:pStyle w:val="CETBodytext"/>
              <w:ind w:right="-1"/>
              <w:jc w:val="left"/>
              <w:rPr>
                <w:rFonts w:cs="Arial"/>
                <w:szCs w:val="18"/>
                <w:lang w:val="en-GB"/>
              </w:rPr>
            </w:pPr>
            <w:r w:rsidRPr="003A6C57">
              <w:rPr>
                <w:lang w:val="en-GB"/>
              </w:rPr>
              <w:sym w:font="Wingdings 2" w:char="F050"/>
            </w:r>
          </w:p>
        </w:tc>
      </w:tr>
      <w:tr w:rsidR="00B65E06" w:rsidRPr="00B57B36" w14:paraId="1D500566" w14:textId="77777777" w:rsidTr="0059162B">
        <w:tc>
          <w:tcPr>
            <w:tcW w:w="542" w:type="dxa"/>
            <w:shd w:val="clear" w:color="auto" w:fill="FFFFFF"/>
          </w:tcPr>
          <w:p w14:paraId="0FAAB554" w14:textId="25A9163F" w:rsidR="00B65E06" w:rsidRPr="00B57B36" w:rsidRDefault="0091291A" w:rsidP="0091291A">
            <w:pPr>
              <w:pStyle w:val="CETBodytext"/>
              <w:rPr>
                <w:lang w:val="en-GB"/>
              </w:rPr>
            </w:pPr>
            <w:r>
              <w:t>8</w:t>
            </w:r>
            <w:r w:rsidR="00B65E06" w:rsidRPr="00D22BEE">
              <w:t>)</w:t>
            </w:r>
          </w:p>
        </w:tc>
        <w:tc>
          <w:tcPr>
            <w:tcW w:w="5241" w:type="dxa"/>
            <w:shd w:val="clear" w:color="auto" w:fill="FFFFFF"/>
          </w:tcPr>
          <w:p w14:paraId="22FB2166" w14:textId="05689EB0" w:rsidR="00B65E06" w:rsidRPr="00B57B36" w:rsidRDefault="00B65E06" w:rsidP="00B65E06">
            <w:pPr>
              <w:pStyle w:val="CETBodytext"/>
              <w:rPr>
                <w:lang w:val="en-GB"/>
              </w:rPr>
            </w:pPr>
            <w:r w:rsidRPr="00D22BEE">
              <w:t>Earthquake, snow, ice, floods, high winds</w:t>
            </w:r>
          </w:p>
        </w:tc>
        <w:tc>
          <w:tcPr>
            <w:tcW w:w="1139" w:type="dxa"/>
            <w:shd w:val="clear" w:color="auto" w:fill="FFFFFF"/>
          </w:tcPr>
          <w:p w14:paraId="173CFD48" w14:textId="6EA5C4F2" w:rsidR="00B65E06" w:rsidRPr="00B57B36" w:rsidRDefault="00B65E06" w:rsidP="00CB63F5">
            <w:pPr>
              <w:pStyle w:val="CETBodytext"/>
              <w:jc w:val="left"/>
              <w:rPr>
                <w:lang w:val="en-GB"/>
              </w:rPr>
            </w:pPr>
            <w:r w:rsidRPr="00EB2923">
              <w:rPr>
                <w:lang w:val="en-GB"/>
              </w:rPr>
              <w:sym w:font="Wingdings 2" w:char="F050"/>
            </w:r>
          </w:p>
        </w:tc>
        <w:tc>
          <w:tcPr>
            <w:tcW w:w="759" w:type="dxa"/>
            <w:shd w:val="clear" w:color="auto" w:fill="FFFFFF"/>
          </w:tcPr>
          <w:p w14:paraId="19CD619D" w14:textId="44B4F4DA" w:rsidR="00B65E06" w:rsidRPr="00B57B36" w:rsidRDefault="00B65E06" w:rsidP="00CB63F5">
            <w:pPr>
              <w:pStyle w:val="CETBodytext"/>
              <w:ind w:right="-1"/>
              <w:jc w:val="left"/>
              <w:rPr>
                <w:rFonts w:cs="Arial"/>
                <w:szCs w:val="18"/>
                <w:lang w:val="en-GB"/>
              </w:rPr>
            </w:pPr>
            <w:r w:rsidRPr="003A6C57">
              <w:rPr>
                <w:lang w:val="en-GB"/>
              </w:rPr>
              <w:sym w:font="Wingdings 2" w:char="F050"/>
            </w:r>
          </w:p>
        </w:tc>
        <w:tc>
          <w:tcPr>
            <w:tcW w:w="1139" w:type="dxa"/>
            <w:shd w:val="clear" w:color="auto" w:fill="FFFFFF"/>
          </w:tcPr>
          <w:p w14:paraId="77268F2F" w14:textId="03C9CB6E" w:rsidR="00B65E06" w:rsidRPr="00B57B36" w:rsidRDefault="00B65E06" w:rsidP="00CB63F5">
            <w:pPr>
              <w:pStyle w:val="CETBodytext"/>
              <w:ind w:right="-1"/>
              <w:jc w:val="left"/>
              <w:rPr>
                <w:rFonts w:cs="Arial"/>
                <w:szCs w:val="18"/>
                <w:lang w:val="en-GB"/>
              </w:rPr>
            </w:pPr>
            <w:r w:rsidRPr="003A6C57">
              <w:rPr>
                <w:lang w:val="en-GB"/>
              </w:rPr>
              <w:sym w:font="Wingdings 2" w:char="F050"/>
            </w:r>
          </w:p>
        </w:tc>
      </w:tr>
      <w:tr w:rsidR="00EB2C85" w:rsidRPr="00B57B36" w14:paraId="27F54DB8" w14:textId="77777777" w:rsidTr="0059162B">
        <w:tc>
          <w:tcPr>
            <w:tcW w:w="542" w:type="dxa"/>
            <w:shd w:val="clear" w:color="auto" w:fill="FFFFFF"/>
          </w:tcPr>
          <w:p w14:paraId="5C38CB3E" w14:textId="195B2C29" w:rsidR="00EB2C85" w:rsidRDefault="0091291A" w:rsidP="0091291A">
            <w:pPr>
              <w:pStyle w:val="CETBodytext"/>
            </w:pPr>
            <w:r>
              <w:t>9</w:t>
            </w:r>
            <w:r w:rsidR="00EB2C85">
              <w:t>)</w:t>
            </w:r>
          </w:p>
        </w:tc>
        <w:tc>
          <w:tcPr>
            <w:tcW w:w="5241" w:type="dxa"/>
            <w:shd w:val="clear" w:color="auto" w:fill="FFFFFF"/>
          </w:tcPr>
          <w:p w14:paraId="09D9FA85" w14:textId="6F1FD8C9" w:rsidR="00EB2C85" w:rsidRPr="00D22BEE" w:rsidRDefault="00EB2C85" w:rsidP="00B65E06">
            <w:pPr>
              <w:pStyle w:val="CETBodytext"/>
            </w:pPr>
            <w:r>
              <w:t>Support</w:t>
            </w:r>
            <w:r w:rsidR="00B93B8E">
              <w:t>s</w:t>
            </w:r>
            <w:r>
              <w:t xml:space="preserve"> failure</w:t>
            </w:r>
          </w:p>
        </w:tc>
        <w:tc>
          <w:tcPr>
            <w:tcW w:w="1139" w:type="dxa"/>
            <w:shd w:val="clear" w:color="auto" w:fill="FFFFFF"/>
          </w:tcPr>
          <w:p w14:paraId="0A6C7080" w14:textId="77777777" w:rsidR="00EB2C85" w:rsidRPr="00EB2923" w:rsidRDefault="00EB2C85" w:rsidP="00CB63F5">
            <w:pPr>
              <w:pStyle w:val="CETBodytext"/>
              <w:jc w:val="left"/>
              <w:rPr>
                <w:lang w:val="en-GB"/>
              </w:rPr>
            </w:pPr>
          </w:p>
        </w:tc>
        <w:tc>
          <w:tcPr>
            <w:tcW w:w="759" w:type="dxa"/>
            <w:shd w:val="clear" w:color="auto" w:fill="FFFFFF"/>
          </w:tcPr>
          <w:p w14:paraId="7D248A1B" w14:textId="77777777" w:rsidR="00EB2C85" w:rsidRPr="003A6C57" w:rsidRDefault="00EB2C85" w:rsidP="00CB63F5">
            <w:pPr>
              <w:pStyle w:val="CETBodytext"/>
              <w:ind w:right="-1"/>
              <w:jc w:val="left"/>
              <w:rPr>
                <w:lang w:val="en-GB"/>
              </w:rPr>
            </w:pPr>
          </w:p>
        </w:tc>
        <w:tc>
          <w:tcPr>
            <w:tcW w:w="1139" w:type="dxa"/>
            <w:shd w:val="clear" w:color="auto" w:fill="FFFFFF"/>
          </w:tcPr>
          <w:p w14:paraId="7DD32311" w14:textId="50E3784B" w:rsidR="00EB2C85" w:rsidRPr="003A6C57" w:rsidRDefault="00EB2C85" w:rsidP="00CB63F5">
            <w:pPr>
              <w:pStyle w:val="CETBodytext"/>
              <w:ind w:right="-1"/>
              <w:jc w:val="left"/>
              <w:rPr>
                <w:lang w:val="en-GB"/>
              </w:rPr>
            </w:pPr>
            <w:r w:rsidRPr="003A6C57">
              <w:rPr>
                <w:lang w:val="en-GB"/>
              </w:rPr>
              <w:sym w:font="Wingdings 2" w:char="F050"/>
            </w:r>
          </w:p>
        </w:tc>
      </w:tr>
      <w:tr w:rsidR="00B65E06" w:rsidRPr="00B57B36" w14:paraId="6683309A" w14:textId="77777777" w:rsidTr="0059162B">
        <w:tc>
          <w:tcPr>
            <w:tcW w:w="542" w:type="dxa"/>
            <w:shd w:val="clear" w:color="auto" w:fill="FFFFFF"/>
          </w:tcPr>
          <w:p w14:paraId="43D0099B" w14:textId="48F5739B" w:rsidR="00B65E06" w:rsidRPr="00B57B36" w:rsidRDefault="00B65E06" w:rsidP="0091291A">
            <w:pPr>
              <w:pStyle w:val="CETBodytext"/>
              <w:rPr>
                <w:lang w:val="en-GB"/>
              </w:rPr>
            </w:pPr>
            <w:r w:rsidRPr="00D22BEE">
              <w:t>1</w:t>
            </w:r>
            <w:r w:rsidR="0091291A">
              <w:t>0</w:t>
            </w:r>
            <w:r w:rsidRPr="00D22BEE">
              <w:t>)</w:t>
            </w:r>
          </w:p>
        </w:tc>
        <w:tc>
          <w:tcPr>
            <w:tcW w:w="5241" w:type="dxa"/>
            <w:shd w:val="clear" w:color="auto" w:fill="FFFFFF"/>
          </w:tcPr>
          <w:p w14:paraId="1F0D6583" w14:textId="648E049E" w:rsidR="00B65E06" w:rsidRPr="00B57B36" w:rsidRDefault="00B65E06" w:rsidP="00B65E06">
            <w:pPr>
              <w:pStyle w:val="CETBodytext"/>
              <w:rPr>
                <w:lang w:val="en-GB"/>
              </w:rPr>
            </w:pPr>
            <w:r w:rsidRPr="00D22BEE">
              <w:t>Extra loads</w:t>
            </w:r>
          </w:p>
        </w:tc>
        <w:tc>
          <w:tcPr>
            <w:tcW w:w="1139" w:type="dxa"/>
            <w:shd w:val="clear" w:color="auto" w:fill="FFFFFF"/>
          </w:tcPr>
          <w:p w14:paraId="5FFC2323" w14:textId="688162C2" w:rsidR="00B65E06" w:rsidRPr="00B57B36" w:rsidRDefault="00B65E06" w:rsidP="00CB63F5">
            <w:pPr>
              <w:pStyle w:val="CETBodytext"/>
              <w:jc w:val="left"/>
              <w:rPr>
                <w:lang w:val="en-GB"/>
              </w:rPr>
            </w:pPr>
            <w:r w:rsidRPr="00EB2923">
              <w:rPr>
                <w:lang w:val="en-GB"/>
              </w:rPr>
              <w:sym w:font="Wingdings 2" w:char="F050"/>
            </w:r>
          </w:p>
        </w:tc>
        <w:tc>
          <w:tcPr>
            <w:tcW w:w="759" w:type="dxa"/>
            <w:shd w:val="clear" w:color="auto" w:fill="FFFFFF"/>
          </w:tcPr>
          <w:p w14:paraId="66DCD9AB" w14:textId="6D2226DC" w:rsidR="00B65E06" w:rsidRPr="00B57B36" w:rsidRDefault="00B65E06" w:rsidP="00CB63F5">
            <w:pPr>
              <w:pStyle w:val="CETBodytext"/>
              <w:ind w:right="-1"/>
              <w:jc w:val="left"/>
              <w:rPr>
                <w:rFonts w:cs="Arial"/>
                <w:szCs w:val="18"/>
                <w:lang w:val="en-GB"/>
              </w:rPr>
            </w:pPr>
            <w:r w:rsidRPr="003A6C57">
              <w:rPr>
                <w:lang w:val="en-GB"/>
              </w:rPr>
              <w:sym w:font="Wingdings 2" w:char="F050"/>
            </w:r>
          </w:p>
        </w:tc>
        <w:tc>
          <w:tcPr>
            <w:tcW w:w="1139" w:type="dxa"/>
            <w:shd w:val="clear" w:color="auto" w:fill="FFFFFF"/>
          </w:tcPr>
          <w:p w14:paraId="41975ACD" w14:textId="6F8DEA3D" w:rsidR="00B65E06" w:rsidRPr="00B57B36" w:rsidRDefault="00B65E06" w:rsidP="00CB63F5">
            <w:pPr>
              <w:pStyle w:val="CETBodytext"/>
              <w:ind w:right="-1"/>
              <w:jc w:val="left"/>
              <w:rPr>
                <w:rFonts w:cs="Arial"/>
                <w:szCs w:val="18"/>
                <w:lang w:val="en-GB"/>
              </w:rPr>
            </w:pPr>
            <w:r w:rsidRPr="003A6C57">
              <w:rPr>
                <w:lang w:val="en-GB"/>
              </w:rPr>
              <w:sym w:font="Wingdings 2" w:char="F050"/>
            </w:r>
          </w:p>
        </w:tc>
      </w:tr>
      <w:tr w:rsidR="00B65E06" w:rsidRPr="00B57B36" w14:paraId="6A46EF2C" w14:textId="77777777" w:rsidTr="0059162B">
        <w:tc>
          <w:tcPr>
            <w:tcW w:w="542" w:type="dxa"/>
            <w:shd w:val="clear" w:color="auto" w:fill="FFFFFF"/>
          </w:tcPr>
          <w:p w14:paraId="61C146C2" w14:textId="5B22F609" w:rsidR="00B65E06" w:rsidRPr="00D22BEE" w:rsidRDefault="00B65E06" w:rsidP="0091291A">
            <w:pPr>
              <w:pStyle w:val="CETBodytext"/>
            </w:pPr>
            <w:r w:rsidRPr="00BB4A65">
              <w:t>1</w:t>
            </w:r>
            <w:r w:rsidR="0091291A">
              <w:t>1</w:t>
            </w:r>
            <w:r w:rsidRPr="00BB4A65">
              <w:t>)</w:t>
            </w:r>
          </w:p>
        </w:tc>
        <w:tc>
          <w:tcPr>
            <w:tcW w:w="5241" w:type="dxa"/>
            <w:shd w:val="clear" w:color="auto" w:fill="FFFFFF"/>
          </w:tcPr>
          <w:p w14:paraId="4EC45B97" w14:textId="311F2AAD" w:rsidR="00B65E06" w:rsidRPr="00D22BEE" w:rsidRDefault="00B65E06" w:rsidP="00B65E06">
            <w:pPr>
              <w:pStyle w:val="CETBodytext"/>
            </w:pPr>
            <w:r w:rsidRPr="00BB4A65">
              <w:t>Valve left open before unloading starts</w:t>
            </w:r>
          </w:p>
        </w:tc>
        <w:tc>
          <w:tcPr>
            <w:tcW w:w="1139" w:type="dxa"/>
            <w:shd w:val="clear" w:color="auto" w:fill="FFFFFF"/>
          </w:tcPr>
          <w:p w14:paraId="5DFA84E6" w14:textId="77777777" w:rsidR="00B65E06" w:rsidRPr="00EB2923" w:rsidRDefault="00B65E06" w:rsidP="00CB63F5">
            <w:pPr>
              <w:pStyle w:val="CETBodytext"/>
              <w:jc w:val="left"/>
              <w:rPr>
                <w:lang w:val="en-GB"/>
              </w:rPr>
            </w:pPr>
          </w:p>
        </w:tc>
        <w:tc>
          <w:tcPr>
            <w:tcW w:w="759" w:type="dxa"/>
            <w:shd w:val="clear" w:color="auto" w:fill="FFFFFF"/>
          </w:tcPr>
          <w:p w14:paraId="6EC94B9C" w14:textId="22F4BEA7" w:rsidR="00B65E06" w:rsidRPr="003A6C57" w:rsidRDefault="00B65E06" w:rsidP="00CB63F5">
            <w:pPr>
              <w:pStyle w:val="CETBodytext"/>
              <w:ind w:right="-1"/>
              <w:jc w:val="left"/>
              <w:rPr>
                <w:lang w:val="en-GB"/>
              </w:rPr>
            </w:pPr>
            <w:r w:rsidRPr="00C32822">
              <w:rPr>
                <w:lang w:val="en-GB"/>
              </w:rPr>
              <w:sym w:font="Wingdings 2" w:char="F050"/>
            </w:r>
          </w:p>
        </w:tc>
        <w:tc>
          <w:tcPr>
            <w:tcW w:w="1139" w:type="dxa"/>
            <w:shd w:val="clear" w:color="auto" w:fill="FFFFFF"/>
          </w:tcPr>
          <w:p w14:paraId="3B669AA1" w14:textId="77777777" w:rsidR="00B65E06" w:rsidRPr="003A6C57" w:rsidRDefault="00B65E06" w:rsidP="00CB63F5">
            <w:pPr>
              <w:pStyle w:val="CETBodytext"/>
              <w:ind w:right="-1"/>
              <w:jc w:val="left"/>
              <w:rPr>
                <w:lang w:val="en-GB"/>
              </w:rPr>
            </w:pPr>
          </w:p>
        </w:tc>
      </w:tr>
      <w:tr w:rsidR="00EB2C85" w:rsidRPr="00B57B36" w14:paraId="27E140B0" w14:textId="77777777" w:rsidTr="0059162B">
        <w:tc>
          <w:tcPr>
            <w:tcW w:w="542" w:type="dxa"/>
            <w:shd w:val="clear" w:color="auto" w:fill="FFFFFF"/>
          </w:tcPr>
          <w:p w14:paraId="6310D7D1" w14:textId="73C2A67F" w:rsidR="00EB2C85" w:rsidRPr="00B57B36" w:rsidRDefault="00EB2C85" w:rsidP="0091291A">
            <w:pPr>
              <w:pStyle w:val="CETBodytext"/>
              <w:rPr>
                <w:lang w:val="en-GB"/>
              </w:rPr>
            </w:pPr>
            <w:r w:rsidRPr="00D22BEE">
              <w:t>1</w:t>
            </w:r>
            <w:r w:rsidR="0091291A">
              <w:t>2</w:t>
            </w:r>
            <w:r w:rsidRPr="00D22BEE">
              <w:t>)</w:t>
            </w:r>
          </w:p>
        </w:tc>
        <w:tc>
          <w:tcPr>
            <w:tcW w:w="5241" w:type="dxa"/>
            <w:shd w:val="clear" w:color="auto" w:fill="FFFFFF"/>
          </w:tcPr>
          <w:p w14:paraId="18345F02" w14:textId="77777777" w:rsidR="00EB2C85" w:rsidRPr="00B57B36" w:rsidRDefault="00EB2C85" w:rsidP="00932A2C">
            <w:pPr>
              <w:pStyle w:val="CETBodytext"/>
              <w:rPr>
                <w:lang w:val="en-GB"/>
              </w:rPr>
            </w:pPr>
            <w:r w:rsidRPr="00D22BEE">
              <w:t xml:space="preserve">PSD valve failed open during unloading </w:t>
            </w:r>
          </w:p>
        </w:tc>
        <w:tc>
          <w:tcPr>
            <w:tcW w:w="1139" w:type="dxa"/>
            <w:shd w:val="clear" w:color="auto" w:fill="FFFFFF"/>
          </w:tcPr>
          <w:p w14:paraId="2C2D8514" w14:textId="77777777" w:rsidR="00EB2C85" w:rsidRPr="00B57B36" w:rsidRDefault="00EB2C85" w:rsidP="00CB63F5">
            <w:pPr>
              <w:pStyle w:val="CETBodytext"/>
              <w:jc w:val="left"/>
              <w:rPr>
                <w:lang w:val="en-GB"/>
              </w:rPr>
            </w:pPr>
            <w:r w:rsidRPr="00EB2923">
              <w:rPr>
                <w:lang w:val="en-GB"/>
              </w:rPr>
              <w:sym w:font="Wingdings 2" w:char="F050"/>
            </w:r>
          </w:p>
        </w:tc>
        <w:tc>
          <w:tcPr>
            <w:tcW w:w="759" w:type="dxa"/>
            <w:shd w:val="clear" w:color="auto" w:fill="FFFFFF"/>
          </w:tcPr>
          <w:p w14:paraId="69571054" w14:textId="77777777" w:rsidR="00EB2C85" w:rsidRPr="00B57B36" w:rsidRDefault="00EB2C85" w:rsidP="00CB63F5">
            <w:pPr>
              <w:pStyle w:val="CETBodytext"/>
              <w:ind w:right="-1"/>
              <w:jc w:val="left"/>
              <w:rPr>
                <w:rFonts w:cs="Arial"/>
                <w:szCs w:val="18"/>
                <w:lang w:val="en-GB"/>
              </w:rPr>
            </w:pPr>
            <w:r w:rsidRPr="003A6C57">
              <w:rPr>
                <w:lang w:val="en-GB"/>
              </w:rPr>
              <w:sym w:font="Wingdings 2" w:char="F050"/>
            </w:r>
          </w:p>
        </w:tc>
        <w:tc>
          <w:tcPr>
            <w:tcW w:w="1139" w:type="dxa"/>
            <w:shd w:val="clear" w:color="auto" w:fill="FFFFFF"/>
          </w:tcPr>
          <w:p w14:paraId="4C1A4BF8" w14:textId="77777777" w:rsidR="00EB2C85" w:rsidRPr="00B57B36" w:rsidRDefault="00EB2C85" w:rsidP="00CB63F5">
            <w:pPr>
              <w:pStyle w:val="CETBodytext"/>
              <w:ind w:right="-1"/>
              <w:jc w:val="left"/>
              <w:rPr>
                <w:rFonts w:cs="Arial"/>
                <w:szCs w:val="18"/>
                <w:lang w:val="en-GB"/>
              </w:rPr>
            </w:pPr>
            <w:r w:rsidRPr="003A6C57">
              <w:rPr>
                <w:lang w:val="en-GB"/>
              </w:rPr>
              <w:sym w:font="Wingdings 2" w:char="F050"/>
            </w:r>
          </w:p>
        </w:tc>
      </w:tr>
      <w:tr w:rsidR="00EB2C85" w:rsidRPr="00B57B36" w14:paraId="59416D98" w14:textId="77777777" w:rsidTr="0059162B">
        <w:tc>
          <w:tcPr>
            <w:tcW w:w="542" w:type="dxa"/>
            <w:shd w:val="clear" w:color="auto" w:fill="FFFFFF"/>
          </w:tcPr>
          <w:p w14:paraId="4F045E4D" w14:textId="25D40172" w:rsidR="00EB2C85" w:rsidRPr="00D22BEE" w:rsidRDefault="00EB2C85" w:rsidP="0091291A">
            <w:pPr>
              <w:pStyle w:val="CETBodytext"/>
            </w:pPr>
            <w:r>
              <w:t>1</w:t>
            </w:r>
            <w:r w:rsidR="0091291A">
              <w:t>3</w:t>
            </w:r>
            <w:r w:rsidRPr="00BB4A65">
              <w:t>)</w:t>
            </w:r>
          </w:p>
        </w:tc>
        <w:tc>
          <w:tcPr>
            <w:tcW w:w="5241" w:type="dxa"/>
            <w:shd w:val="clear" w:color="auto" w:fill="FFFFFF"/>
          </w:tcPr>
          <w:p w14:paraId="75A28A42" w14:textId="10227AFE" w:rsidR="00EB2C85" w:rsidRPr="00D22BEE" w:rsidRDefault="00EB2C85" w:rsidP="00917351">
            <w:pPr>
              <w:pStyle w:val="CETBodytext"/>
            </w:pPr>
            <w:r w:rsidRPr="00BB4A65">
              <w:t xml:space="preserve">Containment bypass during loading (e.g. premature </w:t>
            </w:r>
            <w:r w:rsidR="00917351">
              <w:t xml:space="preserve">hose </w:t>
            </w:r>
            <w:r w:rsidRPr="00BB4A65">
              <w:t>disconnection)</w:t>
            </w:r>
          </w:p>
        </w:tc>
        <w:tc>
          <w:tcPr>
            <w:tcW w:w="1139" w:type="dxa"/>
            <w:shd w:val="clear" w:color="auto" w:fill="FFFFFF"/>
          </w:tcPr>
          <w:p w14:paraId="779F0175" w14:textId="77777777" w:rsidR="00EB2C85" w:rsidRPr="00EB2923" w:rsidRDefault="00EB2C85" w:rsidP="00CB63F5">
            <w:pPr>
              <w:pStyle w:val="CETBodytext"/>
              <w:jc w:val="left"/>
              <w:rPr>
                <w:lang w:val="en-GB"/>
              </w:rPr>
            </w:pPr>
          </w:p>
        </w:tc>
        <w:tc>
          <w:tcPr>
            <w:tcW w:w="759" w:type="dxa"/>
            <w:shd w:val="clear" w:color="auto" w:fill="FFFFFF"/>
          </w:tcPr>
          <w:p w14:paraId="2A07CC88" w14:textId="77777777" w:rsidR="00EB2C85" w:rsidRPr="003A6C57" w:rsidRDefault="00EB2C85" w:rsidP="00CB63F5">
            <w:pPr>
              <w:pStyle w:val="CETBodytext"/>
              <w:ind w:right="-1"/>
              <w:jc w:val="left"/>
              <w:rPr>
                <w:lang w:val="en-GB"/>
              </w:rPr>
            </w:pPr>
            <w:r w:rsidRPr="00C32822">
              <w:rPr>
                <w:lang w:val="en-GB"/>
              </w:rPr>
              <w:sym w:font="Wingdings 2" w:char="F050"/>
            </w:r>
          </w:p>
        </w:tc>
        <w:tc>
          <w:tcPr>
            <w:tcW w:w="1139" w:type="dxa"/>
            <w:shd w:val="clear" w:color="auto" w:fill="FFFFFF"/>
          </w:tcPr>
          <w:p w14:paraId="083E4DF5" w14:textId="232D24CF" w:rsidR="00EB2C85" w:rsidRPr="003A6C57" w:rsidRDefault="00EB2C85" w:rsidP="00CB63F5">
            <w:pPr>
              <w:pStyle w:val="CETBodytext"/>
              <w:ind w:right="-1"/>
              <w:jc w:val="left"/>
              <w:rPr>
                <w:lang w:val="en-GB"/>
              </w:rPr>
            </w:pPr>
            <w:r w:rsidRPr="003A6C57">
              <w:rPr>
                <w:lang w:val="en-GB"/>
              </w:rPr>
              <w:sym w:font="Wingdings 2" w:char="F050"/>
            </w:r>
          </w:p>
        </w:tc>
      </w:tr>
    </w:tbl>
    <w:p w14:paraId="76BF10ED" w14:textId="77777777" w:rsidR="0059162B" w:rsidRPr="00D9397D" w:rsidRDefault="0059162B" w:rsidP="00311704">
      <w:pPr>
        <w:pStyle w:val="CETheadingx"/>
      </w:pPr>
      <w:bookmarkStart w:id="0" w:name="_Toc158309715"/>
      <w:bookmarkStart w:id="1" w:name="_Toc158907384"/>
      <w:r w:rsidRPr="00D9397D">
        <w:t xml:space="preserve">Safety </w:t>
      </w:r>
      <w:r>
        <w:t>f</w:t>
      </w:r>
      <w:r w:rsidRPr="00D9397D">
        <w:t xml:space="preserve">unctions and </w:t>
      </w:r>
      <w:r>
        <w:t xml:space="preserve">safety </w:t>
      </w:r>
      <w:r w:rsidRPr="00D9397D">
        <w:t>systems</w:t>
      </w:r>
    </w:p>
    <w:p w14:paraId="1AF95C82" w14:textId="2019896D" w:rsidR="0059162B" w:rsidRDefault="0059162B" w:rsidP="0059162B">
      <w:r w:rsidRPr="00FE790B">
        <w:t xml:space="preserve">Once the initial list of IEs has been compiled the next methodological step consists in the determination of the safety functions and the systems that serve these functions. Safety functions and systems are incorporated in the design of the facility to prevent and/or mitigate the possible consequences of the IEs. The systems that serve the safety functions directly are called frontline systems. These are the systems that will form the headings </w:t>
      </w:r>
      <w:r w:rsidRPr="00FE790B">
        <w:lastRenderedPageBreak/>
        <w:t xml:space="preserve">of the event trees developed later. Safety functions and </w:t>
      </w:r>
      <w:r>
        <w:t xml:space="preserve">safety </w:t>
      </w:r>
      <w:r w:rsidRPr="00FE790B">
        <w:t xml:space="preserve">systems are presented in this section for the case study of </w:t>
      </w:r>
      <w:r>
        <w:t>tank</w:t>
      </w:r>
      <w:r w:rsidRPr="00FE790B">
        <w:t xml:space="preserve"> filling. Table </w:t>
      </w:r>
      <w:r>
        <w:t>2</w:t>
      </w:r>
      <w:r w:rsidRPr="00FE790B">
        <w:t xml:space="preserve"> presents the safety functions incorporated i</w:t>
      </w:r>
      <w:r>
        <w:t>n the design of this case study and also s</w:t>
      </w:r>
      <w:r w:rsidRPr="00FE790B">
        <w:t>ystems that have as mission to perform the identified safety functions</w:t>
      </w:r>
      <w:r>
        <w:t>.</w:t>
      </w:r>
    </w:p>
    <w:p w14:paraId="4CC44B3C" w14:textId="1DA6E5EA" w:rsidR="00A40731" w:rsidRDefault="00A40731" w:rsidP="00CB63F5">
      <w:pPr>
        <w:pStyle w:val="CETTabletitle"/>
      </w:pPr>
      <w:bookmarkStart w:id="2" w:name="_Hlt454094406"/>
      <w:bookmarkStart w:id="3" w:name="_Toc247109632"/>
      <w:bookmarkStart w:id="4" w:name="_Toc274754172"/>
      <w:bookmarkStart w:id="5" w:name="_Toc158907456"/>
      <w:bookmarkEnd w:id="0"/>
      <w:bookmarkEnd w:id="1"/>
      <w:bookmarkEnd w:id="2"/>
      <w:r w:rsidRPr="00CB63F5">
        <w:t>Table</w:t>
      </w:r>
      <w:r w:rsidR="00995D40" w:rsidRPr="00CB63F5">
        <w:t xml:space="preserve"> 2</w:t>
      </w:r>
      <w:r w:rsidRPr="00CB63F5">
        <w:t>. List of Safety Functions</w:t>
      </w:r>
      <w:bookmarkEnd w:id="3"/>
      <w:bookmarkEnd w:id="4"/>
      <w:r w:rsidRPr="00CB63F5">
        <w:t xml:space="preserve"> </w:t>
      </w:r>
      <w:r w:rsidR="00B80B3F" w:rsidRPr="00CB63F5">
        <w:t xml:space="preserve">and associated safety systems </w:t>
      </w:r>
      <w:r w:rsidRPr="00CB63F5">
        <w:t>in LΗ</w:t>
      </w:r>
      <w:r w:rsidRPr="00DF4696">
        <w:rPr>
          <w:vertAlign w:val="subscript"/>
        </w:rPr>
        <w:t>2</w:t>
      </w:r>
      <w:r w:rsidRPr="00CB63F5">
        <w:t xml:space="preserve"> trailer, hose and stationary tank</w:t>
      </w:r>
      <w:bookmarkEnd w:id="5"/>
      <w:r w:rsidRPr="00CB63F5">
        <w:t xml:space="preserve"> </w:t>
      </w:r>
    </w:p>
    <w:tbl>
      <w:tblPr>
        <w:tblW w:w="8789" w:type="dxa"/>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4678"/>
        <w:gridCol w:w="4111"/>
      </w:tblGrid>
      <w:tr w:rsidR="00163D1C" w:rsidRPr="00B57B36" w14:paraId="58ECEC13" w14:textId="77777777" w:rsidTr="00CB63F5">
        <w:tc>
          <w:tcPr>
            <w:tcW w:w="4678" w:type="dxa"/>
            <w:tcBorders>
              <w:top w:val="single" w:sz="12" w:space="0" w:color="008000"/>
              <w:bottom w:val="single" w:sz="6" w:space="0" w:color="008000"/>
            </w:tcBorders>
            <w:shd w:val="clear" w:color="auto" w:fill="FFFFFF"/>
          </w:tcPr>
          <w:p w14:paraId="18DC26AE" w14:textId="54743EB7" w:rsidR="00163D1C" w:rsidRPr="00B57B36" w:rsidRDefault="00163D1C" w:rsidP="00163D1C">
            <w:pPr>
              <w:pStyle w:val="CETBodytext"/>
              <w:rPr>
                <w:lang w:val="en-GB"/>
              </w:rPr>
            </w:pPr>
            <w:r w:rsidRPr="0068189A">
              <w:t>Safety Functions</w:t>
            </w:r>
          </w:p>
        </w:tc>
        <w:tc>
          <w:tcPr>
            <w:tcW w:w="4111" w:type="dxa"/>
            <w:tcBorders>
              <w:top w:val="single" w:sz="12" w:space="0" w:color="008000"/>
              <w:bottom w:val="single" w:sz="6" w:space="0" w:color="008000"/>
            </w:tcBorders>
            <w:shd w:val="clear" w:color="auto" w:fill="FFFFFF"/>
          </w:tcPr>
          <w:p w14:paraId="50C4956F" w14:textId="34FEEAC1" w:rsidR="00163D1C" w:rsidRPr="00B57B36" w:rsidRDefault="00163D1C" w:rsidP="00163D1C">
            <w:pPr>
              <w:pStyle w:val="CETBodytext"/>
              <w:rPr>
                <w:lang w:val="en-GB"/>
              </w:rPr>
            </w:pPr>
            <w:r w:rsidRPr="0068189A">
              <w:t>Safety systems</w:t>
            </w:r>
          </w:p>
        </w:tc>
      </w:tr>
      <w:tr w:rsidR="00163D1C" w:rsidRPr="00163D1C" w14:paraId="7F4F13FD" w14:textId="77777777" w:rsidTr="00CB63F5">
        <w:tc>
          <w:tcPr>
            <w:tcW w:w="4678" w:type="dxa"/>
            <w:tcBorders>
              <w:top w:val="single" w:sz="6" w:space="0" w:color="008000"/>
              <w:bottom w:val="single" w:sz="6" w:space="0" w:color="008000"/>
            </w:tcBorders>
            <w:shd w:val="clear" w:color="auto" w:fill="FFFFFF"/>
          </w:tcPr>
          <w:p w14:paraId="14297916" w14:textId="0E30D399" w:rsidR="00163D1C" w:rsidRPr="00CB63F5" w:rsidRDefault="00163D1C" w:rsidP="00163D1C">
            <w:pPr>
              <w:pStyle w:val="CETBodytext"/>
              <w:rPr>
                <w:i/>
                <w:lang w:val="en-GB"/>
              </w:rPr>
            </w:pPr>
            <w:r w:rsidRPr="00CB63F5">
              <w:rPr>
                <w:i/>
              </w:rPr>
              <w:t>LH</w:t>
            </w:r>
            <w:r w:rsidRPr="00CB63F5">
              <w:rPr>
                <w:i/>
                <w:vertAlign w:val="subscript"/>
              </w:rPr>
              <w:t>2</w:t>
            </w:r>
            <w:r w:rsidRPr="00CB63F5">
              <w:rPr>
                <w:i/>
              </w:rPr>
              <w:t xml:space="preserve"> trailer</w:t>
            </w:r>
          </w:p>
        </w:tc>
        <w:tc>
          <w:tcPr>
            <w:tcW w:w="4111" w:type="dxa"/>
            <w:tcBorders>
              <w:top w:val="single" w:sz="6" w:space="0" w:color="008000"/>
              <w:bottom w:val="single" w:sz="6" w:space="0" w:color="008000"/>
            </w:tcBorders>
            <w:shd w:val="clear" w:color="auto" w:fill="FFFFFF"/>
          </w:tcPr>
          <w:p w14:paraId="1616EEDA" w14:textId="02323FD2" w:rsidR="00163D1C" w:rsidRPr="00CB63F5" w:rsidRDefault="00163D1C" w:rsidP="00163D1C">
            <w:pPr>
              <w:pStyle w:val="CETBodytext"/>
              <w:rPr>
                <w:i/>
                <w:lang w:val="en-GB"/>
              </w:rPr>
            </w:pPr>
          </w:p>
        </w:tc>
      </w:tr>
      <w:tr w:rsidR="00163D1C" w:rsidRPr="00B57B36" w14:paraId="2FF13BF7" w14:textId="77777777" w:rsidTr="00CB63F5">
        <w:tc>
          <w:tcPr>
            <w:tcW w:w="4678" w:type="dxa"/>
            <w:tcBorders>
              <w:top w:val="single" w:sz="6" w:space="0" w:color="008000"/>
            </w:tcBorders>
            <w:shd w:val="clear" w:color="auto" w:fill="FFFFFF"/>
          </w:tcPr>
          <w:p w14:paraId="17BECE1E" w14:textId="5A71B3AE" w:rsidR="00163D1C" w:rsidRPr="00B57B36" w:rsidRDefault="00163D1C" w:rsidP="00163D1C">
            <w:pPr>
              <w:pStyle w:val="CETBodytext"/>
              <w:rPr>
                <w:lang w:val="en-GB"/>
              </w:rPr>
            </w:pPr>
            <w:r w:rsidRPr="0068189A">
              <w:t>Avoid overpressure owing to boil off/ hydrogen gas</w:t>
            </w:r>
          </w:p>
        </w:tc>
        <w:tc>
          <w:tcPr>
            <w:tcW w:w="4111" w:type="dxa"/>
            <w:tcBorders>
              <w:top w:val="single" w:sz="6" w:space="0" w:color="008000"/>
            </w:tcBorders>
            <w:shd w:val="clear" w:color="auto" w:fill="FFFFFF"/>
          </w:tcPr>
          <w:p w14:paraId="0DF61C75" w14:textId="0ACED17A" w:rsidR="00163D1C" w:rsidRPr="00B57B36" w:rsidRDefault="00BA29B5" w:rsidP="00163D1C">
            <w:pPr>
              <w:pStyle w:val="CETBodytext"/>
              <w:rPr>
                <w:lang w:val="en-GB"/>
              </w:rPr>
            </w:pPr>
            <w:r>
              <w:t xml:space="preserve"> </w:t>
            </w:r>
            <w:r w:rsidR="00163D1C" w:rsidRPr="0068189A">
              <w:t>High Pressure Control System</w:t>
            </w:r>
          </w:p>
        </w:tc>
      </w:tr>
      <w:tr w:rsidR="00163D1C" w:rsidRPr="00B57B36" w14:paraId="6E384E18" w14:textId="77777777" w:rsidTr="00CB63F5">
        <w:tc>
          <w:tcPr>
            <w:tcW w:w="4678" w:type="dxa"/>
            <w:shd w:val="clear" w:color="auto" w:fill="FFFFFF"/>
          </w:tcPr>
          <w:p w14:paraId="54964C4E" w14:textId="2CF2B061" w:rsidR="00163D1C" w:rsidRPr="00B57B36" w:rsidRDefault="00163D1C" w:rsidP="00163D1C">
            <w:pPr>
              <w:pStyle w:val="CETBodytext"/>
              <w:rPr>
                <w:lang w:val="en-GB"/>
              </w:rPr>
            </w:pPr>
            <w:r w:rsidRPr="0068189A">
              <w:t>Manual pressure reduction  through blow down valve</w:t>
            </w:r>
          </w:p>
        </w:tc>
        <w:tc>
          <w:tcPr>
            <w:tcW w:w="4111" w:type="dxa"/>
            <w:shd w:val="clear" w:color="auto" w:fill="FFFFFF"/>
          </w:tcPr>
          <w:p w14:paraId="24FA3F2A" w14:textId="75653C5F" w:rsidR="00163D1C" w:rsidRPr="00B57B36" w:rsidRDefault="00163D1C" w:rsidP="00163D1C">
            <w:pPr>
              <w:pStyle w:val="CETBodytext"/>
              <w:rPr>
                <w:lang w:val="en-GB"/>
              </w:rPr>
            </w:pPr>
          </w:p>
        </w:tc>
      </w:tr>
      <w:tr w:rsidR="00163D1C" w:rsidRPr="00B57B36" w14:paraId="5EFE3112" w14:textId="77777777" w:rsidTr="00CB63F5">
        <w:tc>
          <w:tcPr>
            <w:tcW w:w="4678" w:type="dxa"/>
            <w:shd w:val="clear" w:color="auto" w:fill="FFFFFF"/>
          </w:tcPr>
          <w:p w14:paraId="0118EDA7" w14:textId="4C3B6D6C" w:rsidR="00163D1C" w:rsidRPr="00D22BEE" w:rsidRDefault="00163D1C" w:rsidP="00163D1C">
            <w:pPr>
              <w:pStyle w:val="CETBodytext"/>
            </w:pPr>
            <w:r w:rsidRPr="0068189A">
              <w:t>Provide overpressure protection</w:t>
            </w:r>
          </w:p>
        </w:tc>
        <w:tc>
          <w:tcPr>
            <w:tcW w:w="4111" w:type="dxa"/>
            <w:shd w:val="clear" w:color="auto" w:fill="FFFFFF"/>
          </w:tcPr>
          <w:p w14:paraId="3461C7C1" w14:textId="3B46FA7B" w:rsidR="00163D1C" w:rsidRPr="00D22BEE" w:rsidRDefault="00163D1C" w:rsidP="00BA29B5">
            <w:pPr>
              <w:pStyle w:val="CETBodytext"/>
            </w:pPr>
            <w:r w:rsidRPr="00CB63F5">
              <w:t xml:space="preserve"> </w:t>
            </w:r>
            <w:r w:rsidRPr="0068189A">
              <w:t>Pressure Safety Valves, Bursting disks, Vent stack</w:t>
            </w:r>
          </w:p>
        </w:tc>
      </w:tr>
      <w:tr w:rsidR="00163D1C" w:rsidRPr="00B57B36" w14:paraId="17EB34FF" w14:textId="77777777" w:rsidTr="00CB63F5">
        <w:tc>
          <w:tcPr>
            <w:tcW w:w="4678" w:type="dxa"/>
            <w:shd w:val="clear" w:color="auto" w:fill="FFFFFF"/>
          </w:tcPr>
          <w:p w14:paraId="58AD678A" w14:textId="58B06E64" w:rsidR="00163D1C" w:rsidRPr="00D22BEE" w:rsidRDefault="00163D1C" w:rsidP="00163D1C">
            <w:pPr>
              <w:pStyle w:val="CETBodytext"/>
            </w:pPr>
            <w:r w:rsidRPr="0068189A">
              <w:t>Provide vacuum and insulation protection</w:t>
            </w:r>
          </w:p>
        </w:tc>
        <w:tc>
          <w:tcPr>
            <w:tcW w:w="4111" w:type="dxa"/>
            <w:shd w:val="clear" w:color="auto" w:fill="FFFFFF"/>
          </w:tcPr>
          <w:p w14:paraId="0F69F779" w14:textId="5EED1770" w:rsidR="00163D1C" w:rsidRPr="00D22BEE" w:rsidRDefault="00163D1C" w:rsidP="00BA29B5">
            <w:pPr>
              <w:pStyle w:val="CETBodytext"/>
            </w:pPr>
            <w:r w:rsidRPr="00CB63F5">
              <w:t xml:space="preserve"> </w:t>
            </w:r>
            <w:r w:rsidR="00BA29B5">
              <w:t>T</w:t>
            </w:r>
            <w:r w:rsidRPr="0068189A">
              <w:t>hermal insulation of tank, Vacuum of insulation</w:t>
            </w:r>
          </w:p>
        </w:tc>
      </w:tr>
      <w:tr w:rsidR="00163D1C" w:rsidRPr="00B57B36" w14:paraId="7EAAD741" w14:textId="77777777" w:rsidTr="00CB63F5">
        <w:tc>
          <w:tcPr>
            <w:tcW w:w="4678" w:type="dxa"/>
            <w:shd w:val="clear" w:color="auto" w:fill="FFFFFF"/>
          </w:tcPr>
          <w:p w14:paraId="355CD9CD" w14:textId="719B8FAD" w:rsidR="00163D1C" w:rsidRPr="00B57B36" w:rsidRDefault="00163D1C" w:rsidP="00163D1C">
            <w:pPr>
              <w:pStyle w:val="CETBodytext"/>
              <w:rPr>
                <w:lang w:val="en-GB"/>
              </w:rPr>
            </w:pPr>
            <w:r w:rsidRPr="0068189A">
              <w:t>Avoid vibrations</w:t>
            </w:r>
          </w:p>
        </w:tc>
        <w:tc>
          <w:tcPr>
            <w:tcW w:w="4111" w:type="dxa"/>
            <w:shd w:val="clear" w:color="auto" w:fill="FFFFFF"/>
          </w:tcPr>
          <w:p w14:paraId="461C6C08" w14:textId="77E3DE53" w:rsidR="00163D1C" w:rsidRPr="00B57B36" w:rsidRDefault="00163D1C" w:rsidP="00163D1C">
            <w:pPr>
              <w:pStyle w:val="CETBodytext"/>
              <w:rPr>
                <w:lang w:val="en-GB"/>
              </w:rPr>
            </w:pPr>
          </w:p>
        </w:tc>
      </w:tr>
      <w:tr w:rsidR="00163D1C" w:rsidRPr="00B57B36" w14:paraId="4B6AA99B" w14:textId="77777777" w:rsidTr="00CB63F5">
        <w:tc>
          <w:tcPr>
            <w:tcW w:w="4678" w:type="dxa"/>
            <w:shd w:val="clear" w:color="auto" w:fill="FFFFFF"/>
          </w:tcPr>
          <w:p w14:paraId="7B10D12B" w14:textId="3A3C8BD2" w:rsidR="00163D1C" w:rsidRPr="00B57B36" w:rsidRDefault="00163D1C" w:rsidP="002946B1">
            <w:pPr>
              <w:pStyle w:val="CETBodytext"/>
              <w:rPr>
                <w:lang w:val="en-GB"/>
              </w:rPr>
            </w:pPr>
            <w:r w:rsidRPr="0068189A">
              <w:t xml:space="preserve">Maintain structural integrity of </w:t>
            </w:r>
            <w:r w:rsidR="002946B1">
              <w:t>p</w:t>
            </w:r>
            <w:r w:rsidRPr="0068189A">
              <w:t xml:space="preserve">ressure </w:t>
            </w:r>
            <w:r w:rsidR="002946B1">
              <w:t>b</w:t>
            </w:r>
            <w:r w:rsidRPr="0068189A">
              <w:t xml:space="preserve">oundary </w:t>
            </w:r>
            <w:r w:rsidR="002946B1">
              <w:t>u</w:t>
            </w:r>
            <w:r w:rsidRPr="0068189A">
              <w:t xml:space="preserve">nder </w:t>
            </w:r>
            <w:r w:rsidR="002946B1">
              <w:t>n</w:t>
            </w:r>
            <w:r w:rsidRPr="0068189A">
              <w:t>ormal pressure conditions</w:t>
            </w:r>
          </w:p>
        </w:tc>
        <w:tc>
          <w:tcPr>
            <w:tcW w:w="4111" w:type="dxa"/>
            <w:shd w:val="clear" w:color="auto" w:fill="FFFFFF"/>
          </w:tcPr>
          <w:p w14:paraId="4F3568DD" w14:textId="46796496" w:rsidR="00163D1C" w:rsidRPr="00B57B36" w:rsidRDefault="00163D1C" w:rsidP="00163D1C">
            <w:pPr>
              <w:pStyle w:val="CETBodytext"/>
              <w:rPr>
                <w:lang w:val="en-GB"/>
              </w:rPr>
            </w:pPr>
          </w:p>
        </w:tc>
      </w:tr>
      <w:tr w:rsidR="00163D1C" w:rsidRPr="00B57B36" w14:paraId="4D8DDBAD" w14:textId="77777777" w:rsidTr="00CB63F5">
        <w:tc>
          <w:tcPr>
            <w:tcW w:w="4678" w:type="dxa"/>
            <w:shd w:val="clear" w:color="auto" w:fill="FFFFFF"/>
          </w:tcPr>
          <w:p w14:paraId="55F98F2D" w14:textId="2C0498C1" w:rsidR="00163D1C" w:rsidRPr="00B57B36" w:rsidRDefault="00163D1C" w:rsidP="002946B1">
            <w:pPr>
              <w:pStyle w:val="CETBodytext"/>
              <w:rPr>
                <w:lang w:val="en-GB"/>
              </w:rPr>
            </w:pPr>
            <w:r w:rsidRPr="0068189A">
              <w:t xml:space="preserve">Avoid </w:t>
            </w:r>
            <w:r w:rsidR="002946B1">
              <w:t>b</w:t>
            </w:r>
            <w:r w:rsidRPr="0068189A">
              <w:t>oundary containment by-passing</w:t>
            </w:r>
          </w:p>
        </w:tc>
        <w:tc>
          <w:tcPr>
            <w:tcW w:w="4111" w:type="dxa"/>
            <w:shd w:val="clear" w:color="auto" w:fill="FFFFFF"/>
          </w:tcPr>
          <w:p w14:paraId="61F69274" w14:textId="48A8FC54" w:rsidR="00163D1C" w:rsidRPr="00B57B36" w:rsidRDefault="00163D1C" w:rsidP="00BA29B5">
            <w:pPr>
              <w:pStyle w:val="CETBodytext"/>
              <w:rPr>
                <w:lang w:val="en-GB"/>
              </w:rPr>
            </w:pPr>
            <w:r w:rsidRPr="00CB63F5">
              <w:t xml:space="preserve"> </w:t>
            </w:r>
            <w:r w:rsidRPr="0068189A">
              <w:t>Procedures for Containment bypass protection</w:t>
            </w:r>
          </w:p>
        </w:tc>
      </w:tr>
      <w:tr w:rsidR="00163D1C" w:rsidRPr="00B57B36" w14:paraId="5FD5AB31" w14:textId="77777777" w:rsidTr="00CB63F5">
        <w:tc>
          <w:tcPr>
            <w:tcW w:w="4678" w:type="dxa"/>
            <w:shd w:val="clear" w:color="auto" w:fill="FFFFFF"/>
          </w:tcPr>
          <w:p w14:paraId="56316A5E" w14:textId="6FC5BD87" w:rsidR="00163D1C" w:rsidRDefault="00163D1C" w:rsidP="00163D1C">
            <w:pPr>
              <w:pStyle w:val="CETBodytext"/>
            </w:pPr>
            <w:r w:rsidRPr="0068189A">
              <w:t>Corrosion and embrittlement protection</w:t>
            </w:r>
          </w:p>
        </w:tc>
        <w:tc>
          <w:tcPr>
            <w:tcW w:w="4111" w:type="dxa"/>
            <w:shd w:val="clear" w:color="auto" w:fill="FFFFFF"/>
          </w:tcPr>
          <w:p w14:paraId="40CA6EEA" w14:textId="15E4F7C9" w:rsidR="00163D1C" w:rsidRPr="00D22BEE" w:rsidRDefault="00163D1C" w:rsidP="00BA29B5">
            <w:pPr>
              <w:pStyle w:val="CETBodytext"/>
            </w:pPr>
            <w:r>
              <w:rPr>
                <w:lang w:val="el-GR"/>
              </w:rPr>
              <w:t xml:space="preserve"> </w:t>
            </w:r>
            <w:r w:rsidRPr="0068189A">
              <w:t>Procedures for corrosion protection</w:t>
            </w:r>
          </w:p>
        </w:tc>
      </w:tr>
      <w:tr w:rsidR="00163D1C" w:rsidRPr="00B57B36" w14:paraId="56F2B182" w14:textId="77777777" w:rsidTr="00CB63F5">
        <w:tc>
          <w:tcPr>
            <w:tcW w:w="4678" w:type="dxa"/>
            <w:shd w:val="clear" w:color="auto" w:fill="FFFFFF"/>
          </w:tcPr>
          <w:p w14:paraId="231570F0" w14:textId="618A0544" w:rsidR="00163D1C" w:rsidRPr="00B57B36" w:rsidRDefault="00163D1C" w:rsidP="00163D1C">
            <w:pPr>
              <w:pStyle w:val="CETBodytext"/>
              <w:rPr>
                <w:lang w:val="en-GB"/>
              </w:rPr>
            </w:pPr>
            <w:r w:rsidRPr="0068189A">
              <w:t>Fire protection</w:t>
            </w:r>
          </w:p>
        </w:tc>
        <w:tc>
          <w:tcPr>
            <w:tcW w:w="4111" w:type="dxa"/>
            <w:shd w:val="clear" w:color="auto" w:fill="FFFFFF"/>
          </w:tcPr>
          <w:p w14:paraId="089A5D84" w14:textId="3EE4F7C9" w:rsidR="00163D1C" w:rsidRPr="00B57B36" w:rsidRDefault="00163D1C" w:rsidP="00BA29B5">
            <w:pPr>
              <w:pStyle w:val="CETBodytext"/>
              <w:rPr>
                <w:lang w:val="en-GB"/>
              </w:rPr>
            </w:pPr>
            <w:r w:rsidRPr="00BA29B5">
              <w:t xml:space="preserve"> </w:t>
            </w:r>
            <w:r w:rsidRPr="0068189A">
              <w:t>Fire protection system</w:t>
            </w:r>
            <w:r w:rsidR="00BA29B5">
              <w:t xml:space="preserve"> and</w:t>
            </w:r>
            <w:r w:rsidRPr="0068189A">
              <w:t xml:space="preserve"> sprinklers</w:t>
            </w:r>
          </w:p>
        </w:tc>
      </w:tr>
      <w:tr w:rsidR="00163D1C" w:rsidRPr="00B57B36" w14:paraId="14910ECD" w14:textId="77777777" w:rsidTr="00CB63F5">
        <w:tc>
          <w:tcPr>
            <w:tcW w:w="4678" w:type="dxa"/>
            <w:shd w:val="clear" w:color="auto" w:fill="FFFFFF"/>
          </w:tcPr>
          <w:p w14:paraId="3790AAD5" w14:textId="47A8D747" w:rsidR="00163D1C" w:rsidRPr="00D22BEE" w:rsidRDefault="00163D1C" w:rsidP="00163D1C">
            <w:pPr>
              <w:pStyle w:val="CETBodytext"/>
            </w:pPr>
            <w:r w:rsidRPr="0068189A">
              <w:t>Collision and extra load protection (external impact)</w:t>
            </w:r>
          </w:p>
        </w:tc>
        <w:tc>
          <w:tcPr>
            <w:tcW w:w="4111" w:type="dxa"/>
            <w:shd w:val="clear" w:color="auto" w:fill="FFFFFF"/>
          </w:tcPr>
          <w:p w14:paraId="43F688B7" w14:textId="37C29496" w:rsidR="00163D1C" w:rsidRPr="00D22BEE" w:rsidRDefault="00BA29B5" w:rsidP="002946B1">
            <w:pPr>
              <w:pStyle w:val="CETBodytext"/>
              <w:ind w:left="145" w:hanging="145"/>
            </w:pPr>
            <w:r>
              <w:t xml:space="preserve"> R</w:t>
            </w:r>
            <w:r w:rsidR="00163D1C" w:rsidRPr="0068189A">
              <w:t>estriction of traffic and warning signs</w:t>
            </w:r>
            <w:r w:rsidR="002946B1">
              <w:t>,</w:t>
            </w:r>
            <w:r w:rsidR="002946B1" w:rsidRPr="0068189A">
              <w:t xml:space="preserve"> </w:t>
            </w:r>
            <w:r w:rsidR="002946B1" w:rsidRPr="0068189A">
              <w:t>Tow-away interlock safety system</w:t>
            </w:r>
          </w:p>
        </w:tc>
      </w:tr>
      <w:tr w:rsidR="00163D1C" w:rsidRPr="00163D1C" w14:paraId="1C0F0B95" w14:textId="77777777" w:rsidTr="00CB63F5">
        <w:tc>
          <w:tcPr>
            <w:tcW w:w="4678" w:type="dxa"/>
            <w:tcBorders>
              <w:bottom w:val="single" w:sz="6" w:space="0" w:color="008000"/>
            </w:tcBorders>
            <w:shd w:val="clear" w:color="auto" w:fill="FFFFFF"/>
          </w:tcPr>
          <w:p w14:paraId="3A37CAAE" w14:textId="6EBE744D" w:rsidR="00163D1C" w:rsidRPr="00CB63F5" w:rsidRDefault="00163D1C" w:rsidP="00163D1C">
            <w:pPr>
              <w:pStyle w:val="CETBodytext"/>
              <w:rPr>
                <w:i/>
              </w:rPr>
            </w:pPr>
            <w:r w:rsidRPr="00CB63F5">
              <w:rPr>
                <w:i/>
              </w:rPr>
              <w:t>LH</w:t>
            </w:r>
            <w:r w:rsidRPr="00CB63F5">
              <w:rPr>
                <w:i/>
                <w:vertAlign w:val="subscript"/>
              </w:rPr>
              <w:t>2</w:t>
            </w:r>
            <w:r w:rsidRPr="00CB63F5">
              <w:rPr>
                <w:i/>
              </w:rPr>
              <w:t xml:space="preserve"> hose</w:t>
            </w:r>
          </w:p>
        </w:tc>
        <w:tc>
          <w:tcPr>
            <w:tcW w:w="4111" w:type="dxa"/>
            <w:tcBorders>
              <w:bottom w:val="single" w:sz="6" w:space="0" w:color="008000"/>
            </w:tcBorders>
            <w:shd w:val="clear" w:color="auto" w:fill="FFFFFF"/>
          </w:tcPr>
          <w:p w14:paraId="0967569F" w14:textId="1B80A38A" w:rsidR="00163D1C" w:rsidRPr="00CB63F5" w:rsidRDefault="00163D1C" w:rsidP="00163D1C">
            <w:pPr>
              <w:pStyle w:val="CETBodytext"/>
              <w:rPr>
                <w:i/>
              </w:rPr>
            </w:pPr>
          </w:p>
        </w:tc>
      </w:tr>
      <w:tr w:rsidR="00163D1C" w:rsidRPr="00B57B36" w14:paraId="621666CF" w14:textId="77777777" w:rsidTr="00CB63F5">
        <w:tc>
          <w:tcPr>
            <w:tcW w:w="4678" w:type="dxa"/>
            <w:tcBorders>
              <w:top w:val="single" w:sz="6" w:space="0" w:color="008000"/>
            </w:tcBorders>
            <w:shd w:val="clear" w:color="auto" w:fill="FFFFFF"/>
          </w:tcPr>
          <w:p w14:paraId="31943CF1" w14:textId="310E9876" w:rsidR="00163D1C" w:rsidRDefault="00163D1C" w:rsidP="00163D1C">
            <w:pPr>
              <w:pStyle w:val="CETBodytext"/>
            </w:pPr>
            <w:r w:rsidRPr="0068189A">
              <w:t>Avoid overpressure owing to pressure shock</w:t>
            </w:r>
          </w:p>
        </w:tc>
        <w:tc>
          <w:tcPr>
            <w:tcW w:w="4111" w:type="dxa"/>
            <w:tcBorders>
              <w:top w:val="single" w:sz="6" w:space="0" w:color="008000"/>
            </w:tcBorders>
            <w:shd w:val="clear" w:color="auto" w:fill="FFFFFF"/>
          </w:tcPr>
          <w:p w14:paraId="1EF2C258" w14:textId="2C1F1BC7" w:rsidR="00163D1C" w:rsidRPr="00BB4A65" w:rsidRDefault="002946B1" w:rsidP="00163D1C">
            <w:pPr>
              <w:pStyle w:val="CETBodytext"/>
            </w:pPr>
            <w:r w:rsidRPr="0068189A">
              <w:t>Pressure Safety Valves</w:t>
            </w:r>
          </w:p>
        </w:tc>
      </w:tr>
      <w:tr w:rsidR="00163D1C" w:rsidRPr="00B57B36" w14:paraId="7B2026AE" w14:textId="77777777" w:rsidTr="00CB63F5">
        <w:tc>
          <w:tcPr>
            <w:tcW w:w="4678" w:type="dxa"/>
            <w:shd w:val="clear" w:color="auto" w:fill="FFFFFF"/>
          </w:tcPr>
          <w:p w14:paraId="7FB838CB" w14:textId="2CCCB794" w:rsidR="00163D1C" w:rsidRDefault="00163D1C" w:rsidP="00163D1C">
            <w:pPr>
              <w:pStyle w:val="CETBodytext"/>
            </w:pPr>
            <w:r w:rsidRPr="0068189A">
              <w:t>Provide sufficient purging</w:t>
            </w:r>
          </w:p>
        </w:tc>
        <w:tc>
          <w:tcPr>
            <w:tcW w:w="4111" w:type="dxa"/>
            <w:shd w:val="clear" w:color="auto" w:fill="FFFFFF"/>
          </w:tcPr>
          <w:p w14:paraId="5967B88F" w14:textId="600CED69" w:rsidR="00163D1C" w:rsidRPr="00BB4A65" w:rsidRDefault="00786DC4" w:rsidP="00917351">
            <w:pPr>
              <w:pStyle w:val="CETBodytext"/>
            </w:pPr>
            <w:r>
              <w:t xml:space="preserve"> </w:t>
            </w:r>
            <w:r w:rsidR="00917351">
              <w:t>F</w:t>
            </w:r>
            <w:r w:rsidR="00163D1C" w:rsidRPr="0068189A">
              <w:t>ollow procedures for purging and emptying lines</w:t>
            </w:r>
          </w:p>
        </w:tc>
      </w:tr>
      <w:tr w:rsidR="00163D1C" w:rsidRPr="00B57B36" w14:paraId="2555A8E1" w14:textId="77777777" w:rsidTr="00CB63F5">
        <w:tc>
          <w:tcPr>
            <w:tcW w:w="4678" w:type="dxa"/>
            <w:shd w:val="clear" w:color="auto" w:fill="FFFFFF"/>
          </w:tcPr>
          <w:p w14:paraId="062ACD2A" w14:textId="00E3FB53" w:rsidR="00163D1C" w:rsidRDefault="00163D1C" w:rsidP="00163D1C">
            <w:pPr>
              <w:pStyle w:val="CETBodytext"/>
            </w:pPr>
            <w:r w:rsidRPr="0068189A">
              <w:t>Corrosion and embrittlement protection</w:t>
            </w:r>
          </w:p>
        </w:tc>
        <w:tc>
          <w:tcPr>
            <w:tcW w:w="4111" w:type="dxa"/>
            <w:shd w:val="clear" w:color="auto" w:fill="FFFFFF"/>
          </w:tcPr>
          <w:p w14:paraId="330D6E85" w14:textId="6AFCC8FB" w:rsidR="00163D1C" w:rsidRPr="00BB4A65" w:rsidRDefault="00786DC4" w:rsidP="00917351">
            <w:pPr>
              <w:pStyle w:val="CETBodytext"/>
            </w:pPr>
            <w:r>
              <w:t xml:space="preserve"> </w:t>
            </w:r>
            <w:r w:rsidR="00917351">
              <w:t>F</w:t>
            </w:r>
            <w:r w:rsidR="00163D1C" w:rsidRPr="0068189A">
              <w:t xml:space="preserve">ollow procedures for cooling </w:t>
            </w:r>
          </w:p>
        </w:tc>
      </w:tr>
      <w:tr w:rsidR="00163D1C" w:rsidRPr="00B57B36" w14:paraId="6033662B" w14:textId="77777777" w:rsidTr="00CB63F5">
        <w:tc>
          <w:tcPr>
            <w:tcW w:w="4678" w:type="dxa"/>
            <w:shd w:val="clear" w:color="auto" w:fill="FFFFFF"/>
          </w:tcPr>
          <w:p w14:paraId="55DFAD97" w14:textId="75212F2B" w:rsidR="00163D1C" w:rsidRDefault="00163D1C" w:rsidP="00163D1C">
            <w:pPr>
              <w:pStyle w:val="CETBodytext"/>
            </w:pPr>
            <w:r w:rsidRPr="0068189A">
              <w:t>Avoid vibrations</w:t>
            </w:r>
          </w:p>
        </w:tc>
        <w:tc>
          <w:tcPr>
            <w:tcW w:w="4111" w:type="dxa"/>
            <w:shd w:val="clear" w:color="auto" w:fill="FFFFFF"/>
          </w:tcPr>
          <w:p w14:paraId="011365C2" w14:textId="77777777" w:rsidR="00163D1C" w:rsidRPr="00BB4A65" w:rsidRDefault="00163D1C" w:rsidP="00163D1C">
            <w:pPr>
              <w:pStyle w:val="CETBodytext"/>
            </w:pPr>
          </w:p>
        </w:tc>
      </w:tr>
      <w:tr w:rsidR="00163D1C" w:rsidRPr="00B57B36" w14:paraId="467516FF" w14:textId="77777777" w:rsidTr="00CB63F5">
        <w:tc>
          <w:tcPr>
            <w:tcW w:w="4678" w:type="dxa"/>
            <w:shd w:val="clear" w:color="auto" w:fill="FFFFFF"/>
          </w:tcPr>
          <w:p w14:paraId="66F885EF" w14:textId="2A212BE8" w:rsidR="00163D1C" w:rsidRDefault="00163D1C" w:rsidP="00BA29B5">
            <w:pPr>
              <w:pStyle w:val="CETBodytext"/>
            </w:pPr>
            <w:r w:rsidRPr="0068189A">
              <w:t xml:space="preserve">Avoid boundary containment by-passing </w:t>
            </w:r>
          </w:p>
        </w:tc>
        <w:tc>
          <w:tcPr>
            <w:tcW w:w="4111" w:type="dxa"/>
            <w:shd w:val="clear" w:color="auto" w:fill="FFFFFF"/>
          </w:tcPr>
          <w:p w14:paraId="67371031" w14:textId="7EB73E57" w:rsidR="00163D1C" w:rsidRPr="00BB4A65" w:rsidRDefault="00786DC4" w:rsidP="00786DC4">
            <w:pPr>
              <w:pStyle w:val="CETBodytext"/>
              <w:ind w:left="142" w:hanging="142"/>
            </w:pPr>
            <w:r>
              <w:t xml:space="preserve"> </w:t>
            </w:r>
            <w:r w:rsidR="00163D1C" w:rsidRPr="0068189A">
              <w:t xml:space="preserve">Boundary containment by-passing protection </w:t>
            </w:r>
          </w:p>
        </w:tc>
      </w:tr>
      <w:tr w:rsidR="00163D1C" w:rsidRPr="00B57B36" w14:paraId="4707F2A6" w14:textId="77777777" w:rsidTr="00CB63F5">
        <w:tc>
          <w:tcPr>
            <w:tcW w:w="4678" w:type="dxa"/>
            <w:shd w:val="clear" w:color="auto" w:fill="FFFFFF"/>
          </w:tcPr>
          <w:p w14:paraId="11398737" w14:textId="5C33DE0A" w:rsidR="00163D1C" w:rsidRDefault="00163D1C" w:rsidP="00DF4696">
            <w:pPr>
              <w:pStyle w:val="CETBodytext"/>
            </w:pPr>
            <w:r w:rsidRPr="0068189A">
              <w:t>Collision and extra load protection</w:t>
            </w:r>
            <w:r w:rsidR="00DF4696">
              <w:t xml:space="preserve"> </w:t>
            </w:r>
          </w:p>
        </w:tc>
        <w:tc>
          <w:tcPr>
            <w:tcW w:w="4111" w:type="dxa"/>
            <w:shd w:val="clear" w:color="auto" w:fill="FFFFFF"/>
          </w:tcPr>
          <w:p w14:paraId="670507C5" w14:textId="56DF84DE" w:rsidR="00163D1C" w:rsidRPr="00BB4A65" w:rsidRDefault="00786DC4" w:rsidP="00786DC4">
            <w:pPr>
              <w:pStyle w:val="CETBodytext"/>
              <w:ind w:left="142" w:hanging="142"/>
            </w:pPr>
            <w:r>
              <w:t xml:space="preserve"> </w:t>
            </w:r>
            <w:r w:rsidR="00BA29B5">
              <w:t>R</w:t>
            </w:r>
            <w:r w:rsidR="00DF4696" w:rsidRPr="00DF4696">
              <w:t>estriction of traffic and warning signs, Tow-away interlock</w:t>
            </w:r>
          </w:p>
        </w:tc>
      </w:tr>
      <w:tr w:rsidR="00163D1C" w:rsidRPr="00B57B36" w14:paraId="5EE4CCE4" w14:textId="77777777" w:rsidTr="00CB63F5">
        <w:tc>
          <w:tcPr>
            <w:tcW w:w="4678" w:type="dxa"/>
            <w:shd w:val="clear" w:color="auto" w:fill="FFFFFF"/>
          </w:tcPr>
          <w:p w14:paraId="77EE740B" w14:textId="4E662BF8" w:rsidR="00163D1C" w:rsidRDefault="00163D1C" w:rsidP="00163D1C">
            <w:pPr>
              <w:pStyle w:val="CETBodytext"/>
            </w:pPr>
            <w:r w:rsidRPr="0068189A">
              <w:t>Fire protection</w:t>
            </w:r>
          </w:p>
        </w:tc>
        <w:tc>
          <w:tcPr>
            <w:tcW w:w="4111" w:type="dxa"/>
            <w:shd w:val="clear" w:color="auto" w:fill="FFFFFF"/>
          </w:tcPr>
          <w:p w14:paraId="11E6D0CC" w14:textId="57F91CD4" w:rsidR="00163D1C" w:rsidRPr="00BB4A65" w:rsidRDefault="00786DC4" w:rsidP="00163D1C">
            <w:pPr>
              <w:pStyle w:val="CETBodytext"/>
            </w:pPr>
            <w:r>
              <w:t xml:space="preserve"> </w:t>
            </w:r>
            <w:r w:rsidR="00163D1C" w:rsidRPr="0068189A">
              <w:t>Fire protection system</w:t>
            </w:r>
          </w:p>
        </w:tc>
      </w:tr>
      <w:tr w:rsidR="00163D1C" w:rsidRPr="00163D1C" w14:paraId="089EEF61" w14:textId="77777777" w:rsidTr="00CB63F5">
        <w:tc>
          <w:tcPr>
            <w:tcW w:w="4678" w:type="dxa"/>
            <w:tcBorders>
              <w:bottom w:val="single" w:sz="6" w:space="0" w:color="008000"/>
            </w:tcBorders>
            <w:shd w:val="clear" w:color="auto" w:fill="FFFFFF"/>
          </w:tcPr>
          <w:p w14:paraId="7621C3F5" w14:textId="7D36F4CA" w:rsidR="00163D1C" w:rsidRPr="00CB63F5" w:rsidRDefault="00163D1C" w:rsidP="00163D1C">
            <w:pPr>
              <w:pStyle w:val="CETBodytext"/>
              <w:rPr>
                <w:i/>
              </w:rPr>
            </w:pPr>
            <w:r w:rsidRPr="00CB63F5">
              <w:rPr>
                <w:i/>
              </w:rPr>
              <w:t>LH</w:t>
            </w:r>
            <w:r w:rsidRPr="00CB63F5">
              <w:rPr>
                <w:i/>
                <w:vertAlign w:val="subscript"/>
              </w:rPr>
              <w:t>2</w:t>
            </w:r>
            <w:r w:rsidRPr="00CB63F5">
              <w:rPr>
                <w:i/>
              </w:rPr>
              <w:t xml:space="preserve"> storage tank</w:t>
            </w:r>
          </w:p>
        </w:tc>
        <w:tc>
          <w:tcPr>
            <w:tcW w:w="4111" w:type="dxa"/>
            <w:tcBorders>
              <w:bottom w:val="single" w:sz="6" w:space="0" w:color="008000"/>
            </w:tcBorders>
            <w:shd w:val="clear" w:color="auto" w:fill="FFFFFF"/>
          </w:tcPr>
          <w:p w14:paraId="086793D4" w14:textId="77777777" w:rsidR="00163D1C" w:rsidRPr="00CB63F5" w:rsidRDefault="00163D1C" w:rsidP="00163D1C">
            <w:pPr>
              <w:pStyle w:val="CETBodytext"/>
              <w:rPr>
                <w:i/>
              </w:rPr>
            </w:pPr>
          </w:p>
        </w:tc>
      </w:tr>
      <w:tr w:rsidR="00163D1C" w:rsidRPr="00B57B36" w14:paraId="45D3DCCD" w14:textId="77777777" w:rsidTr="00CB63F5">
        <w:tc>
          <w:tcPr>
            <w:tcW w:w="4678" w:type="dxa"/>
            <w:tcBorders>
              <w:top w:val="single" w:sz="6" w:space="0" w:color="008000"/>
            </w:tcBorders>
            <w:shd w:val="clear" w:color="auto" w:fill="FFFFFF"/>
          </w:tcPr>
          <w:p w14:paraId="458977F8" w14:textId="4059E9F6" w:rsidR="00163D1C" w:rsidRDefault="00163D1C" w:rsidP="00163D1C">
            <w:pPr>
              <w:pStyle w:val="CETBodytext"/>
            </w:pPr>
            <w:r w:rsidRPr="0068189A">
              <w:t>Avoid overpressure owing to boil off/ hydrogen gas</w:t>
            </w:r>
          </w:p>
        </w:tc>
        <w:tc>
          <w:tcPr>
            <w:tcW w:w="4111" w:type="dxa"/>
            <w:tcBorders>
              <w:top w:val="single" w:sz="6" w:space="0" w:color="008000"/>
            </w:tcBorders>
            <w:shd w:val="clear" w:color="auto" w:fill="FFFFFF"/>
          </w:tcPr>
          <w:p w14:paraId="45CC332B" w14:textId="3599778A" w:rsidR="00163D1C" w:rsidRPr="00BB4A65" w:rsidRDefault="00163D1C" w:rsidP="00163D1C">
            <w:pPr>
              <w:pStyle w:val="CETBodytext"/>
            </w:pPr>
            <w:r w:rsidRPr="00CB63F5">
              <w:t xml:space="preserve">  </w:t>
            </w:r>
            <w:r w:rsidRPr="0068189A">
              <w:t>Pressure Safety Valves, Bursting disks, Vent stack</w:t>
            </w:r>
          </w:p>
        </w:tc>
      </w:tr>
      <w:tr w:rsidR="00163D1C" w:rsidRPr="00B57B36" w14:paraId="26C84AB1" w14:textId="77777777" w:rsidTr="00CB63F5">
        <w:tc>
          <w:tcPr>
            <w:tcW w:w="4678" w:type="dxa"/>
            <w:shd w:val="clear" w:color="auto" w:fill="FFFFFF"/>
          </w:tcPr>
          <w:p w14:paraId="69417B02" w14:textId="1A2AC31A" w:rsidR="00163D1C" w:rsidRDefault="00163D1C" w:rsidP="00163D1C">
            <w:pPr>
              <w:pStyle w:val="CETBodytext"/>
            </w:pPr>
            <w:r w:rsidRPr="0068189A">
              <w:t>Avoid overfilling</w:t>
            </w:r>
          </w:p>
        </w:tc>
        <w:tc>
          <w:tcPr>
            <w:tcW w:w="4111" w:type="dxa"/>
            <w:shd w:val="clear" w:color="auto" w:fill="FFFFFF"/>
          </w:tcPr>
          <w:p w14:paraId="1018E9A6" w14:textId="05E4C9F5" w:rsidR="00163D1C" w:rsidRPr="00BB4A65" w:rsidRDefault="00163D1C" w:rsidP="001D422A">
            <w:pPr>
              <w:pStyle w:val="CETBodytext"/>
              <w:ind w:left="145" w:hanging="142"/>
            </w:pPr>
            <w:r w:rsidRPr="00CB63F5">
              <w:t xml:space="preserve">  </w:t>
            </w:r>
            <w:r w:rsidRPr="0068189A">
              <w:t xml:space="preserve">High Level System, Level indicator, Operator </w:t>
            </w:r>
            <w:r w:rsidR="001D422A">
              <w:t>stops filling</w:t>
            </w:r>
          </w:p>
        </w:tc>
      </w:tr>
      <w:tr w:rsidR="00163D1C" w:rsidRPr="00B57B36" w14:paraId="6E2B089F" w14:textId="77777777" w:rsidTr="00CB63F5">
        <w:tc>
          <w:tcPr>
            <w:tcW w:w="4678" w:type="dxa"/>
            <w:shd w:val="clear" w:color="auto" w:fill="FFFFFF"/>
          </w:tcPr>
          <w:p w14:paraId="66A0A150" w14:textId="059B9102" w:rsidR="00163D1C" w:rsidRDefault="00163D1C" w:rsidP="00163D1C">
            <w:pPr>
              <w:pStyle w:val="CETBodytext"/>
            </w:pPr>
            <w:r w:rsidRPr="0068189A">
              <w:t>Provide overpressure protection</w:t>
            </w:r>
          </w:p>
        </w:tc>
        <w:tc>
          <w:tcPr>
            <w:tcW w:w="4111" w:type="dxa"/>
            <w:shd w:val="clear" w:color="auto" w:fill="FFFFFF"/>
          </w:tcPr>
          <w:p w14:paraId="3B595BFF" w14:textId="72AA10F9" w:rsidR="00163D1C" w:rsidRPr="00BB4A65" w:rsidRDefault="00163D1C" w:rsidP="00BA29B5">
            <w:pPr>
              <w:pStyle w:val="CETBodytext"/>
              <w:ind w:left="142" w:hanging="142"/>
            </w:pPr>
            <w:r w:rsidRPr="00CB63F5">
              <w:t xml:space="preserve">  </w:t>
            </w:r>
            <w:r w:rsidRPr="0068189A">
              <w:t>High Pressure System, Manual pressure reduction  through blow down valve</w:t>
            </w:r>
          </w:p>
        </w:tc>
      </w:tr>
      <w:tr w:rsidR="00163D1C" w:rsidRPr="00B57B36" w14:paraId="1DA5E771" w14:textId="77777777" w:rsidTr="00CB63F5">
        <w:tc>
          <w:tcPr>
            <w:tcW w:w="4678" w:type="dxa"/>
            <w:shd w:val="clear" w:color="auto" w:fill="FFFFFF"/>
          </w:tcPr>
          <w:p w14:paraId="288FB9EC" w14:textId="4CBA78AA" w:rsidR="00163D1C" w:rsidRDefault="00163D1C" w:rsidP="00163D1C">
            <w:pPr>
              <w:pStyle w:val="CETBodytext"/>
            </w:pPr>
            <w:r w:rsidRPr="0068189A">
              <w:t>Provide vacuum and insulation protection</w:t>
            </w:r>
          </w:p>
        </w:tc>
        <w:tc>
          <w:tcPr>
            <w:tcW w:w="4111" w:type="dxa"/>
            <w:shd w:val="clear" w:color="auto" w:fill="FFFFFF"/>
          </w:tcPr>
          <w:p w14:paraId="2CDC61EF" w14:textId="3EBEA69D" w:rsidR="00163D1C" w:rsidRPr="00BB4A65" w:rsidRDefault="00163D1C" w:rsidP="00917351">
            <w:pPr>
              <w:pStyle w:val="CETBodytext"/>
            </w:pPr>
            <w:r w:rsidRPr="00CB63F5">
              <w:t xml:space="preserve">  </w:t>
            </w:r>
            <w:r w:rsidRPr="0068189A">
              <w:t xml:space="preserve">Thermal insulation of tank, Vacuum system </w:t>
            </w:r>
          </w:p>
        </w:tc>
      </w:tr>
      <w:tr w:rsidR="00163D1C" w:rsidRPr="00B57B36" w14:paraId="0D31D859" w14:textId="77777777" w:rsidTr="00CB63F5">
        <w:tc>
          <w:tcPr>
            <w:tcW w:w="4678" w:type="dxa"/>
            <w:shd w:val="clear" w:color="auto" w:fill="FFFFFF"/>
          </w:tcPr>
          <w:p w14:paraId="63F6F7CD" w14:textId="65D02824" w:rsidR="00163D1C" w:rsidRDefault="001D422A" w:rsidP="00163D1C">
            <w:pPr>
              <w:pStyle w:val="CETBodytext"/>
            </w:pPr>
            <w:r w:rsidRPr="0068189A">
              <w:t xml:space="preserve">Maintain structural integrity of </w:t>
            </w:r>
            <w:r>
              <w:t>p</w:t>
            </w:r>
            <w:r w:rsidRPr="0068189A">
              <w:t xml:space="preserve">ressure </w:t>
            </w:r>
            <w:r>
              <w:t>b</w:t>
            </w:r>
            <w:r w:rsidRPr="0068189A">
              <w:t xml:space="preserve">oundary </w:t>
            </w:r>
            <w:r>
              <w:t>u</w:t>
            </w:r>
            <w:r w:rsidRPr="0068189A">
              <w:t xml:space="preserve">nder </w:t>
            </w:r>
            <w:r>
              <w:t>n</w:t>
            </w:r>
            <w:r w:rsidRPr="0068189A">
              <w:t>ormal pressure conditions</w:t>
            </w:r>
          </w:p>
        </w:tc>
        <w:tc>
          <w:tcPr>
            <w:tcW w:w="4111" w:type="dxa"/>
            <w:shd w:val="clear" w:color="auto" w:fill="FFFFFF"/>
          </w:tcPr>
          <w:p w14:paraId="148D563B" w14:textId="5CC3C257" w:rsidR="00163D1C" w:rsidRPr="00BB4A65" w:rsidRDefault="00163D1C" w:rsidP="00BA29B5">
            <w:pPr>
              <w:pStyle w:val="CETBodytext"/>
              <w:ind w:left="142" w:hanging="142"/>
            </w:pPr>
            <w:r w:rsidRPr="00CB63F5">
              <w:t xml:space="preserve">  </w:t>
            </w:r>
            <w:r w:rsidRPr="0068189A">
              <w:t>Outer pressurized stressed containment, Internal vessel</w:t>
            </w:r>
          </w:p>
        </w:tc>
      </w:tr>
      <w:tr w:rsidR="00163D1C" w:rsidRPr="00B57B36" w14:paraId="07C3A2E2" w14:textId="77777777" w:rsidTr="00CB63F5">
        <w:tc>
          <w:tcPr>
            <w:tcW w:w="4678" w:type="dxa"/>
            <w:shd w:val="clear" w:color="auto" w:fill="FFFFFF"/>
          </w:tcPr>
          <w:p w14:paraId="3F63255E" w14:textId="494E3864" w:rsidR="00163D1C" w:rsidRDefault="00163D1C" w:rsidP="00163D1C">
            <w:pPr>
              <w:pStyle w:val="CETBodytext"/>
            </w:pPr>
            <w:r w:rsidRPr="0068189A">
              <w:t>Avoid boundary containment by-passing</w:t>
            </w:r>
          </w:p>
        </w:tc>
        <w:tc>
          <w:tcPr>
            <w:tcW w:w="4111" w:type="dxa"/>
            <w:shd w:val="clear" w:color="auto" w:fill="FFFFFF"/>
          </w:tcPr>
          <w:p w14:paraId="599D6F4C" w14:textId="646418C0" w:rsidR="00163D1C" w:rsidRPr="00BB4A65" w:rsidRDefault="00163D1C" w:rsidP="00163D1C">
            <w:pPr>
              <w:pStyle w:val="CETBodytext"/>
            </w:pPr>
            <w:r w:rsidRPr="00CB63F5">
              <w:t xml:space="preserve">  </w:t>
            </w:r>
            <w:r w:rsidRPr="0068189A">
              <w:t>Procedures for Containment bypass protection</w:t>
            </w:r>
          </w:p>
        </w:tc>
      </w:tr>
      <w:tr w:rsidR="00163D1C" w:rsidRPr="00B57B36" w14:paraId="02124C58" w14:textId="77777777" w:rsidTr="00CB63F5">
        <w:tc>
          <w:tcPr>
            <w:tcW w:w="4678" w:type="dxa"/>
            <w:shd w:val="clear" w:color="auto" w:fill="FFFFFF"/>
          </w:tcPr>
          <w:p w14:paraId="6B39FECF" w14:textId="2BC73885" w:rsidR="00163D1C" w:rsidRDefault="00163D1C" w:rsidP="00163D1C">
            <w:pPr>
              <w:pStyle w:val="CETBodytext"/>
            </w:pPr>
            <w:r w:rsidRPr="0068189A">
              <w:t>Corrosion protection</w:t>
            </w:r>
          </w:p>
        </w:tc>
        <w:tc>
          <w:tcPr>
            <w:tcW w:w="4111" w:type="dxa"/>
            <w:shd w:val="clear" w:color="auto" w:fill="FFFFFF"/>
          </w:tcPr>
          <w:p w14:paraId="2AF131DA" w14:textId="483C213E" w:rsidR="00163D1C" w:rsidRPr="00BB4A65" w:rsidRDefault="00163D1C" w:rsidP="00163D1C">
            <w:pPr>
              <w:pStyle w:val="CETBodytext"/>
            </w:pPr>
            <w:r>
              <w:rPr>
                <w:lang w:val="el-GR"/>
              </w:rPr>
              <w:t xml:space="preserve">  </w:t>
            </w:r>
            <w:r w:rsidRPr="0068189A">
              <w:t>Procedures for corrosion protection</w:t>
            </w:r>
          </w:p>
        </w:tc>
      </w:tr>
      <w:tr w:rsidR="00163D1C" w:rsidRPr="00B57B36" w14:paraId="561202EE" w14:textId="77777777" w:rsidTr="00CB63F5">
        <w:tc>
          <w:tcPr>
            <w:tcW w:w="4678" w:type="dxa"/>
            <w:shd w:val="clear" w:color="auto" w:fill="FFFFFF"/>
          </w:tcPr>
          <w:p w14:paraId="0A300073" w14:textId="45D4191F" w:rsidR="00163D1C" w:rsidRPr="00CB63F5" w:rsidRDefault="00163D1C" w:rsidP="00163D1C">
            <w:pPr>
              <w:pStyle w:val="CETBodytext"/>
              <w:rPr>
                <w:lang w:val="el-GR"/>
              </w:rPr>
            </w:pPr>
            <w:r w:rsidRPr="0068189A">
              <w:t>Fire protection</w:t>
            </w:r>
            <w:r>
              <w:rPr>
                <w:lang w:val="el-GR"/>
              </w:rPr>
              <w:t xml:space="preserve"> </w:t>
            </w:r>
          </w:p>
        </w:tc>
        <w:tc>
          <w:tcPr>
            <w:tcW w:w="4111" w:type="dxa"/>
            <w:shd w:val="clear" w:color="auto" w:fill="FFFFFF"/>
          </w:tcPr>
          <w:p w14:paraId="6E8DEEE0" w14:textId="1925E7EC" w:rsidR="00163D1C" w:rsidRPr="00BB4A65" w:rsidRDefault="00163D1C" w:rsidP="00163D1C">
            <w:pPr>
              <w:pStyle w:val="CETBodytext"/>
            </w:pPr>
            <w:r>
              <w:rPr>
                <w:lang w:val="el-GR"/>
              </w:rPr>
              <w:t xml:space="preserve">  </w:t>
            </w:r>
            <w:r w:rsidRPr="0068189A">
              <w:t>Fire protection system, Sprinklers</w:t>
            </w:r>
          </w:p>
        </w:tc>
      </w:tr>
      <w:tr w:rsidR="00163D1C" w:rsidRPr="00B57B36" w14:paraId="789509F2" w14:textId="77777777" w:rsidTr="00CB63F5">
        <w:tc>
          <w:tcPr>
            <w:tcW w:w="4678" w:type="dxa"/>
            <w:shd w:val="clear" w:color="auto" w:fill="FFFFFF"/>
          </w:tcPr>
          <w:p w14:paraId="22614A5E" w14:textId="4B60CEAC" w:rsidR="00163D1C" w:rsidRPr="0068189A" w:rsidRDefault="00163D1C">
            <w:pPr>
              <w:pStyle w:val="CETBodytext"/>
            </w:pPr>
            <w:r w:rsidRPr="00163D1C">
              <w:t>Ignition Protection</w:t>
            </w:r>
            <w:r w:rsidRPr="00163D1C">
              <w:tab/>
            </w:r>
          </w:p>
        </w:tc>
        <w:tc>
          <w:tcPr>
            <w:tcW w:w="4111" w:type="dxa"/>
            <w:shd w:val="clear" w:color="auto" w:fill="FFFFFF"/>
          </w:tcPr>
          <w:p w14:paraId="096EBEA9" w14:textId="5DA2F9D4" w:rsidR="00163D1C" w:rsidRPr="00163D1C" w:rsidRDefault="00163D1C" w:rsidP="00163D1C">
            <w:pPr>
              <w:pStyle w:val="CETBodytext"/>
              <w:rPr>
                <w:lang w:val="el-GR"/>
              </w:rPr>
            </w:pPr>
            <w:r>
              <w:rPr>
                <w:lang w:val="el-GR"/>
              </w:rPr>
              <w:t xml:space="preserve">  </w:t>
            </w:r>
            <w:r w:rsidRPr="00163D1C">
              <w:t>Lightning and earthing protection</w:t>
            </w:r>
          </w:p>
        </w:tc>
      </w:tr>
    </w:tbl>
    <w:p w14:paraId="7B48DA25" w14:textId="21DF135D" w:rsidR="00BF5BF6" w:rsidRPr="0070004C" w:rsidRDefault="00BF5BF6" w:rsidP="00311704">
      <w:pPr>
        <w:pStyle w:val="CETheadingx"/>
      </w:pPr>
      <w:r w:rsidRPr="00DE7221">
        <w:t>Event sequence modelling</w:t>
      </w:r>
      <w:r w:rsidRPr="0070004C">
        <w:t xml:space="preserve"> and plant damage states</w:t>
      </w:r>
    </w:p>
    <w:p w14:paraId="20D11F8C" w14:textId="7B130402" w:rsidR="00A40731" w:rsidRPr="00D9397D" w:rsidRDefault="00BF5BF6" w:rsidP="0070004C">
      <w:pPr>
        <w:pStyle w:val="CETBodytext"/>
      </w:pPr>
      <w:r w:rsidRPr="00745AAA">
        <w:t>This task determines the response of the plant to each and eve</w:t>
      </w:r>
      <w:r w:rsidR="00CE709D">
        <w:t xml:space="preserve">ry group of initiating events. </w:t>
      </w:r>
      <w:r w:rsidRPr="00745AAA">
        <w:t>The response includes the systems that are called upon to respond and the corresponding required actions, human actions, etc. The combinations of the initiating event with successful or failed system and human responses are assessed, producing event sequences.  These sequences lead to either a successful control or mitigation of the initiating event, or to an abnormal event (release of LH</w:t>
      </w:r>
      <w:r w:rsidRPr="0007332B">
        <w:rPr>
          <w:vertAlign w:val="subscript"/>
        </w:rPr>
        <w:t>2</w:t>
      </w:r>
      <w:r w:rsidRPr="00745AAA">
        <w:t>). In the latter case the event sequence</w:t>
      </w:r>
      <w:r>
        <w:t xml:space="preserve">s are called accident sequences and lead to the damage states. Event Trees </w:t>
      </w:r>
      <w:r w:rsidR="00B93B8E">
        <w:t xml:space="preserve">(ETs) </w:t>
      </w:r>
      <w:r>
        <w:t xml:space="preserve">were constructed for </w:t>
      </w:r>
      <w:r w:rsidR="00B93B8E">
        <w:t>most of</w:t>
      </w:r>
      <w:r>
        <w:t xml:space="preserve"> the initiating events of Table 1.</w:t>
      </w:r>
      <w:r w:rsidR="00BA29B5">
        <w:t xml:space="preserve"> </w:t>
      </w:r>
      <w:r w:rsidRPr="0070004C">
        <w:t xml:space="preserve">Example of </w:t>
      </w:r>
      <w:r w:rsidR="00706CBC" w:rsidRPr="0070004C">
        <w:t>these</w:t>
      </w:r>
      <w:r w:rsidRPr="0070004C">
        <w:t xml:space="preserve"> </w:t>
      </w:r>
      <w:r w:rsidR="00B93B8E">
        <w:t xml:space="preserve">Event Trees </w:t>
      </w:r>
      <w:r w:rsidRPr="0070004C">
        <w:t xml:space="preserve">is the </w:t>
      </w:r>
      <w:r w:rsidR="00B93B8E">
        <w:t>one constructed for the initiating event</w:t>
      </w:r>
      <w:bookmarkStart w:id="6" w:name="_Toc274754908"/>
      <w:bookmarkStart w:id="7" w:name="_Toc42501550"/>
      <w:bookmarkStart w:id="8" w:name="_Toc158309738"/>
      <w:bookmarkStart w:id="9" w:name="_Toc158907388"/>
      <w:r w:rsidRPr="0070004C">
        <w:t xml:space="preserve"> “</w:t>
      </w:r>
      <w:r w:rsidR="00A40731" w:rsidRPr="0070004C">
        <w:t xml:space="preserve">Trailer </w:t>
      </w:r>
      <w:r w:rsidR="00CE709D">
        <w:t>t</w:t>
      </w:r>
      <w:r w:rsidR="000C1F81">
        <w:t xml:space="preserve">ank </w:t>
      </w:r>
      <w:r w:rsidR="00CE709D">
        <w:t>i</w:t>
      </w:r>
      <w:r w:rsidR="00A40731" w:rsidRPr="00FB3C36">
        <w:t xml:space="preserve">nsulation </w:t>
      </w:r>
      <w:r w:rsidR="00CE709D">
        <w:t>f</w:t>
      </w:r>
      <w:r w:rsidR="00A40731" w:rsidRPr="00FB3C36">
        <w:t xml:space="preserve">ailure or </w:t>
      </w:r>
      <w:r w:rsidR="00CE709D">
        <w:t>v</w:t>
      </w:r>
      <w:r w:rsidR="00A40731" w:rsidRPr="00FB3C36">
        <w:t xml:space="preserve">acuum </w:t>
      </w:r>
      <w:r w:rsidR="00CE709D">
        <w:t>l</w:t>
      </w:r>
      <w:r w:rsidR="00A40731" w:rsidRPr="00FB3C36">
        <w:t>oss</w:t>
      </w:r>
      <w:r>
        <w:t>”</w:t>
      </w:r>
      <w:bookmarkEnd w:id="6"/>
      <w:bookmarkEnd w:id="7"/>
      <w:bookmarkEnd w:id="8"/>
      <w:bookmarkEnd w:id="9"/>
      <w:r>
        <w:t xml:space="preserve">, presented in Figure 3. </w:t>
      </w:r>
      <w:r w:rsidR="00A40731" w:rsidRPr="00D9397D">
        <w:t xml:space="preserve">This model presents the possible response of the </w:t>
      </w:r>
      <w:r w:rsidR="00A40731">
        <w:t>trailer</w:t>
      </w:r>
      <w:r w:rsidR="00A40731" w:rsidRPr="00D9397D">
        <w:t xml:space="preserve"> </w:t>
      </w:r>
      <w:r w:rsidR="00CE709D">
        <w:t xml:space="preserve">tank </w:t>
      </w:r>
      <w:r w:rsidR="00A40731" w:rsidRPr="00D9397D">
        <w:t xml:space="preserve">to </w:t>
      </w:r>
      <w:r w:rsidR="00A40731" w:rsidRPr="00587F47">
        <w:t>in</w:t>
      </w:r>
      <w:r w:rsidR="00A40731">
        <w:t xml:space="preserve">sulation failure or vacuum loss, </w:t>
      </w:r>
      <w:r w:rsidR="00A40731" w:rsidRPr="00D9397D">
        <w:t xml:space="preserve">during </w:t>
      </w:r>
      <w:r w:rsidR="00A40731">
        <w:t>transfer</w:t>
      </w:r>
      <w:r w:rsidR="00A40731" w:rsidRPr="00D9397D">
        <w:t xml:space="preserve"> </w:t>
      </w:r>
      <w:r w:rsidR="00A40731">
        <w:t>of LH</w:t>
      </w:r>
      <w:r w:rsidR="00A40731" w:rsidRPr="0048143C">
        <w:rPr>
          <w:vertAlign w:val="subscript"/>
        </w:rPr>
        <w:t>2</w:t>
      </w:r>
      <w:r w:rsidR="00A40731">
        <w:t xml:space="preserve"> </w:t>
      </w:r>
      <w:r w:rsidR="00A40731" w:rsidRPr="00D9397D">
        <w:t>from</w:t>
      </w:r>
      <w:r w:rsidR="00A40731">
        <w:t xml:space="preserve"> a trailer</w:t>
      </w:r>
      <w:r w:rsidR="00A40731" w:rsidRPr="00D9397D">
        <w:t xml:space="preserve"> to </w:t>
      </w:r>
      <w:r w:rsidR="00A40731">
        <w:t xml:space="preserve">a stationary </w:t>
      </w:r>
      <w:r w:rsidR="00A40731" w:rsidRPr="00D9397D">
        <w:t>tank. It comprises the following events (headings</w:t>
      </w:r>
      <w:r w:rsidR="00A40731">
        <w:t>):</w:t>
      </w:r>
    </w:p>
    <w:p w14:paraId="11B3FF5A" w14:textId="48EBD0A2" w:rsidR="00A40731" w:rsidRDefault="00A40731" w:rsidP="0070004C">
      <w:pPr>
        <w:pStyle w:val="CETBodytext"/>
        <w:numPr>
          <w:ilvl w:val="0"/>
          <w:numId w:val="34"/>
        </w:numPr>
        <w:rPr>
          <w:i/>
        </w:rPr>
      </w:pPr>
      <w:r>
        <w:rPr>
          <w:i/>
        </w:rPr>
        <w:t xml:space="preserve">Trailer </w:t>
      </w:r>
      <w:r w:rsidR="00CE709D">
        <w:rPr>
          <w:i/>
        </w:rPr>
        <w:t xml:space="preserve">tank </w:t>
      </w:r>
      <w:r>
        <w:rPr>
          <w:i/>
        </w:rPr>
        <w:t xml:space="preserve">Insulation failure or vacuum loss </w:t>
      </w:r>
      <w:r w:rsidRPr="000107AD">
        <w:rPr>
          <w:i/>
        </w:rPr>
        <w:t>(IE-1)</w:t>
      </w:r>
    </w:p>
    <w:p w14:paraId="4157C9BB" w14:textId="26C72240" w:rsidR="00A40731" w:rsidRPr="00EE5465" w:rsidRDefault="00A40731" w:rsidP="0070004C">
      <w:pPr>
        <w:pStyle w:val="CETBodytext"/>
        <w:rPr>
          <w:i/>
        </w:rPr>
      </w:pPr>
      <w:r w:rsidRPr="00D9397D">
        <w:t xml:space="preserve">During unloading of </w:t>
      </w:r>
      <w:r>
        <w:t>LH</w:t>
      </w:r>
      <w:r w:rsidRPr="00C3781C">
        <w:rPr>
          <w:vertAlign w:val="subscript"/>
        </w:rPr>
        <w:t>2</w:t>
      </w:r>
      <w:r>
        <w:t xml:space="preserve"> </w:t>
      </w:r>
      <w:r w:rsidRPr="00D9397D">
        <w:t xml:space="preserve">from </w:t>
      </w:r>
      <w:r>
        <w:t xml:space="preserve">a trailer </w:t>
      </w:r>
      <w:r w:rsidRPr="00D9397D">
        <w:t>to</w:t>
      </w:r>
      <w:r>
        <w:t xml:space="preserve"> a</w:t>
      </w:r>
      <w:r w:rsidRPr="00D9397D">
        <w:t xml:space="preserve"> </w:t>
      </w:r>
      <w:r w:rsidR="0065342B">
        <w:t xml:space="preserve">storage </w:t>
      </w:r>
      <w:r w:rsidRPr="00D9397D">
        <w:t>tank</w:t>
      </w:r>
      <w:r>
        <w:t>,</w:t>
      </w:r>
      <w:r w:rsidRPr="00D9397D">
        <w:t xml:space="preserve"> </w:t>
      </w:r>
      <w:r w:rsidRPr="00EE5465">
        <w:t xml:space="preserve">insulation failure or vacuum loss </w:t>
      </w:r>
      <w:r w:rsidRPr="00D9397D">
        <w:t xml:space="preserve">may cause an additional demand on the boil off removal capacity of the </w:t>
      </w:r>
      <w:r>
        <w:t>trailer</w:t>
      </w:r>
      <w:r w:rsidRPr="00D9397D">
        <w:t xml:space="preserve">. The extra demand initiates a transient and requires certain safety functions to avoid release of </w:t>
      </w:r>
      <w:r>
        <w:t>hydrogen</w:t>
      </w:r>
      <w:r w:rsidRPr="00D9397D">
        <w:t>.</w:t>
      </w:r>
    </w:p>
    <w:p w14:paraId="5FE2E0F3" w14:textId="4079BBE1" w:rsidR="00A40731" w:rsidRDefault="00A40731" w:rsidP="0070004C">
      <w:pPr>
        <w:pStyle w:val="CETBodytext"/>
        <w:numPr>
          <w:ilvl w:val="0"/>
          <w:numId w:val="34"/>
        </w:numPr>
        <w:rPr>
          <w:i/>
        </w:rPr>
      </w:pPr>
      <w:r>
        <w:rPr>
          <w:i/>
        </w:rPr>
        <w:t>Pressure s</w:t>
      </w:r>
      <w:r w:rsidRPr="000107AD">
        <w:rPr>
          <w:i/>
        </w:rPr>
        <w:t xml:space="preserve">afety </w:t>
      </w:r>
      <w:r>
        <w:rPr>
          <w:i/>
        </w:rPr>
        <w:t>system</w:t>
      </w:r>
      <w:r w:rsidRPr="000107AD">
        <w:rPr>
          <w:i/>
        </w:rPr>
        <w:t xml:space="preserve"> (PSVs</w:t>
      </w:r>
      <w:r>
        <w:rPr>
          <w:i/>
        </w:rPr>
        <w:t xml:space="preserve">, </w:t>
      </w:r>
      <w:r w:rsidR="0065342B">
        <w:rPr>
          <w:i/>
        </w:rPr>
        <w:t xml:space="preserve">rupture </w:t>
      </w:r>
      <w:r>
        <w:rPr>
          <w:i/>
        </w:rPr>
        <w:t>disks and vent stack</w:t>
      </w:r>
      <w:r w:rsidRPr="000107AD">
        <w:rPr>
          <w:i/>
        </w:rPr>
        <w:t>)</w:t>
      </w:r>
    </w:p>
    <w:p w14:paraId="1DDCB833" w14:textId="77777777" w:rsidR="00A40731" w:rsidRPr="002C2E0E" w:rsidRDefault="00A40731" w:rsidP="0095593F">
      <w:pPr>
        <w:pStyle w:val="CETBodytext"/>
        <w:rPr>
          <w:i/>
        </w:rPr>
      </w:pPr>
      <w:r w:rsidRPr="00D9397D">
        <w:lastRenderedPageBreak/>
        <w:t xml:space="preserve">This event models the successful operation of the </w:t>
      </w:r>
      <w:r w:rsidRPr="0095593F">
        <w:t>pressure</w:t>
      </w:r>
      <w:r w:rsidRPr="00D9397D">
        <w:t xml:space="preserve"> safety </w:t>
      </w:r>
      <w:r>
        <w:t xml:space="preserve">system (PSVs, rupture disks or vent stack) </w:t>
      </w:r>
      <w:r w:rsidRPr="00D9397D">
        <w:t>in the event of a continuing pressure rise beyond and above the nominal set points.</w:t>
      </w:r>
    </w:p>
    <w:p w14:paraId="379341E9" w14:textId="19297D48" w:rsidR="00A40731" w:rsidRPr="00517FE7" w:rsidRDefault="00A40731" w:rsidP="0070004C">
      <w:pPr>
        <w:pStyle w:val="CETBodytext"/>
        <w:rPr>
          <w:i/>
        </w:rPr>
      </w:pPr>
      <w:r w:rsidRPr="00D9397D">
        <w:t xml:space="preserve">The event tree determines </w:t>
      </w:r>
      <w:r>
        <w:t>two</w:t>
      </w:r>
      <w:r w:rsidRPr="00D9397D">
        <w:t xml:space="preserve"> accident sequences. </w:t>
      </w:r>
      <w:r>
        <w:t>One of them (#1</w:t>
      </w:r>
      <w:r w:rsidRPr="00D9397D">
        <w:t>) constitute</w:t>
      </w:r>
      <w:r>
        <w:t>s</w:t>
      </w:r>
      <w:r w:rsidRPr="00D9397D">
        <w:t xml:space="preserve"> successful termination of the incident</w:t>
      </w:r>
      <w:r w:rsidR="0065342B">
        <w:t xml:space="preserve"> and o</w:t>
      </w:r>
      <w:r w:rsidRPr="00D9397D">
        <w:t>ne (#</w:t>
      </w:r>
      <w:r>
        <w:t>2</w:t>
      </w:r>
      <w:r w:rsidRPr="00D9397D">
        <w:t xml:space="preserve">) results in rupture </w:t>
      </w:r>
      <w:r>
        <w:t xml:space="preserve">of the trailer </w:t>
      </w:r>
      <w:r w:rsidRPr="00D9397D">
        <w:t>and release of</w:t>
      </w:r>
      <w:r>
        <w:t xml:space="preserve"> hydrogen.</w:t>
      </w:r>
    </w:p>
    <w:p w14:paraId="27546921" w14:textId="77777777" w:rsidR="00A40731" w:rsidRDefault="00A40731" w:rsidP="00A40731"/>
    <w:tbl>
      <w:tblPr>
        <w:tblW w:w="8860" w:type="dxa"/>
        <w:tblLook w:val="04A0" w:firstRow="1" w:lastRow="0" w:firstColumn="1" w:lastColumn="0" w:noHBand="0" w:noVBand="1"/>
      </w:tblPr>
      <w:tblGrid>
        <w:gridCol w:w="2122"/>
        <w:gridCol w:w="1838"/>
        <w:gridCol w:w="1520"/>
        <w:gridCol w:w="611"/>
        <w:gridCol w:w="2769"/>
      </w:tblGrid>
      <w:tr w:rsidR="00A40731" w:rsidRPr="00FB3C36" w14:paraId="435E5727" w14:textId="77777777" w:rsidTr="000C1F81">
        <w:trPr>
          <w:trHeight w:val="493"/>
        </w:trPr>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6C51D686" w14:textId="4FBF0F61" w:rsidR="00A40731" w:rsidRPr="0095593F" w:rsidRDefault="00A40731">
            <w:pPr>
              <w:pStyle w:val="CETBodytext"/>
            </w:pPr>
            <w:r w:rsidRPr="0095593F">
              <w:t xml:space="preserve">Trailer </w:t>
            </w:r>
            <w:r w:rsidR="000C1F81">
              <w:t>T</w:t>
            </w:r>
            <w:r w:rsidR="000C1F81" w:rsidRPr="0095593F">
              <w:t xml:space="preserve">ank </w:t>
            </w:r>
            <w:r w:rsidR="000C1F81">
              <w:t>I</w:t>
            </w:r>
            <w:r w:rsidR="000C1F81" w:rsidRPr="0095593F">
              <w:t xml:space="preserve">nsulation </w:t>
            </w:r>
            <w:r w:rsidR="000C1F81">
              <w:t>F</w:t>
            </w:r>
            <w:r w:rsidR="000C1F81" w:rsidRPr="0095593F">
              <w:t xml:space="preserve">ailure </w:t>
            </w:r>
            <w:r w:rsidRPr="0095593F">
              <w:t xml:space="preserve">or </w:t>
            </w:r>
            <w:r w:rsidR="000C1F81">
              <w:t>V</w:t>
            </w:r>
            <w:r w:rsidR="000C1F81" w:rsidRPr="0095593F">
              <w:t xml:space="preserve">acuum </w:t>
            </w:r>
            <w:r w:rsidR="000C1F81">
              <w:t>L</w:t>
            </w:r>
            <w:r w:rsidRPr="0095593F">
              <w:t xml:space="preserve">oss </w:t>
            </w:r>
          </w:p>
        </w:tc>
        <w:tc>
          <w:tcPr>
            <w:tcW w:w="3358" w:type="dxa"/>
            <w:gridSpan w:val="2"/>
            <w:tcBorders>
              <w:top w:val="single" w:sz="4" w:space="0" w:color="auto"/>
              <w:left w:val="nil"/>
              <w:bottom w:val="single" w:sz="4" w:space="0" w:color="auto"/>
              <w:right w:val="single" w:sz="4" w:space="0" w:color="000000"/>
            </w:tcBorders>
            <w:shd w:val="clear" w:color="auto" w:fill="auto"/>
            <w:hideMark/>
          </w:tcPr>
          <w:p w14:paraId="6F4BF355" w14:textId="6FBDEC8E" w:rsidR="00706CBC" w:rsidRDefault="00A40731" w:rsidP="0095593F">
            <w:pPr>
              <w:pStyle w:val="CETBodytext"/>
            </w:pPr>
            <w:r w:rsidRPr="0095593F">
              <w:t xml:space="preserve">Pressure Safety </w:t>
            </w:r>
            <w:r w:rsidR="000C1F81">
              <w:t>S</w:t>
            </w:r>
            <w:r w:rsidR="000C1F81" w:rsidRPr="0095593F">
              <w:t xml:space="preserve">ystem </w:t>
            </w:r>
          </w:p>
          <w:p w14:paraId="1A9FD415" w14:textId="08F6634B" w:rsidR="00A40731" w:rsidRPr="0095593F" w:rsidRDefault="00A40731" w:rsidP="0095593F">
            <w:pPr>
              <w:pStyle w:val="CETBodytext"/>
            </w:pPr>
            <w:r w:rsidRPr="0095593F">
              <w:t>(PSVs, rupture disks and vent stack)</w:t>
            </w:r>
          </w:p>
        </w:tc>
        <w:tc>
          <w:tcPr>
            <w:tcW w:w="611" w:type="dxa"/>
            <w:tcBorders>
              <w:top w:val="single" w:sz="4" w:space="0" w:color="auto"/>
              <w:left w:val="nil"/>
              <w:bottom w:val="single" w:sz="4" w:space="0" w:color="auto"/>
              <w:right w:val="single" w:sz="4" w:space="0" w:color="auto"/>
            </w:tcBorders>
            <w:shd w:val="clear" w:color="auto" w:fill="auto"/>
            <w:vAlign w:val="bottom"/>
            <w:hideMark/>
          </w:tcPr>
          <w:p w14:paraId="0097F7C9" w14:textId="77777777" w:rsidR="00A40731" w:rsidRPr="0095593F" w:rsidRDefault="00A40731" w:rsidP="0095593F">
            <w:pPr>
              <w:pStyle w:val="CETBodytext"/>
            </w:pPr>
            <w:r w:rsidRPr="0095593F">
              <w:t> </w:t>
            </w:r>
          </w:p>
        </w:tc>
        <w:tc>
          <w:tcPr>
            <w:tcW w:w="2769" w:type="dxa"/>
            <w:tcBorders>
              <w:top w:val="single" w:sz="4" w:space="0" w:color="auto"/>
              <w:left w:val="nil"/>
              <w:bottom w:val="single" w:sz="4" w:space="0" w:color="auto"/>
              <w:right w:val="single" w:sz="4" w:space="0" w:color="auto"/>
            </w:tcBorders>
            <w:shd w:val="clear" w:color="auto" w:fill="auto"/>
            <w:vAlign w:val="bottom"/>
            <w:hideMark/>
          </w:tcPr>
          <w:p w14:paraId="61097870" w14:textId="77777777" w:rsidR="00A40731" w:rsidRPr="0095593F" w:rsidRDefault="00A40731" w:rsidP="0095593F">
            <w:pPr>
              <w:pStyle w:val="CETBodytext"/>
            </w:pPr>
            <w:r w:rsidRPr="0095593F">
              <w:t> </w:t>
            </w:r>
          </w:p>
        </w:tc>
      </w:tr>
      <w:tr w:rsidR="00A40731" w:rsidRPr="00FB3C36" w14:paraId="7C0DD5B3" w14:textId="77777777" w:rsidTr="000C1F81">
        <w:trPr>
          <w:trHeight w:val="319"/>
        </w:trPr>
        <w:tc>
          <w:tcPr>
            <w:tcW w:w="2122" w:type="dxa"/>
            <w:tcBorders>
              <w:top w:val="nil"/>
              <w:left w:val="single" w:sz="4" w:space="0" w:color="auto"/>
              <w:bottom w:val="single" w:sz="4" w:space="0" w:color="auto"/>
              <w:right w:val="single" w:sz="4" w:space="0" w:color="auto"/>
            </w:tcBorders>
            <w:shd w:val="clear" w:color="auto" w:fill="auto"/>
            <w:vAlign w:val="bottom"/>
            <w:hideMark/>
          </w:tcPr>
          <w:p w14:paraId="154238C7" w14:textId="77777777" w:rsidR="00A40731" w:rsidRPr="0095593F" w:rsidRDefault="00A40731" w:rsidP="0095593F">
            <w:pPr>
              <w:pStyle w:val="CETBodytext"/>
            </w:pPr>
            <w:r w:rsidRPr="0095593F">
              <w:t>ΙΕ-1</w:t>
            </w:r>
          </w:p>
        </w:tc>
        <w:tc>
          <w:tcPr>
            <w:tcW w:w="3358" w:type="dxa"/>
            <w:gridSpan w:val="2"/>
            <w:tcBorders>
              <w:top w:val="single" w:sz="4" w:space="0" w:color="auto"/>
              <w:left w:val="nil"/>
              <w:bottom w:val="single" w:sz="4" w:space="0" w:color="auto"/>
              <w:right w:val="single" w:sz="4" w:space="0" w:color="000000"/>
            </w:tcBorders>
            <w:shd w:val="clear" w:color="auto" w:fill="auto"/>
            <w:vAlign w:val="bottom"/>
            <w:hideMark/>
          </w:tcPr>
          <w:p w14:paraId="2888FA51" w14:textId="77777777" w:rsidR="00A40731" w:rsidRPr="0095593F" w:rsidRDefault="00A40731" w:rsidP="0095593F">
            <w:pPr>
              <w:pStyle w:val="CETBodytext"/>
            </w:pPr>
            <w:r w:rsidRPr="0095593F">
              <w:t>PSV</w:t>
            </w:r>
          </w:p>
        </w:tc>
        <w:tc>
          <w:tcPr>
            <w:tcW w:w="611" w:type="dxa"/>
            <w:tcBorders>
              <w:top w:val="nil"/>
              <w:left w:val="nil"/>
              <w:bottom w:val="single" w:sz="4" w:space="0" w:color="auto"/>
              <w:right w:val="single" w:sz="4" w:space="0" w:color="auto"/>
            </w:tcBorders>
            <w:shd w:val="clear" w:color="auto" w:fill="auto"/>
            <w:vAlign w:val="bottom"/>
            <w:hideMark/>
          </w:tcPr>
          <w:p w14:paraId="29F7CEF7" w14:textId="77777777" w:rsidR="00A40731" w:rsidRPr="0095593F" w:rsidRDefault="00A40731" w:rsidP="0095593F">
            <w:pPr>
              <w:pStyle w:val="CETBodytext"/>
            </w:pPr>
            <w:r w:rsidRPr="0095593F">
              <w:t xml:space="preserve">No. </w:t>
            </w:r>
          </w:p>
        </w:tc>
        <w:tc>
          <w:tcPr>
            <w:tcW w:w="2769" w:type="dxa"/>
            <w:tcBorders>
              <w:top w:val="nil"/>
              <w:left w:val="nil"/>
              <w:bottom w:val="single" w:sz="4" w:space="0" w:color="auto"/>
              <w:right w:val="single" w:sz="4" w:space="0" w:color="auto"/>
            </w:tcBorders>
            <w:shd w:val="clear" w:color="auto" w:fill="auto"/>
            <w:vAlign w:val="bottom"/>
            <w:hideMark/>
          </w:tcPr>
          <w:p w14:paraId="22CBB5E5" w14:textId="77777777" w:rsidR="00A40731" w:rsidRPr="0095593F" w:rsidRDefault="00A40731" w:rsidP="0095593F">
            <w:pPr>
              <w:pStyle w:val="CETBodytext"/>
            </w:pPr>
            <w:r w:rsidRPr="0095593F">
              <w:t>Consequence</w:t>
            </w:r>
          </w:p>
        </w:tc>
      </w:tr>
      <w:tr w:rsidR="00A40731" w:rsidRPr="00FB3C36" w14:paraId="52F5E6FF" w14:textId="77777777" w:rsidTr="00DF4696">
        <w:trPr>
          <w:trHeight w:val="258"/>
        </w:trPr>
        <w:tc>
          <w:tcPr>
            <w:tcW w:w="2122" w:type="dxa"/>
            <w:tcBorders>
              <w:top w:val="nil"/>
              <w:left w:val="single" w:sz="4" w:space="0" w:color="auto"/>
              <w:bottom w:val="single" w:sz="4" w:space="0" w:color="auto"/>
              <w:right w:val="nil"/>
            </w:tcBorders>
            <w:shd w:val="clear" w:color="auto" w:fill="auto"/>
            <w:vAlign w:val="bottom"/>
            <w:hideMark/>
          </w:tcPr>
          <w:p w14:paraId="39CC271E" w14:textId="77777777" w:rsidR="00A40731" w:rsidRPr="0095593F" w:rsidRDefault="00A40731" w:rsidP="0095593F">
            <w:pPr>
              <w:pStyle w:val="CETBodytext"/>
            </w:pPr>
            <w:r w:rsidRPr="0095593F">
              <w:t> </w:t>
            </w:r>
          </w:p>
        </w:tc>
        <w:tc>
          <w:tcPr>
            <w:tcW w:w="1838" w:type="dxa"/>
            <w:tcBorders>
              <w:top w:val="nil"/>
              <w:left w:val="nil"/>
              <w:bottom w:val="single" w:sz="4" w:space="0" w:color="auto"/>
              <w:right w:val="nil"/>
            </w:tcBorders>
            <w:shd w:val="clear" w:color="auto" w:fill="auto"/>
            <w:vAlign w:val="bottom"/>
            <w:hideMark/>
          </w:tcPr>
          <w:p w14:paraId="680583BC" w14:textId="77777777" w:rsidR="00A40731" w:rsidRPr="0095593F" w:rsidRDefault="00A40731" w:rsidP="0095593F">
            <w:pPr>
              <w:pStyle w:val="CETBodytext"/>
            </w:pPr>
            <w:r w:rsidRPr="0095593F">
              <w:t> </w:t>
            </w:r>
          </w:p>
        </w:tc>
        <w:tc>
          <w:tcPr>
            <w:tcW w:w="1520" w:type="dxa"/>
            <w:tcBorders>
              <w:top w:val="nil"/>
              <w:left w:val="nil"/>
              <w:bottom w:val="single" w:sz="4" w:space="0" w:color="auto"/>
              <w:right w:val="nil"/>
            </w:tcBorders>
            <w:shd w:val="clear" w:color="auto" w:fill="auto"/>
            <w:vAlign w:val="bottom"/>
            <w:hideMark/>
          </w:tcPr>
          <w:p w14:paraId="369BBB55" w14:textId="77777777" w:rsidR="00A40731" w:rsidRPr="0095593F" w:rsidRDefault="00A40731" w:rsidP="0095593F">
            <w:pPr>
              <w:pStyle w:val="CETBodytext"/>
            </w:pPr>
            <w:r w:rsidRPr="0095593F">
              <w:t> </w:t>
            </w:r>
          </w:p>
        </w:tc>
        <w:tc>
          <w:tcPr>
            <w:tcW w:w="611" w:type="dxa"/>
            <w:tcBorders>
              <w:top w:val="nil"/>
              <w:left w:val="single" w:sz="4" w:space="0" w:color="auto"/>
              <w:bottom w:val="nil"/>
              <w:right w:val="single" w:sz="4" w:space="0" w:color="auto"/>
            </w:tcBorders>
            <w:shd w:val="clear" w:color="auto" w:fill="auto"/>
            <w:vAlign w:val="bottom"/>
            <w:hideMark/>
          </w:tcPr>
          <w:p w14:paraId="0F6E8546" w14:textId="77777777" w:rsidR="00A40731" w:rsidRPr="0095593F" w:rsidRDefault="00A40731" w:rsidP="0095593F">
            <w:pPr>
              <w:pStyle w:val="CETBodytext"/>
            </w:pPr>
            <w:r w:rsidRPr="0095593F">
              <w:t>1</w:t>
            </w:r>
          </w:p>
        </w:tc>
        <w:tc>
          <w:tcPr>
            <w:tcW w:w="2769" w:type="dxa"/>
            <w:tcBorders>
              <w:top w:val="nil"/>
              <w:left w:val="nil"/>
              <w:bottom w:val="nil"/>
              <w:right w:val="single" w:sz="4" w:space="0" w:color="auto"/>
            </w:tcBorders>
            <w:shd w:val="clear" w:color="auto" w:fill="auto"/>
            <w:vAlign w:val="bottom"/>
            <w:hideMark/>
          </w:tcPr>
          <w:p w14:paraId="1DFB764B" w14:textId="77777777" w:rsidR="00A40731" w:rsidRPr="0095593F" w:rsidRDefault="00A40731" w:rsidP="0095593F">
            <w:pPr>
              <w:pStyle w:val="CETBodytext"/>
            </w:pPr>
            <w:r w:rsidRPr="0095593F">
              <w:t>RELEASE FROM PSV</w:t>
            </w:r>
          </w:p>
        </w:tc>
      </w:tr>
      <w:tr w:rsidR="00A40731" w:rsidRPr="00FB3C36" w14:paraId="162ABA5C" w14:textId="77777777" w:rsidTr="000C1F81">
        <w:trPr>
          <w:trHeight w:val="315"/>
        </w:trPr>
        <w:tc>
          <w:tcPr>
            <w:tcW w:w="2122" w:type="dxa"/>
            <w:tcBorders>
              <w:top w:val="nil"/>
              <w:left w:val="single" w:sz="4" w:space="0" w:color="auto"/>
              <w:bottom w:val="nil"/>
              <w:right w:val="nil"/>
            </w:tcBorders>
            <w:shd w:val="clear" w:color="auto" w:fill="auto"/>
            <w:vAlign w:val="bottom"/>
            <w:hideMark/>
          </w:tcPr>
          <w:p w14:paraId="3EABB6FA" w14:textId="77777777" w:rsidR="00A40731" w:rsidRPr="0095593F" w:rsidRDefault="00A40731" w:rsidP="0095593F">
            <w:pPr>
              <w:pStyle w:val="CETBodytext"/>
            </w:pPr>
            <w:r w:rsidRPr="0095593F">
              <w:t> </w:t>
            </w:r>
          </w:p>
        </w:tc>
        <w:tc>
          <w:tcPr>
            <w:tcW w:w="1838" w:type="dxa"/>
            <w:tcBorders>
              <w:top w:val="nil"/>
              <w:left w:val="single" w:sz="4" w:space="0" w:color="auto"/>
              <w:bottom w:val="single" w:sz="4" w:space="0" w:color="auto"/>
              <w:right w:val="nil"/>
            </w:tcBorders>
            <w:shd w:val="clear" w:color="auto" w:fill="auto"/>
            <w:vAlign w:val="bottom"/>
            <w:hideMark/>
          </w:tcPr>
          <w:p w14:paraId="5C9775B4" w14:textId="77777777" w:rsidR="00A40731" w:rsidRPr="0095593F" w:rsidRDefault="00A40731" w:rsidP="0095593F">
            <w:pPr>
              <w:pStyle w:val="CETBodytext"/>
            </w:pPr>
            <w:r w:rsidRPr="0095593F">
              <w:t> </w:t>
            </w:r>
          </w:p>
        </w:tc>
        <w:tc>
          <w:tcPr>
            <w:tcW w:w="1520" w:type="dxa"/>
            <w:tcBorders>
              <w:top w:val="nil"/>
              <w:left w:val="nil"/>
              <w:bottom w:val="single" w:sz="4" w:space="0" w:color="auto"/>
              <w:right w:val="nil"/>
            </w:tcBorders>
            <w:shd w:val="clear" w:color="auto" w:fill="auto"/>
            <w:vAlign w:val="bottom"/>
            <w:hideMark/>
          </w:tcPr>
          <w:p w14:paraId="398B4EE9" w14:textId="77777777" w:rsidR="00A40731" w:rsidRPr="0095593F" w:rsidRDefault="00A40731" w:rsidP="0095593F">
            <w:pPr>
              <w:pStyle w:val="CETBodytext"/>
            </w:pPr>
            <w:r w:rsidRPr="0095593F">
              <w:t> </w:t>
            </w:r>
          </w:p>
        </w:tc>
        <w:tc>
          <w:tcPr>
            <w:tcW w:w="611" w:type="dxa"/>
            <w:tcBorders>
              <w:top w:val="nil"/>
              <w:left w:val="single" w:sz="4" w:space="0" w:color="auto"/>
              <w:bottom w:val="nil"/>
              <w:right w:val="single" w:sz="4" w:space="0" w:color="auto"/>
            </w:tcBorders>
            <w:shd w:val="clear" w:color="auto" w:fill="auto"/>
            <w:vAlign w:val="bottom"/>
            <w:hideMark/>
          </w:tcPr>
          <w:p w14:paraId="305F164A" w14:textId="77777777" w:rsidR="00A40731" w:rsidRPr="0095593F" w:rsidRDefault="00A40731" w:rsidP="0095593F">
            <w:pPr>
              <w:pStyle w:val="CETBodytext"/>
            </w:pPr>
            <w:r w:rsidRPr="0095593F">
              <w:t>2</w:t>
            </w:r>
          </w:p>
        </w:tc>
        <w:tc>
          <w:tcPr>
            <w:tcW w:w="2769" w:type="dxa"/>
            <w:tcBorders>
              <w:top w:val="nil"/>
              <w:left w:val="nil"/>
              <w:bottom w:val="nil"/>
              <w:right w:val="single" w:sz="4" w:space="0" w:color="auto"/>
            </w:tcBorders>
            <w:shd w:val="clear" w:color="auto" w:fill="auto"/>
            <w:vAlign w:val="bottom"/>
            <w:hideMark/>
          </w:tcPr>
          <w:p w14:paraId="4AE6DFF6" w14:textId="1044C0F9" w:rsidR="00A40731" w:rsidRPr="0095593F" w:rsidRDefault="00A40731" w:rsidP="0095593F">
            <w:pPr>
              <w:pStyle w:val="CETBodytext"/>
            </w:pPr>
            <w:r w:rsidRPr="0095593F">
              <w:t xml:space="preserve">TRAILER </w:t>
            </w:r>
            <w:r w:rsidR="00CE709D">
              <w:t xml:space="preserve">TANK </w:t>
            </w:r>
            <w:r w:rsidRPr="0095593F">
              <w:t>RUPTURE</w:t>
            </w:r>
          </w:p>
        </w:tc>
      </w:tr>
      <w:tr w:rsidR="00A40731" w:rsidRPr="00FB3C36" w14:paraId="31CC32BD" w14:textId="77777777" w:rsidTr="00DF4696">
        <w:trPr>
          <w:trHeight w:val="182"/>
        </w:trPr>
        <w:tc>
          <w:tcPr>
            <w:tcW w:w="2122" w:type="dxa"/>
            <w:tcBorders>
              <w:top w:val="nil"/>
              <w:left w:val="single" w:sz="4" w:space="0" w:color="auto"/>
              <w:bottom w:val="single" w:sz="4" w:space="0" w:color="auto"/>
              <w:right w:val="nil"/>
            </w:tcBorders>
            <w:shd w:val="clear" w:color="auto" w:fill="auto"/>
            <w:vAlign w:val="bottom"/>
            <w:hideMark/>
          </w:tcPr>
          <w:p w14:paraId="003C14AC" w14:textId="77777777" w:rsidR="00A40731" w:rsidRPr="0095593F" w:rsidRDefault="00A40731" w:rsidP="0095593F">
            <w:pPr>
              <w:pStyle w:val="CETBodytext"/>
            </w:pPr>
            <w:r w:rsidRPr="0095593F">
              <w:t> </w:t>
            </w:r>
          </w:p>
        </w:tc>
        <w:tc>
          <w:tcPr>
            <w:tcW w:w="1838" w:type="dxa"/>
            <w:tcBorders>
              <w:top w:val="nil"/>
              <w:left w:val="nil"/>
              <w:bottom w:val="single" w:sz="4" w:space="0" w:color="auto"/>
              <w:right w:val="nil"/>
            </w:tcBorders>
            <w:shd w:val="clear" w:color="auto" w:fill="auto"/>
            <w:vAlign w:val="bottom"/>
            <w:hideMark/>
          </w:tcPr>
          <w:p w14:paraId="1BF1B545" w14:textId="77777777" w:rsidR="00A40731" w:rsidRPr="0095593F" w:rsidRDefault="00A40731" w:rsidP="0095593F">
            <w:pPr>
              <w:pStyle w:val="CETBodytext"/>
            </w:pPr>
            <w:r w:rsidRPr="0095593F">
              <w:t> </w:t>
            </w:r>
          </w:p>
        </w:tc>
        <w:tc>
          <w:tcPr>
            <w:tcW w:w="1520" w:type="dxa"/>
            <w:tcBorders>
              <w:top w:val="nil"/>
              <w:left w:val="nil"/>
              <w:bottom w:val="single" w:sz="4" w:space="0" w:color="auto"/>
              <w:right w:val="nil"/>
            </w:tcBorders>
            <w:shd w:val="clear" w:color="auto" w:fill="auto"/>
            <w:vAlign w:val="bottom"/>
            <w:hideMark/>
          </w:tcPr>
          <w:p w14:paraId="22C3E70B" w14:textId="77777777" w:rsidR="00A40731" w:rsidRPr="0095593F" w:rsidRDefault="00A40731" w:rsidP="0095593F">
            <w:pPr>
              <w:pStyle w:val="CETBodytext"/>
            </w:pPr>
            <w:r w:rsidRPr="0095593F">
              <w:t> </w:t>
            </w:r>
          </w:p>
        </w:tc>
        <w:tc>
          <w:tcPr>
            <w:tcW w:w="611" w:type="dxa"/>
            <w:tcBorders>
              <w:top w:val="nil"/>
              <w:left w:val="single" w:sz="4" w:space="0" w:color="auto"/>
              <w:bottom w:val="single" w:sz="4" w:space="0" w:color="auto"/>
              <w:right w:val="single" w:sz="4" w:space="0" w:color="auto"/>
            </w:tcBorders>
            <w:shd w:val="clear" w:color="auto" w:fill="auto"/>
            <w:vAlign w:val="bottom"/>
            <w:hideMark/>
          </w:tcPr>
          <w:p w14:paraId="50836417" w14:textId="77777777" w:rsidR="00A40731" w:rsidRPr="0095593F" w:rsidRDefault="00A40731" w:rsidP="0095593F">
            <w:pPr>
              <w:pStyle w:val="CETBodytext"/>
            </w:pPr>
            <w:r w:rsidRPr="0095593F">
              <w:t> </w:t>
            </w:r>
          </w:p>
        </w:tc>
        <w:tc>
          <w:tcPr>
            <w:tcW w:w="2769" w:type="dxa"/>
            <w:tcBorders>
              <w:top w:val="nil"/>
              <w:left w:val="nil"/>
              <w:bottom w:val="single" w:sz="4" w:space="0" w:color="auto"/>
              <w:right w:val="single" w:sz="4" w:space="0" w:color="auto"/>
            </w:tcBorders>
            <w:shd w:val="clear" w:color="auto" w:fill="auto"/>
            <w:vAlign w:val="bottom"/>
            <w:hideMark/>
          </w:tcPr>
          <w:p w14:paraId="5BA3B10D" w14:textId="77777777" w:rsidR="00A40731" w:rsidRPr="0095593F" w:rsidRDefault="00A40731" w:rsidP="0095593F">
            <w:pPr>
              <w:pStyle w:val="CETBodytext"/>
            </w:pPr>
            <w:r w:rsidRPr="0095593F">
              <w:t> </w:t>
            </w:r>
          </w:p>
        </w:tc>
      </w:tr>
    </w:tbl>
    <w:p w14:paraId="3CA8DAA2" w14:textId="380B54CE" w:rsidR="00A40731" w:rsidRPr="00127122" w:rsidRDefault="00A40731" w:rsidP="0070004C">
      <w:pPr>
        <w:pStyle w:val="CETCaption"/>
        <w:rPr>
          <w:rStyle w:val="CETCaptionCarattere"/>
        </w:rPr>
      </w:pPr>
      <w:bookmarkStart w:id="10" w:name="_Ref158816725"/>
      <w:bookmarkStart w:id="11" w:name="_Toc158907435"/>
      <w:r w:rsidRPr="0070004C">
        <w:rPr>
          <w:rStyle w:val="CETCaptionCarattere"/>
          <w:i/>
        </w:rPr>
        <w:t xml:space="preserve">Figure </w:t>
      </w:r>
      <w:bookmarkEnd w:id="10"/>
      <w:r w:rsidR="0065342B">
        <w:rPr>
          <w:rStyle w:val="CETCaptionCarattere"/>
          <w:i/>
        </w:rPr>
        <w:t>3.</w:t>
      </w:r>
      <w:r w:rsidR="0065342B" w:rsidRPr="0070004C">
        <w:rPr>
          <w:rStyle w:val="CETCaptionCarattere"/>
          <w:i/>
        </w:rPr>
        <w:t xml:space="preserve"> </w:t>
      </w:r>
      <w:r w:rsidRPr="0070004C">
        <w:rPr>
          <w:rStyle w:val="CETCaptionCarattere"/>
          <w:i/>
        </w:rPr>
        <w:t xml:space="preserve">Event Tree for initiating event “Trailer </w:t>
      </w:r>
      <w:r w:rsidR="000C1F81">
        <w:rPr>
          <w:rStyle w:val="CETCaptionCarattere"/>
          <w:i/>
        </w:rPr>
        <w:t xml:space="preserve">tank </w:t>
      </w:r>
      <w:r w:rsidRPr="0070004C">
        <w:rPr>
          <w:rStyle w:val="CETCaptionCarattere"/>
          <w:i/>
        </w:rPr>
        <w:t>insulation failure or vacuum loss”</w:t>
      </w:r>
      <w:bookmarkEnd w:id="11"/>
    </w:p>
    <w:p w14:paraId="7A512A95" w14:textId="5FFAC310" w:rsidR="00A40731" w:rsidRPr="00D9397D" w:rsidRDefault="00A40731" w:rsidP="00A40731">
      <w:pPr>
        <w:rPr>
          <w:lang w:eastAsia="el-GR"/>
        </w:rPr>
      </w:pPr>
      <w:r w:rsidRPr="00D9397D">
        <w:rPr>
          <w:lang w:eastAsia="el-GR"/>
        </w:rPr>
        <w:t xml:space="preserve">The accident sequences </w:t>
      </w:r>
      <w:r>
        <w:rPr>
          <w:lang w:eastAsia="el-GR"/>
        </w:rPr>
        <w:t xml:space="preserve">(scenarios) </w:t>
      </w:r>
      <w:r w:rsidRPr="00D9397D">
        <w:rPr>
          <w:lang w:eastAsia="el-GR"/>
        </w:rPr>
        <w:t>analysed within th</w:t>
      </w:r>
      <w:r w:rsidR="00BF5BF6">
        <w:rPr>
          <w:lang w:eastAsia="el-GR"/>
        </w:rPr>
        <w:t>is transfer operation</w:t>
      </w:r>
      <w:r w:rsidRPr="00D9397D">
        <w:rPr>
          <w:lang w:eastAsia="el-GR"/>
        </w:rPr>
        <w:t xml:space="preserve"> were found to lead to the following damage states:</w:t>
      </w:r>
      <w:r w:rsidR="00BF5BF6" w:rsidRPr="00BF5BF6">
        <w:t xml:space="preserve"> </w:t>
      </w:r>
      <w:r w:rsidR="000C1F81">
        <w:t>(</w:t>
      </w:r>
      <w:r w:rsidR="00BF5BF6">
        <w:rPr>
          <w:lang w:eastAsia="el-GR"/>
        </w:rPr>
        <w:t xml:space="preserve">a) Trailer </w:t>
      </w:r>
      <w:r w:rsidR="00CE709D">
        <w:rPr>
          <w:lang w:eastAsia="el-GR"/>
        </w:rPr>
        <w:t xml:space="preserve">tank </w:t>
      </w:r>
      <w:r w:rsidR="00BF5BF6">
        <w:rPr>
          <w:lang w:eastAsia="el-GR"/>
        </w:rPr>
        <w:t xml:space="preserve">rupture, </w:t>
      </w:r>
      <w:r w:rsidR="000C1F81">
        <w:rPr>
          <w:lang w:eastAsia="el-GR"/>
        </w:rPr>
        <w:t>(</w:t>
      </w:r>
      <w:r w:rsidR="00BF5BF6">
        <w:rPr>
          <w:lang w:eastAsia="el-GR"/>
        </w:rPr>
        <w:t>b) Hose rupture (Liquid phase)</w:t>
      </w:r>
      <w:r w:rsidR="0065342B">
        <w:rPr>
          <w:lang w:eastAsia="el-GR"/>
        </w:rPr>
        <w:t>,</w:t>
      </w:r>
      <w:r w:rsidR="00BF5BF6">
        <w:rPr>
          <w:lang w:eastAsia="el-GR"/>
        </w:rPr>
        <w:t xml:space="preserve"> and </w:t>
      </w:r>
      <w:r w:rsidR="000C1F81">
        <w:rPr>
          <w:lang w:eastAsia="el-GR"/>
        </w:rPr>
        <w:t>(</w:t>
      </w:r>
      <w:r w:rsidR="00BF5BF6">
        <w:rPr>
          <w:lang w:eastAsia="el-GR"/>
        </w:rPr>
        <w:t>c) Storage tank rupture.</w:t>
      </w:r>
    </w:p>
    <w:p w14:paraId="68D26B83" w14:textId="526B7F0A" w:rsidR="00600535" w:rsidRPr="00B57B36" w:rsidRDefault="00600535" w:rsidP="00600535">
      <w:pPr>
        <w:pStyle w:val="CETHeading1"/>
        <w:rPr>
          <w:lang w:val="en-GB"/>
        </w:rPr>
      </w:pPr>
      <w:r w:rsidRPr="00B57B36">
        <w:rPr>
          <w:lang w:val="en-GB"/>
        </w:rPr>
        <w:t>Conclusions</w:t>
      </w:r>
    </w:p>
    <w:p w14:paraId="52DAFDE0" w14:textId="7A3629DD" w:rsidR="001D0CFB" w:rsidRDefault="00F226EC" w:rsidP="0074293F">
      <w:pPr>
        <w:pStyle w:val="ListParagraph"/>
        <w:ind w:left="0"/>
      </w:pPr>
      <w:r w:rsidRPr="007A4B88">
        <w:t xml:space="preserve">This </w:t>
      </w:r>
      <w:r>
        <w:t>paper</w:t>
      </w:r>
      <w:r w:rsidRPr="007A4B88">
        <w:t xml:space="preserve"> presents the hazard identification analysis and damage state estimation for Liquid Hydrogen (LH</w:t>
      </w:r>
      <w:r w:rsidRPr="00F226EC">
        <w:rPr>
          <w:vertAlign w:val="subscript"/>
        </w:rPr>
        <w:t>2</w:t>
      </w:r>
      <w:r w:rsidRPr="007A4B88">
        <w:t>) in transfer operations. This is the first phase o</w:t>
      </w:r>
      <w:r w:rsidR="0065342B">
        <w:t>f</w:t>
      </w:r>
      <w:r w:rsidRPr="007A4B88">
        <w:t xml:space="preserve"> quantified risk assessment, </w:t>
      </w:r>
      <w:r>
        <w:t>and the</w:t>
      </w:r>
      <w:r w:rsidRPr="007A4B88">
        <w:t xml:space="preserve"> focus is to identify causes of LH</w:t>
      </w:r>
      <w:r w:rsidRPr="00F226EC">
        <w:rPr>
          <w:vertAlign w:val="subscript"/>
        </w:rPr>
        <w:t>2</w:t>
      </w:r>
      <w:r w:rsidRPr="007A4B88">
        <w:t xml:space="preserve"> releases, associated initiating events, safety systems and damage states. </w:t>
      </w:r>
      <w:r w:rsidR="00B93B8E">
        <w:t xml:space="preserve">A </w:t>
      </w:r>
      <w:r w:rsidR="00B93B8E" w:rsidRPr="007A4B88">
        <w:t>case stud</w:t>
      </w:r>
      <w:r w:rsidR="00B93B8E">
        <w:t xml:space="preserve">y of </w:t>
      </w:r>
      <w:r w:rsidR="00B93B8E" w:rsidRPr="007A4B88">
        <w:t>LH</w:t>
      </w:r>
      <w:r w:rsidR="00B93B8E" w:rsidRPr="00F226EC">
        <w:rPr>
          <w:vertAlign w:val="subscript"/>
        </w:rPr>
        <w:t>2</w:t>
      </w:r>
      <w:r w:rsidR="00B93B8E" w:rsidRPr="007A4B88">
        <w:t xml:space="preserve"> transfer </w:t>
      </w:r>
      <w:r w:rsidR="00B93B8E">
        <w:t xml:space="preserve">was considered, </w:t>
      </w:r>
      <w:r w:rsidR="00CE709D">
        <w:t xml:space="preserve">during </w:t>
      </w:r>
      <w:r w:rsidR="00B93B8E">
        <w:t xml:space="preserve">loading </w:t>
      </w:r>
      <w:r w:rsidR="00CE709D">
        <w:t xml:space="preserve">of </w:t>
      </w:r>
      <w:r w:rsidR="00B93B8E">
        <w:t xml:space="preserve">a storage tank with hydrogen </w:t>
      </w:r>
      <w:r w:rsidR="00B93B8E" w:rsidRPr="007A4B88">
        <w:t xml:space="preserve">from a trailer. </w:t>
      </w:r>
      <w:r w:rsidR="00B93B8E">
        <w:t>All initiating events of LH</w:t>
      </w:r>
      <w:r w:rsidR="00B93B8E" w:rsidRPr="00B93B8E">
        <w:rPr>
          <w:vertAlign w:val="subscript"/>
        </w:rPr>
        <w:t>2</w:t>
      </w:r>
      <w:r w:rsidR="00B93B8E">
        <w:t xml:space="preserve"> storage and transfer systems were identified with the help of the MLD method and the analysis of relevant accidents which have occurred in the past. Damage states were identified, with the help of the Event Trees, which were constructed for the initiating events identified. </w:t>
      </w:r>
      <w:r w:rsidR="00987F46">
        <w:t>In the next steps, the conseq</w:t>
      </w:r>
      <w:r w:rsidR="000D68A0">
        <w:t xml:space="preserve">uences will be further assessed, so as </w:t>
      </w:r>
      <w:r w:rsidR="00987F46">
        <w:t xml:space="preserve">to proceed with </w:t>
      </w:r>
      <w:r w:rsidR="000D68A0">
        <w:t>risk</w:t>
      </w:r>
      <w:r w:rsidR="00987F46">
        <w:t xml:space="preserve"> quantification associated </w:t>
      </w:r>
      <w:r w:rsidR="00CE709D">
        <w:t xml:space="preserve">with </w:t>
      </w:r>
      <w:r w:rsidR="00987F46">
        <w:t>LH</w:t>
      </w:r>
      <w:r w:rsidR="00987F46" w:rsidRPr="00CB63F5">
        <w:rPr>
          <w:vertAlign w:val="subscript"/>
        </w:rPr>
        <w:t xml:space="preserve">2 </w:t>
      </w:r>
      <w:r w:rsidR="00987F46">
        <w:t xml:space="preserve">release. In addition, specific case studies considering other bunkering methods, including ship to ship bunkering, will be further analysed. </w:t>
      </w:r>
    </w:p>
    <w:p w14:paraId="459D05E6" w14:textId="77777777" w:rsidR="00600535" w:rsidRPr="00B57B36" w:rsidRDefault="00600535" w:rsidP="00600535">
      <w:pPr>
        <w:pStyle w:val="CETAcknowledgementstitle"/>
      </w:pPr>
      <w:r w:rsidRPr="00B57B36">
        <w:t>Acknowledgments</w:t>
      </w:r>
    </w:p>
    <w:p w14:paraId="33F8138F" w14:textId="7A8965CE" w:rsidR="00600535" w:rsidRPr="00B57B36" w:rsidRDefault="008F4013" w:rsidP="00600535">
      <w:pPr>
        <w:pStyle w:val="CETBodytext"/>
        <w:rPr>
          <w:lang w:val="en-GB"/>
        </w:rPr>
      </w:pPr>
      <w:r w:rsidRPr="008F4013">
        <w:rPr>
          <w:lang w:val="en-GB"/>
        </w:rPr>
        <w:t>This work was undertaken as part of the ELVHYS project No. 101101381 supported by the Clean Hydrogen Partnership and its members and the European Union. UK participants in Horizon Europe Project ELVHYS are supported by UKRI grant numbers 10063519 (University of Ulster) and 10070592 (Health and Safety Executive).</w:t>
      </w:r>
    </w:p>
    <w:p w14:paraId="4F1327F8" w14:textId="77777777" w:rsidR="00600535" w:rsidRPr="00B57B36" w:rsidRDefault="00600535" w:rsidP="00600535">
      <w:pPr>
        <w:pStyle w:val="CETReference"/>
      </w:pPr>
      <w:r w:rsidRPr="00B57B36">
        <w:t>References</w:t>
      </w:r>
    </w:p>
    <w:p w14:paraId="445A8F97" w14:textId="77777777" w:rsidR="00A54137" w:rsidRDefault="00A54137" w:rsidP="00A54137">
      <w:pPr>
        <w:pStyle w:val="CETReferencetext"/>
      </w:pPr>
      <w:r>
        <w:t>Ahmad S.I., Hisham N., Abidin M.Z., 2023, Inherent Safety and Health Assessment of Hydrogen Storage Process, Chemical Engineering Transactions, 106, 835-840.</w:t>
      </w:r>
    </w:p>
    <w:p w14:paraId="1795B79C" w14:textId="15C6C7CD" w:rsidR="0094153C" w:rsidRDefault="0094153C" w:rsidP="00A54137">
      <w:pPr>
        <w:pStyle w:val="CETReferencetext"/>
      </w:pPr>
      <w:r>
        <w:t>Chen P.S-L, Fan</w:t>
      </w:r>
      <w:r w:rsidR="00A54137">
        <w:t xml:space="preserve"> H.</w:t>
      </w:r>
      <w:r>
        <w:t>, Enshaei</w:t>
      </w:r>
      <w:r w:rsidR="00A54137">
        <w:t xml:space="preserve"> H.</w:t>
      </w:r>
      <w:r>
        <w:t>, Zhang</w:t>
      </w:r>
      <w:r w:rsidR="00A54137">
        <w:t xml:space="preserve"> W.</w:t>
      </w:r>
      <w:r>
        <w:t>, Shi</w:t>
      </w:r>
      <w:r w:rsidR="00A54137">
        <w:t xml:space="preserve"> W.</w:t>
      </w:r>
      <w:r>
        <w:t>, Abdussamie</w:t>
      </w:r>
      <w:r w:rsidR="00A54137">
        <w:t xml:space="preserve"> N.</w:t>
      </w:r>
      <w:r>
        <w:t>, Miwa</w:t>
      </w:r>
      <w:r w:rsidR="00A54137">
        <w:t xml:space="preserve"> T.</w:t>
      </w:r>
      <w:r>
        <w:t>, Qu</w:t>
      </w:r>
      <w:r w:rsidR="00A54137">
        <w:t xml:space="preserve"> Z.</w:t>
      </w:r>
      <w:r>
        <w:t>, Yang</w:t>
      </w:r>
      <w:r w:rsidR="00A54137">
        <w:t xml:space="preserve"> Z.</w:t>
      </w:r>
      <w:r>
        <w:t>,</w:t>
      </w:r>
      <w:r w:rsidR="00A54137">
        <w:t xml:space="preserve"> 2023, </w:t>
      </w:r>
      <w:r>
        <w:t>A review on ports’ readiness to facilitate international hydrogen trade,</w:t>
      </w:r>
      <w:r w:rsidR="00A54137">
        <w:t xml:space="preserve"> </w:t>
      </w:r>
      <w:r>
        <w:t>Internatio</w:t>
      </w:r>
      <w:r w:rsidR="00A54137">
        <w:t xml:space="preserve">nal Journal of Hydrogen Energy, </w:t>
      </w:r>
      <w:r>
        <w:t>48</w:t>
      </w:r>
      <w:r w:rsidR="000D68A0">
        <w:t>,</w:t>
      </w:r>
      <w:r w:rsidR="00A54137">
        <w:t xml:space="preserve"> 17351-17369.</w:t>
      </w:r>
    </w:p>
    <w:p w14:paraId="451AD9CE" w14:textId="31BDA55C" w:rsidR="0094153C" w:rsidRDefault="0094153C" w:rsidP="0094153C">
      <w:pPr>
        <w:pStyle w:val="CETReferencetext"/>
      </w:pPr>
      <w:r>
        <w:t xml:space="preserve">European Commission, 2019, </w:t>
      </w:r>
      <w:r w:rsidRPr="0094153C">
        <w:t>Resolution on the European Green Deal (2019/2956(RSP)). Belgium.</w:t>
      </w:r>
    </w:p>
    <w:p w14:paraId="48E5B765" w14:textId="77777777" w:rsidR="0094153C" w:rsidRPr="00851AB4" w:rsidRDefault="0094153C" w:rsidP="0094153C">
      <w:pPr>
        <w:pStyle w:val="CETReferencetext"/>
      </w:pPr>
      <w:r w:rsidRPr="00851AB4">
        <w:t>Hydrogen Safety Panel, 2020,</w:t>
      </w:r>
      <w:r>
        <w:t xml:space="preserve"> </w:t>
      </w:r>
      <w:r w:rsidRPr="00851AB4">
        <w:t xml:space="preserve">Hydrogen Incident Examples:  Select Summaries of Hydrogen Incidents from the H2tools.org Lessons Learned Database. United States Department of Energy. </w:t>
      </w:r>
    </w:p>
    <w:p w14:paraId="46227B2E" w14:textId="27656160" w:rsidR="009F2C6C" w:rsidRPr="00851AB4" w:rsidRDefault="009F2C6C" w:rsidP="0095593F">
      <w:pPr>
        <w:pStyle w:val="CETReferencetext"/>
      </w:pPr>
      <w:r w:rsidRPr="00851AB4">
        <w:t>Ordin P.M., 1974</w:t>
      </w:r>
      <w:r w:rsidR="00B42AD5" w:rsidRPr="00851AB4">
        <w:t>,</w:t>
      </w:r>
      <w:r w:rsidRPr="00851AB4">
        <w:t xml:space="preserve"> Review of hydrogen accidents and incidents in NASA Operations</w:t>
      </w:r>
      <w:r w:rsidR="00BB7651">
        <w:t>,</w:t>
      </w:r>
      <w:r w:rsidRPr="00851AB4">
        <w:t xml:space="preserve"> NASA TM X-71565</w:t>
      </w:r>
      <w:r w:rsidR="00BB7651">
        <w:t>.</w:t>
      </w:r>
      <w:r w:rsidR="00BB7651" w:rsidRPr="00BB7651">
        <w:t xml:space="preserve"> </w:t>
      </w:r>
      <w:bookmarkStart w:id="12" w:name="_GoBack"/>
      <w:bookmarkEnd w:id="12"/>
      <w:r w:rsidR="00BB7651" w:rsidRPr="00BB7651">
        <w:t>ntrs.nasa.gov/api/citations/19740020344/downloads/19740020344.pdf</w:t>
      </w:r>
    </w:p>
    <w:p w14:paraId="6B6DD5CC" w14:textId="6E73A649" w:rsidR="009F2C6C" w:rsidRDefault="009F2C6C" w:rsidP="0095593F">
      <w:pPr>
        <w:pStyle w:val="CETReferencetext"/>
      </w:pPr>
      <w:r w:rsidRPr="00851AB4">
        <w:t>Papazoglou I.A., Aneziris O.N., 2003</w:t>
      </w:r>
      <w:r w:rsidR="00B42AD5" w:rsidRPr="00851AB4">
        <w:t>,</w:t>
      </w:r>
      <w:r w:rsidRPr="00851AB4">
        <w:t xml:space="preserve"> Master Logic Diagram: Method for hazard and Initiating event identification in process plants, Journal of hazardous materials, A97, 11-30.</w:t>
      </w:r>
    </w:p>
    <w:p w14:paraId="65BF1E93" w14:textId="49EB66CC" w:rsidR="0094153C" w:rsidRPr="00851AB4" w:rsidRDefault="0094153C" w:rsidP="0094153C">
      <w:pPr>
        <w:pStyle w:val="CETReferencetext"/>
      </w:pPr>
      <w:r>
        <w:t>Ustolin, F., Campari, A., Taccani A., 2022, An Extensive Review of Liquid Hydrogen in Transportation with Focus on the Maritime Sector, Journal of Marine Science and Engineering, 10, 1222.</w:t>
      </w:r>
    </w:p>
    <w:p w14:paraId="4A3BCB39" w14:textId="0512E300" w:rsidR="009F2C6C" w:rsidRPr="00851AB4" w:rsidRDefault="009F2C6C" w:rsidP="0095593F">
      <w:pPr>
        <w:pStyle w:val="CETReferencetext"/>
      </w:pPr>
      <w:r w:rsidRPr="00851AB4">
        <w:t>Verfondern K., Cirrone</w:t>
      </w:r>
      <w:r w:rsidR="00B42AD5" w:rsidRPr="00851AB4">
        <w:t xml:space="preserve"> D.</w:t>
      </w:r>
      <w:r w:rsidRPr="00851AB4">
        <w:t>, Molkov</w:t>
      </w:r>
      <w:r w:rsidR="00B42AD5" w:rsidRPr="00851AB4">
        <w:t xml:space="preserve"> V.</w:t>
      </w:r>
      <w:r w:rsidRPr="00851AB4">
        <w:t>, Makarov</w:t>
      </w:r>
      <w:r w:rsidR="00B42AD5" w:rsidRPr="00851AB4">
        <w:t xml:space="preserve"> D.</w:t>
      </w:r>
      <w:r w:rsidRPr="00851AB4">
        <w:t>, Coldrick</w:t>
      </w:r>
      <w:r w:rsidR="00B42AD5" w:rsidRPr="00851AB4">
        <w:t xml:space="preserve"> S.</w:t>
      </w:r>
      <w:r w:rsidRPr="00851AB4">
        <w:t>, Ren</w:t>
      </w:r>
      <w:r w:rsidR="00B42AD5" w:rsidRPr="00851AB4">
        <w:t xml:space="preserve"> Z.</w:t>
      </w:r>
      <w:r w:rsidRPr="00851AB4">
        <w:t>, Wen</w:t>
      </w:r>
      <w:r w:rsidR="00B42AD5" w:rsidRPr="00851AB4">
        <w:t xml:space="preserve"> J.</w:t>
      </w:r>
      <w:r w:rsidRPr="00851AB4">
        <w:t>, Proust</w:t>
      </w:r>
      <w:r w:rsidR="00B42AD5" w:rsidRPr="00851AB4">
        <w:t xml:space="preserve"> C.</w:t>
      </w:r>
      <w:r w:rsidRPr="00851AB4">
        <w:t>, Friedrich</w:t>
      </w:r>
      <w:r w:rsidR="00B42AD5" w:rsidRPr="00851AB4">
        <w:t xml:space="preserve"> A.</w:t>
      </w:r>
      <w:r w:rsidRPr="00851AB4">
        <w:t>, Jordan</w:t>
      </w:r>
      <w:r w:rsidR="00B42AD5" w:rsidRPr="00851AB4">
        <w:t xml:space="preserve"> T.</w:t>
      </w:r>
      <w:r w:rsidRPr="00851AB4">
        <w:t>, 2021</w:t>
      </w:r>
      <w:r w:rsidR="00B42AD5" w:rsidRPr="00851AB4">
        <w:t xml:space="preserve">, </w:t>
      </w:r>
      <w:r w:rsidRPr="00851AB4">
        <w:t>Handbook of hydrogen safety: Chapter on LH</w:t>
      </w:r>
      <w:r w:rsidRPr="0095593F">
        <w:t>2</w:t>
      </w:r>
      <w:r w:rsidRPr="00851AB4">
        <w:t xml:space="preserve"> safety. Project Pre-normative REsearch for Safe use of Liquid Hydrogen (PRESLHY).</w:t>
      </w:r>
    </w:p>
    <w:p w14:paraId="19C4FC68" w14:textId="43CFBE94" w:rsidR="004628D2" w:rsidRDefault="009F2C6C" w:rsidP="0065342B">
      <w:pPr>
        <w:pStyle w:val="CETReferencetext"/>
      </w:pPr>
      <w:r w:rsidRPr="00851AB4">
        <w:t>Wen J.X., Marono M., Moretto P., Reinecke E., Sathiah P., Studer E., Vyazmina E., Melido D., 2022</w:t>
      </w:r>
      <w:r w:rsidR="00B42AD5" w:rsidRPr="00851AB4">
        <w:t>,</w:t>
      </w:r>
      <w:r w:rsidRPr="00851AB4">
        <w:t xml:space="preserve"> Statistics, lessons learned and recommendations from analysis of HIAD 2.0 database, International Journal of Hydrogen Energy, 47, 17082-17096</w:t>
      </w:r>
    </w:p>
    <w:sectPr w:rsidR="004628D2" w:rsidSect="00EA3CEB">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3F93E" w14:textId="77777777" w:rsidR="00D27E7B" w:rsidRDefault="00D27E7B" w:rsidP="004F5E36">
      <w:r>
        <w:separator/>
      </w:r>
    </w:p>
  </w:endnote>
  <w:endnote w:type="continuationSeparator" w:id="0">
    <w:p w14:paraId="5B0FD6EB" w14:textId="77777777" w:rsidR="00D27E7B" w:rsidRDefault="00D27E7B"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B4134" w14:textId="77777777" w:rsidR="00D27E7B" w:rsidRDefault="00D27E7B" w:rsidP="004F5E36">
      <w:r>
        <w:separator/>
      </w:r>
    </w:p>
  </w:footnote>
  <w:footnote w:type="continuationSeparator" w:id="0">
    <w:p w14:paraId="34F7D417" w14:textId="77777777" w:rsidR="00D27E7B" w:rsidRDefault="00D27E7B" w:rsidP="004F5E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96844"/>
    <w:multiLevelType w:val="hybridMultilevel"/>
    <w:tmpl w:val="AC8CF6C8"/>
    <w:lvl w:ilvl="0" w:tplc="726400DA">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F112C77"/>
    <w:multiLevelType w:val="hybridMultilevel"/>
    <w:tmpl w:val="53BA9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CB21C6"/>
    <w:multiLevelType w:val="hybridMultilevel"/>
    <w:tmpl w:val="B97C6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8217E"/>
    <w:multiLevelType w:val="multilevel"/>
    <w:tmpl w:val="C602E63A"/>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51E0394"/>
    <w:multiLevelType w:val="hybridMultilevel"/>
    <w:tmpl w:val="806658E2"/>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5F807CB"/>
    <w:multiLevelType w:val="hybridMultilevel"/>
    <w:tmpl w:val="4F18B0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2"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5C02F2"/>
    <w:multiLevelType w:val="hybridMultilevel"/>
    <w:tmpl w:val="FC48DC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3"/>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1"/>
  </w:num>
  <w:num w:numId="13">
    <w:abstractNumId w:val="15"/>
  </w:num>
  <w:num w:numId="14">
    <w:abstractNumId w:val="22"/>
  </w:num>
  <w:num w:numId="15">
    <w:abstractNumId w:val="24"/>
  </w:num>
  <w:num w:numId="16">
    <w:abstractNumId w:val="23"/>
  </w:num>
  <w:num w:numId="17">
    <w:abstractNumId w:val="14"/>
  </w:num>
  <w:num w:numId="18">
    <w:abstractNumId w:val="15"/>
    <w:lvlOverride w:ilvl="0">
      <w:startOverride w:val="1"/>
    </w:lvlOverride>
  </w:num>
  <w:num w:numId="19">
    <w:abstractNumId w:val="20"/>
  </w:num>
  <w:num w:numId="20">
    <w:abstractNumId w:val="19"/>
  </w:num>
  <w:num w:numId="21">
    <w:abstractNumId w:val="17"/>
  </w:num>
  <w:num w:numId="22">
    <w:abstractNumId w:val="16"/>
  </w:num>
  <w:num w:numId="23">
    <w:abstractNumId w:val="13"/>
  </w:num>
  <w:num w:numId="24">
    <w:abstractNumId w:val="13"/>
  </w:num>
  <w:num w:numId="25">
    <w:abstractNumId w:val="13"/>
  </w:num>
  <w:num w:numId="26">
    <w:abstractNumId w:val="13"/>
  </w:num>
  <w:num w:numId="27">
    <w:abstractNumId w:val="13"/>
  </w:num>
  <w:num w:numId="28">
    <w:abstractNumId w:val="12"/>
  </w:num>
  <w:num w:numId="29">
    <w:abstractNumId w:val="11"/>
  </w:num>
  <w:num w:numId="30">
    <w:abstractNumId w:val="10"/>
  </w:num>
  <w:num w:numId="31">
    <w:abstractNumId w:val="18"/>
  </w:num>
  <w:num w:numId="32">
    <w:abstractNumId w:val="13"/>
  </w:num>
  <w:num w:numId="33">
    <w:abstractNumId w:val="13"/>
  </w:num>
  <w:num w:numId="34">
    <w:abstractNumId w:val="25"/>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117CB"/>
    <w:rsid w:val="0003148D"/>
    <w:rsid w:val="00031EEC"/>
    <w:rsid w:val="00051566"/>
    <w:rsid w:val="000606C7"/>
    <w:rsid w:val="00062A9A"/>
    <w:rsid w:val="00065058"/>
    <w:rsid w:val="00086C39"/>
    <w:rsid w:val="000A03B2"/>
    <w:rsid w:val="000A58F5"/>
    <w:rsid w:val="000C1F81"/>
    <w:rsid w:val="000D0268"/>
    <w:rsid w:val="000D34BE"/>
    <w:rsid w:val="000D3803"/>
    <w:rsid w:val="000D68A0"/>
    <w:rsid w:val="000E102F"/>
    <w:rsid w:val="000E36F1"/>
    <w:rsid w:val="000E3A73"/>
    <w:rsid w:val="000E414A"/>
    <w:rsid w:val="000F093C"/>
    <w:rsid w:val="000F787B"/>
    <w:rsid w:val="00106B28"/>
    <w:rsid w:val="0012091F"/>
    <w:rsid w:val="00126BC2"/>
    <w:rsid w:val="00127122"/>
    <w:rsid w:val="001308B6"/>
    <w:rsid w:val="0013121F"/>
    <w:rsid w:val="00131FE6"/>
    <w:rsid w:val="0013263F"/>
    <w:rsid w:val="001331DF"/>
    <w:rsid w:val="00134DE4"/>
    <w:rsid w:val="0014034D"/>
    <w:rsid w:val="00144D16"/>
    <w:rsid w:val="00150E59"/>
    <w:rsid w:val="00152611"/>
    <w:rsid w:val="00152DE3"/>
    <w:rsid w:val="00163D1C"/>
    <w:rsid w:val="00164CF9"/>
    <w:rsid w:val="00166664"/>
    <w:rsid w:val="001667A6"/>
    <w:rsid w:val="00184AD6"/>
    <w:rsid w:val="001A4AF7"/>
    <w:rsid w:val="001A52E6"/>
    <w:rsid w:val="001B0349"/>
    <w:rsid w:val="001B1E93"/>
    <w:rsid w:val="001B65C1"/>
    <w:rsid w:val="001C684B"/>
    <w:rsid w:val="001D0CFB"/>
    <w:rsid w:val="001D422A"/>
    <w:rsid w:val="001D53FC"/>
    <w:rsid w:val="001F42A5"/>
    <w:rsid w:val="001F7B9D"/>
    <w:rsid w:val="00201C93"/>
    <w:rsid w:val="002144D0"/>
    <w:rsid w:val="002224B4"/>
    <w:rsid w:val="002447EF"/>
    <w:rsid w:val="00251550"/>
    <w:rsid w:val="0026298C"/>
    <w:rsid w:val="00263B05"/>
    <w:rsid w:val="00270E7F"/>
    <w:rsid w:val="0027221A"/>
    <w:rsid w:val="00275B61"/>
    <w:rsid w:val="0028068B"/>
    <w:rsid w:val="00280FAF"/>
    <w:rsid w:val="00282656"/>
    <w:rsid w:val="002946B1"/>
    <w:rsid w:val="00296B83"/>
    <w:rsid w:val="002A099F"/>
    <w:rsid w:val="002A38D5"/>
    <w:rsid w:val="002B4015"/>
    <w:rsid w:val="002B78CE"/>
    <w:rsid w:val="002C2FB6"/>
    <w:rsid w:val="002E5FA7"/>
    <w:rsid w:val="002E7E2A"/>
    <w:rsid w:val="002F3309"/>
    <w:rsid w:val="003008CE"/>
    <w:rsid w:val="003009B7"/>
    <w:rsid w:val="00300E56"/>
    <w:rsid w:val="0030469C"/>
    <w:rsid w:val="00304EF8"/>
    <w:rsid w:val="00311704"/>
    <w:rsid w:val="00321CA6"/>
    <w:rsid w:val="00323763"/>
    <w:rsid w:val="00334C09"/>
    <w:rsid w:val="003723D4"/>
    <w:rsid w:val="00377D84"/>
    <w:rsid w:val="00381905"/>
    <w:rsid w:val="00382420"/>
    <w:rsid w:val="00384CC8"/>
    <w:rsid w:val="003871FD"/>
    <w:rsid w:val="003A1E30"/>
    <w:rsid w:val="003A2829"/>
    <w:rsid w:val="003A56E1"/>
    <w:rsid w:val="003A7D1C"/>
    <w:rsid w:val="003B145B"/>
    <w:rsid w:val="003B304B"/>
    <w:rsid w:val="003B3146"/>
    <w:rsid w:val="003C10A8"/>
    <w:rsid w:val="003E2C2C"/>
    <w:rsid w:val="003F015E"/>
    <w:rsid w:val="003F1654"/>
    <w:rsid w:val="003F7721"/>
    <w:rsid w:val="00400414"/>
    <w:rsid w:val="0041446B"/>
    <w:rsid w:val="00426C0A"/>
    <w:rsid w:val="00436C59"/>
    <w:rsid w:val="0044329C"/>
    <w:rsid w:val="00447352"/>
    <w:rsid w:val="00453E24"/>
    <w:rsid w:val="00457456"/>
    <w:rsid w:val="004577FE"/>
    <w:rsid w:val="00457B9C"/>
    <w:rsid w:val="0046164A"/>
    <w:rsid w:val="004628D2"/>
    <w:rsid w:val="00462DCD"/>
    <w:rsid w:val="004648AD"/>
    <w:rsid w:val="004703A9"/>
    <w:rsid w:val="004760DE"/>
    <w:rsid w:val="004763D7"/>
    <w:rsid w:val="0049764D"/>
    <w:rsid w:val="004A004E"/>
    <w:rsid w:val="004A24CF"/>
    <w:rsid w:val="004B1391"/>
    <w:rsid w:val="004C3D1D"/>
    <w:rsid w:val="004C7913"/>
    <w:rsid w:val="004E4DD6"/>
    <w:rsid w:val="004E5A4D"/>
    <w:rsid w:val="004E6059"/>
    <w:rsid w:val="004F5E36"/>
    <w:rsid w:val="004F7097"/>
    <w:rsid w:val="00507B47"/>
    <w:rsid w:val="00507BEF"/>
    <w:rsid w:val="00507CC9"/>
    <w:rsid w:val="005119A5"/>
    <w:rsid w:val="00526648"/>
    <w:rsid w:val="005278B7"/>
    <w:rsid w:val="00532016"/>
    <w:rsid w:val="005346C8"/>
    <w:rsid w:val="00543E7D"/>
    <w:rsid w:val="00547A68"/>
    <w:rsid w:val="00550F01"/>
    <w:rsid w:val="005531C9"/>
    <w:rsid w:val="00570C43"/>
    <w:rsid w:val="00572881"/>
    <w:rsid w:val="0059162B"/>
    <w:rsid w:val="005B2110"/>
    <w:rsid w:val="005B61E6"/>
    <w:rsid w:val="005C77E1"/>
    <w:rsid w:val="005D668A"/>
    <w:rsid w:val="005D6A2F"/>
    <w:rsid w:val="005E1A82"/>
    <w:rsid w:val="005E794C"/>
    <w:rsid w:val="005F0A28"/>
    <w:rsid w:val="005F0E5E"/>
    <w:rsid w:val="005F4661"/>
    <w:rsid w:val="00600535"/>
    <w:rsid w:val="00610CD6"/>
    <w:rsid w:val="00612797"/>
    <w:rsid w:val="006148E5"/>
    <w:rsid w:val="00620DEE"/>
    <w:rsid w:val="00621F92"/>
    <w:rsid w:val="0062280A"/>
    <w:rsid w:val="00625639"/>
    <w:rsid w:val="00630793"/>
    <w:rsid w:val="00631B33"/>
    <w:rsid w:val="00631FDF"/>
    <w:rsid w:val="0064184D"/>
    <w:rsid w:val="006422CC"/>
    <w:rsid w:val="0065342B"/>
    <w:rsid w:val="00660E3E"/>
    <w:rsid w:val="00662E74"/>
    <w:rsid w:val="00665323"/>
    <w:rsid w:val="00675F0C"/>
    <w:rsid w:val="00680C23"/>
    <w:rsid w:val="00682D6E"/>
    <w:rsid w:val="00693766"/>
    <w:rsid w:val="006A3281"/>
    <w:rsid w:val="006B15FD"/>
    <w:rsid w:val="006B4888"/>
    <w:rsid w:val="006C2E45"/>
    <w:rsid w:val="006C359C"/>
    <w:rsid w:val="006C5579"/>
    <w:rsid w:val="006D57DE"/>
    <w:rsid w:val="006D6E8B"/>
    <w:rsid w:val="006E737D"/>
    <w:rsid w:val="0070004C"/>
    <w:rsid w:val="00706CBC"/>
    <w:rsid w:val="00707848"/>
    <w:rsid w:val="00712D71"/>
    <w:rsid w:val="00713973"/>
    <w:rsid w:val="00720A24"/>
    <w:rsid w:val="00732386"/>
    <w:rsid w:val="0073514D"/>
    <w:rsid w:val="0074293F"/>
    <w:rsid w:val="007447F3"/>
    <w:rsid w:val="0075499F"/>
    <w:rsid w:val="0076557F"/>
    <w:rsid w:val="007661C8"/>
    <w:rsid w:val="0077098D"/>
    <w:rsid w:val="00771280"/>
    <w:rsid w:val="0077155F"/>
    <w:rsid w:val="00786DC4"/>
    <w:rsid w:val="007931FA"/>
    <w:rsid w:val="007A4861"/>
    <w:rsid w:val="007A7BBA"/>
    <w:rsid w:val="007B0C50"/>
    <w:rsid w:val="007B48F9"/>
    <w:rsid w:val="007C1A43"/>
    <w:rsid w:val="007C3AE8"/>
    <w:rsid w:val="007C4F05"/>
    <w:rsid w:val="0080013E"/>
    <w:rsid w:val="00813288"/>
    <w:rsid w:val="008168FC"/>
    <w:rsid w:val="00825DD9"/>
    <w:rsid w:val="00830996"/>
    <w:rsid w:val="008345F1"/>
    <w:rsid w:val="008411A4"/>
    <w:rsid w:val="00851AB4"/>
    <w:rsid w:val="008543DE"/>
    <w:rsid w:val="00856A04"/>
    <w:rsid w:val="00865B07"/>
    <w:rsid w:val="008667EA"/>
    <w:rsid w:val="00871BAA"/>
    <w:rsid w:val="0087637F"/>
    <w:rsid w:val="00886A4F"/>
    <w:rsid w:val="00892AD5"/>
    <w:rsid w:val="008A1512"/>
    <w:rsid w:val="008B216C"/>
    <w:rsid w:val="008C600F"/>
    <w:rsid w:val="008D32B9"/>
    <w:rsid w:val="008D433B"/>
    <w:rsid w:val="008E3F9F"/>
    <w:rsid w:val="008E4566"/>
    <w:rsid w:val="008E566E"/>
    <w:rsid w:val="008F4013"/>
    <w:rsid w:val="0090161A"/>
    <w:rsid w:val="00901EB6"/>
    <w:rsid w:val="00902018"/>
    <w:rsid w:val="00904C62"/>
    <w:rsid w:val="0091291A"/>
    <w:rsid w:val="00917351"/>
    <w:rsid w:val="00922BA8"/>
    <w:rsid w:val="009245FD"/>
    <w:rsid w:val="00924DAC"/>
    <w:rsid w:val="00927058"/>
    <w:rsid w:val="00930659"/>
    <w:rsid w:val="0094153C"/>
    <w:rsid w:val="00942750"/>
    <w:rsid w:val="009450CE"/>
    <w:rsid w:val="00947179"/>
    <w:rsid w:val="0095164B"/>
    <w:rsid w:val="00954090"/>
    <w:rsid w:val="0095593F"/>
    <w:rsid w:val="009573E7"/>
    <w:rsid w:val="00963E05"/>
    <w:rsid w:val="00967843"/>
    <w:rsid w:val="00967D54"/>
    <w:rsid w:val="00970698"/>
    <w:rsid w:val="00971028"/>
    <w:rsid w:val="00987F46"/>
    <w:rsid w:val="00993B84"/>
    <w:rsid w:val="00995D40"/>
    <w:rsid w:val="00996483"/>
    <w:rsid w:val="00996F5A"/>
    <w:rsid w:val="009A40FF"/>
    <w:rsid w:val="009B041A"/>
    <w:rsid w:val="009C37C3"/>
    <w:rsid w:val="009C7C86"/>
    <w:rsid w:val="009D2FF7"/>
    <w:rsid w:val="009E0C6B"/>
    <w:rsid w:val="009E7884"/>
    <w:rsid w:val="009E788A"/>
    <w:rsid w:val="009F0E08"/>
    <w:rsid w:val="009F2C6C"/>
    <w:rsid w:val="00A1763D"/>
    <w:rsid w:val="00A17CEC"/>
    <w:rsid w:val="00A23462"/>
    <w:rsid w:val="00A27EF0"/>
    <w:rsid w:val="00A40731"/>
    <w:rsid w:val="00A42361"/>
    <w:rsid w:val="00A45E19"/>
    <w:rsid w:val="00A50B20"/>
    <w:rsid w:val="00A51390"/>
    <w:rsid w:val="00A54137"/>
    <w:rsid w:val="00A60D13"/>
    <w:rsid w:val="00A7104C"/>
    <w:rsid w:val="00A71FB1"/>
    <w:rsid w:val="00A72745"/>
    <w:rsid w:val="00A76EFC"/>
    <w:rsid w:val="00A91010"/>
    <w:rsid w:val="00A97F29"/>
    <w:rsid w:val="00AA702E"/>
    <w:rsid w:val="00AB0964"/>
    <w:rsid w:val="00AB5011"/>
    <w:rsid w:val="00AC7368"/>
    <w:rsid w:val="00AD16B9"/>
    <w:rsid w:val="00AE377D"/>
    <w:rsid w:val="00AF0EBA"/>
    <w:rsid w:val="00AF6BBA"/>
    <w:rsid w:val="00B02C8A"/>
    <w:rsid w:val="00B17FBD"/>
    <w:rsid w:val="00B276B6"/>
    <w:rsid w:val="00B315A6"/>
    <w:rsid w:val="00B31813"/>
    <w:rsid w:val="00B33365"/>
    <w:rsid w:val="00B35E49"/>
    <w:rsid w:val="00B42AD5"/>
    <w:rsid w:val="00B57B36"/>
    <w:rsid w:val="00B57E6F"/>
    <w:rsid w:val="00B61712"/>
    <w:rsid w:val="00B65E06"/>
    <w:rsid w:val="00B74AF0"/>
    <w:rsid w:val="00B80B3F"/>
    <w:rsid w:val="00B8316B"/>
    <w:rsid w:val="00B8686D"/>
    <w:rsid w:val="00B93B8E"/>
    <w:rsid w:val="00B93F69"/>
    <w:rsid w:val="00BA29B5"/>
    <w:rsid w:val="00BB1DDC"/>
    <w:rsid w:val="00BB7651"/>
    <w:rsid w:val="00BC30C9"/>
    <w:rsid w:val="00BD077D"/>
    <w:rsid w:val="00BE3E58"/>
    <w:rsid w:val="00BE683E"/>
    <w:rsid w:val="00BF5BF6"/>
    <w:rsid w:val="00C01616"/>
    <w:rsid w:val="00C0162B"/>
    <w:rsid w:val="00C068ED"/>
    <w:rsid w:val="00C22E0C"/>
    <w:rsid w:val="00C345B1"/>
    <w:rsid w:val="00C40142"/>
    <w:rsid w:val="00C42A4D"/>
    <w:rsid w:val="00C52C3C"/>
    <w:rsid w:val="00C57182"/>
    <w:rsid w:val="00C57863"/>
    <w:rsid w:val="00C63160"/>
    <w:rsid w:val="00C655FD"/>
    <w:rsid w:val="00C71130"/>
    <w:rsid w:val="00C75407"/>
    <w:rsid w:val="00C804FE"/>
    <w:rsid w:val="00C870A8"/>
    <w:rsid w:val="00C94434"/>
    <w:rsid w:val="00CA0D75"/>
    <w:rsid w:val="00CA1C95"/>
    <w:rsid w:val="00CA5A9C"/>
    <w:rsid w:val="00CB63F5"/>
    <w:rsid w:val="00CC4C20"/>
    <w:rsid w:val="00CD3517"/>
    <w:rsid w:val="00CD5FE2"/>
    <w:rsid w:val="00CE709D"/>
    <w:rsid w:val="00CE7C68"/>
    <w:rsid w:val="00D02B4C"/>
    <w:rsid w:val="00D040C4"/>
    <w:rsid w:val="00D27E7B"/>
    <w:rsid w:val="00D46B7E"/>
    <w:rsid w:val="00D529ED"/>
    <w:rsid w:val="00D5425E"/>
    <w:rsid w:val="00D57C84"/>
    <w:rsid w:val="00D6057D"/>
    <w:rsid w:val="00D836C5"/>
    <w:rsid w:val="00D84576"/>
    <w:rsid w:val="00DA1399"/>
    <w:rsid w:val="00DA24C6"/>
    <w:rsid w:val="00DA4D7B"/>
    <w:rsid w:val="00DB3BD7"/>
    <w:rsid w:val="00DE264A"/>
    <w:rsid w:val="00DE501B"/>
    <w:rsid w:val="00DF370D"/>
    <w:rsid w:val="00DF4696"/>
    <w:rsid w:val="00DF5072"/>
    <w:rsid w:val="00E0129A"/>
    <w:rsid w:val="00E02D18"/>
    <w:rsid w:val="00E041E7"/>
    <w:rsid w:val="00E23CA1"/>
    <w:rsid w:val="00E3303A"/>
    <w:rsid w:val="00E409A8"/>
    <w:rsid w:val="00E45459"/>
    <w:rsid w:val="00E50C12"/>
    <w:rsid w:val="00E65B91"/>
    <w:rsid w:val="00E7209D"/>
    <w:rsid w:val="00E72EAD"/>
    <w:rsid w:val="00E77223"/>
    <w:rsid w:val="00E8528B"/>
    <w:rsid w:val="00E85B94"/>
    <w:rsid w:val="00E91897"/>
    <w:rsid w:val="00E9228E"/>
    <w:rsid w:val="00E978D0"/>
    <w:rsid w:val="00EA3CA3"/>
    <w:rsid w:val="00EA3CEB"/>
    <w:rsid w:val="00EA4613"/>
    <w:rsid w:val="00EA7F91"/>
    <w:rsid w:val="00EB1523"/>
    <w:rsid w:val="00EB2C85"/>
    <w:rsid w:val="00EC0E49"/>
    <w:rsid w:val="00EC101F"/>
    <w:rsid w:val="00EC1D9F"/>
    <w:rsid w:val="00EC5420"/>
    <w:rsid w:val="00EE0131"/>
    <w:rsid w:val="00EE17B0"/>
    <w:rsid w:val="00EF06D9"/>
    <w:rsid w:val="00EF0BA4"/>
    <w:rsid w:val="00F226EC"/>
    <w:rsid w:val="00F30C64"/>
    <w:rsid w:val="00F32BA2"/>
    <w:rsid w:val="00F32CDB"/>
    <w:rsid w:val="00F3583C"/>
    <w:rsid w:val="00F50E4D"/>
    <w:rsid w:val="00F53E03"/>
    <w:rsid w:val="00F565FE"/>
    <w:rsid w:val="00F63A70"/>
    <w:rsid w:val="00F71732"/>
    <w:rsid w:val="00F73827"/>
    <w:rsid w:val="00F7534E"/>
    <w:rsid w:val="00F90AFF"/>
    <w:rsid w:val="00FA21D0"/>
    <w:rsid w:val="00FA5F5F"/>
    <w:rsid w:val="00FB730C"/>
    <w:rsid w:val="00FC2695"/>
    <w:rsid w:val="00FC3E03"/>
    <w:rsid w:val="00FC3FC1"/>
    <w:rsid w:val="00FD634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DE5B9DFA-7F9F-497B-A0F7-CB1436FA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311704"/>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311704"/>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unhideWhenUsed/>
    <w:rsid w:val="0003148D"/>
    <w:pPr>
      <w:spacing w:after="120"/>
    </w:pPr>
  </w:style>
  <w:style w:type="character" w:customStyle="1" w:styleId="BodyTextChar">
    <w:name w:val="Body Text Char"/>
    <w:basedOn w:val="DefaultParagraphFont"/>
    <w:link w:val="BodyText"/>
    <w:uiPriority w:val="99"/>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aliases w:val="D2.1-Légende,slike in tabele"/>
    <w:basedOn w:val="Normal"/>
    <w:next w:val="Normal"/>
    <w:link w:val="CaptionChar"/>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qFormat/>
    <w:rsid w:val="00280FAF"/>
    <w:pPr>
      <w:ind w:left="720"/>
      <w:contextualSpacing/>
    </w:pPr>
  </w:style>
  <w:style w:type="character" w:customStyle="1" w:styleId="CaptionChar">
    <w:name w:val="Caption Char"/>
    <w:aliases w:val="D2.1-Légende Char,slike in tabele Char"/>
    <w:basedOn w:val="DefaultParagraphFont"/>
    <w:link w:val="Caption"/>
    <w:locked/>
    <w:rsid w:val="00A40731"/>
    <w:rPr>
      <w:rFonts w:ascii="Arial" w:eastAsia="Times New Roman" w:hAnsi="Arial" w:cs="Times New Roman"/>
      <w:b/>
      <w:bCs/>
      <w:color w:val="4F81BD" w:themeColor="accent1"/>
      <w:sz w:val="18"/>
      <w:szCs w:val="18"/>
      <w:lang w:val="en-GB"/>
    </w:rPr>
  </w:style>
  <w:style w:type="paragraph" w:styleId="Revision">
    <w:name w:val="Revision"/>
    <w:hidden/>
    <w:uiPriority w:val="99"/>
    <w:semiHidden/>
    <w:rsid w:val="00C804FE"/>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03C47-CAA8-4623-8581-6EA3FA492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3538</Words>
  <Characters>19111</Characters>
  <Application>Microsoft Office Word</Application>
  <DocSecurity>0</DocSecurity>
  <Lines>159</Lines>
  <Paragraphs>45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22604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Olga Aneziri</cp:lastModifiedBy>
  <cp:revision>12</cp:revision>
  <cp:lastPrinted>2024-04-08T10:55:00Z</cp:lastPrinted>
  <dcterms:created xsi:type="dcterms:W3CDTF">2024-04-08T10:24:00Z</dcterms:created>
  <dcterms:modified xsi:type="dcterms:W3CDTF">2024-04-08T11:23:00Z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