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C71561" w14:paraId="2A131A54" w14:textId="77777777" w:rsidTr="00936751">
        <w:trPr>
          <w:trHeight w:val="852"/>
          <w:jc w:val="center"/>
        </w:trPr>
        <w:tc>
          <w:tcPr>
            <w:tcW w:w="6940" w:type="dxa"/>
            <w:vMerge w:val="restart"/>
            <w:tcBorders>
              <w:right w:val="single" w:sz="4" w:space="0" w:color="auto"/>
            </w:tcBorders>
          </w:tcPr>
          <w:p w14:paraId="38C3D2BA" w14:textId="1430EADE" w:rsidR="000A03B2" w:rsidRPr="00C71561" w:rsidRDefault="000A03B2" w:rsidP="00E63B22">
            <w:pPr>
              <w:shd w:val="clear" w:color="auto" w:fill="FFFFFF" w:themeFill="background1"/>
              <w:tabs>
                <w:tab w:val="left" w:pos="-108"/>
              </w:tabs>
              <w:ind w:left="-108"/>
              <w:jc w:val="left"/>
              <w:rPr>
                <w:rFonts w:cs="Arial"/>
                <w:b/>
                <w:bCs/>
                <w:i/>
                <w:iCs/>
                <w:color w:val="000066"/>
                <w:sz w:val="12"/>
                <w:szCs w:val="12"/>
                <w:lang w:eastAsia="it-IT"/>
              </w:rPr>
            </w:pPr>
            <w:r w:rsidRPr="00C71561">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C71561">
              <w:rPr>
                <w:rFonts w:ascii="AdvP6960" w:hAnsi="AdvP6960" w:cs="AdvP6960"/>
                <w:color w:val="241F20"/>
                <w:szCs w:val="18"/>
                <w:lang w:eastAsia="it-IT"/>
              </w:rPr>
              <w:t xml:space="preserve"> </w:t>
            </w:r>
            <w:r w:rsidRPr="00C71561">
              <w:rPr>
                <w:rFonts w:cs="Arial"/>
                <w:b/>
                <w:bCs/>
                <w:i/>
                <w:iCs/>
                <w:color w:val="000066"/>
                <w:sz w:val="24"/>
                <w:szCs w:val="24"/>
                <w:lang w:eastAsia="it-IT"/>
              </w:rPr>
              <w:t>CHEMICAL ENGINEERING</w:t>
            </w:r>
            <w:r w:rsidRPr="00C71561">
              <w:rPr>
                <w:rFonts w:cs="Arial"/>
                <w:b/>
                <w:bCs/>
                <w:i/>
                <w:iCs/>
                <w:color w:val="0033FF"/>
                <w:sz w:val="24"/>
                <w:szCs w:val="24"/>
                <w:lang w:eastAsia="it-IT"/>
              </w:rPr>
              <w:t xml:space="preserve"> </w:t>
            </w:r>
            <w:r w:rsidRPr="00C71561">
              <w:rPr>
                <w:rFonts w:cs="Arial"/>
                <w:b/>
                <w:bCs/>
                <w:i/>
                <w:iCs/>
                <w:color w:val="666666"/>
                <w:sz w:val="24"/>
                <w:szCs w:val="24"/>
                <w:lang w:eastAsia="it-IT"/>
              </w:rPr>
              <w:t>TRANSACTIONS</w:t>
            </w:r>
            <w:r w:rsidRPr="00C71561">
              <w:rPr>
                <w:color w:val="333333"/>
                <w:sz w:val="24"/>
                <w:szCs w:val="24"/>
                <w:lang w:eastAsia="it-IT"/>
              </w:rPr>
              <w:t xml:space="preserve"> </w:t>
            </w:r>
            <w:r w:rsidRPr="00C71561">
              <w:rPr>
                <w:rFonts w:cs="Arial"/>
                <w:b/>
                <w:bCs/>
                <w:i/>
                <w:iCs/>
                <w:color w:val="000066"/>
                <w:sz w:val="27"/>
                <w:szCs w:val="27"/>
                <w:lang w:eastAsia="it-IT"/>
              </w:rPr>
              <w:br/>
            </w:r>
          </w:p>
          <w:p w14:paraId="4B780582" w14:textId="081733A0" w:rsidR="000A03B2" w:rsidRPr="00C71561" w:rsidRDefault="0073255B" w:rsidP="00E63B22">
            <w:pPr>
              <w:shd w:val="clear" w:color="auto" w:fill="FFFFFF" w:themeFill="background1"/>
              <w:tabs>
                <w:tab w:val="left" w:pos="-108"/>
              </w:tabs>
              <w:ind w:left="-108"/>
              <w:rPr>
                <w:rFonts w:cs="Arial"/>
                <w:b/>
                <w:bCs/>
                <w:i/>
                <w:iCs/>
                <w:color w:val="000066"/>
                <w:sz w:val="22"/>
                <w:szCs w:val="22"/>
                <w:lang w:eastAsia="it-IT"/>
              </w:rPr>
            </w:pPr>
            <w:r w:rsidRPr="00C71561">
              <w:rPr>
                <w:rFonts w:cs="Arial"/>
                <w:b/>
                <w:bCs/>
                <w:i/>
                <w:iCs/>
                <w:color w:val="000066"/>
                <w:sz w:val="22"/>
                <w:szCs w:val="22"/>
                <w:lang w:eastAsia="it-IT"/>
              </w:rPr>
              <w:t>VOL. xxx, 2024</w:t>
            </w:r>
          </w:p>
        </w:tc>
        <w:tc>
          <w:tcPr>
            <w:tcW w:w="1842" w:type="dxa"/>
            <w:tcBorders>
              <w:left w:val="single" w:sz="4" w:space="0" w:color="auto"/>
              <w:bottom w:val="nil"/>
              <w:right w:val="single" w:sz="4" w:space="0" w:color="auto"/>
            </w:tcBorders>
          </w:tcPr>
          <w:p w14:paraId="56782132" w14:textId="77777777" w:rsidR="000A03B2" w:rsidRPr="00C71561" w:rsidRDefault="000A03B2" w:rsidP="00E63B22">
            <w:pPr>
              <w:shd w:val="clear" w:color="auto" w:fill="FFFFFF" w:themeFill="background1"/>
              <w:spacing w:line="140" w:lineRule="atLeast"/>
              <w:jc w:val="right"/>
              <w:rPr>
                <w:rFonts w:cs="Arial"/>
                <w:sz w:val="14"/>
                <w:szCs w:val="14"/>
              </w:rPr>
            </w:pPr>
            <w:r w:rsidRPr="00C71561">
              <w:rPr>
                <w:rFonts w:cs="Arial"/>
                <w:sz w:val="14"/>
                <w:szCs w:val="14"/>
              </w:rPr>
              <w:t>A publication of</w:t>
            </w:r>
          </w:p>
          <w:p w14:paraId="599E5441" w14:textId="24560CAC" w:rsidR="000A03B2" w:rsidRPr="00C71561" w:rsidRDefault="000A03B2" w:rsidP="00E63B22">
            <w:pPr>
              <w:shd w:val="clear" w:color="auto" w:fill="FFFFFF" w:themeFill="background1"/>
              <w:jc w:val="right"/>
            </w:pPr>
            <w:r w:rsidRPr="00C71561">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C71561" w14:paraId="380FA3CD" w14:textId="77777777" w:rsidTr="00936751">
        <w:trPr>
          <w:trHeight w:val="567"/>
          <w:jc w:val="center"/>
        </w:trPr>
        <w:tc>
          <w:tcPr>
            <w:tcW w:w="6940" w:type="dxa"/>
            <w:vMerge/>
            <w:tcBorders>
              <w:right w:val="single" w:sz="4" w:space="0" w:color="auto"/>
            </w:tcBorders>
          </w:tcPr>
          <w:p w14:paraId="39E5E4C1" w14:textId="77777777" w:rsidR="000A03B2" w:rsidRPr="00C71561" w:rsidRDefault="000A03B2" w:rsidP="00E63B22">
            <w:pPr>
              <w:shd w:val="clear" w:color="auto" w:fill="FFFFFF" w:themeFill="background1"/>
              <w:tabs>
                <w:tab w:val="left" w:pos="-108"/>
              </w:tabs>
            </w:pPr>
          </w:p>
        </w:tc>
        <w:tc>
          <w:tcPr>
            <w:tcW w:w="1842" w:type="dxa"/>
            <w:tcBorders>
              <w:left w:val="single" w:sz="4" w:space="0" w:color="auto"/>
              <w:bottom w:val="nil"/>
              <w:right w:val="single" w:sz="4" w:space="0" w:color="auto"/>
            </w:tcBorders>
          </w:tcPr>
          <w:p w14:paraId="43858A98" w14:textId="77777777" w:rsidR="000A03B2" w:rsidRPr="00C71561" w:rsidRDefault="000A03B2" w:rsidP="00E63B22">
            <w:pPr>
              <w:shd w:val="clear" w:color="auto" w:fill="FFFFFF" w:themeFill="background1"/>
              <w:spacing w:line="140" w:lineRule="atLeast"/>
              <w:jc w:val="right"/>
              <w:rPr>
                <w:rFonts w:cs="Arial"/>
                <w:sz w:val="14"/>
                <w:szCs w:val="14"/>
              </w:rPr>
            </w:pPr>
            <w:r w:rsidRPr="00C71561">
              <w:rPr>
                <w:rFonts w:cs="Arial"/>
                <w:sz w:val="14"/>
                <w:szCs w:val="14"/>
              </w:rPr>
              <w:t>The Italian Association</w:t>
            </w:r>
          </w:p>
          <w:p w14:paraId="7522B1D2" w14:textId="77777777" w:rsidR="000A03B2" w:rsidRPr="00C71561" w:rsidRDefault="000A03B2" w:rsidP="00E63B22">
            <w:pPr>
              <w:shd w:val="clear" w:color="auto" w:fill="FFFFFF" w:themeFill="background1"/>
              <w:spacing w:line="140" w:lineRule="atLeast"/>
              <w:jc w:val="right"/>
              <w:rPr>
                <w:rFonts w:cs="Arial"/>
                <w:sz w:val="14"/>
                <w:szCs w:val="14"/>
              </w:rPr>
            </w:pPr>
            <w:r w:rsidRPr="00C71561">
              <w:rPr>
                <w:rFonts w:cs="Arial"/>
                <w:sz w:val="14"/>
                <w:szCs w:val="14"/>
              </w:rPr>
              <w:t>of Chemical Engineering</w:t>
            </w:r>
          </w:p>
          <w:p w14:paraId="4F0CC5DE" w14:textId="47FDB2FC" w:rsidR="000A03B2" w:rsidRPr="00C71561" w:rsidRDefault="000D0268" w:rsidP="00E63B22">
            <w:pPr>
              <w:shd w:val="clear" w:color="auto" w:fill="FFFFFF" w:themeFill="background1"/>
              <w:spacing w:line="140" w:lineRule="atLeast"/>
              <w:jc w:val="right"/>
              <w:rPr>
                <w:rFonts w:cs="Arial"/>
                <w:sz w:val="13"/>
                <w:szCs w:val="13"/>
              </w:rPr>
            </w:pPr>
            <w:r w:rsidRPr="00C71561">
              <w:rPr>
                <w:rFonts w:cs="Arial"/>
                <w:sz w:val="13"/>
                <w:szCs w:val="13"/>
              </w:rPr>
              <w:t>Online at www.cetjournal.it</w:t>
            </w:r>
          </w:p>
        </w:tc>
      </w:tr>
      <w:tr w:rsidR="000A03B2" w:rsidRPr="00C71561" w14:paraId="2D1B7169" w14:textId="77777777" w:rsidTr="00936751">
        <w:trPr>
          <w:trHeight w:val="68"/>
          <w:jc w:val="center"/>
        </w:trPr>
        <w:tc>
          <w:tcPr>
            <w:tcW w:w="8782" w:type="dxa"/>
            <w:gridSpan w:val="2"/>
          </w:tcPr>
          <w:p w14:paraId="227EB0C0" w14:textId="77777777" w:rsidR="0073255B" w:rsidRPr="00C71561" w:rsidRDefault="0073255B" w:rsidP="00E63B22">
            <w:pPr>
              <w:shd w:val="clear" w:color="auto" w:fill="FFFFFF" w:themeFill="background1"/>
              <w:ind w:left="-107"/>
              <w:outlineLvl w:val="2"/>
              <w:rPr>
                <w:rFonts w:ascii="Tahoma" w:hAnsi="Tahoma" w:cs="Tahoma"/>
                <w:bCs/>
                <w:color w:val="000000"/>
                <w:sz w:val="14"/>
                <w:szCs w:val="14"/>
                <w:lang w:val="it-IT" w:eastAsia="it-IT"/>
              </w:rPr>
            </w:pPr>
            <w:r w:rsidRPr="00C71561">
              <w:rPr>
                <w:rFonts w:ascii="Tahoma" w:hAnsi="Tahoma" w:cs="Tahoma"/>
                <w:iCs/>
                <w:color w:val="333333"/>
                <w:sz w:val="14"/>
                <w:szCs w:val="14"/>
                <w:lang w:val="it-IT" w:eastAsia="it-IT"/>
              </w:rPr>
              <w:t xml:space="preserve">Guest Editors: </w:t>
            </w:r>
            <w:r w:rsidRPr="00C71561">
              <w:rPr>
                <w:rFonts w:ascii="Tahoma" w:hAnsi="Tahoma" w:cs="Tahoma"/>
                <w:color w:val="000000"/>
                <w:sz w:val="14"/>
                <w:szCs w:val="14"/>
                <w:shd w:val="clear" w:color="auto" w:fill="FFFFFF"/>
                <w:lang w:val="it-IT"/>
              </w:rPr>
              <w:t xml:space="preserve">Valerio Cozzani, Bruno Fabiano, </w:t>
            </w:r>
            <w:r w:rsidRPr="00C71561">
              <w:rPr>
                <w:rFonts w:ascii="Tahoma" w:hAnsi="Tahoma" w:cs="Tahoma"/>
                <w:bCs/>
                <w:color w:val="000000"/>
                <w:sz w:val="14"/>
                <w:szCs w:val="14"/>
                <w:lang w:val="it-IT" w:eastAsia="it-IT"/>
              </w:rPr>
              <w:t>Genserik Reniers</w:t>
            </w:r>
          </w:p>
          <w:p w14:paraId="1B0F1814" w14:textId="714F8459" w:rsidR="000A03B2" w:rsidRPr="00C71561" w:rsidRDefault="0073255B" w:rsidP="00E63B22">
            <w:pPr>
              <w:shd w:val="clear" w:color="auto" w:fill="FFFFFF" w:themeFill="background1"/>
              <w:tabs>
                <w:tab w:val="left" w:pos="-108"/>
              </w:tabs>
              <w:spacing w:line="140" w:lineRule="atLeast"/>
              <w:ind w:left="-107"/>
              <w:jc w:val="left"/>
            </w:pPr>
            <w:r w:rsidRPr="00C71561">
              <w:rPr>
                <w:rFonts w:ascii="Tahoma" w:hAnsi="Tahoma" w:cs="Tahoma"/>
                <w:iCs/>
                <w:color w:val="333333"/>
                <w:sz w:val="14"/>
                <w:szCs w:val="14"/>
                <w:lang w:eastAsia="it-IT"/>
              </w:rPr>
              <w:t>Copyright © 2024, AIDIC Servizi S.r.l.</w:t>
            </w:r>
            <w:r w:rsidRPr="00C71561">
              <w:rPr>
                <w:rFonts w:ascii="Tahoma" w:hAnsi="Tahoma" w:cs="Tahoma"/>
                <w:iCs/>
                <w:color w:val="333333"/>
                <w:sz w:val="14"/>
                <w:szCs w:val="14"/>
                <w:lang w:eastAsia="it-IT"/>
              </w:rPr>
              <w:br/>
            </w:r>
            <w:r w:rsidRPr="00C71561">
              <w:rPr>
                <w:rFonts w:ascii="Tahoma" w:hAnsi="Tahoma" w:cs="Tahoma"/>
                <w:b/>
                <w:iCs/>
                <w:color w:val="000000"/>
                <w:sz w:val="14"/>
                <w:szCs w:val="14"/>
                <w:lang w:eastAsia="it-IT"/>
              </w:rPr>
              <w:t>ISBN</w:t>
            </w:r>
            <w:r w:rsidRPr="00C71561">
              <w:rPr>
                <w:rFonts w:ascii="Tahoma" w:hAnsi="Tahoma" w:cs="Tahoma"/>
                <w:iCs/>
                <w:color w:val="000000"/>
                <w:sz w:val="14"/>
                <w:szCs w:val="14"/>
                <w:lang w:eastAsia="it-IT"/>
              </w:rPr>
              <w:t xml:space="preserve"> </w:t>
            </w:r>
            <w:r w:rsidRPr="00C71561">
              <w:rPr>
                <w:rFonts w:ascii="Tahoma" w:hAnsi="Tahoma" w:cs="Tahoma"/>
                <w:sz w:val="14"/>
                <w:szCs w:val="14"/>
                <w:lang w:eastAsia="it-IT"/>
              </w:rPr>
              <w:t>979-12-81206-11-3</w:t>
            </w:r>
            <w:r w:rsidRPr="00C71561">
              <w:rPr>
                <w:rFonts w:ascii="Tahoma" w:hAnsi="Tahoma" w:cs="Tahoma"/>
                <w:iCs/>
                <w:color w:val="333333"/>
                <w:sz w:val="14"/>
                <w:szCs w:val="14"/>
                <w:lang w:eastAsia="it-IT"/>
              </w:rPr>
              <w:t xml:space="preserve">; </w:t>
            </w:r>
            <w:r w:rsidRPr="00C71561">
              <w:rPr>
                <w:rFonts w:ascii="Tahoma" w:hAnsi="Tahoma" w:cs="Tahoma"/>
                <w:b/>
                <w:iCs/>
                <w:color w:val="333333"/>
                <w:sz w:val="14"/>
                <w:szCs w:val="14"/>
                <w:lang w:eastAsia="it-IT"/>
              </w:rPr>
              <w:t>ISSN</w:t>
            </w:r>
            <w:r w:rsidRPr="00C71561">
              <w:rPr>
                <w:rFonts w:ascii="Tahoma" w:hAnsi="Tahoma" w:cs="Tahoma"/>
                <w:iCs/>
                <w:color w:val="333333"/>
                <w:sz w:val="14"/>
                <w:szCs w:val="14"/>
                <w:lang w:eastAsia="it-IT"/>
              </w:rPr>
              <w:t xml:space="preserve"> 2283-9216</w:t>
            </w:r>
          </w:p>
        </w:tc>
      </w:tr>
    </w:tbl>
    <w:p w14:paraId="12A61A86" w14:textId="102D9B94" w:rsidR="00575952" w:rsidRPr="00C71561" w:rsidRDefault="008812B3" w:rsidP="008812B3">
      <w:pPr>
        <w:pStyle w:val="CETTitle"/>
        <w:shd w:val="clear" w:color="auto" w:fill="FFFFFF" w:themeFill="background1"/>
        <w:jc w:val="both"/>
        <w:rPr>
          <w:lang w:val="en-US"/>
        </w:rPr>
      </w:pPr>
      <w:r w:rsidRPr="00C71561">
        <w:rPr>
          <w:lang w:val="en-US"/>
        </w:rPr>
        <w:t>Occupational safety in the management of PET plastic waste generated by the Lot 57 camp in Camisea and analysis of economic losses due to poor segregation</w:t>
      </w:r>
    </w:p>
    <w:p w14:paraId="56857D0C" w14:textId="0E3EC612" w:rsidR="005A5F22" w:rsidRPr="00C71561" w:rsidRDefault="005A5F22" w:rsidP="00E63B22">
      <w:pPr>
        <w:pStyle w:val="CETAuthors"/>
        <w:shd w:val="clear" w:color="auto" w:fill="FFFFFF" w:themeFill="background1"/>
        <w:rPr>
          <w:lang w:val="es-MX"/>
        </w:rPr>
      </w:pPr>
      <w:r w:rsidRPr="00C71561">
        <w:rPr>
          <w:lang w:val="es-MX"/>
        </w:rPr>
        <w:t>Grese Hanampa</w:t>
      </w:r>
      <w:r w:rsidRPr="00C71561">
        <w:rPr>
          <w:vertAlign w:val="superscript"/>
          <w:lang w:val="es-MX"/>
        </w:rPr>
        <w:t>a</w:t>
      </w:r>
      <w:r w:rsidRPr="00C71561">
        <w:rPr>
          <w:lang w:val="es-MX"/>
        </w:rPr>
        <w:t>, Christiaan E. Moreno</w:t>
      </w:r>
      <w:r w:rsidRPr="00C71561">
        <w:rPr>
          <w:vertAlign w:val="superscript"/>
          <w:lang w:val="es-MX"/>
        </w:rPr>
        <w:t>b</w:t>
      </w:r>
      <w:r w:rsidRPr="00C71561">
        <w:rPr>
          <w:lang w:val="es-MX"/>
        </w:rPr>
        <w:t>, Zanhy L. Valencia-Reyes</w:t>
      </w:r>
      <w:r w:rsidRPr="00C71561">
        <w:rPr>
          <w:vertAlign w:val="superscript"/>
          <w:lang w:val="es-MX"/>
        </w:rPr>
        <w:t>b,</w:t>
      </w:r>
      <w:r w:rsidRPr="00C71561">
        <w:rPr>
          <w:lang w:val="es-MX"/>
        </w:rPr>
        <w:t>*, Fiorella V. Güere</w:t>
      </w:r>
      <w:r w:rsidRPr="00C71561">
        <w:rPr>
          <w:vertAlign w:val="superscript"/>
          <w:lang w:val="es-MX"/>
        </w:rPr>
        <w:t>b</w:t>
      </w:r>
      <w:r w:rsidRPr="00C71561">
        <w:rPr>
          <w:lang w:val="es-MX"/>
        </w:rPr>
        <w:t>, Alex S. Armas</w:t>
      </w:r>
      <w:r w:rsidR="00B90830">
        <w:rPr>
          <w:lang w:val="es-MX"/>
        </w:rPr>
        <w:t>-Blancas</w:t>
      </w:r>
      <w:r w:rsidRPr="00C71561">
        <w:rPr>
          <w:vertAlign w:val="superscript"/>
          <w:lang w:val="es-MX"/>
        </w:rPr>
        <w:t>b</w:t>
      </w:r>
      <w:r w:rsidRPr="00C71561">
        <w:rPr>
          <w:lang w:val="es-MX"/>
        </w:rPr>
        <w:t>, Alejandro Mena</w:t>
      </w:r>
      <w:r w:rsidRPr="00C71561">
        <w:rPr>
          <w:vertAlign w:val="superscript"/>
          <w:lang w:val="es-MX"/>
        </w:rPr>
        <w:t>b</w:t>
      </w:r>
      <w:r w:rsidRPr="00C71561">
        <w:rPr>
          <w:lang w:val="es-MX"/>
        </w:rPr>
        <w:t>, Hellen F. Blancas</w:t>
      </w:r>
      <w:r w:rsidRPr="00C71561">
        <w:rPr>
          <w:vertAlign w:val="superscript"/>
          <w:lang w:val="es-MX"/>
        </w:rPr>
        <w:t>c</w:t>
      </w:r>
      <w:r w:rsidRPr="00C71561">
        <w:rPr>
          <w:lang w:val="es-MX"/>
        </w:rPr>
        <w:t>, Giner E. Díaz</w:t>
      </w:r>
      <w:r w:rsidRPr="00C71561">
        <w:rPr>
          <w:vertAlign w:val="superscript"/>
          <w:lang w:val="es-MX"/>
        </w:rPr>
        <w:t>d</w:t>
      </w:r>
      <w:r w:rsidRPr="00C71561">
        <w:rPr>
          <w:lang w:val="es-MX"/>
        </w:rPr>
        <w:t>, Sixto S. Mendoza</w:t>
      </w:r>
      <w:r w:rsidRPr="00C71561">
        <w:rPr>
          <w:vertAlign w:val="superscript"/>
          <w:lang w:val="es-MX"/>
        </w:rPr>
        <w:t>e</w:t>
      </w:r>
      <w:r w:rsidRPr="00C71561">
        <w:rPr>
          <w:lang w:val="es-MX"/>
        </w:rPr>
        <w:t>, Guillermo L. Vilchez</w:t>
      </w:r>
      <w:r w:rsidRPr="00C71561">
        <w:rPr>
          <w:vertAlign w:val="superscript"/>
          <w:lang w:val="es-MX"/>
        </w:rPr>
        <w:t>a</w:t>
      </w:r>
    </w:p>
    <w:p w14:paraId="5A1B1BB6" w14:textId="77777777" w:rsidR="005A5F22" w:rsidRPr="00C71561" w:rsidRDefault="005A5F22" w:rsidP="00E63B22">
      <w:pPr>
        <w:pStyle w:val="CETAddress"/>
        <w:shd w:val="clear" w:color="auto" w:fill="FFFFFF" w:themeFill="background1"/>
        <w:rPr>
          <w:lang w:val="es-MX"/>
        </w:rPr>
      </w:pPr>
      <w:r w:rsidRPr="00C71561">
        <w:rPr>
          <w:vertAlign w:val="superscript"/>
          <w:lang w:val="es-MX"/>
        </w:rPr>
        <w:t>a</w:t>
      </w:r>
      <w:r w:rsidRPr="00C71561">
        <w:rPr>
          <w:lang w:val="es-MX"/>
        </w:rPr>
        <w:t>Universidad Nacional Tecnológica de Lima Sur, Sector 3 Grupo 1A 03, Av. Central, Villa EL Salvador, Lima 15834, Perú</w:t>
      </w:r>
    </w:p>
    <w:p w14:paraId="5D02F39A" w14:textId="77777777" w:rsidR="005A5F22" w:rsidRPr="00C71561" w:rsidRDefault="005A5F22" w:rsidP="00E63B22">
      <w:pPr>
        <w:pStyle w:val="CETAddress"/>
        <w:shd w:val="clear" w:color="auto" w:fill="FFFFFF" w:themeFill="background1"/>
        <w:rPr>
          <w:lang w:val="es-MX"/>
        </w:rPr>
      </w:pPr>
      <w:r w:rsidRPr="00C71561">
        <w:rPr>
          <w:vertAlign w:val="superscript"/>
          <w:lang w:val="es-MX"/>
        </w:rPr>
        <w:t>b</w:t>
      </w:r>
      <w:r w:rsidRPr="00C71561">
        <w:rPr>
          <w:lang w:val="es-MX"/>
        </w:rPr>
        <w:t>Universidad Nacional Mayor de San Marcos, Ciudad Universitaria, Lima 15081, Perú</w:t>
      </w:r>
    </w:p>
    <w:p w14:paraId="554836A8" w14:textId="77777777" w:rsidR="005A5F22" w:rsidRPr="00C71561" w:rsidRDefault="005A5F22" w:rsidP="00E63B22">
      <w:pPr>
        <w:pStyle w:val="CETAddress"/>
        <w:shd w:val="clear" w:color="auto" w:fill="FFFFFF" w:themeFill="background1"/>
        <w:rPr>
          <w:lang w:val="es-MX"/>
        </w:rPr>
      </w:pPr>
      <w:r w:rsidRPr="00C71561">
        <w:rPr>
          <w:vertAlign w:val="superscript"/>
          <w:lang w:val="es-MX"/>
        </w:rPr>
        <w:t>c</w:t>
      </w:r>
      <w:r w:rsidRPr="00C71561">
        <w:rPr>
          <w:lang w:val="es-MX"/>
        </w:rPr>
        <w:t xml:space="preserve">Universidad Nacional de Educación Enrique Guzmán y Valle, Lurigancho-Chosica 15472, Perú </w:t>
      </w:r>
      <w:r w:rsidRPr="00C71561">
        <w:rPr>
          <w:lang w:val="es-MX"/>
        </w:rPr>
        <w:cr/>
      </w:r>
      <w:r w:rsidRPr="00C71561">
        <w:rPr>
          <w:vertAlign w:val="superscript"/>
          <w:lang w:val="es-MX"/>
        </w:rPr>
        <w:t xml:space="preserve"> d</w:t>
      </w:r>
      <w:r w:rsidRPr="00C71561">
        <w:rPr>
          <w:lang w:val="es-MX"/>
        </w:rPr>
        <w:t>Universidad Pontifica de Cataluña, España</w:t>
      </w:r>
      <w:r w:rsidRPr="00C71561">
        <w:rPr>
          <w:lang w:val="es-MX"/>
        </w:rPr>
        <w:cr/>
      </w:r>
      <w:r w:rsidRPr="00C71561">
        <w:rPr>
          <w:vertAlign w:val="superscript"/>
          <w:lang w:val="es-MX"/>
        </w:rPr>
        <w:t xml:space="preserve"> e</w:t>
      </w:r>
      <w:r w:rsidRPr="00C71561">
        <w:rPr>
          <w:lang w:val="es-MX"/>
        </w:rPr>
        <w:t>Universidad César Vallejo, Av. Alfredo Mendiola 6232, Los Olivos 15314, Perú</w:t>
      </w:r>
    </w:p>
    <w:p w14:paraId="2E55BAF5" w14:textId="6D70DA9D" w:rsidR="005A5F22" w:rsidRPr="00C71561" w:rsidRDefault="005A5F22" w:rsidP="00E63B22">
      <w:pPr>
        <w:pStyle w:val="CETAddress"/>
        <w:shd w:val="clear" w:color="auto" w:fill="FFFFFF" w:themeFill="background1"/>
        <w:rPr>
          <w:lang w:val="en-US"/>
        </w:rPr>
      </w:pPr>
      <w:r w:rsidRPr="00C71561">
        <w:rPr>
          <w:vertAlign w:val="superscript"/>
          <w:lang w:val="es-MX"/>
        </w:rPr>
        <w:t xml:space="preserve"> </w:t>
      </w:r>
      <w:r w:rsidRPr="00C71561">
        <w:rPr>
          <w:lang w:val="en-US"/>
        </w:rPr>
        <w:t>*zvalenciar@unmsm.edu.pe</w:t>
      </w:r>
    </w:p>
    <w:p w14:paraId="0D784461" w14:textId="3DBE8A13" w:rsidR="000C13B6" w:rsidRPr="00C71561" w:rsidRDefault="000C13B6" w:rsidP="00E63B22">
      <w:pPr>
        <w:pStyle w:val="CETAddress"/>
        <w:shd w:val="clear" w:color="auto" w:fill="FFFFFF" w:themeFill="background1"/>
        <w:rPr>
          <w:lang w:val="en-US"/>
        </w:rPr>
      </w:pPr>
    </w:p>
    <w:p w14:paraId="53E15B61" w14:textId="77777777" w:rsidR="00413B14" w:rsidRPr="00C71561" w:rsidRDefault="00413B14" w:rsidP="00E63B22">
      <w:pPr>
        <w:pStyle w:val="CETAddress"/>
        <w:shd w:val="clear" w:color="auto" w:fill="FFFFFF" w:themeFill="background1"/>
        <w:jc w:val="both"/>
        <w:rPr>
          <w:sz w:val="18"/>
          <w:szCs w:val="18"/>
          <w:lang w:val="en-US"/>
        </w:rPr>
      </w:pPr>
    </w:p>
    <w:p w14:paraId="052FAC00" w14:textId="0C289BCA" w:rsidR="008D370C" w:rsidRPr="00C71561" w:rsidRDefault="003E2F84" w:rsidP="00E63B22">
      <w:pPr>
        <w:pStyle w:val="CETAddress"/>
        <w:shd w:val="clear" w:color="auto" w:fill="FFFFFF" w:themeFill="background1"/>
        <w:jc w:val="both"/>
        <w:rPr>
          <w:sz w:val="18"/>
          <w:szCs w:val="18"/>
          <w:lang w:val="en-US"/>
        </w:rPr>
      </w:pPr>
      <w:r w:rsidRPr="00C71561">
        <w:rPr>
          <w:sz w:val="18"/>
          <w:szCs w:val="18"/>
          <w:lang w:val="en-US"/>
        </w:rPr>
        <w:t xml:space="preserve">Solid waste management is a problem in large cities around the world. Factors such as population growth, urban population concentration, poor industrial and commercial development, changes in consumption patterns, and improvements in living standards have led to an increase in solid waste generation in cities. The various stages of solid waste management are: generation, storage, collection, transportation, handling, treatment and final disposal. As far as Latin America and the Caribbean are concerned, waste management generally uses "collection and final disposal" schemes that neglect the utilization, recycling and treatment of waste, as well as hygienic and environmentally sound final disposal </w:t>
      </w:r>
      <w:r w:rsidR="00575952" w:rsidRPr="00C71561">
        <w:rPr>
          <w:sz w:val="18"/>
          <w:szCs w:val="18"/>
          <w:lang w:val="es-MX"/>
        </w:rPr>
        <w:fldChar w:fldCharType="begin" w:fldLock="1"/>
      </w:r>
      <w:r w:rsidR="00575952" w:rsidRPr="00C71561">
        <w:rPr>
          <w:sz w:val="18"/>
          <w:szCs w:val="18"/>
          <w:lang w:val="en-US"/>
        </w:rPr>
        <w:instrText>ADDIN CSL_CITATION {"citationItems":[{"id":"ITEM-1","itemData":{"author":[{"dropping-particle":"","family":"Sáenz","given":"Alejandrina","non-dropping-particle":"","parse-names":false,"suffix":""},{"dropping-particle":"","family":"Urdaneta","given":"Joheni","non-dropping-particle":"","parse-names":false,"suffix":""}],"container-title":"Omnia","id":"ITEM-1","issued":{"date-parts":[["2020"]]},"page":"121-135","title":"Manejo de residuos sólidos en América Latina y el Caribe","type":"article-journal","volume":"3"},"uris":["http://www.mendeley.com/documents/?uuid=1e9d9e91-6a67-4206-8a45-b1abf861ee75"]}],"mendeley":{"formattedCitation":"(Sáenz &amp; Urdaneta, 2020)","plainTextFormattedCitation":"(Sáenz &amp; Urdaneta, 2020)","previouslyFormattedCitation":"(Sáenz &amp; Urdaneta, 2020)"},"properties":{"noteIndex":0},"schema":"https://github.com/citation-style-language/schema/raw/master/csl-citation.json"}</w:instrText>
      </w:r>
      <w:r w:rsidR="00575952" w:rsidRPr="00C71561">
        <w:rPr>
          <w:sz w:val="18"/>
          <w:szCs w:val="18"/>
          <w:lang w:val="es-MX"/>
        </w:rPr>
        <w:fldChar w:fldCharType="separate"/>
      </w:r>
      <w:r w:rsidR="00575952" w:rsidRPr="00C71561">
        <w:rPr>
          <w:sz w:val="18"/>
          <w:szCs w:val="18"/>
          <w:lang w:val="en-US"/>
        </w:rPr>
        <w:t>(Sáenz &amp; Urdaneta, 2020)</w:t>
      </w:r>
      <w:r w:rsidR="00575952" w:rsidRPr="00C71561">
        <w:rPr>
          <w:sz w:val="18"/>
          <w:szCs w:val="18"/>
          <w:lang w:val="es-MX"/>
        </w:rPr>
        <w:fldChar w:fldCharType="end"/>
      </w:r>
      <w:r w:rsidR="00575952" w:rsidRPr="00C71561">
        <w:rPr>
          <w:sz w:val="18"/>
          <w:szCs w:val="18"/>
          <w:lang w:val="en-US"/>
        </w:rPr>
        <w:t xml:space="preserve">. </w:t>
      </w:r>
      <w:r w:rsidR="00B11C6A" w:rsidRPr="00C71561">
        <w:rPr>
          <w:sz w:val="18"/>
          <w:szCs w:val="18"/>
          <w:lang w:val="en-US"/>
        </w:rPr>
        <w:t xml:space="preserve">Mining and hydrocarbon activities are very important to the growth of the country's economy. Peru is the world's third largest copper producer and sixth largest gold producer. The national economy is dominated by mining, hydrocarbon and manufacturing activities; the territory given to international companies has tripled for the development of the country. More than 70% of the Peruvian Amazon is covered by oil and gas deposits available for exploration and extraction. These areas of the Amazon overlap with indigenous communities, nature reserves and areas reserved for remote peoples. A third of the electricity consumed by Peru comes from the natural gas extracted from Camisea </w:t>
      </w:r>
      <w:r w:rsidR="00575952" w:rsidRPr="00C71561">
        <w:rPr>
          <w:sz w:val="18"/>
          <w:szCs w:val="18"/>
          <w:lang w:val="es-MX"/>
        </w:rPr>
        <w:fldChar w:fldCharType="begin" w:fldLock="1"/>
      </w:r>
      <w:r w:rsidR="00575952" w:rsidRPr="00C71561">
        <w:rPr>
          <w:sz w:val="18"/>
          <w:szCs w:val="18"/>
          <w:lang w:val="en-US"/>
        </w:rPr>
        <w:instrText>ADDIN CSL_CITATION {"citationItems":[{"id":"ITEM-1","itemData":{"author":[{"dropping-particle":"","family":"Castillo","given":"Cynthia","non-dropping-particle":"del","parse-names":false,"suffix":""}],"container-title":"Debates en Sociología","id":"ITEM-1","issued":{"date-parts":[["2015"]]},"page":"53-82","title":"Camisea, compensaciones y diversificación de actividades de subsistencia en la comunidad nativa de Cashiriari (Cusco-Perú)","type":"article-journal","volume":"41"},"uris":["http://www.mendeley.com/documents/?uuid=ba2332d0-3ce8-40ae-aaf0-7c4473dfb131"]}],"mendeley":{"formattedCitation":"(del Castillo, 2015)","plainTextFormattedCitation":"(del Castillo, 2015)","previouslyFormattedCitation":"(del Castillo, 2015)"},"properties":{"noteIndex":0},"schema":"https://github.com/citation-style-language/schema/raw/master/csl-citation.json"}</w:instrText>
      </w:r>
      <w:r w:rsidR="00575952" w:rsidRPr="00C71561">
        <w:rPr>
          <w:sz w:val="18"/>
          <w:szCs w:val="18"/>
          <w:lang w:val="es-MX"/>
        </w:rPr>
        <w:fldChar w:fldCharType="separate"/>
      </w:r>
      <w:r w:rsidR="00575952" w:rsidRPr="00C71561">
        <w:rPr>
          <w:sz w:val="18"/>
          <w:szCs w:val="18"/>
          <w:lang w:val="en-US"/>
        </w:rPr>
        <w:t>(del Castillo, 2015)</w:t>
      </w:r>
      <w:r w:rsidR="00575952" w:rsidRPr="00C71561">
        <w:rPr>
          <w:sz w:val="18"/>
          <w:szCs w:val="18"/>
          <w:lang w:val="es-MX"/>
        </w:rPr>
        <w:fldChar w:fldCharType="end"/>
      </w:r>
      <w:r w:rsidR="00575952" w:rsidRPr="00C71561">
        <w:rPr>
          <w:sz w:val="18"/>
          <w:szCs w:val="18"/>
          <w:lang w:val="en-US"/>
        </w:rPr>
        <w:t xml:space="preserve">. </w:t>
      </w:r>
      <w:r w:rsidR="003524F2" w:rsidRPr="00C71561">
        <w:rPr>
          <w:sz w:val="18"/>
          <w:szCs w:val="18"/>
          <w:lang w:val="en-US"/>
        </w:rPr>
        <w:t xml:space="preserve">Waste constitutes an important risk factor for the personnel involved in its handling, and at the same time contributes to the deterioration of the environment. </w:t>
      </w:r>
      <w:r w:rsidR="004478F2" w:rsidRPr="00C71561">
        <w:rPr>
          <w:sz w:val="18"/>
          <w:szCs w:val="18"/>
          <w:lang w:val="en-US"/>
        </w:rPr>
        <w:t>The majority of the workers who work in camp lot 57 come from native communities or areas near this place, they do not have a culture and environmental awareness, due to their little knowledge, so they do not believe in caring for the environment. Most people think that the benefits that nature offers us will never end, which is why at the time of receiving the training talks, not everyone paid attention to the supervisors, needing constant feedback on solid waste management, in order to be able to do so. Comply with the established waste management and final disposal procedure, requiring constant supervision, to avoid poor segregation</w:t>
      </w:r>
      <w:r w:rsidR="003524F2" w:rsidRPr="00C71561">
        <w:rPr>
          <w:sz w:val="18"/>
          <w:szCs w:val="18"/>
          <w:lang w:val="en-US"/>
        </w:rPr>
        <w:t>. Due to the lack of environmental culture of the workers, they combine the waste and this is where the poor segregation occurred, le</w:t>
      </w:r>
      <w:r w:rsidR="004450F1" w:rsidRPr="00C71561">
        <w:rPr>
          <w:sz w:val="18"/>
          <w:szCs w:val="18"/>
          <w:lang w:val="en-US"/>
        </w:rPr>
        <w:t xml:space="preserve">aving the marketable waste </w:t>
      </w:r>
      <w:r w:rsidR="003524F2" w:rsidRPr="00C71561">
        <w:rPr>
          <w:sz w:val="18"/>
          <w:szCs w:val="18"/>
          <w:lang w:val="en-US"/>
        </w:rPr>
        <w:t>characteristics that the buyer does not require for reuse, which is why marketing is affected and it is transported with another destination that would be a landfill for final disposal.</w:t>
      </w:r>
      <w:r w:rsidR="00575952" w:rsidRPr="00C71561">
        <w:rPr>
          <w:sz w:val="18"/>
          <w:szCs w:val="18"/>
          <w:lang w:val="en-US"/>
        </w:rPr>
        <w:t xml:space="preserve"> </w:t>
      </w:r>
      <w:r w:rsidR="003524F2" w:rsidRPr="00C71561">
        <w:rPr>
          <w:sz w:val="18"/>
          <w:szCs w:val="18"/>
          <w:lang w:val="en-US"/>
        </w:rPr>
        <w:t>The purpose of this study was to carry out an analysis of the existing legislation in the country to guarantee the protection and safety of workers during waste management, and it could be seen that it is still insufficient and that it expresses the obli</w:t>
      </w:r>
      <w:r w:rsidR="004450F1" w:rsidRPr="00C71561">
        <w:rPr>
          <w:sz w:val="18"/>
          <w:szCs w:val="18"/>
          <w:lang w:val="en-US"/>
        </w:rPr>
        <w:t>gations in a very general way. F</w:t>
      </w:r>
      <w:r w:rsidR="003524F2" w:rsidRPr="00C71561">
        <w:rPr>
          <w:sz w:val="18"/>
          <w:szCs w:val="18"/>
          <w:lang w:val="en-US"/>
        </w:rPr>
        <w:t>or the protection and safety of workers</w:t>
      </w:r>
      <w:r w:rsidR="009D7769" w:rsidRPr="00C71561">
        <w:rPr>
          <w:sz w:val="18"/>
          <w:szCs w:val="18"/>
          <w:lang w:val="en-US"/>
        </w:rPr>
        <w:t>, as well as analys</w:t>
      </w:r>
      <w:r w:rsidR="003524F2" w:rsidRPr="00C71561">
        <w:rPr>
          <w:sz w:val="18"/>
          <w:szCs w:val="18"/>
          <w:lang w:val="en-US"/>
        </w:rPr>
        <w:t>ing the economic losses due to the poor segregation of waste generated in camp lot 57 by compiling the daily forms of waste temporarily stored in the camp.</w:t>
      </w:r>
      <w:r w:rsidR="008D370C" w:rsidRPr="00C71561">
        <w:rPr>
          <w:sz w:val="18"/>
          <w:szCs w:val="18"/>
          <w:lang w:val="en-US"/>
        </w:rPr>
        <w:t xml:space="preserve"> The general objective of the article is to evaluate occupational safety in the management of PET plastic </w:t>
      </w:r>
      <w:r w:rsidR="008D370C" w:rsidRPr="00C71561">
        <w:rPr>
          <w:sz w:val="18"/>
          <w:szCs w:val="18"/>
          <w:lang w:val="en-US"/>
        </w:rPr>
        <w:lastRenderedPageBreak/>
        <w:t>waste generated by the Lot 57 camp in Camisea, identifying current practices and proposing improvements, as well as analysing the economic losses derived from the poor segregation of this waste, in order to optimize waste management and reduce associated costs.</w:t>
      </w:r>
    </w:p>
    <w:p w14:paraId="1B48E09D" w14:textId="77777777" w:rsidR="00575952" w:rsidRPr="00C71561" w:rsidRDefault="00575952" w:rsidP="00E63B22">
      <w:pPr>
        <w:pStyle w:val="CETHeading1"/>
        <w:shd w:val="clear" w:color="auto" w:fill="FFFFFF" w:themeFill="background1"/>
        <w:rPr>
          <w:lang w:val="en-GB"/>
        </w:rPr>
      </w:pPr>
      <w:r w:rsidRPr="00C71561">
        <w:rPr>
          <w:lang w:val="en-GB"/>
        </w:rPr>
        <w:t>Introduction</w:t>
      </w:r>
    </w:p>
    <w:p w14:paraId="39A476B1" w14:textId="6AFA98D4" w:rsidR="00F469B6" w:rsidRPr="00C71561" w:rsidRDefault="002E4DFB" w:rsidP="00E63B22">
      <w:pPr>
        <w:pStyle w:val="CETListbullets"/>
        <w:shd w:val="clear" w:color="auto" w:fill="FFFFFF" w:themeFill="background1"/>
        <w:ind w:left="0" w:firstLine="0"/>
        <w:rPr>
          <w:lang w:val="en-US"/>
        </w:rPr>
      </w:pPr>
      <w:r w:rsidRPr="00C71561">
        <w:rPr>
          <w:lang w:val="en-US"/>
        </w:rPr>
        <w:t xml:space="preserve">As the population grows, the amount of plastic waste generated is increasing at an alarming rate. More than 1.3 billion tons of plastic are produced every year to meet the needs of today's world </w:t>
      </w:r>
      <w:r w:rsidR="00575952" w:rsidRPr="00C71561">
        <w:rPr>
          <w:lang w:val="es-MX"/>
        </w:rPr>
        <w:fldChar w:fldCharType="begin" w:fldLock="1"/>
      </w:r>
      <w:r w:rsidR="00575952" w:rsidRPr="00C71561">
        <w:rPr>
          <w:lang w:val="en-US"/>
        </w:rPr>
        <w:instrText>ADDIN CSL_CITATION {"citationItems":[{"id":"ITEM-1","itemData":{"DOI":"10.35940/ijrte.A2662.059120","author":[{"dropping-particle":"","family":"Jatan","given":"Ram","non-dropping-particle":"","parse-names":false,"suffix":""},{"dropping-particle":"","family":"Solank","given":"Shivam","non-dropping-particle":"","parse-names":false,"suffix":""},{"dropping-particle":"","family":"Saharna","given":"Sartha","non-dropping-particle":"","parse-names":false,"suffix":""},{"dropping-particle":"","family":"Bhardwaj","given":"Jonty","non-dropping-particle":"","parse-names":false,"suffix":""},{"dropping-particle":"","family":"Ramvijay","given":"","non-dropping-particle":"","parse-names":false,"suffix":""}],"container-title":"International Journal of Recent Technology and Engineering","id":"ITEM-1","issue":"1","issued":{"date-parts":[["2020"]]},"page":"2600-2604","title":"Pyrolysis of Waste Plastic into Fuel","type":"article-journal","volume":"9"},"uris":["http://www.mendeley.com/documents/?uuid=79483991-f0f0-4f5c-b584-f01c0dde507e"]}],"mendeley":{"formattedCitation":"(Jatan et al., 2020)","plainTextFormattedCitation":"(Jatan et al., 2020)","previouslyFormattedCitation":"(Jatan et al., 2020)"},"properties":{"noteIndex":0},"schema":"https://github.com/citation-style-language/schema/raw/master/csl-citation.json"}</w:instrText>
      </w:r>
      <w:r w:rsidR="00575952" w:rsidRPr="00C71561">
        <w:rPr>
          <w:lang w:val="es-MX"/>
        </w:rPr>
        <w:fldChar w:fldCharType="separate"/>
      </w:r>
      <w:r w:rsidR="00575952" w:rsidRPr="00C71561">
        <w:rPr>
          <w:noProof/>
          <w:lang w:val="en-US"/>
        </w:rPr>
        <w:t>(Jatan et al., 2020)</w:t>
      </w:r>
      <w:r w:rsidR="00575952" w:rsidRPr="00C71561">
        <w:rPr>
          <w:lang w:val="es-MX"/>
        </w:rPr>
        <w:fldChar w:fldCharType="end"/>
      </w:r>
      <w:r w:rsidR="007A697E" w:rsidRPr="00C71561">
        <w:rPr>
          <w:lang w:val="en-US"/>
        </w:rPr>
        <w:t xml:space="preserve">. It is estimated that global waste will increase by 70% by 2050. Solid waste management remains a challenge, especially in underdeveloped areas </w:t>
      </w:r>
      <w:r w:rsidR="00393DF0" w:rsidRPr="00C71561">
        <w:rPr>
          <w:lang w:val="es-MX"/>
        </w:rPr>
        <w:fldChar w:fldCharType="begin" w:fldLock="1"/>
      </w:r>
      <w:r w:rsidR="00393DF0" w:rsidRPr="00C71561">
        <w:rPr>
          <w:lang w:val="en-US"/>
        </w:rPr>
        <w:instrText>ADDIN CSL_CITATION {"citationItems":[{"id":"ITEM-1","itemData":{"DOI":"10.3303/CET23106104","ISBN":"9791281206052","ISSN":"22839216","abstract":"This study aimed to analyse biodegradable solid waste (BSW) flows and identify the stakeholders of BSW recycling in cities of central Vietnam. Sampling survey and social survey were conducted to collect data. Material flow analysis was utilised to analyse the flow of the BSW. Results denoted that the generated BSW flowed in five directions namely home husbandry, home composting, formal collecting without separation, segregated collection by informal sectors and leakage to the environment. Proportions of such waste streams are not the same across city types, waste management systems, and consumer markets. The daily biodegradable waste generation amounts were estimated at 612.12 tons in Danang city (DNC), 318.65 tons in Hue city (HUC), and 65.28 tons in Hoi An city (HAC). Most of biodegradable waste was managed by the formal waste collection system with 89 %, 73 %, and 88 % for DNC, HUC, and HAC. Interestingly, HAC was the only area operating composting facility with 49 % of biodegradable waste being recycled. The study also revealed an unsung informal sector of the BSW, operating in an unforeseen routine compared with itinerant recyclable-waste buyers.","author":[{"dropping-particle":"","family":"Dinh","given":"Cuong","non-dropping-particle":"Le","parse-names":false,"suffix":""},{"dropping-particle":"","family":"Fujiwara","given":"Takeshi","non-dropping-particle":"","parse-names":false,"suffix":""},{"dropping-particle":"","family":"Phu","given":"Song Toan Pham","non-dropping-particle":"","parse-names":false,"suffix":""}],"container-title":"Chemical Engineering Transactions","id":"ITEM-1","issue":"May","issued":{"date-parts":[["2023"]]},"page":"619-624","title":"An Analysis of Biodegradable Solid Waste Flow in Vietnam","type":"article-journal","volume":"106"},"uris":["http://www.mendeley.com/documents/?uuid=eafcdf5a-21f9-4c13-9b11-826d36a8c046"]}],"mendeley":{"formattedCitation":"(Le Dinh et al., 2023)","plainTextFormattedCitation":"(Le Dinh et al., 2023)","previouslyFormattedCitation":"(Le Dinh et al., 2023)"},"properties":{"noteIndex":0},"schema":"https://github.com/citation-style-language/schema/raw/master/csl-citation.json"}</w:instrText>
      </w:r>
      <w:r w:rsidR="00393DF0" w:rsidRPr="00C71561">
        <w:rPr>
          <w:lang w:val="es-MX"/>
        </w:rPr>
        <w:fldChar w:fldCharType="separate"/>
      </w:r>
      <w:r w:rsidR="00393DF0" w:rsidRPr="00C71561">
        <w:rPr>
          <w:noProof/>
          <w:lang w:val="en-US"/>
        </w:rPr>
        <w:t>(Le Dinh et al., 2023)</w:t>
      </w:r>
      <w:r w:rsidR="00393DF0" w:rsidRPr="00C71561">
        <w:rPr>
          <w:lang w:val="es-MX"/>
        </w:rPr>
        <w:fldChar w:fldCharType="end"/>
      </w:r>
      <w:r w:rsidR="00393DF0" w:rsidRPr="00C71561">
        <w:rPr>
          <w:lang w:val="en-US"/>
        </w:rPr>
        <w:t>.</w:t>
      </w:r>
      <w:r w:rsidR="007A697E" w:rsidRPr="00C71561">
        <w:rPr>
          <w:lang w:val="en-US"/>
        </w:rPr>
        <w:t xml:space="preserve"> </w:t>
      </w:r>
      <w:r w:rsidR="00265E7C" w:rsidRPr="00C71561">
        <w:rPr>
          <w:lang w:val="en-US"/>
        </w:rPr>
        <w:t>Plastic is a cheap, light, versatile and durable material that fulfils a variety of functions in various industries</w:t>
      </w:r>
      <w:r w:rsidR="007A697E" w:rsidRPr="00C71561">
        <w:rPr>
          <w:lang w:val="en-US"/>
        </w:rPr>
        <w:t xml:space="preserve">. However, the viability of plastics has made them a major source of waste, </w:t>
      </w:r>
      <w:r w:rsidR="00265E7C" w:rsidRPr="00C71561">
        <w:rPr>
          <w:lang w:val="en-US"/>
        </w:rPr>
        <w:t>improper waste disposal further increases the negative impact on the environment</w:t>
      </w:r>
      <w:r w:rsidR="00393DF0" w:rsidRPr="00C71561">
        <w:rPr>
          <w:lang w:val="en-US"/>
        </w:rPr>
        <w:t xml:space="preserve"> </w:t>
      </w:r>
      <w:r w:rsidR="00393DF0" w:rsidRPr="00C71561">
        <w:rPr>
          <w:lang w:val="es-MX"/>
        </w:rPr>
        <w:fldChar w:fldCharType="begin" w:fldLock="1"/>
      </w:r>
      <w:r w:rsidR="00393DF0" w:rsidRPr="00C71561">
        <w:rPr>
          <w:lang w:val="en-US"/>
        </w:rPr>
        <w:instrText>ADDIN CSL_CITATION {"citationItems":[{"id":"ITEM-1","itemData":{"DOI":"10.3303/CET23103001","ISBN":"9791281206021","ISSN":"22839216","abstract":"Plastics play an integral part in industrial development. However, plastic wastes have likewise become one of the largest sources of pollution. Inadequate treatment and improper disposal of plastics continue to persist, causing health hazards and endangering marine life. This study adopts a System Dynamics approach to understand the propagation of plastic wastes from usage to eventual disposal. A model is developed to simulate the efficacy of different strategies and plastic wastes management policies currently adopted by government and private sectors. It quantifies the importance of proactive solutions versus reactive measures to mitigate plastic pollution. Scenario analysis in the form of parametric changes is used to understand the critical factors that significantly controls the behavior of the stakeholders in the system. The model's integrative view of the plastic waste problem improves its capability to develop policies that can effectively reverse the increasing trend of plastic wastes.","author":[{"dropping-particle":"","family":"Tee","given":"Madeline","non-dropping-particle":"","parse-names":false,"suffix":""},{"dropping-particle":"","family":"Sy","given":"Charlle","non-dropping-particle":"","parse-names":false,"suffix":""}],"container-title":"Chemical Engineering Transactions","id":"ITEM-1","issue":"February","issued":{"date-parts":[["2023"]]},"page":"1-6","title":"A Simulation Model to Analyze the Efficacy of Plastic Waste Management Policies","type":"article-journal","volume":"103"},"uris":["http://www.mendeley.com/documents/?uuid=50c52e0b-d1f9-4258-b1e4-12e8e7edb030"]}],"mendeley":{"formattedCitation":"(Tee &amp; Sy, 2023)","plainTextFormattedCitation":"(Tee &amp; Sy, 2023)","previouslyFormattedCitation":"(Tee &amp; Sy, 2023)"},"properties":{"noteIndex":0},"schema":"https://github.com/citation-style-language/schema/raw/master/csl-citation.json"}</w:instrText>
      </w:r>
      <w:r w:rsidR="00393DF0" w:rsidRPr="00C71561">
        <w:rPr>
          <w:lang w:val="es-MX"/>
        </w:rPr>
        <w:fldChar w:fldCharType="separate"/>
      </w:r>
      <w:r w:rsidR="00393DF0" w:rsidRPr="00C71561">
        <w:rPr>
          <w:noProof/>
          <w:lang w:val="en-US"/>
        </w:rPr>
        <w:t>(Tee &amp; Sy, 2023)</w:t>
      </w:r>
      <w:r w:rsidR="00393DF0" w:rsidRPr="00C71561">
        <w:rPr>
          <w:lang w:val="es-MX"/>
        </w:rPr>
        <w:fldChar w:fldCharType="end"/>
      </w:r>
      <w:r w:rsidR="00393DF0" w:rsidRPr="00C71561">
        <w:rPr>
          <w:lang w:val="en-US"/>
        </w:rPr>
        <w:t>.</w:t>
      </w:r>
      <w:r w:rsidR="00D127E5" w:rsidRPr="00C71561">
        <w:rPr>
          <w:lang w:val="en-US"/>
        </w:rPr>
        <w:t xml:space="preserve"> </w:t>
      </w:r>
      <w:r w:rsidR="00080F50" w:rsidRPr="00C71561">
        <w:rPr>
          <w:lang w:val="en-US"/>
        </w:rPr>
        <w:t xml:space="preserve">The use of PET began to develop in the 2010s, in addition to being more economical than HDPE, the use of PET reduces the weight of the container by 25%, it also reduces water consumption by 20% and consumption of energy from the manufacturing process by 13% </w:t>
      </w:r>
      <w:r w:rsidR="00575952" w:rsidRPr="00C71561">
        <w:rPr>
          <w:lang w:val="es-MX"/>
        </w:rPr>
        <w:fldChar w:fldCharType="begin" w:fldLock="1"/>
      </w:r>
      <w:r w:rsidR="00575952" w:rsidRPr="00C71561">
        <w:rPr>
          <w:lang w:val="en-US"/>
        </w:rPr>
        <w:instrText>ADDIN CSL_CITATION {"citationItems":[{"id":"ITEM-1","itemData":{"DOI":"10.3390/polym14214639","author":[{"dropping-particle":"","family":"León","given":"Noel","non-dropping-particle":"","parse-names":false,"suffix":""},{"dropping-particle":"","family":"Santana","given":"Orlando","non-dropping-particle":"","parse-names":false,"suffix":""},{"dropping-particle":"","family":"Klotz","given":"Magali","non-dropping-particle":"","parse-names":false,"suffix":""},{"dropping-particle":"","family":"Ganesan","given":"Kishore","non-dropping-particle":"","parse-names":false,"suffix":""},{"dropping-particle":"","family":"Carrasco","given":"Félix","non-dropping-particle":"","parse-names":false,"suffix":""},{"dropping-particle":"","family":"Dagréou","given":"Sylvie","non-dropping-particle":"","parse-names":false,"suffix":""},{"dropping-particle":"","family":"Maspoch","given":"Maria","non-dropping-particle":"","parse-names":false,"suffix":""},{"dropping-particle":"","family":"Valderrama","given":"César","non-dropping-particle":"","parse-names":false,"suffix":""}],"container-title":"polymers","id":"ITEM-1","issue":"21","issued":{"date-parts":[["2022"]]},"page":"1-16","title":"Implications of the Circular Economy in the Context of Plastic Recycling: The Case Study of Opaque PET","type":"article-journal","volume":"14"},"uris":["http://www.mendeley.com/documents/?uuid=9e6baa5f-b09d-4c2c-b1bd-9ebd61598160"]}],"mendeley":{"formattedCitation":"(León et al., 2022)","plainTextFormattedCitation":"(León et al., 2022)","previouslyFormattedCitation":"(León et al., 2022)"},"properties":{"noteIndex":0},"schema":"https://github.com/citation-style-language/schema/raw/master/csl-citation.json"}</w:instrText>
      </w:r>
      <w:r w:rsidR="00575952" w:rsidRPr="00C71561">
        <w:rPr>
          <w:lang w:val="es-MX"/>
        </w:rPr>
        <w:fldChar w:fldCharType="separate"/>
      </w:r>
      <w:r w:rsidR="00575952" w:rsidRPr="00C71561">
        <w:rPr>
          <w:noProof/>
          <w:lang w:val="en-US"/>
        </w:rPr>
        <w:t>(León et al., 2022)</w:t>
      </w:r>
      <w:r w:rsidR="00575952" w:rsidRPr="00C71561">
        <w:rPr>
          <w:lang w:val="es-MX"/>
        </w:rPr>
        <w:fldChar w:fldCharType="end"/>
      </w:r>
      <w:r w:rsidR="00575952" w:rsidRPr="00C71561">
        <w:rPr>
          <w:lang w:val="en-US"/>
        </w:rPr>
        <w:t xml:space="preserve">. </w:t>
      </w:r>
      <w:r w:rsidR="00080F50" w:rsidRPr="00C71561">
        <w:rPr>
          <w:lang w:val="en-US"/>
        </w:rPr>
        <w:t xml:space="preserve">In the world, in almost all the activities we carry out daily, we generate waste that may or may not be reusable. It is almost inevitable to generate waste, therefore, it is very important to take responsibility for this pollution of the environment, which can cause damage to our health. </w:t>
      </w:r>
      <w:r w:rsidR="005900CD" w:rsidRPr="00C71561">
        <w:rPr>
          <w:lang w:val="en-US"/>
        </w:rPr>
        <w:t>Create regulations to protect the safety and health of workers. One of the most important regulations is the Working Environment Act</w:t>
      </w:r>
      <w:r w:rsidR="00080F50" w:rsidRPr="00C71561">
        <w:rPr>
          <w:lang w:val="en-US"/>
        </w:rPr>
        <w:t>.</w:t>
      </w:r>
      <w:r w:rsidR="00D5204B">
        <w:rPr>
          <w:lang w:val="en-US"/>
        </w:rPr>
        <w:t xml:space="preserve"> </w:t>
      </w:r>
      <w:r w:rsidR="005900CD" w:rsidRPr="00C71561">
        <w:rPr>
          <w:lang w:val="en-US"/>
        </w:rPr>
        <w:t>Although the management of waste for recycling purposes can have a negative impact on the environment, this impact is very small compared to the impact associated with unregulated solid waste generation and management.</w:t>
      </w:r>
      <w:r w:rsidR="00080F50" w:rsidRPr="00C71561">
        <w:rPr>
          <w:lang w:val="en-US"/>
        </w:rPr>
        <w:t xml:space="preserve"> </w:t>
      </w:r>
      <w:r w:rsidR="005900CD" w:rsidRPr="00C71561">
        <w:rPr>
          <w:lang w:val="en-US"/>
        </w:rPr>
        <w:t>Recycling of materials consumes relatively little energy and helps save natural resources. Research has successfully shown that effectively implementing recycling programs in any region reduces the amount of waste generated, ultimately reducing disposal and processing costs.</w:t>
      </w:r>
      <w:r w:rsidR="00173599" w:rsidRPr="00C71561">
        <w:rPr>
          <w:lang w:val="en-US"/>
        </w:rPr>
        <w:t xml:space="preserve"> </w:t>
      </w:r>
      <w:r w:rsidR="00A241A0" w:rsidRPr="00C71561">
        <w:rPr>
          <w:lang w:val="en-US"/>
        </w:rPr>
        <w:t>In developing and developed countries, plastic recycling can provide various economic benefits</w:t>
      </w:r>
      <w:r w:rsidR="00080F50" w:rsidRPr="00C71561">
        <w:rPr>
          <w:lang w:val="en-US"/>
        </w:rPr>
        <w:t xml:space="preserve"> </w:t>
      </w:r>
      <w:r w:rsidR="005A7342" w:rsidRPr="00C71561">
        <w:rPr>
          <w:lang w:val="es-MX"/>
        </w:rPr>
        <w:fldChar w:fldCharType="begin" w:fldLock="1"/>
      </w:r>
      <w:r w:rsidR="0036751E" w:rsidRPr="00C71561">
        <w:rPr>
          <w:lang w:val="en-US"/>
        </w:rPr>
        <w:instrText>ADDIN CSL_CITATION {"citationItems":[{"id":"ITEM-1","itemData":{"DOI":"10.1016/j.chemosphere.2023.139338","ISSN":"18791298","PMID":"37399996","abstract":"Recycling plastics is a good alternative to manage the plastic waste generated in Pakistan. Unfortunately, the country lacks efficient system to manage or recycle the plastic waste it generates. Lack of government support, absence of standard operating procedures, negligence towards health and safety of workers, increasing costs of raw materials and poor quality of the recyclates are some of the issues currently faced by plastic recyclers in Pakistan. Considering the need of cleaner production audits in plastic recycling industries, this study was carried out to establish an initial reference benchmark. Production processes in 10 recycling industries were evaluated from cleaner production perspective. The study showed the average water consumption of a recycling industry as high as 3315 L/ton. All the consumed water is wasted in the nearby community sewer while, only 3 recyclers recycled between 70 and 75% of the treated wastewater. In addition, a recycling facility, on an average, consumed 172.5 kWh of power for processing 1 ton of plastic waste. The average temperature was observed to be 36.5 °C and noise levels exceeded the permissible limits. Moreover, the industry is male-dominated, workers are mostly underpaid and have no access to good healthcare facilities. Recyclers lack standardization and have no national guidelines to follow. Guidelines and standardization of recycling process, wastewater treatment, use of renewable energy, water reuse etc, are direly needed for uplifting this sector and reducing its impacts on the environment.","author":[{"dropping-particle":"","family":"Hashmi","given":"Safeerul Islam","non-dropping-particle":"","parse-names":false,"suffix":""},{"dropping-particle":"","family":"Hewage","given":"Harshi Tharangika Sirisena Aluthduwe","non-dropping-particle":"","parse-names":false,"suffix":""},{"dropping-particle":"","family":"Visvanathan","given":"Chettiyappan","non-dropping-particle":"","parse-names":false,"suffix":""}],"container-title":"Chemosphere","id":"ITEM-1","issue":"March","issued":{"date-parts":[["2023"]]},"page":"139338","publisher":"Elsevier Ltd","title":"Cleaner production auditing for plastic recycling industry in Pakistan: A baseline study","type":"article-journal","volume":"337"},"uris":["http://www.mendeley.com/documents/?uuid=0ea9a459-cefd-4afc-95e0-60c41573774e"]}],"mendeley":{"formattedCitation":"(Hashmi et al., 2023)","plainTextFormattedCitation":"(Hashmi et al., 2023)","previouslyFormattedCitation":"(Hashmi et al., 2023)"},"properties":{"noteIndex":0},"schema":"https://github.com/citation-style-language/schema/raw/master/csl-citation.json"}</w:instrText>
      </w:r>
      <w:r w:rsidR="005A7342" w:rsidRPr="00C71561">
        <w:rPr>
          <w:lang w:val="es-MX"/>
        </w:rPr>
        <w:fldChar w:fldCharType="separate"/>
      </w:r>
      <w:r w:rsidR="005A7342" w:rsidRPr="00C71561">
        <w:rPr>
          <w:noProof/>
          <w:lang w:val="en-US"/>
        </w:rPr>
        <w:t>(Hashmi et al., 2023)</w:t>
      </w:r>
      <w:r w:rsidR="005A7342" w:rsidRPr="00C71561">
        <w:rPr>
          <w:lang w:val="es-MX"/>
        </w:rPr>
        <w:fldChar w:fldCharType="end"/>
      </w:r>
      <w:r w:rsidR="005A7342" w:rsidRPr="00C71561">
        <w:rPr>
          <w:lang w:val="en-US"/>
        </w:rPr>
        <w:t>.</w:t>
      </w:r>
      <w:r w:rsidR="00F469B6" w:rsidRPr="00C71561">
        <w:rPr>
          <w:lang w:val="en-US"/>
        </w:rPr>
        <w:t xml:space="preserve"> </w:t>
      </w:r>
      <w:r w:rsidR="00080F50" w:rsidRPr="00C71561">
        <w:rPr>
          <w:lang w:val="en-US"/>
        </w:rPr>
        <w:t>This situation has generated some degree of regulatory attention through the General Directorate of Environmental Health, whose General Law No. 27314 on Solid Waste and its Regulations, through Legislative Decree No. 1278, approves the Law on Comprehensive Solid Waste Management Supreme Decree No. 014-2017-MINAM that establishes the institutional framework for the management and handling of solid waste</w:t>
      </w:r>
      <w:r w:rsidR="00F469B6" w:rsidRPr="00C71561">
        <w:rPr>
          <w:lang w:val="en-US"/>
        </w:rPr>
        <w:t xml:space="preserve"> </w:t>
      </w:r>
      <w:r w:rsidR="00F469B6" w:rsidRPr="00C71561">
        <w:rPr>
          <w:lang w:val="es-MX"/>
        </w:rPr>
        <w:fldChar w:fldCharType="begin" w:fldLock="1"/>
      </w:r>
      <w:r w:rsidR="00222749" w:rsidRPr="00C71561">
        <w:rPr>
          <w:lang w:val="en-US"/>
        </w:rPr>
        <w:instrText>ADDIN CSL_CITATION {"citationItems":[{"id":"ITEM-1","itemData":{"DOI":"10.5867/medwave.2020.06.7952","ISSN":"07176384","PMID":"32678811","abstract":"Purpose To determine the level of environmental culture of the informal sector waste pickers and compliance with occupational health standards of informal waste pickers. Specific objectives: to explore the relationship between the level of environmental culture and compliance with occupational health standards: exposure to physical, chemical, biological, and ergonomic agents in informal waste pickers in 2019. Methods Quantitative, correlational, cross-sectional, and non-experimental study. A sample of 400 informal waste pickers participated. Two questionnaires were applied: environmental culture and occupational health standards. Results There is a medium positive and weak positive relationship between the environmental culture variable and the different agents (physical, chemical, biological, and ergonomic). There is a significant positive correlation between environmental culture and occupational health. Likewise, there is a wea</w:instrText>
      </w:r>
      <w:r w:rsidR="00222749" w:rsidRPr="00C71561">
        <w:rPr>
          <w:lang w:val="es-MX"/>
        </w:rPr>
        <w:instrText>k positive significant correlation between environmental culture and agents (physical, chemical, biological, and ergonomic), and a significant positive correlation between environmental culture and the social responsibility agent. Conclusions Informal waste pickers do not have their basic needs and rights met. A lack of occupational health safety characterizes informal recycling, so it is necessary to create formal and safe work environments with health promotion and prevention practices.","author":[{"dropping-particle":"","family":"Jiménez-De-aliaga","given":"Kelly Myriam","non-dropping-particle":"","parse-names":false,"suffix":""},{"dropping-particle":"","family":"Meneses-La-riva","given":"Mónica Elisa","non-dropping-particle":"","parse-names":false,"</w:instrText>
      </w:r>
      <w:r w:rsidR="00222749" w:rsidRPr="00C71561">
        <w:rPr>
          <w:lang w:val="en-US"/>
        </w:rPr>
        <w:instrText>suffix":""},{"dropping-particle":"","family":"Gutiérrez-Orellana","given":"Brenda Esther","non-dropping-particle":"","parse-names":false,"suffix":""},{"dropping-particle":"","family":"Rey-Córdova","given":"Nérida Gladys","non-dropping-particle":"","parse-names":false,"suffix":""},{"dropping-particle":"","family":"Suyo Vega","given":"Josefina Amanda","non-dropping-particle":"","parse-names":false,"suffix":""},{"dropping-particle":"","family":"Baldárrago-Baldárrago","given":"Jorge Luis Aníbal","non-dropping-particle":"","parse-names":false,"suffix":""},{"dropping-particle":"","family":"Robladillo-Bravo","given":"Liz Maribel","non-dropping-particle":"","parse-names":false,"suffix":""},{"dropping-particle":"","family":"Jiménez-Sánchez","given":"Lenin Iván","non-dropping-particle":"","parse-names":false,"suffix":""}],"container-title":"Medwave","id":"ITEM-1","issue":"6","issued":{"date-parts":[["2020"]]},"page":"1-8","title":"A cross-sectional study on the environmental culture and occupational health of informal waste pickers in Lima, Peru","type":"article-journal","volume":"20"},"uris":["http://www.mendeley.com/documents/?uuid=178c3800-a78a-4af2-aec4-996c2d5f3059"]}],"mendeley":{"formattedCitation":"(Jiménez-De-aliaga et al., 2020)","plainTextFormattedCitation":"(Jiménez-De-aliaga et al., 2020)","previouslyFormattedCitation":"(Jiménez-De-aliaga et al., 2020)"},"properties":{"noteIndex":0},"schema":"https://github.com/citation-style-language/schema/raw/master/csl-citation.json"}</w:instrText>
      </w:r>
      <w:r w:rsidR="00F469B6" w:rsidRPr="00C71561">
        <w:rPr>
          <w:lang w:val="es-MX"/>
        </w:rPr>
        <w:fldChar w:fldCharType="separate"/>
      </w:r>
      <w:r w:rsidR="00F469B6" w:rsidRPr="00C71561">
        <w:rPr>
          <w:noProof/>
          <w:lang w:val="en-US"/>
        </w:rPr>
        <w:t>(Jiménez-De-aliaga et al., 2020)</w:t>
      </w:r>
      <w:r w:rsidR="00F469B6" w:rsidRPr="00C71561">
        <w:rPr>
          <w:lang w:val="es-MX"/>
        </w:rPr>
        <w:fldChar w:fldCharType="end"/>
      </w:r>
      <w:r w:rsidR="00F469B6" w:rsidRPr="00C71561">
        <w:rPr>
          <w:lang w:val="en-US"/>
        </w:rPr>
        <w:t>.</w:t>
      </w:r>
    </w:p>
    <w:p w14:paraId="76B04D9D" w14:textId="6405318B" w:rsidR="00575952" w:rsidRPr="00C71561" w:rsidRDefault="00F26B58" w:rsidP="00E63B22">
      <w:pPr>
        <w:pStyle w:val="CETListbullets"/>
        <w:shd w:val="clear" w:color="auto" w:fill="FFFFFF" w:themeFill="background1"/>
        <w:ind w:left="0" w:firstLine="0"/>
        <w:rPr>
          <w:lang w:val="en-US"/>
        </w:rPr>
      </w:pPr>
      <w:r w:rsidRPr="00C71561">
        <w:rPr>
          <w:lang w:val="en-US"/>
        </w:rPr>
        <w:t xml:space="preserve">The purpose of health and safety management is to identify, </w:t>
      </w:r>
      <w:r w:rsidR="009740E5" w:rsidRPr="00C71561">
        <w:rPr>
          <w:lang w:val="en-US"/>
        </w:rPr>
        <w:t>assess and reduce health and safety risks in working conditions involving materials, parts, machinery and equipment. Activities and activities related to waste collection and disposal have inherent risks due to the hazards of substances and materials that can have a negative impact on the environment and work environment</w:t>
      </w:r>
      <w:r w:rsidRPr="00C71561">
        <w:rPr>
          <w:lang w:val="en-US"/>
        </w:rPr>
        <w:t xml:space="preserve">. </w:t>
      </w:r>
      <w:r w:rsidR="00ED003A" w:rsidRPr="00C71561">
        <w:rPr>
          <w:lang w:val="en-US"/>
        </w:rPr>
        <w:t>In addition, when dealing with waste, special attention should be paid not only to routine procedures, but mainly to possible dangerous situations that may arise in special or emergency situations</w:t>
      </w:r>
      <w:r w:rsidRPr="00C71561">
        <w:rPr>
          <w:lang w:val="en-US"/>
        </w:rPr>
        <w:t xml:space="preserve"> </w:t>
      </w:r>
      <w:r w:rsidR="0036751E" w:rsidRPr="00C71561">
        <w:rPr>
          <w:lang w:val="es-MX"/>
        </w:rPr>
        <w:fldChar w:fldCharType="begin" w:fldLock="1"/>
      </w:r>
      <w:r w:rsidR="00F469B6" w:rsidRPr="00C71561">
        <w:rPr>
          <w:lang w:val="en-US"/>
        </w:rPr>
        <w:instrText>ADDIN CSL_CITATION {"citationItems":[{"id":"ITEM-1","itemData":{"DOI":"10.1016/j.heliyon.2023.e21352","ISSN":"24058440","abstract":"Even if sustainability and circularity are the most challenging goals today, industrial waste minimization is rarely discussed and practical methods to reduce risks related to hazardous waste in manufacturing processes are not frequently applied yet. The case of Italian company specialized in plastic processing for fashion products, has the chance to design and test a new integrated methodology to reduce the risks for ecosystem and workers associated to hazardous waste. Focusing the attention to standard operations, extraordinary conditions, and emergency situations, all activities included in waste collection, storage and transport are identified and the risks associated to the environmental impacts and the occupational health&amp;safety are analysed. Research results demonstrate the opportunity to adopt one method to analyse both environmental and health&amp;safety risks associated to activities and conditions involved in industrial waste management. The case study confirms the relevance of integrated approaches and the necessity of simplified tools to support companies in adopting integrated risk management.","author":[{"dropping-particle":"","family":"Mazzi","given":"Anna","non-dropping-particle":"","parse-names":false,"suffix":""}],"container-title":"Heliyon","id":"ITEM-1","issue":"11","issued":{"date-parts":[["2023"]]},"page":"e21352","publisher":"Elsevier Ltd","title":"Environmental and safety risk assessment for sustainable circular production: Case study in plastic processing for fashion products","type":"article-journal","volume":"9"},"uris":["http://www.mendeley.com/documents/?uuid=9e75644c-9601-4ab7-9f9f-552a001614ec"]}],"mendeley":{"formattedCitation":"(Mazzi, 2023)","plainTextFormattedCitation":"(Mazzi, 2023)","previouslyFormattedCitation":"(Mazzi, 2023)"},"properties":{"noteIndex":0},"schema":"https://github.com/citation-style-language/schema/raw/master/csl-citation.json"}</w:instrText>
      </w:r>
      <w:r w:rsidR="0036751E" w:rsidRPr="00C71561">
        <w:rPr>
          <w:lang w:val="es-MX"/>
        </w:rPr>
        <w:fldChar w:fldCharType="separate"/>
      </w:r>
      <w:r w:rsidR="0036751E" w:rsidRPr="00C71561">
        <w:rPr>
          <w:noProof/>
          <w:lang w:val="en-US"/>
        </w:rPr>
        <w:t>(Mazzi, 2023)</w:t>
      </w:r>
      <w:r w:rsidR="0036751E" w:rsidRPr="00C71561">
        <w:rPr>
          <w:lang w:val="es-MX"/>
        </w:rPr>
        <w:fldChar w:fldCharType="end"/>
      </w:r>
      <w:r w:rsidR="0036751E" w:rsidRPr="00C71561">
        <w:rPr>
          <w:lang w:val="en-US"/>
        </w:rPr>
        <w:t>.</w:t>
      </w:r>
      <w:r w:rsidR="00A1531B" w:rsidRPr="00C71561">
        <w:rPr>
          <w:lang w:val="en-US"/>
        </w:rPr>
        <w:t xml:space="preserve"> </w:t>
      </w:r>
      <w:r w:rsidR="00944FCF" w:rsidRPr="00C71561">
        <w:rPr>
          <w:lang w:val="en-US"/>
        </w:rPr>
        <w:t xml:space="preserve">Peru's Camisea gas field contains almost 90% of the country's natural gas reserves. In the 1990s, the government introduced a policy aimed at harnessing Kamisi gas for domestic consumption. This policy was lifted in the 2000s, allowing private developers to export 40% of Camisea's proven reserves, equivalent to a third of Peru's total reserves </w:t>
      </w:r>
      <w:r w:rsidR="00261E44" w:rsidRPr="00C71561">
        <w:rPr>
          <w:lang w:val="en-US"/>
        </w:rPr>
        <w:t xml:space="preserve"> </w:t>
      </w:r>
      <w:r w:rsidR="008D7A9B" w:rsidRPr="00C71561">
        <w:rPr>
          <w:lang w:val="es-MX"/>
        </w:rPr>
        <w:fldChar w:fldCharType="begin" w:fldLock="1"/>
      </w:r>
      <w:r w:rsidR="005A7342" w:rsidRPr="00C71561">
        <w:rPr>
          <w:lang w:val="en-US"/>
        </w:rPr>
        <w:instrText>ADDIN CSL_CITATION {"citationItems":[{"id":"ITEM-1","itemData":{"DOI":"10.1016/j.enpol.2014.06.028","ISSN":"03014215","abstract":"Peru's Camisea gasfields hold nearly 90% of the country's natural gas reserves. In the 1990s, the government had a policy to prioritize Camisea gas for domestic consumption. The revocation of this policy in the 2000s allowed private developers to export 40% of Camisea's proven reserves, equivalent to one third of Peru's total. This USD 3.9 billion liquefied natural gas (LNG) export project boasts the largest single foreign direct investment in Peru's history. A major component of thefinancing was granted by international financial institutions on economic grounds. While the project was expected to yield a substantial return to private investors, the export of one third of Peru's total proven natural gas reserves is not in line with its long-term interests. We undertake cost-benefit analyses for a series of scenarios, starting with the project's formative stage in the mid-2000s, and then in 2012, two years after it began its commercial operation. In all cases, Peru does not have sufficient reserves to warrant export, and the economic costs far exceed the benefits. This policy of LNG exports should not have been approved by the government, nor should the loans have been granted by internationalfinancial institutions to make it possible.","author":[{"dropping-particle":"","family":"Leung","given":"Leonard","non-dropping-particle":"","parse-names":false,"suffix":""},{"dropping-particle":"","family":"Jenkins","given":"Glenn P.","non-dropping-particle":"","parse-names":false,"suffix":""}],"container-title":"Energy Policy","id":"ITEM-1","issue":"C","issued":{"date-parts":[["2014"]]},"page":"643-654","publisher":"Elsevier","title":"An economic evaluation of Peru's liquefied natural gas export policy","type":"article-journal","volume":"74"},"uris":["http://www.mendeley.com/documents/?uuid=f9e0d289-3c42-46c0-af3b-e35446906c62"]}],"mendeley":{"formattedCitation":"(Leung &amp; Jenkins, 2014)","plainTextFormattedCitation":"(Leung &amp; Jenkins, 2014)","previouslyFormattedCitation":"(Leung &amp; Jenkins, 2014)"},"properties":{"noteIndex":0},"schema":"https://github.com/citation-style-language/schema/raw/master/csl-citation.json"}</w:instrText>
      </w:r>
      <w:r w:rsidR="008D7A9B" w:rsidRPr="00C71561">
        <w:rPr>
          <w:lang w:val="es-MX"/>
        </w:rPr>
        <w:fldChar w:fldCharType="separate"/>
      </w:r>
      <w:r w:rsidR="008D7A9B" w:rsidRPr="00C71561">
        <w:rPr>
          <w:noProof/>
          <w:lang w:val="en-US"/>
        </w:rPr>
        <w:t>(Leung &amp; Jenkins, 2014)</w:t>
      </w:r>
      <w:r w:rsidR="008D7A9B" w:rsidRPr="00C71561">
        <w:rPr>
          <w:lang w:val="es-MX"/>
        </w:rPr>
        <w:fldChar w:fldCharType="end"/>
      </w:r>
      <w:r w:rsidR="008D7A9B" w:rsidRPr="00C71561">
        <w:rPr>
          <w:lang w:val="en-US"/>
        </w:rPr>
        <w:t>.</w:t>
      </w:r>
      <w:r w:rsidR="00E760B4" w:rsidRPr="00C71561">
        <w:t xml:space="preserve"> </w:t>
      </w:r>
      <w:r w:rsidR="00E760B4" w:rsidRPr="00C71561">
        <w:rPr>
          <w:lang w:val="en-US"/>
        </w:rPr>
        <w:t>Taking into account the consequences of pollution, the Lot 57 camp in Camisea, Cusco, Peru has implemented containers of different colo</w:t>
      </w:r>
      <w:r w:rsidR="003E1742" w:rsidRPr="00C71561">
        <w:rPr>
          <w:lang w:val="en-US"/>
        </w:rPr>
        <w:t>u</w:t>
      </w:r>
      <w:r w:rsidR="00E760B4" w:rsidRPr="00C71561">
        <w:rPr>
          <w:lang w:val="en-US"/>
        </w:rPr>
        <w:t xml:space="preserve">rs in specific places and at the same time with the commitment of the companies that provide services, there is also a warehouse of waste which is in charge of Megapack Trading S.A.C., where both hazardous and non-hazardous waste is received, this waste is generated in the camp, exploration sites and plants, for this same commitment to improve the quality and preservation of </w:t>
      </w:r>
      <w:r w:rsidR="00C72FED" w:rsidRPr="00C71561">
        <w:rPr>
          <w:lang w:val="en-US"/>
        </w:rPr>
        <w:t>the environment, the companies t</w:t>
      </w:r>
      <w:r w:rsidR="00E760B4" w:rsidRPr="00C71561">
        <w:rPr>
          <w:lang w:val="en-US"/>
        </w:rPr>
        <w:t>hey are aware of carrying their waste in the colo</w:t>
      </w:r>
      <w:r w:rsidR="0000060D" w:rsidRPr="00C71561">
        <w:rPr>
          <w:lang w:val="en-US"/>
        </w:rPr>
        <w:t>u</w:t>
      </w:r>
      <w:r w:rsidR="00E760B4" w:rsidRPr="00C71561">
        <w:rPr>
          <w:lang w:val="en-US"/>
        </w:rPr>
        <w:t>r of the corresponding container and properly label</w:t>
      </w:r>
      <w:r w:rsidR="0000060D" w:rsidRPr="00C71561">
        <w:rPr>
          <w:lang w:val="en-US"/>
        </w:rPr>
        <w:t>l</w:t>
      </w:r>
      <w:r w:rsidR="00E760B4" w:rsidRPr="00C71561">
        <w:rPr>
          <w:lang w:val="en-US"/>
        </w:rPr>
        <w:t xml:space="preserve">ed to make disposal or marketing easier. But due to new companies that have won tenders and their change of personnel, we have begun to see the harmful segregation and lack of labeling of the waste that enters the warehouse, which has consequences, such as the increase </w:t>
      </w:r>
      <w:r w:rsidR="004478F2" w:rsidRPr="00C71561">
        <w:rPr>
          <w:lang w:val="en-US"/>
        </w:rPr>
        <w:t xml:space="preserve">in waste that goes to landfill </w:t>
      </w:r>
      <w:r w:rsidR="00E760B4" w:rsidRPr="00C71561">
        <w:rPr>
          <w:lang w:val="en-US"/>
        </w:rPr>
        <w:t>of dangerous and non-hazardous, and the marketing of waste that can be reused such as cardboard, paper, plastic bottles, these come combined or stained with various waste which are no longer suitable for our customers who buy these, due to this problem arises the economic analysis of how much is being lost by taking the waste to a landfill and how much could be saved by carrying out good segregation and recovering a percentage of what was spent, being an opportunity cost for the company.</w:t>
      </w:r>
    </w:p>
    <w:p w14:paraId="649E6975" w14:textId="79C2DCBB" w:rsidR="00575952" w:rsidRPr="00C71561" w:rsidRDefault="002E24CA" w:rsidP="002E24CA">
      <w:pPr>
        <w:pStyle w:val="CETHeading1"/>
      </w:pPr>
      <w:r w:rsidRPr="00C71561">
        <w:t>Proposed model</w:t>
      </w:r>
    </w:p>
    <w:p w14:paraId="19EDF3DC" w14:textId="716979B9" w:rsidR="008B50FD" w:rsidRPr="00C71561" w:rsidRDefault="002E24CA" w:rsidP="002E24CA">
      <w:pPr>
        <w:pStyle w:val="CETheadingx"/>
      </w:pPr>
      <w:bookmarkStart w:id="0" w:name="_Hlk129368886"/>
      <w:r w:rsidRPr="00C71561">
        <w:rPr>
          <w:lang w:val="es-MX"/>
        </w:rPr>
        <w:t>Occupational safety</w:t>
      </w:r>
    </w:p>
    <w:p w14:paraId="1D03E9F4" w14:textId="5B594CC2" w:rsidR="008B50FD" w:rsidRPr="00C71561" w:rsidRDefault="00645A6E" w:rsidP="00E63B22">
      <w:pPr>
        <w:pStyle w:val="CETBodytext"/>
        <w:shd w:val="clear" w:color="auto" w:fill="FFFFFF" w:themeFill="background1"/>
      </w:pPr>
      <w:r w:rsidRPr="00C71561">
        <w:t xml:space="preserve">Create regulations to protect the safety and health of workers. One of the most important regulations is the Working Environment Act. </w:t>
      </w:r>
      <w:r w:rsidR="00B50973" w:rsidRPr="00C71561">
        <w:t xml:space="preserve">In August 2011, the Working Environment Law No. 29783. The law establishes </w:t>
      </w:r>
      <w:r w:rsidR="00B50973" w:rsidRPr="00C71561">
        <w:lastRenderedPageBreak/>
        <w:t xml:space="preserve">several requirements, the purpose of which is to create a culture of prevention of occupational risks in the country. All companies operating in Peru must comply with this law </w:t>
      </w:r>
      <w:r w:rsidR="00222749" w:rsidRPr="00C71561">
        <w:rPr>
          <w:lang w:val="es-MX"/>
        </w:rPr>
        <w:fldChar w:fldCharType="begin" w:fldLock="1"/>
      </w:r>
      <w:r w:rsidR="00222749" w:rsidRPr="00C71561">
        <w:instrText>ADDIN CSL_CITATION {"citationItems":[{"id":"ITEM-1","itemData":{"DOI":"10.1016/j.aogh.2015.08.027","ISSN":"22149996","PMID":"26709289","abstract":"Peru is a country located on the Pacific coast of South America with a population of more than 30 million inhabitants. In the past 10 years, Peru has had a steady economic growth. Peru is predominantly an extractive industry country, but the manufacturing and construction sectors are booming. It is in this context that regulations have been implemented to protect the safety and health of workers. One of the most important regulations is the Law on Safety and Health at Work, which has been recently promulgated. Regulations are complemented by training and education in occupational safety and health. The measures are yet to be fully implemented thus a positive effect in reducing accidents and occupational diseases at work has not yet been seen.","author":[{"dropping-particle":"","family":"Cruz","given":"Ismael","non-dropping-particle":"","parse-names":false,"suffix":""},{"dropping-particle":"","family":"Huerta-Mercado","given":"Raul","non-dropping-particle":"","parse-names":false,"suffix":""}],"container-title":"Annals of Global Health","id":"ITEM-1","issue":"4","issued":{"date-parts":[["2015"]]},"page":"568-575","publisher":"Elsevier Inc","title":"Occupational Safety and Health in Peru","type":"article-journal","volume":"81"},"uris":["http://www.mendeley.com/documents/?uuid=dc0f7b1d-3437-400f-b7ec-4d48f943a819"]}],"mendeley":{"formattedCitation":"(Cruz &amp; Huerta-Mercado, 2015)","plainTextFormattedCitation":"(Cruz &amp; Huerta-Mercado, 2015)"},"properties":{"noteIndex":0},"schema":"https://github.com/citation-style-language/schema/raw/master/csl-citation.json"}</w:instrText>
      </w:r>
      <w:r w:rsidR="00222749" w:rsidRPr="00C71561">
        <w:rPr>
          <w:lang w:val="es-MX"/>
        </w:rPr>
        <w:fldChar w:fldCharType="separate"/>
      </w:r>
      <w:r w:rsidR="00222749" w:rsidRPr="00C71561">
        <w:rPr>
          <w:noProof/>
        </w:rPr>
        <w:t>(Cruz &amp; Huerta-Mercado, 2015)</w:t>
      </w:r>
      <w:r w:rsidR="00222749" w:rsidRPr="00C71561">
        <w:rPr>
          <w:lang w:val="es-MX"/>
        </w:rPr>
        <w:fldChar w:fldCharType="end"/>
      </w:r>
      <w:r w:rsidR="00222749" w:rsidRPr="00C71561">
        <w:t>.</w:t>
      </w:r>
    </w:p>
    <w:p w14:paraId="0BE291E9" w14:textId="77777777" w:rsidR="00A447BD" w:rsidRPr="00C71561" w:rsidRDefault="00A447BD" w:rsidP="00E63B22">
      <w:pPr>
        <w:pStyle w:val="CETBodytext"/>
        <w:shd w:val="clear" w:color="auto" w:fill="FFFFFF" w:themeFill="background1"/>
      </w:pPr>
    </w:p>
    <w:p w14:paraId="2C409D39" w14:textId="26D2DC4B" w:rsidR="00575952" w:rsidRPr="00C71561" w:rsidRDefault="00CC1595" w:rsidP="00CC1595">
      <w:pPr>
        <w:pStyle w:val="CETheadingx"/>
      </w:pPr>
      <w:r w:rsidRPr="00C71561">
        <w:t>Estimation of solid waste generation</w:t>
      </w:r>
    </w:p>
    <w:bookmarkEnd w:id="0"/>
    <w:p w14:paraId="45DC66E1" w14:textId="2E58FB2E" w:rsidR="00575952" w:rsidRPr="00C71561" w:rsidRDefault="00CC1595" w:rsidP="00E63B22">
      <w:pPr>
        <w:pStyle w:val="CETheadingx"/>
        <w:numPr>
          <w:ilvl w:val="0"/>
          <w:numId w:val="0"/>
        </w:numPr>
        <w:shd w:val="clear" w:color="auto" w:fill="FFFFFF" w:themeFill="background1"/>
        <w:jc w:val="both"/>
        <w:rPr>
          <w:b w:val="0"/>
        </w:rPr>
      </w:pPr>
      <w:r w:rsidRPr="00C71561">
        <w:rPr>
          <w:b w:val="0"/>
        </w:rPr>
        <w:t>The solid waste from the Nuevo Mundo Lot 57 operational base camp is generated by the different locations (Kinteroni Asset, U400 Compression Project, Mashira Gx, Sagari Ax, Sagari Bx) including the camp itself. Waste is classified, according to the handling it receives, into hazardous and non-hazardous, which must be segregated in its resp</w:t>
      </w:r>
      <w:r w:rsidR="005C5672" w:rsidRPr="00C71561">
        <w:rPr>
          <w:b w:val="0"/>
        </w:rPr>
        <w:t>ective colo</w:t>
      </w:r>
      <w:r w:rsidR="004C2FE4" w:rsidRPr="00C71561">
        <w:rPr>
          <w:b w:val="0"/>
        </w:rPr>
        <w:t>u</w:t>
      </w:r>
      <w:r w:rsidR="005C5672" w:rsidRPr="00C71561">
        <w:rPr>
          <w:b w:val="0"/>
        </w:rPr>
        <w:t>red bag and label</w:t>
      </w:r>
      <w:r w:rsidR="004C2FE4" w:rsidRPr="00C71561">
        <w:rPr>
          <w:b w:val="0"/>
        </w:rPr>
        <w:t>l</w:t>
      </w:r>
      <w:r w:rsidR="005C5672" w:rsidRPr="00C71561">
        <w:rPr>
          <w:b w:val="0"/>
        </w:rPr>
        <w:t>ed. The different companies that generate their waste deliver them to the temporary Megapack warehouse where a staff receives them, which proceeds with the weighing and recording in a daily form, this form has one original and two carbonless copies, one carbonless copy is delivered to the person who leaves the waste and another remains archived in the Megapack warehouse</w:t>
      </w:r>
      <w:r w:rsidR="004C2FE4" w:rsidRPr="00C71561">
        <w:rPr>
          <w:b w:val="0"/>
        </w:rPr>
        <w:t xml:space="preserve">, </w:t>
      </w:r>
      <w:r w:rsidR="005C5672" w:rsidRPr="00C71561">
        <w:rPr>
          <w:b w:val="0"/>
        </w:rPr>
        <w:t>and finally the original is delivered to the Repsol supervisor</w:t>
      </w:r>
      <w:r w:rsidRPr="00C71561">
        <w:rPr>
          <w:b w:val="0"/>
        </w:rPr>
        <w:t>.</w:t>
      </w:r>
    </w:p>
    <w:p w14:paraId="3363910B" w14:textId="77777777" w:rsidR="00575952" w:rsidRPr="00C71561" w:rsidRDefault="00575952" w:rsidP="00E63B22">
      <w:pPr>
        <w:pStyle w:val="CETBodytext"/>
        <w:shd w:val="clear" w:color="auto" w:fill="FFFFFF" w:themeFill="background1"/>
      </w:pPr>
    </w:p>
    <w:p w14:paraId="0DC01B88" w14:textId="77777777" w:rsidR="00575952" w:rsidRPr="00C71561" w:rsidRDefault="00575952" w:rsidP="00E63B22">
      <w:pPr>
        <w:pStyle w:val="CETBodytext"/>
        <w:shd w:val="clear" w:color="auto" w:fill="FFFFFF" w:themeFill="background1"/>
        <w:jc w:val="center"/>
        <w:rPr>
          <w:lang w:val="es-MX"/>
        </w:rPr>
      </w:pPr>
      <w:r w:rsidRPr="00C71561">
        <w:rPr>
          <w:noProof/>
        </w:rPr>
        <w:drawing>
          <wp:inline distT="0" distB="0" distL="0" distR="0" wp14:anchorId="6E7673E0" wp14:editId="4196CDC3">
            <wp:extent cx="2362553" cy="15899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4696"/>
                    <a:stretch/>
                  </pic:blipFill>
                  <pic:spPr bwMode="auto">
                    <a:xfrm>
                      <a:off x="0" y="0"/>
                      <a:ext cx="2394624" cy="1611549"/>
                    </a:xfrm>
                    <a:prstGeom prst="rect">
                      <a:avLst/>
                    </a:prstGeom>
                    <a:ln>
                      <a:noFill/>
                    </a:ln>
                    <a:extLst>
                      <a:ext uri="{53640926-AAD7-44D8-BBD7-CCE9431645EC}">
                        <a14:shadowObscured xmlns:a14="http://schemas.microsoft.com/office/drawing/2010/main"/>
                      </a:ext>
                    </a:extLst>
                  </pic:spPr>
                </pic:pic>
              </a:graphicData>
            </a:graphic>
          </wp:inline>
        </w:drawing>
      </w:r>
    </w:p>
    <w:p w14:paraId="1DECDD4A" w14:textId="1EC32A19" w:rsidR="00575952" w:rsidRPr="00C71561" w:rsidRDefault="00575952" w:rsidP="00E63B22">
      <w:pPr>
        <w:pStyle w:val="CETBodytext"/>
        <w:shd w:val="clear" w:color="auto" w:fill="FFFFFF" w:themeFill="background1"/>
        <w:rPr>
          <w:rStyle w:val="CETCaptionCarattere"/>
          <w:lang w:val="en-US"/>
        </w:rPr>
      </w:pPr>
      <w:r w:rsidRPr="00C71561">
        <w:rPr>
          <w:rStyle w:val="CETCaptionCarattere"/>
          <w:lang w:val="en-US"/>
        </w:rPr>
        <w:t xml:space="preserve">Figure 1: </w:t>
      </w:r>
      <w:r w:rsidR="000E7B56" w:rsidRPr="00C71561">
        <w:rPr>
          <w:rStyle w:val="CETCaptionCarattere"/>
          <w:lang w:val="en-US"/>
        </w:rPr>
        <w:t>Weighing of waste by solid waste warehouse staff</w:t>
      </w:r>
    </w:p>
    <w:p w14:paraId="4B097D6C" w14:textId="312B449B" w:rsidR="003D2861" w:rsidRPr="00C71561" w:rsidRDefault="003D2861" w:rsidP="003D2861">
      <w:pPr>
        <w:pStyle w:val="CETBodytext"/>
        <w:jc w:val="left"/>
      </w:pPr>
    </w:p>
    <w:p w14:paraId="6E7653E3" w14:textId="33C0A5F1" w:rsidR="00575952" w:rsidRPr="00C71561" w:rsidRDefault="003A417E" w:rsidP="003A417E">
      <w:pPr>
        <w:pStyle w:val="CETheadingx"/>
      </w:pPr>
      <w:bookmarkStart w:id="1" w:name="_Toc5626869"/>
      <w:bookmarkStart w:id="2" w:name="_Toc8558798"/>
      <w:bookmarkStart w:id="3" w:name="_Toc9605828"/>
      <w:r w:rsidRPr="00C71561">
        <w:t>Estimation of solid waste sold</w:t>
      </w:r>
    </w:p>
    <w:bookmarkEnd w:id="1"/>
    <w:bookmarkEnd w:id="2"/>
    <w:bookmarkEnd w:id="3"/>
    <w:p w14:paraId="4C7D1F01" w14:textId="5C367491" w:rsidR="00575952" w:rsidRPr="00C71561" w:rsidRDefault="003A417E" w:rsidP="00E63B22">
      <w:pPr>
        <w:pStyle w:val="CETnumberingbullets"/>
        <w:numPr>
          <w:ilvl w:val="0"/>
          <w:numId w:val="0"/>
        </w:numPr>
        <w:shd w:val="clear" w:color="auto" w:fill="FFFFFF" w:themeFill="background1"/>
        <w:jc w:val="both"/>
        <w:rPr>
          <w:lang w:val="en-US"/>
        </w:rPr>
      </w:pPr>
      <w:r w:rsidRPr="00C71561">
        <w:rPr>
          <w:lang w:val="en-US"/>
        </w:rPr>
        <w:t>In this analysis</w:t>
      </w:r>
      <w:r w:rsidR="00F749F9" w:rsidRPr="00C71561">
        <w:rPr>
          <w:lang w:val="en-US"/>
        </w:rPr>
        <w:t>,</w:t>
      </w:r>
      <w:r w:rsidRPr="00C71561">
        <w:rPr>
          <w:lang w:val="en-US"/>
        </w:rPr>
        <w:t xml:space="preserve"> we will focus clearly on marketable solid waste such as paper and cardboard, PET plastic and metals, which have an established price in</w:t>
      </w:r>
      <w:r w:rsidR="00F70C33" w:rsidRPr="00C71561">
        <w:rPr>
          <w:lang w:val="en-US"/>
        </w:rPr>
        <w:t xml:space="preserve"> the market, as shown in Table 1</w:t>
      </w:r>
      <w:r w:rsidRPr="00C71561">
        <w:rPr>
          <w:lang w:val="en-US"/>
        </w:rPr>
        <w:t>.</w:t>
      </w:r>
    </w:p>
    <w:p w14:paraId="79D14E86" w14:textId="63CA1B8A" w:rsidR="00C62AD3" w:rsidRPr="00C71561" w:rsidRDefault="00F70C33" w:rsidP="00C62AD3">
      <w:pPr>
        <w:pStyle w:val="CETTabletitle"/>
        <w:rPr>
          <w:lang w:val="en-US"/>
        </w:rPr>
      </w:pPr>
      <w:bookmarkStart w:id="4" w:name="_Hlk129370232"/>
      <w:r w:rsidRPr="00C71561">
        <w:rPr>
          <w:lang w:val="en-US"/>
        </w:rPr>
        <w:t>Table 1</w:t>
      </w:r>
      <w:r w:rsidR="00C62AD3" w:rsidRPr="00C71561">
        <w:rPr>
          <w:lang w:val="en-US"/>
        </w:rPr>
        <w:t>: Costs of materials established in the market per Kg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85"/>
        <w:gridCol w:w="2693"/>
      </w:tblGrid>
      <w:tr w:rsidR="00C62AD3" w:rsidRPr="00C71561" w14:paraId="25F29BAB" w14:textId="77777777" w:rsidTr="00750748">
        <w:tc>
          <w:tcPr>
            <w:tcW w:w="1985" w:type="dxa"/>
          </w:tcPr>
          <w:p w14:paraId="6DBE7658" w14:textId="77777777" w:rsidR="00C62AD3" w:rsidRPr="00C71561" w:rsidRDefault="00C62AD3" w:rsidP="00750748">
            <w:pPr>
              <w:pStyle w:val="CETBodytext"/>
              <w:rPr>
                <w:bCs/>
                <w:lang w:val="en-GB"/>
              </w:rPr>
            </w:pPr>
            <w:r w:rsidRPr="00C71561">
              <w:rPr>
                <w:bCs/>
                <w:lang w:val="es-PE"/>
              </w:rPr>
              <w:t>Material</w:t>
            </w:r>
          </w:p>
        </w:tc>
        <w:tc>
          <w:tcPr>
            <w:tcW w:w="2693" w:type="dxa"/>
          </w:tcPr>
          <w:p w14:paraId="3ECEFDFD" w14:textId="47F36B26" w:rsidR="00C62AD3" w:rsidRPr="00C71561" w:rsidRDefault="00C62AD3" w:rsidP="00750748">
            <w:pPr>
              <w:pStyle w:val="CETBodytext"/>
              <w:rPr>
                <w:bCs/>
              </w:rPr>
            </w:pPr>
            <w:r w:rsidRPr="00C71561">
              <w:rPr>
                <w:bCs/>
              </w:rPr>
              <w:t xml:space="preserve">Cost in the market </w:t>
            </w:r>
            <w:r w:rsidR="0058140C" w:rsidRPr="00C71561">
              <w:rPr>
                <w:bCs/>
              </w:rPr>
              <w:t>(S/</w:t>
            </w:r>
            <w:r w:rsidRPr="00C71561">
              <w:rPr>
                <w:bCs/>
              </w:rPr>
              <w:t>)</w:t>
            </w:r>
          </w:p>
        </w:tc>
      </w:tr>
      <w:tr w:rsidR="00C62AD3" w:rsidRPr="00C71561" w14:paraId="1D292D1F" w14:textId="77777777" w:rsidTr="00750748">
        <w:tc>
          <w:tcPr>
            <w:tcW w:w="1985" w:type="dxa"/>
          </w:tcPr>
          <w:p w14:paraId="674AB0E8" w14:textId="77777777" w:rsidR="00C62AD3" w:rsidRPr="00C71561" w:rsidRDefault="00C62AD3" w:rsidP="00750748">
            <w:pPr>
              <w:pStyle w:val="CETBodytext"/>
              <w:rPr>
                <w:lang w:val="en-GB"/>
              </w:rPr>
            </w:pPr>
            <w:r w:rsidRPr="00C71561">
              <w:rPr>
                <w:lang w:val="es-PE"/>
              </w:rPr>
              <w:t>paper and paperboard</w:t>
            </w:r>
          </w:p>
        </w:tc>
        <w:tc>
          <w:tcPr>
            <w:tcW w:w="2693" w:type="dxa"/>
          </w:tcPr>
          <w:p w14:paraId="3771A08E" w14:textId="77777777" w:rsidR="00C62AD3" w:rsidRPr="00C71561" w:rsidRDefault="00C62AD3" w:rsidP="00750748">
            <w:pPr>
              <w:pStyle w:val="CETBodytext"/>
              <w:rPr>
                <w:lang w:val="en-GB"/>
              </w:rPr>
            </w:pPr>
            <w:r w:rsidRPr="00C71561">
              <w:rPr>
                <w:lang w:val="es-PE"/>
              </w:rPr>
              <w:t>0.40</w:t>
            </w:r>
          </w:p>
        </w:tc>
      </w:tr>
      <w:tr w:rsidR="00C62AD3" w:rsidRPr="00C71561" w14:paraId="2E26C3C8" w14:textId="77777777" w:rsidTr="00750748">
        <w:tc>
          <w:tcPr>
            <w:tcW w:w="1985" w:type="dxa"/>
          </w:tcPr>
          <w:p w14:paraId="4FB4C751" w14:textId="77777777" w:rsidR="00C62AD3" w:rsidRPr="00C71561" w:rsidRDefault="00C62AD3" w:rsidP="00750748">
            <w:pPr>
              <w:pStyle w:val="CETBodytext"/>
              <w:ind w:right="-1"/>
              <w:rPr>
                <w:rFonts w:cs="Arial"/>
                <w:szCs w:val="18"/>
                <w:lang w:val="en-GB"/>
              </w:rPr>
            </w:pPr>
            <w:r w:rsidRPr="00C71561">
              <w:rPr>
                <w:lang w:val="es-PE"/>
              </w:rPr>
              <w:t>metal (scrap)</w:t>
            </w:r>
          </w:p>
        </w:tc>
        <w:tc>
          <w:tcPr>
            <w:tcW w:w="2693" w:type="dxa"/>
          </w:tcPr>
          <w:p w14:paraId="654F4C16" w14:textId="77777777" w:rsidR="00C62AD3" w:rsidRPr="00C71561" w:rsidRDefault="00C62AD3" w:rsidP="00750748">
            <w:pPr>
              <w:pStyle w:val="CETBodytext"/>
              <w:ind w:right="-1"/>
              <w:rPr>
                <w:rFonts w:cs="Arial"/>
                <w:szCs w:val="18"/>
                <w:lang w:val="en-GB"/>
              </w:rPr>
            </w:pPr>
            <w:r w:rsidRPr="00C71561">
              <w:rPr>
                <w:lang w:val="es-PE"/>
              </w:rPr>
              <w:t>0.40</w:t>
            </w:r>
          </w:p>
        </w:tc>
      </w:tr>
      <w:tr w:rsidR="00C62AD3" w:rsidRPr="00C71561" w14:paraId="18AC9209" w14:textId="77777777" w:rsidTr="00750748">
        <w:tc>
          <w:tcPr>
            <w:tcW w:w="1985" w:type="dxa"/>
          </w:tcPr>
          <w:p w14:paraId="203196B1" w14:textId="77777777" w:rsidR="00C62AD3" w:rsidRPr="00C71561" w:rsidRDefault="00C62AD3" w:rsidP="00750748">
            <w:pPr>
              <w:pStyle w:val="CETBodytext"/>
              <w:ind w:right="-1"/>
              <w:rPr>
                <w:rFonts w:cs="Arial"/>
                <w:szCs w:val="18"/>
                <w:lang w:val="en-GB"/>
              </w:rPr>
            </w:pPr>
            <w:r w:rsidRPr="00C71561">
              <w:rPr>
                <w:lang w:val="es-PE"/>
              </w:rPr>
              <w:t>plastic PETs</w:t>
            </w:r>
          </w:p>
        </w:tc>
        <w:tc>
          <w:tcPr>
            <w:tcW w:w="2693" w:type="dxa"/>
          </w:tcPr>
          <w:p w14:paraId="296EBF45" w14:textId="77777777" w:rsidR="00C62AD3" w:rsidRPr="00C71561" w:rsidRDefault="00C62AD3" w:rsidP="00750748">
            <w:pPr>
              <w:pStyle w:val="CETBodytext"/>
              <w:ind w:right="-1"/>
              <w:rPr>
                <w:rFonts w:cs="Arial"/>
                <w:szCs w:val="18"/>
                <w:lang w:val="en-GB"/>
              </w:rPr>
            </w:pPr>
            <w:r w:rsidRPr="00C71561">
              <w:rPr>
                <w:lang w:val="es-PE"/>
              </w:rPr>
              <w:t>0.60</w:t>
            </w:r>
          </w:p>
        </w:tc>
      </w:tr>
    </w:tbl>
    <w:p w14:paraId="2F6B2030" w14:textId="77777777" w:rsidR="00C62AD3" w:rsidRPr="00C71561" w:rsidRDefault="00C62AD3" w:rsidP="00C62AD3">
      <w:pPr>
        <w:pStyle w:val="CETnumberingbullets"/>
        <w:numPr>
          <w:ilvl w:val="0"/>
          <w:numId w:val="0"/>
        </w:numPr>
        <w:ind w:left="227"/>
      </w:pPr>
    </w:p>
    <w:p w14:paraId="533CD1DA" w14:textId="6723EEC4" w:rsidR="00575952" w:rsidRPr="00C71561" w:rsidRDefault="00C62AD3" w:rsidP="00C62AD3">
      <w:pPr>
        <w:pStyle w:val="CETheadingx"/>
      </w:pPr>
      <w:r w:rsidRPr="00C71561">
        <w:t>Estimation of solid waste taken to final disposa</w:t>
      </w:r>
      <w:r w:rsidR="00BF71DC" w:rsidRPr="00C71561">
        <w:t>l</w:t>
      </w:r>
    </w:p>
    <w:bookmarkEnd w:id="4"/>
    <w:p w14:paraId="49EE5B7A" w14:textId="4F691F5F" w:rsidR="00575952" w:rsidRPr="00C71561" w:rsidRDefault="00BF71DC" w:rsidP="00E63B22">
      <w:pPr>
        <w:pStyle w:val="CETBodytext"/>
        <w:shd w:val="clear" w:color="auto" w:fill="FFFFFF" w:themeFill="background1"/>
      </w:pPr>
      <w:r w:rsidRPr="00C71561">
        <w:t>The different waste from the new world operational base camp, lot 57, whether hazardous or non-hazardous, that arrives at the temporary waste warehouse when its transfer begins, is taken from the warehouse to Bahía 3 (it belongs to the new world operational base) and is then transferred to a boat by river which takes approximately 7 to 10 days to reach Pucallpa to the temporary Megapack waste warehouse that is established there so that it can later be transported by land in trucks which lasts 2 to</w:t>
      </w:r>
      <w:r w:rsidR="00F749F9" w:rsidRPr="00C71561">
        <w:t xml:space="preserve"> 3 more days until it arrives. A</w:t>
      </w:r>
      <w:r w:rsidRPr="00C71561">
        <w:t>s a final point to a filling. All this transfer generates expenses in transportation and security fil</w:t>
      </w:r>
      <w:r w:rsidR="00F70C33" w:rsidRPr="00C71561">
        <w:t>ling, which are shown in table 2</w:t>
      </w:r>
      <w:r w:rsidRPr="00C71561">
        <w:t>.</w:t>
      </w:r>
    </w:p>
    <w:p w14:paraId="216AAA00" w14:textId="541C9156" w:rsidR="00BF71DC" w:rsidRPr="00C71561" w:rsidRDefault="00F70C33" w:rsidP="00BF71DC">
      <w:pPr>
        <w:pStyle w:val="CETTabletitle"/>
        <w:rPr>
          <w:lang w:val="en-US"/>
        </w:rPr>
      </w:pPr>
      <w:r w:rsidRPr="00C71561">
        <w:rPr>
          <w:lang w:val="en-US"/>
        </w:rPr>
        <w:t>Table 2</w:t>
      </w:r>
      <w:r w:rsidR="00BF71DC" w:rsidRPr="00C71561">
        <w:rPr>
          <w:lang w:val="en-US"/>
        </w:rPr>
        <w:t>: Transportation costs and final disposal of hazardous and non-hazardous solid waste</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827"/>
        <w:gridCol w:w="2449"/>
        <w:gridCol w:w="2143"/>
      </w:tblGrid>
      <w:tr w:rsidR="00BF71DC" w:rsidRPr="00C71561" w14:paraId="71352BF8" w14:textId="77777777" w:rsidTr="00750748">
        <w:trPr>
          <w:trHeight w:val="237"/>
        </w:trPr>
        <w:tc>
          <w:tcPr>
            <w:tcW w:w="3827" w:type="dxa"/>
          </w:tcPr>
          <w:p w14:paraId="140873C1" w14:textId="77777777" w:rsidR="00BF71DC" w:rsidRPr="00C71561" w:rsidRDefault="00BF71DC" w:rsidP="00750748">
            <w:pPr>
              <w:pStyle w:val="CETBodytext"/>
              <w:rPr>
                <w:bCs/>
              </w:rPr>
            </w:pPr>
            <w:r w:rsidRPr="00C71561">
              <w:t> </w:t>
            </w:r>
          </w:p>
        </w:tc>
        <w:tc>
          <w:tcPr>
            <w:tcW w:w="2449" w:type="dxa"/>
          </w:tcPr>
          <w:p w14:paraId="234D7DF8" w14:textId="77777777" w:rsidR="00BF71DC" w:rsidRPr="00C71561" w:rsidRDefault="00BF71DC" w:rsidP="00750748">
            <w:pPr>
              <w:pStyle w:val="CETBodytext"/>
            </w:pPr>
            <w:r w:rsidRPr="00C71561">
              <w:t>No dangerous (Petramas)</w:t>
            </w:r>
          </w:p>
          <w:p w14:paraId="6EE6582D" w14:textId="39DBB68A" w:rsidR="00BF71DC" w:rsidRPr="00C71561" w:rsidRDefault="00BF71DC" w:rsidP="00750748">
            <w:pPr>
              <w:pStyle w:val="CETBodytext"/>
              <w:jc w:val="center"/>
              <w:rPr>
                <w:bCs/>
                <w:lang w:val="en-GB"/>
              </w:rPr>
            </w:pPr>
            <w:r w:rsidRPr="00C71561">
              <w:t>costs</w:t>
            </w:r>
            <w:r w:rsidR="0058140C" w:rsidRPr="00C71561">
              <w:t xml:space="preserve"> (S/</w:t>
            </w:r>
            <w:r w:rsidRPr="00C71561">
              <w:t>)</w:t>
            </w:r>
          </w:p>
        </w:tc>
        <w:tc>
          <w:tcPr>
            <w:tcW w:w="2143" w:type="dxa"/>
          </w:tcPr>
          <w:p w14:paraId="15D1A252" w14:textId="77777777" w:rsidR="00BF71DC" w:rsidRPr="00C71561" w:rsidRDefault="00BF71DC" w:rsidP="00750748">
            <w:pPr>
              <w:pStyle w:val="CETBodytext"/>
              <w:jc w:val="center"/>
              <w:rPr>
                <w:lang w:val="es-ES"/>
              </w:rPr>
            </w:pPr>
            <w:r w:rsidRPr="00C71561">
              <w:rPr>
                <w:lang w:val="es-ES"/>
              </w:rPr>
              <w:t>Dangerous (Taris)</w:t>
            </w:r>
          </w:p>
          <w:p w14:paraId="264CF3E4" w14:textId="59D79AD5" w:rsidR="00BF71DC" w:rsidRPr="00C71561" w:rsidRDefault="00BF71DC" w:rsidP="00750748">
            <w:pPr>
              <w:pStyle w:val="CETBodytext"/>
              <w:jc w:val="center"/>
              <w:rPr>
                <w:bCs/>
                <w:lang w:val="es-PE"/>
              </w:rPr>
            </w:pPr>
            <w:r w:rsidRPr="00C71561">
              <w:t>costs</w:t>
            </w:r>
            <w:r w:rsidR="0058140C" w:rsidRPr="00C71561">
              <w:t xml:space="preserve"> (S/</w:t>
            </w:r>
            <w:r w:rsidRPr="00C71561">
              <w:t>)</w:t>
            </w:r>
          </w:p>
        </w:tc>
      </w:tr>
      <w:tr w:rsidR="00BF71DC" w:rsidRPr="00C71561" w14:paraId="4BAB6F1C" w14:textId="77777777" w:rsidTr="00750748">
        <w:trPr>
          <w:trHeight w:val="500"/>
        </w:trPr>
        <w:tc>
          <w:tcPr>
            <w:tcW w:w="3827" w:type="dxa"/>
          </w:tcPr>
          <w:p w14:paraId="1FE4C780" w14:textId="77777777" w:rsidR="00BF71DC" w:rsidRPr="00C71561" w:rsidRDefault="00BF71DC" w:rsidP="00750748">
            <w:pPr>
              <w:pStyle w:val="CETBodytext"/>
            </w:pPr>
            <w:r w:rsidRPr="00C71561">
              <w:t>Land transportation cost via Pucallpa - final disposal per ton</w:t>
            </w:r>
          </w:p>
        </w:tc>
        <w:tc>
          <w:tcPr>
            <w:tcW w:w="2449" w:type="dxa"/>
          </w:tcPr>
          <w:p w14:paraId="26C63D76" w14:textId="77777777" w:rsidR="00BF71DC" w:rsidRPr="00C71561" w:rsidRDefault="00BF71DC" w:rsidP="00750748">
            <w:pPr>
              <w:pStyle w:val="CETBodytext"/>
              <w:jc w:val="center"/>
              <w:rPr>
                <w:lang w:val="en-GB"/>
              </w:rPr>
            </w:pPr>
            <w:r w:rsidRPr="00C71561">
              <w:rPr>
                <w:lang w:val="es-ES"/>
              </w:rPr>
              <w:t>498.00</w:t>
            </w:r>
          </w:p>
        </w:tc>
        <w:tc>
          <w:tcPr>
            <w:tcW w:w="2143" w:type="dxa"/>
          </w:tcPr>
          <w:p w14:paraId="1E30A80B" w14:textId="77777777" w:rsidR="00BF71DC" w:rsidRPr="00C71561" w:rsidRDefault="00BF71DC" w:rsidP="00750748">
            <w:pPr>
              <w:pStyle w:val="CETBodytext"/>
              <w:jc w:val="center"/>
              <w:rPr>
                <w:lang w:val="es-PE"/>
              </w:rPr>
            </w:pPr>
            <w:r w:rsidRPr="00C71561">
              <w:rPr>
                <w:lang w:val="es-ES"/>
              </w:rPr>
              <w:t>498.00</w:t>
            </w:r>
          </w:p>
        </w:tc>
      </w:tr>
      <w:tr w:rsidR="00BF71DC" w:rsidRPr="00C71561" w14:paraId="556FAEA4" w14:textId="77777777" w:rsidTr="00750748">
        <w:trPr>
          <w:trHeight w:val="237"/>
        </w:trPr>
        <w:tc>
          <w:tcPr>
            <w:tcW w:w="3827" w:type="dxa"/>
          </w:tcPr>
          <w:p w14:paraId="0AD25918" w14:textId="77777777" w:rsidR="00BF71DC" w:rsidRPr="00C71561" w:rsidRDefault="00BF71DC" w:rsidP="00750748">
            <w:pPr>
              <w:pStyle w:val="CETBodytext"/>
              <w:ind w:right="-1"/>
              <w:rPr>
                <w:rFonts w:cs="Arial"/>
                <w:szCs w:val="18"/>
              </w:rPr>
            </w:pPr>
            <w:r w:rsidRPr="00C71561">
              <w:t>Waste disposal cost per ton</w:t>
            </w:r>
          </w:p>
        </w:tc>
        <w:tc>
          <w:tcPr>
            <w:tcW w:w="2449" w:type="dxa"/>
          </w:tcPr>
          <w:p w14:paraId="42B0B1FB" w14:textId="77777777" w:rsidR="00BF71DC" w:rsidRPr="00C71561" w:rsidRDefault="00BF71DC" w:rsidP="00750748">
            <w:pPr>
              <w:pStyle w:val="CETBodytext"/>
              <w:ind w:right="-1"/>
              <w:jc w:val="center"/>
              <w:rPr>
                <w:rFonts w:cs="Arial"/>
                <w:szCs w:val="18"/>
                <w:lang w:val="en-GB"/>
              </w:rPr>
            </w:pPr>
            <w:r w:rsidRPr="00C71561">
              <w:rPr>
                <w:lang w:val="es-ES"/>
              </w:rPr>
              <w:t>35.00</w:t>
            </w:r>
          </w:p>
        </w:tc>
        <w:tc>
          <w:tcPr>
            <w:tcW w:w="2143" w:type="dxa"/>
          </w:tcPr>
          <w:p w14:paraId="0FA8AFDF" w14:textId="77777777" w:rsidR="00BF71DC" w:rsidRPr="00C71561" w:rsidRDefault="00BF71DC" w:rsidP="00750748">
            <w:pPr>
              <w:pStyle w:val="CETBodytext"/>
              <w:ind w:right="-1"/>
              <w:jc w:val="center"/>
              <w:rPr>
                <w:lang w:val="es-PE"/>
              </w:rPr>
            </w:pPr>
            <w:r w:rsidRPr="00C71561">
              <w:rPr>
                <w:lang w:val="es-ES"/>
              </w:rPr>
              <w:t>350.00</w:t>
            </w:r>
          </w:p>
        </w:tc>
      </w:tr>
    </w:tbl>
    <w:p w14:paraId="388B9EFF" w14:textId="77777777" w:rsidR="00BF71DC" w:rsidRPr="00C71561" w:rsidRDefault="00BF71DC" w:rsidP="00BF71DC">
      <w:pPr>
        <w:pStyle w:val="CETBodytext"/>
      </w:pPr>
    </w:p>
    <w:p w14:paraId="2E002335" w14:textId="1120EEB5" w:rsidR="00575952" w:rsidRPr="00C71561" w:rsidRDefault="0058140C" w:rsidP="0058140C">
      <w:pPr>
        <w:pStyle w:val="CETheadingx"/>
        <w:rPr>
          <w:lang w:val="es-MX"/>
        </w:rPr>
      </w:pPr>
      <w:r w:rsidRPr="00C71561">
        <w:rPr>
          <w:lang w:val="es-MX"/>
        </w:rPr>
        <w:lastRenderedPageBreak/>
        <w:t>Estimation of economic loss</w:t>
      </w:r>
    </w:p>
    <w:p w14:paraId="56537A4D" w14:textId="709E1881" w:rsidR="00575952" w:rsidRPr="00C71561" w:rsidRDefault="0058140C" w:rsidP="00E63B22">
      <w:pPr>
        <w:pStyle w:val="CETheadingx"/>
        <w:numPr>
          <w:ilvl w:val="0"/>
          <w:numId w:val="0"/>
        </w:numPr>
        <w:shd w:val="clear" w:color="auto" w:fill="FFFFFF" w:themeFill="background1"/>
        <w:jc w:val="both"/>
        <w:rPr>
          <w:b w:val="0"/>
          <w:bCs/>
        </w:rPr>
      </w:pPr>
      <w:r w:rsidRPr="00C71561">
        <w:rPr>
          <w:b w:val="0"/>
          <w:bCs/>
        </w:rPr>
        <w:t xml:space="preserve">The economic loss has become more noticeable, because the existing buyers no longer accepted the marketable waste. In 2017 and in mid-2018, this inconvenience was not much noticed, which is why </w:t>
      </w:r>
      <w:r w:rsidR="00EB3B76" w:rsidRPr="00C71561">
        <w:rPr>
          <w:b w:val="0"/>
          <w:bCs/>
        </w:rPr>
        <w:t>this reduction began to occur. O</w:t>
      </w:r>
      <w:r w:rsidRPr="00C71561">
        <w:rPr>
          <w:b w:val="0"/>
          <w:bCs/>
        </w:rPr>
        <w:t xml:space="preserve">f waste has been put into </w:t>
      </w:r>
      <w:r w:rsidR="004C2FE4" w:rsidRPr="00C71561">
        <w:rPr>
          <w:b w:val="0"/>
          <w:bCs/>
        </w:rPr>
        <w:t xml:space="preserve">the </w:t>
      </w:r>
      <w:r w:rsidRPr="00C71561">
        <w:rPr>
          <w:b w:val="0"/>
          <w:bCs/>
        </w:rPr>
        <w:t>evaluation, which identified that the waste that is marketed especially with PET plastic was being segregated inadequate, since it arrived after 20 days, it arrived with an unpleasant odo</w:t>
      </w:r>
      <w:r w:rsidR="00485487" w:rsidRPr="00C71561">
        <w:rPr>
          <w:b w:val="0"/>
          <w:bCs/>
        </w:rPr>
        <w:t>u</w:t>
      </w:r>
      <w:r w:rsidRPr="00C71561">
        <w:rPr>
          <w:b w:val="0"/>
          <w:bCs/>
        </w:rPr>
        <w:t>r and that in turn was s</w:t>
      </w:r>
      <w:r w:rsidR="00123887" w:rsidRPr="00C71561">
        <w:rPr>
          <w:b w:val="0"/>
          <w:bCs/>
        </w:rPr>
        <w:t>tained with different liquids. W</w:t>
      </w:r>
      <w:r w:rsidRPr="00C71561">
        <w:rPr>
          <w:b w:val="0"/>
          <w:bCs/>
        </w:rPr>
        <w:t xml:space="preserve">hich is why it </w:t>
      </w:r>
      <w:r w:rsidR="00A66423" w:rsidRPr="00C71561">
        <w:rPr>
          <w:b w:val="0"/>
          <w:bCs/>
        </w:rPr>
        <w:t xml:space="preserve">began to hurt their sales. </w:t>
      </w:r>
    </w:p>
    <w:p w14:paraId="14AC8470" w14:textId="2F79EDAF" w:rsidR="00575952" w:rsidRPr="00C71561" w:rsidRDefault="00DE45AB" w:rsidP="00DE45AB">
      <w:pPr>
        <w:pStyle w:val="CETHeading1"/>
      </w:pPr>
      <w:r w:rsidRPr="00C71561">
        <w:t>Results</w:t>
      </w:r>
    </w:p>
    <w:p w14:paraId="1ED487D6" w14:textId="56AD28E0" w:rsidR="004150E5" w:rsidRPr="00C71561" w:rsidRDefault="00DE45AB" w:rsidP="00DE45AB">
      <w:pPr>
        <w:pStyle w:val="CETheadingx"/>
      </w:pPr>
      <w:r w:rsidRPr="00C71561">
        <w:rPr>
          <w:lang w:val="es-MX"/>
        </w:rPr>
        <w:t>Occupational safety</w:t>
      </w:r>
    </w:p>
    <w:p w14:paraId="795BE843" w14:textId="7569845A" w:rsidR="00E63B22" w:rsidRPr="00C71561" w:rsidRDefault="00DE45AB" w:rsidP="00E63B22">
      <w:pPr>
        <w:pStyle w:val="CETBodytext"/>
        <w:shd w:val="clear" w:color="auto" w:fill="FFFFFF" w:themeFill="background1"/>
      </w:pPr>
      <w:r w:rsidRPr="00C71561">
        <w:t xml:space="preserve">The prevention of occupational risks must be understood as a permanent activity that must be integrated into all of the company's actions and at all its hierarchical levels. </w:t>
      </w:r>
      <w:r w:rsidR="004848D9" w:rsidRPr="00C71561">
        <w:t>Employers shall develop and implement occupational health and safety plans in accordance with applicable regulations to include the necessary technical measures to control risks where they occur, assess imminent risks, minimize risks by using safe work methods, processes and equipment and adopt col</w:t>
      </w:r>
      <w:r w:rsidR="00FD0F16" w:rsidRPr="00C71561">
        <w:t>lective protection</w:t>
      </w:r>
      <w:r w:rsidR="004848D9" w:rsidRPr="00C71561">
        <w:t>. Prioritize measures for personal protection, incorporate preventive and/or protective measures based on the best principles recommended by available technical means, provide equipment and personal protective equipment according to the risks, provide the necessary human, material and financial resources to ensure full complian</w:t>
      </w:r>
      <w:r w:rsidR="00226C71" w:rsidRPr="00C71561">
        <w:t>ce with health and safety plans</w:t>
      </w:r>
      <w:r w:rsidR="004848D9" w:rsidRPr="00C71561">
        <w:t>. Figure 2 shows the training status of all Nuevo Mundo Base Camp personnel</w:t>
      </w:r>
      <w:r w:rsidRPr="00C71561">
        <w:t>.</w:t>
      </w:r>
    </w:p>
    <w:p w14:paraId="6C076EF2" w14:textId="77777777" w:rsidR="00FD0F16" w:rsidRPr="00C71561" w:rsidRDefault="00FD0F16" w:rsidP="00E63B22">
      <w:pPr>
        <w:pStyle w:val="CETBodytext"/>
        <w:shd w:val="clear" w:color="auto" w:fill="FFFFFF" w:themeFill="background1"/>
        <w:rPr>
          <w:b/>
          <w:bCs/>
        </w:rPr>
      </w:pPr>
    </w:p>
    <w:p w14:paraId="29D7207F" w14:textId="4055B95A" w:rsidR="001C0E36" w:rsidRPr="00C71561" w:rsidRDefault="001C0E36" w:rsidP="00E63B22">
      <w:pPr>
        <w:pStyle w:val="CETBodytext"/>
        <w:shd w:val="clear" w:color="auto" w:fill="FFFFFF" w:themeFill="background1"/>
      </w:pPr>
      <w:r w:rsidRPr="00C71561">
        <w:rPr>
          <w:noProof/>
        </w:rPr>
        <w:drawing>
          <wp:anchor distT="0" distB="0" distL="114300" distR="114300" simplePos="0" relativeHeight="251659264" behindDoc="0" locked="0" layoutInCell="1" allowOverlap="1" wp14:anchorId="6A2663CB" wp14:editId="6700ACC9">
            <wp:simplePos x="0" y="0"/>
            <wp:positionH relativeFrom="page">
              <wp:posOffset>2731770</wp:posOffset>
            </wp:positionH>
            <wp:positionV relativeFrom="paragraph">
              <wp:posOffset>130810</wp:posOffset>
            </wp:positionV>
            <wp:extent cx="2494915" cy="1879600"/>
            <wp:effectExtent l="0" t="0" r="635" b="635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94915" cy="1879600"/>
                    </a:xfrm>
                    <a:prstGeom prst="rect">
                      <a:avLst/>
                    </a:prstGeom>
                  </pic:spPr>
                </pic:pic>
              </a:graphicData>
            </a:graphic>
            <wp14:sizeRelH relativeFrom="page">
              <wp14:pctWidth>0</wp14:pctWidth>
            </wp14:sizeRelH>
            <wp14:sizeRelV relativeFrom="page">
              <wp14:pctHeight>0</wp14:pctHeight>
            </wp14:sizeRelV>
          </wp:anchor>
        </w:drawing>
      </w:r>
    </w:p>
    <w:p w14:paraId="39233A21" w14:textId="686DF27C" w:rsidR="001C0E36" w:rsidRPr="00C71561" w:rsidRDefault="001C0E36" w:rsidP="00E63B22">
      <w:pPr>
        <w:pStyle w:val="CETBodytext"/>
        <w:shd w:val="clear" w:color="auto" w:fill="FFFFFF" w:themeFill="background1"/>
      </w:pPr>
    </w:p>
    <w:p w14:paraId="379392F5" w14:textId="33799A9F" w:rsidR="001C0E36" w:rsidRPr="00C71561" w:rsidRDefault="001C0E36" w:rsidP="00E63B22">
      <w:pPr>
        <w:pStyle w:val="CETBodytext"/>
        <w:shd w:val="clear" w:color="auto" w:fill="FFFFFF" w:themeFill="background1"/>
      </w:pPr>
    </w:p>
    <w:p w14:paraId="5B2D8287" w14:textId="7BF55ACB" w:rsidR="001C0E36" w:rsidRPr="00C71561" w:rsidRDefault="001C0E36" w:rsidP="00E63B22">
      <w:pPr>
        <w:pStyle w:val="CETBodytext"/>
        <w:shd w:val="clear" w:color="auto" w:fill="FFFFFF" w:themeFill="background1"/>
      </w:pPr>
    </w:p>
    <w:p w14:paraId="0EA91137" w14:textId="07061B03" w:rsidR="001C0E36" w:rsidRPr="00C71561" w:rsidRDefault="001C0E36" w:rsidP="00E63B22">
      <w:pPr>
        <w:pStyle w:val="CETBodytext"/>
        <w:shd w:val="clear" w:color="auto" w:fill="FFFFFF" w:themeFill="background1"/>
      </w:pPr>
    </w:p>
    <w:p w14:paraId="10470621" w14:textId="0FC2D0C5" w:rsidR="001C0E36" w:rsidRPr="00C71561" w:rsidRDefault="001C0E36" w:rsidP="00E63B22">
      <w:pPr>
        <w:pStyle w:val="CETBodytext"/>
        <w:shd w:val="clear" w:color="auto" w:fill="FFFFFF" w:themeFill="background1"/>
      </w:pPr>
    </w:p>
    <w:p w14:paraId="3FCFD28F" w14:textId="22CD8C3F" w:rsidR="001C0E36" w:rsidRPr="00C71561" w:rsidRDefault="001C0E36" w:rsidP="00E63B22">
      <w:pPr>
        <w:pStyle w:val="CETBodytext"/>
        <w:shd w:val="clear" w:color="auto" w:fill="FFFFFF" w:themeFill="background1"/>
      </w:pPr>
    </w:p>
    <w:p w14:paraId="428A0DA0" w14:textId="741A43BA" w:rsidR="001C0E36" w:rsidRPr="00C71561" w:rsidRDefault="001C0E36" w:rsidP="00E63B22">
      <w:pPr>
        <w:pStyle w:val="CETBodytext"/>
        <w:shd w:val="clear" w:color="auto" w:fill="FFFFFF" w:themeFill="background1"/>
      </w:pPr>
    </w:p>
    <w:p w14:paraId="2EA53760" w14:textId="480CE8FB" w:rsidR="001C0E36" w:rsidRPr="00C71561" w:rsidRDefault="001C0E36" w:rsidP="00E63B22">
      <w:pPr>
        <w:pStyle w:val="CETBodytext"/>
        <w:shd w:val="clear" w:color="auto" w:fill="FFFFFF" w:themeFill="background1"/>
      </w:pPr>
    </w:p>
    <w:p w14:paraId="3252BB81" w14:textId="2AF000EE" w:rsidR="001C0E36" w:rsidRPr="00C71561" w:rsidRDefault="001C0E36" w:rsidP="00E63B22">
      <w:pPr>
        <w:pStyle w:val="CETBodytext"/>
        <w:shd w:val="clear" w:color="auto" w:fill="FFFFFF" w:themeFill="background1"/>
      </w:pPr>
    </w:p>
    <w:p w14:paraId="546085B9" w14:textId="15F6ED31" w:rsidR="001C0E36" w:rsidRPr="00C71561" w:rsidRDefault="001C0E36" w:rsidP="00E63B22">
      <w:pPr>
        <w:pStyle w:val="CETBodytext"/>
        <w:shd w:val="clear" w:color="auto" w:fill="FFFFFF" w:themeFill="background1"/>
      </w:pPr>
    </w:p>
    <w:p w14:paraId="5C10DD69" w14:textId="77777777" w:rsidR="0047032A" w:rsidRPr="00C71561" w:rsidRDefault="0047032A" w:rsidP="00E63B22">
      <w:pPr>
        <w:pStyle w:val="CETCaption"/>
        <w:shd w:val="clear" w:color="auto" w:fill="FFFFFF" w:themeFill="background1"/>
        <w:rPr>
          <w:rStyle w:val="CETCaptionCarattere"/>
          <w:i/>
          <w:lang w:val="en-US"/>
        </w:rPr>
      </w:pPr>
    </w:p>
    <w:p w14:paraId="601289D7" w14:textId="1892E665" w:rsidR="00947435" w:rsidRPr="00C71561" w:rsidRDefault="002A04AE" w:rsidP="00E63B22">
      <w:pPr>
        <w:pStyle w:val="CETCaption"/>
        <w:shd w:val="clear" w:color="auto" w:fill="FFFFFF" w:themeFill="background1"/>
        <w:rPr>
          <w:lang w:val="en-US"/>
        </w:rPr>
      </w:pPr>
      <w:r w:rsidRPr="00C71561">
        <w:rPr>
          <w:rStyle w:val="CETCaptionCarattere"/>
          <w:i/>
          <w:lang w:val="en-US"/>
        </w:rPr>
        <w:t>Figure 2</w:t>
      </w:r>
      <w:r w:rsidR="00375315" w:rsidRPr="00C71561">
        <w:rPr>
          <w:rStyle w:val="CETCaptionCarattere"/>
          <w:i/>
          <w:lang w:val="en-US"/>
        </w:rPr>
        <w:t>: Training for personnel at the Nuevo Mundo operational base camp</w:t>
      </w:r>
    </w:p>
    <w:p w14:paraId="39616620" w14:textId="585CB94E" w:rsidR="00575952" w:rsidRPr="00C71561" w:rsidRDefault="00E62834" w:rsidP="00E62834">
      <w:pPr>
        <w:pStyle w:val="CETheadingx"/>
        <w:numPr>
          <w:ilvl w:val="1"/>
          <w:numId w:val="25"/>
        </w:numPr>
        <w:shd w:val="clear" w:color="auto" w:fill="FFFFFF" w:themeFill="background1"/>
      </w:pPr>
      <w:r w:rsidRPr="00C71561">
        <w:t>Estimation of economic losses in PET plastic</w:t>
      </w:r>
    </w:p>
    <w:p w14:paraId="68979E42" w14:textId="74383CA9" w:rsidR="00575952" w:rsidRPr="00C71561" w:rsidRDefault="00E62834" w:rsidP="002138D4">
      <w:pPr>
        <w:pStyle w:val="CETBodytext"/>
        <w:shd w:val="clear" w:color="auto" w:fill="FFFFFF" w:themeFill="background1"/>
      </w:pPr>
      <w:r w:rsidRPr="00C71561">
        <w:t>Polyethylene terephthalate (PET) is a recyclable material that is increasing, causing adverse environmental effects due to the current ways of disposing of PET products, once th</w:t>
      </w:r>
      <w:r w:rsidR="00D07E14" w:rsidRPr="00C71561">
        <w:t xml:space="preserve">ey are used by the end consumer </w:t>
      </w:r>
      <w:r w:rsidR="00575952" w:rsidRPr="00C71561">
        <w:rPr>
          <w:lang w:val="es-MX"/>
        </w:rPr>
        <w:fldChar w:fldCharType="begin" w:fldLock="1"/>
      </w:r>
      <w:r w:rsidR="00575952" w:rsidRPr="00C71561">
        <w:instrText>ADDIN CSL_CITATION {"citationItems":[{"id":"ITEM-1","itemData":{"DOI":"10.22507/rli.v15n1a6","author":[{"dropping-particle":"","family":"Valderrama","given":"María","non-dropping-particle":"","parse-names":false,"suffix":""},{"dropping-particle":"","family":"Chavarro","given":"Luz","non-dropping-particle":"","parse-names":false,"suffix":""},{"dropping-particle":"","family":"Osorio","given":"Juan","non-dropping-particle":"","parse-names":false,"suffix":""},{"dropping-particle":"","family":"Peña","given":"Claudia","non-dropping-particle":"","parse-names":false,"suffix":""}],"container-title":"LASALLISTA de investigación","id":"ITEM-1","issue":"1","issued":{"date-parts":[["2017"]]},"page":"67-74","title":"Estudio dinámico del reciclaje de envases pet en el Valle del Cauca","type":"article-journal","volume":"15"},"uris":["http://www.mendeley.com/documents/?uuid=f2685c28-5983-4bc4-90b7-0a68ea0f248b"]}],"mendeley":{"formattedCitation":"(Valderrama et al., 2017)","plainTextFormattedCitation":"(Valderrama et al., 2017)","previouslyFormattedCitation":"(Valderrama et al., 2017)"},"properties":{"noteIndex":0},"schema":"https://github.com/citation-style-language/schema/raw/master/csl-citation.json"}</w:instrText>
      </w:r>
      <w:r w:rsidR="00575952" w:rsidRPr="00C71561">
        <w:rPr>
          <w:lang w:val="es-MX"/>
        </w:rPr>
        <w:fldChar w:fldCharType="separate"/>
      </w:r>
      <w:r w:rsidR="00575952" w:rsidRPr="00C71561">
        <w:rPr>
          <w:noProof/>
        </w:rPr>
        <w:t>(Valderrama et al., 2017)</w:t>
      </w:r>
      <w:r w:rsidR="00575952" w:rsidRPr="00C71561">
        <w:rPr>
          <w:lang w:val="es-MX"/>
        </w:rPr>
        <w:fldChar w:fldCharType="end"/>
      </w:r>
      <w:r w:rsidR="00575952" w:rsidRPr="00C71561">
        <w:t xml:space="preserve">. </w:t>
      </w:r>
      <w:r w:rsidR="00D07E14" w:rsidRPr="00C71561">
        <w:t xml:space="preserve">A large amount of PET consumed becomes waste and requires a large area for storage. Many of these tons of material cannot be completely recycled </w:t>
      </w:r>
      <w:r w:rsidR="00575952" w:rsidRPr="00C71561">
        <w:rPr>
          <w:lang w:val="es-MX"/>
        </w:rPr>
        <w:fldChar w:fldCharType="begin" w:fldLock="1"/>
      </w:r>
      <w:r w:rsidR="008D7A9B" w:rsidRPr="00C71561">
        <w:instrText>ADDIN CSL_CITATION {"citationItems":[{"id":"ITEM-1","itemData":{"DOI":"10.18041/1794-4953/avances.2.6942","author":[{"dropping-particle":"","family":"Saucedo","given":"Jhon","non-dropping-particle":"","parse-names":false,"suffix":""},{"dropping-particle":"","family":"Atoche","given":"Jorge","non-dropping-particle":"","parse-names":false,"suffix":""},{"dropping-particle":"","family":"Muñoz","given":"Sócrates","non-dropping-particle":"","parse-names":false,"suffix":""}],"container-title":"Avances Investigación en Ingeniería","id":"ITEM-1","issue":"2","issued":{"date-parts":[["2021"]]},"title":"Uso de los agregados PET en la elaboración del concreto: Revisión de la literatura","type":"article-journal","volume":"18"},"uris":["http://www.mendeley.com/documents/?uuid=5d7ffd82-f941-4046-abc4-b48e988c676f"]}],"mendeley":{"formattedCitation":"(Saucedo et al., 2021)","plainTextFormattedCitation":"(Saucedo et al., 2021)","previouslyFormattedCitation":"(Saucedo et al., 2021)"},"properties":{"noteIndex":0},"schema":"https://github.com/citation-style-language/schema/raw/master/csl-citation.json"}</w:instrText>
      </w:r>
      <w:r w:rsidR="00575952" w:rsidRPr="00C71561">
        <w:rPr>
          <w:lang w:val="es-MX"/>
        </w:rPr>
        <w:fldChar w:fldCharType="separate"/>
      </w:r>
      <w:r w:rsidR="00575952" w:rsidRPr="00C71561">
        <w:rPr>
          <w:noProof/>
        </w:rPr>
        <w:t>(Saucedo et al., 2021)</w:t>
      </w:r>
      <w:r w:rsidR="00575952" w:rsidRPr="00C71561">
        <w:rPr>
          <w:lang w:val="es-MX"/>
        </w:rPr>
        <w:fldChar w:fldCharType="end"/>
      </w:r>
      <w:r w:rsidR="00575952" w:rsidRPr="00C71561">
        <w:t>.</w:t>
      </w:r>
    </w:p>
    <w:p w14:paraId="608416E4" w14:textId="4E627C94" w:rsidR="0047032A" w:rsidRPr="00C71561" w:rsidRDefault="00F70C33" w:rsidP="0047032A">
      <w:pPr>
        <w:pStyle w:val="CETTabletitle"/>
        <w:rPr>
          <w:lang w:val="en-US"/>
        </w:rPr>
      </w:pPr>
      <w:r w:rsidRPr="00C71561">
        <w:rPr>
          <w:lang w:val="en-US"/>
        </w:rPr>
        <w:t>Table 3</w:t>
      </w:r>
      <w:r w:rsidR="0047032A" w:rsidRPr="00C71561">
        <w:rPr>
          <w:lang w:val="en-US"/>
        </w:rPr>
        <w:t>: Expenses made in moving PET plastic to final disposal 2017, 2018 and 2019</w:t>
      </w:r>
    </w:p>
    <w:tbl>
      <w:tblPr>
        <w:tblW w:w="9224"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012"/>
        <w:gridCol w:w="1678"/>
        <w:gridCol w:w="1510"/>
        <w:gridCol w:w="2012"/>
        <w:gridCol w:w="2012"/>
      </w:tblGrid>
      <w:tr w:rsidR="0047032A" w:rsidRPr="00C71561" w14:paraId="1CBAE922" w14:textId="77777777" w:rsidTr="0006035D">
        <w:trPr>
          <w:trHeight w:val="475"/>
        </w:trPr>
        <w:tc>
          <w:tcPr>
            <w:tcW w:w="2012" w:type="dxa"/>
            <w:vAlign w:val="center"/>
          </w:tcPr>
          <w:p w14:paraId="466F1C71" w14:textId="77777777" w:rsidR="0047032A" w:rsidRPr="00C71561" w:rsidRDefault="0047032A" w:rsidP="00750748">
            <w:pPr>
              <w:pStyle w:val="CETBodytext"/>
              <w:rPr>
                <w:rFonts w:cs="Arial"/>
                <w:szCs w:val="18"/>
              </w:rPr>
            </w:pPr>
            <w:r w:rsidRPr="00C71561">
              <w:rPr>
                <w:rFonts w:cs="Arial"/>
                <w:color w:val="000000"/>
                <w:szCs w:val="18"/>
                <w:lang w:eastAsia="es-PE"/>
              </w:rPr>
              <w:t> </w:t>
            </w:r>
          </w:p>
        </w:tc>
        <w:tc>
          <w:tcPr>
            <w:tcW w:w="1678" w:type="dxa"/>
            <w:vAlign w:val="center"/>
          </w:tcPr>
          <w:p w14:paraId="2FA2FF4E" w14:textId="366381B0" w:rsidR="0047032A" w:rsidRPr="00C71561" w:rsidRDefault="0019577B" w:rsidP="00750748">
            <w:pPr>
              <w:pStyle w:val="CETBodytext"/>
              <w:rPr>
                <w:rFonts w:cs="Arial"/>
                <w:szCs w:val="18"/>
                <w:lang w:val="en-GB"/>
              </w:rPr>
            </w:pPr>
            <w:r w:rsidRPr="00C71561">
              <w:rPr>
                <w:rFonts w:cs="Arial"/>
                <w:color w:val="000000"/>
                <w:szCs w:val="18"/>
                <w:lang w:val="es-PE" w:eastAsia="es-PE"/>
              </w:rPr>
              <w:t>A</w:t>
            </w:r>
            <w:r w:rsidR="000279DF" w:rsidRPr="00C71561">
              <w:rPr>
                <w:rFonts w:cs="Arial"/>
                <w:color w:val="000000"/>
                <w:szCs w:val="18"/>
                <w:lang w:val="es-PE" w:eastAsia="es-PE"/>
              </w:rPr>
              <w:t>mount in ton</w:t>
            </w:r>
          </w:p>
        </w:tc>
        <w:tc>
          <w:tcPr>
            <w:tcW w:w="1510" w:type="dxa"/>
            <w:vAlign w:val="center"/>
          </w:tcPr>
          <w:p w14:paraId="1B292E87" w14:textId="77777777" w:rsidR="0047032A" w:rsidRPr="00C71561" w:rsidRDefault="0047032A" w:rsidP="00750748">
            <w:pPr>
              <w:pStyle w:val="CETBodytext"/>
              <w:rPr>
                <w:rFonts w:cs="Arial"/>
                <w:szCs w:val="18"/>
                <w:lang w:val="en-GB"/>
              </w:rPr>
            </w:pPr>
            <w:r w:rsidRPr="00C71561">
              <w:rPr>
                <w:rFonts w:cs="Arial"/>
                <w:color w:val="000000"/>
                <w:szCs w:val="18"/>
                <w:lang w:val="es-PE" w:eastAsia="es-PE"/>
              </w:rPr>
              <w:t>Transport</w:t>
            </w:r>
          </w:p>
        </w:tc>
        <w:tc>
          <w:tcPr>
            <w:tcW w:w="2012" w:type="dxa"/>
            <w:vAlign w:val="center"/>
          </w:tcPr>
          <w:p w14:paraId="15EAA6B2" w14:textId="77777777"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Final disposition</w:t>
            </w:r>
          </w:p>
        </w:tc>
        <w:tc>
          <w:tcPr>
            <w:tcW w:w="2012" w:type="dxa"/>
            <w:vAlign w:val="center"/>
          </w:tcPr>
          <w:p w14:paraId="6609B03C" w14:textId="78782E4B"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Total cost (S/)</w:t>
            </w:r>
          </w:p>
        </w:tc>
      </w:tr>
      <w:tr w:rsidR="0047032A" w:rsidRPr="00C71561" w14:paraId="2F75E619" w14:textId="77777777" w:rsidTr="0006035D">
        <w:trPr>
          <w:trHeight w:val="499"/>
        </w:trPr>
        <w:tc>
          <w:tcPr>
            <w:tcW w:w="2012" w:type="dxa"/>
            <w:vAlign w:val="center"/>
          </w:tcPr>
          <w:p w14:paraId="498E7014" w14:textId="77777777" w:rsidR="0047032A" w:rsidRPr="00C71561" w:rsidRDefault="0047032A" w:rsidP="00750748">
            <w:pPr>
              <w:pStyle w:val="CETBodytext"/>
              <w:rPr>
                <w:rFonts w:cs="Arial"/>
                <w:szCs w:val="18"/>
                <w:lang w:val="en-GB"/>
              </w:rPr>
            </w:pPr>
            <w:r w:rsidRPr="00C71561">
              <w:rPr>
                <w:rFonts w:cs="Arial"/>
                <w:color w:val="000000"/>
                <w:szCs w:val="18"/>
                <w:lang w:val="es-PE" w:eastAsia="es-PE"/>
              </w:rPr>
              <w:t>Plastic PET 2017</w:t>
            </w:r>
          </w:p>
        </w:tc>
        <w:tc>
          <w:tcPr>
            <w:tcW w:w="1678" w:type="dxa"/>
            <w:vAlign w:val="center"/>
          </w:tcPr>
          <w:p w14:paraId="786E87FA" w14:textId="0CB44CEB" w:rsidR="0047032A" w:rsidRPr="00C71561" w:rsidRDefault="000279DF" w:rsidP="00750748">
            <w:pPr>
              <w:pStyle w:val="CETBodytext"/>
              <w:rPr>
                <w:rFonts w:cs="Arial"/>
                <w:szCs w:val="18"/>
                <w:lang w:val="en-GB"/>
              </w:rPr>
            </w:pPr>
            <w:r w:rsidRPr="00C71561">
              <w:rPr>
                <w:rFonts w:cs="Arial"/>
                <w:color w:val="000000"/>
                <w:szCs w:val="18"/>
                <w:lang w:val="es-PE" w:eastAsia="es-PE"/>
              </w:rPr>
              <w:t>36.</w:t>
            </w:r>
            <w:r w:rsidR="0047032A" w:rsidRPr="00C71561">
              <w:rPr>
                <w:rFonts w:cs="Arial"/>
                <w:color w:val="000000"/>
                <w:szCs w:val="18"/>
                <w:lang w:val="es-PE" w:eastAsia="es-PE"/>
              </w:rPr>
              <w:t>960 (62 %)</w:t>
            </w:r>
          </w:p>
        </w:tc>
        <w:tc>
          <w:tcPr>
            <w:tcW w:w="1510" w:type="dxa"/>
            <w:vAlign w:val="center"/>
          </w:tcPr>
          <w:p w14:paraId="4363846C" w14:textId="78A458A5" w:rsidR="0047032A" w:rsidRPr="00C71561" w:rsidRDefault="0047032A" w:rsidP="00750748">
            <w:pPr>
              <w:pStyle w:val="CETBodytext"/>
              <w:rPr>
                <w:rFonts w:cs="Arial"/>
                <w:szCs w:val="18"/>
                <w:lang w:val="en-GB"/>
              </w:rPr>
            </w:pPr>
            <w:r w:rsidRPr="00C71561">
              <w:rPr>
                <w:rFonts w:cs="Arial"/>
                <w:color w:val="000000"/>
                <w:szCs w:val="18"/>
                <w:lang w:val="es-PE" w:eastAsia="es-PE"/>
              </w:rPr>
              <w:t>18</w:t>
            </w:r>
            <w:r w:rsidR="005021AD" w:rsidRPr="00C71561">
              <w:rPr>
                <w:rFonts w:cs="Arial"/>
                <w:color w:val="000000"/>
                <w:szCs w:val="18"/>
                <w:lang w:val="es-PE" w:eastAsia="es-PE"/>
              </w:rPr>
              <w:t>,</w:t>
            </w:r>
            <w:r w:rsidRPr="00C71561">
              <w:rPr>
                <w:rFonts w:cs="Arial"/>
                <w:color w:val="000000"/>
                <w:szCs w:val="18"/>
                <w:lang w:val="es-PE" w:eastAsia="es-PE"/>
              </w:rPr>
              <w:t>406.08</w:t>
            </w:r>
          </w:p>
        </w:tc>
        <w:tc>
          <w:tcPr>
            <w:tcW w:w="2012" w:type="dxa"/>
            <w:vAlign w:val="center"/>
          </w:tcPr>
          <w:p w14:paraId="5BDBEDC9" w14:textId="0C567564"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1</w:t>
            </w:r>
            <w:r w:rsidR="005021AD" w:rsidRPr="00C71561">
              <w:rPr>
                <w:rFonts w:cs="Arial"/>
                <w:color w:val="000000"/>
                <w:szCs w:val="18"/>
                <w:lang w:val="es-PE" w:eastAsia="es-PE"/>
              </w:rPr>
              <w:t>,</w:t>
            </w:r>
            <w:r w:rsidRPr="00C71561">
              <w:rPr>
                <w:rFonts w:cs="Arial"/>
                <w:color w:val="000000"/>
                <w:szCs w:val="18"/>
                <w:lang w:val="es-PE" w:eastAsia="es-PE"/>
              </w:rPr>
              <w:t>293.60</w:t>
            </w:r>
          </w:p>
        </w:tc>
        <w:tc>
          <w:tcPr>
            <w:tcW w:w="2012" w:type="dxa"/>
            <w:vAlign w:val="center"/>
          </w:tcPr>
          <w:p w14:paraId="1F3E2DF6" w14:textId="432B5B08"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19</w:t>
            </w:r>
            <w:r w:rsidR="005021AD" w:rsidRPr="00C71561">
              <w:rPr>
                <w:rFonts w:cs="Arial"/>
                <w:color w:val="000000"/>
                <w:szCs w:val="18"/>
                <w:lang w:val="es-PE" w:eastAsia="es-PE"/>
              </w:rPr>
              <w:t>,</w:t>
            </w:r>
            <w:r w:rsidR="004D5B37" w:rsidRPr="00C71561">
              <w:rPr>
                <w:rFonts w:cs="Arial"/>
                <w:color w:val="000000"/>
                <w:szCs w:val="18"/>
                <w:lang w:val="es-PE" w:eastAsia="es-PE"/>
              </w:rPr>
              <w:t>699.</w:t>
            </w:r>
            <w:r w:rsidRPr="00C71561">
              <w:rPr>
                <w:rFonts w:cs="Arial"/>
                <w:color w:val="000000"/>
                <w:szCs w:val="18"/>
                <w:lang w:val="es-PE" w:eastAsia="es-PE"/>
              </w:rPr>
              <w:t>680 (62 %)</w:t>
            </w:r>
          </w:p>
        </w:tc>
      </w:tr>
      <w:tr w:rsidR="0047032A" w:rsidRPr="00C71561" w14:paraId="2F80D69E" w14:textId="77777777" w:rsidTr="0006035D">
        <w:trPr>
          <w:trHeight w:val="499"/>
        </w:trPr>
        <w:tc>
          <w:tcPr>
            <w:tcW w:w="2012" w:type="dxa"/>
            <w:vAlign w:val="center"/>
          </w:tcPr>
          <w:p w14:paraId="59091B9B" w14:textId="77777777" w:rsidR="0047032A" w:rsidRPr="00C71561" w:rsidRDefault="0047032A" w:rsidP="00750748">
            <w:pPr>
              <w:pStyle w:val="CETBodytext"/>
              <w:rPr>
                <w:rFonts w:cs="Arial"/>
                <w:szCs w:val="18"/>
                <w:lang w:val="en-GB"/>
              </w:rPr>
            </w:pPr>
            <w:r w:rsidRPr="00C71561">
              <w:rPr>
                <w:rFonts w:cs="Arial"/>
                <w:color w:val="000000"/>
                <w:szCs w:val="18"/>
                <w:lang w:val="es-PE" w:eastAsia="es-PE"/>
              </w:rPr>
              <w:t>Plastic PET 2018</w:t>
            </w:r>
          </w:p>
        </w:tc>
        <w:tc>
          <w:tcPr>
            <w:tcW w:w="1678" w:type="dxa"/>
            <w:vAlign w:val="center"/>
          </w:tcPr>
          <w:p w14:paraId="4D74F0EF" w14:textId="34B6D459" w:rsidR="0047032A" w:rsidRPr="00C71561" w:rsidRDefault="005021AD" w:rsidP="005021AD">
            <w:pPr>
              <w:pStyle w:val="CETBodytext"/>
              <w:rPr>
                <w:rFonts w:cs="Arial"/>
                <w:szCs w:val="18"/>
                <w:lang w:val="en-GB"/>
              </w:rPr>
            </w:pPr>
            <w:r w:rsidRPr="00C71561">
              <w:rPr>
                <w:rFonts w:cs="Arial"/>
                <w:color w:val="000000"/>
                <w:szCs w:val="18"/>
                <w:lang w:val="es-PE" w:eastAsia="es-PE"/>
              </w:rPr>
              <w:t>17</w:t>
            </w:r>
            <w:r w:rsidR="000279DF" w:rsidRPr="00C71561">
              <w:rPr>
                <w:rFonts w:cs="Arial"/>
                <w:color w:val="000000"/>
                <w:szCs w:val="18"/>
                <w:lang w:val="es-PE" w:eastAsia="es-PE"/>
              </w:rPr>
              <w:t>.</w:t>
            </w:r>
            <w:r w:rsidR="0047032A" w:rsidRPr="00C71561">
              <w:rPr>
                <w:rFonts w:cs="Arial"/>
                <w:color w:val="000000"/>
                <w:szCs w:val="18"/>
                <w:lang w:val="es-PE" w:eastAsia="es-PE"/>
              </w:rPr>
              <w:t>542 (30 %)</w:t>
            </w:r>
          </w:p>
        </w:tc>
        <w:tc>
          <w:tcPr>
            <w:tcW w:w="1510" w:type="dxa"/>
            <w:vAlign w:val="center"/>
          </w:tcPr>
          <w:p w14:paraId="1A4BE2AF" w14:textId="7CE8E043" w:rsidR="0047032A" w:rsidRPr="00C71561" w:rsidRDefault="0047032A" w:rsidP="00750748">
            <w:pPr>
              <w:pStyle w:val="CETBodytext"/>
              <w:rPr>
                <w:rFonts w:cs="Arial"/>
                <w:szCs w:val="18"/>
                <w:lang w:val="en-GB"/>
              </w:rPr>
            </w:pPr>
            <w:r w:rsidRPr="00C71561">
              <w:rPr>
                <w:rFonts w:cs="Arial"/>
                <w:color w:val="000000"/>
                <w:szCs w:val="18"/>
                <w:lang w:val="es-PE" w:eastAsia="es-PE"/>
              </w:rPr>
              <w:t xml:space="preserve">  8</w:t>
            </w:r>
            <w:r w:rsidR="005021AD" w:rsidRPr="00C71561">
              <w:rPr>
                <w:rFonts w:cs="Arial"/>
                <w:color w:val="000000"/>
                <w:szCs w:val="18"/>
                <w:lang w:val="es-PE" w:eastAsia="es-PE"/>
              </w:rPr>
              <w:t>,</w:t>
            </w:r>
            <w:r w:rsidRPr="00C71561">
              <w:rPr>
                <w:rFonts w:cs="Arial"/>
                <w:color w:val="000000"/>
                <w:szCs w:val="18"/>
                <w:lang w:val="es-PE" w:eastAsia="es-PE"/>
              </w:rPr>
              <w:t>735.916</w:t>
            </w:r>
          </w:p>
        </w:tc>
        <w:tc>
          <w:tcPr>
            <w:tcW w:w="2012" w:type="dxa"/>
            <w:vAlign w:val="center"/>
          </w:tcPr>
          <w:p w14:paraId="6C440F97" w14:textId="77777777"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   613.97                         </w:t>
            </w:r>
          </w:p>
        </w:tc>
        <w:tc>
          <w:tcPr>
            <w:tcW w:w="2012" w:type="dxa"/>
            <w:vAlign w:val="center"/>
          </w:tcPr>
          <w:p w14:paraId="0A1700A8" w14:textId="2F9698EE"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  9</w:t>
            </w:r>
            <w:r w:rsidR="005021AD" w:rsidRPr="00C71561">
              <w:rPr>
                <w:rFonts w:cs="Arial"/>
                <w:color w:val="000000"/>
                <w:szCs w:val="18"/>
                <w:lang w:val="es-PE" w:eastAsia="es-PE"/>
              </w:rPr>
              <w:t>,</w:t>
            </w:r>
            <w:r w:rsidR="004D5B37" w:rsidRPr="00C71561">
              <w:rPr>
                <w:rFonts w:cs="Arial"/>
                <w:color w:val="000000"/>
                <w:szCs w:val="18"/>
                <w:lang w:val="es-PE" w:eastAsia="es-PE"/>
              </w:rPr>
              <w:t>349.</w:t>
            </w:r>
            <w:r w:rsidRPr="00C71561">
              <w:rPr>
                <w:rFonts w:cs="Arial"/>
                <w:color w:val="000000"/>
                <w:szCs w:val="18"/>
                <w:lang w:val="es-PE" w:eastAsia="es-PE"/>
              </w:rPr>
              <w:t>886 (30 %)</w:t>
            </w:r>
          </w:p>
        </w:tc>
      </w:tr>
      <w:tr w:rsidR="0047032A" w:rsidRPr="00C71561" w14:paraId="3C3C3AA6" w14:textId="77777777" w:rsidTr="0006035D">
        <w:trPr>
          <w:trHeight w:val="475"/>
        </w:trPr>
        <w:tc>
          <w:tcPr>
            <w:tcW w:w="2012" w:type="dxa"/>
            <w:vAlign w:val="center"/>
          </w:tcPr>
          <w:p w14:paraId="7CB63DF7" w14:textId="77777777"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Plastic PET 2019        </w:t>
            </w:r>
          </w:p>
        </w:tc>
        <w:tc>
          <w:tcPr>
            <w:tcW w:w="1678" w:type="dxa"/>
            <w:vAlign w:val="center"/>
          </w:tcPr>
          <w:p w14:paraId="76743360" w14:textId="517E8C45"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  </w:t>
            </w:r>
            <w:r w:rsidR="000279DF" w:rsidRPr="00C71561">
              <w:rPr>
                <w:rFonts w:cs="Arial"/>
                <w:color w:val="000000"/>
                <w:szCs w:val="18"/>
                <w:lang w:val="es-PE" w:eastAsia="es-PE"/>
              </w:rPr>
              <w:t>4.</w:t>
            </w:r>
            <w:r w:rsidRPr="00C71561">
              <w:rPr>
                <w:rFonts w:cs="Arial"/>
                <w:color w:val="000000"/>
                <w:szCs w:val="18"/>
                <w:lang w:val="es-PE" w:eastAsia="es-PE"/>
              </w:rPr>
              <w:t>780 (08 %)</w:t>
            </w:r>
          </w:p>
        </w:tc>
        <w:tc>
          <w:tcPr>
            <w:tcW w:w="1510" w:type="dxa"/>
            <w:vAlign w:val="center"/>
          </w:tcPr>
          <w:p w14:paraId="62E3D372" w14:textId="3B7B2734"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  2</w:t>
            </w:r>
            <w:r w:rsidR="005021AD" w:rsidRPr="00C71561">
              <w:rPr>
                <w:rFonts w:cs="Arial"/>
                <w:color w:val="000000"/>
                <w:szCs w:val="18"/>
                <w:lang w:val="es-PE" w:eastAsia="es-PE"/>
              </w:rPr>
              <w:t>,</w:t>
            </w:r>
            <w:r w:rsidRPr="00C71561">
              <w:rPr>
                <w:rFonts w:cs="Arial"/>
                <w:color w:val="000000"/>
                <w:szCs w:val="18"/>
                <w:lang w:val="es-PE" w:eastAsia="es-PE"/>
              </w:rPr>
              <w:t>380.44</w:t>
            </w:r>
          </w:p>
        </w:tc>
        <w:tc>
          <w:tcPr>
            <w:tcW w:w="2012" w:type="dxa"/>
            <w:vAlign w:val="center"/>
          </w:tcPr>
          <w:p w14:paraId="5933BA11" w14:textId="77777777"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   167.30</w:t>
            </w:r>
          </w:p>
        </w:tc>
        <w:tc>
          <w:tcPr>
            <w:tcW w:w="2012" w:type="dxa"/>
            <w:vAlign w:val="center"/>
          </w:tcPr>
          <w:p w14:paraId="30760F78" w14:textId="4749E2C2" w:rsidR="0047032A" w:rsidRPr="00C71561" w:rsidRDefault="0047032A" w:rsidP="00750748">
            <w:pPr>
              <w:pStyle w:val="CETBodytext"/>
              <w:ind w:right="-1"/>
              <w:rPr>
                <w:rFonts w:cs="Arial"/>
                <w:szCs w:val="18"/>
                <w:lang w:val="en-GB"/>
              </w:rPr>
            </w:pPr>
            <w:r w:rsidRPr="00C71561">
              <w:rPr>
                <w:rFonts w:cs="Arial"/>
                <w:color w:val="000000"/>
                <w:szCs w:val="18"/>
                <w:lang w:val="es-PE" w:eastAsia="es-PE"/>
              </w:rPr>
              <w:t xml:space="preserve">  2</w:t>
            </w:r>
            <w:r w:rsidR="005021AD" w:rsidRPr="00C71561">
              <w:rPr>
                <w:rFonts w:cs="Arial"/>
                <w:color w:val="000000"/>
                <w:szCs w:val="18"/>
                <w:lang w:val="es-PE" w:eastAsia="es-PE"/>
              </w:rPr>
              <w:t>,</w:t>
            </w:r>
            <w:r w:rsidR="004D5B37" w:rsidRPr="00C71561">
              <w:rPr>
                <w:rFonts w:cs="Arial"/>
                <w:color w:val="000000"/>
                <w:szCs w:val="18"/>
                <w:lang w:val="es-PE" w:eastAsia="es-PE"/>
              </w:rPr>
              <w:t>547.</w:t>
            </w:r>
            <w:r w:rsidRPr="00C71561">
              <w:rPr>
                <w:rFonts w:cs="Arial"/>
                <w:color w:val="000000"/>
                <w:szCs w:val="18"/>
                <w:lang w:val="es-PE" w:eastAsia="es-PE"/>
              </w:rPr>
              <w:t>740 (8 % )</w:t>
            </w:r>
          </w:p>
        </w:tc>
      </w:tr>
      <w:tr w:rsidR="00BC0EE7" w:rsidRPr="00C71561" w14:paraId="7C3A64C8" w14:textId="77777777" w:rsidTr="0006035D">
        <w:trPr>
          <w:trHeight w:val="475"/>
        </w:trPr>
        <w:tc>
          <w:tcPr>
            <w:tcW w:w="2012" w:type="dxa"/>
            <w:vAlign w:val="center"/>
          </w:tcPr>
          <w:p w14:paraId="22A2AFD5" w14:textId="24889B3B" w:rsidR="00BC0EE7" w:rsidRPr="00C71561" w:rsidRDefault="00707BBE" w:rsidP="00707BBE">
            <w:pPr>
              <w:pStyle w:val="CETBodytext"/>
              <w:ind w:right="-1"/>
              <w:jc w:val="center"/>
              <w:rPr>
                <w:rFonts w:cs="Arial"/>
                <w:color w:val="000000"/>
                <w:szCs w:val="18"/>
                <w:lang w:val="es-PE" w:eastAsia="es-PE"/>
              </w:rPr>
            </w:pPr>
            <w:r w:rsidRPr="00C71561">
              <w:t>Total</w:t>
            </w:r>
          </w:p>
        </w:tc>
        <w:tc>
          <w:tcPr>
            <w:tcW w:w="1678" w:type="dxa"/>
            <w:vAlign w:val="center"/>
          </w:tcPr>
          <w:p w14:paraId="564035FA" w14:textId="5480F271" w:rsidR="00BC0EE7" w:rsidRPr="00C71561" w:rsidRDefault="000279DF" w:rsidP="000279DF">
            <w:pPr>
              <w:pStyle w:val="CETBodytext"/>
              <w:ind w:right="-1"/>
              <w:rPr>
                <w:rFonts w:cs="Arial"/>
                <w:color w:val="000000"/>
                <w:szCs w:val="18"/>
                <w:lang w:val="es-PE" w:eastAsia="es-PE"/>
              </w:rPr>
            </w:pPr>
            <w:r w:rsidRPr="00C71561">
              <w:t>59.</w:t>
            </w:r>
            <w:r w:rsidR="00707BBE" w:rsidRPr="00C71561">
              <w:t>28 (100 %)</w:t>
            </w:r>
          </w:p>
        </w:tc>
        <w:tc>
          <w:tcPr>
            <w:tcW w:w="1510" w:type="dxa"/>
            <w:vAlign w:val="center"/>
          </w:tcPr>
          <w:p w14:paraId="7863891D" w14:textId="77777777" w:rsidR="00BC0EE7" w:rsidRPr="00C71561" w:rsidRDefault="00BC0EE7" w:rsidP="00707BBE">
            <w:pPr>
              <w:pStyle w:val="CETBodytext"/>
              <w:ind w:right="-1"/>
              <w:jc w:val="center"/>
              <w:rPr>
                <w:rFonts w:cs="Arial"/>
                <w:color w:val="000000"/>
                <w:szCs w:val="18"/>
                <w:lang w:val="es-PE" w:eastAsia="es-PE"/>
              </w:rPr>
            </w:pPr>
          </w:p>
        </w:tc>
        <w:tc>
          <w:tcPr>
            <w:tcW w:w="2012" w:type="dxa"/>
            <w:vAlign w:val="center"/>
          </w:tcPr>
          <w:p w14:paraId="1D9020D0" w14:textId="77777777" w:rsidR="00BC0EE7" w:rsidRPr="00C71561" w:rsidRDefault="00BC0EE7" w:rsidP="00707BBE">
            <w:pPr>
              <w:pStyle w:val="CETBodytext"/>
              <w:ind w:right="-1"/>
              <w:jc w:val="center"/>
              <w:rPr>
                <w:rFonts w:cs="Arial"/>
                <w:color w:val="000000"/>
                <w:szCs w:val="18"/>
                <w:lang w:val="es-PE" w:eastAsia="es-PE"/>
              </w:rPr>
            </w:pPr>
          </w:p>
        </w:tc>
        <w:tc>
          <w:tcPr>
            <w:tcW w:w="2012" w:type="dxa"/>
            <w:vAlign w:val="center"/>
          </w:tcPr>
          <w:p w14:paraId="3D478808" w14:textId="4E5BC0D2" w:rsidR="00BC0EE7" w:rsidRPr="00C71561" w:rsidRDefault="005021AD" w:rsidP="00D85F70">
            <w:pPr>
              <w:pStyle w:val="CETBodytext"/>
              <w:ind w:right="-1"/>
              <w:rPr>
                <w:rFonts w:cs="Arial"/>
                <w:color w:val="000000"/>
                <w:szCs w:val="18"/>
                <w:lang w:val="es-PE" w:eastAsia="es-PE"/>
              </w:rPr>
            </w:pPr>
            <w:r w:rsidRPr="00C71561">
              <w:t>31,</w:t>
            </w:r>
            <w:r w:rsidR="004D5B37" w:rsidRPr="00C71561">
              <w:t>597.</w:t>
            </w:r>
            <w:r w:rsidR="00707BBE" w:rsidRPr="00C71561">
              <w:t>30 (100 %)</w:t>
            </w:r>
          </w:p>
        </w:tc>
      </w:tr>
    </w:tbl>
    <w:p w14:paraId="47D65A55" w14:textId="77777777" w:rsidR="00575952" w:rsidRPr="00C71561" w:rsidRDefault="00575952" w:rsidP="00E63B22">
      <w:pPr>
        <w:pStyle w:val="CETListbullets"/>
        <w:shd w:val="clear" w:color="auto" w:fill="FFFFFF" w:themeFill="background1"/>
      </w:pPr>
    </w:p>
    <w:p w14:paraId="0F9BAF59" w14:textId="70EBFA47" w:rsidR="009F1DF3" w:rsidRPr="00C71561" w:rsidRDefault="009F1DF3" w:rsidP="009F1DF3">
      <w:pPr>
        <w:pStyle w:val="CETTabletitle"/>
        <w:jc w:val="both"/>
        <w:rPr>
          <w:rFonts w:cs="Arial"/>
          <w:szCs w:val="18"/>
        </w:rPr>
      </w:pPr>
      <w:r w:rsidRPr="00C71561">
        <w:rPr>
          <w:rFonts w:cs="Arial"/>
          <w:szCs w:val="18"/>
        </w:rPr>
        <w:lastRenderedPageBreak/>
        <w:t xml:space="preserve">Table </w:t>
      </w:r>
      <w:r w:rsidR="00F70C33" w:rsidRPr="00C71561">
        <w:rPr>
          <w:rFonts w:cs="Arial"/>
          <w:szCs w:val="18"/>
        </w:rPr>
        <w:t>4</w:t>
      </w:r>
      <w:r w:rsidRPr="00C71561">
        <w:rPr>
          <w:rFonts w:cs="Arial"/>
          <w:szCs w:val="18"/>
        </w:rPr>
        <w:t>:  Opportunity cost of PET plastic in marketing and transportation during 2017, 2018 and 2019</w:t>
      </w:r>
    </w:p>
    <w:tbl>
      <w:tblPr>
        <w:tblW w:w="921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643"/>
        <w:gridCol w:w="1390"/>
        <w:gridCol w:w="1284"/>
        <w:gridCol w:w="1682"/>
        <w:gridCol w:w="1659"/>
        <w:gridCol w:w="1560"/>
      </w:tblGrid>
      <w:tr w:rsidR="009F1DF3" w:rsidRPr="00C71561" w14:paraId="7E39E235" w14:textId="77777777" w:rsidTr="00D85F70">
        <w:trPr>
          <w:trHeight w:val="837"/>
        </w:trPr>
        <w:tc>
          <w:tcPr>
            <w:tcW w:w="1643" w:type="dxa"/>
            <w:vAlign w:val="center"/>
          </w:tcPr>
          <w:p w14:paraId="62A2A13A" w14:textId="77777777" w:rsidR="009F1DF3" w:rsidRPr="00C71561" w:rsidRDefault="009F1DF3" w:rsidP="00750748">
            <w:pPr>
              <w:pStyle w:val="CETBodytext"/>
              <w:rPr>
                <w:rFonts w:cs="Arial"/>
                <w:szCs w:val="18"/>
                <w:lang w:val="en-GB"/>
              </w:rPr>
            </w:pPr>
            <w:r w:rsidRPr="00C71561">
              <w:rPr>
                <w:rFonts w:cs="Arial"/>
                <w:color w:val="000000"/>
                <w:szCs w:val="18"/>
                <w:lang w:val="en-GB" w:eastAsia="es-PE"/>
              </w:rPr>
              <w:t> </w:t>
            </w:r>
          </w:p>
        </w:tc>
        <w:tc>
          <w:tcPr>
            <w:tcW w:w="1390" w:type="dxa"/>
            <w:vAlign w:val="center"/>
          </w:tcPr>
          <w:p w14:paraId="14101B3E" w14:textId="4F875CB9" w:rsidR="009F1DF3" w:rsidRPr="00C71561" w:rsidRDefault="000279DF" w:rsidP="00750748">
            <w:pPr>
              <w:pStyle w:val="CETBodytext"/>
              <w:jc w:val="center"/>
              <w:rPr>
                <w:rFonts w:cs="Arial"/>
                <w:szCs w:val="18"/>
                <w:lang w:val="en-GB"/>
              </w:rPr>
            </w:pPr>
            <w:r w:rsidRPr="00C71561">
              <w:rPr>
                <w:rFonts w:cs="Arial"/>
                <w:color w:val="000000"/>
                <w:szCs w:val="18"/>
                <w:lang w:val="es-PE" w:eastAsia="es-PE"/>
              </w:rPr>
              <w:t>Amount in ton</w:t>
            </w:r>
          </w:p>
        </w:tc>
        <w:tc>
          <w:tcPr>
            <w:tcW w:w="1284" w:type="dxa"/>
            <w:vAlign w:val="center"/>
          </w:tcPr>
          <w:p w14:paraId="48F1E5F3" w14:textId="200C455F" w:rsidR="009F1DF3" w:rsidRPr="00C71561" w:rsidRDefault="00E04DFE" w:rsidP="00750748">
            <w:pPr>
              <w:pStyle w:val="CETBodytext"/>
              <w:jc w:val="center"/>
              <w:rPr>
                <w:rFonts w:cs="Arial"/>
                <w:szCs w:val="18"/>
                <w:lang w:val="en-GB"/>
              </w:rPr>
            </w:pPr>
            <w:r w:rsidRPr="00C71561">
              <w:rPr>
                <w:rFonts w:cs="Arial"/>
                <w:color w:val="000000"/>
                <w:szCs w:val="18"/>
                <w:lang w:val="es-PE" w:eastAsia="es-PE"/>
              </w:rPr>
              <w:t>C</w:t>
            </w:r>
            <w:r w:rsidR="009F1DF3" w:rsidRPr="00C71561">
              <w:rPr>
                <w:rFonts w:cs="Arial"/>
                <w:color w:val="000000"/>
                <w:szCs w:val="18"/>
                <w:lang w:val="es-PE" w:eastAsia="es-PE"/>
              </w:rPr>
              <w:t>ost per Kg</w:t>
            </w:r>
          </w:p>
        </w:tc>
        <w:tc>
          <w:tcPr>
            <w:tcW w:w="1682" w:type="dxa"/>
            <w:vAlign w:val="center"/>
          </w:tcPr>
          <w:p w14:paraId="030F7F9C" w14:textId="6D72D0D9" w:rsidR="009F1DF3" w:rsidRPr="00C71561" w:rsidRDefault="00E04DFE" w:rsidP="00750748">
            <w:pPr>
              <w:pStyle w:val="CETBodytext"/>
              <w:ind w:right="-1"/>
              <w:jc w:val="center"/>
              <w:rPr>
                <w:rFonts w:cs="Arial"/>
                <w:szCs w:val="18"/>
                <w:lang w:val="en-GB"/>
              </w:rPr>
            </w:pPr>
            <w:r w:rsidRPr="00C71561">
              <w:rPr>
                <w:rFonts w:cs="Arial"/>
                <w:color w:val="000000"/>
                <w:szCs w:val="18"/>
                <w:lang w:val="es-PE" w:eastAsia="es-PE"/>
              </w:rPr>
              <w:t>M</w:t>
            </w:r>
            <w:r w:rsidR="009F1DF3" w:rsidRPr="00C71561">
              <w:rPr>
                <w:rFonts w:cs="Arial"/>
                <w:color w:val="000000"/>
                <w:szCs w:val="18"/>
                <w:lang w:val="es-PE" w:eastAsia="es-PE"/>
              </w:rPr>
              <w:t>arketing cost</w:t>
            </w:r>
          </w:p>
        </w:tc>
        <w:tc>
          <w:tcPr>
            <w:tcW w:w="1659" w:type="dxa"/>
            <w:vAlign w:val="center"/>
          </w:tcPr>
          <w:p w14:paraId="049F3F78" w14:textId="77777777"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Transport cost</w:t>
            </w:r>
          </w:p>
        </w:tc>
        <w:tc>
          <w:tcPr>
            <w:tcW w:w="1560" w:type="dxa"/>
            <w:vAlign w:val="center"/>
          </w:tcPr>
          <w:p w14:paraId="6C52901F" w14:textId="77777777" w:rsidR="009F1DF3" w:rsidRPr="00C71561" w:rsidRDefault="009F1DF3" w:rsidP="00750748">
            <w:pPr>
              <w:pStyle w:val="CETBodytext"/>
              <w:ind w:right="-1"/>
              <w:jc w:val="center"/>
              <w:rPr>
                <w:rFonts w:cs="Arial"/>
                <w:color w:val="000000"/>
                <w:szCs w:val="18"/>
                <w:lang w:val="es-PE" w:eastAsia="es-PE"/>
              </w:rPr>
            </w:pPr>
          </w:p>
          <w:p w14:paraId="366FE891" w14:textId="5B4CF022"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Opportunity cost (S/)</w:t>
            </w:r>
          </w:p>
        </w:tc>
      </w:tr>
      <w:tr w:rsidR="009F1DF3" w:rsidRPr="00C71561" w14:paraId="13D4D921" w14:textId="77777777" w:rsidTr="00D85F70">
        <w:trPr>
          <w:trHeight w:val="428"/>
        </w:trPr>
        <w:tc>
          <w:tcPr>
            <w:tcW w:w="1643" w:type="dxa"/>
            <w:vAlign w:val="center"/>
          </w:tcPr>
          <w:p w14:paraId="0DA7FBCD" w14:textId="77777777" w:rsidR="009F1DF3" w:rsidRPr="00C71561" w:rsidRDefault="009F1DF3" w:rsidP="00750748">
            <w:pPr>
              <w:pStyle w:val="CETBodytext"/>
              <w:rPr>
                <w:rFonts w:cs="Arial"/>
                <w:szCs w:val="18"/>
                <w:lang w:val="en-GB"/>
              </w:rPr>
            </w:pPr>
            <w:r w:rsidRPr="00C71561">
              <w:rPr>
                <w:rFonts w:cs="Arial"/>
                <w:color w:val="000000"/>
                <w:szCs w:val="18"/>
                <w:lang w:val="es-PE" w:eastAsia="es-PE"/>
              </w:rPr>
              <w:t>Plastic PET 2017</w:t>
            </w:r>
          </w:p>
        </w:tc>
        <w:tc>
          <w:tcPr>
            <w:tcW w:w="1390" w:type="dxa"/>
            <w:vAlign w:val="center"/>
          </w:tcPr>
          <w:p w14:paraId="0073945C" w14:textId="563B57EF"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36</w:t>
            </w:r>
            <w:r w:rsidR="008D7E2E" w:rsidRPr="00C71561">
              <w:rPr>
                <w:rFonts w:cs="Arial"/>
                <w:color w:val="000000"/>
                <w:szCs w:val="18"/>
                <w:lang w:val="es-PE" w:eastAsia="es-PE"/>
              </w:rPr>
              <w:t>.</w:t>
            </w:r>
            <w:r w:rsidRPr="00C71561">
              <w:rPr>
                <w:rFonts w:cs="Arial"/>
                <w:color w:val="000000"/>
                <w:szCs w:val="18"/>
                <w:lang w:val="es-PE" w:eastAsia="es-PE"/>
              </w:rPr>
              <w:t>960</w:t>
            </w:r>
          </w:p>
        </w:tc>
        <w:tc>
          <w:tcPr>
            <w:tcW w:w="1284" w:type="dxa"/>
            <w:vAlign w:val="center"/>
          </w:tcPr>
          <w:p w14:paraId="6D0F3954" w14:textId="57E76826" w:rsidR="009F1DF3" w:rsidRPr="00C71561" w:rsidRDefault="004D5B37" w:rsidP="00750748">
            <w:pPr>
              <w:pStyle w:val="CETBodytext"/>
              <w:jc w:val="center"/>
              <w:rPr>
                <w:rFonts w:cs="Arial"/>
                <w:szCs w:val="18"/>
                <w:lang w:val="en-GB"/>
              </w:rPr>
            </w:pPr>
            <w:r w:rsidRPr="00C71561">
              <w:rPr>
                <w:rFonts w:cs="Arial"/>
                <w:color w:val="000000"/>
                <w:szCs w:val="18"/>
                <w:lang w:val="es-PE" w:eastAsia="es-PE"/>
              </w:rPr>
              <w:t>0.</w:t>
            </w:r>
            <w:r w:rsidR="009F1DF3" w:rsidRPr="00C71561">
              <w:rPr>
                <w:rFonts w:cs="Arial"/>
                <w:color w:val="000000"/>
                <w:szCs w:val="18"/>
                <w:lang w:val="es-PE" w:eastAsia="es-PE"/>
              </w:rPr>
              <w:t>6</w:t>
            </w:r>
          </w:p>
        </w:tc>
        <w:tc>
          <w:tcPr>
            <w:tcW w:w="1682" w:type="dxa"/>
            <w:vAlign w:val="center"/>
          </w:tcPr>
          <w:p w14:paraId="7C173649" w14:textId="1319E9F1"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22</w:t>
            </w:r>
            <w:r w:rsidR="004D5B37" w:rsidRPr="00C71561">
              <w:rPr>
                <w:rFonts w:cs="Arial"/>
                <w:color w:val="000000"/>
                <w:szCs w:val="18"/>
                <w:lang w:val="es-PE" w:eastAsia="es-PE"/>
              </w:rPr>
              <w:t>,</w:t>
            </w:r>
            <w:r w:rsidRPr="00C71561">
              <w:rPr>
                <w:rFonts w:cs="Arial"/>
                <w:color w:val="000000"/>
                <w:szCs w:val="18"/>
                <w:lang w:val="es-PE" w:eastAsia="es-PE"/>
              </w:rPr>
              <w:t>176</w:t>
            </w:r>
          </w:p>
        </w:tc>
        <w:tc>
          <w:tcPr>
            <w:tcW w:w="1659" w:type="dxa"/>
            <w:vAlign w:val="center"/>
          </w:tcPr>
          <w:p w14:paraId="218A941E" w14:textId="5F725C19"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18</w:t>
            </w:r>
            <w:r w:rsidR="001930D8" w:rsidRPr="00C71561">
              <w:rPr>
                <w:rFonts w:cs="Arial"/>
                <w:color w:val="000000"/>
                <w:szCs w:val="18"/>
                <w:lang w:val="es-PE" w:eastAsia="es-PE"/>
              </w:rPr>
              <w:t>,</w:t>
            </w:r>
            <w:r w:rsidRPr="00C71561">
              <w:rPr>
                <w:rFonts w:cs="Arial"/>
                <w:color w:val="000000"/>
                <w:szCs w:val="18"/>
                <w:lang w:val="es-PE" w:eastAsia="es-PE"/>
              </w:rPr>
              <w:t>406.08</w:t>
            </w:r>
          </w:p>
        </w:tc>
        <w:tc>
          <w:tcPr>
            <w:tcW w:w="1560" w:type="dxa"/>
            <w:vAlign w:val="center"/>
          </w:tcPr>
          <w:p w14:paraId="5C6117A4" w14:textId="38EF60C6"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40</w:t>
            </w:r>
            <w:r w:rsidR="00E11A2C" w:rsidRPr="00C71561">
              <w:rPr>
                <w:rFonts w:cs="Arial"/>
                <w:color w:val="000000"/>
                <w:szCs w:val="18"/>
                <w:lang w:val="es-PE" w:eastAsia="es-PE"/>
              </w:rPr>
              <w:t>,</w:t>
            </w:r>
            <w:r w:rsidRPr="00C71561">
              <w:rPr>
                <w:rFonts w:cs="Arial"/>
                <w:color w:val="000000"/>
                <w:szCs w:val="18"/>
                <w:lang w:val="es-PE" w:eastAsia="es-PE"/>
              </w:rPr>
              <w:t>582.08 (62 %)</w:t>
            </w:r>
          </w:p>
        </w:tc>
      </w:tr>
      <w:tr w:rsidR="009F1DF3" w:rsidRPr="00C71561" w14:paraId="5F6824FB" w14:textId="77777777" w:rsidTr="00D85F70">
        <w:trPr>
          <w:trHeight w:val="428"/>
        </w:trPr>
        <w:tc>
          <w:tcPr>
            <w:tcW w:w="1643" w:type="dxa"/>
            <w:vAlign w:val="center"/>
          </w:tcPr>
          <w:p w14:paraId="679A85B4" w14:textId="77777777" w:rsidR="009F1DF3" w:rsidRPr="00C71561" w:rsidRDefault="009F1DF3" w:rsidP="00750748">
            <w:pPr>
              <w:pStyle w:val="CETBodytext"/>
              <w:rPr>
                <w:rFonts w:cs="Arial"/>
                <w:szCs w:val="18"/>
                <w:lang w:val="en-GB"/>
              </w:rPr>
            </w:pPr>
            <w:r w:rsidRPr="00C71561">
              <w:rPr>
                <w:rFonts w:cs="Arial"/>
                <w:color w:val="000000"/>
                <w:szCs w:val="18"/>
                <w:lang w:val="es-PE" w:eastAsia="es-PE"/>
              </w:rPr>
              <w:t>Plastic PET 2018</w:t>
            </w:r>
          </w:p>
        </w:tc>
        <w:tc>
          <w:tcPr>
            <w:tcW w:w="1390" w:type="dxa"/>
            <w:vAlign w:val="center"/>
          </w:tcPr>
          <w:p w14:paraId="2E082581" w14:textId="0DAF2B4B"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17</w:t>
            </w:r>
            <w:r w:rsidR="008D7E2E" w:rsidRPr="00C71561">
              <w:rPr>
                <w:rFonts w:cs="Arial"/>
                <w:color w:val="000000"/>
                <w:szCs w:val="18"/>
                <w:lang w:val="es-PE" w:eastAsia="es-PE"/>
              </w:rPr>
              <w:t>.</w:t>
            </w:r>
            <w:r w:rsidRPr="00C71561">
              <w:rPr>
                <w:rFonts w:cs="Arial"/>
                <w:color w:val="000000"/>
                <w:szCs w:val="18"/>
                <w:lang w:val="es-PE" w:eastAsia="es-PE"/>
              </w:rPr>
              <w:t>542</w:t>
            </w:r>
          </w:p>
        </w:tc>
        <w:tc>
          <w:tcPr>
            <w:tcW w:w="1284" w:type="dxa"/>
            <w:vAlign w:val="center"/>
          </w:tcPr>
          <w:p w14:paraId="09939AE9" w14:textId="73C061A2" w:rsidR="009F1DF3" w:rsidRPr="00C71561" w:rsidRDefault="004D5B37" w:rsidP="00750748">
            <w:pPr>
              <w:pStyle w:val="CETBodytext"/>
              <w:jc w:val="center"/>
              <w:rPr>
                <w:rFonts w:cs="Arial"/>
                <w:szCs w:val="18"/>
                <w:lang w:val="en-GB"/>
              </w:rPr>
            </w:pPr>
            <w:r w:rsidRPr="00C71561">
              <w:rPr>
                <w:rFonts w:cs="Arial"/>
                <w:color w:val="000000"/>
                <w:szCs w:val="18"/>
                <w:lang w:val="es-PE" w:eastAsia="es-PE"/>
              </w:rPr>
              <w:t>0.</w:t>
            </w:r>
            <w:r w:rsidR="009F1DF3" w:rsidRPr="00C71561">
              <w:rPr>
                <w:rFonts w:cs="Arial"/>
                <w:color w:val="000000"/>
                <w:szCs w:val="18"/>
                <w:lang w:val="es-PE" w:eastAsia="es-PE"/>
              </w:rPr>
              <w:t>6</w:t>
            </w:r>
          </w:p>
        </w:tc>
        <w:tc>
          <w:tcPr>
            <w:tcW w:w="1682" w:type="dxa"/>
            <w:vAlign w:val="center"/>
          </w:tcPr>
          <w:p w14:paraId="7EAA9656" w14:textId="0B827B0C"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10</w:t>
            </w:r>
            <w:r w:rsidR="004D5B37" w:rsidRPr="00C71561">
              <w:rPr>
                <w:rFonts w:cs="Arial"/>
                <w:color w:val="000000"/>
                <w:szCs w:val="18"/>
                <w:lang w:val="es-PE" w:eastAsia="es-PE"/>
              </w:rPr>
              <w:t>,525.</w:t>
            </w:r>
            <w:r w:rsidRPr="00C71561">
              <w:rPr>
                <w:rFonts w:cs="Arial"/>
                <w:color w:val="000000"/>
                <w:szCs w:val="18"/>
                <w:lang w:val="es-PE" w:eastAsia="es-PE"/>
              </w:rPr>
              <w:t>2</w:t>
            </w:r>
          </w:p>
        </w:tc>
        <w:tc>
          <w:tcPr>
            <w:tcW w:w="1659" w:type="dxa"/>
            <w:vAlign w:val="center"/>
          </w:tcPr>
          <w:p w14:paraId="71565C32" w14:textId="41442271"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8</w:t>
            </w:r>
            <w:r w:rsidR="001930D8" w:rsidRPr="00C71561">
              <w:rPr>
                <w:rFonts w:cs="Arial"/>
                <w:color w:val="000000"/>
                <w:szCs w:val="18"/>
                <w:lang w:val="es-PE" w:eastAsia="es-PE"/>
              </w:rPr>
              <w:t>,</w:t>
            </w:r>
            <w:r w:rsidRPr="00C71561">
              <w:rPr>
                <w:rFonts w:cs="Arial"/>
                <w:color w:val="000000"/>
                <w:szCs w:val="18"/>
                <w:lang w:val="es-PE" w:eastAsia="es-PE"/>
              </w:rPr>
              <w:t>735.916</w:t>
            </w:r>
          </w:p>
        </w:tc>
        <w:tc>
          <w:tcPr>
            <w:tcW w:w="1560" w:type="dxa"/>
            <w:vAlign w:val="center"/>
          </w:tcPr>
          <w:p w14:paraId="191BED37" w14:textId="52605D87"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19</w:t>
            </w:r>
            <w:r w:rsidR="00E11A2C" w:rsidRPr="00C71561">
              <w:rPr>
                <w:rFonts w:cs="Arial"/>
                <w:color w:val="000000"/>
                <w:szCs w:val="18"/>
                <w:lang w:val="es-PE" w:eastAsia="es-PE"/>
              </w:rPr>
              <w:t>,</w:t>
            </w:r>
            <w:r w:rsidRPr="00C71561">
              <w:rPr>
                <w:rFonts w:cs="Arial"/>
                <w:color w:val="000000"/>
                <w:szCs w:val="18"/>
                <w:lang w:val="es-PE" w:eastAsia="es-PE"/>
              </w:rPr>
              <w:t>261.116 (30 %)</w:t>
            </w:r>
          </w:p>
        </w:tc>
      </w:tr>
      <w:tr w:rsidR="009F1DF3" w:rsidRPr="00C71561" w14:paraId="0BE042C9" w14:textId="77777777" w:rsidTr="00D85F70">
        <w:trPr>
          <w:trHeight w:val="407"/>
        </w:trPr>
        <w:tc>
          <w:tcPr>
            <w:tcW w:w="1643" w:type="dxa"/>
            <w:tcBorders>
              <w:bottom w:val="nil"/>
            </w:tcBorders>
            <w:vAlign w:val="center"/>
          </w:tcPr>
          <w:p w14:paraId="395F8E65" w14:textId="77777777" w:rsidR="009F1DF3" w:rsidRPr="00C71561" w:rsidRDefault="009F1DF3" w:rsidP="00750748">
            <w:pPr>
              <w:pStyle w:val="CETBodytext"/>
              <w:ind w:right="-1"/>
              <w:rPr>
                <w:rFonts w:cs="Arial"/>
                <w:szCs w:val="18"/>
                <w:lang w:val="en-GB"/>
              </w:rPr>
            </w:pPr>
            <w:r w:rsidRPr="00C71561">
              <w:rPr>
                <w:rFonts w:cs="Arial"/>
                <w:color w:val="000000"/>
                <w:szCs w:val="18"/>
                <w:lang w:val="es-PE" w:eastAsia="es-PE"/>
              </w:rPr>
              <w:t>Plastic PET 2019</w:t>
            </w:r>
          </w:p>
        </w:tc>
        <w:tc>
          <w:tcPr>
            <w:tcW w:w="1390" w:type="dxa"/>
            <w:tcBorders>
              <w:bottom w:val="nil"/>
            </w:tcBorders>
            <w:vAlign w:val="center"/>
          </w:tcPr>
          <w:p w14:paraId="21E69109" w14:textId="376CB56F"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4</w:t>
            </w:r>
            <w:r w:rsidR="008D7E2E" w:rsidRPr="00C71561">
              <w:rPr>
                <w:rFonts w:cs="Arial"/>
                <w:color w:val="000000"/>
                <w:szCs w:val="18"/>
                <w:lang w:val="es-PE" w:eastAsia="es-PE"/>
              </w:rPr>
              <w:t>.</w:t>
            </w:r>
            <w:r w:rsidRPr="00C71561">
              <w:rPr>
                <w:rFonts w:cs="Arial"/>
                <w:color w:val="000000"/>
                <w:szCs w:val="18"/>
                <w:lang w:val="es-PE" w:eastAsia="es-PE"/>
              </w:rPr>
              <w:t>780</w:t>
            </w:r>
          </w:p>
        </w:tc>
        <w:tc>
          <w:tcPr>
            <w:tcW w:w="1284" w:type="dxa"/>
            <w:tcBorders>
              <w:bottom w:val="nil"/>
            </w:tcBorders>
            <w:vAlign w:val="center"/>
          </w:tcPr>
          <w:p w14:paraId="2556BFAB" w14:textId="6CD917C9" w:rsidR="009F1DF3" w:rsidRPr="00C71561" w:rsidRDefault="001930D8" w:rsidP="00750748">
            <w:pPr>
              <w:pStyle w:val="CETBodytext"/>
              <w:ind w:right="-1"/>
              <w:jc w:val="center"/>
              <w:rPr>
                <w:rFonts w:cs="Arial"/>
                <w:szCs w:val="18"/>
                <w:lang w:val="en-GB"/>
              </w:rPr>
            </w:pPr>
            <w:r w:rsidRPr="00C71561">
              <w:rPr>
                <w:rFonts w:cs="Arial"/>
                <w:color w:val="000000"/>
                <w:szCs w:val="18"/>
                <w:lang w:val="es-PE" w:eastAsia="es-PE"/>
              </w:rPr>
              <w:t>0.</w:t>
            </w:r>
            <w:r w:rsidR="009F1DF3" w:rsidRPr="00C71561">
              <w:rPr>
                <w:rFonts w:cs="Arial"/>
                <w:color w:val="000000"/>
                <w:szCs w:val="18"/>
                <w:lang w:val="es-PE" w:eastAsia="es-PE"/>
              </w:rPr>
              <w:t>6</w:t>
            </w:r>
          </w:p>
        </w:tc>
        <w:tc>
          <w:tcPr>
            <w:tcW w:w="1682" w:type="dxa"/>
            <w:tcBorders>
              <w:bottom w:val="nil"/>
            </w:tcBorders>
            <w:vAlign w:val="center"/>
          </w:tcPr>
          <w:p w14:paraId="0C03BBD8" w14:textId="4DEC8C5E"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2</w:t>
            </w:r>
            <w:r w:rsidR="004D5B37" w:rsidRPr="00C71561">
              <w:rPr>
                <w:rFonts w:cs="Arial"/>
                <w:color w:val="000000"/>
                <w:szCs w:val="18"/>
                <w:lang w:val="es-PE" w:eastAsia="es-PE"/>
              </w:rPr>
              <w:t>,</w:t>
            </w:r>
            <w:r w:rsidRPr="00C71561">
              <w:rPr>
                <w:rFonts w:cs="Arial"/>
                <w:color w:val="000000"/>
                <w:szCs w:val="18"/>
                <w:lang w:val="es-PE" w:eastAsia="es-PE"/>
              </w:rPr>
              <w:t>868</w:t>
            </w:r>
          </w:p>
        </w:tc>
        <w:tc>
          <w:tcPr>
            <w:tcW w:w="1659" w:type="dxa"/>
            <w:tcBorders>
              <w:bottom w:val="nil"/>
            </w:tcBorders>
            <w:vAlign w:val="center"/>
          </w:tcPr>
          <w:p w14:paraId="064A1434" w14:textId="6DEA3073"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2</w:t>
            </w:r>
            <w:r w:rsidR="001930D8" w:rsidRPr="00C71561">
              <w:rPr>
                <w:rFonts w:cs="Arial"/>
                <w:color w:val="000000"/>
                <w:szCs w:val="18"/>
                <w:lang w:val="es-PE" w:eastAsia="es-PE"/>
              </w:rPr>
              <w:t>,</w:t>
            </w:r>
            <w:r w:rsidRPr="00C71561">
              <w:rPr>
                <w:rFonts w:cs="Arial"/>
                <w:color w:val="000000"/>
                <w:szCs w:val="18"/>
                <w:lang w:val="es-PE" w:eastAsia="es-PE"/>
              </w:rPr>
              <w:t>380.44</w:t>
            </w:r>
          </w:p>
        </w:tc>
        <w:tc>
          <w:tcPr>
            <w:tcW w:w="1560" w:type="dxa"/>
            <w:tcBorders>
              <w:bottom w:val="nil"/>
            </w:tcBorders>
            <w:vAlign w:val="center"/>
          </w:tcPr>
          <w:p w14:paraId="62F5D459" w14:textId="22EA4A3C"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5</w:t>
            </w:r>
            <w:r w:rsidR="00E11A2C" w:rsidRPr="00C71561">
              <w:rPr>
                <w:rFonts w:cs="Arial"/>
                <w:color w:val="000000"/>
                <w:szCs w:val="18"/>
                <w:lang w:val="es-PE" w:eastAsia="es-PE"/>
              </w:rPr>
              <w:t>,</w:t>
            </w:r>
            <w:r w:rsidRPr="00C71561">
              <w:rPr>
                <w:rFonts w:cs="Arial"/>
                <w:color w:val="000000"/>
                <w:szCs w:val="18"/>
                <w:lang w:val="es-PE" w:eastAsia="es-PE"/>
              </w:rPr>
              <w:t>248.44</w:t>
            </w:r>
            <w:r w:rsidR="00D85F70" w:rsidRPr="00C71561">
              <w:rPr>
                <w:rFonts w:cs="Arial"/>
                <w:color w:val="000000"/>
                <w:szCs w:val="18"/>
                <w:lang w:val="es-PE" w:eastAsia="es-PE"/>
              </w:rPr>
              <w:t>0 (</w:t>
            </w:r>
            <w:r w:rsidRPr="00C71561">
              <w:rPr>
                <w:rFonts w:cs="Arial"/>
                <w:color w:val="000000"/>
                <w:szCs w:val="18"/>
                <w:lang w:val="es-PE" w:eastAsia="es-PE"/>
              </w:rPr>
              <w:t>8 %)</w:t>
            </w:r>
          </w:p>
        </w:tc>
      </w:tr>
      <w:tr w:rsidR="009F1DF3" w:rsidRPr="00C71561" w14:paraId="55AB1139" w14:textId="77777777" w:rsidTr="00D85F70">
        <w:trPr>
          <w:trHeight w:val="428"/>
        </w:trPr>
        <w:tc>
          <w:tcPr>
            <w:tcW w:w="1643" w:type="dxa"/>
            <w:tcBorders>
              <w:top w:val="nil"/>
              <w:bottom w:val="single" w:sz="12" w:space="0" w:color="008000"/>
            </w:tcBorders>
            <w:vAlign w:val="center"/>
          </w:tcPr>
          <w:p w14:paraId="356ED470" w14:textId="77777777" w:rsidR="009F1DF3" w:rsidRPr="00C71561" w:rsidRDefault="009F1DF3" w:rsidP="00750748">
            <w:pPr>
              <w:pStyle w:val="CETBodytext"/>
              <w:ind w:right="-1"/>
              <w:rPr>
                <w:rFonts w:cs="Arial"/>
                <w:color w:val="000000"/>
                <w:szCs w:val="18"/>
                <w:lang w:val="es-PE" w:eastAsia="es-PE"/>
              </w:rPr>
            </w:pPr>
            <w:r w:rsidRPr="00C71561">
              <w:rPr>
                <w:rFonts w:cs="Arial"/>
                <w:color w:val="000000"/>
                <w:szCs w:val="18"/>
                <w:lang w:val="es-PE" w:eastAsia="es-PE"/>
              </w:rPr>
              <w:t>Total</w:t>
            </w:r>
          </w:p>
        </w:tc>
        <w:tc>
          <w:tcPr>
            <w:tcW w:w="1390" w:type="dxa"/>
            <w:tcBorders>
              <w:top w:val="nil"/>
              <w:bottom w:val="single" w:sz="12" w:space="0" w:color="008000"/>
            </w:tcBorders>
            <w:vAlign w:val="center"/>
          </w:tcPr>
          <w:p w14:paraId="77D8A819" w14:textId="77777777" w:rsidR="009F1DF3" w:rsidRPr="00C71561" w:rsidRDefault="009F1DF3" w:rsidP="00750748">
            <w:pPr>
              <w:pStyle w:val="CETBodytext"/>
              <w:ind w:right="-1"/>
              <w:rPr>
                <w:rFonts w:cs="Arial"/>
                <w:color w:val="000000"/>
                <w:szCs w:val="18"/>
                <w:lang w:val="es-PE" w:eastAsia="es-PE"/>
              </w:rPr>
            </w:pPr>
          </w:p>
        </w:tc>
        <w:tc>
          <w:tcPr>
            <w:tcW w:w="1284" w:type="dxa"/>
            <w:tcBorders>
              <w:top w:val="nil"/>
              <w:bottom w:val="single" w:sz="12" w:space="0" w:color="008000"/>
            </w:tcBorders>
            <w:vAlign w:val="center"/>
          </w:tcPr>
          <w:p w14:paraId="4DB5B800" w14:textId="77777777" w:rsidR="009F1DF3" w:rsidRPr="00C71561" w:rsidRDefault="009F1DF3" w:rsidP="00750748">
            <w:pPr>
              <w:pStyle w:val="CETBodytext"/>
              <w:ind w:right="-1"/>
              <w:rPr>
                <w:rFonts w:cs="Arial"/>
                <w:color w:val="000000"/>
                <w:szCs w:val="18"/>
                <w:lang w:val="es-PE" w:eastAsia="es-PE"/>
              </w:rPr>
            </w:pPr>
          </w:p>
        </w:tc>
        <w:tc>
          <w:tcPr>
            <w:tcW w:w="1682" w:type="dxa"/>
            <w:tcBorders>
              <w:top w:val="nil"/>
              <w:bottom w:val="single" w:sz="12" w:space="0" w:color="008000"/>
            </w:tcBorders>
            <w:vAlign w:val="center"/>
          </w:tcPr>
          <w:p w14:paraId="4F60A7A6" w14:textId="06D1BE81"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35</w:t>
            </w:r>
            <w:r w:rsidR="004D5B37" w:rsidRPr="00C71561">
              <w:rPr>
                <w:rFonts w:cs="Arial"/>
                <w:color w:val="000000"/>
                <w:szCs w:val="18"/>
                <w:lang w:val="es-PE" w:eastAsia="es-PE"/>
              </w:rPr>
              <w:t>,</w:t>
            </w:r>
            <w:r w:rsidRPr="00C71561">
              <w:rPr>
                <w:rFonts w:cs="Arial"/>
                <w:color w:val="000000"/>
                <w:szCs w:val="18"/>
                <w:lang w:val="es-PE" w:eastAsia="es-PE"/>
              </w:rPr>
              <w:t>569.2</w:t>
            </w:r>
          </w:p>
        </w:tc>
        <w:tc>
          <w:tcPr>
            <w:tcW w:w="1659" w:type="dxa"/>
            <w:tcBorders>
              <w:top w:val="nil"/>
              <w:bottom w:val="single" w:sz="12" w:space="0" w:color="008000"/>
            </w:tcBorders>
            <w:vAlign w:val="center"/>
          </w:tcPr>
          <w:p w14:paraId="4A0C685E" w14:textId="4C519F17"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29</w:t>
            </w:r>
            <w:r w:rsidR="001930D8" w:rsidRPr="00C71561">
              <w:rPr>
                <w:rFonts w:cs="Arial"/>
                <w:color w:val="000000"/>
                <w:szCs w:val="18"/>
                <w:lang w:val="es-PE" w:eastAsia="es-PE"/>
              </w:rPr>
              <w:t>,</w:t>
            </w:r>
            <w:r w:rsidRPr="00C71561">
              <w:rPr>
                <w:rFonts w:cs="Arial"/>
                <w:color w:val="000000"/>
                <w:szCs w:val="18"/>
                <w:lang w:val="es-PE" w:eastAsia="es-PE"/>
              </w:rPr>
              <w:t>522.436</w:t>
            </w:r>
          </w:p>
        </w:tc>
        <w:tc>
          <w:tcPr>
            <w:tcW w:w="1560" w:type="dxa"/>
            <w:tcBorders>
              <w:top w:val="nil"/>
              <w:bottom w:val="single" w:sz="12" w:space="0" w:color="008000"/>
            </w:tcBorders>
            <w:vAlign w:val="center"/>
          </w:tcPr>
          <w:p w14:paraId="590CA88D" w14:textId="13606594" w:rsidR="009F1DF3" w:rsidRPr="00C71561" w:rsidRDefault="009F1DF3" w:rsidP="00750748">
            <w:pPr>
              <w:pStyle w:val="CETBodytext"/>
              <w:ind w:right="-1"/>
              <w:jc w:val="center"/>
              <w:rPr>
                <w:rFonts w:cs="Arial"/>
                <w:color w:val="000000"/>
                <w:szCs w:val="18"/>
                <w:lang w:val="es-PE" w:eastAsia="es-PE"/>
              </w:rPr>
            </w:pPr>
            <w:r w:rsidRPr="00C71561">
              <w:rPr>
                <w:rFonts w:cs="Arial"/>
                <w:color w:val="000000"/>
                <w:szCs w:val="18"/>
                <w:lang w:val="es-PE" w:eastAsia="es-PE"/>
              </w:rPr>
              <w:t>65</w:t>
            </w:r>
            <w:r w:rsidR="00E11A2C" w:rsidRPr="00C71561">
              <w:rPr>
                <w:rFonts w:cs="Arial"/>
                <w:color w:val="000000"/>
                <w:szCs w:val="18"/>
                <w:lang w:val="es-PE" w:eastAsia="es-PE"/>
              </w:rPr>
              <w:t>,</w:t>
            </w:r>
            <w:r w:rsidRPr="00C71561">
              <w:rPr>
                <w:rFonts w:cs="Arial"/>
                <w:color w:val="000000"/>
                <w:szCs w:val="18"/>
                <w:lang w:val="es-PE" w:eastAsia="es-PE"/>
              </w:rPr>
              <w:t>091.636(100 %)</w:t>
            </w:r>
          </w:p>
        </w:tc>
      </w:tr>
    </w:tbl>
    <w:p w14:paraId="1EC0960B" w14:textId="77777777" w:rsidR="009F1DF3" w:rsidRPr="00C71561" w:rsidRDefault="009F1DF3" w:rsidP="009F1DF3">
      <w:pPr>
        <w:pStyle w:val="CETListbullets"/>
        <w:rPr>
          <w:rFonts w:cs="Arial"/>
          <w:szCs w:val="18"/>
        </w:rPr>
      </w:pPr>
    </w:p>
    <w:p w14:paraId="60D1FE22" w14:textId="58C98C5B" w:rsidR="009F1DF3" w:rsidRPr="00C71561" w:rsidRDefault="009F1DF3" w:rsidP="009F1DF3">
      <w:pPr>
        <w:pStyle w:val="CETTabletitle"/>
        <w:rPr>
          <w:lang w:val="en-US"/>
        </w:rPr>
      </w:pPr>
      <w:r w:rsidRPr="00C71561">
        <w:rPr>
          <w:lang w:val="en-US"/>
        </w:rPr>
        <w:t xml:space="preserve">Table </w:t>
      </w:r>
      <w:r w:rsidR="00F70C33" w:rsidRPr="00C71561">
        <w:rPr>
          <w:lang w:val="en-US"/>
        </w:rPr>
        <w:t>5</w:t>
      </w:r>
      <w:r w:rsidRPr="00C71561">
        <w:rPr>
          <w:lang w:val="en-US"/>
        </w:rPr>
        <w:t>: Summary of expenses and opportunity costs during 2017, 2018 and 2019</w:t>
      </w:r>
    </w:p>
    <w:tbl>
      <w:tblPr>
        <w:tblW w:w="9296"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324"/>
        <w:gridCol w:w="4456"/>
        <w:gridCol w:w="2516"/>
      </w:tblGrid>
      <w:tr w:rsidR="009F1DF3" w:rsidRPr="00C71561" w14:paraId="56F04FE9" w14:textId="77777777" w:rsidTr="0006035D">
        <w:trPr>
          <w:trHeight w:val="338"/>
        </w:trPr>
        <w:tc>
          <w:tcPr>
            <w:tcW w:w="2324" w:type="dxa"/>
            <w:vAlign w:val="center"/>
          </w:tcPr>
          <w:p w14:paraId="730F454D" w14:textId="77777777" w:rsidR="009F1DF3" w:rsidRPr="00C71561" w:rsidRDefault="009F1DF3" w:rsidP="00750748">
            <w:pPr>
              <w:pStyle w:val="CETBodytext"/>
              <w:rPr>
                <w:rFonts w:cs="Arial"/>
                <w:szCs w:val="18"/>
              </w:rPr>
            </w:pPr>
            <w:r w:rsidRPr="00C71561">
              <w:rPr>
                <w:rFonts w:cs="Arial"/>
                <w:color w:val="000000"/>
                <w:szCs w:val="18"/>
                <w:lang w:eastAsia="es-PE"/>
              </w:rPr>
              <w:t> </w:t>
            </w:r>
          </w:p>
        </w:tc>
        <w:tc>
          <w:tcPr>
            <w:tcW w:w="4456" w:type="dxa"/>
            <w:vAlign w:val="center"/>
          </w:tcPr>
          <w:p w14:paraId="2BE28AD8" w14:textId="77777777" w:rsidR="009F1DF3" w:rsidRPr="00C71561" w:rsidRDefault="009F1DF3" w:rsidP="00750748">
            <w:pPr>
              <w:pStyle w:val="CETBodytext"/>
              <w:jc w:val="center"/>
              <w:rPr>
                <w:rFonts w:cs="Arial"/>
                <w:szCs w:val="18"/>
              </w:rPr>
            </w:pPr>
            <w:r w:rsidRPr="00C71561">
              <w:rPr>
                <w:rFonts w:cs="Arial"/>
                <w:color w:val="000000"/>
                <w:szCs w:val="18"/>
                <w:lang w:eastAsia="es-PE"/>
              </w:rPr>
              <w:t>Transportation and final disposal expenses</w:t>
            </w:r>
          </w:p>
        </w:tc>
        <w:tc>
          <w:tcPr>
            <w:tcW w:w="2516" w:type="dxa"/>
            <w:vAlign w:val="center"/>
          </w:tcPr>
          <w:p w14:paraId="2CF53B4A" w14:textId="77777777"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Opportunity cost</w:t>
            </w:r>
          </w:p>
        </w:tc>
      </w:tr>
      <w:tr w:rsidR="009F1DF3" w:rsidRPr="00C71561" w14:paraId="062460E1" w14:textId="77777777" w:rsidTr="0006035D">
        <w:trPr>
          <w:trHeight w:val="355"/>
        </w:trPr>
        <w:tc>
          <w:tcPr>
            <w:tcW w:w="2324" w:type="dxa"/>
            <w:vAlign w:val="center"/>
          </w:tcPr>
          <w:p w14:paraId="5C36892A" w14:textId="77777777" w:rsidR="009F1DF3" w:rsidRPr="00C71561" w:rsidRDefault="009F1DF3" w:rsidP="00750748">
            <w:pPr>
              <w:pStyle w:val="CETBodytext"/>
              <w:rPr>
                <w:rFonts w:cs="Arial"/>
                <w:szCs w:val="18"/>
                <w:lang w:val="en-GB"/>
              </w:rPr>
            </w:pPr>
            <w:r w:rsidRPr="00C71561">
              <w:rPr>
                <w:rFonts w:cs="Arial"/>
                <w:color w:val="000000"/>
                <w:szCs w:val="18"/>
                <w:lang w:val="es-PE" w:eastAsia="es-PE"/>
              </w:rPr>
              <w:t>Plastic PET 2017</w:t>
            </w:r>
          </w:p>
        </w:tc>
        <w:tc>
          <w:tcPr>
            <w:tcW w:w="4456" w:type="dxa"/>
            <w:vAlign w:val="center"/>
          </w:tcPr>
          <w:p w14:paraId="33390333" w14:textId="1C37ABD3"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19</w:t>
            </w:r>
            <w:r w:rsidR="00AF1719" w:rsidRPr="00C71561">
              <w:rPr>
                <w:rFonts w:cs="Arial"/>
                <w:color w:val="000000"/>
                <w:szCs w:val="18"/>
                <w:lang w:val="es-PE" w:eastAsia="es-PE"/>
              </w:rPr>
              <w:t>,</w:t>
            </w:r>
            <w:r w:rsidRPr="00C71561">
              <w:rPr>
                <w:rFonts w:cs="Arial"/>
                <w:color w:val="000000"/>
                <w:szCs w:val="18"/>
                <w:lang w:val="es-PE" w:eastAsia="es-PE"/>
              </w:rPr>
              <w:t>699.68 (62%)</w:t>
            </w:r>
          </w:p>
        </w:tc>
        <w:tc>
          <w:tcPr>
            <w:tcW w:w="2516" w:type="dxa"/>
            <w:vAlign w:val="center"/>
          </w:tcPr>
          <w:p w14:paraId="2D3C876E" w14:textId="0A0F3718"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40</w:t>
            </w:r>
            <w:r w:rsidR="00AF1719" w:rsidRPr="00C71561">
              <w:rPr>
                <w:rFonts w:cs="Arial"/>
                <w:color w:val="000000"/>
                <w:szCs w:val="18"/>
                <w:lang w:val="es-PE" w:eastAsia="es-PE"/>
              </w:rPr>
              <w:t>,</w:t>
            </w:r>
            <w:r w:rsidRPr="00C71561">
              <w:rPr>
                <w:rFonts w:cs="Arial"/>
                <w:color w:val="000000"/>
                <w:szCs w:val="18"/>
                <w:lang w:val="es-PE" w:eastAsia="es-PE"/>
              </w:rPr>
              <w:t>582.08 (62%)</w:t>
            </w:r>
          </w:p>
        </w:tc>
      </w:tr>
      <w:tr w:rsidR="009F1DF3" w:rsidRPr="00C71561" w14:paraId="05BAA86F" w14:textId="77777777" w:rsidTr="0006035D">
        <w:trPr>
          <w:trHeight w:val="355"/>
        </w:trPr>
        <w:tc>
          <w:tcPr>
            <w:tcW w:w="2324" w:type="dxa"/>
            <w:vAlign w:val="center"/>
          </w:tcPr>
          <w:p w14:paraId="3CA54A04" w14:textId="77777777" w:rsidR="009F1DF3" w:rsidRPr="00C71561" w:rsidRDefault="009F1DF3" w:rsidP="00750748">
            <w:pPr>
              <w:pStyle w:val="CETBodytext"/>
              <w:rPr>
                <w:rFonts w:cs="Arial"/>
                <w:szCs w:val="18"/>
                <w:lang w:val="en-GB"/>
              </w:rPr>
            </w:pPr>
            <w:r w:rsidRPr="00C71561">
              <w:rPr>
                <w:rFonts w:cs="Arial"/>
                <w:color w:val="000000"/>
                <w:szCs w:val="18"/>
                <w:lang w:val="es-PE" w:eastAsia="es-PE"/>
              </w:rPr>
              <w:t>Plastic PET 2018</w:t>
            </w:r>
          </w:p>
        </w:tc>
        <w:tc>
          <w:tcPr>
            <w:tcW w:w="4456" w:type="dxa"/>
            <w:vAlign w:val="center"/>
          </w:tcPr>
          <w:p w14:paraId="2C1550B9" w14:textId="47C2F4A8"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9</w:t>
            </w:r>
            <w:r w:rsidR="00AF1719" w:rsidRPr="00C71561">
              <w:rPr>
                <w:rFonts w:cs="Arial"/>
                <w:color w:val="000000"/>
                <w:szCs w:val="18"/>
                <w:lang w:val="es-PE" w:eastAsia="es-PE"/>
              </w:rPr>
              <w:t>,</w:t>
            </w:r>
            <w:r w:rsidRPr="00C71561">
              <w:rPr>
                <w:rFonts w:cs="Arial"/>
                <w:color w:val="000000"/>
                <w:szCs w:val="18"/>
                <w:lang w:val="es-PE" w:eastAsia="es-PE"/>
              </w:rPr>
              <w:t>349.89 (30%)</w:t>
            </w:r>
          </w:p>
        </w:tc>
        <w:tc>
          <w:tcPr>
            <w:tcW w:w="2516" w:type="dxa"/>
            <w:vAlign w:val="center"/>
          </w:tcPr>
          <w:p w14:paraId="48C697CE" w14:textId="0CB33A3A" w:rsidR="009F1DF3" w:rsidRPr="00C71561" w:rsidRDefault="009F1DF3" w:rsidP="00750748">
            <w:pPr>
              <w:pStyle w:val="CETBodytext"/>
              <w:jc w:val="center"/>
              <w:rPr>
                <w:rFonts w:cs="Arial"/>
                <w:szCs w:val="18"/>
                <w:lang w:val="en-GB"/>
              </w:rPr>
            </w:pPr>
            <w:r w:rsidRPr="00C71561">
              <w:rPr>
                <w:rFonts w:cs="Arial"/>
                <w:color w:val="000000"/>
                <w:szCs w:val="18"/>
                <w:lang w:val="es-PE" w:eastAsia="es-PE"/>
              </w:rPr>
              <w:t>19</w:t>
            </w:r>
            <w:r w:rsidR="00AF1719" w:rsidRPr="00C71561">
              <w:rPr>
                <w:rFonts w:cs="Arial"/>
                <w:color w:val="000000"/>
                <w:szCs w:val="18"/>
                <w:lang w:val="es-PE" w:eastAsia="es-PE"/>
              </w:rPr>
              <w:t>,</w:t>
            </w:r>
            <w:r w:rsidRPr="00C71561">
              <w:rPr>
                <w:rFonts w:cs="Arial"/>
                <w:color w:val="000000"/>
                <w:szCs w:val="18"/>
                <w:lang w:val="es-PE" w:eastAsia="es-PE"/>
              </w:rPr>
              <w:t>261.12 (30%)</w:t>
            </w:r>
          </w:p>
        </w:tc>
      </w:tr>
      <w:tr w:rsidR="009F1DF3" w:rsidRPr="00C71561" w14:paraId="0F3A833A" w14:textId="77777777" w:rsidTr="0006035D">
        <w:trPr>
          <w:trHeight w:val="338"/>
        </w:trPr>
        <w:tc>
          <w:tcPr>
            <w:tcW w:w="2324" w:type="dxa"/>
            <w:vAlign w:val="center"/>
          </w:tcPr>
          <w:p w14:paraId="64DC61B2" w14:textId="77777777" w:rsidR="009F1DF3" w:rsidRPr="00C71561" w:rsidRDefault="009F1DF3" w:rsidP="00750748">
            <w:pPr>
              <w:pStyle w:val="CETBodytext"/>
              <w:ind w:right="-1"/>
              <w:rPr>
                <w:rFonts w:cs="Arial"/>
                <w:color w:val="000000"/>
                <w:szCs w:val="18"/>
                <w:lang w:val="es-PE" w:eastAsia="es-PE"/>
              </w:rPr>
            </w:pPr>
            <w:r w:rsidRPr="00C71561">
              <w:rPr>
                <w:rFonts w:cs="Arial"/>
                <w:color w:val="000000"/>
                <w:szCs w:val="18"/>
                <w:lang w:val="es-PE" w:eastAsia="es-PE"/>
              </w:rPr>
              <w:t>Plastic PET 2019</w:t>
            </w:r>
          </w:p>
        </w:tc>
        <w:tc>
          <w:tcPr>
            <w:tcW w:w="4456" w:type="dxa"/>
            <w:vAlign w:val="center"/>
          </w:tcPr>
          <w:p w14:paraId="759CCC6B" w14:textId="08BD6AF6"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2</w:t>
            </w:r>
            <w:r w:rsidR="00AF1719" w:rsidRPr="00C71561">
              <w:rPr>
                <w:rFonts w:cs="Arial"/>
                <w:color w:val="000000"/>
                <w:szCs w:val="18"/>
                <w:lang w:val="es-PE" w:eastAsia="es-PE"/>
              </w:rPr>
              <w:t>,</w:t>
            </w:r>
            <w:r w:rsidRPr="00C71561">
              <w:rPr>
                <w:rFonts w:cs="Arial"/>
                <w:color w:val="000000"/>
                <w:szCs w:val="18"/>
                <w:lang w:val="es-PE" w:eastAsia="es-PE"/>
              </w:rPr>
              <w:t>547.74</w:t>
            </w:r>
            <w:r w:rsidR="00D85F70" w:rsidRPr="00C71561">
              <w:rPr>
                <w:rFonts w:cs="Arial"/>
                <w:color w:val="000000"/>
                <w:szCs w:val="18"/>
                <w:lang w:val="es-PE" w:eastAsia="es-PE"/>
              </w:rPr>
              <w:t xml:space="preserve"> (</w:t>
            </w:r>
            <w:r w:rsidRPr="00C71561">
              <w:rPr>
                <w:rFonts w:cs="Arial"/>
                <w:color w:val="000000"/>
                <w:szCs w:val="18"/>
                <w:lang w:val="es-PE" w:eastAsia="es-PE"/>
              </w:rPr>
              <w:t>8%)</w:t>
            </w:r>
          </w:p>
        </w:tc>
        <w:tc>
          <w:tcPr>
            <w:tcW w:w="2516" w:type="dxa"/>
            <w:vAlign w:val="center"/>
          </w:tcPr>
          <w:p w14:paraId="1B5B0E26" w14:textId="1A09F253" w:rsidR="009F1DF3" w:rsidRPr="00C71561" w:rsidRDefault="009F1DF3" w:rsidP="00750748">
            <w:pPr>
              <w:pStyle w:val="CETBodytext"/>
              <w:ind w:right="-1"/>
              <w:jc w:val="center"/>
              <w:rPr>
                <w:rFonts w:cs="Arial"/>
                <w:szCs w:val="18"/>
                <w:lang w:val="en-GB"/>
              </w:rPr>
            </w:pPr>
            <w:r w:rsidRPr="00C71561">
              <w:rPr>
                <w:rFonts w:cs="Arial"/>
                <w:color w:val="000000"/>
                <w:szCs w:val="18"/>
                <w:lang w:val="es-PE" w:eastAsia="es-PE"/>
              </w:rPr>
              <w:t>5</w:t>
            </w:r>
            <w:r w:rsidR="00AF1719" w:rsidRPr="00C71561">
              <w:rPr>
                <w:rFonts w:cs="Arial"/>
                <w:color w:val="000000"/>
                <w:szCs w:val="18"/>
                <w:lang w:val="es-PE" w:eastAsia="es-PE"/>
              </w:rPr>
              <w:t>,</w:t>
            </w:r>
            <w:r w:rsidRPr="00C71561">
              <w:rPr>
                <w:rFonts w:cs="Arial"/>
                <w:color w:val="000000"/>
                <w:szCs w:val="18"/>
                <w:lang w:val="es-PE" w:eastAsia="es-PE"/>
              </w:rPr>
              <w:t>248.44</w:t>
            </w:r>
            <w:r w:rsidR="00D85F70" w:rsidRPr="00C71561">
              <w:rPr>
                <w:rFonts w:cs="Arial"/>
                <w:color w:val="000000"/>
                <w:szCs w:val="18"/>
                <w:lang w:val="es-PE" w:eastAsia="es-PE"/>
              </w:rPr>
              <w:t xml:space="preserve"> (</w:t>
            </w:r>
            <w:r w:rsidRPr="00C71561">
              <w:rPr>
                <w:rFonts w:cs="Arial"/>
                <w:color w:val="000000"/>
                <w:szCs w:val="18"/>
                <w:lang w:val="es-PE" w:eastAsia="es-PE"/>
              </w:rPr>
              <w:t>8%)</w:t>
            </w:r>
          </w:p>
        </w:tc>
      </w:tr>
      <w:tr w:rsidR="00E549E2" w:rsidRPr="00C71561" w14:paraId="7DDD74EB" w14:textId="77777777" w:rsidTr="0006035D">
        <w:trPr>
          <w:trHeight w:val="338"/>
        </w:trPr>
        <w:tc>
          <w:tcPr>
            <w:tcW w:w="2324" w:type="dxa"/>
            <w:vAlign w:val="center"/>
          </w:tcPr>
          <w:p w14:paraId="4CC78FDF" w14:textId="416FF66C" w:rsidR="00E549E2" w:rsidRPr="00C71561" w:rsidRDefault="00E549E2" w:rsidP="00E549E2">
            <w:pPr>
              <w:pStyle w:val="CETBodytext"/>
              <w:ind w:right="-1"/>
              <w:jc w:val="center"/>
              <w:rPr>
                <w:rFonts w:cs="Arial"/>
                <w:color w:val="000000"/>
                <w:szCs w:val="18"/>
                <w:lang w:val="es-PE" w:eastAsia="es-PE"/>
              </w:rPr>
            </w:pPr>
            <w:r w:rsidRPr="00C71561">
              <w:t>Total</w:t>
            </w:r>
          </w:p>
        </w:tc>
        <w:tc>
          <w:tcPr>
            <w:tcW w:w="4456" w:type="dxa"/>
            <w:vAlign w:val="center"/>
          </w:tcPr>
          <w:p w14:paraId="1EE745A4" w14:textId="3C06907A" w:rsidR="00E549E2" w:rsidRPr="00C71561" w:rsidRDefault="00E549E2" w:rsidP="00E549E2">
            <w:pPr>
              <w:pStyle w:val="CETBodytext"/>
              <w:ind w:right="-1"/>
              <w:jc w:val="center"/>
              <w:rPr>
                <w:rFonts w:cs="Arial"/>
                <w:color w:val="000000"/>
                <w:szCs w:val="18"/>
                <w:lang w:val="es-PE" w:eastAsia="es-PE"/>
              </w:rPr>
            </w:pPr>
            <w:r w:rsidRPr="00C71561">
              <w:t>31,597.30 (100 %)</w:t>
            </w:r>
          </w:p>
        </w:tc>
        <w:tc>
          <w:tcPr>
            <w:tcW w:w="2516" w:type="dxa"/>
            <w:vAlign w:val="center"/>
          </w:tcPr>
          <w:p w14:paraId="6D49C0A2" w14:textId="77777777" w:rsidR="00E549E2" w:rsidRPr="00C71561" w:rsidRDefault="00E549E2" w:rsidP="00E549E2">
            <w:pPr>
              <w:pStyle w:val="CETListbullets"/>
              <w:jc w:val="center"/>
            </w:pPr>
          </w:p>
          <w:p w14:paraId="16DD353A" w14:textId="3F4FA3C0" w:rsidR="00E549E2" w:rsidRPr="00C71561" w:rsidRDefault="00E549E2" w:rsidP="00E549E2">
            <w:pPr>
              <w:pStyle w:val="CETListbullets"/>
              <w:jc w:val="center"/>
            </w:pPr>
            <w:r w:rsidRPr="00C71561">
              <w:t>65,091.636 (100%)</w:t>
            </w:r>
          </w:p>
          <w:p w14:paraId="29676013" w14:textId="77777777" w:rsidR="00E549E2" w:rsidRPr="00C71561" w:rsidRDefault="00E549E2" w:rsidP="00E549E2">
            <w:pPr>
              <w:pStyle w:val="CETBodytext"/>
              <w:ind w:right="-1"/>
              <w:jc w:val="center"/>
              <w:rPr>
                <w:rFonts w:cs="Arial"/>
                <w:color w:val="000000"/>
                <w:szCs w:val="18"/>
                <w:lang w:val="es-PE" w:eastAsia="es-PE"/>
              </w:rPr>
            </w:pPr>
          </w:p>
        </w:tc>
      </w:tr>
    </w:tbl>
    <w:p w14:paraId="63B8AB87" w14:textId="2394F894" w:rsidR="00575952" w:rsidRPr="00C71561" w:rsidRDefault="00575952" w:rsidP="00E63B22">
      <w:pPr>
        <w:keepNext/>
        <w:shd w:val="clear" w:color="auto" w:fill="FFFFFF" w:themeFill="background1"/>
        <w:autoSpaceDE w:val="0"/>
        <w:autoSpaceDN w:val="0"/>
        <w:adjustRightInd w:val="0"/>
        <w:spacing w:line="360" w:lineRule="auto"/>
        <w:jc w:val="center"/>
        <w:rPr>
          <w:noProof/>
          <w:lang w:val="en-US"/>
        </w:rPr>
      </w:pPr>
    </w:p>
    <w:p w14:paraId="6B5CD6AB" w14:textId="66A7FAC8" w:rsidR="009F1DF3" w:rsidRPr="00C71561" w:rsidRDefault="009F1DF3" w:rsidP="00E63B22">
      <w:pPr>
        <w:keepNext/>
        <w:shd w:val="clear" w:color="auto" w:fill="FFFFFF" w:themeFill="background1"/>
        <w:autoSpaceDE w:val="0"/>
        <w:autoSpaceDN w:val="0"/>
        <w:adjustRightInd w:val="0"/>
        <w:spacing w:line="360" w:lineRule="auto"/>
        <w:jc w:val="center"/>
      </w:pPr>
      <w:r w:rsidRPr="00C71561">
        <w:rPr>
          <w:noProof/>
          <w:lang w:val="en-US"/>
        </w:rPr>
        <w:drawing>
          <wp:inline distT="0" distB="0" distL="0" distR="0" wp14:anchorId="554CC683" wp14:editId="3AD68D40">
            <wp:extent cx="3833165" cy="184625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6306" cy="1924832"/>
                    </a:xfrm>
                    <a:prstGeom prst="rect">
                      <a:avLst/>
                    </a:prstGeom>
                    <a:noFill/>
                    <a:ln>
                      <a:noFill/>
                    </a:ln>
                  </pic:spPr>
                </pic:pic>
              </a:graphicData>
            </a:graphic>
          </wp:inline>
        </w:drawing>
      </w:r>
    </w:p>
    <w:p w14:paraId="3E92DE5F" w14:textId="2B20B239" w:rsidR="009F1DF3" w:rsidRPr="00C71561" w:rsidRDefault="009F1DF3" w:rsidP="009F1DF3">
      <w:pPr>
        <w:pStyle w:val="CETCaption"/>
        <w:rPr>
          <w:rStyle w:val="CETCaptionCarattere"/>
          <w:i/>
          <w:lang w:val="en-US"/>
        </w:rPr>
      </w:pPr>
      <w:r w:rsidRPr="00C71561">
        <w:rPr>
          <w:rStyle w:val="CETCaptionCarattere"/>
          <w:i/>
          <w:lang w:val="en-US"/>
        </w:rPr>
        <w:t>Figure 3:  Comparison of Expenses and Opportunity Cost of PET plastic during 2017, 2018 and 2019 (in Peruvian Soles S/)</w:t>
      </w:r>
    </w:p>
    <w:p w14:paraId="20EF1F3B" w14:textId="60AFA3D6" w:rsidR="002262C6" w:rsidRPr="00C71561" w:rsidRDefault="002262C6" w:rsidP="00E63B22">
      <w:pPr>
        <w:pStyle w:val="CETHeadingxx"/>
        <w:shd w:val="clear" w:color="auto" w:fill="FFFFFF" w:themeFill="background1"/>
        <w:jc w:val="both"/>
        <w:rPr>
          <w:b w:val="0"/>
        </w:rPr>
      </w:pPr>
      <w:r w:rsidRPr="00C71561">
        <w:rPr>
          <w:b w:val="0"/>
        </w:rPr>
        <w:t>In 2017, 2018 and 2019, expenses were incurred to transport the residual PET plastic to the landfi</w:t>
      </w:r>
      <w:r w:rsidR="00E44936" w:rsidRPr="00C71561">
        <w:rPr>
          <w:b w:val="0"/>
        </w:rPr>
        <w:t>ll. This was a total of 59.</w:t>
      </w:r>
      <w:r w:rsidR="00A03C44" w:rsidRPr="00C71561">
        <w:rPr>
          <w:b w:val="0"/>
        </w:rPr>
        <w:t>28 ton</w:t>
      </w:r>
      <w:r w:rsidR="00485487" w:rsidRPr="00C71561">
        <w:rPr>
          <w:b w:val="0"/>
        </w:rPr>
        <w:t>s</w:t>
      </w:r>
      <w:r w:rsidRPr="00C71561">
        <w:rPr>
          <w:b w:val="0"/>
        </w:rPr>
        <w:t xml:space="preserve"> that could not be marketed. These expenses included transportation from Pucallpa to Lima</w:t>
      </w:r>
      <w:r w:rsidR="00A03C44" w:rsidRPr="00C71561">
        <w:rPr>
          <w:b w:val="0"/>
        </w:rPr>
        <w:t xml:space="preserve"> and the cost of the landfill. S</w:t>
      </w:r>
      <w:r w:rsidRPr="00C71561">
        <w:rPr>
          <w:b w:val="0"/>
        </w:rPr>
        <w:t xml:space="preserve">anitary where it </w:t>
      </w:r>
      <w:r w:rsidR="00D14C60" w:rsidRPr="00C71561">
        <w:rPr>
          <w:b w:val="0"/>
        </w:rPr>
        <w:t>amounts to a total of S/31,</w:t>
      </w:r>
      <w:r w:rsidR="00F15090" w:rsidRPr="00C71561">
        <w:rPr>
          <w:b w:val="0"/>
        </w:rPr>
        <w:t xml:space="preserve"> </w:t>
      </w:r>
      <w:r w:rsidR="00D14C60" w:rsidRPr="00C71561">
        <w:rPr>
          <w:b w:val="0"/>
        </w:rPr>
        <w:t>597.3</w:t>
      </w:r>
      <w:r w:rsidRPr="00C71561">
        <w:rPr>
          <w:b w:val="0"/>
        </w:rPr>
        <w:t>, this amount can be seen in Ta</w:t>
      </w:r>
      <w:r w:rsidR="00F70C33" w:rsidRPr="00C71561">
        <w:rPr>
          <w:b w:val="0"/>
        </w:rPr>
        <w:t>ble 3</w:t>
      </w:r>
      <w:r w:rsidR="00A03C44" w:rsidRPr="00C71561">
        <w:rPr>
          <w:b w:val="0"/>
        </w:rPr>
        <w:t>, if this same amount in ton</w:t>
      </w:r>
      <w:r w:rsidR="00F15090" w:rsidRPr="00C71561">
        <w:rPr>
          <w:b w:val="0"/>
        </w:rPr>
        <w:t>s</w:t>
      </w:r>
      <w:r w:rsidRPr="00C71561">
        <w:rPr>
          <w:b w:val="0"/>
        </w:rPr>
        <w:t xml:space="preserve"> had been marketed in Pucallpa during those 3 years, an amount would have been recovered and there would even be a profit, which would be called opport</w:t>
      </w:r>
      <w:r w:rsidR="00F70C33" w:rsidRPr="00C71561">
        <w:rPr>
          <w:b w:val="0"/>
        </w:rPr>
        <w:t>unity cost identified in table 4</w:t>
      </w:r>
      <w:r w:rsidRPr="00C71561">
        <w:rPr>
          <w:b w:val="0"/>
        </w:rPr>
        <w:t xml:space="preserve">, in which it can be seen that the PET plastic marketed with good segregation could have cost a total of </w:t>
      </w:r>
      <w:r w:rsidR="00F70C33" w:rsidRPr="00C71561">
        <w:rPr>
          <w:b w:val="0"/>
        </w:rPr>
        <w:t>S/65,</w:t>
      </w:r>
      <w:r w:rsidR="00485487" w:rsidRPr="00C71561">
        <w:rPr>
          <w:b w:val="0"/>
        </w:rPr>
        <w:t xml:space="preserve"> 091.64. </w:t>
      </w:r>
      <w:r w:rsidR="00F70C33" w:rsidRPr="00C71561">
        <w:rPr>
          <w:b w:val="0"/>
        </w:rPr>
        <w:t>Table 5</w:t>
      </w:r>
      <w:r w:rsidR="00D14C60" w:rsidRPr="00C71561">
        <w:rPr>
          <w:b w:val="0"/>
        </w:rPr>
        <w:t xml:space="preserve"> shows a s</w:t>
      </w:r>
      <w:r w:rsidRPr="00C71561">
        <w:rPr>
          <w:b w:val="0"/>
        </w:rPr>
        <w:t>ummary of expenses and opportunity costs during 2017, 2018 and 2019; In a differentiated</w:t>
      </w:r>
      <w:r w:rsidR="006D2B33" w:rsidRPr="00C71561">
        <w:rPr>
          <w:b w:val="0"/>
        </w:rPr>
        <w:t xml:space="preserve"> </w:t>
      </w:r>
      <w:r w:rsidRPr="00C71561">
        <w:rPr>
          <w:b w:val="0"/>
        </w:rPr>
        <w:t>manner, it is observed for all the values of the opportunity cost to be greater than the final disposal expenses. Likewise, Figure 3 shows the notable differences graphically with the best value for the opportunity cost.</w:t>
      </w:r>
    </w:p>
    <w:p w14:paraId="6A04B530" w14:textId="77777777" w:rsidR="002262C6" w:rsidRPr="00C71561" w:rsidRDefault="002262C6" w:rsidP="002262C6">
      <w:pPr>
        <w:pStyle w:val="CETHeading1"/>
        <w:rPr>
          <w:lang w:val="en-GB"/>
        </w:rPr>
      </w:pPr>
      <w:r w:rsidRPr="00C71561">
        <w:rPr>
          <w:lang w:val="en-GB"/>
        </w:rPr>
        <w:t>Conclusions</w:t>
      </w:r>
    </w:p>
    <w:p w14:paraId="5E2E320D" w14:textId="04092A6F" w:rsidR="00647C8C" w:rsidRPr="00C71561" w:rsidRDefault="002262C6" w:rsidP="00E63B22">
      <w:pPr>
        <w:pStyle w:val="CETHeadingxx"/>
        <w:shd w:val="clear" w:color="auto" w:fill="FFFFFF" w:themeFill="background1"/>
        <w:jc w:val="both"/>
        <w:rPr>
          <w:b w:val="0"/>
        </w:rPr>
      </w:pPr>
      <w:r w:rsidRPr="00C71561">
        <w:rPr>
          <w:b w:val="0"/>
        </w:rPr>
        <w:t>The prevention of occupational risks must be understood as a permanent activity that must be integrated into all of the company's actions and at all its hierarchical levels. The economic losses in the commercialization of solid PET plastic waste from the new world operational base camp lot 57 from 2017, 2018 and until March 2019 were S/40</w:t>
      </w:r>
      <w:r w:rsidR="000A4E19" w:rsidRPr="00C71561">
        <w:rPr>
          <w:b w:val="0"/>
        </w:rPr>
        <w:t>,</w:t>
      </w:r>
      <w:r w:rsidR="00485487" w:rsidRPr="00C71561">
        <w:rPr>
          <w:b w:val="0"/>
        </w:rPr>
        <w:t xml:space="preserve"> </w:t>
      </w:r>
      <w:r w:rsidRPr="00C71561">
        <w:rPr>
          <w:b w:val="0"/>
        </w:rPr>
        <w:t>582.08, S/19</w:t>
      </w:r>
      <w:r w:rsidR="000A4E19" w:rsidRPr="00C71561">
        <w:rPr>
          <w:b w:val="0"/>
        </w:rPr>
        <w:t>,</w:t>
      </w:r>
      <w:r w:rsidR="00485487" w:rsidRPr="00C71561">
        <w:rPr>
          <w:b w:val="0"/>
        </w:rPr>
        <w:t xml:space="preserve"> </w:t>
      </w:r>
      <w:r w:rsidRPr="00C71561">
        <w:rPr>
          <w:b w:val="0"/>
        </w:rPr>
        <w:t>261.12 and S/5</w:t>
      </w:r>
      <w:r w:rsidR="000A4E19" w:rsidRPr="00C71561">
        <w:rPr>
          <w:b w:val="0"/>
        </w:rPr>
        <w:t>,</w:t>
      </w:r>
      <w:r w:rsidR="00485487" w:rsidRPr="00C71561">
        <w:rPr>
          <w:b w:val="0"/>
        </w:rPr>
        <w:t xml:space="preserve"> </w:t>
      </w:r>
      <w:r w:rsidRPr="00C71561">
        <w:rPr>
          <w:b w:val="0"/>
        </w:rPr>
        <w:t xml:space="preserve">248.44 respectively. The total amount of non-hazardous recyclable </w:t>
      </w:r>
      <w:r w:rsidRPr="00C71561">
        <w:rPr>
          <w:b w:val="0"/>
        </w:rPr>
        <w:lastRenderedPageBreak/>
        <w:t>waste generated by the new world operational base camp lot 57 during 2017, 2018 and until March 2019 of PET plastic</w:t>
      </w:r>
      <w:r w:rsidR="00A03C44" w:rsidRPr="00C71561">
        <w:rPr>
          <w:b w:val="0"/>
        </w:rPr>
        <w:t xml:space="preserve"> waste 60 tons</w:t>
      </w:r>
      <w:r w:rsidRPr="00C71561">
        <w:rPr>
          <w:b w:val="0"/>
        </w:rPr>
        <w:t>. The total amount of non-hazardous waste that was disposed of during 2017, 2018 until March</w:t>
      </w:r>
      <w:r w:rsidR="00A03C44" w:rsidRPr="00C71561">
        <w:rPr>
          <w:b w:val="0"/>
        </w:rPr>
        <w:t xml:space="preserve"> 2019 of PET plastic was 59.3 tons</w:t>
      </w:r>
      <w:r w:rsidRPr="00C71561">
        <w:rPr>
          <w:b w:val="0"/>
        </w:rPr>
        <w:t xml:space="preserve">. The amount of waste that was not marketed and was put into </w:t>
      </w:r>
      <w:r w:rsidR="00A03C44" w:rsidRPr="00C71561">
        <w:rPr>
          <w:b w:val="0"/>
        </w:rPr>
        <w:t xml:space="preserve">the </w:t>
      </w:r>
      <w:r w:rsidRPr="00C71561">
        <w:rPr>
          <w:b w:val="0"/>
        </w:rPr>
        <w:t>final disposal during 2017 to 2019, generated by the Nuevo Mundo Lot 57 op</w:t>
      </w:r>
      <w:r w:rsidR="00A03C44" w:rsidRPr="00C71561">
        <w:rPr>
          <w:b w:val="0"/>
        </w:rPr>
        <w:t>erational base camp, was 59.3 tons</w:t>
      </w:r>
      <w:r w:rsidR="00AD765D" w:rsidRPr="00C71561">
        <w:rPr>
          <w:b w:val="0"/>
        </w:rPr>
        <w:t xml:space="preserve"> of PET plastic waste. </w:t>
      </w:r>
      <w:r w:rsidR="0055346B" w:rsidRPr="00C71561">
        <w:rPr>
          <w:b w:val="0"/>
        </w:rPr>
        <w:t>In conclusion, the proper management of PET plastic waste in the Lot 57 camp in Camisea is crucial for both occupational safety and economic efficiency. The evaluation of current practices also revealed the reduction of substantial economic losses associated with poor management. Implementing training programs for staff is a fundamental step to achieve more effective and safe management of PET plastic waste. These changes would not only benefit the work environment, but would also contribute to the environmental sustainability and operational efficiency of the camp.</w:t>
      </w:r>
    </w:p>
    <w:p w14:paraId="094E0BA9" w14:textId="77777777" w:rsidR="000D791C" w:rsidRPr="00C71561" w:rsidRDefault="000D791C" w:rsidP="00E63B22">
      <w:pPr>
        <w:pStyle w:val="CETReference"/>
        <w:shd w:val="clear" w:color="auto" w:fill="FFFFFF" w:themeFill="background1"/>
        <w:rPr>
          <w:lang w:val="en-US"/>
        </w:rPr>
      </w:pPr>
    </w:p>
    <w:p w14:paraId="388ADDC9" w14:textId="0236BF1A" w:rsidR="00575952" w:rsidRPr="00C71561" w:rsidRDefault="00575952" w:rsidP="00E63B22">
      <w:pPr>
        <w:pStyle w:val="CETReference"/>
        <w:shd w:val="clear" w:color="auto" w:fill="FFFFFF" w:themeFill="background1"/>
        <w:rPr>
          <w:lang w:val="en-US"/>
        </w:rPr>
      </w:pPr>
      <w:r w:rsidRPr="00C71561">
        <w:rPr>
          <w:lang w:val="en-US"/>
        </w:rPr>
        <w:t>References</w:t>
      </w:r>
    </w:p>
    <w:p w14:paraId="7D9D93E8"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lang w:val="es-MX"/>
        </w:rPr>
      </w:pPr>
      <w:r w:rsidRPr="00C71561">
        <w:rPr>
          <w:lang w:val="es-MX"/>
        </w:rPr>
        <w:fldChar w:fldCharType="begin" w:fldLock="1"/>
      </w:r>
      <w:r w:rsidRPr="00C71561">
        <w:rPr>
          <w:lang w:val="en-US"/>
        </w:rPr>
        <w:instrText xml:space="preserve">ADDIN Mendeley Bibliography CSL_BIBLIOGRAPHY </w:instrText>
      </w:r>
      <w:r w:rsidRPr="00C71561">
        <w:rPr>
          <w:lang w:val="es-MX"/>
        </w:rPr>
        <w:fldChar w:fldCharType="separate"/>
      </w:r>
      <w:r w:rsidRPr="00C71561">
        <w:rPr>
          <w:rFonts w:cs="Arial"/>
          <w:noProof/>
          <w:szCs w:val="24"/>
        </w:rPr>
        <w:t xml:space="preserve">Cruz, I., Huerta-Mercado, R., 2015, Occupational Safety and Health in Peru. </w:t>
      </w:r>
      <w:r w:rsidRPr="00C71561">
        <w:rPr>
          <w:rFonts w:cs="Arial"/>
          <w:i/>
          <w:iCs/>
          <w:noProof/>
          <w:szCs w:val="24"/>
          <w:lang w:val="es-MX"/>
        </w:rPr>
        <w:t>Annals of Global Health</w:t>
      </w:r>
      <w:r w:rsidRPr="00C71561">
        <w:rPr>
          <w:rFonts w:cs="Arial"/>
          <w:noProof/>
          <w:szCs w:val="24"/>
          <w:lang w:val="es-MX"/>
        </w:rPr>
        <w:t xml:space="preserve">, </w:t>
      </w:r>
      <w:r w:rsidRPr="00C71561">
        <w:rPr>
          <w:rFonts w:cs="Arial"/>
          <w:i/>
          <w:iCs/>
          <w:noProof/>
          <w:szCs w:val="24"/>
          <w:lang w:val="es-MX"/>
        </w:rPr>
        <w:t>81</w:t>
      </w:r>
      <w:r w:rsidRPr="00C71561">
        <w:rPr>
          <w:rFonts w:cs="Arial"/>
          <w:noProof/>
          <w:szCs w:val="24"/>
          <w:lang w:val="es-MX"/>
        </w:rPr>
        <w:t>(4), 568-575. https://doi.org/10.1016/j.aogh.2015.08.027</w:t>
      </w:r>
    </w:p>
    <w:p w14:paraId="21402617"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lang w:val="es-MX"/>
        </w:rPr>
      </w:pPr>
      <w:r w:rsidRPr="00C71561">
        <w:rPr>
          <w:rFonts w:cs="Arial"/>
          <w:noProof/>
          <w:szCs w:val="24"/>
          <w:lang w:val="es-MX"/>
        </w:rPr>
        <w:t xml:space="preserve">del Castillo, C., 2015, Camisea, compensaciones y diversificación de actividades de subsistencia en la comunidad nativa de Cashiriari (Cusco-Perú). </w:t>
      </w:r>
      <w:r w:rsidRPr="00C71561">
        <w:rPr>
          <w:rFonts w:cs="Arial"/>
          <w:i/>
          <w:iCs/>
          <w:noProof/>
          <w:szCs w:val="24"/>
          <w:lang w:val="es-MX"/>
        </w:rPr>
        <w:t>Debates en Sociología</w:t>
      </w:r>
      <w:r w:rsidRPr="00C71561">
        <w:rPr>
          <w:rFonts w:cs="Arial"/>
          <w:noProof/>
          <w:szCs w:val="24"/>
          <w:lang w:val="es-MX"/>
        </w:rPr>
        <w:t xml:space="preserve">, </w:t>
      </w:r>
      <w:r w:rsidRPr="00C71561">
        <w:rPr>
          <w:rFonts w:cs="Arial"/>
          <w:i/>
          <w:iCs/>
          <w:noProof/>
          <w:szCs w:val="24"/>
          <w:lang w:val="es-MX"/>
        </w:rPr>
        <w:t>41</w:t>
      </w:r>
      <w:r w:rsidRPr="00C71561">
        <w:rPr>
          <w:rFonts w:cs="Arial"/>
          <w:noProof/>
          <w:szCs w:val="24"/>
          <w:lang w:val="es-MX"/>
        </w:rPr>
        <w:t>, 53-82. https://revistas.pucp.edu.pe/index.php/debatesensociologia/article/download/14625/pdf/</w:t>
      </w:r>
    </w:p>
    <w:p w14:paraId="35020F1B"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rPr>
      </w:pPr>
      <w:r w:rsidRPr="00C71561">
        <w:rPr>
          <w:rFonts w:cs="Arial"/>
          <w:noProof/>
          <w:szCs w:val="24"/>
        </w:rPr>
        <w:t xml:space="preserve">Hashmi, S. I., Hewage, H. T. S. A., Visvanathan, C., 2023, Cleaner production auditing for plastic recycling industry in Pakistan: A baseline study. </w:t>
      </w:r>
      <w:r w:rsidRPr="00C71561">
        <w:rPr>
          <w:rFonts w:cs="Arial"/>
          <w:i/>
          <w:iCs/>
          <w:noProof/>
          <w:szCs w:val="24"/>
        </w:rPr>
        <w:t>Chemosphere</w:t>
      </w:r>
      <w:r w:rsidRPr="00C71561">
        <w:rPr>
          <w:rFonts w:cs="Arial"/>
          <w:noProof/>
          <w:szCs w:val="24"/>
        </w:rPr>
        <w:t xml:space="preserve">, </w:t>
      </w:r>
      <w:r w:rsidRPr="00C71561">
        <w:rPr>
          <w:rFonts w:cs="Arial"/>
          <w:i/>
          <w:iCs/>
          <w:noProof/>
          <w:szCs w:val="24"/>
        </w:rPr>
        <w:t>337</w:t>
      </w:r>
      <w:r w:rsidRPr="00C71561">
        <w:rPr>
          <w:rFonts w:cs="Arial"/>
          <w:noProof/>
          <w:szCs w:val="24"/>
        </w:rPr>
        <w:t>(March), 139338. https://doi.org/10.1016/j.chemosphere.2023.139338</w:t>
      </w:r>
    </w:p>
    <w:p w14:paraId="2B0A54FA"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rPr>
      </w:pPr>
      <w:r w:rsidRPr="00C71561">
        <w:rPr>
          <w:rFonts w:cs="Arial"/>
          <w:noProof/>
          <w:szCs w:val="24"/>
        </w:rPr>
        <w:t xml:space="preserve">Jatan, R., Solank, S., Saharna, S., Bhardwaj, J., Ramvijay., 2020, Pyrolysis of Waste Plastic into Fuel. </w:t>
      </w:r>
      <w:r w:rsidRPr="00C71561">
        <w:rPr>
          <w:rFonts w:cs="Arial"/>
          <w:i/>
          <w:iCs/>
          <w:noProof/>
          <w:szCs w:val="24"/>
        </w:rPr>
        <w:t>International Journal of Recent Technology and Engineering</w:t>
      </w:r>
      <w:r w:rsidRPr="00C71561">
        <w:rPr>
          <w:rFonts w:cs="Arial"/>
          <w:noProof/>
          <w:szCs w:val="24"/>
        </w:rPr>
        <w:t xml:space="preserve">, </w:t>
      </w:r>
      <w:r w:rsidRPr="00C71561">
        <w:rPr>
          <w:rFonts w:cs="Arial"/>
          <w:i/>
          <w:iCs/>
          <w:noProof/>
          <w:szCs w:val="24"/>
        </w:rPr>
        <w:t>9</w:t>
      </w:r>
      <w:r w:rsidRPr="00C71561">
        <w:rPr>
          <w:rFonts w:cs="Arial"/>
          <w:noProof/>
          <w:szCs w:val="24"/>
        </w:rPr>
        <w:t>(1), 2600-2604. https://doi.org/10.35940/ijrte.A2662.059120</w:t>
      </w:r>
    </w:p>
    <w:p w14:paraId="466AD050"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rPr>
      </w:pPr>
      <w:r w:rsidRPr="00C71561">
        <w:rPr>
          <w:rFonts w:cs="Arial"/>
          <w:noProof/>
          <w:szCs w:val="24"/>
        </w:rPr>
        <w:t xml:space="preserve">Jiménez-De-aliaga, K. M., Meneses-La-riva, M. E., Gutiérrez-Orellana, B. E., Rey-Córdova, N. G., Suyo Vega, J. A., Baldárrago-Baldárrago, J. L. A., Robladillo-Bravo, L. M., Jiménez-Sánchez, L. I., 2020, A cross-sectional study on the environmental culture and occupational health of informal waste pickers in Lima, Peru. </w:t>
      </w:r>
      <w:r w:rsidRPr="00C71561">
        <w:rPr>
          <w:rFonts w:cs="Arial"/>
          <w:i/>
          <w:iCs/>
          <w:noProof/>
          <w:szCs w:val="24"/>
        </w:rPr>
        <w:t>Medwave</w:t>
      </w:r>
      <w:r w:rsidRPr="00C71561">
        <w:rPr>
          <w:rFonts w:cs="Arial"/>
          <w:noProof/>
          <w:szCs w:val="24"/>
        </w:rPr>
        <w:t xml:space="preserve">, </w:t>
      </w:r>
      <w:r w:rsidRPr="00C71561">
        <w:rPr>
          <w:rFonts w:cs="Arial"/>
          <w:i/>
          <w:iCs/>
          <w:noProof/>
          <w:szCs w:val="24"/>
        </w:rPr>
        <w:t>20</w:t>
      </w:r>
      <w:r w:rsidRPr="00C71561">
        <w:rPr>
          <w:rFonts w:cs="Arial"/>
          <w:noProof/>
          <w:szCs w:val="24"/>
        </w:rPr>
        <w:t>(6), 1-8. https://doi.org/10.5867/medwave.2020.06.7952</w:t>
      </w:r>
    </w:p>
    <w:p w14:paraId="0AC67092"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rPr>
      </w:pPr>
      <w:r w:rsidRPr="00C71561">
        <w:rPr>
          <w:rFonts w:cs="Arial"/>
          <w:noProof/>
          <w:szCs w:val="24"/>
        </w:rPr>
        <w:t xml:space="preserve">Le Dinh, C., Fujiwara, T., &amp; Phu, S. T. P., 2023, An Analysis of Biodegradable Solid Waste Flow in Vietnam. </w:t>
      </w:r>
      <w:r w:rsidRPr="00C71561">
        <w:rPr>
          <w:rFonts w:cs="Arial"/>
          <w:i/>
          <w:iCs/>
          <w:noProof/>
          <w:szCs w:val="24"/>
        </w:rPr>
        <w:t>Chemical Engineering Transactions</w:t>
      </w:r>
      <w:r w:rsidRPr="00C71561">
        <w:rPr>
          <w:rFonts w:cs="Arial"/>
          <w:noProof/>
          <w:szCs w:val="24"/>
        </w:rPr>
        <w:t xml:space="preserve">, </w:t>
      </w:r>
      <w:r w:rsidRPr="00C71561">
        <w:rPr>
          <w:rFonts w:cs="Arial"/>
          <w:i/>
          <w:iCs/>
          <w:noProof/>
          <w:szCs w:val="24"/>
        </w:rPr>
        <w:t>106</w:t>
      </w:r>
      <w:r w:rsidRPr="00C71561">
        <w:rPr>
          <w:rFonts w:cs="Arial"/>
          <w:noProof/>
          <w:szCs w:val="24"/>
        </w:rPr>
        <w:t>(May), 619-624. https://doi.org/10.3303/CET23106104</w:t>
      </w:r>
    </w:p>
    <w:p w14:paraId="79D94CE7"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rPr>
      </w:pPr>
      <w:r w:rsidRPr="00C71561">
        <w:rPr>
          <w:rFonts w:cs="Arial"/>
          <w:noProof/>
          <w:szCs w:val="24"/>
        </w:rPr>
        <w:t xml:space="preserve">León, N., Santana, O., Klotz, M., Ganesan, K., Carrasco, F., Dagréou, S., Maspoch, M., Valderrama, C.,  2022, Implications of the Circular Economy in the Context of Plastic Recycling: The Case Study of Opaque PET. </w:t>
      </w:r>
      <w:r w:rsidRPr="00C71561">
        <w:rPr>
          <w:rFonts w:cs="Arial"/>
          <w:i/>
          <w:iCs/>
          <w:noProof/>
          <w:szCs w:val="24"/>
        </w:rPr>
        <w:t>polymers</w:t>
      </w:r>
      <w:r w:rsidRPr="00C71561">
        <w:rPr>
          <w:rFonts w:cs="Arial"/>
          <w:noProof/>
          <w:szCs w:val="24"/>
        </w:rPr>
        <w:t xml:space="preserve">, </w:t>
      </w:r>
      <w:r w:rsidRPr="00C71561">
        <w:rPr>
          <w:rFonts w:cs="Arial"/>
          <w:i/>
          <w:iCs/>
          <w:noProof/>
          <w:szCs w:val="24"/>
        </w:rPr>
        <w:t>14</w:t>
      </w:r>
      <w:r w:rsidRPr="00C71561">
        <w:rPr>
          <w:rFonts w:cs="Arial"/>
          <w:noProof/>
          <w:szCs w:val="24"/>
        </w:rPr>
        <w:t>(21), 1-16. https://doi.org/10.3390/polym14214639</w:t>
      </w:r>
    </w:p>
    <w:p w14:paraId="20683F25"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rPr>
      </w:pPr>
      <w:r w:rsidRPr="00C71561">
        <w:rPr>
          <w:rFonts w:cs="Arial"/>
          <w:noProof/>
          <w:szCs w:val="24"/>
        </w:rPr>
        <w:t xml:space="preserve">Leung, L., Jenkins, G. P., 2014, An economic evaluation of Peru’s liquefied natural gas export policy. </w:t>
      </w:r>
      <w:r w:rsidRPr="00C71561">
        <w:rPr>
          <w:rFonts w:cs="Arial"/>
          <w:i/>
          <w:iCs/>
          <w:noProof/>
          <w:szCs w:val="24"/>
        </w:rPr>
        <w:t>Energy Policy</w:t>
      </w:r>
      <w:r w:rsidRPr="00C71561">
        <w:rPr>
          <w:rFonts w:cs="Arial"/>
          <w:noProof/>
          <w:szCs w:val="24"/>
        </w:rPr>
        <w:t xml:space="preserve">, </w:t>
      </w:r>
      <w:r w:rsidRPr="00C71561">
        <w:rPr>
          <w:rFonts w:cs="Arial"/>
          <w:i/>
          <w:iCs/>
          <w:noProof/>
          <w:szCs w:val="24"/>
        </w:rPr>
        <w:t>74</w:t>
      </w:r>
      <w:r w:rsidRPr="00C71561">
        <w:rPr>
          <w:rFonts w:cs="Arial"/>
          <w:noProof/>
          <w:szCs w:val="24"/>
        </w:rPr>
        <w:t>(C), 643-654. https://doi.org/10.1016/j.enpol.2014.06.028</w:t>
      </w:r>
    </w:p>
    <w:p w14:paraId="5A4B206B"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lang w:val="es-MX"/>
        </w:rPr>
      </w:pPr>
      <w:r w:rsidRPr="00C71561">
        <w:rPr>
          <w:rFonts w:cs="Arial"/>
          <w:noProof/>
          <w:szCs w:val="24"/>
        </w:rPr>
        <w:t xml:space="preserve">Mazzi, A., 2023, Environmental and safety risk assessment for sustainable circular production: Case study in plastic processing for fashion products. </w:t>
      </w:r>
      <w:r w:rsidRPr="00C71561">
        <w:rPr>
          <w:rFonts w:cs="Arial"/>
          <w:i/>
          <w:iCs/>
          <w:noProof/>
          <w:szCs w:val="24"/>
          <w:lang w:val="es-MX"/>
        </w:rPr>
        <w:t>Heliyon</w:t>
      </w:r>
      <w:r w:rsidRPr="00C71561">
        <w:rPr>
          <w:rFonts w:cs="Arial"/>
          <w:noProof/>
          <w:szCs w:val="24"/>
          <w:lang w:val="es-MX"/>
        </w:rPr>
        <w:t xml:space="preserve">, </w:t>
      </w:r>
      <w:r w:rsidRPr="00C71561">
        <w:rPr>
          <w:rFonts w:cs="Arial"/>
          <w:i/>
          <w:iCs/>
          <w:noProof/>
          <w:szCs w:val="24"/>
          <w:lang w:val="es-MX"/>
        </w:rPr>
        <w:t>9</w:t>
      </w:r>
      <w:r w:rsidRPr="00C71561">
        <w:rPr>
          <w:rFonts w:cs="Arial"/>
          <w:noProof/>
          <w:szCs w:val="24"/>
          <w:lang w:val="es-MX"/>
        </w:rPr>
        <w:t>(11), e21352. https://doi.org/10.1016/j.heliyon.2023.e21352</w:t>
      </w:r>
    </w:p>
    <w:p w14:paraId="0F2788A2"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lang w:val="es-MX"/>
        </w:rPr>
      </w:pPr>
      <w:r w:rsidRPr="00C71561">
        <w:rPr>
          <w:rFonts w:cs="Arial"/>
          <w:noProof/>
          <w:szCs w:val="24"/>
          <w:lang w:val="es-MX"/>
        </w:rPr>
        <w:t xml:space="preserve">Sáenz, A., &amp; Urdaneta, J., 2020, Manejo de residuos sólidos en América Latina y el Caribe. </w:t>
      </w:r>
      <w:r w:rsidRPr="00C71561">
        <w:rPr>
          <w:rFonts w:cs="Arial"/>
          <w:i/>
          <w:iCs/>
          <w:noProof/>
          <w:szCs w:val="24"/>
          <w:lang w:val="es-MX"/>
        </w:rPr>
        <w:t>Omnia</w:t>
      </w:r>
      <w:r w:rsidRPr="00C71561">
        <w:rPr>
          <w:rFonts w:cs="Arial"/>
          <w:noProof/>
          <w:szCs w:val="24"/>
          <w:lang w:val="es-MX"/>
        </w:rPr>
        <w:t xml:space="preserve">, </w:t>
      </w:r>
      <w:r w:rsidRPr="00C71561">
        <w:rPr>
          <w:rFonts w:cs="Arial"/>
          <w:i/>
          <w:iCs/>
          <w:noProof/>
          <w:szCs w:val="24"/>
          <w:lang w:val="es-MX"/>
        </w:rPr>
        <w:t>3</w:t>
      </w:r>
      <w:r w:rsidRPr="00C71561">
        <w:rPr>
          <w:rFonts w:cs="Arial"/>
          <w:noProof/>
          <w:szCs w:val="24"/>
          <w:lang w:val="es-MX"/>
        </w:rPr>
        <w:t>, 121-135. https://www.redalyc.org/pdf/737/73737091009.pdf</w:t>
      </w:r>
    </w:p>
    <w:p w14:paraId="7AB16792"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lang w:val="es-MX"/>
        </w:rPr>
      </w:pPr>
      <w:r w:rsidRPr="00C71561">
        <w:rPr>
          <w:rFonts w:cs="Arial"/>
          <w:noProof/>
          <w:szCs w:val="24"/>
          <w:lang w:val="es-MX"/>
        </w:rPr>
        <w:t xml:space="preserve">Saucedo, J., Atoche, J., Muñoz, S., 2021. Uso de los agregados PET en la elaboración del concreto: Revisión de la literatura. </w:t>
      </w:r>
      <w:r w:rsidRPr="00C71561">
        <w:rPr>
          <w:rFonts w:cs="Arial"/>
          <w:i/>
          <w:iCs/>
          <w:noProof/>
          <w:szCs w:val="24"/>
          <w:lang w:val="es-MX"/>
        </w:rPr>
        <w:t>Avances Investigación en Ingeniería</w:t>
      </w:r>
      <w:r w:rsidRPr="00C71561">
        <w:rPr>
          <w:rFonts w:cs="Arial"/>
          <w:noProof/>
          <w:szCs w:val="24"/>
          <w:lang w:val="es-MX"/>
        </w:rPr>
        <w:t xml:space="preserve">, </w:t>
      </w:r>
      <w:r w:rsidRPr="00C71561">
        <w:rPr>
          <w:rFonts w:cs="Arial"/>
          <w:i/>
          <w:iCs/>
          <w:noProof/>
          <w:szCs w:val="24"/>
          <w:lang w:val="es-MX"/>
        </w:rPr>
        <w:t>18</w:t>
      </w:r>
      <w:r w:rsidRPr="00C71561">
        <w:rPr>
          <w:rFonts w:cs="Arial"/>
          <w:noProof/>
          <w:szCs w:val="24"/>
          <w:lang w:val="es-MX"/>
        </w:rPr>
        <w:t>(2). https://doi.org/10.18041/1794-4953/avances.2.6942</w:t>
      </w:r>
    </w:p>
    <w:p w14:paraId="02DF3924" w14:textId="77777777" w:rsidR="00485487" w:rsidRPr="00C71561" w:rsidRDefault="00485487" w:rsidP="00485487">
      <w:pPr>
        <w:widowControl w:val="0"/>
        <w:autoSpaceDE w:val="0"/>
        <w:autoSpaceDN w:val="0"/>
        <w:adjustRightInd w:val="0"/>
        <w:spacing w:before="200" w:after="120" w:line="240" w:lineRule="auto"/>
        <w:ind w:left="480" w:hanging="480"/>
        <w:rPr>
          <w:rFonts w:cs="Arial"/>
          <w:noProof/>
          <w:szCs w:val="24"/>
          <w:lang w:val="es-MX"/>
        </w:rPr>
      </w:pPr>
      <w:r w:rsidRPr="00C71561">
        <w:rPr>
          <w:rFonts w:cs="Arial"/>
          <w:noProof/>
          <w:szCs w:val="24"/>
          <w:lang w:val="es-MX"/>
        </w:rPr>
        <w:t xml:space="preserve">Tee, M., Sy, C., 2023. </w:t>
      </w:r>
      <w:r w:rsidRPr="00C71561">
        <w:rPr>
          <w:rFonts w:cs="Arial"/>
          <w:noProof/>
          <w:szCs w:val="24"/>
        </w:rPr>
        <w:t xml:space="preserve">A Simulation Model to Analyze the Efficacy of Plastic Waste Management Policies. </w:t>
      </w:r>
      <w:r w:rsidRPr="00C71561">
        <w:rPr>
          <w:rFonts w:cs="Arial"/>
          <w:i/>
          <w:iCs/>
          <w:noProof/>
          <w:szCs w:val="24"/>
          <w:lang w:val="es-MX"/>
        </w:rPr>
        <w:t>Chemical Engineering Transactions</w:t>
      </w:r>
      <w:r w:rsidRPr="00C71561">
        <w:rPr>
          <w:rFonts w:cs="Arial"/>
          <w:noProof/>
          <w:szCs w:val="24"/>
          <w:lang w:val="es-MX"/>
        </w:rPr>
        <w:t xml:space="preserve">, </w:t>
      </w:r>
      <w:r w:rsidRPr="00C71561">
        <w:rPr>
          <w:rFonts w:cs="Arial"/>
          <w:i/>
          <w:iCs/>
          <w:noProof/>
          <w:szCs w:val="24"/>
          <w:lang w:val="es-MX"/>
        </w:rPr>
        <w:t>103</w:t>
      </w:r>
      <w:r w:rsidRPr="00C71561">
        <w:rPr>
          <w:rFonts w:cs="Arial"/>
          <w:noProof/>
          <w:szCs w:val="24"/>
          <w:lang w:val="es-MX"/>
        </w:rPr>
        <w:t>(February), 1-6. https://doi.org/10.3303/CET23103001</w:t>
      </w:r>
    </w:p>
    <w:p w14:paraId="328FB570" w14:textId="23D1006C" w:rsidR="00485487" w:rsidRPr="006A37E3" w:rsidRDefault="00485487" w:rsidP="00485487">
      <w:pPr>
        <w:widowControl w:val="0"/>
        <w:autoSpaceDE w:val="0"/>
        <w:autoSpaceDN w:val="0"/>
        <w:adjustRightInd w:val="0"/>
        <w:spacing w:before="200" w:after="120" w:line="240" w:lineRule="auto"/>
        <w:ind w:left="480" w:hanging="480"/>
        <w:rPr>
          <w:lang w:val="es-MX"/>
        </w:rPr>
      </w:pPr>
      <w:r w:rsidRPr="00C71561">
        <w:rPr>
          <w:rFonts w:cs="Arial"/>
          <w:noProof/>
          <w:szCs w:val="24"/>
          <w:lang w:val="es-MX"/>
        </w:rPr>
        <w:t xml:space="preserve">Valderrama, M., Chavarro, L., Osorio, J., Peña, C., 2017, Estudio dinámico del reciclaje de envases pet en el Valle del Cauca. </w:t>
      </w:r>
      <w:r w:rsidRPr="00C71561">
        <w:rPr>
          <w:rFonts w:cs="Arial"/>
          <w:i/>
          <w:iCs/>
          <w:noProof/>
          <w:szCs w:val="24"/>
        </w:rPr>
        <w:t>LASALLISTA de investigación</w:t>
      </w:r>
      <w:r w:rsidRPr="00C71561">
        <w:rPr>
          <w:rFonts w:cs="Arial"/>
          <w:noProof/>
          <w:szCs w:val="24"/>
        </w:rPr>
        <w:t xml:space="preserve">, </w:t>
      </w:r>
      <w:r w:rsidRPr="00C71561">
        <w:rPr>
          <w:rFonts w:cs="Arial"/>
          <w:i/>
          <w:iCs/>
          <w:noProof/>
          <w:szCs w:val="24"/>
        </w:rPr>
        <w:t>15</w:t>
      </w:r>
      <w:r w:rsidRPr="00C71561">
        <w:rPr>
          <w:rFonts w:cs="Arial"/>
          <w:noProof/>
          <w:szCs w:val="24"/>
        </w:rPr>
        <w:t>(1), 67-74. https://doi.org/10.22507/rli.v15n1a6</w:t>
      </w:r>
      <w:r w:rsidRPr="00C71561">
        <w:rPr>
          <w:lang w:val="es-MX"/>
        </w:rPr>
        <w:fldChar w:fldCharType="end"/>
      </w:r>
    </w:p>
    <w:p w14:paraId="19C4FC68" w14:textId="73B18DE6" w:rsidR="004628D2" w:rsidRPr="006A37E3" w:rsidRDefault="004628D2" w:rsidP="00485487">
      <w:pPr>
        <w:widowControl w:val="0"/>
        <w:shd w:val="clear" w:color="auto" w:fill="FFFFFF" w:themeFill="background1"/>
        <w:autoSpaceDE w:val="0"/>
        <w:autoSpaceDN w:val="0"/>
        <w:adjustRightInd w:val="0"/>
        <w:spacing w:before="200" w:after="120" w:line="240" w:lineRule="auto"/>
        <w:ind w:left="480" w:hanging="480"/>
        <w:rPr>
          <w:lang w:val="es-MX"/>
        </w:rPr>
      </w:pPr>
    </w:p>
    <w:sectPr w:rsidR="004628D2" w:rsidRPr="006A37E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6136CA" w14:textId="77777777" w:rsidR="00A473F2" w:rsidRDefault="00A473F2" w:rsidP="004F5E36">
      <w:r>
        <w:separator/>
      </w:r>
    </w:p>
  </w:endnote>
  <w:endnote w:type="continuationSeparator" w:id="0">
    <w:p w14:paraId="692AF926" w14:textId="77777777" w:rsidR="00A473F2" w:rsidRDefault="00A473F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6E1DE0" w14:textId="77777777" w:rsidR="00A473F2" w:rsidRDefault="00A473F2" w:rsidP="004F5E36">
      <w:r>
        <w:separator/>
      </w:r>
    </w:p>
  </w:footnote>
  <w:footnote w:type="continuationSeparator" w:id="0">
    <w:p w14:paraId="619AB4AF" w14:textId="77777777" w:rsidR="00A473F2" w:rsidRDefault="00A473F2"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227" w:hanging="227"/>
      </w:pPr>
      <w:rPr>
        <w:rFonts w:ascii="Symbol" w:hAnsi="Symbol" w:hint="default"/>
      </w:rPr>
    </w:lvl>
    <w:lvl w:ilvl="1" w:tplc="04100003" w:tentative="1">
      <w:start w:val="1"/>
      <w:numFmt w:val="bullet"/>
      <w:lvlText w:val="o"/>
      <w:lvlJc w:val="left"/>
      <w:pPr>
        <w:ind w:left="1327" w:hanging="360"/>
      </w:pPr>
      <w:rPr>
        <w:rFonts w:ascii="Courier New" w:hAnsi="Courier New" w:cs="Courier New" w:hint="default"/>
      </w:rPr>
    </w:lvl>
    <w:lvl w:ilvl="2" w:tplc="04100005" w:tentative="1">
      <w:start w:val="1"/>
      <w:numFmt w:val="bullet"/>
      <w:lvlText w:val=""/>
      <w:lvlJc w:val="left"/>
      <w:pPr>
        <w:ind w:left="2047" w:hanging="360"/>
      </w:pPr>
      <w:rPr>
        <w:rFonts w:ascii="Wingdings" w:hAnsi="Wingdings" w:hint="default"/>
      </w:rPr>
    </w:lvl>
    <w:lvl w:ilvl="3" w:tplc="04100001" w:tentative="1">
      <w:start w:val="1"/>
      <w:numFmt w:val="bullet"/>
      <w:lvlText w:val=""/>
      <w:lvlJc w:val="left"/>
      <w:pPr>
        <w:ind w:left="2767" w:hanging="360"/>
      </w:pPr>
      <w:rPr>
        <w:rFonts w:ascii="Symbol" w:hAnsi="Symbol" w:hint="default"/>
      </w:rPr>
    </w:lvl>
    <w:lvl w:ilvl="4" w:tplc="04100003" w:tentative="1">
      <w:start w:val="1"/>
      <w:numFmt w:val="bullet"/>
      <w:lvlText w:val="o"/>
      <w:lvlJc w:val="left"/>
      <w:pPr>
        <w:ind w:left="3487" w:hanging="360"/>
      </w:pPr>
      <w:rPr>
        <w:rFonts w:ascii="Courier New" w:hAnsi="Courier New" w:cs="Courier New" w:hint="default"/>
      </w:rPr>
    </w:lvl>
    <w:lvl w:ilvl="5" w:tplc="04100005" w:tentative="1">
      <w:start w:val="1"/>
      <w:numFmt w:val="bullet"/>
      <w:lvlText w:val=""/>
      <w:lvlJc w:val="left"/>
      <w:pPr>
        <w:ind w:left="4207" w:hanging="360"/>
      </w:pPr>
      <w:rPr>
        <w:rFonts w:ascii="Wingdings" w:hAnsi="Wingdings" w:hint="default"/>
      </w:rPr>
    </w:lvl>
    <w:lvl w:ilvl="6" w:tplc="04100001" w:tentative="1">
      <w:start w:val="1"/>
      <w:numFmt w:val="bullet"/>
      <w:lvlText w:val=""/>
      <w:lvlJc w:val="left"/>
      <w:pPr>
        <w:ind w:left="4927" w:hanging="360"/>
      </w:pPr>
      <w:rPr>
        <w:rFonts w:ascii="Symbol" w:hAnsi="Symbol" w:hint="default"/>
      </w:rPr>
    </w:lvl>
    <w:lvl w:ilvl="7" w:tplc="04100003" w:tentative="1">
      <w:start w:val="1"/>
      <w:numFmt w:val="bullet"/>
      <w:lvlText w:val="o"/>
      <w:lvlJc w:val="left"/>
      <w:pPr>
        <w:ind w:left="5647" w:hanging="360"/>
      </w:pPr>
      <w:rPr>
        <w:rFonts w:ascii="Courier New" w:hAnsi="Courier New" w:cs="Courier New" w:hint="default"/>
      </w:rPr>
    </w:lvl>
    <w:lvl w:ilvl="8" w:tplc="04100005" w:tentative="1">
      <w:start w:val="1"/>
      <w:numFmt w:val="bullet"/>
      <w:lvlText w:val=""/>
      <w:lvlJc w:val="left"/>
      <w:pPr>
        <w:ind w:left="6367"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091592F"/>
    <w:multiLevelType w:val="hybridMultilevel"/>
    <w:tmpl w:val="007626C0"/>
    <w:lvl w:ilvl="0" w:tplc="280A0001">
      <w:start w:val="1"/>
      <w:numFmt w:val="bullet"/>
      <w:lvlText w:val=""/>
      <w:lvlJc w:val="left"/>
      <w:pPr>
        <w:ind w:left="227" w:hanging="227"/>
      </w:pPr>
      <w:rPr>
        <w:rFonts w:ascii="Symbol" w:hAnsi="Symbol" w:hint="default"/>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72B1756"/>
    <w:multiLevelType w:val="multilevel"/>
    <w:tmpl w:val="C5EA55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8207134"/>
    <w:multiLevelType w:val="multilevel"/>
    <w:tmpl w:val="B016C9E6"/>
    <w:lvl w:ilvl="0">
      <w:start w:val="1"/>
      <w:numFmt w:val="decimal"/>
      <w:pStyle w:val="APANivel1"/>
      <w:lvlText w:val="%1."/>
      <w:lvlJc w:val="left"/>
      <w:pPr>
        <w:ind w:left="360" w:hanging="360"/>
      </w:pPr>
      <w:rPr>
        <w:rFonts w:hint="default"/>
      </w:rPr>
    </w:lvl>
    <w:lvl w:ilvl="1">
      <w:start w:val="1"/>
      <w:numFmt w:val="decimal"/>
      <w:pStyle w:val="APANivel2"/>
      <w:lvlText w:val="%1.%2."/>
      <w:lvlJc w:val="left"/>
      <w:pPr>
        <w:ind w:left="680" w:hanging="680"/>
      </w:pPr>
      <w:rPr>
        <w:rFonts w:hint="default"/>
      </w:rPr>
    </w:lvl>
    <w:lvl w:ilvl="2">
      <w:start w:val="1"/>
      <w:numFmt w:val="decimal"/>
      <w:pStyle w:val="APANivel3"/>
      <w:lvlText w:val="%1.%2.%3."/>
      <w:lvlJc w:val="left"/>
      <w:pPr>
        <w:ind w:left="1191" w:hanging="907"/>
      </w:pPr>
      <w:rPr>
        <w:rFonts w:hint="default"/>
      </w:rPr>
    </w:lvl>
    <w:lvl w:ilvl="3">
      <w:start w:val="1"/>
      <w:numFmt w:val="decimal"/>
      <w:pStyle w:val="APANivel4"/>
      <w:lvlText w:val="%1.%2.%3.%4."/>
      <w:lvlJc w:val="left"/>
      <w:pPr>
        <w:ind w:left="1531" w:hanging="1247"/>
      </w:pPr>
      <w:rPr>
        <w:rFonts w:hint="default"/>
      </w:rPr>
    </w:lvl>
    <w:lvl w:ilvl="4">
      <w:start w:val="1"/>
      <w:numFmt w:val="decimal"/>
      <w:pStyle w:val="APANivel5"/>
      <w:lvlText w:val="%1.%2.%3.%4.%5."/>
      <w:lvlJc w:val="left"/>
      <w:pPr>
        <w:ind w:left="1871" w:hanging="1587"/>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08172055">
    <w:abstractNumId w:val="10"/>
  </w:num>
  <w:num w:numId="2" w16cid:durableId="1841433436">
    <w:abstractNumId w:val="8"/>
  </w:num>
  <w:num w:numId="3" w16cid:durableId="120536404">
    <w:abstractNumId w:val="3"/>
  </w:num>
  <w:num w:numId="4" w16cid:durableId="204220592">
    <w:abstractNumId w:val="2"/>
  </w:num>
  <w:num w:numId="5" w16cid:durableId="1782525952">
    <w:abstractNumId w:val="1"/>
  </w:num>
  <w:num w:numId="6" w16cid:durableId="597173481">
    <w:abstractNumId w:val="0"/>
  </w:num>
  <w:num w:numId="7" w16cid:durableId="1898465417">
    <w:abstractNumId w:val="9"/>
  </w:num>
  <w:num w:numId="8" w16cid:durableId="1397584419">
    <w:abstractNumId w:val="7"/>
  </w:num>
  <w:num w:numId="9" w16cid:durableId="2096127004">
    <w:abstractNumId w:val="6"/>
  </w:num>
  <w:num w:numId="10" w16cid:durableId="2073385145">
    <w:abstractNumId w:val="5"/>
  </w:num>
  <w:num w:numId="11" w16cid:durableId="1060831266">
    <w:abstractNumId w:val="4"/>
  </w:num>
  <w:num w:numId="12" w16cid:durableId="1083259976">
    <w:abstractNumId w:val="17"/>
  </w:num>
  <w:num w:numId="13" w16cid:durableId="1129398416">
    <w:abstractNumId w:val="12"/>
  </w:num>
  <w:num w:numId="14" w16cid:durableId="1423378453">
    <w:abstractNumId w:val="18"/>
  </w:num>
  <w:num w:numId="15" w16cid:durableId="616759558">
    <w:abstractNumId w:val="23"/>
  </w:num>
  <w:num w:numId="16" w16cid:durableId="176580684">
    <w:abstractNumId w:val="20"/>
  </w:num>
  <w:num w:numId="17" w16cid:durableId="1295912106">
    <w:abstractNumId w:val="11"/>
  </w:num>
  <w:num w:numId="18" w16cid:durableId="562646779">
    <w:abstractNumId w:val="12"/>
    <w:lvlOverride w:ilvl="0">
      <w:startOverride w:val="1"/>
    </w:lvlOverride>
  </w:num>
  <w:num w:numId="19" w16cid:durableId="1554928527">
    <w:abstractNumId w:val="16"/>
  </w:num>
  <w:num w:numId="20" w16cid:durableId="931813060">
    <w:abstractNumId w:val="15"/>
  </w:num>
  <w:num w:numId="21" w16cid:durableId="1393428940">
    <w:abstractNumId w:val="14"/>
  </w:num>
  <w:num w:numId="22" w16cid:durableId="2116896970">
    <w:abstractNumId w:val="13"/>
  </w:num>
  <w:num w:numId="23" w16cid:durableId="236672375">
    <w:abstractNumId w:val="22"/>
  </w:num>
  <w:num w:numId="24" w16cid:durableId="66458618">
    <w:abstractNumId w:val="19"/>
  </w:num>
  <w:num w:numId="25" w16cid:durableId="6608170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60D"/>
    <w:rsid w:val="000027C0"/>
    <w:rsid w:val="000052FB"/>
    <w:rsid w:val="00005A19"/>
    <w:rsid w:val="000117CB"/>
    <w:rsid w:val="00013E7A"/>
    <w:rsid w:val="000163CF"/>
    <w:rsid w:val="00017EE4"/>
    <w:rsid w:val="000279DF"/>
    <w:rsid w:val="0003148D"/>
    <w:rsid w:val="00031EEC"/>
    <w:rsid w:val="00041312"/>
    <w:rsid w:val="000463AD"/>
    <w:rsid w:val="00051566"/>
    <w:rsid w:val="00054288"/>
    <w:rsid w:val="000550A0"/>
    <w:rsid w:val="000562A9"/>
    <w:rsid w:val="0006035D"/>
    <w:rsid w:val="00060DBC"/>
    <w:rsid w:val="00061186"/>
    <w:rsid w:val="0006214B"/>
    <w:rsid w:val="00062A9A"/>
    <w:rsid w:val="00065058"/>
    <w:rsid w:val="00080D7B"/>
    <w:rsid w:val="00080F50"/>
    <w:rsid w:val="000818B1"/>
    <w:rsid w:val="00082AA6"/>
    <w:rsid w:val="00085BCF"/>
    <w:rsid w:val="00086C39"/>
    <w:rsid w:val="000A03B2"/>
    <w:rsid w:val="000A12D5"/>
    <w:rsid w:val="000A4E19"/>
    <w:rsid w:val="000C01C2"/>
    <w:rsid w:val="000C13B6"/>
    <w:rsid w:val="000D0268"/>
    <w:rsid w:val="000D1A5E"/>
    <w:rsid w:val="000D34BE"/>
    <w:rsid w:val="000D469B"/>
    <w:rsid w:val="000D791C"/>
    <w:rsid w:val="000E102F"/>
    <w:rsid w:val="000E36F1"/>
    <w:rsid w:val="000E38AD"/>
    <w:rsid w:val="000E3A73"/>
    <w:rsid w:val="000E414A"/>
    <w:rsid w:val="000E7168"/>
    <w:rsid w:val="000E78F9"/>
    <w:rsid w:val="000E7B56"/>
    <w:rsid w:val="000F093C"/>
    <w:rsid w:val="000F787B"/>
    <w:rsid w:val="000F7DC5"/>
    <w:rsid w:val="0010093D"/>
    <w:rsid w:val="00102491"/>
    <w:rsid w:val="0012091F"/>
    <w:rsid w:val="001215EF"/>
    <w:rsid w:val="00123887"/>
    <w:rsid w:val="00126BC2"/>
    <w:rsid w:val="001308B6"/>
    <w:rsid w:val="0013121F"/>
    <w:rsid w:val="0013141E"/>
    <w:rsid w:val="00131FE6"/>
    <w:rsid w:val="0013263F"/>
    <w:rsid w:val="001331DF"/>
    <w:rsid w:val="00134DE4"/>
    <w:rsid w:val="00137FFB"/>
    <w:rsid w:val="0014034D"/>
    <w:rsid w:val="00143162"/>
    <w:rsid w:val="00144D16"/>
    <w:rsid w:val="00147363"/>
    <w:rsid w:val="00150E59"/>
    <w:rsid w:val="001518EE"/>
    <w:rsid w:val="00152DE3"/>
    <w:rsid w:val="00154FB2"/>
    <w:rsid w:val="00163A8B"/>
    <w:rsid w:val="00164CF9"/>
    <w:rsid w:val="001667A6"/>
    <w:rsid w:val="00173599"/>
    <w:rsid w:val="00184AD6"/>
    <w:rsid w:val="0019036D"/>
    <w:rsid w:val="001930D8"/>
    <w:rsid w:val="001937A7"/>
    <w:rsid w:val="0019577B"/>
    <w:rsid w:val="00195CEA"/>
    <w:rsid w:val="001A2647"/>
    <w:rsid w:val="001A4AF7"/>
    <w:rsid w:val="001A7765"/>
    <w:rsid w:val="001B0349"/>
    <w:rsid w:val="001B1E93"/>
    <w:rsid w:val="001B328D"/>
    <w:rsid w:val="001B3618"/>
    <w:rsid w:val="001B65C1"/>
    <w:rsid w:val="001C0E36"/>
    <w:rsid w:val="001C684B"/>
    <w:rsid w:val="001D0CFB"/>
    <w:rsid w:val="001D1317"/>
    <w:rsid w:val="001D21AF"/>
    <w:rsid w:val="001D3130"/>
    <w:rsid w:val="001D53FC"/>
    <w:rsid w:val="001D7683"/>
    <w:rsid w:val="001E4A39"/>
    <w:rsid w:val="001F42A5"/>
    <w:rsid w:val="001F7B9D"/>
    <w:rsid w:val="00201C93"/>
    <w:rsid w:val="002138D4"/>
    <w:rsid w:val="00220420"/>
    <w:rsid w:val="002224B4"/>
    <w:rsid w:val="00222749"/>
    <w:rsid w:val="0022291C"/>
    <w:rsid w:val="002262C6"/>
    <w:rsid w:val="00226C71"/>
    <w:rsid w:val="0022709A"/>
    <w:rsid w:val="0023309A"/>
    <w:rsid w:val="00237D8F"/>
    <w:rsid w:val="002447EF"/>
    <w:rsid w:val="00251550"/>
    <w:rsid w:val="00252A46"/>
    <w:rsid w:val="002537D2"/>
    <w:rsid w:val="00261E44"/>
    <w:rsid w:val="00263B05"/>
    <w:rsid w:val="002647B9"/>
    <w:rsid w:val="00265E7C"/>
    <w:rsid w:val="00271319"/>
    <w:rsid w:val="0027221A"/>
    <w:rsid w:val="002755BF"/>
    <w:rsid w:val="00275B61"/>
    <w:rsid w:val="00280FAF"/>
    <w:rsid w:val="00282656"/>
    <w:rsid w:val="0028701A"/>
    <w:rsid w:val="0028709B"/>
    <w:rsid w:val="002916DD"/>
    <w:rsid w:val="00292595"/>
    <w:rsid w:val="00292CCC"/>
    <w:rsid w:val="00293A1A"/>
    <w:rsid w:val="00296B83"/>
    <w:rsid w:val="002A04AE"/>
    <w:rsid w:val="002A209E"/>
    <w:rsid w:val="002A3167"/>
    <w:rsid w:val="002B39B7"/>
    <w:rsid w:val="002B4015"/>
    <w:rsid w:val="002B78CE"/>
    <w:rsid w:val="002C2FB6"/>
    <w:rsid w:val="002D33FF"/>
    <w:rsid w:val="002E24CA"/>
    <w:rsid w:val="002E4DFB"/>
    <w:rsid w:val="002E5FA7"/>
    <w:rsid w:val="002E6593"/>
    <w:rsid w:val="002F3309"/>
    <w:rsid w:val="002F4B6F"/>
    <w:rsid w:val="003008CE"/>
    <w:rsid w:val="003009B7"/>
    <w:rsid w:val="00300E56"/>
    <w:rsid w:val="0030152C"/>
    <w:rsid w:val="0030468B"/>
    <w:rsid w:val="0030469C"/>
    <w:rsid w:val="00321CA6"/>
    <w:rsid w:val="00323763"/>
    <w:rsid w:val="00323C5F"/>
    <w:rsid w:val="00334C09"/>
    <w:rsid w:val="0033773C"/>
    <w:rsid w:val="003456DF"/>
    <w:rsid w:val="003524F2"/>
    <w:rsid w:val="0036751E"/>
    <w:rsid w:val="003723D4"/>
    <w:rsid w:val="00372D9F"/>
    <w:rsid w:val="00373346"/>
    <w:rsid w:val="00375315"/>
    <w:rsid w:val="003763B2"/>
    <w:rsid w:val="0037686C"/>
    <w:rsid w:val="00381905"/>
    <w:rsid w:val="00382E8D"/>
    <w:rsid w:val="00384CC8"/>
    <w:rsid w:val="003871FD"/>
    <w:rsid w:val="00393DF0"/>
    <w:rsid w:val="003A1E30"/>
    <w:rsid w:val="003A2829"/>
    <w:rsid w:val="003A417E"/>
    <w:rsid w:val="003A5113"/>
    <w:rsid w:val="003A7D1C"/>
    <w:rsid w:val="003B1365"/>
    <w:rsid w:val="003B304B"/>
    <w:rsid w:val="003B3146"/>
    <w:rsid w:val="003C5F9E"/>
    <w:rsid w:val="003D04F8"/>
    <w:rsid w:val="003D2861"/>
    <w:rsid w:val="003D4BEC"/>
    <w:rsid w:val="003E1742"/>
    <w:rsid w:val="003E27FB"/>
    <w:rsid w:val="003E2F84"/>
    <w:rsid w:val="003F015E"/>
    <w:rsid w:val="003F1659"/>
    <w:rsid w:val="00400414"/>
    <w:rsid w:val="0040519B"/>
    <w:rsid w:val="00405854"/>
    <w:rsid w:val="00407CF6"/>
    <w:rsid w:val="00413B14"/>
    <w:rsid w:val="0041446B"/>
    <w:rsid w:val="004150E5"/>
    <w:rsid w:val="004172F2"/>
    <w:rsid w:val="0044071E"/>
    <w:rsid w:val="0044329C"/>
    <w:rsid w:val="0044341C"/>
    <w:rsid w:val="004450F1"/>
    <w:rsid w:val="004478F2"/>
    <w:rsid w:val="004535D4"/>
    <w:rsid w:val="00453E24"/>
    <w:rsid w:val="00457456"/>
    <w:rsid w:val="004577FE"/>
    <w:rsid w:val="00457B9C"/>
    <w:rsid w:val="0046164A"/>
    <w:rsid w:val="004628D2"/>
    <w:rsid w:val="00462DCD"/>
    <w:rsid w:val="004648AD"/>
    <w:rsid w:val="00466D73"/>
    <w:rsid w:val="0047032A"/>
    <w:rsid w:val="004703A9"/>
    <w:rsid w:val="004760DE"/>
    <w:rsid w:val="004763D7"/>
    <w:rsid w:val="004848D9"/>
    <w:rsid w:val="00485487"/>
    <w:rsid w:val="00494436"/>
    <w:rsid w:val="004A004E"/>
    <w:rsid w:val="004A0218"/>
    <w:rsid w:val="004A24CF"/>
    <w:rsid w:val="004A2C28"/>
    <w:rsid w:val="004B07D8"/>
    <w:rsid w:val="004C2FE4"/>
    <w:rsid w:val="004C3D1D"/>
    <w:rsid w:val="004C3D84"/>
    <w:rsid w:val="004C7913"/>
    <w:rsid w:val="004D5B37"/>
    <w:rsid w:val="004E4DD6"/>
    <w:rsid w:val="004F0E62"/>
    <w:rsid w:val="004F5A74"/>
    <w:rsid w:val="004F5CD5"/>
    <w:rsid w:val="004F5E36"/>
    <w:rsid w:val="00500EB8"/>
    <w:rsid w:val="005021AD"/>
    <w:rsid w:val="005051FF"/>
    <w:rsid w:val="00507B47"/>
    <w:rsid w:val="00507BEF"/>
    <w:rsid w:val="00507CC9"/>
    <w:rsid w:val="005119A5"/>
    <w:rsid w:val="00517F0A"/>
    <w:rsid w:val="005278B7"/>
    <w:rsid w:val="00532016"/>
    <w:rsid w:val="00533687"/>
    <w:rsid w:val="005339D2"/>
    <w:rsid w:val="005346C8"/>
    <w:rsid w:val="00543E7D"/>
    <w:rsid w:val="00547A68"/>
    <w:rsid w:val="005531C9"/>
    <w:rsid w:val="0055346B"/>
    <w:rsid w:val="00557E00"/>
    <w:rsid w:val="00570C43"/>
    <w:rsid w:val="0057594D"/>
    <w:rsid w:val="00575952"/>
    <w:rsid w:val="0058140C"/>
    <w:rsid w:val="005850BB"/>
    <w:rsid w:val="005900CD"/>
    <w:rsid w:val="00593D64"/>
    <w:rsid w:val="0059564A"/>
    <w:rsid w:val="00597B1F"/>
    <w:rsid w:val="005A5F22"/>
    <w:rsid w:val="005A7342"/>
    <w:rsid w:val="005B2110"/>
    <w:rsid w:val="005B4E6B"/>
    <w:rsid w:val="005B61E6"/>
    <w:rsid w:val="005B7BCE"/>
    <w:rsid w:val="005C5672"/>
    <w:rsid w:val="005C77E1"/>
    <w:rsid w:val="005D5BE4"/>
    <w:rsid w:val="005D668A"/>
    <w:rsid w:val="005D6A2F"/>
    <w:rsid w:val="005E1A82"/>
    <w:rsid w:val="005E794C"/>
    <w:rsid w:val="005F0A28"/>
    <w:rsid w:val="005F0E5E"/>
    <w:rsid w:val="005F2F5C"/>
    <w:rsid w:val="005F34AB"/>
    <w:rsid w:val="00600535"/>
    <w:rsid w:val="00610CD6"/>
    <w:rsid w:val="00613A24"/>
    <w:rsid w:val="00620C1C"/>
    <w:rsid w:val="00620DEE"/>
    <w:rsid w:val="00621F92"/>
    <w:rsid w:val="0062280A"/>
    <w:rsid w:val="00624187"/>
    <w:rsid w:val="00625639"/>
    <w:rsid w:val="0062702D"/>
    <w:rsid w:val="00631B33"/>
    <w:rsid w:val="00633F38"/>
    <w:rsid w:val="0064184D"/>
    <w:rsid w:val="006422CC"/>
    <w:rsid w:val="006437C8"/>
    <w:rsid w:val="00645A6E"/>
    <w:rsid w:val="00647C8C"/>
    <w:rsid w:val="0065243B"/>
    <w:rsid w:val="00652C6E"/>
    <w:rsid w:val="00652D2B"/>
    <w:rsid w:val="00655B06"/>
    <w:rsid w:val="006565E8"/>
    <w:rsid w:val="00660E3E"/>
    <w:rsid w:val="00662E74"/>
    <w:rsid w:val="00664989"/>
    <w:rsid w:val="006739D6"/>
    <w:rsid w:val="00680C23"/>
    <w:rsid w:val="00690731"/>
    <w:rsid w:val="00690D05"/>
    <w:rsid w:val="00693766"/>
    <w:rsid w:val="006A2C0C"/>
    <w:rsid w:val="006A3281"/>
    <w:rsid w:val="006A37E3"/>
    <w:rsid w:val="006B4888"/>
    <w:rsid w:val="006C2E45"/>
    <w:rsid w:val="006C359C"/>
    <w:rsid w:val="006C5579"/>
    <w:rsid w:val="006D2B33"/>
    <w:rsid w:val="006D433F"/>
    <w:rsid w:val="006D6E8B"/>
    <w:rsid w:val="006E2F26"/>
    <w:rsid w:val="006E737D"/>
    <w:rsid w:val="006E75DE"/>
    <w:rsid w:val="006E7A1C"/>
    <w:rsid w:val="006F0F20"/>
    <w:rsid w:val="0070108E"/>
    <w:rsid w:val="007015B7"/>
    <w:rsid w:val="007030FE"/>
    <w:rsid w:val="0070459F"/>
    <w:rsid w:val="00705615"/>
    <w:rsid w:val="00707BBE"/>
    <w:rsid w:val="00707DD1"/>
    <w:rsid w:val="0071123D"/>
    <w:rsid w:val="00713973"/>
    <w:rsid w:val="00714DF4"/>
    <w:rsid w:val="00720A24"/>
    <w:rsid w:val="00731B42"/>
    <w:rsid w:val="00732386"/>
    <w:rsid w:val="0073255B"/>
    <w:rsid w:val="00732BF3"/>
    <w:rsid w:val="0073514D"/>
    <w:rsid w:val="00743C78"/>
    <w:rsid w:val="007447F3"/>
    <w:rsid w:val="0074697E"/>
    <w:rsid w:val="0075499F"/>
    <w:rsid w:val="0075602A"/>
    <w:rsid w:val="007574A3"/>
    <w:rsid w:val="007661C8"/>
    <w:rsid w:val="0077098D"/>
    <w:rsid w:val="007858C4"/>
    <w:rsid w:val="007931FA"/>
    <w:rsid w:val="00795381"/>
    <w:rsid w:val="007A4861"/>
    <w:rsid w:val="007A697E"/>
    <w:rsid w:val="007A7BBA"/>
    <w:rsid w:val="007B0C50"/>
    <w:rsid w:val="007B48F9"/>
    <w:rsid w:val="007C1A43"/>
    <w:rsid w:val="007D0951"/>
    <w:rsid w:val="007D22D3"/>
    <w:rsid w:val="007E5F6F"/>
    <w:rsid w:val="007E7A16"/>
    <w:rsid w:val="0080013E"/>
    <w:rsid w:val="00803621"/>
    <w:rsid w:val="00813288"/>
    <w:rsid w:val="008168FC"/>
    <w:rsid w:val="00821205"/>
    <w:rsid w:val="0082187E"/>
    <w:rsid w:val="00830996"/>
    <w:rsid w:val="008345F1"/>
    <w:rsid w:val="008349B6"/>
    <w:rsid w:val="00861147"/>
    <w:rsid w:val="00865B07"/>
    <w:rsid w:val="008667EA"/>
    <w:rsid w:val="0087637F"/>
    <w:rsid w:val="008812B3"/>
    <w:rsid w:val="00883D0C"/>
    <w:rsid w:val="00892AD5"/>
    <w:rsid w:val="008A1512"/>
    <w:rsid w:val="008B17D3"/>
    <w:rsid w:val="008B4408"/>
    <w:rsid w:val="008B50FD"/>
    <w:rsid w:val="008D2C51"/>
    <w:rsid w:val="008D32B9"/>
    <w:rsid w:val="008D370C"/>
    <w:rsid w:val="008D433B"/>
    <w:rsid w:val="008D4A16"/>
    <w:rsid w:val="008D7943"/>
    <w:rsid w:val="008D7A9B"/>
    <w:rsid w:val="008D7E2E"/>
    <w:rsid w:val="008E566E"/>
    <w:rsid w:val="0090161A"/>
    <w:rsid w:val="00901EB6"/>
    <w:rsid w:val="00904C62"/>
    <w:rsid w:val="00911D30"/>
    <w:rsid w:val="00912097"/>
    <w:rsid w:val="00917BAE"/>
    <w:rsid w:val="00917D82"/>
    <w:rsid w:val="00922BA8"/>
    <w:rsid w:val="00924DAC"/>
    <w:rsid w:val="00927058"/>
    <w:rsid w:val="00930F6B"/>
    <w:rsid w:val="00931506"/>
    <w:rsid w:val="009336BE"/>
    <w:rsid w:val="00936751"/>
    <w:rsid w:val="00942750"/>
    <w:rsid w:val="00944FCF"/>
    <w:rsid w:val="009450CE"/>
    <w:rsid w:val="009459BB"/>
    <w:rsid w:val="00947179"/>
    <w:rsid w:val="00947435"/>
    <w:rsid w:val="0095164B"/>
    <w:rsid w:val="00951803"/>
    <w:rsid w:val="00952BA8"/>
    <w:rsid w:val="00953578"/>
    <w:rsid w:val="00954090"/>
    <w:rsid w:val="009573E7"/>
    <w:rsid w:val="00963E05"/>
    <w:rsid w:val="00964A45"/>
    <w:rsid w:val="00967843"/>
    <w:rsid w:val="00967D54"/>
    <w:rsid w:val="00971028"/>
    <w:rsid w:val="00972E58"/>
    <w:rsid w:val="009740E5"/>
    <w:rsid w:val="009908AF"/>
    <w:rsid w:val="00990A6C"/>
    <w:rsid w:val="00993B84"/>
    <w:rsid w:val="00996483"/>
    <w:rsid w:val="00996F5A"/>
    <w:rsid w:val="009A1CDE"/>
    <w:rsid w:val="009A744C"/>
    <w:rsid w:val="009B041A"/>
    <w:rsid w:val="009C37C3"/>
    <w:rsid w:val="009C7C86"/>
    <w:rsid w:val="009D1D73"/>
    <w:rsid w:val="009D22D4"/>
    <w:rsid w:val="009D2FF7"/>
    <w:rsid w:val="009D4E53"/>
    <w:rsid w:val="009D7769"/>
    <w:rsid w:val="009E1825"/>
    <w:rsid w:val="009E7884"/>
    <w:rsid w:val="009E788A"/>
    <w:rsid w:val="009F0E08"/>
    <w:rsid w:val="009F1DF3"/>
    <w:rsid w:val="00A03C44"/>
    <w:rsid w:val="00A1531B"/>
    <w:rsid w:val="00A1763D"/>
    <w:rsid w:val="00A17CEC"/>
    <w:rsid w:val="00A23AF9"/>
    <w:rsid w:val="00A23FFF"/>
    <w:rsid w:val="00A241A0"/>
    <w:rsid w:val="00A27E41"/>
    <w:rsid w:val="00A27EF0"/>
    <w:rsid w:val="00A36EFB"/>
    <w:rsid w:val="00A42361"/>
    <w:rsid w:val="00A447BD"/>
    <w:rsid w:val="00A473F2"/>
    <w:rsid w:val="00A50B20"/>
    <w:rsid w:val="00A51390"/>
    <w:rsid w:val="00A54916"/>
    <w:rsid w:val="00A55461"/>
    <w:rsid w:val="00A55D32"/>
    <w:rsid w:val="00A60D13"/>
    <w:rsid w:val="00A66423"/>
    <w:rsid w:val="00A7223D"/>
    <w:rsid w:val="00A72745"/>
    <w:rsid w:val="00A736AF"/>
    <w:rsid w:val="00A76EFC"/>
    <w:rsid w:val="00A85DE7"/>
    <w:rsid w:val="00A87D50"/>
    <w:rsid w:val="00A91010"/>
    <w:rsid w:val="00A916E8"/>
    <w:rsid w:val="00A97F29"/>
    <w:rsid w:val="00AA702E"/>
    <w:rsid w:val="00AA7D26"/>
    <w:rsid w:val="00AB0964"/>
    <w:rsid w:val="00AB5011"/>
    <w:rsid w:val="00AB7A11"/>
    <w:rsid w:val="00AC438B"/>
    <w:rsid w:val="00AC7368"/>
    <w:rsid w:val="00AD16B9"/>
    <w:rsid w:val="00AD31B2"/>
    <w:rsid w:val="00AD765D"/>
    <w:rsid w:val="00AE377D"/>
    <w:rsid w:val="00AE3E6B"/>
    <w:rsid w:val="00AF0EBA"/>
    <w:rsid w:val="00AF1719"/>
    <w:rsid w:val="00B01217"/>
    <w:rsid w:val="00B02C8A"/>
    <w:rsid w:val="00B07210"/>
    <w:rsid w:val="00B11C6A"/>
    <w:rsid w:val="00B17FBD"/>
    <w:rsid w:val="00B30244"/>
    <w:rsid w:val="00B315A6"/>
    <w:rsid w:val="00B31813"/>
    <w:rsid w:val="00B33365"/>
    <w:rsid w:val="00B35AEE"/>
    <w:rsid w:val="00B46FF9"/>
    <w:rsid w:val="00B50973"/>
    <w:rsid w:val="00B577E2"/>
    <w:rsid w:val="00B57B36"/>
    <w:rsid w:val="00B57E6F"/>
    <w:rsid w:val="00B6323B"/>
    <w:rsid w:val="00B8686D"/>
    <w:rsid w:val="00B90830"/>
    <w:rsid w:val="00B93F69"/>
    <w:rsid w:val="00B953EF"/>
    <w:rsid w:val="00BA2062"/>
    <w:rsid w:val="00BB0516"/>
    <w:rsid w:val="00BB1DDC"/>
    <w:rsid w:val="00BC0EE7"/>
    <w:rsid w:val="00BC30C9"/>
    <w:rsid w:val="00BD077D"/>
    <w:rsid w:val="00BE3928"/>
    <w:rsid w:val="00BE3E58"/>
    <w:rsid w:val="00BE7F9D"/>
    <w:rsid w:val="00BF29D7"/>
    <w:rsid w:val="00BF71DC"/>
    <w:rsid w:val="00C01616"/>
    <w:rsid w:val="00C0162B"/>
    <w:rsid w:val="00C02708"/>
    <w:rsid w:val="00C068ED"/>
    <w:rsid w:val="00C076F9"/>
    <w:rsid w:val="00C130DE"/>
    <w:rsid w:val="00C201EC"/>
    <w:rsid w:val="00C22E0C"/>
    <w:rsid w:val="00C241C5"/>
    <w:rsid w:val="00C25764"/>
    <w:rsid w:val="00C345B1"/>
    <w:rsid w:val="00C37EF4"/>
    <w:rsid w:val="00C40142"/>
    <w:rsid w:val="00C43475"/>
    <w:rsid w:val="00C52C3C"/>
    <w:rsid w:val="00C55A70"/>
    <w:rsid w:val="00C56AA4"/>
    <w:rsid w:val="00C57182"/>
    <w:rsid w:val="00C57863"/>
    <w:rsid w:val="00C62AD3"/>
    <w:rsid w:val="00C640AF"/>
    <w:rsid w:val="00C655FD"/>
    <w:rsid w:val="00C71561"/>
    <w:rsid w:val="00C72FED"/>
    <w:rsid w:val="00C75407"/>
    <w:rsid w:val="00C76A45"/>
    <w:rsid w:val="00C841C6"/>
    <w:rsid w:val="00C870A8"/>
    <w:rsid w:val="00C91C54"/>
    <w:rsid w:val="00C94434"/>
    <w:rsid w:val="00CA0D75"/>
    <w:rsid w:val="00CA1C95"/>
    <w:rsid w:val="00CA5A9C"/>
    <w:rsid w:val="00CB5910"/>
    <w:rsid w:val="00CB5EA8"/>
    <w:rsid w:val="00CB7568"/>
    <w:rsid w:val="00CC1595"/>
    <w:rsid w:val="00CC4C20"/>
    <w:rsid w:val="00CD0A77"/>
    <w:rsid w:val="00CD159B"/>
    <w:rsid w:val="00CD21C6"/>
    <w:rsid w:val="00CD3517"/>
    <w:rsid w:val="00CD5FE2"/>
    <w:rsid w:val="00CE4508"/>
    <w:rsid w:val="00CE663F"/>
    <w:rsid w:val="00CE7C68"/>
    <w:rsid w:val="00CF202F"/>
    <w:rsid w:val="00CF2D8A"/>
    <w:rsid w:val="00CF3751"/>
    <w:rsid w:val="00D02B4C"/>
    <w:rsid w:val="00D040C4"/>
    <w:rsid w:val="00D07E14"/>
    <w:rsid w:val="00D11C7F"/>
    <w:rsid w:val="00D127E5"/>
    <w:rsid w:val="00D14C60"/>
    <w:rsid w:val="00D20AD1"/>
    <w:rsid w:val="00D2582C"/>
    <w:rsid w:val="00D30C46"/>
    <w:rsid w:val="00D46B7E"/>
    <w:rsid w:val="00D5204B"/>
    <w:rsid w:val="00D57C84"/>
    <w:rsid w:val="00D6057D"/>
    <w:rsid w:val="00D6707A"/>
    <w:rsid w:val="00D70062"/>
    <w:rsid w:val="00D70948"/>
    <w:rsid w:val="00D71640"/>
    <w:rsid w:val="00D77FC7"/>
    <w:rsid w:val="00D836C5"/>
    <w:rsid w:val="00D84576"/>
    <w:rsid w:val="00D85F5A"/>
    <w:rsid w:val="00D85F70"/>
    <w:rsid w:val="00D94580"/>
    <w:rsid w:val="00D95D3D"/>
    <w:rsid w:val="00DA1399"/>
    <w:rsid w:val="00DA24C6"/>
    <w:rsid w:val="00DA4D7B"/>
    <w:rsid w:val="00DD271C"/>
    <w:rsid w:val="00DE1C8A"/>
    <w:rsid w:val="00DE264A"/>
    <w:rsid w:val="00DE45AB"/>
    <w:rsid w:val="00DF0D02"/>
    <w:rsid w:val="00DF5072"/>
    <w:rsid w:val="00DF5161"/>
    <w:rsid w:val="00E02D18"/>
    <w:rsid w:val="00E032CC"/>
    <w:rsid w:val="00E041E7"/>
    <w:rsid w:val="00E04DFE"/>
    <w:rsid w:val="00E06EC3"/>
    <w:rsid w:val="00E07CD3"/>
    <w:rsid w:val="00E11A2C"/>
    <w:rsid w:val="00E145D9"/>
    <w:rsid w:val="00E154BF"/>
    <w:rsid w:val="00E23CA1"/>
    <w:rsid w:val="00E27FA2"/>
    <w:rsid w:val="00E34ED2"/>
    <w:rsid w:val="00E409A8"/>
    <w:rsid w:val="00E443F6"/>
    <w:rsid w:val="00E44936"/>
    <w:rsid w:val="00E50C12"/>
    <w:rsid w:val="00E54534"/>
    <w:rsid w:val="00E549E2"/>
    <w:rsid w:val="00E576CC"/>
    <w:rsid w:val="00E578D7"/>
    <w:rsid w:val="00E62834"/>
    <w:rsid w:val="00E63B22"/>
    <w:rsid w:val="00E65B91"/>
    <w:rsid w:val="00E7209D"/>
    <w:rsid w:val="00E72EAD"/>
    <w:rsid w:val="00E760B4"/>
    <w:rsid w:val="00E77223"/>
    <w:rsid w:val="00E816DD"/>
    <w:rsid w:val="00E8528B"/>
    <w:rsid w:val="00E85B94"/>
    <w:rsid w:val="00E978D0"/>
    <w:rsid w:val="00EA4147"/>
    <w:rsid w:val="00EA4613"/>
    <w:rsid w:val="00EA7F91"/>
    <w:rsid w:val="00EB1523"/>
    <w:rsid w:val="00EB3B76"/>
    <w:rsid w:val="00EB6E4A"/>
    <w:rsid w:val="00EC0E49"/>
    <w:rsid w:val="00EC101F"/>
    <w:rsid w:val="00EC1D9F"/>
    <w:rsid w:val="00EC3229"/>
    <w:rsid w:val="00ED003A"/>
    <w:rsid w:val="00ED30AB"/>
    <w:rsid w:val="00EE0131"/>
    <w:rsid w:val="00EE17B0"/>
    <w:rsid w:val="00EF06D9"/>
    <w:rsid w:val="00F0496D"/>
    <w:rsid w:val="00F15090"/>
    <w:rsid w:val="00F22097"/>
    <w:rsid w:val="00F22A0E"/>
    <w:rsid w:val="00F25262"/>
    <w:rsid w:val="00F26B58"/>
    <w:rsid w:val="00F3049E"/>
    <w:rsid w:val="00F30919"/>
    <w:rsid w:val="00F30C64"/>
    <w:rsid w:val="00F32BA2"/>
    <w:rsid w:val="00F32CDB"/>
    <w:rsid w:val="00F34146"/>
    <w:rsid w:val="00F3637E"/>
    <w:rsid w:val="00F40C43"/>
    <w:rsid w:val="00F40DC3"/>
    <w:rsid w:val="00F469B6"/>
    <w:rsid w:val="00F565FE"/>
    <w:rsid w:val="00F63A70"/>
    <w:rsid w:val="00F63D8C"/>
    <w:rsid w:val="00F70C33"/>
    <w:rsid w:val="00F7395C"/>
    <w:rsid w:val="00F749F9"/>
    <w:rsid w:val="00F7534E"/>
    <w:rsid w:val="00F8152E"/>
    <w:rsid w:val="00F92618"/>
    <w:rsid w:val="00F93EDF"/>
    <w:rsid w:val="00F96369"/>
    <w:rsid w:val="00F9643F"/>
    <w:rsid w:val="00F96A78"/>
    <w:rsid w:val="00FA1802"/>
    <w:rsid w:val="00FA21D0"/>
    <w:rsid w:val="00FA5F5F"/>
    <w:rsid w:val="00FB1695"/>
    <w:rsid w:val="00FB1A17"/>
    <w:rsid w:val="00FB730C"/>
    <w:rsid w:val="00FC2695"/>
    <w:rsid w:val="00FC2A98"/>
    <w:rsid w:val="00FC3E03"/>
    <w:rsid w:val="00FC3FC1"/>
    <w:rsid w:val="00FD0F16"/>
    <w:rsid w:val="00FD29A6"/>
    <w:rsid w:val="00FE1F00"/>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C02708"/>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independiente2">
    <w:name w:val="Body Text 2"/>
    <w:basedOn w:val="Normal"/>
    <w:link w:val="Textoindependiente2Car"/>
    <w:uiPriority w:val="99"/>
    <w:semiHidden/>
    <w:unhideWhenUsed/>
    <w:rsid w:val="0003148D"/>
    <w:pPr>
      <w:spacing w:after="120" w:line="480" w:lineRule="auto"/>
    </w:pPr>
  </w:style>
  <w:style w:type="character" w:customStyle="1" w:styleId="Textoindependiente2Car">
    <w:name w:val="Texto independiente 2 Car"/>
    <w:basedOn w:val="Fuentedeprrafopredeter"/>
    <w:link w:val="Textoindependiente2"/>
    <w:uiPriority w:val="99"/>
    <w:semiHidden/>
    <w:rsid w:val="0003148D"/>
  </w:style>
  <w:style w:type="paragraph" w:styleId="Textoindependiente3">
    <w:name w:val="Body Text 3"/>
    <w:basedOn w:val="Normal"/>
    <w:link w:val="Textoindependiente3Car"/>
    <w:uiPriority w:val="99"/>
    <w:semiHidden/>
    <w:unhideWhenUsed/>
    <w:rsid w:val="000314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03148D"/>
    <w:rPr>
      <w:sz w:val="16"/>
      <w:szCs w:val="16"/>
    </w:rPr>
  </w:style>
  <w:style w:type="paragraph" w:styleId="Textoindependiente">
    <w:name w:val="Body Text"/>
    <w:basedOn w:val="Normal"/>
    <w:link w:val="TextoindependienteCar"/>
    <w:uiPriority w:val="99"/>
    <w:semiHidden/>
    <w:unhideWhenUsed/>
    <w:rsid w:val="0003148D"/>
    <w:pPr>
      <w:spacing w:after="120"/>
    </w:pPr>
  </w:style>
  <w:style w:type="character" w:customStyle="1" w:styleId="TextoindependienteCar">
    <w:name w:val="Texto independiente Car"/>
    <w:basedOn w:val="Fuentedeprrafopredeter"/>
    <w:link w:val="Textoindependiente"/>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Descripci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independienteprimerasangra">
    <w:name w:val="Body Text First Indent"/>
    <w:basedOn w:val="Textoindependiente"/>
    <w:link w:val="TextoindependienteprimerasangraCar"/>
    <w:uiPriority w:val="99"/>
    <w:semiHidden/>
    <w:unhideWhenUsed/>
    <w:rsid w:val="0003148D"/>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03148D"/>
  </w:style>
  <w:style w:type="paragraph" w:styleId="Sangradetextonormal">
    <w:name w:val="Body Text Indent"/>
    <w:basedOn w:val="Normal"/>
    <w:link w:val="SangradetextonormalCar"/>
    <w:uiPriority w:val="99"/>
    <w:semiHidden/>
    <w:unhideWhenUsed/>
    <w:rsid w:val="0003148D"/>
    <w:pPr>
      <w:spacing w:after="120"/>
      <w:ind w:left="283"/>
    </w:pPr>
  </w:style>
  <w:style w:type="character" w:customStyle="1" w:styleId="SangradetextonormalCar">
    <w:name w:val="Sangría de texto normal Car"/>
    <w:basedOn w:val="Fuentedeprrafopredeter"/>
    <w:link w:val="Sangradetextonormal"/>
    <w:uiPriority w:val="99"/>
    <w:semiHidden/>
    <w:rsid w:val="0003148D"/>
  </w:style>
  <w:style w:type="paragraph" w:styleId="Textoindependienteprimerasangra2">
    <w:name w:val="Body Text First Indent 2"/>
    <w:basedOn w:val="Sangradetextonormal"/>
    <w:link w:val="Textoindependienteprimerasangra2Car"/>
    <w:uiPriority w:val="99"/>
    <w:semiHidden/>
    <w:unhideWhenUsed/>
    <w:rsid w:val="0003148D"/>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independiente">
    <w:name w:val="Body Text Indent 2"/>
    <w:basedOn w:val="Normal"/>
    <w:link w:val="Sangra2detindependienteCar"/>
    <w:uiPriority w:val="99"/>
    <w:semiHidden/>
    <w:unhideWhenUsed/>
    <w:rsid w:val="0003148D"/>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03148D"/>
  </w:style>
  <w:style w:type="paragraph" w:styleId="Sangra3detindependiente">
    <w:name w:val="Body Text Indent 3"/>
    <w:basedOn w:val="Normal"/>
    <w:link w:val="Sangra3detindependienteCar"/>
    <w:uiPriority w:val="99"/>
    <w:semiHidden/>
    <w:unhideWhenUsed/>
    <w:rsid w:val="0003148D"/>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tuloTDC">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rrafodelista">
    <w:name w:val="List Paragraph"/>
    <w:basedOn w:val="Normal"/>
    <w:uiPriority w:val="34"/>
    <w:rsid w:val="00280FAF"/>
    <w:pPr>
      <w:ind w:left="720"/>
      <w:contextualSpacing/>
    </w:pPr>
  </w:style>
  <w:style w:type="character" w:customStyle="1" w:styleId="gmail-apple-converted-space">
    <w:name w:val="gmail-apple-converted-space"/>
    <w:basedOn w:val="Fuentedeprrafopredeter"/>
    <w:rsid w:val="00005A19"/>
  </w:style>
  <w:style w:type="paragraph" w:customStyle="1" w:styleId="APANivel1">
    <w:name w:val="APA_Nivel 1"/>
    <w:basedOn w:val="Normal"/>
    <w:next w:val="Normal"/>
    <w:qFormat/>
    <w:rsid w:val="00C02708"/>
    <w:pPr>
      <w:numPr>
        <w:numId w:val="23"/>
      </w:numPr>
      <w:tabs>
        <w:tab w:val="clear" w:pos="7100"/>
      </w:tabs>
      <w:spacing w:after="240" w:line="240" w:lineRule="auto"/>
      <w:jc w:val="center"/>
      <w:outlineLvl w:val="0"/>
    </w:pPr>
    <w:rPr>
      <w:rFonts w:eastAsia="Arial" w:cs="Arial"/>
      <w:b/>
      <w:sz w:val="24"/>
      <w:szCs w:val="24"/>
      <w:lang w:val="es-PE" w:eastAsia="es-ES"/>
    </w:rPr>
  </w:style>
  <w:style w:type="paragraph" w:customStyle="1" w:styleId="APANivel2">
    <w:name w:val="APA_Nivel 2"/>
    <w:basedOn w:val="Normal"/>
    <w:next w:val="Normal"/>
    <w:link w:val="APANivel2Car"/>
    <w:qFormat/>
    <w:rsid w:val="00C02708"/>
    <w:pPr>
      <w:numPr>
        <w:ilvl w:val="1"/>
        <w:numId w:val="23"/>
      </w:numPr>
      <w:tabs>
        <w:tab w:val="clear" w:pos="7100"/>
      </w:tabs>
      <w:spacing w:after="240" w:line="240" w:lineRule="auto"/>
      <w:jc w:val="left"/>
      <w:outlineLvl w:val="1"/>
    </w:pPr>
    <w:rPr>
      <w:rFonts w:eastAsia="Arial" w:cs="Arial"/>
      <w:b/>
      <w:sz w:val="24"/>
      <w:szCs w:val="24"/>
      <w:lang w:val="es-ES" w:eastAsia="es-ES"/>
    </w:rPr>
  </w:style>
  <w:style w:type="paragraph" w:customStyle="1" w:styleId="APANivel3">
    <w:name w:val="APA_Nivel 3"/>
    <w:basedOn w:val="Normal"/>
    <w:next w:val="Normal"/>
    <w:link w:val="APANivel3Car"/>
    <w:qFormat/>
    <w:rsid w:val="00C02708"/>
    <w:pPr>
      <w:numPr>
        <w:ilvl w:val="2"/>
        <w:numId w:val="23"/>
      </w:numPr>
      <w:tabs>
        <w:tab w:val="clear" w:pos="7100"/>
      </w:tabs>
      <w:spacing w:after="240" w:line="240" w:lineRule="auto"/>
      <w:jc w:val="left"/>
      <w:outlineLvl w:val="2"/>
    </w:pPr>
    <w:rPr>
      <w:rFonts w:eastAsia="Arial" w:cs="Arial"/>
      <w:b/>
      <w:sz w:val="24"/>
      <w:szCs w:val="24"/>
      <w:lang w:val="es-ES" w:eastAsia="es-ES"/>
    </w:rPr>
  </w:style>
  <w:style w:type="paragraph" w:customStyle="1" w:styleId="APANivel4">
    <w:name w:val="APA_Nivel 4"/>
    <w:basedOn w:val="Normal"/>
    <w:next w:val="Normal"/>
    <w:qFormat/>
    <w:rsid w:val="00C02708"/>
    <w:pPr>
      <w:numPr>
        <w:ilvl w:val="3"/>
        <w:numId w:val="23"/>
      </w:numPr>
      <w:tabs>
        <w:tab w:val="clear" w:pos="7100"/>
      </w:tabs>
      <w:spacing w:after="240" w:line="240" w:lineRule="auto"/>
      <w:jc w:val="left"/>
      <w:outlineLvl w:val="3"/>
    </w:pPr>
    <w:rPr>
      <w:rFonts w:eastAsia="Arial" w:cs="Arial"/>
      <w:b/>
      <w:i/>
      <w:sz w:val="24"/>
      <w:szCs w:val="24"/>
      <w:lang w:val="es-ES" w:eastAsia="es-ES"/>
    </w:rPr>
  </w:style>
  <w:style w:type="character" w:customStyle="1" w:styleId="APANivel3Car">
    <w:name w:val="APA_Nivel 3 Car"/>
    <w:basedOn w:val="Fuentedeprrafopredeter"/>
    <w:link w:val="APANivel3"/>
    <w:rsid w:val="00C02708"/>
    <w:rPr>
      <w:rFonts w:ascii="Arial" w:eastAsia="Arial" w:hAnsi="Arial" w:cs="Arial"/>
      <w:b/>
      <w:sz w:val="24"/>
      <w:szCs w:val="24"/>
      <w:lang w:val="es-ES" w:eastAsia="es-ES"/>
    </w:rPr>
  </w:style>
  <w:style w:type="paragraph" w:customStyle="1" w:styleId="APANivel5">
    <w:name w:val="APA_Nivel 5"/>
    <w:basedOn w:val="Normal"/>
    <w:next w:val="Normal"/>
    <w:qFormat/>
    <w:rsid w:val="00C02708"/>
    <w:pPr>
      <w:numPr>
        <w:ilvl w:val="4"/>
        <w:numId w:val="23"/>
      </w:numPr>
      <w:tabs>
        <w:tab w:val="clear" w:pos="7100"/>
      </w:tabs>
      <w:spacing w:after="240" w:line="240" w:lineRule="auto"/>
      <w:jc w:val="left"/>
      <w:outlineLvl w:val="4"/>
    </w:pPr>
    <w:rPr>
      <w:rFonts w:eastAsia="Arial" w:cs="Arial"/>
      <w:i/>
      <w:sz w:val="24"/>
      <w:szCs w:val="24"/>
      <w:lang w:val="es-ES" w:eastAsia="es-ES"/>
    </w:rPr>
  </w:style>
  <w:style w:type="character" w:customStyle="1" w:styleId="APANivel2Car">
    <w:name w:val="APA_Nivel 2 Car"/>
    <w:basedOn w:val="Fuentedeprrafopredeter"/>
    <w:link w:val="APANivel2"/>
    <w:rsid w:val="00731B42"/>
    <w:rPr>
      <w:rFonts w:ascii="Arial" w:eastAsia="Arial" w:hAnsi="Arial" w:cs="Arial"/>
      <w:b/>
      <w:sz w:val="24"/>
      <w:szCs w:val="24"/>
      <w:lang w:val="es-ES" w:eastAsia="es-ES"/>
    </w:rPr>
  </w:style>
  <w:style w:type="table" w:customStyle="1" w:styleId="APATabla">
    <w:name w:val="APA_Tabla"/>
    <w:basedOn w:val="Tablanormal"/>
    <w:uiPriority w:val="99"/>
    <w:rsid w:val="0070459F"/>
    <w:pPr>
      <w:spacing w:after="0" w:line="240" w:lineRule="auto"/>
      <w:jc w:val="center"/>
    </w:pPr>
    <w:rPr>
      <w:rFonts w:eastAsia="Times New Roman"/>
      <w:lang w:val="es-PE"/>
    </w:rPr>
    <w:tblPr>
      <w:jc w:val="center"/>
    </w:tblPr>
    <w:trPr>
      <w:jc w:val="center"/>
    </w:trPr>
    <w:tcPr>
      <w:vAlign w:val="center"/>
    </w:tcPr>
    <w:tblStylePr w:type="firstRow">
      <w:tblPr/>
      <w:tcPr>
        <w:tcBorders>
          <w:top w:val="single" w:sz="4" w:space="0" w:color="000000" w:themeColor="text1"/>
          <w:bottom w:val="single" w:sz="4" w:space="0" w:color="000000" w:themeColor="text1"/>
        </w:tcBorders>
      </w:tcPr>
    </w:tblStylePr>
    <w:tblStylePr w:type="lastRow">
      <w:tblPr/>
      <w:tcPr>
        <w:tcBorders>
          <w:bottom w:val="single" w:sz="4" w:space="0" w:color="000000" w:themeColor="text1"/>
        </w:tcBorders>
      </w:tcPr>
    </w:tblStylePr>
    <w:tblStylePr w:type="firstCol">
      <w:pPr>
        <w:jc w:val="left"/>
      </w:pPr>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APATituloCuadro">
    <w:name w:val="APA_Titulo Cuadro"/>
    <w:basedOn w:val="Normal"/>
    <w:qFormat/>
    <w:rsid w:val="0070459F"/>
    <w:pPr>
      <w:tabs>
        <w:tab w:val="clear" w:pos="7100"/>
      </w:tabs>
      <w:spacing w:line="240" w:lineRule="auto"/>
      <w:jc w:val="left"/>
    </w:pPr>
    <w:rPr>
      <w:i/>
      <w:color w:val="000000" w:themeColor="text1"/>
      <w:sz w:val="24"/>
      <w:szCs w:val="24"/>
      <w:lang w:val="es-ES" w:eastAsia="es-ES"/>
    </w:rPr>
  </w:style>
  <w:style w:type="paragraph" w:customStyle="1" w:styleId="APANotadepie">
    <w:name w:val="APA_Nota de pie"/>
    <w:basedOn w:val="Normal"/>
    <w:next w:val="Normal"/>
    <w:qFormat/>
    <w:rsid w:val="0070459F"/>
    <w:pPr>
      <w:tabs>
        <w:tab w:val="clear" w:pos="7100"/>
      </w:tabs>
      <w:spacing w:line="240" w:lineRule="auto"/>
      <w:jc w:val="left"/>
    </w:pPr>
    <w:rPr>
      <w:rFonts w:eastAsia="Arial" w:cs="Arial"/>
      <w:sz w:val="20"/>
      <w:szCs w:val="24"/>
      <w:lang w:val="es-ES" w:eastAsia="es-ES"/>
    </w:rPr>
  </w:style>
  <w:style w:type="paragraph" w:customStyle="1" w:styleId="APAFigura">
    <w:name w:val="APA_Figura"/>
    <w:basedOn w:val="Normal"/>
    <w:next w:val="Normal"/>
    <w:link w:val="APAFiguraCar"/>
    <w:qFormat/>
    <w:rsid w:val="0082187E"/>
    <w:pPr>
      <w:tabs>
        <w:tab w:val="clear" w:pos="7100"/>
      </w:tabs>
      <w:spacing w:after="240" w:line="240" w:lineRule="auto"/>
      <w:jc w:val="center"/>
    </w:pPr>
    <w:rPr>
      <w:b/>
      <w:color w:val="000000" w:themeColor="text1"/>
      <w:sz w:val="20"/>
      <w:szCs w:val="24"/>
      <w:lang w:val="es-ES" w:eastAsia="es-ES"/>
    </w:rPr>
  </w:style>
  <w:style w:type="character" w:customStyle="1" w:styleId="APAFiguraCar">
    <w:name w:val="APA_Figura Car"/>
    <w:basedOn w:val="Fuentedeprrafopredeter"/>
    <w:link w:val="APAFigura"/>
    <w:rsid w:val="0082187E"/>
    <w:rPr>
      <w:rFonts w:ascii="Arial" w:eastAsia="Times New Roman" w:hAnsi="Arial" w:cs="Times New Roman"/>
      <w:b/>
      <w:color w:val="000000" w:themeColor="text1"/>
      <w:sz w:val="20"/>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55107">
      <w:bodyDiv w:val="1"/>
      <w:marLeft w:val="0"/>
      <w:marRight w:val="0"/>
      <w:marTop w:val="0"/>
      <w:marBottom w:val="0"/>
      <w:divBdr>
        <w:top w:val="none" w:sz="0" w:space="0" w:color="auto"/>
        <w:left w:val="none" w:sz="0" w:space="0" w:color="auto"/>
        <w:bottom w:val="none" w:sz="0" w:space="0" w:color="auto"/>
        <w:right w:val="none" w:sz="0" w:space="0" w:color="auto"/>
      </w:divBdr>
      <w:divsChild>
        <w:div w:id="416177953">
          <w:marLeft w:val="0"/>
          <w:marRight w:val="0"/>
          <w:marTop w:val="0"/>
          <w:marBottom w:val="0"/>
          <w:divBdr>
            <w:top w:val="none" w:sz="0" w:space="0" w:color="auto"/>
            <w:left w:val="none" w:sz="0" w:space="0" w:color="auto"/>
            <w:bottom w:val="none" w:sz="0" w:space="0" w:color="auto"/>
            <w:right w:val="none" w:sz="0" w:space="0" w:color="auto"/>
          </w:divBdr>
        </w:div>
        <w:div w:id="567345262">
          <w:marLeft w:val="0"/>
          <w:marRight w:val="0"/>
          <w:marTop w:val="0"/>
          <w:marBottom w:val="0"/>
          <w:divBdr>
            <w:top w:val="none" w:sz="0" w:space="0" w:color="auto"/>
            <w:left w:val="none" w:sz="0" w:space="0" w:color="auto"/>
            <w:bottom w:val="none" w:sz="0" w:space="0" w:color="auto"/>
            <w:right w:val="none" w:sz="0" w:space="0" w:color="auto"/>
          </w:divBdr>
        </w:div>
      </w:divsChild>
    </w:div>
    <w:div w:id="56443282">
      <w:bodyDiv w:val="1"/>
      <w:marLeft w:val="0"/>
      <w:marRight w:val="0"/>
      <w:marTop w:val="0"/>
      <w:marBottom w:val="0"/>
      <w:divBdr>
        <w:top w:val="none" w:sz="0" w:space="0" w:color="auto"/>
        <w:left w:val="none" w:sz="0" w:space="0" w:color="auto"/>
        <w:bottom w:val="none" w:sz="0" w:space="0" w:color="auto"/>
        <w:right w:val="none" w:sz="0" w:space="0" w:color="auto"/>
      </w:divBdr>
    </w:div>
    <w:div w:id="81878763">
      <w:bodyDiv w:val="1"/>
      <w:marLeft w:val="0"/>
      <w:marRight w:val="0"/>
      <w:marTop w:val="0"/>
      <w:marBottom w:val="0"/>
      <w:divBdr>
        <w:top w:val="none" w:sz="0" w:space="0" w:color="auto"/>
        <w:left w:val="none" w:sz="0" w:space="0" w:color="auto"/>
        <w:bottom w:val="none" w:sz="0" w:space="0" w:color="auto"/>
        <w:right w:val="none" w:sz="0" w:space="0" w:color="auto"/>
      </w:divBdr>
      <w:divsChild>
        <w:div w:id="1110393032">
          <w:marLeft w:val="0"/>
          <w:marRight w:val="0"/>
          <w:marTop w:val="0"/>
          <w:marBottom w:val="0"/>
          <w:divBdr>
            <w:top w:val="none" w:sz="0" w:space="0" w:color="auto"/>
            <w:left w:val="none" w:sz="0" w:space="0" w:color="auto"/>
            <w:bottom w:val="none" w:sz="0" w:space="0" w:color="auto"/>
            <w:right w:val="none" w:sz="0" w:space="0" w:color="auto"/>
          </w:divBdr>
        </w:div>
        <w:div w:id="1404834170">
          <w:marLeft w:val="0"/>
          <w:marRight w:val="0"/>
          <w:marTop w:val="0"/>
          <w:marBottom w:val="0"/>
          <w:divBdr>
            <w:top w:val="none" w:sz="0" w:space="0" w:color="auto"/>
            <w:left w:val="none" w:sz="0" w:space="0" w:color="auto"/>
            <w:bottom w:val="none" w:sz="0" w:space="0" w:color="auto"/>
            <w:right w:val="none" w:sz="0" w:space="0" w:color="auto"/>
          </w:divBdr>
        </w:div>
      </w:divsChild>
    </w:div>
    <w:div w:id="96297347">
      <w:bodyDiv w:val="1"/>
      <w:marLeft w:val="0"/>
      <w:marRight w:val="0"/>
      <w:marTop w:val="0"/>
      <w:marBottom w:val="0"/>
      <w:divBdr>
        <w:top w:val="none" w:sz="0" w:space="0" w:color="auto"/>
        <w:left w:val="none" w:sz="0" w:space="0" w:color="auto"/>
        <w:bottom w:val="none" w:sz="0" w:space="0" w:color="auto"/>
        <w:right w:val="none" w:sz="0" w:space="0" w:color="auto"/>
      </w:divBdr>
    </w:div>
    <w:div w:id="178782319">
      <w:bodyDiv w:val="1"/>
      <w:marLeft w:val="0"/>
      <w:marRight w:val="0"/>
      <w:marTop w:val="0"/>
      <w:marBottom w:val="0"/>
      <w:divBdr>
        <w:top w:val="none" w:sz="0" w:space="0" w:color="auto"/>
        <w:left w:val="none" w:sz="0" w:space="0" w:color="auto"/>
        <w:bottom w:val="none" w:sz="0" w:space="0" w:color="auto"/>
        <w:right w:val="none" w:sz="0" w:space="0" w:color="auto"/>
      </w:divBdr>
    </w:div>
    <w:div w:id="255943237">
      <w:bodyDiv w:val="1"/>
      <w:marLeft w:val="0"/>
      <w:marRight w:val="0"/>
      <w:marTop w:val="0"/>
      <w:marBottom w:val="0"/>
      <w:divBdr>
        <w:top w:val="none" w:sz="0" w:space="0" w:color="auto"/>
        <w:left w:val="none" w:sz="0" w:space="0" w:color="auto"/>
        <w:bottom w:val="none" w:sz="0" w:space="0" w:color="auto"/>
        <w:right w:val="none" w:sz="0" w:space="0" w:color="auto"/>
      </w:divBdr>
      <w:divsChild>
        <w:div w:id="947548318">
          <w:marLeft w:val="0"/>
          <w:marRight w:val="0"/>
          <w:marTop w:val="0"/>
          <w:marBottom w:val="0"/>
          <w:divBdr>
            <w:top w:val="none" w:sz="0" w:space="0" w:color="auto"/>
            <w:left w:val="none" w:sz="0" w:space="0" w:color="auto"/>
            <w:bottom w:val="none" w:sz="0" w:space="0" w:color="auto"/>
            <w:right w:val="none" w:sz="0" w:space="0" w:color="auto"/>
          </w:divBdr>
        </w:div>
        <w:div w:id="1959339376">
          <w:marLeft w:val="0"/>
          <w:marRight w:val="0"/>
          <w:marTop w:val="0"/>
          <w:marBottom w:val="0"/>
          <w:divBdr>
            <w:top w:val="none" w:sz="0" w:space="0" w:color="auto"/>
            <w:left w:val="none" w:sz="0" w:space="0" w:color="auto"/>
            <w:bottom w:val="none" w:sz="0" w:space="0" w:color="auto"/>
            <w:right w:val="none" w:sz="0" w:space="0" w:color="auto"/>
          </w:divBdr>
        </w:div>
        <w:div w:id="1187329835">
          <w:marLeft w:val="0"/>
          <w:marRight w:val="0"/>
          <w:marTop w:val="0"/>
          <w:marBottom w:val="0"/>
          <w:divBdr>
            <w:top w:val="none" w:sz="0" w:space="0" w:color="auto"/>
            <w:left w:val="none" w:sz="0" w:space="0" w:color="auto"/>
            <w:bottom w:val="none" w:sz="0" w:space="0" w:color="auto"/>
            <w:right w:val="none" w:sz="0" w:space="0" w:color="auto"/>
          </w:divBdr>
        </w:div>
      </w:divsChild>
    </w:div>
    <w:div w:id="310333046">
      <w:bodyDiv w:val="1"/>
      <w:marLeft w:val="0"/>
      <w:marRight w:val="0"/>
      <w:marTop w:val="0"/>
      <w:marBottom w:val="0"/>
      <w:divBdr>
        <w:top w:val="none" w:sz="0" w:space="0" w:color="auto"/>
        <w:left w:val="none" w:sz="0" w:space="0" w:color="auto"/>
        <w:bottom w:val="none" w:sz="0" w:space="0" w:color="auto"/>
        <w:right w:val="none" w:sz="0" w:space="0" w:color="auto"/>
      </w:divBdr>
    </w:div>
    <w:div w:id="323313546">
      <w:bodyDiv w:val="1"/>
      <w:marLeft w:val="0"/>
      <w:marRight w:val="0"/>
      <w:marTop w:val="0"/>
      <w:marBottom w:val="0"/>
      <w:divBdr>
        <w:top w:val="none" w:sz="0" w:space="0" w:color="auto"/>
        <w:left w:val="none" w:sz="0" w:space="0" w:color="auto"/>
        <w:bottom w:val="none" w:sz="0" w:space="0" w:color="auto"/>
        <w:right w:val="none" w:sz="0" w:space="0" w:color="auto"/>
      </w:divBdr>
    </w:div>
    <w:div w:id="456609280">
      <w:bodyDiv w:val="1"/>
      <w:marLeft w:val="0"/>
      <w:marRight w:val="0"/>
      <w:marTop w:val="0"/>
      <w:marBottom w:val="0"/>
      <w:divBdr>
        <w:top w:val="none" w:sz="0" w:space="0" w:color="auto"/>
        <w:left w:val="none" w:sz="0" w:space="0" w:color="auto"/>
        <w:bottom w:val="none" w:sz="0" w:space="0" w:color="auto"/>
        <w:right w:val="none" w:sz="0" w:space="0" w:color="auto"/>
      </w:divBdr>
    </w:div>
    <w:div w:id="565923276">
      <w:bodyDiv w:val="1"/>
      <w:marLeft w:val="0"/>
      <w:marRight w:val="0"/>
      <w:marTop w:val="0"/>
      <w:marBottom w:val="0"/>
      <w:divBdr>
        <w:top w:val="none" w:sz="0" w:space="0" w:color="auto"/>
        <w:left w:val="none" w:sz="0" w:space="0" w:color="auto"/>
        <w:bottom w:val="none" w:sz="0" w:space="0" w:color="auto"/>
        <w:right w:val="none" w:sz="0" w:space="0" w:color="auto"/>
      </w:divBdr>
      <w:divsChild>
        <w:div w:id="1844860673">
          <w:marLeft w:val="0"/>
          <w:marRight w:val="0"/>
          <w:marTop w:val="0"/>
          <w:marBottom w:val="0"/>
          <w:divBdr>
            <w:top w:val="none" w:sz="0" w:space="0" w:color="auto"/>
            <w:left w:val="none" w:sz="0" w:space="0" w:color="auto"/>
            <w:bottom w:val="none" w:sz="0" w:space="0" w:color="auto"/>
            <w:right w:val="none" w:sz="0" w:space="0" w:color="auto"/>
          </w:divBdr>
        </w:div>
        <w:div w:id="1918126947">
          <w:marLeft w:val="0"/>
          <w:marRight w:val="0"/>
          <w:marTop w:val="0"/>
          <w:marBottom w:val="0"/>
          <w:divBdr>
            <w:top w:val="none" w:sz="0" w:space="0" w:color="auto"/>
            <w:left w:val="none" w:sz="0" w:space="0" w:color="auto"/>
            <w:bottom w:val="none" w:sz="0" w:space="0" w:color="auto"/>
            <w:right w:val="none" w:sz="0" w:space="0" w:color="auto"/>
          </w:divBdr>
        </w:div>
      </w:divsChild>
    </w:div>
    <w:div w:id="568422911">
      <w:bodyDiv w:val="1"/>
      <w:marLeft w:val="0"/>
      <w:marRight w:val="0"/>
      <w:marTop w:val="0"/>
      <w:marBottom w:val="0"/>
      <w:divBdr>
        <w:top w:val="none" w:sz="0" w:space="0" w:color="auto"/>
        <w:left w:val="none" w:sz="0" w:space="0" w:color="auto"/>
        <w:bottom w:val="none" w:sz="0" w:space="0" w:color="auto"/>
        <w:right w:val="none" w:sz="0" w:space="0" w:color="auto"/>
      </w:divBdr>
      <w:divsChild>
        <w:div w:id="1657220970">
          <w:marLeft w:val="0"/>
          <w:marRight w:val="0"/>
          <w:marTop w:val="0"/>
          <w:marBottom w:val="0"/>
          <w:divBdr>
            <w:top w:val="none" w:sz="0" w:space="0" w:color="auto"/>
            <w:left w:val="none" w:sz="0" w:space="0" w:color="auto"/>
            <w:bottom w:val="none" w:sz="0" w:space="0" w:color="auto"/>
            <w:right w:val="none" w:sz="0" w:space="0" w:color="auto"/>
          </w:divBdr>
        </w:div>
        <w:div w:id="2100708813">
          <w:marLeft w:val="0"/>
          <w:marRight w:val="0"/>
          <w:marTop w:val="0"/>
          <w:marBottom w:val="0"/>
          <w:divBdr>
            <w:top w:val="none" w:sz="0" w:space="0" w:color="auto"/>
            <w:left w:val="none" w:sz="0" w:space="0" w:color="auto"/>
            <w:bottom w:val="none" w:sz="0" w:space="0" w:color="auto"/>
            <w:right w:val="none" w:sz="0" w:space="0" w:color="auto"/>
          </w:divBdr>
        </w:div>
        <w:div w:id="1411080253">
          <w:marLeft w:val="0"/>
          <w:marRight w:val="0"/>
          <w:marTop w:val="0"/>
          <w:marBottom w:val="0"/>
          <w:divBdr>
            <w:top w:val="none" w:sz="0" w:space="0" w:color="auto"/>
            <w:left w:val="none" w:sz="0" w:space="0" w:color="auto"/>
            <w:bottom w:val="none" w:sz="0" w:space="0" w:color="auto"/>
            <w:right w:val="none" w:sz="0" w:space="0" w:color="auto"/>
          </w:divBdr>
        </w:div>
      </w:divsChild>
    </w:div>
    <w:div w:id="573441017">
      <w:bodyDiv w:val="1"/>
      <w:marLeft w:val="0"/>
      <w:marRight w:val="0"/>
      <w:marTop w:val="0"/>
      <w:marBottom w:val="0"/>
      <w:divBdr>
        <w:top w:val="none" w:sz="0" w:space="0" w:color="auto"/>
        <w:left w:val="none" w:sz="0" w:space="0" w:color="auto"/>
        <w:bottom w:val="none" w:sz="0" w:space="0" w:color="auto"/>
        <w:right w:val="none" w:sz="0" w:space="0" w:color="auto"/>
      </w:divBdr>
      <w:divsChild>
        <w:div w:id="516695692">
          <w:marLeft w:val="0"/>
          <w:marRight w:val="0"/>
          <w:marTop w:val="0"/>
          <w:marBottom w:val="0"/>
          <w:divBdr>
            <w:top w:val="none" w:sz="0" w:space="0" w:color="auto"/>
            <w:left w:val="none" w:sz="0" w:space="0" w:color="auto"/>
            <w:bottom w:val="none" w:sz="0" w:space="0" w:color="auto"/>
            <w:right w:val="none" w:sz="0" w:space="0" w:color="auto"/>
          </w:divBdr>
        </w:div>
        <w:div w:id="1270235205">
          <w:marLeft w:val="0"/>
          <w:marRight w:val="0"/>
          <w:marTop w:val="0"/>
          <w:marBottom w:val="0"/>
          <w:divBdr>
            <w:top w:val="none" w:sz="0" w:space="0" w:color="auto"/>
            <w:left w:val="none" w:sz="0" w:space="0" w:color="auto"/>
            <w:bottom w:val="none" w:sz="0" w:space="0" w:color="auto"/>
            <w:right w:val="none" w:sz="0" w:space="0" w:color="auto"/>
          </w:divBdr>
        </w:div>
      </w:divsChild>
    </w:div>
    <w:div w:id="600337825">
      <w:bodyDiv w:val="1"/>
      <w:marLeft w:val="0"/>
      <w:marRight w:val="0"/>
      <w:marTop w:val="0"/>
      <w:marBottom w:val="0"/>
      <w:divBdr>
        <w:top w:val="none" w:sz="0" w:space="0" w:color="auto"/>
        <w:left w:val="none" w:sz="0" w:space="0" w:color="auto"/>
        <w:bottom w:val="none" w:sz="0" w:space="0" w:color="auto"/>
        <w:right w:val="none" w:sz="0" w:space="0" w:color="auto"/>
      </w:divBdr>
      <w:divsChild>
        <w:div w:id="1427505296">
          <w:marLeft w:val="0"/>
          <w:marRight w:val="0"/>
          <w:marTop w:val="0"/>
          <w:marBottom w:val="0"/>
          <w:divBdr>
            <w:top w:val="none" w:sz="0" w:space="0" w:color="auto"/>
            <w:left w:val="none" w:sz="0" w:space="0" w:color="auto"/>
            <w:bottom w:val="none" w:sz="0" w:space="0" w:color="auto"/>
            <w:right w:val="none" w:sz="0" w:space="0" w:color="auto"/>
          </w:divBdr>
        </w:div>
        <w:div w:id="498278788">
          <w:marLeft w:val="0"/>
          <w:marRight w:val="0"/>
          <w:marTop w:val="0"/>
          <w:marBottom w:val="0"/>
          <w:divBdr>
            <w:top w:val="none" w:sz="0" w:space="0" w:color="auto"/>
            <w:left w:val="none" w:sz="0" w:space="0" w:color="auto"/>
            <w:bottom w:val="none" w:sz="0" w:space="0" w:color="auto"/>
            <w:right w:val="none" w:sz="0" w:space="0" w:color="auto"/>
          </w:divBdr>
        </w:div>
        <w:div w:id="1549106402">
          <w:marLeft w:val="0"/>
          <w:marRight w:val="0"/>
          <w:marTop w:val="0"/>
          <w:marBottom w:val="0"/>
          <w:divBdr>
            <w:top w:val="none" w:sz="0" w:space="0" w:color="auto"/>
            <w:left w:val="none" w:sz="0" w:space="0" w:color="auto"/>
            <w:bottom w:val="none" w:sz="0" w:space="0" w:color="auto"/>
            <w:right w:val="none" w:sz="0" w:space="0" w:color="auto"/>
          </w:divBdr>
        </w:div>
      </w:divsChild>
    </w:div>
    <w:div w:id="662398258">
      <w:bodyDiv w:val="1"/>
      <w:marLeft w:val="0"/>
      <w:marRight w:val="0"/>
      <w:marTop w:val="0"/>
      <w:marBottom w:val="0"/>
      <w:divBdr>
        <w:top w:val="none" w:sz="0" w:space="0" w:color="auto"/>
        <w:left w:val="none" w:sz="0" w:space="0" w:color="auto"/>
        <w:bottom w:val="none" w:sz="0" w:space="0" w:color="auto"/>
        <w:right w:val="none" w:sz="0" w:space="0" w:color="auto"/>
      </w:divBdr>
      <w:divsChild>
        <w:div w:id="1528445830">
          <w:marLeft w:val="0"/>
          <w:marRight w:val="0"/>
          <w:marTop w:val="0"/>
          <w:marBottom w:val="0"/>
          <w:divBdr>
            <w:top w:val="none" w:sz="0" w:space="0" w:color="auto"/>
            <w:left w:val="none" w:sz="0" w:space="0" w:color="auto"/>
            <w:bottom w:val="none" w:sz="0" w:space="0" w:color="auto"/>
            <w:right w:val="none" w:sz="0" w:space="0" w:color="auto"/>
          </w:divBdr>
          <w:divsChild>
            <w:div w:id="71050528">
              <w:marLeft w:val="0"/>
              <w:marRight w:val="0"/>
              <w:marTop w:val="0"/>
              <w:marBottom w:val="0"/>
              <w:divBdr>
                <w:top w:val="none" w:sz="0" w:space="0" w:color="auto"/>
                <w:left w:val="none" w:sz="0" w:space="0" w:color="auto"/>
                <w:bottom w:val="none" w:sz="0" w:space="0" w:color="auto"/>
                <w:right w:val="none" w:sz="0" w:space="0" w:color="auto"/>
              </w:divBdr>
              <w:divsChild>
                <w:div w:id="508178689">
                  <w:marLeft w:val="0"/>
                  <w:marRight w:val="0"/>
                  <w:marTop w:val="0"/>
                  <w:marBottom w:val="0"/>
                  <w:divBdr>
                    <w:top w:val="none" w:sz="0" w:space="0" w:color="auto"/>
                    <w:left w:val="none" w:sz="0" w:space="0" w:color="auto"/>
                    <w:bottom w:val="none" w:sz="0" w:space="0" w:color="auto"/>
                    <w:right w:val="none" w:sz="0" w:space="0" w:color="auto"/>
                  </w:divBdr>
                  <w:divsChild>
                    <w:div w:id="1143692411">
                      <w:marLeft w:val="0"/>
                      <w:marRight w:val="0"/>
                      <w:marTop w:val="0"/>
                      <w:marBottom w:val="0"/>
                      <w:divBdr>
                        <w:top w:val="none" w:sz="0" w:space="0" w:color="auto"/>
                        <w:left w:val="none" w:sz="0" w:space="0" w:color="auto"/>
                        <w:bottom w:val="none" w:sz="0" w:space="0" w:color="auto"/>
                        <w:right w:val="none" w:sz="0" w:space="0" w:color="auto"/>
                      </w:divBdr>
                      <w:divsChild>
                        <w:div w:id="2118863268">
                          <w:marLeft w:val="0"/>
                          <w:marRight w:val="0"/>
                          <w:marTop w:val="0"/>
                          <w:marBottom w:val="0"/>
                          <w:divBdr>
                            <w:top w:val="none" w:sz="0" w:space="0" w:color="auto"/>
                            <w:left w:val="none" w:sz="0" w:space="0" w:color="auto"/>
                            <w:bottom w:val="none" w:sz="0" w:space="0" w:color="auto"/>
                            <w:right w:val="none" w:sz="0" w:space="0" w:color="auto"/>
                          </w:divBdr>
                          <w:divsChild>
                            <w:div w:id="88725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817142">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75693">
      <w:bodyDiv w:val="1"/>
      <w:marLeft w:val="0"/>
      <w:marRight w:val="0"/>
      <w:marTop w:val="0"/>
      <w:marBottom w:val="0"/>
      <w:divBdr>
        <w:top w:val="none" w:sz="0" w:space="0" w:color="auto"/>
        <w:left w:val="none" w:sz="0" w:space="0" w:color="auto"/>
        <w:bottom w:val="none" w:sz="0" w:space="0" w:color="auto"/>
        <w:right w:val="none" w:sz="0" w:space="0" w:color="auto"/>
      </w:divBdr>
      <w:divsChild>
        <w:div w:id="410466341">
          <w:marLeft w:val="0"/>
          <w:marRight w:val="0"/>
          <w:marTop w:val="0"/>
          <w:marBottom w:val="0"/>
          <w:divBdr>
            <w:top w:val="none" w:sz="0" w:space="0" w:color="auto"/>
            <w:left w:val="none" w:sz="0" w:space="0" w:color="auto"/>
            <w:bottom w:val="none" w:sz="0" w:space="0" w:color="auto"/>
            <w:right w:val="none" w:sz="0" w:space="0" w:color="auto"/>
          </w:divBdr>
        </w:div>
        <w:div w:id="51661273">
          <w:marLeft w:val="0"/>
          <w:marRight w:val="0"/>
          <w:marTop w:val="0"/>
          <w:marBottom w:val="0"/>
          <w:divBdr>
            <w:top w:val="none" w:sz="0" w:space="0" w:color="auto"/>
            <w:left w:val="none" w:sz="0" w:space="0" w:color="auto"/>
            <w:bottom w:val="none" w:sz="0" w:space="0" w:color="auto"/>
            <w:right w:val="none" w:sz="0" w:space="0" w:color="auto"/>
          </w:divBdr>
        </w:div>
        <w:div w:id="821894634">
          <w:marLeft w:val="0"/>
          <w:marRight w:val="0"/>
          <w:marTop w:val="0"/>
          <w:marBottom w:val="0"/>
          <w:divBdr>
            <w:top w:val="none" w:sz="0" w:space="0" w:color="auto"/>
            <w:left w:val="none" w:sz="0" w:space="0" w:color="auto"/>
            <w:bottom w:val="none" w:sz="0" w:space="0" w:color="auto"/>
            <w:right w:val="none" w:sz="0" w:space="0" w:color="auto"/>
          </w:divBdr>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1474790">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510064">
      <w:bodyDiv w:val="1"/>
      <w:marLeft w:val="0"/>
      <w:marRight w:val="0"/>
      <w:marTop w:val="0"/>
      <w:marBottom w:val="0"/>
      <w:divBdr>
        <w:top w:val="none" w:sz="0" w:space="0" w:color="auto"/>
        <w:left w:val="none" w:sz="0" w:space="0" w:color="auto"/>
        <w:bottom w:val="none" w:sz="0" w:space="0" w:color="auto"/>
        <w:right w:val="none" w:sz="0" w:space="0" w:color="auto"/>
      </w:divBdr>
    </w:div>
    <w:div w:id="1311180115">
      <w:bodyDiv w:val="1"/>
      <w:marLeft w:val="0"/>
      <w:marRight w:val="0"/>
      <w:marTop w:val="0"/>
      <w:marBottom w:val="0"/>
      <w:divBdr>
        <w:top w:val="none" w:sz="0" w:space="0" w:color="auto"/>
        <w:left w:val="none" w:sz="0" w:space="0" w:color="auto"/>
        <w:bottom w:val="none" w:sz="0" w:space="0" w:color="auto"/>
        <w:right w:val="none" w:sz="0" w:space="0" w:color="auto"/>
      </w:divBdr>
      <w:divsChild>
        <w:div w:id="263995251">
          <w:marLeft w:val="0"/>
          <w:marRight w:val="0"/>
          <w:marTop w:val="0"/>
          <w:marBottom w:val="0"/>
          <w:divBdr>
            <w:top w:val="none" w:sz="0" w:space="0" w:color="auto"/>
            <w:left w:val="none" w:sz="0" w:space="0" w:color="auto"/>
            <w:bottom w:val="none" w:sz="0" w:space="0" w:color="auto"/>
            <w:right w:val="none" w:sz="0" w:space="0" w:color="auto"/>
          </w:divBdr>
        </w:div>
        <w:div w:id="858130718">
          <w:marLeft w:val="0"/>
          <w:marRight w:val="0"/>
          <w:marTop w:val="0"/>
          <w:marBottom w:val="0"/>
          <w:divBdr>
            <w:top w:val="none" w:sz="0" w:space="0" w:color="auto"/>
            <w:left w:val="none" w:sz="0" w:space="0" w:color="auto"/>
            <w:bottom w:val="none" w:sz="0" w:space="0" w:color="auto"/>
            <w:right w:val="none" w:sz="0" w:space="0" w:color="auto"/>
          </w:divBdr>
        </w:div>
        <w:div w:id="1218782486">
          <w:marLeft w:val="0"/>
          <w:marRight w:val="0"/>
          <w:marTop w:val="0"/>
          <w:marBottom w:val="0"/>
          <w:divBdr>
            <w:top w:val="none" w:sz="0" w:space="0" w:color="auto"/>
            <w:left w:val="none" w:sz="0" w:space="0" w:color="auto"/>
            <w:bottom w:val="none" w:sz="0" w:space="0" w:color="auto"/>
            <w:right w:val="none" w:sz="0" w:space="0" w:color="auto"/>
          </w:divBdr>
        </w:div>
      </w:divsChild>
    </w:div>
    <w:div w:id="1330017065">
      <w:bodyDiv w:val="1"/>
      <w:marLeft w:val="0"/>
      <w:marRight w:val="0"/>
      <w:marTop w:val="0"/>
      <w:marBottom w:val="0"/>
      <w:divBdr>
        <w:top w:val="none" w:sz="0" w:space="0" w:color="auto"/>
        <w:left w:val="none" w:sz="0" w:space="0" w:color="auto"/>
        <w:bottom w:val="none" w:sz="0" w:space="0" w:color="auto"/>
        <w:right w:val="none" w:sz="0" w:space="0" w:color="auto"/>
      </w:divBdr>
    </w:div>
    <w:div w:id="135581093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04728546">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67253">
      <w:bodyDiv w:val="1"/>
      <w:marLeft w:val="0"/>
      <w:marRight w:val="0"/>
      <w:marTop w:val="0"/>
      <w:marBottom w:val="0"/>
      <w:divBdr>
        <w:top w:val="none" w:sz="0" w:space="0" w:color="auto"/>
        <w:left w:val="none" w:sz="0" w:space="0" w:color="auto"/>
        <w:bottom w:val="none" w:sz="0" w:space="0" w:color="auto"/>
        <w:right w:val="none" w:sz="0" w:space="0" w:color="auto"/>
      </w:divBdr>
      <w:divsChild>
        <w:div w:id="1462117065">
          <w:marLeft w:val="0"/>
          <w:marRight w:val="0"/>
          <w:marTop w:val="0"/>
          <w:marBottom w:val="0"/>
          <w:divBdr>
            <w:top w:val="none" w:sz="0" w:space="0" w:color="auto"/>
            <w:left w:val="none" w:sz="0" w:space="0" w:color="auto"/>
            <w:bottom w:val="none" w:sz="0" w:space="0" w:color="auto"/>
            <w:right w:val="none" w:sz="0" w:space="0" w:color="auto"/>
          </w:divBdr>
        </w:div>
        <w:div w:id="2115979485">
          <w:marLeft w:val="0"/>
          <w:marRight w:val="0"/>
          <w:marTop w:val="0"/>
          <w:marBottom w:val="0"/>
          <w:divBdr>
            <w:top w:val="none" w:sz="0" w:space="0" w:color="auto"/>
            <w:left w:val="none" w:sz="0" w:space="0" w:color="auto"/>
            <w:bottom w:val="none" w:sz="0" w:space="0" w:color="auto"/>
            <w:right w:val="none" w:sz="0" w:space="0" w:color="auto"/>
          </w:divBdr>
        </w:div>
      </w:divsChild>
    </w:div>
    <w:div w:id="1789398474">
      <w:bodyDiv w:val="1"/>
      <w:marLeft w:val="0"/>
      <w:marRight w:val="0"/>
      <w:marTop w:val="0"/>
      <w:marBottom w:val="0"/>
      <w:divBdr>
        <w:top w:val="none" w:sz="0" w:space="0" w:color="auto"/>
        <w:left w:val="none" w:sz="0" w:space="0" w:color="auto"/>
        <w:bottom w:val="none" w:sz="0" w:space="0" w:color="auto"/>
        <w:right w:val="none" w:sz="0" w:space="0" w:color="auto"/>
      </w:divBdr>
    </w:div>
    <w:div w:id="1836266078">
      <w:bodyDiv w:val="1"/>
      <w:marLeft w:val="0"/>
      <w:marRight w:val="0"/>
      <w:marTop w:val="0"/>
      <w:marBottom w:val="0"/>
      <w:divBdr>
        <w:top w:val="none" w:sz="0" w:space="0" w:color="auto"/>
        <w:left w:val="none" w:sz="0" w:space="0" w:color="auto"/>
        <w:bottom w:val="none" w:sz="0" w:space="0" w:color="auto"/>
        <w:right w:val="none" w:sz="0" w:space="0" w:color="auto"/>
      </w:divBdr>
      <w:divsChild>
        <w:div w:id="978414900">
          <w:marLeft w:val="0"/>
          <w:marRight w:val="0"/>
          <w:marTop w:val="0"/>
          <w:marBottom w:val="0"/>
          <w:divBdr>
            <w:top w:val="none" w:sz="0" w:space="0" w:color="auto"/>
            <w:left w:val="none" w:sz="0" w:space="0" w:color="auto"/>
            <w:bottom w:val="none" w:sz="0" w:space="0" w:color="auto"/>
            <w:right w:val="none" w:sz="0" w:space="0" w:color="auto"/>
          </w:divBdr>
        </w:div>
        <w:div w:id="231232861">
          <w:marLeft w:val="0"/>
          <w:marRight w:val="0"/>
          <w:marTop w:val="0"/>
          <w:marBottom w:val="0"/>
          <w:divBdr>
            <w:top w:val="none" w:sz="0" w:space="0" w:color="auto"/>
            <w:left w:val="none" w:sz="0" w:space="0" w:color="auto"/>
            <w:bottom w:val="none" w:sz="0" w:space="0" w:color="auto"/>
            <w:right w:val="none" w:sz="0" w:space="0" w:color="auto"/>
          </w:divBdr>
        </w:div>
      </w:divsChild>
    </w:div>
    <w:div w:id="1979450946">
      <w:bodyDiv w:val="1"/>
      <w:marLeft w:val="0"/>
      <w:marRight w:val="0"/>
      <w:marTop w:val="0"/>
      <w:marBottom w:val="0"/>
      <w:divBdr>
        <w:top w:val="none" w:sz="0" w:space="0" w:color="auto"/>
        <w:left w:val="none" w:sz="0" w:space="0" w:color="auto"/>
        <w:bottom w:val="none" w:sz="0" w:space="0" w:color="auto"/>
        <w:right w:val="none" w:sz="0" w:space="0" w:color="auto"/>
      </w:divBdr>
    </w:div>
    <w:div w:id="202076627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07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17156-3CC2-402B-AE16-45EAB10D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6</Pages>
  <Words>6859</Words>
  <Characters>37728</Characters>
  <Application>Microsoft Office Word</Application>
  <DocSecurity>0</DocSecurity>
  <Lines>314</Lines>
  <Paragraphs>88</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44499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Alex Segundino Armas Blancas</cp:lastModifiedBy>
  <cp:revision>160</cp:revision>
  <cp:lastPrinted>2015-05-12T18:31:00Z</cp:lastPrinted>
  <dcterms:created xsi:type="dcterms:W3CDTF">2024-01-22T22:11:00Z</dcterms:created>
  <dcterms:modified xsi:type="dcterms:W3CDTF">2024-07-19T20:12:00Z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Document_1">
    <vt:lpwstr>True</vt:lpwstr>
  </property>
  <property fmtid="{D5CDD505-2E9C-101B-9397-08002B2CF9AE}" pid="25" name="Mendeley Unique User Id_1">
    <vt:lpwstr>6cd91ca4-0ed8-38fe-af8d-d2e9896288b0</vt:lpwstr>
  </property>
  <property fmtid="{D5CDD505-2E9C-101B-9397-08002B2CF9AE}" pid="26" name="Mendeley Citation Style_1">
    <vt:lpwstr>http://www.zotero.org/styles/apa</vt:lpwstr>
  </property>
</Properties>
</file>