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9C772A" w14:paraId="2A131A54" w14:textId="77777777" w:rsidTr="00C5295F">
        <w:trPr>
          <w:trHeight w:val="852"/>
          <w:jc w:val="center"/>
        </w:trPr>
        <w:tc>
          <w:tcPr>
            <w:tcW w:w="6940" w:type="dxa"/>
            <w:vMerge w:val="restart"/>
            <w:tcBorders>
              <w:right w:val="single" w:sz="4" w:space="0" w:color="auto"/>
            </w:tcBorders>
          </w:tcPr>
          <w:p w14:paraId="38C3D2BA" w14:textId="77777777" w:rsidR="000A03B2" w:rsidRPr="009C772A" w:rsidRDefault="000A03B2" w:rsidP="00DE264A">
            <w:pPr>
              <w:tabs>
                <w:tab w:val="left" w:pos="-108"/>
              </w:tabs>
              <w:ind w:left="-108"/>
              <w:jc w:val="left"/>
              <w:rPr>
                <w:rFonts w:cs="Arial"/>
                <w:b/>
                <w:bCs/>
                <w:i/>
                <w:iCs/>
                <w:color w:val="000066"/>
                <w:sz w:val="12"/>
                <w:szCs w:val="12"/>
                <w:lang w:eastAsia="it-IT"/>
              </w:rPr>
            </w:pPr>
            <w:bookmarkStart w:id="0" w:name="_Hlk92891902"/>
            <w:bookmarkEnd w:id="0"/>
            <w:r w:rsidRPr="009C772A">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9C772A">
              <w:rPr>
                <w:rFonts w:ascii="AdvP6960" w:hAnsi="AdvP6960" w:cs="AdvP6960"/>
                <w:color w:val="241F20"/>
                <w:szCs w:val="18"/>
                <w:lang w:eastAsia="it-IT"/>
              </w:rPr>
              <w:t xml:space="preserve"> </w:t>
            </w:r>
            <w:r w:rsidRPr="009C772A">
              <w:rPr>
                <w:rFonts w:cs="Arial"/>
                <w:b/>
                <w:bCs/>
                <w:i/>
                <w:iCs/>
                <w:color w:val="000066"/>
                <w:sz w:val="24"/>
                <w:szCs w:val="24"/>
                <w:lang w:eastAsia="it-IT"/>
              </w:rPr>
              <w:t>CHEMICAL ENGINEERING</w:t>
            </w:r>
            <w:r w:rsidRPr="009C772A">
              <w:rPr>
                <w:rFonts w:cs="Arial"/>
                <w:b/>
                <w:bCs/>
                <w:i/>
                <w:iCs/>
                <w:color w:val="0033FF"/>
                <w:sz w:val="24"/>
                <w:szCs w:val="24"/>
                <w:lang w:eastAsia="it-IT"/>
              </w:rPr>
              <w:t xml:space="preserve"> </w:t>
            </w:r>
            <w:r w:rsidRPr="009C772A">
              <w:rPr>
                <w:rFonts w:cs="Arial"/>
                <w:b/>
                <w:bCs/>
                <w:i/>
                <w:iCs/>
                <w:color w:val="666666"/>
                <w:sz w:val="24"/>
                <w:szCs w:val="24"/>
                <w:lang w:eastAsia="it-IT"/>
              </w:rPr>
              <w:t>TRANSACTIONS</w:t>
            </w:r>
            <w:r w:rsidRPr="009C772A">
              <w:rPr>
                <w:color w:val="333333"/>
                <w:sz w:val="24"/>
                <w:szCs w:val="24"/>
                <w:lang w:eastAsia="it-IT"/>
              </w:rPr>
              <w:t xml:space="preserve"> </w:t>
            </w:r>
            <w:r w:rsidRPr="009C772A">
              <w:rPr>
                <w:rFonts w:cs="Arial"/>
                <w:b/>
                <w:bCs/>
                <w:i/>
                <w:iCs/>
                <w:color w:val="000066"/>
                <w:sz w:val="27"/>
                <w:szCs w:val="27"/>
                <w:lang w:eastAsia="it-IT"/>
              </w:rPr>
              <w:br/>
            </w:r>
          </w:p>
          <w:p w14:paraId="4B780582" w14:textId="144737A5" w:rsidR="000A03B2" w:rsidRPr="009C772A" w:rsidRDefault="0023026D" w:rsidP="004C3D1D">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Pr>
                <w:rFonts w:cs="Arial"/>
                <w:b/>
                <w:bCs/>
                <w:i/>
                <w:iCs/>
                <w:color w:val="000066"/>
                <w:sz w:val="22"/>
                <w:szCs w:val="22"/>
                <w:lang w:eastAsia="it-IT"/>
              </w:rPr>
              <w:t>xxx, 2024</w:t>
            </w:r>
          </w:p>
        </w:tc>
        <w:tc>
          <w:tcPr>
            <w:tcW w:w="1842" w:type="dxa"/>
            <w:tcBorders>
              <w:left w:val="single" w:sz="4" w:space="0" w:color="auto"/>
              <w:bottom w:val="nil"/>
              <w:right w:val="single" w:sz="4" w:space="0" w:color="auto"/>
            </w:tcBorders>
          </w:tcPr>
          <w:p w14:paraId="56782132" w14:textId="77777777" w:rsidR="000A03B2" w:rsidRPr="009C772A" w:rsidRDefault="000A03B2" w:rsidP="00CD5FE2">
            <w:pPr>
              <w:spacing w:line="140" w:lineRule="atLeast"/>
              <w:jc w:val="right"/>
              <w:rPr>
                <w:rFonts w:cs="Arial"/>
                <w:sz w:val="14"/>
                <w:szCs w:val="14"/>
              </w:rPr>
            </w:pPr>
            <w:r w:rsidRPr="009C772A">
              <w:rPr>
                <w:rFonts w:cs="Arial"/>
                <w:sz w:val="14"/>
                <w:szCs w:val="14"/>
              </w:rPr>
              <w:t>A publication of</w:t>
            </w:r>
          </w:p>
          <w:p w14:paraId="599E5441" w14:textId="77777777" w:rsidR="000A03B2" w:rsidRPr="009C772A" w:rsidRDefault="000A03B2" w:rsidP="00CD5FE2">
            <w:pPr>
              <w:jc w:val="right"/>
            </w:pPr>
            <w:r w:rsidRPr="009C772A">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9C772A" w14:paraId="380FA3CD" w14:textId="77777777" w:rsidTr="00C5295F">
        <w:trPr>
          <w:trHeight w:val="567"/>
          <w:jc w:val="center"/>
        </w:trPr>
        <w:tc>
          <w:tcPr>
            <w:tcW w:w="6940" w:type="dxa"/>
            <w:vMerge/>
            <w:tcBorders>
              <w:right w:val="single" w:sz="4" w:space="0" w:color="auto"/>
            </w:tcBorders>
          </w:tcPr>
          <w:p w14:paraId="39E5E4C1" w14:textId="77777777" w:rsidR="000A03B2" w:rsidRPr="009C772A"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9C772A" w:rsidRDefault="000A03B2" w:rsidP="00CD5FE2">
            <w:pPr>
              <w:spacing w:line="140" w:lineRule="atLeast"/>
              <w:jc w:val="right"/>
              <w:rPr>
                <w:rFonts w:cs="Arial"/>
                <w:sz w:val="14"/>
                <w:szCs w:val="14"/>
              </w:rPr>
            </w:pPr>
            <w:r w:rsidRPr="009C772A">
              <w:rPr>
                <w:rFonts w:cs="Arial"/>
                <w:sz w:val="14"/>
                <w:szCs w:val="14"/>
              </w:rPr>
              <w:t>The Italian Association</w:t>
            </w:r>
          </w:p>
          <w:p w14:paraId="7522B1D2" w14:textId="77777777" w:rsidR="000A03B2" w:rsidRPr="009C772A" w:rsidRDefault="000A03B2" w:rsidP="00CD5FE2">
            <w:pPr>
              <w:spacing w:line="140" w:lineRule="atLeast"/>
              <w:jc w:val="right"/>
              <w:rPr>
                <w:rFonts w:cs="Arial"/>
                <w:sz w:val="14"/>
                <w:szCs w:val="14"/>
              </w:rPr>
            </w:pPr>
            <w:r w:rsidRPr="009C772A">
              <w:rPr>
                <w:rFonts w:cs="Arial"/>
                <w:sz w:val="14"/>
                <w:szCs w:val="14"/>
              </w:rPr>
              <w:t>of Chemical Engineering</w:t>
            </w:r>
          </w:p>
          <w:p w14:paraId="4F0CC5DE" w14:textId="35204533" w:rsidR="000A03B2" w:rsidRPr="009C772A" w:rsidRDefault="005A3E9C" w:rsidP="00CD5FE2">
            <w:pPr>
              <w:spacing w:line="140" w:lineRule="atLeast"/>
              <w:jc w:val="right"/>
              <w:rPr>
                <w:rFonts w:cs="Arial"/>
                <w:sz w:val="14"/>
                <w:szCs w:val="14"/>
              </w:rPr>
            </w:pPr>
            <w:r w:rsidRPr="009C772A">
              <w:rPr>
                <w:rFonts w:cs="Arial"/>
                <w:sz w:val="13"/>
                <w:szCs w:val="13"/>
              </w:rPr>
              <w:t>Online at www.cetjournal.it</w:t>
            </w:r>
          </w:p>
        </w:tc>
      </w:tr>
      <w:tr w:rsidR="000A03B2" w:rsidRPr="009C772A" w14:paraId="2D1B7169" w14:textId="77777777" w:rsidTr="00C5295F">
        <w:trPr>
          <w:trHeight w:val="68"/>
          <w:jc w:val="center"/>
        </w:trPr>
        <w:tc>
          <w:tcPr>
            <w:tcW w:w="8782" w:type="dxa"/>
            <w:gridSpan w:val="2"/>
          </w:tcPr>
          <w:p w14:paraId="2F46D68E" w14:textId="77777777" w:rsidR="0023026D" w:rsidRPr="00825DD9" w:rsidRDefault="0023026D" w:rsidP="0023026D">
            <w:pPr>
              <w:ind w:left="-107"/>
              <w:outlineLvl w:val="2"/>
              <w:rPr>
                <w:rFonts w:ascii="Tahoma" w:hAnsi="Tahoma" w:cs="Tahoma"/>
                <w:bCs/>
                <w:color w:val="000000"/>
                <w:sz w:val="14"/>
                <w:szCs w:val="14"/>
                <w:lang w:val="it-IT" w:eastAsia="it-IT"/>
              </w:rPr>
            </w:pPr>
            <w:r w:rsidRPr="00825DD9">
              <w:rPr>
                <w:rFonts w:ascii="Tahoma" w:hAnsi="Tahoma" w:cs="Tahoma"/>
                <w:iCs/>
                <w:color w:val="333333"/>
                <w:sz w:val="14"/>
                <w:szCs w:val="14"/>
                <w:lang w:val="it-IT" w:eastAsia="it-IT"/>
              </w:rPr>
              <w:t xml:space="preserve">Guest Editors: </w:t>
            </w:r>
            <w:r w:rsidRPr="00825DD9">
              <w:rPr>
                <w:rFonts w:ascii="Tahoma" w:hAnsi="Tahoma" w:cs="Tahoma"/>
                <w:color w:val="000000"/>
                <w:sz w:val="14"/>
                <w:szCs w:val="14"/>
                <w:shd w:val="clear" w:color="auto" w:fill="FFFFFF"/>
                <w:lang w:val="it-IT"/>
              </w:rPr>
              <w:t xml:space="preserve">Valerio Cozzani, Bruno Fabiano, </w:t>
            </w:r>
            <w:proofErr w:type="spellStart"/>
            <w:r w:rsidRPr="00825DD9">
              <w:rPr>
                <w:rFonts w:ascii="Tahoma" w:hAnsi="Tahoma" w:cs="Tahoma"/>
                <w:bCs/>
                <w:color w:val="000000"/>
                <w:sz w:val="14"/>
                <w:szCs w:val="14"/>
                <w:lang w:val="it-IT" w:eastAsia="it-IT"/>
              </w:rPr>
              <w:t>Genserik</w:t>
            </w:r>
            <w:proofErr w:type="spellEnd"/>
            <w:r w:rsidRPr="00825DD9">
              <w:rPr>
                <w:rFonts w:ascii="Tahoma" w:hAnsi="Tahoma" w:cs="Tahoma"/>
                <w:bCs/>
                <w:color w:val="000000"/>
                <w:sz w:val="14"/>
                <w:szCs w:val="14"/>
                <w:lang w:val="it-IT" w:eastAsia="it-IT"/>
              </w:rPr>
              <w:t xml:space="preserve"> </w:t>
            </w:r>
            <w:proofErr w:type="spellStart"/>
            <w:r w:rsidRPr="00825DD9">
              <w:rPr>
                <w:rFonts w:ascii="Tahoma" w:hAnsi="Tahoma" w:cs="Tahoma"/>
                <w:bCs/>
                <w:color w:val="000000"/>
                <w:sz w:val="14"/>
                <w:szCs w:val="14"/>
                <w:lang w:val="it-IT" w:eastAsia="it-IT"/>
              </w:rPr>
              <w:t>Reniers</w:t>
            </w:r>
            <w:proofErr w:type="spellEnd"/>
          </w:p>
          <w:p w14:paraId="1B0F1814" w14:textId="4BA1C460" w:rsidR="000A03B2" w:rsidRPr="009C772A" w:rsidRDefault="0023026D" w:rsidP="0023026D">
            <w:pPr>
              <w:tabs>
                <w:tab w:val="left" w:pos="-108"/>
              </w:tabs>
              <w:spacing w:line="140" w:lineRule="atLeast"/>
              <w:ind w:left="-108"/>
              <w:jc w:val="left"/>
            </w:pPr>
            <w:r>
              <w:rPr>
                <w:rFonts w:ascii="Tahoma" w:hAnsi="Tahoma" w:cs="Tahoma"/>
                <w:iCs/>
                <w:color w:val="333333"/>
                <w:sz w:val="14"/>
                <w:szCs w:val="14"/>
                <w:lang w:eastAsia="it-IT"/>
              </w:rPr>
              <w:t>Copyright © 2024</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825DD9">
              <w:rPr>
                <w:rFonts w:ascii="Tahoma" w:hAnsi="Tahoma" w:cs="Tahoma"/>
                <w:sz w:val="14"/>
                <w:szCs w:val="14"/>
                <w:lang w:eastAsia="it-IT"/>
              </w:rPr>
              <w:t>979-12-81206-11-3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10DAA130" w14:textId="77777777" w:rsidR="000A03B2" w:rsidRPr="009C772A" w:rsidRDefault="000A03B2" w:rsidP="000A03B2">
      <w:pPr>
        <w:pStyle w:val="CETAuthors"/>
        <w:rPr>
          <w:noProof w:val="0"/>
        </w:rPr>
        <w:sectPr w:rsidR="000A03B2" w:rsidRPr="009C772A" w:rsidSect="00266632">
          <w:type w:val="continuous"/>
          <w:pgSz w:w="11906" w:h="16838" w:code="9"/>
          <w:pgMar w:top="1701" w:right="1418" w:bottom="1701" w:left="1701" w:header="1701" w:footer="0" w:gutter="0"/>
          <w:cols w:space="708"/>
          <w:titlePg/>
          <w:docGrid w:linePitch="360"/>
        </w:sectPr>
      </w:pPr>
    </w:p>
    <w:p w14:paraId="2E667253" w14:textId="21ED7000" w:rsidR="00E978D0" w:rsidRPr="009C772A" w:rsidRDefault="00A22F57" w:rsidP="009D2E73">
      <w:pPr>
        <w:pStyle w:val="CETTitle"/>
        <w:spacing w:before="0"/>
      </w:pPr>
      <w:r w:rsidRPr="009C772A">
        <w:t xml:space="preserve">Release of </w:t>
      </w:r>
      <w:r w:rsidR="00917751">
        <w:t>H</w:t>
      </w:r>
      <w:r w:rsidRPr="009C772A">
        <w:t xml:space="preserve">azardous </w:t>
      </w:r>
      <w:r w:rsidR="00917751">
        <w:t>S</w:t>
      </w:r>
      <w:r w:rsidRPr="009C772A">
        <w:t xml:space="preserve">ubstance </w:t>
      </w:r>
      <w:r w:rsidR="00917751">
        <w:t>D</w:t>
      </w:r>
      <w:r w:rsidRPr="009C772A">
        <w:t xml:space="preserve">ue to </w:t>
      </w:r>
      <w:r w:rsidR="00917751">
        <w:t>S</w:t>
      </w:r>
      <w:r w:rsidRPr="009C772A">
        <w:t xml:space="preserve">eismic </w:t>
      </w:r>
      <w:r w:rsidR="00917751">
        <w:t>L</w:t>
      </w:r>
      <w:r w:rsidRPr="009C772A">
        <w:t xml:space="preserve">oads: Influence of </w:t>
      </w:r>
      <w:r w:rsidR="00917751">
        <w:t>P</w:t>
      </w:r>
      <w:r w:rsidRPr="009C772A">
        <w:t xml:space="preserve">ipe to </w:t>
      </w:r>
      <w:r w:rsidR="00917751">
        <w:t>T</w:t>
      </w:r>
      <w:r w:rsidRPr="009C772A">
        <w:t xml:space="preserve">ank </w:t>
      </w:r>
      <w:r w:rsidR="00917751">
        <w:t>C</w:t>
      </w:r>
      <w:r w:rsidRPr="009C772A">
        <w:t xml:space="preserve">onnection in </w:t>
      </w:r>
      <w:r w:rsidR="00917751">
        <w:t>F</w:t>
      </w:r>
      <w:r w:rsidRPr="009C772A">
        <w:t xml:space="preserve">ragility </w:t>
      </w:r>
      <w:r w:rsidR="00917751">
        <w:t>E</w:t>
      </w:r>
      <w:r w:rsidRPr="009C772A">
        <w:t>stimation</w:t>
      </w:r>
    </w:p>
    <w:p w14:paraId="2B3CA35C" w14:textId="09C01541" w:rsidR="00E978D0" w:rsidRPr="00664538" w:rsidRDefault="00A22F57" w:rsidP="000E455B">
      <w:pPr>
        <w:pStyle w:val="CETAuthors"/>
        <w:rPr>
          <w:noProof w:val="0"/>
          <w:lang w:val="it-IT"/>
        </w:rPr>
      </w:pPr>
      <w:r w:rsidRPr="00664538">
        <w:rPr>
          <w:noProof w:val="0"/>
          <w:lang w:val="it-IT"/>
        </w:rPr>
        <w:t xml:space="preserve">Chiara </w:t>
      </w:r>
      <w:proofErr w:type="spellStart"/>
      <w:proofErr w:type="gramStart"/>
      <w:r w:rsidRPr="00664538">
        <w:rPr>
          <w:noProof w:val="0"/>
          <w:lang w:val="it-IT"/>
        </w:rPr>
        <w:t>Miglietta</w:t>
      </w:r>
      <w:r w:rsidRPr="00664538">
        <w:rPr>
          <w:noProof w:val="0"/>
          <w:vertAlign w:val="superscript"/>
          <w:lang w:val="it-IT"/>
        </w:rPr>
        <w:t>a</w:t>
      </w:r>
      <w:proofErr w:type="spellEnd"/>
      <w:r w:rsidRPr="00664538">
        <w:rPr>
          <w:noProof w:val="0"/>
          <w:vertAlign w:val="superscript"/>
          <w:lang w:val="it-IT"/>
        </w:rPr>
        <w:t>,*</w:t>
      </w:r>
      <w:proofErr w:type="gramEnd"/>
      <w:r w:rsidRPr="00664538">
        <w:rPr>
          <w:noProof w:val="0"/>
          <w:lang w:val="it-IT"/>
        </w:rPr>
        <w:t>,</w:t>
      </w:r>
      <w:r w:rsidR="000F28C5" w:rsidRPr="00664538">
        <w:rPr>
          <w:noProof w:val="0"/>
          <w:lang w:val="it-IT"/>
        </w:rPr>
        <w:t xml:space="preserve"> </w:t>
      </w:r>
      <w:r w:rsidRPr="00664538">
        <w:rPr>
          <w:noProof w:val="0"/>
          <w:lang w:val="it-IT"/>
        </w:rPr>
        <w:t xml:space="preserve">Daniele </w:t>
      </w:r>
      <w:proofErr w:type="spellStart"/>
      <w:r w:rsidRPr="00664538">
        <w:rPr>
          <w:noProof w:val="0"/>
          <w:lang w:val="it-IT"/>
        </w:rPr>
        <w:t>Perrone</w:t>
      </w:r>
      <w:r w:rsidRPr="00664538">
        <w:rPr>
          <w:noProof w:val="0"/>
          <w:vertAlign w:val="superscript"/>
          <w:lang w:val="it-IT"/>
        </w:rPr>
        <w:t>a</w:t>
      </w:r>
      <w:proofErr w:type="spellEnd"/>
      <w:r w:rsidRPr="00664538">
        <w:rPr>
          <w:noProof w:val="0"/>
          <w:lang w:val="it-IT"/>
        </w:rPr>
        <w:t xml:space="preserve">, Giammaria </w:t>
      </w:r>
      <w:proofErr w:type="spellStart"/>
      <w:r w:rsidRPr="00664538">
        <w:rPr>
          <w:noProof w:val="0"/>
          <w:lang w:val="it-IT"/>
        </w:rPr>
        <w:t>Gabbianelli</w:t>
      </w:r>
      <w:r w:rsidRPr="00664538">
        <w:rPr>
          <w:noProof w:val="0"/>
          <w:vertAlign w:val="superscript"/>
          <w:lang w:val="it-IT"/>
        </w:rPr>
        <w:t>b</w:t>
      </w:r>
      <w:proofErr w:type="spellEnd"/>
      <w:r w:rsidRPr="00664538">
        <w:rPr>
          <w:noProof w:val="0"/>
          <w:lang w:val="it-IT"/>
        </w:rPr>
        <w:t xml:space="preserve">, Francesco </w:t>
      </w:r>
      <w:proofErr w:type="spellStart"/>
      <w:r w:rsidRPr="00664538">
        <w:rPr>
          <w:noProof w:val="0"/>
          <w:lang w:val="it-IT"/>
        </w:rPr>
        <w:t>Micelli</w:t>
      </w:r>
      <w:r w:rsidRPr="00664538">
        <w:rPr>
          <w:noProof w:val="0"/>
          <w:vertAlign w:val="superscript"/>
          <w:lang w:val="it-IT"/>
        </w:rPr>
        <w:t>a</w:t>
      </w:r>
      <w:proofErr w:type="spellEnd"/>
      <w:r w:rsidRPr="00664538">
        <w:rPr>
          <w:noProof w:val="0"/>
          <w:lang w:val="it-IT"/>
        </w:rPr>
        <w:t xml:space="preserve">, Mariano </w:t>
      </w:r>
      <w:proofErr w:type="spellStart"/>
      <w:r w:rsidRPr="00664538">
        <w:rPr>
          <w:noProof w:val="0"/>
          <w:lang w:val="it-IT"/>
        </w:rPr>
        <w:t>Ciucci</w:t>
      </w:r>
      <w:r w:rsidRPr="00664538">
        <w:rPr>
          <w:noProof w:val="0"/>
          <w:vertAlign w:val="superscript"/>
          <w:lang w:val="it-IT"/>
        </w:rPr>
        <w:t>c</w:t>
      </w:r>
      <w:proofErr w:type="spellEnd"/>
    </w:p>
    <w:p w14:paraId="5053C5A8" w14:textId="540961D7" w:rsidR="00E978D0" w:rsidRPr="009C772A" w:rsidRDefault="00E978D0" w:rsidP="000E455B">
      <w:pPr>
        <w:pStyle w:val="CETAddress"/>
        <w:rPr>
          <w:noProof w:val="0"/>
        </w:rPr>
      </w:pPr>
      <w:r w:rsidRPr="009C772A">
        <w:rPr>
          <w:noProof w:val="0"/>
          <w:vertAlign w:val="superscript"/>
        </w:rPr>
        <w:t>a</w:t>
      </w:r>
      <w:r w:rsidR="00C24997" w:rsidRPr="009C772A">
        <w:rPr>
          <w:noProof w:val="0"/>
        </w:rPr>
        <w:t xml:space="preserve"> </w:t>
      </w:r>
      <w:r w:rsidR="00A22F57" w:rsidRPr="009C772A">
        <w:rPr>
          <w:noProof w:val="0"/>
        </w:rPr>
        <w:t>University of Salento, Department of Engineering for Innovation</w:t>
      </w:r>
      <w:r w:rsidR="00C24997" w:rsidRPr="009C772A">
        <w:rPr>
          <w:noProof w:val="0"/>
        </w:rPr>
        <w:t xml:space="preserve">, </w:t>
      </w:r>
      <w:proofErr w:type="spellStart"/>
      <w:r w:rsidR="00A22F57" w:rsidRPr="009C772A">
        <w:rPr>
          <w:noProof w:val="0"/>
        </w:rPr>
        <w:t>Complesso</w:t>
      </w:r>
      <w:proofErr w:type="spellEnd"/>
      <w:r w:rsidR="00A22F57" w:rsidRPr="009C772A">
        <w:rPr>
          <w:noProof w:val="0"/>
        </w:rPr>
        <w:t xml:space="preserve"> </w:t>
      </w:r>
      <w:proofErr w:type="spellStart"/>
      <w:r w:rsidR="00A22F57" w:rsidRPr="009C772A">
        <w:rPr>
          <w:noProof w:val="0"/>
        </w:rPr>
        <w:t>Ecotekne</w:t>
      </w:r>
      <w:proofErr w:type="spellEnd"/>
      <w:r w:rsidR="00A22F57" w:rsidRPr="009C772A">
        <w:rPr>
          <w:noProof w:val="0"/>
        </w:rPr>
        <w:t>, Lecce</w:t>
      </w:r>
    </w:p>
    <w:p w14:paraId="15AC040E" w14:textId="5EC5DAB4" w:rsidR="00A22F57" w:rsidRPr="009C772A" w:rsidRDefault="00A22F57" w:rsidP="000E455B">
      <w:pPr>
        <w:pStyle w:val="CETAddress"/>
        <w:rPr>
          <w:noProof w:val="0"/>
        </w:rPr>
      </w:pPr>
      <w:r w:rsidRPr="009C772A">
        <w:rPr>
          <w:noProof w:val="0"/>
          <w:vertAlign w:val="superscript"/>
        </w:rPr>
        <w:t>b</w:t>
      </w:r>
      <w:r w:rsidRPr="009C772A">
        <w:rPr>
          <w:noProof w:val="0"/>
        </w:rPr>
        <w:t xml:space="preserve"> University of Pavia, Department of Civil Engineering and Architecture, Via Ferrata, Pavia</w:t>
      </w:r>
    </w:p>
    <w:p w14:paraId="38D29194" w14:textId="139BC46C" w:rsidR="00E978D0" w:rsidRPr="009C772A" w:rsidRDefault="00A22F57" w:rsidP="000E455B">
      <w:pPr>
        <w:pStyle w:val="CETAddress"/>
        <w:rPr>
          <w:noProof w:val="0"/>
        </w:rPr>
      </w:pPr>
      <w:r w:rsidRPr="009C772A">
        <w:rPr>
          <w:noProof w:val="0"/>
          <w:vertAlign w:val="superscript"/>
        </w:rPr>
        <w:t>c</w:t>
      </w:r>
      <w:r w:rsidR="00C24997" w:rsidRPr="009C772A">
        <w:rPr>
          <w:noProof w:val="0"/>
        </w:rPr>
        <w:t xml:space="preserve"> INAIL, Department of Technological Innovations and Safety of Plants</w:t>
      </w:r>
      <w:r w:rsidR="00E978D0" w:rsidRPr="009C772A">
        <w:rPr>
          <w:noProof w:val="0"/>
        </w:rPr>
        <w:t>,</w:t>
      </w:r>
      <w:r w:rsidR="00C24997" w:rsidRPr="009C772A">
        <w:rPr>
          <w:noProof w:val="0"/>
        </w:rPr>
        <w:t xml:space="preserve"> via del </w:t>
      </w:r>
      <w:proofErr w:type="spellStart"/>
      <w:r w:rsidR="00C24997" w:rsidRPr="009C772A">
        <w:rPr>
          <w:noProof w:val="0"/>
        </w:rPr>
        <w:t>Torraccio</w:t>
      </w:r>
      <w:proofErr w:type="spellEnd"/>
      <w:r w:rsidR="00C24997" w:rsidRPr="009C772A">
        <w:rPr>
          <w:noProof w:val="0"/>
        </w:rPr>
        <w:t xml:space="preserve"> di </w:t>
      </w:r>
      <w:proofErr w:type="spellStart"/>
      <w:r w:rsidR="00C24997" w:rsidRPr="009C772A">
        <w:rPr>
          <w:noProof w:val="0"/>
        </w:rPr>
        <w:t>Torrenova</w:t>
      </w:r>
      <w:proofErr w:type="spellEnd"/>
      <w:r w:rsidRPr="009C772A">
        <w:rPr>
          <w:noProof w:val="0"/>
        </w:rPr>
        <w:t>, Rome</w:t>
      </w:r>
      <w:r w:rsidR="00E978D0" w:rsidRPr="009C772A">
        <w:rPr>
          <w:noProof w:val="0"/>
        </w:rPr>
        <w:t xml:space="preserve"> </w:t>
      </w:r>
    </w:p>
    <w:p w14:paraId="0127A28D" w14:textId="05CF8734" w:rsidR="00E978D0" w:rsidRPr="009C772A" w:rsidRDefault="00AB5011" w:rsidP="000E455B">
      <w:pPr>
        <w:pStyle w:val="CETemail"/>
        <w:rPr>
          <w:noProof w:val="0"/>
        </w:rPr>
      </w:pPr>
      <w:r w:rsidRPr="009C772A">
        <w:rPr>
          <w:noProof w:val="0"/>
        </w:rPr>
        <w:t xml:space="preserve"> </w:t>
      </w:r>
      <w:r w:rsidR="00ED2188" w:rsidRPr="009C772A">
        <w:rPr>
          <w:noProof w:val="0"/>
        </w:rPr>
        <w:t>*</w:t>
      </w:r>
      <w:r w:rsidR="00A22F57" w:rsidRPr="009C772A">
        <w:rPr>
          <w:noProof w:val="0"/>
        </w:rPr>
        <w:t>chiara.miglietta@unisalento.it</w:t>
      </w:r>
      <w:r w:rsidR="00600535" w:rsidRPr="009C772A">
        <w:rPr>
          <w:noProof w:val="0"/>
        </w:rPr>
        <w:t xml:space="preserve"> </w:t>
      </w:r>
    </w:p>
    <w:p w14:paraId="1E168F06" w14:textId="7C0BC5DD" w:rsidR="00A22F57" w:rsidRPr="009C772A" w:rsidRDefault="00A22F57" w:rsidP="00A22F57">
      <w:pPr>
        <w:pStyle w:val="CETBodytext"/>
        <w:rPr>
          <w:lang w:val="en-GB"/>
        </w:rPr>
      </w:pPr>
      <w:r w:rsidRPr="009C772A">
        <w:rPr>
          <w:lang w:val="en-GB"/>
        </w:rPr>
        <w:t>The damage observed during past earthquakes demonstrated the need for the seismic vulnerability assessment of industrial plants to reduce the risk of major accidents and to develop detailing for risk mitigation. If damaged by a seismic event, industrial plants might be affected by a domino effect with the consequent interruption of plant serviceability and severe economic losses; at the same time, toxic substances could be released</w:t>
      </w:r>
      <w:r w:rsidR="006D1155">
        <w:rPr>
          <w:lang w:val="en-GB"/>
        </w:rPr>
        <w:t xml:space="preserve"> due to the damage of pipelines and tanks</w:t>
      </w:r>
      <w:r w:rsidR="00FD20AA" w:rsidRPr="009C772A">
        <w:rPr>
          <w:lang w:val="en-GB"/>
        </w:rPr>
        <w:t>,</w:t>
      </w:r>
      <w:r w:rsidRPr="009C772A">
        <w:rPr>
          <w:lang w:val="en-GB"/>
        </w:rPr>
        <w:t xml:space="preserve"> causing environmental damage</w:t>
      </w:r>
      <w:r w:rsidR="006D1155">
        <w:rPr>
          <w:lang w:val="en-GB"/>
        </w:rPr>
        <w:t>s</w:t>
      </w:r>
      <w:r w:rsidRPr="009C772A">
        <w:rPr>
          <w:lang w:val="en-GB"/>
        </w:rPr>
        <w:t xml:space="preserve"> and loss of lives.</w:t>
      </w:r>
    </w:p>
    <w:p w14:paraId="2FFDF109" w14:textId="7AE05227" w:rsidR="00954102" w:rsidRPr="009C772A" w:rsidRDefault="00A22F57" w:rsidP="00A22F57">
      <w:pPr>
        <w:pStyle w:val="CETBodytext"/>
        <w:rPr>
          <w:b/>
          <w:lang w:val="en-GB"/>
        </w:rPr>
      </w:pPr>
      <w:r w:rsidRPr="009C772A">
        <w:rPr>
          <w:lang w:val="en-GB"/>
        </w:rPr>
        <w:t xml:space="preserve">This </w:t>
      </w:r>
      <w:r w:rsidR="00A41C51" w:rsidRPr="009C772A">
        <w:rPr>
          <w:lang w:val="en-GB"/>
        </w:rPr>
        <w:t xml:space="preserve">preliminary </w:t>
      </w:r>
      <w:r w:rsidRPr="009C772A">
        <w:rPr>
          <w:lang w:val="en-GB"/>
        </w:rPr>
        <w:t xml:space="preserve">study investigates the influence of the dynamic properties of </w:t>
      </w:r>
      <w:r w:rsidR="00E1486D" w:rsidRPr="009C772A">
        <w:rPr>
          <w:lang w:val="en-GB"/>
        </w:rPr>
        <w:t xml:space="preserve">pressurised </w:t>
      </w:r>
      <w:r w:rsidRPr="009C772A">
        <w:rPr>
          <w:lang w:val="en-GB"/>
        </w:rPr>
        <w:t xml:space="preserve">tanks on the industrial plant seismic vulnerability, focusing on the possible issues </w:t>
      </w:r>
      <w:r w:rsidR="00FD20AA" w:rsidRPr="009C772A">
        <w:rPr>
          <w:lang w:val="en-GB"/>
        </w:rPr>
        <w:t xml:space="preserve">to </w:t>
      </w:r>
      <w:r w:rsidRPr="009C772A">
        <w:rPr>
          <w:lang w:val="en-GB"/>
        </w:rPr>
        <w:t xml:space="preserve">which the pipelines connecting the tanks are prone. To this purpose, </w:t>
      </w:r>
      <w:r w:rsidR="00932585" w:rsidRPr="009C772A">
        <w:rPr>
          <w:lang w:val="en-GB"/>
        </w:rPr>
        <w:t>numerical</w:t>
      </w:r>
      <w:r w:rsidRPr="009C772A">
        <w:rPr>
          <w:lang w:val="en-GB"/>
        </w:rPr>
        <w:t xml:space="preserve"> analyses are conducted aimed at identifying the most critical conditions in term</w:t>
      </w:r>
      <w:r w:rsidR="00FD20AA" w:rsidRPr="009C772A">
        <w:rPr>
          <w:lang w:val="en-GB"/>
        </w:rPr>
        <w:t>s</w:t>
      </w:r>
      <w:r w:rsidRPr="009C772A">
        <w:rPr>
          <w:lang w:val="en-GB"/>
        </w:rPr>
        <w:t xml:space="preserve"> of displacements and stress state </w:t>
      </w:r>
      <w:r w:rsidR="00E1486D" w:rsidRPr="009C772A">
        <w:rPr>
          <w:lang w:val="en-GB"/>
        </w:rPr>
        <w:t xml:space="preserve">to </w:t>
      </w:r>
      <w:r w:rsidRPr="009C772A">
        <w:rPr>
          <w:lang w:val="en-GB"/>
        </w:rPr>
        <w:t>which the pipeline</w:t>
      </w:r>
      <w:r w:rsidR="00932585" w:rsidRPr="009C772A">
        <w:rPr>
          <w:lang w:val="en-GB"/>
        </w:rPr>
        <w:t>s</w:t>
      </w:r>
      <w:r w:rsidRPr="009C772A">
        <w:rPr>
          <w:lang w:val="en-GB"/>
        </w:rPr>
        <w:t xml:space="preserve"> are subjected. </w:t>
      </w:r>
      <w:r w:rsidR="003A67A1" w:rsidRPr="009C772A">
        <w:rPr>
          <w:lang w:val="en-GB"/>
        </w:rPr>
        <w:t>At the same time, a framework for the definition of fragility functions including the damage states related to piping connections</w:t>
      </w:r>
      <w:r w:rsidR="00E1486D" w:rsidRPr="009C772A">
        <w:rPr>
          <w:lang w:val="en-GB"/>
        </w:rPr>
        <w:t>,</w:t>
      </w:r>
      <w:r w:rsidR="003A67A1" w:rsidRPr="009C772A">
        <w:rPr>
          <w:lang w:val="en-GB"/>
        </w:rPr>
        <w:t xml:space="preserve"> is also presented.</w:t>
      </w:r>
      <w:r w:rsidRPr="009C772A">
        <w:rPr>
          <w:lang w:val="en-GB"/>
        </w:rPr>
        <w:t xml:space="preserve"> </w:t>
      </w:r>
    </w:p>
    <w:p w14:paraId="48733AB9" w14:textId="7658B177" w:rsidR="00344B81" w:rsidRPr="009C772A" w:rsidRDefault="00600535" w:rsidP="00954102">
      <w:pPr>
        <w:pStyle w:val="CETHeading1"/>
        <w:rPr>
          <w:b w:val="0"/>
          <w:sz w:val="18"/>
          <w:lang w:val="en-GB"/>
        </w:rPr>
      </w:pPr>
      <w:r w:rsidRPr="009C772A">
        <w:rPr>
          <w:lang w:val="en-GB"/>
        </w:rPr>
        <w:t>Introduction</w:t>
      </w:r>
    </w:p>
    <w:p w14:paraId="3F871B8C" w14:textId="606DB341" w:rsidR="007E2993" w:rsidRPr="009C772A" w:rsidRDefault="007E2993" w:rsidP="007E2993">
      <w:r w:rsidRPr="009C772A">
        <w:t>Industrial facilities and their components are particularly vulnerable to natural events, such as floods, hurricanes, earthquakes, landslides</w:t>
      </w:r>
      <w:r w:rsidR="000F5D84" w:rsidRPr="009C772A">
        <w:t xml:space="preserve"> and</w:t>
      </w:r>
      <w:r w:rsidRPr="009C772A">
        <w:t xml:space="preserve"> extreme temperature events. The interaction between natural hazards and industrial risk may trigger major hazard accidents, called “Na-Tech” events (Natural Hazard Triggering Technological Disasters) (</w:t>
      </w:r>
      <w:proofErr w:type="spellStart"/>
      <w:r w:rsidRPr="009C772A">
        <w:t>Campedel</w:t>
      </w:r>
      <w:proofErr w:type="spellEnd"/>
      <w:r w:rsidRPr="009C772A">
        <w:t>, 2008). In industrial plants</w:t>
      </w:r>
      <w:r w:rsidR="00E1486D" w:rsidRPr="009C772A">
        <w:t>,</w:t>
      </w:r>
      <w:r w:rsidRPr="009C772A">
        <w:t xml:space="preserve"> these events can cause loss of containment with consequent structural collapses, explosions, fires or toxic cloud emissions, leading to environmental damage and loss of human li</w:t>
      </w:r>
      <w:r w:rsidR="0018525C" w:rsidRPr="009C772A">
        <w:t>f</w:t>
      </w:r>
      <w:r w:rsidRPr="009C772A">
        <w:t xml:space="preserve">e. </w:t>
      </w:r>
      <w:r w:rsidR="00E66FAF" w:rsidRPr="009C772A">
        <w:t>Focusing on</w:t>
      </w:r>
      <w:r w:rsidRPr="009C772A">
        <w:t xml:space="preserve"> Na</w:t>
      </w:r>
      <w:r w:rsidR="002440DD" w:rsidRPr="009C772A">
        <w:t>-</w:t>
      </w:r>
      <w:r w:rsidRPr="009C772A">
        <w:t xml:space="preserve">Tech events, </w:t>
      </w:r>
      <w:proofErr w:type="spellStart"/>
      <w:r w:rsidRPr="009C772A">
        <w:t>Campedel</w:t>
      </w:r>
      <w:proofErr w:type="spellEnd"/>
      <w:r w:rsidR="002440DD" w:rsidRPr="009C772A">
        <w:t xml:space="preserve"> (2008)</w:t>
      </w:r>
      <w:r w:rsidRPr="009C772A">
        <w:t xml:space="preserve"> analy</w:t>
      </w:r>
      <w:r w:rsidR="002440DD" w:rsidRPr="009C772A">
        <w:t>sed</w:t>
      </w:r>
      <w:r w:rsidRPr="009C772A">
        <w:t xml:space="preserve"> 78 records</w:t>
      </w:r>
      <w:r w:rsidR="002440DD" w:rsidRPr="009C772A">
        <w:t xml:space="preserve"> reporting </w:t>
      </w:r>
      <w:r w:rsidRPr="009C772A">
        <w:t>that atmospheric storage tanks, pipe</w:t>
      </w:r>
      <w:r w:rsidR="00E66FAF" w:rsidRPr="009C772A">
        <w:t>-</w:t>
      </w:r>
      <w:r w:rsidRPr="009C772A">
        <w:t xml:space="preserve">works and pipelines are the most frequently damaged equipment during </w:t>
      </w:r>
      <w:r w:rsidR="002440DD" w:rsidRPr="009C772A">
        <w:t xml:space="preserve">a </w:t>
      </w:r>
      <w:r w:rsidRPr="009C772A">
        <w:t>seismic event</w:t>
      </w:r>
      <w:r w:rsidR="002440DD" w:rsidRPr="009C772A">
        <w:t xml:space="preserve"> in industrial </w:t>
      </w:r>
      <w:r w:rsidR="00A30648" w:rsidRPr="009C772A">
        <w:t>plants</w:t>
      </w:r>
      <w:r w:rsidRPr="009C772A">
        <w:t xml:space="preserve">. Furthermore, </w:t>
      </w:r>
      <w:r w:rsidR="002440DD" w:rsidRPr="009C772A">
        <w:t xml:space="preserve">only in 26% of the analysed cases the structural and non-structural damage was not associated with a </w:t>
      </w:r>
      <w:r w:rsidRPr="009C772A">
        <w:t xml:space="preserve">loss of containment. </w:t>
      </w:r>
    </w:p>
    <w:p w14:paraId="115980D5" w14:textId="12FF00F3" w:rsidR="007E2993" w:rsidRPr="009C772A" w:rsidRDefault="00A30648" w:rsidP="007E2993">
      <w:r w:rsidRPr="009C772A">
        <w:t>To overcome this issue, i</w:t>
      </w:r>
      <w:r w:rsidR="007E2993" w:rsidRPr="009C772A">
        <w:t>n Italy, the so</w:t>
      </w:r>
      <w:r w:rsidR="00F90A4A" w:rsidRPr="009C772A">
        <w:t>-</w:t>
      </w:r>
      <w:r w:rsidR="007E2993" w:rsidRPr="009C772A">
        <w:t>called major hazard industrial plants are subjected to seismic safety assessment according to the Italian Technical Standards of Construction (NTC 2018) and to Na</w:t>
      </w:r>
      <w:r w:rsidR="00AB13BA" w:rsidRPr="009C772A">
        <w:t>-</w:t>
      </w:r>
      <w:r w:rsidR="007E2993" w:rsidRPr="009C772A">
        <w:t>Tech risk analysis according to Italian Legislative Decree no. 105 of 2015</w:t>
      </w:r>
      <w:r w:rsidR="00AB13BA" w:rsidRPr="009C772A">
        <w:t xml:space="preserve"> </w:t>
      </w:r>
      <w:r w:rsidR="007E2993" w:rsidRPr="009C772A">
        <w:t>(Ciucci et al</w:t>
      </w:r>
      <w:r w:rsidR="00FD20AA" w:rsidRPr="009C772A">
        <w:t>.</w:t>
      </w:r>
      <w:r w:rsidR="007E2993" w:rsidRPr="009C772A">
        <w:t>, 2021).</w:t>
      </w:r>
      <w:r w:rsidR="003D776C" w:rsidRPr="009C772A">
        <w:t xml:space="preserve"> </w:t>
      </w:r>
      <w:r w:rsidRPr="009C772A">
        <w:t>The s</w:t>
      </w:r>
      <w:r w:rsidR="007E2993" w:rsidRPr="009C772A">
        <w:t>tructural analys</w:t>
      </w:r>
      <w:r w:rsidRPr="009C772A">
        <w:t>e</w:t>
      </w:r>
      <w:r w:rsidR="007E2993" w:rsidRPr="009C772A">
        <w:t>s</w:t>
      </w:r>
      <w:r w:rsidRPr="009C772A">
        <w:t xml:space="preserve"> are</w:t>
      </w:r>
      <w:r w:rsidR="007E2993" w:rsidRPr="009C772A">
        <w:t xml:space="preserve"> based on semi-probabilistic method</w:t>
      </w:r>
      <w:r w:rsidRPr="009C772A">
        <w:t xml:space="preserve">s and </w:t>
      </w:r>
      <w:r w:rsidR="007E2993" w:rsidRPr="009C772A">
        <w:t xml:space="preserve">aim at </w:t>
      </w:r>
      <w:r w:rsidRPr="009C772A">
        <w:t xml:space="preserve">the </w:t>
      </w:r>
      <w:r w:rsidR="007E2993" w:rsidRPr="009C772A">
        <w:t xml:space="preserve">seismic verification of structural and supporting components. On the other hand, </w:t>
      </w:r>
      <w:r w:rsidRPr="009C772A">
        <w:t xml:space="preserve">the </w:t>
      </w:r>
      <w:r w:rsidR="007E2993" w:rsidRPr="009C772A">
        <w:t>risk analys</w:t>
      </w:r>
      <w:r w:rsidRPr="009C772A">
        <w:t>e</w:t>
      </w:r>
      <w:r w:rsidR="007E2993" w:rsidRPr="009C772A">
        <w:t>s</w:t>
      </w:r>
      <w:r w:rsidRPr="009C772A">
        <w:t xml:space="preserve"> are</w:t>
      </w:r>
      <w:r w:rsidR="007E2993" w:rsidRPr="009C772A">
        <w:t xml:space="preserve"> based on probabilistic approach</w:t>
      </w:r>
      <w:r w:rsidRPr="009C772A">
        <w:t xml:space="preserve">es and are devoted </w:t>
      </w:r>
      <w:r w:rsidR="00E1486D" w:rsidRPr="009C772A">
        <w:t xml:space="preserve">to </w:t>
      </w:r>
      <w:r w:rsidRPr="009C772A">
        <w:t>estimating the probability of occurrence of Na-Tech incidents</w:t>
      </w:r>
      <w:r w:rsidR="00E1486D" w:rsidRPr="009C772A">
        <w:t>, which also account</w:t>
      </w:r>
      <w:r w:rsidRPr="009C772A">
        <w:t xml:space="preserve"> for </w:t>
      </w:r>
      <w:r w:rsidR="00E1486D" w:rsidRPr="009C772A">
        <w:t>releasing</w:t>
      </w:r>
      <w:r w:rsidR="007E2993" w:rsidRPr="009C772A">
        <w:t xml:space="preserve"> hazardous substances (Marino et al.,2019)</w:t>
      </w:r>
      <w:r w:rsidR="00CB740B" w:rsidRPr="009C772A">
        <w:t>.</w:t>
      </w:r>
    </w:p>
    <w:p w14:paraId="36EC22FB" w14:textId="43764465" w:rsidR="003F62B0" w:rsidRPr="009C772A" w:rsidRDefault="009218DD" w:rsidP="00E1486D">
      <w:pPr>
        <w:pStyle w:val="CETheadingx"/>
        <w:rPr>
          <w:b w:val="0"/>
          <w:bCs/>
          <w:lang w:val="en-GB"/>
        </w:rPr>
      </w:pPr>
      <w:r w:rsidRPr="009C772A">
        <w:rPr>
          <w:b w:val="0"/>
          <w:bCs/>
          <w:lang w:val="en-GB"/>
        </w:rPr>
        <w:t xml:space="preserve">In risk analysis, the development of accurate fragility functions for all the components </w:t>
      </w:r>
      <w:r w:rsidR="00E1486D" w:rsidRPr="009C772A">
        <w:rPr>
          <w:b w:val="0"/>
          <w:bCs/>
          <w:lang w:val="en-GB"/>
        </w:rPr>
        <w:t xml:space="preserve">characterising </w:t>
      </w:r>
      <w:r w:rsidRPr="009C772A">
        <w:rPr>
          <w:b w:val="0"/>
          <w:bCs/>
          <w:lang w:val="en-GB"/>
        </w:rPr>
        <w:t xml:space="preserve">an industrial plant is of paramount importance. A fragility function specifies the probability of achievement of a defined limit state as a function of an intensity measure, IM. The parameter IM is often quantified by </w:t>
      </w:r>
      <w:r w:rsidR="00D00A0F" w:rsidRPr="009C772A">
        <w:rPr>
          <w:b w:val="0"/>
          <w:bCs/>
          <w:lang w:val="en-GB"/>
        </w:rPr>
        <w:t xml:space="preserve">a </w:t>
      </w:r>
      <w:r w:rsidRPr="009C772A">
        <w:rPr>
          <w:b w:val="0"/>
          <w:bCs/>
          <w:lang w:val="en-GB"/>
        </w:rPr>
        <w:t>peak ground acceleration</w:t>
      </w:r>
      <w:r w:rsidR="00D00A0F" w:rsidRPr="009C772A">
        <w:rPr>
          <w:b w:val="0"/>
          <w:bCs/>
          <w:lang w:val="en-GB"/>
        </w:rPr>
        <w:t xml:space="preserve"> or a</w:t>
      </w:r>
      <w:r w:rsidRPr="009C772A">
        <w:rPr>
          <w:b w:val="0"/>
          <w:bCs/>
          <w:lang w:val="en-GB"/>
        </w:rPr>
        <w:t xml:space="preserve"> spectral acceleration with a specified period and damping if the fragility function is referred to a structure or </w:t>
      </w:r>
      <w:r w:rsidR="00D00A0F" w:rsidRPr="009C772A">
        <w:rPr>
          <w:b w:val="0"/>
          <w:bCs/>
          <w:lang w:val="en-GB"/>
        </w:rPr>
        <w:t xml:space="preserve">a </w:t>
      </w:r>
      <w:r w:rsidRPr="009C772A">
        <w:rPr>
          <w:b w:val="0"/>
          <w:bCs/>
          <w:lang w:val="en-GB"/>
        </w:rPr>
        <w:t xml:space="preserve">tank, while </w:t>
      </w:r>
      <w:r w:rsidR="00D00A0F" w:rsidRPr="009C772A">
        <w:rPr>
          <w:b w:val="0"/>
          <w:bCs/>
          <w:lang w:val="en-GB"/>
        </w:rPr>
        <w:t xml:space="preserve">it </w:t>
      </w:r>
      <w:r w:rsidRPr="009C772A">
        <w:rPr>
          <w:b w:val="0"/>
          <w:bCs/>
          <w:lang w:val="en-GB"/>
        </w:rPr>
        <w:t xml:space="preserve">can be associated </w:t>
      </w:r>
      <w:r w:rsidR="00FD20AA" w:rsidRPr="009C772A">
        <w:rPr>
          <w:b w:val="0"/>
          <w:bCs/>
          <w:lang w:val="en-GB"/>
        </w:rPr>
        <w:t xml:space="preserve">with </w:t>
      </w:r>
      <w:r w:rsidRPr="009C772A">
        <w:rPr>
          <w:b w:val="0"/>
          <w:bCs/>
          <w:lang w:val="en-GB"/>
        </w:rPr>
        <w:t>a peak floor acceleration o</w:t>
      </w:r>
      <w:r w:rsidR="00D00A0F" w:rsidRPr="009C772A">
        <w:rPr>
          <w:b w:val="0"/>
          <w:bCs/>
          <w:lang w:val="en-GB"/>
        </w:rPr>
        <w:t xml:space="preserve">r </w:t>
      </w:r>
      <w:r w:rsidR="00FD20AA" w:rsidRPr="009C772A">
        <w:rPr>
          <w:b w:val="0"/>
          <w:bCs/>
          <w:lang w:val="en-GB"/>
        </w:rPr>
        <w:t xml:space="preserve">with </w:t>
      </w:r>
      <w:r w:rsidR="00D00A0F" w:rsidRPr="009C772A">
        <w:rPr>
          <w:b w:val="0"/>
          <w:bCs/>
          <w:lang w:val="en-GB"/>
        </w:rPr>
        <w:t>a</w:t>
      </w:r>
      <w:r w:rsidRPr="009C772A">
        <w:rPr>
          <w:b w:val="0"/>
          <w:bCs/>
          <w:lang w:val="en-GB"/>
        </w:rPr>
        <w:t xml:space="preserve"> floor spectral acceleration in the case of suspended elements, such as piping networks</w:t>
      </w:r>
      <w:r w:rsidR="007E2993" w:rsidRPr="009C772A">
        <w:rPr>
          <w:b w:val="0"/>
          <w:bCs/>
          <w:lang w:val="en-GB"/>
        </w:rPr>
        <w:t xml:space="preserve">. </w:t>
      </w:r>
      <w:r w:rsidR="00184E0C" w:rsidRPr="009C772A">
        <w:rPr>
          <w:b w:val="0"/>
          <w:bCs/>
          <w:lang w:val="en-GB"/>
        </w:rPr>
        <w:t>A key issue in develop</w:t>
      </w:r>
      <w:r w:rsidR="00FD20AA" w:rsidRPr="009C772A">
        <w:rPr>
          <w:b w:val="0"/>
          <w:bCs/>
          <w:lang w:val="en-GB"/>
        </w:rPr>
        <w:t>ing</w:t>
      </w:r>
      <w:r w:rsidR="00184E0C" w:rsidRPr="009C772A">
        <w:rPr>
          <w:b w:val="0"/>
          <w:bCs/>
          <w:lang w:val="en-GB"/>
        </w:rPr>
        <w:t xml:space="preserve"> the fragility functions of industrial plant components concerns the identification of the correct engineering demand parameters and their threshold for each considered limit state. To deal with this issue, in this paper</w:t>
      </w:r>
      <w:r w:rsidR="00E1486D" w:rsidRPr="009C772A">
        <w:rPr>
          <w:b w:val="0"/>
          <w:bCs/>
          <w:lang w:val="en-GB"/>
        </w:rPr>
        <w:t xml:space="preserve">, the typical damages to which </w:t>
      </w:r>
      <w:r w:rsidR="00E1486D" w:rsidRPr="009C772A">
        <w:rPr>
          <w:b w:val="0"/>
          <w:bCs/>
          <w:lang w:val="en-GB"/>
        </w:rPr>
        <w:lastRenderedPageBreak/>
        <w:t>pipelines are prone are described by</w:t>
      </w:r>
      <w:r w:rsidR="00184E0C" w:rsidRPr="009C772A">
        <w:rPr>
          <w:b w:val="0"/>
          <w:bCs/>
          <w:lang w:val="en-GB"/>
        </w:rPr>
        <w:t xml:space="preserve"> </w:t>
      </w:r>
      <w:r w:rsidR="00E1486D" w:rsidRPr="009C772A">
        <w:rPr>
          <w:b w:val="0"/>
          <w:bCs/>
          <w:lang w:val="en-GB"/>
        </w:rPr>
        <w:t xml:space="preserve">analysing </w:t>
      </w:r>
      <w:r w:rsidR="00184E0C" w:rsidRPr="009C772A">
        <w:rPr>
          <w:b w:val="0"/>
          <w:bCs/>
          <w:lang w:val="en-GB"/>
        </w:rPr>
        <w:t xml:space="preserve">different pipe-to-tank connections; at the same time, a methodology for </w:t>
      </w:r>
      <w:r w:rsidR="00E1486D" w:rsidRPr="009C772A">
        <w:rPr>
          <w:b w:val="0"/>
          <w:bCs/>
          <w:lang w:val="en-GB"/>
        </w:rPr>
        <w:t>developing</w:t>
      </w:r>
      <w:r w:rsidR="00184E0C" w:rsidRPr="009C772A">
        <w:rPr>
          <w:b w:val="0"/>
          <w:bCs/>
          <w:lang w:val="en-GB"/>
        </w:rPr>
        <w:t xml:space="preserve"> specific fragility functions for pipe connections in industrial plant</w:t>
      </w:r>
      <w:r w:rsidR="00FD20AA" w:rsidRPr="009C772A">
        <w:rPr>
          <w:b w:val="0"/>
          <w:bCs/>
          <w:lang w:val="en-GB"/>
        </w:rPr>
        <w:t>s</w:t>
      </w:r>
      <w:r w:rsidR="00184E0C" w:rsidRPr="009C772A">
        <w:rPr>
          <w:b w:val="0"/>
          <w:bCs/>
          <w:lang w:val="en-GB"/>
        </w:rPr>
        <w:t xml:space="preserve"> is described. </w:t>
      </w:r>
    </w:p>
    <w:p w14:paraId="7F2A8A49" w14:textId="1B213D18" w:rsidR="00532B9A" w:rsidRPr="009C772A" w:rsidRDefault="003F62B0" w:rsidP="00E1486D">
      <w:pPr>
        <w:pStyle w:val="CETheadingx"/>
        <w:rPr>
          <w:lang w:val="en-GB"/>
        </w:rPr>
      </w:pPr>
      <w:r w:rsidRPr="009C772A">
        <w:rPr>
          <w:lang w:val="en-GB"/>
        </w:rPr>
        <w:t xml:space="preserve">1.1 </w:t>
      </w:r>
      <w:r w:rsidR="00532B9A" w:rsidRPr="009C772A">
        <w:rPr>
          <w:lang w:val="en-GB"/>
        </w:rPr>
        <w:t>Typical seismic damage</w:t>
      </w:r>
      <w:r w:rsidR="00FD20AA" w:rsidRPr="009C772A">
        <w:rPr>
          <w:lang w:val="en-GB"/>
        </w:rPr>
        <w:t>s</w:t>
      </w:r>
    </w:p>
    <w:p w14:paraId="2340C543" w14:textId="6BEA3ECE" w:rsidR="00790C65" w:rsidRDefault="000C4D69" w:rsidP="000C4D69">
      <w:bookmarkStart w:id="1" w:name="_Hlk92869254"/>
      <w:r w:rsidRPr="009C772A">
        <w:t>A typical industrial plant consists of storage tanks, process equipment, piping systems and flares (</w:t>
      </w:r>
      <w:proofErr w:type="spellStart"/>
      <w:r w:rsidRPr="009C772A">
        <w:t>Paolacci</w:t>
      </w:r>
      <w:proofErr w:type="spellEnd"/>
      <w:r w:rsidRPr="009C772A">
        <w:t xml:space="preserve"> et al.,2012). Each of these components could be damaged by earthquake triggering a domino effect with consequent interruption of plant serviceability, release of toxic containment, structural collapses, environmental damage and loss of human life. </w:t>
      </w:r>
      <w:r w:rsidR="00985998" w:rsidRPr="009C772A">
        <w:t>The analysis of d</w:t>
      </w:r>
      <w:r w:rsidRPr="009C772A">
        <w:t xml:space="preserve">amages observed in industrial plants during past earthquakes, </w:t>
      </w:r>
      <w:r w:rsidR="00985998" w:rsidRPr="009C772A">
        <w:t>allow</w:t>
      </w:r>
      <w:r w:rsidR="002E3211" w:rsidRPr="009C772A">
        <w:t>s</w:t>
      </w:r>
      <w:r w:rsidR="00985998" w:rsidRPr="009C772A">
        <w:t xml:space="preserve"> to identify the more critical features</w:t>
      </w:r>
      <w:r w:rsidR="002E3211" w:rsidRPr="009C772A">
        <w:t xml:space="preserve"> in industrial plants and it can guide in the development of mitigation detailing</w:t>
      </w:r>
      <w:r w:rsidRPr="009C772A">
        <w:t>.</w:t>
      </w:r>
      <w:r w:rsidR="002E3211" w:rsidRPr="009C772A">
        <w:t xml:space="preserve"> </w:t>
      </w:r>
      <w:proofErr w:type="gramStart"/>
      <w:r w:rsidR="002E3211" w:rsidRPr="009C772A">
        <w:t>In order to</w:t>
      </w:r>
      <w:proofErr w:type="gramEnd"/>
      <w:r w:rsidR="002E3211" w:rsidRPr="009C772A">
        <w:t xml:space="preserve"> define a macro-classification of the damage</w:t>
      </w:r>
      <w:r w:rsidR="00FD20AA" w:rsidRPr="009C772A">
        <w:t>s</w:t>
      </w:r>
      <w:r w:rsidR="002E3211" w:rsidRPr="009C772A">
        <w:t xml:space="preserve"> </w:t>
      </w:r>
      <w:r w:rsidR="00FD20AA" w:rsidRPr="009C772A">
        <w:t xml:space="preserve">to </w:t>
      </w:r>
      <w:r w:rsidR="002E3211" w:rsidRPr="009C772A">
        <w:t xml:space="preserve">which industrial plants are prone, it is possible to identify three main categories: damage to supporting structures, tanks and pipelines. The damage to supporting structures </w:t>
      </w:r>
      <w:r w:rsidR="00FD20AA" w:rsidRPr="009C772A">
        <w:t xml:space="preserve">is </w:t>
      </w:r>
      <w:r w:rsidR="002E3211" w:rsidRPr="009C772A">
        <w:t xml:space="preserve">mainly related to the structural typology (steel or concrete structures) and </w:t>
      </w:r>
      <w:r w:rsidR="00FD20AA" w:rsidRPr="009C772A">
        <w:t>it</w:t>
      </w:r>
      <w:r w:rsidR="002E3211" w:rsidRPr="009C772A">
        <w:t xml:space="preserve"> </w:t>
      </w:r>
      <w:r w:rsidR="003F62B0" w:rsidRPr="009C772A">
        <w:t>depend</w:t>
      </w:r>
      <w:r w:rsidR="00FD20AA" w:rsidRPr="009C772A">
        <w:t>s</w:t>
      </w:r>
      <w:r w:rsidR="002E3211" w:rsidRPr="009C772A">
        <w:t xml:space="preserve"> on the adopted construction criteria.</w:t>
      </w:r>
      <w:r w:rsidRPr="009C772A">
        <w:t xml:space="preserve"> </w:t>
      </w:r>
      <w:r w:rsidR="002E3211" w:rsidRPr="009C772A">
        <w:t xml:space="preserve">Concerning storage tanks, </w:t>
      </w:r>
      <w:r w:rsidR="00C85667" w:rsidRPr="009C772A">
        <w:t>typical damage</w:t>
      </w:r>
      <w:r w:rsidR="00FD20AA" w:rsidRPr="009C772A">
        <w:t>s</w:t>
      </w:r>
      <w:r w:rsidR="00C85667" w:rsidRPr="009C772A">
        <w:t xml:space="preserve"> are the “</w:t>
      </w:r>
      <w:r w:rsidRPr="009C772A">
        <w:t>elephant’s foot</w:t>
      </w:r>
      <w:r w:rsidR="00C85667" w:rsidRPr="009C772A">
        <w:t>”</w:t>
      </w:r>
      <w:r w:rsidRPr="009C772A">
        <w:t xml:space="preserve"> buckling, </w:t>
      </w:r>
      <w:r w:rsidR="00C85667" w:rsidRPr="009C772A">
        <w:t>the “</w:t>
      </w:r>
      <w:r w:rsidRPr="009C772A">
        <w:t>diamond buckling</w:t>
      </w:r>
      <w:r w:rsidR="00C85667" w:rsidRPr="009C772A">
        <w:t>”</w:t>
      </w:r>
      <w:r w:rsidRPr="009C772A">
        <w:t xml:space="preserve"> or the failure of wall-bottom plate joint. If the storage vessel is supported by short columns, </w:t>
      </w:r>
      <w:r w:rsidR="00E1486D" w:rsidRPr="009C772A">
        <w:t xml:space="preserve">it </w:t>
      </w:r>
      <w:r w:rsidRPr="009C772A">
        <w:t>can be affected by shear failure due to seismic loads (Vathi et al</w:t>
      </w:r>
      <w:r w:rsidR="00CD04E2" w:rsidRPr="009C772A">
        <w:t>.</w:t>
      </w:r>
      <w:r w:rsidRPr="009C772A">
        <w:t>, 2017).</w:t>
      </w:r>
      <w:r w:rsidR="00C85667" w:rsidRPr="009C772A">
        <w:t xml:space="preserve"> In the case of tanks with floating roof</w:t>
      </w:r>
      <w:r w:rsidR="00FD20AA" w:rsidRPr="009C772A">
        <w:t>s</w:t>
      </w:r>
      <w:r w:rsidR="00C85667" w:rsidRPr="009C772A">
        <w:t xml:space="preserve">, possible damages are due to the fluid-structure interaction (sloshing), </w:t>
      </w:r>
      <w:r w:rsidR="00E1486D" w:rsidRPr="009C772A">
        <w:t xml:space="preserve">which </w:t>
      </w:r>
      <w:r w:rsidR="00C85667" w:rsidRPr="009C772A">
        <w:t xml:space="preserve">can lead to damage or to liquid overtopping. </w:t>
      </w:r>
    </w:p>
    <w:p w14:paraId="3A4447B7" w14:textId="14785468" w:rsidR="000C4D69" w:rsidRPr="009C772A" w:rsidRDefault="00A70B35" w:rsidP="000C4D69">
      <w:pPr>
        <w:rPr>
          <w:rFonts w:ascii="Times New Roman" w:hAnsi="Times New Roman"/>
          <w:sz w:val="24"/>
          <w:szCs w:val="24"/>
        </w:rPr>
      </w:pPr>
      <w:r w:rsidRPr="009C772A">
        <w:t xml:space="preserve">Pipelines, pipe-to-pipe and pipe-to-tank connections are affected by seismic events. Tanks and pipes are </w:t>
      </w:r>
      <w:r w:rsidR="00E1486D" w:rsidRPr="009C772A">
        <w:t xml:space="preserve">characterised </w:t>
      </w:r>
      <w:r w:rsidRPr="009C772A">
        <w:t xml:space="preserve">by </w:t>
      </w:r>
      <w:r w:rsidR="00FD20AA" w:rsidRPr="009C772A">
        <w:t>non</w:t>
      </w:r>
      <w:r w:rsidRPr="009C772A">
        <w:t>-negligible differences in terms of dynamic properties</w:t>
      </w:r>
      <w:r w:rsidR="00FD20AA" w:rsidRPr="009C772A">
        <w:t>,</w:t>
      </w:r>
      <w:r w:rsidRPr="009C772A">
        <w:t xml:space="preserve"> leading to possible relative displacements close to the pipe-to-tank connections </w:t>
      </w:r>
      <w:r w:rsidR="00066195" w:rsidRPr="009C772A">
        <w:t xml:space="preserve">and to the consequent failure of the piping joints (Figure </w:t>
      </w:r>
      <w:r w:rsidR="007630EB" w:rsidRPr="009C772A">
        <w:t>1</w:t>
      </w:r>
      <w:r w:rsidR="00066195" w:rsidRPr="009C772A">
        <w:t xml:space="preserve">b and </w:t>
      </w:r>
      <w:r w:rsidR="007630EB" w:rsidRPr="009C772A">
        <w:t>1</w:t>
      </w:r>
      <w:r w:rsidR="00066195" w:rsidRPr="009C772A">
        <w:t xml:space="preserve">c). </w:t>
      </w:r>
      <w:r w:rsidR="000C4D69" w:rsidRPr="009C772A">
        <w:t xml:space="preserve">Tensional states are also influenced by the position of the pipe connection along the tank wall and by the presence of elbows. Excessive compressive stresses can lead to a pipeline failure due to local buckling </w:t>
      </w:r>
      <w:r w:rsidR="00066195" w:rsidRPr="009C772A">
        <w:t xml:space="preserve">(Figure </w:t>
      </w:r>
      <w:r w:rsidR="007630EB" w:rsidRPr="009C772A">
        <w:t>1</w:t>
      </w:r>
      <w:r w:rsidR="00066195" w:rsidRPr="009C772A">
        <w:t xml:space="preserve">a) </w:t>
      </w:r>
      <w:r w:rsidR="000C4D69" w:rsidRPr="009C772A">
        <w:t xml:space="preserve">or to a punching failure of pipe-to-tank connection. On the other hand, excessive tensile stresses can cause the damage </w:t>
      </w:r>
      <w:r w:rsidR="00FD20AA" w:rsidRPr="009C772A">
        <w:t xml:space="preserve">to </w:t>
      </w:r>
      <w:r w:rsidR="000C4D69" w:rsidRPr="009C772A">
        <w:t>flanged or welded joints connecting two pipes or connecting the pipeline to the tank (Vathi et al</w:t>
      </w:r>
      <w:r w:rsidR="00CD04E2" w:rsidRPr="009C772A">
        <w:t>.</w:t>
      </w:r>
      <w:r w:rsidR="000C4D69" w:rsidRPr="009C772A">
        <w:t>, 2017).</w:t>
      </w:r>
      <w:r w:rsidR="00046F6E" w:rsidRPr="009C772A">
        <w:t xml:space="preserve"> It is worth </w:t>
      </w:r>
      <w:r w:rsidR="00FD20AA" w:rsidRPr="009C772A">
        <w:t>noting</w:t>
      </w:r>
      <w:r w:rsidR="00046F6E" w:rsidRPr="009C772A">
        <w:t xml:space="preserve"> that pipelines are also identified as the main cause of </w:t>
      </w:r>
      <w:r w:rsidR="00FD20AA" w:rsidRPr="009C772A">
        <w:t xml:space="preserve">the </w:t>
      </w:r>
      <w:r w:rsidR="00046F6E" w:rsidRPr="009C772A">
        <w:t>release of hazardous substances following seismic events</w:t>
      </w:r>
      <w:r w:rsidR="00FD20AA" w:rsidRPr="009C772A">
        <w:t xml:space="preserve">; </w:t>
      </w:r>
      <w:r w:rsidR="00046F6E" w:rsidRPr="009C772A">
        <w:t>for this reason</w:t>
      </w:r>
      <w:r w:rsidR="00FD20AA" w:rsidRPr="009C772A">
        <w:t>,</w:t>
      </w:r>
      <w:r w:rsidR="00046F6E" w:rsidRPr="009C772A">
        <w:t xml:space="preserve"> their seismic vulnerability should be accounted for in risk analysis by defining fragility curves</w:t>
      </w:r>
      <w:r w:rsidR="00FD20AA" w:rsidRPr="009C772A">
        <w:t>,</w:t>
      </w:r>
      <w:r w:rsidR="00046F6E" w:rsidRPr="009C772A">
        <w:t xml:space="preserve"> including damage limit states able to account for their seismic performance.</w:t>
      </w:r>
    </w:p>
    <w:p w14:paraId="1F714344" w14:textId="77777777" w:rsidR="000C4D69" w:rsidRPr="009C772A" w:rsidRDefault="000C4D69" w:rsidP="000C4D69">
      <w:pPr>
        <w:rPr>
          <w:rFonts w:ascii="Times New Roman" w:hAnsi="Times New Roman"/>
          <w:sz w:val="24"/>
          <w:szCs w:val="24"/>
        </w:rPr>
      </w:pPr>
    </w:p>
    <w:p w14:paraId="6FAAA745" w14:textId="54DB793C" w:rsidR="000C4D69" w:rsidRPr="009C772A" w:rsidRDefault="000C4D69" w:rsidP="000C4D69">
      <w:pPr>
        <w:rPr>
          <w:rFonts w:ascii="Times New Roman" w:hAnsi="Times New Roman"/>
          <w:sz w:val="24"/>
          <w:szCs w:val="24"/>
        </w:rPr>
      </w:pPr>
      <w:r w:rsidRPr="009C772A">
        <w:t>a)</w:t>
      </w:r>
      <w:r w:rsidRPr="009C772A">
        <w:rPr>
          <w:rFonts w:ascii="Times New Roman" w:hAnsi="Times New Roman"/>
          <w:sz w:val="24"/>
          <w:szCs w:val="24"/>
        </w:rPr>
        <w:t xml:space="preserve"> </w:t>
      </w:r>
      <w:r w:rsidRPr="009C772A">
        <w:rPr>
          <w:rFonts w:ascii="Times New Roman" w:hAnsi="Times New Roman"/>
          <w:noProof/>
          <w:sz w:val="24"/>
          <w:szCs w:val="24"/>
        </w:rPr>
        <w:drawing>
          <wp:inline distT="0" distB="0" distL="0" distR="0" wp14:anchorId="285755C5" wp14:editId="16A9E3B0">
            <wp:extent cx="891430" cy="1200150"/>
            <wp:effectExtent l="0" t="0" r="4445" b="0"/>
            <wp:docPr id="61490964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9460" cy="1224424"/>
                    </a:xfrm>
                    <a:prstGeom prst="rect">
                      <a:avLst/>
                    </a:prstGeom>
                    <a:noFill/>
                    <a:ln>
                      <a:noFill/>
                    </a:ln>
                  </pic:spPr>
                </pic:pic>
              </a:graphicData>
            </a:graphic>
          </wp:inline>
        </w:drawing>
      </w:r>
      <w:r w:rsidRPr="009C772A">
        <w:rPr>
          <w:rFonts w:ascii="Times New Roman" w:hAnsi="Times New Roman"/>
          <w:sz w:val="24"/>
          <w:szCs w:val="24"/>
        </w:rPr>
        <w:t xml:space="preserve"> </w:t>
      </w:r>
      <w:r w:rsidRPr="009C772A">
        <w:t>b)</w:t>
      </w:r>
      <w:r w:rsidRPr="009C772A">
        <w:rPr>
          <w:rFonts w:ascii="Times New Roman" w:hAnsi="Times New Roman"/>
          <w:sz w:val="24"/>
          <w:szCs w:val="24"/>
        </w:rPr>
        <w:t xml:space="preserve"> </w:t>
      </w:r>
      <w:r w:rsidRPr="009C772A">
        <w:t xml:space="preserve"> </w:t>
      </w:r>
      <w:r w:rsidRPr="009C772A">
        <w:rPr>
          <w:noProof/>
        </w:rPr>
        <w:drawing>
          <wp:inline distT="0" distB="0" distL="0" distR="0" wp14:anchorId="52053473" wp14:editId="2C318C33">
            <wp:extent cx="1817433" cy="1209675"/>
            <wp:effectExtent l="0" t="0" r="0" b="0"/>
            <wp:docPr id="9947232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3339" cy="1226918"/>
                    </a:xfrm>
                    <a:prstGeom prst="rect">
                      <a:avLst/>
                    </a:prstGeom>
                    <a:noFill/>
                    <a:ln>
                      <a:noFill/>
                    </a:ln>
                  </pic:spPr>
                </pic:pic>
              </a:graphicData>
            </a:graphic>
          </wp:inline>
        </w:drawing>
      </w:r>
      <w:r w:rsidRPr="009C772A">
        <w:t xml:space="preserve"> c)</w:t>
      </w:r>
      <w:r w:rsidRPr="009C772A">
        <w:rPr>
          <w:rFonts w:ascii="Times New Roman" w:hAnsi="Times New Roman"/>
          <w:noProof/>
          <w:sz w:val="24"/>
          <w:szCs w:val="24"/>
        </w:rPr>
        <w:drawing>
          <wp:inline distT="0" distB="0" distL="0" distR="0" wp14:anchorId="76C68744" wp14:editId="6F49495C">
            <wp:extent cx="1809750" cy="1204770"/>
            <wp:effectExtent l="0" t="0" r="0" b="0"/>
            <wp:docPr id="866145559" name="Immagine 4">
              <a:extLst xmlns:a="http://schemas.openxmlformats.org/drawingml/2006/main">
                <a:ext uri="{FF2B5EF4-FFF2-40B4-BE49-F238E27FC236}">
                  <a16:creationId xmlns:a16="http://schemas.microsoft.com/office/drawing/2014/main" id="{69A6B708-2A1B-44A1-B067-ECA901C025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a:extLst>
                        <a:ext uri="{FF2B5EF4-FFF2-40B4-BE49-F238E27FC236}">
                          <a16:creationId xmlns:a16="http://schemas.microsoft.com/office/drawing/2014/main" id="{69A6B708-2A1B-44A1-B067-ECA901C025CC}"/>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7451" cy="1216554"/>
                    </a:xfrm>
                    <a:prstGeom prst="rect">
                      <a:avLst/>
                    </a:prstGeom>
                    <a:noFill/>
                  </pic:spPr>
                </pic:pic>
              </a:graphicData>
            </a:graphic>
          </wp:inline>
        </w:drawing>
      </w:r>
    </w:p>
    <w:p w14:paraId="00DFE4C0" w14:textId="348828B8" w:rsidR="000C4D69" w:rsidRPr="009C772A" w:rsidRDefault="000C4D69" w:rsidP="000C4D69">
      <w:pPr>
        <w:rPr>
          <w:i/>
        </w:rPr>
      </w:pPr>
      <w:r w:rsidRPr="009C772A">
        <w:rPr>
          <w:i/>
        </w:rPr>
        <w:t xml:space="preserve">Figure 1: a) local buckling in </w:t>
      </w:r>
      <w:r w:rsidR="00E1486D" w:rsidRPr="009C772A">
        <w:rPr>
          <w:i/>
        </w:rPr>
        <w:t xml:space="preserve">a </w:t>
      </w:r>
      <w:r w:rsidRPr="009C772A">
        <w:rPr>
          <w:i/>
        </w:rPr>
        <w:t xml:space="preserve">pipe (Karamanos et al., 2003), b) failure of </w:t>
      </w:r>
      <w:r w:rsidR="00E1486D" w:rsidRPr="009C772A">
        <w:rPr>
          <w:i/>
        </w:rPr>
        <w:t xml:space="preserve">the </w:t>
      </w:r>
      <w:r w:rsidRPr="009C772A">
        <w:rPr>
          <w:i/>
        </w:rPr>
        <w:t xml:space="preserve">tank to pipe connection (Reza </w:t>
      </w:r>
      <w:proofErr w:type="spellStart"/>
      <w:r w:rsidRPr="009C772A">
        <w:rPr>
          <w:i/>
        </w:rPr>
        <w:t>Manshoori</w:t>
      </w:r>
      <w:proofErr w:type="spellEnd"/>
      <w:r w:rsidRPr="009C772A">
        <w:rPr>
          <w:i/>
        </w:rPr>
        <w:t>, 2011), c) damage on a flanged joint (</w:t>
      </w:r>
      <w:proofErr w:type="spellStart"/>
      <w:r w:rsidRPr="009C772A">
        <w:rPr>
          <w:i/>
        </w:rPr>
        <w:t>Paolacci</w:t>
      </w:r>
      <w:proofErr w:type="spellEnd"/>
      <w:r w:rsidRPr="009C772A">
        <w:rPr>
          <w:i/>
        </w:rPr>
        <w:t xml:space="preserve"> et al., 2012)</w:t>
      </w:r>
    </w:p>
    <w:p w14:paraId="3A68FEEA" w14:textId="2FF35EB4" w:rsidR="003F62B0" w:rsidRPr="009C772A" w:rsidRDefault="003F62B0" w:rsidP="003F62B0">
      <w:pPr>
        <w:pStyle w:val="CETHeading1"/>
        <w:rPr>
          <w:lang w:val="en-GB"/>
        </w:rPr>
      </w:pPr>
      <w:r w:rsidRPr="009C772A">
        <w:rPr>
          <w:lang w:val="en-GB"/>
        </w:rPr>
        <w:t xml:space="preserve">Seismic response of </w:t>
      </w:r>
      <w:r w:rsidR="009C7E0B" w:rsidRPr="009C772A">
        <w:rPr>
          <w:lang w:val="en-GB"/>
        </w:rPr>
        <w:t>pipe-to-tank connections</w:t>
      </w:r>
    </w:p>
    <w:p w14:paraId="6908315F" w14:textId="016061BD" w:rsidR="003F62B0" w:rsidRPr="009C772A" w:rsidRDefault="003F62B0" w:rsidP="00E1486D">
      <w:pPr>
        <w:pStyle w:val="CETheadingx"/>
        <w:numPr>
          <w:ilvl w:val="2"/>
          <w:numId w:val="1"/>
        </w:numPr>
        <w:rPr>
          <w:lang w:val="en-GB"/>
        </w:rPr>
      </w:pPr>
      <w:r w:rsidRPr="009C772A">
        <w:rPr>
          <w:lang w:val="en-GB"/>
        </w:rPr>
        <w:t>Case studies and numerical mode</w:t>
      </w:r>
      <w:r w:rsidR="00E1486D" w:rsidRPr="009C772A">
        <w:rPr>
          <w:lang w:val="en-GB"/>
        </w:rPr>
        <w:t>l</w:t>
      </w:r>
      <w:r w:rsidRPr="009C772A">
        <w:rPr>
          <w:lang w:val="en-GB"/>
        </w:rPr>
        <w:t>ling</w:t>
      </w:r>
    </w:p>
    <w:p w14:paraId="7A5AE598" w14:textId="2D2B0A39" w:rsidR="003F62B0" w:rsidRPr="009C772A" w:rsidRDefault="00D4623D" w:rsidP="00542624">
      <w:pPr>
        <w:pStyle w:val="CETheadingx"/>
        <w:spacing w:after="0"/>
        <w:rPr>
          <w:b w:val="0"/>
          <w:bCs/>
          <w:lang w:val="en-GB"/>
        </w:rPr>
      </w:pPr>
      <w:r w:rsidRPr="009C772A">
        <w:rPr>
          <w:b w:val="0"/>
          <w:bCs/>
          <w:lang w:val="en-GB"/>
        </w:rPr>
        <w:t xml:space="preserve">In this </w:t>
      </w:r>
      <w:r w:rsidR="000B07AF" w:rsidRPr="009C772A">
        <w:rPr>
          <w:b w:val="0"/>
          <w:bCs/>
          <w:lang w:val="en-GB"/>
        </w:rPr>
        <w:t xml:space="preserve">preliminary </w:t>
      </w:r>
      <w:r w:rsidRPr="009C772A">
        <w:rPr>
          <w:b w:val="0"/>
          <w:bCs/>
          <w:lang w:val="en-GB"/>
        </w:rPr>
        <w:t>study</w:t>
      </w:r>
      <w:r w:rsidR="00E1486D" w:rsidRPr="009C772A">
        <w:rPr>
          <w:b w:val="0"/>
          <w:bCs/>
          <w:lang w:val="en-GB"/>
        </w:rPr>
        <w:t xml:space="preserve">, a parametric analysis is carried out </w:t>
      </w:r>
      <w:proofErr w:type="gramStart"/>
      <w:r w:rsidR="00E1486D" w:rsidRPr="009C772A">
        <w:rPr>
          <w:b w:val="0"/>
          <w:bCs/>
          <w:lang w:val="en-GB"/>
        </w:rPr>
        <w:t>in order to</w:t>
      </w:r>
      <w:proofErr w:type="gramEnd"/>
      <w:r w:rsidR="00E1486D" w:rsidRPr="009C772A">
        <w:rPr>
          <w:b w:val="0"/>
          <w:bCs/>
          <w:lang w:val="en-GB"/>
        </w:rPr>
        <w:t xml:space="preserve"> investigate the seismic response of pipe-to-tank connections and</w:t>
      </w:r>
      <w:r w:rsidR="00CD7BCA" w:rsidRPr="009C772A">
        <w:rPr>
          <w:b w:val="0"/>
          <w:bCs/>
          <w:lang w:val="en-GB"/>
        </w:rPr>
        <w:t xml:space="preserve"> the pipeline itself</w:t>
      </w:r>
      <w:r w:rsidRPr="009C772A">
        <w:rPr>
          <w:b w:val="0"/>
          <w:bCs/>
          <w:lang w:val="en-GB"/>
        </w:rPr>
        <w:t>. The analy</w:t>
      </w:r>
      <w:r w:rsidR="009D3193" w:rsidRPr="009C772A">
        <w:rPr>
          <w:b w:val="0"/>
          <w:bCs/>
          <w:lang w:val="en-GB"/>
        </w:rPr>
        <w:t>s</w:t>
      </w:r>
      <w:r w:rsidRPr="009C772A">
        <w:rPr>
          <w:b w:val="0"/>
          <w:bCs/>
          <w:lang w:val="en-GB"/>
        </w:rPr>
        <w:t xml:space="preserve">ed parameters are the </w:t>
      </w:r>
      <w:r w:rsidR="009D54AE" w:rsidRPr="009C772A">
        <w:rPr>
          <w:b w:val="0"/>
          <w:bCs/>
          <w:lang w:val="en-GB"/>
        </w:rPr>
        <w:t>path of the pipe</w:t>
      </w:r>
      <w:r w:rsidR="00CD7BCA" w:rsidRPr="009C772A">
        <w:rPr>
          <w:b w:val="0"/>
          <w:bCs/>
          <w:lang w:val="en-GB"/>
        </w:rPr>
        <w:t>line</w:t>
      </w:r>
      <w:r w:rsidR="009D54AE" w:rsidRPr="009C772A">
        <w:rPr>
          <w:b w:val="0"/>
          <w:bCs/>
          <w:lang w:val="en-GB"/>
        </w:rPr>
        <w:t xml:space="preserve"> connecting the tanks and the dynamic response of the tanks, analysed by varying their height and mass. The </w:t>
      </w:r>
      <w:r w:rsidR="00333D66" w:rsidRPr="009C772A">
        <w:rPr>
          <w:b w:val="0"/>
          <w:bCs/>
          <w:lang w:val="en-GB"/>
        </w:rPr>
        <w:t xml:space="preserve">study aims </w:t>
      </w:r>
      <w:r w:rsidR="00E1486D" w:rsidRPr="009C772A">
        <w:rPr>
          <w:b w:val="0"/>
          <w:bCs/>
          <w:lang w:val="en-GB"/>
        </w:rPr>
        <w:t>to identify</w:t>
      </w:r>
      <w:r w:rsidR="009D54AE" w:rsidRPr="009C772A">
        <w:rPr>
          <w:b w:val="0"/>
          <w:bCs/>
          <w:lang w:val="en-GB"/>
        </w:rPr>
        <w:t xml:space="preserve"> the configurations that can lead to an amplification of the relative displacements at which the pipes are prone and to the consequent failure of the pipe-to-tank connections</w:t>
      </w:r>
      <w:r w:rsidR="003F62B0" w:rsidRPr="009C772A">
        <w:rPr>
          <w:b w:val="0"/>
          <w:bCs/>
          <w:lang w:val="en-GB"/>
        </w:rPr>
        <w:t xml:space="preserve">. The tanks are modelled </w:t>
      </w:r>
      <w:r w:rsidR="00FD20AA" w:rsidRPr="009C772A">
        <w:rPr>
          <w:b w:val="0"/>
          <w:bCs/>
          <w:lang w:val="en-GB"/>
        </w:rPr>
        <w:t>by adopting an inverse pendulum modelling approach, assuming a fixed</w:t>
      </w:r>
      <w:r w:rsidR="009D54AE" w:rsidRPr="009C772A">
        <w:rPr>
          <w:b w:val="0"/>
          <w:bCs/>
          <w:lang w:val="en-GB"/>
        </w:rPr>
        <w:t xml:space="preserve"> base connection</w:t>
      </w:r>
      <w:r w:rsidR="003F62B0" w:rsidRPr="009C772A">
        <w:rPr>
          <w:b w:val="0"/>
          <w:bCs/>
          <w:lang w:val="en-GB"/>
        </w:rPr>
        <w:t>.</w:t>
      </w:r>
    </w:p>
    <w:p w14:paraId="4F70E942" w14:textId="21F20BED" w:rsidR="003F62B0" w:rsidRPr="009C772A" w:rsidRDefault="00887B62" w:rsidP="004B5480">
      <w:pPr>
        <w:pStyle w:val="CETheadingx"/>
        <w:spacing w:after="0"/>
        <w:rPr>
          <w:b w:val="0"/>
          <w:bCs/>
          <w:lang w:val="en-GB"/>
        </w:rPr>
      </w:pPr>
      <w:r w:rsidRPr="009C772A">
        <w:rPr>
          <w:b w:val="0"/>
          <w:bCs/>
          <w:lang w:val="en-GB"/>
        </w:rPr>
        <w:t>F</w:t>
      </w:r>
      <w:r w:rsidR="003F62B0" w:rsidRPr="009C772A">
        <w:rPr>
          <w:b w:val="0"/>
          <w:bCs/>
          <w:lang w:val="en-GB"/>
        </w:rPr>
        <w:t xml:space="preserve">our configurations </w:t>
      </w:r>
      <w:r w:rsidRPr="009C772A">
        <w:rPr>
          <w:b w:val="0"/>
          <w:bCs/>
          <w:lang w:val="en-GB"/>
        </w:rPr>
        <w:t>are considered, namely configuration 1.A and 2.A in which two tanks are connected by a pipeline with elbows and configuration</w:t>
      </w:r>
      <w:r w:rsidR="00FD20AA" w:rsidRPr="009C772A">
        <w:rPr>
          <w:b w:val="0"/>
          <w:bCs/>
          <w:lang w:val="en-GB"/>
        </w:rPr>
        <w:t>s</w:t>
      </w:r>
      <w:r w:rsidRPr="009C772A">
        <w:rPr>
          <w:b w:val="0"/>
          <w:bCs/>
          <w:lang w:val="en-GB"/>
        </w:rPr>
        <w:t xml:space="preserve"> 1.B and 2.B in which the two tanks are connected using a linear pipeline</w:t>
      </w:r>
      <w:r w:rsidR="003F62B0" w:rsidRPr="009C772A">
        <w:rPr>
          <w:b w:val="0"/>
          <w:bCs/>
          <w:lang w:val="en-GB"/>
        </w:rPr>
        <w:t xml:space="preserve"> (Figure 2). By varying </w:t>
      </w:r>
      <w:r w:rsidR="009B1C82" w:rsidRPr="009C772A">
        <w:rPr>
          <w:b w:val="0"/>
          <w:bCs/>
          <w:lang w:val="en-GB"/>
        </w:rPr>
        <w:t xml:space="preserve">the </w:t>
      </w:r>
      <w:r w:rsidR="003F62B0" w:rsidRPr="009C772A">
        <w:rPr>
          <w:b w:val="0"/>
          <w:bCs/>
          <w:lang w:val="en-GB"/>
        </w:rPr>
        <w:t>mass</w:t>
      </w:r>
      <w:r w:rsidR="009B1C82" w:rsidRPr="009C772A">
        <w:rPr>
          <w:b w:val="0"/>
          <w:bCs/>
          <w:lang w:val="en-GB"/>
        </w:rPr>
        <w:t xml:space="preserve"> </w:t>
      </w:r>
      <w:r w:rsidR="003F62B0" w:rsidRPr="009C772A">
        <w:rPr>
          <w:b w:val="0"/>
          <w:bCs/>
          <w:lang w:val="en-GB"/>
        </w:rPr>
        <w:t xml:space="preserve">and </w:t>
      </w:r>
      <w:r w:rsidR="009B1C82" w:rsidRPr="009C772A">
        <w:rPr>
          <w:b w:val="0"/>
          <w:bCs/>
          <w:lang w:val="en-GB"/>
        </w:rPr>
        <w:t xml:space="preserve">the </w:t>
      </w:r>
      <w:r w:rsidRPr="009C772A">
        <w:rPr>
          <w:b w:val="0"/>
          <w:bCs/>
          <w:lang w:val="en-GB"/>
        </w:rPr>
        <w:t>height</w:t>
      </w:r>
      <w:r w:rsidR="003F62B0" w:rsidRPr="009C772A">
        <w:rPr>
          <w:b w:val="0"/>
          <w:bCs/>
          <w:lang w:val="en-GB"/>
        </w:rPr>
        <w:t xml:space="preserve"> of </w:t>
      </w:r>
      <w:r w:rsidRPr="009C772A">
        <w:rPr>
          <w:b w:val="0"/>
          <w:bCs/>
          <w:lang w:val="en-GB"/>
        </w:rPr>
        <w:t xml:space="preserve">the </w:t>
      </w:r>
      <w:r w:rsidR="003F62B0" w:rsidRPr="009C772A">
        <w:rPr>
          <w:b w:val="0"/>
          <w:bCs/>
          <w:lang w:val="en-GB"/>
        </w:rPr>
        <w:t xml:space="preserve">tanks, seven </w:t>
      </w:r>
      <w:r w:rsidRPr="009C772A">
        <w:rPr>
          <w:b w:val="0"/>
          <w:bCs/>
          <w:lang w:val="en-GB"/>
        </w:rPr>
        <w:t>case studies are identified</w:t>
      </w:r>
      <w:r w:rsidR="00345C1D" w:rsidRPr="009C772A">
        <w:rPr>
          <w:b w:val="0"/>
          <w:bCs/>
          <w:lang w:val="en-GB"/>
        </w:rPr>
        <w:t xml:space="preserve"> for each configuration previously described</w:t>
      </w:r>
      <w:r w:rsidRPr="009C772A">
        <w:rPr>
          <w:b w:val="0"/>
          <w:bCs/>
          <w:lang w:val="en-GB"/>
        </w:rPr>
        <w:t xml:space="preserve">, as reported in </w:t>
      </w:r>
      <w:r w:rsidR="003F62B0" w:rsidRPr="009C772A">
        <w:rPr>
          <w:b w:val="0"/>
          <w:bCs/>
          <w:lang w:val="en-GB"/>
        </w:rPr>
        <w:t xml:space="preserve">Table 1. </w:t>
      </w:r>
      <w:r w:rsidR="009B1C82" w:rsidRPr="009C772A">
        <w:rPr>
          <w:b w:val="0"/>
          <w:bCs/>
          <w:lang w:val="en-GB"/>
        </w:rPr>
        <w:t xml:space="preserve">In the </w:t>
      </w:r>
      <w:r w:rsidR="00FD20AA" w:rsidRPr="009C772A">
        <w:rPr>
          <w:b w:val="0"/>
          <w:bCs/>
          <w:lang w:val="en-GB"/>
        </w:rPr>
        <w:t xml:space="preserve">evaluation </w:t>
      </w:r>
      <w:r w:rsidR="009B1C82" w:rsidRPr="009C772A">
        <w:rPr>
          <w:b w:val="0"/>
          <w:bCs/>
          <w:lang w:val="en-GB"/>
        </w:rPr>
        <w:t>of the mass</w:t>
      </w:r>
      <w:r w:rsidR="00FD20AA" w:rsidRPr="009C772A">
        <w:rPr>
          <w:b w:val="0"/>
          <w:bCs/>
          <w:lang w:val="en-GB"/>
        </w:rPr>
        <w:t>,</w:t>
      </w:r>
      <w:r w:rsidR="009B1C82" w:rsidRPr="009C772A">
        <w:rPr>
          <w:b w:val="0"/>
          <w:bCs/>
          <w:lang w:val="en-GB"/>
        </w:rPr>
        <w:t xml:space="preserve"> it is considered that the tanks </w:t>
      </w:r>
      <w:r w:rsidR="00A46012" w:rsidRPr="009C772A">
        <w:rPr>
          <w:b w:val="0"/>
          <w:bCs/>
          <w:lang w:val="en-GB"/>
        </w:rPr>
        <w:t>are</w:t>
      </w:r>
      <w:r w:rsidR="009B1C82" w:rsidRPr="009C772A">
        <w:rPr>
          <w:b w:val="0"/>
          <w:bCs/>
          <w:lang w:val="en-GB"/>
        </w:rPr>
        <w:t xml:space="preserve"> </w:t>
      </w:r>
      <w:r w:rsidR="00333D66" w:rsidRPr="009C772A">
        <w:rPr>
          <w:b w:val="0"/>
          <w:bCs/>
          <w:lang w:val="en-GB"/>
        </w:rPr>
        <w:t>filled with</w:t>
      </w:r>
      <w:r w:rsidR="009B1C82" w:rsidRPr="009C772A">
        <w:rPr>
          <w:b w:val="0"/>
          <w:bCs/>
          <w:lang w:val="en-GB"/>
        </w:rPr>
        <w:t xml:space="preserve"> a substance </w:t>
      </w:r>
      <w:r w:rsidR="00E1486D" w:rsidRPr="009C772A">
        <w:rPr>
          <w:b w:val="0"/>
          <w:bCs/>
          <w:lang w:val="en-GB"/>
        </w:rPr>
        <w:t xml:space="preserve">characterised </w:t>
      </w:r>
      <w:r w:rsidR="00333D66" w:rsidRPr="009C772A">
        <w:rPr>
          <w:b w:val="0"/>
          <w:bCs/>
          <w:lang w:val="en-GB"/>
        </w:rPr>
        <w:t xml:space="preserve">by </w:t>
      </w:r>
      <w:r w:rsidR="009B1C82" w:rsidRPr="009C772A">
        <w:rPr>
          <w:b w:val="0"/>
          <w:bCs/>
          <w:lang w:val="en-GB"/>
        </w:rPr>
        <w:t xml:space="preserve">a density equal to 10 </w:t>
      </w:r>
      <w:proofErr w:type="spellStart"/>
      <w:r w:rsidR="009B1C82" w:rsidRPr="009C772A">
        <w:rPr>
          <w:b w:val="0"/>
          <w:bCs/>
          <w:lang w:val="en-GB"/>
        </w:rPr>
        <w:t>kN</w:t>
      </w:r>
      <w:proofErr w:type="spellEnd"/>
      <w:r w:rsidR="009B1C82" w:rsidRPr="009C772A">
        <w:rPr>
          <w:b w:val="0"/>
          <w:bCs/>
          <w:lang w:val="en-GB"/>
        </w:rPr>
        <w:t>/m</w:t>
      </w:r>
      <w:r w:rsidR="009B1C82" w:rsidRPr="009C772A">
        <w:rPr>
          <w:b w:val="0"/>
          <w:bCs/>
          <w:vertAlign w:val="superscript"/>
          <w:lang w:val="en-GB"/>
        </w:rPr>
        <w:t>3</w:t>
      </w:r>
      <w:r w:rsidR="009B1C82" w:rsidRPr="009C772A">
        <w:rPr>
          <w:b w:val="0"/>
          <w:bCs/>
          <w:lang w:val="en-GB"/>
        </w:rPr>
        <w:t xml:space="preserve">. </w:t>
      </w:r>
      <w:r w:rsidR="00A41141">
        <w:rPr>
          <w:b w:val="0"/>
          <w:bCs/>
          <w:lang w:val="en-GB"/>
        </w:rPr>
        <w:t>P</w:t>
      </w:r>
      <w:r w:rsidR="009B1C82" w:rsidRPr="009C772A">
        <w:rPr>
          <w:b w:val="0"/>
          <w:bCs/>
          <w:lang w:val="en-GB"/>
        </w:rPr>
        <w:t>ipe and tank material</w:t>
      </w:r>
      <w:r w:rsidR="00365FF3">
        <w:rPr>
          <w:b w:val="0"/>
          <w:bCs/>
          <w:lang w:val="en-GB"/>
        </w:rPr>
        <w:t xml:space="preserve"> is characterized by </w:t>
      </w:r>
      <w:proofErr w:type="spellStart"/>
      <w:r w:rsidR="00365FF3" w:rsidRPr="000A642F">
        <w:rPr>
          <w:b w:val="0"/>
          <w:bCs/>
          <w:lang w:val="en-GB"/>
        </w:rPr>
        <w:t>σ</w:t>
      </w:r>
      <w:r w:rsidR="00365FF3" w:rsidRPr="000A642F">
        <w:rPr>
          <w:b w:val="0"/>
          <w:bCs/>
          <w:vertAlign w:val="subscript"/>
          <w:lang w:val="en-GB"/>
        </w:rPr>
        <w:t>y</w:t>
      </w:r>
      <w:proofErr w:type="spellEnd"/>
      <w:r w:rsidR="00365FF3">
        <w:rPr>
          <w:b w:val="0"/>
          <w:bCs/>
          <w:vertAlign w:val="subscript"/>
          <w:lang w:val="en-GB"/>
        </w:rPr>
        <w:t xml:space="preserve"> </w:t>
      </w:r>
      <w:r w:rsidR="00365FF3">
        <w:rPr>
          <w:b w:val="0"/>
          <w:bCs/>
          <w:lang w:val="en-GB"/>
        </w:rPr>
        <w:t xml:space="preserve">= 460 </w:t>
      </w:r>
      <w:proofErr w:type="spellStart"/>
      <w:r w:rsidR="00365FF3">
        <w:rPr>
          <w:b w:val="0"/>
          <w:bCs/>
          <w:lang w:val="en-GB"/>
        </w:rPr>
        <w:t>Mpa</w:t>
      </w:r>
      <w:proofErr w:type="spellEnd"/>
      <w:r w:rsidR="00365FF3">
        <w:rPr>
          <w:b w:val="0"/>
          <w:bCs/>
          <w:lang w:val="en-GB"/>
        </w:rPr>
        <w:t xml:space="preserve">, </w:t>
      </w:r>
      <w:r w:rsidR="00365FF3">
        <w:rPr>
          <w:rFonts w:ascii="Calibri" w:hAnsi="Calibri" w:cs="Calibri"/>
          <w:b w:val="0"/>
          <w:bCs/>
          <w:lang w:val="en-GB"/>
        </w:rPr>
        <w:t>ρ</w:t>
      </w:r>
      <w:r w:rsidR="00365FF3">
        <w:rPr>
          <w:b w:val="0"/>
          <w:bCs/>
          <w:lang w:val="en-GB"/>
        </w:rPr>
        <w:t xml:space="preserve"> = 0.07698 N/cm</w:t>
      </w:r>
      <w:r w:rsidR="00365FF3" w:rsidRPr="000A642F">
        <w:rPr>
          <w:b w:val="0"/>
          <w:bCs/>
          <w:vertAlign w:val="superscript"/>
          <w:lang w:val="en-GB"/>
        </w:rPr>
        <w:t>3</w:t>
      </w:r>
      <w:r w:rsidR="00A41141">
        <w:rPr>
          <w:b w:val="0"/>
          <w:bCs/>
          <w:lang w:val="en-GB"/>
        </w:rPr>
        <w:t xml:space="preserve">, </w:t>
      </w:r>
      <w:r w:rsidR="00A41141">
        <w:rPr>
          <w:rFonts w:ascii="Calibri" w:hAnsi="Calibri" w:cs="Calibri"/>
          <w:b w:val="0"/>
          <w:bCs/>
          <w:lang w:val="en-GB"/>
        </w:rPr>
        <w:t>ν</w:t>
      </w:r>
      <w:r w:rsidR="00A41141">
        <w:rPr>
          <w:b w:val="0"/>
          <w:bCs/>
          <w:lang w:val="en-GB"/>
        </w:rPr>
        <w:t xml:space="preserve"> = 0.3, </w:t>
      </w:r>
      <w:r w:rsidR="00A41141">
        <w:rPr>
          <w:rFonts w:ascii="Calibri" w:hAnsi="Calibri" w:cs="Calibri"/>
          <w:b w:val="0"/>
          <w:bCs/>
          <w:lang w:val="en-GB"/>
        </w:rPr>
        <w:t>Δ</w:t>
      </w:r>
      <w:r w:rsidR="00A41141">
        <w:rPr>
          <w:b w:val="0"/>
          <w:bCs/>
          <w:lang w:val="en-GB"/>
        </w:rPr>
        <w:t>T = 6.6667e</w:t>
      </w:r>
      <w:r w:rsidR="00A41141" w:rsidRPr="000A642F">
        <w:rPr>
          <w:b w:val="0"/>
          <w:bCs/>
          <w:vertAlign w:val="superscript"/>
          <w:lang w:val="en-GB"/>
        </w:rPr>
        <w:t>-6</w:t>
      </w:r>
      <w:r w:rsidR="00A41141">
        <w:rPr>
          <w:b w:val="0"/>
          <w:bCs/>
          <w:lang w:val="en-GB"/>
        </w:rPr>
        <w:t xml:space="preserve"> 1/F, </w:t>
      </w:r>
      <w:r w:rsidR="00A41141">
        <w:rPr>
          <w:rFonts w:ascii="Calibri" w:hAnsi="Calibri" w:cs="Calibri"/>
          <w:b w:val="0"/>
          <w:bCs/>
          <w:lang w:val="en-GB"/>
        </w:rPr>
        <w:t>ζ</w:t>
      </w:r>
      <w:r w:rsidR="00A41141">
        <w:rPr>
          <w:b w:val="0"/>
          <w:bCs/>
          <w:lang w:val="en-GB"/>
        </w:rPr>
        <w:t xml:space="preserve"> = 0.02 and E = 2.1e</w:t>
      </w:r>
      <w:r w:rsidR="00A41141" w:rsidRPr="000A642F">
        <w:rPr>
          <w:b w:val="0"/>
          <w:bCs/>
          <w:vertAlign w:val="superscript"/>
          <w:lang w:val="en-GB"/>
        </w:rPr>
        <w:t>+7</w:t>
      </w:r>
      <w:r w:rsidR="00A41141">
        <w:rPr>
          <w:b w:val="0"/>
          <w:bCs/>
          <w:lang w:val="en-GB"/>
        </w:rPr>
        <w:t xml:space="preserve"> N/cm</w:t>
      </w:r>
      <w:r w:rsidR="00A41141" w:rsidRPr="000A642F">
        <w:rPr>
          <w:b w:val="0"/>
          <w:bCs/>
          <w:vertAlign w:val="superscript"/>
          <w:lang w:val="en-GB"/>
        </w:rPr>
        <w:t>2</w:t>
      </w:r>
      <w:r w:rsidR="00A41141">
        <w:rPr>
          <w:b w:val="0"/>
          <w:bCs/>
          <w:lang w:val="en-GB"/>
        </w:rPr>
        <w:t>.</w:t>
      </w:r>
      <w:r w:rsidR="009B1C82" w:rsidRPr="009C772A">
        <w:rPr>
          <w:b w:val="0"/>
          <w:bCs/>
          <w:lang w:val="en-GB"/>
        </w:rPr>
        <w:t xml:space="preserve"> </w:t>
      </w:r>
      <w:r w:rsidR="000A642F">
        <w:rPr>
          <w:b w:val="0"/>
          <w:bCs/>
          <w:lang w:val="en-GB"/>
        </w:rPr>
        <w:t>T</w:t>
      </w:r>
      <w:r w:rsidR="009B1C82" w:rsidRPr="009C772A">
        <w:rPr>
          <w:b w:val="0"/>
          <w:bCs/>
          <w:lang w:val="en-GB"/>
        </w:rPr>
        <w:t xml:space="preserve">able </w:t>
      </w:r>
      <w:r w:rsidR="000A642F">
        <w:rPr>
          <w:b w:val="0"/>
          <w:bCs/>
          <w:lang w:val="en-GB"/>
        </w:rPr>
        <w:t>2</w:t>
      </w:r>
      <w:r w:rsidR="009B1C82" w:rsidRPr="009C772A">
        <w:rPr>
          <w:b w:val="0"/>
          <w:bCs/>
          <w:lang w:val="en-GB"/>
        </w:rPr>
        <w:t xml:space="preserve"> report</w:t>
      </w:r>
      <w:r w:rsidR="00FD20AA" w:rsidRPr="009C772A">
        <w:rPr>
          <w:b w:val="0"/>
          <w:bCs/>
          <w:lang w:val="en-GB"/>
        </w:rPr>
        <w:t>s</w:t>
      </w:r>
      <w:r w:rsidR="009B1C82" w:rsidRPr="009C772A">
        <w:rPr>
          <w:b w:val="0"/>
          <w:bCs/>
          <w:lang w:val="en-GB"/>
        </w:rPr>
        <w:t xml:space="preserve"> the </w:t>
      </w:r>
      <w:r w:rsidR="000A642F">
        <w:rPr>
          <w:b w:val="0"/>
          <w:bCs/>
          <w:lang w:val="en-GB"/>
        </w:rPr>
        <w:t xml:space="preserve">geometrical </w:t>
      </w:r>
      <w:r w:rsidR="003F62B0" w:rsidRPr="009C772A">
        <w:rPr>
          <w:b w:val="0"/>
          <w:bCs/>
          <w:lang w:val="en-GB"/>
        </w:rPr>
        <w:t xml:space="preserve">properties of </w:t>
      </w:r>
      <w:r w:rsidR="009B1C82" w:rsidRPr="009C772A">
        <w:rPr>
          <w:b w:val="0"/>
          <w:bCs/>
          <w:lang w:val="en-GB"/>
        </w:rPr>
        <w:t xml:space="preserve">the adopted pipelines </w:t>
      </w:r>
      <w:r w:rsidR="003F62B0" w:rsidRPr="009C772A">
        <w:rPr>
          <w:b w:val="0"/>
          <w:bCs/>
          <w:lang w:val="en-GB"/>
        </w:rPr>
        <w:t>(linear or with elbows)</w:t>
      </w:r>
      <w:r w:rsidR="009B1C82" w:rsidRPr="009C772A">
        <w:rPr>
          <w:b w:val="0"/>
          <w:bCs/>
          <w:lang w:val="en-GB"/>
        </w:rPr>
        <w:t>.</w:t>
      </w:r>
      <w:r w:rsidR="003F62B0" w:rsidRPr="009C772A">
        <w:rPr>
          <w:b w:val="0"/>
          <w:bCs/>
          <w:lang w:val="en-GB"/>
        </w:rPr>
        <w:t xml:space="preserve"> </w:t>
      </w:r>
      <w:proofErr w:type="gramStart"/>
      <w:r w:rsidR="003F62B0" w:rsidRPr="009C772A">
        <w:rPr>
          <w:b w:val="0"/>
          <w:bCs/>
          <w:lang w:val="en-GB"/>
        </w:rPr>
        <w:t xml:space="preserve">In </w:t>
      </w:r>
      <w:r w:rsidR="00333D66" w:rsidRPr="009C772A">
        <w:rPr>
          <w:b w:val="0"/>
          <w:bCs/>
          <w:lang w:val="en-GB"/>
        </w:rPr>
        <w:t>particular</w:t>
      </w:r>
      <w:r w:rsidR="003F62B0" w:rsidRPr="009C772A">
        <w:rPr>
          <w:b w:val="0"/>
          <w:bCs/>
          <w:lang w:val="en-GB"/>
        </w:rPr>
        <w:t xml:space="preserve">, </w:t>
      </w:r>
      <w:proofErr w:type="spellStart"/>
      <w:r w:rsidR="003F62B0" w:rsidRPr="009C772A">
        <w:rPr>
          <w:b w:val="0"/>
          <w:bCs/>
          <w:lang w:val="en-GB"/>
        </w:rPr>
        <w:t>D</w:t>
      </w:r>
      <w:r w:rsidR="003F62B0" w:rsidRPr="009C772A">
        <w:rPr>
          <w:b w:val="0"/>
          <w:bCs/>
          <w:vertAlign w:val="subscript"/>
          <w:lang w:val="en-GB"/>
        </w:rPr>
        <w:t>ext</w:t>
      </w:r>
      <w:proofErr w:type="spellEnd"/>
      <w:proofErr w:type="gramEnd"/>
      <w:r w:rsidR="003F62B0" w:rsidRPr="009C772A">
        <w:rPr>
          <w:b w:val="0"/>
          <w:bCs/>
          <w:vertAlign w:val="subscript"/>
          <w:lang w:val="en-GB"/>
        </w:rPr>
        <w:t xml:space="preserve"> </w:t>
      </w:r>
      <w:r w:rsidR="003F62B0" w:rsidRPr="009C772A">
        <w:rPr>
          <w:b w:val="0"/>
          <w:bCs/>
          <w:lang w:val="en-GB"/>
        </w:rPr>
        <w:t>and D</w:t>
      </w:r>
      <w:r w:rsidR="003F62B0" w:rsidRPr="009C772A">
        <w:rPr>
          <w:b w:val="0"/>
          <w:bCs/>
          <w:vertAlign w:val="subscript"/>
          <w:lang w:val="en-GB"/>
        </w:rPr>
        <w:t>int</w:t>
      </w:r>
      <w:r w:rsidR="003F62B0" w:rsidRPr="009C772A">
        <w:rPr>
          <w:b w:val="0"/>
          <w:bCs/>
          <w:lang w:val="en-GB"/>
        </w:rPr>
        <w:t xml:space="preserve"> are</w:t>
      </w:r>
      <w:r w:rsidR="00FD20AA" w:rsidRPr="009C772A">
        <w:rPr>
          <w:b w:val="0"/>
          <w:bCs/>
          <w:lang w:val="en-GB"/>
        </w:rPr>
        <w:t>,</w:t>
      </w:r>
      <w:r w:rsidR="003F62B0" w:rsidRPr="009C772A">
        <w:rPr>
          <w:b w:val="0"/>
          <w:bCs/>
          <w:lang w:val="en-GB"/>
        </w:rPr>
        <w:t xml:space="preserve"> respectively</w:t>
      </w:r>
      <w:r w:rsidR="00FD20AA" w:rsidRPr="009C772A">
        <w:rPr>
          <w:b w:val="0"/>
          <w:bCs/>
          <w:lang w:val="en-GB"/>
        </w:rPr>
        <w:t>,</w:t>
      </w:r>
      <w:r w:rsidR="003F62B0" w:rsidRPr="009C772A">
        <w:rPr>
          <w:b w:val="0"/>
          <w:bCs/>
          <w:lang w:val="en-GB"/>
        </w:rPr>
        <w:t xml:space="preserve"> </w:t>
      </w:r>
      <w:r w:rsidR="009B1C82" w:rsidRPr="009C772A">
        <w:rPr>
          <w:b w:val="0"/>
          <w:bCs/>
          <w:lang w:val="en-GB"/>
        </w:rPr>
        <w:t xml:space="preserve">the </w:t>
      </w:r>
      <w:r w:rsidR="003F62B0" w:rsidRPr="009C772A">
        <w:rPr>
          <w:b w:val="0"/>
          <w:bCs/>
          <w:lang w:val="en-GB"/>
        </w:rPr>
        <w:t xml:space="preserve">outside and inside pipe diameter, </w:t>
      </w:r>
      <w:proofErr w:type="spellStart"/>
      <w:r w:rsidR="003F62B0" w:rsidRPr="009C772A">
        <w:rPr>
          <w:b w:val="0"/>
          <w:bCs/>
          <w:lang w:val="en-GB"/>
        </w:rPr>
        <w:t>R</w:t>
      </w:r>
      <w:r w:rsidR="003F62B0" w:rsidRPr="009C772A">
        <w:rPr>
          <w:b w:val="0"/>
          <w:bCs/>
          <w:vertAlign w:val="subscript"/>
          <w:lang w:val="en-GB"/>
        </w:rPr>
        <w:t>c</w:t>
      </w:r>
      <w:proofErr w:type="spellEnd"/>
      <w:r w:rsidR="003F62B0" w:rsidRPr="009C772A">
        <w:rPr>
          <w:b w:val="0"/>
          <w:bCs/>
          <w:lang w:val="en-GB"/>
        </w:rPr>
        <w:t xml:space="preserve"> is the radius of curvature of the pipe with elbows, </w:t>
      </w:r>
      <w:proofErr w:type="spellStart"/>
      <w:r w:rsidR="003F62B0" w:rsidRPr="009C772A">
        <w:rPr>
          <w:b w:val="0"/>
          <w:bCs/>
          <w:lang w:val="en-GB"/>
        </w:rPr>
        <w:lastRenderedPageBreak/>
        <w:t>t</w:t>
      </w:r>
      <w:r w:rsidR="003F62B0" w:rsidRPr="009C772A">
        <w:rPr>
          <w:b w:val="0"/>
          <w:bCs/>
          <w:vertAlign w:val="subscript"/>
          <w:lang w:val="en-GB"/>
        </w:rPr>
        <w:t>w</w:t>
      </w:r>
      <w:proofErr w:type="spellEnd"/>
      <w:r w:rsidR="003F62B0" w:rsidRPr="009C772A">
        <w:rPr>
          <w:b w:val="0"/>
          <w:bCs/>
          <w:lang w:val="en-GB"/>
        </w:rPr>
        <w:t xml:space="preserve"> is the pipe thickness, l</w:t>
      </w:r>
      <w:r w:rsidR="003F62B0" w:rsidRPr="009C772A">
        <w:rPr>
          <w:b w:val="0"/>
          <w:bCs/>
          <w:vertAlign w:val="subscript"/>
          <w:lang w:val="en-GB"/>
        </w:rPr>
        <w:t>1</w:t>
      </w:r>
      <w:r w:rsidR="003F62B0" w:rsidRPr="009C772A">
        <w:rPr>
          <w:b w:val="0"/>
          <w:bCs/>
          <w:lang w:val="en-GB"/>
        </w:rPr>
        <w:t xml:space="preserve"> and l</w:t>
      </w:r>
      <w:r w:rsidR="003F62B0" w:rsidRPr="009C772A">
        <w:rPr>
          <w:b w:val="0"/>
          <w:bCs/>
          <w:vertAlign w:val="subscript"/>
          <w:lang w:val="en-GB"/>
        </w:rPr>
        <w:t>2</w:t>
      </w:r>
      <w:r w:rsidR="003F62B0" w:rsidRPr="009C772A">
        <w:rPr>
          <w:b w:val="0"/>
          <w:bCs/>
          <w:lang w:val="en-GB"/>
        </w:rPr>
        <w:t xml:space="preserve"> are the lengths of horizontal branches and h is the vertical branch length. The diameter of analy</w:t>
      </w:r>
      <w:r w:rsidR="009D3193" w:rsidRPr="009C772A">
        <w:rPr>
          <w:b w:val="0"/>
          <w:bCs/>
          <w:lang w:val="en-GB"/>
        </w:rPr>
        <w:t>s</w:t>
      </w:r>
      <w:r w:rsidR="003F62B0" w:rsidRPr="009C772A">
        <w:rPr>
          <w:b w:val="0"/>
          <w:bCs/>
          <w:lang w:val="en-GB"/>
        </w:rPr>
        <w:t xml:space="preserve">ed tanks is </w:t>
      </w:r>
      <w:r w:rsidR="009B1C82" w:rsidRPr="009C772A">
        <w:rPr>
          <w:b w:val="0"/>
          <w:bCs/>
          <w:lang w:val="en-GB"/>
        </w:rPr>
        <w:t xml:space="preserve">equal to </w:t>
      </w:r>
      <w:r w:rsidR="003F62B0" w:rsidRPr="009C772A">
        <w:rPr>
          <w:b w:val="0"/>
          <w:bCs/>
          <w:lang w:val="en-GB"/>
        </w:rPr>
        <w:t xml:space="preserve">10 m with </w:t>
      </w:r>
      <w:r w:rsidR="009B1C82" w:rsidRPr="009C772A">
        <w:rPr>
          <w:b w:val="0"/>
          <w:bCs/>
          <w:lang w:val="en-GB"/>
        </w:rPr>
        <w:t xml:space="preserve">a </w:t>
      </w:r>
      <w:r w:rsidR="003F62B0" w:rsidRPr="009C772A">
        <w:rPr>
          <w:b w:val="0"/>
          <w:bCs/>
          <w:lang w:val="en-GB"/>
        </w:rPr>
        <w:t xml:space="preserve">wall thickness </w:t>
      </w:r>
      <w:r w:rsidR="00333D66" w:rsidRPr="009C772A">
        <w:rPr>
          <w:b w:val="0"/>
          <w:bCs/>
          <w:lang w:val="en-GB"/>
        </w:rPr>
        <w:t xml:space="preserve">of </w:t>
      </w:r>
      <w:r w:rsidR="003F62B0" w:rsidRPr="009C772A">
        <w:rPr>
          <w:b w:val="0"/>
          <w:bCs/>
          <w:lang w:val="en-GB"/>
        </w:rPr>
        <w:t xml:space="preserve">4.66 mm. </w:t>
      </w:r>
    </w:p>
    <w:p w14:paraId="39B16271" w14:textId="234E414F" w:rsidR="003F62B0" w:rsidRPr="009C772A" w:rsidRDefault="003C15A4" w:rsidP="009C772A">
      <w:pPr>
        <w:pStyle w:val="CETBodytext"/>
        <w:jc w:val="left"/>
        <w:rPr>
          <w:lang w:val="en-GB"/>
        </w:rPr>
      </w:pPr>
      <w:r>
        <w:rPr>
          <w:noProof/>
          <w:lang w:val="en-GB"/>
        </w:rPr>
        <w:drawing>
          <wp:inline distT="0" distB="0" distL="0" distR="0" wp14:anchorId="42E473DC" wp14:editId="4472174B">
            <wp:extent cx="4647063" cy="2611355"/>
            <wp:effectExtent l="0" t="0" r="1270" b="0"/>
            <wp:docPr id="146955937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9628" b="10933"/>
                    <a:stretch/>
                  </pic:blipFill>
                  <pic:spPr bwMode="auto">
                    <a:xfrm>
                      <a:off x="0" y="0"/>
                      <a:ext cx="4651964" cy="2614109"/>
                    </a:xfrm>
                    <a:prstGeom prst="rect">
                      <a:avLst/>
                    </a:prstGeom>
                    <a:noFill/>
                    <a:ln>
                      <a:noFill/>
                    </a:ln>
                    <a:extLst>
                      <a:ext uri="{53640926-AAD7-44D8-BBD7-CCE9431645EC}">
                        <a14:shadowObscured xmlns:a14="http://schemas.microsoft.com/office/drawing/2010/main"/>
                      </a:ext>
                    </a:extLst>
                  </pic:spPr>
                </pic:pic>
              </a:graphicData>
            </a:graphic>
          </wp:inline>
        </w:drawing>
      </w:r>
    </w:p>
    <w:p w14:paraId="651A5E3E" w14:textId="3F21B732" w:rsidR="003F62B0" w:rsidRPr="009C772A" w:rsidRDefault="003F62B0" w:rsidP="00E622A5">
      <w:pPr>
        <w:pStyle w:val="CETBodytext"/>
        <w:rPr>
          <w:i/>
          <w:lang w:val="en-GB"/>
        </w:rPr>
      </w:pPr>
      <w:r w:rsidRPr="009C772A">
        <w:rPr>
          <w:i/>
          <w:lang w:val="en-GB"/>
        </w:rPr>
        <w:t xml:space="preserve">Figure 2: </w:t>
      </w:r>
      <w:r w:rsidR="00FB4BB5" w:rsidRPr="009C772A">
        <w:rPr>
          <w:i/>
          <w:lang w:val="en-GB"/>
        </w:rPr>
        <w:t>Tanks configurations adopted in the parametric analysis</w:t>
      </w:r>
    </w:p>
    <w:p w14:paraId="724AED95" w14:textId="41DA15E6" w:rsidR="003F62B0" w:rsidRPr="009C772A" w:rsidRDefault="003F62B0" w:rsidP="003F62B0">
      <w:pPr>
        <w:pStyle w:val="CETTabletitle"/>
      </w:pPr>
      <w:r w:rsidRPr="009C772A">
        <w:t xml:space="preserve"> Table 1: </w:t>
      </w:r>
      <w:r w:rsidR="009B1C82" w:rsidRPr="009C772A">
        <w:t>P</w:t>
      </w:r>
      <w:r w:rsidRPr="009C772A">
        <w:t xml:space="preserve">roperties of the analysed tanks                                                      </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40"/>
        <w:gridCol w:w="1737"/>
        <w:gridCol w:w="1276"/>
        <w:gridCol w:w="1559"/>
      </w:tblGrid>
      <w:tr w:rsidR="003F62B0" w:rsidRPr="009C772A" w14:paraId="6C0B8648" w14:textId="77777777" w:rsidTr="00DB1D3E">
        <w:trPr>
          <w:trHeight w:val="199"/>
        </w:trPr>
        <w:tc>
          <w:tcPr>
            <w:tcW w:w="1240" w:type="dxa"/>
            <w:tcBorders>
              <w:top w:val="single" w:sz="12" w:space="0" w:color="008000"/>
              <w:bottom w:val="single" w:sz="6" w:space="0" w:color="008000"/>
            </w:tcBorders>
            <w:shd w:val="clear" w:color="auto" w:fill="FFFFFF"/>
            <w:vAlign w:val="center"/>
          </w:tcPr>
          <w:p w14:paraId="3F895CEC" w14:textId="77777777" w:rsidR="003F62B0" w:rsidRPr="009C772A" w:rsidRDefault="003F62B0" w:rsidP="00E52DBA">
            <w:pPr>
              <w:pStyle w:val="CETBodytext"/>
              <w:jc w:val="center"/>
              <w:rPr>
                <w:lang w:val="en-GB"/>
              </w:rPr>
            </w:pPr>
            <w:r w:rsidRPr="009C772A">
              <w:rPr>
                <w:lang w:val="en-GB"/>
              </w:rPr>
              <w:t>Configuration 1</w:t>
            </w:r>
          </w:p>
        </w:tc>
        <w:tc>
          <w:tcPr>
            <w:tcW w:w="1737" w:type="dxa"/>
            <w:tcBorders>
              <w:top w:val="single" w:sz="12" w:space="0" w:color="008000"/>
              <w:bottom w:val="single" w:sz="6" w:space="0" w:color="008000"/>
            </w:tcBorders>
            <w:shd w:val="clear" w:color="auto" w:fill="FFFFFF"/>
            <w:vAlign w:val="center"/>
          </w:tcPr>
          <w:p w14:paraId="13BEA3E0" w14:textId="77777777" w:rsidR="003F62B0" w:rsidRPr="009C772A" w:rsidRDefault="003F62B0" w:rsidP="00E52DBA">
            <w:pPr>
              <w:pStyle w:val="CETBodytext"/>
              <w:jc w:val="center"/>
              <w:rPr>
                <w:lang w:val="en-GB"/>
              </w:rPr>
            </w:pPr>
            <w:r w:rsidRPr="009C772A">
              <w:rPr>
                <w:lang w:val="en-GB"/>
              </w:rPr>
              <w:t>Change of stiffness</w:t>
            </w:r>
          </w:p>
        </w:tc>
        <w:tc>
          <w:tcPr>
            <w:tcW w:w="1276" w:type="dxa"/>
            <w:tcBorders>
              <w:top w:val="single" w:sz="12" w:space="0" w:color="008000"/>
              <w:bottom w:val="single" w:sz="6" w:space="0" w:color="008000"/>
            </w:tcBorders>
            <w:shd w:val="clear" w:color="auto" w:fill="FFFFFF"/>
            <w:vAlign w:val="center"/>
          </w:tcPr>
          <w:p w14:paraId="13A18F8F" w14:textId="77777777" w:rsidR="003F62B0" w:rsidRPr="009C772A" w:rsidRDefault="003F62B0" w:rsidP="00E52DBA">
            <w:pPr>
              <w:pStyle w:val="CETBodytext"/>
              <w:jc w:val="center"/>
              <w:rPr>
                <w:lang w:val="en-GB"/>
              </w:rPr>
            </w:pPr>
            <w:r w:rsidRPr="009C772A">
              <w:rPr>
                <w:lang w:val="en-GB"/>
              </w:rPr>
              <w:t>Configuration 2</w:t>
            </w:r>
          </w:p>
        </w:tc>
        <w:tc>
          <w:tcPr>
            <w:tcW w:w="1559" w:type="dxa"/>
            <w:tcBorders>
              <w:top w:val="single" w:sz="12" w:space="0" w:color="008000"/>
              <w:bottom w:val="single" w:sz="6" w:space="0" w:color="008000"/>
            </w:tcBorders>
            <w:shd w:val="clear" w:color="auto" w:fill="FFFFFF"/>
            <w:vAlign w:val="center"/>
          </w:tcPr>
          <w:p w14:paraId="380D29DB" w14:textId="77777777" w:rsidR="003F62B0" w:rsidRPr="009C772A" w:rsidRDefault="003F62B0" w:rsidP="00E52DBA">
            <w:pPr>
              <w:pStyle w:val="CETBodytext"/>
              <w:ind w:right="-1"/>
              <w:jc w:val="center"/>
              <w:rPr>
                <w:rFonts w:cs="Arial"/>
                <w:szCs w:val="18"/>
                <w:lang w:val="en-GB"/>
              </w:rPr>
            </w:pPr>
            <w:r w:rsidRPr="009C772A">
              <w:rPr>
                <w:rFonts w:cs="Arial"/>
                <w:szCs w:val="18"/>
                <w:lang w:val="en-GB"/>
              </w:rPr>
              <w:t>Change of mass</w:t>
            </w:r>
          </w:p>
        </w:tc>
      </w:tr>
      <w:tr w:rsidR="003F62B0" w:rsidRPr="009C772A" w14:paraId="42CE9345" w14:textId="77777777" w:rsidTr="00DB1D3E">
        <w:trPr>
          <w:trHeight w:val="233"/>
        </w:trPr>
        <w:tc>
          <w:tcPr>
            <w:tcW w:w="1240" w:type="dxa"/>
            <w:tcBorders>
              <w:top w:val="single" w:sz="6" w:space="0" w:color="008000"/>
              <w:bottom w:val="single" w:sz="6" w:space="0" w:color="008000"/>
            </w:tcBorders>
            <w:shd w:val="clear" w:color="auto" w:fill="FFFFFF"/>
            <w:vAlign w:val="center"/>
          </w:tcPr>
          <w:p w14:paraId="112B5C30" w14:textId="77777777" w:rsidR="003F62B0" w:rsidRPr="009C772A" w:rsidRDefault="003F62B0" w:rsidP="00E52DBA">
            <w:pPr>
              <w:pStyle w:val="CETBodytext"/>
              <w:jc w:val="center"/>
              <w:rPr>
                <w:lang w:val="en-GB"/>
              </w:rPr>
            </w:pPr>
            <w:r w:rsidRPr="009C772A">
              <w:rPr>
                <w:lang w:val="en-GB"/>
              </w:rPr>
              <w:t>Case</w:t>
            </w:r>
          </w:p>
        </w:tc>
        <w:tc>
          <w:tcPr>
            <w:tcW w:w="1737" w:type="dxa"/>
            <w:tcBorders>
              <w:top w:val="single" w:sz="6" w:space="0" w:color="008000"/>
              <w:bottom w:val="single" w:sz="6" w:space="0" w:color="008000"/>
            </w:tcBorders>
            <w:shd w:val="clear" w:color="auto" w:fill="FFFFFF"/>
            <w:vAlign w:val="center"/>
          </w:tcPr>
          <w:p w14:paraId="477C63CC" w14:textId="77777777" w:rsidR="003F62B0" w:rsidRPr="009C772A" w:rsidRDefault="003F62B0" w:rsidP="00E52DBA">
            <w:pPr>
              <w:pStyle w:val="CETBodytext"/>
              <w:jc w:val="center"/>
              <w:rPr>
                <w:lang w:val="en-GB"/>
              </w:rPr>
            </w:pPr>
            <w:r w:rsidRPr="009C772A">
              <w:rPr>
                <w:lang w:val="en-GB"/>
              </w:rPr>
              <w:t xml:space="preserve">H[m]; m=1500 </w:t>
            </w:r>
            <w:proofErr w:type="spellStart"/>
            <w:r w:rsidRPr="009C772A">
              <w:rPr>
                <w:lang w:val="en-GB"/>
              </w:rPr>
              <w:t>kN</w:t>
            </w:r>
            <w:proofErr w:type="spellEnd"/>
            <w:r w:rsidRPr="009C772A">
              <w:rPr>
                <w:lang w:val="en-GB"/>
              </w:rPr>
              <w:t>/g</w:t>
            </w:r>
          </w:p>
        </w:tc>
        <w:tc>
          <w:tcPr>
            <w:tcW w:w="1276" w:type="dxa"/>
            <w:tcBorders>
              <w:top w:val="single" w:sz="6" w:space="0" w:color="008000"/>
              <w:bottom w:val="single" w:sz="4" w:space="0" w:color="00B050"/>
            </w:tcBorders>
            <w:shd w:val="clear" w:color="auto" w:fill="FFFFFF"/>
            <w:vAlign w:val="center"/>
          </w:tcPr>
          <w:p w14:paraId="0A0D5218" w14:textId="77777777" w:rsidR="003F62B0" w:rsidRPr="009C772A" w:rsidRDefault="003F62B0" w:rsidP="00E52DBA">
            <w:pPr>
              <w:pStyle w:val="CETBodytext"/>
              <w:jc w:val="center"/>
              <w:rPr>
                <w:lang w:val="en-GB"/>
              </w:rPr>
            </w:pPr>
            <w:r w:rsidRPr="009C772A">
              <w:rPr>
                <w:lang w:val="en-GB"/>
              </w:rPr>
              <w:t>Case</w:t>
            </w:r>
          </w:p>
        </w:tc>
        <w:tc>
          <w:tcPr>
            <w:tcW w:w="1559" w:type="dxa"/>
            <w:tcBorders>
              <w:top w:val="single" w:sz="6" w:space="0" w:color="008000"/>
              <w:bottom w:val="single" w:sz="6" w:space="0" w:color="008000"/>
            </w:tcBorders>
            <w:shd w:val="clear" w:color="auto" w:fill="FFFFFF"/>
            <w:vAlign w:val="center"/>
          </w:tcPr>
          <w:p w14:paraId="3C13130C" w14:textId="77777777" w:rsidR="003F62B0" w:rsidRPr="009C772A" w:rsidRDefault="003F62B0" w:rsidP="00E52DBA">
            <w:pPr>
              <w:pStyle w:val="CETBodytext"/>
              <w:ind w:right="-1"/>
              <w:jc w:val="center"/>
              <w:rPr>
                <w:rFonts w:cs="Arial"/>
                <w:szCs w:val="18"/>
                <w:lang w:val="en-GB"/>
              </w:rPr>
            </w:pPr>
            <w:r w:rsidRPr="009C772A">
              <w:rPr>
                <w:rFonts w:cs="Arial"/>
                <w:szCs w:val="18"/>
                <w:lang w:val="en-GB"/>
              </w:rPr>
              <w:t>M [</w:t>
            </w:r>
            <w:proofErr w:type="spellStart"/>
            <w:r w:rsidRPr="009C772A">
              <w:rPr>
                <w:rFonts w:cs="Arial"/>
                <w:szCs w:val="18"/>
                <w:lang w:val="en-GB"/>
              </w:rPr>
              <w:t>kN</w:t>
            </w:r>
            <w:proofErr w:type="spellEnd"/>
            <w:r w:rsidRPr="009C772A">
              <w:rPr>
                <w:rFonts w:cs="Arial"/>
                <w:szCs w:val="18"/>
                <w:lang w:val="en-GB"/>
              </w:rPr>
              <w:t>/g]; H=15 m</w:t>
            </w:r>
          </w:p>
        </w:tc>
      </w:tr>
      <w:tr w:rsidR="003F62B0" w:rsidRPr="009C772A" w14:paraId="3A4B4CA4" w14:textId="77777777" w:rsidTr="00E52DBA">
        <w:tc>
          <w:tcPr>
            <w:tcW w:w="1240" w:type="dxa"/>
            <w:shd w:val="clear" w:color="auto" w:fill="FFFFFF"/>
          </w:tcPr>
          <w:p w14:paraId="09F484BA" w14:textId="77777777" w:rsidR="003F62B0" w:rsidRPr="009C772A" w:rsidRDefault="003F62B0" w:rsidP="00E52DBA">
            <w:pPr>
              <w:pStyle w:val="CETBodytext"/>
              <w:rPr>
                <w:lang w:val="en-GB"/>
              </w:rPr>
            </w:pPr>
            <w:r w:rsidRPr="009C772A">
              <w:rPr>
                <w:lang w:val="en-GB"/>
              </w:rPr>
              <w:t>M</w:t>
            </w:r>
            <w:r w:rsidRPr="009C772A">
              <w:rPr>
                <w:vertAlign w:val="subscript"/>
                <w:lang w:val="en-GB"/>
              </w:rPr>
              <w:t>1</w:t>
            </w:r>
          </w:p>
        </w:tc>
        <w:tc>
          <w:tcPr>
            <w:tcW w:w="1737" w:type="dxa"/>
            <w:shd w:val="clear" w:color="auto" w:fill="FFFFFF"/>
          </w:tcPr>
          <w:p w14:paraId="04949211" w14:textId="77777777" w:rsidR="003F62B0" w:rsidRPr="009C772A" w:rsidRDefault="003F62B0" w:rsidP="00E52DBA">
            <w:pPr>
              <w:pStyle w:val="CETBodytext"/>
              <w:jc w:val="center"/>
              <w:rPr>
                <w:lang w:val="en-GB"/>
              </w:rPr>
            </w:pPr>
            <w:r w:rsidRPr="009C772A">
              <w:rPr>
                <w:lang w:val="en-GB"/>
              </w:rPr>
              <w:t>20</w:t>
            </w:r>
          </w:p>
        </w:tc>
        <w:tc>
          <w:tcPr>
            <w:tcW w:w="1276" w:type="dxa"/>
            <w:tcBorders>
              <w:top w:val="single" w:sz="4" w:space="0" w:color="00B050"/>
            </w:tcBorders>
            <w:shd w:val="clear" w:color="auto" w:fill="FFFFFF"/>
          </w:tcPr>
          <w:p w14:paraId="52B43605" w14:textId="77777777" w:rsidR="003F62B0" w:rsidRPr="009C772A" w:rsidRDefault="003F62B0" w:rsidP="00E52DBA">
            <w:pPr>
              <w:pStyle w:val="CETBodytext"/>
              <w:jc w:val="center"/>
              <w:rPr>
                <w:lang w:val="en-GB"/>
              </w:rPr>
            </w:pPr>
            <w:r w:rsidRPr="009C772A">
              <w:rPr>
                <w:lang w:val="en-GB"/>
              </w:rPr>
              <w:t>M</w:t>
            </w:r>
            <w:r w:rsidRPr="009C772A">
              <w:rPr>
                <w:vertAlign w:val="subscript"/>
                <w:lang w:val="en-GB"/>
              </w:rPr>
              <w:t>2</w:t>
            </w:r>
          </w:p>
        </w:tc>
        <w:tc>
          <w:tcPr>
            <w:tcW w:w="1559" w:type="dxa"/>
            <w:shd w:val="clear" w:color="auto" w:fill="FFFFFF"/>
          </w:tcPr>
          <w:p w14:paraId="66893F39" w14:textId="77777777" w:rsidR="003F62B0" w:rsidRPr="009C772A" w:rsidRDefault="003F62B0" w:rsidP="00E52DBA">
            <w:pPr>
              <w:pStyle w:val="CETBodytext"/>
              <w:ind w:right="-1"/>
              <w:jc w:val="center"/>
              <w:rPr>
                <w:rFonts w:cs="Arial"/>
                <w:szCs w:val="18"/>
                <w:lang w:val="en-GB"/>
              </w:rPr>
            </w:pPr>
            <w:r w:rsidRPr="009C772A">
              <w:rPr>
                <w:rFonts w:cs="Arial"/>
                <w:szCs w:val="18"/>
                <w:lang w:val="en-GB"/>
              </w:rPr>
              <w:t>1500</w:t>
            </w:r>
          </w:p>
        </w:tc>
      </w:tr>
      <w:tr w:rsidR="003F62B0" w:rsidRPr="009C772A" w14:paraId="74303124" w14:textId="77777777" w:rsidTr="00E52DBA">
        <w:tc>
          <w:tcPr>
            <w:tcW w:w="1240" w:type="dxa"/>
            <w:shd w:val="clear" w:color="auto" w:fill="FFFFFF"/>
          </w:tcPr>
          <w:p w14:paraId="75C80EBC" w14:textId="77777777" w:rsidR="003F62B0" w:rsidRPr="009C772A" w:rsidRDefault="003F62B0" w:rsidP="00E52DBA">
            <w:pPr>
              <w:pStyle w:val="CETBodytext"/>
              <w:rPr>
                <w:lang w:val="en-GB"/>
              </w:rPr>
            </w:pPr>
            <w:r w:rsidRPr="009C772A">
              <w:rPr>
                <w:lang w:val="en-GB"/>
              </w:rPr>
              <w:t>M</w:t>
            </w:r>
            <w:r w:rsidRPr="009C772A">
              <w:rPr>
                <w:vertAlign w:val="subscript"/>
                <w:lang w:val="en-GB"/>
              </w:rPr>
              <w:t>2</w:t>
            </w:r>
          </w:p>
        </w:tc>
        <w:tc>
          <w:tcPr>
            <w:tcW w:w="1737" w:type="dxa"/>
            <w:shd w:val="clear" w:color="auto" w:fill="FFFFFF"/>
          </w:tcPr>
          <w:p w14:paraId="16EA365D" w14:textId="77777777" w:rsidR="003F62B0" w:rsidRPr="009C772A" w:rsidRDefault="003F62B0" w:rsidP="00E52DBA">
            <w:pPr>
              <w:pStyle w:val="CETBodytext"/>
              <w:jc w:val="center"/>
              <w:rPr>
                <w:lang w:val="en-GB"/>
              </w:rPr>
            </w:pPr>
            <w:r w:rsidRPr="009C772A">
              <w:rPr>
                <w:lang w:val="en-GB"/>
              </w:rPr>
              <w:t>15</w:t>
            </w:r>
          </w:p>
        </w:tc>
        <w:tc>
          <w:tcPr>
            <w:tcW w:w="1276" w:type="dxa"/>
            <w:shd w:val="clear" w:color="auto" w:fill="FFFFFF"/>
          </w:tcPr>
          <w:p w14:paraId="32344F33" w14:textId="77777777" w:rsidR="003F62B0" w:rsidRPr="009C772A" w:rsidRDefault="003F62B0" w:rsidP="00E52DBA">
            <w:pPr>
              <w:pStyle w:val="CETBodytext"/>
              <w:jc w:val="center"/>
              <w:rPr>
                <w:lang w:val="en-GB"/>
              </w:rPr>
            </w:pPr>
            <w:r w:rsidRPr="009C772A">
              <w:rPr>
                <w:lang w:val="en-GB"/>
              </w:rPr>
              <w:t>M</w:t>
            </w:r>
            <w:r w:rsidRPr="009C772A">
              <w:rPr>
                <w:vertAlign w:val="subscript"/>
                <w:lang w:val="en-GB"/>
              </w:rPr>
              <w:t>5</w:t>
            </w:r>
          </w:p>
        </w:tc>
        <w:tc>
          <w:tcPr>
            <w:tcW w:w="1559" w:type="dxa"/>
            <w:shd w:val="clear" w:color="auto" w:fill="FFFFFF"/>
          </w:tcPr>
          <w:p w14:paraId="1BCF20F6" w14:textId="77777777" w:rsidR="003F62B0" w:rsidRPr="009C772A" w:rsidRDefault="003F62B0" w:rsidP="00E52DBA">
            <w:pPr>
              <w:pStyle w:val="CETBodytext"/>
              <w:ind w:right="-1"/>
              <w:jc w:val="center"/>
              <w:rPr>
                <w:rFonts w:cs="Arial"/>
                <w:szCs w:val="18"/>
                <w:lang w:val="en-GB"/>
              </w:rPr>
            </w:pPr>
            <w:r w:rsidRPr="009C772A">
              <w:rPr>
                <w:rFonts w:cs="Arial"/>
                <w:szCs w:val="18"/>
                <w:lang w:val="en-GB"/>
              </w:rPr>
              <w:t>1000</w:t>
            </w:r>
          </w:p>
        </w:tc>
      </w:tr>
      <w:tr w:rsidR="003F62B0" w:rsidRPr="009C772A" w14:paraId="731FE2E4" w14:textId="77777777" w:rsidTr="00E52DBA">
        <w:tc>
          <w:tcPr>
            <w:tcW w:w="1240" w:type="dxa"/>
            <w:shd w:val="clear" w:color="auto" w:fill="FFFFFF"/>
          </w:tcPr>
          <w:p w14:paraId="77DA1F9F" w14:textId="77777777" w:rsidR="003F62B0" w:rsidRPr="009C772A" w:rsidRDefault="003F62B0" w:rsidP="00E52DBA">
            <w:pPr>
              <w:pStyle w:val="CETBodytext"/>
              <w:rPr>
                <w:lang w:val="en-GB"/>
              </w:rPr>
            </w:pPr>
            <w:r w:rsidRPr="009C772A">
              <w:rPr>
                <w:lang w:val="en-GB"/>
              </w:rPr>
              <w:t>M</w:t>
            </w:r>
            <w:r w:rsidRPr="009C772A">
              <w:rPr>
                <w:vertAlign w:val="subscript"/>
                <w:lang w:val="en-GB"/>
              </w:rPr>
              <w:t>3</w:t>
            </w:r>
          </w:p>
        </w:tc>
        <w:tc>
          <w:tcPr>
            <w:tcW w:w="1737" w:type="dxa"/>
            <w:shd w:val="clear" w:color="auto" w:fill="FFFFFF"/>
          </w:tcPr>
          <w:p w14:paraId="05FC062F" w14:textId="77777777" w:rsidR="003F62B0" w:rsidRPr="009C772A" w:rsidRDefault="003F62B0" w:rsidP="00E52DBA">
            <w:pPr>
              <w:pStyle w:val="CETBodytext"/>
              <w:jc w:val="center"/>
              <w:rPr>
                <w:lang w:val="en-GB"/>
              </w:rPr>
            </w:pPr>
            <w:r w:rsidRPr="009C772A">
              <w:rPr>
                <w:lang w:val="en-GB"/>
              </w:rPr>
              <w:t>10</w:t>
            </w:r>
          </w:p>
        </w:tc>
        <w:tc>
          <w:tcPr>
            <w:tcW w:w="1276" w:type="dxa"/>
            <w:shd w:val="clear" w:color="auto" w:fill="FFFFFF"/>
          </w:tcPr>
          <w:p w14:paraId="3085F073" w14:textId="77777777" w:rsidR="003F62B0" w:rsidRPr="009C772A" w:rsidRDefault="003F62B0" w:rsidP="00E52DBA">
            <w:pPr>
              <w:pStyle w:val="CETBodytext"/>
              <w:jc w:val="center"/>
              <w:rPr>
                <w:lang w:val="en-GB"/>
              </w:rPr>
            </w:pPr>
            <w:r w:rsidRPr="009C772A">
              <w:rPr>
                <w:lang w:val="en-GB"/>
              </w:rPr>
              <w:t>M</w:t>
            </w:r>
            <w:r w:rsidRPr="009C772A">
              <w:rPr>
                <w:vertAlign w:val="subscript"/>
                <w:lang w:val="en-GB"/>
              </w:rPr>
              <w:t>6</w:t>
            </w:r>
          </w:p>
        </w:tc>
        <w:tc>
          <w:tcPr>
            <w:tcW w:w="1559" w:type="dxa"/>
            <w:shd w:val="clear" w:color="auto" w:fill="FFFFFF"/>
          </w:tcPr>
          <w:p w14:paraId="1D66282C" w14:textId="77777777" w:rsidR="003F62B0" w:rsidRPr="009C772A" w:rsidRDefault="003F62B0" w:rsidP="00E52DBA">
            <w:pPr>
              <w:pStyle w:val="CETBodytext"/>
              <w:ind w:right="-1"/>
              <w:jc w:val="center"/>
              <w:rPr>
                <w:rFonts w:cs="Arial"/>
                <w:szCs w:val="18"/>
                <w:lang w:val="en-GB"/>
              </w:rPr>
            </w:pPr>
            <w:r w:rsidRPr="009C772A">
              <w:rPr>
                <w:rFonts w:cs="Arial"/>
                <w:szCs w:val="18"/>
                <w:lang w:val="en-GB"/>
              </w:rPr>
              <w:t>600</w:t>
            </w:r>
          </w:p>
        </w:tc>
      </w:tr>
      <w:tr w:rsidR="003F62B0" w:rsidRPr="009C772A" w14:paraId="439B380C" w14:textId="77777777" w:rsidTr="004019ED">
        <w:tc>
          <w:tcPr>
            <w:tcW w:w="1240" w:type="dxa"/>
            <w:tcBorders>
              <w:bottom w:val="single" w:sz="6" w:space="0" w:color="008000"/>
            </w:tcBorders>
            <w:shd w:val="clear" w:color="auto" w:fill="FFFFFF"/>
          </w:tcPr>
          <w:p w14:paraId="29504CE6" w14:textId="77777777" w:rsidR="003F62B0" w:rsidRPr="009C772A" w:rsidRDefault="003F62B0" w:rsidP="00E52DBA">
            <w:pPr>
              <w:pStyle w:val="CETBodytext"/>
              <w:ind w:right="-1"/>
              <w:rPr>
                <w:rFonts w:cs="Arial"/>
                <w:szCs w:val="18"/>
                <w:lang w:val="en-GB"/>
              </w:rPr>
            </w:pPr>
            <w:r w:rsidRPr="009C772A">
              <w:rPr>
                <w:rFonts w:cs="Arial"/>
                <w:szCs w:val="18"/>
                <w:lang w:val="en-GB"/>
              </w:rPr>
              <w:t>M</w:t>
            </w:r>
            <w:r w:rsidRPr="009C772A">
              <w:rPr>
                <w:rFonts w:cs="Arial"/>
                <w:szCs w:val="18"/>
                <w:vertAlign w:val="subscript"/>
                <w:lang w:val="en-GB"/>
              </w:rPr>
              <w:t>4</w:t>
            </w:r>
          </w:p>
        </w:tc>
        <w:tc>
          <w:tcPr>
            <w:tcW w:w="1737" w:type="dxa"/>
            <w:tcBorders>
              <w:bottom w:val="single" w:sz="6" w:space="0" w:color="008000"/>
            </w:tcBorders>
            <w:shd w:val="clear" w:color="auto" w:fill="FFFFFF"/>
          </w:tcPr>
          <w:p w14:paraId="08A2E801" w14:textId="77777777" w:rsidR="003F62B0" w:rsidRPr="009C772A" w:rsidRDefault="003F62B0" w:rsidP="00E52DBA">
            <w:pPr>
              <w:pStyle w:val="CETBodytext"/>
              <w:ind w:right="-1"/>
              <w:jc w:val="center"/>
              <w:rPr>
                <w:rFonts w:cs="Arial"/>
                <w:szCs w:val="18"/>
                <w:lang w:val="en-GB"/>
              </w:rPr>
            </w:pPr>
            <w:r w:rsidRPr="009C772A">
              <w:rPr>
                <w:rFonts w:cs="Arial"/>
                <w:szCs w:val="18"/>
                <w:lang w:val="en-GB"/>
              </w:rPr>
              <w:t>5</w:t>
            </w:r>
          </w:p>
        </w:tc>
        <w:tc>
          <w:tcPr>
            <w:tcW w:w="1276" w:type="dxa"/>
            <w:tcBorders>
              <w:bottom w:val="single" w:sz="6" w:space="0" w:color="008000"/>
            </w:tcBorders>
            <w:shd w:val="clear" w:color="auto" w:fill="FFFFFF"/>
          </w:tcPr>
          <w:p w14:paraId="6CAB16AC" w14:textId="77777777" w:rsidR="003F62B0" w:rsidRPr="009C772A" w:rsidRDefault="003F62B0" w:rsidP="00E52DBA">
            <w:pPr>
              <w:pStyle w:val="CETBodytext"/>
              <w:ind w:right="-1"/>
              <w:jc w:val="center"/>
              <w:rPr>
                <w:rFonts w:cs="Arial"/>
                <w:szCs w:val="18"/>
                <w:lang w:val="en-GB"/>
              </w:rPr>
            </w:pPr>
            <w:r w:rsidRPr="009C772A">
              <w:rPr>
                <w:rFonts w:cs="Arial"/>
                <w:szCs w:val="18"/>
                <w:lang w:val="en-GB"/>
              </w:rPr>
              <w:t>M</w:t>
            </w:r>
            <w:r w:rsidRPr="009C772A">
              <w:rPr>
                <w:rFonts w:cs="Arial"/>
                <w:szCs w:val="18"/>
                <w:vertAlign w:val="subscript"/>
                <w:lang w:val="en-GB"/>
              </w:rPr>
              <w:t>7</w:t>
            </w:r>
          </w:p>
        </w:tc>
        <w:tc>
          <w:tcPr>
            <w:tcW w:w="1559" w:type="dxa"/>
            <w:tcBorders>
              <w:bottom w:val="single" w:sz="6" w:space="0" w:color="008000"/>
            </w:tcBorders>
            <w:shd w:val="clear" w:color="auto" w:fill="FFFFFF"/>
          </w:tcPr>
          <w:p w14:paraId="7A91BA0B" w14:textId="77777777" w:rsidR="003F62B0" w:rsidRPr="009C772A" w:rsidRDefault="003F62B0" w:rsidP="00E52DBA">
            <w:pPr>
              <w:pStyle w:val="CETBodytext"/>
              <w:ind w:right="-1"/>
              <w:jc w:val="center"/>
              <w:rPr>
                <w:rFonts w:cs="Arial"/>
                <w:szCs w:val="18"/>
                <w:lang w:val="en-GB"/>
              </w:rPr>
            </w:pPr>
            <w:r w:rsidRPr="009C772A">
              <w:rPr>
                <w:rFonts w:cs="Arial"/>
                <w:szCs w:val="18"/>
                <w:lang w:val="en-GB"/>
              </w:rPr>
              <w:t>500</w:t>
            </w:r>
          </w:p>
        </w:tc>
      </w:tr>
    </w:tbl>
    <w:p w14:paraId="34C20E89" w14:textId="5C351CB0" w:rsidR="003F62B0" w:rsidRPr="009C772A" w:rsidRDefault="003F62B0" w:rsidP="003F62B0">
      <w:pPr>
        <w:pStyle w:val="CETTabletitle"/>
      </w:pPr>
      <w:r w:rsidRPr="009C772A">
        <w:t xml:space="preserve">Table </w:t>
      </w:r>
      <w:r w:rsidR="00A41141">
        <w:t>2</w:t>
      </w:r>
      <w:r w:rsidRPr="009C772A">
        <w:t xml:space="preserve">: </w:t>
      </w:r>
      <w:r w:rsidR="00276B4A" w:rsidRPr="009C772A">
        <w:t>G</w:t>
      </w:r>
      <w:r w:rsidRPr="009C772A">
        <w:t xml:space="preserve">eometric properties of pipelines </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805"/>
        <w:gridCol w:w="1038"/>
        <w:gridCol w:w="926"/>
        <w:gridCol w:w="751"/>
        <w:gridCol w:w="1006"/>
        <w:gridCol w:w="635"/>
        <w:gridCol w:w="821"/>
        <w:gridCol w:w="964"/>
        <w:gridCol w:w="709"/>
      </w:tblGrid>
      <w:tr w:rsidR="003F62B0" w:rsidRPr="009C772A" w14:paraId="460D95E0" w14:textId="77777777" w:rsidTr="00DB1D3E">
        <w:tc>
          <w:tcPr>
            <w:tcW w:w="805" w:type="dxa"/>
            <w:tcBorders>
              <w:top w:val="single" w:sz="12" w:space="0" w:color="008000"/>
              <w:bottom w:val="single" w:sz="6" w:space="0" w:color="008000"/>
            </w:tcBorders>
            <w:shd w:val="clear" w:color="auto" w:fill="FFFFFF"/>
          </w:tcPr>
          <w:p w14:paraId="13B46002" w14:textId="77777777" w:rsidR="003F62B0" w:rsidRPr="009C772A" w:rsidRDefault="003F62B0" w:rsidP="00E52DBA">
            <w:pPr>
              <w:pStyle w:val="CETBodytext"/>
              <w:rPr>
                <w:lang w:val="en-GB"/>
              </w:rPr>
            </w:pPr>
            <w:r w:rsidRPr="009C772A">
              <w:rPr>
                <w:lang w:val="en-GB"/>
              </w:rPr>
              <w:t xml:space="preserve">Pipeline </w:t>
            </w:r>
          </w:p>
        </w:tc>
        <w:tc>
          <w:tcPr>
            <w:tcW w:w="1038" w:type="dxa"/>
            <w:tcBorders>
              <w:top w:val="single" w:sz="12" w:space="0" w:color="008000"/>
              <w:bottom w:val="single" w:sz="6" w:space="0" w:color="008000"/>
            </w:tcBorders>
            <w:shd w:val="clear" w:color="auto" w:fill="FFFFFF"/>
          </w:tcPr>
          <w:p w14:paraId="09D3F616" w14:textId="77777777" w:rsidR="003F62B0" w:rsidRPr="009C772A" w:rsidRDefault="003F62B0" w:rsidP="00E52DBA">
            <w:pPr>
              <w:pStyle w:val="CETBodytext"/>
              <w:jc w:val="center"/>
              <w:rPr>
                <w:lang w:val="en-GB"/>
              </w:rPr>
            </w:pPr>
            <w:r w:rsidRPr="009C772A">
              <w:rPr>
                <w:lang w:val="en-GB"/>
              </w:rPr>
              <w:t>Type [inch]</w:t>
            </w:r>
          </w:p>
        </w:tc>
        <w:tc>
          <w:tcPr>
            <w:tcW w:w="926" w:type="dxa"/>
            <w:tcBorders>
              <w:top w:val="single" w:sz="12" w:space="0" w:color="008000"/>
              <w:bottom w:val="single" w:sz="6" w:space="0" w:color="008000"/>
            </w:tcBorders>
            <w:shd w:val="clear" w:color="auto" w:fill="FFFFFF"/>
            <w:vAlign w:val="center"/>
          </w:tcPr>
          <w:p w14:paraId="239456CD" w14:textId="77777777" w:rsidR="003F62B0" w:rsidRPr="009C772A" w:rsidRDefault="003F62B0" w:rsidP="00E52DBA">
            <w:pPr>
              <w:pStyle w:val="CETBodytext"/>
              <w:jc w:val="center"/>
              <w:rPr>
                <w:lang w:val="en-GB"/>
              </w:rPr>
            </w:pPr>
            <w:proofErr w:type="spellStart"/>
            <w:r w:rsidRPr="009C772A">
              <w:rPr>
                <w:lang w:val="en-GB"/>
              </w:rPr>
              <w:t>D</w:t>
            </w:r>
            <w:r w:rsidRPr="009C772A">
              <w:rPr>
                <w:vertAlign w:val="subscript"/>
                <w:lang w:val="en-GB"/>
              </w:rPr>
              <w:t>ext</w:t>
            </w:r>
            <w:proofErr w:type="spellEnd"/>
            <w:r w:rsidRPr="009C772A">
              <w:rPr>
                <w:lang w:val="en-GB"/>
              </w:rPr>
              <w:t xml:space="preserve"> [mm]</w:t>
            </w:r>
          </w:p>
        </w:tc>
        <w:tc>
          <w:tcPr>
            <w:tcW w:w="751" w:type="dxa"/>
            <w:tcBorders>
              <w:top w:val="single" w:sz="12" w:space="0" w:color="008000"/>
              <w:bottom w:val="single" w:sz="6" w:space="0" w:color="008000"/>
            </w:tcBorders>
            <w:shd w:val="clear" w:color="auto" w:fill="FFFFFF"/>
            <w:vAlign w:val="center"/>
          </w:tcPr>
          <w:p w14:paraId="0CD2C1C7" w14:textId="77777777" w:rsidR="003F62B0" w:rsidRPr="009C772A" w:rsidRDefault="003F62B0" w:rsidP="00E52DBA">
            <w:pPr>
              <w:pStyle w:val="CETBodytext"/>
              <w:ind w:right="-1"/>
              <w:jc w:val="center"/>
              <w:rPr>
                <w:rFonts w:cs="Arial"/>
                <w:szCs w:val="18"/>
                <w:lang w:val="en-GB"/>
              </w:rPr>
            </w:pPr>
            <w:proofErr w:type="spellStart"/>
            <w:r w:rsidRPr="009C772A">
              <w:rPr>
                <w:rFonts w:cs="Arial"/>
                <w:szCs w:val="18"/>
                <w:lang w:val="en-GB"/>
              </w:rPr>
              <w:t>t</w:t>
            </w:r>
            <w:r w:rsidRPr="009C772A">
              <w:rPr>
                <w:rFonts w:cs="Arial"/>
                <w:szCs w:val="18"/>
                <w:vertAlign w:val="subscript"/>
                <w:lang w:val="en-GB"/>
              </w:rPr>
              <w:t>w</w:t>
            </w:r>
            <w:proofErr w:type="spellEnd"/>
            <w:r w:rsidRPr="009C772A">
              <w:rPr>
                <w:rFonts w:cs="Arial"/>
                <w:szCs w:val="18"/>
                <w:lang w:val="en-GB"/>
              </w:rPr>
              <w:t xml:space="preserve"> [mm]</w:t>
            </w:r>
          </w:p>
        </w:tc>
        <w:tc>
          <w:tcPr>
            <w:tcW w:w="1006" w:type="dxa"/>
            <w:tcBorders>
              <w:top w:val="single" w:sz="12" w:space="0" w:color="008000"/>
              <w:bottom w:val="single" w:sz="6" w:space="0" w:color="008000"/>
            </w:tcBorders>
            <w:shd w:val="clear" w:color="auto" w:fill="FFFFFF"/>
            <w:vAlign w:val="center"/>
          </w:tcPr>
          <w:p w14:paraId="0C60B7D4" w14:textId="77777777" w:rsidR="003F62B0" w:rsidRPr="009C772A" w:rsidRDefault="003F62B0" w:rsidP="00E52DBA">
            <w:pPr>
              <w:pStyle w:val="CETBodytext"/>
              <w:ind w:right="-1"/>
              <w:jc w:val="center"/>
              <w:rPr>
                <w:rFonts w:cs="Arial"/>
                <w:szCs w:val="18"/>
                <w:lang w:val="en-GB"/>
              </w:rPr>
            </w:pPr>
            <w:r w:rsidRPr="009C772A">
              <w:rPr>
                <w:rFonts w:cs="Arial"/>
                <w:szCs w:val="18"/>
                <w:lang w:val="en-GB"/>
              </w:rPr>
              <w:t>D</w:t>
            </w:r>
            <w:r w:rsidRPr="009C772A">
              <w:rPr>
                <w:rFonts w:cs="Arial"/>
                <w:szCs w:val="18"/>
                <w:vertAlign w:val="subscript"/>
                <w:lang w:val="en-GB"/>
              </w:rPr>
              <w:t>int</w:t>
            </w:r>
            <w:r w:rsidRPr="009C772A">
              <w:rPr>
                <w:rFonts w:cs="Arial"/>
                <w:szCs w:val="18"/>
                <w:lang w:val="en-GB"/>
              </w:rPr>
              <w:t xml:space="preserve"> [mm]</w:t>
            </w:r>
          </w:p>
        </w:tc>
        <w:tc>
          <w:tcPr>
            <w:tcW w:w="635" w:type="dxa"/>
            <w:tcBorders>
              <w:top w:val="single" w:sz="12" w:space="0" w:color="008000"/>
              <w:bottom w:val="single" w:sz="6" w:space="0" w:color="008000"/>
            </w:tcBorders>
            <w:shd w:val="clear" w:color="auto" w:fill="FFFFFF"/>
            <w:vAlign w:val="center"/>
          </w:tcPr>
          <w:p w14:paraId="7578ECE5" w14:textId="77777777" w:rsidR="003F62B0" w:rsidRPr="009C772A" w:rsidRDefault="003F62B0" w:rsidP="00E52DBA">
            <w:pPr>
              <w:pStyle w:val="CETBodytext"/>
              <w:ind w:right="-1"/>
              <w:jc w:val="center"/>
              <w:rPr>
                <w:rFonts w:cs="Arial"/>
                <w:szCs w:val="18"/>
                <w:lang w:val="en-GB"/>
              </w:rPr>
            </w:pPr>
            <w:r w:rsidRPr="009C772A">
              <w:rPr>
                <w:rFonts w:cs="Arial"/>
                <w:szCs w:val="18"/>
                <w:lang w:val="en-GB"/>
              </w:rPr>
              <w:t>R</w:t>
            </w:r>
            <w:r w:rsidRPr="009C772A">
              <w:rPr>
                <w:rFonts w:cs="Arial"/>
                <w:szCs w:val="18"/>
                <w:vertAlign w:val="subscript"/>
                <w:lang w:val="en-GB"/>
              </w:rPr>
              <w:t>c</w:t>
            </w:r>
            <w:r w:rsidRPr="009C772A">
              <w:rPr>
                <w:rFonts w:cs="Arial"/>
                <w:szCs w:val="18"/>
                <w:vertAlign w:val="superscript"/>
                <w:lang w:val="en-GB"/>
              </w:rPr>
              <w:t>90°</w:t>
            </w:r>
          </w:p>
        </w:tc>
        <w:tc>
          <w:tcPr>
            <w:tcW w:w="821" w:type="dxa"/>
            <w:tcBorders>
              <w:top w:val="single" w:sz="12" w:space="0" w:color="008000"/>
              <w:bottom w:val="single" w:sz="6" w:space="0" w:color="008000"/>
            </w:tcBorders>
            <w:shd w:val="clear" w:color="auto" w:fill="FFFFFF"/>
            <w:vAlign w:val="center"/>
          </w:tcPr>
          <w:p w14:paraId="3B2505D4" w14:textId="77777777" w:rsidR="003F62B0" w:rsidRPr="009C772A" w:rsidRDefault="003F62B0" w:rsidP="00E52DBA">
            <w:pPr>
              <w:pStyle w:val="CETBodytext"/>
              <w:ind w:right="-1"/>
              <w:jc w:val="center"/>
              <w:rPr>
                <w:rFonts w:cs="Arial"/>
                <w:szCs w:val="18"/>
                <w:lang w:val="en-GB"/>
              </w:rPr>
            </w:pPr>
            <w:r w:rsidRPr="009C772A">
              <w:rPr>
                <w:rFonts w:cs="Arial"/>
                <w:szCs w:val="18"/>
                <w:lang w:val="en-GB"/>
              </w:rPr>
              <w:t>l</w:t>
            </w:r>
            <w:r w:rsidRPr="009C772A">
              <w:rPr>
                <w:rFonts w:cs="Arial"/>
                <w:szCs w:val="18"/>
                <w:vertAlign w:val="subscript"/>
                <w:lang w:val="en-GB"/>
              </w:rPr>
              <w:t xml:space="preserve">1 </w:t>
            </w:r>
            <w:r w:rsidRPr="009C772A">
              <w:rPr>
                <w:rFonts w:cs="Arial"/>
                <w:szCs w:val="18"/>
                <w:lang w:val="en-GB"/>
              </w:rPr>
              <w:t>[mm]</w:t>
            </w:r>
          </w:p>
        </w:tc>
        <w:tc>
          <w:tcPr>
            <w:tcW w:w="964" w:type="dxa"/>
            <w:tcBorders>
              <w:top w:val="single" w:sz="12" w:space="0" w:color="008000"/>
              <w:bottom w:val="single" w:sz="6" w:space="0" w:color="008000"/>
            </w:tcBorders>
            <w:shd w:val="clear" w:color="auto" w:fill="FFFFFF"/>
            <w:vAlign w:val="center"/>
          </w:tcPr>
          <w:p w14:paraId="165D5A94" w14:textId="77777777" w:rsidR="003F62B0" w:rsidRPr="009C772A" w:rsidRDefault="003F62B0" w:rsidP="00E52DBA">
            <w:pPr>
              <w:pStyle w:val="CETBodytext"/>
              <w:ind w:right="-1"/>
              <w:jc w:val="center"/>
              <w:rPr>
                <w:rFonts w:cs="Arial"/>
                <w:szCs w:val="18"/>
                <w:lang w:val="en-GB"/>
              </w:rPr>
            </w:pPr>
            <w:r w:rsidRPr="009C772A">
              <w:rPr>
                <w:rFonts w:cs="Arial"/>
                <w:szCs w:val="18"/>
                <w:lang w:val="en-GB"/>
              </w:rPr>
              <w:t>l</w:t>
            </w:r>
            <w:r w:rsidRPr="009C772A">
              <w:rPr>
                <w:rFonts w:cs="Arial"/>
                <w:szCs w:val="18"/>
                <w:vertAlign w:val="subscript"/>
                <w:lang w:val="en-GB"/>
              </w:rPr>
              <w:t xml:space="preserve">2 </w:t>
            </w:r>
            <w:r w:rsidRPr="009C772A">
              <w:rPr>
                <w:rFonts w:cs="Arial"/>
                <w:szCs w:val="18"/>
                <w:lang w:val="en-GB"/>
              </w:rPr>
              <w:t>[mm]</w:t>
            </w:r>
          </w:p>
        </w:tc>
        <w:tc>
          <w:tcPr>
            <w:tcW w:w="709" w:type="dxa"/>
            <w:tcBorders>
              <w:top w:val="single" w:sz="12" w:space="0" w:color="008000"/>
              <w:bottom w:val="single" w:sz="6" w:space="0" w:color="008000"/>
            </w:tcBorders>
            <w:shd w:val="clear" w:color="auto" w:fill="FFFFFF"/>
            <w:vAlign w:val="center"/>
          </w:tcPr>
          <w:p w14:paraId="16689AF6" w14:textId="77777777" w:rsidR="003F62B0" w:rsidRPr="009C772A" w:rsidRDefault="003F62B0" w:rsidP="00E52DBA">
            <w:pPr>
              <w:pStyle w:val="CETBodytext"/>
              <w:ind w:right="-1"/>
              <w:jc w:val="center"/>
              <w:rPr>
                <w:rFonts w:cs="Arial"/>
                <w:szCs w:val="18"/>
                <w:lang w:val="en-GB"/>
              </w:rPr>
            </w:pPr>
            <w:r w:rsidRPr="009C772A">
              <w:rPr>
                <w:rFonts w:cs="Arial"/>
                <w:szCs w:val="18"/>
                <w:lang w:val="en-GB"/>
              </w:rPr>
              <w:t>h [mm]</w:t>
            </w:r>
          </w:p>
        </w:tc>
      </w:tr>
      <w:tr w:rsidR="003F62B0" w:rsidRPr="009C772A" w14:paraId="6134D3D6" w14:textId="77777777" w:rsidTr="00DB1D3E">
        <w:tc>
          <w:tcPr>
            <w:tcW w:w="805" w:type="dxa"/>
            <w:shd w:val="clear" w:color="auto" w:fill="FFFFFF"/>
          </w:tcPr>
          <w:p w14:paraId="123B894C" w14:textId="77777777" w:rsidR="003F62B0" w:rsidRPr="009C772A" w:rsidRDefault="003F62B0" w:rsidP="00E52DBA">
            <w:pPr>
              <w:pStyle w:val="CETBodytext"/>
              <w:rPr>
                <w:lang w:val="en-GB"/>
              </w:rPr>
            </w:pPr>
            <w:r w:rsidRPr="009C772A">
              <w:rPr>
                <w:lang w:val="en-GB"/>
              </w:rPr>
              <w:t>Elbow</w:t>
            </w:r>
          </w:p>
        </w:tc>
        <w:tc>
          <w:tcPr>
            <w:tcW w:w="1038" w:type="dxa"/>
            <w:shd w:val="clear" w:color="auto" w:fill="FFFFFF"/>
          </w:tcPr>
          <w:p w14:paraId="110ED0B3" w14:textId="77777777" w:rsidR="003F62B0" w:rsidRPr="009C772A" w:rsidRDefault="003F62B0" w:rsidP="00E52DBA">
            <w:pPr>
              <w:pStyle w:val="CETBodytext"/>
              <w:jc w:val="center"/>
              <w:rPr>
                <w:lang w:val="en-GB"/>
              </w:rPr>
            </w:pPr>
            <w:r w:rsidRPr="009C772A">
              <w:rPr>
                <w:lang w:val="en-GB"/>
              </w:rPr>
              <w:t>14’’</w:t>
            </w:r>
          </w:p>
        </w:tc>
        <w:tc>
          <w:tcPr>
            <w:tcW w:w="926" w:type="dxa"/>
            <w:shd w:val="clear" w:color="auto" w:fill="FFFFFF"/>
          </w:tcPr>
          <w:p w14:paraId="00691D53" w14:textId="77777777" w:rsidR="003F62B0" w:rsidRPr="009C772A" w:rsidRDefault="003F62B0" w:rsidP="00E52DBA">
            <w:pPr>
              <w:pStyle w:val="CETBodytext"/>
              <w:jc w:val="center"/>
              <w:rPr>
                <w:lang w:val="en-GB"/>
              </w:rPr>
            </w:pPr>
            <w:r w:rsidRPr="009C772A">
              <w:rPr>
                <w:lang w:val="en-GB"/>
              </w:rPr>
              <w:t>355.6</w:t>
            </w:r>
          </w:p>
        </w:tc>
        <w:tc>
          <w:tcPr>
            <w:tcW w:w="751" w:type="dxa"/>
            <w:shd w:val="clear" w:color="auto" w:fill="FFFFFF"/>
          </w:tcPr>
          <w:p w14:paraId="5B96B8C4" w14:textId="77777777" w:rsidR="003F62B0" w:rsidRPr="009C772A" w:rsidRDefault="003F62B0" w:rsidP="00E52DBA">
            <w:pPr>
              <w:pStyle w:val="CETBodytext"/>
              <w:ind w:right="-1"/>
              <w:jc w:val="center"/>
              <w:rPr>
                <w:rFonts w:cs="Arial"/>
                <w:szCs w:val="18"/>
                <w:lang w:val="en-GB"/>
              </w:rPr>
            </w:pPr>
            <w:r w:rsidRPr="009C772A">
              <w:rPr>
                <w:rFonts w:cs="Arial"/>
                <w:szCs w:val="18"/>
                <w:lang w:val="en-GB"/>
              </w:rPr>
              <w:t>3.96</w:t>
            </w:r>
          </w:p>
        </w:tc>
        <w:tc>
          <w:tcPr>
            <w:tcW w:w="1006" w:type="dxa"/>
            <w:shd w:val="clear" w:color="auto" w:fill="FFFFFF"/>
          </w:tcPr>
          <w:p w14:paraId="403B1936" w14:textId="77777777" w:rsidR="003F62B0" w:rsidRPr="009C772A" w:rsidRDefault="003F62B0" w:rsidP="00E52DBA">
            <w:pPr>
              <w:pStyle w:val="CETBodytext"/>
              <w:ind w:right="-1"/>
              <w:jc w:val="center"/>
              <w:rPr>
                <w:rFonts w:cs="Arial"/>
                <w:szCs w:val="18"/>
                <w:lang w:val="en-GB"/>
              </w:rPr>
            </w:pPr>
            <w:r w:rsidRPr="009C772A">
              <w:rPr>
                <w:rFonts w:cs="Arial"/>
                <w:szCs w:val="18"/>
                <w:lang w:val="en-GB"/>
              </w:rPr>
              <w:t>347.68</w:t>
            </w:r>
          </w:p>
        </w:tc>
        <w:tc>
          <w:tcPr>
            <w:tcW w:w="635" w:type="dxa"/>
            <w:shd w:val="clear" w:color="auto" w:fill="FFFFFF"/>
          </w:tcPr>
          <w:p w14:paraId="364304F5" w14:textId="77777777" w:rsidR="003F62B0" w:rsidRPr="009C772A" w:rsidRDefault="003F62B0" w:rsidP="00E52DBA">
            <w:pPr>
              <w:pStyle w:val="CETBodytext"/>
              <w:ind w:right="-1"/>
              <w:jc w:val="center"/>
              <w:rPr>
                <w:rFonts w:cs="Arial"/>
                <w:szCs w:val="18"/>
                <w:lang w:val="en-GB"/>
              </w:rPr>
            </w:pPr>
            <w:r w:rsidRPr="009C772A">
              <w:rPr>
                <w:rFonts w:cs="Arial"/>
                <w:szCs w:val="18"/>
                <w:lang w:val="en-GB"/>
              </w:rPr>
              <w:t>533</w:t>
            </w:r>
          </w:p>
        </w:tc>
        <w:tc>
          <w:tcPr>
            <w:tcW w:w="821" w:type="dxa"/>
            <w:shd w:val="clear" w:color="auto" w:fill="FFFFFF"/>
          </w:tcPr>
          <w:p w14:paraId="44220AC3" w14:textId="77777777" w:rsidR="003F62B0" w:rsidRPr="009C772A" w:rsidRDefault="003F62B0" w:rsidP="00E52DBA">
            <w:pPr>
              <w:pStyle w:val="CETBodytext"/>
              <w:ind w:right="-1"/>
              <w:jc w:val="center"/>
              <w:rPr>
                <w:rFonts w:cs="Arial"/>
                <w:szCs w:val="18"/>
                <w:lang w:val="en-GB"/>
              </w:rPr>
            </w:pPr>
            <w:r w:rsidRPr="009C772A">
              <w:rPr>
                <w:rFonts w:cs="Arial"/>
                <w:szCs w:val="18"/>
                <w:lang w:val="en-GB"/>
              </w:rPr>
              <w:t>1050</w:t>
            </w:r>
          </w:p>
        </w:tc>
        <w:tc>
          <w:tcPr>
            <w:tcW w:w="964" w:type="dxa"/>
            <w:shd w:val="clear" w:color="auto" w:fill="FFFFFF"/>
          </w:tcPr>
          <w:p w14:paraId="6903B9EC" w14:textId="77777777" w:rsidR="003F62B0" w:rsidRPr="009C772A" w:rsidRDefault="003F62B0" w:rsidP="00E52DBA">
            <w:pPr>
              <w:pStyle w:val="CETBodytext"/>
              <w:ind w:right="-1"/>
              <w:jc w:val="center"/>
              <w:rPr>
                <w:rFonts w:cs="Arial"/>
                <w:szCs w:val="18"/>
                <w:lang w:val="en-GB"/>
              </w:rPr>
            </w:pPr>
            <w:r w:rsidRPr="009C772A">
              <w:rPr>
                <w:rFonts w:cs="Arial"/>
                <w:szCs w:val="18"/>
                <w:lang w:val="en-GB"/>
              </w:rPr>
              <w:t>5000</w:t>
            </w:r>
          </w:p>
        </w:tc>
        <w:tc>
          <w:tcPr>
            <w:tcW w:w="709" w:type="dxa"/>
            <w:shd w:val="clear" w:color="auto" w:fill="FFFFFF"/>
          </w:tcPr>
          <w:p w14:paraId="4F007FD4" w14:textId="77777777" w:rsidR="003F62B0" w:rsidRPr="009C772A" w:rsidRDefault="003F62B0" w:rsidP="00E52DBA">
            <w:pPr>
              <w:pStyle w:val="CETBodytext"/>
              <w:ind w:right="-1"/>
              <w:jc w:val="center"/>
              <w:rPr>
                <w:rFonts w:cs="Arial"/>
                <w:szCs w:val="18"/>
                <w:lang w:val="en-GB"/>
              </w:rPr>
            </w:pPr>
            <w:r w:rsidRPr="009C772A">
              <w:rPr>
                <w:rFonts w:cs="Arial"/>
                <w:szCs w:val="18"/>
                <w:lang w:val="en-GB"/>
              </w:rPr>
              <w:t>13410</w:t>
            </w:r>
          </w:p>
        </w:tc>
      </w:tr>
      <w:tr w:rsidR="003F62B0" w:rsidRPr="009C772A" w14:paraId="36780002" w14:textId="77777777" w:rsidTr="00DB1D3E">
        <w:tc>
          <w:tcPr>
            <w:tcW w:w="805" w:type="dxa"/>
            <w:shd w:val="clear" w:color="auto" w:fill="FFFFFF"/>
          </w:tcPr>
          <w:p w14:paraId="42AFA131" w14:textId="77777777" w:rsidR="003F62B0" w:rsidRPr="009C772A" w:rsidRDefault="003F62B0" w:rsidP="00E52DBA">
            <w:pPr>
              <w:pStyle w:val="CETBodytext"/>
              <w:rPr>
                <w:lang w:val="en-GB"/>
              </w:rPr>
            </w:pPr>
            <w:r w:rsidRPr="009C772A">
              <w:rPr>
                <w:lang w:val="en-GB"/>
              </w:rPr>
              <w:t>Elbow</w:t>
            </w:r>
          </w:p>
        </w:tc>
        <w:tc>
          <w:tcPr>
            <w:tcW w:w="1038" w:type="dxa"/>
            <w:shd w:val="clear" w:color="auto" w:fill="FFFFFF"/>
          </w:tcPr>
          <w:p w14:paraId="66C7B695" w14:textId="77777777" w:rsidR="003F62B0" w:rsidRPr="009C772A" w:rsidRDefault="003F62B0" w:rsidP="00E52DBA">
            <w:pPr>
              <w:pStyle w:val="CETBodytext"/>
              <w:jc w:val="center"/>
              <w:rPr>
                <w:lang w:val="en-GB"/>
              </w:rPr>
            </w:pPr>
            <w:r w:rsidRPr="009C772A">
              <w:rPr>
                <w:lang w:val="en-GB"/>
              </w:rPr>
              <w:t>14’’</w:t>
            </w:r>
          </w:p>
        </w:tc>
        <w:tc>
          <w:tcPr>
            <w:tcW w:w="926" w:type="dxa"/>
            <w:shd w:val="clear" w:color="auto" w:fill="FFFFFF"/>
          </w:tcPr>
          <w:p w14:paraId="16B44D8B" w14:textId="77777777" w:rsidR="003F62B0" w:rsidRPr="009C772A" w:rsidRDefault="003F62B0" w:rsidP="00E52DBA">
            <w:pPr>
              <w:pStyle w:val="CETBodytext"/>
              <w:jc w:val="center"/>
              <w:rPr>
                <w:lang w:val="en-GB"/>
              </w:rPr>
            </w:pPr>
            <w:r w:rsidRPr="009C772A">
              <w:rPr>
                <w:lang w:val="en-GB"/>
              </w:rPr>
              <w:t>355.6</w:t>
            </w:r>
          </w:p>
        </w:tc>
        <w:tc>
          <w:tcPr>
            <w:tcW w:w="751" w:type="dxa"/>
            <w:shd w:val="clear" w:color="auto" w:fill="FFFFFF"/>
          </w:tcPr>
          <w:p w14:paraId="1E0F980D" w14:textId="77777777" w:rsidR="003F62B0" w:rsidRPr="009C772A" w:rsidRDefault="003F62B0" w:rsidP="00E52DBA">
            <w:pPr>
              <w:pStyle w:val="CETBodytext"/>
              <w:ind w:right="-1"/>
              <w:jc w:val="center"/>
              <w:rPr>
                <w:rFonts w:cs="Arial"/>
                <w:szCs w:val="18"/>
                <w:lang w:val="en-GB"/>
              </w:rPr>
            </w:pPr>
            <w:r w:rsidRPr="009C772A">
              <w:rPr>
                <w:rFonts w:cs="Arial"/>
                <w:szCs w:val="18"/>
                <w:lang w:val="en-GB"/>
              </w:rPr>
              <w:t>3.96</w:t>
            </w:r>
          </w:p>
        </w:tc>
        <w:tc>
          <w:tcPr>
            <w:tcW w:w="1006" w:type="dxa"/>
            <w:shd w:val="clear" w:color="auto" w:fill="FFFFFF"/>
          </w:tcPr>
          <w:p w14:paraId="5748FA4C" w14:textId="77777777" w:rsidR="003F62B0" w:rsidRPr="009C772A" w:rsidRDefault="003F62B0" w:rsidP="00E52DBA">
            <w:pPr>
              <w:pStyle w:val="CETBodytext"/>
              <w:ind w:right="-1"/>
              <w:jc w:val="center"/>
              <w:rPr>
                <w:rFonts w:cs="Arial"/>
                <w:szCs w:val="18"/>
                <w:lang w:val="en-GB"/>
              </w:rPr>
            </w:pPr>
            <w:r w:rsidRPr="009C772A">
              <w:rPr>
                <w:rFonts w:cs="Arial"/>
                <w:szCs w:val="18"/>
                <w:lang w:val="en-GB"/>
              </w:rPr>
              <w:t>347.68</w:t>
            </w:r>
          </w:p>
        </w:tc>
        <w:tc>
          <w:tcPr>
            <w:tcW w:w="635" w:type="dxa"/>
            <w:shd w:val="clear" w:color="auto" w:fill="FFFFFF"/>
          </w:tcPr>
          <w:p w14:paraId="25B70BB4" w14:textId="77777777" w:rsidR="003F62B0" w:rsidRPr="009C772A" w:rsidRDefault="003F62B0" w:rsidP="00E52DBA">
            <w:pPr>
              <w:pStyle w:val="CETBodytext"/>
              <w:ind w:right="-1"/>
              <w:jc w:val="center"/>
              <w:rPr>
                <w:rFonts w:cs="Arial"/>
                <w:szCs w:val="18"/>
                <w:lang w:val="en-GB"/>
              </w:rPr>
            </w:pPr>
            <w:r w:rsidRPr="009C772A">
              <w:rPr>
                <w:rFonts w:cs="Arial"/>
                <w:szCs w:val="18"/>
                <w:lang w:val="en-GB"/>
              </w:rPr>
              <w:t>533</w:t>
            </w:r>
          </w:p>
        </w:tc>
        <w:tc>
          <w:tcPr>
            <w:tcW w:w="821" w:type="dxa"/>
            <w:shd w:val="clear" w:color="auto" w:fill="FFFFFF"/>
          </w:tcPr>
          <w:p w14:paraId="7A48C6EA" w14:textId="77777777" w:rsidR="003F62B0" w:rsidRPr="009C772A" w:rsidRDefault="003F62B0" w:rsidP="00E52DBA">
            <w:pPr>
              <w:pStyle w:val="CETBodytext"/>
              <w:ind w:right="-1"/>
              <w:jc w:val="center"/>
              <w:rPr>
                <w:rFonts w:cs="Arial"/>
                <w:szCs w:val="18"/>
                <w:lang w:val="en-GB"/>
              </w:rPr>
            </w:pPr>
            <w:r w:rsidRPr="009C772A">
              <w:rPr>
                <w:rFonts w:cs="Arial"/>
                <w:szCs w:val="18"/>
                <w:lang w:val="en-GB"/>
              </w:rPr>
              <w:t>1050</w:t>
            </w:r>
          </w:p>
        </w:tc>
        <w:tc>
          <w:tcPr>
            <w:tcW w:w="964" w:type="dxa"/>
            <w:shd w:val="clear" w:color="auto" w:fill="FFFFFF"/>
          </w:tcPr>
          <w:p w14:paraId="5503E6A2" w14:textId="77777777" w:rsidR="003F62B0" w:rsidRPr="009C772A" w:rsidRDefault="003F62B0" w:rsidP="00E52DBA">
            <w:pPr>
              <w:pStyle w:val="CETBodytext"/>
              <w:ind w:right="-1"/>
              <w:jc w:val="center"/>
              <w:rPr>
                <w:rFonts w:cs="Arial"/>
                <w:szCs w:val="18"/>
                <w:lang w:val="en-GB"/>
              </w:rPr>
            </w:pPr>
            <w:r w:rsidRPr="009C772A">
              <w:rPr>
                <w:rFonts w:cs="Arial"/>
                <w:szCs w:val="18"/>
                <w:lang w:val="en-GB"/>
              </w:rPr>
              <w:t>5000</w:t>
            </w:r>
          </w:p>
        </w:tc>
        <w:tc>
          <w:tcPr>
            <w:tcW w:w="709" w:type="dxa"/>
            <w:shd w:val="clear" w:color="auto" w:fill="FFFFFF"/>
          </w:tcPr>
          <w:p w14:paraId="11B3B6C9" w14:textId="77777777" w:rsidR="003F62B0" w:rsidRPr="009C772A" w:rsidRDefault="003F62B0" w:rsidP="00E52DBA">
            <w:pPr>
              <w:pStyle w:val="CETBodytext"/>
              <w:ind w:right="-1"/>
              <w:jc w:val="center"/>
              <w:rPr>
                <w:rFonts w:cs="Arial"/>
                <w:szCs w:val="18"/>
                <w:lang w:val="en-GB"/>
              </w:rPr>
            </w:pPr>
            <w:r w:rsidRPr="009C772A">
              <w:rPr>
                <w:rFonts w:cs="Arial"/>
                <w:szCs w:val="18"/>
                <w:lang w:val="en-GB"/>
              </w:rPr>
              <w:t>3410</w:t>
            </w:r>
          </w:p>
        </w:tc>
      </w:tr>
      <w:tr w:rsidR="003F62B0" w:rsidRPr="009C772A" w14:paraId="6B7AB13F" w14:textId="77777777" w:rsidTr="00DB1D3E">
        <w:tc>
          <w:tcPr>
            <w:tcW w:w="805" w:type="dxa"/>
            <w:tcBorders>
              <w:bottom w:val="single" w:sz="6" w:space="0" w:color="008000"/>
            </w:tcBorders>
            <w:shd w:val="clear" w:color="auto" w:fill="FFFFFF"/>
          </w:tcPr>
          <w:p w14:paraId="34A50F0A" w14:textId="77777777" w:rsidR="003F62B0" w:rsidRPr="009C772A" w:rsidRDefault="003F62B0" w:rsidP="00E52DBA">
            <w:pPr>
              <w:pStyle w:val="CETBodytext"/>
              <w:ind w:right="-1"/>
              <w:rPr>
                <w:rFonts w:cs="Arial"/>
                <w:szCs w:val="18"/>
                <w:lang w:val="en-GB"/>
              </w:rPr>
            </w:pPr>
            <w:r w:rsidRPr="009C772A">
              <w:rPr>
                <w:rFonts w:cs="Arial"/>
                <w:szCs w:val="18"/>
                <w:lang w:val="en-GB"/>
              </w:rPr>
              <w:t>Linear</w:t>
            </w:r>
          </w:p>
        </w:tc>
        <w:tc>
          <w:tcPr>
            <w:tcW w:w="1038" w:type="dxa"/>
            <w:tcBorders>
              <w:bottom w:val="single" w:sz="6" w:space="0" w:color="008000"/>
            </w:tcBorders>
            <w:shd w:val="clear" w:color="auto" w:fill="FFFFFF"/>
          </w:tcPr>
          <w:p w14:paraId="3B3EC2F5" w14:textId="77777777" w:rsidR="003F62B0" w:rsidRPr="009C772A" w:rsidRDefault="003F62B0" w:rsidP="00E52DBA">
            <w:pPr>
              <w:pStyle w:val="CETBodytext"/>
              <w:ind w:right="-1"/>
              <w:jc w:val="center"/>
              <w:rPr>
                <w:rFonts w:cs="Arial"/>
                <w:szCs w:val="18"/>
                <w:lang w:val="en-GB"/>
              </w:rPr>
            </w:pPr>
            <w:r w:rsidRPr="009C772A">
              <w:rPr>
                <w:rFonts w:cs="Arial"/>
                <w:szCs w:val="18"/>
                <w:lang w:val="en-GB"/>
              </w:rPr>
              <w:t>14’’</w:t>
            </w:r>
          </w:p>
        </w:tc>
        <w:tc>
          <w:tcPr>
            <w:tcW w:w="926" w:type="dxa"/>
            <w:tcBorders>
              <w:bottom w:val="single" w:sz="6" w:space="0" w:color="008000"/>
            </w:tcBorders>
            <w:shd w:val="clear" w:color="auto" w:fill="FFFFFF"/>
          </w:tcPr>
          <w:p w14:paraId="71CA000D" w14:textId="77777777" w:rsidR="003F62B0" w:rsidRPr="009C772A" w:rsidRDefault="003F62B0" w:rsidP="00E52DBA">
            <w:pPr>
              <w:pStyle w:val="CETBodytext"/>
              <w:ind w:right="-1"/>
              <w:jc w:val="center"/>
              <w:rPr>
                <w:rFonts w:cs="Arial"/>
                <w:szCs w:val="18"/>
                <w:lang w:val="en-GB"/>
              </w:rPr>
            </w:pPr>
            <w:r w:rsidRPr="009C772A">
              <w:rPr>
                <w:rFonts w:cs="Arial"/>
                <w:szCs w:val="18"/>
                <w:lang w:val="en-GB"/>
              </w:rPr>
              <w:t>355.6</w:t>
            </w:r>
          </w:p>
        </w:tc>
        <w:tc>
          <w:tcPr>
            <w:tcW w:w="751" w:type="dxa"/>
            <w:tcBorders>
              <w:bottom w:val="single" w:sz="6" w:space="0" w:color="008000"/>
            </w:tcBorders>
            <w:shd w:val="clear" w:color="auto" w:fill="FFFFFF"/>
          </w:tcPr>
          <w:p w14:paraId="6D70E4C3" w14:textId="77777777" w:rsidR="003F62B0" w:rsidRPr="009C772A" w:rsidRDefault="003F62B0" w:rsidP="00E52DBA">
            <w:pPr>
              <w:pStyle w:val="CETBodytext"/>
              <w:ind w:right="-1"/>
              <w:jc w:val="center"/>
              <w:rPr>
                <w:rFonts w:cs="Arial"/>
                <w:szCs w:val="18"/>
                <w:lang w:val="en-GB"/>
              </w:rPr>
            </w:pPr>
            <w:r w:rsidRPr="009C772A">
              <w:rPr>
                <w:rFonts w:cs="Arial"/>
                <w:szCs w:val="18"/>
                <w:lang w:val="en-GB"/>
              </w:rPr>
              <w:t>3.96</w:t>
            </w:r>
          </w:p>
        </w:tc>
        <w:tc>
          <w:tcPr>
            <w:tcW w:w="1006" w:type="dxa"/>
            <w:tcBorders>
              <w:bottom w:val="single" w:sz="6" w:space="0" w:color="008000"/>
            </w:tcBorders>
            <w:shd w:val="clear" w:color="auto" w:fill="FFFFFF"/>
          </w:tcPr>
          <w:p w14:paraId="1F04F85D" w14:textId="77777777" w:rsidR="003F62B0" w:rsidRPr="009C772A" w:rsidRDefault="003F62B0" w:rsidP="00E52DBA">
            <w:pPr>
              <w:pStyle w:val="CETBodytext"/>
              <w:ind w:right="-1"/>
              <w:jc w:val="center"/>
              <w:rPr>
                <w:rFonts w:cs="Arial"/>
                <w:szCs w:val="18"/>
                <w:lang w:val="en-GB"/>
              </w:rPr>
            </w:pPr>
            <w:r w:rsidRPr="009C772A">
              <w:rPr>
                <w:rFonts w:cs="Arial"/>
                <w:szCs w:val="18"/>
                <w:lang w:val="en-GB"/>
              </w:rPr>
              <w:t>347.68</w:t>
            </w:r>
          </w:p>
        </w:tc>
        <w:tc>
          <w:tcPr>
            <w:tcW w:w="635" w:type="dxa"/>
            <w:tcBorders>
              <w:bottom w:val="single" w:sz="6" w:space="0" w:color="008000"/>
            </w:tcBorders>
            <w:shd w:val="clear" w:color="auto" w:fill="FFFFFF"/>
          </w:tcPr>
          <w:p w14:paraId="1CB8D470" w14:textId="77777777" w:rsidR="003F62B0" w:rsidRPr="009C772A" w:rsidRDefault="003F62B0" w:rsidP="00E52DBA">
            <w:pPr>
              <w:pStyle w:val="CETBodytext"/>
              <w:ind w:right="-1"/>
              <w:jc w:val="center"/>
              <w:rPr>
                <w:rFonts w:cs="Arial"/>
                <w:szCs w:val="18"/>
                <w:lang w:val="en-GB"/>
              </w:rPr>
            </w:pPr>
            <w:r w:rsidRPr="009C772A">
              <w:rPr>
                <w:rFonts w:cs="Arial"/>
                <w:szCs w:val="18"/>
                <w:lang w:val="en-GB"/>
              </w:rPr>
              <w:t>-</w:t>
            </w:r>
          </w:p>
        </w:tc>
        <w:tc>
          <w:tcPr>
            <w:tcW w:w="821" w:type="dxa"/>
            <w:tcBorders>
              <w:bottom w:val="single" w:sz="6" w:space="0" w:color="008000"/>
            </w:tcBorders>
            <w:shd w:val="clear" w:color="auto" w:fill="FFFFFF"/>
          </w:tcPr>
          <w:p w14:paraId="79BA9F8E" w14:textId="77777777" w:rsidR="003F62B0" w:rsidRPr="009C772A" w:rsidRDefault="003F62B0" w:rsidP="00E52DBA">
            <w:pPr>
              <w:pStyle w:val="CETBodytext"/>
              <w:ind w:right="-1"/>
              <w:jc w:val="center"/>
              <w:rPr>
                <w:rFonts w:cs="Arial"/>
                <w:szCs w:val="18"/>
                <w:lang w:val="en-GB"/>
              </w:rPr>
            </w:pPr>
            <w:r w:rsidRPr="009C772A">
              <w:rPr>
                <w:rFonts w:cs="Arial"/>
                <w:szCs w:val="18"/>
                <w:lang w:val="en-GB"/>
              </w:rPr>
              <w:t>7000</w:t>
            </w:r>
          </w:p>
        </w:tc>
        <w:tc>
          <w:tcPr>
            <w:tcW w:w="964" w:type="dxa"/>
            <w:tcBorders>
              <w:bottom w:val="single" w:sz="6" w:space="0" w:color="008000"/>
            </w:tcBorders>
            <w:shd w:val="clear" w:color="auto" w:fill="FFFFFF"/>
          </w:tcPr>
          <w:p w14:paraId="078806BF" w14:textId="77777777" w:rsidR="003F62B0" w:rsidRPr="009C772A" w:rsidRDefault="003F62B0" w:rsidP="00E52DBA">
            <w:pPr>
              <w:pStyle w:val="CETBodytext"/>
              <w:ind w:right="-1"/>
              <w:jc w:val="center"/>
              <w:rPr>
                <w:rFonts w:cs="Arial"/>
                <w:szCs w:val="18"/>
                <w:lang w:val="en-GB"/>
              </w:rPr>
            </w:pPr>
            <w:r w:rsidRPr="009C772A">
              <w:rPr>
                <w:rFonts w:cs="Arial"/>
                <w:szCs w:val="18"/>
                <w:lang w:val="en-GB"/>
              </w:rPr>
              <w:t>-</w:t>
            </w:r>
          </w:p>
        </w:tc>
        <w:tc>
          <w:tcPr>
            <w:tcW w:w="709" w:type="dxa"/>
            <w:tcBorders>
              <w:bottom w:val="single" w:sz="6" w:space="0" w:color="008000"/>
            </w:tcBorders>
            <w:shd w:val="clear" w:color="auto" w:fill="FFFFFF"/>
          </w:tcPr>
          <w:p w14:paraId="0877801E" w14:textId="77777777" w:rsidR="003F62B0" w:rsidRPr="009C772A" w:rsidRDefault="003F62B0" w:rsidP="00E52DBA">
            <w:pPr>
              <w:pStyle w:val="CETBodytext"/>
              <w:ind w:right="-1"/>
              <w:jc w:val="center"/>
              <w:rPr>
                <w:rFonts w:cs="Arial"/>
                <w:szCs w:val="18"/>
                <w:lang w:val="en-GB"/>
              </w:rPr>
            </w:pPr>
            <w:r w:rsidRPr="009C772A">
              <w:rPr>
                <w:rFonts w:cs="Arial"/>
                <w:szCs w:val="18"/>
                <w:lang w:val="en-GB"/>
              </w:rPr>
              <w:t>-</w:t>
            </w:r>
          </w:p>
        </w:tc>
      </w:tr>
    </w:tbl>
    <w:p w14:paraId="5CEEC07C" w14:textId="77777777" w:rsidR="003F62B0" w:rsidRPr="009C772A" w:rsidRDefault="003F62B0" w:rsidP="003F62B0">
      <w:pPr>
        <w:pStyle w:val="CETBodytext"/>
        <w:jc w:val="left"/>
        <w:rPr>
          <w:lang w:val="en-GB"/>
        </w:rPr>
      </w:pPr>
    </w:p>
    <w:p w14:paraId="4E5B45F7" w14:textId="7A43AB0C" w:rsidR="003F62B0" w:rsidRPr="009C772A" w:rsidRDefault="00AF75D6" w:rsidP="009D2E73">
      <w:pPr>
        <w:pStyle w:val="CETBodytext"/>
        <w:spacing w:after="240"/>
        <w:rPr>
          <w:lang w:val="en-GB"/>
        </w:rPr>
      </w:pPr>
      <w:r w:rsidRPr="009C772A">
        <w:rPr>
          <w:lang w:val="en-GB"/>
        </w:rPr>
        <w:t>A cascading approach has been adopted to analyse the response of the pipelines and of the pipe-to-tank connections. Firstly, t</w:t>
      </w:r>
      <w:r w:rsidR="007377BE" w:rsidRPr="009C772A">
        <w:rPr>
          <w:lang w:val="en-GB"/>
        </w:rPr>
        <w:t xml:space="preserve">he numerical </w:t>
      </w:r>
      <w:r w:rsidR="003F62B0" w:rsidRPr="009C772A">
        <w:rPr>
          <w:lang w:val="en-GB"/>
        </w:rPr>
        <w:t xml:space="preserve">models of </w:t>
      </w:r>
      <w:r w:rsidR="007377BE" w:rsidRPr="009C772A">
        <w:rPr>
          <w:lang w:val="en-GB"/>
        </w:rPr>
        <w:t xml:space="preserve">the four analysed configurations </w:t>
      </w:r>
      <w:r w:rsidRPr="009C772A">
        <w:rPr>
          <w:lang w:val="en-GB"/>
        </w:rPr>
        <w:t xml:space="preserve">have been developed </w:t>
      </w:r>
      <w:r w:rsidR="007377BE" w:rsidRPr="009C772A">
        <w:rPr>
          <w:lang w:val="en-GB"/>
        </w:rPr>
        <w:t>to identify the relative displacements at which the pipelines are prone</w:t>
      </w:r>
      <w:r w:rsidRPr="009C772A">
        <w:rPr>
          <w:lang w:val="en-GB"/>
        </w:rPr>
        <w:t>;</w:t>
      </w:r>
      <w:r w:rsidR="007377BE" w:rsidRPr="009C772A">
        <w:rPr>
          <w:lang w:val="en-GB"/>
        </w:rPr>
        <w:t xml:space="preserve"> then</w:t>
      </w:r>
      <w:r w:rsidR="008E1C05" w:rsidRPr="009C772A">
        <w:rPr>
          <w:lang w:val="en-GB"/>
        </w:rPr>
        <w:t>,</w:t>
      </w:r>
      <w:r w:rsidR="007377BE" w:rsidRPr="009C772A">
        <w:rPr>
          <w:lang w:val="en-GB"/>
        </w:rPr>
        <w:t xml:space="preserve"> detailed numerical model</w:t>
      </w:r>
      <w:r w:rsidRPr="009C772A">
        <w:rPr>
          <w:lang w:val="en-GB"/>
        </w:rPr>
        <w:t>s</w:t>
      </w:r>
      <w:r w:rsidR="007377BE" w:rsidRPr="009C772A">
        <w:rPr>
          <w:lang w:val="en-GB"/>
        </w:rPr>
        <w:t xml:space="preserve"> of the pipelines </w:t>
      </w:r>
      <w:r w:rsidRPr="009C772A">
        <w:rPr>
          <w:lang w:val="en-GB"/>
        </w:rPr>
        <w:t xml:space="preserve">were </w:t>
      </w:r>
      <w:r w:rsidR="007377BE" w:rsidRPr="009C772A">
        <w:rPr>
          <w:lang w:val="en-GB"/>
        </w:rPr>
        <w:t>developed to investigate in</w:t>
      </w:r>
      <w:r w:rsidR="00FD20AA" w:rsidRPr="009C772A">
        <w:rPr>
          <w:lang w:val="en-GB"/>
        </w:rPr>
        <w:t xml:space="preserve"> </w:t>
      </w:r>
      <w:r w:rsidR="007377BE" w:rsidRPr="009C772A">
        <w:rPr>
          <w:lang w:val="en-GB"/>
        </w:rPr>
        <w:t xml:space="preserve">detail the response of the pipelines when subjected </w:t>
      </w:r>
      <w:r w:rsidRPr="009C772A">
        <w:rPr>
          <w:lang w:val="en-GB"/>
        </w:rPr>
        <w:t>to</w:t>
      </w:r>
      <w:r w:rsidR="007377BE" w:rsidRPr="009C772A">
        <w:rPr>
          <w:lang w:val="en-GB"/>
        </w:rPr>
        <w:t xml:space="preserve"> the seismic input derived </w:t>
      </w:r>
      <w:r w:rsidR="005E4914" w:rsidRPr="009C772A">
        <w:rPr>
          <w:lang w:val="en-GB"/>
        </w:rPr>
        <w:t>from</w:t>
      </w:r>
      <w:r w:rsidR="007377BE" w:rsidRPr="009C772A">
        <w:rPr>
          <w:lang w:val="en-GB"/>
        </w:rPr>
        <w:t xml:space="preserve"> the global analyses</w:t>
      </w:r>
      <w:r w:rsidR="003F62B0" w:rsidRPr="009C772A">
        <w:rPr>
          <w:lang w:val="en-GB"/>
        </w:rPr>
        <w:t xml:space="preserve">. </w:t>
      </w:r>
      <w:r w:rsidRPr="009C772A">
        <w:rPr>
          <w:lang w:val="en-GB"/>
        </w:rPr>
        <w:t>The global models were developed in M</w:t>
      </w:r>
      <w:r w:rsidR="00DC4D8B" w:rsidRPr="009C772A">
        <w:rPr>
          <w:lang w:val="en-GB"/>
        </w:rPr>
        <w:t>idas</w:t>
      </w:r>
      <w:r w:rsidRPr="009C772A">
        <w:rPr>
          <w:lang w:val="en-GB"/>
        </w:rPr>
        <w:t xml:space="preserve"> G</w:t>
      </w:r>
      <w:r w:rsidR="00DC4D8B" w:rsidRPr="009C772A">
        <w:rPr>
          <w:lang w:val="en-GB"/>
        </w:rPr>
        <w:t>EN</w:t>
      </w:r>
      <w:r w:rsidRPr="009C772A">
        <w:rPr>
          <w:lang w:val="en-GB"/>
        </w:rPr>
        <w:t>, while the detailed models of the pipelines were developed in M</w:t>
      </w:r>
      <w:r w:rsidR="00DC4D8B" w:rsidRPr="009C772A">
        <w:rPr>
          <w:lang w:val="en-GB"/>
        </w:rPr>
        <w:t xml:space="preserve">idas </w:t>
      </w:r>
      <w:r w:rsidRPr="009C772A">
        <w:rPr>
          <w:lang w:val="en-GB"/>
        </w:rPr>
        <w:t>F</w:t>
      </w:r>
      <w:r w:rsidR="00DC4D8B" w:rsidRPr="009C772A">
        <w:rPr>
          <w:lang w:val="en-GB"/>
        </w:rPr>
        <w:t>EA</w:t>
      </w:r>
      <w:r w:rsidRPr="009C772A">
        <w:rPr>
          <w:lang w:val="en-GB"/>
        </w:rPr>
        <w:t xml:space="preserve">. </w:t>
      </w:r>
      <w:r w:rsidR="007377BE" w:rsidRPr="009C772A">
        <w:rPr>
          <w:lang w:val="en-GB"/>
        </w:rPr>
        <w:t xml:space="preserve">In this preliminary study, only one ground motion </w:t>
      </w:r>
      <w:r w:rsidR="005E4914" w:rsidRPr="009C772A">
        <w:rPr>
          <w:lang w:val="en-GB"/>
        </w:rPr>
        <w:t xml:space="preserve">record </w:t>
      </w:r>
      <w:r w:rsidR="00FD20AA" w:rsidRPr="009C772A">
        <w:rPr>
          <w:lang w:val="en-GB"/>
        </w:rPr>
        <w:t>was considered for</w:t>
      </w:r>
      <w:r w:rsidR="007377BE" w:rsidRPr="009C772A">
        <w:rPr>
          <w:lang w:val="en-GB"/>
        </w:rPr>
        <w:t xml:space="preserve"> the time history analys</w:t>
      </w:r>
      <w:r w:rsidR="00DC4D8B" w:rsidRPr="009C772A">
        <w:rPr>
          <w:lang w:val="en-GB"/>
        </w:rPr>
        <w:t>e</w:t>
      </w:r>
      <w:r w:rsidR="007377BE" w:rsidRPr="009C772A">
        <w:rPr>
          <w:lang w:val="en-GB"/>
        </w:rPr>
        <w:t xml:space="preserve">s. The ground motion </w:t>
      </w:r>
      <w:r w:rsidR="00FD20AA" w:rsidRPr="009C772A">
        <w:rPr>
          <w:lang w:val="en-GB"/>
        </w:rPr>
        <w:t>was selected according to the selection criteria provided by NTC18, and a site characteri</w:t>
      </w:r>
      <w:r w:rsidR="00E1486D" w:rsidRPr="009C772A">
        <w:rPr>
          <w:lang w:val="en-GB"/>
        </w:rPr>
        <w:t>s</w:t>
      </w:r>
      <w:r w:rsidR="00FD20AA" w:rsidRPr="009C772A">
        <w:rPr>
          <w:lang w:val="en-GB"/>
        </w:rPr>
        <w:t>ed by a PGA equal to about 0.16g for a return period equal to 475 years on soil type B was assumed</w:t>
      </w:r>
      <w:r w:rsidR="007377BE" w:rsidRPr="009C772A">
        <w:rPr>
          <w:lang w:val="en-GB"/>
        </w:rPr>
        <w:t>.</w:t>
      </w:r>
    </w:p>
    <w:p w14:paraId="7A879056" w14:textId="77777777" w:rsidR="003F62B0" w:rsidRPr="009C772A" w:rsidRDefault="003F62B0" w:rsidP="00E1486D">
      <w:pPr>
        <w:pStyle w:val="CETheadingx"/>
        <w:rPr>
          <w:lang w:val="en-GB"/>
        </w:rPr>
      </w:pPr>
      <w:r w:rsidRPr="009C772A">
        <w:rPr>
          <w:lang w:val="en-GB"/>
        </w:rPr>
        <w:t>2.2 Results</w:t>
      </w:r>
    </w:p>
    <w:p w14:paraId="3DB93BFD" w14:textId="7C9A792E" w:rsidR="003F62B0" w:rsidRPr="009C772A" w:rsidRDefault="00DC4D8B" w:rsidP="003F62B0">
      <w:pPr>
        <w:pStyle w:val="CETBodytext"/>
        <w:rPr>
          <w:lang w:val="en-GB"/>
        </w:rPr>
      </w:pPr>
      <w:r w:rsidRPr="009C772A">
        <w:rPr>
          <w:lang w:val="en-GB"/>
        </w:rPr>
        <w:t xml:space="preserve">Because the stiffness of the pipelines is negligible with respect to the stiffness of the tanks, </w:t>
      </w:r>
      <w:r w:rsidR="00FD20AA" w:rsidRPr="009C772A">
        <w:rPr>
          <w:lang w:val="en-GB"/>
        </w:rPr>
        <w:t>estimating</w:t>
      </w:r>
      <w:r w:rsidRPr="009C772A">
        <w:rPr>
          <w:lang w:val="en-GB"/>
        </w:rPr>
        <w:t xml:space="preserve"> the maximum displacements of the tanks to be used for the analysis of the pipelines is only required to perform the analysis </w:t>
      </w:r>
      <w:r w:rsidR="00DA07EC" w:rsidRPr="009C772A">
        <w:rPr>
          <w:lang w:val="en-GB"/>
        </w:rPr>
        <w:t>for</w:t>
      </w:r>
      <w:r w:rsidRPr="009C772A">
        <w:rPr>
          <w:lang w:val="en-GB"/>
        </w:rPr>
        <w:t xml:space="preserve"> one of the four configurations reported in Figure 2. Considering all the combination</w:t>
      </w:r>
      <w:r w:rsidR="00DA07EC" w:rsidRPr="009C772A">
        <w:rPr>
          <w:lang w:val="en-GB"/>
        </w:rPr>
        <w:t>s</w:t>
      </w:r>
      <w:r w:rsidRPr="009C772A">
        <w:rPr>
          <w:lang w:val="en-GB"/>
        </w:rPr>
        <w:t xml:space="preserve"> of the parameters reported in Table 1, a total of 21 combinations were analysed. Figure </w:t>
      </w:r>
      <w:r w:rsidR="00E622A5">
        <w:rPr>
          <w:lang w:val="en-GB"/>
        </w:rPr>
        <w:t>3</w:t>
      </w:r>
      <w:r w:rsidRPr="009C772A">
        <w:rPr>
          <w:lang w:val="en-GB"/>
        </w:rPr>
        <w:t xml:space="preserve"> reports the maximum displacements obtained from the time history analyses</w:t>
      </w:r>
      <w:r w:rsidR="00A41141">
        <w:rPr>
          <w:lang w:val="en-GB"/>
        </w:rPr>
        <w:t xml:space="preserve"> for each combination</w:t>
      </w:r>
      <w:r w:rsidRPr="009C772A">
        <w:rPr>
          <w:lang w:val="en-GB"/>
        </w:rPr>
        <w:t xml:space="preserve">. The maximum displacement </w:t>
      </w:r>
      <w:r w:rsidR="00250FF1" w:rsidRPr="009C772A">
        <w:rPr>
          <w:lang w:val="en-GB"/>
        </w:rPr>
        <w:t>was</w:t>
      </w:r>
      <w:r w:rsidRPr="009C772A">
        <w:rPr>
          <w:lang w:val="en-GB"/>
        </w:rPr>
        <w:t xml:space="preserve"> calculated </w:t>
      </w:r>
      <w:r w:rsidR="00FD20AA" w:rsidRPr="009C772A">
        <w:rPr>
          <w:lang w:val="en-GB"/>
        </w:rPr>
        <w:t xml:space="preserve">by </w:t>
      </w:r>
      <w:r w:rsidRPr="009C772A">
        <w:rPr>
          <w:lang w:val="en-GB"/>
        </w:rPr>
        <w:t xml:space="preserve">comparing the absolute displacement time histories of the two tanks </w:t>
      </w:r>
      <w:r w:rsidR="00DA07EC" w:rsidRPr="009C772A">
        <w:rPr>
          <w:lang w:val="en-GB"/>
        </w:rPr>
        <w:t xml:space="preserve">considered in each combination </w:t>
      </w:r>
      <w:proofErr w:type="gramStart"/>
      <w:r w:rsidRPr="009C772A">
        <w:rPr>
          <w:lang w:val="en-GB"/>
        </w:rPr>
        <w:t>in order to</w:t>
      </w:r>
      <w:proofErr w:type="gramEnd"/>
      <w:r w:rsidRPr="009C772A">
        <w:rPr>
          <w:lang w:val="en-GB"/>
        </w:rPr>
        <w:t xml:space="preserve"> account </w:t>
      </w:r>
      <w:r w:rsidR="00DA07EC" w:rsidRPr="009C772A">
        <w:rPr>
          <w:lang w:val="en-GB"/>
        </w:rPr>
        <w:t>for</w:t>
      </w:r>
      <w:r w:rsidRPr="009C772A">
        <w:rPr>
          <w:lang w:val="en-GB"/>
        </w:rPr>
        <w:t xml:space="preserve"> the counter-phase displacements. </w:t>
      </w:r>
      <w:r w:rsidR="003F62B0" w:rsidRPr="009C772A">
        <w:rPr>
          <w:lang w:val="en-GB"/>
        </w:rPr>
        <w:t xml:space="preserve">Among all the </w:t>
      </w:r>
      <w:r w:rsidRPr="009C772A">
        <w:rPr>
          <w:lang w:val="en-GB"/>
        </w:rPr>
        <w:t>combinations</w:t>
      </w:r>
      <w:r w:rsidR="003F62B0" w:rsidRPr="009C772A">
        <w:rPr>
          <w:lang w:val="en-GB"/>
        </w:rPr>
        <w:t xml:space="preserve">, the worst conditions are </w:t>
      </w:r>
      <w:r w:rsidR="00DA07EC" w:rsidRPr="009C772A">
        <w:rPr>
          <w:lang w:val="en-GB"/>
        </w:rPr>
        <w:t xml:space="preserve">obtained for combinations </w:t>
      </w:r>
      <w:r w:rsidR="003F62B0" w:rsidRPr="009C772A">
        <w:rPr>
          <w:lang w:val="en-GB"/>
        </w:rPr>
        <w:t>M</w:t>
      </w:r>
      <w:r w:rsidR="003F62B0" w:rsidRPr="009C772A">
        <w:rPr>
          <w:vertAlign w:val="subscript"/>
          <w:lang w:val="en-GB"/>
        </w:rPr>
        <w:t>1</w:t>
      </w:r>
      <w:r w:rsidR="003F62B0" w:rsidRPr="009C772A">
        <w:rPr>
          <w:lang w:val="en-GB"/>
        </w:rPr>
        <w:t>-M</w:t>
      </w:r>
      <w:r w:rsidR="003F62B0" w:rsidRPr="009C772A">
        <w:rPr>
          <w:vertAlign w:val="subscript"/>
          <w:lang w:val="en-GB"/>
        </w:rPr>
        <w:t>2</w:t>
      </w:r>
      <w:r w:rsidR="003F62B0" w:rsidRPr="009C772A">
        <w:rPr>
          <w:lang w:val="en-GB"/>
        </w:rPr>
        <w:t xml:space="preserve"> and M</w:t>
      </w:r>
      <w:r w:rsidR="003F62B0" w:rsidRPr="009C772A">
        <w:rPr>
          <w:vertAlign w:val="subscript"/>
          <w:lang w:val="en-GB"/>
        </w:rPr>
        <w:t>2</w:t>
      </w:r>
      <w:r w:rsidR="003F62B0" w:rsidRPr="009C772A">
        <w:rPr>
          <w:lang w:val="en-GB"/>
        </w:rPr>
        <w:t>-M</w:t>
      </w:r>
      <w:r w:rsidR="003F62B0" w:rsidRPr="009C772A">
        <w:rPr>
          <w:vertAlign w:val="subscript"/>
          <w:lang w:val="en-GB"/>
        </w:rPr>
        <w:t>6</w:t>
      </w:r>
      <w:r w:rsidR="003F62B0" w:rsidRPr="009C772A">
        <w:rPr>
          <w:lang w:val="en-GB"/>
        </w:rPr>
        <w:t>.</w:t>
      </w:r>
    </w:p>
    <w:p w14:paraId="063F1F6C" w14:textId="4666FC98" w:rsidR="003F62B0" w:rsidRPr="009C772A" w:rsidRDefault="003F62B0" w:rsidP="003F62B0">
      <w:pPr>
        <w:pStyle w:val="CETBodytext"/>
        <w:rPr>
          <w:i/>
          <w:lang w:val="en-GB"/>
        </w:rPr>
      </w:pPr>
      <w:r w:rsidRPr="009C772A">
        <w:rPr>
          <w:noProof/>
          <w:color w:val="FF0000"/>
          <w:lang w:val="en-GB" w:eastAsia="it-IT"/>
        </w:rPr>
        <w:lastRenderedPageBreak/>
        <w:drawing>
          <wp:anchor distT="0" distB="0" distL="114300" distR="114300" simplePos="0" relativeHeight="251659264" behindDoc="0" locked="0" layoutInCell="1" allowOverlap="1" wp14:anchorId="17477725" wp14:editId="28F31134">
            <wp:simplePos x="0" y="0"/>
            <wp:positionH relativeFrom="margin">
              <wp:align>left</wp:align>
            </wp:positionH>
            <wp:positionV relativeFrom="paragraph">
              <wp:posOffset>11430</wp:posOffset>
            </wp:positionV>
            <wp:extent cx="4314825" cy="1885950"/>
            <wp:effectExtent l="0" t="0" r="0" b="0"/>
            <wp:wrapSquare wrapText="bothSides"/>
            <wp:docPr id="25" name="Grafico 25">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5C5679FC" w14:textId="6D9359E2" w:rsidR="003F62B0" w:rsidRDefault="003F62B0" w:rsidP="003F62B0">
      <w:pPr>
        <w:pStyle w:val="CETBodytext"/>
        <w:rPr>
          <w:i/>
          <w:lang w:val="en-GB"/>
        </w:rPr>
      </w:pPr>
      <w:r w:rsidRPr="009C772A">
        <w:rPr>
          <w:lang w:val="en-GB"/>
        </w:rPr>
        <w:br w:type="textWrapping" w:clear="all"/>
      </w:r>
      <w:r w:rsidRPr="009C772A">
        <w:rPr>
          <w:i/>
          <w:lang w:val="en-GB"/>
        </w:rPr>
        <w:t xml:space="preserve">Figure </w:t>
      </w:r>
      <w:r w:rsidR="00E622A5">
        <w:rPr>
          <w:i/>
          <w:lang w:val="en-GB"/>
        </w:rPr>
        <w:t>3</w:t>
      </w:r>
      <w:r w:rsidRPr="009C772A">
        <w:rPr>
          <w:i/>
          <w:lang w:val="en-GB"/>
        </w:rPr>
        <w:t>: Maximum displacements of coupled models</w:t>
      </w:r>
    </w:p>
    <w:p w14:paraId="20805114" w14:textId="77777777" w:rsidR="00F84909" w:rsidRPr="009C772A" w:rsidRDefault="00F84909" w:rsidP="003F62B0">
      <w:pPr>
        <w:pStyle w:val="CETBodytext"/>
        <w:rPr>
          <w:i/>
          <w:lang w:val="en-GB"/>
        </w:rPr>
      </w:pPr>
    </w:p>
    <w:p w14:paraId="1FE3DC2C" w14:textId="0BE882E1" w:rsidR="003F62B0" w:rsidRPr="009C772A" w:rsidRDefault="00346CA8" w:rsidP="003F62B0">
      <w:pPr>
        <w:pStyle w:val="CETBodytext"/>
        <w:rPr>
          <w:lang w:val="en-GB"/>
        </w:rPr>
      </w:pPr>
      <w:r w:rsidRPr="009C772A">
        <w:rPr>
          <w:lang w:val="en-GB"/>
        </w:rPr>
        <w:t>Fo</w:t>
      </w:r>
      <w:r w:rsidR="003578D5" w:rsidRPr="009C772A">
        <w:rPr>
          <w:lang w:val="en-GB"/>
        </w:rPr>
        <w:t>u</w:t>
      </w:r>
      <w:r w:rsidRPr="009C772A">
        <w:rPr>
          <w:lang w:val="en-GB"/>
        </w:rPr>
        <w:t>r combinations</w:t>
      </w:r>
      <w:r w:rsidR="008E1C05" w:rsidRPr="009C772A">
        <w:rPr>
          <w:lang w:val="en-GB"/>
        </w:rPr>
        <w:t>, cases M</w:t>
      </w:r>
      <w:r w:rsidR="008E1C05" w:rsidRPr="009C772A">
        <w:rPr>
          <w:vertAlign w:val="subscript"/>
          <w:lang w:val="en-GB"/>
        </w:rPr>
        <w:t>1</w:t>
      </w:r>
      <w:r w:rsidR="008E1C05" w:rsidRPr="009C772A">
        <w:rPr>
          <w:lang w:val="en-GB"/>
        </w:rPr>
        <w:t>-M</w:t>
      </w:r>
      <w:r w:rsidR="008E1C05" w:rsidRPr="009C772A">
        <w:rPr>
          <w:vertAlign w:val="subscript"/>
          <w:lang w:val="en-GB"/>
        </w:rPr>
        <w:t>2</w:t>
      </w:r>
      <w:r w:rsidR="008E1C05" w:rsidRPr="009C772A">
        <w:rPr>
          <w:lang w:val="en-GB"/>
        </w:rPr>
        <w:t>, M</w:t>
      </w:r>
      <w:r w:rsidR="008E1C05" w:rsidRPr="009C772A">
        <w:rPr>
          <w:vertAlign w:val="subscript"/>
          <w:lang w:val="en-GB"/>
        </w:rPr>
        <w:t>2</w:t>
      </w:r>
      <w:r w:rsidR="008E1C05" w:rsidRPr="009C772A">
        <w:rPr>
          <w:lang w:val="en-GB"/>
        </w:rPr>
        <w:t>-M</w:t>
      </w:r>
      <w:r w:rsidR="008E1C05" w:rsidRPr="009C772A">
        <w:rPr>
          <w:vertAlign w:val="subscript"/>
          <w:lang w:val="en-GB"/>
        </w:rPr>
        <w:t>5</w:t>
      </w:r>
      <w:r w:rsidR="008E1C05" w:rsidRPr="009C772A">
        <w:rPr>
          <w:lang w:val="en-GB"/>
        </w:rPr>
        <w:t>, M</w:t>
      </w:r>
      <w:r w:rsidR="008E1C05" w:rsidRPr="009C772A">
        <w:rPr>
          <w:vertAlign w:val="subscript"/>
          <w:lang w:val="en-GB"/>
        </w:rPr>
        <w:t>1</w:t>
      </w:r>
      <w:r w:rsidR="008E1C05" w:rsidRPr="009C772A">
        <w:rPr>
          <w:lang w:val="en-GB"/>
        </w:rPr>
        <w:t>-M</w:t>
      </w:r>
      <w:r w:rsidR="008E1C05" w:rsidRPr="009C772A">
        <w:rPr>
          <w:vertAlign w:val="subscript"/>
          <w:lang w:val="en-GB"/>
        </w:rPr>
        <w:t>4</w:t>
      </w:r>
      <w:r w:rsidR="008E1C05" w:rsidRPr="009C772A">
        <w:rPr>
          <w:lang w:val="en-GB"/>
        </w:rPr>
        <w:t>, M</w:t>
      </w:r>
      <w:r w:rsidR="008E1C05" w:rsidRPr="009C772A">
        <w:rPr>
          <w:vertAlign w:val="subscript"/>
          <w:lang w:val="en-GB"/>
        </w:rPr>
        <w:t>5</w:t>
      </w:r>
      <w:r w:rsidR="008E1C05" w:rsidRPr="009C772A">
        <w:rPr>
          <w:lang w:val="en-GB"/>
        </w:rPr>
        <w:t>-M</w:t>
      </w:r>
      <w:r w:rsidR="008E1C05" w:rsidRPr="009C772A">
        <w:rPr>
          <w:vertAlign w:val="subscript"/>
          <w:lang w:val="en-GB"/>
        </w:rPr>
        <w:t>7</w:t>
      </w:r>
      <w:r w:rsidR="008E1C05" w:rsidRPr="009C772A">
        <w:rPr>
          <w:lang w:val="en-GB"/>
        </w:rPr>
        <w:t xml:space="preserve"> (marked in red in Figure 4), were selected to perform the detailed analyses of the pipelines </w:t>
      </w:r>
      <w:r w:rsidR="003F62B0" w:rsidRPr="009C772A">
        <w:rPr>
          <w:lang w:val="en-GB"/>
        </w:rPr>
        <w:t xml:space="preserve">for the different configurations </w:t>
      </w:r>
      <w:r w:rsidR="008E1C05" w:rsidRPr="009C772A">
        <w:rPr>
          <w:lang w:val="en-GB"/>
        </w:rPr>
        <w:t>reported in Figure 2</w:t>
      </w:r>
      <w:r w:rsidR="003F62B0" w:rsidRPr="009C772A">
        <w:rPr>
          <w:lang w:val="en-GB"/>
        </w:rPr>
        <w:t xml:space="preserve">. The </w:t>
      </w:r>
      <w:r w:rsidR="008E1C05" w:rsidRPr="009C772A">
        <w:rPr>
          <w:lang w:val="en-GB"/>
        </w:rPr>
        <w:t xml:space="preserve">performance of the pipelines </w:t>
      </w:r>
      <w:r w:rsidR="00250FF1" w:rsidRPr="009C772A">
        <w:rPr>
          <w:lang w:val="en-GB"/>
        </w:rPr>
        <w:t>was</w:t>
      </w:r>
      <w:r w:rsidR="008E1C05" w:rsidRPr="009C772A">
        <w:rPr>
          <w:lang w:val="en-GB"/>
        </w:rPr>
        <w:t xml:space="preserve"> investigated in terms </w:t>
      </w:r>
      <w:r w:rsidR="003F62B0" w:rsidRPr="009C772A">
        <w:rPr>
          <w:lang w:val="en-GB"/>
        </w:rPr>
        <w:t>of stress state</w:t>
      </w:r>
      <w:r w:rsidR="00FD20AA" w:rsidRPr="009C772A">
        <w:rPr>
          <w:lang w:val="en-GB"/>
        </w:rPr>
        <w:t>,</w:t>
      </w:r>
      <w:r w:rsidR="003F62B0" w:rsidRPr="009C772A">
        <w:rPr>
          <w:lang w:val="en-GB"/>
        </w:rPr>
        <w:t xml:space="preserve"> </w:t>
      </w:r>
      <w:r w:rsidR="008E1C05" w:rsidRPr="009C772A">
        <w:rPr>
          <w:lang w:val="en-GB"/>
        </w:rPr>
        <w:t>a</w:t>
      </w:r>
      <w:r w:rsidR="007F21EA" w:rsidRPr="009C772A">
        <w:rPr>
          <w:lang w:val="en-GB"/>
        </w:rPr>
        <w:t>dopting</w:t>
      </w:r>
      <w:r w:rsidR="008E1C05" w:rsidRPr="009C772A">
        <w:rPr>
          <w:lang w:val="en-GB"/>
        </w:rPr>
        <w:t xml:space="preserve"> the</w:t>
      </w:r>
      <w:r w:rsidR="003F62B0" w:rsidRPr="009C772A">
        <w:rPr>
          <w:lang w:val="en-GB"/>
        </w:rPr>
        <w:t xml:space="preserve"> von Mises-Maxwell</w:t>
      </w:r>
      <w:r w:rsidR="008E1C05" w:rsidRPr="009C772A">
        <w:rPr>
          <w:lang w:val="en-GB"/>
        </w:rPr>
        <w:t xml:space="preserve"> criterion</w:t>
      </w:r>
      <w:r w:rsidR="007F21EA" w:rsidRPr="009C772A">
        <w:rPr>
          <w:lang w:val="en-GB"/>
        </w:rPr>
        <w:t xml:space="preserve"> for the failure assessment</w:t>
      </w:r>
      <w:r w:rsidR="003F62B0" w:rsidRPr="009C772A">
        <w:rPr>
          <w:lang w:val="en-GB"/>
        </w:rPr>
        <w:t xml:space="preserve">. Examples of the stress state in </w:t>
      </w:r>
      <w:proofErr w:type="gramStart"/>
      <w:r w:rsidR="0093467F">
        <w:rPr>
          <w:lang w:val="en-GB"/>
        </w:rPr>
        <w:t>c</w:t>
      </w:r>
      <w:r w:rsidR="007F21EA" w:rsidRPr="009C772A">
        <w:rPr>
          <w:lang w:val="en-GB"/>
        </w:rPr>
        <w:t>onfiguration</w:t>
      </w:r>
      <w:proofErr w:type="gramEnd"/>
      <w:r w:rsidR="007F21EA" w:rsidRPr="009C772A">
        <w:rPr>
          <w:lang w:val="en-GB"/>
        </w:rPr>
        <w:t xml:space="preserve"> 1.</w:t>
      </w:r>
      <w:r w:rsidR="00A46012" w:rsidRPr="009C772A">
        <w:rPr>
          <w:lang w:val="en-GB"/>
        </w:rPr>
        <w:t>A</w:t>
      </w:r>
      <w:r w:rsidR="007F21EA" w:rsidRPr="009C772A">
        <w:rPr>
          <w:lang w:val="en-GB"/>
        </w:rPr>
        <w:t xml:space="preserve">, 2.A and 2.B </w:t>
      </w:r>
      <w:r w:rsidR="003F62B0" w:rsidRPr="009C772A">
        <w:rPr>
          <w:lang w:val="en-GB"/>
        </w:rPr>
        <w:t xml:space="preserve">are </w:t>
      </w:r>
      <w:r w:rsidR="007F21EA" w:rsidRPr="009C772A">
        <w:rPr>
          <w:lang w:val="en-GB"/>
        </w:rPr>
        <w:t>reported</w:t>
      </w:r>
      <w:r w:rsidR="003F62B0" w:rsidRPr="009C772A">
        <w:rPr>
          <w:lang w:val="en-GB"/>
        </w:rPr>
        <w:t xml:space="preserve"> in Figure </w:t>
      </w:r>
      <w:r w:rsidR="00282BCA">
        <w:rPr>
          <w:lang w:val="en-GB"/>
        </w:rPr>
        <w:t>4</w:t>
      </w:r>
      <w:r w:rsidR="003F62B0" w:rsidRPr="009C772A">
        <w:rPr>
          <w:lang w:val="en-GB"/>
        </w:rPr>
        <w:t>.</w:t>
      </w:r>
    </w:p>
    <w:p w14:paraId="4BA1C2A1" w14:textId="77777777" w:rsidR="003D67C0" w:rsidRPr="009C772A" w:rsidRDefault="003D67C0" w:rsidP="003F62B0">
      <w:pPr>
        <w:pStyle w:val="CETBodytext"/>
        <w:rPr>
          <w:lang w:val="en-GB"/>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7"/>
        <w:gridCol w:w="222"/>
        <w:gridCol w:w="4628"/>
      </w:tblGrid>
      <w:tr w:rsidR="00A01300" w:rsidRPr="009C772A" w14:paraId="7C85C735" w14:textId="77777777" w:rsidTr="003D67C0">
        <w:tc>
          <w:tcPr>
            <w:tcW w:w="2925" w:type="dxa"/>
          </w:tcPr>
          <w:p w14:paraId="0CDF7642" w14:textId="60A41BC1" w:rsidR="003D67C0" w:rsidRPr="009C772A" w:rsidRDefault="00A711F7" w:rsidP="003D67C0">
            <w:pPr>
              <w:pStyle w:val="CETBodytext"/>
              <w:jc w:val="center"/>
              <w:rPr>
                <w:lang w:val="en-GB"/>
              </w:rPr>
            </w:pPr>
            <w:r>
              <w:rPr>
                <w:noProof/>
                <w:lang w:val="it-IT" w:eastAsia="it-IT"/>
              </w:rPr>
              <w:drawing>
                <wp:inline distT="0" distB="0" distL="0" distR="0" wp14:anchorId="12C9AC42" wp14:editId="062A3540">
                  <wp:extent cx="2369489" cy="2136565"/>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2093" t="21196" r="28502" b="36382"/>
                          <a:stretch/>
                        </pic:blipFill>
                        <pic:spPr bwMode="auto">
                          <a:xfrm>
                            <a:off x="0" y="0"/>
                            <a:ext cx="2411280" cy="2174247"/>
                          </a:xfrm>
                          <a:prstGeom prst="rect">
                            <a:avLst/>
                          </a:prstGeom>
                          <a:ln>
                            <a:noFill/>
                          </a:ln>
                          <a:extLst>
                            <a:ext uri="{53640926-AAD7-44D8-BBD7-CCE9431645EC}">
                              <a14:shadowObscured xmlns:a14="http://schemas.microsoft.com/office/drawing/2010/main"/>
                            </a:ext>
                          </a:extLst>
                        </pic:spPr>
                      </pic:pic>
                    </a:graphicData>
                  </a:graphic>
                </wp:inline>
              </w:drawing>
            </w:r>
          </w:p>
        </w:tc>
        <w:tc>
          <w:tcPr>
            <w:tcW w:w="2926" w:type="dxa"/>
          </w:tcPr>
          <w:p w14:paraId="73C88B41" w14:textId="06D15643" w:rsidR="003D67C0" w:rsidRPr="009C772A" w:rsidRDefault="003D67C0" w:rsidP="003D67C0">
            <w:pPr>
              <w:pStyle w:val="CETBodytext"/>
              <w:jc w:val="center"/>
              <w:rPr>
                <w:lang w:val="en-GB"/>
              </w:rPr>
            </w:pPr>
          </w:p>
        </w:tc>
        <w:tc>
          <w:tcPr>
            <w:tcW w:w="2926" w:type="dxa"/>
          </w:tcPr>
          <w:p w14:paraId="6F932F2D" w14:textId="2DA1708A" w:rsidR="003D67C0" w:rsidRPr="009C772A" w:rsidRDefault="003D67C0" w:rsidP="003D67C0">
            <w:pPr>
              <w:pStyle w:val="CETBodytext"/>
              <w:jc w:val="center"/>
              <w:rPr>
                <w:lang w:val="en-GB"/>
              </w:rPr>
            </w:pPr>
            <w:r w:rsidRPr="009C772A">
              <w:rPr>
                <w:noProof/>
                <w:lang w:val="en-GB" w:eastAsia="it-IT"/>
              </w:rPr>
              <w:drawing>
                <wp:inline distT="0" distB="0" distL="0" distR="0" wp14:anchorId="256717D4" wp14:editId="5D1D888E">
                  <wp:extent cx="2808758" cy="213614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9066" t="19108" r="11166" b="32506"/>
                          <a:stretch/>
                        </pic:blipFill>
                        <pic:spPr bwMode="auto">
                          <a:xfrm>
                            <a:off x="0" y="0"/>
                            <a:ext cx="2846848" cy="2165109"/>
                          </a:xfrm>
                          <a:prstGeom prst="rect">
                            <a:avLst/>
                          </a:prstGeom>
                          <a:ln>
                            <a:noFill/>
                          </a:ln>
                          <a:extLst>
                            <a:ext uri="{53640926-AAD7-44D8-BBD7-CCE9431645EC}">
                              <a14:shadowObscured xmlns:a14="http://schemas.microsoft.com/office/drawing/2010/main"/>
                            </a:ext>
                          </a:extLst>
                        </pic:spPr>
                      </pic:pic>
                    </a:graphicData>
                  </a:graphic>
                </wp:inline>
              </w:drawing>
            </w:r>
          </w:p>
        </w:tc>
      </w:tr>
      <w:tr w:rsidR="00A01300" w:rsidRPr="009C772A" w14:paraId="2FE2BEFC" w14:textId="77777777" w:rsidTr="003D67C0">
        <w:tc>
          <w:tcPr>
            <w:tcW w:w="2925" w:type="dxa"/>
          </w:tcPr>
          <w:p w14:paraId="333831D1" w14:textId="5D0A0DCD" w:rsidR="003D67C0" w:rsidRPr="009C772A" w:rsidRDefault="003D67C0" w:rsidP="003D67C0">
            <w:pPr>
              <w:pStyle w:val="CETBodytext"/>
              <w:jc w:val="center"/>
              <w:rPr>
                <w:lang w:val="en-GB"/>
              </w:rPr>
            </w:pPr>
            <w:r w:rsidRPr="009C772A">
              <w:rPr>
                <w:lang w:val="en-GB"/>
              </w:rPr>
              <w:t>a)</w:t>
            </w:r>
          </w:p>
        </w:tc>
        <w:tc>
          <w:tcPr>
            <w:tcW w:w="2926" w:type="dxa"/>
          </w:tcPr>
          <w:p w14:paraId="0DDBF89E" w14:textId="49E7926F" w:rsidR="003D67C0" w:rsidRPr="009C772A" w:rsidRDefault="003D67C0" w:rsidP="003D67C0">
            <w:pPr>
              <w:pStyle w:val="CETBodytext"/>
              <w:jc w:val="center"/>
              <w:rPr>
                <w:lang w:val="en-GB"/>
              </w:rPr>
            </w:pPr>
          </w:p>
        </w:tc>
        <w:tc>
          <w:tcPr>
            <w:tcW w:w="2926" w:type="dxa"/>
          </w:tcPr>
          <w:p w14:paraId="4ADD8922" w14:textId="2DA657C0" w:rsidR="003D67C0" w:rsidRPr="009C772A" w:rsidRDefault="00A01300" w:rsidP="003D67C0">
            <w:pPr>
              <w:pStyle w:val="CETBodytext"/>
              <w:jc w:val="center"/>
              <w:rPr>
                <w:lang w:val="en-GB"/>
              </w:rPr>
            </w:pPr>
            <w:r>
              <w:rPr>
                <w:lang w:val="en-GB"/>
              </w:rPr>
              <w:t>b</w:t>
            </w:r>
            <w:r w:rsidR="003D67C0" w:rsidRPr="009C772A">
              <w:rPr>
                <w:lang w:val="en-GB"/>
              </w:rPr>
              <w:t>)</w:t>
            </w:r>
          </w:p>
        </w:tc>
      </w:tr>
      <w:tr w:rsidR="003D67C0" w:rsidRPr="009C772A" w14:paraId="38181314" w14:textId="77777777" w:rsidTr="003D67C0">
        <w:tc>
          <w:tcPr>
            <w:tcW w:w="8777" w:type="dxa"/>
            <w:gridSpan w:val="3"/>
          </w:tcPr>
          <w:p w14:paraId="4723888C" w14:textId="30913C93" w:rsidR="003D67C0" w:rsidRPr="009C772A" w:rsidRDefault="003D67C0" w:rsidP="003F62B0">
            <w:pPr>
              <w:pStyle w:val="CETBodytext"/>
              <w:rPr>
                <w:i/>
                <w:lang w:val="en-GB"/>
              </w:rPr>
            </w:pPr>
            <w:r w:rsidRPr="009C772A">
              <w:rPr>
                <w:i/>
                <w:lang w:val="en-GB"/>
              </w:rPr>
              <w:t xml:space="preserve">Figure </w:t>
            </w:r>
            <w:r w:rsidR="00E622A5">
              <w:rPr>
                <w:i/>
                <w:lang w:val="en-GB"/>
              </w:rPr>
              <w:t>4</w:t>
            </w:r>
            <w:r w:rsidRPr="009C772A">
              <w:rPr>
                <w:i/>
                <w:lang w:val="en-GB"/>
              </w:rPr>
              <w:t xml:space="preserve">: </w:t>
            </w:r>
            <w:r w:rsidR="00CA451A" w:rsidRPr="009C772A">
              <w:rPr>
                <w:i/>
                <w:lang w:val="en-GB"/>
              </w:rPr>
              <w:t xml:space="preserve">Examples of stress state achieved during the analysis: </w:t>
            </w:r>
            <w:r w:rsidRPr="009C772A">
              <w:rPr>
                <w:i/>
                <w:lang w:val="en-GB"/>
              </w:rPr>
              <w:t>a)</w:t>
            </w:r>
            <w:r w:rsidRPr="009C772A">
              <w:rPr>
                <w:lang w:val="en-GB"/>
              </w:rPr>
              <w:t xml:space="preserve"> </w:t>
            </w:r>
            <w:r w:rsidR="00CA451A" w:rsidRPr="009C772A">
              <w:rPr>
                <w:i/>
                <w:lang w:val="en-GB"/>
              </w:rPr>
              <w:t>C</w:t>
            </w:r>
            <w:r w:rsidRPr="009C772A">
              <w:rPr>
                <w:i/>
                <w:lang w:val="en-GB"/>
              </w:rPr>
              <w:t>onfiguration 2.A, case M</w:t>
            </w:r>
            <w:r w:rsidRPr="009C772A">
              <w:rPr>
                <w:i/>
                <w:vertAlign w:val="subscript"/>
                <w:lang w:val="en-GB"/>
              </w:rPr>
              <w:t>1</w:t>
            </w:r>
            <w:r w:rsidRPr="009C772A">
              <w:rPr>
                <w:i/>
                <w:lang w:val="en-GB"/>
              </w:rPr>
              <w:t>-M</w:t>
            </w:r>
            <w:r w:rsidRPr="009C772A">
              <w:rPr>
                <w:i/>
                <w:vertAlign w:val="subscript"/>
                <w:lang w:val="en-GB"/>
              </w:rPr>
              <w:t>4</w:t>
            </w:r>
            <w:r w:rsidRPr="009C772A">
              <w:rPr>
                <w:i/>
                <w:lang w:val="en-GB"/>
              </w:rPr>
              <w:t>,</w:t>
            </w:r>
            <w:r w:rsidR="00A01300">
              <w:rPr>
                <w:i/>
                <w:lang w:val="en-GB"/>
              </w:rPr>
              <w:t xml:space="preserve"> pipeline with elbow</w:t>
            </w:r>
            <w:r w:rsidRPr="009C772A">
              <w:rPr>
                <w:i/>
                <w:lang w:val="en-GB"/>
              </w:rPr>
              <w:t xml:space="preserve"> b) </w:t>
            </w:r>
            <w:r w:rsidR="00CA451A" w:rsidRPr="009C772A">
              <w:rPr>
                <w:i/>
                <w:lang w:val="en-GB"/>
              </w:rPr>
              <w:t>C</w:t>
            </w:r>
            <w:r w:rsidRPr="009C772A">
              <w:rPr>
                <w:i/>
                <w:lang w:val="en-GB"/>
              </w:rPr>
              <w:t>onfiguration 2.B, case M</w:t>
            </w:r>
            <w:r w:rsidRPr="009C772A">
              <w:rPr>
                <w:i/>
                <w:vertAlign w:val="subscript"/>
                <w:lang w:val="en-GB"/>
              </w:rPr>
              <w:t>2</w:t>
            </w:r>
            <w:r w:rsidRPr="009C772A">
              <w:rPr>
                <w:i/>
                <w:lang w:val="en-GB"/>
              </w:rPr>
              <w:t>-M</w:t>
            </w:r>
            <w:r w:rsidRPr="009C772A">
              <w:rPr>
                <w:i/>
                <w:vertAlign w:val="subscript"/>
                <w:lang w:val="en-GB"/>
              </w:rPr>
              <w:t>5</w:t>
            </w:r>
            <w:r w:rsidR="00A01300">
              <w:rPr>
                <w:i/>
                <w:vertAlign w:val="subscript"/>
                <w:lang w:val="en-GB"/>
              </w:rPr>
              <w:t xml:space="preserve">, </w:t>
            </w:r>
            <w:r w:rsidR="00A01300">
              <w:rPr>
                <w:i/>
                <w:lang w:val="en-GB"/>
              </w:rPr>
              <w:t>linear pipeline</w:t>
            </w:r>
            <w:r w:rsidRPr="009C772A">
              <w:rPr>
                <w:i/>
                <w:lang w:val="en-GB"/>
              </w:rPr>
              <w:t>.</w:t>
            </w:r>
          </w:p>
          <w:p w14:paraId="051CACA6" w14:textId="41805520" w:rsidR="00A46012" w:rsidRPr="009C772A" w:rsidRDefault="00A46012" w:rsidP="003F62B0">
            <w:pPr>
              <w:pStyle w:val="CETBodytext"/>
              <w:rPr>
                <w:i/>
                <w:lang w:val="en-GB"/>
              </w:rPr>
            </w:pPr>
          </w:p>
        </w:tc>
      </w:tr>
    </w:tbl>
    <w:p w14:paraId="44E3F329" w14:textId="7C1B5354" w:rsidR="003F62B0" w:rsidRPr="009C772A" w:rsidRDefault="009157DD" w:rsidP="00F90A4A">
      <w:pPr>
        <w:pStyle w:val="CETBodytext"/>
        <w:rPr>
          <w:lang w:val="en-GB"/>
        </w:rPr>
      </w:pPr>
      <w:r w:rsidRPr="009C772A">
        <w:rPr>
          <w:iCs/>
          <w:lang w:val="en-GB"/>
        </w:rPr>
        <w:t>The glob</w:t>
      </w:r>
      <w:r w:rsidR="00A01300">
        <w:rPr>
          <w:iCs/>
          <w:lang w:val="en-GB"/>
        </w:rPr>
        <w:t>a</w:t>
      </w:r>
      <w:r w:rsidRPr="009C772A">
        <w:rPr>
          <w:iCs/>
          <w:lang w:val="en-GB"/>
        </w:rPr>
        <w:t xml:space="preserve">l stress state </w:t>
      </w:r>
      <w:r w:rsidR="00397D98" w:rsidRPr="009C772A">
        <w:rPr>
          <w:iCs/>
          <w:lang w:val="en-GB"/>
        </w:rPr>
        <w:t>for</w:t>
      </w:r>
      <w:r w:rsidRPr="009C772A">
        <w:rPr>
          <w:iCs/>
          <w:lang w:val="en-GB"/>
        </w:rPr>
        <w:t xml:space="preserve"> </w:t>
      </w:r>
      <w:r w:rsidR="003D67C0" w:rsidRPr="009C772A">
        <w:rPr>
          <w:iCs/>
          <w:lang w:val="en-GB"/>
        </w:rPr>
        <w:t>C</w:t>
      </w:r>
      <w:r w:rsidRPr="009C772A">
        <w:rPr>
          <w:iCs/>
          <w:lang w:val="en-GB"/>
        </w:rPr>
        <w:t>onfiguration 2.A, case M</w:t>
      </w:r>
      <w:r w:rsidRPr="009C772A">
        <w:rPr>
          <w:iCs/>
          <w:vertAlign w:val="subscript"/>
          <w:lang w:val="en-GB"/>
        </w:rPr>
        <w:t>1</w:t>
      </w:r>
      <w:r w:rsidRPr="009C772A">
        <w:rPr>
          <w:iCs/>
          <w:lang w:val="en-GB"/>
        </w:rPr>
        <w:t>-M</w:t>
      </w:r>
      <w:r w:rsidRPr="009C772A">
        <w:rPr>
          <w:iCs/>
          <w:vertAlign w:val="subscript"/>
          <w:lang w:val="en-GB"/>
        </w:rPr>
        <w:t>4</w:t>
      </w:r>
      <w:r w:rsidRPr="009C772A">
        <w:rPr>
          <w:iCs/>
          <w:lang w:val="en-GB"/>
        </w:rPr>
        <w:t xml:space="preserve">, is depicted in Figure </w:t>
      </w:r>
      <w:r w:rsidR="00E622A5">
        <w:rPr>
          <w:iCs/>
          <w:lang w:val="en-GB"/>
        </w:rPr>
        <w:t>4</w:t>
      </w:r>
      <w:r w:rsidRPr="009C772A">
        <w:rPr>
          <w:iCs/>
          <w:lang w:val="en-GB"/>
        </w:rPr>
        <w:t xml:space="preserve">a. </w:t>
      </w:r>
      <w:r w:rsidR="00397D98" w:rsidRPr="009C772A">
        <w:rPr>
          <w:iCs/>
          <w:lang w:val="en-GB"/>
        </w:rPr>
        <w:t xml:space="preserve">For this combination, </w:t>
      </w:r>
      <w:r w:rsidR="003F62B0" w:rsidRPr="009C772A">
        <w:rPr>
          <w:iCs/>
          <w:lang w:val="en-GB"/>
        </w:rPr>
        <w:t xml:space="preserve">the pipe with elbows </w:t>
      </w:r>
      <w:r w:rsidR="00397D98" w:rsidRPr="009C772A">
        <w:rPr>
          <w:iCs/>
          <w:lang w:val="en-GB"/>
        </w:rPr>
        <w:t xml:space="preserve">does not </w:t>
      </w:r>
      <w:r w:rsidR="003F62B0" w:rsidRPr="009C772A">
        <w:rPr>
          <w:iCs/>
          <w:lang w:val="en-GB"/>
        </w:rPr>
        <w:t xml:space="preserve">reach </w:t>
      </w:r>
      <w:r w:rsidR="00397D98" w:rsidRPr="009C772A">
        <w:rPr>
          <w:iCs/>
          <w:lang w:val="en-GB"/>
        </w:rPr>
        <w:t>the</w:t>
      </w:r>
      <w:r w:rsidR="003F62B0" w:rsidRPr="009C772A">
        <w:rPr>
          <w:iCs/>
          <w:lang w:val="en-GB"/>
        </w:rPr>
        <w:t xml:space="preserve"> yield strength </w:t>
      </w:r>
      <w:r w:rsidR="00397D98" w:rsidRPr="009C772A">
        <w:rPr>
          <w:iCs/>
          <w:lang w:val="en-GB"/>
        </w:rPr>
        <w:t>and a scaling factor of about 2.6 is required to achieve the failure of the pipe, assuming an elastic behaviour up to the collapse</w:t>
      </w:r>
      <w:r w:rsidR="003F62B0" w:rsidRPr="009C772A">
        <w:rPr>
          <w:iCs/>
          <w:lang w:val="en-GB"/>
        </w:rPr>
        <w:t xml:space="preserve">. </w:t>
      </w:r>
      <w:r w:rsidR="00A01300">
        <w:rPr>
          <w:iCs/>
          <w:lang w:val="en-GB"/>
        </w:rPr>
        <w:t>F</w:t>
      </w:r>
      <w:r w:rsidR="004E4AB5" w:rsidRPr="009C772A">
        <w:rPr>
          <w:iCs/>
          <w:lang w:val="en-GB"/>
        </w:rPr>
        <w:t xml:space="preserve">or Combination 2.B, case M2-M5, the failure of </w:t>
      </w:r>
      <w:r w:rsidR="00A01300">
        <w:rPr>
          <w:iCs/>
          <w:lang w:val="en-GB"/>
        </w:rPr>
        <w:t>linear</w:t>
      </w:r>
      <w:r w:rsidR="00A01300" w:rsidRPr="009C772A">
        <w:rPr>
          <w:iCs/>
          <w:lang w:val="en-GB"/>
        </w:rPr>
        <w:t xml:space="preserve"> </w:t>
      </w:r>
      <w:r w:rsidR="004E4AB5" w:rsidRPr="009C772A">
        <w:rPr>
          <w:iCs/>
          <w:lang w:val="en-GB"/>
        </w:rPr>
        <w:t>pipe-to-tank connection is achieved for a displacement lower than the maximum displacement recorded during the global analysis of the tanks</w:t>
      </w:r>
      <w:r w:rsidR="00604AD2" w:rsidRPr="009C772A">
        <w:rPr>
          <w:iCs/>
          <w:lang w:val="en-GB"/>
        </w:rPr>
        <w:t xml:space="preserve">, as shown in Figure </w:t>
      </w:r>
      <w:r w:rsidR="00E622A5">
        <w:rPr>
          <w:iCs/>
          <w:lang w:val="en-GB"/>
        </w:rPr>
        <w:t>4</w:t>
      </w:r>
      <w:r w:rsidR="00A01300">
        <w:rPr>
          <w:iCs/>
          <w:lang w:val="en-GB"/>
        </w:rPr>
        <w:t>b</w:t>
      </w:r>
      <w:r w:rsidR="003F62B0" w:rsidRPr="009C772A">
        <w:rPr>
          <w:iCs/>
          <w:lang w:val="en-GB"/>
        </w:rPr>
        <w:t>.</w:t>
      </w:r>
      <w:r w:rsidR="0036202D" w:rsidRPr="009C772A">
        <w:rPr>
          <w:iCs/>
          <w:lang w:val="en-GB"/>
        </w:rPr>
        <w:t xml:space="preserve"> A</w:t>
      </w:r>
      <w:r w:rsidR="00FD20AA" w:rsidRPr="009C772A">
        <w:rPr>
          <w:iCs/>
          <w:lang w:val="en-GB"/>
        </w:rPr>
        <w:t>fter analy</w:t>
      </w:r>
      <w:r w:rsidR="00E1486D" w:rsidRPr="009C772A">
        <w:rPr>
          <w:iCs/>
          <w:lang w:val="en-GB"/>
        </w:rPr>
        <w:t>s</w:t>
      </w:r>
      <w:r w:rsidR="00FD20AA" w:rsidRPr="009C772A">
        <w:rPr>
          <w:iCs/>
          <w:lang w:val="en-GB"/>
        </w:rPr>
        <w:t>ing all the results, it is possible to state that Configuration 2.B represents the worst-</w:t>
      </w:r>
      <w:r w:rsidR="0036202D" w:rsidRPr="009C772A">
        <w:rPr>
          <w:iCs/>
          <w:lang w:val="en-GB"/>
        </w:rPr>
        <w:t xml:space="preserve">case scenario, followed by Configuration 1.A. </w:t>
      </w:r>
      <w:r w:rsidR="0036202D" w:rsidRPr="009C772A">
        <w:rPr>
          <w:bCs/>
          <w:lang w:val="en-GB"/>
        </w:rPr>
        <w:t>I</w:t>
      </w:r>
      <w:r w:rsidR="003D67C0" w:rsidRPr="009C772A">
        <w:rPr>
          <w:bCs/>
          <w:lang w:val="en-GB"/>
        </w:rPr>
        <w:t xml:space="preserve">n configuration 2.A the effects due to </w:t>
      </w:r>
      <w:r w:rsidR="0036202D" w:rsidRPr="009C772A">
        <w:rPr>
          <w:bCs/>
          <w:lang w:val="en-GB"/>
        </w:rPr>
        <w:t>the seismic input</w:t>
      </w:r>
      <w:r w:rsidR="003D67C0" w:rsidRPr="009C772A">
        <w:rPr>
          <w:bCs/>
          <w:lang w:val="en-GB"/>
        </w:rPr>
        <w:t xml:space="preserve"> can be geometrically mitigated through a more flexible pipe with elbows. </w:t>
      </w:r>
      <w:r w:rsidR="003F62B0" w:rsidRPr="009C772A">
        <w:rPr>
          <w:iCs/>
          <w:lang w:val="en-GB"/>
        </w:rPr>
        <w:t xml:space="preserve">As a result, the effects </w:t>
      </w:r>
      <w:r w:rsidR="00FD20AA" w:rsidRPr="009C772A">
        <w:rPr>
          <w:iCs/>
          <w:lang w:val="en-GB"/>
        </w:rPr>
        <w:t xml:space="preserve">of </w:t>
      </w:r>
      <w:r w:rsidR="00E1486D" w:rsidRPr="009C772A">
        <w:rPr>
          <w:iCs/>
          <w:lang w:val="en-GB"/>
        </w:rPr>
        <w:t xml:space="preserve">the </w:t>
      </w:r>
      <w:r w:rsidR="003F62B0" w:rsidRPr="009C772A">
        <w:rPr>
          <w:iCs/>
          <w:lang w:val="en-GB"/>
        </w:rPr>
        <w:t xml:space="preserve">earthquake on the pipes (weak elements of the system) can be mitigated geometrically by the presence of elbows or by changing the connection position along the tank wall. </w:t>
      </w:r>
      <w:r w:rsidR="00C96F5E" w:rsidRPr="009C772A">
        <w:rPr>
          <w:iCs/>
          <w:lang w:val="en-GB"/>
        </w:rPr>
        <w:t xml:space="preserve">In these </w:t>
      </w:r>
      <w:r w:rsidR="00A46012" w:rsidRPr="009C772A">
        <w:rPr>
          <w:iCs/>
          <w:lang w:val="en-GB"/>
        </w:rPr>
        <w:t>cases,</w:t>
      </w:r>
      <w:r w:rsidR="00C96F5E" w:rsidRPr="009C772A">
        <w:rPr>
          <w:iCs/>
          <w:lang w:val="en-GB"/>
        </w:rPr>
        <w:t xml:space="preserve"> the critical point could be related to the elbows and the stress concentration in these elements could be mitigated by adopting flexible joints</w:t>
      </w:r>
      <w:r w:rsidR="003F62B0" w:rsidRPr="009C772A">
        <w:rPr>
          <w:iCs/>
          <w:lang w:val="en-GB"/>
        </w:rPr>
        <w:t>.</w:t>
      </w:r>
      <w:bookmarkEnd w:id="1"/>
    </w:p>
    <w:p w14:paraId="102C0CE6" w14:textId="3D0E3A40" w:rsidR="00266751" w:rsidRPr="009C772A" w:rsidRDefault="00176156" w:rsidP="00266751">
      <w:pPr>
        <w:pStyle w:val="CETHeading1"/>
        <w:rPr>
          <w:lang w:val="en-GB"/>
        </w:rPr>
      </w:pPr>
      <w:r w:rsidRPr="009C772A">
        <w:rPr>
          <w:lang w:val="en-GB"/>
        </w:rPr>
        <w:t>Seismic risk analysis</w:t>
      </w:r>
    </w:p>
    <w:p w14:paraId="41B440FB" w14:textId="14C9DEC3" w:rsidR="00BD3B1B" w:rsidRPr="009C772A" w:rsidRDefault="00BD3B1B" w:rsidP="00BD3B1B">
      <w:pPr>
        <w:pStyle w:val="CETBodytext"/>
        <w:rPr>
          <w:lang w:val="en-GB"/>
        </w:rPr>
      </w:pPr>
      <w:r w:rsidRPr="009C772A">
        <w:rPr>
          <w:lang w:val="en-GB"/>
        </w:rPr>
        <w:t>In general terms, risk analysis describes the relationship between the probability of a given outcome and a measure of the degree of that given outcome. In the case of seismic risk, this relationship is determined by:</w:t>
      </w:r>
    </w:p>
    <w:p w14:paraId="3B2DB47A" w14:textId="77777777" w:rsidR="00BD3B1B" w:rsidRPr="009C772A" w:rsidRDefault="00BD3B1B" w:rsidP="00BD3B1B">
      <w:pPr>
        <w:pStyle w:val="CETBodytext"/>
        <w:numPr>
          <w:ilvl w:val="0"/>
          <w:numId w:val="29"/>
        </w:numPr>
        <w:rPr>
          <w:lang w:val="en-GB"/>
        </w:rPr>
      </w:pPr>
      <w:r w:rsidRPr="009C772A">
        <w:rPr>
          <w:lang w:val="en-GB"/>
        </w:rPr>
        <w:t>Exposure, which represents the assets exposed to loss. The asset definition includes locations, values exposed to loss, and the characteristics necessary to estimate vulnerability.</w:t>
      </w:r>
    </w:p>
    <w:p w14:paraId="6371773F" w14:textId="3C8C5DFE" w:rsidR="00BD3B1B" w:rsidRPr="009C772A" w:rsidRDefault="00BD3B1B" w:rsidP="00BD3B1B">
      <w:pPr>
        <w:pStyle w:val="CETBodytext"/>
        <w:numPr>
          <w:ilvl w:val="0"/>
          <w:numId w:val="29"/>
        </w:numPr>
        <w:rPr>
          <w:lang w:val="en-GB"/>
        </w:rPr>
      </w:pPr>
      <w:r w:rsidRPr="009C772A">
        <w:rPr>
          <w:lang w:val="en-GB"/>
        </w:rPr>
        <w:t>Hazard, in this case</w:t>
      </w:r>
      <w:r w:rsidR="00E1486D" w:rsidRPr="009C772A">
        <w:rPr>
          <w:lang w:val="en-GB"/>
        </w:rPr>
        <w:t>,</w:t>
      </w:r>
      <w:r w:rsidRPr="009C772A">
        <w:rPr>
          <w:lang w:val="en-GB"/>
        </w:rPr>
        <w:t xml:space="preserve"> seismic events </w:t>
      </w:r>
      <w:r w:rsidR="00E1486D" w:rsidRPr="009C772A">
        <w:rPr>
          <w:lang w:val="en-GB"/>
        </w:rPr>
        <w:t xml:space="preserve">characterised </w:t>
      </w:r>
      <w:r w:rsidRPr="009C772A">
        <w:rPr>
          <w:lang w:val="en-GB"/>
        </w:rPr>
        <w:t>by their intensity (i.e., how strong they are).</w:t>
      </w:r>
    </w:p>
    <w:p w14:paraId="12F89E4E" w14:textId="77777777" w:rsidR="00BD3B1B" w:rsidRPr="009C772A" w:rsidRDefault="00BD3B1B" w:rsidP="00BD3B1B">
      <w:pPr>
        <w:pStyle w:val="CETBodytext"/>
        <w:numPr>
          <w:ilvl w:val="0"/>
          <w:numId w:val="29"/>
        </w:numPr>
        <w:rPr>
          <w:lang w:val="en-GB"/>
        </w:rPr>
      </w:pPr>
      <w:r w:rsidRPr="009C772A">
        <w:rPr>
          <w:lang w:val="en-GB"/>
        </w:rPr>
        <w:lastRenderedPageBreak/>
        <w:t>Damageability, which determines the affectation to a component of interest and is represented by either fragility (i.e., probability of exceeding a defined limit state given an intensity) or vulnerability (i.e., the expected value of loss and the conditional distribution of loss given many intensity levels).</w:t>
      </w:r>
    </w:p>
    <w:p w14:paraId="4865A9A0" w14:textId="478A773C" w:rsidR="004045AE" w:rsidRDefault="00BD3B1B" w:rsidP="00BD3B1B">
      <w:pPr>
        <w:pStyle w:val="CETBodytext"/>
        <w:rPr>
          <w:lang w:val="en-GB"/>
        </w:rPr>
      </w:pPr>
      <w:r w:rsidRPr="009C772A">
        <w:rPr>
          <w:lang w:val="en-GB"/>
        </w:rPr>
        <w:t xml:space="preserve">Currently, existing standards and guidelines lack explicit methodologies for conducting risk analyses concerning the release of hazardous substances due to equipment and pipe leaks, breaks, or failures. </w:t>
      </w:r>
    </w:p>
    <w:p w14:paraId="67AD8A0C" w14:textId="3CD97FBC" w:rsidR="00BD3B1B" w:rsidRPr="009C772A" w:rsidRDefault="00BD3B1B" w:rsidP="00DB1D3E">
      <w:pPr>
        <w:pStyle w:val="CETBodytext"/>
        <w:rPr>
          <w:lang w:val="en-GB"/>
        </w:rPr>
      </w:pPr>
      <w:r w:rsidRPr="009C772A">
        <w:rPr>
          <w:lang w:val="en-GB"/>
        </w:rPr>
        <w:t xml:space="preserve"> </w:t>
      </w:r>
      <w:r w:rsidR="005567CA">
        <w:rPr>
          <w:lang w:val="en-GB"/>
        </w:rPr>
        <w:t>A prevalent</w:t>
      </w:r>
      <w:r w:rsidR="005567CA" w:rsidRPr="009C772A">
        <w:rPr>
          <w:lang w:val="en-GB"/>
        </w:rPr>
        <w:t xml:space="preserve"> </w:t>
      </w:r>
      <w:r w:rsidRPr="009C772A">
        <w:rPr>
          <w:lang w:val="en-GB"/>
        </w:rPr>
        <w:t xml:space="preserve">methodology </w:t>
      </w:r>
      <w:r w:rsidR="005567CA" w:rsidRPr="009C772A">
        <w:rPr>
          <w:lang w:val="en-GB"/>
        </w:rPr>
        <w:t xml:space="preserve">for seismic risk assessment in major hazard industrial facilities </w:t>
      </w:r>
      <w:r w:rsidRPr="009C772A">
        <w:rPr>
          <w:lang w:val="en-GB"/>
        </w:rPr>
        <w:t xml:space="preserve">initiates with the dual </w:t>
      </w:r>
      <w:r w:rsidR="00E1486D" w:rsidRPr="009C772A">
        <w:rPr>
          <w:lang w:val="en-GB"/>
        </w:rPr>
        <w:t xml:space="preserve">characterisation </w:t>
      </w:r>
      <w:r w:rsidRPr="009C772A">
        <w:rPr>
          <w:lang w:val="en-GB"/>
        </w:rPr>
        <w:t>of the seismic event, assessing site-specific hazards, and the response of the equipment/pipe to evaluate seismic vulnerability. Subsequent steps involve identifying critical structural and non-structural components, which then facilitate the delineation of potential accident scenarios involving hazardous substances using a variety of complementary techniques</w:t>
      </w:r>
      <w:r w:rsidR="005567CA">
        <w:rPr>
          <w:lang w:val="en-GB"/>
        </w:rPr>
        <w:t>.</w:t>
      </w:r>
      <w:r w:rsidRPr="009C772A">
        <w:rPr>
          <w:lang w:val="en-GB"/>
        </w:rPr>
        <w:t xml:space="preserve"> Following scenario identification, two analytical processes are essential to estimate the frequency of an incidental scenario:</w:t>
      </w:r>
    </w:p>
    <w:p w14:paraId="1D5B4295" w14:textId="7F0618DF" w:rsidR="00BD3B1B" w:rsidRPr="009C772A" w:rsidRDefault="00BD3B1B" w:rsidP="00BD3B1B">
      <w:pPr>
        <w:pStyle w:val="CETBodytext"/>
        <w:numPr>
          <w:ilvl w:val="0"/>
          <w:numId w:val="30"/>
        </w:numPr>
        <w:rPr>
          <w:lang w:val="en-GB"/>
        </w:rPr>
      </w:pPr>
      <w:r w:rsidRPr="009C772A">
        <w:rPr>
          <w:lang w:val="en-GB"/>
        </w:rPr>
        <w:t xml:space="preserve">Fault Tree Analysis (FTA) is </w:t>
      </w:r>
      <w:r w:rsidR="00E1486D" w:rsidRPr="009C772A">
        <w:rPr>
          <w:lang w:val="en-GB"/>
        </w:rPr>
        <w:t xml:space="preserve">utilised </w:t>
      </w:r>
      <w:r w:rsidRPr="009C772A">
        <w:rPr>
          <w:lang w:val="en-GB"/>
        </w:rPr>
        <w:t xml:space="preserve">to estimate the likelihood of incidental scenarios, beginning with root causes and preventive measures. </w:t>
      </w:r>
    </w:p>
    <w:p w14:paraId="51161383" w14:textId="77777777" w:rsidR="00BD3B1B" w:rsidRPr="009C772A" w:rsidRDefault="00BD3B1B" w:rsidP="00BD3B1B">
      <w:pPr>
        <w:pStyle w:val="CETBodytext"/>
        <w:numPr>
          <w:ilvl w:val="0"/>
          <w:numId w:val="30"/>
        </w:numPr>
        <w:rPr>
          <w:lang w:val="en-GB"/>
        </w:rPr>
      </w:pPr>
      <w:r w:rsidRPr="009C772A">
        <w:rPr>
          <w:lang w:val="en-GB"/>
        </w:rPr>
        <w:t xml:space="preserve">Event Tree Analysis (ETA) serves to evaluate and assign expected frequencies to all potential outcomes of an event, </w:t>
      </w:r>
      <w:proofErr w:type="gramStart"/>
      <w:r w:rsidRPr="009C772A">
        <w:rPr>
          <w:lang w:val="en-GB"/>
        </w:rPr>
        <w:t>taking into account</w:t>
      </w:r>
      <w:proofErr w:type="gramEnd"/>
      <w:r w:rsidRPr="009C772A">
        <w:rPr>
          <w:lang w:val="en-GB"/>
        </w:rPr>
        <w:t xml:space="preserve"> protective measures as well.</w:t>
      </w:r>
    </w:p>
    <w:p w14:paraId="6CAD1A70" w14:textId="79AD57E9" w:rsidR="00BD3B1B" w:rsidRPr="009C772A" w:rsidRDefault="00BD3B1B" w:rsidP="00BD3B1B">
      <w:pPr>
        <w:pStyle w:val="CETBodytext"/>
        <w:rPr>
          <w:lang w:val="en-GB"/>
        </w:rPr>
      </w:pPr>
      <w:r w:rsidRPr="009C772A">
        <w:rPr>
          <w:lang w:val="en-GB"/>
        </w:rPr>
        <w:t xml:space="preserve">The </w:t>
      </w:r>
      <w:proofErr w:type="gramStart"/>
      <w:r w:rsidRPr="009C772A">
        <w:rPr>
          <w:lang w:val="en-GB"/>
        </w:rPr>
        <w:t>ultimate goal</w:t>
      </w:r>
      <w:proofErr w:type="gramEnd"/>
      <w:r w:rsidRPr="009C772A">
        <w:rPr>
          <w:lang w:val="en-GB"/>
        </w:rPr>
        <w:t xml:space="preserve"> of seismic risk analysis is to quantify the risk and, if deemed unacceptable, to propose improvements to mitigate it</w:t>
      </w:r>
      <w:r w:rsidR="000D73D8">
        <w:rPr>
          <w:lang w:val="en-GB"/>
        </w:rPr>
        <w:t xml:space="preserve"> (</w:t>
      </w:r>
      <w:proofErr w:type="spellStart"/>
      <w:r w:rsidR="000D73D8">
        <w:rPr>
          <w:lang w:val="en-GB"/>
        </w:rPr>
        <w:t>Salimbeni</w:t>
      </w:r>
      <w:proofErr w:type="spellEnd"/>
      <w:r w:rsidR="000D73D8">
        <w:rPr>
          <w:lang w:val="en-GB"/>
        </w:rPr>
        <w:t xml:space="preserve"> et al., 2022)</w:t>
      </w:r>
      <w:r w:rsidRPr="009C772A">
        <w:rPr>
          <w:lang w:val="en-GB"/>
        </w:rPr>
        <w:t>.</w:t>
      </w:r>
    </w:p>
    <w:p w14:paraId="438B77AD" w14:textId="77777777" w:rsidR="00A267EF" w:rsidRPr="009C772A" w:rsidRDefault="00A267EF" w:rsidP="00442979">
      <w:pPr>
        <w:pStyle w:val="CETBodytext"/>
        <w:rPr>
          <w:lang w:val="en-GB"/>
        </w:rPr>
      </w:pPr>
    </w:p>
    <w:p w14:paraId="1CE6E920" w14:textId="77777777" w:rsidR="00BD3B1B" w:rsidRPr="009C772A" w:rsidRDefault="00BD3B1B" w:rsidP="00542624">
      <w:pPr>
        <w:pStyle w:val="CETheadingx"/>
        <w:numPr>
          <w:ilvl w:val="2"/>
          <w:numId w:val="1"/>
        </w:numPr>
        <w:rPr>
          <w:lang w:val="en-GB"/>
        </w:rPr>
      </w:pPr>
      <w:r w:rsidRPr="009C772A">
        <w:rPr>
          <w:lang w:val="en-GB"/>
        </w:rPr>
        <w:t>Fragility functions</w:t>
      </w:r>
    </w:p>
    <w:p w14:paraId="618A31E3" w14:textId="1F73A008" w:rsidR="00BD3B1B" w:rsidRPr="009C772A" w:rsidRDefault="00BD3B1B" w:rsidP="00BD3B1B">
      <w:pPr>
        <w:pStyle w:val="CETBodytext"/>
        <w:rPr>
          <w:lang w:val="en-GB"/>
        </w:rPr>
      </w:pPr>
      <w:r w:rsidRPr="009C772A">
        <w:rPr>
          <w:lang w:val="en-GB"/>
        </w:rPr>
        <w:t>A fragility function represents the probability that the seismic demand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EDP</m:t>
            </m:r>
          </m:sub>
        </m:sSub>
      </m:oMath>
      <w:r w:rsidRPr="009C772A">
        <w:rPr>
          <w:lang w:val="en-GB"/>
        </w:rPr>
        <w:t xml:space="preserve"> – demand in terms of an Engineering Demand Parameter) on a system exceeds the Limit State (LS) as an undesirable condition for a specific Intensity Measure (IM). There are three methods for deriving fragility curves:</w:t>
      </w:r>
    </w:p>
    <w:p w14:paraId="0DA8B353" w14:textId="00C008F3" w:rsidR="00BD3B1B" w:rsidRPr="009C772A" w:rsidRDefault="00BD3B1B" w:rsidP="00BD3B1B">
      <w:pPr>
        <w:pStyle w:val="CETBodytext"/>
        <w:numPr>
          <w:ilvl w:val="0"/>
          <w:numId w:val="31"/>
        </w:numPr>
        <w:rPr>
          <w:lang w:val="en-GB"/>
        </w:rPr>
      </w:pPr>
      <w:r w:rsidRPr="009C772A">
        <w:rPr>
          <w:lang w:val="en-GB"/>
        </w:rPr>
        <w:tab/>
        <w:t xml:space="preserve">The empirical or observational approach employs statistical procedures to derive fragility functions, which </w:t>
      </w:r>
      <w:r w:rsidR="00E1486D" w:rsidRPr="009C772A">
        <w:rPr>
          <w:lang w:val="en-GB"/>
        </w:rPr>
        <w:t xml:space="preserve">characterise </w:t>
      </w:r>
      <w:r w:rsidRPr="009C772A">
        <w:rPr>
          <w:lang w:val="en-GB"/>
        </w:rPr>
        <w:t xml:space="preserve">the probability of sustaining or exceeding specific damage levels as a function of earthquake intensity. </w:t>
      </w:r>
    </w:p>
    <w:p w14:paraId="1BF4332C" w14:textId="3B6EF211" w:rsidR="00BD3B1B" w:rsidRPr="009C772A" w:rsidRDefault="00BD3B1B" w:rsidP="00BD3B1B">
      <w:pPr>
        <w:pStyle w:val="CETBodytext"/>
        <w:numPr>
          <w:ilvl w:val="0"/>
          <w:numId w:val="31"/>
        </w:numPr>
        <w:rPr>
          <w:lang w:val="en-GB"/>
        </w:rPr>
      </w:pPr>
      <w:r w:rsidRPr="009C772A">
        <w:rPr>
          <w:lang w:val="en-GB"/>
        </w:rPr>
        <w:t xml:space="preserve">The analytical approach facilitates the development of site-specific fragility curves based on structural analysis performed using an appropriately </w:t>
      </w:r>
      <w:r w:rsidR="00EE4B3F" w:rsidRPr="009C772A">
        <w:rPr>
          <w:lang w:val="en-GB"/>
        </w:rPr>
        <w:t>modelled</w:t>
      </w:r>
      <w:r w:rsidRPr="009C772A">
        <w:rPr>
          <w:lang w:val="en-GB"/>
        </w:rPr>
        <w:t xml:space="preserve"> representation of the structure. The </w:t>
      </w:r>
      <w:r w:rsidR="00EE4B3F" w:rsidRPr="009C772A">
        <w:rPr>
          <w:lang w:val="en-GB"/>
        </w:rPr>
        <w:t>behaviour</w:t>
      </w:r>
      <w:r w:rsidRPr="009C772A">
        <w:rPr>
          <w:lang w:val="en-GB"/>
        </w:rPr>
        <w:t xml:space="preserve"> of the structure is determined by certain basic variable vectors, which influence both the seismic demand and the capacity of the structure. After defining the limit function or limit state, the probability that these limit states will be exceeded is computed.</w:t>
      </w:r>
    </w:p>
    <w:p w14:paraId="025BE56C" w14:textId="2A4948D3" w:rsidR="00BD3B1B" w:rsidRPr="009C772A" w:rsidRDefault="00BD3B1B" w:rsidP="00BD3B1B">
      <w:pPr>
        <w:pStyle w:val="CETBodytext"/>
        <w:numPr>
          <w:ilvl w:val="0"/>
          <w:numId w:val="31"/>
        </w:numPr>
        <w:rPr>
          <w:lang w:val="en-GB"/>
        </w:rPr>
      </w:pPr>
      <w:r w:rsidRPr="009C772A">
        <w:rPr>
          <w:lang w:val="en-GB"/>
        </w:rPr>
        <w:tab/>
        <w:t xml:space="preserve">The expert judgment-based approach involves constructing fragility curves for structures based on expert evaluations of the likelihood of failure as a function of seismic intensity. </w:t>
      </w:r>
    </w:p>
    <w:p w14:paraId="49EE8FDD" w14:textId="4DFB5B5C" w:rsidR="00BD3B1B" w:rsidRPr="009C772A" w:rsidRDefault="00BD3B1B" w:rsidP="00BD3B1B">
      <w:pPr>
        <w:pStyle w:val="CETBodytext"/>
        <w:rPr>
          <w:lang w:val="en-GB"/>
        </w:rPr>
      </w:pPr>
      <w:r w:rsidRPr="009C772A">
        <w:rPr>
          <w:lang w:val="en-GB"/>
        </w:rPr>
        <w:t>Although t</w:t>
      </w:r>
      <w:r w:rsidR="00FD20AA" w:rsidRPr="009C772A">
        <w:rPr>
          <w:lang w:val="en-GB"/>
        </w:rPr>
        <w:t>ank-to-pipe connections play a crucial role in the risk assessment of industrial plants, few studies have</w:t>
      </w:r>
      <w:r w:rsidRPr="009C772A">
        <w:rPr>
          <w:lang w:val="en-GB"/>
        </w:rPr>
        <w:t xml:space="preserve"> focused on the matter. This can be explained by the high variability of configurations, conditions, materials, typologies, requirements, etc.</w:t>
      </w:r>
      <w:r w:rsidR="00FD20AA" w:rsidRPr="009C772A">
        <w:rPr>
          <w:lang w:val="en-GB"/>
        </w:rPr>
        <w:t>, which makes it difficult to generali</w:t>
      </w:r>
      <w:r w:rsidR="00E1486D" w:rsidRPr="009C772A">
        <w:rPr>
          <w:lang w:val="en-GB"/>
        </w:rPr>
        <w:t>s</w:t>
      </w:r>
      <w:r w:rsidR="00FD20AA" w:rsidRPr="009C772A">
        <w:rPr>
          <w:lang w:val="en-GB"/>
        </w:rPr>
        <w:t>e</w:t>
      </w:r>
      <w:r w:rsidRPr="009C772A">
        <w:rPr>
          <w:lang w:val="en-GB"/>
        </w:rPr>
        <w:t xml:space="preserve"> such connections. However, some studies can provide useful insights for the analysis of the fragility of tank to pipe connections. For instance, Danesi (2015) studied the seismic risk of pipe</w:t>
      </w:r>
      <w:r w:rsidR="00FD20AA" w:rsidRPr="009C772A">
        <w:rPr>
          <w:lang w:val="en-GB"/>
        </w:rPr>
        <w:t xml:space="preserve"> </w:t>
      </w:r>
      <w:r w:rsidRPr="009C772A">
        <w:rPr>
          <w:lang w:val="en-GB"/>
        </w:rPr>
        <w:t xml:space="preserve">racks </w:t>
      </w:r>
      <w:r w:rsidR="00FD20AA" w:rsidRPr="009C772A">
        <w:rPr>
          <w:lang w:val="en-GB"/>
        </w:rPr>
        <w:t xml:space="preserve">in </w:t>
      </w:r>
      <w:r w:rsidRPr="009C772A">
        <w:rPr>
          <w:lang w:val="en-GB"/>
        </w:rPr>
        <w:t xml:space="preserve">industrial plants using incremental dynamic analysis. </w:t>
      </w:r>
      <w:proofErr w:type="spellStart"/>
      <w:r w:rsidRPr="009C772A">
        <w:rPr>
          <w:lang w:val="en-GB"/>
        </w:rPr>
        <w:t>Tadinada</w:t>
      </w:r>
      <w:proofErr w:type="spellEnd"/>
      <w:r w:rsidRPr="009C772A">
        <w:rPr>
          <w:lang w:val="en-GB"/>
        </w:rPr>
        <w:t xml:space="preserve"> and Gupta (2017) proposed structural fragi</w:t>
      </w:r>
      <w:r w:rsidR="00EE4B3F" w:rsidRPr="009C772A">
        <w:rPr>
          <w:lang w:val="en-GB"/>
        </w:rPr>
        <w:t>l</w:t>
      </w:r>
      <w:r w:rsidRPr="009C772A">
        <w:rPr>
          <w:lang w:val="en-GB"/>
        </w:rPr>
        <w:t>ity f</w:t>
      </w:r>
      <w:r w:rsidR="00EE4B3F" w:rsidRPr="009C772A">
        <w:rPr>
          <w:lang w:val="en-GB"/>
        </w:rPr>
        <w:t>u</w:t>
      </w:r>
      <w:r w:rsidRPr="009C772A">
        <w:rPr>
          <w:lang w:val="en-GB"/>
        </w:rPr>
        <w:t>n</w:t>
      </w:r>
      <w:r w:rsidR="00EE4B3F" w:rsidRPr="009C772A">
        <w:rPr>
          <w:lang w:val="en-GB"/>
        </w:rPr>
        <w:t>c</w:t>
      </w:r>
      <w:r w:rsidRPr="009C772A">
        <w:rPr>
          <w:lang w:val="en-GB"/>
        </w:rPr>
        <w:t>tions for T-joint connections of large-scale piping systems. Wang et al</w:t>
      </w:r>
      <w:r w:rsidR="00E1486D" w:rsidRPr="009C772A">
        <w:rPr>
          <w:lang w:val="en-GB"/>
        </w:rPr>
        <w:t>.</w:t>
      </w:r>
      <w:r w:rsidRPr="009C772A">
        <w:rPr>
          <w:lang w:val="en-GB"/>
        </w:rPr>
        <w:t xml:space="preserve"> (2019) obtained experimental data for the formulation of fragility functions of piping systems connected by grooved fit joints. Hosseini et al</w:t>
      </w:r>
      <w:r w:rsidR="00E1486D" w:rsidRPr="009C772A">
        <w:rPr>
          <w:lang w:val="en-GB"/>
        </w:rPr>
        <w:t>.</w:t>
      </w:r>
      <w:r w:rsidRPr="009C772A">
        <w:rPr>
          <w:lang w:val="en-GB"/>
        </w:rPr>
        <w:t xml:space="preserve"> (2020) developed doble-variable seismic fragility functions for industrial piping systems. Corritore et al. (2021) proposed a methodology for the identification of critical units in industrial plants using seismic fragility.</w:t>
      </w:r>
    </w:p>
    <w:p w14:paraId="291FEBB0" w14:textId="46D4EF02" w:rsidR="00BD3B1B" w:rsidRPr="009C772A" w:rsidRDefault="00BD3B1B" w:rsidP="00BD3B1B">
      <w:pPr>
        <w:pStyle w:val="CETBodytext"/>
        <w:rPr>
          <w:lang w:val="en-GB"/>
        </w:rPr>
      </w:pPr>
      <w:r w:rsidRPr="009C772A">
        <w:rPr>
          <w:lang w:val="en-GB"/>
        </w:rPr>
        <w:t>Due to the lack of general fragility functions for tank to pipe connections, the development of individual and specific fragility functions can be carried out analytically</w:t>
      </w:r>
      <w:r w:rsidR="00E1486D" w:rsidRPr="009C772A">
        <w:rPr>
          <w:lang w:val="en-GB"/>
        </w:rPr>
        <w:t>,</w:t>
      </w:r>
      <w:r w:rsidRPr="009C772A">
        <w:rPr>
          <w:lang w:val="en-GB"/>
        </w:rPr>
        <w:t xml:space="preserve"> </w:t>
      </w:r>
      <w:proofErr w:type="gramStart"/>
      <w:r w:rsidRPr="009C772A">
        <w:rPr>
          <w:lang w:val="en-GB"/>
        </w:rPr>
        <w:t>taking into account</w:t>
      </w:r>
      <w:proofErr w:type="gramEnd"/>
      <w:r w:rsidRPr="009C772A">
        <w:rPr>
          <w:lang w:val="en-GB"/>
        </w:rPr>
        <w:t xml:space="preserve"> the following aspects:</w:t>
      </w:r>
    </w:p>
    <w:p w14:paraId="3ED507C3" w14:textId="3EECC930" w:rsidR="00BD3B1B" w:rsidRPr="009C772A" w:rsidRDefault="00BD3B1B" w:rsidP="00BD3B1B">
      <w:pPr>
        <w:pStyle w:val="CETBodytext"/>
        <w:numPr>
          <w:ilvl w:val="0"/>
          <w:numId w:val="32"/>
        </w:numPr>
        <w:rPr>
          <w:lang w:val="en-GB"/>
        </w:rPr>
      </w:pPr>
      <w:r w:rsidRPr="009C772A">
        <w:rPr>
          <w:lang w:val="en-GB"/>
        </w:rPr>
        <w:t>Actual State: It is essential to account for the actual condition of t</w:t>
      </w:r>
      <w:r w:rsidR="00E1486D" w:rsidRPr="009C772A">
        <w:rPr>
          <w:lang w:val="en-GB"/>
        </w:rPr>
        <w:t>he tank-to-</w:t>
      </w:r>
      <w:r w:rsidRPr="009C772A">
        <w:rPr>
          <w:lang w:val="en-GB"/>
        </w:rPr>
        <w:t>pipe connection. Factors such as fabrication defects, inadequate maintenance, ag</w:t>
      </w:r>
      <w:r w:rsidR="00E1486D" w:rsidRPr="009C772A">
        <w:rPr>
          <w:lang w:val="en-GB"/>
        </w:rPr>
        <w:t>e</w:t>
      </w:r>
      <w:r w:rsidRPr="009C772A">
        <w:rPr>
          <w:lang w:val="en-GB"/>
        </w:rPr>
        <w:t xml:space="preserve">ing, and material degradation can significantly alter the performance of connections compared to their newly constructed counterparts. </w:t>
      </w:r>
    </w:p>
    <w:p w14:paraId="0EADF52F" w14:textId="77777777" w:rsidR="00BD3B1B" w:rsidRPr="009C772A" w:rsidRDefault="00BD3B1B" w:rsidP="00BD3B1B">
      <w:pPr>
        <w:pStyle w:val="CETBodytext"/>
        <w:numPr>
          <w:ilvl w:val="0"/>
          <w:numId w:val="32"/>
        </w:numPr>
        <w:rPr>
          <w:lang w:val="en-GB"/>
        </w:rPr>
      </w:pPr>
      <w:r w:rsidRPr="009C772A">
        <w:rPr>
          <w:lang w:val="en-GB"/>
        </w:rPr>
        <w:t xml:space="preserve">Numerical Model: The model used must accurately represent the physical and mechanical properties of the connection, </w:t>
      </w:r>
      <w:proofErr w:type="gramStart"/>
      <w:r w:rsidRPr="009C772A">
        <w:rPr>
          <w:lang w:val="en-GB"/>
        </w:rPr>
        <w:t>taking into account</w:t>
      </w:r>
      <w:proofErr w:type="gramEnd"/>
      <w:r w:rsidRPr="009C772A">
        <w:rPr>
          <w:lang w:val="en-GB"/>
        </w:rPr>
        <w:t xml:space="preserve"> complexities and variabilities in geometry, material properties, and boundary conditions.</w:t>
      </w:r>
    </w:p>
    <w:p w14:paraId="21AD16BB" w14:textId="77777777" w:rsidR="00BD3B1B" w:rsidRPr="009C772A" w:rsidRDefault="00BD3B1B" w:rsidP="00BD3B1B">
      <w:pPr>
        <w:pStyle w:val="CETBodytext"/>
        <w:numPr>
          <w:ilvl w:val="0"/>
          <w:numId w:val="32"/>
        </w:numPr>
        <w:rPr>
          <w:lang w:val="en-GB"/>
        </w:rPr>
      </w:pPr>
      <w:r w:rsidRPr="009C772A">
        <w:rPr>
          <w:lang w:val="en-GB"/>
        </w:rPr>
        <w:t>Types of Structural Analysis and Related Seismic Input: Different methods of structural analysis may be applied, each requiring appropriate seismic input data that reflect likely ground motion characteristics specific to the site.</w:t>
      </w:r>
    </w:p>
    <w:p w14:paraId="2914A239" w14:textId="445673EA" w:rsidR="00BD3B1B" w:rsidRPr="009C772A" w:rsidRDefault="00BD3B1B" w:rsidP="00BD3B1B">
      <w:pPr>
        <w:pStyle w:val="CETBodytext"/>
        <w:numPr>
          <w:ilvl w:val="0"/>
          <w:numId w:val="32"/>
        </w:numPr>
        <w:rPr>
          <w:lang w:val="en-GB"/>
        </w:rPr>
      </w:pPr>
      <w:r w:rsidRPr="009C772A">
        <w:rPr>
          <w:lang w:val="en-GB"/>
        </w:rPr>
        <w:t xml:space="preserve">Damage or Limit State: The relationship between seismic actions and </w:t>
      </w:r>
      <w:r w:rsidR="00E1486D" w:rsidRPr="009C772A">
        <w:rPr>
          <w:lang w:val="en-GB"/>
        </w:rPr>
        <w:t xml:space="preserve">the </w:t>
      </w:r>
      <w:r w:rsidRPr="009C772A">
        <w:rPr>
          <w:lang w:val="en-GB"/>
        </w:rPr>
        <w:t xml:space="preserve">resulting damage is often </w:t>
      </w:r>
      <w:r w:rsidR="00E1486D" w:rsidRPr="009C772A">
        <w:rPr>
          <w:lang w:val="en-GB"/>
        </w:rPr>
        <w:t xml:space="preserve">categorised </w:t>
      </w:r>
      <w:r w:rsidRPr="009C772A">
        <w:rPr>
          <w:lang w:val="en-GB"/>
        </w:rPr>
        <w:t xml:space="preserve">using </w:t>
      </w:r>
      <w:r w:rsidR="00E1486D" w:rsidRPr="009C772A">
        <w:rPr>
          <w:lang w:val="en-GB"/>
        </w:rPr>
        <w:t xml:space="preserve">standardised </w:t>
      </w:r>
      <w:r w:rsidRPr="009C772A">
        <w:rPr>
          <w:lang w:val="en-GB"/>
        </w:rPr>
        <w:t xml:space="preserve">damage categories such as those defined by HAZUS (FEMA, 2003). Alternatively, damage states can be defined based on ranges of Engineering Demand Parameters (EDP) that describe specific </w:t>
      </w:r>
      <w:r w:rsidR="00E1486D" w:rsidRPr="009C772A">
        <w:rPr>
          <w:lang w:val="en-GB"/>
        </w:rPr>
        <w:t>damage modes</w:t>
      </w:r>
      <w:r w:rsidRPr="009C772A">
        <w:rPr>
          <w:lang w:val="en-GB"/>
        </w:rPr>
        <w:t xml:space="preserve"> (</w:t>
      </w:r>
      <w:proofErr w:type="spellStart"/>
      <w:r w:rsidRPr="009C772A">
        <w:rPr>
          <w:lang w:val="en-GB"/>
        </w:rPr>
        <w:t>Paolacci</w:t>
      </w:r>
      <w:proofErr w:type="spellEnd"/>
      <w:r w:rsidRPr="009C772A">
        <w:rPr>
          <w:lang w:val="en-GB"/>
        </w:rPr>
        <w:t xml:space="preserve"> et al., 2015).</w:t>
      </w:r>
    </w:p>
    <w:p w14:paraId="76BAD2FD" w14:textId="43A9A509" w:rsidR="00BD3B1B" w:rsidRPr="009C772A" w:rsidRDefault="00BD3B1B" w:rsidP="00BD3B1B">
      <w:pPr>
        <w:pStyle w:val="CETBodytext"/>
        <w:numPr>
          <w:ilvl w:val="0"/>
          <w:numId w:val="32"/>
        </w:numPr>
        <w:rPr>
          <w:lang w:val="en-GB"/>
        </w:rPr>
      </w:pPr>
      <w:r w:rsidRPr="009C772A">
        <w:rPr>
          <w:lang w:val="en-GB"/>
        </w:rPr>
        <w:lastRenderedPageBreak/>
        <w:t xml:space="preserve">Damage-Related EDP: When damage states are established based on EDP value ranges, it is crucial to select an EDP that accurately </w:t>
      </w:r>
      <w:r w:rsidR="00E1486D" w:rsidRPr="009C772A">
        <w:rPr>
          <w:lang w:val="en-GB"/>
        </w:rPr>
        <w:t xml:space="preserve">characterises </w:t>
      </w:r>
      <w:r w:rsidRPr="009C772A">
        <w:rPr>
          <w:lang w:val="en-GB"/>
        </w:rPr>
        <w:t>the specific mode of damage being assessed.</w:t>
      </w:r>
    </w:p>
    <w:p w14:paraId="5EBD3197" w14:textId="77777777" w:rsidR="00BD3B1B" w:rsidRPr="009C772A" w:rsidRDefault="00BD3B1B" w:rsidP="00BD3B1B">
      <w:pPr>
        <w:pStyle w:val="CETBodytext"/>
        <w:numPr>
          <w:ilvl w:val="0"/>
          <w:numId w:val="32"/>
        </w:numPr>
        <w:rPr>
          <w:lang w:val="en-GB"/>
        </w:rPr>
      </w:pPr>
      <w:r w:rsidRPr="009C772A">
        <w:rPr>
          <w:lang w:val="en-GB"/>
        </w:rPr>
        <w:t>Input Intensity Measure: The selection of an appropriate intensity measure (e.g., peak ground acceleration, spectral acceleration) is critical, as it directly influences the accuracy of the fragility functions.</w:t>
      </w:r>
    </w:p>
    <w:p w14:paraId="5A18C6C0" w14:textId="5A98A782" w:rsidR="00BD3B1B" w:rsidRPr="009C772A" w:rsidRDefault="00BD3B1B" w:rsidP="00BD3B1B">
      <w:pPr>
        <w:pStyle w:val="CETBodytext"/>
        <w:numPr>
          <w:ilvl w:val="0"/>
          <w:numId w:val="32"/>
        </w:numPr>
        <w:rPr>
          <w:lang w:val="en-GB"/>
        </w:rPr>
      </w:pPr>
      <w:r w:rsidRPr="009C772A">
        <w:rPr>
          <w:lang w:val="en-GB"/>
        </w:rPr>
        <w:t>Probability Distribution for Random Variables: Typically, seismic fragility functions adopt a lognormal cumulative distribution function (CDF) due to its straightforward, parametric form</w:t>
      </w:r>
      <w:r w:rsidR="00E1486D" w:rsidRPr="009C772A">
        <w:rPr>
          <w:lang w:val="en-GB"/>
        </w:rPr>
        <w:t>,</w:t>
      </w:r>
      <w:r w:rsidRPr="009C772A">
        <w:rPr>
          <w:lang w:val="en-GB"/>
        </w:rPr>
        <w:t xml:space="preserve"> which facilitates the estimation of mean and standard deviation</w:t>
      </w:r>
      <w:r w:rsidR="00AE0334">
        <w:rPr>
          <w:lang w:val="en-GB"/>
        </w:rPr>
        <w:t>.</w:t>
      </w:r>
    </w:p>
    <w:p w14:paraId="6791F621" w14:textId="2451C36B" w:rsidR="00BD3B1B" w:rsidRPr="009C772A" w:rsidRDefault="00BD3B1B" w:rsidP="00BD3B1B">
      <w:pPr>
        <w:pStyle w:val="CETBodytext"/>
        <w:rPr>
          <w:lang w:val="en-GB"/>
        </w:rPr>
      </w:pPr>
      <w:r w:rsidRPr="009C772A">
        <w:rPr>
          <w:lang w:val="en-GB"/>
        </w:rPr>
        <w:t>These considerations are pivotal in ensuring that the analytical fragility curves developed are robust and reflective of the actual seismic vulnerability of the structure under study. In addition, to consider the real geometrical and mechanical conditions of the structure, it is appropriate to define several fragility functions, each considering different conditions that differ from the actual design</w:t>
      </w:r>
      <w:r w:rsidR="00915FDB">
        <w:rPr>
          <w:lang w:val="en-GB"/>
        </w:rPr>
        <w:t>.</w:t>
      </w:r>
    </w:p>
    <w:p w14:paraId="64317A85" w14:textId="6AFD31EC" w:rsidR="009552CE" w:rsidRPr="009C772A" w:rsidRDefault="00F301E6" w:rsidP="00F301E6">
      <w:pPr>
        <w:pStyle w:val="CETHeading1"/>
        <w:rPr>
          <w:lang w:val="en-GB"/>
        </w:rPr>
      </w:pPr>
      <w:r w:rsidRPr="009C772A">
        <w:rPr>
          <w:lang w:val="en-GB"/>
        </w:rPr>
        <w:t>Conclusions</w:t>
      </w:r>
    </w:p>
    <w:p w14:paraId="21D90031" w14:textId="74E1309E" w:rsidR="00CC6AFE" w:rsidRPr="009C772A" w:rsidRDefault="00FB2BFD" w:rsidP="00CC6AFE">
      <w:pPr>
        <w:pStyle w:val="CETBodytext"/>
        <w:rPr>
          <w:lang w:val="en-GB"/>
        </w:rPr>
      </w:pPr>
      <w:r w:rsidRPr="009C772A">
        <w:rPr>
          <w:lang w:val="en-GB"/>
        </w:rPr>
        <w:t>In the risk assessment of industrial plants, the pipelines connecting adjacent tanks can play an important role. In this preliminary study, different pipe-to-tank connections have been analy</w:t>
      </w:r>
      <w:r w:rsidR="009D3193" w:rsidRPr="009C772A">
        <w:rPr>
          <w:lang w:val="en-GB"/>
        </w:rPr>
        <w:t>s</w:t>
      </w:r>
      <w:r w:rsidRPr="009C772A">
        <w:rPr>
          <w:lang w:val="en-GB"/>
        </w:rPr>
        <w:t xml:space="preserve">ed </w:t>
      </w:r>
      <w:proofErr w:type="gramStart"/>
      <w:r w:rsidRPr="009C772A">
        <w:rPr>
          <w:lang w:val="en-GB"/>
        </w:rPr>
        <w:t>in order to</w:t>
      </w:r>
      <w:proofErr w:type="gramEnd"/>
      <w:r w:rsidRPr="009C772A">
        <w:rPr>
          <w:lang w:val="en-GB"/>
        </w:rPr>
        <w:t xml:space="preserve"> provide insight </w:t>
      </w:r>
      <w:r w:rsidR="00E1486D" w:rsidRPr="009C772A">
        <w:rPr>
          <w:lang w:val="en-GB"/>
        </w:rPr>
        <w:t xml:space="preserve">into </w:t>
      </w:r>
      <w:r w:rsidRPr="009C772A">
        <w:rPr>
          <w:lang w:val="en-GB"/>
        </w:rPr>
        <w:t>possible critical configurations and possible mitigation detailing. The obtained results pointed out that the adopti</w:t>
      </w:r>
      <w:r w:rsidR="00FB0BF9" w:rsidRPr="009C772A">
        <w:rPr>
          <w:lang w:val="en-GB"/>
        </w:rPr>
        <w:t>on</w:t>
      </w:r>
      <w:r w:rsidRPr="009C772A">
        <w:rPr>
          <w:lang w:val="en-GB"/>
        </w:rPr>
        <w:t xml:space="preserve"> of connecting pipelines with elbows could be beneficial</w:t>
      </w:r>
      <w:r w:rsidR="00E1486D" w:rsidRPr="009C772A">
        <w:rPr>
          <w:lang w:val="en-GB"/>
        </w:rPr>
        <w:t xml:space="preserve">; </w:t>
      </w:r>
      <w:r w:rsidRPr="009C772A">
        <w:rPr>
          <w:lang w:val="en-GB"/>
        </w:rPr>
        <w:t>however</w:t>
      </w:r>
      <w:r w:rsidR="00E1486D" w:rsidRPr="009C772A">
        <w:rPr>
          <w:lang w:val="en-GB"/>
        </w:rPr>
        <w:t>,</w:t>
      </w:r>
      <w:r w:rsidRPr="009C772A">
        <w:rPr>
          <w:lang w:val="en-GB"/>
        </w:rPr>
        <w:t xml:space="preserve"> practitioners should </w:t>
      </w:r>
      <w:r w:rsidR="00E1486D" w:rsidRPr="009C772A">
        <w:rPr>
          <w:lang w:val="en-GB"/>
        </w:rPr>
        <w:t xml:space="preserve">pay </w:t>
      </w:r>
      <w:r w:rsidRPr="009C772A">
        <w:rPr>
          <w:lang w:val="en-GB"/>
        </w:rPr>
        <w:t xml:space="preserve">attention </w:t>
      </w:r>
      <w:r w:rsidR="00E1486D" w:rsidRPr="009C772A">
        <w:rPr>
          <w:lang w:val="en-GB"/>
        </w:rPr>
        <w:t xml:space="preserve">to </w:t>
      </w:r>
      <w:r w:rsidRPr="009C772A">
        <w:rPr>
          <w:lang w:val="en-GB"/>
        </w:rPr>
        <w:t xml:space="preserve">the stress concentration in the elbows by adopting flexible joints. At the same time, the importance of accounting for the fragility of these elements in the risk assessment has been </w:t>
      </w:r>
      <w:r w:rsidR="00E1486D" w:rsidRPr="009C772A">
        <w:rPr>
          <w:lang w:val="en-GB"/>
        </w:rPr>
        <w:t>emphasised</w:t>
      </w:r>
      <w:r w:rsidRPr="009C772A">
        <w:rPr>
          <w:lang w:val="en-GB"/>
        </w:rPr>
        <w:t xml:space="preserve">. The parametric analysis carried out in this study will be extended in the future </w:t>
      </w:r>
      <w:proofErr w:type="gramStart"/>
      <w:r w:rsidRPr="009C772A">
        <w:rPr>
          <w:lang w:val="en-GB"/>
        </w:rPr>
        <w:t>in order to</w:t>
      </w:r>
      <w:proofErr w:type="gramEnd"/>
      <w:r w:rsidRPr="009C772A">
        <w:rPr>
          <w:lang w:val="en-GB"/>
        </w:rPr>
        <w:t xml:space="preserve"> account </w:t>
      </w:r>
      <w:r w:rsidR="00E1486D" w:rsidRPr="009C772A">
        <w:rPr>
          <w:lang w:val="en-GB"/>
        </w:rPr>
        <w:t xml:space="preserve">for </w:t>
      </w:r>
      <w:r w:rsidRPr="009C772A">
        <w:rPr>
          <w:lang w:val="en-GB"/>
        </w:rPr>
        <w:t xml:space="preserve">both record-to-record variability and of </w:t>
      </w:r>
      <w:r w:rsidR="00FB0BF9" w:rsidRPr="009C772A">
        <w:rPr>
          <w:lang w:val="en-GB"/>
        </w:rPr>
        <w:t xml:space="preserve">the </w:t>
      </w:r>
      <w:r w:rsidR="00817F0F" w:rsidRPr="009C772A">
        <w:rPr>
          <w:lang w:val="en-GB"/>
        </w:rPr>
        <w:t xml:space="preserve">epistemic uncertainties to provide useful fragility functions to be implemented in risk assessment frameworks. </w:t>
      </w:r>
    </w:p>
    <w:p w14:paraId="4F1327F8" w14:textId="5C2FEAA9" w:rsidR="00600535" w:rsidRPr="009C772A" w:rsidRDefault="00600535" w:rsidP="00600535">
      <w:pPr>
        <w:pStyle w:val="CETReference"/>
      </w:pPr>
      <w:r w:rsidRPr="009C772A">
        <w:t>References</w:t>
      </w:r>
      <w:r w:rsidR="0021352C" w:rsidRPr="009C772A">
        <w:t xml:space="preserve"> </w:t>
      </w:r>
    </w:p>
    <w:p w14:paraId="19C4FC68" w14:textId="2F61B50C" w:rsidR="004628D2" w:rsidRPr="009C772A" w:rsidRDefault="00C36227" w:rsidP="00C36227">
      <w:pPr>
        <w:widowControl w:val="0"/>
        <w:autoSpaceDE w:val="0"/>
        <w:autoSpaceDN w:val="0"/>
        <w:adjustRightInd w:val="0"/>
        <w:spacing w:line="240" w:lineRule="auto"/>
        <w:ind w:left="480" w:hanging="480"/>
        <w:rPr>
          <w:rFonts w:cs="Arial"/>
          <w:szCs w:val="24"/>
        </w:rPr>
      </w:pPr>
      <w:proofErr w:type="spellStart"/>
      <w:r w:rsidRPr="009C772A">
        <w:rPr>
          <w:rFonts w:cs="Arial"/>
          <w:szCs w:val="24"/>
        </w:rPr>
        <w:t>Campedel</w:t>
      </w:r>
      <w:proofErr w:type="spellEnd"/>
      <w:r w:rsidRPr="009C772A">
        <w:rPr>
          <w:rFonts w:cs="Arial"/>
          <w:szCs w:val="24"/>
        </w:rPr>
        <w:t xml:space="preserve"> M., 2008, Analysis of major industrial accidents triggered by natural events reported in the principal available chemical accident databases, JRC Scientific and Technical Reports</w:t>
      </w:r>
      <w:r w:rsidR="000F5C30">
        <w:rPr>
          <w:rFonts w:cs="Arial"/>
          <w:szCs w:val="24"/>
        </w:rPr>
        <w:t xml:space="preserve">, </w:t>
      </w:r>
      <w:r w:rsidR="000F5C30" w:rsidRPr="000F5C30">
        <w:rPr>
          <w:rFonts w:cs="Arial"/>
          <w:szCs w:val="24"/>
        </w:rPr>
        <w:t>JRC42281</w:t>
      </w:r>
      <w:r w:rsidR="006B1CCE">
        <w:rPr>
          <w:rFonts w:cs="Arial"/>
          <w:szCs w:val="24"/>
        </w:rPr>
        <w:t>.</w:t>
      </w:r>
    </w:p>
    <w:p w14:paraId="6D4C6AED" w14:textId="2F052FE2" w:rsidR="00F560F3" w:rsidRPr="000F5C30" w:rsidRDefault="00F560F3" w:rsidP="00C36227">
      <w:pPr>
        <w:widowControl w:val="0"/>
        <w:autoSpaceDE w:val="0"/>
        <w:autoSpaceDN w:val="0"/>
        <w:adjustRightInd w:val="0"/>
        <w:spacing w:line="240" w:lineRule="auto"/>
        <w:ind w:left="480" w:hanging="480"/>
        <w:rPr>
          <w:rFonts w:cs="Arial"/>
          <w:szCs w:val="24"/>
          <w:lang w:val="it-IT"/>
        </w:rPr>
      </w:pPr>
      <w:r w:rsidRPr="009C772A">
        <w:rPr>
          <w:rFonts w:cs="Arial"/>
          <w:szCs w:val="24"/>
        </w:rPr>
        <w:t xml:space="preserve">Caputo A.C., </w:t>
      </w:r>
      <w:proofErr w:type="spellStart"/>
      <w:r w:rsidRPr="009C772A">
        <w:rPr>
          <w:rFonts w:cs="Arial"/>
          <w:szCs w:val="24"/>
        </w:rPr>
        <w:t>Paolacci</w:t>
      </w:r>
      <w:proofErr w:type="spellEnd"/>
      <w:r w:rsidRPr="009C772A">
        <w:rPr>
          <w:rFonts w:cs="Arial"/>
          <w:szCs w:val="24"/>
        </w:rPr>
        <w:t xml:space="preserve"> F., Bursi O.S., Giannini R., 2019, Problems and Perspectives in Seismic Quantitative Risk Analysis of Chemical Process Plants, </w:t>
      </w:r>
      <w:r w:rsidR="000F5C30" w:rsidRPr="000F5C30">
        <w:rPr>
          <w:rFonts w:cs="Arial"/>
          <w:szCs w:val="24"/>
        </w:rPr>
        <w:t xml:space="preserve">J. Press. </w:t>
      </w:r>
      <w:r w:rsidR="000F5C30" w:rsidRPr="000F5C30">
        <w:rPr>
          <w:rFonts w:cs="Arial"/>
          <w:szCs w:val="24"/>
          <w:lang w:val="it-IT"/>
        </w:rPr>
        <w:t xml:space="preserve">Vessel </w:t>
      </w:r>
      <w:proofErr w:type="spellStart"/>
      <w:r w:rsidR="000F5C30" w:rsidRPr="000F5C30">
        <w:rPr>
          <w:rFonts w:cs="Arial"/>
          <w:szCs w:val="24"/>
          <w:lang w:val="it-IT"/>
        </w:rPr>
        <w:t>Technol</w:t>
      </w:r>
      <w:proofErr w:type="spellEnd"/>
      <w:r w:rsidR="000F5C30" w:rsidRPr="000F5C30">
        <w:rPr>
          <w:rFonts w:cs="Arial"/>
          <w:szCs w:val="24"/>
          <w:lang w:val="it-IT"/>
        </w:rPr>
        <w:t>.</w:t>
      </w:r>
      <w:r w:rsidR="004E20D8" w:rsidRPr="000F5C30">
        <w:rPr>
          <w:rFonts w:cs="Arial"/>
          <w:szCs w:val="24"/>
          <w:lang w:val="it-IT"/>
        </w:rPr>
        <w:t>, 141(1)</w:t>
      </w:r>
      <w:r w:rsidR="000F5C30" w:rsidRPr="000F5C30">
        <w:rPr>
          <w:rFonts w:cs="Arial"/>
          <w:szCs w:val="24"/>
          <w:lang w:val="it-IT"/>
        </w:rPr>
        <w:t xml:space="preserve">, </w:t>
      </w:r>
      <w:r w:rsidR="000F5C30" w:rsidRPr="000F5C30">
        <w:rPr>
          <w:rFonts w:cs="Arial"/>
          <w:szCs w:val="24"/>
          <w:lang w:val="it-IT"/>
        </w:rPr>
        <w:t>010901</w:t>
      </w:r>
      <w:r w:rsidR="006B1CCE" w:rsidRPr="000F5C30">
        <w:rPr>
          <w:rFonts w:cs="Arial"/>
          <w:szCs w:val="24"/>
          <w:lang w:val="it-IT"/>
        </w:rPr>
        <w:t>.</w:t>
      </w:r>
    </w:p>
    <w:p w14:paraId="4CE7B998" w14:textId="0525BA2D" w:rsidR="00C51B4E" w:rsidRPr="00664538" w:rsidRDefault="00C51B4E" w:rsidP="00C36227">
      <w:pPr>
        <w:widowControl w:val="0"/>
        <w:autoSpaceDE w:val="0"/>
        <w:autoSpaceDN w:val="0"/>
        <w:adjustRightInd w:val="0"/>
        <w:spacing w:line="240" w:lineRule="auto"/>
        <w:ind w:left="480" w:hanging="480"/>
        <w:rPr>
          <w:rFonts w:cs="Arial"/>
          <w:szCs w:val="24"/>
          <w:lang w:val="it-IT"/>
        </w:rPr>
      </w:pPr>
      <w:r w:rsidRPr="00664538">
        <w:rPr>
          <w:rFonts w:cs="Arial"/>
          <w:szCs w:val="24"/>
          <w:lang w:val="it-IT"/>
        </w:rPr>
        <w:t xml:space="preserve">Ciucci M., Barbieri Vita L., Marino A., 2021, Rischio </w:t>
      </w:r>
      <w:proofErr w:type="spellStart"/>
      <w:r w:rsidRPr="00664538">
        <w:rPr>
          <w:rFonts w:cs="Arial"/>
          <w:szCs w:val="24"/>
          <w:lang w:val="it-IT"/>
        </w:rPr>
        <w:t>NaTech</w:t>
      </w:r>
      <w:proofErr w:type="spellEnd"/>
      <w:r w:rsidRPr="00664538">
        <w:rPr>
          <w:rFonts w:cs="Arial"/>
          <w:szCs w:val="24"/>
          <w:lang w:val="it-IT"/>
        </w:rPr>
        <w:t xml:space="preserve"> da sisma negli stabilimenti con Pericolo di Incidente Rilevante: metodologie di valutazione e gestione,</w:t>
      </w:r>
      <w:r w:rsidR="004E20D8">
        <w:rPr>
          <w:rFonts w:cs="Arial"/>
          <w:szCs w:val="24"/>
          <w:lang w:val="it-IT"/>
        </w:rPr>
        <w:t xml:space="preserve"> SAFAP 2021</w:t>
      </w:r>
      <w:r w:rsidR="006B1CCE">
        <w:rPr>
          <w:rFonts w:cs="Arial"/>
          <w:szCs w:val="24"/>
          <w:lang w:val="it-IT"/>
        </w:rPr>
        <w:t>.</w:t>
      </w:r>
    </w:p>
    <w:p w14:paraId="02FBF966" w14:textId="436923E1" w:rsidR="00250FF1" w:rsidRPr="009C772A" w:rsidRDefault="00250FF1" w:rsidP="00250FF1">
      <w:pPr>
        <w:widowControl w:val="0"/>
        <w:autoSpaceDE w:val="0"/>
        <w:autoSpaceDN w:val="0"/>
        <w:adjustRightInd w:val="0"/>
        <w:spacing w:line="240" w:lineRule="auto"/>
        <w:ind w:left="480" w:hanging="480"/>
      </w:pPr>
      <w:r w:rsidRPr="009C772A">
        <w:t xml:space="preserve">Corritore D., </w:t>
      </w:r>
      <w:proofErr w:type="spellStart"/>
      <w:r w:rsidRPr="009C772A">
        <w:t>Paolacci</w:t>
      </w:r>
      <w:proofErr w:type="spellEnd"/>
      <w:r w:rsidRPr="009C772A">
        <w:t xml:space="preserve"> F., </w:t>
      </w:r>
      <w:proofErr w:type="spellStart"/>
      <w:r w:rsidRPr="009C772A">
        <w:t>Caprinozzi</w:t>
      </w:r>
      <w:proofErr w:type="spellEnd"/>
      <w:r w:rsidRPr="009C772A">
        <w:t xml:space="preserve"> S., 2021, A Screening Methodology for the Identification of Critical Units in Major-Hazard Facilities Under Seismic Loading, </w:t>
      </w:r>
      <w:r w:rsidR="000F5C30" w:rsidRPr="000F5C30">
        <w:t>Front. Built Environ.</w:t>
      </w:r>
      <w:r w:rsidR="004E20D8">
        <w:t>,</w:t>
      </w:r>
      <w:r w:rsidRPr="009C772A">
        <w:t xml:space="preserve"> 7</w:t>
      </w:r>
      <w:r w:rsidR="004E20D8">
        <w:t>, 1-16</w:t>
      </w:r>
      <w:r w:rsidR="006B1CCE">
        <w:t>.</w:t>
      </w:r>
    </w:p>
    <w:p w14:paraId="21E583C7" w14:textId="3A31525D" w:rsidR="00250FF1" w:rsidRPr="009C772A" w:rsidRDefault="00250FF1" w:rsidP="00250FF1">
      <w:pPr>
        <w:widowControl w:val="0"/>
        <w:autoSpaceDE w:val="0"/>
        <w:autoSpaceDN w:val="0"/>
        <w:adjustRightInd w:val="0"/>
        <w:spacing w:line="240" w:lineRule="auto"/>
        <w:ind w:left="480" w:hanging="480"/>
      </w:pPr>
      <w:r w:rsidRPr="009C772A">
        <w:t xml:space="preserve">Danesi R.J., 2015, Seismic risk of industrial plants: assessment of a petrochemical </w:t>
      </w:r>
      <w:proofErr w:type="spellStart"/>
      <w:r w:rsidRPr="009C772A">
        <w:t>piperack</w:t>
      </w:r>
      <w:proofErr w:type="spellEnd"/>
      <w:r w:rsidRPr="009C772A">
        <w:t xml:space="preserve"> using incremental dynamic analysis, </w:t>
      </w:r>
      <w:proofErr w:type="gramStart"/>
      <w:r w:rsidRPr="009C772A">
        <w:t>Master’s</w:t>
      </w:r>
      <w:proofErr w:type="gramEnd"/>
      <w:r w:rsidRPr="009C772A">
        <w:t xml:space="preserve"> thesis, IUSS Pavia, Italy</w:t>
      </w:r>
      <w:r w:rsidR="006B1CCE">
        <w:t>.</w:t>
      </w:r>
    </w:p>
    <w:p w14:paraId="55A36CE1" w14:textId="388C3058" w:rsidR="00250FF1" w:rsidRPr="009C772A" w:rsidRDefault="00250FF1" w:rsidP="00250FF1">
      <w:pPr>
        <w:widowControl w:val="0"/>
        <w:autoSpaceDE w:val="0"/>
        <w:autoSpaceDN w:val="0"/>
        <w:adjustRightInd w:val="0"/>
        <w:spacing w:line="240" w:lineRule="auto"/>
        <w:ind w:left="480" w:hanging="480"/>
      </w:pPr>
      <w:r w:rsidRPr="009C772A">
        <w:t>FEMA, 2003, HAZUS Multi-Hazard Loss Estimation Methodology – Earthquake Model, Federal Emergency Management Agency, Washington</w:t>
      </w:r>
      <w:r w:rsidR="006B1CCE">
        <w:t>.</w:t>
      </w:r>
    </w:p>
    <w:p w14:paraId="5E2A88AD" w14:textId="2C4DCBB1" w:rsidR="00250FF1" w:rsidRPr="009C772A" w:rsidRDefault="00250FF1" w:rsidP="00250FF1">
      <w:pPr>
        <w:widowControl w:val="0"/>
        <w:autoSpaceDE w:val="0"/>
        <w:autoSpaceDN w:val="0"/>
        <w:adjustRightInd w:val="0"/>
        <w:spacing w:line="240" w:lineRule="auto"/>
        <w:ind w:left="480" w:hanging="480"/>
      </w:pPr>
      <w:r w:rsidRPr="009C772A">
        <w:t xml:space="preserve">Hosseini M., </w:t>
      </w:r>
      <w:proofErr w:type="spellStart"/>
      <w:r w:rsidRPr="009C772A">
        <w:t>Ghalyani</w:t>
      </w:r>
      <w:proofErr w:type="spellEnd"/>
      <w:r w:rsidRPr="009C772A">
        <w:t xml:space="preserve"> E., Ghorbani Amirabad N.</w:t>
      </w:r>
      <w:r w:rsidR="00187FFD" w:rsidRPr="009C772A">
        <w:t>,</w:t>
      </w:r>
      <w:r w:rsidRPr="009C772A">
        <w:t xml:space="preserve"> 2020</w:t>
      </w:r>
      <w:r w:rsidR="00187FFD" w:rsidRPr="009C772A">
        <w:t>,</w:t>
      </w:r>
      <w:r w:rsidRPr="009C772A">
        <w:t xml:space="preserve"> Development of double-variable seismic fragility functions for oil refinery piping systems</w:t>
      </w:r>
      <w:r w:rsidR="00DF5054">
        <w:t>,</w:t>
      </w:r>
      <w:r w:rsidRPr="009C772A">
        <w:t xml:space="preserve"> </w:t>
      </w:r>
      <w:r w:rsidR="00EC6E55" w:rsidRPr="00EC6E55">
        <w:t>J. Loss Prev. Process Ind.</w:t>
      </w:r>
      <w:r w:rsidR="004E20D8">
        <w:t>,</w:t>
      </w:r>
      <w:r w:rsidRPr="009C772A">
        <w:t xml:space="preserve"> 68. </w:t>
      </w:r>
    </w:p>
    <w:p w14:paraId="3486CFD4" w14:textId="0E73C7BE" w:rsidR="00D16DC1" w:rsidRPr="00EC6E55" w:rsidRDefault="00D16DC1" w:rsidP="00C36227">
      <w:pPr>
        <w:widowControl w:val="0"/>
        <w:autoSpaceDE w:val="0"/>
        <w:autoSpaceDN w:val="0"/>
        <w:adjustRightInd w:val="0"/>
        <w:spacing w:line="240" w:lineRule="auto"/>
        <w:ind w:left="480" w:hanging="480"/>
        <w:rPr>
          <w:rFonts w:cs="Arial"/>
          <w:szCs w:val="24"/>
          <w:lang w:val="it-IT"/>
        </w:rPr>
      </w:pPr>
      <w:r w:rsidRPr="009C772A">
        <w:rPr>
          <w:rFonts w:cs="Arial"/>
          <w:szCs w:val="24"/>
        </w:rPr>
        <w:t xml:space="preserve">Karamanos S. A., </w:t>
      </w:r>
      <w:proofErr w:type="spellStart"/>
      <w:r w:rsidRPr="009C772A">
        <w:rPr>
          <w:rFonts w:cs="Arial"/>
          <w:szCs w:val="24"/>
        </w:rPr>
        <w:t>Giakoumatos</w:t>
      </w:r>
      <w:proofErr w:type="spellEnd"/>
      <w:r w:rsidRPr="009C772A">
        <w:rPr>
          <w:rFonts w:cs="Arial"/>
          <w:szCs w:val="24"/>
        </w:rPr>
        <w:t xml:space="preserve"> E., </w:t>
      </w:r>
      <w:proofErr w:type="spellStart"/>
      <w:r w:rsidRPr="009C772A">
        <w:rPr>
          <w:rFonts w:cs="Arial"/>
          <w:szCs w:val="24"/>
        </w:rPr>
        <w:t>Gresnigt</w:t>
      </w:r>
      <w:proofErr w:type="spellEnd"/>
      <w:r w:rsidRPr="009C772A">
        <w:rPr>
          <w:rFonts w:cs="Arial"/>
          <w:szCs w:val="24"/>
        </w:rPr>
        <w:t xml:space="preserve"> A. M., 2003, Nonlinear Response and Failure of Steel Elbows Under In-Plane Bending and Pressure, </w:t>
      </w:r>
      <w:r w:rsidR="000F5C30" w:rsidRPr="000F5C30">
        <w:rPr>
          <w:rFonts w:cs="Arial"/>
          <w:szCs w:val="24"/>
        </w:rPr>
        <w:t xml:space="preserve">J. Press. </w:t>
      </w:r>
      <w:r w:rsidR="000F5C30" w:rsidRPr="00EC6E55">
        <w:rPr>
          <w:rFonts w:cs="Arial"/>
          <w:szCs w:val="24"/>
          <w:lang w:val="it-IT"/>
        </w:rPr>
        <w:t xml:space="preserve">Vessel </w:t>
      </w:r>
      <w:proofErr w:type="spellStart"/>
      <w:r w:rsidR="000F5C30" w:rsidRPr="00EC6E55">
        <w:rPr>
          <w:rFonts w:cs="Arial"/>
          <w:szCs w:val="24"/>
          <w:lang w:val="it-IT"/>
        </w:rPr>
        <w:t>Technol</w:t>
      </w:r>
      <w:proofErr w:type="spellEnd"/>
      <w:r w:rsidR="000F5C30" w:rsidRPr="00EC6E55">
        <w:rPr>
          <w:rFonts w:cs="Arial"/>
          <w:szCs w:val="24"/>
          <w:lang w:val="it-IT"/>
        </w:rPr>
        <w:t>.</w:t>
      </w:r>
      <w:r w:rsidR="004E20D8" w:rsidRPr="00EC6E55">
        <w:rPr>
          <w:rFonts w:cs="Arial"/>
          <w:szCs w:val="24"/>
          <w:lang w:val="it-IT"/>
        </w:rPr>
        <w:t>, 125(4), 393-402</w:t>
      </w:r>
      <w:r w:rsidR="006B1CCE" w:rsidRPr="00EC6E55">
        <w:rPr>
          <w:rFonts w:cs="Arial"/>
          <w:szCs w:val="24"/>
          <w:lang w:val="it-IT"/>
        </w:rPr>
        <w:t>.</w:t>
      </w:r>
    </w:p>
    <w:p w14:paraId="07240541" w14:textId="75C2BF42" w:rsidR="007C2AFF" w:rsidRPr="00664538" w:rsidRDefault="007C2AFF" w:rsidP="00C36227">
      <w:pPr>
        <w:widowControl w:val="0"/>
        <w:autoSpaceDE w:val="0"/>
        <w:autoSpaceDN w:val="0"/>
        <w:adjustRightInd w:val="0"/>
        <w:spacing w:line="240" w:lineRule="auto"/>
        <w:ind w:left="480" w:hanging="480"/>
        <w:rPr>
          <w:rFonts w:cs="Arial"/>
          <w:szCs w:val="24"/>
          <w:lang w:val="it-IT"/>
        </w:rPr>
      </w:pPr>
      <w:r w:rsidRPr="00664538">
        <w:rPr>
          <w:rFonts w:cs="Arial"/>
          <w:szCs w:val="24"/>
          <w:lang w:val="it-IT"/>
        </w:rPr>
        <w:t xml:space="preserve">Marino A., Ciucci M., Barbieri Vita L., Palermo O., Quinci G., 2019, Valutazione e gestione del rischio sismico negli stabilimenti con pericolo di incidente rilevante, XVIII Convegno </w:t>
      </w:r>
      <w:proofErr w:type="spellStart"/>
      <w:r w:rsidRPr="00664538">
        <w:rPr>
          <w:rFonts w:cs="Arial"/>
          <w:szCs w:val="24"/>
          <w:lang w:val="it-IT"/>
        </w:rPr>
        <w:t>Anidis</w:t>
      </w:r>
      <w:proofErr w:type="spellEnd"/>
      <w:r w:rsidRPr="00664538">
        <w:rPr>
          <w:rFonts w:cs="Arial"/>
          <w:szCs w:val="24"/>
          <w:lang w:val="it-IT"/>
        </w:rPr>
        <w:t xml:space="preserve"> - L’ingegneria </w:t>
      </w:r>
      <w:proofErr w:type="spellStart"/>
      <w:r w:rsidRPr="00664538">
        <w:rPr>
          <w:rFonts w:cs="Arial"/>
          <w:szCs w:val="24"/>
          <w:lang w:val="it-IT"/>
        </w:rPr>
        <w:t>sisimica</w:t>
      </w:r>
      <w:proofErr w:type="spellEnd"/>
      <w:r w:rsidRPr="00664538">
        <w:rPr>
          <w:rFonts w:cs="Arial"/>
          <w:szCs w:val="24"/>
          <w:lang w:val="it-IT"/>
        </w:rPr>
        <w:t xml:space="preserve"> in Italia</w:t>
      </w:r>
      <w:r w:rsidR="006B1CCE">
        <w:rPr>
          <w:rFonts w:cs="Arial"/>
          <w:szCs w:val="24"/>
          <w:lang w:val="it-IT"/>
        </w:rPr>
        <w:t>.</w:t>
      </w:r>
    </w:p>
    <w:p w14:paraId="56DE6298" w14:textId="4AC99B8A" w:rsidR="004D303D" w:rsidRPr="009C772A" w:rsidRDefault="004D303D" w:rsidP="00C36227">
      <w:pPr>
        <w:widowControl w:val="0"/>
        <w:autoSpaceDE w:val="0"/>
        <w:autoSpaceDN w:val="0"/>
        <w:adjustRightInd w:val="0"/>
        <w:spacing w:line="240" w:lineRule="auto"/>
        <w:ind w:left="480" w:hanging="480"/>
        <w:rPr>
          <w:rFonts w:cs="Arial"/>
          <w:szCs w:val="24"/>
        </w:rPr>
      </w:pPr>
      <w:proofErr w:type="spellStart"/>
      <w:r w:rsidRPr="009C772A">
        <w:rPr>
          <w:rFonts w:cs="Arial"/>
          <w:szCs w:val="24"/>
        </w:rPr>
        <w:t>Paolacci</w:t>
      </w:r>
      <w:proofErr w:type="spellEnd"/>
      <w:r w:rsidRPr="009C772A">
        <w:rPr>
          <w:rFonts w:cs="Arial"/>
          <w:szCs w:val="24"/>
        </w:rPr>
        <w:t xml:space="preserve"> F., Giannini R., De Angelis M., 2012, Analysis of the Seismic Risk of Major-Hazard Industrial Plants and Applicability of Innovative Seismic Protection Systems, Petrochemicals</w:t>
      </w:r>
      <w:r w:rsidR="006B1CCE">
        <w:rPr>
          <w:rFonts w:cs="Arial"/>
          <w:szCs w:val="24"/>
        </w:rPr>
        <w:t>.</w:t>
      </w:r>
    </w:p>
    <w:p w14:paraId="7D285F0A" w14:textId="2F52AE21" w:rsidR="00250FF1" w:rsidRPr="009C772A" w:rsidRDefault="00250FF1" w:rsidP="00250FF1">
      <w:pPr>
        <w:widowControl w:val="0"/>
        <w:autoSpaceDE w:val="0"/>
        <w:autoSpaceDN w:val="0"/>
        <w:adjustRightInd w:val="0"/>
        <w:spacing w:line="240" w:lineRule="auto"/>
        <w:ind w:left="480" w:hanging="480"/>
      </w:pPr>
      <w:proofErr w:type="spellStart"/>
      <w:r w:rsidRPr="009C772A">
        <w:t>Paolacci</w:t>
      </w:r>
      <w:proofErr w:type="spellEnd"/>
      <w:r w:rsidRPr="009C772A">
        <w:t xml:space="preserve"> F., Phan H. N., Corritore D., Alessandri S., Bursi O. S., Reza M. S., 2015, Seismic fragility analysis of steel storage tanks,</w:t>
      </w:r>
      <w:r w:rsidR="000F5C30">
        <w:t xml:space="preserve"> </w:t>
      </w:r>
      <w:r w:rsidR="0020515C" w:rsidRPr="0020515C">
        <w:t>COMPDYN 2015 5th ECCOMAS Thematic Conference on Computational Methods in Structural Dynamics and Earthquake Engineering</w:t>
      </w:r>
      <w:r w:rsidR="006B1CCE">
        <w:t>.</w:t>
      </w:r>
    </w:p>
    <w:p w14:paraId="347653CA" w14:textId="0647786C" w:rsidR="00250FF1" w:rsidRPr="009C772A" w:rsidRDefault="00250FF1" w:rsidP="00250FF1">
      <w:pPr>
        <w:widowControl w:val="0"/>
        <w:autoSpaceDE w:val="0"/>
        <w:autoSpaceDN w:val="0"/>
        <w:adjustRightInd w:val="0"/>
        <w:spacing w:line="240" w:lineRule="auto"/>
        <w:ind w:left="480" w:hanging="480"/>
      </w:pPr>
      <w:proofErr w:type="spellStart"/>
      <w:r w:rsidRPr="009C772A">
        <w:t>Piccinelli</w:t>
      </w:r>
      <w:proofErr w:type="spellEnd"/>
      <w:r w:rsidRPr="009C772A">
        <w:t xml:space="preserve"> R., Krausmann E., 2013, Analysis of </w:t>
      </w:r>
      <w:proofErr w:type="spellStart"/>
      <w:r w:rsidRPr="009C772A">
        <w:t>natech</w:t>
      </w:r>
      <w:proofErr w:type="spellEnd"/>
      <w:r w:rsidRPr="009C772A">
        <w:t xml:space="preserve"> risk for pipelines: A review, JRC Scientif</w:t>
      </w:r>
      <w:r w:rsidR="0020515C">
        <w:t>ic</w:t>
      </w:r>
      <w:r w:rsidRPr="009C772A">
        <w:t xml:space="preserve"> and Policy Reports, </w:t>
      </w:r>
      <w:r w:rsidR="0020515C" w:rsidRPr="0020515C">
        <w:t>Report EUR 26371 EN</w:t>
      </w:r>
      <w:r w:rsidR="0020515C">
        <w:t xml:space="preserve">, </w:t>
      </w:r>
      <w:r w:rsidRPr="009C772A">
        <w:t>European Co</w:t>
      </w:r>
      <w:r w:rsidR="00570661" w:rsidRPr="009C772A">
        <w:t>m</w:t>
      </w:r>
      <w:r w:rsidRPr="009C772A">
        <w:t>mission</w:t>
      </w:r>
      <w:r w:rsidR="006B1CCE">
        <w:t>.</w:t>
      </w:r>
    </w:p>
    <w:p w14:paraId="400EDA56" w14:textId="693A5A9C" w:rsidR="00D62DEC" w:rsidRPr="009C772A" w:rsidRDefault="00D62DEC" w:rsidP="00C36227">
      <w:pPr>
        <w:widowControl w:val="0"/>
        <w:autoSpaceDE w:val="0"/>
        <w:autoSpaceDN w:val="0"/>
        <w:adjustRightInd w:val="0"/>
        <w:spacing w:line="240" w:lineRule="auto"/>
        <w:ind w:left="480" w:hanging="480"/>
        <w:rPr>
          <w:rFonts w:cs="Arial"/>
          <w:szCs w:val="24"/>
        </w:rPr>
      </w:pPr>
      <w:r w:rsidRPr="009C772A">
        <w:rPr>
          <w:rFonts w:cs="Arial"/>
          <w:szCs w:val="24"/>
        </w:rPr>
        <w:t xml:space="preserve">Reza </w:t>
      </w:r>
      <w:proofErr w:type="spellStart"/>
      <w:r w:rsidRPr="009C772A">
        <w:rPr>
          <w:rFonts w:cs="Arial"/>
          <w:szCs w:val="24"/>
        </w:rPr>
        <w:t>Manshoori</w:t>
      </w:r>
      <w:proofErr w:type="spellEnd"/>
      <w:r w:rsidRPr="009C772A">
        <w:rPr>
          <w:rFonts w:cs="Arial"/>
          <w:szCs w:val="24"/>
        </w:rPr>
        <w:t xml:space="preserve"> M., </w:t>
      </w:r>
      <w:r w:rsidR="0020515C">
        <w:rPr>
          <w:rFonts w:cs="Arial"/>
          <w:szCs w:val="24"/>
        </w:rPr>
        <w:t xml:space="preserve">2011, </w:t>
      </w:r>
      <w:r w:rsidRPr="009C772A">
        <w:rPr>
          <w:rFonts w:cs="Arial"/>
          <w:szCs w:val="24"/>
        </w:rPr>
        <w:t xml:space="preserve">Evaluation of Seismic Vulnerability and Failure Modes for Pipelines, </w:t>
      </w:r>
      <w:r w:rsidR="0020515C">
        <w:rPr>
          <w:rFonts w:cs="Arial"/>
          <w:szCs w:val="24"/>
        </w:rPr>
        <w:t>Procedia Eng</w:t>
      </w:r>
      <w:r w:rsidR="000F5C30">
        <w:rPr>
          <w:rFonts w:cs="Arial"/>
          <w:szCs w:val="24"/>
        </w:rPr>
        <w:t>.</w:t>
      </w:r>
      <w:r w:rsidR="0020515C">
        <w:rPr>
          <w:rFonts w:cs="Arial"/>
          <w:szCs w:val="24"/>
        </w:rPr>
        <w:t xml:space="preserve">, 14, </w:t>
      </w:r>
      <w:r w:rsidR="0020515C" w:rsidRPr="0020515C">
        <w:rPr>
          <w:rFonts w:cs="Arial"/>
          <w:szCs w:val="24"/>
        </w:rPr>
        <w:t>3042-3049</w:t>
      </w:r>
      <w:r w:rsidR="006B1CCE">
        <w:rPr>
          <w:rFonts w:cs="Arial"/>
          <w:szCs w:val="24"/>
        </w:rPr>
        <w:t>.</w:t>
      </w:r>
    </w:p>
    <w:p w14:paraId="403627DE" w14:textId="5A79D44F" w:rsidR="00750B5E" w:rsidRPr="009C772A" w:rsidRDefault="00750B5E" w:rsidP="00C36227">
      <w:pPr>
        <w:widowControl w:val="0"/>
        <w:autoSpaceDE w:val="0"/>
        <w:autoSpaceDN w:val="0"/>
        <w:adjustRightInd w:val="0"/>
        <w:spacing w:line="240" w:lineRule="auto"/>
        <w:ind w:left="480" w:hanging="480"/>
        <w:rPr>
          <w:rFonts w:cs="Arial"/>
          <w:szCs w:val="24"/>
        </w:rPr>
      </w:pPr>
      <w:proofErr w:type="spellStart"/>
      <w:r w:rsidRPr="009C772A">
        <w:rPr>
          <w:rFonts w:cs="Arial"/>
          <w:szCs w:val="24"/>
        </w:rPr>
        <w:t>Salimbeni</w:t>
      </w:r>
      <w:proofErr w:type="spellEnd"/>
      <w:r w:rsidRPr="009C772A">
        <w:rPr>
          <w:rFonts w:cs="Arial"/>
          <w:szCs w:val="24"/>
        </w:rPr>
        <w:t xml:space="preserve"> M., De Angelis M., Ciucci M., 2022, Earthquake </w:t>
      </w:r>
      <w:proofErr w:type="spellStart"/>
      <w:r w:rsidRPr="009C772A">
        <w:rPr>
          <w:rFonts w:cs="Arial"/>
          <w:szCs w:val="24"/>
        </w:rPr>
        <w:t>NaTech</w:t>
      </w:r>
      <w:proofErr w:type="spellEnd"/>
      <w:r w:rsidRPr="009C772A">
        <w:rPr>
          <w:rFonts w:cs="Arial"/>
          <w:szCs w:val="24"/>
        </w:rPr>
        <w:t xml:space="preserve"> risk assessment in major-hazard industrial plants, a casa study: cylindrical liquid storage tank with floating roof, </w:t>
      </w:r>
      <w:r w:rsidR="000F5C30" w:rsidRPr="000F5C30">
        <w:rPr>
          <w:rFonts w:cs="Arial"/>
          <w:szCs w:val="24"/>
        </w:rPr>
        <w:t>Chem. Eng. Trans.</w:t>
      </w:r>
      <w:r w:rsidR="0020515C">
        <w:rPr>
          <w:rFonts w:cs="Arial"/>
          <w:szCs w:val="24"/>
        </w:rPr>
        <w:t>, 91</w:t>
      </w:r>
      <w:r w:rsidR="000F5C30">
        <w:rPr>
          <w:rFonts w:cs="Arial"/>
          <w:szCs w:val="24"/>
        </w:rPr>
        <w:t xml:space="preserve">, </w:t>
      </w:r>
      <w:r w:rsidR="000F5C30" w:rsidRPr="000F5C30">
        <w:rPr>
          <w:rFonts w:cs="Arial"/>
          <w:szCs w:val="24"/>
        </w:rPr>
        <w:t>193-198</w:t>
      </w:r>
      <w:r w:rsidR="006B1CCE">
        <w:rPr>
          <w:rFonts w:cs="Arial"/>
          <w:szCs w:val="24"/>
        </w:rPr>
        <w:t>.</w:t>
      </w:r>
    </w:p>
    <w:p w14:paraId="69901486" w14:textId="1E54D866" w:rsidR="00187FFD" w:rsidRPr="009C772A" w:rsidRDefault="00187FFD" w:rsidP="00187FFD">
      <w:pPr>
        <w:widowControl w:val="0"/>
        <w:autoSpaceDE w:val="0"/>
        <w:autoSpaceDN w:val="0"/>
        <w:adjustRightInd w:val="0"/>
        <w:spacing w:line="240" w:lineRule="auto"/>
        <w:ind w:left="480" w:hanging="480"/>
      </w:pPr>
      <w:proofErr w:type="spellStart"/>
      <w:r w:rsidRPr="009C772A">
        <w:t>Tadinada</w:t>
      </w:r>
      <w:proofErr w:type="spellEnd"/>
      <w:r w:rsidRPr="009C772A">
        <w:t xml:space="preserve"> S.K., Gupta A., 2017, Structural fragility of T-joint connections in large-scale piping systems using equivalent elastic time-history simulations</w:t>
      </w:r>
      <w:r w:rsidR="00C5295F">
        <w:t>,</w:t>
      </w:r>
      <w:r w:rsidRPr="009C772A">
        <w:t xml:space="preserve"> </w:t>
      </w:r>
      <w:r w:rsidR="000F5C30" w:rsidRPr="000F5C30">
        <w:t xml:space="preserve">Struct. </w:t>
      </w:r>
      <w:proofErr w:type="spellStart"/>
      <w:r w:rsidR="000F5C30" w:rsidRPr="000F5C30">
        <w:t>Saf</w:t>
      </w:r>
      <w:proofErr w:type="spellEnd"/>
      <w:r w:rsidR="000F5C30" w:rsidRPr="000F5C30">
        <w:t>.</w:t>
      </w:r>
      <w:r w:rsidR="0020515C">
        <w:t>,</w:t>
      </w:r>
      <w:r w:rsidRPr="009C772A">
        <w:t xml:space="preserve"> 65, 49–59. </w:t>
      </w:r>
    </w:p>
    <w:p w14:paraId="423F1A46" w14:textId="3B9D9A88" w:rsidR="009D1A83" w:rsidRPr="009C772A" w:rsidRDefault="009D1A83" w:rsidP="00C36227">
      <w:pPr>
        <w:widowControl w:val="0"/>
        <w:autoSpaceDE w:val="0"/>
        <w:autoSpaceDN w:val="0"/>
        <w:adjustRightInd w:val="0"/>
        <w:spacing w:line="240" w:lineRule="auto"/>
        <w:ind w:left="480" w:hanging="480"/>
        <w:rPr>
          <w:rFonts w:cs="Arial"/>
          <w:szCs w:val="24"/>
        </w:rPr>
      </w:pPr>
      <w:r w:rsidRPr="009C772A">
        <w:rPr>
          <w:rFonts w:cs="Arial"/>
          <w:szCs w:val="24"/>
        </w:rPr>
        <w:t xml:space="preserve">Vathi M., Karamanos S., </w:t>
      </w:r>
      <w:proofErr w:type="spellStart"/>
      <w:r w:rsidRPr="009C772A">
        <w:rPr>
          <w:rFonts w:cs="Arial"/>
          <w:szCs w:val="24"/>
        </w:rPr>
        <w:t>Kapogiannis</w:t>
      </w:r>
      <w:proofErr w:type="spellEnd"/>
      <w:r w:rsidRPr="009C772A">
        <w:rPr>
          <w:rFonts w:cs="Arial"/>
          <w:szCs w:val="24"/>
        </w:rPr>
        <w:t xml:space="preserve"> I.A., Spiliopoulos K.V., Performance Criteria for Liquid Storage Tanks and Piping Systems Subjected to Seismic Loading, </w:t>
      </w:r>
      <w:r w:rsidR="000F5C30" w:rsidRPr="000F5C30">
        <w:rPr>
          <w:rFonts w:cs="Arial"/>
          <w:szCs w:val="24"/>
        </w:rPr>
        <w:t>J. Press. Vessel Technol.</w:t>
      </w:r>
      <w:r w:rsidR="0020515C">
        <w:rPr>
          <w:rFonts w:cs="Arial"/>
          <w:szCs w:val="24"/>
        </w:rPr>
        <w:t>, 139(5)</w:t>
      </w:r>
      <w:r w:rsidR="000F5C30">
        <w:rPr>
          <w:rFonts w:cs="Arial"/>
          <w:szCs w:val="24"/>
        </w:rPr>
        <w:t xml:space="preserve">, </w:t>
      </w:r>
      <w:r w:rsidR="000F5C30" w:rsidRPr="000F5C30">
        <w:rPr>
          <w:rFonts w:cs="Arial"/>
          <w:szCs w:val="24"/>
        </w:rPr>
        <w:t>051801</w:t>
      </w:r>
      <w:r w:rsidR="006B1CCE">
        <w:rPr>
          <w:rFonts w:cs="Arial"/>
          <w:szCs w:val="24"/>
        </w:rPr>
        <w:t>.</w:t>
      </w:r>
    </w:p>
    <w:p w14:paraId="35EEB746" w14:textId="35C8A002" w:rsidR="002350E2" w:rsidRPr="009D1A83" w:rsidRDefault="002350E2" w:rsidP="002D0EE6">
      <w:pPr>
        <w:widowControl w:val="0"/>
        <w:autoSpaceDE w:val="0"/>
        <w:autoSpaceDN w:val="0"/>
        <w:adjustRightInd w:val="0"/>
        <w:spacing w:line="240" w:lineRule="auto"/>
        <w:ind w:left="480" w:hanging="480"/>
      </w:pPr>
      <w:r w:rsidRPr="009C772A">
        <w:t>Wang T., Shang</w:t>
      </w:r>
      <w:r w:rsidR="0020515C">
        <w:t xml:space="preserve"> </w:t>
      </w:r>
      <w:r w:rsidRPr="009C772A">
        <w:t>Q., Chen X., Li J.</w:t>
      </w:r>
      <w:r w:rsidR="00187FFD" w:rsidRPr="009C772A">
        <w:t>,</w:t>
      </w:r>
      <w:r w:rsidRPr="009C772A">
        <w:t xml:space="preserve"> 2019</w:t>
      </w:r>
      <w:r w:rsidR="00187FFD" w:rsidRPr="009C772A">
        <w:t>,</w:t>
      </w:r>
      <w:r w:rsidRPr="009C772A">
        <w:t xml:space="preserve"> Experiments and Fragility Analyses of Piping System Connected by Grooved Fit Joints </w:t>
      </w:r>
      <w:proofErr w:type="gramStart"/>
      <w:r w:rsidRPr="009C772A">
        <w:t>With</w:t>
      </w:r>
      <w:proofErr w:type="gramEnd"/>
      <w:r w:rsidRPr="009C772A">
        <w:t xml:space="preserve"> Large Deformability</w:t>
      </w:r>
      <w:r w:rsidR="00187FFD" w:rsidRPr="009C772A">
        <w:t>,</w:t>
      </w:r>
      <w:r w:rsidRPr="009C772A">
        <w:t xml:space="preserve"> </w:t>
      </w:r>
      <w:r w:rsidR="000F5C30" w:rsidRPr="000F5C30">
        <w:t>Front. Built Environ.</w:t>
      </w:r>
      <w:r w:rsidR="0020515C">
        <w:t>,</w:t>
      </w:r>
      <w:r w:rsidRPr="009C772A">
        <w:t xml:space="preserve"> 5</w:t>
      </w:r>
      <w:r w:rsidR="000F5C30">
        <w:t>, 1-14.</w:t>
      </w:r>
    </w:p>
    <w:sectPr w:rsidR="002350E2" w:rsidRPr="009D1A83" w:rsidSect="00266632">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30DEFA" w14:textId="77777777" w:rsidR="00AF365C" w:rsidRPr="009C772A" w:rsidRDefault="00AF365C" w:rsidP="004F5E36">
      <w:r w:rsidRPr="009C772A">
        <w:separator/>
      </w:r>
    </w:p>
  </w:endnote>
  <w:endnote w:type="continuationSeparator" w:id="0">
    <w:p w14:paraId="5C726704" w14:textId="77777777" w:rsidR="00AF365C" w:rsidRPr="009C772A" w:rsidRDefault="00AF365C" w:rsidP="004F5E36">
      <w:r w:rsidRPr="009C772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03FA58" w14:textId="77777777" w:rsidR="00AF365C" w:rsidRPr="009C772A" w:rsidRDefault="00AF365C" w:rsidP="004F5E36">
      <w:r w:rsidRPr="009C772A">
        <w:separator/>
      </w:r>
    </w:p>
  </w:footnote>
  <w:footnote w:type="continuationSeparator" w:id="0">
    <w:p w14:paraId="5521CE7A" w14:textId="77777777" w:rsidR="00AF365C" w:rsidRPr="009C772A" w:rsidRDefault="00AF365C" w:rsidP="004F5E36">
      <w:r w:rsidRPr="009C772A">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1444A12"/>
    <w:multiLevelType w:val="hybridMultilevel"/>
    <w:tmpl w:val="A808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706816"/>
    <w:multiLevelType w:val="hybridMultilevel"/>
    <w:tmpl w:val="443E52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446641D"/>
    <w:multiLevelType w:val="hybridMultilevel"/>
    <w:tmpl w:val="DA72E3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6A44D89"/>
    <w:multiLevelType w:val="hybridMultilevel"/>
    <w:tmpl w:val="05E8F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38217E"/>
    <w:multiLevelType w:val="multilevel"/>
    <w:tmpl w:val="39083FCE"/>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5" w15:restartNumberingAfterBreak="0">
    <w:nsid w:val="28AA3788"/>
    <w:multiLevelType w:val="hybridMultilevel"/>
    <w:tmpl w:val="786E8A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F09254E"/>
    <w:multiLevelType w:val="hybridMultilevel"/>
    <w:tmpl w:val="7CEE5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9A17BD"/>
    <w:multiLevelType w:val="hybridMultilevel"/>
    <w:tmpl w:val="A344F9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425E453D"/>
    <w:multiLevelType w:val="hybridMultilevel"/>
    <w:tmpl w:val="D4B015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5"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C1B5295"/>
    <w:multiLevelType w:val="hybridMultilevel"/>
    <w:tmpl w:val="C4FEFE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5AB1655"/>
    <w:multiLevelType w:val="hybridMultilevel"/>
    <w:tmpl w:val="DBEEE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9D00BD5"/>
    <w:multiLevelType w:val="hybridMultilevel"/>
    <w:tmpl w:val="6AF0123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6FC01B6"/>
    <w:multiLevelType w:val="hybridMultilevel"/>
    <w:tmpl w:val="C9CC2A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09843489">
    <w:abstractNumId w:val="14"/>
  </w:num>
  <w:num w:numId="2" w16cid:durableId="1731153109">
    <w:abstractNumId w:val="8"/>
  </w:num>
  <w:num w:numId="3" w16cid:durableId="296373872">
    <w:abstractNumId w:val="3"/>
  </w:num>
  <w:num w:numId="4" w16cid:durableId="2058040306">
    <w:abstractNumId w:val="2"/>
  </w:num>
  <w:num w:numId="5" w16cid:durableId="461270844">
    <w:abstractNumId w:val="1"/>
  </w:num>
  <w:num w:numId="6" w16cid:durableId="1416318245">
    <w:abstractNumId w:val="0"/>
  </w:num>
  <w:num w:numId="7" w16cid:durableId="1328443137">
    <w:abstractNumId w:val="9"/>
  </w:num>
  <w:num w:numId="8" w16cid:durableId="990446185">
    <w:abstractNumId w:val="7"/>
  </w:num>
  <w:num w:numId="9" w16cid:durableId="339085324">
    <w:abstractNumId w:val="6"/>
  </w:num>
  <w:num w:numId="10" w16cid:durableId="251161431">
    <w:abstractNumId w:val="5"/>
  </w:num>
  <w:num w:numId="11" w16cid:durableId="1290087085">
    <w:abstractNumId w:val="4"/>
  </w:num>
  <w:num w:numId="12" w16cid:durableId="1995209548">
    <w:abstractNumId w:val="24"/>
  </w:num>
  <w:num w:numId="13" w16cid:durableId="1639143837">
    <w:abstractNumId w:val="19"/>
  </w:num>
  <w:num w:numId="14" w16cid:durableId="1512139405">
    <w:abstractNumId w:val="25"/>
  </w:num>
  <w:num w:numId="15" w16cid:durableId="966619109">
    <w:abstractNumId w:val="29"/>
  </w:num>
  <w:num w:numId="16" w16cid:durableId="201022863">
    <w:abstractNumId w:val="28"/>
  </w:num>
  <w:num w:numId="17" w16cid:durableId="1009722577">
    <w:abstractNumId w:val="18"/>
  </w:num>
  <w:num w:numId="18" w16cid:durableId="1828354661">
    <w:abstractNumId w:val="19"/>
    <w:lvlOverride w:ilvl="0">
      <w:startOverride w:val="1"/>
    </w:lvlOverride>
  </w:num>
  <w:num w:numId="19" w16cid:durableId="156649216">
    <w:abstractNumId w:val="23"/>
  </w:num>
  <w:num w:numId="20" w16cid:durableId="1728527918">
    <w:abstractNumId w:val="22"/>
  </w:num>
  <w:num w:numId="21" w16cid:durableId="1120030026">
    <w:abstractNumId w:val="20"/>
  </w:num>
  <w:num w:numId="22" w16cid:durableId="572393400">
    <w:abstractNumId w:val="21"/>
  </w:num>
  <w:num w:numId="23" w16cid:durableId="979335998">
    <w:abstractNumId w:val="17"/>
  </w:num>
  <w:num w:numId="24" w16cid:durableId="2101751993">
    <w:abstractNumId w:val="11"/>
  </w:num>
  <w:num w:numId="25" w16cid:durableId="1629123394">
    <w:abstractNumId w:val="31"/>
  </w:num>
  <w:num w:numId="26" w16cid:durableId="547693662">
    <w:abstractNumId w:val="12"/>
  </w:num>
  <w:num w:numId="27" w16cid:durableId="640429732">
    <w:abstractNumId w:val="15"/>
  </w:num>
  <w:num w:numId="28" w16cid:durableId="1251309133">
    <w:abstractNumId w:val="26"/>
  </w:num>
  <w:num w:numId="29" w16cid:durableId="1402413540">
    <w:abstractNumId w:val="27"/>
  </w:num>
  <w:num w:numId="30" w16cid:durableId="869294960">
    <w:abstractNumId w:val="10"/>
  </w:num>
  <w:num w:numId="31" w16cid:durableId="1465468583">
    <w:abstractNumId w:val="16"/>
  </w:num>
  <w:num w:numId="32" w16cid:durableId="604190950">
    <w:abstractNumId w:val="13"/>
  </w:num>
  <w:num w:numId="33" w16cid:durableId="198817009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KwFACte/oUtAAAA"/>
  </w:docVars>
  <w:rsids>
    <w:rsidRoot w:val="000E414A"/>
    <w:rsid w:val="00000C8D"/>
    <w:rsid w:val="000027C0"/>
    <w:rsid w:val="00004495"/>
    <w:rsid w:val="000052FB"/>
    <w:rsid w:val="000117CB"/>
    <w:rsid w:val="000143FE"/>
    <w:rsid w:val="0003148D"/>
    <w:rsid w:val="00035527"/>
    <w:rsid w:val="000357D3"/>
    <w:rsid w:val="00046F6E"/>
    <w:rsid w:val="00051566"/>
    <w:rsid w:val="00060F64"/>
    <w:rsid w:val="00062A9A"/>
    <w:rsid w:val="00065058"/>
    <w:rsid w:val="00066195"/>
    <w:rsid w:val="00067980"/>
    <w:rsid w:val="00072ACB"/>
    <w:rsid w:val="00084D1E"/>
    <w:rsid w:val="00086C39"/>
    <w:rsid w:val="00094DDD"/>
    <w:rsid w:val="000A03B2"/>
    <w:rsid w:val="000A2495"/>
    <w:rsid w:val="000A642F"/>
    <w:rsid w:val="000B07AF"/>
    <w:rsid w:val="000B2DCC"/>
    <w:rsid w:val="000B3791"/>
    <w:rsid w:val="000C1A9B"/>
    <w:rsid w:val="000C4D69"/>
    <w:rsid w:val="000C6A8E"/>
    <w:rsid w:val="000D34BE"/>
    <w:rsid w:val="000D6C80"/>
    <w:rsid w:val="000D73D8"/>
    <w:rsid w:val="000E102F"/>
    <w:rsid w:val="000E3577"/>
    <w:rsid w:val="000E36F1"/>
    <w:rsid w:val="000E3A73"/>
    <w:rsid w:val="000E414A"/>
    <w:rsid w:val="000E455B"/>
    <w:rsid w:val="000E4895"/>
    <w:rsid w:val="000F093C"/>
    <w:rsid w:val="000F28C5"/>
    <w:rsid w:val="000F5C30"/>
    <w:rsid w:val="000F5D84"/>
    <w:rsid w:val="000F6973"/>
    <w:rsid w:val="000F787B"/>
    <w:rsid w:val="00100E0F"/>
    <w:rsid w:val="00106B47"/>
    <w:rsid w:val="00117E35"/>
    <w:rsid w:val="0012091F"/>
    <w:rsid w:val="00122E84"/>
    <w:rsid w:val="00126BC2"/>
    <w:rsid w:val="001272F4"/>
    <w:rsid w:val="001308B6"/>
    <w:rsid w:val="0013121F"/>
    <w:rsid w:val="00131FE6"/>
    <w:rsid w:val="0013263F"/>
    <w:rsid w:val="00134DE4"/>
    <w:rsid w:val="0014034D"/>
    <w:rsid w:val="0014103F"/>
    <w:rsid w:val="0014464F"/>
    <w:rsid w:val="00150E59"/>
    <w:rsid w:val="00152DE3"/>
    <w:rsid w:val="00162A2D"/>
    <w:rsid w:val="00164192"/>
    <w:rsid w:val="00164CF9"/>
    <w:rsid w:val="00176156"/>
    <w:rsid w:val="00176D23"/>
    <w:rsid w:val="00180860"/>
    <w:rsid w:val="00184297"/>
    <w:rsid w:val="00184AD6"/>
    <w:rsid w:val="00184E0C"/>
    <w:rsid w:val="0018525C"/>
    <w:rsid w:val="00187FFD"/>
    <w:rsid w:val="001A5B78"/>
    <w:rsid w:val="001A702B"/>
    <w:rsid w:val="001B0349"/>
    <w:rsid w:val="001B65C1"/>
    <w:rsid w:val="001C684B"/>
    <w:rsid w:val="001D39C6"/>
    <w:rsid w:val="001D53FC"/>
    <w:rsid w:val="001F42A5"/>
    <w:rsid w:val="001F7B9D"/>
    <w:rsid w:val="0020515C"/>
    <w:rsid w:val="00207F8F"/>
    <w:rsid w:val="0021352C"/>
    <w:rsid w:val="00214652"/>
    <w:rsid w:val="00215B38"/>
    <w:rsid w:val="002205EA"/>
    <w:rsid w:val="002224B4"/>
    <w:rsid w:val="00226051"/>
    <w:rsid w:val="0023026D"/>
    <w:rsid w:val="002350E2"/>
    <w:rsid w:val="002440DD"/>
    <w:rsid w:val="002447EF"/>
    <w:rsid w:val="00245D7A"/>
    <w:rsid w:val="00250FF1"/>
    <w:rsid w:val="00251550"/>
    <w:rsid w:val="00263B05"/>
    <w:rsid w:val="0026416C"/>
    <w:rsid w:val="00266632"/>
    <w:rsid w:val="00266751"/>
    <w:rsid w:val="00267662"/>
    <w:rsid w:val="002702AA"/>
    <w:rsid w:val="00271C35"/>
    <w:rsid w:val="0027221A"/>
    <w:rsid w:val="002757CC"/>
    <w:rsid w:val="00275B61"/>
    <w:rsid w:val="00275C7B"/>
    <w:rsid w:val="00276B4A"/>
    <w:rsid w:val="00282656"/>
    <w:rsid w:val="00282BCA"/>
    <w:rsid w:val="00282D60"/>
    <w:rsid w:val="00291E3E"/>
    <w:rsid w:val="002934F9"/>
    <w:rsid w:val="00296B83"/>
    <w:rsid w:val="002A1F6E"/>
    <w:rsid w:val="002A2E8C"/>
    <w:rsid w:val="002A3071"/>
    <w:rsid w:val="002A4002"/>
    <w:rsid w:val="002A555C"/>
    <w:rsid w:val="002B0EA5"/>
    <w:rsid w:val="002B78CE"/>
    <w:rsid w:val="002C0D37"/>
    <w:rsid w:val="002C2FB6"/>
    <w:rsid w:val="002D0EE6"/>
    <w:rsid w:val="002E25DD"/>
    <w:rsid w:val="002E3211"/>
    <w:rsid w:val="002F2F94"/>
    <w:rsid w:val="003003D3"/>
    <w:rsid w:val="003009B7"/>
    <w:rsid w:val="00300E56"/>
    <w:rsid w:val="0030469C"/>
    <w:rsid w:val="003102E2"/>
    <w:rsid w:val="00310E8A"/>
    <w:rsid w:val="00314DBA"/>
    <w:rsid w:val="003155EE"/>
    <w:rsid w:val="00321CA6"/>
    <w:rsid w:val="00322BB6"/>
    <w:rsid w:val="00333D66"/>
    <w:rsid w:val="00334078"/>
    <w:rsid w:val="00334C09"/>
    <w:rsid w:val="003444EC"/>
    <w:rsid w:val="00344B81"/>
    <w:rsid w:val="00345C1D"/>
    <w:rsid w:val="00346CA8"/>
    <w:rsid w:val="00353F03"/>
    <w:rsid w:val="003578D5"/>
    <w:rsid w:val="00360B11"/>
    <w:rsid w:val="0036202D"/>
    <w:rsid w:val="00365FF3"/>
    <w:rsid w:val="00366335"/>
    <w:rsid w:val="003723D4"/>
    <w:rsid w:val="00383F4B"/>
    <w:rsid w:val="00384CC8"/>
    <w:rsid w:val="003871FD"/>
    <w:rsid w:val="00397D98"/>
    <w:rsid w:val="003A1E30"/>
    <w:rsid w:val="003A67A1"/>
    <w:rsid w:val="003A7D1C"/>
    <w:rsid w:val="003B304B"/>
    <w:rsid w:val="003B3146"/>
    <w:rsid w:val="003C15A4"/>
    <w:rsid w:val="003C2129"/>
    <w:rsid w:val="003D1F9E"/>
    <w:rsid w:val="003D67C0"/>
    <w:rsid w:val="003D776C"/>
    <w:rsid w:val="003E0438"/>
    <w:rsid w:val="003E4035"/>
    <w:rsid w:val="003F015E"/>
    <w:rsid w:val="003F62B0"/>
    <w:rsid w:val="00400414"/>
    <w:rsid w:val="004019ED"/>
    <w:rsid w:val="004045AE"/>
    <w:rsid w:val="004053F6"/>
    <w:rsid w:val="0041446B"/>
    <w:rsid w:val="00414847"/>
    <w:rsid w:val="00416FFA"/>
    <w:rsid w:val="00434A32"/>
    <w:rsid w:val="00437C76"/>
    <w:rsid w:val="00442979"/>
    <w:rsid w:val="0044329C"/>
    <w:rsid w:val="004577FE"/>
    <w:rsid w:val="00457B9C"/>
    <w:rsid w:val="0046164A"/>
    <w:rsid w:val="004628D2"/>
    <w:rsid w:val="00462DCD"/>
    <w:rsid w:val="004648AD"/>
    <w:rsid w:val="004703A9"/>
    <w:rsid w:val="00474CDB"/>
    <w:rsid w:val="004760DE"/>
    <w:rsid w:val="004821F4"/>
    <w:rsid w:val="004A004E"/>
    <w:rsid w:val="004A24CF"/>
    <w:rsid w:val="004B4A32"/>
    <w:rsid w:val="004B4FB9"/>
    <w:rsid w:val="004B5480"/>
    <w:rsid w:val="004B6BCA"/>
    <w:rsid w:val="004C0E3C"/>
    <w:rsid w:val="004C3C45"/>
    <w:rsid w:val="004C3D1D"/>
    <w:rsid w:val="004C7913"/>
    <w:rsid w:val="004D303D"/>
    <w:rsid w:val="004D58C6"/>
    <w:rsid w:val="004D6961"/>
    <w:rsid w:val="004E20D8"/>
    <w:rsid w:val="004E4AB5"/>
    <w:rsid w:val="004E4DD6"/>
    <w:rsid w:val="004E5AA6"/>
    <w:rsid w:val="004F03EA"/>
    <w:rsid w:val="004F3D2D"/>
    <w:rsid w:val="004F5E36"/>
    <w:rsid w:val="00502CF0"/>
    <w:rsid w:val="00507B47"/>
    <w:rsid w:val="00507CC9"/>
    <w:rsid w:val="005119A5"/>
    <w:rsid w:val="00516D93"/>
    <w:rsid w:val="005278B7"/>
    <w:rsid w:val="00532016"/>
    <w:rsid w:val="00532B9A"/>
    <w:rsid w:val="005346C8"/>
    <w:rsid w:val="00536AB0"/>
    <w:rsid w:val="00542624"/>
    <w:rsid w:val="00543E7D"/>
    <w:rsid w:val="00547A68"/>
    <w:rsid w:val="005531C9"/>
    <w:rsid w:val="005567CA"/>
    <w:rsid w:val="00570661"/>
    <w:rsid w:val="00570DE0"/>
    <w:rsid w:val="00583733"/>
    <w:rsid w:val="00584CD8"/>
    <w:rsid w:val="00587A44"/>
    <w:rsid w:val="005979B7"/>
    <w:rsid w:val="005A3E9C"/>
    <w:rsid w:val="005B2110"/>
    <w:rsid w:val="005B27B0"/>
    <w:rsid w:val="005B61E6"/>
    <w:rsid w:val="005C3BDA"/>
    <w:rsid w:val="005C68C9"/>
    <w:rsid w:val="005C77E1"/>
    <w:rsid w:val="005D1A3B"/>
    <w:rsid w:val="005D1D07"/>
    <w:rsid w:val="005D6A2F"/>
    <w:rsid w:val="005E1A82"/>
    <w:rsid w:val="005E4914"/>
    <w:rsid w:val="005E72C8"/>
    <w:rsid w:val="005E794C"/>
    <w:rsid w:val="005F0A28"/>
    <w:rsid w:val="005F0E5E"/>
    <w:rsid w:val="005F0ECC"/>
    <w:rsid w:val="00600535"/>
    <w:rsid w:val="00604AD2"/>
    <w:rsid w:val="00610CD6"/>
    <w:rsid w:val="00615E7E"/>
    <w:rsid w:val="00617AA9"/>
    <w:rsid w:val="00620C11"/>
    <w:rsid w:val="00620DEE"/>
    <w:rsid w:val="00621F92"/>
    <w:rsid w:val="006241BF"/>
    <w:rsid w:val="00625639"/>
    <w:rsid w:val="00625EED"/>
    <w:rsid w:val="00631B33"/>
    <w:rsid w:val="00634451"/>
    <w:rsid w:val="0064184D"/>
    <w:rsid w:val="00644EAA"/>
    <w:rsid w:val="006453D1"/>
    <w:rsid w:val="00650997"/>
    <w:rsid w:val="00651629"/>
    <w:rsid w:val="00653120"/>
    <w:rsid w:val="00655E4B"/>
    <w:rsid w:val="00660521"/>
    <w:rsid w:val="00660E3E"/>
    <w:rsid w:val="00662E74"/>
    <w:rsid w:val="0066377B"/>
    <w:rsid w:val="00664538"/>
    <w:rsid w:val="00664A0F"/>
    <w:rsid w:val="006679F4"/>
    <w:rsid w:val="00667E96"/>
    <w:rsid w:val="00672194"/>
    <w:rsid w:val="006745EE"/>
    <w:rsid w:val="00680557"/>
    <w:rsid w:val="00680C23"/>
    <w:rsid w:val="006844B1"/>
    <w:rsid w:val="00690905"/>
    <w:rsid w:val="0069211D"/>
    <w:rsid w:val="00693766"/>
    <w:rsid w:val="00694186"/>
    <w:rsid w:val="006A3281"/>
    <w:rsid w:val="006A7732"/>
    <w:rsid w:val="006B1CCE"/>
    <w:rsid w:val="006B2C7E"/>
    <w:rsid w:val="006B4888"/>
    <w:rsid w:val="006B4E32"/>
    <w:rsid w:val="006B56BB"/>
    <w:rsid w:val="006B6305"/>
    <w:rsid w:val="006C2E45"/>
    <w:rsid w:val="006C359C"/>
    <w:rsid w:val="006C5579"/>
    <w:rsid w:val="006D1155"/>
    <w:rsid w:val="006D2C8A"/>
    <w:rsid w:val="006E6539"/>
    <w:rsid w:val="006E737D"/>
    <w:rsid w:val="006F1955"/>
    <w:rsid w:val="006F6940"/>
    <w:rsid w:val="00704DA5"/>
    <w:rsid w:val="00720A24"/>
    <w:rsid w:val="00732386"/>
    <w:rsid w:val="007377BE"/>
    <w:rsid w:val="007447F3"/>
    <w:rsid w:val="00750B5E"/>
    <w:rsid w:val="007544B2"/>
    <w:rsid w:val="0075480F"/>
    <w:rsid w:val="0075499F"/>
    <w:rsid w:val="007630EB"/>
    <w:rsid w:val="007661C8"/>
    <w:rsid w:val="0077098D"/>
    <w:rsid w:val="00790C65"/>
    <w:rsid w:val="007A3312"/>
    <w:rsid w:val="007A3A0D"/>
    <w:rsid w:val="007A7BBA"/>
    <w:rsid w:val="007B0C50"/>
    <w:rsid w:val="007B7A41"/>
    <w:rsid w:val="007C1A43"/>
    <w:rsid w:val="007C2AFF"/>
    <w:rsid w:val="007D5B5F"/>
    <w:rsid w:val="007E2993"/>
    <w:rsid w:val="007F21EA"/>
    <w:rsid w:val="007F7AA0"/>
    <w:rsid w:val="00802573"/>
    <w:rsid w:val="00813288"/>
    <w:rsid w:val="008168FC"/>
    <w:rsid w:val="00817F0F"/>
    <w:rsid w:val="00830996"/>
    <w:rsid w:val="008329AA"/>
    <w:rsid w:val="008345F1"/>
    <w:rsid w:val="008437F3"/>
    <w:rsid w:val="008579CE"/>
    <w:rsid w:val="00862C19"/>
    <w:rsid w:val="00865B07"/>
    <w:rsid w:val="008667EA"/>
    <w:rsid w:val="00870840"/>
    <w:rsid w:val="00873D70"/>
    <w:rsid w:val="0087637F"/>
    <w:rsid w:val="008768C3"/>
    <w:rsid w:val="00877F8A"/>
    <w:rsid w:val="00883C36"/>
    <w:rsid w:val="00887B62"/>
    <w:rsid w:val="00892AD5"/>
    <w:rsid w:val="008A1512"/>
    <w:rsid w:val="008A32B2"/>
    <w:rsid w:val="008B0AC6"/>
    <w:rsid w:val="008B2946"/>
    <w:rsid w:val="008C7903"/>
    <w:rsid w:val="008C7E74"/>
    <w:rsid w:val="008D34CE"/>
    <w:rsid w:val="008D433B"/>
    <w:rsid w:val="008E157E"/>
    <w:rsid w:val="008E1C05"/>
    <w:rsid w:val="008E204F"/>
    <w:rsid w:val="008E566E"/>
    <w:rsid w:val="008F374C"/>
    <w:rsid w:val="008F7CE8"/>
    <w:rsid w:val="0090161A"/>
    <w:rsid w:val="00901EB6"/>
    <w:rsid w:val="00904C62"/>
    <w:rsid w:val="009157DD"/>
    <w:rsid w:val="00915FDB"/>
    <w:rsid w:val="009176B5"/>
    <w:rsid w:val="00917751"/>
    <w:rsid w:val="009218DD"/>
    <w:rsid w:val="00923D73"/>
    <w:rsid w:val="00924DAC"/>
    <w:rsid w:val="00927058"/>
    <w:rsid w:val="0093134F"/>
    <w:rsid w:val="00932585"/>
    <w:rsid w:val="0093467F"/>
    <w:rsid w:val="009450CE"/>
    <w:rsid w:val="00947179"/>
    <w:rsid w:val="0095164B"/>
    <w:rsid w:val="00953270"/>
    <w:rsid w:val="00954090"/>
    <w:rsid w:val="00954102"/>
    <w:rsid w:val="009552CE"/>
    <w:rsid w:val="009573E7"/>
    <w:rsid w:val="00963E05"/>
    <w:rsid w:val="00967D54"/>
    <w:rsid w:val="00975B99"/>
    <w:rsid w:val="00981A11"/>
    <w:rsid w:val="00985998"/>
    <w:rsid w:val="009871DD"/>
    <w:rsid w:val="00996483"/>
    <w:rsid w:val="00996F5A"/>
    <w:rsid w:val="009A4794"/>
    <w:rsid w:val="009A4E69"/>
    <w:rsid w:val="009B041A"/>
    <w:rsid w:val="009B1C82"/>
    <w:rsid w:val="009B6152"/>
    <w:rsid w:val="009C697B"/>
    <w:rsid w:val="009C772A"/>
    <w:rsid w:val="009C7C86"/>
    <w:rsid w:val="009C7E0B"/>
    <w:rsid w:val="009D1A83"/>
    <w:rsid w:val="009D2D96"/>
    <w:rsid w:val="009D2E73"/>
    <w:rsid w:val="009D2FF7"/>
    <w:rsid w:val="009D3193"/>
    <w:rsid w:val="009D54AE"/>
    <w:rsid w:val="009E7884"/>
    <w:rsid w:val="009E788A"/>
    <w:rsid w:val="009F0E08"/>
    <w:rsid w:val="009F7F64"/>
    <w:rsid w:val="00A01300"/>
    <w:rsid w:val="00A03EA6"/>
    <w:rsid w:val="00A11A79"/>
    <w:rsid w:val="00A16082"/>
    <w:rsid w:val="00A1763D"/>
    <w:rsid w:val="00A17CEC"/>
    <w:rsid w:val="00A22F57"/>
    <w:rsid w:val="00A23162"/>
    <w:rsid w:val="00A267EF"/>
    <w:rsid w:val="00A27EF0"/>
    <w:rsid w:val="00A30648"/>
    <w:rsid w:val="00A32AE5"/>
    <w:rsid w:val="00A34C69"/>
    <w:rsid w:val="00A41141"/>
    <w:rsid w:val="00A41C51"/>
    <w:rsid w:val="00A46012"/>
    <w:rsid w:val="00A4644B"/>
    <w:rsid w:val="00A50B20"/>
    <w:rsid w:val="00A51390"/>
    <w:rsid w:val="00A555F0"/>
    <w:rsid w:val="00A60D13"/>
    <w:rsid w:val="00A636CA"/>
    <w:rsid w:val="00A70B35"/>
    <w:rsid w:val="00A711F7"/>
    <w:rsid w:val="00A716AE"/>
    <w:rsid w:val="00A72745"/>
    <w:rsid w:val="00A729A9"/>
    <w:rsid w:val="00A76EFC"/>
    <w:rsid w:val="00A91010"/>
    <w:rsid w:val="00A93305"/>
    <w:rsid w:val="00A97F29"/>
    <w:rsid w:val="00AA1D71"/>
    <w:rsid w:val="00AA3004"/>
    <w:rsid w:val="00AA702E"/>
    <w:rsid w:val="00AA71E1"/>
    <w:rsid w:val="00AB07CA"/>
    <w:rsid w:val="00AB0964"/>
    <w:rsid w:val="00AB13BA"/>
    <w:rsid w:val="00AB5011"/>
    <w:rsid w:val="00AB5863"/>
    <w:rsid w:val="00AC4852"/>
    <w:rsid w:val="00AC691D"/>
    <w:rsid w:val="00AC7368"/>
    <w:rsid w:val="00AD16B9"/>
    <w:rsid w:val="00AE0334"/>
    <w:rsid w:val="00AE2DBB"/>
    <w:rsid w:val="00AE377D"/>
    <w:rsid w:val="00AF365C"/>
    <w:rsid w:val="00AF75D6"/>
    <w:rsid w:val="00B11FCC"/>
    <w:rsid w:val="00B17FBD"/>
    <w:rsid w:val="00B25A99"/>
    <w:rsid w:val="00B30B03"/>
    <w:rsid w:val="00B315A6"/>
    <w:rsid w:val="00B31813"/>
    <w:rsid w:val="00B33365"/>
    <w:rsid w:val="00B52892"/>
    <w:rsid w:val="00B537DE"/>
    <w:rsid w:val="00B57B36"/>
    <w:rsid w:val="00B62A1C"/>
    <w:rsid w:val="00B638F0"/>
    <w:rsid w:val="00B66271"/>
    <w:rsid w:val="00B66A62"/>
    <w:rsid w:val="00B7307A"/>
    <w:rsid w:val="00B756E4"/>
    <w:rsid w:val="00B771BD"/>
    <w:rsid w:val="00B8686D"/>
    <w:rsid w:val="00B86DCD"/>
    <w:rsid w:val="00B90DA7"/>
    <w:rsid w:val="00BA3E82"/>
    <w:rsid w:val="00BB2B52"/>
    <w:rsid w:val="00BC08B6"/>
    <w:rsid w:val="00BC30C9"/>
    <w:rsid w:val="00BD3B1B"/>
    <w:rsid w:val="00BE3E58"/>
    <w:rsid w:val="00BF2E07"/>
    <w:rsid w:val="00BF5087"/>
    <w:rsid w:val="00BF58E8"/>
    <w:rsid w:val="00C01616"/>
    <w:rsid w:val="00C0162B"/>
    <w:rsid w:val="00C037F4"/>
    <w:rsid w:val="00C071BE"/>
    <w:rsid w:val="00C12326"/>
    <w:rsid w:val="00C211E8"/>
    <w:rsid w:val="00C2340E"/>
    <w:rsid w:val="00C24997"/>
    <w:rsid w:val="00C3183B"/>
    <w:rsid w:val="00C345B1"/>
    <w:rsid w:val="00C36227"/>
    <w:rsid w:val="00C40142"/>
    <w:rsid w:val="00C40AC7"/>
    <w:rsid w:val="00C51B4E"/>
    <w:rsid w:val="00C5295F"/>
    <w:rsid w:val="00C57182"/>
    <w:rsid w:val="00C57863"/>
    <w:rsid w:val="00C63664"/>
    <w:rsid w:val="00C655FD"/>
    <w:rsid w:val="00C71FB5"/>
    <w:rsid w:val="00C85667"/>
    <w:rsid w:val="00C870A8"/>
    <w:rsid w:val="00C9302B"/>
    <w:rsid w:val="00C94434"/>
    <w:rsid w:val="00C96F5E"/>
    <w:rsid w:val="00C97820"/>
    <w:rsid w:val="00CA0D75"/>
    <w:rsid w:val="00CA1C95"/>
    <w:rsid w:val="00CA451A"/>
    <w:rsid w:val="00CA5A9C"/>
    <w:rsid w:val="00CB34D7"/>
    <w:rsid w:val="00CB740B"/>
    <w:rsid w:val="00CC6AFE"/>
    <w:rsid w:val="00CD04E2"/>
    <w:rsid w:val="00CD5FE2"/>
    <w:rsid w:val="00CD7BCA"/>
    <w:rsid w:val="00CE565E"/>
    <w:rsid w:val="00CE7C68"/>
    <w:rsid w:val="00CF0C10"/>
    <w:rsid w:val="00CF35A6"/>
    <w:rsid w:val="00CF366A"/>
    <w:rsid w:val="00D00A0F"/>
    <w:rsid w:val="00D02B4C"/>
    <w:rsid w:val="00D040C4"/>
    <w:rsid w:val="00D10BB2"/>
    <w:rsid w:val="00D1486C"/>
    <w:rsid w:val="00D16DC1"/>
    <w:rsid w:val="00D20379"/>
    <w:rsid w:val="00D31A8C"/>
    <w:rsid w:val="00D34E5F"/>
    <w:rsid w:val="00D3674D"/>
    <w:rsid w:val="00D4623D"/>
    <w:rsid w:val="00D57C84"/>
    <w:rsid w:val="00D6057D"/>
    <w:rsid w:val="00D62557"/>
    <w:rsid w:val="00D62DEC"/>
    <w:rsid w:val="00D6668A"/>
    <w:rsid w:val="00D71C9D"/>
    <w:rsid w:val="00D84576"/>
    <w:rsid w:val="00D97370"/>
    <w:rsid w:val="00DA0110"/>
    <w:rsid w:val="00DA07EC"/>
    <w:rsid w:val="00DA0E8B"/>
    <w:rsid w:val="00DA1323"/>
    <w:rsid w:val="00DA1399"/>
    <w:rsid w:val="00DA24C6"/>
    <w:rsid w:val="00DA2E24"/>
    <w:rsid w:val="00DA4D7B"/>
    <w:rsid w:val="00DA5397"/>
    <w:rsid w:val="00DA65A9"/>
    <w:rsid w:val="00DB1D3E"/>
    <w:rsid w:val="00DC283A"/>
    <w:rsid w:val="00DC4D8B"/>
    <w:rsid w:val="00DE0AE7"/>
    <w:rsid w:val="00DE229C"/>
    <w:rsid w:val="00DE264A"/>
    <w:rsid w:val="00DF1098"/>
    <w:rsid w:val="00DF5054"/>
    <w:rsid w:val="00E02D18"/>
    <w:rsid w:val="00E041E7"/>
    <w:rsid w:val="00E11928"/>
    <w:rsid w:val="00E11BB7"/>
    <w:rsid w:val="00E1486D"/>
    <w:rsid w:val="00E2118A"/>
    <w:rsid w:val="00E21510"/>
    <w:rsid w:val="00E22457"/>
    <w:rsid w:val="00E23CA1"/>
    <w:rsid w:val="00E23E8D"/>
    <w:rsid w:val="00E27C69"/>
    <w:rsid w:val="00E355B4"/>
    <w:rsid w:val="00E35631"/>
    <w:rsid w:val="00E36E8F"/>
    <w:rsid w:val="00E406E3"/>
    <w:rsid w:val="00E409A8"/>
    <w:rsid w:val="00E462AD"/>
    <w:rsid w:val="00E50C12"/>
    <w:rsid w:val="00E522C5"/>
    <w:rsid w:val="00E622A5"/>
    <w:rsid w:val="00E65B91"/>
    <w:rsid w:val="00E66301"/>
    <w:rsid w:val="00E66FAF"/>
    <w:rsid w:val="00E7147D"/>
    <w:rsid w:val="00E7209D"/>
    <w:rsid w:val="00E77223"/>
    <w:rsid w:val="00E813E5"/>
    <w:rsid w:val="00E8528B"/>
    <w:rsid w:val="00E85B94"/>
    <w:rsid w:val="00E9742C"/>
    <w:rsid w:val="00E978D0"/>
    <w:rsid w:val="00EA4613"/>
    <w:rsid w:val="00EA7F91"/>
    <w:rsid w:val="00EB1523"/>
    <w:rsid w:val="00EC0DA3"/>
    <w:rsid w:val="00EC0E49"/>
    <w:rsid w:val="00EC6199"/>
    <w:rsid w:val="00EC6E55"/>
    <w:rsid w:val="00ED2188"/>
    <w:rsid w:val="00EE0131"/>
    <w:rsid w:val="00EE4B3F"/>
    <w:rsid w:val="00EF2394"/>
    <w:rsid w:val="00F02212"/>
    <w:rsid w:val="00F301E6"/>
    <w:rsid w:val="00F30C64"/>
    <w:rsid w:val="00F32CDB"/>
    <w:rsid w:val="00F36082"/>
    <w:rsid w:val="00F560F3"/>
    <w:rsid w:val="00F6174F"/>
    <w:rsid w:val="00F63A70"/>
    <w:rsid w:val="00F654EE"/>
    <w:rsid w:val="00F75766"/>
    <w:rsid w:val="00F821D4"/>
    <w:rsid w:val="00F84909"/>
    <w:rsid w:val="00F86397"/>
    <w:rsid w:val="00F86A13"/>
    <w:rsid w:val="00F90A4A"/>
    <w:rsid w:val="00F96E39"/>
    <w:rsid w:val="00FA21D0"/>
    <w:rsid w:val="00FA4844"/>
    <w:rsid w:val="00FA5F5F"/>
    <w:rsid w:val="00FB0BF9"/>
    <w:rsid w:val="00FB2BFD"/>
    <w:rsid w:val="00FB4BB5"/>
    <w:rsid w:val="00FB5DE9"/>
    <w:rsid w:val="00FB730C"/>
    <w:rsid w:val="00FC2695"/>
    <w:rsid w:val="00FC3E03"/>
    <w:rsid w:val="00FC3FC1"/>
    <w:rsid w:val="00FD20AA"/>
    <w:rsid w:val="00FE3C65"/>
    <w:rsid w:val="00FE3E01"/>
    <w:rsid w:val="00FE480D"/>
    <w:rsid w:val="00FF70F8"/>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98B07625-6EEB-43E8-8F82-F5E958F35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E1486D"/>
    <w:pPr>
      <w:keepNext/>
      <w:suppressAutoHyphens/>
      <w:spacing w:after="120" w:line="240" w:lineRule="auto"/>
      <w:jc w:val="both"/>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E1486D"/>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bCs w:val="0"/>
      <w:sz w:val="18"/>
      <w:szCs w:val="20"/>
      <w:lang w:val="en-US"/>
    </w:rPr>
  </w:style>
  <w:style w:type="character" w:styleId="Rimandonotaapidipagina">
    <w:name w:val="footnote reference"/>
    <w:basedOn w:val="Carpredefinitoparagrafo"/>
    <w:uiPriority w:val="99"/>
    <w:semiHidden/>
    <w:unhideWhenUsed/>
    <w:rsid w:val="00923D73"/>
    <w:rPr>
      <w:vertAlign w:val="superscript"/>
    </w:rPr>
  </w:style>
  <w:style w:type="paragraph" w:styleId="Paragrafoelenco">
    <w:name w:val="List Paragraph"/>
    <w:basedOn w:val="Normale"/>
    <w:uiPriority w:val="34"/>
    <w:rsid w:val="007E2993"/>
    <w:pPr>
      <w:ind w:left="720"/>
      <w:contextualSpacing/>
    </w:pPr>
  </w:style>
  <w:style w:type="paragraph" w:styleId="Revisione">
    <w:name w:val="Revision"/>
    <w:hidden/>
    <w:uiPriority w:val="99"/>
    <w:semiHidden/>
    <w:rsid w:val="0018525C"/>
    <w:pPr>
      <w:spacing w:after="0" w:line="240" w:lineRule="auto"/>
    </w:pPr>
    <w:rPr>
      <w:rFonts w:ascii="Arial" w:eastAsia="Times New Roman" w:hAnsi="Arial" w:cs="Times New Roman"/>
      <w:sz w:val="18"/>
      <w:szCs w:val="20"/>
      <w:lang w:val="en-GB"/>
    </w:rPr>
  </w:style>
  <w:style w:type="character" w:styleId="Collegamentovisitato">
    <w:name w:val="FollowedHyperlink"/>
    <w:basedOn w:val="Carpredefinitoparagrafo"/>
    <w:uiPriority w:val="99"/>
    <w:semiHidden/>
    <w:unhideWhenUsed/>
    <w:rsid w:val="00C5295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XF50995\OneDrive%20-%20INAIL\Aperti%20inail\D_mod_smquak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71453894488523"/>
          <c:y val="9.0618714612196144E-2"/>
          <c:w val="0.85616009441888841"/>
          <c:h val="0.66734118614290694"/>
        </c:manualLayout>
      </c:layout>
      <c:barChart>
        <c:barDir val="col"/>
        <c:grouping val="clustered"/>
        <c:varyColors val="0"/>
        <c:ser>
          <c:idx val="2"/>
          <c:order val="0"/>
          <c:tx>
            <c:v>Spostamenti Assoluti Max</c:v>
          </c:tx>
          <c:spPr>
            <a:solidFill>
              <a:schemeClr val="accent3"/>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04DE-45CC-8F94-5FA1CE5744BC}"/>
              </c:ext>
            </c:extLst>
          </c:dPt>
          <c:dPt>
            <c:idx val="1"/>
            <c:invertIfNegative val="0"/>
            <c:bubble3D val="0"/>
            <c:spPr>
              <a:solidFill>
                <a:schemeClr val="bg1">
                  <a:lumMod val="75000"/>
                </a:schemeClr>
              </a:solidFill>
              <a:ln>
                <a:noFill/>
              </a:ln>
              <a:effectLst/>
            </c:spPr>
            <c:extLst>
              <c:ext xmlns:c16="http://schemas.microsoft.com/office/drawing/2014/chart" uri="{C3380CC4-5D6E-409C-BE32-E72D297353CC}">
                <c16:uniqueId val="{00000003-04DE-45CC-8F94-5FA1CE5744BC}"/>
              </c:ext>
            </c:extLst>
          </c:dPt>
          <c:dPt>
            <c:idx val="2"/>
            <c:invertIfNegative val="0"/>
            <c:bubble3D val="0"/>
            <c:spPr>
              <a:solidFill>
                <a:srgbClr val="FF0000"/>
              </a:solidFill>
              <a:ln>
                <a:solidFill>
                  <a:schemeClr val="bg1">
                    <a:lumMod val="75000"/>
                  </a:schemeClr>
                </a:solidFill>
              </a:ln>
              <a:effectLst/>
            </c:spPr>
            <c:extLst>
              <c:ext xmlns:c16="http://schemas.microsoft.com/office/drawing/2014/chart" uri="{C3380CC4-5D6E-409C-BE32-E72D297353CC}">
                <c16:uniqueId val="{00000005-04DE-45CC-8F94-5FA1CE5744BC}"/>
              </c:ext>
            </c:extLst>
          </c:dPt>
          <c:dPt>
            <c:idx val="3"/>
            <c:invertIfNegative val="0"/>
            <c:bubble3D val="0"/>
            <c:spPr>
              <a:solidFill>
                <a:schemeClr val="bg1">
                  <a:lumMod val="75000"/>
                </a:schemeClr>
              </a:solidFill>
              <a:ln>
                <a:solidFill>
                  <a:schemeClr val="bg1">
                    <a:lumMod val="75000"/>
                  </a:schemeClr>
                </a:solidFill>
              </a:ln>
              <a:effectLst/>
            </c:spPr>
            <c:extLst>
              <c:ext xmlns:c16="http://schemas.microsoft.com/office/drawing/2014/chart" uri="{C3380CC4-5D6E-409C-BE32-E72D297353CC}">
                <c16:uniqueId val="{00000007-04DE-45CC-8F94-5FA1CE5744BC}"/>
              </c:ext>
            </c:extLst>
          </c:dPt>
          <c:dPt>
            <c:idx val="4"/>
            <c:invertIfNegative val="0"/>
            <c:bubble3D val="0"/>
            <c:spPr>
              <a:solidFill>
                <a:schemeClr val="bg1">
                  <a:lumMod val="75000"/>
                </a:schemeClr>
              </a:solidFill>
              <a:ln>
                <a:noFill/>
              </a:ln>
              <a:effectLst/>
            </c:spPr>
            <c:extLst>
              <c:ext xmlns:c16="http://schemas.microsoft.com/office/drawing/2014/chart" uri="{C3380CC4-5D6E-409C-BE32-E72D297353CC}">
                <c16:uniqueId val="{00000009-04DE-45CC-8F94-5FA1CE5744BC}"/>
              </c:ext>
            </c:extLst>
          </c:dPt>
          <c:dPt>
            <c:idx val="5"/>
            <c:invertIfNegative val="0"/>
            <c:bubble3D val="0"/>
            <c:spPr>
              <a:solidFill>
                <a:schemeClr val="bg1">
                  <a:lumMod val="75000"/>
                </a:schemeClr>
              </a:solidFill>
              <a:ln>
                <a:noFill/>
              </a:ln>
              <a:effectLst/>
            </c:spPr>
            <c:extLst>
              <c:ext xmlns:c16="http://schemas.microsoft.com/office/drawing/2014/chart" uri="{C3380CC4-5D6E-409C-BE32-E72D297353CC}">
                <c16:uniqueId val="{0000000B-04DE-45CC-8F94-5FA1CE5744BC}"/>
              </c:ext>
            </c:extLst>
          </c:dPt>
          <c:dPt>
            <c:idx val="6"/>
            <c:invertIfNegative val="0"/>
            <c:bubble3D val="0"/>
            <c:spPr>
              <a:solidFill>
                <a:schemeClr val="bg1">
                  <a:lumMod val="75000"/>
                </a:schemeClr>
              </a:solidFill>
              <a:ln>
                <a:noFill/>
              </a:ln>
              <a:effectLst/>
            </c:spPr>
            <c:extLst>
              <c:ext xmlns:c16="http://schemas.microsoft.com/office/drawing/2014/chart" uri="{C3380CC4-5D6E-409C-BE32-E72D297353CC}">
                <c16:uniqueId val="{0000000D-04DE-45CC-8F94-5FA1CE5744BC}"/>
              </c:ext>
            </c:extLst>
          </c:dPt>
          <c:dPt>
            <c:idx val="7"/>
            <c:invertIfNegative val="0"/>
            <c:bubble3D val="0"/>
            <c:spPr>
              <a:solidFill>
                <a:schemeClr val="bg1">
                  <a:lumMod val="75000"/>
                </a:schemeClr>
              </a:solidFill>
              <a:ln>
                <a:noFill/>
              </a:ln>
              <a:effectLst/>
            </c:spPr>
            <c:extLst>
              <c:ext xmlns:c16="http://schemas.microsoft.com/office/drawing/2014/chart" uri="{C3380CC4-5D6E-409C-BE32-E72D297353CC}">
                <c16:uniqueId val="{0000000F-04DE-45CC-8F94-5FA1CE5744BC}"/>
              </c:ext>
            </c:extLst>
          </c:dPt>
          <c:dPt>
            <c:idx val="8"/>
            <c:invertIfNegative val="0"/>
            <c:bubble3D val="0"/>
            <c:spPr>
              <a:solidFill>
                <a:srgbClr val="FF0000"/>
              </a:solidFill>
              <a:ln>
                <a:noFill/>
              </a:ln>
              <a:effectLst/>
            </c:spPr>
            <c:extLst>
              <c:ext xmlns:c16="http://schemas.microsoft.com/office/drawing/2014/chart" uri="{C3380CC4-5D6E-409C-BE32-E72D297353CC}">
                <c16:uniqueId val="{00000011-04DE-45CC-8F94-5FA1CE5744BC}"/>
              </c:ext>
            </c:extLst>
          </c:dPt>
          <c:dPt>
            <c:idx val="9"/>
            <c:invertIfNegative val="0"/>
            <c:bubble3D val="0"/>
            <c:spPr>
              <a:solidFill>
                <a:schemeClr val="bg1">
                  <a:lumMod val="75000"/>
                </a:schemeClr>
              </a:solidFill>
              <a:ln>
                <a:noFill/>
              </a:ln>
              <a:effectLst/>
            </c:spPr>
            <c:extLst>
              <c:ext xmlns:c16="http://schemas.microsoft.com/office/drawing/2014/chart" uri="{C3380CC4-5D6E-409C-BE32-E72D297353CC}">
                <c16:uniqueId val="{00000013-04DE-45CC-8F94-5FA1CE5744BC}"/>
              </c:ext>
            </c:extLst>
          </c:dPt>
          <c:dPt>
            <c:idx val="10"/>
            <c:invertIfNegative val="0"/>
            <c:bubble3D val="0"/>
            <c:spPr>
              <a:solidFill>
                <a:schemeClr val="bg1">
                  <a:lumMod val="75000"/>
                </a:schemeClr>
              </a:solidFill>
              <a:ln>
                <a:noFill/>
              </a:ln>
              <a:effectLst/>
            </c:spPr>
            <c:extLst>
              <c:ext xmlns:c16="http://schemas.microsoft.com/office/drawing/2014/chart" uri="{C3380CC4-5D6E-409C-BE32-E72D297353CC}">
                <c16:uniqueId val="{00000015-04DE-45CC-8F94-5FA1CE5744BC}"/>
              </c:ext>
            </c:extLst>
          </c:dPt>
          <c:dPt>
            <c:idx val="11"/>
            <c:invertIfNegative val="0"/>
            <c:bubble3D val="0"/>
            <c:spPr>
              <a:solidFill>
                <a:schemeClr val="bg1">
                  <a:lumMod val="75000"/>
                </a:schemeClr>
              </a:solidFill>
              <a:ln>
                <a:noFill/>
              </a:ln>
              <a:effectLst/>
            </c:spPr>
            <c:extLst>
              <c:ext xmlns:c16="http://schemas.microsoft.com/office/drawing/2014/chart" uri="{C3380CC4-5D6E-409C-BE32-E72D297353CC}">
                <c16:uniqueId val="{00000017-04DE-45CC-8F94-5FA1CE5744BC}"/>
              </c:ext>
            </c:extLst>
          </c:dPt>
          <c:dPt>
            <c:idx val="12"/>
            <c:invertIfNegative val="0"/>
            <c:bubble3D val="0"/>
            <c:spPr>
              <a:solidFill>
                <a:schemeClr val="bg1">
                  <a:lumMod val="75000"/>
                </a:schemeClr>
              </a:solidFill>
              <a:ln>
                <a:noFill/>
              </a:ln>
              <a:effectLst/>
            </c:spPr>
            <c:extLst>
              <c:ext xmlns:c16="http://schemas.microsoft.com/office/drawing/2014/chart" uri="{C3380CC4-5D6E-409C-BE32-E72D297353CC}">
                <c16:uniqueId val="{00000019-04DE-45CC-8F94-5FA1CE5744BC}"/>
              </c:ext>
            </c:extLst>
          </c:dPt>
          <c:dPt>
            <c:idx val="13"/>
            <c:invertIfNegative val="0"/>
            <c:bubble3D val="0"/>
            <c:spPr>
              <a:solidFill>
                <a:schemeClr val="bg1">
                  <a:lumMod val="75000"/>
                </a:schemeClr>
              </a:solidFill>
              <a:ln>
                <a:noFill/>
              </a:ln>
              <a:effectLst/>
            </c:spPr>
            <c:extLst>
              <c:ext xmlns:c16="http://schemas.microsoft.com/office/drawing/2014/chart" uri="{C3380CC4-5D6E-409C-BE32-E72D297353CC}">
                <c16:uniqueId val="{0000001B-04DE-45CC-8F94-5FA1CE5744BC}"/>
              </c:ext>
            </c:extLst>
          </c:dPt>
          <c:dPt>
            <c:idx val="14"/>
            <c:invertIfNegative val="0"/>
            <c:bubble3D val="0"/>
            <c:spPr>
              <a:solidFill>
                <a:schemeClr val="bg1">
                  <a:lumMod val="75000"/>
                </a:schemeClr>
              </a:solidFill>
              <a:ln>
                <a:noFill/>
              </a:ln>
              <a:effectLst/>
            </c:spPr>
            <c:extLst>
              <c:ext xmlns:c16="http://schemas.microsoft.com/office/drawing/2014/chart" uri="{C3380CC4-5D6E-409C-BE32-E72D297353CC}">
                <c16:uniqueId val="{0000001D-04DE-45CC-8F94-5FA1CE5744BC}"/>
              </c:ext>
            </c:extLst>
          </c:dPt>
          <c:dPt>
            <c:idx val="15"/>
            <c:invertIfNegative val="0"/>
            <c:bubble3D val="0"/>
            <c:spPr>
              <a:solidFill>
                <a:schemeClr val="bg1">
                  <a:lumMod val="75000"/>
                </a:schemeClr>
              </a:solidFill>
              <a:ln>
                <a:noFill/>
              </a:ln>
              <a:effectLst/>
            </c:spPr>
            <c:extLst>
              <c:ext xmlns:c16="http://schemas.microsoft.com/office/drawing/2014/chart" uri="{C3380CC4-5D6E-409C-BE32-E72D297353CC}">
                <c16:uniqueId val="{0000001F-04DE-45CC-8F94-5FA1CE5744BC}"/>
              </c:ext>
            </c:extLst>
          </c:dPt>
          <c:dPt>
            <c:idx val="16"/>
            <c:invertIfNegative val="0"/>
            <c:bubble3D val="0"/>
            <c:spPr>
              <a:solidFill>
                <a:schemeClr val="bg1">
                  <a:lumMod val="75000"/>
                </a:schemeClr>
              </a:solidFill>
              <a:ln>
                <a:noFill/>
              </a:ln>
              <a:effectLst/>
            </c:spPr>
            <c:extLst>
              <c:ext xmlns:c16="http://schemas.microsoft.com/office/drawing/2014/chart" uri="{C3380CC4-5D6E-409C-BE32-E72D297353CC}">
                <c16:uniqueId val="{00000021-04DE-45CC-8F94-5FA1CE5744BC}"/>
              </c:ext>
            </c:extLst>
          </c:dPt>
          <c:dPt>
            <c:idx val="17"/>
            <c:invertIfNegative val="0"/>
            <c:bubble3D val="0"/>
            <c:spPr>
              <a:solidFill>
                <a:schemeClr val="bg1">
                  <a:lumMod val="75000"/>
                </a:schemeClr>
              </a:solidFill>
              <a:ln>
                <a:noFill/>
              </a:ln>
              <a:effectLst/>
            </c:spPr>
            <c:extLst>
              <c:ext xmlns:c16="http://schemas.microsoft.com/office/drawing/2014/chart" uri="{C3380CC4-5D6E-409C-BE32-E72D297353CC}">
                <c16:uniqueId val="{00000023-04DE-45CC-8F94-5FA1CE5744BC}"/>
              </c:ext>
            </c:extLst>
          </c:dPt>
          <c:dPt>
            <c:idx val="18"/>
            <c:invertIfNegative val="0"/>
            <c:bubble3D val="0"/>
            <c:spPr>
              <a:solidFill>
                <a:schemeClr val="bg1">
                  <a:lumMod val="75000"/>
                </a:schemeClr>
              </a:solidFill>
              <a:ln>
                <a:noFill/>
              </a:ln>
              <a:effectLst/>
            </c:spPr>
            <c:extLst>
              <c:ext xmlns:c16="http://schemas.microsoft.com/office/drawing/2014/chart" uri="{C3380CC4-5D6E-409C-BE32-E72D297353CC}">
                <c16:uniqueId val="{00000025-04DE-45CC-8F94-5FA1CE5744BC}"/>
              </c:ext>
            </c:extLst>
          </c:dPt>
          <c:dPt>
            <c:idx val="19"/>
            <c:invertIfNegative val="0"/>
            <c:bubble3D val="0"/>
            <c:spPr>
              <a:solidFill>
                <a:srgbClr val="FF0000"/>
              </a:solidFill>
              <a:ln>
                <a:noFill/>
              </a:ln>
              <a:effectLst/>
            </c:spPr>
            <c:extLst>
              <c:ext xmlns:c16="http://schemas.microsoft.com/office/drawing/2014/chart" uri="{C3380CC4-5D6E-409C-BE32-E72D297353CC}">
                <c16:uniqueId val="{00000027-04DE-45CC-8F94-5FA1CE5744BC}"/>
              </c:ext>
            </c:extLst>
          </c:dPt>
          <c:dPt>
            <c:idx val="20"/>
            <c:invertIfNegative val="0"/>
            <c:bubble3D val="0"/>
            <c:spPr>
              <a:solidFill>
                <a:schemeClr val="bg1">
                  <a:lumMod val="75000"/>
                </a:schemeClr>
              </a:solidFill>
              <a:ln>
                <a:noFill/>
              </a:ln>
              <a:effectLst/>
            </c:spPr>
            <c:extLst>
              <c:ext xmlns:c16="http://schemas.microsoft.com/office/drawing/2014/chart" uri="{C3380CC4-5D6E-409C-BE32-E72D297353CC}">
                <c16:uniqueId val="{00000029-04DE-45CC-8F94-5FA1CE5744BC}"/>
              </c:ext>
            </c:extLst>
          </c:dPt>
          <c:dLbls>
            <c:dLbl>
              <c:idx val="1"/>
              <c:layout>
                <c:manualLayout>
                  <c:x val="1.0079365079365079E-2"/>
                  <c:y val="-8.23148148148148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DE-45CC-8F94-5FA1CE5744BC}"/>
                </c:ext>
              </c:extLst>
            </c:dLbl>
            <c:dLbl>
              <c:idx val="3"/>
              <c:layout>
                <c:manualLayout>
                  <c:x val="-1.4803849000740192E-2"/>
                  <c:y val="-1.94489465153971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4DE-45CC-8F94-5FA1CE5744BC}"/>
                </c:ext>
              </c:extLst>
            </c:dLbl>
            <c:dLbl>
              <c:idx val="5"/>
              <c:layout>
                <c:manualLayout>
                  <c:x val="-6.7850190775532162E-17"/>
                  <c:y val="6.48298217179905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4DE-45CC-8F94-5FA1CE5744BC}"/>
                </c:ext>
              </c:extLst>
            </c:dLbl>
            <c:dLbl>
              <c:idx val="8"/>
              <c:layout>
                <c:manualLayout>
                  <c:x val="3.7009622501850479E-3"/>
                  <c:y val="-2.59319286871961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4DE-45CC-8F94-5FA1CE5744BC}"/>
                </c:ext>
              </c:extLst>
            </c:dLbl>
            <c:dLbl>
              <c:idx val="13"/>
              <c:layout>
                <c:manualLayout>
                  <c:x val="0"/>
                  <c:y val="-7.05555555555556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04DE-45CC-8F94-5FA1CE5744BC}"/>
                </c:ext>
              </c:extLst>
            </c:dLbl>
            <c:dLbl>
              <c:idx val="15"/>
              <c:layout>
                <c:manualLayout>
                  <c:x val="0"/>
                  <c:y val="-9.40740740740741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04DE-45CC-8F94-5FA1CE5744BC}"/>
                </c:ext>
              </c:extLst>
            </c:dLbl>
            <c:dLbl>
              <c:idx val="19"/>
              <c:layout>
                <c:manualLayout>
                  <c:x val="0"/>
                  <c:y val="-5.8346839546191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04DE-45CC-8F94-5FA1CE5744BC}"/>
                </c:ext>
              </c:extLst>
            </c:dLbl>
            <c:dLbl>
              <c:idx val="20"/>
              <c:layout>
                <c:manualLayout>
                  <c:x val="-2.5198412698412696E-3"/>
                  <c:y val="-7.05555555555555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04DE-45CC-8F94-5FA1CE5744BC}"/>
                </c:ext>
              </c:extLst>
            </c:dLbl>
            <c:numFmt formatCode="#,##0.000" sourceLinked="0"/>
            <c:spPr>
              <a:noFill/>
              <a:ln>
                <a:noFill/>
              </a:ln>
              <a:effectLst/>
            </c:spPr>
            <c:txPr>
              <a:bodyPr rot="0" spcFirstLastPara="1" vertOverflow="ellipsis" vert="horz" wrap="square" anchor="ctr" anchorCtr="1"/>
              <a:lstStyle/>
              <a:p>
                <a:pPr>
                  <a:defRPr sz="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'Ris_Sp acc_dis'!$C$2:$W$2</c:f>
              <c:strCache>
                <c:ptCount val="21"/>
                <c:pt idx="0">
                  <c:v>M1-M2</c:v>
                </c:pt>
                <c:pt idx="1">
                  <c:v>M1-M3</c:v>
                </c:pt>
                <c:pt idx="2">
                  <c:v>M1-M4</c:v>
                </c:pt>
                <c:pt idx="3">
                  <c:v>M1-M5</c:v>
                </c:pt>
                <c:pt idx="4">
                  <c:v>M1-M6</c:v>
                </c:pt>
                <c:pt idx="5">
                  <c:v>M1-M7</c:v>
                </c:pt>
                <c:pt idx="6">
                  <c:v>M2-M3</c:v>
                </c:pt>
                <c:pt idx="7">
                  <c:v>M2-M4</c:v>
                </c:pt>
                <c:pt idx="8">
                  <c:v>M2-M5</c:v>
                </c:pt>
                <c:pt idx="9">
                  <c:v>M2-M6</c:v>
                </c:pt>
                <c:pt idx="10">
                  <c:v>M2-M7</c:v>
                </c:pt>
                <c:pt idx="11">
                  <c:v>M3-M4</c:v>
                </c:pt>
                <c:pt idx="12">
                  <c:v>M3-M5</c:v>
                </c:pt>
                <c:pt idx="13">
                  <c:v>M3-M6</c:v>
                </c:pt>
                <c:pt idx="14">
                  <c:v>M3-M7</c:v>
                </c:pt>
                <c:pt idx="15">
                  <c:v>M4-M5</c:v>
                </c:pt>
                <c:pt idx="16">
                  <c:v>M4-M6</c:v>
                </c:pt>
                <c:pt idx="17">
                  <c:v>M4-M7</c:v>
                </c:pt>
                <c:pt idx="18">
                  <c:v>M5-M6</c:v>
                </c:pt>
                <c:pt idx="19">
                  <c:v>M5-M7</c:v>
                </c:pt>
                <c:pt idx="20">
                  <c:v>M6-M7</c:v>
                </c:pt>
              </c:strCache>
            </c:strRef>
          </c:cat>
          <c:val>
            <c:numRef>
              <c:f>'Ris_Sp acc_dis'!$C$3:$W$3</c:f>
              <c:numCache>
                <c:formatCode>General</c:formatCode>
                <c:ptCount val="21"/>
                <c:pt idx="0">
                  <c:v>0.14676499999999998</c:v>
                </c:pt>
                <c:pt idx="1">
                  <c:v>0.11668800000000001</c:v>
                </c:pt>
                <c:pt idx="2">
                  <c:v>9.7904999999999992E-2</c:v>
                </c:pt>
                <c:pt idx="3">
                  <c:v>0.106993</c:v>
                </c:pt>
                <c:pt idx="4">
                  <c:v>0.110192</c:v>
                </c:pt>
                <c:pt idx="5">
                  <c:v>0.10628000000000001</c:v>
                </c:pt>
                <c:pt idx="6">
                  <c:v>0.12282799999999999</c:v>
                </c:pt>
                <c:pt idx="7">
                  <c:v>0.106628</c:v>
                </c:pt>
                <c:pt idx="8">
                  <c:v>0.108891</c:v>
                </c:pt>
                <c:pt idx="9">
                  <c:v>0.12559699999999999</c:v>
                </c:pt>
                <c:pt idx="10">
                  <c:v>0.112206</c:v>
                </c:pt>
                <c:pt idx="11">
                  <c:v>7.6772000000000007E-2</c:v>
                </c:pt>
                <c:pt idx="12">
                  <c:v>9.0119000000000005E-2</c:v>
                </c:pt>
                <c:pt idx="13">
                  <c:v>8.9581999999999995E-2</c:v>
                </c:pt>
                <c:pt idx="14">
                  <c:v>7.9226999999999992E-2</c:v>
                </c:pt>
                <c:pt idx="15">
                  <c:v>7.2883000000000003E-2</c:v>
                </c:pt>
                <c:pt idx="16">
                  <c:v>8.4075999999999998E-2</c:v>
                </c:pt>
                <c:pt idx="17">
                  <c:v>5.9096999999999997E-2</c:v>
                </c:pt>
                <c:pt idx="18">
                  <c:v>9.4544000000000003E-2</c:v>
                </c:pt>
                <c:pt idx="19">
                  <c:v>6.6666000000000003E-2</c:v>
                </c:pt>
                <c:pt idx="20">
                  <c:v>8.2930000000000004E-2</c:v>
                </c:pt>
              </c:numCache>
            </c:numRef>
          </c:val>
          <c:extLst>
            <c:ext xmlns:c16="http://schemas.microsoft.com/office/drawing/2014/chart" uri="{C3380CC4-5D6E-409C-BE32-E72D297353CC}">
              <c16:uniqueId val="{0000002A-04DE-45CC-8F94-5FA1CE5744BC}"/>
            </c:ext>
          </c:extLst>
        </c:ser>
        <c:dLbls>
          <c:showLegendKey val="0"/>
          <c:showVal val="0"/>
          <c:showCatName val="0"/>
          <c:showSerName val="0"/>
          <c:showPercent val="0"/>
          <c:showBubbleSize val="0"/>
        </c:dLbls>
        <c:gapWidth val="219"/>
        <c:overlap val="-27"/>
        <c:axId val="538974736"/>
        <c:axId val="538972776"/>
      </c:barChart>
      <c:catAx>
        <c:axId val="538974736"/>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600"/>
                  <a:t>Analysed models</a:t>
                </a:r>
              </a:p>
            </c:rich>
          </c:tx>
          <c:layout>
            <c:manualLayout>
              <c:xMode val="edge"/>
              <c:yMode val="edge"/>
              <c:x val="0.42373532079973136"/>
              <c:y val="0.9384711000621504"/>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t-I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t-IT"/>
          </a:p>
        </c:txPr>
        <c:crossAx val="538972776"/>
        <c:crosses val="autoZero"/>
        <c:auto val="1"/>
        <c:lblAlgn val="ctr"/>
        <c:lblOffset val="100"/>
        <c:noMultiLvlLbl val="0"/>
      </c:catAx>
      <c:valAx>
        <c:axId val="53897277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600"/>
                  <a:t>Displacement [m]</a:t>
                </a:r>
              </a:p>
            </c:rich>
          </c:tx>
          <c:overlay val="0"/>
          <c:spPr>
            <a:noFill/>
            <a:ln>
              <a:noFill/>
            </a:ln>
            <a:effectLst/>
          </c:spPr>
          <c:txPr>
            <a:bodyPr rot="-5400000" spcFirstLastPara="1" vertOverflow="ellipsis" vert="horz" wrap="square" anchor="ctr" anchorCtr="1"/>
            <a:lstStyle/>
            <a:p>
              <a:pPr>
                <a:defRPr sz="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t-I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t-IT"/>
          </a:p>
        </c:txPr>
        <c:crossAx val="5389747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b="1">
          <a:solidFill>
            <a:schemeClr val="tx1"/>
          </a:solidFill>
          <a:latin typeface="Times New Roman" panose="02020603050405020304" pitchFamily="18" charset="0"/>
          <a:cs typeface="Times New Roman" panose="02020603050405020304" pitchFamily="18" charset="0"/>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Ordinamento per nome" Version="2003"/>
</file>

<file path=customXml/itemProps1.xml><?xml version="1.0" encoding="utf-8"?>
<ds:datastoreItem xmlns:ds="http://schemas.openxmlformats.org/officeDocument/2006/customXml" ds:itemID="{F48CBF13-67E1-4417-9910-6D6441288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TotalTime>
  <Pages>6</Pages>
  <Words>3604</Words>
  <Characters>20546</Characters>
  <Application>Microsoft Office Word</Application>
  <DocSecurity>0</DocSecurity>
  <Lines>171</Lines>
  <Paragraphs>48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Daniele Perrone</cp:lastModifiedBy>
  <cp:revision>50</cp:revision>
  <cp:lastPrinted>2022-01-12T15:01:00Z</cp:lastPrinted>
  <dcterms:created xsi:type="dcterms:W3CDTF">2024-04-22T16:57:00Z</dcterms:created>
  <dcterms:modified xsi:type="dcterms:W3CDTF">2024-06-26T20:32:00Z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Citation Style_1">
    <vt:lpwstr>http://www.zotero.org/styles/apa</vt:lpwstr>
  </property>
  <property fmtid="{D5CDD505-2E9C-101B-9397-08002B2CF9AE}" pid="26" name="Mendeley Unique User Id_1">
    <vt:lpwstr>1e50b7a9-06d0-34f6-b8a0-2fdc00835c20</vt:lpwstr>
  </property>
</Properties>
</file>