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E29A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E29A6" w:rsidRDefault="000A03B2" w:rsidP="00DE264A">
            <w:pPr>
              <w:tabs>
                <w:tab w:val="left" w:pos="-108"/>
              </w:tabs>
              <w:ind w:left="-108"/>
              <w:jc w:val="left"/>
              <w:rPr>
                <w:rFonts w:cs="Arial"/>
                <w:b/>
                <w:bCs/>
                <w:i/>
                <w:iCs/>
                <w:color w:val="000066"/>
                <w:sz w:val="12"/>
                <w:szCs w:val="12"/>
                <w:lang w:eastAsia="it-IT"/>
              </w:rPr>
            </w:pPr>
            <w:r w:rsidRPr="00EE29A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E29A6">
              <w:rPr>
                <w:rFonts w:ascii="AdvP6960" w:hAnsi="AdvP6960" w:cs="AdvP6960"/>
                <w:color w:val="241F20"/>
                <w:szCs w:val="18"/>
                <w:lang w:eastAsia="it-IT"/>
              </w:rPr>
              <w:t xml:space="preserve"> </w:t>
            </w:r>
            <w:r w:rsidRPr="00EE29A6">
              <w:rPr>
                <w:rFonts w:cs="Arial"/>
                <w:b/>
                <w:bCs/>
                <w:i/>
                <w:iCs/>
                <w:color w:val="000066"/>
                <w:sz w:val="24"/>
                <w:szCs w:val="24"/>
                <w:lang w:eastAsia="it-IT"/>
              </w:rPr>
              <w:t>CHEMICAL ENGINEERING</w:t>
            </w:r>
            <w:r w:rsidRPr="00EE29A6">
              <w:rPr>
                <w:rFonts w:cs="Arial"/>
                <w:b/>
                <w:bCs/>
                <w:i/>
                <w:iCs/>
                <w:color w:val="0033FF"/>
                <w:sz w:val="24"/>
                <w:szCs w:val="24"/>
                <w:lang w:eastAsia="it-IT"/>
              </w:rPr>
              <w:t xml:space="preserve"> </w:t>
            </w:r>
            <w:r w:rsidRPr="00EE29A6">
              <w:rPr>
                <w:rFonts w:cs="Arial"/>
                <w:b/>
                <w:bCs/>
                <w:i/>
                <w:iCs/>
                <w:color w:val="666666"/>
                <w:sz w:val="24"/>
                <w:szCs w:val="24"/>
                <w:lang w:eastAsia="it-IT"/>
              </w:rPr>
              <w:t>TRANSACTIONS</w:t>
            </w:r>
            <w:r w:rsidRPr="00EE29A6">
              <w:rPr>
                <w:color w:val="333333"/>
                <w:sz w:val="24"/>
                <w:szCs w:val="24"/>
                <w:lang w:eastAsia="it-IT"/>
              </w:rPr>
              <w:t xml:space="preserve"> </w:t>
            </w:r>
            <w:r w:rsidRPr="00EE29A6">
              <w:rPr>
                <w:rFonts w:cs="Arial"/>
                <w:b/>
                <w:bCs/>
                <w:i/>
                <w:iCs/>
                <w:color w:val="000066"/>
                <w:sz w:val="27"/>
                <w:szCs w:val="27"/>
                <w:lang w:eastAsia="it-IT"/>
              </w:rPr>
              <w:br/>
            </w:r>
          </w:p>
          <w:p w14:paraId="4B780582" w14:textId="38BD1662" w:rsidR="000A03B2" w:rsidRPr="00EE29A6" w:rsidRDefault="00A76EFC" w:rsidP="00B57E6F">
            <w:pPr>
              <w:tabs>
                <w:tab w:val="left" w:pos="-108"/>
              </w:tabs>
              <w:ind w:left="-108"/>
              <w:rPr>
                <w:rFonts w:cs="Arial"/>
                <w:b/>
                <w:bCs/>
                <w:i/>
                <w:iCs/>
                <w:color w:val="000066"/>
                <w:sz w:val="22"/>
                <w:szCs w:val="22"/>
                <w:lang w:eastAsia="it-IT"/>
              </w:rPr>
            </w:pPr>
            <w:r w:rsidRPr="00EE29A6">
              <w:rPr>
                <w:rFonts w:cs="Arial"/>
                <w:b/>
                <w:bCs/>
                <w:i/>
                <w:iCs/>
                <w:color w:val="000066"/>
                <w:sz w:val="22"/>
                <w:szCs w:val="22"/>
                <w:lang w:eastAsia="it-IT"/>
              </w:rPr>
              <w:t xml:space="preserve">VOL. </w:t>
            </w:r>
            <w:r w:rsidR="00825DD9" w:rsidRPr="00EE29A6">
              <w:rPr>
                <w:rFonts w:cs="Arial"/>
                <w:b/>
                <w:bCs/>
                <w:i/>
                <w:iCs/>
                <w:color w:val="000066"/>
                <w:sz w:val="22"/>
                <w:szCs w:val="22"/>
                <w:lang w:eastAsia="it-IT"/>
              </w:rPr>
              <w:t>xxx</w:t>
            </w:r>
            <w:r w:rsidR="007B48F9" w:rsidRPr="00EE29A6">
              <w:rPr>
                <w:rFonts w:cs="Arial"/>
                <w:b/>
                <w:bCs/>
                <w:i/>
                <w:iCs/>
                <w:color w:val="000066"/>
                <w:sz w:val="22"/>
                <w:szCs w:val="22"/>
                <w:lang w:eastAsia="it-IT"/>
              </w:rPr>
              <w:t>,</w:t>
            </w:r>
            <w:r w:rsidR="00FA5F5F" w:rsidRPr="00EE29A6">
              <w:rPr>
                <w:rFonts w:cs="Arial"/>
                <w:b/>
                <w:bCs/>
                <w:i/>
                <w:iCs/>
                <w:color w:val="000066"/>
                <w:sz w:val="22"/>
                <w:szCs w:val="22"/>
                <w:lang w:eastAsia="it-IT"/>
              </w:rPr>
              <w:t xml:space="preserve"> 20</w:t>
            </w:r>
            <w:r w:rsidR="00DF5072" w:rsidRPr="00EE29A6">
              <w:rPr>
                <w:rFonts w:cs="Arial"/>
                <w:b/>
                <w:bCs/>
                <w:i/>
                <w:iCs/>
                <w:color w:val="000066"/>
                <w:sz w:val="22"/>
                <w:szCs w:val="22"/>
                <w:lang w:eastAsia="it-IT"/>
              </w:rPr>
              <w:t>2</w:t>
            </w:r>
            <w:r w:rsidR="00825DD9" w:rsidRPr="00EE29A6">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EE29A6" w:rsidRDefault="000A03B2" w:rsidP="00CD5FE2">
            <w:pPr>
              <w:spacing w:line="140" w:lineRule="atLeast"/>
              <w:jc w:val="right"/>
              <w:rPr>
                <w:rFonts w:cs="Arial"/>
                <w:sz w:val="14"/>
                <w:szCs w:val="14"/>
              </w:rPr>
            </w:pPr>
            <w:r w:rsidRPr="00EE29A6">
              <w:rPr>
                <w:rFonts w:cs="Arial"/>
                <w:sz w:val="14"/>
                <w:szCs w:val="14"/>
              </w:rPr>
              <w:t>A publication of</w:t>
            </w:r>
          </w:p>
          <w:p w14:paraId="599E5441" w14:textId="77777777" w:rsidR="000A03B2" w:rsidRPr="00EE29A6" w:rsidRDefault="000A03B2" w:rsidP="00CD5FE2">
            <w:pPr>
              <w:jc w:val="right"/>
            </w:pPr>
            <w:r w:rsidRPr="00EE29A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E29A6" w14:paraId="380FA3CD" w14:textId="77777777" w:rsidTr="00DE264A">
        <w:trPr>
          <w:trHeight w:val="567"/>
          <w:jc w:val="center"/>
        </w:trPr>
        <w:tc>
          <w:tcPr>
            <w:tcW w:w="6946" w:type="dxa"/>
            <w:vMerge/>
            <w:tcBorders>
              <w:right w:val="single" w:sz="4" w:space="0" w:color="auto"/>
            </w:tcBorders>
          </w:tcPr>
          <w:p w14:paraId="39E5E4C1" w14:textId="77777777" w:rsidR="000A03B2" w:rsidRPr="00EE29A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EE29A6" w:rsidRDefault="000A03B2" w:rsidP="00CD5FE2">
            <w:pPr>
              <w:spacing w:line="140" w:lineRule="atLeast"/>
              <w:jc w:val="right"/>
              <w:rPr>
                <w:rFonts w:cs="Arial"/>
                <w:sz w:val="14"/>
                <w:szCs w:val="14"/>
              </w:rPr>
            </w:pPr>
            <w:r w:rsidRPr="00EE29A6">
              <w:rPr>
                <w:rFonts w:cs="Arial"/>
                <w:sz w:val="14"/>
                <w:szCs w:val="14"/>
              </w:rPr>
              <w:t>The Italian Association</w:t>
            </w:r>
          </w:p>
          <w:p w14:paraId="7522B1D2" w14:textId="77777777" w:rsidR="000A03B2" w:rsidRPr="00EE29A6" w:rsidRDefault="000A03B2" w:rsidP="00CD5FE2">
            <w:pPr>
              <w:spacing w:line="140" w:lineRule="atLeast"/>
              <w:jc w:val="right"/>
              <w:rPr>
                <w:rFonts w:cs="Arial"/>
                <w:sz w:val="14"/>
                <w:szCs w:val="14"/>
              </w:rPr>
            </w:pPr>
            <w:r w:rsidRPr="00EE29A6">
              <w:rPr>
                <w:rFonts w:cs="Arial"/>
                <w:sz w:val="14"/>
                <w:szCs w:val="14"/>
              </w:rPr>
              <w:t>of Chemical Engineering</w:t>
            </w:r>
          </w:p>
          <w:p w14:paraId="4F0CC5DE" w14:textId="47FDB2FC" w:rsidR="000A03B2" w:rsidRPr="00EE29A6" w:rsidRDefault="000D0268" w:rsidP="00CD5FE2">
            <w:pPr>
              <w:spacing w:line="140" w:lineRule="atLeast"/>
              <w:jc w:val="right"/>
              <w:rPr>
                <w:rFonts w:cs="Arial"/>
                <w:sz w:val="13"/>
                <w:szCs w:val="13"/>
              </w:rPr>
            </w:pPr>
            <w:r w:rsidRPr="00EE29A6">
              <w:rPr>
                <w:rFonts w:cs="Arial"/>
                <w:sz w:val="13"/>
                <w:szCs w:val="13"/>
              </w:rPr>
              <w:t>Online at www.cetjournal.it</w:t>
            </w:r>
          </w:p>
        </w:tc>
      </w:tr>
      <w:tr w:rsidR="000A03B2" w:rsidRPr="00EE29A6" w14:paraId="2D1B7169" w14:textId="77777777" w:rsidTr="00DE264A">
        <w:trPr>
          <w:trHeight w:val="68"/>
          <w:jc w:val="center"/>
        </w:trPr>
        <w:tc>
          <w:tcPr>
            <w:tcW w:w="8789" w:type="dxa"/>
            <w:gridSpan w:val="2"/>
          </w:tcPr>
          <w:p w14:paraId="4B0BB442" w14:textId="4EADF2C2" w:rsidR="00300E56" w:rsidRPr="00EE29A6" w:rsidRDefault="00300E56" w:rsidP="00B57E6F">
            <w:pPr>
              <w:ind w:left="-107"/>
              <w:outlineLvl w:val="2"/>
              <w:rPr>
                <w:rFonts w:ascii="Tahoma" w:hAnsi="Tahoma" w:cs="Tahoma"/>
                <w:bCs/>
                <w:color w:val="000000"/>
                <w:sz w:val="14"/>
                <w:szCs w:val="14"/>
                <w:lang w:val="it-IT" w:eastAsia="it-IT"/>
              </w:rPr>
            </w:pPr>
            <w:r w:rsidRPr="00EE29A6">
              <w:rPr>
                <w:rFonts w:ascii="Tahoma" w:hAnsi="Tahoma" w:cs="Tahoma"/>
                <w:iCs/>
                <w:color w:val="333333"/>
                <w:sz w:val="14"/>
                <w:szCs w:val="14"/>
                <w:lang w:val="it-IT" w:eastAsia="it-IT"/>
              </w:rPr>
              <w:t>Guest Editors:</w:t>
            </w:r>
            <w:r w:rsidR="00904C62" w:rsidRPr="00EE29A6">
              <w:rPr>
                <w:rFonts w:ascii="Tahoma" w:hAnsi="Tahoma" w:cs="Tahoma"/>
                <w:iCs/>
                <w:color w:val="333333"/>
                <w:sz w:val="14"/>
                <w:szCs w:val="14"/>
                <w:lang w:val="it-IT" w:eastAsia="it-IT"/>
              </w:rPr>
              <w:t xml:space="preserve"> </w:t>
            </w:r>
            <w:r w:rsidR="00B57E6F" w:rsidRPr="00EE29A6">
              <w:rPr>
                <w:rFonts w:ascii="Tahoma" w:hAnsi="Tahoma" w:cs="Tahoma"/>
                <w:color w:val="000000"/>
                <w:sz w:val="14"/>
                <w:szCs w:val="14"/>
                <w:shd w:val="clear" w:color="auto" w:fill="FFFFFF"/>
                <w:lang w:val="it-IT"/>
              </w:rPr>
              <w:t xml:space="preserve">Valerio Cozzani, </w:t>
            </w:r>
            <w:r w:rsidR="001331DF" w:rsidRPr="00EE29A6">
              <w:rPr>
                <w:rFonts w:ascii="Tahoma" w:hAnsi="Tahoma" w:cs="Tahoma"/>
                <w:color w:val="000000"/>
                <w:sz w:val="14"/>
                <w:szCs w:val="14"/>
                <w:shd w:val="clear" w:color="auto" w:fill="FFFFFF"/>
                <w:lang w:val="it-IT"/>
              </w:rPr>
              <w:t>Bruno Fabiano</w:t>
            </w:r>
            <w:r w:rsidR="00B57E6F" w:rsidRPr="00EE29A6">
              <w:rPr>
                <w:rFonts w:ascii="Tahoma" w:hAnsi="Tahoma" w:cs="Tahoma"/>
                <w:color w:val="000000"/>
                <w:sz w:val="14"/>
                <w:szCs w:val="14"/>
                <w:shd w:val="clear" w:color="auto" w:fill="FFFFFF"/>
                <w:lang w:val="it-IT"/>
              </w:rPr>
              <w:t xml:space="preserve">, </w:t>
            </w:r>
            <w:proofErr w:type="spellStart"/>
            <w:r w:rsidR="00B57E6F" w:rsidRPr="00EE29A6">
              <w:rPr>
                <w:rFonts w:ascii="Tahoma" w:hAnsi="Tahoma" w:cs="Tahoma"/>
                <w:bCs/>
                <w:color w:val="000000"/>
                <w:sz w:val="14"/>
                <w:szCs w:val="14"/>
                <w:lang w:val="it-IT" w:eastAsia="it-IT"/>
              </w:rPr>
              <w:t>Genserik</w:t>
            </w:r>
            <w:proofErr w:type="spellEnd"/>
            <w:r w:rsidR="00B57E6F" w:rsidRPr="00EE29A6">
              <w:rPr>
                <w:rFonts w:ascii="Tahoma" w:hAnsi="Tahoma" w:cs="Tahoma"/>
                <w:bCs/>
                <w:color w:val="000000"/>
                <w:sz w:val="14"/>
                <w:szCs w:val="14"/>
                <w:lang w:val="it-IT" w:eastAsia="it-IT"/>
              </w:rPr>
              <w:t xml:space="preserve"> </w:t>
            </w:r>
            <w:proofErr w:type="spellStart"/>
            <w:r w:rsidR="00B57E6F" w:rsidRPr="00EE29A6">
              <w:rPr>
                <w:rFonts w:ascii="Tahoma" w:hAnsi="Tahoma" w:cs="Tahoma"/>
                <w:bCs/>
                <w:color w:val="000000"/>
                <w:sz w:val="14"/>
                <w:szCs w:val="14"/>
                <w:lang w:val="it-IT" w:eastAsia="it-IT"/>
              </w:rPr>
              <w:t>Reniers</w:t>
            </w:r>
            <w:proofErr w:type="spellEnd"/>
          </w:p>
          <w:p w14:paraId="1B0F1814" w14:textId="7E8B8C7E" w:rsidR="000A03B2" w:rsidRPr="00EE29A6" w:rsidRDefault="00FA5F5F" w:rsidP="00B57E6F">
            <w:pPr>
              <w:tabs>
                <w:tab w:val="left" w:pos="-108"/>
              </w:tabs>
              <w:spacing w:line="140" w:lineRule="atLeast"/>
              <w:ind w:left="-107"/>
              <w:jc w:val="left"/>
            </w:pPr>
            <w:r w:rsidRPr="00EE29A6">
              <w:rPr>
                <w:rFonts w:ascii="Tahoma" w:hAnsi="Tahoma" w:cs="Tahoma"/>
                <w:iCs/>
                <w:color w:val="333333"/>
                <w:sz w:val="14"/>
                <w:szCs w:val="14"/>
                <w:lang w:eastAsia="it-IT"/>
              </w:rPr>
              <w:t>Copyright © 20</w:t>
            </w:r>
            <w:r w:rsidR="00DF5072" w:rsidRPr="00EE29A6">
              <w:rPr>
                <w:rFonts w:ascii="Tahoma" w:hAnsi="Tahoma" w:cs="Tahoma"/>
                <w:iCs/>
                <w:color w:val="333333"/>
                <w:sz w:val="14"/>
                <w:szCs w:val="14"/>
                <w:lang w:eastAsia="it-IT"/>
              </w:rPr>
              <w:t>2</w:t>
            </w:r>
            <w:r w:rsidR="00825DD9" w:rsidRPr="00EE29A6">
              <w:rPr>
                <w:rFonts w:ascii="Tahoma" w:hAnsi="Tahoma" w:cs="Tahoma"/>
                <w:iCs/>
                <w:color w:val="333333"/>
                <w:sz w:val="14"/>
                <w:szCs w:val="14"/>
                <w:lang w:eastAsia="it-IT"/>
              </w:rPr>
              <w:t>4</w:t>
            </w:r>
            <w:r w:rsidR="00904C62" w:rsidRPr="00EE29A6">
              <w:rPr>
                <w:rFonts w:ascii="Tahoma" w:hAnsi="Tahoma" w:cs="Tahoma"/>
                <w:iCs/>
                <w:color w:val="333333"/>
                <w:sz w:val="14"/>
                <w:szCs w:val="14"/>
                <w:lang w:eastAsia="it-IT"/>
              </w:rPr>
              <w:t xml:space="preserve">, AIDIC </w:t>
            </w:r>
            <w:proofErr w:type="spellStart"/>
            <w:r w:rsidR="00904C62" w:rsidRPr="00EE29A6">
              <w:rPr>
                <w:rFonts w:ascii="Tahoma" w:hAnsi="Tahoma" w:cs="Tahoma"/>
                <w:iCs/>
                <w:color w:val="333333"/>
                <w:sz w:val="14"/>
                <w:szCs w:val="14"/>
                <w:lang w:eastAsia="it-IT"/>
              </w:rPr>
              <w:t>Servizi</w:t>
            </w:r>
            <w:proofErr w:type="spellEnd"/>
            <w:r w:rsidR="00904C62" w:rsidRPr="00EE29A6">
              <w:rPr>
                <w:rFonts w:ascii="Tahoma" w:hAnsi="Tahoma" w:cs="Tahoma"/>
                <w:iCs/>
                <w:color w:val="333333"/>
                <w:sz w:val="14"/>
                <w:szCs w:val="14"/>
                <w:lang w:eastAsia="it-IT"/>
              </w:rPr>
              <w:t xml:space="preserve"> </w:t>
            </w:r>
            <w:proofErr w:type="spellStart"/>
            <w:r w:rsidR="00904C62" w:rsidRPr="00EE29A6">
              <w:rPr>
                <w:rFonts w:ascii="Tahoma" w:hAnsi="Tahoma" w:cs="Tahoma"/>
                <w:iCs/>
                <w:color w:val="333333"/>
                <w:sz w:val="14"/>
                <w:szCs w:val="14"/>
                <w:lang w:eastAsia="it-IT"/>
              </w:rPr>
              <w:t>S.r.l</w:t>
            </w:r>
            <w:proofErr w:type="spellEnd"/>
            <w:r w:rsidR="00904C62" w:rsidRPr="00EE29A6">
              <w:rPr>
                <w:rFonts w:ascii="Tahoma" w:hAnsi="Tahoma" w:cs="Tahoma"/>
                <w:iCs/>
                <w:color w:val="333333"/>
                <w:sz w:val="14"/>
                <w:szCs w:val="14"/>
                <w:lang w:eastAsia="it-IT"/>
              </w:rPr>
              <w:t>.</w:t>
            </w:r>
            <w:r w:rsidR="00300E56" w:rsidRPr="00EE29A6">
              <w:rPr>
                <w:rFonts w:ascii="Tahoma" w:hAnsi="Tahoma" w:cs="Tahoma"/>
                <w:iCs/>
                <w:color w:val="333333"/>
                <w:sz w:val="14"/>
                <w:szCs w:val="14"/>
                <w:lang w:eastAsia="it-IT"/>
              </w:rPr>
              <w:br/>
            </w:r>
            <w:r w:rsidR="00300E56" w:rsidRPr="00EE29A6">
              <w:rPr>
                <w:rFonts w:ascii="Tahoma" w:hAnsi="Tahoma" w:cs="Tahoma"/>
                <w:b/>
                <w:iCs/>
                <w:color w:val="000000"/>
                <w:sz w:val="14"/>
                <w:szCs w:val="14"/>
                <w:lang w:eastAsia="it-IT"/>
              </w:rPr>
              <w:t>ISBN</w:t>
            </w:r>
            <w:r w:rsidR="00300E56" w:rsidRPr="00EE29A6">
              <w:rPr>
                <w:rFonts w:ascii="Tahoma" w:hAnsi="Tahoma" w:cs="Tahoma"/>
                <w:iCs/>
                <w:color w:val="000000"/>
                <w:sz w:val="14"/>
                <w:szCs w:val="14"/>
                <w:lang w:eastAsia="it-IT"/>
              </w:rPr>
              <w:t xml:space="preserve"> </w:t>
            </w:r>
            <w:r w:rsidR="00825DD9" w:rsidRPr="00EE29A6">
              <w:rPr>
                <w:rFonts w:ascii="Tahoma" w:hAnsi="Tahoma" w:cs="Tahoma"/>
                <w:sz w:val="14"/>
                <w:szCs w:val="14"/>
                <w:lang w:eastAsia="it-IT"/>
              </w:rPr>
              <w:t>979-12-81206-11-3</w:t>
            </w:r>
            <w:r w:rsidR="007B48F9" w:rsidRPr="00EE29A6">
              <w:rPr>
                <w:rFonts w:ascii="Tahoma" w:hAnsi="Tahoma" w:cs="Tahoma"/>
                <w:iCs/>
                <w:color w:val="333333"/>
                <w:sz w:val="14"/>
                <w:szCs w:val="14"/>
                <w:lang w:eastAsia="it-IT"/>
              </w:rPr>
              <w:t>;</w:t>
            </w:r>
            <w:r w:rsidR="00300E56" w:rsidRPr="00EE29A6">
              <w:rPr>
                <w:rFonts w:ascii="Tahoma" w:hAnsi="Tahoma" w:cs="Tahoma"/>
                <w:iCs/>
                <w:color w:val="333333"/>
                <w:sz w:val="14"/>
                <w:szCs w:val="14"/>
                <w:lang w:eastAsia="it-IT"/>
              </w:rPr>
              <w:t xml:space="preserve"> </w:t>
            </w:r>
            <w:r w:rsidR="00300E56" w:rsidRPr="00EE29A6">
              <w:rPr>
                <w:rFonts w:ascii="Tahoma" w:hAnsi="Tahoma" w:cs="Tahoma"/>
                <w:b/>
                <w:iCs/>
                <w:color w:val="333333"/>
                <w:sz w:val="14"/>
                <w:szCs w:val="14"/>
                <w:lang w:eastAsia="it-IT"/>
              </w:rPr>
              <w:t>ISSN</w:t>
            </w:r>
            <w:r w:rsidR="00300E56" w:rsidRPr="00EE29A6">
              <w:rPr>
                <w:rFonts w:ascii="Tahoma" w:hAnsi="Tahoma" w:cs="Tahoma"/>
                <w:iCs/>
                <w:color w:val="333333"/>
                <w:sz w:val="14"/>
                <w:szCs w:val="14"/>
                <w:lang w:eastAsia="it-IT"/>
              </w:rPr>
              <w:t xml:space="preserve"> 2283-9216</w:t>
            </w:r>
          </w:p>
        </w:tc>
      </w:tr>
    </w:tbl>
    <w:p w14:paraId="10DAA130" w14:textId="77777777" w:rsidR="000A03B2" w:rsidRPr="00EE29A6" w:rsidRDefault="000A03B2" w:rsidP="000A03B2">
      <w:pPr>
        <w:pStyle w:val="CETAuthors"/>
        <w:sectPr w:rsidR="000A03B2" w:rsidRPr="00EE29A6" w:rsidSect="00EA3124">
          <w:type w:val="continuous"/>
          <w:pgSz w:w="11906" w:h="16838" w:code="9"/>
          <w:pgMar w:top="1701" w:right="1418" w:bottom="1701" w:left="1701" w:header="1701" w:footer="0" w:gutter="0"/>
          <w:cols w:space="708"/>
          <w:titlePg/>
          <w:docGrid w:linePitch="360"/>
        </w:sectPr>
      </w:pPr>
    </w:p>
    <w:p w14:paraId="2E667253" w14:textId="0BB46DE7" w:rsidR="00E978D0" w:rsidRPr="00EE29A6" w:rsidRDefault="003D66F3" w:rsidP="00DD177B">
      <w:pPr>
        <w:pStyle w:val="CETTitle"/>
      </w:pPr>
      <w:r w:rsidRPr="00EE29A6">
        <w:t xml:space="preserve">Interaction </w:t>
      </w:r>
      <w:r w:rsidR="003730FE">
        <w:t>o</w:t>
      </w:r>
      <w:r w:rsidR="001C0F4C" w:rsidRPr="00EE29A6">
        <w:t xml:space="preserve">f Steam Curtains </w:t>
      </w:r>
      <w:r w:rsidR="003730FE">
        <w:t>w</w:t>
      </w:r>
      <w:r w:rsidR="001C0F4C" w:rsidRPr="00EE29A6">
        <w:t>ith High-Pressure Jets</w:t>
      </w:r>
    </w:p>
    <w:p w14:paraId="0488FED2" w14:textId="679B7780" w:rsidR="00B57E6F" w:rsidRPr="00EE29A6" w:rsidRDefault="003D66F3" w:rsidP="00B57E6F">
      <w:pPr>
        <w:pStyle w:val="CETAuthors"/>
        <w:rPr>
          <w:lang w:val="it-IT"/>
        </w:rPr>
      </w:pPr>
      <w:r w:rsidRPr="00EE29A6">
        <w:rPr>
          <w:lang w:val="it-IT"/>
        </w:rPr>
        <w:t>Giulia Tomellini</w:t>
      </w:r>
      <w:r w:rsidR="00B57E6F" w:rsidRPr="00EE29A6">
        <w:rPr>
          <w:vertAlign w:val="superscript"/>
          <w:lang w:val="it-IT"/>
        </w:rPr>
        <w:t>a</w:t>
      </w:r>
      <w:r w:rsidR="00B57E6F" w:rsidRPr="00EE29A6">
        <w:rPr>
          <w:lang w:val="it-IT"/>
        </w:rPr>
        <w:t xml:space="preserve">, </w:t>
      </w:r>
      <w:r w:rsidRPr="00EE29A6">
        <w:rPr>
          <w:lang w:val="it-IT"/>
        </w:rPr>
        <w:t>Alessandro Pinciroli</w:t>
      </w:r>
      <w:r w:rsidRPr="00EE29A6">
        <w:rPr>
          <w:vertAlign w:val="superscript"/>
          <w:lang w:val="it-IT"/>
        </w:rPr>
        <w:t>a</w:t>
      </w:r>
      <w:r w:rsidRPr="00EE29A6">
        <w:rPr>
          <w:lang w:val="it-IT"/>
        </w:rPr>
        <w:t>, Oliver Odenwald</w:t>
      </w:r>
      <w:r w:rsidR="00B57E6F" w:rsidRPr="00EE29A6">
        <w:rPr>
          <w:vertAlign w:val="superscript"/>
          <w:lang w:val="it-IT"/>
        </w:rPr>
        <w:t>b</w:t>
      </w:r>
      <w:r w:rsidR="00B57E6F" w:rsidRPr="00EE29A6">
        <w:rPr>
          <w:lang w:val="it-IT"/>
        </w:rPr>
        <w:t xml:space="preserve">, </w:t>
      </w:r>
      <w:r w:rsidRPr="00EE29A6">
        <w:rPr>
          <w:lang w:val="it-IT"/>
        </w:rPr>
        <w:t>Florian Trimborn</w:t>
      </w:r>
      <w:r w:rsidRPr="00EE29A6">
        <w:rPr>
          <w:vertAlign w:val="superscript"/>
          <w:lang w:val="it-IT"/>
        </w:rPr>
        <w:t>b</w:t>
      </w:r>
      <w:r w:rsidRPr="00EE29A6">
        <w:rPr>
          <w:lang w:val="it-IT"/>
        </w:rPr>
        <w:t>, Valentina Busini</w:t>
      </w:r>
      <w:r w:rsidRPr="00EE29A6">
        <w:rPr>
          <w:vertAlign w:val="superscript"/>
          <w:lang w:val="it-IT"/>
        </w:rPr>
        <w:t>a,</w:t>
      </w:r>
      <w:r w:rsidRPr="00EE29A6">
        <w:rPr>
          <w:lang w:val="it-IT"/>
        </w:rPr>
        <w:t>*</w:t>
      </w:r>
    </w:p>
    <w:p w14:paraId="3E2EC3E9" w14:textId="3593F6D2" w:rsidR="001C0F4C" w:rsidRPr="005303FF" w:rsidRDefault="00B57E6F" w:rsidP="001C0F4C">
      <w:pPr>
        <w:pStyle w:val="CETAddress"/>
        <w:rPr>
          <w:lang w:val="it-IT"/>
        </w:rPr>
      </w:pPr>
      <w:r w:rsidRPr="001C0F4C">
        <w:rPr>
          <w:vertAlign w:val="superscript"/>
          <w:lang w:val="it-IT"/>
        </w:rPr>
        <w:t>a</w:t>
      </w:r>
      <w:r w:rsidR="001C0F4C" w:rsidRPr="001C0F4C">
        <w:rPr>
          <w:lang w:val="it-IT"/>
        </w:rPr>
        <w:t xml:space="preserve"> </w:t>
      </w:r>
      <w:r w:rsidR="001C0F4C" w:rsidRPr="005303FF">
        <w:rPr>
          <w:lang w:val="it-IT"/>
        </w:rPr>
        <w:t>Politecnico di Milano - Dipartimento di Chimica, Materiali e Ingegneria Chimica “Giulio Natta” - Piazza L. da Vinci 32 – 20133 Milan</w:t>
      </w:r>
      <w:r w:rsidR="003730FE">
        <w:rPr>
          <w:lang w:val="it-IT"/>
        </w:rPr>
        <w:t xml:space="preserve">, </w:t>
      </w:r>
      <w:r w:rsidR="001C0F4C" w:rsidRPr="005303FF">
        <w:rPr>
          <w:lang w:val="it-IT"/>
        </w:rPr>
        <w:t>Italy</w:t>
      </w:r>
    </w:p>
    <w:p w14:paraId="3D72B0B0" w14:textId="252064F4" w:rsidR="00B57E6F" w:rsidRPr="00EE29A6" w:rsidRDefault="00B57E6F" w:rsidP="00B57E6F">
      <w:pPr>
        <w:pStyle w:val="CETAddress"/>
      </w:pPr>
      <w:r w:rsidRPr="00EE29A6">
        <w:rPr>
          <w:vertAlign w:val="superscript"/>
        </w:rPr>
        <w:t>b</w:t>
      </w:r>
      <w:r w:rsidR="001C0F4C" w:rsidRPr="001C0F4C">
        <w:t xml:space="preserve"> Process Safety Engineering</w:t>
      </w:r>
      <w:r w:rsidR="001C0F4C">
        <w:t xml:space="preserve"> - </w:t>
      </w:r>
      <w:r w:rsidR="001C0F4C" w:rsidRPr="001C0F4C">
        <w:t>BASF SE, RGU/BE, Carl-Bosch-Strasse 38, 67056 Ludwigshafen am Rhein, Germany</w:t>
      </w:r>
    </w:p>
    <w:p w14:paraId="73F1267A" w14:textId="2AB60DF7" w:rsidR="00B57E6F" w:rsidRPr="00EE29A6" w:rsidRDefault="00B57E6F" w:rsidP="00B57E6F">
      <w:pPr>
        <w:pStyle w:val="CETemail"/>
      </w:pPr>
      <w:r w:rsidRPr="00EE29A6">
        <w:t xml:space="preserve"> </w:t>
      </w:r>
      <w:r w:rsidR="001C0F4C">
        <w:t>valentina.busini</w:t>
      </w:r>
      <w:r w:rsidRPr="00EE29A6">
        <w:t>@</w:t>
      </w:r>
      <w:r w:rsidR="001C0F4C">
        <w:t>polimi.it</w:t>
      </w:r>
      <w:r w:rsidRPr="00EE29A6">
        <w:t xml:space="preserve"> [Style: CET Email]</w:t>
      </w:r>
    </w:p>
    <w:p w14:paraId="0B18C449" w14:textId="77777777" w:rsidR="00CF4CF2" w:rsidRPr="00EE29A6" w:rsidRDefault="00CF4CF2" w:rsidP="00CF4CF2">
      <w:pPr>
        <w:pStyle w:val="CETBodytext"/>
        <w:rPr>
          <w:lang w:val="en-GB"/>
        </w:rPr>
      </w:pPr>
      <w:r w:rsidRPr="00EE29A6">
        <w:rPr>
          <w:lang w:val="en-GB"/>
        </w:rPr>
        <w:t xml:space="preserve">In the industrial context, the risk of accidental release to the environment is an event which can occur in different chemical plant areas and cause serious consequences. In the presence of a hazard, risk management involves reducing the probability or the magnitude of the damage without extinguishing the hazard itself. Forms of mitigation can be primary or secondary, according to the target chosen to work on: primary refers to a reduction of the vulnerabilities of the element interested in a possible breakage (for example, hardening the coating of the device), whereas secondary mitigation refers to reduce the effects (consequences around the broken one). Considering the design of the equipment in a state-of-the-art manner, secondary mitigation methods focus on three possible strategies: procedural systems, passive-type systems, and active-type systems. </w:t>
      </w:r>
    </w:p>
    <w:p w14:paraId="502EDD2A" w14:textId="4F389AB4" w:rsidR="00CF4CF2" w:rsidRPr="00EE29A6" w:rsidRDefault="00CF4CF2" w:rsidP="00CF4CF2">
      <w:pPr>
        <w:pStyle w:val="CETBodytext"/>
        <w:rPr>
          <w:lang w:val="en-GB"/>
        </w:rPr>
      </w:pPr>
      <w:r w:rsidRPr="00EE29A6">
        <w:rPr>
          <w:lang w:val="en-GB"/>
        </w:rPr>
        <w:t xml:space="preserve">Passive-type systems are devices designed to confine the leakage to a target area, defend a sensitive area using physical barriers or protect the equipment (such as fireproof coatings in the presence of fuels). Active mitigation systems, on the other hand, exploit the introduction of turbulence in the dispersing cloud, e.g., by adding a fluid to it, and could be successful with gas releases. Among the active mitigation barriers, one of the devices considered is the vapour curtain, but nowadays the understanding of the variables involved in their effectiveness, especially how to manipulate them to achieve the best result, is still not entirely clear. </w:t>
      </w:r>
    </w:p>
    <w:p w14:paraId="121FB431" w14:textId="11FD4724" w:rsidR="00F833E1" w:rsidRPr="00EE29A6" w:rsidRDefault="001D0F1B" w:rsidP="00CF4CF2">
      <w:pPr>
        <w:pStyle w:val="CETBodytext"/>
        <w:rPr>
          <w:lang w:val="en-GB"/>
        </w:rPr>
      </w:pPr>
      <w:r w:rsidRPr="00EE29A6">
        <w:rPr>
          <w:lang w:val="en-GB"/>
        </w:rPr>
        <w:t>This work aims</w:t>
      </w:r>
      <w:r w:rsidR="00CF4CF2" w:rsidRPr="00EE29A6">
        <w:rPr>
          <w:lang w:val="en-GB"/>
        </w:rPr>
        <w:t xml:space="preserve"> to </w:t>
      </w:r>
      <w:r w:rsidR="00C7586C" w:rsidRPr="00EE29A6">
        <w:rPr>
          <w:lang w:val="en-GB"/>
        </w:rPr>
        <w:t>show</w:t>
      </w:r>
      <w:r w:rsidR="00CF4CF2" w:rsidRPr="00EE29A6">
        <w:rPr>
          <w:lang w:val="en-GB"/>
        </w:rPr>
        <w:t xml:space="preserve"> the efficiency of steam curtains in diluting a high-pressure methane jet by conducting computational fluid dynamics simulations with ANSYS 19.1® software. In doing so, several evaluations were made on the impact that certain operational parameters may have on the efficiency of the system, such as the pressure of the vapour, the position of the vapour curtain along the axis of the release and the amount of the release (obtained varying the diameter of the release).</w:t>
      </w:r>
    </w:p>
    <w:p w14:paraId="476B2F2E" w14:textId="77777777" w:rsidR="00600535" w:rsidRPr="00EE29A6" w:rsidRDefault="00600535" w:rsidP="00600535">
      <w:pPr>
        <w:pStyle w:val="CETHeading1"/>
        <w:rPr>
          <w:lang w:val="en-GB"/>
        </w:rPr>
      </w:pPr>
      <w:r w:rsidRPr="00EE29A6">
        <w:rPr>
          <w:lang w:val="en-GB"/>
        </w:rPr>
        <w:t>Introduction</w:t>
      </w:r>
    </w:p>
    <w:p w14:paraId="60A1FC78" w14:textId="68F52307" w:rsidR="00F833E1" w:rsidRPr="00EE29A6" w:rsidRDefault="00F833E1" w:rsidP="00293851">
      <w:pPr>
        <w:pStyle w:val="CETBodytextItalic"/>
        <w:rPr>
          <w:i w:val="0"/>
          <w:iCs/>
        </w:rPr>
      </w:pPr>
      <w:r w:rsidRPr="00EE29A6">
        <w:rPr>
          <w:i w:val="0"/>
        </w:rPr>
        <w:t xml:space="preserve">Industrial operations involving hazardous substances necessitate robust mitigation measures to address the potential risks associated with accidental releases. The frequency of occurrence for failures and leakages of devices is meticulously identified within the industrial process to obtain a comprehensive list of potential hazards. Considering that a compound earns the classification of hazardous if it possesses toxicological or flammable potential, accidental releases pose significant challenges in terms of identification and management and they are often correlated with substantial evolutionary risks, particularly in proximity to residential </w:t>
      </w:r>
      <w:r w:rsidR="001D0F1B" w:rsidRPr="00EE29A6">
        <w:t>neighbourhoods</w:t>
      </w:r>
      <w:r w:rsidRPr="00EE29A6">
        <w:rPr>
          <w:i w:val="0"/>
        </w:rPr>
        <w:t xml:space="preserve"> surrounding industrial plants</w:t>
      </w:r>
      <w:r w:rsidR="00CF7C55" w:rsidRPr="00EE29A6">
        <w:rPr>
          <w:i w:val="0"/>
        </w:rPr>
        <w:t xml:space="preserve"> (Amendola and Contini, 1998)</w:t>
      </w:r>
      <w:r w:rsidRPr="00EE29A6">
        <w:rPr>
          <w:i w:val="0"/>
        </w:rPr>
        <w:t xml:space="preserve">. The catastrophic historical events underscore the imperative need for effective mitigation strategies. Examples include the Seveso accident in 1976, the Bhopal gas tragedy in 1984, and the </w:t>
      </w:r>
      <w:proofErr w:type="spellStart"/>
      <w:r w:rsidRPr="00EE29A6">
        <w:rPr>
          <w:i w:val="0"/>
        </w:rPr>
        <w:t>Flixborough</w:t>
      </w:r>
      <w:proofErr w:type="spellEnd"/>
      <w:r w:rsidRPr="00EE29A6">
        <w:rPr>
          <w:i w:val="0"/>
        </w:rPr>
        <w:t xml:space="preserve"> explosion</w:t>
      </w:r>
      <w:r w:rsidRPr="00EE29A6">
        <w:rPr>
          <w:i w:val="0"/>
          <w:iCs/>
        </w:rPr>
        <w:t xml:space="preserve"> in 1974. These incidents inflicted severe environmental damage and human casualties and they are the result of a release of hazardous substances.</w:t>
      </w:r>
    </w:p>
    <w:p w14:paraId="415F816D" w14:textId="3F6B0033" w:rsidR="00F833E1" w:rsidRPr="00EE29A6" w:rsidRDefault="00F833E1" w:rsidP="00293851">
      <w:pPr>
        <w:pStyle w:val="CETBodytext"/>
      </w:pPr>
      <w:r w:rsidRPr="00EE29A6">
        <w:rPr>
          <w:iCs/>
          <w:lang w:val="en-GB"/>
        </w:rPr>
        <w:t xml:space="preserve">Preventative measures </w:t>
      </w:r>
      <w:r w:rsidR="00FB27B8" w:rsidRPr="00EE29A6">
        <w:rPr>
          <w:iCs/>
          <w:lang w:val="en-GB"/>
        </w:rPr>
        <w:t xml:space="preserve">(Van’t Land, 2018) </w:t>
      </w:r>
      <w:r w:rsidRPr="00EE29A6">
        <w:rPr>
          <w:iCs/>
          <w:lang w:val="en-GB"/>
        </w:rPr>
        <w:t>emphasize the isolation of risk areas, the</w:t>
      </w:r>
      <w:r w:rsidRPr="00EE29A6">
        <w:t xml:space="preserve"> implementation of control and security alarms, and the establishment of intervention and maintenance procedures as crucial. However, these measures may not suffice in containing potential releases. The lack of flexible protection systems, capable of adapting to variable operational needs, poses a significant challenge in mitigating potential hazards effectively. Given the inherent risks associated with industrial processes involving hazardous substances, the </w:t>
      </w:r>
      <w:r w:rsidRPr="00EE29A6">
        <w:lastRenderedPageBreak/>
        <w:t xml:space="preserve">development and implementation of robust mitigation measures, such as the steam curtain, are imperative. By addressing the complexities of accidental releases and incorporating flexible protection systems, industries can significantly enhance workplace safety, minimize environmental impacts, and mitigate the potential for catastrophic events. The steam curtain, with its adjustable steam pressures and strategic design considerations, emerges as a promising mitigation measure against accidental releases. </w:t>
      </w:r>
    </w:p>
    <w:p w14:paraId="07F519C7" w14:textId="4F6DD5BD" w:rsidR="00F833E1" w:rsidRPr="00EE29A6" w:rsidRDefault="00F833E1" w:rsidP="00293851">
      <w:pPr>
        <w:pStyle w:val="CETBodytext"/>
        <w:rPr>
          <w:bCs/>
        </w:rPr>
      </w:pPr>
      <w:r w:rsidRPr="00EE29A6">
        <w:rPr>
          <w:bCs/>
        </w:rPr>
        <w:t xml:space="preserve">Previous </w:t>
      </w:r>
      <w:r w:rsidR="00EE29A6" w:rsidRPr="00EE29A6">
        <w:rPr>
          <w:bCs/>
        </w:rPr>
        <w:t>research</w:t>
      </w:r>
      <w:r w:rsidR="00CF7C55" w:rsidRPr="00EE29A6">
        <w:rPr>
          <w:bCs/>
        </w:rPr>
        <w:t xml:space="preserve"> (</w:t>
      </w:r>
      <w:r w:rsidR="00484A09" w:rsidRPr="00EE29A6">
        <w:rPr>
          <w:bCs/>
        </w:rPr>
        <w:t xml:space="preserve">Diaz-Ovalle et al., 2012; </w:t>
      </w:r>
      <w:proofErr w:type="spellStart"/>
      <w:r w:rsidR="00CF7C55" w:rsidRPr="00EE29A6">
        <w:rPr>
          <w:bCs/>
        </w:rPr>
        <w:t>Schoten</w:t>
      </w:r>
      <w:proofErr w:type="spellEnd"/>
      <w:r w:rsidR="00CF7C55" w:rsidRPr="00EE29A6">
        <w:rPr>
          <w:bCs/>
        </w:rPr>
        <w:t xml:space="preserve"> et al., 2000; Rana et al., 2008;</w:t>
      </w:r>
      <w:r w:rsidR="00484A09" w:rsidRPr="00EE29A6">
        <w:rPr>
          <w:bCs/>
        </w:rPr>
        <w:t xml:space="preserve"> Kulich and Herink, 2022</w:t>
      </w:r>
      <w:r w:rsidR="00FB27B8" w:rsidRPr="00EE29A6">
        <w:rPr>
          <w:bCs/>
        </w:rPr>
        <w:t xml:space="preserve">; Lim et al., 2017; Bara and </w:t>
      </w:r>
      <w:proofErr w:type="spellStart"/>
      <w:r w:rsidR="00FB27B8" w:rsidRPr="00EE29A6">
        <w:rPr>
          <w:bCs/>
        </w:rPr>
        <w:t>Dusserre</w:t>
      </w:r>
      <w:proofErr w:type="spellEnd"/>
      <w:r w:rsidR="00FB27B8" w:rsidRPr="00EE29A6">
        <w:rPr>
          <w:bCs/>
        </w:rPr>
        <w:t>, 1997</w:t>
      </w:r>
      <w:r w:rsidR="00064445" w:rsidRPr="00EE29A6">
        <w:rPr>
          <w:bCs/>
        </w:rPr>
        <w:t xml:space="preserve">, </w:t>
      </w:r>
      <w:proofErr w:type="spellStart"/>
      <w:r w:rsidR="00064445" w:rsidRPr="00EE29A6">
        <w:rPr>
          <w:bCs/>
        </w:rPr>
        <w:t>Marsegan</w:t>
      </w:r>
      <w:proofErr w:type="spellEnd"/>
      <w:r w:rsidR="00064445" w:rsidRPr="00EE29A6">
        <w:rPr>
          <w:bCs/>
        </w:rPr>
        <w:t xml:space="preserve"> et al., 2016</w:t>
      </w:r>
      <w:r w:rsidR="00484A09" w:rsidRPr="00EE29A6">
        <w:rPr>
          <w:bCs/>
        </w:rPr>
        <w:t>)</w:t>
      </w:r>
      <w:r w:rsidR="00EE29A6" w:rsidRPr="00EE29A6">
        <w:rPr>
          <w:bCs/>
        </w:rPr>
        <w:t>,</w:t>
      </w:r>
      <w:r w:rsidRPr="00EE29A6">
        <w:rPr>
          <w:bCs/>
        </w:rPr>
        <w:t xml:space="preserve"> primarily focused on qualitatively </w:t>
      </w:r>
      <w:proofErr w:type="spellStart"/>
      <w:r w:rsidRPr="00EE29A6">
        <w:rPr>
          <w:bCs/>
        </w:rPr>
        <w:t>analysing</w:t>
      </w:r>
      <w:proofErr w:type="spellEnd"/>
      <w:r w:rsidRPr="00EE29A6">
        <w:rPr>
          <w:bCs/>
        </w:rPr>
        <w:t xml:space="preserve"> the use of curtains in various settings, with some attention given to pipeline configuration. Specifically, regarding fluids, steam emerges as the most compelling option. A comparison between water and steam underscores the significance of fluid volume rate, with steam requiring less outflow to achieve equivalent dilution. The consensus among these studies suggests that curtains are more effective than passive barriers in promoting gas dispersion, with efficiency correlating with injected fluid flow, generally improving with steam pressure. Considering the design, the shape of the nozzle dictates the appearance of the steam jet (cone, hollow, full, or spray), but nozzle spacing is crucial for efficiency. Optimal spacing strikes a balance between cone jet width and overlap; too wide spacing allows gas to pass through unaffected, while excessive overlap can produce droplets, diminishing system efficiency.</w:t>
      </w:r>
    </w:p>
    <w:p w14:paraId="04D3ED05" w14:textId="77777777" w:rsidR="00F833E1" w:rsidRPr="00EE29A6" w:rsidRDefault="00F833E1" w:rsidP="00293851">
      <w:pPr>
        <w:pStyle w:val="CETBodytext"/>
      </w:pPr>
      <w:r w:rsidRPr="00EE29A6">
        <w:t xml:space="preserve">This study aims to validate the above considerations by evaluating the BASF® design in Ludwigshafen am Rhein (Germany) as a reference for a scenario with an accidental release of a methane high-pressure jet. ANSYS Fluent 2019® was used to simulate various scenarios, exploring the impact of two different steam pressures (15 </w:t>
      </w:r>
      <w:proofErr w:type="spellStart"/>
      <w:r w:rsidRPr="00EE29A6">
        <w:t>barg</w:t>
      </w:r>
      <w:proofErr w:type="spellEnd"/>
      <w:r w:rsidRPr="00EE29A6">
        <w:t xml:space="preserve"> and 4 </w:t>
      </w:r>
      <w:proofErr w:type="spellStart"/>
      <w:r w:rsidRPr="00EE29A6">
        <w:t>barg</w:t>
      </w:r>
      <w:proofErr w:type="spellEnd"/>
      <w:r w:rsidRPr="00EE29A6">
        <w:t>), to explore potential advances to improve this technology in the future.</w:t>
      </w:r>
    </w:p>
    <w:p w14:paraId="6B4C63E5" w14:textId="704DE4F0" w:rsidR="00600535" w:rsidRPr="00EE29A6" w:rsidRDefault="00CF4CF2" w:rsidP="00C85706">
      <w:pPr>
        <w:pStyle w:val="CETHeading1"/>
        <w:tabs>
          <w:tab w:val="num" w:pos="360"/>
        </w:tabs>
        <w:rPr>
          <w:lang w:val="en-GB"/>
        </w:rPr>
      </w:pPr>
      <w:r w:rsidRPr="00EE29A6">
        <w:rPr>
          <w:lang w:val="en-GB"/>
        </w:rPr>
        <w:t>Material and methods</w:t>
      </w:r>
    </w:p>
    <w:p w14:paraId="45BD84F4" w14:textId="44206B25" w:rsidR="00CF4CF2" w:rsidRPr="00EE29A6" w:rsidRDefault="00CF4CF2" w:rsidP="00CF4CF2">
      <w:pPr>
        <w:rPr>
          <w:rFonts w:cs="Arial"/>
          <w:szCs w:val="18"/>
        </w:rPr>
      </w:pPr>
      <w:r w:rsidRPr="00EE29A6">
        <w:rPr>
          <w:rFonts w:cs="Arial"/>
          <w:szCs w:val="18"/>
        </w:rPr>
        <w:t xml:space="preserve">The maximum extension of the methane jet </w:t>
      </w:r>
      <w:r w:rsidR="00C7586C" w:rsidRPr="00EE29A6">
        <w:rPr>
          <w:rFonts w:cs="Arial"/>
          <w:szCs w:val="18"/>
        </w:rPr>
        <w:t>was</w:t>
      </w:r>
      <w:r w:rsidRPr="00EE29A6">
        <w:rPr>
          <w:rFonts w:cs="Arial"/>
          <w:szCs w:val="18"/>
        </w:rPr>
        <w:t xml:space="preserve"> considered the one reached by the LFL concentration, which </w:t>
      </w:r>
      <w:r w:rsidR="00C7586C" w:rsidRPr="00EE29A6">
        <w:rPr>
          <w:rFonts w:cs="Arial"/>
          <w:szCs w:val="18"/>
        </w:rPr>
        <w:t>was</w:t>
      </w:r>
      <w:r w:rsidRPr="00EE29A6">
        <w:rPr>
          <w:rFonts w:cs="Arial"/>
          <w:szCs w:val="18"/>
        </w:rPr>
        <w:t xml:space="preserve"> conservatively assumed as 4.4% mol/mol</w:t>
      </w:r>
      <w:r w:rsidR="003061CA" w:rsidRPr="00EE29A6">
        <w:rPr>
          <w:rFonts w:cs="Arial"/>
          <w:szCs w:val="18"/>
        </w:rPr>
        <w:t xml:space="preserve"> (Rowley and Bruce-Black, 2012)</w:t>
      </w:r>
      <w:r w:rsidRPr="00EE29A6">
        <w:rPr>
          <w:rFonts w:cs="Arial"/>
          <w:szCs w:val="18"/>
        </w:rPr>
        <w:t xml:space="preserve">. However, for occupational evaluation, the industry typically adopts </w:t>
      </w:r>
      <w:r w:rsidR="00EE29A6" w:rsidRPr="00EE29A6">
        <w:rPr>
          <w:rFonts w:cs="Arial"/>
          <w:szCs w:val="18"/>
        </w:rPr>
        <w:t>the</w:t>
      </w:r>
      <w:r w:rsidRPr="00EE29A6">
        <w:rPr>
          <w:rFonts w:cs="Arial"/>
          <w:szCs w:val="18"/>
        </w:rPr>
        <w:t xml:space="preserve"> more conservative concentration of half the lower flammability limit (2.2% mol/mol). Hence, this concentration </w:t>
      </w:r>
      <w:r w:rsidR="00C7586C" w:rsidRPr="00EE29A6">
        <w:rPr>
          <w:rFonts w:cs="Arial"/>
          <w:szCs w:val="18"/>
        </w:rPr>
        <w:t>was</w:t>
      </w:r>
      <w:r w:rsidRPr="00EE29A6">
        <w:rPr>
          <w:rFonts w:cs="Arial"/>
          <w:szCs w:val="18"/>
        </w:rPr>
        <w:t xml:space="preserve"> considered for certain considerations. The </w:t>
      </w:r>
      <w:r w:rsidR="00A56B0C">
        <w:rPr>
          <w:rFonts w:cs="Arial"/>
          <w:szCs w:val="18"/>
        </w:rPr>
        <w:t>simulations</w:t>
      </w:r>
      <w:r w:rsidRPr="00EE29A6">
        <w:rPr>
          <w:rFonts w:cs="Arial"/>
          <w:szCs w:val="18"/>
        </w:rPr>
        <w:t xml:space="preserve"> were </w:t>
      </w:r>
      <w:r w:rsidR="00EE29A6" w:rsidRPr="00EE29A6">
        <w:rPr>
          <w:rFonts w:cs="Arial"/>
          <w:szCs w:val="18"/>
        </w:rPr>
        <w:t>perform</w:t>
      </w:r>
      <w:r w:rsidRPr="00EE29A6">
        <w:rPr>
          <w:rFonts w:cs="Arial"/>
          <w:szCs w:val="18"/>
        </w:rPr>
        <w:t xml:space="preserve">ed using ANSYS Fluent 2019®, </w:t>
      </w:r>
      <w:r w:rsidR="00C7586C" w:rsidRPr="00EE29A6">
        <w:rPr>
          <w:rFonts w:cs="Arial"/>
          <w:szCs w:val="18"/>
        </w:rPr>
        <w:t xml:space="preserve">employing </w:t>
      </w:r>
      <w:r w:rsidRPr="00EE29A6">
        <w:rPr>
          <w:rFonts w:cs="Arial"/>
          <w:szCs w:val="18"/>
        </w:rPr>
        <w:t>the k-</w:t>
      </w:r>
      <w:r w:rsidRPr="00EE29A6">
        <w:rPr>
          <w:rFonts w:ascii="Symbol" w:hAnsi="Symbol" w:cs="Arial"/>
          <w:szCs w:val="18"/>
        </w:rPr>
        <w:t>w</w:t>
      </w:r>
      <w:r w:rsidRPr="00EE29A6">
        <w:rPr>
          <w:rFonts w:cs="Arial"/>
          <w:szCs w:val="18"/>
        </w:rPr>
        <w:t xml:space="preserve"> SST model within the Reynolds Averaged Navier Stokes formulation (RANS) to incorporate turbulence effects, consistent with prior literature</w:t>
      </w:r>
      <w:r w:rsidR="003061CA" w:rsidRPr="00EE29A6">
        <w:rPr>
          <w:rFonts w:cs="Arial"/>
          <w:szCs w:val="18"/>
        </w:rPr>
        <w:t xml:space="preserve"> </w:t>
      </w:r>
      <w:r w:rsidR="003061CA" w:rsidRPr="00EE29A6">
        <w:t>(ANSYS Inc., 2013)</w:t>
      </w:r>
      <w:r w:rsidRPr="00EE29A6">
        <w:rPr>
          <w:rFonts w:cs="Arial"/>
          <w:szCs w:val="18"/>
        </w:rPr>
        <w:t>.</w:t>
      </w:r>
    </w:p>
    <w:p w14:paraId="12A261C8" w14:textId="43AD96CA" w:rsidR="00CF4CF2" w:rsidRPr="00EE29A6" w:rsidRDefault="00C7586C" w:rsidP="00CF4CF2">
      <w:pPr>
        <w:rPr>
          <w:rFonts w:cs="Arial"/>
          <w:szCs w:val="18"/>
        </w:rPr>
      </w:pPr>
      <w:r w:rsidRPr="00EE29A6">
        <w:rPr>
          <w:rFonts w:cs="Arial"/>
          <w:szCs w:val="18"/>
        </w:rPr>
        <w:t>T</w:t>
      </w:r>
      <w:r w:rsidR="00CF4CF2" w:rsidRPr="00EE29A6">
        <w:rPr>
          <w:rFonts w:cs="Arial"/>
          <w:szCs w:val="18"/>
        </w:rPr>
        <w:t xml:space="preserve">he ANSYS® Design Modeler software was employed to meticulously craft the system geometry following specific criteria to ensure stable solutions unaffected by scenario construction. For instance, the domain is extended further in the direction of jet development. The geometry of the system is based on references from </w:t>
      </w:r>
      <w:r w:rsidRPr="00EE29A6">
        <w:rPr>
          <w:rFonts w:cs="Arial"/>
          <w:szCs w:val="18"/>
        </w:rPr>
        <w:t xml:space="preserve">the </w:t>
      </w:r>
      <w:r w:rsidR="00CF4CF2" w:rsidRPr="00EE29A6">
        <w:rPr>
          <w:rFonts w:cs="Arial"/>
          <w:szCs w:val="18"/>
        </w:rPr>
        <w:t>literature</w:t>
      </w:r>
      <w:r w:rsidR="00484A09" w:rsidRPr="00EE29A6">
        <w:rPr>
          <w:rFonts w:cs="Arial"/>
          <w:szCs w:val="18"/>
        </w:rPr>
        <w:t xml:space="preserve"> (Colombini et al., 20</w:t>
      </w:r>
      <w:r w:rsidR="003061CA" w:rsidRPr="00EE29A6">
        <w:rPr>
          <w:rFonts w:cs="Arial"/>
          <w:szCs w:val="18"/>
        </w:rPr>
        <w:t>20</w:t>
      </w:r>
      <w:r w:rsidR="00484A09" w:rsidRPr="00EE29A6">
        <w:rPr>
          <w:rFonts w:cs="Arial"/>
          <w:szCs w:val="18"/>
        </w:rPr>
        <w:t>).</w:t>
      </w:r>
      <w:r w:rsidR="00CF4CF2" w:rsidRPr="00EE29A6">
        <w:rPr>
          <w:rFonts w:cs="Arial"/>
          <w:szCs w:val="18"/>
        </w:rPr>
        <w:t>, where dimensions are proportionate to the equivalent diameter of the methane and steam jet evaluated through Birch’s model</w:t>
      </w:r>
      <w:r w:rsidR="00484A09" w:rsidRPr="00EE29A6">
        <w:rPr>
          <w:rFonts w:cs="Arial"/>
          <w:szCs w:val="18"/>
        </w:rPr>
        <w:t xml:space="preserve"> (Birch et al., 1987)</w:t>
      </w:r>
      <w:r w:rsidR="00CF4CF2" w:rsidRPr="00EE29A6">
        <w:rPr>
          <w:rFonts w:cs="Arial"/>
          <w:szCs w:val="18"/>
        </w:rPr>
        <w:t>. Consequently, its lengths varied based on the dimension of the methane jet considered for the scenario.</w:t>
      </w:r>
    </w:p>
    <w:p w14:paraId="7B9592C2" w14:textId="5F10550C" w:rsidR="00045059" w:rsidRPr="00EE29A6" w:rsidRDefault="00EE29A6" w:rsidP="00045059">
      <w:pPr>
        <w:rPr>
          <w:rFonts w:cs="Arial"/>
          <w:szCs w:val="18"/>
        </w:rPr>
      </w:pPr>
      <w:r w:rsidRPr="00EE29A6">
        <w:rPr>
          <w:rFonts w:cs="Arial"/>
          <w:szCs w:val="18"/>
        </w:rPr>
        <w:t>The steam curtain is generated through a perforated pipe, powered by pressurized steam, coming from the plant, in case of emergency.</w:t>
      </w:r>
      <w:r w:rsidR="00CF4CF2" w:rsidRPr="00EE29A6">
        <w:rPr>
          <w:rFonts w:cs="Arial"/>
          <w:szCs w:val="18"/>
        </w:rPr>
        <w:t xml:space="preserve"> Two possible sizes of the hole diameter of the methane jet were assumed in the simulations</w:t>
      </w:r>
      <w:r w:rsidR="00911432" w:rsidRPr="00EE29A6">
        <w:rPr>
          <w:rFonts w:cs="Arial"/>
          <w:szCs w:val="18"/>
        </w:rPr>
        <w:t xml:space="preserve"> (as reported in </w:t>
      </w:r>
      <w:r w:rsidR="00911432" w:rsidRPr="00EE29A6">
        <w:rPr>
          <w:rFonts w:cs="Arial"/>
          <w:szCs w:val="18"/>
        </w:rPr>
        <w:fldChar w:fldCharType="begin"/>
      </w:r>
      <w:r w:rsidR="00911432" w:rsidRPr="00EE29A6">
        <w:rPr>
          <w:rFonts w:cs="Arial"/>
          <w:szCs w:val="18"/>
        </w:rPr>
        <w:instrText xml:space="preserve"> REF _Ref162269683 \h </w:instrText>
      </w:r>
      <w:r>
        <w:rPr>
          <w:rFonts w:cs="Arial"/>
          <w:szCs w:val="18"/>
        </w:rPr>
        <w:instrText xml:space="preserve"> \* MERGEFORMAT </w:instrText>
      </w:r>
      <w:r w:rsidR="00911432" w:rsidRPr="00EE29A6">
        <w:rPr>
          <w:rFonts w:cs="Arial"/>
          <w:szCs w:val="18"/>
        </w:rPr>
      </w:r>
      <w:r w:rsidR="00911432" w:rsidRPr="00EE29A6">
        <w:rPr>
          <w:rFonts w:cs="Arial"/>
          <w:szCs w:val="18"/>
        </w:rPr>
        <w:fldChar w:fldCharType="separate"/>
      </w:r>
      <w:r w:rsidR="00911432" w:rsidRPr="00EE29A6">
        <w:t xml:space="preserve">Table </w:t>
      </w:r>
      <w:r w:rsidR="00911432" w:rsidRPr="00EE29A6">
        <w:rPr>
          <w:noProof/>
        </w:rPr>
        <w:t>1</w:t>
      </w:r>
      <w:r w:rsidR="00911432" w:rsidRPr="00EE29A6">
        <w:rPr>
          <w:rFonts w:cs="Arial"/>
          <w:szCs w:val="18"/>
        </w:rPr>
        <w:fldChar w:fldCharType="end"/>
      </w:r>
      <w:r w:rsidR="00911432" w:rsidRPr="00EE29A6">
        <w:rPr>
          <w:rFonts w:cs="Arial"/>
          <w:szCs w:val="18"/>
        </w:rPr>
        <w:t>)</w:t>
      </w:r>
      <w:r w:rsidR="00CF4CF2" w:rsidRPr="00EE29A6">
        <w:rPr>
          <w:rFonts w:cs="Arial"/>
          <w:szCs w:val="18"/>
        </w:rPr>
        <w:t>. The height of the release was established as the one necessary to reach the length of a free jet: it must be considered that the presence of the ground and the steam duct causes the jet to be inclined</w:t>
      </w:r>
      <w:r w:rsidR="00484A09" w:rsidRPr="00EE29A6">
        <w:rPr>
          <w:rFonts w:cs="Arial"/>
          <w:szCs w:val="18"/>
        </w:rPr>
        <w:t xml:space="preserve"> (Colombini et al., 20</w:t>
      </w:r>
      <w:r w:rsidR="003061CA" w:rsidRPr="00EE29A6">
        <w:rPr>
          <w:rFonts w:cs="Arial"/>
          <w:szCs w:val="18"/>
        </w:rPr>
        <w:t>2</w:t>
      </w:r>
      <w:r w:rsidRPr="00EE29A6">
        <w:rPr>
          <w:rFonts w:cs="Arial"/>
          <w:szCs w:val="18"/>
        </w:rPr>
        <w:t>0</w:t>
      </w:r>
      <w:r w:rsidR="003061CA" w:rsidRPr="00EE29A6">
        <w:rPr>
          <w:rFonts w:cs="Arial"/>
          <w:szCs w:val="18"/>
        </w:rPr>
        <w:t>; Colombini et al., 202</w:t>
      </w:r>
      <w:r w:rsidRPr="00EE29A6">
        <w:rPr>
          <w:rFonts w:cs="Arial"/>
          <w:szCs w:val="18"/>
        </w:rPr>
        <w:t>2</w:t>
      </w:r>
      <w:r w:rsidR="00484A09" w:rsidRPr="00EE29A6">
        <w:rPr>
          <w:rFonts w:cs="Arial"/>
          <w:szCs w:val="18"/>
        </w:rPr>
        <w:t>)</w:t>
      </w:r>
      <w:r w:rsidR="00CF4CF2" w:rsidRPr="00EE29A6">
        <w:rPr>
          <w:rFonts w:cs="Arial"/>
          <w:szCs w:val="18"/>
        </w:rPr>
        <w:t xml:space="preserve">. As mentioned above, the configuration for the design investigated in this work was provided by BASF®. </w:t>
      </w:r>
      <w:r w:rsidR="004B64EC" w:rsidRPr="00EE29A6">
        <w:rPr>
          <w:rFonts w:cs="Arial"/>
          <w:szCs w:val="18"/>
        </w:rPr>
        <w:t>In Figure 1, a schematic sizing is reported.</w:t>
      </w:r>
    </w:p>
    <w:p w14:paraId="29A4A2CE" w14:textId="77777777" w:rsidR="00045059" w:rsidRPr="00EE29A6" w:rsidRDefault="00045059" w:rsidP="00045059">
      <w:pPr>
        <w:rPr>
          <w:rFonts w:cs="Arial"/>
          <w:szCs w:val="18"/>
        </w:rPr>
      </w:pPr>
    </w:p>
    <w:p w14:paraId="41A7F500" w14:textId="7789C69E" w:rsidR="00CF4CF2" w:rsidRPr="00EE29A6" w:rsidRDefault="00CF4CF2" w:rsidP="00045059">
      <w:r w:rsidRPr="00EE29A6">
        <w:rPr>
          <w:rFonts w:cs="Arial"/>
          <w:noProof/>
        </w:rPr>
        <w:drawing>
          <wp:inline distT="0" distB="0" distL="0" distR="0" wp14:anchorId="5C4EB306" wp14:editId="4DC063C0">
            <wp:extent cx="4107872" cy="2210169"/>
            <wp:effectExtent l="0" t="0" r="6985" b="0"/>
            <wp:docPr id="19294004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87" t="2991" b="5299"/>
                    <a:stretch/>
                  </pic:blipFill>
                  <pic:spPr bwMode="auto">
                    <a:xfrm>
                      <a:off x="0" y="0"/>
                      <a:ext cx="4235640" cy="2278912"/>
                    </a:xfrm>
                    <a:prstGeom prst="rect">
                      <a:avLst/>
                    </a:prstGeom>
                    <a:noFill/>
                    <a:ln>
                      <a:noFill/>
                    </a:ln>
                    <a:extLst>
                      <a:ext uri="{53640926-AAD7-44D8-BBD7-CCE9431645EC}">
                        <a14:shadowObscured xmlns:a14="http://schemas.microsoft.com/office/drawing/2010/main"/>
                      </a:ext>
                    </a:extLst>
                  </pic:spPr>
                </pic:pic>
              </a:graphicData>
            </a:graphic>
          </wp:inline>
        </w:drawing>
      </w:r>
    </w:p>
    <w:p w14:paraId="447747F6" w14:textId="77777777" w:rsidR="00045059" w:rsidRPr="00EE29A6" w:rsidRDefault="00CF4CF2" w:rsidP="00045059">
      <w:pPr>
        <w:pStyle w:val="CETCaption"/>
        <w:spacing w:after="0"/>
        <w:jc w:val="left"/>
      </w:pPr>
      <w:bookmarkStart w:id="0" w:name="_Ref162270125"/>
      <w:r w:rsidRPr="00EE29A6">
        <w:t xml:space="preserve">Figure </w:t>
      </w:r>
      <w:r w:rsidRPr="00EE29A6">
        <w:fldChar w:fldCharType="begin"/>
      </w:r>
      <w:r w:rsidRPr="00EE29A6">
        <w:instrText xml:space="preserve"> SEQ Figure \* ARABIC </w:instrText>
      </w:r>
      <w:r w:rsidRPr="00EE29A6">
        <w:fldChar w:fldCharType="separate"/>
      </w:r>
      <w:r w:rsidR="005340C7" w:rsidRPr="00EE29A6">
        <w:rPr>
          <w:noProof/>
        </w:rPr>
        <w:t>1</w:t>
      </w:r>
      <w:r w:rsidRPr="00EE29A6">
        <w:fldChar w:fldCharType="end"/>
      </w:r>
      <w:bookmarkEnd w:id="0"/>
      <w:r w:rsidR="005340C7" w:rsidRPr="00EE29A6">
        <w:t>:</w:t>
      </w:r>
      <w:r w:rsidRPr="00EE29A6">
        <w:t xml:space="preserve"> Steam curtain configuration </w:t>
      </w:r>
      <w:r w:rsidR="00911432" w:rsidRPr="00EE29A6">
        <w:t xml:space="preserve">supplied </w:t>
      </w:r>
      <w:r w:rsidRPr="00EE29A6">
        <w:t>by BASF®.</w:t>
      </w:r>
    </w:p>
    <w:p w14:paraId="2D83AAA7" w14:textId="208DA852" w:rsidR="00CF4CF2" w:rsidRPr="00EE29A6" w:rsidRDefault="00045059" w:rsidP="00045059">
      <w:pPr>
        <w:pStyle w:val="CETCaption"/>
        <w:spacing w:before="0" w:after="0"/>
        <w:rPr>
          <w:rFonts w:cs="Arial"/>
          <w:i w:val="0"/>
          <w:szCs w:val="18"/>
        </w:rPr>
      </w:pPr>
      <w:r w:rsidRPr="00EE29A6">
        <w:rPr>
          <w:rFonts w:cs="Arial"/>
          <w:i w:val="0"/>
          <w:szCs w:val="18"/>
        </w:rPr>
        <w:lastRenderedPageBreak/>
        <w:t xml:space="preserve">This kind of mitigation barrier is designed to safeguard vulnerable targets in proximity to the facility, thus, once the maximum possible extension of the methane jet was estimated, the device was positioned at 25, 50 and 75 % of the maximum distance that the jet could travel, to assess a possible optimum distance. </w:t>
      </w:r>
      <w:r w:rsidR="00CF4CF2" w:rsidRPr="00EE29A6">
        <w:rPr>
          <w:rFonts w:cs="Arial"/>
          <w:i w:val="0"/>
          <w:szCs w:val="18"/>
        </w:rPr>
        <w:t>Preliminary analysis suggests that the individual emissions do</w:t>
      </w:r>
      <w:r w:rsidR="00911432" w:rsidRPr="00EE29A6">
        <w:rPr>
          <w:rFonts w:cs="Arial"/>
          <w:i w:val="0"/>
          <w:szCs w:val="18"/>
        </w:rPr>
        <w:t xml:space="preserve"> </w:t>
      </w:r>
      <w:r w:rsidR="00CF4CF2" w:rsidRPr="00EE29A6">
        <w:rPr>
          <w:rFonts w:cs="Arial"/>
          <w:i w:val="0"/>
          <w:szCs w:val="18"/>
        </w:rPr>
        <w:t>n</w:t>
      </w:r>
      <w:r w:rsidR="00911432" w:rsidRPr="00EE29A6">
        <w:rPr>
          <w:rFonts w:cs="Arial"/>
          <w:i w:val="0"/>
          <w:szCs w:val="18"/>
        </w:rPr>
        <w:t>o</w:t>
      </w:r>
      <w:r w:rsidR="00CF4CF2" w:rsidRPr="00EE29A6">
        <w:rPr>
          <w:rFonts w:cs="Arial"/>
          <w:i w:val="0"/>
          <w:szCs w:val="18"/>
        </w:rPr>
        <w:t>t merge into a plane jet except at significant heights with this configuration</w:t>
      </w:r>
      <w:r w:rsidR="00FB27B8" w:rsidRPr="00EE29A6">
        <w:rPr>
          <w:rFonts w:cs="Arial"/>
          <w:i w:val="0"/>
          <w:szCs w:val="18"/>
        </w:rPr>
        <w:t xml:space="preserve"> (Awbi, 2003)</w:t>
      </w:r>
      <w:r w:rsidR="00CF4CF2" w:rsidRPr="00EE29A6">
        <w:rPr>
          <w:rFonts w:cs="Arial"/>
          <w:i w:val="0"/>
          <w:szCs w:val="18"/>
        </w:rPr>
        <w:t>. To minimize computational expenses, the simulations only considered 4 holes under the symmetric domain assumption</w:t>
      </w:r>
      <w:r w:rsidR="00911432" w:rsidRPr="00EE29A6">
        <w:rPr>
          <w:rFonts w:cs="Arial"/>
          <w:i w:val="0"/>
          <w:szCs w:val="18"/>
        </w:rPr>
        <w:t xml:space="preserve"> (i.e., 8 holes in the complete domain)</w:t>
      </w:r>
      <w:r w:rsidR="00CF4CF2" w:rsidRPr="00EE29A6">
        <w:rPr>
          <w:rFonts w:cs="Arial"/>
          <w:i w:val="0"/>
          <w:szCs w:val="18"/>
        </w:rPr>
        <w:t xml:space="preserve">, since they completely contain the width of the methane jet. </w:t>
      </w:r>
      <w:r w:rsidR="00080435" w:rsidRPr="00EE29A6">
        <w:rPr>
          <w:rFonts w:cs="Arial"/>
          <w:i w:val="0"/>
          <w:szCs w:val="18"/>
        </w:rPr>
        <w:t>T</w:t>
      </w:r>
      <w:r w:rsidR="00911432" w:rsidRPr="00EE29A6">
        <w:rPr>
          <w:rFonts w:cs="Arial"/>
          <w:i w:val="0"/>
          <w:szCs w:val="18"/>
        </w:rPr>
        <w:t xml:space="preserve">he domain </w:t>
      </w:r>
      <w:r w:rsidR="00080435" w:rsidRPr="00EE29A6">
        <w:rPr>
          <w:rFonts w:cs="Arial"/>
          <w:i w:val="0"/>
          <w:szCs w:val="18"/>
        </w:rPr>
        <w:t xml:space="preserve">together </w:t>
      </w:r>
      <w:r w:rsidR="00911432" w:rsidRPr="00EE29A6">
        <w:rPr>
          <w:rFonts w:cs="Arial"/>
          <w:i w:val="0"/>
          <w:szCs w:val="18"/>
        </w:rPr>
        <w:t xml:space="preserve">with details about the </w:t>
      </w:r>
      <w:r w:rsidR="00080435" w:rsidRPr="00EE29A6">
        <w:rPr>
          <w:rFonts w:cs="Arial"/>
          <w:i w:val="0"/>
          <w:szCs w:val="18"/>
        </w:rPr>
        <w:t>body lines (e.g., Core, Far1, Far2, e</w:t>
      </w:r>
      <w:r w:rsidR="00EE29A6" w:rsidRPr="00EE29A6">
        <w:rPr>
          <w:rFonts w:cs="Arial"/>
          <w:i w:val="0"/>
          <w:szCs w:val="18"/>
        </w:rPr>
        <w:t>tc)</w:t>
      </w:r>
      <w:r w:rsidR="00080435" w:rsidRPr="00EE29A6">
        <w:rPr>
          <w:rFonts w:cs="Arial"/>
          <w:i w:val="0"/>
          <w:szCs w:val="18"/>
        </w:rPr>
        <w:t xml:space="preserve"> used for the sizing of the mesh is sketched in </w:t>
      </w:r>
      <w:r w:rsidR="00080435" w:rsidRPr="00EE29A6">
        <w:rPr>
          <w:rFonts w:cs="Arial"/>
          <w:i w:val="0"/>
          <w:szCs w:val="18"/>
        </w:rPr>
        <w:fldChar w:fldCharType="begin"/>
      </w:r>
      <w:r w:rsidR="00080435" w:rsidRPr="00EE29A6">
        <w:rPr>
          <w:rFonts w:cs="Arial"/>
          <w:i w:val="0"/>
          <w:szCs w:val="18"/>
        </w:rPr>
        <w:instrText xml:space="preserve"> REF _Ref162270236 \h </w:instrText>
      </w:r>
      <w:r w:rsidR="004B64EC" w:rsidRPr="00EE29A6">
        <w:rPr>
          <w:rFonts w:cs="Arial"/>
          <w:i w:val="0"/>
          <w:szCs w:val="18"/>
        </w:rPr>
        <w:instrText xml:space="preserve"> \* MERGEFORMAT </w:instrText>
      </w:r>
      <w:r w:rsidR="00080435" w:rsidRPr="00EE29A6">
        <w:rPr>
          <w:rFonts w:cs="Arial"/>
          <w:i w:val="0"/>
          <w:szCs w:val="18"/>
        </w:rPr>
      </w:r>
      <w:r w:rsidR="00080435" w:rsidRPr="00EE29A6">
        <w:rPr>
          <w:rFonts w:cs="Arial"/>
          <w:i w:val="0"/>
          <w:szCs w:val="18"/>
        </w:rPr>
        <w:fldChar w:fldCharType="separate"/>
      </w:r>
      <w:r w:rsidR="00080435" w:rsidRPr="00EE29A6">
        <w:rPr>
          <w:rFonts w:cs="Arial"/>
          <w:i w:val="0"/>
          <w:szCs w:val="18"/>
        </w:rPr>
        <w:t>Figure 2</w:t>
      </w:r>
      <w:r w:rsidR="00080435" w:rsidRPr="00EE29A6">
        <w:rPr>
          <w:rFonts w:cs="Arial"/>
          <w:i w:val="0"/>
          <w:szCs w:val="18"/>
        </w:rPr>
        <w:fldChar w:fldCharType="end"/>
      </w:r>
      <w:r w:rsidR="00080435" w:rsidRPr="00EE29A6">
        <w:rPr>
          <w:rFonts w:cs="Arial"/>
          <w:i w:val="0"/>
          <w:szCs w:val="18"/>
        </w:rPr>
        <w:t xml:space="preserve">a, while a detail of the mesh is shown in </w:t>
      </w:r>
      <w:r w:rsidR="00080435" w:rsidRPr="00EE29A6">
        <w:rPr>
          <w:rFonts w:cs="Arial"/>
          <w:i w:val="0"/>
          <w:szCs w:val="18"/>
        </w:rPr>
        <w:fldChar w:fldCharType="begin"/>
      </w:r>
      <w:r w:rsidR="00080435" w:rsidRPr="00EE29A6">
        <w:rPr>
          <w:rFonts w:cs="Arial"/>
          <w:i w:val="0"/>
          <w:szCs w:val="18"/>
        </w:rPr>
        <w:instrText xml:space="preserve"> REF _Ref162270236 \h </w:instrText>
      </w:r>
      <w:r w:rsidR="004B64EC" w:rsidRPr="00EE29A6">
        <w:rPr>
          <w:rFonts w:cs="Arial"/>
          <w:i w:val="0"/>
          <w:szCs w:val="18"/>
        </w:rPr>
        <w:instrText xml:space="preserve"> \* MERGEFORMAT </w:instrText>
      </w:r>
      <w:r w:rsidR="00080435" w:rsidRPr="00EE29A6">
        <w:rPr>
          <w:rFonts w:cs="Arial"/>
          <w:i w:val="0"/>
          <w:szCs w:val="18"/>
        </w:rPr>
      </w:r>
      <w:r w:rsidR="00080435" w:rsidRPr="00EE29A6">
        <w:rPr>
          <w:rFonts w:cs="Arial"/>
          <w:i w:val="0"/>
          <w:szCs w:val="18"/>
        </w:rPr>
        <w:fldChar w:fldCharType="separate"/>
      </w:r>
      <w:r w:rsidR="00080435" w:rsidRPr="00EE29A6">
        <w:rPr>
          <w:rFonts w:cs="Arial"/>
          <w:i w:val="0"/>
          <w:szCs w:val="18"/>
        </w:rPr>
        <w:t>Figure 2</w:t>
      </w:r>
      <w:r w:rsidR="00080435" w:rsidRPr="00EE29A6">
        <w:rPr>
          <w:rFonts w:cs="Arial"/>
          <w:i w:val="0"/>
          <w:szCs w:val="18"/>
        </w:rPr>
        <w:fldChar w:fldCharType="end"/>
      </w:r>
      <w:r w:rsidR="00080435" w:rsidRPr="00EE29A6">
        <w:rPr>
          <w:rFonts w:cs="Arial"/>
          <w:i w:val="0"/>
          <w:szCs w:val="18"/>
        </w:rPr>
        <w:t>b.</w:t>
      </w:r>
      <w:r w:rsidR="00FF6939">
        <w:rPr>
          <w:rFonts w:cs="Arial"/>
          <w:i w:val="0"/>
          <w:szCs w:val="18"/>
        </w:rPr>
        <w:t xml:space="preserve"> The mesh parameters considered in the simulations are reported in Table 3</w:t>
      </w:r>
      <w:r w:rsidR="00047DB2">
        <w:rPr>
          <w:rFonts w:cs="Arial"/>
          <w:i w:val="0"/>
          <w:szCs w:val="18"/>
        </w:rPr>
        <w:t xml:space="preserve"> </w:t>
      </w:r>
      <w:r w:rsidR="00047DB2" w:rsidRPr="00047DB2">
        <w:rPr>
          <w:rFonts w:cs="Arial"/>
          <w:i w:val="0"/>
          <w:szCs w:val="18"/>
        </w:rPr>
        <w:t>(Colombini et al., 2020)</w:t>
      </w:r>
      <w:r w:rsidR="00FF6939">
        <w:rPr>
          <w:rFonts w:cs="Arial"/>
          <w:i w:val="0"/>
          <w:szCs w:val="18"/>
        </w:rPr>
        <w:t>.</w:t>
      </w:r>
      <w:r w:rsidR="00EB2604">
        <w:rPr>
          <w:rFonts w:cs="Arial"/>
          <w:i w:val="0"/>
          <w:szCs w:val="18"/>
        </w:rPr>
        <w:t xml:space="preserve"> A convergence </w:t>
      </w:r>
      <w:r w:rsidR="00EB2604" w:rsidRPr="00EB2604">
        <w:rPr>
          <w:rFonts w:cs="Arial"/>
          <w:i w:val="0"/>
          <w:szCs w:val="18"/>
        </w:rPr>
        <w:t xml:space="preserve">criterion </w:t>
      </w:r>
      <w:r w:rsidR="00EB2604">
        <w:rPr>
          <w:rFonts w:cs="Arial"/>
          <w:i w:val="0"/>
          <w:szCs w:val="18"/>
        </w:rPr>
        <w:t>was considered: the</w:t>
      </w:r>
      <w:r w:rsidR="00EB2604" w:rsidRPr="00EB2604">
        <w:rPr>
          <w:rFonts w:cs="Arial"/>
          <w:i w:val="0"/>
          <w:szCs w:val="18"/>
        </w:rPr>
        <w:t xml:space="preserve"> energy-related resolution terms should converge to an order of magnitude of 10</w:t>
      </w:r>
      <w:r w:rsidR="00EB2604" w:rsidRPr="00EB2604">
        <w:rPr>
          <w:rFonts w:cs="Arial"/>
          <w:i w:val="0"/>
          <w:szCs w:val="18"/>
          <w:vertAlign w:val="superscript"/>
        </w:rPr>
        <w:t>-6</w:t>
      </w:r>
      <w:r w:rsidR="00EB2604" w:rsidRPr="00EB2604">
        <w:rPr>
          <w:rFonts w:cs="Arial"/>
          <w:i w:val="0"/>
          <w:szCs w:val="18"/>
        </w:rPr>
        <w:t>, while for continuity, k, omega, and velocity along the axis, convergence to a value approximately in the order of 10</w:t>
      </w:r>
      <w:r w:rsidR="00EB2604" w:rsidRPr="00EB2604">
        <w:rPr>
          <w:rFonts w:cs="Arial"/>
          <w:i w:val="0"/>
          <w:szCs w:val="18"/>
          <w:vertAlign w:val="superscript"/>
        </w:rPr>
        <w:t>-3</w:t>
      </w:r>
      <w:r w:rsidR="00EB2604" w:rsidRPr="00EB2604">
        <w:rPr>
          <w:rFonts w:cs="Arial"/>
          <w:i w:val="0"/>
          <w:szCs w:val="18"/>
        </w:rPr>
        <w:t xml:space="preserve"> is considered acceptable</w:t>
      </w:r>
      <w:r w:rsidR="00097249">
        <w:rPr>
          <w:rFonts w:cs="Arial"/>
          <w:i w:val="0"/>
          <w:szCs w:val="18"/>
        </w:rPr>
        <w:t xml:space="preserve"> </w:t>
      </w:r>
      <w:r w:rsidR="00097249" w:rsidRPr="00097249">
        <w:rPr>
          <w:rFonts w:cs="Arial"/>
          <w:i w:val="0"/>
          <w:szCs w:val="18"/>
        </w:rPr>
        <w:t>(ANSYS Inc., 2013)</w:t>
      </w:r>
      <w:r w:rsidR="00EB2604">
        <w:rPr>
          <w:rFonts w:cs="Arial"/>
          <w:i w:val="0"/>
          <w:szCs w:val="18"/>
        </w:rPr>
        <w:t>.</w:t>
      </w:r>
    </w:p>
    <w:p w14:paraId="2F368942" w14:textId="1123A839" w:rsidR="00CF4CF2" w:rsidRPr="00EE29A6" w:rsidRDefault="00CF4CF2" w:rsidP="00045059">
      <w:pPr>
        <w:rPr>
          <w:rFonts w:cs="Arial"/>
          <w:szCs w:val="18"/>
        </w:rPr>
      </w:pPr>
      <w:r w:rsidRPr="00EE29A6">
        <w:rPr>
          <w:rFonts w:cs="Arial"/>
          <w:szCs w:val="18"/>
        </w:rPr>
        <w:t xml:space="preserve">The main properties of the fluids involved in the evaluation are summed up in </w:t>
      </w:r>
      <w:r w:rsidR="00911432" w:rsidRPr="00EE29A6">
        <w:rPr>
          <w:rFonts w:cs="Arial"/>
          <w:szCs w:val="18"/>
        </w:rPr>
        <w:fldChar w:fldCharType="begin"/>
      </w:r>
      <w:r w:rsidR="00911432" w:rsidRPr="00EE29A6">
        <w:rPr>
          <w:rFonts w:cs="Arial"/>
          <w:szCs w:val="18"/>
        </w:rPr>
        <w:instrText xml:space="preserve"> REF _Ref162269683 \h </w:instrText>
      </w:r>
      <w:r w:rsidR="00045059" w:rsidRPr="00EE29A6">
        <w:rPr>
          <w:rFonts w:cs="Arial"/>
          <w:szCs w:val="18"/>
        </w:rPr>
        <w:instrText xml:space="preserve"> \* MERGEFORMAT </w:instrText>
      </w:r>
      <w:r w:rsidR="00911432" w:rsidRPr="00EE29A6">
        <w:rPr>
          <w:rFonts w:cs="Arial"/>
          <w:szCs w:val="18"/>
        </w:rPr>
      </w:r>
      <w:r w:rsidR="00911432" w:rsidRPr="00EE29A6">
        <w:rPr>
          <w:rFonts w:cs="Arial"/>
          <w:szCs w:val="18"/>
        </w:rPr>
        <w:fldChar w:fldCharType="separate"/>
      </w:r>
      <w:r w:rsidR="00911432" w:rsidRPr="00EE29A6">
        <w:t xml:space="preserve">Table </w:t>
      </w:r>
      <w:r w:rsidR="00911432" w:rsidRPr="00EE29A6">
        <w:rPr>
          <w:noProof/>
        </w:rPr>
        <w:t>1</w:t>
      </w:r>
      <w:r w:rsidR="00911432" w:rsidRPr="00EE29A6">
        <w:rPr>
          <w:rFonts w:cs="Arial"/>
          <w:szCs w:val="18"/>
        </w:rPr>
        <w:fldChar w:fldCharType="end"/>
      </w:r>
      <w:r w:rsidR="00911432" w:rsidRPr="00EE29A6">
        <w:rPr>
          <w:rFonts w:cs="Arial"/>
          <w:szCs w:val="18"/>
        </w:rPr>
        <w:t xml:space="preserve"> and </w:t>
      </w:r>
      <w:r w:rsidR="00911432" w:rsidRPr="00EE29A6">
        <w:rPr>
          <w:rFonts w:cs="Arial"/>
          <w:szCs w:val="18"/>
        </w:rPr>
        <w:fldChar w:fldCharType="begin"/>
      </w:r>
      <w:r w:rsidR="00911432" w:rsidRPr="00EE29A6">
        <w:rPr>
          <w:rFonts w:cs="Arial"/>
          <w:szCs w:val="18"/>
        </w:rPr>
        <w:instrText xml:space="preserve"> REF _Ref162270012 \h </w:instrText>
      </w:r>
      <w:r w:rsidR="00045059" w:rsidRPr="00EE29A6">
        <w:rPr>
          <w:rFonts w:cs="Arial"/>
          <w:szCs w:val="18"/>
        </w:rPr>
        <w:instrText xml:space="preserve"> \* MERGEFORMAT </w:instrText>
      </w:r>
      <w:r w:rsidR="00911432" w:rsidRPr="00EE29A6">
        <w:rPr>
          <w:rFonts w:cs="Arial"/>
          <w:szCs w:val="18"/>
        </w:rPr>
      </w:r>
      <w:r w:rsidR="00911432" w:rsidRPr="00EE29A6">
        <w:rPr>
          <w:rFonts w:cs="Arial"/>
          <w:szCs w:val="18"/>
        </w:rPr>
        <w:fldChar w:fldCharType="separate"/>
      </w:r>
      <w:r w:rsidR="00911432" w:rsidRPr="00EE29A6">
        <w:t xml:space="preserve">Table </w:t>
      </w:r>
      <w:r w:rsidR="00911432" w:rsidRPr="00EE29A6">
        <w:rPr>
          <w:noProof/>
        </w:rPr>
        <w:t>2</w:t>
      </w:r>
      <w:r w:rsidR="00911432" w:rsidRPr="00EE29A6">
        <w:rPr>
          <w:rFonts w:cs="Arial"/>
          <w:szCs w:val="18"/>
        </w:rPr>
        <w:fldChar w:fldCharType="end"/>
      </w:r>
      <w:r w:rsidRPr="00EE29A6">
        <w:rPr>
          <w:rFonts w:cs="Arial"/>
          <w:szCs w:val="18"/>
        </w:rPr>
        <w:t xml:space="preserve">. In the BASF® plants in Ludwigshafen am Rhein, the methane pressure is maintained in a range between 4 and 7.5 bar: to ensure a conservative result, 7.5 bar was therefore assumed in this work as the </w:t>
      </w:r>
      <w:r w:rsidR="00EE29A6" w:rsidRPr="00EE29A6">
        <w:rPr>
          <w:rFonts w:cs="Arial"/>
          <w:szCs w:val="18"/>
        </w:rPr>
        <w:t>discharge</w:t>
      </w:r>
      <w:r w:rsidRPr="00EE29A6">
        <w:rPr>
          <w:rFonts w:cs="Arial"/>
          <w:szCs w:val="18"/>
        </w:rPr>
        <w:t xml:space="preserve"> pressure.</w:t>
      </w:r>
      <w:r w:rsidR="00045059" w:rsidRPr="00EE29A6">
        <w:rPr>
          <w:rFonts w:cs="Arial"/>
          <w:szCs w:val="18"/>
        </w:rPr>
        <w:t xml:space="preserve"> Lastly, the wind profile considered within the simulations is assumed exponential with reference speed assumed to be 1 m/s at 10 m height, as the </w:t>
      </w:r>
      <w:r w:rsidR="00EE29A6" w:rsidRPr="00EE29A6">
        <w:rPr>
          <w:rFonts w:cs="Arial"/>
          <w:szCs w:val="18"/>
        </w:rPr>
        <w:t>most common</w:t>
      </w:r>
      <w:r w:rsidR="00045059" w:rsidRPr="00EE29A6">
        <w:rPr>
          <w:rFonts w:cs="Arial"/>
          <w:szCs w:val="18"/>
        </w:rPr>
        <w:t xml:space="preserve"> in BASF® plants.</w:t>
      </w:r>
    </w:p>
    <w:p w14:paraId="4FF746C8" w14:textId="6B0B309D" w:rsidR="00911432" w:rsidRPr="00EE29A6" w:rsidRDefault="00911432" w:rsidP="00045059">
      <w:pPr>
        <w:pStyle w:val="CETTabletitle"/>
        <w:jc w:val="both"/>
      </w:pPr>
      <w:bookmarkStart w:id="1" w:name="_Ref162269683"/>
      <w:r w:rsidRPr="00EE29A6">
        <w:t xml:space="preserve">Table </w:t>
      </w:r>
      <w:r w:rsidRPr="00EE29A6">
        <w:fldChar w:fldCharType="begin"/>
      </w:r>
      <w:r w:rsidRPr="00EE29A6">
        <w:instrText xml:space="preserve"> SEQ Table \* ARABIC </w:instrText>
      </w:r>
      <w:r w:rsidRPr="00EE29A6">
        <w:fldChar w:fldCharType="separate"/>
      </w:r>
      <w:r w:rsidR="00A56B0C">
        <w:rPr>
          <w:noProof/>
        </w:rPr>
        <w:t>1</w:t>
      </w:r>
      <w:r w:rsidRPr="00EE29A6">
        <w:fldChar w:fldCharType="end"/>
      </w:r>
      <w:bookmarkEnd w:id="1"/>
      <w:r w:rsidRPr="00EE29A6">
        <w:t xml:space="preserve"> - Methane properties considered for simulations.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1C0F4C" w:rsidRPr="00EE29A6" w14:paraId="568B6275" w14:textId="77777777" w:rsidTr="008E0393">
        <w:tc>
          <w:tcPr>
            <w:tcW w:w="1134" w:type="dxa"/>
            <w:tcBorders>
              <w:top w:val="single" w:sz="12" w:space="0" w:color="008000"/>
              <w:bottom w:val="single" w:sz="6" w:space="0" w:color="008000"/>
            </w:tcBorders>
            <w:shd w:val="clear" w:color="auto" w:fill="FFFFFF"/>
          </w:tcPr>
          <w:p w14:paraId="5C634EF4" w14:textId="77777777" w:rsidR="001C0F4C" w:rsidRPr="00EE29A6" w:rsidRDefault="001C0F4C" w:rsidP="001C0F4C">
            <w:pPr>
              <w:pStyle w:val="CETBodytext"/>
              <w:jc w:val="left"/>
              <w:rPr>
                <w:lang w:val="en-GB"/>
              </w:rPr>
            </w:pPr>
            <w:r w:rsidRPr="00EE29A6">
              <w:rPr>
                <w:lang w:val="en-GB"/>
              </w:rPr>
              <w:t xml:space="preserve">Methane jet real diameter [mm] </w:t>
            </w:r>
          </w:p>
        </w:tc>
        <w:tc>
          <w:tcPr>
            <w:tcW w:w="1134" w:type="dxa"/>
            <w:tcBorders>
              <w:top w:val="single" w:sz="12" w:space="0" w:color="008000"/>
              <w:bottom w:val="single" w:sz="6" w:space="0" w:color="008000"/>
            </w:tcBorders>
            <w:shd w:val="clear" w:color="auto" w:fill="FFFFFF"/>
          </w:tcPr>
          <w:p w14:paraId="68D8E0D9" w14:textId="77777777" w:rsidR="001C0F4C" w:rsidRPr="00EE29A6" w:rsidRDefault="001C0F4C" w:rsidP="001C0F4C">
            <w:pPr>
              <w:pStyle w:val="CETBodytext"/>
              <w:jc w:val="left"/>
              <w:rPr>
                <w:lang w:val="en-GB"/>
              </w:rPr>
            </w:pPr>
            <w:r w:rsidRPr="00EE29A6">
              <w:rPr>
                <w:lang w:val="en-GB"/>
              </w:rPr>
              <w:t>Methane jet Birch’s diameter [mm]</w:t>
            </w:r>
          </w:p>
        </w:tc>
        <w:tc>
          <w:tcPr>
            <w:tcW w:w="1134" w:type="dxa"/>
            <w:tcBorders>
              <w:top w:val="single" w:sz="12" w:space="0" w:color="008000"/>
              <w:bottom w:val="single" w:sz="6" w:space="0" w:color="008000"/>
            </w:tcBorders>
            <w:shd w:val="clear" w:color="auto" w:fill="FFFFFF"/>
          </w:tcPr>
          <w:p w14:paraId="6336C87C" w14:textId="77777777" w:rsidR="001C0F4C" w:rsidRPr="00EE29A6" w:rsidRDefault="001C0F4C" w:rsidP="001C0F4C">
            <w:pPr>
              <w:pStyle w:val="CETBodytext"/>
              <w:jc w:val="left"/>
              <w:rPr>
                <w:lang w:val="en-GB"/>
              </w:rPr>
            </w:pPr>
            <w:r w:rsidRPr="00EE29A6">
              <w:rPr>
                <w:lang w:val="en-GB"/>
              </w:rPr>
              <w:t>Storage pressure [bar]</w:t>
            </w:r>
          </w:p>
        </w:tc>
        <w:tc>
          <w:tcPr>
            <w:tcW w:w="1134" w:type="dxa"/>
            <w:tcBorders>
              <w:top w:val="single" w:sz="12" w:space="0" w:color="008000"/>
              <w:bottom w:val="single" w:sz="6" w:space="0" w:color="008000"/>
            </w:tcBorders>
            <w:shd w:val="clear" w:color="auto" w:fill="FFFFFF"/>
          </w:tcPr>
          <w:p w14:paraId="47B62D37" w14:textId="496C0A22" w:rsidR="001C0F4C" w:rsidRPr="00EE29A6" w:rsidRDefault="001C0F4C" w:rsidP="001C0F4C">
            <w:pPr>
              <w:pStyle w:val="CETBodytext"/>
              <w:ind w:right="-1"/>
              <w:jc w:val="left"/>
              <w:rPr>
                <w:rFonts w:cs="Arial"/>
                <w:szCs w:val="18"/>
                <w:lang w:val="en-GB"/>
              </w:rPr>
            </w:pPr>
            <w:r w:rsidRPr="00EE29A6">
              <w:rPr>
                <w:lang w:val="en-GB"/>
              </w:rPr>
              <w:t>Storage temperature [K]</w:t>
            </w:r>
          </w:p>
        </w:tc>
        <w:tc>
          <w:tcPr>
            <w:tcW w:w="1134" w:type="dxa"/>
            <w:tcBorders>
              <w:top w:val="single" w:sz="12" w:space="0" w:color="008000"/>
              <w:bottom w:val="single" w:sz="6" w:space="0" w:color="008000"/>
            </w:tcBorders>
            <w:shd w:val="clear" w:color="auto" w:fill="FFFFFF"/>
          </w:tcPr>
          <w:p w14:paraId="32F16D99" w14:textId="50DF47DD" w:rsidR="001C0F4C" w:rsidRPr="00EE29A6" w:rsidRDefault="001C0F4C" w:rsidP="001C0F4C">
            <w:pPr>
              <w:pStyle w:val="CETBodytext"/>
              <w:ind w:right="-1"/>
              <w:jc w:val="left"/>
              <w:rPr>
                <w:rFonts w:cs="Arial"/>
                <w:szCs w:val="18"/>
                <w:lang w:val="en-GB"/>
              </w:rPr>
            </w:pPr>
            <w:r w:rsidRPr="00EE29A6">
              <w:rPr>
                <w:lang w:val="en-GB"/>
              </w:rPr>
              <w:t>Mass flow rate [kg/s]</w:t>
            </w:r>
          </w:p>
        </w:tc>
      </w:tr>
      <w:tr w:rsidR="001C0F4C" w:rsidRPr="00EE29A6" w14:paraId="150F9349" w14:textId="77777777" w:rsidTr="008E0393">
        <w:tc>
          <w:tcPr>
            <w:tcW w:w="1134" w:type="dxa"/>
            <w:shd w:val="clear" w:color="auto" w:fill="FFFFFF"/>
          </w:tcPr>
          <w:p w14:paraId="3C4D0722" w14:textId="77777777" w:rsidR="001C0F4C" w:rsidRPr="00EE29A6" w:rsidRDefault="001C0F4C" w:rsidP="001C0F4C">
            <w:pPr>
              <w:pStyle w:val="CETBodytext"/>
              <w:rPr>
                <w:lang w:val="en-GB"/>
              </w:rPr>
            </w:pPr>
            <w:r w:rsidRPr="00EE29A6">
              <w:t>5</w:t>
            </w:r>
          </w:p>
        </w:tc>
        <w:tc>
          <w:tcPr>
            <w:tcW w:w="1134" w:type="dxa"/>
            <w:shd w:val="clear" w:color="auto" w:fill="FFFFFF"/>
          </w:tcPr>
          <w:p w14:paraId="72177B04" w14:textId="77777777" w:rsidR="001C0F4C" w:rsidRPr="00EE29A6" w:rsidRDefault="001C0F4C" w:rsidP="001C0F4C">
            <w:pPr>
              <w:pStyle w:val="CETBodytext"/>
              <w:rPr>
                <w:lang w:val="en-GB"/>
              </w:rPr>
            </w:pPr>
            <w:r w:rsidRPr="00EE29A6">
              <w:t>8</w:t>
            </w:r>
          </w:p>
        </w:tc>
        <w:tc>
          <w:tcPr>
            <w:tcW w:w="1134" w:type="dxa"/>
            <w:shd w:val="clear" w:color="auto" w:fill="FFFFFF"/>
          </w:tcPr>
          <w:p w14:paraId="09D7363A" w14:textId="77777777" w:rsidR="001C0F4C" w:rsidRPr="00EE29A6" w:rsidRDefault="001C0F4C" w:rsidP="001C0F4C">
            <w:pPr>
              <w:pStyle w:val="CETBodytext"/>
              <w:rPr>
                <w:lang w:val="en-GB"/>
              </w:rPr>
            </w:pPr>
            <w:r w:rsidRPr="00EE29A6">
              <w:t>7.5</w:t>
            </w:r>
          </w:p>
        </w:tc>
        <w:tc>
          <w:tcPr>
            <w:tcW w:w="1134" w:type="dxa"/>
            <w:shd w:val="clear" w:color="auto" w:fill="FFFFFF"/>
          </w:tcPr>
          <w:p w14:paraId="20480698" w14:textId="77777777" w:rsidR="001C0F4C" w:rsidRPr="00EE29A6" w:rsidRDefault="001C0F4C" w:rsidP="001C0F4C">
            <w:pPr>
              <w:pStyle w:val="CETBodytext"/>
              <w:ind w:right="-1"/>
              <w:rPr>
                <w:rFonts w:cs="Arial"/>
                <w:szCs w:val="18"/>
                <w:lang w:val="en-GB"/>
              </w:rPr>
            </w:pPr>
            <w:r w:rsidRPr="00EE29A6">
              <w:t>293.15</w:t>
            </w:r>
          </w:p>
        </w:tc>
        <w:tc>
          <w:tcPr>
            <w:tcW w:w="1134" w:type="dxa"/>
            <w:shd w:val="clear" w:color="auto" w:fill="FFFFFF"/>
          </w:tcPr>
          <w:p w14:paraId="0631BF8D" w14:textId="77777777" w:rsidR="001C0F4C" w:rsidRPr="00EE29A6" w:rsidRDefault="001C0F4C" w:rsidP="001C0F4C">
            <w:pPr>
              <w:pStyle w:val="CETBodytext"/>
              <w:ind w:right="-1"/>
              <w:rPr>
                <w:rFonts w:cs="Arial"/>
                <w:szCs w:val="18"/>
                <w:lang w:val="en-GB"/>
              </w:rPr>
            </w:pPr>
            <w:r w:rsidRPr="00EE29A6">
              <w:t>0.02</w:t>
            </w:r>
          </w:p>
        </w:tc>
      </w:tr>
      <w:tr w:rsidR="001C0F4C" w:rsidRPr="00EE29A6" w14:paraId="508C0097" w14:textId="77777777" w:rsidTr="008E0393">
        <w:tc>
          <w:tcPr>
            <w:tcW w:w="1134" w:type="dxa"/>
            <w:shd w:val="clear" w:color="auto" w:fill="FFFFFF"/>
          </w:tcPr>
          <w:p w14:paraId="119224EC" w14:textId="77777777" w:rsidR="001C0F4C" w:rsidRPr="00EE29A6" w:rsidRDefault="001C0F4C" w:rsidP="001C0F4C">
            <w:pPr>
              <w:pStyle w:val="CETBodytext"/>
              <w:ind w:right="-1"/>
              <w:rPr>
                <w:rFonts w:cs="Arial"/>
                <w:szCs w:val="18"/>
                <w:lang w:val="en-GB"/>
              </w:rPr>
            </w:pPr>
            <w:r w:rsidRPr="00EE29A6">
              <w:t>10</w:t>
            </w:r>
          </w:p>
        </w:tc>
        <w:tc>
          <w:tcPr>
            <w:tcW w:w="1134" w:type="dxa"/>
            <w:shd w:val="clear" w:color="auto" w:fill="FFFFFF"/>
          </w:tcPr>
          <w:p w14:paraId="2E9F3D90" w14:textId="77777777" w:rsidR="001C0F4C" w:rsidRPr="00EE29A6" w:rsidRDefault="001C0F4C" w:rsidP="001C0F4C">
            <w:pPr>
              <w:pStyle w:val="CETBodytext"/>
              <w:rPr>
                <w:rFonts w:cs="Arial"/>
                <w:szCs w:val="18"/>
                <w:lang w:val="en-GB"/>
              </w:rPr>
            </w:pPr>
            <w:r w:rsidRPr="00EE29A6">
              <w:t>16.1</w:t>
            </w:r>
          </w:p>
        </w:tc>
        <w:tc>
          <w:tcPr>
            <w:tcW w:w="1134" w:type="dxa"/>
            <w:shd w:val="clear" w:color="auto" w:fill="FFFFFF"/>
          </w:tcPr>
          <w:p w14:paraId="2E099042" w14:textId="77777777" w:rsidR="001C0F4C" w:rsidRPr="00EE29A6" w:rsidRDefault="001C0F4C" w:rsidP="001C0F4C">
            <w:pPr>
              <w:pStyle w:val="CETBodytext"/>
              <w:ind w:right="-1"/>
              <w:rPr>
                <w:rFonts w:cs="Arial"/>
                <w:szCs w:val="18"/>
                <w:lang w:val="en-GB"/>
              </w:rPr>
            </w:pPr>
            <w:r w:rsidRPr="00EE29A6">
              <w:t>7.5</w:t>
            </w:r>
          </w:p>
        </w:tc>
        <w:tc>
          <w:tcPr>
            <w:tcW w:w="1134" w:type="dxa"/>
            <w:shd w:val="clear" w:color="auto" w:fill="FFFFFF"/>
          </w:tcPr>
          <w:p w14:paraId="3FF010BD" w14:textId="77777777" w:rsidR="001C0F4C" w:rsidRPr="00EE29A6" w:rsidRDefault="001C0F4C" w:rsidP="001C0F4C">
            <w:pPr>
              <w:pStyle w:val="CETBodytext"/>
              <w:ind w:right="-1"/>
              <w:rPr>
                <w:rFonts w:cs="Arial"/>
                <w:szCs w:val="18"/>
                <w:lang w:val="en-GB"/>
              </w:rPr>
            </w:pPr>
            <w:r w:rsidRPr="00EE29A6">
              <w:t>293.15</w:t>
            </w:r>
          </w:p>
        </w:tc>
        <w:tc>
          <w:tcPr>
            <w:tcW w:w="1134" w:type="dxa"/>
            <w:shd w:val="clear" w:color="auto" w:fill="FFFFFF"/>
          </w:tcPr>
          <w:p w14:paraId="77BEF78D" w14:textId="77777777" w:rsidR="001C0F4C" w:rsidRPr="00EE29A6" w:rsidRDefault="001C0F4C" w:rsidP="001C0F4C">
            <w:pPr>
              <w:pStyle w:val="CETBodytext"/>
              <w:ind w:right="-1"/>
              <w:rPr>
                <w:rFonts w:cs="Arial"/>
                <w:szCs w:val="18"/>
                <w:lang w:val="en-GB"/>
              </w:rPr>
            </w:pPr>
            <w:r w:rsidRPr="00EE29A6">
              <w:t>0.09</w:t>
            </w:r>
          </w:p>
        </w:tc>
      </w:tr>
    </w:tbl>
    <w:p w14:paraId="3312E6EF" w14:textId="4A7B3BE7" w:rsidR="00C7586C" w:rsidRPr="00EE29A6" w:rsidRDefault="00CF4CF2" w:rsidP="00EB2604">
      <w:pPr>
        <w:pStyle w:val="CETTabletitle"/>
        <w:spacing w:line="240" w:lineRule="auto"/>
      </w:pPr>
      <w:bookmarkStart w:id="2" w:name="_Ref162270012"/>
      <w:r w:rsidRPr="00EE29A6">
        <w:t xml:space="preserve">Table </w:t>
      </w:r>
      <w:r w:rsidRPr="00EE29A6">
        <w:fldChar w:fldCharType="begin"/>
      </w:r>
      <w:r w:rsidRPr="00EE29A6">
        <w:instrText xml:space="preserve"> SEQ Table \* ARABIC </w:instrText>
      </w:r>
      <w:r w:rsidRPr="00EE29A6">
        <w:fldChar w:fldCharType="separate"/>
      </w:r>
      <w:r w:rsidR="00A56B0C">
        <w:rPr>
          <w:noProof/>
        </w:rPr>
        <w:t>2</w:t>
      </w:r>
      <w:r w:rsidRPr="00EE29A6">
        <w:fldChar w:fldCharType="end"/>
      </w:r>
      <w:bookmarkEnd w:id="2"/>
      <w:r w:rsidRPr="00EE29A6">
        <w:t xml:space="preserve"> - Steam properties considered for simulations.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C7586C" w:rsidRPr="00EE29A6" w14:paraId="0215488E" w14:textId="5C2CF5DB" w:rsidTr="004675CC">
        <w:tc>
          <w:tcPr>
            <w:tcW w:w="1134" w:type="dxa"/>
            <w:tcBorders>
              <w:top w:val="single" w:sz="12" w:space="0" w:color="008000"/>
              <w:bottom w:val="single" w:sz="6" w:space="0" w:color="008000"/>
            </w:tcBorders>
            <w:shd w:val="clear" w:color="auto" w:fill="FFFFFF"/>
          </w:tcPr>
          <w:p w14:paraId="77322EEB" w14:textId="13F0271C" w:rsidR="00C7586C" w:rsidRPr="00EE29A6" w:rsidRDefault="00C7586C" w:rsidP="00293851">
            <w:pPr>
              <w:pStyle w:val="CETBodytext"/>
              <w:jc w:val="left"/>
              <w:rPr>
                <w:lang w:val="en-GB"/>
              </w:rPr>
            </w:pPr>
            <w:r w:rsidRPr="00EE29A6">
              <w:rPr>
                <w:lang w:val="en-GB"/>
              </w:rPr>
              <w:t xml:space="preserve">Steam </w:t>
            </w:r>
          </w:p>
        </w:tc>
        <w:tc>
          <w:tcPr>
            <w:tcW w:w="1134" w:type="dxa"/>
            <w:tcBorders>
              <w:top w:val="single" w:sz="12" w:space="0" w:color="008000"/>
              <w:bottom w:val="single" w:sz="6" w:space="0" w:color="008000"/>
            </w:tcBorders>
            <w:shd w:val="clear" w:color="auto" w:fill="FFFFFF"/>
          </w:tcPr>
          <w:p w14:paraId="5B3EF43E" w14:textId="7F19264C" w:rsidR="00C7586C" w:rsidRPr="00EE29A6" w:rsidRDefault="00C7586C" w:rsidP="00293851">
            <w:pPr>
              <w:pStyle w:val="CETBodytext"/>
              <w:jc w:val="left"/>
              <w:rPr>
                <w:lang w:val="en-GB"/>
              </w:rPr>
            </w:pPr>
            <w:r w:rsidRPr="00EE29A6">
              <w:rPr>
                <w:lang w:val="en-GB"/>
              </w:rPr>
              <w:t>Steam pressure [bar]</w:t>
            </w:r>
          </w:p>
        </w:tc>
        <w:tc>
          <w:tcPr>
            <w:tcW w:w="1134" w:type="dxa"/>
            <w:tcBorders>
              <w:top w:val="single" w:sz="12" w:space="0" w:color="008000"/>
              <w:bottom w:val="single" w:sz="6" w:space="0" w:color="008000"/>
            </w:tcBorders>
            <w:shd w:val="clear" w:color="auto" w:fill="FFFFFF"/>
          </w:tcPr>
          <w:p w14:paraId="192CC691" w14:textId="052E0FE1" w:rsidR="00C7586C" w:rsidRPr="00EE29A6" w:rsidRDefault="00C7586C" w:rsidP="00293851">
            <w:pPr>
              <w:pStyle w:val="CETBodytext"/>
              <w:jc w:val="left"/>
              <w:rPr>
                <w:lang w:val="en-GB"/>
              </w:rPr>
            </w:pPr>
            <w:r w:rsidRPr="00EE29A6">
              <w:rPr>
                <w:lang w:val="en-GB"/>
              </w:rPr>
              <w:t>Steam Temperature [K]</w:t>
            </w:r>
          </w:p>
        </w:tc>
        <w:tc>
          <w:tcPr>
            <w:tcW w:w="1134" w:type="dxa"/>
            <w:tcBorders>
              <w:top w:val="single" w:sz="12" w:space="0" w:color="008000"/>
              <w:bottom w:val="single" w:sz="6" w:space="0" w:color="008000"/>
            </w:tcBorders>
            <w:shd w:val="clear" w:color="auto" w:fill="FFFFFF"/>
          </w:tcPr>
          <w:p w14:paraId="65CA6C8F" w14:textId="4BB6E132" w:rsidR="00C7586C" w:rsidRPr="00EE29A6" w:rsidRDefault="00C7586C" w:rsidP="00293851">
            <w:pPr>
              <w:pStyle w:val="CETBodytext"/>
              <w:ind w:right="-1"/>
              <w:jc w:val="left"/>
              <w:rPr>
                <w:rFonts w:cs="Arial"/>
                <w:szCs w:val="18"/>
                <w:lang w:val="en-GB"/>
              </w:rPr>
            </w:pPr>
            <w:r w:rsidRPr="00EE29A6">
              <w:rPr>
                <w:lang w:val="en-GB"/>
              </w:rPr>
              <w:t>Real diameter [mm]</w:t>
            </w:r>
          </w:p>
        </w:tc>
        <w:tc>
          <w:tcPr>
            <w:tcW w:w="1134" w:type="dxa"/>
            <w:tcBorders>
              <w:top w:val="single" w:sz="12" w:space="0" w:color="008000"/>
              <w:bottom w:val="single" w:sz="6" w:space="0" w:color="008000"/>
            </w:tcBorders>
            <w:shd w:val="clear" w:color="auto" w:fill="FFFFFF"/>
          </w:tcPr>
          <w:p w14:paraId="21B39985" w14:textId="4D908AAC" w:rsidR="00C7586C" w:rsidRPr="00EE29A6" w:rsidRDefault="00C7586C" w:rsidP="00293851">
            <w:pPr>
              <w:pStyle w:val="CETBodytext"/>
              <w:ind w:right="-1"/>
              <w:jc w:val="left"/>
              <w:rPr>
                <w:rFonts w:cs="Arial"/>
                <w:szCs w:val="18"/>
                <w:lang w:val="en-GB"/>
              </w:rPr>
            </w:pPr>
            <w:r w:rsidRPr="00EE29A6">
              <w:rPr>
                <w:lang w:val="en-GB"/>
              </w:rPr>
              <w:t>Birch’s equivalent diameter [mm]</w:t>
            </w:r>
          </w:p>
        </w:tc>
        <w:tc>
          <w:tcPr>
            <w:tcW w:w="1134" w:type="dxa"/>
            <w:tcBorders>
              <w:top w:val="single" w:sz="12" w:space="0" w:color="008000"/>
              <w:bottom w:val="single" w:sz="6" w:space="0" w:color="008000"/>
            </w:tcBorders>
            <w:shd w:val="clear" w:color="auto" w:fill="FFFFFF"/>
          </w:tcPr>
          <w:p w14:paraId="43E0B4F1" w14:textId="11A35B38" w:rsidR="00C7586C" w:rsidRPr="00EE29A6" w:rsidRDefault="00C7586C" w:rsidP="00293851">
            <w:pPr>
              <w:pStyle w:val="CETBodytext"/>
              <w:ind w:right="-1"/>
              <w:jc w:val="left"/>
              <w:rPr>
                <w:lang w:val="en-GB"/>
              </w:rPr>
            </w:pPr>
            <w:r w:rsidRPr="00EE29A6">
              <w:rPr>
                <w:lang w:val="en-GB"/>
              </w:rPr>
              <w:t>Flow rate single orifice [kg/s]</w:t>
            </w:r>
          </w:p>
        </w:tc>
      </w:tr>
      <w:tr w:rsidR="00C7586C" w:rsidRPr="00EE29A6" w14:paraId="7BFAA82C" w14:textId="1E8A47FC" w:rsidTr="004675CC">
        <w:tc>
          <w:tcPr>
            <w:tcW w:w="1134" w:type="dxa"/>
            <w:shd w:val="clear" w:color="auto" w:fill="FFFFFF"/>
          </w:tcPr>
          <w:p w14:paraId="058D1CC6" w14:textId="6D3F921A" w:rsidR="00C7586C" w:rsidRPr="00EE29A6" w:rsidRDefault="00C7586C" w:rsidP="00C7586C">
            <w:pPr>
              <w:pStyle w:val="CETBodytext"/>
              <w:rPr>
                <w:lang w:val="en-GB"/>
              </w:rPr>
            </w:pPr>
            <w:r w:rsidRPr="00EE29A6">
              <w:rPr>
                <w:lang w:val="en-GB"/>
              </w:rPr>
              <w:t xml:space="preserve">SC 4 </w:t>
            </w:r>
            <w:proofErr w:type="spellStart"/>
            <w:r w:rsidRPr="00EE29A6">
              <w:rPr>
                <w:lang w:val="en-GB"/>
              </w:rPr>
              <w:t>barg</w:t>
            </w:r>
            <w:proofErr w:type="spellEnd"/>
          </w:p>
        </w:tc>
        <w:tc>
          <w:tcPr>
            <w:tcW w:w="1134" w:type="dxa"/>
            <w:shd w:val="clear" w:color="auto" w:fill="FFFFFF"/>
          </w:tcPr>
          <w:p w14:paraId="1195795A" w14:textId="00ECA97E" w:rsidR="00C7586C" w:rsidRPr="00EE29A6" w:rsidRDefault="00C7586C" w:rsidP="00C7586C">
            <w:pPr>
              <w:pStyle w:val="CETBodytext"/>
              <w:rPr>
                <w:lang w:val="en-GB"/>
              </w:rPr>
            </w:pPr>
            <w:r w:rsidRPr="00EE29A6">
              <w:rPr>
                <w:lang w:val="en-GB"/>
              </w:rPr>
              <w:t>5</w:t>
            </w:r>
          </w:p>
        </w:tc>
        <w:tc>
          <w:tcPr>
            <w:tcW w:w="1134" w:type="dxa"/>
            <w:shd w:val="clear" w:color="auto" w:fill="FFFFFF"/>
          </w:tcPr>
          <w:p w14:paraId="2E5D3C9E" w14:textId="122F087D" w:rsidR="00C7586C" w:rsidRPr="00EE29A6" w:rsidRDefault="00C7586C" w:rsidP="00C7586C">
            <w:pPr>
              <w:pStyle w:val="CETBodytext"/>
              <w:rPr>
                <w:lang w:val="en-GB"/>
              </w:rPr>
            </w:pPr>
            <w:r w:rsidRPr="00EE29A6">
              <w:rPr>
                <w:lang w:val="en-GB"/>
              </w:rPr>
              <w:t>424.85</w:t>
            </w:r>
          </w:p>
        </w:tc>
        <w:tc>
          <w:tcPr>
            <w:tcW w:w="1134" w:type="dxa"/>
            <w:shd w:val="clear" w:color="auto" w:fill="FFFFFF"/>
          </w:tcPr>
          <w:p w14:paraId="49EB3634" w14:textId="3165625A" w:rsidR="00C7586C" w:rsidRPr="00EE29A6" w:rsidRDefault="00C7586C" w:rsidP="00C7586C">
            <w:pPr>
              <w:pStyle w:val="CETBodytext"/>
              <w:ind w:right="-1"/>
              <w:rPr>
                <w:rFonts w:cs="Arial"/>
                <w:szCs w:val="18"/>
                <w:lang w:val="en-GB"/>
              </w:rPr>
            </w:pPr>
            <w:r w:rsidRPr="00EE29A6">
              <w:rPr>
                <w:lang w:val="en-GB"/>
              </w:rPr>
              <w:t>2.5</w:t>
            </w:r>
          </w:p>
        </w:tc>
        <w:tc>
          <w:tcPr>
            <w:tcW w:w="1134" w:type="dxa"/>
            <w:shd w:val="clear" w:color="auto" w:fill="FFFFFF"/>
          </w:tcPr>
          <w:p w14:paraId="5F8B3EF2" w14:textId="197AEBDB" w:rsidR="00C7586C" w:rsidRPr="00EE29A6" w:rsidRDefault="00C7586C" w:rsidP="00C7586C">
            <w:pPr>
              <w:pStyle w:val="CETBodytext"/>
              <w:ind w:right="-1"/>
              <w:rPr>
                <w:rFonts w:cs="Arial"/>
                <w:szCs w:val="18"/>
                <w:lang w:val="en-GB"/>
              </w:rPr>
            </w:pPr>
            <w:r w:rsidRPr="00EE29A6">
              <w:rPr>
                <w:lang w:val="en-GB"/>
              </w:rPr>
              <w:t>3.4</w:t>
            </w:r>
          </w:p>
        </w:tc>
        <w:tc>
          <w:tcPr>
            <w:tcW w:w="1134" w:type="dxa"/>
            <w:shd w:val="clear" w:color="auto" w:fill="FFFFFF"/>
          </w:tcPr>
          <w:p w14:paraId="39F85E7F" w14:textId="1BB6E187" w:rsidR="00C7586C" w:rsidRPr="00EE29A6" w:rsidRDefault="00C7586C" w:rsidP="00C7586C">
            <w:pPr>
              <w:pStyle w:val="CETBodytext"/>
              <w:ind w:right="-1"/>
              <w:rPr>
                <w:rFonts w:cs="Arial"/>
                <w:szCs w:val="18"/>
                <w:lang w:val="en-GB"/>
              </w:rPr>
            </w:pPr>
            <w:r w:rsidRPr="00EE29A6">
              <w:rPr>
                <w:lang w:val="en-GB"/>
              </w:rPr>
              <w:t>0.0032</w:t>
            </w:r>
          </w:p>
        </w:tc>
      </w:tr>
      <w:tr w:rsidR="00C7586C" w:rsidRPr="00EE29A6" w14:paraId="3007F694" w14:textId="084E00B6" w:rsidTr="004675CC">
        <w:tc>
          <w:tcPr>
            <w:tcW w:w="1134" w:type="dxa"/>
            <w:shd w:val="clear" w:color="auto" w:fill="FFFFFF"/>
          </w:tcPr>
          <w:p w14:paraId="5A128D27" w14:textId="3E3D5310" w:rsidR="00C7586C" w:rsidRPr="00EE29A6" w:rsidRDefault="00C7586C" w:rsidP="00C7586C">
            <w:pPr>
              <w:pStyle w:val="CETBodytext"/>
              <w:ind w:right="-1"/>
              <w:rPr>
                <w:rFonts w:cs="Arial"/>
                <w:szCs w:val="18"/>
                <w:lang w:val="en-GB"/>
              </w:rPr>
            </w:pPr>
            <w:r w:rsidRPr="00EE29A6">
              <w:rPr>
                <w:lang w:val="en-GB"/>
              </w:rPr>
              <w:t xml:space="preserve">SC 15 </w:t>
            </w:r>
            <w:proofErr w:type="spellStart"/>
            <w:r w:rsidRPr="00EE29A6">
              <w:rPr>
                <w:lang w:val="en-GB"/>
              </w:rPr>
              <w:t>barg</w:t>
            </w:r>
            <w:proofErr w:type="spellEnd"/>
          </w:p>
        </w:tc>
        <w:tc>
          <w:tcPr>
            <w:tcW w:w="1134" w:type="dxa"/>
            <w:shd w:val="clear" w:color="auto" w:fill="FFFFFF"/>
          </w:tcPr>
          <w:p w14:paraId="14BE0409" w14:textId="51A85EEF" w:rsidR="00C7586C" w:rsidRPr="00EE29A6" w:rsidRDefault="00C7586C" w:rsidP="00C7586C">
            <w:pPr>
              <w:pStyle w:val="CETBodytext"/>
              <w:rPr>
                <w:rFonts w:cs="Arial"/>
                <w:szCs w:val="18"/>
                <w:lang w:val="en-GB"/>
              </w:rPr>
            </w:pPr>
            <w:r w:rsidRPr="00EE29A6">
              <w:rPr>
                <w:lang w:val="en-GB"/>
              </w:rPr>
              <w:t>16</w:t>
            </w:r>
          </w:p>
        </w:tc>
        <w:tc>
          <w:tcPr>
            <w:tcW w:w="1134" w:type="dxa"/>
            <w:shd w:val="clear" w:color="auto" w:fill="FFFFFF"/>
          </w:tcPr>
          <w:p w14:paraId="58AD9234" w14:textId="434ED3A9" w:rsidR="00C7586C" w:rsidRPr="00EE29A6" w:rsidRDefault="00C7586C" w:rsidP="00C7586C">
            <w:pPr>
              <w:pStyle w:val="CETBodytext"/>
              <w:ind w:right="-1"/>
              <w:rPr>
                <w:rFonts w:cs="Arial"/>
                <w:szCs w:val="18"/>
                <w:lang w:val="en-GB"/>
              </w:rPr>
            </w:pPr>
            <w:r w:rsidRPr="00EE29A6">
              <w:rPr>
                <w:lang w:val="en-GB"/>
              </w:rPr>
              <w:t>474.46</w:t>
            </w:r>
          </w:p>
        </w:tc>
        <w:tc>
          <w:tcPr>
            <w:tcW w:w="1134" w:type="dxa"/>
            <w:shd w:val="clear" w:color="auto" w:fill="FFFFFF"/>
          </w:tcPr>
          <w:p w14:paraId="15CEB2EE" w14:textId="421AD642" w:rsidR="00C7586C" w:rsidRPr="00EE29A6" w:rsidRDefault="00C7586C" w:rsidP="00C7586C">
            <w:pPr>
              <w:pStyle w:val="CETBodytext"/>
              <w:ind w:right="-1"/>
              <w:rPr>
                <w:rFonts w:cs="Arial"/>
                <w:szCs w:val="18"/>
                <w:lang w:val="en-GB"/>
              </w:rPr>
            </w:pPr>
            <w:r w:rsidRPr="00EE29A6">
              <w:rPr>
                <w:lang w:val="en-GB"/>
              </w:rPr>
              <w:t>2.5</w:t>
            </w:r>
          </w:p>
        </w:tc>
        <w:tc>
          <w:tcPr>
            <w:tcW w:w="1134" w:type="dxa"/>
            <w:shd w:val="clear" w:color="auto" w:fill="FFFFFF"/>
          </w:tcPr>
          <w:p w14:paraId="35B3065D" w14:textId="1A9A6FFB" w:rsidR="00C7586C" w:rsidRPr="00EE29A6" w:rsidRDefault="00C7586C" w:rsidP="00C7586C">
            <w:pPr>
              <w:pStyle w:val="CETBodytext"/>
              <w:ind w:right="-1"/>
              <w:rPr>
                <w:rFonts w:cs="Arial"/>
                <w:szCs w:val="18"/>
                <w:lang w:val="en-GB"/>
              </w:rPr>
            </w:pPr>
            <w:r w:rsidRPr="00EE29A6">
              <w:rPr>
                <w:lang w:val="en-GB"/>
              </w:rPr>
              <w:t>5.7</w:t>
            </w:r>
          </w:p>
        </w:tc>
        <w:tc>
          <w:tcPr>
            <w:tcW w:w="1134" w:type="dxa"/>
            <w:shd w:val="clear" w:color="auto" w:fill="FFFFFF"/>
          </w:tcPr>
          <w:p w14:paraId="337E000A" w14:textId="31C6A708" w:rsidR="00C7586C" w:rsidRPr="00EE29A6" w:rsidRDefault="00C7586C" w:rsidP="00C7586C">
            <w:pPr>
              <w:pStyle w:val="CETBodytext"/>
              <w:ind w:right="-1"/>
              <w:rPr>
                <w:rFonts w:cs="Arial"/>
                <w:szCs w:val="18"/>
                <w:lang w:val="en-GB"/>
              </w:rPr>
            </w:pPr>
            <w:r w:rsidRPr="00EE29A6">
              <w:rPr>
                <w:lang w:val="en-GB"/>
              </w:rPr>
              <w:t>0.0096</w:t>
            </w:r>
          </w:p>
        </w:tc>
      </w:tr>
    </w:tbl>
    <w:p w14:paraId="26F0ABA6" w14:textId="77777777" w:rsidR="00CF4CF2" w:rsidRDefault="00CF4CF2" w:rsidP="00FF6939">
      <w:pPr>
        <w:pStyle w:val="CETBodytext"/>
        <w:spacing w:line="360" w:lineRule="auto"/>
        <w:rPr>
          <w:lang w:val="en-GB"/>
        </w:rPr>
      </w:pPr>
    </w:p>
    <w:p w14:paraId="7D1BF574" w14:textId="05FE782F" w:rsidR="00A56B0C" w:rsidRPr="00FF6939" w:rsidRDefault="00A56B0C" w:rsidP="00FF6939">
      <w:pPr>
        <w:pStyle w:val="Didascalia"/>
        <w:keepNext/>
        <w:spacing w:line="276" w:lineRule="auto"/>
        <w:rPr>
          <w:b w:val="0"/>
          <w:bCs w:val="0"/>
          <w:i/>
          <w:color w:val="auto"/>
          <w:szCs w:val="20"/>
        </w:rPr>
      </w:pPr>
      <w:r w:rsidRPr="00FF6939">
        <w:rPr>
          <w:b w:val="0"/>
          <w:bCs w:val="0"/>
          <w:i/>
          <w:color w:val="auto"/>
          <w:szCs w:val="20"/>
        </w:rPr>
        <w:t xml:space="preserve">Table </w:t>
      </w:r>
      <w:r w:rsidRPr="00FF6939">
        <w:rPr>
          <w:b w:val="0"/>
          <w:bCs w:val="0"/>
          <w:i/>
          <w:color w:val="auto"/>
          <w:szCs w:val="20"/>
        </w:rPr>
        <w:fldChar w:fldCharType="begin"/>
      </w:r>
      <w:r w:rsidRPr="00FF6939">
        <w:rPr>
          <w:b w:val="0"/>
          <w:bCs w:val="0"/>
          <w:i/>
          <w:color w:val="auto"/>
          <w:szCs w:val="20"/>
        </w:rPr>
        <w:instrText xml:space="preserve"> SEQ Table \* ARABIC </w:instrText>
      </w:r>
      <w:r w:rsidRPr="00FF6939">
        <w:rPr>
          <w:b w:val="0"/>
          <w:bCs w:val="0"/>
          <w:i/>
          <w:color w:val="auto"/>
          <w:szCs w:val="20"/>
        </w:rPr>
        <w:fldChar w:fldCharType="separate"/>
      </w:r>
      <w:r w:rsidRPr="00FF6939">
        <w:rPr>
          <w:b w:val="0"/>
          <w:bCs w:val="0"/>
          <w:i/>
          <w:color w:val="auto"/>
          <w:szCs w:val="20"/>
        </w:rPr>
        <w:t>3</w:t>
      </w:r>
      <w:r w:rsidRPr="00FF6939">
        <w:rPr>
          <w:b w:val="0"/>
          <w:bCs w:val="0"/>
          <w:i/>
          <w:color w:val="auto"/>
          <w:szCs w:val="20"/>
        </w:rPr>
        <w:fldChar w:fldCharType="end"/>
      </w:r>
      <w:r w:rsidRPr="00FF6939">
        <w:rPr>
          <w:b w:val="0"/>
          <w:bCs w:val="0"/>
          <w:i/>
          <w:color w:val="auto"/>
          <w:szCs w:val="20"/>
        </w:rPr>
        <w:t xml:space="preserve"> – Mesh parameters considered</w:t>
      </w:r>
      <w:r w:rsidR="00FF6939">
        <w:rPr>
          <w:b w:val="0"/>
          <w:bCs w:val="0"/>
          <w:i/>
          <w:color w:val="auto"/>
          <w:szCs w:val="20"/>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5"/>
        <w:gridCol w:w="1106"/>
        <w:gridCol w:w="1126"/>
        <w:gridCol w:w="1106"/>
        <w:gridCol w:w="1113"/>
        <w:gridCol w:w="1097"/>
        <w:gridCol w:w="1064"/>
        <w:gridCol w:w="1064"/>
      </w:tblGrid>
      <w:tr w:rsidR="00097249" w:rsidRPr="00EE29A6" w14:paraId="289A0504" w14:textId="150A283D" w:rsidTr="00097249">
        <w:trPr>
          <w:trHeight w:val="457"/>
        </w:trPr>
        <w:tc>
          <w:tcPr>
            <w:tcW w:w="1095" w:type="dxa"/>
            <w:tcBorders>
              <w:top w:val="single" w:sz="12" w:space="0" w:color="008000"/>
              <w:bottom w:val="single" w:sz="4" w:space="0" w:color="auto"/>
            </w:tcBorders>
            <w:shd w:val="clear" w:color="auto" w:fill="FFFFFF"/>
          </w:tcPr>
          <w:p w14:paraId="77A78955" w14:textId="79455E28" w:rsidR="00A56B0C" w:rsidRPr="00EE29A6" w:rsidRDefault="00A56B0C" w:rsidP="00A56B0C">
            <w:pPr>
              <w:pStyle w:val="CETBodytext"/>
              <w:jc w:val="left"/>
              <w:rPr>
                <w:lang w:val="en-GB"/>
              </w:rPr>
            </w:pPr>
          </w:p>
        </w:tc>
        <w:tc>
          <w:tcPr>
            <w:tcW w:w="1106" w:type="dxa"/>
            <w:tcBorders>
              <w:top w:val="single" w:sz="12" w:space="0" w:color="008000"/>
              <w:bottom w:val="single" w:sz="4" w:space="0" w:color="auto"/>
            </w:tcBorders>
            <w:shd w:val="clear" w:color="auto" w:fill="FFFFFF"/>
          </w:tcPr>
          <w:p w14:paraId="714C7292" w14:textId="24AA6EB2" w:rsidR="00A56B0C" w:rsidRPr="00EE29A6" w:rsidRDefault="00A56B0C" w:rsidP="00A56B0C">
            <w:pPr>
              <w:pStyle w:val="CETBodytext"/>
              <w:jc w:val="left"/>
              <w:rPr>
                <w:lang w:val="en-GB"/>
              </w:rPr>
            </w:pPr>
            <w:r w:rsidRPr="00A56B0C">
              <w:rPr>
                <w:lang w:val="en-GB"/>
              </w:rPr>
              <w:t>Methane Nozzle</w:t>
            </w:r>
          </w:p>
        </w:tc>
        <w:tc>
          <w:tcPr>
            <w:tcW w:w="1126" w:type="dxa"/>
            <w:tcBorders>
              <w:top w:val="single" w:sz="12" w:space="0" w:color="008000"/>
              <w:bottom w:val="single" w:sz="4" w:space="0" w:color="auto"/>
            </w:tcBorders>
            <w:shd w:val="clear" w:color="auto" w:fill="FFFFFF"/>
          </w:tcPr>
          <w:p w14:paraId="1CD42C13" w14:textId="008F4A47" w:rsidR="00A56B0C" w:rsidRPr="00EE29A6" w:rsidRDefault="00A56B0C" w:rsidP="00A56B0C">
            <w:pPr>
              <w:pStyle w:val="CETBodytext"/>
              <w:jc w:val="left"/>
              <w:rPr>
                <w:lang w:val="en-GB"/>
              </w:rPr>
            </w:pPr>
            <w:r w:rsidRPr="00A56B0C">
              <w:rPr>
                <w:lang w:val="en-GB"/>
              </w:rPr>
              <w:t>Core</w:t>
            </w:r>
          </w:p>
        </w:tc>
        <w:tc>
          <w:tcPr>
            <w:tcW w:w="1106" w:type="dxa"/>
            <w:tcBorders>
              <w:top w:val="single" w:sz="12" w:space="0" w:color="008000"/>
              <w:bottom w:val="single" w:sz="4" w:space="0" w:color="auto"/>
            </w:tcBorders>
            <w:shd w:val="clear" w:color="auto" w:fill="FFFFFF"/>
          </w:tcPr>
          <w:p w14:paraId="12AB9113" w14:textId="5B456ABA" w:rsidR="00A56B0C" w:rsidRPr="00FF6939" w:rsidRDefault="00A56B0C" w:rsidP="00A56B0C">
            <w:pPr>
              <w:pStyle w:val="CETBodytext"/>
              <w:ind w:right="-1"/>
              <w:jc w:val="left"/>
              <w:rPr>
                <w:lang w:val="en-GB"/>
              </w:rPr>
            </w:pPr>
            <w:r w:rsidRPr="00A56B0C">
              <w:rPr>
                <w:lang w:val="en-GB"/>
              </w:rPr>
              <w:t>Far 1</w:t>
            </w:r>
          </w:p>
        </w:tc>
        <w:tc>
          <w:tcPr>
            <w:tcW w:w="1113" w:type="dxa"/>
            <w:tcBorders>
              <w:top w:val="single" w:sz="12" w:space="0" w:color="008000"/>
              <w:bottom w:val="single" w:sz="4" w:space="0" w:color="auto"/>
            </w:tcBorders>
            <w:shd w:val="clear" w:color="auto" w:fill="FFFFFF"/>
          </w:tcPr>
          <w:p w14:paraId="5AE933E8" w14:textId="05FB8BDF" w:rsidR="00A56B0C" w:rsidRPr="00FF6939" w:rsidRDefault="00A56B0C" w:rsidP="00A56B0C">
            <w:pPr>
              <w:pStyle w:val="CETBodytext"/>
              <w:ind w:right="-1"/>
              <w:jc w:val="left"/>
              <w:rPr>
                <w:lang w:val="en-GB"/>
              </w:rPr>
            </w:pPr>
            <w:r w:rsidRPr="00A56B0C">
              <w:rPr>
                <w:lang w:val="en-GB"/>
              </w:rPr>
              <w:t>Far 2</w:t>
            </w:r>
          </w:p>
        </w:tc>
        <w:tc>
          <w:tcPr>
            <w:tcW w:w="1097" w:type="dxa"/>
            <w:tcBorders>
              <w:top w:val="single" w:sz="12" w:space="0" w:color="008000"/>
              <w:bottom w:val="single" w:sz="4" w:space="0" w:color="auto"/>
            </w:tcBorders>
            <w:shd w:val="clear" w:color="auto" w:fill="FFFFFF"/>
          </w:tcPr>
          <w:p w14:paraId="3F79395A" w14:textId="6DE9F34F" w:rsidR="00A56B0C" w:rsidRPr="00EE29A6" w:rsidRDefault="00A56B0C" w:rsidP="00A56B0C">
            <w:pPr>
              <w:pStyle w:val="CETBodytext"/>
              <w:ind w:right="-1"/>
              <w:jc w:val="left"/>
              <w:rPr>
                <w:lang w:val="en-GB"/>
              </w:rPr>
            </w:pPr>
            <w:r w:rsidRPr="00A56B0C">
              <w:rPr>
                <w:lang w:val="en-GB"/>
              </w:rPr>
              <w:t>Far 3</w:t>
            </w:r>
          </w:p>
        </w:tc>
        <w:tc>
          <w:tcPr>
            <w:tcW w:w="1064" w:type="dxa"/>
            <w:tcBorders>
              <w:top w:val="single" w:sz="12" w:space="0" w:color="008000"/>
              <w:bottom w:val="single" w:sz="4" w:space="0" w:color="auto"/>
            </w:tcBorders>
          </w:tcPr>
          <w:p w14:paraId="41B66B2D" w14:textId="432801BB" w:rsidR="00A56B0C" w:rsidRPr="00EE29A6" w:rsidRDefault="00A56B0C" w:rsidP="00A56B0C">
            <w:pPr>
              <w:pStyle w:val="CETBodytext"/>
              <w:ind w:right="-1"/>
              <w:jc w:val="left"/>
              <w:rPr>
                <w:lang w:val="en-GB"/>
              </w:rPr>
            </w:pPr>
            <w:r w:rsidRPr="00A56B0C">
              <w:rPr>
                <w:lang w:val="en-GB"/>
              </w:rPr>
              <w:t>Far 4</w:t>
            </w:r>
          </w:p>
        </w:tc>
        <w:tc>
          <w:tcPr>
            <w:tcW w:w="1064" w:type="dxa"/>
            <w:tcBorders>
              <w:top w:val="single" w:sz="12" w:space="0" w:color="008000"/>
              <w:bottom w:val="single" w:sz="4" w:space="0" w:color="auto"/>
            </w:tcBorders>
          </w:tcPr>
          <w:p w14:paraId="0E3A6DF9" w14:textId="70D7294A" w:rsidR="00A56B0C" w:rsidRPr="00EE29A6" w:rsidRDefault="00A56B0C" w:rsidP="00A56B0C">
            <w:pPr>
              <w:pStyle w:val="CETBodytext"/>
              <w:ind w:right="-1"/>
              <w:jc w:val="left"/>
              <w:rPr>
                <w:lang w:val="en-GB"/>
              </w:rPr>
            </w:pPr>
            <w:r w:rsidRPr="00A56B0C">
              <w:rPr>
                <w:lang w:val="en-GB"/>
              </w:rPr>
              <w:t>Steam lines</w:t>
            </w:r>
          </w:p>
        </w:tc>
      </w:tr>
      <w:tr w:rsidR="00A56B0C" w:rsidRPr="00EE29A6" w14:paraId="6B4EA255" w14:textId="7299AE03" w:rsidTr="00097249">
        <w:trPr>
          <w:trHeight w:val="457"/>
        </w:trPr>
        <w:tc>
          <w:tcPr>
            <w:tcW w:w="1095" w:type="dxa"/>
            <w:tcBorders>
              <w:top w:val="single" w:sz="4" w:space="0" w:color="auto"/>
            </w:tcBorders>
            <w:shd w:val="clear" w:color="auto" w:fill="FFFFFF"/>
          </w:tcPr>
          <w:p w14:paraId="37BF43B2" w14:textId="7198D880" w:rsidR="00A56B0C" w:rsidRPr="00FF6939" w:rsidRDefault="00A56B0C" w:rsidP="00A56B0C">
            <w:pPr>
              <w:pStyle w:val="CETBodytext"/>
              <w:rPr>
                <w:rFonts w:cs="Arial"/>
                <w:lang w:val="en-GB"/>
              </w:rPr>
            </w:pPr>
            <m:oMath>
              <m:f>
                <m:fPr>
                  <m:ctrlPr>
                    <w:rPr>
                      <w:rFonts w:ascii="Cambria Math" w:hAnsi="Cambria Math" w:cs="Arial"/>
                      <w:sz w:val="20"/>
                      <w:szCs w:val="22"/>
                      <w:lang w:val="en-GB"/>
                    </w:rPr>
                  </m:ctrlPr>
                </m:fPr>
                <m:num>
                  <m:r>
                    <w:rPr>
                      <w:rFonts w:ascii="Cambria Math" w:hAnsi="Cambria Math" w:cs="Arial"/>
                      <w:sz w:val="20"/>
                      <w:szCs w:val="22"/>
                      <w:lang w:val="en-GB"/>
                    </w:rPr>
                    <m:t>L</m:t>
                  </m:r>
                </m:num>
                <m:den>
                  <m:sSub>
                    <m:sSubPr>
                      <m:ctrlPr>
                        <w:rPr>
                          <w:rFonts w:ascii="Cambria Math" w:hAnsi="Cambria Math" w:cs="Arial"/>
                          <w:sz w:val="20"/>
                          <w:szCs w:val="22"/>
                          <w:lang w:val="en-GB"/>
                        </w:rPr>
                      </m:ctrlPr>
                    </m:sSubPr>
                    <m:e>
                      <m:r>
                        <w:rPr>
                          <w:rFonts w:ascii="Cambria Math" w:hAnsi="Cambria Math" w:cs="Arial"/>
                          <w:sz w:val="20"/>
                          <w:szCs w:val="22"/>
                          <w:lang w:val="en-GB"/>
                        </w:rPr>
                        <m:t>D</m:t>
                      </m:r>
                    </m:e>
                    <m:sub>
                      <m:r>
                        <w:rPr>
                          <w:rFonts w:ascii="Cambria Math" w:hAnsi="Cambria Math" w:cs="Arial"/>
                          <w:sz w:val="20"/>
                          <w:szCs w:val="22"/>
                          <w:lang w:val="en-GB"/>
                        </w:rPr>
                        <m:t>eq</m:t>
                      </m:r>
                    </m:sub>
                  </m:sSub>
                </m:den>
              </m:f>
            </m:oMath>
            <w:r w:rsidRPr="00FF6939">
              <w:rPr>
                <w:rFonts w:cs="Arial"/>
                <w:sz w:val="20"/>
                <w:szCs w:val="22"/>
                <w:lang w:val="en-GB"/>
              </w:rPr>
              <w:t xml:space="preserve"> [-]</w:t>
            </w:r>
          </w:p>
        </w:tc>
        <w:tc>
          <w:tcPr>
            <w:tcW w:w="1106" w:type="dxa"/>
            <w:tcBorders>
              <w:top w:val="single" w:sz="4" w:space="0" w:color="auto"/>
            </w:tcBorders>
            <w:shd w:val="clear" w:color="auto" w:fill="FFFFFF"/>
          </w:tcPr>
          <w:p w14:paraId="3F94C3F4" w14:textId="54A2F796" w:rsidR="00A56B0C" w:rsidRPr="00EE29A6" w:rsidRDefault="00A56B0C" w:rsidP="00A56B0C">
            <w:pPr>
              <w:pStyle w:val="CETBodytext"/>
              <w:rPr>
                <w:lang w:val="en-GB"/>
              </w:rPr>
            </w:pPr>
            <w:r w:rsidRPr="00A56B0C">
              <w:rPr>
                <w:lang w:val="en-GB"/>
              </w:rPr>
              <w:t>50</w:t>
            </w:r>
          </w:p>
        </w:tc>
        <w:tc>
          <w:tcPr>
            <w:tcW w:w="1126" w:type="dxa"/>
            <w:tcBorders>
              <w:top w:val="single" w:sz="4" w:space="0" w:color="auto"/>
            </w:tcBorders>
            <w:shd w:val="clear" w:color="auto" w:fill="FFFFFF"/>
          </w:tcPr>
          <w:p w14:paraId="492E3BA3" w14:textId="46311976" w:rsidR="00A56B0C" w:rsidRPr="00EE29A6" w:rsidRDefault="00A56B0C" w:rsidP="00A56B0C">
            <w:pPr>
              <w:pStyle w:val="CETBodytext"/>
              <w:rPr>
                <w:lang w:val="en-GB"/>
              </w:rPr>
            </w:pPr>
            <w:r w:rsidRPr="00A56B0C">
              <w:rPr>
                <w:lang w:val="en-GB"/>
              </w:rPr>
              <w:t>35</w:t>
            </w:r>
          </w:p>
        </w:tc>
        <w:tc>
          <w:tcPr>
            <w:tcW w:w="1106" w:type="dxa"/>
            <w:tcBorders>
              <w:top w:val="single" w:sz="4" w:space="0" w:color="auto"/>
            </w:tcBorders>
            <w:shd w:val="clear" w:color="auto" w:fill="FFFFFF"/>
          </w:tcPr>
          <w:p w14:paraId="0DB2A772" w14:textId="7EA50F1D" w:rsidR="00A56B0C" w:rsidRPr="00FF6939" w:rsidRDefault="00A56B0C" w:rsidP="00A56B0C">
            <w:pPr>
              <w:pStyle w:val="CETBodytext"/>
              <w:ind w:right="-1"/>
              <w:rPr>
                <w:lang w:val="en-GB"/>
              </w:rPr>
            </w:pPr>
            <w:r w:rsidRPr="00A56B0C">
              <w:rPr>
                <w:lang w:val="en-GB"/>
              </w:rPr>
              <w:t>35</w:t>
            </w:r>
          </w:p>
        </w:tc>
        <w:tc>
          <w:tcPr>
            <w:tcW w:w="1113" w:type="dxa"/>
            <w:tcBorders>
              <w:top w:val="single" w:sz="4" w:space="0" w:color="auto"/>
            </w:tcBorders>
            <w:shd w:val="clear" w:color="auto" w:fill="FFFFFF"/>
          </w:tcPr>
          <w:p w14:paraId="013497C6" w14:textId="77777777" w:rsidR="00A56B0C" w:rsidRPr="00A56B0C" w:rsidRDefault="00A56B0C" w:rsidP="00A56B0C">
            <w:pPr>
              <w:pStyle w:val="CETBodytext"/>
              <w:jc w:val="left"/>
              <w:rPr>
                <w:lang w:val="en-GB"/>
              </w:rPr>
            </w:pPr>
            <w:r w:rsidRPr="00A56B0C">
              <w:rPr>
                <w:lang w:val="en-GB"/>
              </w:rPr>
              <w:t>70</w:t>
            </w:r>
          </w:p>
          <w:p w14:paraId="19CE81FB" w14:textId="1D41D27C" w:rsidR="00A56B0C" w:rsidRPr="00FF6939" w:rsidRDefault="00A56B0C" w:rsidP="00A56B0C">
            <w:pPr>
              <w:pStyle w:val="CETBodytext"/>
              <w:ind w:right="-1"/>
              <w:rPr>
                <w:lang w:val="en-GB"/>
              </w:rPr>
            </w:pPr>
          </w:p>
        </w:tc>
        <w:tc>
          <w:tcPr>
            <w:tcW w:w="1097" w:type="dxa"/>
            <w:tcBorders>
              <w:top w:val="single" w:sz="4" w:space="0" w:color="auto"/>
            </w:tcBorders>
            <w:shd w:val="clear" w:color="auto" w:fill="FFFFFF"/>
          </w:tcPr>
          <w:p w14:paraId="225D2B30" w14:textId="2F837A6F" w:rsidR="00A56B0C" w:rsidRPr="00FF6939" w:rsidRDefault="00A56B0C" w:rsidP="00A56B0C">
            <w:pPr>
              <w:pStyle w:val="CETBodytext"/>
              <w:ind w:right="-1"/>
              <w:rPr>
                <w:lang w:val="en-GB"/>
              </w:rPr>
            </w:pPr>
            <w:r w:rsidRPr="00A56B0C">
              <w:rPr>
                <w:lang w:val="en-GB"/>
              </w:rPr>
              <w:t>140</w:t>
            </w:r>
          </w:p>
        </w:tc>
        <w:tc>
          <w:tcPr>
            <w:tcW w:w="1064" w:type="dxa"/>
            <w:tcBorders>
              <w:top w:val="single" w:sz="4" w:space="0" w:color="auto"/>
            </w:tcBorders>
            <w:shd w:val="clear" w:color="auto" w:fill="FFFFFF"/>
          </w:tcPr>
          <w:p w14:paraId="0CB5B103" w14:textId="61FCC1E0" w:rsidR="00A56B0C" w:rsidRPr="00EE29A6" w:rsidRDefault="00A56B0C" w:rsidP="00A56B0C">
            <w:pPr>
              <w:pStyle w:val="CETBodytext"/>
              <w:ind w:right="-1"/>
              <w:rPr>
                <w:lang w:val="en-GB"/>
              </w:rPr>
            </w:pPr>
            <w:r w:rsidRPr="00A56B0C">
              <w:rPr>
                <w:lang w:val="en-GB"/>
              </w:rPr>
              <w:t>390</w:t>
            </w:r>
          </w:p>
        </w:tc>
        <w:tc>
          <w:tcPr>
            <w:tcW w:w="1064" w:type="dxa"/>
            <w:tcBorders>
              <w:top w:val="single" w:sz="4" w:space="0" w:color="auto"/>
            </w:tcBorders>
            <w:shd w:val="clear" w:color="auto" w:fill="FFFFFF"/>
          </w:tcPr>
          <w:p w14:paraId="315486C0" w14:textId="38A68824" w:rsidR="00A56B0C" w:rsidRPr="00EE29A6" w:rsidRDefault="00A56B0C" w:rsidP="00A56B0C">
            <w:pPr>
              <w:pStyle w:val="CETBodytext"/>
              <w:ind w:right="-1"/>
              <w:rPr>
                <w:lang w:val="en-GB"/>
              </w:rPr>
            </w:pPr>
            <w:r w:rsidRPr="00A56B0C">
              <w:rPr>
                <w:lang w:val="en-GB"/>
              </w:rPr>
              <w:t>-</w:t>
            </w:r>
          </w:p>
        </w:tc>
      </w:tr>
      <w:tr w:rsidR="00A56B0C" w:rsidRPr="00EE29A6" w14:paraId="628B14C9" w14:textId="12C2323E" w:rsidTr="00097249">
        <w:trPr>
          <w:trHeight w:val="225"/>
        </w:trPr>
        <w:tc>
          <w:tcPr>
            <w:tcW w:w="1095" w:type="dxa"/>
            <w:tcBorders>
              <w:bottom w:val="nil"/>
            </w:tcBorders>
            <w:shd w:val="clear" w:color="auto" w:fill="FFFFFF"/>
          </w:tcPr>
          <w:p w14:paraId="42B6852C" w14:textId="60CE5950" w:rsidR="00A56B0C" w:rsidRPr="00FF6939" w:rsidRDefault="00A56B0C" w:rsidP="00A56B0C">
            <w:pPr>
              <w:pStyle w:val="CETBodytext"/>
              <w:ind w:right="-1"/>
              <w:rPr>
                <w:lang w:val="en-GB"/>
              </w:rPr>
            </w:pPr>
            <w:r w:rsidRPr="00A56B0C">
              <w:rPr>
                <w:lang w:val="en-GB"/>
              </w:rPr>
              <w:t>Cell size [m]</w:t>
            </w:r>
          </w:p>
        </w:tc>
        <w:tc>
          <w:tcPr>
            <w:tcW w:w="1106" w:type="dxa"/>
            <w:tcBorders>
              <w:bottom w:val="nil"/>
            </w:tcBorders>
            <w:shd w:val="clear" w:color="auto" w:fill="FFFFFF"/>
          </w:tcPr>
          <w:p w14:paraId="6F1FD135" w14:textId="08E8B12C" w:rsidR="00A56B0C" w:rsidRPr="00FF6939" w:rsidRDefault="00A56B0C" w:rsidP="00A56B0C">
            <w:pPr>
              <w:pStyle w:val="CETBodytext"/>
              <w:rPr>
                <w:lang w:val="en-GB"/>
              </w:rPr>
            </w:pPr>
            <w:r w:rsidRPr="00A56B0C">
              <w:rPr>
                <w:lang w:val="en-GB"/>
              </w:rPr>
              <w:t>0.002</w:t>
            </w:r>
          </w:p>
        </w:tc>
        <w:tc>
          <w:tcPr>
            <w:tcW w:w="1126" w:type="dxa"/>
            <w:tcBorders>
              <w:bottom w:val="nil"/>
            </w:tcBorders>
            <w:shd w:val="clear" w:color="auto" w:fill="FFFFFF"/>
          </w:tcPr>
          <w:p w14:paraId="32A9D17F" w14:textId="24D6CD3C" w:rsidR="00A56B0C" w:rsidRPr="00FF6939" w:rsidRDefault="00A56B0C" w:rsidP="00A56B0C">
            <w:pPr>
              <w:pStyle w:val="CETBodytext"/>
              <w:ind w:right="-1"/>
              <w:rPr>
                <w:lang w:val="en-GB"/>
              </w:rPr>
            </w:pPr>
            <w:r w:rsidRPr="00A56B0C">
              <w:rPr>
                <w:lang w:val="en-GB"/>
              </w:rPr>
              <w:t>0.008</w:t>
            </w:r>
          </w:p>
        </w:tc>
        <w:tc>
          <w:tcPr>
            <w:tcW w:w="1106" w:type="dxa"/>
            <w:tcBorders>
              <w:bottom w:val="nil"/>
            </w:tcBorders>
            <w:shd w:val="clear" w:color="auto" w:fill="FFFFFF"/>
          </w:tcPr>
          <w:p w14:paraId="37D6B6B3" w14:textId="20414577" w:rsidR="00A56B0C" w:rsidRPr="00FF6939" w:rsidRDefault="00A56B0C" w:rsidP="00A56B0C">
            <w:pPr>
              <w:pStyle w:val="CETBodytext"/>
              <w:ind w:right="-1"/>
              <w:rPr>
                <w:lang w:val="en-GB"/>
              </w:rPr>
            </w:pPr>
            <w:r w:rsidRPr="00A56B0C">
              <w:rPr>
                <w:lang w:val="en-GB"/>
              </w:rPr>
              <w:t>0.015</w:t>
            </w:r>
          </w:p>
        </w:tc>
        <w:tc>
          <w:tcPr>
            <w:tcW w:w="1113" w:type="dxa"/>
            <w:tcBorders>
              <w:bottom w:val="nil"/>
            </w:tcBorders>
            <w:shd w:val="clear" w:color="auto" w:fill="FFFFFF"/>
          </w:tcPr>
          <w:p w14:paraId="432BC865" w14:textId="7D76F136" w:rsidR="00A56B0C" w:rsidRPr="00FF6939" w:rsidRDefault="00A56B0C" w:rsidP="00A56B0C">
            <w:pPr>
              <w:pStyle w:val="CETBodytext"/>
              <w:ind w:right="-1"/>
              <w:rPr>
                <w:lang w:val="en-GB"/>
              </w:rPr>
            </w:pPr>
            <w:r w:rsidRPr="00A56B0C">
              <w:rPr>
                <w:lang w:val="en-GB"/>
              </w:rPr>
              <w:t>0.05</w:t>
            </w:r>
          </w:p>
        </w:tc>
        <w:tc>
          <w:tcPr>
            <w:tcW w:w="1097" w:type="dxa"/>
            <w:tcBorders>
              <w:bottom w:val="nil"/>
            </w:tcBorders>
            <w:shd w:val="clear" w:color="auto" w:fill="FFFFFF"/>
          </w:tcPr>
          <w:p w14:paraId="01B39C98" w14:textId="36B21C65" w:rsidR="00A56B0C" w:rsidRPr="00FF6939" w:rsidRDefault="00A56B0C" w:rsidP="00A56B0C">
            <w:pPr>
              <w:pStyle w:val="CETBodytext"/>
              <w:ind w:right="-1"/>
              <w:rPr>
                <w:lang w:val="en-GB"/>
              </w:rPr>
            </w:pPr>
            <w:r w:rsidRPr="00A56B0C">
              <w:rPr>
                <w:lang w:val="en-GB"/>
              </w:rPr>
              <w:t>0.05</w:t>
            </w:r>
          </w:p>
        </w:tc>
        <w:tc>
          <w:tcPr>
            <w:tcW w:w="1064" w:type="dxa"/>
            <w:tcBorders>
              <w:bottom w:val="nil"/>
            </w:tcBorders>
            <w:shd w:val="clear" w:color="auto" w:fill="FFFFFF"/>
          </w:tcPr>
          <w:p w14:paraId="3F0E3ABB" w14:textId="69F80F47" w:rsidR="00A56B0C" w:rsidRPr="00EE29A6" w:rsidRDefault="00A56B0C" w:rsidP="00A56B0C">
            <w:pPr>
              <w:pStyle w:val="CETBodytext"/>
              <w:ind w:right="-1"/>
              <w:rPr>
                <w:lang w:val="en-GB"/>
              </w:rPr>
            </w:pPr>
            <w:r w:rsidRPr="00A56B0C">
              <w:rPr>
                <w:lang w:val="en-GB"/>
              </w:rPr>
              <w:t>0.15</w:t>
            </w:r>
          </w:p>
        </w:tc>
        <w:tc>
          <w:tcPr>
            <w:tcW w:w="1064" w:type="dxa"/>
            <w:tcBorders>
              <w:bottom w:val="nil"/>
            </w:tcBorders>
            <w:shd w:val="clear" w:color="auto" w:fill="FFFFFF"/>
          </w:tcPr>
          <w:p w14:paraId="1FEFF958" w14:textId="6C6F06A9" w:rsidR="00A56B0C" w:rsidRPr="00EE29A6" w:rsidRDefault="00A56B0C" w:rsidP="00A56B0C">
            <w:pPr>
              <w:pStyle w:val="CETBodytext"/>
              <w:ind w:right="-1"/>
              <w:rPr>
                <w:lang w:val="en-GB"/>
              </w:rPr>
            </w:pPr>
            <w:r w:rsidRPr="00A56B0C">
              <w:rPr>
                <w:lang w:val="en-GB"/>
              </w:rPr>
              <w:t>0.00025</w:t>
            </w:r>
          </w:p>
        </w:tc>
      </w:tr>
      <w:tr w:rsidR="00A56B0C" w:rsidRPr="00EE29A6" w14:paraId="24D22B1D" w14:textId="543D5D8A" w:rsidTr="00097249">
        <w:trPr>
          <w:trHeight w:val="225"/>
        </w:trPr>
        <w:tc>
          <w:tcPr>
            <w:tcW w:w="1095" w:type="dxa"/>
            <w:tcBorders>
              <w:top w:val="nil"/>
              <w:bottom w:val="single" w:sz="12" w:space="0" w:color="008000"/>
            </w:tcBorders>
            <w:shd w:val="clear" w:color="auto" w:fill="FFFFFF"/>
          </w:tcPr>
          <w:p w14:paraId="7A50D367" w14:textId="67454D78" w:rsidR="00A56B0C" w:rsidRPr="00EE29A6" w:rsidRDefault="00A56B0C" w:rsidP="00A56B0C">
            <w:pPr>
              <w:pStyle w:val="CETBodytext"/>
              <w:ind w:right="-1"/>
              <w:rPr>
                <w:lang w:val="en-GB"/>
              </w:rPr>
            </w:pPr>
            <w:r w:rsidRPr="00A56B0C">
              <w:rPr>
                <w:lang w:val="en-GB"/>
              </w:rPr>
              <w:t>Growth rate</w:t>
            </w:r>
          </w:p>
        </w:tc>
        <w:tc>
          <w:tcPr>
            <w:tcW w:w="1106" w:type="dxa"/>
            <w:tcBorders>
              <w:top w:val="nil"/>
              <w:bottom w:val="single" w:sz="12" w:space="0" w:color="008000"/>
            </w:tcBorders>
            <w:shd w:val="clear" w:color="auto" w:fill="FFFFFF"/>
          </w:tcPr>
          <w:p w14:paraId="09CB03E4" w14:textId="7A5F6280" w:rsidR="00A56B0C" w:rsidRPr="00EE29A6" w:rsidRDefault="00A56B0C" w:rsidP="00A56B0C">
            <w:pPr>
              <w:pStyle w:val="CETBodytext"/>
              <w:rPr>
                <w:lang w:val="en-GB"/>
              </w:rPr>
            </w:pPr>
            <w:r w:rsidRPr="00A56B0C">
              <w:rPr>
                <w:lang w:val="en-GB"/>
              </w:rPr>
              <w:t>1.2</w:t>
            </w:r>
          </w:p>
        </w:tc>
        <w:tc>
          <w:tcPr>
            <w:tcW w:w="1126" w:type="dxa"/>
            <w:tcBorders>
              <w:top w:val="nil"/>
              <w:bottom w:val="single" w:sz="12" w:space="0" w:color="008000"/>
            </w:tcBorders>
            <w:shd w:val="clear" w:color="auto" w:fill="FFFFFF"/>
          </w:tcPr>
          <w:p w14:paraId="4C6103D7" w14:textId="3852B1ED" w:rsidR="00A56B0C" w:rsidRPr="00EE29A6" w:rsidRDefault="00A56B0C" w:rsidP="00A56B0C">
            <w:pPr>
              <w:pStyle w:val="CETBodytext"/>
              <w:ind w:right="-1"/>
              <w:rPr>
                <w:lang w:val="en-GB"/>
              </w:rPr>
            </w:pPr>
            <w:r w:rsidRPr="00A56B0C">
              <w:rPr>
                <w:lang w:val="en-GB"/>
              </w:rPr>
              <w:t>1.075</w:t>
            </w:r>
          </w:p>
        </w:tc>
        <w:tc>
          <w:tcPr>
            <w:tcW w:w="1106" w:type="dxa"/>
            <w:tcBorders>
              <w:top w:val="nil"/>
              <w:bottom w:val="single" w:sz="12" w:space="0" w:color="008000"/>
            </w:tcBorders>
            <w:shd w:val="clear" w:color="auto" w:fill="FFFFFF"/>
          </w:tcPr>
          <w:p w14:paraId="40DD29EB" w14:textId="57809A74" w:rsidR="00A56B0C" w:rsidRPr="00EE29A6" w:rsidRDefault="00A56B0C" w:rsidP="00A56B0C">
            <w:pPr>
              <w:pStyle w:val="CETBodytext"/>
              <w:ind w:right="-1"/>
              <w:rPr>
                <w:lang w:val="en-GB"/>
              </w:rPr>
            </w:pPr>
            <w:r w:rsidRPr="00A56B0C">
              <w:rPr>
                <w:lang w:val="en-GB"/>
              </w:rPr>
              <w:t>1.1</w:t>
            </w:r>
          </w:p>
        </w:tc>
        <w:tc>
          <w:tcPr>
            <w:tcW w:w="1113" w:type="dxa"/>
            <w:tcBorders>
              <w:top w:val="nil"/>
              <w:bottom w:val="single" w:sz="12" w:space="0" w:color="008000"/>
            </w:tcBorders>
            <w:shd w:val="clear" w:color="auto" w:fill="FFFFFF"/>
          </w:tcPr>
          <w:p w14:paraId="7F9DFBE7" w14:textId="7BB2274F" w:rsidR="00A56B0C" w:rsidRPr="00EE29A6" w:rsidRDefault="00A56B0C" w:rsidP="00A56B0C">
            <w:pPr>
              <w:pStyle w:val="CETBodytext"/>
              <w:ind w:right="-1"/>
              <w:rPr>
                <w:lang w:val="en-GB"/>
              </w:rPr>
            </w:pPr>
            <w:r w:rsidRPr="00A56B0C">
              <w:rPr>
                <w:lang w:val="en-GB"/>
              </w:rPr>
              <w:t>1.15</w:t>
            </w:r>
          </w:p>
        </w:tc>
        <w:tc>
          <w:tcPr>
            <w:tcW w:w="1097" w:type="dxa"/>
            <w:tcBorders>
              <w:top w:val="nil"/>
              <w:bottom w:val="single" w:sz="12" w:space="0" w:color="008000"/>
            </w:tcBorders>
            <w:shd w:val="clear" w:color="auto" w:fill="FFFFFF"/>
          </w:tcPr>
          <w:p w14:paraId="6AD5BD75" w14:textId="7C9AF35D" w:rsidR="00A56B0C" w:rsidRPr="00EE29A6" w:rsidRDefault="00A56B0C" w:rsidP="00A56B0C">
            <w:pPr>
              <w:pStyle w:val="CETBodytext"/>
              <w:ind w:right="-1"/>
              <w:rPr>
                <w:lang w:val="en-GB"/>
              </w:rPr>
            </w:pPr>
            <w:r w:rsidRPr="00A56B0C">
              <w:rPr>
                <w:lang w:val="en-GB"/>
              </w:rPr>
              <w:t>1.175</w:t>
            </w:r>
          </w:p>
        </w:tc>
        <w:tc>
          <w:tcPr>
            <w:tcW w:w="1064" w:type="dxa"/>
            <w:tcBorders>
              <w:top w:val="nil"/>
              <w:bottom w:val="single" w:sz="12" w:space="0" w:color="008000"/>
            </w:tcBorders>
            <w:shd w:val="clear" w:color="auto" w:fill="FFFFFF"/>
          </w:tcPr>
          <w:p w14:paraId="513A564B" w14:textId="5F7725C1" w:rsidR="00A56B0C" w:rsidRPr="00EE29A6" w:rsidRDefault="00A56B0C" w:rsidP="00A56B0C">
            <w:pPr>
              <w:pStyle w:val="CETBodytext"/>
              <w:ind w:right="-1"/>
              <w:rPr>
                <w:lang w:val="en-GB"/>
              </w:rPr>
            </w:pPr>
            <w:r w:rsidRPr="00A56B0C">
              <w:rPr>
                <w:lang w:val="en-GB"/>
              </w:rPr>
              <w:t>1.2</w:t>
            </w:r>
          </w:p>
        </w:tc>
        <w:tc>
          <w:tcPr>
            <w:tcW w:w="1064" w:type="dxa"/>
            <w:tcBorders>
              <w:top w:val="nil"/>
              <w:bottom w:val="single" w:sz="12" w:space="0" w:color="008000"/>
            </w:tcBorders>
            <w:shd w:val="clear" w:color="auto" w:fill="FFFFFF"/>
          </w:tcPr>
          <w:p w14:paraId="460D48F2" w14:textId="78F03766" w:rsidR="00A56B0C" w:rsidRPr="00EE29A6" w:rsidRDefault="00A56B0C" w:rsidP="00A56B0C">
            <w:pPr>
              <w:pStyle w:val="CETBodytext"/>
              <w:ind w:right="-1"/>
              <w:rPr>
                <w:lang w:val="en-GB"/>
              </w:rPr>
            </w:pPr>
            <w:r w:rsidRPr="00A56B0C">
              <w:rPr>
                <w:lang w:val="en-GB"/>
              </w:rPr>
              <w:t>1.15</w:t>
            </w:r>
          </w:p>
        </w:tc>
      </w:tr>
      <w:tr w:rsidR="00EB2604" w:rsidRPr="00EE29A6" w14:paraId="1889899C" w14:textId="77777777" w:rsidTr="00097249">
        <w:trPr>
          <w:trHeight w:val="232"/>
        </w:trPr>
        <w:tc>
          <w:tcPr>
            <w:tcW w:w="1095" w:type="dxa"/>
            <w:tcBorders>
              <w:top w:val="single" w:sz="12" w:space="0" w:color="008000"/>
              <w:bottom w:val="nil"/>
            </w:tcBorders>
            <w:shd w:val="clear" w:color="auto" w:fill="FFFFFF"/>
          </w:tcPr>
          <w:p w14:paraId="61472B3C" w14:textId="77777777" w:rsidR="00EB2604" w:rsidRPr="00A56B0C" w:rsidRDefault="00EB2604" w:rsidP="00A56B0C">
            <w:pPr>
              <w:pStyle w:val="CETBodytext"/>
              <w:ind w:right="-1"/>
              <w:rPr>
                <w:lang w:val="en-GB"/>
              </w:rPr>
            </w:pPr>
          </w:p>
        </w:tc>
        <w:tc>
          <w:tcPr>
            <w:tcW w:w="1106" w:type="dxa"/>
            <w:tcBorders>
              <w:top w:val="single" w:sz="12" w:space="0" w:color="008000"/>
              <w:bottom w:val="nil"/>
            </w:tcBorders>
            <w:shd w:val="clear" w:color="auto" w:fill="FFFFFF"/>
          </w:tcPr>
          <w:p w14:paraId="02529642" w14:textId="77777777" w:rsidR="00EB2604" w:rsidRPr="00A56B0C" w:rsidRDefault="00EB2604" w:rsidP="00A56B0C">
            <w:pPr>
              <w:pStyle w:val="CETBodytext"/>
              <w:rPr>
                <w:lang w:val="en-GB"/>
              </w:rPr>
            </w:pPr>
          </w:p>
        </w:tc>
        <w:tc>
          <w:tcPr>
            <w:tcW w:w="1126" w:type="dxa"/>
            <w:tcBorders>
              <w:top w:val="single" w:sz="12" w:space="0" w:color="008000"/>
              <w:bottom w:val="nil"/>
            </w:tcBorders>
            <w:shd w:val="clear" w:color="auto" w:fill="FFFFFF"/>
          </w:tcPr>
          <w:p w14:paraId="355B2650" w14:textId="77777777" w:rsidR="00EB2604" w:rsidRPr="00A56B0C" w:rsidRDefault="00EB2604" w:rsidP="00A56B0C">
            <w:pPr>
              <w:pStyle w:val="CETBodytext"/>
              <w:ind w:right="-1"/>
              <w:rPr>
                <w:lang w:val="en-GB"/>
              </w:rPr>
            </w:pPr>
          </w:p>
        </w:tc>
        <w:tc>
          <w:tcPr>
            <w:tcW w:w="1106" w:type="dxa"/>
            <w:tcBorders>
              <w:top w:val="single" w:sz="12" w:space="0" w:color="008000"/>
              <w:bottom w:val="nil"/>
            </w:tcBorders>
            <w:shd w:val="clear" w:color="auto" w:fill="FFFFFF"/>
          </w:tcPr>
          <w:p w14:paraId="04D997B8" w14:textId="77777777" w:rsidR="00EB2604" w:rsidRPr="00A56B0C" w:rsidRDefault="00EB2604" w:rsidP="00A56B0C">
            <w:pPr>
              <w:pStyle w:val="CETBodytext"/>
              <w:ind w:right="-1"/>
              <w:rPr>
                <w:lang w:val="en-GB"/>
              </w:rPr>
            </w:pPr>
          </w:p>
        </w:tc>
        <w:tc>
          <w:tcPr>
            <w:tcW w:w="1113" w:type="dxa"/>
            <w:tcBorders>
              <w:top w:val="single" w:sz="12" w:space="0" w:color="008000"/>
              <w:bottom w:val="nil"/>
            </w:tcBorders>
            <w:shd w:val="clear" w:color="auto" w:fill="FFFFFF"/>
          </w:tcPr>
          <w:p w14:paraId="2A9E315B" w14:textId="77777777" w:rsidR="00EB2604" w:rsidRPr="00A56B0C" w:rsidRDefault="00EB2604" w:rsidP="00A56B0C">
            <w:pPr>
              <w:pStyle w:val="CETBodytext"/>
              <w:ind w:right="-1"/>
              <w:rPr>
                <w:lang w:val="en-GB"/>
              </w:rPr>
            </w:pPr>
          </w:p>
        </w:tc>
        <w:tc>
          <w:tcPr>
            <w:tcW w:w="1097" w:type="dxa"/>
            <w:tcBorders>
              <w:top w:val="single" w:sz="12" w:space="0" w:color="008000"/>
              <w:bottom w:val="nil"/>
            </w:tcBorders>
            <w:shd w:val="clear" w:color="auto" w:fill="FFFFFF"/>
          </w:tcPr>
          <w:p w14:paraId="11D83CCA" w14:textId="77777777" w:rsidR="00EB2604" w:rsidRPr="00A56B0C" w:rsidRDefault="00EB2604" w:rsidP="00A56B0C">
            <w:pPr>
              <w:pStyle w:val="CETBodytext"/>
              <w:ind w:right="-1"/>
              <w:rPr>
                <w:lang w:val="en-GB"/>
              </w:rPr>
            </w:pPr>
          </w:p>
        </w:tc>
        <w:tc>
          <w:tcPr>
            <w:tcW w:w="1064" w:type="dxa"/>
            <w:tcBorders>
              <w:top w:val="single" w:sz="12" w:space="0" w:color="008000"/>
              <w:bottom w:val="nil"/>
            </w:tcBorders>
            <w:shd w:val="clear" w:color="auto" w:fill="FFFFFF"/>
          </w:tcPr>
          <w:p w14:paraId="2FA0C4DC" w14:textId="77777777" w:rsidR="00EB2604" w:rsidRPr="00A56B0C" w:rsidRDefault="00EB2604" w:rsidP="00A56B0C">
            <w:pPr>
              <w:pStyle w:val="CETBodytext"/>
              <w:ind w:right="-1"/>
              <w:rPr>
                <w:lang w:val="en-GB"/>
              </w:rPr>
            </w:pPr>
          </w:p>
        </w:tc>
        <w:tc>
          <w:tcPr>
            <w:tcW w:w="1064" w:type="dxa"/>
            <w:tcBorders>
              <w:top w:val="single" w:sz="12" w:space="0" w:color="008000"/>
              <w:bottom w:val="nil"/>
            </w:tcBorders>
            <w:shd w:val="clear" w:color="auto" w:fill="FFFFFF"/>
          </w:tcPr>
          <w:p w14:paraId="45ACFD98" w14:textId="77777777" w:rsidR="00EB2604" w:rsidRPr="00A56B0C" w:rsidRDefault="00EB2604" w:rsidP="00A56B0C">
            <w:pPr>
              <w:pStyle w:val="CETBodytext"/>
              <w:ind w:right="-1"/>
              <w:rPr>
                <w:lang w:val="en-GB"/>
              </w:rPr>
            </w:pP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406"/>
      </w:tblGrid>
      <w:tr w:rsidR="00080435" w:rsidRPr="00EE29A6" w14:paraId="6C837A91" w14:textId="77777777" w:rsidTr="00EB2604">
        <w:tc>
          <w:tcPr>
            <w:tcW w:w="4381" w:type="dxa"/>
          </w:tcPr>
          <w:p w14:paraId="5FC5DC60" w14:textId="34790BE5" w:rsidR="00080435" w:rsidRPr="00EE29A6" w:rsidRDefault="00C85706" w:rsidP="00CF4CF2">
            <w:pPr>
              <w:keepNext/>
              <w:tabs>
                <w:tab w:val="center" w:pos="1128"/>
              </w:tabs>
              <w:jc w:val="center"/>
            </w:pPr>
            <w:r w:rsidRPr="00EE29A6">
              <w:rPr>
                <w:noProof/>
              </w:rPr>
              <w:drawing>
                <wp:inline distT="0" distB="0" distL="0" distR="0" wp14:anchorId="22CA1EDE" wp14:editId="24FAF0DB">
                  <wp:extent cx="1971534" cy="1518138"/>
                  <wp:effectExtent l="0" t="0" r="0" b="6350"/>
                  <wp:docPr id="1592509155" name="Immagine 1" descr="Immagine che contiene diagramma, linea, Disegno tecnic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09155" name="Immagine 1" descr="Immagine che contiene diagramma, linea, Disegno tecnico, schizz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5860" cy="1529170"/>
                          </a:xfrm>
                          <a:prstGeom prst="rect">
                            <a:avLst/>
                          </a:prstGeom>
                          <a:noFill/>
                        </pic:spPr>
                      </pic:pic>
                    </a:graphicData>
                  </a:graphic>
                </wp:inline>
              </w:drawing>
            </w:r>
          </w:p>
        </w:tc>
        <w:tc>
          <w:tcPr>
            <w:tcW w:w="4406" w:type="dxa"/>
          </w:tcPr>
          <w:p w14:paraId="44A441F7" w14:textId="15BC512A" w:rsidR="00080435" w:rsidRPr="00EE29A6" w:rsidRDefault="00080435" w:rsidP="00CF4CF2">
            <w:pPr>
              <w:keepNext/>
              <w:tabs>
                <w:tab w:val="center" w:pos="1128"/>
              </w:tabs>
              <w:jc w:val="center"/>
            </w:pPr>
            <w:r w:rsidRPr="00EE29A6">
              <w:rPr>
                <w:rFonts w:cs="Arial"/>
                <w:noProof/>
              </w:rPr>
              <w:drawing>
                <wp:inline distT="0" distB="0" distL="0" distR="0" wp14:anchorId="74826E21" wp14:editId="44A38C3D">
                  <wp:extent cx="2558071" cy="1517650"/>
                  <wp:effectExtent l="0" t="0" r="0" b="6350"/>
                  <wp:docPr id="118006385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8438" cy="1535666"/>
                          </a:xfrm>
                          <a:prstGeom prst="rect">
                            <a:avLst/>
                          </a:prstGeom>
                          <a:noFill/>
                          <a:ln>
                            <a:noFill/>
                          </a:ln>
                        </pic:spPr>
                      </pic:pic>
                    </a:graphicData>
                  </a:graphic>
                </wp:inline>
              </w:drawing>
            </w:r>
          </w:p>
        </w:tc>
      </w:tr>
      <w:tr w:rsidR="00080435" w:rsidRPr="00EE29A6" w14:paraId="55F68538" w14:textId="77777777" w:rsidTr="00EB2604">
        <w:tc>
          <w:tcPr>
            <w:tcW w:w="4381" w:type="dxa"/>
          </w:tcPr>
          <w:p w14:paraId="662762A0" w14:textId="19FF04FA" w:rsidR="00080435" w:rsidRPr="00EE29A6" w:rsidRDefault="00080435" w:rsidP="00CF4CF2">
            <w:pPr>
              <w:keepNext/>
              <w:tabs>
                <w:tab w:val="center" w:pos="1128"/>
              </w:tabs>
              <w:jc w:val="center"/>
              <w:rPr>
                <w:rFonts w:cs="Arial"/>
                <w:noProof/>
              </w:rPr>
            </w:pPr>
            <w:r w:rsidRPr="00EE29A6">
              <w:rPr>
                <w:rFonts w:cs="Arial"/>
                <w:noProof/>
              </w:rPr>
              <w:t>a.</w:t>
            </w:r>
          </w:p>
        </w:tc>
        <w:tc>
          <w:tcPr>
            <w:tcW w:w="4406" w:type="dxa"/>
          </w:tcPr>
          <w:p w14:paraId="0FFF734A" w14:textId="70424C94" w:rsidR="00080435" w:rsidRPr="00EE29A6" w:rsidRDefault="00080435" w:rsidP="00CF4CF2">
            <w:pPr>
              <w:keepNext/>
              <w:tabs>
                <w:tab w:val="center" w:pos="1128"/>
              </w:tabs>
              <w:jc w:val="center"/>
            </w:pPr>
            <w:r w:rsidRPr="00EE29A6">
              <w:t>b.</w:t>
            </w:r>
          </w:p>
        </w:tc>
      </w:tr>
    </w:tbl>
    <w:p w14:paraId="1169137B" w14:textId="4C82E63F" w:rsidR="00CF4CF2" w:rsidRDefault="00CF4CF2" w:rsidP="00293851">
      <w:pPr>
        <w:pStyle w:val="CETCaption"/>
        <w:rPr>
          <w:rStyle w:val="CETCaptionCarattere"/>
        </w:rPr>
      </w:pPr>
      <w:bookmarkStart w:id="3" w:name="_Ref162270236"/>
      <w:r w:rsidRPr="00EE29A6">
        <w:rPr>
          <w:rStyle w:val="CETCaptionCarattere"/>
          <w:i/>
        </w:rPr>
        <w:t xml:space="preserve">Figure </w:t>
      </w:r>
      <w:r w:rsidRPr="00EE29A6">
        <w:rPr>
          <w:rStyle w:val="CETCaptionCarattere"/>
          <w:i/>
        </w:rPr>
        <w:fldChar w:fldCharType="begin"/>
      </w:r>
      <w:r w:rsidRPr="00EE29A6">
        <w:rPr>
          <w:rStyle w:val="CETCaptionCarattere"/>
          <w:i/>
        </w:rPr>
        <w:instrText xml:space="preserve"> SEQ Figure \* ARABIC </w:instrText>
      </w:r>
      <w:r w:rsidRPr="00EE29A6">
        <w:rPr>
          <w:rStyle w:val="CETCaptionCarattere"/>
          <w:i/>
        </w:rPr>
        <w:fldChar w:fldCharType="separate"/>
      </w:r>
      <w:r w:rsidR="005340C7" w:rsidRPr="00EE29A6">
        <w:rPr>
          <w:rStyle w:val="CETCaptionCarattere"/>
          <w:i/>
          <w:noProof/>
        </w:rPr>
        <w:t>2</w:t>
      </w:r>
      <w:r w:rsidRPr="00EE29A6">
        <w:rPr>
          <w:rStyle w:val="CETCaptionCarattere"/>
          <w:i/>
        </w:rPr>
        <w:fldChar w:fldCharType="end"/>
      </w:r>
      <w:bookmarkEnd w:id="3"/>
      <w:r w:rsidR="005340C7" w:rsidRPr="00EE29A6">
        <w:rPr>
          <w:rStyle w:val="CETCaptionCarattere"/>
          <w:i/>
        </w:rPr>
        <w:t>:</w:t>
      </w:r>
      <w:r w:rsidRPr="00EE29A6">
        <w:rPr>
          <w:rStyle w:val="CETCaptionCarattere"/>
          <w:i/>
        </w:rPr>
        <w:t xml:space="preserve"> </w:t>
      </w:r>
      <w:r w:rsidR="00080435" w:rsidRPr="00EE29A6">
        <w:rPr>
          <w:rStyle w:val="CETCaptionCarattere"/>
          <w:i/>
        </w:rPr>
        <w:t xml:space="preserve">a. </w:t>
      </w:r>
      <w:r w:rsidRPr="00EE29A6">
        <w:rPr>
          <w:rStyle w:val="CETCaptionCarattere"/>
          <w:i/>
        </w:rPr>
        <w:t>Schematic representation of the computational domain including the lines of the body of</w:t>
      </w:r>
      <w:r w:rsidRPr="00EE29A6">
        <w:rPr>
          <w:rStyle w:val="CETCaptionCarattere"/>
        </w:rPr>
        <w:t xml:space="preserve"> influence method for mesh</w:t>
      </w:r>
      <w:r w:rsidR="00080435" w:rsidRPr="00EE29A6">
        <w:rPr>
          <w:rStyle w:val="CETCaptionCarattere"/>
        </w:rPr>
        <w:t>; b. Mesh details focus on the steam curtain</w:t>
      </w:r>
      <w:r w:rsidR="003427DB" w:rsidRPr="00EE29A6">
        <w:rPr>
          <w:rStyle w:val="CETCaptionCarattere"/>
        </w:rPr>
        <w:t>.</w:t>
      </w:r>
    </w:p>
    <w:p w14:paraId="016C9CF8" w14:textId="4E2595AD" w:rsidR="00293851" w:rsidRPr="00EE29A6" w:rsidRDefault="00EB2604" w:rsidP="00C85706">
      <w:pPr>
        <w:pStyle w:val="CETHeading1"/>
        <w:tabs>
          <w:tab w:val="num" w:pos="360"/>
        </w:tabs>
        <w:rPr>
          <w:lang w:val="en-GB"/>
        </w:rPr>
      </w:pPr>
      <w:r>
        <w:rPr>
          <w:lang w:val="en-GB"/>
        </w:rPr>
        <w:lastRenderedPageBreak/>
        <w:t>R</w:t>
      </w:r>
      <w:r w:rsidR="00EE29A6" w:rsidRPr="00EE29A6">
        <w:rPr>
          <w:lang w:val="en-GB"/>
        </w:rPr>
        <w:t>esults</w:t>
      </w:r>
    </w:p>
    <w:p w14:paraId="7A47A19A" w14:textId="76A90B4E" w:rsidR="00293851" w:rsidRPr="00EE29A6" w:rsidRDefault="00293851" w:rsidP="00904E7F">
      <w:pPr>
        <w:pStyle w:val="CETCaption"/>
        <w:spacing w:before="0" w:after="0"/>
        <w:rPr>
          <w:rFonts w:cs="Arial"/>
          <w:i w:val="0"/>
          <w:szCs w:val="18"/>
        </w:rPr>
      </w:pPr>
      <w:r w:rsidRPr="00EE29A6">
        <w:rPr>
          <w:rFonts w:cs="Arial"/>
          <w:i w:val="0"/>
          <w:szCs w:val="18"/>
        </w:rPr>
        <w:t>Through Fluent simulations, methane jets can be visualised by creating surfaces defined by a specific methane concentration, in this work assumed as the LFL or the half</w:t>
      </w:r>
      <w:r w:rsidR="00EE29A6" w:rsidRPr="00EE29A6">
        <w:rPr>
          <w:rFonts w:cs="Arial"/>
          <w:i w:val="0"/>
          <w:szCs w:val="18"/>
        </w:rPr>
        <w:t xml:space="preserve"> of the</w:t>
      </w:r>
      <w:r w:rsidRPr="00EE29A6">
        <w:rPr>
          <w:rFonts w:cs="Arial"/>
          <w:i w:val="0"/>
          <w:szCs w:val="18"/>
        </w:rPr>
        <w:t xml:space="preserve"> LFL. The assessment only concerns the extent covered along the jet trajectory</w:t>
      </w:r>
      <w:r w:rsidR="00EE29A6" w:rsidRPr="00EE29A6">
        <w:rPr>
          <w:rFonts w:cs="Arial"/>
          <w:i w:val="0"/>
          <w:szCs w:val="18"/>
        </w:rPr>
        <w:t xml:space="preserve"> (i.e.,</w:t>
      </w:r>
      <w:r w:rsidRPr="00EE29A6">
        <w:rPr>
          <w:rFonts w:cs="Arial"/>
          <w:i w:val="0"/>
          <w:szCs w:val="18"/>
        </w:rPr>
        <w:t xml:space="preserve"> </w:t>
      </w:r>
      <w:r w:rsidR="00EE29A6" w:rsidRPr="00EE29A6">
        <w:rPr>
          <w:rFonts w:cs="Arial"/>
          <w:i w:val="0"/>
          <w:szCs w:val="18"/>
        </w:rPr>
        <w:t>z</w:t>
      </w:r>
      <w:r w:rsidR="00F1555B" w:rsidRPr="00EE29A6">
        <w:rPr>
          <w:rFonts w:cs="Arial"/>
          <w:i w:val="0"/>
          <w:szCs w:val="18"/>
        </w:rPr>
        <w:t>-</w:t>
      </w:r>
      <w:r w:rsidRPr="00EE29A6">
        <w:rPr>
          <w:rFonts w:cs="Arial"/>
          <w:i w:val="0"/>
          <w:szCs w:val="18"/>
        </w:rPr>
        <w:t>axis</w:t>
      </w:r>
      <w:r w:rsidR="00EE29A6" w:rsidRPr="00EE29A6">
        <w:rPr>
          <w:rFonts w:cs="Arial"/>
          <w:i w:val="0"/>
          <w:szCs w:val="18"/>
        </w:rPr>
        <w:t>)</w:t>
      </w:r>
      <w:r w:rsidRPr="00EE29A6">
        <w:rPr>
          <w:rFonts w:cs="Arial"/>
          <w:i w:val="0"/>
          <w:szCs w:val="18"/>
        </w:rPr>
        <w:t xml:space="preserve"> as this is the dimension that is intended to be mitigated. An illustration of this can be seen in Figure </w:t>
      </w:r>
      <w:r w:rsidR="00F1555B" w:rsidRPr="00EE29A6">
        <w:rPr>
          <w:rFonts w:cs="Arial"/>
          <w:i w:val="0"/>
          <w:szCs w:val="18"/>
        </w:rPr>
        <w:t>3</w:t>
      </w:r>
      <w:r w:rsidRPr="00EE29A6">
        <w:rPr>
          <w:rFonts w:cs="Arial"/>
          <w:i w:val="0"/>
          <w:szCs w:val="18"/>
        </w:rPr>
        <w:t xml:space="preserve">. This enables the measurement of the distance travelled by the </w:t>
      </w:r>
      <w:r w:rsidR="00EE29A6" w:rsidRPr="00EE29A6">
        <w:rPr>
          <w:rFonts w:cs="Arial"/>
          <w:i w:val="0"/>
          <w:szCs w:val="18"/>
        </w:rPr>
        <w:t>chosen iso-concentration</w:t>
      </w:r>
      <w:r w:rsidRPr="00EE29A6">
        <w:rPr>
          <w:rFonts w:cs="Arial"/>
          <w:i w:val="0"/>
          <w:szCs w:val="18"/>
        </w:rPr>
        <w:t xml:space="preserve"> surface, providing a clear representation and the establishment of a range within which the steam curtain could be positioned. The results are here reported as a ratio between the maximum extension of the methane jet in the presence of the steam curtain (</w:t>
      </w:r>
      <m:oMath>
        <m:sSub>
          <m:sSubPr>
            <m:ctrlPr>
              <w:rPr>
                <w:rFonts w:ascii="Cambria Math" w:hAnsi="Cambria Math" w:cs="Arial"/>
                <w:i w:val="0"/>
                <w:szCs w:val="18"/>
              </w:rPr>
            </m:ctrlPr>
          </m:sSubPr>
          <m:e>
            <m:r>
              <w:rPr>
                <w:rFonts w:ascii="Cambria Math" w:hAnsi="Cambria Math" w:cs="Arial"/>
                <w:szCs w:val="18"/>
              </w:rPr>
              <m:t>ME</m:t>
            </m:r>
          </m:e>
          <m:sub>
            <m:r>
              <w:rPr>
                <w:rFonts w:ascii="Cambria Math" w:hAnsi="Cambria Math" w:cs="Arial"/>
                <w:szCs w:val="18"/>
              </w:rPr>
              <m:t>SC</m:t>
            </m:r>
          </m:sub>
        </m:sSub>
      </m:oMath>
      <w:r w:rsidRPr="00EE29A6">
        <w:rPr>
          <w:rFonts w:cs="Arial"/>
          <w:i w:val="0"/>
          <w:szCs w:val="18"/>
        </w:rPr>
        <w:t>) and the one without considering the implementation of the device as a methane free jet (</w:t>
      </w:r>
      <m:oMath>
        <m:sSub>
          <m:sSubPr>
            <m:ctrlPr>
              <w:rPr>
                <w:rFonts w:ascii="Cambria Math" w:hAnsi="Cambria Math" w:cs="Arial"/>
                <w:i w:val="0"/>
                <w:szCs w:val="18"/>
              </w:rPr>
            </m:ctrlPr>
          </m:sSubPr>
          <m:e>
            <m:r>
              <w:rPr>
                <w:rFonts w:ascii="Cambria Math" w:hAnsi="Cambria Math" w:cs="Arial"/>
                <w:szCs w:val="18"/>
              </w:rPr>
              <m:t>ME</m:t>
            </m:r>
          </m:e>
          <m:sub>
            <m:r>
              <w:rPr>
                <w:rFonts w:ascii="Cambria Math" w:hAnsi="Cambria Math" w:cs="Arial"/>
                <w:szCs w:val="18"/>
              </w:rPr>
              <m:t>FJ</m:t>
            </m:r>
          </m:sub>
        </m:sSub>
      </m:oMath>
      <w:r w:rsidRPr="00EE29A6">
        <w:rPr>
          <w:rFonts w:cs="Arial"/>
          <w:i w:val="0"/>
          <w:szCs w:val="18"/>
        </w:rPr>
        <w:t xml:space="preserve">), so as </w:t>
      </w:r>
      <m:oMath>
        <m:f>
          <m:fPr>
            <m:ctrlPr>
              <w:rPr>
                <w:rFonts w:ascii="Cambria Math" w:hAnsi="Cambria Math" w:cs="Arial"/>
                <w:i w:val="0"/>
                <w:szCs w:val="18"/>
              </w:rPr>
            </m:ctrlPr>
          </m:fPr>
          <m:num>
            <m:sSub>
              <m:sSubPr>
                <m:ctrlPr>
                  <w:rPr>
                    <w:rFonts w:ascii="Cambria Math" w:hAnsi="Cambria Math" w:cs="Arial"/>
                    <w:i w:val="0"/>
                    <w:szCs w:val="18"/>
                  </w:rPr>
                </m:ctrlPr>
              </m:sSubPr>
              <m:e>
                <m:r>
                  <w:rPr>
                    <w:rFonts w:ascii="Cambria Math" w:hAnsi="Cambria Math" w:cs="Arial"/>
                    <w:szCs w:val="18"/>
                  </w:rPr>
                  <m:t>ME</m:t>
                </m:r>
              </m:e>
              <m:sub>
                <m:r>
                  <w:rPr>
                    <w:rFonts w:ascii="Cambria Math" w:hAnsi="Cambria Math" w:cs="Arial"/>
                    <w:szCs w:val="18"/>
                  </w:rPr>
                  <m:t>SC</m:t>
                </m:r>
              </m:sub>
            </m:sSub>
          </m:num>
          <m:den>
            <m:sSub>
              <m:sSubPr>
                <m:ctrlPr>
                  <w:rPr>
                    <w:rFonts w:ascii="Cambria Math" w:hAnsi="Cambria Math" w:cs="Arial"/>
                    <w:i w:val="0"/>
                    <w:szCs w:val="18"/>
                  </w:rPr>
                </m:ctrlPr>
              </m:sSubPr>
              <m:e>
                <m:r>
                  <w:rPr>
                    <w:rFonts w:ascii="Cambria Math" w:hAnsi="Cambria Math" w:cs="Arial"/>
                    <w:szCs w:val="18"/>
                  </w:rPr>
                  <m:t>ME</m:t>
                </m:r>
              </m:e>
              <m:sub>
                <m:r>
                  <w:rPr>
                    <w:rFonts w:ascii="Cambria Math" w:hAnsi="Cambria Math" w:cs="Arial"/>
                    <w:szCs w:val="18"/>
                  </w:rPr>
                  <m:t>FJ</m:t>
                </m:r>
              </m:sub>
            </m:sSub>
          </m:den>
        </m:f>
      </m:oMath>
      <w:r w:rsidRPr="00EE29A6">
        <w:rPr>
          <w:rFonts w:cs="Arial"/>
          <w:i w:val="0"/>
          <w:szCs w:val="18"/>
        </w:rPr>
        <w:t xml:space="preserve">. </w:t>
      </w:r>
      <w:r w:rsidR="00F1555B" w:rsidRPr="00EE29A6">
        <w:rPr>
          <w:rFonts w:cs="Arial"/>
          <w:i w:val="0"/>
          <w:szCs w:val="18"/>
        </w:rPr>
        <w:t>I</w:t>
      </w:r>
      <w:r w:rsidRPr="00EE29A6">
        <w:rPr>
          <w:rFonts w:cs="Arial"/>
          <w:i w:val="0"/>
          <w:szCs w:val="18"/>
        </w:rPr>
        <w:t>t is crucial to consider this measure with the placement of the vapour barrier. Since it is placed at different distances from the methane inlet, the optimal range of effectiveness varies depending on the individual scenario assessed</w:t>
      </w:r>
      <w:r w:rsidR="00181FC3" w:rsidRPr="00EE29A6">
        <w:rPr>
          <w:rFonts w:cs="Arial"/>
          <w:i w:val="0"/>
          <w:szCs w:val="18"/>
        </w:rPr>
        <w:t>.</w:t>
      </w:r>
    </w:p>
    <w:p w14:paraId="290F829D" w14:textId="354C93F4" w:rsidR="00293851" w:rsidRPr="00EE29A6" w:rsidRDefault="00EE29A6" w:rsidP="00904E7F">
      <w:pPr>
        <w:pStyle w:val="CETCaption"/>
        <w:spacing w:before="0" w:after="0"/>
        <w:rPr>
          <w:rFonts w:cs="Arial"/>
          <w:i w:val="0"/>
          <w:szCs w:val="18"/>
        </w:rPr>
      </w:pPr>
      <w:r w:rsidRPr="00EE29A6">
        <w:rPr>
          <w:rFonts w:cs="Arial"/>
          <w:i w:val="0"/>
          <w:szCs w:val="18"/>
        </w:rPr>
        <w:t xml:space="preserve">Once a baseline was established, the following simulations, focused on examining the outcomes of various interactions with the steam barrier, were performed. The exploration began by modifying its position and steam pressure to discern which factor has the greatest influence. </w:t>
      </w:r>
      <w:r w:rsidR="00293851" w:rsidRPr="00EE29A6">
        <w:rPr>
          <w:rFonts w:cs="Arial"/>
          <w:i w:val="0"/>
          <w:szCs w:val="18"/>
        </w:rPr>
        <w:t xml:space="preserve">The vapour pressures under consideration were sourced from BASF®, namely 4 and 15 </w:t>
      </w:r>
      <w:proofErr w:type="spellStart"/>
      <w:r w:rsidR="00293851" w:rsidRPr="00EE29A6">
        <w:rPr>
          <w:rFonts w:cs="Arial"/>
          <w:i w:val="0"/>
          <w:szCs w:val="18"/>
        </w:rPr>
        <w:t>bar</w:t>
      </w:r>
      <w:r w:rsidR="00F1555B" w:rsidRPr="00EE29A6">
        <w:rPr>
          <w:rFonts w:cs="Arial"/>
          <w:i w:val="0"/>
          <w:szCs w:val="18"/>
        </w:rPr>
        <w:t>g</w:t>
      </w:r>
      <w:proofErr w:type="spellEnd"/>
      <w:r w:rsidR="00F1555B" w:rsidRPr="00EE29A6">
        <w:rPr>
          <w:rFonts w:cs="Arial"/>
          <w:i w:val="0"/>
          <w:szCs w:val="18"/>
        </w:rPr>
        <w:t>. T</w:t>
      </w:r>
      <w:r w:rsidR="00293851" w:rsidRPr="00EE29A6">
        <w:rPr>
          <w:rFonts w:cs="Arial"/>
          <w:i w:val="0"/>
          <w:szCs w:val="18"/>
        </w:rPr>
        <w:t>he placement of the steam curtain was directly linked to the maximum distance covered by the methane jet: options included positioning it at 25%, 50%, or 75% of the maximum distance travelled by the Lower Flammability Limit (LFL)</w:t>
      </w:r>
      <w:r w:rsidR="00181FC3" w:rsidRPr="00EE29A6">
        <w:rPr>
          <w:rFonts w:cs="Arial"/>
          <w:i w:val="0"/>
          <w:szCs w:val="18"/>
        </w:rPr>
        <w:t xml:space="preserve"> or the half-LFL</w:t>
      </w:r>
      <w:r w:rsidR="00293851" w:rsidRPr="00EE29A6">
        <w:rPr>
          <w:rFonts w:cs="Arial"/>
          <w:i w:val="0"/>
          <w:szCs w:val="18"/>
        </w:rPr>
        <w:t xml:space="preserve"> from the methane outlet. </w:t>
      </w:r>
    </w:p>
    <w:p w14:paraId="5273A70E" w14:textId="15C8B907" w:rsidR="00904E7F" w:rsidRPr="00EE29A6" w:rsidRDefault="00904E7F" w:rsidP="003D729D">
      <w:pPr>
        <w:pStyle w:val="CETCaption"/>
        <w:spacing w:before="0" w:after="0"/>
        <w:rPr>
          <w:rFonts w:cs="Arial"/>
          <w:i w:val="0"/>
          <w:szCs w:val="18"/>
        </w:rPr>
      </w:pPr>
    </w:p>
    <w:tbl>
      <w:tblPr>
        <w:tblStyle w:val="Grigliatabella"/>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3101"/>
        <w:gridCol w:w="3096"/>
      </w:tblGrid>
      <w:tr w:rsidR="005A1B5A" w:rsidRPr="00EE29A6" w14:paraId="6DAE1E16" w14:textId="77777777" w:rsidTr="005A1B5A">
        <w:trPr>
          <w:trHeight w:val="1856"/>
        </w:trPr>
        <w:tc>
          <w:tcPr>
            <w:tcW w:w="2924" w:type="dxa"/>
          </w:tcPr>
          <w:p w14:paraId="4BE81714" w14:textId="5E824CAE" w:rsidR="00017F68" w:rsidRPr="00EE29A6" w:rsidRDefault="005A1B5A" w:rsidP="003D729D">
            <w:pPr>
              <w:pStyle w:val="CETCaption"/>
              <w:spacing w:before="0" w:after="0"/>
              <w:rPr>
                <w:rFonts w:cs="Arial"/>
                <w:i w:val="0"/>
                <w:szCs w:val="18"/>
              </w:rPr>
            </w:pPr>
            <w:r w:rsidRPr="00EE29A6">
              <w:rPr>
                <w:rFonts w:cs="Arial"/>
                <w:i w:val="0"/>
                <w:noProof/>
                <w:szCs w:val="18"/>
              </w:rPr>
              <w:drawing>
                <wp:inline distT="0" distB="0" distL="0" distR="0" wp14:anchorId="7E2A3118" wp14:editId="309EE8C8">
                  <wp:extent cx="1649506" cy="988915"/>
                  <wp:effectExtent l="0" t="0" r="8255" b="1905"/>
                  <wp:docPr id="181398059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9506" cy="988915"/>
                          </a:xfrm>
                          <a:prstGeom prst="rect">
                            <a:avLst/>
                          </a:prstGeom>
                          <a:noFill/>
                          <a:ln>
                            <a:noFill/>
                          </a:ln>
                        </pic:spPr>
                      </pic:pic>
                    </a:graphicData>
                  </a:graphic>
                </wp:inline>
              </w:drawing>
            </w:r>
          </w:p>
        </w:tc>
        <w:tc>
          <w:tcPr>
            <w:tcW w:w="3101" w:type="dxa"/>
          </w:tcPr>
          <w:p w14:paraId="21CA34C8" w14:textId="66C6CC26" w:rsidR="00017F68" w:rsidRPr="00EE29A6" w:rsidRDefault="005A1B5A" w:rsidP="003D729D">
            <w:pPr>
              <w:pStyle w:val="CETCaption"/>
              <w:spacing w:before="0" w:after="0"/>
              <w:rPr>
                <w:rFonts w:cs="Arial"/>
                <w:i w:val="0"/>
                <w:szCs w:val="18"/>
              </w:rPr>
            </w:pPr>
            <w:r w:rsidRPr="00EE29A6">
              <w:rPr>
                <w:rFonts w:cs="Arial"/>
                <w:i w:val="0"/>
                <w:noProof/>
                <w:szCs w:val="18"/>
              </w:rPr>
              <w:drawing>
                <wp:inline distT="0" distB="0" distL="0" distR="0" wp14:anchorId="7EE54088" wp14:editId="63545C82">
                  <wp:extent cx="1752600" cy="986087"/>
                  <wp:effectExtent l="0" t="0" r="0" b="5080"/>
                  <wp:docPr id="6227706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986087"/>
                          </a:xfrm>
                          <a:prstGeom prst="rect">
                            <a:avLst/>
                          </a:prstGeom>
                          <a:noFill/>
                          <a:ln>
                            <a:noFill/>
                          </a:ln>
                        </pic:spPr>
                      </pic:pic>
                    </a:graphicData>
                  </a:graphic>
                </wp:inline>
              </w:drawing>
            </w:r>
          </w:p>
        </w:tc>
        <w:tc>
          <w:tcPr>
            <w:tcW w:w="3096" w:type="dxa"/>
          </w:tcPr>
          <w:p w14:paraId="6557A051" w14:textId="447C024A" w:rsidR="00017F68" w:rsidRPr="00EE29A6" w:rsidRDefault="005A1B5A" w:rsidP="003D729D">
            <w:pPr>
              <w:pStyle w:val="CETCaption"/>
              <w:spacing w:before="0" w:after="0"/>
              <w:rPr>
                <w:rFonts w:cs="Arial"/>
                <w:i w:val="0"/>
                <w:szCs w:val="18"/>
              </w:rPr>
            </w:pPr>
            <w:r w:rsidRPr="00EE29A6">
              <w:rPr>
                <w:rFonts w:cs="Arial"/>
                <w:i w:val="0"/>
                <w:noProof/>
                <w:szCs w:val="18"/>
              </w:rPr>
              <w:drawing>
                <wp:inline distT="0" distB="0" distL="0" distR="0" wp14:anchorId="690DE39F" wp14:editId="2BD3B801">
                  <wp:extent cx="1748054" cy="985520"/>
                  <wp:effectExtent l="0" t="0" r="5080" b="5080"/>
                  <wp:docPr id="180578932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8054" cy="985520"/>
                          </a:xfrm>
                          <a:prstGeom prst="rect">
                            <a:avLst/>
                          </a:prstGeom>
                          <a:noFill/>
                          <a:ln>
                            <a:noFill/>
                          </a:ln>
                        </pic:spPr>
                      </pic:pic>
                    </a:graphicData>
                  </a:graphic>
                </wp:inline>
              </w:drawing>
            </w:r>
          </w:p>
        </w:tc>
      </w:tr>
    </w:tbl>
    <w:p w14:paraId="3D8C9961" w14:textId="1270C54C" w:rsidR="005340C7" w:rsidRPr="00EE29A6" w:rsidRDefault="005340C7" w:rsidP="005340C7">
      <w:pPr>
        <w:pStyle w:val="Didascalia"/>
        <w:rPr>
          <w:rStyle w:val="CETCaptionCarattere"/>
          <w:b w:val="0"/>
          <w:bCs w:val="0"/>
          <w:color w:val="auto"/>
        </w:rPr>
      </w:pPr>
      <w:r w:rsidRPr="00EE29A6">
        <w:rPr>
          <w:rStyle w:val="CETCaptionCarattere"/>
          <w:b w:val="0"/>
          <w:bCs w:val="0"/>
          <w:color w:val="auto"/>
        </w:rPr>
        <w:t xml:space="preserve">Figure </w:t>
      </w:r>
      <w:r w:rsidRPr="00EE29A6">
        <w:rPr>
          <w:rStyle w:val="CETCaptionCarattere"/>
          <w:b w:val="0"/>
          <w:bCs w:val="0"/>
          <w:color w:val="auto"/>
        </w:rPr>
        <w:fldChar w:fldCharType="begin"/>
      </w:r>
      <w:r w:rsidRPr="00EE29A6">
        <w:rPr>
          <w:rStyle w:val="CETCaptionCarattere"/>
          <w:b w:val="0"/>
          <w:bCs w:val="0"/>
          <w:color w:val="auto"/>
        </w:rPr>
        <w:instrText xml:space="preserve"> SEQ Figure \* ARABIC </w:instrText>
      </w:r>
      <w:r w:rsidRPr="00EE29A6">
        <w:rPr>
          <w:rStyle w:val="CETCaptionCarattere"/>
          <w:b w:val="0"/>
          <w:bCs w:val="0"/>
          <w:color w:val="auto"/>
        </w:rPr>
        <w:fldChar w:fldCharType="separate"/>
      </w:r>
      <w:r w:rsidRPr="00EE29A6">
        <w:rPr>
          <w:rStyle w:val="CETCaptionCarattere"/>
          <w:b w:val="0"/>
          <w:bCs w:val="0"/>
          <w:color w:val="auto"/>
        </w:rPr>
        <w:t>3</w:t>
      </w:r>
      <w:r w:rsidRPr="00EE29A6">
        <w:rPr>
          <w:rStyle w:val="CETCaptionCarattere"/>
          <w:b w:val="0"/>
          <w:bCs w:val="0"/>
          <w:color w:val="auto"/>
        </w:rPr>
        <w:fldChar w:fldCharType="end"/>
      </w:r>
      <w:r w:rsidRPr="00EE29A6">
        <w:rPr>
          <w:rStyle w:val="CETCaptionCarattere"/>
          <w:b w:val="0"/>
          <w:bCs w:val="0"/>
          <w:color w:val="auto"/>
        </w:rPr>
        <w:t xml:space="preserve">: Example of </w:t>
      </w:r>
      <w:r w:rsidR="00297561">
        <w:rPr>
          <w:rStyle w:val="CETCaptionCarattere"/>
          <w:b w:val="0"/>
          <w:bCs w:val="0"/>
          <w:color w:val="auto"/>
        </w:rPr>
        <w:t xml:space="preserve">the </w:t>
      </w:r>
      <w:r w:rsidRPr="00EE29A6">
        <w:rPr>
          <w:rStyle w:val="CETCaptionCarattere"/>
          <w:b w:val="0"/>
          <w:bCs w:val="0"/>
          <w:color w:val="auto"/>
        </w:rPr>
        <w:t>display results of</w:t>
      </w:r>
      <w:r w:rsidR="00297561">
        <w:rPr>
          <w:rStyle w:val="CETCaptionCarattere"/>
          <w:b w:val="0"/>
          <w:bCs w:val="0"/>
          <w:color w:val="auto"/>
        </w:rPr>
        <w:t xml:space="preserve"> the </w:t>
      </w:r>
      <w:proofErr w:type="spellStart"/>
      <w:r w:rsidR="00297561">
        <w:rPr>
          <w:rStyle w:val="CETCaptionCarattere"/>
          <w:b w:val="0"/>
          <w:bCs w:val="0"/>
          <w:color w:val="auto"/>
        </w:rPr>
        <w:t>isosurface</w:t>
      </w:r>
      <w:proofErr w:type="spellEnd"/>
      <w:r w:rsidR="00297561">
        <w:rPr>
          <w:rStyle w:val="CETCaptionCarattere"/>
          <w:b w:val="0"/>
          <w:bCs w:val="0"/>
          <w:color w:val="auto"/>
        </w:rPr>
        <w:t xml:space="preserve"> of the</w:t>
      </w:r>
      <w:r w:rsidRPr="00EE29A6">
        <w:rPr>
          <w:rStyle w:val="CETCaptionCarattere"/>
          <w:b w:val="0"/>
          <w:bCs w:val="0"/>
          <w:color w:val="auto"/>
        </w:rPr>
        <w:t xml:space="preserve"> methane jet </w:t>
      </w:r>
      <w:r w:rsidR="00297561">
        <w:rPr>
          <w:rStyle w:val="CETCaptionCarattere"/>
          <w:b w:val="0"/>
          <w:bCs w:val="0"/>
          <w:color w:val="auto"/>
        </w:rPr>
        <w:t xml:space="preserve">considering a </w:t>
      </w:r>
      <w:r w:rsidRPr="00EE29A6">
        <w:rPr>
          <w:rStyle w:val="CETCaptionCarattere"/>
          <w:b w:val="0"/>
          <w:bCs w:val="0"/>
          <w:color w:val="auto"/>
        </w:rPr>
        <w:t xml:space="preserve">10 mm diameter </w:t>
      </w:r>
      <w:r w:rsidR="00297561">
        <w:rPr>
          <w:rStyle w:val="CETCaptionCarattere"/>
          <w:b w:val="0"/>
          <w:bCs w:val="0"/>
          <w:color w:val="auto"/>
        </w:rPr>
        <w:t xml:space="preserve">(the horizontal jets) </w:t>
      </w:r>
      <w:r w:rsidRPr="00EE29A6">
        <w:rPr>
          <w:rStyle w:val="CETCaptionCarattere"/>
          <w:b w:val="0"/>
          <w:bCs w:val="0"/>
          <w:color w:val="auto"/>
        </w:rPr>
        <w:t xml:space="preserve">with </w:t>
      </w:r>
      <w:r w:rsidR="00297561">
        <w:rPr>
          <w:rStyle w:val="CETCaptionCarattere"/>
          <w:b w:val="0"/>
          <w:bCs w:val="0"/>
          <w:color w:val="auto"/>
        </w:rPr>
        <w:t xml:space="preserve">the </w:t>
      </w:r>
      <w:proofErr w:type="spellStart"/>
      <w:r w:rsidR="00297561">
        <w:rPr>
          <w:rStyle w:val="CETCaptionCarattere"/>
          <w:b w:val="0"/>
          <w:bCs w:val="0"/>
          <w:color w:val="auto"/>
        </w:rPr>
        <w:t>isosurface</w:t>
      </w:r>
      <w:proofErr w:type="spellEnd"/>
      <w:r w:rsidR="00297561">
        <w:rPr>
          <w:rStyle w:val="CETCaptionCarattere"/>
          <w:b w:val="0"/>
          <w:bCs w:val="0"/>
          <w:color w:val="auto"/>
        </w:rPr>
        <w:t xml:space="preserve"> of a</w:t>
      </w:r>
      <w:r w:rsidRPr="00EE29A6">
        <w:rPr>
          <w:rStyle w:val="CETCaptionCarattere"/>
          <w:b w:val="0"/>
          <w:bCs w:val="0"/>
          <w:color w:val="auto"/>
        </w:rPr>
        <w:t xml:space="preserve"> 15 </w:t>
      </w:r>
      <w:proofErr w:type="spellStart"/>
      <w:r w:rsidRPr="00EE29A6">
        <w:rPr>
          <w:rStyle w:val="CETCaptionCarattere"/>
          <w:b w:val="0"/>
          <w:bCs w:val="0"/>
          <w:color w:val="auto"/>
        </w:rPr>
        <w:t>barg</w:t>
      </w:r>
      <w:proofErr w:type="spellEnd"/>
      <w:r w:rsidR="00A56B0C">
        <w:rPr>
          <w:rStyle w:val="CETCaptionCarattere"/>
          <w:b w:val="0"/>
          <w:bCs w:val="0"/>
          <w:color w:val="auto"/>
        </w:rPr>
        <w:t xml:space="preserve"> </w:t>
      </w:r>
      <w:r w:rsidRPr="00EE29A6">
        <w:rPr>
          <w:rStyle w:val="CETCaptionCarattere"/>
          <w:b w:val="0"/>
          <w:bCs w:val="0"/>
          <w:color w:val="auto"/>
        </w:rPr>
        <w:t xml:space="preserve">steam curtain </w:t>
      </w:r>
      <w:r w:rsidR="00297561">
        <w:rPr>
          <w:rStyle w:val="CETCaptionCarattere"/>
          <w:b w:val="0"/>
          <w:bCs w:val="0"/>
          <w:color w:val="auto"/>
        </w:rPr>
        <w:t xml:space="preserve">(the vertical </w:t>
      </w:r>
      <w:r w:rsidR="00297561">
        <w:rPr>
          <w:rStyle w:val="CETCaptionCarattere"/>
          <w:b w:val="0"/>
          <w:bCs w:val="0"/>
          <w:color w:val="auto"/>
        </w:rPr>
        <w:t>jets</w:t>
      </w:r>
      <w:r w:rsidR="00297561">
        <w:rPr>
          <w:rStyle w:val="CETCaptionCarattere"/>
          <w:b w:val="0"/>
          <w:bCs w:val="0"/>
          <w:color w:val="auto"/>
        </w:rPr>
        <w:t>)</w:t>
      </w:r>
      <w:r w:rsidR="00297561">
        <w:rPr>
          <w:rStyle w:val="CETCaptionCarattere"/>
          <w:b w:val="0"/>
          <w:bCs w:val="0"/>
          <w:color w:val="auto"/>
        </w:rPr>
        <w:t xml:space="preserve"> </w:t>
      </w:r>
      <w:r w:rsidRPr="00EE29A6">
        <w:rPr>
          <w:rStyle w:val="CETCaptionCarattere"/>
          <w:b w:val="0"/>
          <w:bCs w:val="0"/>
          <w:color w:val="auto"/>
        </w:rPr>
        <w:t xml:space="preserve">placed at different positions: from the left, 25% </w:t>
      </w:r>
      <m:oMath>
        <m:sSub>
          <m:sSubPr>
            <m:ctrlPr>
              <w:rPr>
                <w:rStyle w:val="CETCaptionCarattere"/>
                <w:rFonts w:ascii="Cambria Math" w:hAnsi="Cambria Math"/>
                <w:b w:val="0"/>
                <w:bCs w:val="0"/>
                <w:i w:val="0"/>
                <w:iCs/>
                <w:color w:val="auto"/>
                <w:lang w:val="en-US"/>
              </w:rPr>
            </m:ctrlPr>
          </m:sSubPr>
          <m:e>
            <m:r>
              <m:rPr>
                <m:sty m:val="bi"/>
              </m:rPr>
              <w:rPr>
                <w:rStyle w:val="CETCaptionCarattere"/>
                <w:rFonts w:ascii="Cambria Math" w:hAnsi="Cambria Math"/>
                <w:color w:val="auto"/>
              </w:rPr>
              <m:t>ME</m:t>
            </m:r>
          </m:e>
          <m:sub>
            <m:r>
              <m:rPr>
                <m:sty m:val="b"/>
              </m:rPr>
              <w:rPr>
                <w:rStyle w:val="CETCaptionCarattere"/>
                <w:rFonts w:ascii="Cambria Math" w:hAnsi="Cambria Math"/>
                <w:color w:val="auto"/>
                <w:lang w:val="en-US"/>
              </w:rPr>
              <m:t>F</m:t>
            </m:r>
            <m:r>
              <m:rPr>
                <m:sty m:val="bi"/>
              </m:rPr>
              <w:rPr>
                <w:rStyle w:val="CETCaptionCarattere"/>
                <w:rFonts w:ascii="Cambria Math" w:hAnsi="Cambria Math"/>
                <w:color w:val="auto"/>
              </w:rPr>
              <m:t>J</m:t>
            </m:r>
          </m:sub>
        </m:sSub>
      </m:oMath>
      <w:r w:rsidRPr="00EE29A6">
        <w:rPr>
          <w:rStyle w:val="CETCaptionCarattere"/>
          <w:b w:val="0"/>
          <w:bCs w:val="0"/>
          <w:iCs/>
          <w:color w:val="auto"/>
        </w:rPr>
        <w:t xml:space="preserve">, 50% </w:t>
      </w:r>
      <m:oMath>
        <m:sSub>
          <m:sSubPr>
            <m:ctrlPr>
              <w:rPr>
                <w:rStyle w:val="CETCaptionCarattere"/>
                <w:rFonts w:ascii="Cambria Math" w:hAnsi="Cambria Math"/>
                <w:b w:val="0"/>
                <w:bCs w:val="0"/>
                <w:i w:val="0"/>
                <w:iCs/>
                <w:color w:val="auto"/>
                <w:lang w:val="en-US"/>
              </w:rPr>
            </m:ctrlPr>
          </m:sSubPr>
          <m:e>
            <m:r>
              <m:rPr>
                <m:sty m:val="bi"/>
              </m:rPr>
              <w:rPr>
                <w:rStyle w:val="CETCaptionCarattere"/>
                <w:rFonts w:ascii="Cambria Math" w:hAnsi="Cambria Math"/>
                <w:color w:val="auto"/>
              </w:rPr>
              <m:t>ME</m:t>
            </m:r>
          </m:e>
          <m:sub>
            <m:r>
              <m:rPr>
                <m:sty m:val="b"/>
              </m:rPr>
              <w:rPr>
                <w:rStyle w:val="CETCaptionCarattere"/>
                <w:rFonts w:ascii="Cambria Math" w:hAnsi="Cambria Math"/>
                <w:color w:val="auto"/>
              </w:rPr>
              <m:t>F</m:t>
            </m:r>
            <m:r>
              <m:rPr>
                <m:sty m:val="bi"/>
              </m:rPr>
              <w:rPr>
                <w:rStyle w:val="CETCaptionCarattere"/>
                <w:rFonts w:ascii="Cambria Math" w:hAnsi="Cambria Math"/>
                <w:color w:val="auto"/>
              </w:rPr>
              <m:t>J</m:t>
            </m:r>
          </m:sub>
        </m:sSub>
      </m:oMath>
      <w:r w:rsidRPr="00EE29A6">
        <w:rPr>
          <w:rStyle w:val="CETCaptionCarattere"/>
          <w:b w:val="0"/>
          <w:bCs w:val="0"/>
          <w:iCs/>
          <w:color w:val="auto"/>
        </w:rPr>
        <w:t xml:space="preserve">, 75% </w:t>
      </w:r>
      <m:oMath>
        <m:sSub>
          <m:sSubPr>
            <m:ctrlPr>
              <w:rPr>
                <w:rStyle w:val="CETCaptionCarattere"/>
                <w:rFonts w:ascii="Cambria Math" w:hAnsi="Cambria Math"/>
                <w:b w:val="0"/>
                <w:bCs w:val="0"/>
                <w:i w:val="0"/>
                <w:iCs/>
                <w:color w:val="auto"/>
                <w:lang w:val="en-US"/>
              </w:rPr>
            </m:ctrlPr>
          </m:sSubPr>
          <m:e>
            <m:r>
              <m:rPr>
                <m:sty m:val="bi"/>
              </m:rPr>
              <w:rPr>
                <w:rStyle w:val="CETCaptionCarattere"/>
                <w:rFonts w:ascii="Cambria Math" w:hAnsi="Cambria Math"/>
                <w:color w:val="auto"/>
              </w:rPr>
              <m:t>ME</m:t>
            </m:r>
          </m:e>
          <m:sub>
            <m:r>
              <m:rPr>
                <m:sty m:val="b"/>
              </m:rPr>
              <w:rPr>
                <w:rStyle w:val="CETCaptionCarattere"/>
                <w:rFonts w:ascii="Cambria Math" w:hAnsi="Cambria Math"/>
                <w:color w:val="auto"/>
              </w:rPr>
              <m:t>F</m:t>
            </m:r>
            <m:r>
              <m:rPr>
                <m:sty m:val="bi"/>
              </m:rPr>
              <w:rPr>
                <w:rStyle w:val="CETCaptionCarattere"/>
                <w:rFonts w:ascii="Cambria Math" w:hAnsi="Cambria Math"/>
                <w:color w:val="auto"/>
              </w:rPr>
              <m:t>J</m:t>
            </m:r>
          </m:sub>
        </m:sSub>
      </m:oMath>
      <w:r w:rsidRPr="00EE29A6">
        <w:rPr>
          <w:rStyle w:val="CETCaptionCarattere"/>
          <w:b w:val="0"/>
          <w:bCs w:val="0"/>
          <w:color w:val="auto"/>
        </w:rPr>
        <w:t>.</w:t>
      </w:r>
    </w:p>
    <w:p w14:paraId="34D8DD8D" w14:textId="77777777" w:rsidR="00EE29A6" w:rsidRPr="00EE29A6" w:rsidRDefault="00EE29A6" w:rsidP="00EE29A6"/>
    <w:p w14:paraId="0F150E57" w14:textId="61EB3E5F" w:rsidR="00EE29A6" w:rsidRPr="00EE29A6" w:rsidRDefault="00EE29A6" w:rsidP="00EE29A6">
      <w:pPr>
        <w:pStyle w:val="CETCaption"/>
        <w:spacing w:before="0" w:after="0"/>
        <w:rPr>
          <w:rFonts w:cs="Arial"/>
          <w:i w:val="0"/>
          <w:szCs w:val="18"/>
        </w:rPr>
      </w:pPr>
      <w:r w:rsidRPr="00EE29A6">
        <w:rPr>
          <w:rFonts w:cs="Arial"/>
          <w:i w:val="0"/>
          <w:szCs w:val="18"/>
        </w:rPr>
        <w:t xml:space="preserve">In Figure 4, the results are summarised in graphs. To simplify the reading, two reference lines were drawn to indicate the ideal dilution result (green line) and total ineffectiveness (red line). In blue and light blue are reported the dilution results for the diameters considered in the study, so 5- and 10- </w:t>
      </w:r>
      <w:r w:rsidR="00A56B0C">
        <w:rPr>
          <w:rFonts w:cs="Arial"/>
          <w:i w:val="0"/>
          <w:szCs w:val="18"/>
        </w:rPr>
        <w:t>mm</w:t>
      </w:r>
      <w:r w:rsidRPr="00EE29A6">
        <w:rPr>
          <w:rFonts w:cs="Arial"/>
          <w:i w:val="0"/>
          <w:szCs w:val="18"/>
        </w:rPr>
        <w:t xml:space="preserve">. A value close to one indicates the reduction of the effectiveness of the steam curtain since its presence has a </w:t>
      </w:r>
      <w:r w:rsidR="00A56B0C" w:rsidRPr="00EE29A6">
        <w:rPr>
          <w:rFonts w:cs="Arial"/>
          <w:i w:val="0"/>
          <w:szCs w:val="18"/>
        </w:rPr>
        <w:t>negligible</w:t>
      </w:r>
      <w:r w:rsidRPr="00EE29A6">
        <w:rPr>
          <w:rFonts w:cs="Arial"/>
          <w:i w:val="0"/>
          <w:szCs w:val="18"/>
        </w:rPr>
        <w:t xml:space="preserve"> influence on the shortening, while the green arrow suggests the trend for an effective curtain.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4413"/>
      </w:tblGrid>
      <w:tr w:rsidR="005A1B5A" w:rsidRPr="00EE29A6" w14:paraId="1420ED27" w14:textId="77777777" w:rsidTr="005A1B5A">
        <w:tc>
          <w:tcPr>
            <w:tcW w:w="4463" w:type="dxa"/>
          </w:tcPr>
          <w:p w14:paraId="07BC7217" w14:textId="214874D3" w:rsidR="005A1B5A" w:rsidRPr="00EE29A6" w:rsidRDefault="005A1B5A" w:rsidP="00293851">
            <w:pPr>
              <w:pStyle w:val="CETCaption"/>
              <w:rPr>
                <w:rFonts w:cs="Arial"/>
                <w:i w:val="0"/>
                <w:szCs w:val="18"/>
              </w:rPr>
            </w:pPr>
            <w:r w:rsidRPr="00EE29A6">
              <w:rPr>
                <w:rFonts w:cs="Arial"/>
                <w:i w:val="0"/>
                <w:noProof/>
                <w:szCs w:val="18"/>
              </w:rPr>
              <w:drawing>
                <wp:inline distT="0" distB="0" distL="0" distR="0" wp14:anchorId="73B68AEB" wp14:editId="50E500BE">
                  <wp:extent cx="2666460" cy="1716741"/>
                  <wp:effectExtent l="0" t="0" r="635" b="0"/>
                  <wp:docPr id="1220988478" name="Immagine 2"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88478" name="Immagine 2" descr="Immagine che contiene testo, schermata, linea, diagramma&#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8267" cy="1737219"/>
                          </a:xfrm>
                          <a:prstGeom prst="rect">
                            <a:avLst/>
                          </a:prstGeom>
                          <a:noFill/>
                        </pic:spPr>
                      </pic:pic>
                    </a:graphicData>
                  </a:graphic>
                </wp:inline>
              </w:drawing>
            </w:r>
          </w:p>
        </w:tc>
        <w:tc>
          <w:tcPr>
            <w:tcW w:w="4464" w:type="dxa"/>
          </w:tcPr>
          <w:p w14:paraId="63717EF8" w14:textId="6CE47EE3" w:rsidR="005A1B5A" w:rsidRPr="00EE29A6" w:rsidRDefault="005A1B5A" w:rsidP="00293851">
            <w:pPr>
              <w:pStyle w:val="CETCaption"/>
              <w:rPr>
                <w:rFonts w:cs="Arial"/>
                <w:i w:val="0"/>
                <w:szCs w:val="18"/>
              </w:rPr>
            </w:pPr>
            <w:r w:rsidRPr="00EE29A6">
              <w:rPr>
                <w:rFonts w:cs="Arial"/>
                <w:i w:val="0"/>
                <w:noProof/>
                <w:szCs w:val="18"/>
              </w:rPr>
              <w:drawing>
                <wp:inline distT="0" distB="0" distL="0" distR="0" wp14:anchorId="14E4B265" wp14:editId="15419A85">
                  <wp:extent cx="2692722" cy="1716405"/>
                  <wp:effectExtent l="0" t="0" r="0" b="0"/>
                  <wp:docPr id="1599085535" name="Immagine 3"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85535" name="Immagine 3" descr="Immagine che contiene testo, schermata, linea, diagramma&#10;&#10;Descrizione generata automa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6917" cy="1757324"/>
                          </a:xfrm>
                          <a:prstGeom prst="rect">
                            <a:avLst/>
                          </a:prstGeom>
                          <a:noFill/>
                        </pic:spPr>
                      </pic:pic>
                    </a:graphicData>
                  </a:graphic>
                </wp:inline>
              </w:drawing>
            </w:r>
          </w:p>
        </w:tc>
      </w:tr>
    </w:tbl>
    <w:p w14:paraId="25A463E6" w14:textId="3B0FB73A" w:rsidR="00293851" w:rsidRPr="00EE29A6" w:rsidRDefault="00293851" w:rsidP="004B64EC">
      <w:pPr>
        <w:pStyle w:val="CETCaption"/>
        <w:jc w:val="left"/>
        <w:rPr>
          <w:rStyle w:val="CETCaptionCarattere"/>
          <w:i/>
        </w:rPr>
      </w:pPr>
      <w:r w:rsidRPr="00EE29A6">
        <w:rPr>
          <w:rStyle w:val="CETCaptionCarattere"/>
          <w:i/>
        </w:rPr>
        <w:t xml:space="preserve">Figure </w:t>
      </w:r>
      <w:r w:rsidRPr="00EE29A6">
        <w:rPr>
          <w:rStyle w:val="CETCaptionCarattere"/>
          <w:i/>
        </w:rPr>
        <w:fldChar w:fldCharType="begin"/>
      </w:r>
      <w:r w:rsidRPr="00EE29A6">
        <w:rPr>
          <w:rStyle w:val="CETCaptionCarattere"/>
          <w:i/>
        </w:rPr>
        <w:instrText xml:space="preserve"> SEQ Figure \* ARABIC </w:instrText>
      </w:r>
      <w:r w:rsidRPr="00EE29A6">
        <w:rPr>
          <w:rStyle w:val="CETCaptionCarattere"/>
          <w:i/>
        </w:rPr>
        <w:fldChar w:fldCharType="separate"/>
      </w:r>
      <w:r w:rsidR="005340C7" w:rsidRPr="00EE29A6">
        <w:rPr>
          <w:rStyle w:val="CETCaptionCarattere"/>
          <w:i/>
        </w:rPr>
        <w:t>4</w:t>
      </w:r>
      <w:r w:rsidRPr="00EE29A6">
        <w:rPr>
          <w:rStyle w:val="CETCaptionCarattere"/>
          <w:i/>
        </w:rPr>
        <w:fldChar w:fldCharType="end"/>
      </w:r>
      <w:r w:rsidR="00FB27B8" w:rsidRPr="00EE29A6">
        <w:rPr>
          <w:rStyle w:val="CETCaptionCarattere"/>
          <w:i/>
        </w:rPr>
        <w:t>:</w:t>
      </w:r>
      <w:r w:rsidRPr="00EE29A6">
        <w:rPr>
          <w:rStyle w:val="CETCaptionCarattere"/>
          <w:i/>
        </w:rPr>
        <w:t xml:space="preserve"> Outcomes from testing the effectiveness of a 4 </w:t>
      </w:r>
      <w:proofErr w:type="spellStart"/>
      <w:r w:rsidRPr="00EE29A6">
        <w:rPr>
          <w:rStyle w:val="CETCaptionCarattere"/>
          <w:i/>
        </w:rPr>
        <w:t>barg</w:t>
      </w:r>
      <w:proofErr w:type="spellEnd"/>
      <w:r w:rsidRPr="00EE29A6">
        <w:rPr>
          <w:rStyle w:val="CETCaptionCarattere"/>
          <w:i/>
        </w:rPr>
        <w:t xml:space="preserve"> and 15 </w:t>
      </w:r>
      <w:proofErr w:type="spellStart"/>
      <w:r w:rsidRPr="00EE29A6">
        <w:rPr>
          <w:rStyle w:val="CETCaptionCarattere"/>
          <w:i/>
        </w:rPr>
        <w:t>barg</w:t>
      </w:r>
      <w:proofErr w:type="spellEnd"/>
      <w:r w:rsidRPr="00EE29A6">
        <w:rPr>
          <w:rStyle w:val="CETCaptionCarattere"/>
          <w:i/>
        </w:rPr>
        <w:t xml:space="preserve"> steam curtain against methane jets of 5- and 10-mm diameters, while accounting for Lower Flammability Limit (LFL) concentration and adjusting the positioning.</w:t>
      </w:r>
    </w:p>
    <w:p w14:paraId="465360B4" w14:textId="6FE9E7C8" w:rsidR="00293851" w:rsidRPr="00EE29A6" w:rsidRDefault="00293851" w:rsidP="003D729D">
      <w:pPr>
        <w:pStyle w:val="CETCaption"/>
        <w:spacing w:before="0" w:after="0"/>
        <w:rPr>
          <w:rFonts w:cs="Arial"/>
          <w:i w:val="0"/>
          <w:szCs w:val="18"/>
        </w:rPr>
      </w:pPr>
      <w:r w:rsidRPr="00EE29A6">
        <w:rPr>
          <w:rFonts w:cs="Arial"/>
          <w:i w:val="0"/>
          <w:szCs w:val="18"/>
        </w:rPr>
        <w:t xml:space="preserve">The primary effect of employing this apparatus is the redirection of the jet upwards, without stopping the methane path: what could be seen is that generally, placing the steam curtain closer to the methane source reduces the length of the jet along its trajectory, but its efficacy improves as it is moved farther away from the source. As </w:t>
      </w:r>
      <w:r w:rsidRPr="00EE29A6">
        <w:rPr>
          <w:rFonts w:cs="Arial"/>
          <w:i w:val="0"/>
          <w:szCs w:val="18"/>
        </w:rPr>
        <w:lastRenderedPageBreak/>
        <w:t xml:space="preserve">observed in the graphs, the discrepancy between the position of the steam curtain and the maximum distance travelled by the jet diminishes with the increased distance from the methane release point. This phenomenon occurs because the momentum of the jet decreases exponentially with distance. </w:t>
      </w:r>
    </w:p>
    <w:p w14:paraId="07B1B9E7" w14:textId="4225C57C" w:rsidR="00293851" w:rsidRPr="00EE29A6" w:rsidRDefault="00F1555B" w:rsidP="003D729D">
      <w:pPr>
        <w:pStyle w:val="CETCaption"/>
        <w:spacing w:before="0" w:after="0"/>
        <w:rPr>
          <w:rFonts w:cs="Arial"/>
          <w:i w:val="0"/>
          <w:szCs w:val="18"/>
        </w:rPr>
      </w:pPr>
      <w:r w:rsidRPr="00EE29A6">
        <w:rPr>
          <w:rFonts w:cs="Arial"/>
          <w:i w:val="0"/>
          <w:szCs w:val="18"/>
        </w:rPr>
        <w:t>I</w:t>
      </w:r>
      <w:r w:rsidR="00293851" w:rsidRPr="00EE29A6">
        <w:rPr>
          <w:rFonts w:cs="Arial"/>
          <w:i w:val="0"/>
          <w:szCs w:val="18"/>
        </w:rPr>
        <w:t>t</w:t>
      </w:r>
      <w:r w:rsidRPr="00EE29A6">
        <w:rPr>
          <w:rFonts w:cs="Arial"/>
          <w:i w:val="0"/>
          <w:szCs w:val="18"/>
        </w:rPr>
        <w:t xml:space="preserve"> i</w:t>
      </w:r>
      <w:r w:rsidR="00293851" w:rsidRPr="00EE29A6">
        <w:rPr>
          <w:rFonts w:cs="Arial"/>
          <w:i w:val="0"/>
          <w:szCs w:val="18"/>
        </w:rPr>
        <w:t>s evident from the simulations that increasing steam pressure consistently leads to enhanced jet dilution</w:t>
      </w:r>
      <w:r w:rsidRPr="00EE29A6">
        <w:rPr>
          <w:rFonts w:cs="Arial"/>
          <w:i w:val="0"/>
          <w:szCs w:val="18"/>
        </w:rPr>
        <w:t xml:space="preserve">, but </w:t>
      </w:r>
      <w:r w:rsidR="00293851" w:rsidRPr="00EE29A6">
        <w:rPr>
          <w:rFonts w:cs="Arial"/>
          <w:i w:val="0"/>
          <w:szCs w:val="18"/>
        </w:rPr>
        <w:t xml:space="preserve">the presence of values greater than one considering the ratio  </w:t>
      </w:r>
      <m:oMath>
        <m:f>
          <m:fPr>
            <m:ctrlPr>
              <w:rPr>
                <w:rFonts w:ascii="Cambria Math" w:hAnsi="Cambria Math" w:cs="Arial"/>
                <w:i w:val="0"/>
                <w:szCs w:val="18"/>
              </w:rPr>
            </m:ctrlPr>
          </m:fPr>
          <m:num>
            <m:sSub>
              <m:sSubPr>
                <m:ctrlPr>
                  <w:rPr>
                    <w:rFonts w:ascii="Cambria Math" w:hAnsi="Cambria Math" w:cs="Arial"/>
                    <w:i w:val="0"/>
                    <w:szCs w:val="18"/>
                  </w:rPr>
                </m:ctrlPr>
              </m:sSubPr>
              <m:e>
                <m:r>
                  <w:rPr>
                    <w:rFonts w:ascii="Cambria Math" w:hAnsi="Cambria Math" w:cs="Arial"/>
                    <w:szCs w:val="18"/>
                  </w:rPr>
                  <m:t>ME</m:t>
                </m:r>
              </m:e>
              <m:sub>
                <m:r>
                  <w:rPr>
                    <w:rFonts w:ascii="Cambria Math" w:hAnsi="Cambria Math" w:cs="Arial"/>
                    <w:szCs w:val="18"/>
                  </w:rPr>
                  <m:t>SC</m:t>
                </m:r>
              </m:sub>
            </m:sSub>
          </m:num>
          <m:den>
            <m:sSub>
              <m:sSubPr>
                <m:ctrlPr>
                  <w:rPr>
                    <w:rFonts w:ascii="Cambria Math" w:hAnsi="Cambria Math" w:cs="Arial"/>
                    <w:i w:val="0"/>
                    <w:szCs w:val="18"/>
                  </w:rPr>
                </m:ctrlPr>
              </m:sSubPr>
              <m:e>
                <m:r>
                  <w:rPr>
                    <w:rFonts w:ascii="Cambria Math" w:hAnsi="Cambria Math" w:cs="Arial"/>
                    <w:szCs w:val="18"/>
                  </w:rPr>
                  <m:t>ME</m:t>
                </m:r>
              </m:e>
              <m:sub>
                <m:r>
                  <w:rPr>
                    <w:rFonts w:ascii="Cambria Math" w:hAnsi="Cambria Math" w:cs="Arial"/>
                    <w:szCs w:val="18"/>
                  </w:rPr>
                  <m:t>FJ</m:t>
                </m:r>
              </m:sub>
            </m:sSub>
          </m:den>
        </m:f>
      </m:oMath>
      <w:r w:rsidR="00293851" w:rsidRPr="00EE29A6">
        <w:rPr>
          <w:rFonts w:cs="Arial"/>
          <w:i w:val="0"/>
          <w:szCs w:val="18"/>
        </w:rPr>
        <w:t xml:space="preserve">  indicates instances where the steam curtain was ineffective or even exacerbated conditions due to inadequate pressure and flowrate for dilution. </w:t>
      </w:r>
    </w:p>
    <w:p w14:paraId="3DEE6310" w14:textId="77777777" w:rsidR="00EE29A6" w:rsidRPr="00EE29A6" w:rsidRDefault="00EE29A6" w:rsidP="00EE29A6">
      <w:pPr>
        <w:pStyle w:val="CETCaption"/>
        <w:spacing w:before="0" w:after="0"/>
        <w:rPr>
          <w:rFonts w:cs="Arial"/>
          <w:i w:val="0"/>
          <w:szCs w:val="18"/>
        </w:rPr>
      </w:pPr>
      <w:r w:rsidRPr="00EE29A6">
        <w:rPr>
          <w:rFonts w:cs="Arial"/>
          <w:i w:val="0"/>
          <w:szCs w:val="18"/>
        </w:rPr>
        <w:t xml:space="preserve">Since the half LFL cloud requires a bigger amount of steam to dilute the methane jet, for this case just the 15 </w:t>
      </w:r>
      <w:proofErr w:type="spellStart"/>
      <w:r w:rsidRPr="00EE29A6">
        <w:rPr>
          <w:rFonts w:cs="Arial"/>
          <w:i w:val="0"/>
          <w:szCs w:val="18"/>
        </w:rPr>
        <w:t>barg</w:t>
      </w:r>
      <w:proofErr w:type="spellEnd"/>
      <w:r w:rsidRPr="00EE29A6">
        <w:rPr>
          <w:rFonts w:cs="Arial"/>
          <w:i w:val="0"/>
          <w:szCs w:val="18"/>
        </w:rPr>
        <w:t xml:space="preserve"> steam curtain was considered for the results. In this case, the impact of the steam curtain appears to be more pronounced for a 10 mm methane jet compared to a 5 mm one and that lower concentrations are more susceptible to the effects of the steam curtain (Figure 5). This observation can be attributed to the decay of radial velocities within the jet. When considering concentrations below the LFL, the jet expands as the amount of entrained air increases with higher leakage, further reducing the momentum of the methane in the outer layers. </w:t>
      </w:r>
    </w:p>
    <w:p w14:paraId="48358498" w14:textId="77777777" w:rsidR="00293851" w:rsidRPr="00EE29A6" w:rsidRDefault="00293851" w:rsidP="004B64EC">
      <w:pPr>
        <w:pStyle w:val="CETCaption"/>
        <w:jc w:val="left"/>
        <w:rPr>
          <w:rFonts w:cs="Arial"/>
          <w:i w:val="0"/>
          <w:szCs w:val="18"/>
        </w:rPr>
      </w:pPr>
      <w:r w:rsidRPr="00EE29A6">
        <w:rPr>
          <w:rFonts w:cs="Arial"/>
          <w:i w:val="0"/>
          <w:noProof/>
          <w:szCs w:val="18"/>
        </w:rPr>
        <w:drawing>
          <wp:inline distT="0" distB="0" distL="0" distR="0" wp14:anchorId="04B59E0B" wp14:editId="2E792CDF">
            <wp:extent cx="2678723" cy="1699652"/>
            <wp:effectExtent l="0" t="0" r="7620" b="0"/>
            <wp:docPr id="972464707" name="Immagine 4"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64707" name="Immagine 4" descr="Immagine che contiene testo, schermata, linea, diagramma&#10;&#10;Descrizione generat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7791" cy="1711751"/>
                    </a:xfrm>
                    <a:prstGeom prst="rect">
                      <a:avLst/>
                    </a:prstGeom>
                    <a:noFill/>
                  </pic:spPr>
                </pic:pic>
              </a:graphicData>
            </a:graphic>
          </wp:inline>
        </w:drawing>
      </w:r>
    </w:p>
    <w:p w14:paraId="482CA578" w14:textId="146F6B2B" w:rsidR="00293851" w:rsidRPr="00EE29A6" w:rsidRDefault="00293851" w:rsidP="004B64EC">
      <w:pPr>
        <w:pStyle w:val="CETCaption"/>
        <w:jc w:val="left"/>
        <w:rPr>
          <w:rStyle w:val="CETCaptionCarattere"/>
          <w:i/>
        </w:rPr>
      </w:pPr>
      <w:r w:rsidRPr="00EE29A6">
        <w:rPr>
          <w:rStyle w:val="CETCaptionCarattere"/>
          <w:i/>
        </w:rPr>
        <w:t xml:space="preserve">Figure </w:t>
      </w:r>
      <w:r w:rsidRPr="00EE29A6">
        <w:rPr>
          <w:rStyle w:val="CETCaptionCarattere"/>
          <w:i/>
        </w:rPr>
        <w:fldChar w:fldCharType="begin"/>
      </w:r>
      <w:r w:rsidRPr="00EE29A6">
        <w:rPr>
          <w:rStyle w:val="CETCaptionCarattere"/>
          <w:i/>
        </w:rPr>
        <w:instrText xml:space="preserve"> SEQ Figure \* ARABIC </w:instrText>
      </w:r>
      <w:r w:rsidRPr="00EE29A6">
        <w:rPr>
          <w:rStyle w:val="CETCaptionCarattere"/>
          <w:i/>
        </w:rPr>
        <w:fldChar w:fldCharType="separate"/>
      </w:r>
      <w:r w:rsidR="005340C7" w:rsidRPr="00EE29A6">
        <w:rPr>
          <w:rStyle w:val="CETCaptionCarattere"/>
          <w:i/>
        </w:rPr>
        <w:t>5</w:t>
      </w:r>
      <w:r w:rsidRPr="00EE29A6">
        <w:rPr>
          <w:rStyle w:val="CETCaptionCarattere"/>
          <w:i/>
        </w:rPr>
        <w:fldChar w:fldCharType="end"/>
      </w:r>
      <w:r w:rsidR="00FB27B8" w:rsidRPr="00EE29A6">
        <w:rPr>
          <w:rStyle w:val="CETCaptionCarattere"/>
          <w:i/>
        </w:rPr>
        <w:t xml:space="preserve">: </w:t>
      </w:r>
      <w:r w:rsidRPr="00EE29A6">
        <w:rPr>
          <w:rStyle w:val="CETCaptionCarattere"/>
          <w:i/>
        </w:rPr>
        <w:t xml:space="preserve">Outcomes from testing the effectiveness of a 4 </w:t>
      </w:r>
      <w:proofErr w:type="spellStart"/>
      <w:r w:rsidRPr="00EE29A6">
        <w:rPr>
          <w:rStyle w:val="CETCaptionCarattere"/>
          <w:i/>
        </w:rPr>
        <w:t>barg</w:t>
      </w:r>
      <w:proofErr w:type="spellEnd"/>
      <w:r w:rsidRPr="00EE29A6">
        <w:rPr>
          <w:rStyle w:val="CETCaptionCarattere"/>
          <w:i/>
        </w:rPr>
        <w:t xml:space="preserve"> and 15 </w:t>
      </w:r>
      <w:proofErr w:type="spellStart"/>
      <w:r w:rsidRPr="00EE29A6">
        <w:rPr>
          <w:rStyle w:val="CETCaptionCarattere"/>
          <w:i/>
        </w:rPr>
        <w:t>barg</w:t>
      </w:r>
      <w:proofErr w:type="spellEnd"/>
      <w:r w:rsidRPr="00EE29A6">
        <w:rPr>
          <w:rStyle w:val="CETCaptionCarattere"/>
          <w:i/>
        </w:rPr>
        <w:t xml:space="preserve"> steam curtain against methane jets of 5- and 10-mm diameters, while accounting for half Lower Flammability Limit (half-LFL or LFL/2) concentration and adjusting the positioning.</w:t>
      </w:r>
    </w:p>
    <w:p w14:paraId="39AB46C1" w14:textId="7935625F" w:rsidR="00293851" w:rsidRPr="00EE29A6" w:rsidRDefault="00293851" w:rsidP="004B64EC">
      <w:pPr>
        <w:pStyle w:val="CETCaption"/>
        <w:spacing w:before="0" w:after="0"/>
        <w:rPr>
          <w:rFonts w:cs="Arial"/>
          <w:i w:val="0"/>
          <w:szCs w:val="18"/>
        </w:rPr>
      </w:pPr>
      <w:r w:rsidRPr="00EE29A6">
        <w:rPr>
          <w:rFonts w:cs="Arial"/>
          <w:i w:val="0"/>
          <w:szCs w:val="18"/>
        </w:rPr>
        <w:t>Since no pressure or position (except one) reached the perfect dilution of the LFL cloud at the point where the steam curtain was placed, these results clearly show the dilution ineffectiveness of the proposed sizing</w:t>
      </w:r>
      <w:r w:rsidR="00E25098" w:rsidRPr="00EE29A6">
        <w:rPr>
          <w:rFonts w:cs="Arial"/>
          <w:i w:val="0"/>
          <w:szCs w:val="18"/>
        </w:rPr>
        <w:t xml:space="preserve"> and so a</w:t>
      </w:r>
      <w:r w:rsidRPr="00EE29A6">
        <w:rPr>
          <w:rFonts w:cs="Arial"/>
          <w:i w:val="0"/>
          <w:szCs w:val="18"/>
        </w:rPr>
        <w:t>ll the previous simulations suggest the need for a new proposal for the design.</w:t>
      </w:r>
    </w:p>
    <w:p w14:paraId="7AC6348C" w14:textId="17F1827D" w:rsidR="00293851" w:rsidRPr="00EE29A6" w:rsidRDefault="00297561" w:rsidP="00C85706">
      <w:pPr>
        <w:pStyle w:val="CETHeading1"/>
        <w:tabs>
          <w:tab w:val="num" w:pos="360"/>
        </w:tabs>
        <w:rPr>
          <w:lang w:val="en-GB"/>
        </w:rPr>
      </w:pPr>
      <w:r w:rsidRPr="00EE29A6">
        <w:rPr>
          <w:lang w:val="en-GB"/>
        </w:rPr>
        <w:t>Conclusions</w:t>
      </w:r>
    </w:p>
    <w:p w14:paraId="20DAE848" w14:textId="799CD5CE" w:rsidR="00293851" w:rsidRPr="00EE29A6" w:rsidRDefault="00293851" w:rsidP="003D729D">
      <w:pPr>
        <w:pStyle w:val="CETCaption"/>
        <w:spacing w:before="0" w:after="0"/>
        <w:rPr>
          <w:rFonts w:cs="Arial"/>
          <w:i w:val="0"/>
          <w:szCs w:val="18"/>
        </w:rPr>
      </w:pPr>
      <w:r w:rsidRPr="00EE29A6">
        <w:rPr>
          <w:rFonts w:cs="Arial"/>
          <w:i w:val="0"/>
          <w:szCs w:val="18"/>
        </w:rPr>
        <w:t xml:space="preserve">This study helped to qualitatively assess the key factors influencing the effectiveness of using a steam curtain as a mitigation measure for accidental high-pressure methane releases. It identified the crucial variables influencing the effectiveness and penetration of the jet, mainly using the </w:t>
      </w:r>
      <m:oMath>
        <m:f>
          <m:fPr>
            <m:ctrlPr>
              <w:rPr>
                <w:rFonts w:ascii="Cambria Math" w:hAnsi="Cambria Math" w:cs="Arial"/>
                <w:i w:val="0"/>
                <w:szCs w:val="18"/>
              </w:rPr>
            </m:ctrlPr>
          </m:fPr>
          <m:num>
            <m:sSub>
              <m:sSubPr>
                <m:ctrlPr>
                  <w:rPr>
                    <w:rFonts w:ascii="Cambria Math" w:hAnsi="Cambria Math" w:cs="Arial"/>
                    <w:i w:val="0"/>
                    <w:szCs w:val="18"/>
                  </w:rPr>
                </m:ctrlPr>
              </m:sSubPr>
              <m:e>
                <m:r>
                  <w:rPr>
                    <w:rFonts w:ascii="Cambria Math" w:hAnsi="Cambria Math" w:cs="Arial"/>
                    <w:szCs w:val="18"/>
                  </w:rPr>
                  <m:t>ME</m:t>
                </m:r>
              </m:e>
              <m:sub>
                <m:r>
                  <w:rPr>
                    <w:rFonts w:ascii="Cambria Math" w:hAnsi="Cambria Math" w:cs="Arial"/>
                    <w:szCs w:val="18"/>
                  </w:rPr>
                  <m:t>SC</m:t>
                </m:r>
              </m:sub>
            </m:sSub>
          </m:num>
          <m:den>
            <m:sSub>
              <m:sSubPr>
                <m:ctrlPr>
                  <w:rPr>
                    <w:rFonts w:ascii="Cambria Math" w:hAnsi="Cambria Math" w:cs="Arial"/>
                    <w:i w:val="0"/>
                    <w:szCs w:val="18"/>
                  </w:rPr>
                </m:ctrlPr>
              </m:sSubPr>
              <m:e>
                <m:r>
                  <w:rPr>
                    <w:rFonts w:ascii="Cambria Math" w:hAnsi="Cambria Math" w:cs="Arial"/>
                    <w:szCs w:val="18"/>
                  </w:rPr>
                  <m:t>ME</m:t>
                </m:r>
              </m:e>
              <m:sub>
                <m:r>
                  <w:rPr>
                    <w:rFonts w:ascii="Cambria Math" w:hAnsi="Cambria Math" w:cs="Arial"/>
                    <w:szCs w:val="18"/>
                  </w:rPr>
                  <m:t>FJ</m:t>
                </m:r>
              </m:sub>
            </m:sSub>
          </m:den>
        </m:f>
      </m:oMath>
      <w:r w:rsidRPr="00EE29A6">
        <w:rPr>
          <w:rFonts w:cs="Arial"/>
          <w:i w:val="0"/>
          <w:szCs w:val="18"/>
        </w:rPr>
        <w:t xml:space="preserve">  parameter for the analysis. </w:t>
      </w:r>
    </w:p>
    <w:p w14:paraId="090DCABB" w14:textId="5298EAA0" w:rsidR="00293851" w:rsidRPr="00EE29A6" w:rsidRDefault="00293851" w:rsidP="003D729D">
      <w:pPr>
        <w:pStyle w:val="CETCaption"/>
        <w:spacing w:before="0" w:after="0"/>
        <w:rPr>
          <w:rFonts w:cs="Arial"/>
          <w:i w:val="0"/>
          <w:szCs w:val="18"/>
        </w:rPr>
      </w:pPr>
      <w:r w:rsidRPr="00EE29A6">
        <w:rPr>
          <w:rFonts w:cs="Arial"/>
          <w:i w:val="0"/>
          <w:szCs w:val="18"/>
        </w:rPr>
        <w:t xml:space="preserve">For individual horizontal methane jets with a diameter of up to 10 mm, simulations were conducted at various heights to establish this minimum, ensuring the absence of ground entrainment effects. </w:t>
      </w:r>
      <w:r w:rsidR="00E25098" w:rsidRPr="00EE29A6">
        <w:rPr>
          <w:rFonts w:cs="Arial"/>
          <w:i w:val="0"/>
          <w:szCs w:val="18"/>
        </w:rPr>
        <w:t>The e</w:t>
      </w:r>
      <w:r w:rsidRPr="00EE29A6">
        <w:rPr>
          <w:rFonts w:cs="Arial"/>
          <w:i w:val="0"/>
          <w:szCs w:val="18"/>
        </w:rPr>
        <w:t xml:space="preserve">xploration of different positions of the steam curtain along the maximum extent of the methane </w:t>
      </w:r>
      <w:r w:rsidR="00E25098" w:rsidRPr="00EE29A6">
        <w:rPr>
          <w:rFonts w:cs="Arial"/>
          <w:i w:val="0"/>
          <w:szCs w:val="18"/>
        </w:rPr>
        <w:t xml:space="preserve">cloud </w:t>
      </w:r>
      <w:r w:rsidRPr="00EE29A6">
        <w:rPr>
          <w:rFonts w:cs="Arial"/>
          <w:i w:val="0"/>
          <w:szCs w:val="18"/>
        </w:rPr>
        <w:t>revealed a greater reduction in length when the curtain was positioned closer to the methane orifice. This proximity to the curtain generally reduces the length of the jet along its axis but increases its effectiveness due to the exponential reduction in jet momentum. The position of the curtain further from the orifice gradually aligned the total distance of the methane jet with the position of the curtain.</w:t>
      </w:r>
    </w:p>
    <w:p w14:paraId="712720BA" w14:textId="77777777" w:rsidR="00293851" w:rsidRPr="00EE29A6" w:rsidRDefault="00293851" w:rsidP="003D729D">
      <w:pPr>
        <w:pStyle w:val="CETCaption"/>
        <w:spacing w:before="0" w:after="0"/>
        <w:rPr>
          <w:rFonts w:cs="Arial"/>
          <w:i w:val="0"/>
          <w:szCs w:val="18"/>
        </w:rPr>
      </w:pPr>
      <w:r w:rsidRPr="00EE29A6">
        <w:rPr>
          <w:rFonts w:cs="Arial"/>
          <w:i w:val="0"/>
          <w:szCs w:val="18"/>
        </w:rPr>
        <w:t>The comparison of the Lower Flammability Limit (LFL) and half-LFL concentrations showed a greater distance-decreasing effect as the diameter of the methane leak hole increased for the half-LFL concentrations and this phenomenon could be attributed to the momentum variations associated with the selected concentration area: with smaller concentrations, the exponential decay of radial velocity, coupled with greater air entrainment, resulted in larger methane jets possessing less momentum in the outer layers, consequently affecting a larger portion of the steam jet.</w:t>
      </w:r>
    </w:p>
    <w:p w14:paraId="75775C40" w14:textId="77777777" w:rsidR="003D729D" w:rsidRPr="00EE29A6" w:rsidRDefault="00293851" w:rsidP="0012545D">
      <w:pPr>
        <w:pStyle w:val="CETCaption"/>
        <w:spacing w:before="0" w:after="0"/>
        <w:rPr>
          <w:rFonts w:cs="Arial"/>
          <w:i w:val="0"/>
          <w:szCs w:val="18"/>
        </w:rPr>
      </w:pPr>
      <w:r w:rsidRPr="00EE29A6">
        <w:rPr>
          <w:rFonts w:cs="Arial"/>
          <w:i w:val="0"/>
          <w:szCs w:val="18"/>
        </w:rPr>
        <w:t>In addition, the different pressures of the steam curtain had a direct impact on the steam flow rate and momentum of the jet, increasing the dilution efficiency with higher pressure. Insufficient pressure, however, could induce certain positions leading to the elongation of the methane cloud.</w:t>
      </w:r>
    </w:p>
    <w:p w14:paraId="5835C716" w14:textId="540924B9" w:rsidR="0012545D" w:rsidRPr="00EE29A6" w:rsidRDefault="0012545D" w:rsidP="0012545D">
      <w:pPr>
        <w:pStyle w:val="CETAcknowledgementstitle"/>
        <w:spacing w:before="0" w:after="0"/>
        <w:jc w:val="both"/>
        <w:rPr>
          <w:rFonts w:cs="Arial"/>
          <w:b w:val="0"/>
          <w:szCs w:val="18"/>
        </w:rPr>
      </w:pPr>
      <w:r w:rsidRPr="00EE29A6">
        <w:rPr>
          <w:rFonts w:cs="Arial"/>
          <w:b w:val="0"/>
          <w:szCs w:val="18"/>
        </w:rPr>
        <w:t xml:space="preserve">Analysing the results of this study, several worthy aspects emerge for future investigation, starting with the hole spacing. To obtain a dilution flow rate adequate for the purpose (which varies depending on the positioning of </w:t>
      </w:r>
      <w:r w:rsidRPr="00EE29A6">
        <w:rPr>
          <w:rFonts w:cs="Arial"/>
          <w:b w:val="0"/>
          <w:szCs w:val="18"/>
        </w:rPr>
        <w:lastRenderedPageBreak/>
        <w:t>the curtain), it becomes imperative to explore a new balance between the size and spacing of the holes in the curtain. The configuration proposed by BASF® features relatively wide spacing nozzles, thus highlighting the most critical scenario when the axis of the methane jet aligns exactly with the centre of the spacing nozzle, referred to as a non-coaxial configuration (in which the jet axis remains non-intersecting, generating an optimal challenge). As a result, individual steam jets are unable to generate an aggregate steam flow rate (the so-called plane jet), operating autonomously and thus confining the dilution effect to areas in direct interaction with one or more of these individual jets. Nevertheless, steam openings remain rather small and require high pressures within the pipeline to generate a satisfactory steam flow rate. This leads to future technological advances, suggesting the need to establish a new technical and economic balance. Such an equilibrium would ensure effective dilution of the gas cloud by initially modifying the size of these two components, considering the pressures and flow rates involved in the scenario studied.</w:t>
      </w:r>
    </w:p>
    <w:p w14:paraId="41D3ACE0" w14:textId="09608E0A" w:rsidR="005340C7" w:rsidRPr="00EE29A6" w:rsidRDefault="001D0F1B" w:rsidP="0012545D">
      <w:pPr>
        <w:pStyle w:val="CETAcknowledgementstitle"/>
      </w:pPr>
      <w:r w:rsidRPr="00EE29A6">
        <w:t>Acknowledgements</w:t>
      </w:r>
    </w:p>
    <w:p w14:paraId="35DB4680" w14:textId="5FF33134" w:rsidR="00EE29A6" w:rsidRPr="00EE29A6" w:rsidRDefault="00EE29A6" w:rsidP="001D0F1B">
      <w:pPr>
        <w:pStyle w:val="CETBodytext"/>
        <w:rPr>
          <w:lang w:val="en-GB"/>
        </w:rPr>
      </w:pPr>
      <w:r w:rsidRPr="00EE29A6">
        <w:rPr>
          <w:lang w:val="en-GB"/>
        </w:rPr>
        <w:t xml:space="preserve">This work was realised with the collaboration of BASF® </w:t>
      </w:r>
      <w:r w:rsidRPr="00EE29A6">
        <w:rPr>
          <w:rFonts w:cs="Arial"/>
          <w:szCs w:val="18"/>
        </w:rPr>
        <w:t>Ludwigshafen am Rhein</w:t>
      </w:r>
      <w:r w:rsidRPr="00EE29A6">
        <w:rPr>
          <w:lang w:val="en-GB"/>
        </w:rPr>
        <w:t xml:space="preserve"> under a Collaborative Doctoral Partnership.</w:t>
      </w:r>
    </w:p>
    <w:p w14:paraId="7BCB1382" w14:textId="38F75285" w:rsidR="00293851" w:rsidRPr="00EE29A6" w:rsidRDefault="005340C7" w:rsidP="005340C7">
      <w:pPr>
        <w:pStyle w:val="CETAcknowledgementstitle"/>
      </w:pPr>
      <w:r w:rsidRPr="00EE29A6">
        <w:t>References</w:t>
      </w:r>
    </w:p>
    <w:p w14:paraId="561D59F8" w14:textId="1B08B268" w:rsidR="006169E1" w:rsidRPr="00EE29A6" w:rsidRDefault="006169E1" w:rsidP="006169E1">
      <w:pPr>
        <w:pStyle w:val="CETReferencetext"/>
      </w:pPr>
      <w:r w:rsidRPr="00EE29A6">
        <w:t>ANSYS Inc., 2013, ANSYS Fluent 2019 user’s guide (Lebanon, NH, USA).</w:t>
      </w:r>
    </w:p>
    <w:p w14:paraId="27B22D20" w14:textId="641859DF" w:rsidR="0037330A" w:rsidRPr="00EE29A6" w:rsidRDefault="006169E1" w:rsidP="00064445">
      <w:pPr>
        <w:pStyle w:val="CETReferencetext"/>
      </w:pPr>
      <w:r w:rsidRPr="00EE29A6">
        <w:t xml:space="preserve">Amendola </w:t>
      </w:r>
      <w:r w:rsidR="003427DB" w:rsidRPr="00EE29A6">
        <w:t xml:space="preserve">A., </w:t>
      </w:r>
      <w:r w:rsidRPr="00EE29A6">
        <w:t>Contini</w:t>
      </w:r>
      <w:r w:rsidR="003427DB" w:rsidRPr="00EE29A6">
        <w:t xml:space="preserve"> S.</w:t>
      </w:r>
      <w:r w:rsidRPr="00EE29A6">
        <w:t xml:space="preserve">, 1998, Methodology for Risk Analysis of Industrial Areas: the </w:t>
      </w:r>
      <w:proofErr w:type="spellStart"/>
      <w:r w:rsidRPr="00EE29A6">
        <w:t>Aripar</w:t>
      </w:r>
      <w:proofErr w:type="spellEnd"/>
      <w:r w:rsidRPr="00EE29A6">
        <w:t xml:space="preserve"> Case Study, Industrial Safety Series, 6, 313-339.</w:t>
      </w:r>
    </w:p>
    <w:p w14:paraId="00225468" w14:textId="2D95222C" w:rsidR="006169E1" w:rsidRPr="00EE29A6" w:rsidRDefault="006169E1" w:rsidP="00064445">
      <w:pPr>
        <w:pStyle w:val="CETReferencetext"/>
      </w:pPr>
      <w:r w:rsidRPr="00EE29A6">
        <w:t>Awbi</w:t>
      </w:r>
      <w:r w:rsidR="0037330A" w:rsidRPr="00EE29A6">
        <w:t xml:space="preserve"> H.</w:t>
      </w:r>
      <w:r w:rsidRPr="00EE29A6">
        <w:t>, 2003, Ventilation of buildings, E&amp;FN Spon Press: Second edition</w:t>
      </w:r>
      <w:r w:rsidR="00064445" w:rsidRPr="00EE29A6">
        <w:t>.</w:t>
      </w:r>
    </w:p>
    <w:p w14:paraId="400CCC5C" w14:textId="2589B36D" w:rsidR="006169E1" w:rsidRPr="00EE29A6" w:rsidRDefault="006169E1" w:rsidP="00064445">
      <w:pPr>
        <w:pStyle w:val="CETReferencetext"/>
      </w:pPr>
      <w:r w:rsidRPr="00EE29A6">
        <w:t xml:space="preserve">Bara </w:t>
      </w:r>
      <w:r w:rsidR="0037330A" w:rsidRPr="00EE29A6">
        <w:t>A.,</w:t>
      </w:r>
      <w:r w:rsidRPr="00EE29A6">
        <w:t xml:space="preserve"> </w:t>
      </w:r>
      <w:proofErr w:type="spellStart"/>
      <w:r w:rsidRPr="00EE29A6">
        <w:t>Dusserre</w:t>
      </w:r>
      <w:proofErr w:type="spellEnd"/>
      <w:r w:rsidR="0037330A" w:rsidRPr="00EE29A6">
        <w:t xml:space="preserve"> G.</w:t>
      </w:r>
      <w:r w:rsidRPr="00EE29A6">
        <w:t>,</w:t>
      </w:r>
      <w:r w:rsidR="0037330A" w:rsidRPr="00EE29A6">
        <w:t xml:space="preserve"> 1997,</w:t>
      </w:r>
      <w:r w:rsidRPr="00EE29A6">
        <w:t xml:space="preserve"> The use of water curtains to protect firemen in case of heavy gas dispersion, Journal of Loss Prevention in the Process Industries, 10, 179-18</w:t>
      </w:r>
      <w:r w:rsidR="0037330A" w:rsidRPr="00EE29A6">
        <w:t>3</w:t>
      </w:r>
      <w:r w:rsidRPr="00EE29A6">
        <w:t xml:space="preserve">. </w:t>
      </w:r>
    </w:p>
    <w:p w14:paraId="172B70D2" w14:textId="666FACEB" w:rsidR="00EE29A6" w:rsidRPr="00EE29A6" w:rsidRDefault="00EE29A6" w:rsidP="00064445">
      <w:pPr>
        <w:pStyle w:val="CETReferencetext"/>
      </w:pPr>
      <w:r w:rsidRPr="00EE29A6">
        <w:t xml:space="preserve">Birch A. D., Hughes D. J., and Swaffield F., 1987, </w:t>
      </w:r>
      <w:r>
        <w:t>V</w:t>
      </w:r>
      <w:r w:rsidRPr="00EE29A6">
        <w:t xml:space="preserve">elocity decay of </w:t>
      </w:r>
      <w:proofErr w:type="gramStart"/>
      <w:r w:rsidRPr="00EE29A6">
        <w:t>high pressure</w:t>
      </w:r>
      <w:proofErr w:type="gramEnd"/>
      <w:r w:rsidRPr="00EE29A6">
        <w:t xml:space="preserve"> jets, Combustion Science Technology, 52</w:t>
      </w:r>
      <w:r w:rsidR="00FF6939">
        <w:t xml:space="preserve"> (</w:t>
      </w:r>
      <w:r w:rsidRPr="00EE29A6">
        <w:t>1–3</w:t>
      </w:r>
      <w:r w:rsidR="00FF6939">
        <w:t>)</w:t>
      </w:r>
      <w:r w:rsidRPr="00EE29A6">
        <w:t>, 161–171.</w:t>
      </w:r>
    </w:p>
    <w:p w14:paraId="4608B034" w14:textId="0A6635CF" w:rsidR="006169E1" w:rsidRPr="00EE29A6" w:rsidRDefault="006169E1" w:rsidP="00064445">
      <w:pPr>
        <w:pStyle w:val="CETReferencetext"/>
      </w:pPr>
      <w:r w:rsidRPr="00EE29A6">
        <w:t>Colombini</w:t>
      </w:r>
      <w:r w:rsidR="0037330A" w:rsidRPr="00EE29A6">
        <w:t xml:space="preserve"> C.</w:t>
      </w:r>
      <w:r w:rsidRPr="00EE29A6">
        <w:t xml:space="preserve">, </w:t>
      </w:r>
      <w:proofErr w:type="spellStart"/>
      <w:r w:rsidRPr="00EE29A6">
        <w:t>Martani</w:t>
      </w:r>
      <w:proofErr w:type="spellEnd"/>
      <w:r w:rsidR="0037330A" w:rsidRPr="00EE29A6">
        <w:t xml:space="preserve"> A.,</w:t>
      </w:r>
      <w:r w:rsidRPr="00EE29A6">
        <w:t xml:space="preserve"> Rota</w:t>
      </w:r>
      <w:r w:rsidR="0037330A" w:rsidRPr="00EE29A6">
        <w:t xml:space="preserve"> R.,</w:t>
      </w:r>
      <w:r w:rsidRPr="00EE29A6">
        <w:t xml:space="preserve"> </w:t>
      </w:r>
      <w:proofErr w:type="spellStart"/>
      <w:r w:rsidRPr="00EE29A6">
        <w:t>Busini</w:t>
      </w:r>
      <w:proofErr w:type="spellEnd"/>
      <w:r w:rsidR="0037330A" w:rsidRPr="00EE29A6">
        <w:t xml:space="preserve"> V.</w:t>
      </w:r>
      <w:r w:rsidRPr="00EE29A6">
        <w:t>,</w:t>
      </w:r>
      <w:r w:rsidR="00FF6939">
        <w:t xml:space="preserve"> 2020,</w:t>
      </w:r>
      <w:r w:rsidRPr="00EE29A6">
        <w:t xml:space="preserve"> Ground influence on high-pressure methane jets: Practical tools for risk assessment, Journal of Loss Prevention in the Process Industries, 67</w:t>
      </w:r>
      <w:r w:rsidR="0047432E">
        <w:t>, 104240</w:t>
      </w:r>
      <w:r w:rsidR="0037330A" w:rsidRPr="00EE29A6">
        <w:t>.</w:t>
      </w:r>
      <w:r w:rsidRPr="00EE29A6">
        <w:t xml:space="preserve"> </w:t>
      </w:r>
    </w:p>
    <w:p w14:paraId="565C8764" w14:textId="3EE5476E" w:rsidR="006169E1" w:rsidRPr="00EE29A6" w:rsidRDefault="006169E1" w:rsidP="00064445">
      <w:pPr>
        <w:pStyle w:val="CETReferencetext"/>
      </w:pPr>
      <w:r w:rsidRPr="00EE29A6">
        <w:t>Colombini</w:t>
      </w:r>
      <w:r w:rsidR="0037330A" w:rsidRPr="00EE29A6">
        <w:t xml:space="preserve"> C.</w:t>
      </w:r>
      <w:r w:rsidRPr="00EE29A6">
        <w:t xml:space="preserve">, </w:t>
      </w:r>
      <w:proofErr w:type="spellStart"/>
      <w:r w:rsidRPr="00EE29A6">
        <w:t>Iannantuoni</w:t>
      </w:r>
      <w:proofErr w:type="spellEnd"/>
      <w:r w:rsidR="0037330A" w:rsidRPr="00EE29A6">
        <w:t xml:space="preserve"> C.</w:t>
      </w:r>
      <w:r w:rsidRPr="00EE29A6">
        <w:t xml:space="preserve">, Rota </w:t>
      </w:r>
      <w:r w:rsidR="0037330A" w:rsidRPr="00EE29A6">
        <w:t>R.,</w:t>
      </w:r>
      <w:r w:rsidRPr="00EE29A6">
        <w:t xml:space="preserve"> Busini</w:t>
      </w:r>
      <w:r w:rsidR="0037330A" w:rsidRPr="00EE29A6">
        <w:t xml:space="preserve"> V.</w:t>
      </w:r>
      <w:r w:rsidRPr="00EE29A6">
        <w:t xml:space="preserve">, </w:t>
      </w:r>
      <w:r w:rsidR="0037330A" w:rsidRPr="00EE29A6">
        <w:t xml:space="preserve">2022, </w:t>
      </w:r>
      <w:r w:rsidRPr="00EE29A6">
        <w:t>Unignited high-pressure methane jet impacting a cylindrical obstacle: An assessment tool for consequences analysis, Journal of Loss Prevention in the Process Industries, 76</w:t>
      </w:r>
      <w:r w:rsidR="0047432E">
        <w:t xml:space="preserve">, </w:t>
      </w:r>
      <w:r w:rsidR="0047432E" w:rsidRPr="0047432E">
        <w:t>104593</w:t>
      </w:r>
      <w:r w:rsidRPr="00EE29A6">
        <w:t>.</w:t>
      </w:r>
    </w:p>
    <w:p w14:paraId="6FE2C228" w14:textId="13B7D7DF" w:rsidR="006169E1" w:rsidRPr="00EE29A6" w:rsidRDefault="006169E1" w:rsidP="00064445">
      <w:pPr>
        <w:pStyle w:val="CETReferencetext"/>
      </w:pPr>
      <w:r w:rsidRPr="00EE29A6">
        <w:t>Diaz-Ovalle</w:t>
      </w:r>
      <w:r w:rsidR="0037330A" w:rsidRPr="00EE29A6">
        <w:t xml:space="preserve"> C.</w:t>
      </w:r>
      <w:r w:rsidRPr="00EE29A6">
        <w:t>, Vazquez-Roman</w:t>
      </w:r>
      <w:r w:rsidR="0037330A" w:rsidRPr="00EE29A6">
        <w:t xml:space="preserve"> R.</w:t>
      </w:r>
      <w:r w:rsidRPr="00EE29A6">
        <w:t xml:space="preserve">, Lesso-Arroyo </w:t>
      </w:r>
      <w:r w:rsidR="0037330A" w:rsidRPr="00EE29A6">
        <w:t xml:space="preserve">R., </w:t>
      </w:r>
      <w:r w:rsidRPr="00EE29A6">
        <w:t>Mannan</w:t>
      </w:r>
      <w:r w:rsidR="0037330A" w:rsidRPr="00EE29A6">
        <w:t xml:space="preserve"> M.S.</w:t>
      </w:r>
      <w:r w:rsidRPr="00EE29A6">
        <w:t>,</w:t>
      </w:r>
      <w:r w:rsidR="0037330A" w:rsidRPr="00EE29A6">
        <w:t xml:space="preserve"> 2012,</w:t>
      </w:r>
      <w:r w:rsidRPr="00EE29A6">
        <w:t xml:space="preserve"> A simplified steady-state model for air, water and steam curtain, Journal of Loss Prevention in the Process Industries, 25, 974-981.</w:t>
      </w:r>
    </w:p>
    <w:p w14:paraId="693F7728" w14:textId="69DB5B24" w:rsidR="006169E1" w:rsidRPr="00EE29A6" w:rsidRDefault="006169E1" w:rsidP="00064445">
      <w:pPr>
        <w:pStyle w:val="CETReferencetext"/>
      </w:pPr>
      <w:r w:rsidRPr="00EE29A6">
        <w:t>Kulich</w:t>
      </w:r>
      <w:r w:rsidR="0037330A" w:rsidRPr="00EE29A6">
        <w:t xml:space="preserve"> M., </w:t>
      </w:r>
      <w:r w:rsidRPr="00EE29A6">
        <w:t>Herink</w:t>
      </w:r>
      <w:r w:rsidR="0037330A" w:rsidRPr="00EE29A6">
        <w:t xml:space="preserve"> T.</w:t>
      </w:r>
      <w:r w:rsidRPr="00EE29A6">
        <w:t xml:space="preserve">, </w:t>
      </w:r>
      <w:r w:rsidR="0037330A" w:rsidRPr="00EE29A6">
        <w:t xml:space="preserve">2022, </w:t>
      </w:r>
      <w:r w:rsidRPr="00EE29A6">
        <w:t>Risk and limitations of steam curtains protection in case of flammable gases leakage, Process Safety Progress, 41, 591-601.</w:t>
      </w:r>
    </w:p>
    <w:p w14:paraId="42CB38D6" w14:textId="72A10B4A" w:rsidR="006169E1" w:rsidRPr="00EE29A6" w:rsidRDefault="006169E1" w:rsidP="00064445">
      <w:pPr>
        <w:pStyle w:val="CETReferencetext"/>
      </w:pPr>
      <w:r w:rsidRPr="00EE29A6">
        <w:t>Lim</w:t>
      </w:r>
      <w:r w:rsidR="0037330A" w:rsidRPr="00EE29A6">
        <w:t xml:space="preserve"> H.</w:t>
      </w:r>
      <w:r w:rsidRPr="00EE29A6">
        <w:t xml:space="preserve">, Um </w:t>
      </w:r>
      <w:proofErr w:type="gramStart"/>
      <w:r w:rsidR="0037330A" w:rsidRPr="00EE29A6">
        <w:t>K.</w:t>
      </w:r>
      <w:proofErr w:type="gramEnd"/>
      <w:r w:rsidR="0037330A" w:rsidRPr="00EE29A6">
        <w:t xml:space="preserve"> </w:t>
      </w:r>
      <w:r w:rsidRPr="00EE29A6">
        <w:t>and Jung</w:t>
      </w:r>
      <w:r w:rsidR="0037330A" w:rsidRPr="00EE29A6">
        <w:t xml:space="preserve"> S.</w:t>
      </w:r>
      <w:r w:rsidRPr="00EE29A6">
        <w:t>,</w:t>
      </w:r>
      <w:r w:rsidR="0037330A" w:rsidRPr="00EE29A6">
        <w:t xml:space="preserve"> 2017,</w:t>
      </w:r>
      <w:r w:rsidRPr="00EE29A6">
        <w:t xml:space="preserve"> A study on effective mitigation system for accidental toxic gas releases, Journal of Loss Prevention in the Process Industries, 49, 636-644. </w:t>
      </w:r>
    </w:p>
    <w:p w14:paraId="4513CA95" w14:textId="77777777" w:rsidR="00064445" w:rsidRPr="00EE29A6" w:rsidRDefault="00064445" w:rsidP="00064445">
      <w:pPr>
        <w:pStyle w:val="CETReferencetext"/>
      </w:pPr>
      <w:proofErr w:type="spellStart"/>
      <w:r w:rsidRPr="00EE29A6">
        <w:t>Marsegan</w:t>
      </w:r>
      <w:proofErr w:type="spellEnd"/>
      <w:r w:rsidRPr="00EE29A6">
        <w:t xml:space="preserve"> C., V. Busini and Rota R, 2016, Influence of active mitigation barriers on LNG dispersion, Journal of Loss Prevention in the Process Industries, 44, 380-389.</w:t>
      </w:r>
    </w:p>
    <w:p w14:paraId="64FBB6CB" w14:textId="28BD999C" w:rsidR="006169E1" w:rsidRPr="00EE29A6" w:rsidRDefault="006169E1" w:rsidP="00064445">
      <w:pPr>
        <w:pStyle w:val="CETReferencetext"/>
      </w:pPr>
      <w:r w:rsidRPr="00EE29A6">
        <w:t>Rana</w:t>
      </w:r>
      <w:r w:rsidR="0037330A" w:rsidRPr="00EE29A6">
        <w:t xml:space="preserve"> M. A.</w:t>
      </w:r>
      <w:r w:rsidRPr="00EE29A6">
        <w:t>, Cormier</w:t>
      </w:r>
      <w:r w:rsidR="0037330A" w:rsidRPr="00EE29A6">
        <w:t xml:space="preserve"> B.R.</w:t>
      </w:r>
      <w:r w:rsidRPr="00EE29A6">
        <w:t xml:space="preserve">, </w:t>
      </w:r>
      <w:proofErr w:type="spellStart"/>
      <w:r w:rsidRPr="00EE29A6">
        <w:t>Suardin</w:t>
      </w:r>
      <w:proofErr w:type="spellEnd"/>
      <w:r w:rsidR="0037330A" w:rsidRPr="00EE29A6">
        <w:t xml:space="preserve"> J.A.</w:t>
      </w:r>
      <w:r w:rsidRPr="00EE29A6">
        <w:t xml:space="preserve">, Zhang </w:t>
      </w:r>
      <w:r w:rsidR="0037330A" w:rsidRPr="00EE29A6">
        <w:t xml:space="preserve">Y., </w:t>
      </w:r>
      <w:r w:rsidRPr="00EE29A6">
        <w:t>Mannan</w:t>
      </w:r>
      <w:r w:rsidR="0037330A" w:rsidRPr="00EE29A6">
        <w:t xml:space="preserve"> M.S.</w:t>
      </w:r>
      <w:r w:rsidRPr="00EE29A6">
        <w:t xml:space="preserve">, </w:t>
      </w:r>
      <w:r w:rsidR="0037330A" w:rsidRPr="00EE29A6">
        <w:t xml:space="preserve">2008, </w:t>
      </w:r>
      <w:r w:rsidRPr="00EE29A6">
        <w:t>Experimental study on effective water spray curtain application in dispersing LNG vapor clouds, Process Safety Progress, 27, 345-353.</w:t>
      </w:r>
    </w:p>
    <w:p w14:paraId="27A079D7" w14:textId="30E22E6F" w:rsidR="006169E1" w:rsidRPr="00EE29A6" w:rsidRDefault="006169E1" w:rsidP="00064445">
      <w:pPr>
        <w:pStyle w:val="CETReferencetext"/>
      </w:pPr>
      <w:r w:rsidRPr="00EE29A6">
        <w:t xml:space="preserve">Rowley </w:t>
      </w:r>
      <w:r w:rsidR="0037330A" w:rsidRPr="00EE29A6">
        <w:t xml:space="preserve">J. R., </w:t>
      </w:r>
      <w:r w:rsidRPr="00EE29A6">
        <w:t>Bruce-Black</w:t>
      </w:r>
      <w:r w:rsidR="0037330A" w:rsidRPr="00EE29A6">
        <w:t xml:space="preserve"> J. E.</w:t>
      </w:r>
      <w:r w:rsidRPr="00EE29A6">
        <w:t xml:space="preserve">, </w:t>
      </w:r>
      <w:r w:rsidR="0037330A" w:rsidRPr="00EE29A6">
        <w:t xml:space="preserve">2012, </w:t>
      </w:r>
      <w:r w:rsidRPr="00EE29A6">
        <w:t xml:space="preserve">Proper application of flammability limit data in consequence studies, </w:t>
      </w:r>
      <w:r w:rsidR="0047432E" w:rsidRPr="0047432E">
        <w:t>Institution of Chemical Engineers Symposium Series, 158, 443–452</w:t>
      </w:r>
      <w:r w:rsidRPr="00EE29A6">
        <w:t>.</w:t>
      </w:r>
    </w:p>
    <w:p w14:paraId="230D73BA" w14:textId="1D37AC25" w:rsidR="006169E1" w:rsidRPr="006169E1" w:rsidRDefault="006169E1" w:rsidP="00064445">
      <w:pPr>
        <w:pStyle w:val="CETReferencetext"/>
      </w:pPr>
      <w:proofErr w:type="spellStart"/>
      <w:r w:rsidRPr="00EE29A6">
        <w:t>Schoten</w:t>
      </w:r>
      <w:proofErr w:type="spellEnd"/>
      <w:r w:rsidRPr="00EE29A6">
        <w:t xml:space="preserve">, </w:t>
      </w:r>
      <w:r w:rsidR="0037330A" w:rsidRPr="00EE29A6">
        <w:t xml:space="preserve">H. H., </w:t>
      </w:r>
      <w:r w:rsidRPr="00EE29A6">
        <w:t>Molag</w:t>
      </w:r>
      <w:r w:rsidR="0037330A" w:rsidRPr="00EE29A6">
        <w:t xml:space="preserve"> M.</w:t>
      </w:r>
      <w:r w:rsidRPr="00EE29A6">
        <w:t>, Duffield</w:t>
      </w:r>
      <w:r w:rsidR="0037330A" w:rsidRPr="00EE29A6">
        <w:t xml:space="preserve"> J. S.</w:t>
      </w:r>
      <w:r w:rsidRPr="00EE29A6">
        <w:t>, Powell-Price</w:t>
      </w:r>
      <w:r w:rsidR="0037330A" w:rsidRPr="00EE29A6">
        <w:t xml:space="preserve"> M.</w:t>
      </w:r>
      <w:r w:rsidRPr="00EE29A6">
        <w:t xml:space="preserve">, </w:t>
      </w:r>
      <w:r w:rsidR="00064445" w:rsidRPr="00EE29A6">
        <w:t xml:space="preserve">2000, </w:t>
      </w:r>
      <w:r w:rsidRPr="00EE29A6">
        <w:t xml:space="preserve">The use of fluid curtains for post-release mitigation of gas dispersion, </w:t>
      </w:r>
      <w:r w:rsidR="0047432E" w:rsidRPr="0047432E">
        <w:t>Institution of Chemical Engineers Symposium Series, 147, 287–298</w:t>
      </w:r>
      <w:r w:rsidRPr="00EE29A6">
        <w:t>.</w:t>
      </w:r>
    </w:p>
    <w:p w14:paraId="33943B93" w14:textId="77777777" w:rsidR="00EE29A6" w:rsidRPr="00EE29A6" w:rsidRDefault="00EE29A6" w:rsidP="00EE29A6">
      <w:pPr>
        <w:pStyle w:val="CETReferencetext"/>
      </w:pPr>
      <w:r w:rsidRPr="00EE29A6">
        <w:t>Van't Land C.M., 2018 Safety in Design - Procedural, Active, and Passive Safety, John Wiley &amp; Sons Inc., 2, 7-16.</w:t>
      </w:r>
    </w:p>
    <w:p w14:paraId="393D72F5" w14:textId="77777777" w:rsidR="00C85706" w:rsidRPr="00293851" w:rsidRDefault="00C85706" w:rsidP="00177D1D">
      <w:pPr>
        <w:pStyle w:val="CETBodytext"/>
        <w:rPr>
          <w:lang w:val="en-GB"/>
        </w:rPr>
      </w:pPr>
    </w:p>
    <w:sectPr w:rsidR="00C85706" w:rsidRPr="00293851" w:rsidSect="00EA312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F90E" w14:textId="77777777" w:rsidR="00EA3124" w:rsidRDefault="00EA3124" w:rsidP="004F5E36">
      <w:r>
        <w:separator/>
      </w:r>
    </w:p>
  </w:endnote>
  <w:endnote w:type="continuationSeparator" w:id="0">
    <w:p w14:paraId="0FC30C69" w14:textId="77777777" w:rsidR="00EA3124" w:rsidRDefault="00EA312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2074" w14:textId="77777777" w:rsidR="00EA3124" w:rsidRDefault="00EA3124" w:rsidP="004F5E36">
      <w:r>
        <w:separator/>
      </w:r>
    </w:p>
  </w:footnote>
  <w:footnote w:type="continuationSeparator" w:id="0">
    <w:p w14:paraId="057BE74E" w14:textId="77777777" w:rsidR="00EA3124" w:rsidRDefault="00EA312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 w:numId="23" w16cid:durableId="712189997">
    <w:abstractNumId w:val="10"/>
  </w:num>
  <w:num w:numId="24" w16cid:durableId="3485092">
    <w:abstractNumId w:val="10"/>
  </w:num>
  <w:num w:numId="25" w16cid:durableId="189340286">
    <w:abstractNumId w:val="10"/>
  </w:num>
  <w:num w:numId="26" w16cid:durableId="1116942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7F68"/>
    <w:rsid w:val="0003148D"/>
    <w:rsid w:val="00031EEC"/>
    <w:rsid w:val="00045059"/>
    <w:rsid w:val="00047DA8"/>
    <w:rsid w:val="00047DB2"/>
    <w:rsid w:val="00051566"/>
    <w:rsid w:val="000562FA"/>
    <w:rsid w:val="00062A9A"/>
    <w:rsid w:val="00064445"/>
    <w:rsid w:val="00065058"/>
    <w:rsid w:val="00080435"/>
    <w:rsid w:val="00086C39"/>
    <w:rsid w:val="00097249"/>
    <w:rsid w:val="000A03B2"/>
    <w:rsid w:val="000D0268"/>
    <w:rsid w:val="000D34BE"/>
    <w:rsid w:val="000E102F"/>
    <w:rsid w:val="000E36F1"/>
    <w:rsid w:val="000E3A73"/>
    <w:rsid w:val="000E414A"/>
    <w:rsid w:val="000F093C"/>
    <w:rsid w:val="000F787B"/>
    <w:rsid w:val="00106B28"/>
    <w:rsid w:val="0012091F"/>
    <w:rsid w:val="0012545D"/>
    <w:rsid w:val="00126BC2"/>
    <w:rsid w:val="001308B6"/>
    <w:rsid w:val="0013121F"/>
    <w:rsid w:val="00131FE6"/>
    <w:rsid w:val="0013263F"/>
    <w:rsid w:val="001331DF"/>
    <w:rsid w:val="00134DE4"/>
    <w:rsid w:val="0014034D"/>
    <w:rsid w:val="00144D16"/>
    <w:rsid w:val="00150E59"/>
    <w:rsid w:val="00152DE3"/>
    <w:rsid w:val="00164CF9"/>
    <w:rsid w:val="001667A6"/>
    <w:rsid w:val="00172C5E"/>
    <w:rsid w:val="00177D1D"/>
    <w:rsid w:val="00181FC3"/>
    <w:rsid w:val="00184AD6"/>
    <w:rsid w:val="001A4AF7"/>
    <w:rsid w:val="001B0349"/>
    <w:rsid w:val="001B1E93"/>
    <w:rsid w:val="001B65C1"/>
    <w:rsid w:val="001C0F4C"/>
    <w:rsid w:val="001C684B"/>
    <w:rsid w:val="001D0CFB"/>
    <w:rsid w:val="001D0F1B"/>
    <w:rsid w:val="001D53FC"/>
    <w:rsid w:val="001F42A5"/>
    <w:rsid w:val="001F7B9D"/>
    <w:rsid w:val="00201C93"/>
    <w:rsid w:val="002224B4"/>
    <w:rsid w:val="002447EF"/>
    <w:rsid w:val="00251550"/>
    <w:rsid w:val="00263B05"/>
    <w:rsid w:val="0027221A"/>
    <w:rsid w:val="00275B61"/>
    <w:rsid w:val="00280FAF"/>
    <w:rsid w:val="00282656"/>
    <w:rsid w:val="00293851"/>
    <w:rsid w:val="00296B83"/>
    <w:rsid w:val="00297561"/>
    <w:rsid w:val="002B4015"/>
    <w:rsid w:val="002B78CE"/>
    <w:rsid w:val="002C2FB6"/>
    <w:rsid w:val="002E5FA7"/>
    <w:rsid w:val="002F3309"/>
    <w:rsid w:val="003008CE"/>
    <w:rsid w:val="003009B7"/>
    <w:rsid w:val="00300E56"/>
    <w:rsid w:val="0030469C"/>
    <w:rsid w:val="003061CA"/>
    <w:rsid w:val="00321CA6"/>
    <w:rsid w:val="00323763"/>
    <w:rsid w:val="00334C09"/>
    <w:rsid w:val="003427DB"/>
    <w:rsid w:val="003723D4"/>
    <w:rsid w:val="003730FE"/>
    <w:rsid w:val="0037330A"/>
    <w:rsid w:val="00381905"/>
    <w:rsid w:val="00384CC8"/>
    <w:rsid w:val="003871FD"/>
    <w:rsid w:val="003A0B4E"/>
    <w:rsid w:val="003A1E30"/>
    <w:rsid w:val="003A2829"/>
    <w:rsid w:val="003A7D1C"/>
    <w:rsid w:val="003B304B"/>
    <w:rsid w:val="003B3146"/>
    <w:rsid w:val="003D66F3"/>
    <w:rsid w:val="003D729D"/>
    <w:rsid w:val="003F015E"/>
    <w:rsid w:val="00400414"/>
    <w:rsid w:val="0041446B"/>
    <w:rsid w:val="0044315F"/>
    <w:rsid w:val="0044329C"/>
    <w:rsid w:val="00453E24"/>
    <w:rsid w:val="00457456"/>
    <w:rsid w:val="004577FE"/>
    <w:rsid w:val="00457B9C"/>
    <w:rsid w:val="0046164A"/>
    <w:rsid w:val="004628D2"/>
    <w:rsid w:val="00462DCD"/>
    <w:rsid w:val="004648AD"/>
    <w:rsid w:val="004703A9"/>
    <w:rsid w:val="0047432E"/>
    <w:rsid w:val="004760DE"/>
    <w:rsid w:val="004763D7"/>
    <w:rsid w:val="00484A09"/>
    <w:rsid w:val="004A004E"/>
    <w:rsid w:val="004A24CF"/>
    <w:rsid w:val="004B64EC"/>
    <w:rsid w:val="004C3D1D"/>
    <w:rsid w:val="004C7913"/>
    <w:rsid w:val="004E4DD6"/>
    <w:rsid w:val="004F5E36"/>
    <w:rsid w:val="00507B47"/>
    <w:rsid w:val="00507BEF"/>
    <w:rsid w:val="00507CC9"/>
    <w:rsid w:val="005119A5"/>
    <w:rsid w:val="005278B7"/>
    <w:rsid w:val="00532016"/>
    <w:rsid w:val="005340C7"/>
    <w:rsid w:val="005346C8"/>
    <w:rsid w:val="00543E7D"/>
    <w:rsid w:val="00547A68"/>
    <w:rsid w:val="005531C9"/>
    <w:rsid w:val="00570C43"/>
    <w:rsid w:val="005A1B5A"/>
    <w:rsid w:val="005B2110"/>
    <w:rsid w:val="005B61E6"/>
    <w:rsid w:val="005C77E1"/>
    <w:rsid w:val="005D668A"/>
    <w:rsid w:val="005D6A2F"/>
    <w:rsid w:val="005E1A82"/>
    <w:rsid w:val="005E794C"/>
    <w:rsid w:val="005F0A28"/>
    <w:rsid w:val="005F0E5E"/>
    <w:rsid w:val="005F4661"/>
    <w:rsid w:val="00600535"/>
    <w:rsid w:val="00610CD6"/>
    <w:rsid w:val="006169E1"/>
    <w:rsid w:val="00620DEE"/>
    <w:rsid w:val="00621F92"/>
    <w:rsid w:val="0062280A"/>
    <w:rsid w:val="00625639"/>
    <w:rsid w:val="00631B33"/>
    <w:rsid w:val="0064184D"/>
    <w:rsid w:val="006422CC"/>
    <w:rsid w:val="00660E3E"/>
    <w:rsid w:val="00662E74"/>
    <w:rsid w:val="00665323"/>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038F"/>
    <w:rsid w:val="007A4861"/>
    <w:rsid w:val="007A7BBA"/>
    <w:rsid w:val="007B0C50"/>
    <w:rsid w:val="007B48F9"/>
    <w:rsid w:val="007C1A43"/>
    <w:rsid w:val="0080013E"/>
    <w:rsid w:val="00813288"/>
    <w:rsid w:val="008168FC"/>
    <w:rsid w:val="00825DD9"/>
    <w:rsid w:val="00830996"/>
    <w:rsid w:val="008345F1"/>
    <w:rsid w:val="00865B07"/>
    <w:rsid w:val="008667EA"/>
    <w:rsid w:val="0087637F"/>
    <w:rsid w:val="00892AD5"/>
    <w:rsid w:val="008A1512"/>
    <w:rsid w:val="008D32B9"/>
    <w:rsid w:val="008D433B"/>
    <w:rsid w:val="008E566E"/>
    <w:rsid w:val="0090161A"/>
    <w:rsid w:val="00901EB6"/>
    <w:rsid w:val="00902DB2"/>
    <w:rsid w:val="00904C62"/>
    <w:rsid w:val="00904E7F"/>
    <w:rsid w:val="00911432"/>
    <w:rsid w:val="00920B7A"/>
    <w:rsid w:val="00922BA8"/>
    <w:rsid w:val="00924DAC"/>
    <w:rsid w:val="00927058"/>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C37C3"/>
    <w:rsid w:val="009C7C86"/>
    <w:rsid w:val="009D2FF7"/>
    <w:rsid w:val="009E7884"/>
    <w:rsid w:val="009E788A"/>
    <w:rsid w:val="009F073B"/>
    <w:rsid w:val="009F0E08"/>
    <w:rsid w:val="00A1763D"/>
    <w:rsid w:val="00A17CEC"/>
    <w:rsid w:val="00A27EF0"/>
    <w:rsid w:val="00A42361"/>
    <w:rsid w:val="00A50B20"/>
    <w:rsid w:val="00A51390"/>
    <w:rsid w:val="00A56B0C"/>
    <w:rsid w:val="00A60D13"/>
    <w:rsid w:val="00A72745"/>
    <w:rsid w:val="00A76EFC"/>
    <w:rsid w:val="00A91010"/>
    <w:rsid w:val="00A97F29"/>
    <w:rsid w:val="00AA702E"/>
    <w:rsid w:val="00AB0964"/>
    <w:rsid w:val="00AB5011"/>
    <w:rsid w:val="00AC7368"/>
    <w:rsid w:val="00AD16B9"/>
    <w:rsid w:val="00AE0E72"/>
    <w:rsid w:val="00AE377D"/>
    <w:rsid w:val="00AF0EBA"/>
    <w:rsid w:val="00B02C8A"/>
    <w:rsid w:val="00B11674"/>
    <w:rsid w:val="00B136D8"/>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3A6E"/>
    <w:rsid w:val="00C068ED"/>
    <w:rsid w:val="00C22E0C"/>
    <w:rsid w:val="00C345B1"/>
    <w:rsid w:val="00C40142"/>
    <w:rsid w:val="00C52C3C"/>
    <w:rsid w:val="00C53FC7"/>
    <w:rsid w:val="00C57182"/>
    <w:rsid w:val="00C57863"/>
    <w:rsid w:val="00C655FD"/>
    <w:rsid w:val="00C75407"/>
    <w:rsid w:val="00C7586C"/>
    <w:rsid w:val="00C85706"/>
    <w:rsid w:val="00C870A8"/>
    <w:rsid w:val="00C94434"/>
    <w:rsid w:val="00CA0D75"/>
    <w:rsid w:val="00CA1C95"/>
    <w:rsid w:val="00CA5A9C"/>
    <w:rsid w:val="00CC4C20"/>
    <w:rsid w:val="00CD3517"/>
    <w:rsid w:val="00CD5FE2"/>
    <w:rsid w:val="00CE7C68"/>
    <w:rsid w:val="00CF4CF2"/>
    <w:rsid w:val="00CF7C55"/>
    <w:rsid w:val="00D02B4C"/>
    <w:rsid w:val="00D040C4"/>
    <w:rsid w:val="00D113D4"/>
    <w:rsid w:val="00D46B7E"/>
    <w:rsid w:val="00D57C84"/>
    <w:rsid w:val="00D6057D"/>
    <w:rsid w:val="00D836C5"/>
    <w:rsid w:val="00D84576"/>
    <w:rsid w:val="00DA1399"/>
    <w:rsid w:val="00DA24C6"/>
    <w:rsid w:val="00DA4D7B"/>
    <w:rsid w:val="00DD177B"/>
    <w:rsid w:val="00DE264A"/>
    <w:rsid w:val="00DF5072"/>
    <w:rsid w:val="00E02D18"/>
    <w:rsid w:val="00E041E7"/>
    <w:rsid w:val="00E23CA1"/>
    <w:rsid w:val="00E25098"/>
    <w:rsid w:val="00E36951"/>
    <w:rsid w:val="00E409A8"/>
    <w:rsid w:val="00E50C12"/>
    <w:rsid w:val="00E52E10"/>
    <w:rsid w:val="00E65B91"/>
    <w:rsid w:val="00E7209D"/>
    <w:rsid w:val="00E72EAD"/>
    <w:rsid w:val="00E77223"/>
    <w:rsid w:val="00E8528B"/>
    <w:rsid w:val="00E85B94"/>
    <w:rsid w:val="00E978D0"/>
    <w:rsid w:val="00EA3124"/>
    <w:rsid w:val="00EA4613"/>
    <w:rsid w:val="00EA7F91"/>
    <w:rsid w:val="00EB1523"/>
    <w:rsid w:val="00EB2604"/>
    <w:rsid w:val="00EC0E49"/>
    <w:rsid w:val="00EC101F"/>
    <w:rsid w:val="00EC1D9F"/>
    <w:rsid w:val="00EE0131"/>
    <w:rsid w:val="00EE17B0"/>
    <w:rsid w:val="00EE29A6"/>
    <w:rsid w:val="00EF06D9"/>
    <w:rsid w:val="00F03C72"/>
    <w:rsid w:val="00F150D6"/>
    <w:rsid w:val="00F1555B"/>
    <w:rsid w:val="00F30C64"/>
    <w:rsid w:val="00F323F3"/>
    <w:rsid w:val="00F32BA2"/>
    <w:rsid w:val="00F32CDB"/>
    <w:rsid w:val="00F565FE"/>
    <w:rsid w:val="00F63A70"/>
    <w:rsid w:val="00F7534E"/>
    <w:rsid w:val="00F833E1"/>
    <w:rsid w:val="00FA21D0"/>
    <w:rsid w:val="00FA5F5F"/>
    <w:rsid w:val="00FB27B8"/>
    <w:rsid w:val="00FB730C"/>
    <w:rsid w:val="00FC2695"/>
    <w:rsid w:val="00FC3E03"/>
    <w:rsid w:val="00FC3FC1"/>
    <w:rsid w:val="00FF693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C7586C"/>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F4CF2"/>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F4CF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F833E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3456</Words>
  <Characters>19043</Characters>
  <Application>Microsoft Office Word</Application>
  <DocSecurity>0</DocSecurity>
  <Lines>352</Lines>
  <Paragraphs>160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Giulia Tomellini</cp:lastModifiedBy>
  <cp:revision>4</cp:revision>
  <cp:lastPrinted>2015-05-12T18:31:00Z</cp:lastPrinted>
  <dcterms:created xsi:type="dcterms:W3CDTF">2024-04-11T13:50:00Z</dcterms:created>
  <dcterms:modified xsi:type="dcterms:W3CDTF">2024-04-11T14:03:00Z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1595bb34cc01ddc084488b1c24d779df1b03d676fa9fb9cd1338f47cf2424782</vt:lpwstr>
  </property>
</Properties>
</file>