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445B9A">
          <w:type w:val="continuous"/>
          <w:pgSz w:w="11906" w:h="16838" w:code="9"/>
          <w:pgMar w:top="1701" w:right="1418" w:bottom="1701" w:left="1701" w:header="1701" w:footer="0" w:gutter="0"/>
          <w:cols w:space="708"/>
          <w:titlePg/>
          <w:docGrid w:linePitch="360"/>
        </w:sectPr>
      </w:pPr>
    </w:p>
    <w:p w14:paraId="0FE53E82" w14:textId="72677F42" w:rsidR="00DF2D4A" w:rsidRDefault="00DB67CF" w:rsidP="007C2DC3">
      <w:pPr>
        <w:pStyle w:val="CETAuthors"/>
        <w:jc w:val="center"/>
        <w:rPr>
          <w:noProof w:val="0"/>
          <w:sz w:val="32"/>
        </w:rPr>
      </w:pPr>
      <w:r>
        <w:rPr>
          <w:noProof w:val="0"/>
          <w:sz w:val="32"/>
        </w:rPr>
        <w:t>I</w:t>
      </w:r>
      <w:r w:rsidRPr="00DF2D4A">
        <w:rPr>
          <w:noProof w:val="0"/>
          <w:sz w:val="32"/>
        </w:rPr>
        <w:t xml:space="preserve">ndustrial </w:t>
      </w:r>
      <w:r>
        <w:rPr>
          <w:noProof w:val="0"/>
          <w:sz w:val="32"/>
        </w:rPr>
        <w:t>P</w:t>
      </w:r>
      <w:r w:rsidRPr="00DF2D4A">
        <w:rPr>
          <w:noProof w:val="0"/>
          <w:sz w:val="32"/>
        </w:rPr>
        <w:t xml:space="preserve">ressures and </w:t>
      </w:r>
      <w:r>
        <w:rPr>
          <w:noProof w:val="0"/>
          <w:sz w:val="32"/>
        </w:rPr>
        <w:t>A</w:t>
      </w:r>
      <w:r w:rsidRPr="00DF2D4A">
        <w:rPr>
          <w:noProof w:val="0"/>
          <w:sz w:val="32"/>
        </w:rPr>
        <w:t xml:space="preserve">ssessment of </w:t>
      </w:r>
      <w:r>
        <w:rPr>
          <w:noProof w:val="0"/>
          <w:sz w:val="32"/>
        </w:rPr>
        <w:t>B</w:t>
      </w:r>
      <w:r w:rsidRPr="00DF2D4A">
        <w:rPr>
          <w:noProof w:val="0"/>
          <w:sz w:val="32"/>
        </w:rPr>
        <w:t xml:space="preserve">iochemical </w:t>
      </w:r>
      <w:r>
        <w:rPr>
          <w:noProof w:val="0"/>
          <w:sz w:val="32"/>
        </w:rPr>
        <w:t>R</w:t>
      </w:r>
      <w:r w:rsidRPr="00DF2D4A">
        <w:rPr>
          <w:noProof w:val="0"/>
          <w:sz w:val="32"/>
        </w:rPr>
        <w:t xml:space="preserve">iver </w:t>
      </w:r>
      <w:r>
        <w:rPr>
          <w:noProof w:val="0"/>
          <w:sz w:val="32"/>
        </w:rPr>
        <w:t>Q</w:t>
      </w:r>
      <w:r w:rsidRPr="00DF2D4A">
        <w:rPr>
          <w:noProof w:val="0"/>
          <w:sz w:val="32"/>
        </w:rPr>
        <w:t xml:space="preserve">uality: a </w:t>
      </w:r>
      <w:r>
        <w:rPr>
          <w:noProof w:val="0"/>
          <w:sz w:val="32"/>
        </w:rPr>
        <w:t>S</w:t>
      </w:r>
      <w:r w:rsidRPr="00DF2D4A">
        <w:rPr>
          <w:noProof w:val="0"/>
          <w:sz w:val="32"/>
        </w:rPr>
        <w:t xml:space="preserve">hort-cut </w:t>
      </w:r>
      <w:r>
        <w:rPr>
          <w:noProof w:val="0"/>
          <w:sz w:val="32"/>
        </w:rPr>
        <w:t>M</w:t>
      </w:r>
      <w:r w:rsidRPr="00DF2D4A">
        <w:rPr>
          <w:noProof w:val="0"/>
          <w:sz w:val="32"/>
        </w:rPr>
        <w:t>ethodology</w:t>
      </w:r>
    </w:p>
    <w:p w14:paraId="0488FED2" w14:textId="4597CCCE" w:rsidR="00B57E6F" w:rsidRPr="00305B22" w:rsidRDefault="003908CD" w:rsidP="00B57E6F">
      <w:pPr>
        <w:pStyle w:val="CETAuthors"/>
        <w:rPr>
          <w:lang w:val="it-IT"/>
        </w:rPr>
      </w:pPr>
      <w:r w:rsidRPr="00305B22">
        <w:rPr>
          <w:lang w:val="it-IT"/>
        </w:rPr>
        <w:t>Valentina Di Talia</w:t>
      </w:r>
      <w:r w:rsidR="00A20E6E" w:rsidRPr="00305B22">
        <w:rPr>
          <w:vertAlign w:val="superscript"/>
          <w:lang w:val="it-IT"/>
        </w:rPr>
        <w:t>a*</w:t>
      </w:r>
      <w:r w:rsidR="00B57E6F" w:rsidRPr="00305B22">
        <w:rPr>
          <w:lang w:val="it-IT"/>
        </w:rPr>
        <w:t xml:space="preserve">, </w:t>
      </w:r>
      <w:r w:rsidR="00A20E6E" w:rsidRPr="00305B22">
        <w:rPr>
          <w:lang w:val="it-IT"/>
        </w:rPr>
        <w:t>Paola Di Fluri</w:t>
      </w:r>
      <w:r w:rsidR="00A20E6E" w:rsidRPr="00305B22">
        <w:rPr>
          <w:vertAlign w:val="superscript"/>
          <w:lang w:val="it-IT"/>
        </w:rPr>
        <w:t>b</w:t>
      </w:r>
      <w:r w:rsidRPr="00305B22">
        <w:rPr>
          <w:lang w:val="it-IT"/>
        </w:rPr>
        <w:t xml:space="preserve">, </w:t>
      </w:r>
      <w:r w:rsidR="00A20E6E" w:rsidRPr="00305B22">
        <w:rPr>
          <w:lang w:val="it-IT"/>
        </w:rPr>
        <w:t>Domeneghetti Alessio</w:t>
      </w:r>
      <w:r w:rsidR="00A20E6E" w:rsidRPr="00305B22">
        <w:rPr>
          <w:vertAlign w:val="superscript"/>
          <w:lang w:val="it-IT"/>
        </w:rPr>
        <w:t>b</w:t>
      </w:r>
      <w:r w:rsidR="00A20E6E" w:rsidRPr="00305B22">
        <w:rPr>
          <w:lang w:val="it-IT"/>
        </w:rPr>
        <w:t>, Antonioni Giacomo</w:t>
      </w:r>
      <w:r w:rsidR="00A20E6E" w:rsidRPr="00305B22">
        <w:rPr>
          <w:vertAlign w:val="superscript"/>
          <w:lang w:val="it-IT"/>
        </w:rPr>
        <w:t>a</w:t>
      </w:r>
    </w:p>
    <w:p w14:paraId="00716B43" w14:textId="4A71D943" w:rsidR="00A20E6E" w:rsidRPr="00305B22" w:rsidRDefault="00152ADA" w:rsidP="00B57E6F">
      <w:pPr>
        <w:pStyle w:val="CETAddress"/>
        <w:rPr>
          <w:lang w:val="it-IT"/>
        </w:rPr>
      </w:pPr>
      <w:r w:rsidRPr="00305B22">
        <w:rPr>
          <w:lang w:val="it-IT"/>
        </w:rPr>
        <w:t xml:space="preserve">Dipartimento di Ingegneria Civile, Chimica, Ambientale e dei Materiali - Alma Mater Studiorum </w:t>
      </w:r>
      <w:r w:rsidR="00931D1B" w:rsidRPr="00305B22">
        <w:rPr>
          <w:lang w:val="it-IT"/>
        </w:rPr>
        <w:t xml:space="preserve">- </w:t>
      </w:r>
      <w:r w:rsidRPr="00305B22">
        <w:rPr>
          <w:lang w:val="it-IT"/>
        </w:rPr>
        <w:t>Università di Bologna</w:t>
      </w:r>
    </w:p>
    <w:p w14:paraId="3D72B0B0" w14:textId="615B06FC" w:rsidR="00B57E6F" w:rsidRPr="00305B22" w:rsidRDefault="00A20E6E" w:rsidP="00B57E6F">
      <w:pPr>
        <w:pStyle w:val="CETAddress"/>
        <w:rPr>
          <w:lang w:val="it-IT"/>
        </w:rPr>
      </w:pPr>
      <w:r w:rsidRPr="00305B22">
        <w:rPr>
          <w:vertAlign w:val="superscript"/>
          <w:lang w:val="it-IT"/>
        </w:rPr>
        <w:t>a</w:t>
      </w:r>
      <w:r w:rsidRPr="00305B22">
        <w:rPr>
          <w:lang w:val="it-IT"/>
        </w:rPr>
        <w:t xml:space="preserve">Sede di </w:t>
      </w:r>
      <w:r w:rsidR="00152ADA" w:rsidRPr="00305B22">
        <w:rPr>
          <w:lang w:val="it-IT"/>
        </w:rPr>
        <w:t>via Terracini 28, 40131</w:t>
      </w:r>
      <w:r w:rsidR="00931D1B" w:rsidRPr="00305B22">
        <w:rPr>
          <w:lang w:val="it-IT"/>
        </w:rPr>
        <w:t>,</w:t>
      </w:r>
      <w:r w:rsidR="00152ADA" w:rsidRPr="00305B22">
        <w:rPr>
          <w:lang w:val="it-IT"/>
        </w:rPr>
        <w:t xml:space="preserve"> Bologna (Italy)</w:t>
      </w:r>
    </w:p>
    <w:p w14:paraId="112AF6E6" w14:textId="53C88E5F" w:rsidR="00A20E6E" w:rsidRPr="00305B22" w:rsidRDefault="00A20E6E" w:rsidP="00B57E6F">
      <w:pPr>
        <w:pStyle w:val="CETAddress"/>
        <w:rPr>
          <w:lang w:val="it-IT"/>
        </w:rPr>
      </w:pPr>
      <w:r w:rsidRPr="00305B22">
        <w:rPr>
          <w:vertAlign w:val="superscript"/>
          <w:lang w:val="it-IT"/>
        </w:rPr>
        <w:t>b</w:t>
      </w:r>
      <w:r w:rsidRPr="00305B22">
        <w:rPr>
          <w:lang w:val="it-IT"/>
        </w:rPr>
        <w:t xml:space="preserve">Sede di Viale del Risorgimento 2, </w:t>
      </w:r>
      <w:r w:rsidR="00A61D5D" w:rsidRPr="00305B22">
        <w:rPr>
          <w:lang w:val="it-IT"/>
        </w:rPr>
        <w:t>40136,</w:t>
      </w:r>
      <w:r w:rsidR="00931D1B" w:rsidRPr="00305B22">
        <w:rPr>
          <w:lang w:val="it-IT"/>
        </w:rPr>
        <w:t xml:space="preserve"> </w:t>
      </w:r>
      <w:r w:rsidRPr="00305B22">
        <w:rPr>
          <w:lang w:val="it-IT"/>
        </w:rPr>
        <w:t>Bologna</w:t>
      </w:r>
      <w:r w:rsidR="002B02D5">
        <w:rPr>
          <w:lang w:val="it-IT"/>
        </w:rPr>
        <w:t xml:space="preserve"> </w:t>
      </w:r>
      <w:r w:rsidRPr="00305B22">
        <w:rPr>
          <w:lang w:val="it-IT"/>
        </w:rPr>
        <w:t>(Italy)</w:t>
      </w:r>
    </w:p>
    <w:p w14:paraId="73F1267A" w14:textId="58F7F680" w:rsidR="00B57E6F" w:rsidRPr="00B57B36" w:rsidRDefault="00152ADA" w:rsidP="00B57E6F">
      <w:pPr>
        <w:pStyle w:val="CETemail"/>
      </w:pPr>
      <w:r>
        <w:t>*</w:t>
      </w:r>
      <w:r w:rsidR="003908CD">
        <w:t>valentina.ditalia2</w:t>
      </w:r>
      <w:r w:rsidR="00344A1A">
        <w:rPr>
          <w:rStyle w:val="hgkelc"/>
        </w:rPr>
        <w:t>@</w:t>
      </w:r>
      <w:r w:rsidR="003908CD">
        <w:t>unibo.</w:t>
      </w:r>
      <w:r>
        <w:t>it</w:t>
      </w:r>
      <w:r w:rsidR="00B57E6F" w:rsidRPr="00B57B36">
        <w:t xml:space="preserve"> </w:t>
      </w:r>
    </w:p>
    <w:p w14:paraId="68A1867C" w14:textId="45507FC4" w:rsidR="00230F07" w:rsidRPr="00620862" w:rsidRDefault="00230F07" w:rsidP="00620862">
      <w:pPr>
        <w:pStyle w:val="CETBodytext"/>
      </w:pPr>
      <w:r w:rsidRPr="00112243">
        <w:t>In Europe, a comprehensive assessment of surface water bodies is hindered by a widespread deficiency in quality monitoring data,</w:t>
      </w:r>
      <w:r w:rsidRPr="00620862">
        <w:t xml:space="preserve"> both spatially and temporally, which impedes sustainable water management. In light of this challenge, this paper proposes a multidisciplinary short-cut methodology to estimate the biochemical quality of rivers</w:t>
      </w:r>
      <w:r w:rsidR="00066EF1">
        <w:t xml:space="preserve"> determined by</w:t>
      </w:r>
      <w:r w:rsidRPr="00620862">
        <w:t xml:space="preserve"> primary anthropogenic pollution sources </w:t>
      </w:r>
      <w:r w:rsidR="002C76C2">
        <w:t>acting</w:t>
      </w:r>
      <w:r w:rsidRPr="00620862">
        <w:t xml:space="preserve"> as the most significant pressure</w:t>
      </w:r>
      <w:r w:rsidR="002C76C2">
        <w:t xml:space="preserve"> on surface water</w:t>
      </w:r>
      <w:r w:rsidRPr="00620862">
        <w:t>.</w:t>
      </w:r>
    </w:p>
    <w:p w14:paraId="7EE5496F" w14:textId="77777777" w:rsidR="00BE00D2" w:rsidRPr="00BE00D2" w:rsidRDefault="00230F07" w:rsidP="00620862">
      <w:pPr>
        <w:pStyle w:val="CETBodytext"/>
      </w:pPr>
      <w:r w:rsidRPr="00BE00D2">
        <w:t>The proposed methodology comprises three main steps:</w:t>
      </w:r>
      <w:r w:rsidR="0008476D" w:rsidRPr="00BE00D2">
        <w:t xml:space="preserve"> </w:t>
      </w:r>
    </w:p>
    <w:p w14:paraId="37DF9A31" w14:textId="668ED7CB" w:rsidR="00BE00D2" w:rsidRPr="00BE00D2" w:rsidRDefault="00BE00D2" w:rsidP="001B0B94">
      <w:pPr>
        <w:pStyle w:val="CETBodytext"/>
        <w:numPr>
          <w:ilvl w:val="0"/>
          <w:numId w:val="16"/>
        </w:numPr>
      </w:pPr>
      <w:r w:rsidRPr="00BE00D2">
        <w:t>I</w:t>
      </w:r>
      <w:r w:rsidR="00230F07" w:rsidRPr="00BE00D2">
        <w:t>dentifying primary anthropogenic pollution sources and assessing their relative expected pressures on river water</w:t>
      </w:r>
      <w:r w:rsidR="0008476D" w:rsidRPr="00BE00D2">
        <w:t xml:space="preserve">, </w:t>
      </w:r>
    </w:p>
    <w:p w14:paraId="488A8D31" w14:textId="4CE29044" w:rsidR="00BE00D2" w:rsidRPr="00BE00D2" w:rsidRDefault="00BE00D2" w:rsidP="001B0B94">
      <w:pPr>
        <w:pStyle w:val="CETBodytext"/>
        <w:numPr>
          <w:ilvl w:val="0"/>
          <w:numId w:val="16"/>
        </w:numPr>
      </w:pPr>
      <w:r w:rsidRPr="00BE00D2">
        <w:t>S</w:t>
      </w:r>
      <w:r w:rsidR="00230F07" w:rsidRPr="00BE00D2">
        <w:t>patially allocating identified sources along the river using a raster-based approach</w:t>
      </w:r>
      <w:r w:rsidR="0008476D" w:rsidRPr="00BE00D2">
        <w:t xml:space="preserve">, and </w:t>
      </w:r>
    </w:p>
    <w:p w14:paraId="62FC033D" w14:textId="049F216E" w:rsidR="00BE00D2" w:rsidRPr="00BE00D2" w:rsidRDefault="00230F07" w:rsidP="001B0B94">
      <w:pPr>
        <w:pStyle w:val="CETBodytext"/>
        <w:numPr>
          <w:ilvl w:val="0"/>
          <w:numId w:val="16"/>
        </w:numPr>
      </w:pPr>
      <w:r w:rsidRPr="00BE00D2">
        <w:t>Assessing the overall biochemical state of surface water.</w:t>
      </w:r>
      <w:r w:rsidR="00B64E03" w:rsidRPr="00BE00D2">
        <w:t xml:space="preserve"> </w:t>
      </w:r>
    </w:p>
    <w:p w14:paraId="2FF140C8" w14:textId="3C4253E0" w:rsidR="00230F07" w:rsidRPr="00620862" w:rsidRDefault="00230F07" w:rsidP="00620862">
      <w:pPr>
        <w:pStyle w:val="CETBodytext"/>
      </w:pPr>
      <w:r w:rsidRPr="00620862">
        <w:t xml:space="preserve">The industrial activities considered significant for river quality deterioration include establishments under the Seveso Directive, activities subject to the IPPC-IED discipline, and wastewater treatment plants. Contaminated sites are also considered, representing former industrial activities that continue to indirectly impact water bodies. To address the scarcity of monitoring data, the methodology </w:t>
      </w:r>
      <w:r w:rsidR="00C52125">
        <w:t xml:space="preserve">relies on </w:t>
      </w:r>
      <w:r w:rsidRPr="00620862">
        <w:t xml:space="preserve">accessible official documentation for the assessment. </w:t>
      </w:r>
    </w:p>
    <w:p w14:paraId="341EA37D" w14:textId="652D4419" w:rsidR="00230F07" w:rsidRPr="00620862" w:rsidRDefault="00230F07" w:rsidP="007C2DC3">
      <w:pPr>
        <w:pStyle w:val="CETBodytext"/>
      </w:pPr>
      <w:r w:rsidRPr="00BE00D2">
        <w:t xml:space="preserve">The methodology </w:t>
      </w:r>
      <w:r w:rsidR="00E27DF4" w:rsidRPr="00BE00D2">
        <w:t>was applied to</w:t>
      </w:r>
      <w:r w:rsidRPr="00BE00D2">
        <w:t xml:space="preserve"> a</w:t>
      </w:r>
      <w:r w:rsidR="00E27DF4" w:rsidRPr="00BE00D2">
        <w:t xml:space="preserve"> river </w:t>
      </w:r>
      <w:r w:rsidRPr="00BE00D2">
        <w:t>basin exposed to various industrial pressures</w:t>
      </w:r>
      <w:r w:rsidR="00E27DF4" w:rsidRPr="00BE00D2">
        <w:t xml:space="preserve"> in the North of Italy</w:t>
      </w:r>
      <w:r w:rsidRPr="00BE00D2">
        <w:t>.</w:t>
      </w:r>
      <w:r w:rsidRPr="00620862">
        <w:t xml:space="preserve"> The obtained results have been compared with available water quality records to check </w:t>
      </w:r>
      <w:r w:rsidR="00B64E03">
        <w:t>the methodology's</w:t>
      </w:r>
      <w:r w:rsidRPr="00620862">
        <w:t xml:space="preserve"> ability to reproduce the trend of measured data along the main river stem.</w:t>
      </w:r>
      <w:r w:rsidR="00B64E03">
        <w:t xml:space="preserve"> </w:t>
      </w:r>
      <w:r w:rsidRPr="00620862">
        <w:t>The results of this preliminary investigation suggest that the developed approach has the potential to be a valuable tool for assessing biochemical river quality in regions with limited monitoring data.</w:t>
      </w:r>
    </w:p>
    <w:p w14:paraId="70CA89F9" w14:textId="77777777" w:rsidR="00022047" w:rsidRDefault="00600535" w:rsidP="00022047">
      <w:pPr>
        <w:pStyle w:val="CETHeading1"/>
        <w:rPr>
          <w:lang w:val="en-GB"/>
        </w:rPr>
      </w:pPr>
      <w:r w:rsidRPr="00B57B36">
        <w:rPr>
          <w:lang w:val="en-GB"/>
        </w:rPr>
        <w:t>Introduction</w:t>
      </w:r>
    </w:p>
    <w:p w14:paraId="607DA35E" w14:textId="304CFC50" w:rsidR="004A7C0E" w:rsidRPr="00863E7D" w:rsidRDefault="00247F0C" w:rsidP="004E388C">
      <w:pPr>
        <w:pStyle w:val="CETBodytext"/>
      </w:pPr>
      <w:r w:rsidRPr="00863E7D">
        <w:t xml:space="preserve">Surface water quality deterioration </w:t>
      </w:r>
      <w:r w:rsidR="004B2659" w:rsidRPr="00863E7D">
        <w:t>resulting from</w:t>
      </w:r>
      <w:r w:rsidRPr="00863E7D">
        <w:t xml:space="preserve"> anthropic activities is a global concern (Vigiak et al., 2023) that requires to be addressed with robust and sustainable management strategies</w:t>
      </w:r>
      <w:r w:rsidR="003246DF" w:rsidRPr="00863E7D">
        <w:t xml:space="preserve"> based on </w:t>
      </w:r>
      <w:r w:rsidR="00E030BA" w:rsidRPr="00863E7D">
        <w:t xml:space="preserve">the </w:t>
      </w:r>
      <w:r w:rsidR="0059760C" w:rsidRPr="00863E7D">
        <w:t>knowledge</w:t>
      </w:r>
      <w:r w:rsidR="00BA28E2" w:rsidRPr="00863E7D">
        <w:t xml:space="preserve"> of the</w:t>
      </w:r>
      <w:r w:rsidR="00C35FFD" w:rsidRPr="00863E7D">
        <w:t xml:space="preserve"> actual</w:t>
      </w:r>
      <w:r w:rsidR="00BA28E2" w:rsidRPr="00863E7D">
        <w:t xml:space="preserve"> </w:t>
      </w:r>
      <w:r w:rsidR="00E46EC0" w:rsidRPr="00863E7D">
        <w:t xml:space="preserve">water quality </w:t>
      </w:r>
      <w:r w:rsidR="003246DF" w:rsidRPr="00863E7D">
        <w:t>of</w:t>
      </w:r>
      <w:r w:rsidR="00C35FFD" w:rsidRPr="00863E7D">
        <w:t xml:space="preserve"> rivers</w:t>
      </w:r>
      <w:r w:rsidRPr="00863E7D">
        <w:t xml:space="preserve">. </w:t>
      </w:r>
      <w:r w:rsidR="0030252F" w:rsidRPr="00863E7D">
        <w:t>However, in</w:t>
      </w:r>
      <w:r w:rsidR="004A7C0E" w:rsidRPr="00863E7D">
        <w:t xml:space="preserve"> Europe, t</w:t>
      </w:r>
      <w:r w:rsidR="00DB4DF0" w:rsidRPr="00863E7D">
        <w:t>he assessment of the</w:t>
      </w:r>
      <w:r w:rsidR="004A7C0E" w:rsidRPr="00863E7D">
        <w:t xml:space="preserve"> </w:t>
      </w:r>
      <w:r w:rsidR="00DB4DF0" w:rsidRPr="00863E7D">
        <w:t xml:space="preserve">ecological status of </w:t>
      </w:r>
      <w:r w:rsidR="004A7C0E" w:rsidRPr="00863E7D">
        <w:t>waterbodies</w:t>
      </w:r>
      <w:r w:rsidR="00235D2A" w:rsidRPr="00863E7D">
        <w:t xml:space="preserve"> </w:t>
      </w:r>
      <w:r w:rsidR="00F07BC1" w:rsidRPr="00863E7D">
        <w:t>is</w:t>
      </w:r>
      <w:r w:rsidR="00FA61AE" w:rsidRPr="00863E7D">
        <w:t xml:space="preserve"> </w:t>
      </w:r>
      <w:r w:rsidR="009D6D9B" w:rsidRPr="00863E7D">
        <w:t xml:space="preserve">often hampered </w:t>
      </w:r>
      <w:r w:rsidR="00F07BC1" w:rsidRPr="00863E7D">
        <w:t>by</w:t>
      </w:r>
      <w:r w:rsidR="00B10CBF" w:rsidRPr="00863E7D">
        <w:t xml:space="preserve"> </w:t>
      </w:r>
      <w:r w:rsidR="00E328F8" w:rsidRPr="00863E7D">
        <w:t>poor</w:t>
      </w:r>
      <w:r w:rsidR="005C6F79" w:rsidRPr="00863E7D">
        <w:t xml:space="preserve"> monitoring systems </w:t>
      </w:r>
      <w:r w:rsidR="00E328F8" w:rsidRPr="00863E7D">
        <w:t>in terms of</w:t>
      </w:r>
      <w:r w:rsidR="005C6F79" w:rsidRPr="00863E7D">
        <w:t xml:space="preserve"> spatial and temporal coverage </w:t>
      </w:r>
      <w:r w:rsidR="00F07BC1" w:rsidRPr="00863E7D">
        <w:t>(Malaj et al., 201</w:t>
      </w:r>
      <w:r w:rsidR="006D78DE" w:rsidRPr="00863E7D">
        <w:t>4)</w:t>
      </w:r>
      <w:r w:rsidR="003177C6" w:rsidRPr="00863E7D">
        <w:t>,</w:t>
      </w:r>
      <w:r w:rsidR="006D78DE" w:rsidRPr="00863E7D">
        <w:t xml:space="preserve"> </w:t>
      </w:r>
      <w:r w:rsidR="00F42AF1" w:rsidRPr="00863E7D">
        <w:t>also posing</w:t>
      </w:r>
      <w:r w:rsidR="00CA27E4" w:rsidRPr="00863E7D">
        <w:t xml:space="preserve"> a challenge to establishing</w:t>
      </w:r>
      <w:r w:rsidR="002B12DE" w:rsidRPr="00863E7D">
        <w:t xml:space="preserve"> correlation</w:t>
      </w:r>
      <w:r w:rsidR="00C033A3" w:rsidRPr="00863E7D">
        <w:t>s</w:t>
      </w:r>
      <w:r w:rsidR="002B12DE" w:rsidRPr="00863E7D">
        <w:t xml:space="preserve"> </w:t>
      </w:r>
      <w:r w:rsidR="00C033A3" w:rsidRPr="00863E7D">
        <w:t xml:space="preserve">between </w:t>
      </w:r>
      <w:r w:rsidR="009E4D1F" w:rsidRPr="00863E7D">
        <w:t xml:space="preserve">water quality and the </w:t>
      </w:r>
      <w:r w:rsidR="00AA5DD8" w:rsidRPr="00863E7D">
        <w:t xml:space="preserve">most significant </w:t>
      </w:r>
      <w:r w:rsidR="009E4D1F" w:rsidRPr="00863E7D">
        <w:t>ant</w:t>
      </w:r>
      <w:r w:rsidR="00AA5DD8" w:rsidRPr="00863E7D">
        <w:t>hrop</w:t>
      </w:r>
      <w:r w:rsidR="009E4D1F" w:rsidRPr="00863E7D">
        <w:t xml:space="preserve">ic pressures </w:t>
      </w:r>
      <w:r w:rsidR="001D478F" w:rsidRPr="00863E7D">
        <w:t>exerted upon a</w:t>
      </w:r>
      <w:r w:rsidR="009C69B6" w:rsidRPr="00863E7D">
        <w:t xml:space="preserve"> </w:t>
      </w:r>
      <w:r w:rsidR="009E4D1F" w:rsidRPr="00863E7D">
        <w:t>w</w:t>
      </w:r>
      <w:r w:rsidR="00AA5DD8" w:rsidRPr="00863E7D">
        <w:t xml:space="preserve">atercourse (Grizzetti et al., 2017). </w:t>
      </w:r>
      <w:r w:rsidR="00AD2E77" w:rsidRPr="00863E7D">
        <w:t>Among the heterogen</w:t>
      </w:r>
      <w:r w:rsidR="009168D2" w:rsidRPr="00863E7D">
        <w:t>e</w:t>
      </w:r>
      <w:r w:rsidR="00AD2E77" w:rsidRPr="00863E7D">
        <w:t>ous pressures</w:t>
      </w:r>
      <w:r w:rsidR="00151C16" w:rsidRPr="00863E7D">
        <w:t xml:space="preserve"> that can affe</w:t>
      </w:r>
      <w:r w:rsidR="00097576" w:rsidRPr="00863E7D">
        <w:t>ct the ecological status of surface waters</w:t>
      </w:r>
      <w:r w:rsidR="00AD2E77" w:rsidRPr="00863E7D">
        <w:t xml:space="preserve">, industrial </w:t>
      </w:r>
      <w:r w:rsidR="003F6E62" w:rsidRPr="00863E7D">
        <w:t>effluents</w:t>
      </w:r>
      <w:r w:rsidR="00AD2E77" w:rsidRPr="00863E7D">
        <w:t xml:space="preserve"> </w:t>
      </w:r>
      <w:r w:rsidR="00125F66" w:rsidRPr="00863E7D">
        <w:t>stand out</w:t>
      </w:r>
      <w:r w:rsidR="00E33C1B" w:rsidRPr="00863E7D">
        <w:t xml:space="preserve"> </w:t>
      </w:r>
      <w:r w:rsidR="009706C9" w:rsidRPr="00863E7D">
        <w:t>due to</w:t>
      </w:r>
      <w:r w:rsidR="003F6E62" w:rsidRPr="00863E7D">
        <w:t xml:space="preserve"> </w:t>
      </w:r>
      <w:r w:rsidR="00730ED6" w:rsidRPr="00863E7D">
        <w:t>the</w:t>
      </w:r>
      <w:r w:rsidR="003F6E62" w:rsidRPr="00863E7D">
        <w:t xml:space="preserve"> wide variety of </w:t>
      </w:r>
      <w:r w:rsidR="00D37291" w:rsidRPr="00863E7D">
        <w:t>pollutants</w:t>
      </w:r>
      <w:r w:rsidR="00730ED6" w:rsidRPr="00863E7D">
        <w:t xml:space="preserve"> </w:t>
      </w:r>
      <w:r w:rsidR="00C034BA" w:rsidRPr="00863E7D">
        <w:t xml:space="preserve">they </w:t>
      </w:r>
      <w:r w:rsidR="008E2188" w:rsidRPr="00863E7D">
        <w:t>i</w:t>
      </w:r>
      <w:r w:rsidR="00C034BA" w:rsidRPr="00863E7D">
        <w:t>ntroduce in the</w:t>
      </w:r>
      <w:r w:rsidR="003F6E62" w:rsidRPr="00863E7D">
        <w:t xml:space="preserve"> aquatic environment </w:t>
      </w:r>
      <w:r w:rsidR="008E2188" w:rsidRPr="00863E7D">
        <w:t>during normal operations</w:t>
      </w:r>
      <w:r w:rsidR="00326E36" w:rsidRPr="00863E7D">
        <w:t xml:space="preserve"> </w:t>
      </w:r>
      <w:r w:rsidR="003F6E62" w:rsidRPr="00863E7D">
        <w:t>(</w:t>
      </w:r>
      <w:r w:rsidR="003F6E62" w:rsidRPr="00863E7D">
        <w:rPr>
          <w:lang w:val="en-GB"/>
        </w:rPr>
        <w:t>Adewumi et al., 2011).</w:t>
      </w:r>
      <w:r w:rsidR="004D6287" w:rsidRPr="00863E7D">
        <w:rPr>
          <w:lang w:val="en-GB"/>
        </w:rPr>
        <w:t xml:space="preserve"> </w:t>
      </w:r>
    </w:p>
    <w:p w14:paraId="676957A9" w14:textId="7EF52AEE" w:rsidR="005F56C7" w:rsidRDefault="001921EF" w:rsidP="004E388C">
      <w:pPr>
        <w:pStyle w:val="CETBodytext"/>
        <w:rPr>
          <w:lang w:val="en-GB"/>
        </w:rPr>
      </w:pPr>
      <w:r w:rsidRPr="00863E7D">
        <w:rPr>
          <w:lang w:val="en-GB"/>
        </w:rPr>
        <w:t>T</w:t>
      </w:r>
      <w:r w:rsidR="005F56C7" w:rsidRPr="00863E7D">
        <w:rPr>
          <w:lang w:val="en-GB"/>
        </w:rPr>
        <w:t xml:space="preserve">he assessment </w:t>
      </w:r>
      <w:r w:rsidR="00202FED" w:rsidRPr="00863E7D">
        <w:rPr>
          <w:lang w:val="en-GB"/>
        </w:rPr>
        <w:t xml:space="preserve">of </w:t>
      </w:r>
      <w:r w:rsidR="00FA4132" w:rsidRPr="00863E7D">
        <w:rPr>
          <w:lang w:val="en-GB"/>
        </w:rPr>
        <w:t>surface water ecological status</w:t>
      </w:r>
      <w:r w:rsidR="00202FED" w:rsidRPr="00863E7D">
        <w:rPr>
          <w:lang w:val="en-GB"/>
        </w:rPr>
        <w:t xml:space="preserve"> </w:t>
      </w:r>
      <w:r w:rsidR="009706C9" w:rsidRPr="00863E7D">
        <w:rPr>
          <w:lang w:val="en-GB"/>
        </w:rPr>
        <w:t>typically relies on</w:t>
      </w:r>
      <w:r w:rsidR="00C94E8B" w:rsidRPr="00863E7D">
        <w:rPr>
          <w:lang w:val="en-GB"/>
        </w:rPr>
        <w:t xml:space="preserve"> index-based methods </w:t>
      </w:r>
      <w:r w:rsidR="002A6EFD" w:rsidRPr="00863E7D">
        <w:rPr>
          <w:lang w:val="en-GB"/>
        </w:rPr>
        <w:t>mainly</w:t>
      </w:r>
      <w:r w:rsidR="00754B7D" w:rsidRPr="00863E7D">
        <w:rPr>
          <w:lang w:val="en-GB"/>
        </w:rPr>
        <w:t xml:space="preserve"> dependent</w:t>
      </w:r>
      <w:r w:rsidR="002C1929" w:rsidRPr="00863E7D">
        <w:rPr>
          <w:lang w:val="en-GB"/>
        </w:rPr>
        <w:t xml:space="preserve"> </w:t>
      </w:r>
      <w:r w:rsidR="00C94E8B" w:rsidRPr="00863E7D">
        <w:rPr>
          <w:lang w:val="en-GB"/>
        </w:rPr>
        <w:t>on monitoring data (</w:t>
      </w:r>
      <w:r w:rsidR="007F3AD8" w:rsidRPr="00863E7D">
        <w:rPr>
          <w:lang w:val="en-GB"/>
        </w:rPr>
        <w:t xml:space="preserve">e.g., </w:t>
      </w:r>
      <w:r w:rsidR="00C94E8B" w:rsidRPr="00863E7D">
        <w:rPr>
          <w:lang w:val="en-GB"/>
        </w:rPr>
        <w:t>Uddin et al., 2021;</w:t>
      </w:r>
      <w:r w:rsidR="00C94E8B" w:rsidRPr="00863E7D">
        <w:rPr>
          <w:rFonts w:ascii="Times New Roman" w:hAnsi="Times New Roman"/>
          <w:sz w:val="20"/>
        </w:rPr>
        <w:t xml:space="preserve"> </w:t>
      </w:r>
      <w:r w:rsidR="00C94E8B" w:rsidRPr="00863E7D">
        <w:rPr>
          <w:lang w:val="en-GB"/>
        </w:rPr>
        <w:t>Mirauda et al., 2021)</w:t>
      </w:r>
      <w:r w:rsidR="00B30D74" w:rsidRPr="00863E7D">
        <w:rPr>
          <w:lang w:val="en-GB"/>
        </w:rPr>
        <w:t xml:space="preserve">, </w:t>
      </w:r>
      <w:r w:rsidR="00DF0F9A" w:rsidRPr="00863E7D">
        <w:rPr>
          <w:lang w:val="en-GB"/>
        </w:rPr>
        <w:t>posing</w:t>
      </w:r>
      <w:r w:rsidR="00B30D74" w:rsidRPr="00863E7D">
        <w:rPr>
          <w:lang w:val="en-GB"/>
        </w:rPr>
        <w:t xml:space="preserve"> limitation</w:t>
      </w:r>
      <w:r w:rsidR="00DF0F9A" w:rsidRPr="00863E7D">
        <w:rPr>
          <w:lang w:val="en-GB"/>
        </w:rPr>
        <w:t>s</w:t>
      </w:r>
      <w:r w:rsidR="00B30D74" w:rsidRPr="00863E7D">
        <w:rPr>
          <w:lang w:val="en-GB"/>
        </w:rPr>
        <w:t xml:space="preserve"> in the case of unmonitored or poorly monitored watercourses. </w:t>
      </w:r>
      <w:r w:rsidR="004E1A73" w:rsidRPr="00863E7D">
        <w:rPr>
          <w:lang w:val="en-GB"/>
        </w:rPr>
        <w:t>Some recent studies have attempted</w:t>
      </w:r>
      <w:r w:rsidR="006420DE" w:rsidRPr="00863E7D">
        <w:rPr>
          <w:lang w:val="en-GB"/>
        </w:rPr>
        <w:t xml:space="preserve"> to overcome this constraint </w:t>
      </w:r>
      <w:r w:rsidR="007F3AD8" w:rsidRPr="00863E7D">
        <w:rPr>
          <w:lang w:val="en-GB"/>
        </w:rPr>
        <w:t xml:space="preserve">by </w:t>
      </w:r>
      <w:r w:rsidR="001071F7" w:rsidRPr="00863E7D">
        <w:rPr>
          <w:lang w:val="en-GB"/>
        </w:rPr>
        <w:t xml:space="preserve">defining approaches </w:t>
      </w:r>
      <w:r w:rsidR="00B72360" w:rsidRPr="00863E7D">
        <w:rPr>
          <w:lang w:val="en-GB"/>
        </w:rPr>
        <w:t xml:space="preserve">focused </w:t>
      </w:r>
      <w:r w:rsidR="0040192B" w:rsidRPr="00863E7D">
        <w:rPr>
          <w:lang w:val="en-GB"/>
        </w:rPr>
        <w:t xml:space="preserve">on </w:t>
      </w:r>
      <w:r w:rsidR="008D7300" w:rsidRPr="00863E7D">
        <w:rPr>
          <w:lang w:val="en-GB"/>
        </w:rPr>
        <w:t>characteri</w:t>
      </w:r>
      <w:r w:rsidR="008D7300">
        <w:rPr>
          <w:lang w:val="en-GB"/>
        </w:rPr>
        <w:t>z</w:t>
      </w:r>
      <w:r w:rsidR="008D7300" w:rsidRPr="00863E7D">
        <w:rPr>
          <w:lang w:val="en-GB"/>
        </w:rPr>
        <w:t xml:space="preserve">ing </w:t>
      </w:r>
      <w:r w:rsidR="00B72360" w:rsidRPr="00863E7D">
        <w:rPr>
          <w:lang w:val="en-GB"/>
        </w:rPr>
        <w:t>the</w:t>
      </w:r>
      <w:r w:rsidR="0040192B" w:rsidRPr="00863E7D">
        <w:rPr>
          <w:lang w:val="en-GB"/>
        </w:rPr>
        <w:t xml:space="preserve"> pollution sources affecting surface waters </w:t>
      </w:r>
      <w:r w:rsidR="001957A6" w:rsidRPr="00863E7D">
        <w:rPr>
          <w:lang w:val="en-GB"/>
        </w:rPr>
        <w:t>(e.g., Arrighi et al., 2010</w:t>
      </w:r>
      <w:r w:rsidR="007F3AD8" w:rsidRPr="00863E7D">
        <w:rPr>
          <w:lang w:val="en-GB"/>
        </w:rPr>
        <w:t>;</w:t>
      </w:r>
      <w:r w:rsidR="001957A6" w:rsidRPr="00863E7D">
        <w:rPr>
          <w:lang w:val="en-GB"/>
        </w:rPr>
        <w:t xml:space="preserve"> Ouyang et al.</w:t>
      </w:r>
      <w:r w:rsidR="00F42AF1" w:rsidRPr="00863E7D">
        <w:rPr>
          <w:lang w:val="en-GB"/>
        </w:rPr>
        <w:t>,</w:t>
      </w:r>
      <w:r w:rsidR="001957A6" w:rsidRPr="00863E7D">
        <w:rPr>
          <w:lang w:val="en-GB"/>
        </w:rPr>
        <w:t xml:space="preserve"> 2015)</w:t>
      </w:r>
      <w:r w:rsidR="009F7913" w:rsidRPr="00863E7D">
        <w:rPr>
          <w:lang w:val="en-GB"/>
        </w:rPr>
        <w:t xml:space="preserve">. </w:t>
      </w:r>
      <w:r w:rsidR="00A75C77" w:rsidRPr="00863E7D">
        <w:rPr>
          <w:lang w:val="en-GB"/>
        </w:rPr>
        <w:t>However</w:t>
      </w:r>
      <w:r w:rsidR="009F7913" w:rsidRPr="00863E7D">
        <w:rPr>
          <w:lang w:val="en-GB"/>
        </w:rPr>
        <w:t>,</w:t>
      </w:r>
      <w:r w:rsidR="00A75C77" w:rsidRPr="00863E7D">
        <w:rPr>
          <w:lang w:val="en-GB"/>
        </w:rPr>
        <w:t xml:space="preserve"> these approaches do not allow </w:t>
      </w:r>
      <w:r w:rsidR="00070472" w:rsidRPr="00863E7D">
        <w:rPr>
          <w:lang w:val="en-GB"/>
        </w:rPr>
        <w:t xml:space="preserve">for </w:t>
      </w:r>
      <w:r w:rsidR="001100FC" w:rsidRPr="00863E7D">
        <w:rPr>
          <w:lang w:val="en-GB"/>
        </w:rPr>
        <w:t>the identification of</w:t>
      </w:r>
      <w:r w:rsidR="007B0F86" w:rsidRPr="00863E7D">
        <w:rPr>
          <w:lang w:val="en-GB"/>
        </w:rPr>
        <w:t xml:space="preserve"> the </w:t>
      </w:r>
      <w:r w:rsidR="00706B4A" w:rsidRPr="00863E7D">
        <w:rPr>
          <w:lang w:val="en-GB"/>
        </w:rPr>
        <w:t>most impacted sections of a river.</w:t>
      </w:r>
      <w:r w:rsidR="00706B4A">
        <w:rPr>
          <w:lang w:val="en-GB"/>
        </w:rPr>
        <w:t xml:space="preserve"> </w:t>
      </w:r>
    </w:p>
    <w:p w14:paraId="606EA072" w14:textId="4F86BCDC" w:rsidR="00DA4BE3" w:rsidRDefault="00706B4A" w:rsidP="00665CA8">
      <w:pPr>
        <w:pStyle w:val="CETBodytext"/>
        <w:rPr>
          <w:lang w:val="en-GB"/>
        </w:rPr>
      </w:pPr>
      <w:r>
        <w:rPr>
          <w:lang w:val="en-GB"/>
        </w:rPr>
        <w:lastRenderedPageBreak/>
        <w:t>In this context, a</w:t>
      </w:r>
      <w:r w:rsidR="002C69C4">
        <w:rPr>
          <w:lang w:val="en-GB"/>
        </w:rPr>
        <w:t xml:space="preserve">n innovative </w:t>
      </w:r>
      <w:r w:rsidR="00665CA8">
        <w:rPr>
          <w:lang w:val="en-GB"/>
        </w:rPr>
        <w:t>short-cut methodology</w:t>
      </w:r>
      <w:r w:rsidR="0053257E">
        <w:rPr>
          <w:lang w:val="en-GB"/>
        </w:rPr>
        <w:t xml:space="preserve"> </w:t>
      </w:r>
      <w:r w:rsidR="003D0F5D">
        <w:rPr>
          <w:lang w:val="en-GB"/>
        </w:rPr>
        <w:t>is proposed to assess the biochemical quality of surface waters at a basin or sub-basin level</w:t>
      </w:r>
      <w:r w:rsidR="002C69C4">
        <w:rPr>
          <w:lang w:val="en-GB"/>
        </w:rPr>
        <w:t>.</w:t>
      </w:r>
      <w:r w:rsidR="00173B88">
        <w:t xml:space="preserve"> </w:t>
      </w:r>
      <w:r w:rsidR="00665CA8">
        <w:rPr>
          <w:lang w:val="en-GB"/>
        </w:rPr>
        <w:t xml:space="preserve">Its main novelties are the procedure </w:t>
      </w:r>
      <w:r w:rsidR="00FE2F55">
        <w:rPr>
          <w:lang w:val="en-GB"/>
        </w:rPr>
        <w:t>defined for the</w:t>
      </w:r>
      <w:r w:rsidR="0018601A">
        <w:rPr>
          <w:lang w:val="en-GB"/>
        </w:rPr>
        <w:t xml:space="preserve"> identification and the</w:t>
      </w:r>
      <w:r w:rsidR="00FE2F55">
        <w:rPr>
          <w:lang w:val="en-GB"/>
        </w:rPr>
        <w:t xml:space="preserve"> characterization of</w:t>
      </w:r>
      <w:r w:rsidR="00665CA8">
        <w:rPr>
          <w:lang w:val="en-GB"/>
        </w:rPr>
        <w:t xml:space="preserve"> </w:t>
      </w:r>
      <w:r w:rsidR="0018601A">
        <w:rPr>
          <w:lang w:val="en-GB"/>
        </w:rPr>
        <w:t xml:space="preserve">the </w:t>
      </w:r>
      <w:r w:rsidR="00B67287">
        <w:rPr>
          <w:lang w:val="en-GB"/>
        </w:rPr>
        <w:t xml:space="preserve">most relevant </w:t>
      </w:r>
      <w:r w:rsidR="00665CA8">
        <w:rPr>
          <w:lang w:val="en-GB"/>
        </w:rPr>
        <w:t xml:space="preserve">pollution sources using public authoritative data and the approach defined to </w:t>
      </w:r>
      <w:r w:rsidR="002F60A0">
        <w:rPr>
          <w:lang w:val="en-GB"/>
        </w:rPr>
        <w:t>spatially allocate the results obtained</w:t>
      </w:r>
      <w:r w:rsidR="0021456F">
        <w:rPr>
          <w:lang w:val="en-GB"/>
        </w:rPr>
        <w:t xml:space="preserve"> from the characterization phase</w:t>
      </w:r>
      <w:r w:rsidR="002F60A0">
        <w:rPr>
          <w:lang w:val="en-GB"/>
        </w:rPr>
        <w:t xml:space="preserve"> </w:t>
      </w:r>
      <w:r w:rsidR="00665CA8">
        <w:rPr>
          <w:lang w:val="en-GB"/>
        </w:rPr>
        <w:t>along a</w:t>
      </w:r>
      <w:r w:rsidR="00B10D2C">
        <w:rPr>
          <w:lang w:val="en-GB"/>
        </w:rPr>
        <w:t xml:space="preserve"> </w:t>
      </w:r>
      <w:r w:rsidR="00665CA8">
        <w:rPr>
          <w:lang w:val="en-GB"/>
        </w:rPr>
        <w:t>watercourse</w:t>
      </w:r>
      <w:r w:rsidR="003D0F5D">
        <w:rPr>
          <w:lang w:val="en-GB"/>
        </w:rPr>
        <w:t>,</w:t>
      </w:r>
      <w:r w:rsidR="00665CA8" w:rsidRPr="00665CA8">
        <w:rPr>
          <w:lang w:val="en-GB"/>
        </w:rPr>
        <w:t xml:space="preserve"> </w:t>
      </w:r>
      <w:r w:rsidR="00665CA8" w:rsidRPr="009934B9">
        <w:rPr>
          <w:lang w:val="en-GB"/>
        </w:rPr>
        <w:t>tak</w:t>
      </w:r>
      <w:r w:rsidR="00665CA8">
        <w:rPr>
          <w:lang w:val="en-GB"/>
        </w:rPr>
        <w:t>ing</w:t>
      </w:r>
      <w:r w:rsidR="00665CA8" w:rsidRPr="009934B9">
        <w:rPr>
          <w:lang w:val="en-GB"/>
        </w:rPr>
        <w:t xml:space="preserve"> into account</w:t>
      </w:r>
      <w:r w:rsidR="00665CA8">
        <w:rPr>
          <w:lang w:val="en-GB"/>
        </w:rPr>
        <w:t xml:space="preserve"> </w:t>
      </w:r>
      <w:r w:rsidR="00B10D2C">
        <w:rPr>
          <w:lang w:val="en-GB"/>
        </w:rPr>
        <w:t>the</w:t>
      </w:r>
      <w:r w:rsidR="007F184F">
        <w:rPr>
          <w:lang w:val="en-GB"/>
        </w:rPr>
        <w:t xml:space="preserve"> location of the sources and the hydrologic characteristics of </w:t>
      </w:r>
      <w:r w:rsidR="00173B88">
        <w:rPr>
          <w:lang w:val="en-GB"/>
        </w:rPr>
        <w:t>the river</w:t>
      </w:r>
      <w:r w:rsidR="00665CA8">
        <w:rPr>
          <w:lang w:val="en-GB"/>
        </w:rPr>
        <w:t xml:space="preserve">. </w:t>
      </w:r>
      <w:r w:rsidR="00F20B0A">
        <w:rPr>
          <w:lang w:val="en-GB"/>
        </w:rPr>
        <w:t xml:space="preserve">The </w:t>
      </w:r>
      <w:r w:rsidR="00BD5A76">
        <w:rPr>
          <w:lang w:val="en-GB"/>
        </w:rPr>
        <w:t>methodology</w:t>
      </w:r>
      <w:r w:rsidR="00F20B0A">
        <w:rPr>
          <w:lang w:val="en-GB"/>
        </w:rPr>
        <w:t xml:space="preserve"> was applied to a sub-basin in the North of Italy</w:t>
      </w:r>
      <w:r w:rsidR="005E3B49">
        <w:rPr>
          <w:lang w:val="en-GB"/>
        </w:rPr>
        <w:t xml:space="preserve"> (Emilia Romagna Region)</w:t>
      </w:r>
      <w:r w:rsidR="00CF1479">
        <w:rPr>
          <w:lang w:val="en-GB"/>
        </w:rPr>
        <w:t xml:space="preserve">, </w:t>
      </w:r>
      <w:r w:rsidR="00983732">
        <w:rPr>
          <w:lang w:val="en-GB"/>
        </w:rPr>
        <w:t>and</w:t>
      </w:r>
      <w:r w:rsidR="00CF1479">
        <w:rPr>
          <w:lang w:val="en-GB"/>
        </w:rPr>
        <w:t xml:space="preserve"> the results were analyzed and compared with the available monitoring data to validate their</w:t>
      </w:r>
      <w:r w:rsidR="005E3B49">
        <w:rPr>
          <w:lang w:val="en-GB"/>
        </w:rPr>
        <w:t xml:space="preserve"> consistency</w:t>
      </w:r>
      <w:r w:rsidR="00BD32C6">
        <w:rPr>
          <w:lang w:val="en-GB"/>
        </w:rPr>
        <w:t xml:space="preserve">. </w:t>
      </w:r>
    </w:p>
    <w:p w14:paraId="31A96D38" w14:textId="65635331" w:rsidR="00751DA3" w:rsidRDefault="00022047" w:rsidP="002653B9">
      <w:pPr>
        <w:pStyle w:val="CETHeading1"/>
        <w:tabs>
          <w:tab w:val="num" w:pos="360"/>
        </w:tabs>
        <w:rPr>
          <w:lang w:val="en-GB"/>
        </w:rPr>
      </w:pPr>
      <w:r w:rsidRPr="00A00423">
        <w:rPr>
          <w:lang w:val="en-GB"/>
        </w:rPr>
        <w:t>Methodology</w:t>
      </w:r>
    </w:p>
    <w:p w14:paraId="600C6F34" w14:textId="75A11B12" w:rsidR="00B762F6" w:rsidRPr="00934808" w:rsidRDefault="00105EB2" w:rsidP="00B762F6">
      <w:pPr>
        <w:pStyle w:val="CETBodytext"/>
      </w:pPr>
      <w:r>
        <w:rPr>
          <w:lang w:val="en-GB"/>
        </w:rPr>
        <w:t>The present work proposed an i</w:t>
      </w:r>
      <w:r w:rsidR="00C459BB">
        <w:rPr>
          <w:lang w:val="en-GB"/>
        </w:rPr>
        <w:t>n</w:t>
      </w:r>
      <w:r>
        <w:rPr>
          <w:lang w:val="en-GB"/>
        </w:rPr>
        <w:t xml:space="preserve">dex-based methodology </w:t>
      </w:r>
      <w:r w:rsidR="00CF1479">
        <w:rPr>
          <w:lang w:val="en-GB"/>
        </w:rPr>
        <w:t>to assess surface water's biochemical quality</w:t>
      </w:r>
      <w:r w:rsidR="00F93CA0">
        <w:rPr>
          <w:lang w:val="en-GB"/>
        </w:rPr>
        <w:t xml:space="preserve"> </w:t>
      </w:r>
      <w:r w:rsidR="007B66BC">
        <w:rPr>
          <w:lang w:val="en-GB"/>
        </w:rPr>
        <w:t xml:space="preserve">starting from easily accessible data on the </w:t>
      </w:r>
      <w:r w:rsidR="000D360A">
        <w:rPr>
          <w:lang w:val="en-GB"/>
        </w:rPr>
        <w:t>pressures</w:t>
      </w:r>
      <w:r w:rsidR="007B66BC">
        <w:rPr>
          <w:lang w:val="en-GB"/>
        </w:rPr>
        <w:t xml:space="preserve"> exerted on a defined area (i.e., on a basin or sub-basin). </w:t>
      </w:r>
      <w:r w:rsidR="00AF04B7">
        <w:rPr>
          <w:lang w:val="en-GB"/>
        </w:rPr>
        <w:t xml:space="preserve">The approach </w:t>
      </w:r>
      <w:r w:rsidR="00E51078">
        <w:rPr>
          <w:lang w:val="en-GB"/>
        </w:rPr>
        <w:t>comprises</w:t>
      </w:r>
      <w:r w:rsidR="00AF04B7">
        <w:rPr>
          <w:lang w:val="en-GB"/>
        </w:rPr>
        <w:t xml:space="preserve"> three main </w:t>
      </w:r>
      <w:r w:rsidR="00F05112">
        <w:rPr>
          <w:lang w:val="en-GB"/>
        </w:rPr>
        <w:t>steps</w:t>
      </w:r>
      <w:r w:rsidR="00934808">
        <w:rPr>
          <w:lang w:val="en-GB"/>
        </w:rPr>
        <w:t xml:space="preserve"> that will be described in the following sections:</w:t>
      </w:r>
    </w:p>
    <w:p w14:paraId="074D2421" w14:textId="22D11063" w:rsidR="00B762F6" w:rsidRPr="00B762F6" w:rsidRDefault="00B762F6" w:rsidP="001B0B94">
      <w:pPr>
        <w:pStyle w:val="Paragrafoelenco"/>
        <w:numPr>
          <w:ilvl w:val="0"/>
          <w:numId w:val="15"/>
        </w:numPr>
        <w:ind w:left="567"/>
      </w:pPr>
      <w:r w:rsidRPr="69E4577E">
        <w:t xml:space="preserve">identification and characterization of the relevant </w:t>
      </w:r>
      <w:r w:rsidR="00A42420" w:rsidRPr="69E4577E">
        <w:t>anthropogenic</w:t>
      </w:r>
      <w:r w:rsidRPr="69E4577E">
        <w:t xml:space="preserve"> </w:t>
      </w:r>
      <w:r w:rsidR="00045A51" w:rsidRPr="69E4577E">
        <w:t>pressures</w:t>
      </w:r>
      <w:r w:rsidR="00F05112" w:rsidRPr="69E4577E">
        <w:t xml:space="preserve"> (Section 2.1</w:t>
      </w:r>
      <w:r w:rsidR="00737F93" w:rsidRPr="69E4577E">
        <w:t>)</w:t>
      </w:r>
      <w:r w:rsidR="00864DC8">
        <w:t>,</w:t>
      </w:r>
    </w:p>
    <w:p w14:paraId="6A4FDD4C" w14:textId="1132B21B" w:rsidR="00B762F6" w:rsidRPr="00B762F6" w:rsidRDefault="00AE19D5" w:rsidP="001B0B94">
      <w:pPr>
        <w:pStyle w:val="CETBodytext"/>
        <w:numPr>
          <w:ilvl w:val="0"/>
          <w:numId w:val="15"/>
        </w:numPr>
        <w:ind w:left="567"/>
      </w:pPr>
      <w:r w:rsidRPr="00EC549D">
        <w:t xml:space="preserve">spatial allocation of the </w:t>
      </w:r>
      <w:r w:rsidR="008C1F6A">
        <w:t xml:space="preserve">identified </w:t>
      </w:r>
      <w:r w:rsidR="00045A51">
        <w:t xml:space="preserve">pressures </w:t>
      </w:r>
      <w:r w:rsidR="008C1F6A">
        <w:t>along the river</w:t>
      </w:r>
      <w:r w:rsidR="00F05112">
        <w:t xml:space="preserve"> (Section 2.2)</w:t>
      </w:r>
      <w:r w:rsidR="00785CE3">
        <w:t xml:space="preserve">, and </w:t>
      </w:r>
    </w:p>
    <w:p w14:paraId="6A5796E6" w14:textId="158C4EDC" w:rsidR="00934808" w:rsidRDefault="008C1F6A" w:rsidP="001B0B94">
      <w:pPr>
        <w:pStyle w:val="CETBodytext"/>
        <w:numPr>
          <w:ilvl w:val="0"/>
          <w:numId w:val="15"/>
        </w:numPr>
        <w:ind w:left="567"/>
      </w:pPr>
      <w:r>
        <w:t xml:space="preserve">assessment </w:t>
      </w:r>
      <w:r w:rsidR="00B23DE2">
        <w:t>of the overall biochemical state of surface water consider</w:t>
      </w:r>
      <w:r w:rsidR="00F07127">
        <w:t>ing the hydrological characteristics of the watercourse</w:t>
      </w:r>
      <w:r w:rsidR="00F05112">
        <w:t xml:space="preserve"> (Section 2.3)</w:t>
      </w:r>
      <w:r w:rsidR="00F07127">
        <w:t xml:space="preserve">. </w:t>
      </w:r>
    </w:p>
    <w:p w14:paraId="1B16C81A" w14:textId="2F191E60" w:rsidR="00F337AE" w:rsidRPr="00A42420" w:rsidRDefault="0046017F" w:rsidP="008135B6">
      <w:pPr>
        <w:pStyle w:val="CETheadingx"/>
      </w:pPr>
      <w:r>
        <w:t>Identification and c</w:t>
      </w:r>
      <w:r w:rsidR="00805372">
        <w:t>haracterization of the ant</w:t>
      </w:r>
      <w:r w:rsidR="00C44733">
        <w:t>h</w:t>
      </w:r>
      <w:r w:rsidR="00805372">
        <w:t xml:space="preserve">ropogenic </w:t>
      </w:r>
      <w:r>
        <w:t>pressures</w:t>
      </w:r>
    </w:p>
    <w:p w14:paraId="32108074" w14:textId="0789F7AC" w:rsidR="00F352C0" w:rsidRPr="00863E7D" w:rsidRDefault="00F05112" w:rsidP="008135B6">
      <w:pPr>
        <w:pStyle w:val="CETBodytext"/>
        <w:rPr>
          <w:lang w:val="en-GB"/>
        </w:rPr>
      </w:pPr>
      <w:r w:rsidRPr="00863E7D">
        <w:t xml:space="preserve">Industrial </w:t>
      </w:r>
      <w:r w:rsidR="00E51078" w:rsidRPr="00863E7D">
        <w:t>activitie</w:t>
      </w:r>
      <w:r w:rsidR="005F76CB" w:rsidRPr="00863E7D">
        <w:t>s</w:t>
      </w:r>
      <w:r w:rsidRPr="00863E7D">
        <w:t xml:space="preserve"> </w:t>
      </w:r>
      <w:r w:rsidR="00E51078" w:rsidRPr="00863E7D">
        <w:rPr>
          <w:lang w:val="en-GB"/>
        </w:rPr>
        <w:t>are</w:t>
      </w:r>
      <w:r w:rsidRPr="00863E7D">
        <w:rPr>
          <w:lang w:val="en-GB"/>
        </w:rPr>
        <w:t xml:space="preserve"> considered t</w:t>
      </w:r>
      <w:r w:rsidR="002C6888" w:rsidRPr="00863E7D">
        <w:rPr>
          <w:lang w:val="en-GB"/>
        </w:rPr>
        <w:t>he</w:t>
      </w:r>
      <w:r w:rsidR="002C6888" w:rsidRPr="00863E7D">
        <w:t xml:space="preserve"> </w:t>
      </w:r>
      <w:r w:rsidR="005E5D93" w:rsidRPr="00863E7D">
        <w:t xml:space="preserve">most significant </w:t>
      </w:r>
      <w:r w:rsidR="002E30DC" w:rsidRPr="00863E7D">
        <w:t xml:space="preserve">anthropic </w:t>
      </w:r>
      <w:r w:rsidR="002C6888" w:rsidRPr="00863E7D">
        <w:t>pressur</w:t>
      </w:r>
      <w:r w:rsidR="00726DF0" w:rsidRPr="00863E7D">
        <w:t>e</w:t>
      </w:r>
      <w:r w:rsidR="002C6888" w:rsidRPr="00863E7D">
        <w:t xml:space="preserve"> </w:t>
      </w:r>
      <w:r w:rsidR="005E5D93" w:rsidRPr="00863E7D">
        <w:t>that affect</w:t>
      </w:r>
      <w:r w:rsidR="00937E04" w:rsidRPr="00863E7D">
        <w:t>s</w:t>
      </w:r>
      <w:r w:rsidR="005E5D93" w:rsidRPr="00863E7D">
        <w:t xml:space="preserve"> </w:t>
      </w:r>
      <w:r w:rsidR="009F7913" w:rsidRPr="00863E7D">
        <w:t>surface water</w:t>
      </w:r>
      <w:r w:rsidR="00795AC2" w:rsidRPr="00863E7D">
        <w:t xml:space="preserve"> quality</w:t>
      </w:r>
      <w:r w:rsidR="009F7913" w:rsidRPr="00863E7D">
        <w:t xml:space="preserve"> </w:t>
      </w:r>
      <w:r w:rsidR="005D48D5" w:rsidRPr="00863E7D">
        <w:t>(</w:t>
      </w:r>
      <w:r w:rsidR="005D48D5" w:rsidRPr="00863E7D">
        <w:rPr>
          <w:lang w:val="en-GB"/>
        </w:rPr>
        <w:t>Adewumi et al., 2011)</w:t>
      </w:r>
      <w:r w:rsidR="00726DF0" w:rsidRPr="00863E7D">
        <w:t>.</w:t>
      </w:r>
      <w:r w:rsidR="005D48D5" w:rsidRPr="00863E7D">
        <w:t xml:space="preserve"> </w:t>
      </w:r>
      <w:r w:rsidR="005D48D5" w:rsidRPr="00863E7D">
        <w:tab/>
        <w:t xml:space="preserve">Among </w:t>
      </w:r>
      <w:r w:rsidR="00795AC2" w:rsidRPr="00863E7D">
        <w:t>these</w:t>
      </w:r>
      <w:r w:rsidR="005D48D5" w:rsidRPr="00863E7D">
        <w:t xml:space="preserve">, </w:t>
      </w:r>
      <w:r w:rsidR="0004180C" w:rsidRPr="00863E7D">
        <w:t xml:space="preserve">establishments governed by </w:t>
      </w:r>
      <w:r w:rsidR="005D48D5" w:rsidRPr="00863E7D">
        <w:t xml:space="preserve">Directive 2012/18/EU </w:t>
      </w:r>
      <w:r w:rsidR="0004180C" w:rsidRPr="00863E7D">
        <w:t>(</w:t>
      </w:r>
      <w:r w:rsidR="005D48D5" w:rsidRPr="00863E7D">
        <w:t>Seveso activities</w:t>
      </w:r>
      <w:r w:rsidR="0004180C" w:rsidRPr="00863E7D">
        <w:t xml:space="preserve">) and </w:t>
      </w:r>
      <w:r w:rsidR="005D48D5" w:rsidRPr="00863E7D">
        <w:t>Directive 2010/75/EU</w:t>
      </w:r>
      <w:r w:rsidR="0004180C" w:rsidRPr="00863E7D">
        <w:t xml:space="preserve"> (</w:t>
      </w:r>
      <w:r w:rsidR="005D48D5" w:rsidRPr="00863E7D">
        <w:t>IPPC-IED activities</w:t>
      </w:r>
      <w:r w:rsidR="0004180C" w:rsidRPr="00863E7D">
        <w:t xml:space="preserve">) are </w:t>
      </w:r>
      <w:r w:rsidR="005D48D5" w:rsidRPr="00863E7D">
        <w:t>of particular concern as they potentially detain or produce</w:t>
      </w:r>
      <w:r w:rsidR="0004180C" w:rsidRPr="00863E7D">
        <w:t xml:space="preserve"> substantial quantities of substances </w:t>
      </w:r>
      <w:r w:rsidR="005D48D5" w:rsidRPr="00863E7D">
        <w:t>harmful to the aquatic environment</w:t>
      </w:r>
      <w:r w:rsidR="0004180C" w:rsidRPr="00863E7D">
        <w:t xml:space="preserve"> (Shafiei Moghaddam et al., 2023). </w:t>
      </w:r>
      <w:r w:rsidR="00061101" w:rsidRPr="00863E7D">
        <w:t>Additionally</w:t>
      </w:r>
      <w:r w:rsidR="005D48D5" w:rsidRPr="00863E7D">
        <w:t>, w</w:t>
      </w:r>
      <w:r w:rsidR="0004180C" w:rsidRPr="00863E7D">
        <w:t xml:space="preserve">astewater </w:t>
      </w:r>
      <w:r w:rsidR="005D48D5" w:rsidRPr="00863E7D">
        <w:t>t</w:t>
      </w:r>
      <w:r w:rsidR="0004180C" w:rsidRPr="00863E7D">
        <w:t xml:space="preserve">reatment </w:t>
      </w:r>
      <w:r w:rsidR="005D48D5" w:rsidRPr="00863E7D">
        <w:t>p</w:t>
      </w:r>
      <w:r w:rsidR="0004180C" w:rsidRPr="00863E7D">
        <w:t>lants</w:t>
      </w:r>
      <w:r w:rsidR="005D48D5" w:rsidRPr="00863E7D">
        <w:t xml:space="preserve"> and contaminated sites are very likely to contribute to the overall oxygen demand of a watercourse</w:t>
      </w:r>
      <w:r w:rsidR="009F15B9" w:rsidRPr="00863E7D">
        <w:t xml:space="preserve">: </w:t>
      </w:r>
      <w:r w:rsidR="005D48D5" w:rsidRPr="00863E7D">
        <w:t xml:space="preserve">while </w:t>
      </w:r>
      <w:r w:rsidR="00BD30A6" w:rsidRPr="00863E7D">
        <w:t xml:space="preserve">wastewater treatment plants </w:t>
      </w:r>
      <w:r w:rsidR="0004180C" w:rsidRPr="00863E7D">
        <w:t xml:space="preserve">are </w:t>
      </w:r>
      <w:r w:rsidR="005D48D5" w:rsidRPr="00863E7D">
        <w:t xml:space="preserve">a potentially </w:t>
      </w:r>
      <w:r w:rsidR="0004180C" w:rsidRPr="00863E7D">
        <w:t xml:space="preserve">significant </w:t>
      </w:r>
      <w:r w:rsidR="005D48D5" w:rsidRPr="00863E7D">
        <w:t xml:space="preserve">source </w:t>
      </w:r>
      <w:r w:rsidR="0004180C" w:rsidRPr="00863E7D">
        <w:t>of nutrients to receiving water bodies (Su et al., 2021</w:t>
      </w:r>
      <w:r w:rsidR="007F6666" w:rsidRPr="00863E7D">
        <w:t>)</w:t>
      </w:r>
      <w:r w:rsidR="005D48D5" w:rsidRPr="00863E7D">
        <w:t xml:space="preserve">, </w:t>
      </w:r>
      <w:r w:rsidR="00BD30A6" w:rsidRPr="00863E7D">
        <w:t xml:space="preserve">contaminated sites </w:t>
      </w:r>
      <w:r w:rsidR="005D48D5" w:rsidRPr="00863E7D">
        <w:t>are likely to contribute to pollutant levels in surface waters</w:t>
      </w:r>
      <w:r w:rsidR="0004180C" w:rsidRPr="00863E7D">
        <w:t xml:space="preserve"> primarily due to run</w:t>
      </w:r>
      <w:r w:rsidR="00BD30A6" w:rsidRPr="00863E7D">
        <w:t>-</w:t>
      </w:r>
      <w:r w:rsidR="0004180C" w:rsidRPr="00863E7D">
        <w:t>off from former industrial areas (Chaudhry</w:t>
      </w:r>
      <w:r w:rsidR="00983732" w:rsidRPr="00863E7D">
        <w:t xml:space="preserve"> and Malik</w:t>
      </w:r>
      <w:r w:rsidR="0004180C" w:rsidRPr="00863E7D">
        <w:t>, 2017).</w:t>
      </w:r>
      <w:r w:rsidR="00983732" w:rsidRPr="00863E7D">
        <w:t xml:space="preserve"> Thus, </w:t>
      </w:r>
      <w:r w:rsidR="005D48D5" w:rsidRPr="00863E7D">
        <w:rPr>
          <w:lang w:val="en-GB"/>
        </w:rPr>
        <w:t xml:space="preserve">Seveso </w:t>
      </w:r>
      <w:r w:rsidR="00990EF4" w:rsidRPr="00863E7D">
        <w:rPr>
          <w:lang w:val="en-GB"/>
        </w:rPr>
        <w:t xml:space="preserve">establishments, </w:t>
      </w:r>
      <w:r w:rsidR="005D48D5" w:rsidRPr="00863E7D">
        <w:rPr>
          <w:lang w:val="en-GB"/>
        </w:rPr>
        <w:t xml:space="preserve">IPPC-IED </w:t>
      </w:r>
      <w:r w:rsidR="00990EF4" w:rsidRPr="00863E7D">
        <w:rPr>
          <w:lang w:val="en-GB"/>
        </w:rPr>
        <w:t xml:space="preserve">activities, </w:t>
      </w:r>
      <w:r w:rsidR="005D48D5" w:rsidRPr="00863E7D">
        <w:t xml:space="preserve">Wastewater Treatment Plants (WWTPs) </w:t>
      </w:r>
      <w:r w:rsidR="00990EF4" w:rsidRPr="00863E7D">
        <w:rPr>
          <w:lang w:val="en-GB"/>
        </w:rPr>
        <w:t xml:space="preserve">and </w:t>
      </w:r>
      <w:r w:rsidR="005D48D5" w:rsidRPr="00863E7D">
        <w:t xml:space="preserve">Contaminated Sites (CSs) </w:t>
      </w:r>
      <w:r w:rsidRPr="00863E7D">
        <w:rPr>
          <w:lang w:val="en-GB"/>
        </w:rPr>
        <w:t xml:space="preserve">can </w:t>
      </w:r>
      <w:r w:rsidR="00990EF4" w:rsidRPr="00863E7D">
        <w:rPr>
          <w:lang w:val="en-GB"/>
        </w:rPr>
        <w:t>be considered the most relevant typologies</w:t>
      </w:r>
      <w:r w:rsidR="005D48D5" w:rsidRPr="00863E7D">
        <w:rPr>
          <w:lang w:val="en-GB"/>
        </w:rPr>
        <w:t xml:space="preserve"> of anthropic pressures</w:t>
      </w:r>
      <w:r w:rsidR="00990EF4" w:rsidRPr="00863E7D">
        <w:rPr>
          <w:lang w:val="en-GB"/>
        </w:rPr>
        <w:t xml:space="preserve"> that affect the quality of surface water</w:t>
      </w:r>
      <w:r w:rsidR="005D3FD6">
        <w:rPr>
          <w:lang w:val="en-GB"/>
        </w:rPr>
        <w:t xml:space="preserve"> </w:t>
      </w:r>
      <w:r w:rsidR="00983732" w:rsidRPr="00863E7D">
        <w:rPr>
          <w:lang w:val="en-GB"/>
        </w:rPr>
        <w:t>and were</w:t>
      </w:r>
      <w:r w:rsidR="00E65AE5" w:rsidRPr="00863E7D">
        <w:rPr>
          <w:lang w:val="en-GB"/>
        </w:rPr>
        <w:t xml:space="preserve"> </w:t>
      </w:r>
      <w:r w:rsidR="00F352C0" w:rsidRPr="00863E7D">
        <w:rPr>
          <w:lang w:val="en-GB"/>
        </w:rPr>
        <w:t>accounted for</w:t>
      </w:r>
      <w:r w:rsidR="00983732" w:rsidRPr="00863E7D">
        <w:rPr>
          <w:lang w:val="en-GB"/>
        </w:rPr>
        <w:t xml:space="preserve"> as reference pollution sources</w:t>
      </w:r>
      <w:r w:rsidR="00F352C0" w:rsidRPr="00863E7D">
        <w:rPr>
          <w:lang w:val="en-GB"/>
        </w:rPr>
        <w:t xml:space="preserve"> </w:t>
      </w:r>
      <w:r w:rsidR="005D48D5" w:rsidRPr="00863E7D">
        <w:rPr>
          <w:lang w:val="en-GB"/>
        </w:rPr>
        <w:t>in the</w:t>
      </w:r>
      <w:r w:rsidR="00E956EB" w:rsidRPr="00863E7D">
        <w:rPr>
          <w:lang w:val="en-GB"/>
        </w:rPr>
        <w:t xml:space="preserve"> present</w:t>
      </w:r>
      <w:r w:rsidR="005D48D5" w:rsidRPr="00863E7D">
        <w:rPr>
          <w:lang w:val="en-GB"/>
        </w:rPr>
        <w:t xml:space="preserve"> assessment</w:t>
      </w:r>
      <w:r w:rsidR="00F352C0" w:rsidRPr="00863E7D">
        <w:rPr>
          <w:lang w:val="en-GB"/>
        </w:rPr>
        <w:t>.</w:t>
      </w:r>
    </w:p>
    <w:p w14:paraId="13D049DF" w14:textId="52EF3C27" w:rsidR="00062E0E" w:rsidRDefault="00F05112" w:rsidP="008135B6">
      <w:pPr>
        <w:pStyle w:val="CETBodytext"/>
      </w:pPr>
      <w:r w:rsidRPr="00863E7D">
        <w:t>The first step of the methodology</w:t>
      </w:r>
      <w:r w:rsidR="00E956EB" w:rsidRPr="00863E7D">
        <w:t xml:space="preserve"> </w:t>
      </w:r>
      <w:r w:rsidR="0042228D" w:rsidRPr="00863E7D">
        <w:t xml:space="preserve">involves </w:t>
      </w:r>
      <w:r w:rsidR="00A074F9" w:rsidRPr="00863E7D">
        <w:t>the quantification of</w:t>
      </w:r>
      <w:r w:rsidR="0042228D" w:rsidRPr="00863E7D">
        <w:t xml:space="preserve"> </w:t>
      </w:r>
      <w:r w:rsidRPr="00863E7D">
        <w:t>the pressure</w:t>
      </w:r>
      <w:r w:rsidR="00A074F9" w:rsidRPr="00863E7D">
        <w:t xml:space="preserve"> that can</w:t>
      </w:r>
      <w:r w:rsidRPr="00863E7D">
        <w:t xml:space="preserve"> derive from the discharges</w:t>
      </w:r>
      <w:r w:rsidR="009E3C69" w:rsidRPr="00863E7D">
        <w:t xml:space="preserve"> of the</w:t>
      </w:r>
      <w:r w:rsidRPr="00863E7D">
        <w:t xml:space="preserve"> abovementioned activit</w:t>
      </w:r>
      <w:r w:rsidR="00A074F9" w:rsidRPr="00863E7D">
        <w:t>y typologies</w:t>
      </w:r>
      <w:r w:rsidRPr="00863E7D">
        <w:t xml:space="preserve"> through the Biochemical Pressure Index (BPI)</w:t>
      </w:r>
      <w:r w:rsidR="00BA4240" w:rsidRPr="00863E7D">
        <w:t xml:space="preserve">, which </w:t>
      </w:r>
      <w:r w:rsidRPr="00863E7D">
        <w:t xml:space="preserve">is defined </w:t>
      </w:r>
      <w:r w:rsidR="00166648" w:rsidRPr="00863E7D">
        <w:t xml:space="preserve">as the product of five parameters </w:t>
      </w:r>
      <w:r w:rsidR="009F1CCD" w:rsidRPr="00863E7D">
        <w:t>which address</w:t>
      </w:r>
      <w:r w:rsidR="00166648" w:rsidRPr="00863E7D">
        <w:t xml:space="preserve"> </w:t>
      </w:r>
      <w:r w:rsidR="002A6EFD" w:rsidRPr="00863E7D">
        <w:t>the</w:t>
      </w:r>
      <w:r w:rsidR="00581123" w:rsidRPr="00863E7D">
        <w:t xml:space="preserve"> main</w:t>
      </w:r>
      <w:r w:rsidR="002A6EFD" w:rsidRPr="00863E7D">
        <w:t xml:space="preserve"> </w:t>
      </w:r>
      <w:r w:rsidR="00166648" w:rsidRPr="00863E7D">
        <w:t xml:space="preserve">characteristics </w:t>
      </w:r>
      <w:r w:rsidR="00581123" w:rsidRPr="00863E7D">
        <w:t xml:space="preserve">of wastewater releases potentially harmful </w:t>
      </w:r>
      <w:r w:rsidR="00305202" w:rsidRPr="00863E7D">
        <w:t>to</w:t>
      </w:r>
      <w:r w:rsidR="00166648" w:rsidRPr="00863E7D">
        <w:t xml:space="preserve"> </w:t>
      </w:r>
      <w:r w:rsidR="00305202" w:rsidRPr="00863E7D">
        <w:t xml:space="preserve">surface water’s </w:t>
      </w:r>
      <w:r w:rsidR="00166648" w:rsidRPr="00863E7D">
        <w:t>ecological status</w:t>
      </w:r>
      <w:r w:rsidR="00B346CD" w:rsidRPr="00863E7D">
        <w:t>,</w:t>
      </w:r>
      <w:r w:rsidR="00166648" w:rsidRPr="00863E7D">
        <w:t xml:space="preserve"> as presented </w:t>
      </w:r>
      <w:r w:rsidRPr="00863E7D">
        <w:t>in Equation 1</w:t>
      </w:r>
      <w:r w:rsidR="00DB67CF">
        <w:t>:</w:t>
      </w:r>
      <w:r>
        <w:t xml:space="preserve"> </w:t>
      </w:r>
    </w:p>
    <w:p w14:paraId="1E94C627" w14:textId="419987DF" w:rsidR="00062E0E" w:rsidRPr="0032655A" w:rsidRDefault="00166648" w:rsidP="008D7300">
      <w:pPr>
        <w:pStyle w:val="CETEquation"/>
      </w:pPr>
      <m:oMath>
        <m:r>
          <w:rPr>
            <w:rFonts w:ascii="Cambria Math" w:hAnsi="Cambria Math"/>
          </w:rPr>
          <m:t>BPI=D⋅T⋅F⋅ H⋅S</m:t>
        </m:r>
      </m:oMath>
      <w:r w:rsidRPr="0032655A">
        <w:t xml:space="preserve">                 </w:t>
      </w:r>
      <w:r w:rsidR="000269D6">
        <w:t xml:space="preserve">                                                                                                                </w:t>
      </w:r>
      <w:r w:rsidRPr="0032655A">
        <w:t xml:space="preserve">      (1)</w:t>
      </w:r>
      <w:r w:rsidR="00947895" w:rsidRPr="0032655A">
        <w:t xml:space="preserve">. </w:t>
      </w:r>
      <w:r w:rsidRPr="0032655A">
        <w:t xml:space="preserve">     </w:t>
      </w:r>
    </w:p>
    <w:p w14:paraId="1C11AB35" w14:textId="77777777" w:rsidR="00697A25" w:rsidRDefault="00BA4240" w:rsidP="00166648">
      <w:pPr>
        <w:pStyle w:val="CETBodytext"/>
      </w:pPr>
      <w:r>
        <w:t>In the equation</w:t>
      </w:r>
      <w:r w:rsidR="00305202">
        <w:t>,</w:t>
      </w:r>
      <w:r w:rsidR="00166648">
        <w:t xml:space="preserve"> </w:t>
      </w:r>
      <w:r w:rsidR="00166648" w:rsidRPr="009D35A0">
        <w:rPr>
          <w:i/>
          <w:iCs/>
        </w:rPr>
        <w:t>D</w:t>
      </w:r>
      <w:r w:rsidR="00166648">
        <w:t xml:space="preserve"> </w:t>
      </w:r>
      <w:r w:rsidR="00C47A20">
        <w:t>represents</w:t>
      </w:r>
      <w:r w:rsidR="00166648">
        <w:t xml:space="preserve"> the discharge type, </w:t>
      </w:r>
      <w:r w:rsidR="00166648" w:rsidRPr="009D35A0">
        <w:rPr>
          <w:i/>
          <w:iCs/>
        </w:rPr>
        <w:t>T</w:t>
      </w:r>
      <w:r w:rsidR="00166648">
        <w:t xml:space="preserve"> </w:t>
      </w:r>
      <w:r w:rsidR="00C47A20">
        <w:t>indicates</w:t>
      </w:r>
      <w:r w:rsidR="00166648">
        <w:t xml:space="preserve"> the presence or absence of treatment before discharge</w:t>
      </w:r>
      <w:r w:rsidR="00391EC2">
        <w:t xml:space="preserve">, </w:t>
      </w:r>
      <w:r w:rsidR="00166648" w:rsidRPr="009D35A0">
        <w:rPr>
          <w:i/>
          <w:iCs/>
        </w:rPr>
        <w:t>F</w:t>
      </w:r>
      <w:r w:rsidR="00166648">
        <w:t xml:space="preserve"> addresses the f</w:t>
      </w:r>
      <w:r w:rsidR="00391EC2">
        <w:t>ate</w:t>
      </w:r>
      <w:r w:rsidR="00F05112">
        <w:t xml:space="preserve"> </w:t>
      </w:r>
      <w:r w:rsidR="00166648">
        <w:t>of the discharge considering its receiving element</w:t>
      </w:r>
      <w:r w:rsidR="00391EC2">
        <w:t xml:space="preserve">, </w:t>
      </w:r>
      <w:r w:rsidR="00166648" w:rsidRPr="009D35A0">
        <w:rPr>
          <w:i/>
          <w:iCs/>
        </w:rPr>
        <w:t>H</w:t>
      </w:r>
      <w:r w:rsidR="00166648">
        <w:t xml:space="preserve"> indicates the </w:t>
      </w:r>
      <w:r w:rsidR="00391EC2">
        <w:t xml:space="preserve">presence </w:t>
      </w:r>
      <w:r w:rsidR="00166648">
        <w:t xml:space="preserve">or absence </w:t>
      </w:r>
      <w:r w:rsidR="00391EC2">
        <w:t xml:space="preserve">of hazardous substances </w:t>
      </w:r>
      <w:r w:rsidR="00786211">
        <w:t>toxic to the aquatic environment</w:t>
      </w:r>
      <w:r w:rsidR="00F05112">
        <w:t xml:space="preserve"> </w:t>
      </w:r>
      <w:r w:rsidR="00F1465B">
        <w:t>as defined in</w:t>
      </w:r>
      <w:r w:rsidR="00166648" w:rsidRPr="00166648">
        <w:t xml:space="preserve"> the Classification, Labelling and Packaging (CLP) Regulation (EC) No 1272/2008</w:t>
      </w:r>
      <w:r w:rsidR="008376C4">
        <w:t>,</w:t>
      </w:r>
      <w:r w:rsidR="00786211">
        <w:t xml:space="preserve"> </w:t>
      </w:r>
      <w:r w:rsidR="00D16B33">
        <w:t xml:space="preserve">and </w:t>
      </w:r>
      <w:r w:rsidR="00166648" w:rsidRPr="009D35A0">
        <w:rPr>
          <w:i/>
          <w:iCs/>
        </w:rPr>
        <w:t>S</w:t>
      </w:r>
      <w:r w:rsidR="00166648">
        <w:t xml:space="preserve"> represents the size of the discharge. </w:t>
      </w:r>
    </w:p>
    <w:p w14:paraId="65D5A097" w14:textId="6B41BBC3" w:rsidR="00035317" w:rsidRPr="00166648" w:rsidRDefault="002A6EFD" w:rsidP="00166648">
      <w:pPr>
        <w:pStyle w:val="CETBodytext"/>
      </w:pPr>
      <w:r w:rsidRPr="002A6EFD">
        <w:t xml:space="preserve">The BPI is to be calculated for each </w:t>
      </w:r>
      <w:r w:rsidR="00B50008">
        <w:t xml:space="preserve">pollution </w:t>
      </w:r>
      <w:r w:rsidR="00E60954">
        <w:t xml:space="preserve">source (i.e., </w:t>
      </w:r>
      <w:r w:rsidR="009D35A0">
        <w:t xml:space="preserve">for each </w:t>
      </w:r>
      <w:r w:rsidRPr="002A6EFD">
        <w:t>discharge</w:t>
      </w:r>
      <w:r w:rsidR="00E60954">
        <w:t>)</w:t>
      </w:r>
      <w:r w:rsidRPr="002A6EFD">
        <w:t xml:space="preserve"> reported in the area of interest. The quantification require</w:t>
      </w:r>
      <w:r w:rsidR="009D35A0">
        <w:t>s retrieving</w:t>
      </w:r>
      <w:r w:rsidRPr="002A6EFD">
        <w:t xml:space="preserve"> the official documentation regarding each industrial activity (see Section </w:t>
      </w:r>
      <w:r w:rsidR="00F822DA">
        <w:t>3</w:t>
      </w:r>
      <w:r w:rsidRPr="002A6EFD">
        <w:t xml:space="preserve"> for further details) and </w:t>
      </w:r>
      <w:r w:rsidR="009D35A0">
        <w:t>attributing</w:t>
      </w:r>
      <w:r w:rsidRPr="002A6EFD">
        <w:t xml:space="preserve"> a </w:t>
      </w:r>
      <w:r w:rsidR="00CA711C">
        <w:t>score</w:t>
      </w:r>
      <w:r w:rsidRPr="002A6EFD">
        <w:t xml:space="preserve"> to each parameter referring to the severity scale </w:t>
      </w:r>
      <w:r w:rsidR="009D35A0">
        <w:t>presented</w:t>
      </w:r>
      <w:r w:rsidRPr="002A6EFD">
        <w:t xml:space="preserve"> in Table 1. </w:t>
      </w:r>
      <w:r w:rsidR="00563EA1" w:rsidRPr="002A6EFD">
        <w:t>The scale</w:t>
      </w:r>
      <w:r w:rsidR="00F1465B" w:rsidRPr="002A6EFD">
        <w:t xml:space="preserve"> </w:t>
      </w:r>
      <w:r w:rsidR="00BF3A3B" w:rsidRPr="002A6EFD">
        <w:t>was defined by expert judgment</w:t>
      </w:r>
      <w:r w:rsidR="005F76CB">
        <w:t>,</w:t>
      </w:r>
      <w:r w:rsidR="00BF3A3B" w:rsidRPr="002A6EFD">
        <w:t xml:space="preserve"> </w:t>
      </w:r>
      <w:r w:rsidR="00563EA1" w:rsidRPr="002A6EFD">
        <w:t>and</w:t>
      </w:r>
      <w:r w:rsidR="00884824" w:rsidRPr="002A6EFD">
        <w:t xml:space="preserve"> the choices were verified with an ex-post validity check (see Section </w:t>
      </w:r>
      <w:r w:rsidR="00F75E05">
        <w:t>4</w:t>
      </w:r>
      <w:r w:rsidR="00884824" w:rsidRPr="002A6EFD">
        <w:t>)</w:t>
      </w:r>
      <w:r w:rsidR="004C7C25" w:rsidRPr="002A6EFD">
        <w:t xml:space="preserve">. </w:t>
      </w:r>
      <w:r w:rsidRPr="002A6EFD">
        <w:t>The</w:t>
      </w:r>
      <w:r w:rsidR="009D6D9B" w:rsidRPr="002A6EFD">
        <w:t xml:space="preserve"> </w:t>
      </w:r>
      <w:r w:rsidR="00152AE9">
        <w:t>scores for p</w:t>
      </w:r>
      <w:r w:rsidR="00035317" w:rsidRPr="002A6EFD">
        <w:t>aramete</w:t>
      </w:r>
      <w:r w:rsidR="00035317">
        <w:t xml:space="preserve">r </w:t>
      </w:r>
      <w:r w:rsidR="00035317" w:rsidRPr="009D35A0">
        <w:rPr>
          <w:i/>
          <w:iCs/>
        </w:rPr>
        <w:t>D</w:t>
      </w:r>
      <w:r w:rsidR="001F2C60">
        <w:t xml:space="preserve"> </w:t>
      </w:r>
      <w:r w:rsidR="001C798C">
        <w:t xml:space="preserve">were attributed </w:t>
      </w:r>
      <w:r w:rsidR="008464BA">
        <w:t>based on</w:t>
      </w:r>
      <w:r w:rsidR="00035317">
        <w:t xml:space="preserve"> the classification provided by </w:t>
      </w:r>
      <w:r w:rsidR="00035317" w:rsidRPr="00897E51">
        <w:rPr>
          <w:lang w:val="en-GB"/>
        </w:rPr>
        <w:t>Directive 91/271/EEC</w:t>
      </w:r>
      <w:r w:rsidR="009D6D9B">
        <w:rPr>
          <w:lang w:val="en-GB"/>
        </w:rPr>
        <w:t xml:space="preserve">, </w:t>
      </w:r>
      <w:r w:rsidR="00B163B4">
        <w:rPr>
          <w:lang w:val="en-GB"/>
        </w:rPr>
        <w:t xml:space="preserve">which is </w:t>
      </w:r>
      <w:r w:rsidR="009D6D9B">
        <w:rPr>
          <w:lang w:val="en-GB"/>
        </w:rPr>
        <w:t xml:space="preserve">widely employed to address anthropic discharges, </w:t>
      </w:r>
      <w:r w:rsidR="00035317">
        <w:rPr>
          <w:lang w:val="en-GB"/>
        </w:rPr>
        <w:t xml:space="preserve">ranging from uncontaminated surface run-off water to the most hazardous industrial wastewater. </w:t>
      </w:r>
      <w:r w:rsidR="00035317">
        <w:t>Parameter</w:t>
      </w:r>
      <w:r w:rsidR="009D6D9B">
        <w:t>s</w:t>
      </w:r>
      <w:r w:rsidR="00035317">
        <w:t xml:space="preserve"> </w:t>
      </w:r>
      <w:r w:rsidR="00035317" w:rsidRPr="001C798C">
        <w:rPr>
          <w:i/>
          <w:iCs/>
        </w:rPr>
        <w:t>T</w:t>
      </w:r>
      <w:r w:rsidR="00035317">
        <w:t xml:space="preserve"> </w:t>
      </w:r>
      <w:r w:rsidR="009D6D9B">
        <w:t xml:space="preserve">and </w:t>
      </w:r>
      <w:r w:rsidR="009D6D9B" w:rsidRPr="001C798C">
        <w:rPr>
          <w:i/>
          <w:iCs/>
        </w:rPr>
        <w:t>F</w:t>
      </w:r>
      <w:r w:rsidR="009D6D9B">
        <w:t xml:space="preserve"> allow to </w:t>
      </w:r>
      <w:r w:rsidR="00B163B4">
        <w:t>consider</w:t>
      </w:r>
      <w:r w:rsidR="009D6D9B">
        <w:t xml:space="preserve"> two </w:t>
      </w:r>
      <w:r w:rsidR="00AB42A3">
        <w:t>crucial</w:t>
      </w:r>
      <w:r w:rsidR="009D6D9B">
        <w:t xml:space="preserve"> barriers to water pollution: </w:t>
      </w:r>
      <w:r w:rsidR="00417A3B" w:rsidRPr="00417A3B">
        <w:t>wastewater treatment within activity premises and after discharge collection in the public sewer, respectively</w:t>
      </w:r>
      <w:r w:rsidR="009D6D9B">
        <w:t xml:space="preserve">. In both cases, the absence of treatment implicitly indicates a higher pollution load into the water bodies. Regarding parameter </w:t>
      </w:r>
      <w:r w:rsidR="009D6D9B" w:rsidRPr="001C798C">
        <w:rPr>
          <w:i/>
          <w:iCs/>
        </w:rPr>
        <w:t>H</w:t>
      </w:r>
      <w:r w:rsidR="009D6D9B">
        <w:t xml:space="preserve">, </w:t>
      </w:r>
      <w:r w:rsidR="00F24AE4">
        <w:t xml:space="preserve">the </w:t>
      </w:r>
      <w:r w:rsidR="00B913EC">
        <w:t xml:space="preserve">attribution reference is the lower and upper threshold values reported in Annex I, Part 1, section E of the Seveso Directive, and the </w:t>
      </w:r>
      <w:r w:rsidR="007452F7">
        <w:t>scores</w:t>
      </w:r>
      <w:r w:rsidR="00B913EC">
        <w:t xml:space="preserve"> are to be attributed per</w:t>
      </w:r>
      <w:r w:rsidR="009D6D9B">
        <w:t xml:space="preserve"> activity typology addressed. </w:t>
      </w:r>
      <w:r w:rsidR="00F24AE4">
        <w:t xml:space="preserve">It is to </w:t>
      </w:r>
      <w:r w:rsidR="00976B85">
        <w:t>be noted</w:t>
      </w:r>
      <w:r w:rsidR="00F24AE4">
        <w:t xml:space="preserve"> that for Seveso and IPPC-IED activities, </w:t>
      </w:r>
      <w:r w:rsidR="00F24AE4" w:rsidRPr="00F24AE4">
        <w:t xml:space="preserve">the presence of hazardous substances toxic to the aquatic environment is evaluated only </w:t>
      </w:r>
      <w:r w:rsidR="002D2C63">
        <w:t>for</w:t>
      </w:r>
      <w:r w:rsidR="00F24AE4" w:rsidRPr="00F24AE4">
        <w:t xml:space="preserve"> discharges </w:t>
      </w:r>
      <w:r w:rsidR="00561426">
        <w:t>of</w:t>
      </w:r>
      <w:r w:rsidR="002D2C63">
        <w:t xml:space="preserve"> typolog</w:t>
      </w:r>
      <w:r w:rsidR="00561426">
        <w:t>ies</w:t>
      </w:r>
      <w:r w:rsidR="002D2C63">
        <w:t xml:space="preserve"> </w:t>
      </w:r>
      <w:r w:rsidR="00F24AE4" w:rsidRPr="00F24AE4">
        <w:t>3 and 4</w:t>
      </w:r>
      <w:r w:rsidR="00561426">
        <w:t xml:space="preserve"> (see parameter </w:t>
      </w:r>
      <w:r w:rsidR="00561426" w:rsidRPr="00C44B79">
        <w:rPr>
          <w:i/>
          <w:iCs/>
        </w:rPr>
        <w:t>D</w:t>
      </w:r>
      <w:r w:rsidR="00561426">
        <w:rPr>
          <w:i/>
          <w:iCs/>
        </w:rPr>
        <w:t xml:space="preserve">, </w:t>
      </w:r>
      <w:r w:rsidR="00561426">
        <w:t>T</w:t>
      </w:r>
      <w:r w:rsidR="00561426" w:rsidRPr="004D2639">
        <w:t>able 1</w:t>
      </w:r>
      <w:r w:rsidR="00561426">
        <w:t>)</w:t>
      </w:r>
      <w:r w:rsidR="00F24AE4">
        <w:t>.</w:t>
      </w:r>
      <w:r w:rsidR="00540727">
        <w:t xml:space="preserve"> </w:t>
      </w:r>
      <w:r w:rsidR="00561426">
        <w:t>Finally</w:t>
      </w:r>
      <w:r w:rsidR="00540727">
        <w:t xml:space="preserve">, parameter </w:t>
      </w:r>
      <w:r w:rsidR="00540727" w:rsidRPr="002423FA">
        <w:rPr>
          <w:i/>
          <w:iCs/>
        </w:rPr>
        <w:t>S</w:t>
      </w:r>
      <w:r w:rsidR="00540727">
        <w:t xml:space="preserve"> accounts for </w:t>
      </w:r>
      <w:r w:rsidR="0096617C">
        <w:t xml:space="preserve">the </w:t>
      </w:r>
      <w:r w:rsidR="002413AA">
        <w:t xml:space="preserve">size </w:t>
      </w:r>
      <w:r w:rsidR="0096617C">
        <w:t>of the discharge in terms of cubic meter</w:t>
      </w:r>
      <w:r w:rsidR="00864DC8">
        <w:t>s</w:t>
      </w:r>
      <w:r w:rsidR="0096617C">
        <w:t xml:space="preserve"> of water discharged per year.</w:t>
      </w:r>
      <w:r>
        <w:t xml:space="preserve"> This value is directly provided in the documentation or, alternative</w:t>
      </w:r>
      <w:r w:rsidR="002413AA">
        <w:t>ly</w:t>
      </w:r>
      <w:r>
        <w:t xml:space="preserve">, </w:t>
      </w:r>
      <w:r w:rsidR="002413AA">
        <w:t xml:space="preserve">it </w:t>
      </w:r>
      <w:r>
        <w:t xml:space="preserve">can be easily derived from the Population Equivalent Ratio considering an </w:t>
      </w:r>
      <w:r w:rsidR="002423FA">
        <w:t>average value of</w:t>
      </w:r>
      <w:r>
        <w:t xml:space="preserve"> water flow treated per Population Equivalent. Moreover, c</w:t>
      </w:r>
      <w:r w:rsidR="00B66197">
        <w:t xml:space="preserve">onsidering that for small </w:t>
      </w:r>
      <w:r>
        <w:t>WWTPs</w:t>
      </w:r>
      <w:r w:rsidR="00B66197">
        <w:t xml:space="preserve"> th</w:t>
      </w:r>
      <w:r w:rsidR="00AE32B3">
        <w:t>e discharge rate is</w:t>
      </w:r>
      <w:r>
        <w:t xml:space="preserve"> often</w:t>
      </w:r>
      <w:r w:rsidR="00AE32B3">
        <w:t xml:space="preserve"> </w:t>
      </w:r>
      <w:r>
        <w:t>not provided</w:t>
      </w:r>
      <w:r w:rsidR="00406D83">
        <w:t xml:space="preserve">, it was assumed that </w:t>
      </w:r>
      <w:r w:rsidR="00E51855">
        <w:t xml:space="preserve">in case of missing information, </w:t>
      </w:r>
      <w:r w:rsidR="00A10F2A">
        <w:t xml:space="preserve">the </w:t>
      </w:r>
      <w:r w:rsidR="00F57737">
        <w:t xml:space="preserve">discharge can be </w:t>
      </w:r>
      <w:r>
        <w:t xml:space="preserve">considered </w:t>
      </w:r>
      <w:r w:rsidR="00F57737">
        <w:t>to be of the smaller size (</w:t>
      </w:r>
      <w:r w:rsidR="00B55371">
        <w:t xml:space="preserve">i.e., </w:t>
      </w:r>
      <w:r w:rsidR="00F57737">
        <w:t>0.5</w:t>
      </w:r>
      <w:r w:rsidR="00B55371">
        <w:t xml:space="preserve"> </w:t>
      </w:r>
      <w:r w:rsidR="007452F7">
        <w:t>score</w:t>
      </w:r>
      <w:r w:rsidR="00F57737">
        <w:t>)</w:t>
      </w:r>
      <w:r w:rsidR="00B163B4">
        <w:t>.</w:t>
      </w:r>
    </w:p>
    <w:p w14:paraId="1130D9AC" w14:textId="2EB9AAE1" w:rsidR="003D4F18" w:rsidRDefault="00061101" w:rsidP="00061101">
      <w:pPr>
        <w:pStyle w:val="CETTabletitle"/>
      </w:pPr>
      <w:r w:rsidRPr="00B57B36">
        <w:lastRenderedPageBreak/>
        <w:t xml:space="preserve">Table 1: </w:t>
      </w:r>
      <w:r>
        <w:t>Parameters and relative severity scale for the B</w:t>
      </w:r>
      <w:r w:rsidR="00AC542D">
        <w:t>P</w:t>
      </w:r>
      <w:r>
        <w:t>I index</w:t>
      </w:r>
      <w:r w:rsidR="007452F7">
        <w:t xml:space="preserve"> assessment</w:t>
      </w:r>
      <w:r>
        <w:t>.</w:t>
      </w:r>
    </w:p>
    <w:tbl>
      <w:tblPr>
        <w:tblW w:w="883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03"/>
        <w:gridCol w:w="6518"/>
        <w:gridCol w:w="1013"/>
      </w:tblGrid>
      <w:tr w:rsidR="00061101" w:rsidRPr="00B57B36" w14:paraId="589377AA" w14:textId="77777777" w:rsidTr="00BE6950">
        <w:trPr>
          <w:trHeight w:val="300"/>
        </w:trPr>
        <w:tc>
          <w:tcPr>
            <w:tcW w:w="1303" w:type="dxa"/>
            <w:tcBorders>
              <w:top w:val="single" w:sz="12" w:space="0" w:color="008000"/>
              <w:bottom w:val="single" w:sz="6" w:space="0" w:color="008000"/>
            </w:tcBorders>
            <w:shd w:val="clear" w:color="auto" w:fill="FFFFFF"/>
            <w:vAlign w:val="center"/>
          </w:tcPr>
          <w:p w14:paraId="3FD90863" w14:textId="77777777" w:rsidR="00061101" w:rsidRPr="00B57B36" w:rsidRDefault="00061101" w:rsidP="00BE6950">
            <w:pPr>
              <w:pStyle w:val="CETBodytext"/>
              <w:ind w:left="228"/>
              <w:jc w:val="left"/>
              <w:rPr>
                <w:lang w:val="en-GB"/>
              </w:rPr>
            </w:pPr>
            <w:r>
              <w:t>Parameter</w:t>
            </w:r>
          </w:p>
        </w:tc>
        <w:tc>
          <w:tcPr>
            <w:tcW w:w="6518" w:type="dxa"/>
            <w:tcBorders>
              <w:top w:val="single" w:sz="12" w:space="0" w:color="008000"/>
              <w:bottom w:val="single" w:sz="6" w:space="0" w:color="008000"/>
            </w:tcBorders>
            <w:shd w:val="clear" w:color="auto" w:fill="FFFFFF"/>
            <w:vAlign w:val="center"/>
          </w:tcPr>
          <w:p w14:paraId="04239EA0" w14:textId="77777777" w:rsidR="00061101" w:rsidRPr="00B57B36" w:rsidRDefault="00061101" w:rsidP="00BE6950">
            <w:pPr>
              <w:pStyle w:val="CETBodytext"/>
              <w:ind w:left="228"/>
              <w:jc w:val="left"/>
              <w:rPr>
                <w:lang w:val="en-GB"/>
              </w:rPr>
            </w:pPr>
            <w:r>
              <w:t>Attribute</w:t>
            </w:r>
          </w:p>
        </w:tc>
        <w:tc>
          <w:tcPr>
            <w:tcW w:w="1013" w:type="dxa"/>
            <w:tcBorders>
              <w:top w:val="single" w:sz="12" w:space="0" w:color="008000"/>
              <w:bottom w:val="single" w:sz="6" w:space="0" w:color="008000"/>
            </w:tcBorders>
            <w:shd w:val="clear" w:color="auto" w:fill="FFFFFF"/>
            <w:vAlign w:val="center"/>
          </w:tcPr>
          <w:p w14:paraId="65891FBD" w14:textId="510C4DB1" w:rsidR="00061101" w:rsidRPr="00B57B36" w:rsidRDefault="007452F7" w:rsidP="00BE6950">
            <w:pPr>
              <w:pStyle w:val="CETBodytext"/>
              <w:ind w:left="228"/>
              <w:jc w:val="left"/>
              <w:rPr>
                <w:lang w:val="en-GB"/>
              </w:rPr>
            </w:pPr>
            <w:r>
              <w:t>Score</w:t>
            </w:r>
          </w:p>
        </w:tc>
      </w:tr>
      <w:tr w:rsidR="00061101" w:rsidRPr="00B57B36" w14:paraId="450A896B" w14:textId="77777777" w:rsidTr="00BE6950">
        <w:trPr>
          <w:trHeight w:val="277"/>
        </w:trPr>
        <w:tc>
          <w:tcPr>
            <w:tcW w:w="1303" w:type="dxa"/>
            <w:shd w:val="clear" w:color="auto" w:fill="auto"/>
            <w:vAlign w:val="center"/>
          </w:tcPr>
          <w:p w14:paraId="2C62A514" w14:textId="3C0546D0" w:rsidR="00061101" w:rsidRPr="00B57B36" w:rsidRDefault="00166648" w:rsidP="00BE6950">
            <w:pPr>
              <w:pStyle w:val="CETBodytext"/>
              <w:ind w:left="228"/>
              <w:jc w:val="left"/>
              <w:rPr>
                <w:lang w:val="en-GB"/>
              </w:rPr>
            </w:pPr>
            <w:r>
              <w:t>D</w:t>
            </w:r>
          </w:p>
        </w:tc>
        <w:tc>
          <w:tcPr>
            <w:tcW w:w="6518" w:type="dxa"/>
            <w:tcBorders>
              <w:top w:val="single" w:sz="6" w:space="0" w:color="008000"/>
              <w:bottom w:val="nil"/>
              <w:right w:val="nil"/>
            </w:tcBorders>
            <w:shd w:val="clear" w:color="auto" w:fill="auto"/>
            <w:vAlign w:val="center"/>
          </w:tcPr>
          <w:p w14:paraId="5F63AE74" w14:textId="77777777" w:rsidR="00061101" w:rsidRPr="00B57B36" w:rsidRDefault="00061101" w:rsidP="00BE6950">
            <w:pPr>
              <w:pStyle w:val="CETBodytext"/>
              <w:ind w:left="228"/>
              <w:jc w:val="left"/>
              <w:rPr>
                <w:lang w:val="en-GB"/>
              </w:rPr>
            </w:pPr>
            <w:r w:rsidRPr="00C10ED7">
              <w:t>Uncontaminated surface run-off water</w:t>
            </w:r>
          </w:p>
        </w:tc>
        <w:tc>
          <w:tcPr>
            <w:tcW w:w="1013" w:type="dxa"/>
            <w:tcBorders>
              <w:top w:val="single" w:sz="6" w:space="0" w:color="008000"/>
              <w:left w:val="nil"/>
              <w:bottom w:val="nil"/>
              <w:right w:val="nil"/>
            </w:tcBorders>
            <w:shd w:val="clear" w:color="auto" w:fill="auto"/>
            <w:vAlign w:val="center"/>
          </w:tcPr>
          <w:p w14:paraId="0E288F34" w14:textId="77777777" w:rsidR="00061101" w:rsidRPr="00B57B36" w:rsidRDefault="00061101" w:rsidP="00BE6950">
            <w:pPr>
              <w:pStyle w:val="CETBodytext"/>
              <w:ind w:left="228" w:right="-5047"/>
              <w:jc w:val="left"/>
              <w:rPr>
                <w:lang w:val="en-GB"/>
              </w:rPr>
            </w:pPr>
            <w:r w:rsidRPr="00C10ED7">
              <w:t>1</w:t>
            </w:r>
          </w:p>
        </w:tc>
      </w:tr>
      <w:tr w:rsidR="00061101" w:rsidRPr="00B57B36" w14:paraId="2BE5BBF7" w14:textId="77777777" w:rsidTr="00BE6950">
        <w:trPr>
          <w:trHeight w:val="289"/>
        </w:trPr>
        <w:tc>
          <w:tcPr>
            <w:tcW w:w="1303" w:type="dxa"/>
            <w:shd w:val="clear" w:color="auto" w:fill="auto"/>
            <w:vAlign w:val="center"/>
          </w:tcPr>
          <w:p w14:paraId="4046AB4F" w14:textId="77777777" w:rsidR="00061101" w:rsidRPr="00B57B36" w:rsidRDefault="00061101" w:rsidP="00BE6950">
            <w:pPr>
              <w:pStyle w:val="CETBodytext"/>
              <w:ind w:left="228"/>
              <w:jc w:val="left"/>
              <w:rPr>
                <w:lang w:val="en-GB"/>
              </w:rPr>
            </w:pPr>
          </w:p>
        </w:tc>
        <w:tc>
          <w:tcPr>
            <w:tcW w:w="6518" w:type="dxa"/>
            <w:tcBorders>
              <w:top w:val="nil"/>
              <w:bottom w:val="nil"/>
              <w:right w:val="nil"/>
            </w:tcBorders>
            <w:shd w:val="clear" w:color="auto" w:fill="auto"/>
            <w:vAlign w:val="center"/>
          </w:tcPr>
          <w:p w14:paraId="7226BC94" w14:textId="77777777" w:rsidR="00061101" w:rsidRPr="00B57B36" w:rsidRDefault="00061101" w:rsidP="00BE6950">
            <w:pPr>
              <w:pStyle w:val="CETBodytext"/>
              <w:ind w:left="228"/>
              <w:jc w:val="left"/>
              <w:rPr>
                <w:lang w:val="en-GB"/>
              </w:rPr>
            </w:pPr>
            <w:r w:rsidRPr="00C10ED7">
              <w:t>Domestic wastewater</w:t>
            </w:r>
          </w:p>
        </w:tc>
        <w:tc>
          <w:tcPr>
            <w:tcW w:w="1013" w:type="dxa"/>
            <w:tcBorders>
              <w:top w:val="nil"/>
              <w:left w:val="nil"/>
              <w:bottom w:val="nil"/>
              <w:right w:val="nil"/>
            </w:tcBorders>
            <w:shd w:val="clear" w:color="auto" w:fill="auto"/>
            <w:vAlign w:val="center"/>
          </w:tcPr>
          <w:p w14:paraId="531D7386" w14:textId="77777777" w:rsidR="00061101" w:rsidRPr="00B57B36" w:rsidRDefault="00061101" w:rsidP="00BE6950">
            <w:pPr>
              <w:pStyle w:val="CETBodytext"/>
              <w:ind w:left="228"/>
              <w:jc w:val="left"/>
              <w:rPr>
                <w:lang w:val="en-GB"/>
              </w:rPr>
            </w:pPr>
            <w:r w:rsidRPr="00C10ED7">
              <w:t>2</w:t>
            </w:r>
          </w:p>
        </w:tc>
      </w:tr>
      <w:tr w:rsidR="00061101" w:rsidRPr="00FF3037" w14:paraId="080E5D2B" w14:textId="77777777" w:rsidTr="00BE6950">
        <w:trPr>
          <w:trHeight w:val="300"/>
        </w:trPr>
        <w:tc>
          <w:tcPr>
            <w:tcW w:w="1303" w:type="dxa"/>
            <w:shd w:val="clear" w:color="auto" w:fill="auto"/>
            <w:vAlign w:val="center"/>
          </w:tcPr>
          <w:p w14:paraId="2768B5DE" w14:textId="77777777" w:rsidR="00061101" w:rsidRPr="00B57B36" w:rsidRDefault="00061101" w:rsidP="00BE6950">
            <w:pPr>
              <w:pStyle w:val="CETBodytext"/>
              <w:ind w:left="228"/>
              <w:jc w:val="left"/>
              <w:rPr>
                <w:lang w:val="en-GB"/>
              </w:rPr>
            </w:pPr>
          </w:p>
        </w:tc>
        <w:tc>
          <w:tcPr>
            <w:tcW w:w="6518" w:type="dxa"/>
            <w:tcBorders>
              <w:top w:val="nil"/>
              <w:bottom w:val="nil"/>
              <w:right w:val="nil"/>
            </w:tcBorders>
            <w:shd w:val="clear" w:color="auto" w:fill="auto"/>
            <w:vAlign w:val="center"/>
          </w:tcPr>
          <w:p w14:paraId="7715D5E5" w14:textId="77777777" w:rsidR="00061101" w:rsidRPr="00FF3037" w:rsidRDefault="00061101" w:rsidP="00BE6950">
            <w:pPr>
              <w:pStyle w:val="CETBodytext"/>
              <w:ind w:left="228"/>
              <w:jc w:val="left"/>
              <w:rPr>
                <w:lang w:val="en-GB"/>
              </w:rPr>
            </w:pPr>
            <w:r w:rsidRPr="00C10ED7">
              <w:t>Contaminated surface run-off water and washing wastewater</w:t>
            </w:r>
          </w:p>
        </w:tc>
        <w:tc>
          <w:tcPr>
            <w:tcW w:w="1013" w:type="dxa"/>
            <w:tcBorders>
              <w:top w:val="nil"/>
              <w:left w:val="nil"/>
              <w:bottom w:val="nil"/>
              <w:right w:val="nil"/>
            </w:tcBorders>
            <w:shd w:val="clear" w:color="auto" w:fill="auto"/>
            <w:vAlign w:val="center"/>
          </w:tcPr>
          <w:p w14:paraId="1BBBA0A3" w14:textId="77777777" w:rsidR="00061101" w:rsidRPr="00FF3037" w:rsidRDefault="00061101" w:rsidP="00BE6950">
            <w:pPr>
              <w:pStyle w:val="CETBodytext"/>
              <w:ind w:left="228"/>
              <w:jc w:val="left"/>
              <w:rPr>
                <w:lang w:val="en-GB"/>
              </w:rPr>
            </w:pPr>
            <w:r w:rsidRPr="00C10ED7">
              <w:t>3</w:t>
            </w:r>
          </w:p>
        </w:tc>
      </w:tr>
      <w:tr w:rsidR="00061101" w:rsidRPr="00B333C2" w14:paraId="4D5E066B" w14:textId="77777777" w:rsidTr="00BE6950">
        <w:trPr>
          <w:trHeight w:val="289"/>
        </w:trPr>
        <w:tc>
          <w:tcPr>
            <w:tcW w:w="1303" w:type="dxa"/>
            <w:shd w:val="clear" w:color="auto" w:fill="auto"/>
            <w:vAlign w:val="center"/>
          </w:tcPr>
          <w:p w14:paraId="2A18E6D5" w14:textId="77777777" w:rsidR="00061101" w:rsidRPr="00B333C2" w:rsidRDefault="00061101" w:rsidP="00BE6950">
            <w:pPr>
              <w:pStyle w:val="CETBodytext"/>
              <w:ind w:left="228"/>
              <w:jc w:val="left"/>
            </w:pPr>
          </w:p>
        </w:tc>
        <w:tc>
          <w:tcPr>
            <w:tcW w:w="6518" w:type="dxa"/>
            <w:tcBorders>
              <w:top w:val="nil"/>
              <w:bottom w:val="nil"/>
              <w:right w:val="nil"/>
            </w:tcBorders>
            <w:shd w:val="clear" w:color="auto" w:fill="auto"/>
            <w:vAlign w:val="center"/>
          </w:tcPr>
          <w:p w14:paraId="185C334D" w14:textId="77777777" w:rsidR="00061101" w:rsidRPr="00B333C2" w:rsidRDefault="00061101" w:rsidP="00BE6950">
            <w:pPr>
              <w:pStyle w:val="CETBodytext"/>
              <w:ind w:left="228"/>
              <w:jc w:val="left"/>
            </w:pPr>
            <w:r w:rsidRPr="00C10ED7">
              <w:t>Industrial wastewater</w:t>
            </w:r>
          </w:p>
        </w:tc>
        <w:tc>
          <w:tcPr>
            <w:tcW w:w="1013" w:type="dxa"/>
            <w:tcBorders>
              <w:top w:val="nil"/>
              <w:left w:val="nil"/>
              <w:bottom w:val="nil"/>
              <w:right w:val="nil"/>
            </w:tcBorders>
            <w:shd w:val="clear" w:color="auto" w:fill="auto"/>
            <w:vAlign w:val="center"/>
          </w:tcPr>
          <w:p w14:paraId="2428D41C" w14:textId="77777777" w:rsidR="00061101" w:rsidRPr="00B333C2" w:rsidRDefault="00061101" w:rsidP="00BE6950">
            <w:pPr>
              <w:pStyle w:val="CETBodytext"/>
              <w:ind w:left="228"/>
              <w:jc w:val="left"/>
            </w:pPr>
            <w:r w:rsidRPr="00C10ED7">
              <w:t>4</w:t>
            </w:r>
          </w:p>
        </w:tc>
      </w:tr>
      <w:tr w:rsidR="00061101" w:rsidRPr="00685D52" w14:paraId="1C04E6EB" w14:textId="77777777" w:rsidTr="00BE6950">
        <w:trPr>
          <w:trHeight w:val="289"/>
        </w:trPr>
        <w:tc>
          <w:tcPr>
            <w:tcW w:w="1303" w:type="dxa"/>
            <w:shd w:val="clear" w:color="auto" w:fill="auto"/>
            <w:vAlign w:val="center"/>
          </w:tcPr>
          <w:p w14:paraId="2B292551" w14:textId="3F8220EC" w:rsidR="00061101" w:rsidRPr="00685D52" w:rsidRDefault="00166648" w:rsidP="00BE6950">
            <w:pPr>
              <w:pStyle w:val="CETBodytext"/>
              <w:ind w:left="228"/>
              <w:jc w:val="left"/>
            </w:pPr>
            <w:r>
              <w:t>T</w:t>
            </w:r>
          </w:p>
        </w:tc>
        <w:tc>
          <w:tcPr>
            <w:tcW w:w="6518" w:type="dxa"/>
            <w:tcBorders>
              <w:top w:val="nil"/>
              <w:bottom w:val="nil"/>
              <w:right w:val="nil"/>
            </w:tcBorders>
            <w:shd w:val="clear" w:color="auto" w:fill="auto"/>
            <w:vAlign w:val="center"/>
          </w:tcPr>
          <w:p w14:paraId="64896439" w14:textId="77777777" w:rsidR="00061101" w:rsidRPr="00685D52" w:rsidRDefault="00061101" w:rsidP="00BE6950">
            <w:pPr>
              <w:pStyle w:val="CETBodytext"/>
              <w:ind w:left="228"/>
              <w:jc w:val="left"/>
            </w:pPr>
            <w:r w:rsidRPr="00C10ED7">
              <w:t>Yes</w:t>
            </w:r>
          </w:p>
        </w:tc>
        <w:tc>
          <w:tcPr>
            <w:tcW w:w="1013" w:type="dxa"/>
            <w:tcBorders>
              <w:top w:val="nil"/>
              <w:left w:val="nil"/>
              <w:bottom w:val="nil"/>
              <w:right w:val="nil"/>
            </w:tcBorders>
            <w:shd w:val="clear" w:color="auto" w:fill="auto"/>
            <w:vAlign w:val="center"/>
          </w:tcPr>
          <w:p w14:paraId="05D6C9B5" w14:textId="77777777" w:rsidR="00061101" w:rsidRPr="00685D52" w:rsidRDefault="00061101" w:rsidP="00BE6950">
            <w:pPr>
              <w:pStyle w:val="CETBodytext"/>
              <w:ind w:left="228"/>
              <w:jc w:val="left"/>
            </w:pPr>
            <w:r w:rsidRPr="00C10ED7">
              <w:t>0.5</w:t>
            </w:r>
          </w:p>
        </w:tc>
      </w:tr>
      <w:tr w:rsidR="00061101" w:rsidRPr="00685D52" w14:paraId="334D8F31" w14:textId="77777777" w:rsidTr="00BE6950">
        <w:trPr>
          <w:trHeight w:val="289"/>
        </w:trPr>
        <w:tc>
          <w:tcPr>
            <w:tcW w:w="1303" w:type="dxa"/>
            <w:shd w:val="clear" w:color="auto" w:fill="auto"/>
            <w:vAlign w:val="center"/>
          </w:tcPr>
          <w:p w14:paraId="031B87C3" w14:textId="77777777" w:rsidR="00061101" w:rsidRPr="00685D52" w:rsidRDefault="00061101" w:rsidP="00BE6950">
            <w:pPr>
              <w:pStyle w:val="CETBodytext"/>
              <w:ind w:left="228"/>
              <w:jc w:val="left"/>
            </w:pPr>
          </w:p>
        </w:tc>
        <w:tc>
          <w:tcPr>
            <w:tcW w:w="6518" w:type="dxa"/>
            <w:tcBorders>
              <w:top w:val="nil"/>
              <w:bottom w:val="nil"/>
              <w:right w:val="nil"/>
            </w:tcBorders>
            <w:shd w:val="clear" w:color="auto" w:fill="auto"/>
            <w:vAlign w:val="center"/>
          </w:tcPr>
          <w:p w14:paraId="5233F4C4" w14:textId="77777777" w:rsidR="00061101" w:rsidRPr="00685D52" w:rsidRDefault="00061101" w:rsidP="00BE6950">
            <w:pPr>
              <w:pStyle w:val="CETBodytext"/>
              <w:ind w:left="228"/>
              <w:jc w:val="left"/>
            </w:pPr>
            <w:r w:rsidRPr="00C10ED7">
              <w:t>No</w:t>
            </w:r>
          </w:p>
        </w:tc>
        <w:tc>
          <w:tcPr>
            <w:tcW w:w="1013" w:type="dxa"/>
            <w:tcBorders>
              <w:top w:val="nil"/>
              <w:left w:val="nil"/>
              <w:bottom w:val="nil"/>
              <w:right w:val="nil"/>
            </w:tcBorders>
            <w:shd w:val="clear" w:color="auto" w:fill="auto"/>
            <w:vAlign w:val="center"/>
          </w:tcPr>
          <w:p w14:paraId="2E41F480" w14:textId="77777777" w:rsidR="00061101" w:rsidRPr="00685D52" w:rsidRDefault="00061101" w:rsidP="00BE6950">
            <w:pPr>
              <w:pStyle w:val="CETBodytext"/>
              <w:ind w:left="228"/>
              <w:jc w:val="left"/>
            </w:pPr>
            <w:r w:rsidRPr="00C10ED7">
              <w:t>1</w:t>
            </w:r>
          </w:p>
        </w:tc>
      </w:tr>
      <w:tr w:rsidR="00061101" w:rsidRPr="00685D52" w14:paraId="0F0DC030" w14:textId="77777777" w:rsidTr="00BE6950">
        <w:trPr>
          <w:trHeight w:val="289"/>
        </w:trPr>
        <w:tc>
          <w:tcPr>
            <w:tcW w:w="1303" w:type="dxa"/>
            <w:shd w:val="clear" w:color="auto" w:fill="auto"/>
            <w:vAlign w:val="center"/>
          </w:tcPr>
          <w:p w14:paraId="417B2996" w14:textId="7062CDAE" w:rsidR="00061101" w:rsidRPr="00685D52" w:rsidRDefault="00035317" w:rsidP="00BE6950">
            <w:pPr>
              <w:pStyle w:val="CETBodytext"/>
              <w:ind w:left="228"/>
              <w:jc w:val="left"/>
            </w:pPr>
            <w:r>
              <w:t>F</w:t>
            </w:r>
          </w:p>
        </w:tc>
        <w:tc>
          <w:tcPr>
            <w:tcW w:w="6518" w:type="dxa"/>
            <w:tcBorders>
              <w:top w:val="nil"/>
              <w:bottom w:val="nil"/>
              <w:right w:val="nil"/>
            </w:tcBorders>
            <w:shd w:val="clear" w:color="auto" w:fill="auto"/>
            <w:vAlign w:val="center"/>
          </w:tcPr>
          <w:p w14:paraId="2CF730B7" w14:textId="77777777" w:rsidR="00061101" w:rsidRPr="00685D52" w:rsidRDefault="00061101" w:rsidP="00BE6950">
            <w:pPr>
              <w:pStyle w:val="CETBodytext"/>
              <w:ind w:left="228"/>
              <w:jc w:val="left"/>
            </w:pPr>
            <w:r w:rsidRPr="00C10ED7">
              <w:t>Public sewer</w:t>
            </w:r>
          </w:p>
        </w:tc>
        <w:tc>
          <w:tcPr>
            <w:tcW w:w="1013" w:type="dxa"/>
            <w:tcBorders>
              <w:top w:val="nil"/>
              <w:left w:val="nil"/>
              <w:bottom w:val="nil"/>
              <w:right w:val="nil"/>
            </w:tcBorders>
            <w:shd w:val="clear" w:color="auto" w:fill="auto"/>
            <w:vAlign w:val="center"/>
          </w:tcPr>
          <w:p w14:paraId="2214B26D" w14:textId="77777777" w:rsidR="00061101" w:rsidRPr="00685D52" w:rsidRDefault="00061101" w:rsidP="00BE6950">
            <w:pPr>
              <w:pStyle w:val="CETBodytext"/>
              <w:ind w:left="228"/>
              <w:jc w:val="left"/>
            </w:pPr>
            <w:r w:rsidRPr="00C10ED7">
              <w:t>0.5</w:t>
            </w:r>
          </w:p>
        </w:tc>
      </w:tr>
      <w:tr w:rsidR="00061101" w:rsidRPr="00685D52" w14:paraId="29635FC9" w14:textId="77777777" w:rsidTr="00BE6950">
        <w:trPr>
          <w:trHeight w:val="289"/>
        </w:trPr>
        <w:tc>
          <w:tcPr>
            <w:tcW w:w="1303" w:type="dxa"/>
            <w:shd w:val="clear" w:color="auto" w:fill="auto"/>
            <w:vAlign w:val="center"/>
          </w:tcPr>
          <w:p w14:paraId="1D92BAF2" w14:textId="77777777" w:rsidR="00061101" w:rsidRPr="00685D52" w:rsidRDefault="00061101" w:rsidP="00BE6950">
            <w:pPr>
              <w:pStyle w:val="CETBodytext"/>
              <w:ind w:left="228"/>
              <w:jc w:val="left"/>
            </w:pPr>
          </w:p>
        </w:tc>
        <w:tc>
          <w:tcPr>
            <w:tcW w:w="6518" w:type="dxa"/>
            <w:tcBorders>
              <w:top w:val="nil"/>
              <w:bottom w:val="nil"/>
              <w:right w:val="nil"/>
            </w:tcBorders>
            <w:shd w:val="clear" w:color="auto" w:fill="auto"/>
            <w:vAlign w:val="center"/>
          </w:tcPr>
          <w:p w14:paraId="211A90A9" w14:textId="77777777" w:rsidR="00061101" w:rsidRPr="00685D52" w:rsidRDefault="00061101" w:rsidP="00BE6950">
            <w:pPr>
              <w:pStyle w:val="CETBodytext"/>
              <w:ind w:left="228"/>
              <w:jc w:val="left"/>
            </w:pPr>
            <w:r w:rsidRPr="00C10ED7">
              <w:t>Surface water body</w:t>
            </w:r>
          </w:p>
        </w:tc>
        <w:tc>
          <w:tcPr>
            <w:tcW w:w="1013" w:type="dxa"/>
            <w:tcBorders>
              <w:top w:val="nil"/>
              <w:left w:val="nil"/>
              <w:bottom w:val="nil"/>
              <w:right w:val="nil"/>
            </w:tcBorders>
            <w:shd w:val="clear" w:color="auto" w:fill="auto"/>
            <w:vAlign w:val="center"/>
          </w:tcPr>
          <w:p w14:paraId="132C6675" w14:textId="77777777" w:rsidR="00061101" w:rsidRPr="00685D52" w:rsidRDefault="00061101" w:rsidP="00BE6950">
            <w:pPr>
              <w:pStyle w:val="CETBodytext"/>
              <w:ind w:left="228"/>
              <w:jc w:val="left"/>
            </w:pPr>
            <w:r w:rsidRPr="00C10ED7">
              <w:t>1</w:t>
            </w:r>
          </w:p>
        </w:tc>
      </w:tr>
      <w:tr w:rsidR="00061101" w:rsidRPr="00685D52" w14:paraId="2ADC81FF" w14:textId="77777777" w:rsidTr="00BE6950">
        <w:trPr>
          <w:trHeight w:val="289"/>
        </w:trPr>
        <w:tc>
          <w:tcPr>
            <w:tcW w:w="1303" w:type="dxa"/>
            <w:shd w:val="clear" w:color="auto" w:fill="auto"/>
            <w:vAlign w:val="center"/>
          </w:tcPr>
          <w:p w14:paraId="645E6E38" w14:textId="62C84166" w:rsidR="00061101" w:rsidRPr="00685D52" w:rsidRDefault="00035317" w:rsidP="00BE6950">
            <w:pPr>
              <w:pStyle w:val="CETBodytext"/>
              <w:ind w:left="228"/>
              <w:jc w:val="left"/>
            </w:pPr>
            <w:r w:rsidRPr="00035317">
              <w:t>H</w:t>
            </w:r>
          </w:p>
        </w:tc>
        <w:tc>
          <w:tcPr>
            <w:tcW w:w="6518" w:type="dxa"/>
            <w:tcBorders>
              <w:top w:val="nil"/>
              <w:bottom w:val="nil"/>
              <w:right w:val="nil"/>
            </w:tcBorders>
            <w:shd w:val="clear" w:color="auto" w:fill="auto"/>
            <w:vAlign w:val="center"/>
          </w:tcPr>
          <w:p w14:paraId="15B75022" w14:textId="54BAD0DD" w:rsidR="00061101" w:rsidRPr="00685D52" w:rsidRDefault="00061101" w:rsidP="00BE6950">
            <w:pPr>
              <w:pStyle w:val="CETBodytext"/>
              <w:ind w:left="228"/>
              <w:jc w:val="left"/>
            </w:pPr>
            <w:r w:rsidRPr="00C10ED7">
              <w:t>Absence</w:t>
            </w:r>
            <w:r>
              <w:t xml:space="preserve"> </w:t>
            </w:r>
          </w:p>
        </w:tc>
        <w:tc>
          <w:tcPr>
            <w:tcW w:w="1013" w:type="dxa"/>
            <w:tcBorders>
              <w:top w:val="nil"/>
              <w:left w:val="nil"/>
              <w:bottom w:val="nil"/>
              <w:right w:val="nil"/>
            </w:tcBorders>
            <w:shd w:val="clear" w:color="auto" w:fill="auto"/>
            <w:vAlign w:val="center"/>
          </w:tcPr>
          <w:p w14:paraId="3489F082" w14:textId="77777777" w:rsidR="00061101" w:rsidRPr="00685D52" w:rsidRDefault="00061101" w:rsidP="00BE6950">
            <w:pPr>
              <w:pStyle w:val="CETBodytext"/>
              <w:ind w:left="228"/>
              <w:jc w:val="left"/>
            </w:pPr>
            <w:r w:rsidRPr="00C10ED7">
              <w:t>1</w:t>
            </w:r>
          </w:p>
        </w:tc>
      </w:tr>
      <w:tr w:rsidR="00061101" w:rsidRPr="00685D52" w14:paraId="0AC44A74" w14:textId="77777777" w:rsidTr="00BE6950">
        <w:trPr>
          <w:trHeight w:val="289"/>
        </w:trPr>
        <w:tc>
          <w:tcPr>
            <w:tcW w:w="1303" w:type="dxa"/>
            <w:shd w:val="clear" w:color="auto" w:fill="auto"/>
            <w:vAlign w:val="center"/>
          </w:tcPr>
          <w:p w14:paraId="6873D426" w14:textId="77777777" w:rsidR="00061101" w:rsidRPr="00685D52" w:rsidRDefault="00061101" w:rsidP="00BE6950">
            <w:pPr>
              <w:pStyle w:val="CETBodytext"/>
              <w:ind w:left="228"/>
              <w:jc w:val="left"/>
            </w:pPr>
          </w:p>
        </w:tc>
        <w:tc>
          <w:tcPr>
            <w:tcW w:w="6518" w:type="dxa"/>
            <w:tcBorders>
              <w:top w:val="nil"/>
              <w:bottom w:val="nil"/>
              <w:right w:val="nil"/>
            </w:tcBorders>
            <w:shd w:val="clear" w:color="auto" w:fill="auto"/>
            <w:vAlign w:val="center"/>
          </w:tcPr>
          <w:p w14:paraId="3E9E9EB4" w14:textId="66779D75" w:rsidR="00061101" w:rsidRPr="00685D52" w:rsidRDefault="00061101" w:rsidP="00BE6950">
            <w:pPr>
              <w:pStyle w:val="CETBodytext"/>
              <w:ind w:left="228"/>
              <w:jc w:val="left"/>
            </w:pPr>
            <w:r w:rsidRPr="00C10ED7">
              <w:t>Presence</w:t>
            </w:r>
            <w:r w:rsidR="006E34F9">
              <w:t>,</w:t>
            </w:r>
            <w:r w:rsidR="009D6D9B">
              <w:t xml:space="preserve"> </w:t>
            </w:r>
            <w:r w:rsidR="009D6D9B" w:rsidRPr="00C10ED7">
              <w:t>regardless of quantity</w:t>
            </w:r>
            <w:r w:rsidR="008D676E">
              <w:t xml:space="preserve"> </w:t>
            </w:r>
            <w:r w:rsidR="00310C6B">
              <w:t xml:space="preserve">for </w:t>
            </w:r>
            <w:r w:rsidR="009D6D9B" w:rsidRPr="00C10ED7">
              <w:t>IPPC-IED</w:t>
            </w:r>
            <w:r w:rsidR="009D6D9B">
              <w:t xml:space="preserve"> activities</w:t>
            </w:r>
            <w:r w:rsidR="00186152">
              <w:t xml:space="preserve"> </w:t>
            </w:r>
            <w:r w:rsidRPr="00C10ED7">
              <w:t>and to a lesser extent of the lower-tier requirements for Seveso</w:t>
            </w:r>
            <w:r>
              <w:t xml:space="preserve"> activities</w:t>
            </w:r>
          </w:p>
        </w:tc>
        <w:tc>
          <w:tcPr>
            <w:tcW w:w="1013" w:type="dxa"/>
            <w:tcBorders>
              <w:top w:val="nil"/>
              <w:left w:val="nil"/>
              <w:bottom w:val="nil"/>
              <w:right w:val="nil"/>
            </w:tcBorders>
            <w:shd w:val="clear" w:color="auto" w:fill="auto"/>
            <w:vAlign w:val="center"/>
          </w:tcPr>
          <w:p w14:paraId="663B449E" w14:textId="77777777" w:rsidR="00061101" w:rsidRPr="00685D52" w:rsidRDefault="00061101" w:rsidP="00BE6950">
            <w:pPr>
              <w:pStyle w:val="CETBodytext"/>
              <w:ind w:left="228"/>
              <w:jc w:val="left"/>
            </w:pPr>
            <w:r w:rsidRPr="00C10ED7">
              <w:t>1.5</w:t>
            </w:r>
          </w:p>
        </w:tc>
      </w:tr>
      <w:tr w:rsidR="00061101" w:rsidRPr="00685D52" w14:paraId="5E08FE7A" w14:textId="77777777" w:rsidTr="00BE6950">
        <w:trPr>
          <w:trHeight w:val="289"/>
        </w:trPr>
        <w:tc>
          <w:tcPr>
            <w:tcW w:w="1303" w:type="dxa"/>
            <w:shd w:val="clear" w:color="auto" w:fill="auto"/>
            <w:vAlign w:val="center"/>
          </w:tcPr>
          <w:p w14:paraId="2768EA95" w14:textId="77777777" w:rsidR="00061101" w:rsidRPr="00685D52" w:rsidRDefault="00061101" w:rsidP="00BE6950">
            <w:pPr>
              <w:pStyle w:val="CETBodytext"/>
              <w:ind w:left="228"/>
              <w:jc w:val="left"/>
            </w:pPr>
          </w:p>
        </w:tc>
        <w:tc>
          <w:tcPr>
            <w:tcW w:w="6518" w:type="dxa"/>
            <w:tcBorders>
              <w:top w:val="nil"/>
              <w:bottom w:val="nil"/>
              <w:right w:val="nil"/>
            </w:tcBorders>
            <w:shd w:val="clear" w:color="auto" w:fill="auto"/>
            <w:vAlign w:val="center"/>
          </w:tcPr>
          <w:p w14:paraId="7EFC1092" w14:textId="77777777" w:rsidR="00061101" w:rsidRPr="00685D52" w:rsidRDefault="00061101" w:rsidP="00BE6950">
            <w:pPr>
              <w:pStyle w:val="CETBodytext"/>
              <w:ind w:left="228"/>
              <w:jc w:val="left"/>
            </w:pPr>
            <w:r w:rsidRPr="00C10ED7">
              <w:t>Presence in quantities between the lower-tier and upper-tier requirements for Seveso activities</w:t>
            </w:r>
          </w:p>
        </w:tc>
        <w:tc>
          <w:tcPr>
            <w:tcW w:w="1013" w:type="dxa"/>
            <w:tcBorders>
              <w:top w:val="nil"/>
              <w:left w:val="nil"/>
              <w:bottom w:val="nil"/>
              <w:right w:val="nil"/>
            </w:tcBorders>
            <w:shd w:val="clear" w:color="auto" w:fill="auto"/>
            <w:vAlign w:val="center"/>
          </w:tcPr>
          <w:p w14:paraId="2714A4F4" w14:textId="77777777" w:rsidR="00061101" w:rsidRPr="00685D52" w:rsidRDefault="00061101" w:rsidP="00BE6950">
            <w:pPr>
              <w:pStyle w:val="CETBodytext"/>
              <w:ind w:left="228"/>
              <w:jc w:val="left"/>
            </w:pPr>
            <w:r w:rsidRPr="00C10ED7">
              <w:t>2</w:t>
            </w:r>
          </w:p>
        </w:tc>
      </w:tr>
      <w:tr w:rsidR="00061101" w:rsidRPr="00685D52" w14:paraId="18EF8E1E" w14:textId="77777777" w:rsidTr="00BE6950">
        <w:trPr>
          <w:trHeight w:val="289"/>
        </w:trPr>
        <w:tc>
          <w:tcPr>
            <w:tcW w:w="1303" w:type="dxa"/>
            <w:shd w:val="clear" w:color="auto" w:fill="auto"/>
            <w:vAlign w:val="center"/>
          </w:tcPr>
          <w:p w14:paraId="1A17865C" w14:textId="77777777" w:rsidR="00061101" w:rsidRPr="00685D52" w:rsidRDefault="00061101" w:rsidP="00BE6950">
            <w:pPr>
              <w:pStyle w:val="CETBodytext"/>
              <w:ind w:left="228"/>
              <w:jc w:val="left"/>
            </w:pPr>
          </w:p>
        </w:tc>
        <w:tc>
          <w:tcPr>
            <w:tcW w:w="6518" w:type="dxa"/>
            <w:tcBorders>
              <w:top w:val="nil"/>
              <w:bottom w:val="nil"/>
              <w:right w:val="nil"/>
            </w:tcBorders>
            <w:shd w:val="clear" w:color="auto" w:fill="auto"/>
            <w:vAlign w:val="center"/>
          </w:tcPr>
          <w:p w14:paraId="138A2A73" w14:textId="76F57D0E" w:rsidR="00061101" w:rsidRPr="00685D52" w:rsidRDefault="00061101" w:rsidP="00BE6950">
            <w:pPr>
              <w:pStyle w:val="CETBodytext"/>
              <w:ind w:left="228"/>
              <w:jc w:val="left"/>
            </w:pPr>
            <w:r w:rsidRPr="00C10ED7">
              <w:t xml:space="preserve">Presence </w:t>
            </w:r>
            <w:r w:rsidR="00653920">
              <w:t>exceeding</w:t>
            </w:r>
            <w:r w:rsidRPr="00C10ED7">
              <w:t xml:space="preserve"> the upper-tier requirements for Seveso activities</w:t>
            </w:r>
          </w:p>
        </w:tc>
        <w:tc>
          <w:tcPr>
            <w:tcW w:w="1013" w:type="dxa"/>
            <w:tcBorders>
              <w:top w:val="nil"/>
              <w:left w:val="nil"/>
              <w:bottom w:val="nil"/>
              <w:right w:val="nil"/>
            </w:tcBorders>
            <w:shd w:val="clear" w:color="auto" w:fill="auto"/>
            <w:vAlign w:val="center"/>
          </w:tcPr>
          <w:p w14:paraId="368B4C01" w14:textId="77777777" w:rsidR="00061101" w:rsidRPr="00685D52" w:rsidRDefault="00061101" w:rsidP="00BE6950">
            <w:pPr>
              <w:pStyle w:val="CETBodytext"/>
              <w:ind w:left="228"/>
              <w:jc w:val="left"/>
            </w:pPr>
            <w:r w:rsidRPr="00C10ED7">
              <w:t>3</w:t>
            </w:r>
          </w:p>
        </w:tc>
      </w:tr>
      <w:tr w:rsidR="00061101" w:rsidRPr="00685D52" w14:paraId="062D97C9" w14:textId="77777777" w:rsidTr="00BE6950">
        <w:trPr>
          <w:trHeight w:val="289"/>
        </w:trPr>
        <w:tc>
          <w:tcPr>
            <w:tcW w:w="1303" w:type="dxa"/>
            <w:shd w:val="clear" w:color="auto" w:fill="auto"/>
            <w:vAlign w:val="center"/>
          </w:tcPr>
          <w:p w14:paraId="392BE0E0" w14:textId="4A015151" w:rsidR="00061101" w:rsidRPr="00685D52" w:rsidRDefault="00035317" w:rsidP="00BE6950">
            <w:pPr>
              <w:pStyle w:val="CETBodytext"/>
              <w:ind w:left="228"/>
              <w:jc w:val="left"/>
            </w:pPr>
            <w:r>
              <w:t>S</w:t>
            </w:r>
          </w:p>
        </w:tc>
        <w:tc>
          <w:tcPr>
            <w:tcW w:w="6518" w:type="dxa"/>
            <w:tcBorders>
              <w:top w:val="nil"/>
              <w:bottom w:val="nil"/>
              <w:right w:val="nil"/>
            </w:tcBorders>
            <w:shd w:val="clear" w:color="auto" w:fill="auto"/>
            <w:vAlign w:val="center"/>
          </w:tcPr>
          <w:p w14:paraId="635ED241" w14:textId="77777777" w:rsidR="00061101" w:rsidRPr="00685D52" w:rsidRDefault="00061101" w:rsidP="00BE6950">
            <w:pPr>
              <w:pStyle w:val="CETBodytext"/>
              <w:ind w:left="228"/>
              <w:jc w:val="left"/>
            </w:pPr>
            <w:r w:rsidRPr="00C10ED7">
              <w:t>0 – 10</w:t>
            </w:r>
            <w:r w:rsidRPr="00C567AD">
              <w:rPr>
                <w:vertAlign w:val="superscript"/>
              </w:rPr>
              <w:t xml:space="preserve">3 </w:t>
            </w:r>
            <w:r w:rsidRPr="00C10ED7">
              <w:t>m</w:t>
            </w:r>
            <w:r w:rsidRPr="00C567AD">
              <w:rPr>
                <w:vertAlign w:val="superscript"/>
              </w:rPr>
              <w:t>3</w:t>
            </w:r>
            <w:r w:rsidRPr="00C10ED7">
              <w:t>/year</w:t>
            </w:r>
          </w:p>
        </w:tc>
        <w:tc>
          <w:tcPr>
            <w:tcW w:w="1013" w:type="dxa"/>
            <w:tcBorders>
              <w:top w:val="nil"/>
              <w:left w:val="nil"/>
              <w:bottom w:val="nil"/>
              <w:right w:val="nil"/>
            </w:tcBorders>
            <w:shd w:val="clear" w:color="auto" w:fill="auto"/>
            <w:vAlign w:val="center"/>
          </w:tcPr>
          <w:p w14:paraId="47B5027F" w14:textId="77777777" w:rsidR="00061101" w:rsidRPr="00685D52" w:rsidRDefault="00061101" w:rsidP="00BE6950">
            <w:pPr>
              <w:pStyle w:val="CETBodytext"/>
              <w:ind w:left="228"/>
              <w:jc w:val="left"/>
            </w:pPr>
            <w:r w:rsidRPr="00C10ED7">
              <w:t>0.5</w:t>
            </w:r>
          </w:p>
        </w:tc>
      </w:tr>
      <w:tr w:rsidR="00061101" w:rsidRPr="00685D52" w14:paraId="7E631F22" w14:textId="77777777" w:rsidTr="00BE6950">
        <w:trPr>
          <w:trHeight w:val="289"/>
        </w:trPr>
        <w:tc>
          <w:tcPr>
            <w:tcW w:w="1303" w:type="dxa"/>
            <w:shd w:val="clear" w:color="auto" w:fill="auto"/>
            <w:vAlign w:val="center"/>
          </w:tcPr>
          <w:p w14:paraId="1E249EBD" w14:textId="77777777" w:rsidR="00061101" w:rsidRPr="00685D52" w:rsidRDefault="00061101" w:rsidP="00BE6950">
            <w:pPr>
              <w:pStyle w:val="CETBodytext"/>
              <w:ind w:left="228"/>
              <w:jc w:val="left"/>
            </w:pPr>
          </w:p>
        </w:tc>
        <w:tc>
          <w:tcPr>
            <w:tcW w:w="6518" w:type="dxa"/>
            <w:tcBorders>
              <w:top w:val="nil"/>
              <w:bottom w:val="nil"/>
              <w:right w:val="nil"/>
            </w:tcBorders>
            <w:shd w:val="clear" w:color="auto" w:fill="auto"/>
            <w:vAlign w:val="center"/>
          </w:tcPr>
          <w:p w14:paraId="7DEA6C48" w14:textId="77777777" w:rsidR="00061101" w:rsidRPr="00685D52" w:rsidRDefault="00061101" w:rsidP="00BE6950">
            <w:pPr>
              <w:pStyle w:val="CETBodytext"/>
              <w:ind w:left="228"/>
              <w:jc w:val="left"/>
            </w:pPr>
            <w:r w:rsidRPr="00C10ED7">
              <w:t>10</w:t>
            </w:r>
            <w:r w:rsidRPr="00C567AD">
              <w:rPr>
                <w:vertAlign w:val="superscript"/>
              </w:rPr>
              <w:t>3</w:t>
            </w:r>
            <w:r w:rsidRPr="00C10ED7">
              <w:t xml:space="preserve"> – 10</w:t>
            </w:r>
            <w:r w:rsidRPr="00C567AD">
              <w:rPr>
                <w:vertAlign w:val="superscript"/>
              </w:rPr>
              <w:t>4</w:t>
            </w:r>
            <w:r w:rsidRPr="00C10ED7">
              <w:t xml:space="preserve"> m</w:t>
            </w:r>
            <w:r w:rsidRPr="00C567AD">
              <w:rPr>
                <w:vertAlign w:val="superscript"/>
              </w:rPr>
              <w:t>3</w:t>
            </w:r>
            <w:r w:rsidRPr="00C10ED7">
              <w:t>/year</w:t>
            </w:r>
          </w:p>
        </w:tc>
        <w:tc>
          <w:tcPr>
            <w:tcW w:w="1013" w:type="dxa"/>
            <w:tcBorders>
              <w:top w:val="nil"/>
              <w:left w:val="nil"/>
              <w:bottom w:val="nil"/>
              <w:right w:val="nil"/>
            </w:tcBorders>
            <w:shd w:val="clear" w:color="auto" w:fill="auto"/>
            <w:vAlign w:val="center"/>
          </w:tcPr>
          <w:p w14:paraId="25490C21" w14:textId="77777777" w:rsidR="00061101" w:rsidRPr="00685D52" w:rsidRDefault="00061101" w:rsidP="00BE6950">
            <w:pPr>
              <w:pStyle w:val="CETBodytext"/>
              <w:ind w:left="228"/>
              <w:jc w:val="left"/>
            </w:pPr>
            <w:r w:rsidRPr="00C10ED7">
              <w:t>1</w:t>
            </w:r>
          </w:p>
        </w:tc>
      </w:tr>
      <w:tr w:rsidR="00061101" w:rsidRPr="00685D52" w14:paraId="54795BC1" w14:textId="77777777" w:rsidTr="00BE6950">
        <w:trPr>
          <w:trHeight w:val="300"/>
        </w:trPr>
        <w:tc>
          <w:tcPr>
            <w:tcW w:w="1303" w:type="dxa"/>
            <w:shd w:val="clear" w:color="auto" w:fill="auto"/>
            <w:vAlign w:val="center"/>
          </w:tcPr>
          <w:p w14:paraId="3BAE50B1" w14:textId="77777777" w:rsidR="00061101" w:rsidRPr="00685D52" w:rsidRDefault="00061101" w:rsidP="00BE6950">
            <w:pPr>
              <w:pStyle w:val="CETBodytext"/>
              <w:ind w:left="228"/>
              <w:jc w:val="left"/>
            </w:pPr>
          </w:p>
        </w:tc>
        <w:tc>
          <w:tcPr>
            <w:tcW w:w="6518" w:type="dxa"/>
            <w:tcBorders>
              <w:top w:val="nil"/>
              <w:bottom w:val="nil"/>
              <w:right w:val="nil"/>
            </w:tcBorders>
            <w:shd w:val="clear" w:color="auto" w:fill="auto"/>
            <w:vAlign w:val="center"/>
          </w:tcPr>
          <w:p w14:paraId="295A5B29" w14:textId="77777777" w:rsidR="00061101" w:rsidRPr="00685D52" w:rsidRDefault="00061101" w:rsidP="00BE6950">
            <w:pPr>
              <w:pStyle w:val="CETBodytext"/>
              <w:ind w:left="228"/>
              <w:jc w:val="left"/>
            </w:pPr>
            <w:r w:rsidRPr="00C10ED7">
              <w:t>10</w:t>
            </w:r>
            <w:r w:rsidRPr="00C567AD">
              <w:rPr>
                <w:vertAlign w:val="superscript"/>
              </w:rPr>
              <w:t>4</w:t>
            </w:r>
            <w:r w:rsidRPr="00C10ED7">
              <w:t xml:space="preserve"> – 10</w:t>
            </w:r>
            <w:r w:rsidRPr="00C567AD">
              <w:rPr>
                <w:vertAlign w:val="superscript"/>
              </w:rPr>
              <w:t>5</w:t>
            </w:r>
            <w:r w:rsidRPr="00C10ED7">
              <w:t xml:space="preserve"> m</w:t>
            </w:r>
            <w:r w:rsidRPr="00C567AD">
              <w:rPr>
                <w:vertAlign w:val="superscript"/>
              </w:rPr>
              <w:t>3</w:t>
            </w:r>
            <w:r w:rsidRPr="00C10ED7">
              <w:t>/year</w:t>
            </w:r>
          </w:p>
        </w:tc>
        <w:tc>
          <w:tcPr>
            <w:tcW w:w="1013" w:type="dxa"/>
            <w:tcBorders>
              <w:top w:val="nil"/>
              <w:left w:val="nil"/>
              <w:bottom w:val="nil"/>
              <w:right w:val="nil"/>
            </w:tcBorders>
            <w:shd w:val="clear" w:color="auto" w:fill="auto"/>
            <w:vAlign w:val="center"/>
          </w:tcPr>
          <w:p w14:paraId="0A680AF7" w14:textId="77777777" w:rsidR="00061101" w:rsidRPr="00685D52" w:rsidRDefault="00061101" w:rsidP="00BE6950">
            <w:pPr>
              <w:pStyle w:val="CETBodytext"/>
              <w:ind w:left="228"/>
              <w:jc w:val="left"/>
            </w:pPr>
            <w:r w:rsidRPr="00C10ED7">
              <w:t>1.5</w:t>
            </w:r>
          </w:p>
        </w:tc>
      </w:tr>
      <w:tr w:rsidR="00061101" w:rsidRPr="00685D52" w14:paraId="04C710AB" w14:textId="77777777" w:rsidTr="00BE6950">
        <w:trPr>
          <w:trHeight w:val="289"/>
        </w:trPr>
        <w:tc>
          <w:tcPr>
            <w:tcW w:w="1303" w:type="dxa"/>
            <w:shd w:val="clear" w:color="auto" w:fill="auto"/>
            <w:vAlign w:val="center"/>
          </w:tcPr>
          <w:p w14:paraId="4EC1D387" w14:textId="77777777" w:rsidR="00061101" w:rsidRPr="00685D52" w:rsidRDefault="00061101" w:rsidP="00BE6950">
            <w:pPr>
              <w:pStyle w:val="CETBodytext"/>
              <w:ind w:left="228"/>
              <w:jc w:val="left"/>
            </w:pPr>
          </w:p>
        </w:tc>
        <w:tc>
          <w:tcPr>
            <w:tcW w:w="6518" w:type="dxa"/>
            <w:tcBorders>
              <w:top w:val="nil"/>
              <w:bottom w:val="nil"/>
              <w:right w:val="nil"/>
            </w:tcBorders>
            <w:shd w:val="clear" w:color="auto" w:fill="auto"/>
            <w:vAlign w:val="center"/>
          </w:tcPr>
          <w:p w14:paraId="7CDCC8C4" w14:textId="77777777" w:rsidR="00061101" w:rsidRPr="00685D52" w:rsidRDefault="00061101" w:rsidP="00BE6950">
            <w:pPr>
              <w:pStyle w:val="CETBodytext"/>
              <w:ind w:left="228"/>
              <w:jc w:val="left"/>
            </w:pPr>
            <w:r w:rsidRPr="00C10ED7">
              <w:t>10</w:t>
            </w:r>
            <w:r w:rsidRPr="00C567AD">
              <w:rPr>
                <w:vertAlign w:val="superscript"/>
              </w:rPr>
              <w:t>5</w:t>
            </w:r>
            <w:r w:rsidRPr="00C10ED7">
              <w:t xml:space="preserve"> – 10</w:t>
            </w:r>
            <w:r w:rsidRPr="00C567AD">
              <w:rPr>
                <w:vertAlign w:val="superscript"/>
              </w:rPr>
              <w:t>6</w:t>
            </w:r>
            <w:r w:rsidRPr="00C10ED7">
              <w:t xml:space="preserve"> m</w:t>
            </w:r>
            <w:r w:rsidRPr="00C567AD">
              <w:rPr>
                <w:vertAlign w:val="superscript"/>
              </w:rPr>
              <w:t>3</w:t>
            </w:r>
            <w:r w:rsidRPr="00C10ED7">
              <w:t>/year</w:t>
            </w:r>
          </w:p>
        </w:tc>
        <w:tc>
          <w:tcPr>
            <w:tcW w:w="1013" w:type="dxa"/>
            <w:tcBorders>
              <w:top w:val="nil"/>
              <w:left w:val="nil"/>
              <w:bottom w:val="nil"/>
              <w:right w:val="nil"/>
            </w:tcBorders>
            <w:shd w:val="clear" w:color="auto" w:fill="auto"/>
            <w:vAlign w:val="center"/>
          </w:tcPr>
          <w:p w14:paraId="3D0F0888" w14:textId="77777777" w:rsidR="00061101" w:rsidRPr="00685D52" w:rsidRDefault="00061101" w:rsidP="00BE6950">
            <w:pPr>
              <w:pStyle w:val="CETBodytext"/>
              <w:ind w:left="228"/>
              <w:jc w:val="left"/>
            </w:pPr>
            <w:r w:rsidRPr="00C10ED7">
              <w:t>2</w:t>
            </w:r>
          </w:p>
        </w:tc>
      </w:tr>
      <w:tr w:rsidR="00061101" w:rsidRPr="00B57B36" w14:paraId="29A5CA9F" w14:textId="77777777" w:rsidTr="00BE6950">
        <w:trPr>
          <w:trHeight w:val="300"/>
        </w:trPr>
        <w:tc>
          <w:tcPr>
            <w:tcW w:w="1303" w:type="dxa"/>
            <w:shd w:val="clear" w:color="auto" w:fill="FFFFFF"/>
            <w:vAlign w:val="center"/>
          </w:tcPr>
          <w:p w14:paraId="63D719A1" w14:textId="77777777" w:rsidR="00061101" w:rsidRPr="00B57B36" w:rsidRDefault="00061101" w:rsidP="00BE6950">
            <w:pPr>
              <w:pStyle w:val="CETBodytext"/>
              <w:ind w:left="228" w:right="-1"/>
              <w:jc w:val="left"/>
              <w:rPr>
                <w:rFonts w:cs="Arial"/>
                <w:szCs w:val="18"/>
                <w:lang w:val="en-GB"/>
              </w:rPr>
            </w:pPr>
          </w:p>
        </w:tc>
        <w:tc>
          <w:tcPr>
            <w:tcW w:w="6518" w:type="dxa"/>
            <w:tcBorders>
              <w:top w:val="nil"/>
              <w:bottom w:val="single" w:sz="12" w:space="0" w:color="008000"/>
            </w:tcBorders>
            <w:shd w:val="clear" w:color="auto" w:fill="FFFFFF"/>
            <w:vAlign w:val="center"/>
          </w:tcPr>
          <w:p w14:paraId="4DFF2774" w14:textId="77777777" w:rsidR="00061101" w:rsidRPr="00B57B36" w:rsidRDefault="00061101" w:rsidP="00BE6950">
            <w:pPr>
              <w:pStyle w:val="CETBodytext"/>
              <w:ind w:left="228" w:right="-1"/>
              <w:jc w:val="left"/>
              <w:rPr>
                <w:rFonts w:cs="Arial"/>
                <w:szCs w:val="18"/>
                <w:lang w:val="en-GB"/>
              </w:rPr>
            </w:pPr>
            <w:r w:rsidRPr="00BB7388">
              <w:rPr>
                <w:rFonts w:cs="Arial"/>
                <w:szCs w:val="18"/>
                <w:lang w:val="en-GB"/>
              </w:rPr>
              <w:t>10</w:t>
            </w:r>
            <w:r w:rsidRPr="00C567AD">
              <w:rPr>
                <w:rFonts w:cs="Arial"/>
                <w:szCs w:val="18"/>
                <w:vertAlign w:val="superscript"/>
                <w:lang w:val="en-GB"/>
              </w:rPr>
              <w:t xml:space="preserve">6 </w:t>
            </w:r>
            <w:r w:rsidRPr="00BB7388">
              <w:rPr>
                <w:rFonts w:cs="Arial"/>
                <w:szCs w:val="18"/>
                <w:lang w:val="en-GB"/>
              </w:rPr>
              <w:t>– 10</w:t>
            </w:r>
            <w:r w:rsidRPr="00C567AD">
              <w:rPr>
                <w:rFonts w:cs="Arial"/>
                <w:szCs w:val="18"/>
                <w:vertAlign w:val="superscript"/>
                <w:lang w:val="en-GB"/>
              </w:rPr>
              <w:t>7</w:t>
            </w:r>
            <w:r w:rsidRPr="00BB7388">
              <w:rPr>
                <w:rFonts w:cs="Arial"/>
                <w:szCs w:val="18"/>
                <w:lang w:val="en-GB"/>
              </w:rPr>
              <w:t xml:space="preserve"> </w:t>
            </w:r>
            <w:r w:rsidRPr="00C10ED7">
              <w:t>m</w:t>
            </w:r>
            <w:r w:rsidRPr="00C567AD">
              <w:rPr>
                <w:vertAlign w:val="superscript"/>
              </w:rPr>
              <w:t>3</w:t>
            </w:r>
            <w:r w:rsidRPr="00C10ED7">
              <w:t>/year</w:t>
            </w:r>
          </w:p>
        </w:tc>
        <w:tc>
          <w:tcPr>
            <w:tcW w:w="1013" w:type="dxa"/>
            <w:tcBorders>
              <w:top w:val="nil"/>
              <w:bottom w:val="single" w:sz="12" w:space="0" w:color="008000"/>
              <w:right w:val="nil"/>
            </w:tcBorders>
            <w:shd w:val="clear" w:color="auto" w:fill="FFFFFF"/>
            <w:vAlign w:val="center"/>
          </w:tcPr>
          <w:p w14:paraId="5099718B" w14:textId="77777777" w:rsidR="00061101" w:rsidRPr="00B57B36" w:rsidRDefault="00061101" w:rsidP="00BE6950">
            <w:pPr>
              <w:pStyle w:val="CETBodytext"/>
              <w:ind w:left="228" w:right="-1"/>
              <w:jc w:val="left"/>
              <w:rPr>
                <w:rFonts w:cs="Arial"/>
                <w:szCs w:val="18"/>
                <w:lang w:val="en-GB"/>
              </w:rPr>
            </w:pPr>
            <w:r>
              <w:t>2.5</w:t>
            </w:r>
          </w:p>
        </w:tc>
      </w:tr>
    </w:tbl>
    <w:p w14:paraId="4D898A89" w14:textId="77777777" w:rsidR="00061101" w:rsidRDefault="00061101" w:rsidP="00061101">
      <w:pPr>
        <w:pStyle w:val="CETBodytext"/>
      </w:pPr>
    </w:p>
    <w:p w14:paraId="26331132" w14:textId="17F18C0E" w:rsidR="002A6EFD" w:rsidRDefault="002A6EFD" w:rsidP="00166648">
      <w:pPr>
        <w:pStyle w:val="CETBodytext"/>
      </w:pPr>
      <w:r>
        <w:t xml:space="preserve">In addition, given that WWTPs and CSs exhibit more homogeneous characteristics compared to Seveso and IPPC-IED sites, a set of reasonable assumptions was developed to simplify the characterization process </w:t>
      </w:r>
      <w:r w:rsidR="00051659">
        <w:t xml:space="preserve">by </w:t>
      </w:r>
      <w:r>
        <w:t xml:space="preserve">assigning predetermined </w:t>
      </w:r>
      <w:r w:rsidR="007452F7">
        <w:t>scores</w:t>
      </w:r>
      <w:r>
        <w:t xml:space="preserve"> to the parameters</w:t>
      </w:r>
      <w:r w:rsidR="006E34F9">
        <w:t>,</w:t>
      </w:r>
      <w:r>
        <w:t xml:space="preserve"> as presented in Table 2. </w:t>
      </w:r>
      <w:r w:rsidR="001513A0">
        <w:t xml:space="preserve">For what concerns WWTPs, the only parameter requiring determination is </w:t>
      </w:r>
      <w:r w:rsidR="001513A0" w:rsidRPr="002423FA">
        <w:rPr>
          <w:i/>
          <w:iCs/>
        </w:rPr>
        <w:t>S</w:t>
      </w:r>
      <w:r w:rsidR="001513A0">
        <w:t>, given that the size of the plants significantly affects the pollutant load on watercourses. Regarding CSs,</w:t>
      </w:r>
      <w:r w:rsidR="005E21A7">
        <w:t xml:space="preserve"> only</w:t>
      </w:r>
      <w:r w:rsidR="001513A0">
        <w:t xml:space="preserve"> parameter </w:t>
      </w:r>
      <w:r w:rsidR="001513A0" w:rsidRPr="002423FA">
        <w:rPr>
          <w:i/>
          <w:iCs/>
        </w:rPr>
        <w:t>H</w:t>
      </w:r>
      <w:r w:rsidR="001513A0">
        <w:t xml:space="preserve"> needs to be </w:t>
      </w:r>
      <w:r w:rsidR="00AC0D0D">
        <w:t xml:space="preserve">evaluated </w:t>
      </w:r>
      <w:r w:rsidR="001513A0">
        <w:t xml:space="preserve">according to the reported state of remediation: a </w:t>
      </w:r>
      <w:r w:rsidR="00AC0D0D">
        <w:t>score</w:t>
      </w:r>
      <w:r w:rsidR="001513A0">
        <w:t xml:space="preserve"> of 1 is </w:t>
      </w:r>
      <w:r w:rsidR="005E21A7">
        <w:t>given</w:t>
      </w:r>
      <w:r w:rsidR="001513A0">
        <w:t xml:space="preserve"> if remediation is completed, while a </w:t>
      </w:r>
      <w:r w:rsidR="00AC0D0D">
        <w:t>score</w:t>
      </w:r>
      <w:r w:rsidR="001513A0">
        <w:t xml:space="preserve"> of 1.5 indicates ongoing remediation. </w:t>
      </w:r>
      <w:r w:rsidR="00F91FE6">
        <w:t xml:space="preserve">As for the </w:t>
      </w:r>
      <w:r w:rsidR="00EE79CB">
        <w:t xml:space="preserve">other </w:t>
      </w:r>
      <w:r w:rsidR="00D8456B">
        <w:t>activity typologies,</w:t>
      </w:r>
      <w:r w:rsidR="00F91FE6">
        <w:t xml:space="preserve"> these choices</w:t>
      </w:r>
      <w:r w:rsidR="001513A0">
        <w:t xml:space="preserve"> were </w:t>
      </w:r>
      <w:r w:rsidR="001513A0" w:rsidRPr="002A6EFD">
        <w:t>verified with an ex-post validity check</w:t>
      </w:r>
      <w:r w:rsidR="001513A0">
        <w:t xml:space="preserve"> </w:t>
      </w:r>
      <w:r w:rsidR="00F91FE6">
        <w:t xml:space="preserve">(see </w:t>
      </w:r>
      <w:r w:rsidR="001513A0" w:rsidRPr="002A6EFD">
        <w:t xml:space="preserve">Section </w:t>
      </w:r>
      <w:r w:rsidR="00414BFB">
        <w:t>4</w:t>
      </w:r>
      <w:r w:rsidR="00F91FE6">
        <w:t>)</w:t>
      </w:r>
      <w:r w:rsidR="001513A0">
        <w:t>.</w:t>
      </w:r>
    </w:p>
    <w:p w14:paraId="519D28CB" w14:textId="07396DB4" w:rsidR="002A6EFD" w:rsidRDefault="002A6EFD" w:rsidP="002A6EFD">
      <w:pPr>
        <w:pStyle w:val="CETTabletitle"/>
      </w:pPr>
      <w:bookmarkStart w:id="0" w:name="_Hlk162026431"/>
      <w:r w:rsidRPr="00B57B36">
        <w:t xml:space="preserve">Table </w:t>
      </w:r>
      <w:r>
        <w:t>2</w:t>
      </w:r>
      <w:r w:rsidRPr="00B57B36">
        <w:t xml:space="preserve">: </w:t>
      </w:r>
      <w:r w:rsidR="00585401">
        <w:t xml:space="preserve">Common </w:t>
      </w:r>
      <w:r>
        <w:t xml:space="preserve">assumptions for </w:t>
      </w:r>
      <w:r w:rsidR="00BD7836">
        <w:t xml:space="preserve">BPI parameters assessment for </w:t>
      </w:r>
      <w:r>
        <w:t>WWTPs and CSs.</w:t>
      </w:r>
    </w:p>
    <w:tbl>
      <w:tblPr>
        <w:tblW w:w="891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54"/>
        <w:gridCol w:w="1232"/>
        <w:gridCol w:w="1233"/>
        <w:gridCol w:w="1233"/>
        <w:gridCol w:w="1233"/>
        <w:gridCol w:w="1233"/>
      </w:tblGrid>
      <w:tr w:rsidR="002423FA" w:rsidRPr="00B57B36" w14:paraId="7595C298" w14:textId="77777777" w:rsidTr="00BE6950">
        <w:trPr>
          <w:trHeight w:val="290"/>
        </w:trPr>
        <w:tc>
          <w:tcPr>
            <w:tcW w:w="2754" w:type="dxa"/>
            <w:tcBorders>
              <w:top w:val="single" w:sz="12" w:space="0" w:color="008000"/>
              <w:bottom w:val="single" w:sz="6" w:space="0" w:color="008000"/>
            </w:tcBorders>
            <w:shd w:val="clear" w:color="auto" w:fill="FFFFFF"/>
            <w:vAlign w:val="center"/>
          </w:tcPr>
          <w:p w14:paraId="65B79EA5" w14:textId="045F391B" w:rsidR="002A6EFD" w:rsidRPr="00B57B36" w:rsidRDefault="002A6EFD" w:rsidP="00BE6950">
            <w:pPr>
              <w:pStyle w:val="CETBodytext"/>
              <w:ind w:left="228"/>
              <w:jc w:val="left"/>
              <w:rPr>
                <w:lang w:val="en-GB"/>
              </w:rPr>
            </w:pPr>
            <w:r>
              <w:t>Activity typology</w:t>
            </w:r>
          </w:p>
        </w:tc>
        <w:tc>
          <w:tcPr>
            <w:tcW w:w="1232" w:type="dxa"/>
            <w:tcBorders>
              <w:top w:val="single" w:sz="12" w:space="0" w:color="008000"/>
              <w:bottom w:val="single" w:sz="6" w:space="0" w:color="008000"/>
            </w:tcBorders>
            <w:shd w:val="clear" w:color="auto" w:fill="FFFFFF"/>
            <w:vAlign w:val="center"/>
          </w:tcPr>
          <w:p w14:paraId="504DFF79" w14:textId="3A4EC932" w:rsidR="002A6EFD" w:rsidRPr="00B57B36" w:rsidRDefault="002A6EFD" w:rsidP="00BE6950">
            <w:pPr>
              <w:pStyle w:val="CETBodytext"/>
              <w:ind w:left="228"/>
              <w:jc w:val="left"/>
              <w:rPr>
                <w:lang w:val="en-GB"/>
              </w:rPr>
            </w:pPr>
            <w:r>
              <w:t>D</w:t>
            </w:r>
          </w:p>
        </w:tc>
        <w:tc>
          <w:tcPr>
            <w:tcW w:w="1233" w:type="dxa"/>
            <w:tcBorders>
              <w:top w:val="single" w:sz="12" w:space="0" w:color="008000"/>
              <w:bottom w:val="single" w:sz="6" w:space="0" w:color="008000"/>
            </w:tcBorders>
            <w:shd w:val="clear" w:color="auto" w:fill="FFFFFF"/>
            <w:vAlign w:val="center"/>
          </w:tcPr>
          <w:p w14:paraId="7CA154FA" w14:textId="06FDD8B5" w:rsidR="002A6EFD" w:rsidRDefault="002A6EFD" w:rsidP="00BE6950">
            <w:pPr>
              <w:pStyle w:val="CETBodytext"/>
              <w:ind w:left="228"/>
              <w:jc w:val="left"/>
            </w:pPr>
            <w:r>
              <w:t>T</w:t>
            </w:r>
          </w:p>
        </w:tc>
        <w:tc>
          <w:tcPr>
            <w:tcW w:w="1233" w:type="dxa"/>
            <w:tcBorders>
              <w:top w:val="single" w:sz="12" w:space="0" w:color="008000"/>
              <w:bottom w:val="single" w:sz="6" w:space="0" w:color="008000"/>
            </w:tcBorders>
            <w:shd w:val="clear" w:color="auto" w:fill="FFFFFF"/>
            <w:vAlign w:val="center"/>
          </w:tcPr>
          <w:p w14:paraId="5445E358" w14:textId="0FC5A193" w:rsidR="002A6EFD" w:rsidRDefault="002A6EFD" w:rsidP="00BE6950">
            <w:pPr>
              <w:pStyle w:val="CETBodytext"/>
              <w:ind w:left="228"/>
              <w:jc w:val="left"/>
            </w:pPr>
            <w:r>
              <w:t>F</w:t>
            </w:r>
          </w:p>
        </w:tc>
        <w:tc>
          <w:tcPr>
            <w:tcW w:w="1233" w:type="dxa"/>
            <w:tcBorders>
              <w:top w:val="single" w:sz="12" w:space="0" w:color="008000"/>
              <w:bottom w:val="single" w:sz="6" w:space="0" w:color="008000"/>
            </w:tcBorders>
            <w:shd w:val="clear" w:color="auto" w:fill="FFFFFF"/>
            <w:vAlign w:val="center"/>
          </w:tcPr>
          <w:p w14:paraId="206AA734" w14:textId="1209E443" w:rsidR="002A6EFD" w:rsidRDefault="002A6EFD" w:rsidP="00BE6950">
            <w:pPr>
              <w:pStyle w:val="CETBodytext"/>
              <w:ind w:left="228"/>
              <w:jc w:val="left"/>
            </w:pPr>
            <w:r>
              <w:t>H</w:t>
            </w:r>
          </w:p>
        </w:tc>
        <w:tc>
          <w:tcPr>
            <w:tcW w:w="1233" w:type="dxa"/>
            <w:tcBorders>
              <w:top w:val="single" w:sz="12" w:space="0" w:color="008000"/>
              <w:bottom w:val="single" w:sz="6" w:space="0" w:color="008000"/>
              <w:right w:val="nil"/>
            </w:tcBorders>
            <w:shd w:val="clear" w:color="auto" w:fill="FFFFFF"/>
            <w:vAlign w:val="center"/>
          </w:tcPr>
          <w:p w14:paraId="5B4EB57F" w14:textId="2BA6E5A0" w:rsidR="002A6EFD" w:rsidRPr="00B57B36" w:rsidRDefault="002A6EFD" w:rsidP="00BE6950">
            <w:pPr>
              <w:pStyle w:val="CETBodytext"/>
              <w:ind w:left="228"/>
              <w:jc w:val="left"/>
              <w:rPr>
                <w:lang w:val="en-GB"/>
              </w:rPr>
            </w:pPr>
            <w:r>
              <w:t>S</w:t>
            </w:r>
          </w:p>
        </w:tc>
      </w:tr>
      <w:tr w:rsidR="002423FA" w:rsidRPr="00B57B36" w14:paraId="0D73F885" w14:textId="77777777" w:rsidTr="00BE6950">
        <w:trPr>
          <w:trHeight w:val="268"/>
        </w:trPr>
        <w:tc>
          <w:tcPr>
            <w:tcW w:w="2754" w:type="dxa"/>
            <w:shd w:val="clear" w:color="auto" w:fill="auto"/>
            <w:vAlign w:val="center"/>
          </w:tcPr>
          <w:p w14:paraId="0D572BEC" w14:textId="6CD35F28" w:rsidR="002A6EFD" w:rsidRPr="00B57B36" w:rsidRDefault="002A6EFD" w:rsidP="00BE6950">
            <w:pPr>
              <w:pStyle w:val="CETBodytext"/>
              <w:ind w:left="228"/>
              <w:jc w:val="left"/>
              <w:rPr>
                <w:lang w:val="en-GB"/>
              </w:rPr>
            </w:pPr>
            <w:r>
              <w:t>WWTP</w:t>
            </w:r>
          </w:p>
        </w:tc>
        <w:tc>
          <w:tcPr>
            <w:tcW w:w="1232" w:type="dxa"/>
            <w:tcBorders>
              <w:top w:val="single" w:sz="4" w:space="0" w:color="auto"/>
              <w:bottom w:val="nil"/>
              <w:right w:val="nil"/>
            </w:tcBorders>
            <w:shd w:val="clear" w:color="auto" w:fill="auto"/>
            <w:vAlign w:val="center"/>
          </w:tcPr>
          <w:p w14:paraId="643CA305" w14:textId="716794F5" w:rsidR="002A6EFD" w:rsidRPr="00B57B36" w:rsidRDefault="002A6EFD" w:rsidP="00BE6950">
            <w:pPr>
              <w:pStyle w:val="CETBodytext"/>
              <w:ind w:left="228"/>
              <w:jc w:val="left"/>
              <w:rPr>
                <w:lang w:val="en-GB"/>
              </w:rPr>
            </w:pPr>
            <w:r w:rsidRPr="006D3EC0">
              <w:t>2</w:t>
            </w:r>
          </w:p>
        </w:tc>
        <w:tc>
          <w:tcPr>
            <w:tcW w:w="1233" w:type="dxa"/>
            <w:tcBorders>
              <w:top w:val="single" w:sz="4" w:space="0" w:color="auto"/>
              <w:bottom w:val="nil"/>
            </w:tcBorders>
            <w:vAlign w:val="center"/>
          </w:tcPr>
          <w:p w14:paraId="73AC3D01" w14:textId="2DCA7C55" w:rsidR="002A6EFD" w:rsidRPr="00C10ED7" w:rsidRDefault="002A6EFD" w:rsidP="00BE6950">
            <w:pPr>
              <w:pStyle w:val="CETBodytext"/>
              <w:ind w:left="228" w:right="-5047"/>
              <w:jc w:val="left"/>
            </w:pPr>
            <w:r w:rsidRPr="006D3EC0">
              <w:t>0.5</w:t>
            </w:r>
          </w:p>
        </w:tc>
        <w:tc>
          <w:tcPr>
            <w:tcW w:w="1233" w:type="dxa"/>
            <w:tcBorders>
              <w:top w:val="single" w:sz="4" w:space="0" w:color="auto"/>
              <w:bottom w:val="nil"/>
            </w:tcBorders>
            <w:vAlign w:val="center"/>
          </w:tcPr>
          <w:p w14:paraId="31AD3C89" w14:textId="4C109023" w:rsidR="002A6EFD" w:rsidRPr="00C10ED7" w:rsidRDefault="002A6EFD" w:rsidP="00BE6950">
            <w:pPr>
              <w:pStyle w:val="CETBodytext"/>
              <w:ind w:left="228" w:right="-5047"/>
              <w:jc w:val="left"/>
            </w:pPr>
            <w:r w:rsidRPr="006D3EC0">
              <w:t>1</w:t>
            </w:r>
          </w:p>
        </w:tc>
        <w:tc>
          <w:tcPr>
            <w:tcW w:w="1233" w:type="dxa"/>
            <w:tcBorders>
              <w:top w:val="single" w:sz="4" w:space="0" w:color="auto"/>
              <w:bottom w:val="nil"/>
              <w:right w:val="nil"/>
            </w:tcBorders>
            <w:vAlign w:val="center"/>
          </w:tcPr>
          <w:p w14:paraId="4A8D1BAD" w14:textId="32765E97" w:rsidR="002A6EFD" w:rsidRPr="00C10ED7" w:rsidRDefault="002A6EFD" w:rsidP="00BE6950">
            <w:pPr>
              <w:pStyle w:val="CETBodytext"/>
              <w:ind w:left="228" w:right="-5047"/>
              <w:jc w:val="left"/>
            </w:pPr>
            <w:r w:rsidRPr="006D3EC0">
              <w:t>1</w:t>
            </w:r>
          </w:p>
        </w:tc>
        <w:tc>
          <w:tcPr>
            <w:tcW w:w="1233" w:type="dxa"/>
            <w:tcBorders>
              <w:top w:val="single" w:sz="4" w:space="0" w:color="auto"/>
              <w:left w:val="nil"/>
              <w:bottom w:val="nil"/>
              <w:right w:val="nil"/>
            </w:tcBorders>
            <w:shd w:val="clear" w:color="auto" w:fill="auto"/>
            <w:vAlign w:val="center"/>
          </w:tcPr>
          <w:p w14:paraId="0546F00E" w14:textId="5D5A76E8" w:rsidR="002A6EFD" w:rsidRPr="00B57B36" w:rsidRDefault="002A6EFD" w:rsidP="00BE6950">
            <w:pPr>
              <w:pStyle w:val="CETBodytext"/>
              <w:ind w:left="228" w:right="-5047"/>
              <w:jc w:val="left"/>
              <w:rPr>
                <w:lang w:val="en-GB"/>
              </w:rPr>
            </w:pPr>
            <w:r w:rsidRPr="006D3EC0">
              <w:t>[0.5-3]</w:t>
            </w:r>
          </w:p>
        </w:tc>
      </w:tr>
      <w:tr w:rsidR="002423FA" w:rsidRPr="00B57B36" w14:paraId="19FEA8F2" w14:textId="77777777" w:rsidTr="00BE6950">
        <w:trPr>
          <w:trHeight w:val="290"/>
        </w:trPr>
        <w:tc>
          <w:tcPr>
            <w:tcW w:w="2754" w:type="dxa"/>
            <w:shd w:val="clear" w:color="auto" w:fill="FFFFFF"/>
            <w:vAlign w:val="center"/>
          </w:tcPr>
          <w:p w14:paraId="2C9FB744" w14:textId="1EABAB5C" w:rsidR="002A6EFD" w:rsidRPr="00B57B36" w:rsidRDefault="002A6EFD" w:rsidP="00BE6950">
            <w:pPr>
              <w:pStyle w:val="CETBodytext"/>
              <w:ind w:left="228" w:right="-1"/>
              <w:jc w:val="left"/>
              <w:rPr>
                <w:rFonts w:cs="Arial"/>
                <w:szCs w:val="18"/>
                <w:lang w:val="en-GB"/>
              </w:rPr>
            </w:pPr>
            <w:r>
              <w:rPr>
                <w:rFonts w:cs="Arial"/>
                <w:szCs w:val="18"/>
                <w:lang w:val="en-GB"/>
              </w:rPr>
              <w:t>CS</w:t>
            </w:r>
          </w:p>
        </w:tc>
        <w:tc>
          <w:tcPr>
            <w:tcW w:w="1232" w:type="dxa"/>
            <w:shd w:val="clear" w:color="auto" w:fill="FFFFFF"/>
            <w:vAlign w:val="center"/>
          </w:tcPr>
          <w:p w14:paraId="06467E0E" w14:textId="72908B68" w:rsidR="002A6EFD" w:rsidRPr="00B57B36" w:rsidRDefault="002A6EFD" w:rsidP="00BE6950">
            <w:pPr>
              <w:pStyle w:val="CETBodytext"/>
              <w:ind w:left="228" w:right="-1"/>
              <w:jc w:val="left"/>
              <w:rPr>
                <w:rFonts w:cs="Arial"/>
                <w:szCs w:val="18"/>
                <w:lang w:val="en-GB"/>
              </w:rPr>
            </w:pPr>
            <w:r w:rsidRPr="006D3EC0">
              <w:t>4</w:t>
            </w:r>
          </w:p>
        </w:tc>
        <w:tc>
          <w:tcPr>
            <w:tcW w:w="1233" w:type="dxa"/>
            <w:shd w:val="clear" w:color="auto" w:fill="FFFFFF"/>
            <w:vAlign w:val="center"/>
          </w:tcPr>
          <w:p w14:paraId="12FAE25E" w14:textId="2E40FF8E" w:rsidR="002A6EFD" w:rsidRDefault="002A6EFD" w:rsidP="00BE6950">
            <w:pPr>
              <w:pStyle w:val="CETBodytext"/>
              <w:ind w:left="228" w:right="-1"/>
              <w:jc w:val="left"/>
            </w:pPr>
            <w:r w:rsidRPr="006D3EC0">
              <w:t>0.5</w:t>
            </w:r>
          </w:p>
        </w:tc>
        <w:tc>
          <w:tcPr>
            <w:tcW w:w="1233" w:type="dxa"/>
            <w:shd w:val="clear" w:color="auto" w:fill="FFFFFF"/>
            <w:vAlign w:val="center"/>
          </w:tcPr>
          <w:p w14:paraId="3DCAE7D2" w14:textId="0E98BE49" w:rsidR="002A6EFD" w:rsidRDefault="002A6EFD" w:rsidP="00BE6950">
            <w:pPr>
              <w:pStyle w:val="CETBodytext"/>
              <w:ind w:left="228" w:right="-1"/>
              <w:jc w:val="left"/>
            </w:pPr>
            <w:r w:rsidRPr="006D3EC0">
              <w:t>1</w:t>
            </w:r>
          </w:p>
        </w:tc>
        <w:tc>
          <w:tcPr>
            <w:tcW w:w="1233" w:type="dxa"/>
            <w:shd w:val="clear" w:color="auto" w:fill="FFFFFF"/>
            <w:vAlign w:val="center"/>
          </w:tcPr>
          <w:p w14:paraId="1551877E" w14:textId="14C8A5E1" w:rsidR="002A6EFD" w:rsidRDefault="002A6EFD" w:rsidP="00BE6950">
            <w:pPr>
              <w:pStyle w:val="CETBodytext"/>
              <w:ind w:left="228" w:right="-1"/>
              <w:jc w:val="left"/>
            </w:pPr>
            <w:r w:rsidRPr="006D3EC0">
              <w:t>[1-1.5]</w:t>
            </w:r>
          </w:p>
        </w:tc>
        <w:tc>
          <w:tcPr>
            <w:tcW w:w="1233" w:type="dxa"/>
            <w:tcBorders>
              <w:bottom w:val="single" w:sz="12" w:space="0" w:color="008000"/>
              <w:right w:val="nil"/>
            </w:tcBorders>
            <w:shd w:val="clear" w:color="auto" w:fill="FFFFFF"/>
            <w:vAlign w:val="center"/>
          </w:tcPr>
          <w:p w14:paraId="595E8419" w14:textId="6C03891A" w:rsidR="002A6EFD" w:rsidRPr="00B57B36" w:rsidRDefault="002A6EFD" w:rsidP="00BE6950">
            <w:pPr>
              <w:pStyle w:val="CETBodytext"/>
              <w:ind w:left="228" w:right="-1"/>
              <w:jc w:val="left"/>
              <w:rPr>
                <w:rFonts w:cs="Arial"/>
                <w:szCs w:val="18"/>
                <w:lang w:val="en-GB"/>
              </w:rPr>
            </w:pPr>
            <w:r w:rsidRPr="006D3EC0">
              <w:t>0.5</w:t>
            </w:r>
          </w:p>
        </w:tc>
      </w:tr>
      <w:bookmarkEnd w:id="0"/>
    </w:tbl>
    <w:p w14:paraId="3AC2741C" w14:textId="77777777" w:rsidR="00D14ADE" w:rsidRPr="00805372" w:rsidRDefault="00D14ADE" w:rsidP="001513A0">
      <w:pPr>
        <w:pStyle w:val="CETBodytext"/>
      </w:pPr>
    </w:p>
    <w:p w14:paraId="79551A19" w14:textId="3C1B6244" w:rsidR="00556834" w:rsidRDefault="00805372" w:rsidP="00A123A6">
      <w:pPr>
        <w:pStyle w:val="CETheadingx"/>
      </w:pPr>
      <w:r>
        <w:t xml:space="preserve">Spatial allocation </w:t>
      </w:r>
      <w:r w:rsidR="00157DD1">
        <w:t>of the anthropogenic pressures along the river network</w:t>
      </w:r>
    </w:p>
    <w:p w14:paraId="2A758B95" w14:textId="6BD87DEA" w:rsidR="00673AF6" w:rsidRPr="00863E7D" w:rsidRDefault="00A123A6" w:rsidP="002035E4">
      <w:pPr>
        <w:pStyle w:val="CETBodytext"/>
      </w:pPr>
      <w:r w:rsidRPr="00863E7D">
        <w:t xml:space="preserve">The </w:t>
      </w:r>
      <w:r w:rsidR="003406BA" w:rsidRPr="00863E7D">
        <w:t>characterization of the ant</w:t>
      </w:r>
      <w:r w:rsidR="00955832" w:rsidRPr="00863E7D">
        <w:t>h</w:t>
      </w:r>
      <w:r w:rsidR="003406BA" w:rsidRPr="00863E7D">
        <w:t>ropogenic pressure</w:t>
      </w:r>
      <w:r w:rsidRPr="00863E7D">
        <w:t xml:space="preserve"> is followed by </w:t>
      </w:r>
      <w:r w:rsidR="00E47F4E" w:rsidRPr="00863E7D">
        <w:t xml:space="preserve">the spatial allocation </w:t>
      </w:r>
      <w:r w:rsidR="00955832" w:rsidRPr="00863E7D">
        <w:t xml:space="preserve">of the pollution sources </w:t>
      </w:r>
      <w:r w:rsidR="00E26022" w:rsidRPr="00863E7D">
        <w:t>along the river network</w:t>
      </w:r>
      <w:r w:rsidR="00EE6B2B" w:rsidRPr="00863E7D">
        <w:t>, considering</w:t>
      </w:r>
      <w:r w:rsidR="005B15D1" w:rsidRPr="00863E7D">
        <w:t xml:space="preserve"> their distribution within the area of interest </w:t>
      </w:r>
      <w:r w:rsidR="0021524A" w:rsidRPr="00863E7D">
        <w:t xml:space="preserve">(i.e., river basin or sub-basin). </w:t>
      </w:r>
      <w:r w:rsidR="00317516" w:rsidRPr="00863E7D">
        <w:t xml:space="preserve">The procedure </w:t>
      </w:r>
      <w:r w:rsidR="000E19B3" w:rsidRPr="00863E7D">
        <w:t>involves</w:t>
      </w:r>
      <w:r w:rsidR="00317516" w:rsidRPr="00863E7D">
        <w:t xml:space="preserve"> </w:t>
      </w:r>
      <w:r w:rsidR="009542E3" w:rsidRPr="00863E7D">
        <w:t xml:space="preserve">the </w:t>
      </w:r>
      <w:r w:rsidR="001C2182" w:rsidRPr="00863E7D">
        <w:t>identification of the hydraulic path</w:t>
      </w:r>
      <w:r w:rsidR="002D22A6" w:rsidRPr="00863E7D">
        <w:t>s</w:t>
      </w:r>
      <w:r w:rsidR="00E76287" w:rsidRPr="00863E7D">
        <w:t xml:space="preserve"> of each release point</w:t>
      </w:r>
      <w:r w:rsidR="001C2182" w:rsidRPr="00863E7D">
        <w:t xml:space="preserve"> through a raster-based approach</w:t>
      </w:r>
      <w:r w:rsidR="00B508D6" w:rsidRPr="00863E7D">
        <w:t xml:space="preserve"> and</w:t>
      </w:r>
      <w:r w:rsidR="00242072" w:rsidRPr="00863E7D">
        <w:t xml:space="preserve"> adopting a Digital Elevation Model</w:t>
      </w:r>
      <w:r w:rsidR="00B508D6" w:rsidRPr="00863E7D">
        <w:t xml:space="preserve"> (Garbrecht </w:t>
      </w:r>
      <w:r w:rsidR="006424BB" w:rsidRPr="00863E7D">
        <w:t>and</w:t>
      </w:r>
      <w:r w:rsidR="00B508D6" w:rsidRPr="00863E7D">
        <w:t xml:space="preserve"> Martz, 1997; Lehner et al., 2008)</w:t>
      </w:r>
      <w:r w:rsidR="00673AF6" w:rsidRPr="00863E7D">
        <w:t>, and</w:t>
      </w:r>
      <w:r w:rsidR="00A01142" w:rsidRPr="00863E7D">
        <w:t xml:space="preserve"> </w:t>
      </w:r>
      <w:r w:rsidR="003C6E6C" w:rsidRPr="00863E7D">
        <w:t>river segmentation</w:t>
      </w:r>
      <w:r w:rsidR="00AF1A71" w:rsidRPr="00863E7D">
        <w:t xml:space="preserve"> (i.e., w</w:t>
      </w:r>
      <w:r w:rsidR="009349E2" w:rsidRPr="00863E7D">
        <w:t>hen</w:t>
      </w:r>
      <w:r w:rsidR="008E2B6A" w:rsidRPr="00863E7D">
        <w:t xml:space="preserve"> an allocated source reaches the </w:t>
      </w:r>
      <w:r w:rsidR="006B1296" w:rsidRPr="00863E7D">
        <w:t xml:space="preserve">main </w:t>
      </w:r>
      <w:r w:rsidR="008E2B6A" w:rsidRPr="00863E7D">
        <w:t>watercourse, a new segment has to be defined</w:t>
      </w:r>
      <w:r w:rsidR="00AF1A71" w:rsidRPr="00863E7D">
        <w:t>)</w:t>
      </w:r>
      <w:r w:rsidR="008E2B6A" w:rsidRPr="00863E7D">
        <w:t xml:space="preserve">. </w:t>
      </w:r>
    </w:p>
    <w:p w14:paraId="19CF9AF1" w14:textId="72A33686" w:rsidR="00F27541" w:rsidRDefault="00551B96" w:rsidP="003873BF">
      <w:pPr>
        <w:pStyle w:val="CETBodytext"/>
      </w:pPr>
      <w:r w:rsidRPr="00863E7D">
        <w:t>T</w:t>
      </w:r>
      <w:r w:rsidR="00AB3EF5" w:rsidRPr="00863E7D">
        <w:t xml:space="preserve">o </w:t>
      </w:r>
      <w:r w:rsidR="00C42837" w:rsidRPr="00863E7D">
        <w:t xml:space="preserve">spatially assess the </w:t>
      </w:r>
      <w:r w:rsidR="0092441A" w:rsidRPr="00863E7D">
        <w:t>total</w:t>
      </w:r>
      <w:r w:rsidR="00253699" w:rsidRPr="00863E7D">
        <w:t xml:space="preserve"> </w:t>
      </w:r>
      <w:r w:rsidR="00C42837" w:rsidRPr="00863E7D">
        <w:t xml:space="preserve">pressure </w:t>
      </w:r>
      <w:r w:rsidR="00AF0007" w:rsidRPr="00863E7D">
        <w:t xml:space="preserve">exerted on the </w:t>
      </w:r>
      <w:r w:rsidR="007C4CB0" w:rsidRPr="00863E7D">
        <w:t xml:space="preserve">river </w:t>
      </w:r>
      <w:r w:rsidR="00AF0007" w:rsidRPr="00863E7D">
        <w:t xml:space="preserve">analyzed, a </w:t>
      </w:r>
      <w:r w:rsidR="00C31A64" w:rsidRPr="00863E7D">
        <w:t>Cumulative</w:t>
      </w:r>
      <w:r w:rsidR="00282627" w:rsidRPr="00863E7D">
        <w:t xml:space="preserve"> Biochemical</w:t>
      </w:r>
      <w:r w:rsidR="00C31A64" w:rsidRPr="00863E7D">
        <w:t xml:space="preserve"> Pressure Index (C</w:t>
      </w:r>
      <w:r w:rsidR="00282627" w:rsidRPr="00863E7D">
        <w:t>B</w:t>
      </w:r>
      <w:r w:rsidR="00C31A64" w:rsidRPr="00863E7D">
        <w:t xml:space="preserve">PI) is to be </w:t>
      </w:r>
      <w:r w:rsidR="007E596B" w:rsidRPr="00863E7D">
        <w:t>calculated</w:t>
      </w:r>
      <w:r w:rsidR="009538BC">
        <w:t xml:space="preserve"> </w:t>
      </w:r>
      <w:r w:rsidR="007E596B" w:rsidRPr="00863E7D">
        <w:t>as</w:t>
      </w:r>
      <w:r w:rsidR="0092441A" w:rsidRPr="00863E7D">
        <w:t xml:space="preserve"> the sum of the BPI </w:t>
      </w:r>
      <w:r w:rsidR="00994385">
        <w:t>of each pollution source</w:t>
      </w:r>
      <w:r w:rsidR="00994385">
        <w:rPr>
          <w:i/>
          <w:iCs/>
        </w:rPr>
        <w:t>,</w:t>
      </w:r>
      <w:r w:rsidR="00994385">
        <w:t xml:space="preserve"> considering its discharge location along the river, which corresponds to a specific river segment </w:t>
      </w:r>
      <w:r w:rsidR="00DE5D4E">
        <w:rPr>
          <w:i/>
          <w:iCs/>
        </w:rPr>
        <w:t>i,</w:t>
      </w:r>
      <w:r w:rsidR="009538BC">
        <w:rPr>
          <w:i/>
          <w:iCs/>
        </w:rPr>
        <w:t xml:space="preserve"> </w:t>
      </w:r>
      <w:r w:rsidR="00C31A64" w:rsidRPr="00863E7D">
        <w:t>as presented in Equation 2</w:t>
      </w:r>
      <w:r w:rsidR="00994385">
        <w:t>:</w:t>
      </w:r>
    </w:p>
    <w:p w14:paraId="25587B69" w14:textId="7A6FB2BB" w:rsidR="003406BA" w:rsidRPr="0032655A" w:rsidRDefault="008A015D" w:rsidP="008D7300">
      <w:pPr>
        <w:pStyle w:val="CETEquation"/>
      </w:pPr>
      <m:oMath>
        <m:r>
          <w:rPr>
            <w:rFonts w:ascii="Cambria Math" w:hAnsi="Cambria Math"/>
          </w:rPr>
          <m:t xml:space="preserve">CBPI= </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BPI</m:t>
                </m:r>
              </m:e>
              <m:sub>
                <m:r>
                  <w:rPr>
                    <w:rFonts w:ascii="Cambria Math" w:hAnsi="Cambria Math"/>
                  </w:rPr>
                  <m:t>i</m:t>
                </m:r>
              </m:sub>
            </m:sSub>
          </m:e>
        </m:nary>
      </m:oMath>
      <w:r w:rsidRPr="0032655A">
        <w:t xml:space="preserve">                                                                                                                            </w:t>
      </w:r>
      <w:r w:rsidR="0032655A" w:rsidRPr="0032655A">
        <w:t xml:space="preserve">                 </w:t>
      </w:r>
      <w:r w:rsidR="0032655A">
        <w:t xml:space="preserve">    </w:t>
      </w:r>
      <w:r w:rsidRPr="0032655A">
        <w:t>(2)</w:t>
      </w:r>
      <w:r w:rsidR="0092441A" w:rsidRPr="0032655A">
        <w:t>.</w:t>
      </w:r>
    </w:p>
    <w:p w14:paraId="34B35BEE" w14:textId="680F528F" w:rsidR="008A015D" w:rsidRPr="008A015D" w:rsidRDefault="005C0C9C" w:rsidP="00A123A6">
      <w:pPr>
        <w:pStyle w:val="CETBodytext"/>
      </w:pPr>
      <w:r>
        <w:t xml:space="preserve">The CBPI </w:t>
      </w:r>
      <w:r w:rsidR="009538BC">
        <w:t xml:space="preserve">acknowledges </w:t>
      </w:r>
      <w:r>
        <w:t>the pollutant cumulation moving downstream</w:t>
      </w:r>
      <w:r w:rsidR="009538BC">
        <w:t xml:space="preserve"> </w:t>
      </w:r>
      <w:r w:rsidR="00994385">
        <w:t xml:space="preserve">since it </w:t>
      </w:r>
      <w:r w:rsidR="009538BC">
        <w:t>also considers</w:t>
      </w:r>
      <w:r w:rsidR="00994385">
        <w:t xml:space="preserve"> the BPI of present and previous (i.e., upstream) segments</w:t>
      </w:r>
      <w:r>
        <w:t>. Furthermore</w:t>
      </w:r>
      <w:r w:rsidR="007B3DE8">
        <w:t>,</w:t>
      </w:r>
      <w:r w:rsidR="00E44820">
        <w:t xml:space="preserve"> </w:t>
      </w:r>
      <w:r w:rsidR="0013415C">
        <w:t xml:space="preserve">it is to </w:t>
      </w:r>
      <w:r w:rsidR="00FC68D5">
        <w:t>be noted</w:t>
      </w:r>
      <w:r w:rsidR="0013415C">
        <w:t xml:space="preserve"> that </w:t>
      </w:r>
      <w:r w:rsidR="00B74CAB">
        <w:t>increasing</w:t>
      </w:r>
      <w:r w:rsidR="007B3DE8">
        <w:t xml:space="preserve"> index</w:t>
      </w:r>
      <w:r w:rsidR="00E44820">
        <w:t xml:space="preserve"> </w:t>
      </w:r>
      <w:r w:rsidR="00B74CAB">
        <w:t>values are</w:t>
      </w:r>
      <w:r w:rsidR="00E44820">
        <w:t xml:space="preserve"> expected </w:t>
      </w:r>
      <w:r w:rsidR="003D4D8C">
        <w:t xml:space="preserve">when </w:t>
      </w:r>
      <w:r w:rsidR="000222D6">
        <w:t xml:space="preserve">moving </w:t>
      </w:r>
      <w:r w:rsidR="00E44820">
        <w:t xml:space="preserve">downstream. </w:t>
      </w:r>
    </w:p>
    <w:p w14:paraId="2C558D50" w14:textId="4C19AF48" w:rsidR="00416650" w:rsidRDefault="000E2EAD" w:rsidP="00416650">
      <w:pPr>
        <w:pStyle w:val="CETheadingx"/>
      </w:pPr>
      <w:r>
        <w:lastRenderedPageBreak/>
        <w:t>Assessment of the overall biochemical</w:t>
      </w:r>
      <w:r w:rsidR="00416650" w:rsidRPr="00416650">
        <w:t xml:space="preserve"> water quality </w:t>
      </w:r>
    </w:p>
    <w:p w14:paraId="4C6BA1C9" w14:textId="3F57D939" w:rsidR="006F41EF" w:rsidRDefault="006F41EF" w:rsidP="00C75C1C">
      <w:pPr>
        <w:pStyle w:val="CETBodytext"/>
      </w:pPr>
      <w:r>
        <w:t>The biochemical quality of surface water</w:t>
      </w:r>
      <w:r w:rsidR="00042E92">
        <w:t xml:space="preserve"> depend</w:t>
      </w:r>
      <w:r w:rsidR="00EB354E">
        <w:t>s</w:t>
      </w:r>
      <w:r w:rsidR="00042E92">
        <w:t xml:space="preserve"> on the pollutant load related </w:t>
      </w:r>
      <w:r w:rsidR="00B725CB">
        <w:t>to the pressures exerted on the river and on the physical and chemical processes that naturally</w:t>
      </w:r>
      <w:r w:rsidR="001A6C54">
        <w:t xml:space="preserve"> concur </w:t>
      </w:r>
      <w:r w:rsidR="00EB354E">
        <w:t>with</w:t>
      </w:r>
      <w:r w:rsidR="001A6C54">
        <w:t xml:space="preserve"> the self-depurative capacity of watercourses </w:t>
      </w:r>
      <w:r w:rsidR="001722E0">
        <w:t>(e.g., dilution, dispersion, biodegradation</w:t>
      </w:r>
      <w:r w:rsidR="00305B22">
        <w:t>)</w:t>
      </w:r>
      <w:r w:rsidR="00F17019">
        <w:t xml:space="preserve">. </w:t>
      </w:r>
    </w:p>
    <w:p w14:paraId="3B76A9A5" w14:textId="11DC2EB2" w:rsidR="00AD2357" w:rsidRDefault="006F41EF" w:rsidP="00C75C1C">
      <w:pPr>
        <w:pStyle w:val="CETBodytext"/>
      </w:pPr>
      <w:r>
        <w:t>The last step of the methodology consists of assessing the biochemical quality of surface water within the analy</w:t>
      </w:r>
      <w:r w:rsidR="008D7300">
        <w:t>z</w:t>
      </w:r>
      <w:r>
        <w:t xml:space="preserve">ed area, </w:t>
      </w:r>
      <w:r w:rsidR="00DC0AD7">
        <w:t>r</w:t>
      </w:r>
      <w:r w:rsidR="00DC0AD7" w:rsidRPr="00DC0AD7">
        <w:t>eferring to the same river segments on which the CBPI attribution was performed</w:t>
      </w:r>
      <w:r>
        <w:t xml:space="preserve">. </w:t>
      </w:r>
      <w:r w:rsidR="00F17019">
        <w:t xml:space="preserve">For this purpose, </w:t>
      </w:r>
      <w:r w:rsidR="00DE577A">
        <w:t xml:space="preserve">the </w:t>
      </w:r>
      <w:r w:rsidR="00AD2357">
        <w:t>Biochemical Quality Index (BQI) was defined</w:t>
      </w:r>
      <w:r w:rsidR="00F92299">
        <w:t xml:space="preserve"> – </w:t>
      </w:r>
      <w:r w:rsidR="008D3C74">
        <w:t>for</w:t>
      </w:r>
      <w:r w:rsidR="00F92299">
        <w:t xml:space="preserve"> a river segment </w:t>
      </w:r>
      <w:r w:rsidR="00F92299" w:rsidRPr="00F92299">
        <w:rPr>
          <w:i/>
          <w:iCs/>
        </w:rPr>
        <w:t>i</w:t>
      </w:r>
      <w:r w:rsidR="00F92299">
        <w:t xml:space="preserve"> -</w:t>
      </w:r>
      <w:r w:rsidR="00A27375">
        <w:t xml:space="preserve"> </w:t>
      </w:r>
      <w:r w:rsidR="00F94112">
        <w:t>as presented in Equation 3</w:t>
      </w:r>
      <w:r w:rsidR="009538BC">
        <w:t>:</w:t>
      </w:r>
      <w:r w:rsidR="00533A13">
        <w:t xml:space="preserve"> </w:t>
      </w:r>
    </w:p>
    <w:p w14:paraId="406380BB" w14:textId="425D9A27" w:rsidR="00285505" w:rsidRPr="00285505" w:rsidRDefault="00000000" w:rsidP="008D7300">
      <w:pPr>
        <w:pStyle w:val="CETEquation"/>
      </w:pPr>
      <m:oMath>
        <m:sSub>
          <m:sSubPr>
            <m:ctrlPr>
              <w:rPr>
                <w:rFonts w:ascii="Cambria Math" w:hAnsi="Cambria Math"/>
                <w:i/>
                <w:color w:val="000000"/>
                <w:bdr w:val="none" w:sz="0" w:space="0" w:color="auto" w:frame="1"/>
                <w:lang w:eastAsia="it-IT"/>
              </w:rPr>
            </m:ctrlPr>
          </m:sSubPr>
          <m:e>
            <m:r>
              <w:rPr>
                <w:rFonts w:ascii="Cambria Math" w:hAnsi="Cambria Math"/>
                <w:color w:val="000000"/>
                <w:bdr w:val="none" w:sz="0" w:space="0" w:color="auto" w:frame="1"/>
                <w:lang w:eastAsia="it-IT"/>
              </w:rPr>
              <m:t>BQI</m:t>
            </m:r>
          </m:e>
          <m:sub>
            <m:r>
              <w:rPr>
                <w:rFonts w:ascii="Cambria Math" w:hAnsi="Cambria Math"/>
                <w:color w:val="000000"/>
                <w:bdr w:val="none" w:sz="0" w:space="0" w:color="auto" w:frame="1"/>
                <w:lang w:eastAsia="it-IT"/>
              </w:rPr>
              <m:t>i</m:t>
            </m:r>
          </m:sub>
        </m:sSub>
        <m:r>
          <w:rPr>
            <w:rFonts w:ascii="Cambria Math" w:hAnsi="Cambria Math"/>
            <w:color w:val="000000"/>
            <w:bdr w:val="none" w:sz="0" w:space="0" w:color="auto" w:frame="1"/>
            <w:lang w:eastAsia="it-IT"/>
          </w:rPr>
          <m:t>=</m:t>
        </m:r>
        <m:f>
          <m:fPr>
            <m:ctrlPr>
              <w:rPr>
                <w:rFonts w:ascii="Cambria Math" w:hAnsi="Cambria Math"/>
                <w:i/>
                <w:color w:val="000000"/>
                <w:bdr w:val="none" w:sz="0" w:space="0" w:color="auto" w:frame="1"/>
                <w:lang w:eastAsia="it-IT"/>
              </w:rPr>
            </m:ctrlPr>
          </m:fPr>
          <m:num>
            <m:sSub>
              <m:sSubPr>
                <m:ctrlPr>
                  <w:rPr>
                    <w:rFonts w:ascii="Cambria Math" w:hAnsi="Cambria Math"/>
                    <w:i/>
                    <w:color w:val="000000"/>
                    <w:bdr w:val="none" w:sz="0" w:space="0" w:color="auto" w:frame="1"/>
                    <w:lang w:eastAsia="it-IT"/>
                  </w:rPr>
                </m:ctrlPr>
              </m:sSubPr>
              <m:e>
                <m:r>
                  <w:rPr>
                    <w:rFonts w:ascii="Cambria Math" w:hAnsi="Cambria Math"/>
                    <w:color w:val="000000"/>
                    <w:bdr w:val="none" w:sz="0" w:space="0" w:color="auto" w:frame="1"/>
                    <w:lang w:eastAsia="it-IT"/>
                  </w:rPr>
                  <m:t>CBPI</m:t>
                </m:r>
              </m:e>
              <m:sub>
                <m:r>
                  <w:rPr>
                    <w:rFonts w:ascii="Cambria Math" w:hAnsi="Cambria Math"/>
                    <w:color w:val="000000"/>
                    <w:bdr w:val="none" w:sz="0" w:space="0" w:color="auto" w:frame="1"/>
                    <w:lang w:eastAsia="it-IT"/>
                  </w:rPr>
                  <m:t>i</m:t>
                </m:r>
              </m:sub>
            </m:sSub>
          </m:num>
          <m:den>
            <m:sSub>
              <m:sSubPr>
                <m:ctrlPr>
                  <w:rPr>
                    <w:rFonts w:ascii="Cambria Math" w:hAnsi="Cambria Math"/>
                    <w:i/>
                    <w:color w:val="000000"/>
                    <w:bdr w:val="none" w:sz="0" w:space="0" w:color="auto" w:frame="1"/>
                    <w:lang w:eastAsia="it-IT"/>
                  </w:rPr>
                </m:ctrlPr>
              </m:sSubPr>
              <m:e>
                <m:r>
                  <w:rPr>
                    <w:rFonts w:ascii="Cambria Math" w:hAnsi="Cambria Math"/>
                    <w:color w:val="000000"/>
                    <w:bdr w:val="none" w:sz="0" w:space="0" w:color="auto" w:frame="1"/>
                    <w:lang w:eastAsia="it-IT"/>
                  </w:rPr>
                  <m:t>A</m:t>
                </m:r>
              </m:e>
              <m:sub>
                <m:r>
                  <w:rPr>
                    <w:rFonts w:ascii="Cambria Math" w:hAnsi="Cambria Math"/>
                    <w:color w:val="000000"/>
                    <w:bdr w:val="none" w:sz="0" w:space="0" w:color="auto" w:frame="1"/>
                    <w:lang w:eastAsia="it-IT"/>
                  </w:rPr>
                  <m:t>i</m:t>
                </m:r>
              </m:sub>
            </m:sSub>
          </m:den>
        </m:f>
      </m:oMath>
      <w:r w:rsidR="00AD2357" w:rsidRPr="0032655A">
        <w:rPr>
          <w:color w:val="000000"/>
          <w:bdr w:val="none" w:sz="0" w:space="0" w:color="auto" w:frame="1"/>
          <w:lang w:eastAsia="it-IT"/>
        </w:rPr>
        <w:t xml:space="preserve">  </w:t>
      </w:r>
      <w:r w:rsidR="00AD2357" w:rsidRPr="0032655A">
        <w:t xml:space="preserve">                                                                                                                        </w:t>
      </w:r>
      <w:r w:rsidR="00D446C2" w:rsidRPr="0032655A">
        <w:t xml:space="preserve">   </w:t>
      </w:r>
      <w:r w:rsidR="00AD2357" w:rsidRPr="0032655A">
        <w:t xml:space="preserve">    </w:t>
      </w:r>
      <w:r w:rsidR="0032655A" w:rsidRPr="0032655A">
        <w:t xml:space="preserve">                      </w:t>
      </w:r>
      <w:r w:rsidR="00AD2357" w:rsidRPr="0032655A">
        <w:t>(3)</w:t>
      </w:r>
      <w:r w:rsidR="0019166C">
        <w:t>.</w:t>
      </w:r>
      <w:r w:rsidR="0002481B" w:rsidRPr="0032655A">
        <w:t xml:space="preserve"> </w:t>
      </w:r>
    </w:p>
    <w:p w14:paraId="427EC802" w14:textId="1BEFAB0E" w:rsidR="00DB605F" w:rsidRPr="006415CE" w:rsidRDefault="00004DD8" w:rsidP="00DB605F">
      <w:pPr>
        <w:pStyle w:val="CETBodytext"/>
      </w:pPr>
      <w:r w:rsidRPr="006415CE">
        <w:t>In the equation,</w:t>
      </w:r>
      <w:r w:rsidR="00D06055" w:rsidRPr="006415CE">
        <w:rPr>
          <w:i/>
          <w:iCs/>
        </w:rPr>
        <w:t xml:space="preserve"> </w:t>
      </w:r>
      <w:r w:rsidR="008D3C74" w:rsidRPr="006415CE">
        <w:rPr>
          <w:i/>
          <w:iCs/>
        </w:rPr>
        <w:t>A</w:t>
      </w:r>
      <w:r w:rsidR="008D3C74" w:rsidRPr="006415CE">
        <w:rPr>
          <w:i/>
          <w:iCs/>
          <w:vertAlign w:val="subscript"/>
        </w:rPr>
        <w:t>i</w:t>
      </w:r>
      <w:r w:rsidR="008D3C74" w:rsidRPr="006415CE">
        <w:t xml:space="preserve"> </w:t>
      </w:r>
      <w:r w:rsidR="00DC0AD7" w:rsidRPr="006415CE">
        <w:t>is the drainage area extracted at each new discharge point along the watercourse</w:t>
      </w:r>
      <w:r w:rsidR="008D3C74" w:rsidRPr="006415CE">
        <w:t>, determined by adopting a Digital Elevation Model and employing specific GIS software tools (e.g., GRASS GIS tool</w:t>
      </w:r>
      <w:r w:rsidR="00DE577A" w:rsidRPr="006415CE">
        <w:t>)</w:t>
      </w:r>
      <w:r w:rsidR="008D56D3" w:rsidRPr="006415CE">
        <w:t>,</w:t>
      </w:r>
      <w:r w:rsidR="003B1270" w:rsidRPr="006415CE">
        <w:t xml:space="preserve"> </w:t>
      </w:r>
      <w:r w:rsidR="008D3C74" w:rsidRPr="006415CE">
        <w:t xml:space="preserve">and </w:t>
      </w:r>
      <w:r w:rsidR="00FD7003" w:rsidRPr="006415CE">
        <w:rPr>
          <w:i/>
          <w:iCs/>
        </w:rPr>
        <w:t>CBPI</w:t>
      </w:r>
      <w:r w:rsidR="003C043B" w:rsidRPr="006415CE">
        <w:rPr>
          <w:i/>
          <w:iCs/>
          <w:vertAlign w:val="subscript"/>
        </w:rPr>
        <w:t>i</w:t>
      </w:r>
      <w:r w:rsidR="00FD7003" w:rsidRPr="006415CE">
        <w:t xml:space="preserve"> is the Cumulative Biochemical Pressure Index</w:t>
      </w:r>
      <w:r w:rsidR="008D3C74" w:rsidRPr="006415CE">
        <w:t xml:space="preserve"> calculated for the river segment </w:t>
      </w:r>
      <w:r w:rsidR="00A05727" w:rsidRPr="006415CE">
        <w:t>under examination</w:t>
      </w:r>
      <w:r w:rsidR="0069380D">
        <w:t xml:space="preserve"> with the same procedure described in </w:t>
      </w:r>
      <w:r w:rsidR="00994385">
        <w:t>Equation 2</w:t>
      </w:r>
      <w:r w:rsidR="00A05727" w:rsidRPr="006415CE">
        <w:t>.</w:t>
      </w:r>
      <w:r w:rsidR="00FD7003" w:rsidRPr="006415CE">
        <w:t xml:space="preserve"> </w:t>
      </w:r>
      <w:r w:rsidR="00FA0DC6" w:rsidRPr="006415CE">
        <w:t>It is important to note that t</w:t>
      </w:r>
      <w:r w:rsidR="00A84F29" w:rsidRPr="006415CE">
        <w:t>he</w:t>
      </w:r>
      <w:r w:rsidR="00CF57FA" w:rsidRPr="006415CE">
        <w:t xml:space="preserve"> drainage area </w:t>
      </w:r>
      <w:r w:rsidR="00CF57FA" w:rsidRPr="006415CE">
        <w:rPr>
          <w:i/>
          <w:iCs/>
        </w:rPr>
        <w:t>A</w:t>
      </w:r>
      <w:r w:rsidR="00CF57FA" w:rsidRPr="006415CE">
        <w:rPr>
          <w:i/>
          <w:iCs/>
          <w:vertAlign w:val="subscript"/>
        </w:rPr>
        <w:t>i</w:t>
      </w:r>
      <w:r w:rsidR="00CF57FA" w:rsidRPr="006415CE">
        <w:t xml:space="preserve"> </w:t>
      </w:r>
      <w:r w:rsidR="00394B32" w:rsidRPr="006415CE">
        <w:t>can be considered</w:t>
      </w:r>
      <w:r w:rsidR="00A25F2A" w:rsidRPr="006415CE">
        <w:t xml:space="preserve"> </w:t>
      </w:r>
      <w:r w:rsidR="00E35432" w:rsidRPr="006415CE">
        <w:t>a proxy of the expected river flow (Yang et al., 2019)</w:t>
      </w:r>
      <w:r w:rsidR="006937A7" w:rsidRPr="006415CE">
        <w:t xml:space="preserve">, thus, as </w:t>
      </w:r>
      <w:r w:rsidR="00A64D05" w:rsidRPr="006415CE">
        <w:t>a</w:t>
      </w:r>
      <w:r w:rsidR="00394B32" w:rsidRPr="006415CE">
        <w:t xml:space="preserve"> </w:t>
      </w:r>
      <w:r w:rsidR="00A25F2A" w:rsidRPr="006415CE">
        <w:t xml:space="preserve">dilution parameter </w:t>
      </w:r>
      <w:r w:rsidR="00F2721C" w:rsidRPr="006415CE">
        <w:t>of the pressure load estimated in the previous phases</w:t>
      </w:r>
      <w:r w:rsidR="006937A7" w:rsidRPr="006415CE">
        <w:t>.</w:t>
      </w:r>
      <w:r w:rsidR="00285505" w:rsidRPr="006415CE">
        <w:t xml:space="preserve"> </w:t>
      </w:r>
    </w:p>
    <w:p w14:paraId="43FC6DA6" w14:textId="60F8C3DC" w:rsidR="00022047" w:rsidRPr="006415CE" w:rsidRDefault="00805372" w:rsidP="00171418">
      <w:pPr>
        <w:pStyle w:val="CETHeading1"/>
        <w:tabs>
          <w:tab w:val="num" w:pos="360"/>
        </w:tabs>
        <w:rPr>
          <w:lang w:val="en-GB"/>
        </w:rPr>
      </w:pPr>
      <w:r w:rsidRPr="006415CE">
        <w:rPr>
          <w:lang w:val="en-GB"/>
        </w:rPr>
        <w:t>Case study</w:t>
      </w:r>
    </w:p>
    <w:p w14:paraId="282C98B7" w14:textId="57E7522D" w:rsidR="00925F66" w:rsidRPr="006415CE" w:rsidRDefault="00BB60C7" w:rsidP="00D35206">
      <w:pPr>
        <w:pStyle w:val="CETBodytext"/>
      </w:pPr>
      <w:r w:rsidRPr="006415CE">
        <w:t xml:space="preserve">A case study was designed to </w:t>
      </w:r>
      <w:r w:rsidR="007A7FC5" w:rsidRPr="006415CE">
        <w:t>evaluate</w:t>
      </w:r>
      <w:r w:rsidRPr="006415CE">
        <w:t xml:space="preserve"> the </w:t>
      </w:r>
      <w:r w:rsidR="00F671AA" w:rsidRPr="006415CE">
        <w:t xml:space="preserve">proposed </w:t>
      </w:r>
      <w:r w:rsidRPr="006415CE">
        <w:t>meth</w:t>
      </w:r>
      <w:r w:rsidR="00F671AA" w:rsidRPr="006415CE">
        <w:t>o</w:t>
      </w:r>
      <w:r w:rsidRPr="006415CE">
        <w:t>dolog</w:t>
      </w:r>
      <w:r w:rsidR="00F671AA" w:rsidRPr="006415CE">
        <w:t>y.</w:t>
      </w:r>
      <w:r w:rsidRPr="006415CE">
        <w:t xml:space="preserve"> </w:t>
      </w:r>
      <w:r w:rsidR="00377FCB" w:rsidRPr="006415CE">
        <w:t>The</w:t>
      </w:r>
      <w:r w:rsidR="00AC46AC" w:rsidRPr="006415CE">
        <w:t xml:space="preserve"> </w:t>
      </w:r>
      <w:r w:rsidR="00A6082E" w:rsidRPr="006415CE">
        <w:t>catchment of</w:t>
      </w:r>
      <w:r w:rsidR="005D1DD3" w:rsidRPr="006415CE">
        <w:t xml:space="preserve"> the Reno River (Emilia Romagna Region, Italy)</w:t>
      </w:r>
      <w:r w:rsidR="00377FCB" w:rsidRPr="006415CE">
        <w:t xml:space="preserve"> was</w:t>
      </w:r>
      <w:r w:rsidR="005D1DD3" w:rsidRPr="006415CE">
        <w:t xml:space="preserve"> selected</w:t>
      </w:r>
      <w:r w:rsidR="00377FCB" w:rsidRPr="006415CE">
        <w:t xml:space="preserve"> </w:t>
      </w:r>
      <w:r w:rsidR="00A05727" w:rsidRPr="006415CE">
        <w:t xml:space="preserve">for the application </w:t>
      </w:r>
      <w:r w:rsidR="007055AE" w:rsidRPr="006415CE">
        <w:t xml:space="preserve">because of the </w:t>
      </w:r>
      <w:r w:rsidR="00CA3AD2" w:rsidRPr="006415CE">
        <w:t>numerous and heterogen</w:t>
      </w:r>
      <w:r w:rsidR="00517D7B" w:rsidRPr="006415CE">
        <w:t>e</w:t>
      </w:r>
      <w:r w:rsidR="00CA3AD2" w:rsidRPr="006415CE">
        <w:t>ous ant</w:t>
      </w:r>
      <w:r w:rsidR="00517D7B" w:rsidRPr="006415CE">
        <w:t xml:space="preserve">hropic </w:t>
      </w:r>
      <w:r w:rsidR="00CA3AD2" w:rsidRPr="006415CE">
        <w:t>pressures within the area</w:t>
      </w:r>
      <w:r w:rsidR="00517D7B" w:rsidRPr="006415CE">
        <w:t xml:space="preserve"> and</w:t>
      </w:r>
      <w:r w:rsidR="007046D4" w:rsidRPr="006415CE">
        <w:t xml:space="preserve"> </w:t>
      </w:r>
      <w:r w:rsidR="00517D7B" w:rsidRPr="006415CE">
        <w:t xml:space="preserve">due to </w:t>
      </w:r>
      <w:r w:rsidR="007046D4" w:rsidRPr="006415CE">
        <w:t xml:space="preserve">the availability of monitoring data necessary to </w:t>
      </w:r>
      <w:r w:rsidR="001F3D0D" w:rsidRPr="006415CE">
        <w:t xml:space="preserve">verify </w:t>
      </w:r>
      <w:r w:rsidR="007046D4" w:rsidRPr="006415CE">
        <w:t>the validity of the approach proposed.</w:t>
      </w:r>
      <w:r w:rsidR="00B86635" w:rsidRPr="006415CE">
        <w:t xml:space="preserve"> </w:t>
      </w:r>
      <w:r w:rsidR="00641CFC" w:rsidRPr="006415CE">
        <w:t xml:space="preserve">The </w:t>
      </w:r>
      <w:r w:rsidR="00D35B22" w:rsidRPr="006415CE">
        <w:t>defined case study area</w:t>
      </w:r>
      <w:r w:rsidR="00A278DC" w:rsidRPr="006415CE">
        <w:t xml:space="preserve"> </w:t>
      </w:r>
      <w:r w:rsidR="00641CFC" w:rsidRPr="006415CE">
        <w:t xml:space="preserve">covers </w:t>
      </w:r>
      <w:r w:rsidR="00A278DC" w:rsidRPr="006415CE">
        <w:t xml:space="preserve">971 </w:t>
      </w:r>
      <w:r w:rsidR="00641CFC" w:rsidRPr="006415CE">
        <w:t>km</w:t>
      </w:r>
      <w:r w:rsidR="00641CFC" w:rsidRPr="006415CE">
        <w:rPr>
          <w:vertAlign w:val="superscript"/>
        </w:rPr>
        <w:t>2</w:t>
      </w:r>
      <w:r w:rsidR="00641CFC" w:rsidRPr="006415CE">
        <w:t xml:space="preserve"> and</w:t>
      </w:r>
      <w:r w:rsidR="00F65F0C" w:rsidRPr="006415CE">
        <w:t xml:space="preserve"> </w:t>
      </w:r>
      <w:r w:rsidR="0031144F" w:rsidRPr="006415CE">
        <w:t xml:space="preserve">contains </w:t>
      </w:r>
      <w:r w:rsidR="001A669D" w:rsidRPr="006415CE">
        <w:t xml:space="preserve">46 </w:t>
      </w:r>
      <w:r w:rsidR="00620B1E" w:rsidRPr="006415CE">
        <w:t xml:space="preserve">industrial activities </w:t>
      </w:r>
      <w:r w:rsidR="002E56E8" w:rsidRPr="006415CE">
        <w:t>(identified</w:t>
      </w:r>
      <w:r w:rsidR="00620B1E" w:rsidRPr="006415CE">
        <w:t xml:space="preserve"> according to </w:t>
      </w:r>
      <w:r w:rsidR="002E56E8" w:rsidRPr="006415CE">
        <w:t xml:space="preserve">the approach presented in </w:t>
      </w:r>
      <w:r w:rsidR="00620B1E" w:rsidRPr="006415CE">
        <w:t>Section 2.1</w:t>
      </w:r>
      <w:r w:rsidR="002E56E8" w:rsidRPr="006415CE">
        <w:t>)</w:t>
      </w:r>
      <w:r w:rsidR="00823CD0" w:rsidRPr="006415CE">
        <w:t>: 1</w:t>
      </w:r>
      <w:r w:rsidR="001127FE" w:rsidRPr="006415CE">
        <w:t xml:space="preserve"> Seveso establishment, </w:t>
      </w:r>
      <w:r w:rsidR="00823CD0" w:rsidRPr="006415CE">
        <w:t xml:space="preserve">4 </w:t>
      </w:r>
      <w:r w:rsidR="0076610C" w:rsidRPr="006415CE">
        <w:t>IPPC-IED activities and 41 WWTPs.</w:t>
      </w:r>
      <w:r w:rsidR="00B5540E" w:rsidRPr="006415CE">
        <w:t xml:space="preserve"> </w:t>
      </w:r>
      <w:r w:rsidR="00B86635" w:rsidRPr="006415CE">
        <w:t xml:space="preserve">Moreover, </w:t>
      </w:r>
      <w:r w:rsidR="00D810C4" w:rsidRPr="006415CE">
        <w:t>four active</w:t>
      </w:r>
      <w:r w:rsidR="00B5540E" w:rsidRPr="006415CE">
        <w:t xml:space="preserve"> monitoring stations provide data</w:t>
      </w:r>
      <w:r w:rsidR="00BD6D1D" w:rsidRPr="006415CE">
        <w:t xml:space="preserve"> </w:t>
      </w:r>
      <w:r w:rsidR="00B5540E" w:rsidRPr="006415CE">
        <w:t>on the biochemical status of surface waters</w:t>
      </w:r>
      <w:r w:rsidR="00BD6D1D" w:rsidRPr="006415CE">
        <w:t>.</w:t>
      </w:r>
      <w:r w:rsidR="00925F66" w:rsidRPr="006415CE">
        <w:t xml:space="preserve"> A </w:t>
      </w:r>
      <w:r w:rsidR="00901A26" w:rsidRPr="006415CE">
        <w:t>representation of the area is provided in Figure 1</w:t>
      </w:r>
      <w:r w:rsidR="00B14236" w:rsidRPr="006415CE">
        <w:t>a</w:t>
      </w:r>
      <w:r w:rsidR="00901A26" w:rsidRPr="006415CE">
        <w:t>.</w:t>
      </w:r>
    </w:p>
    <w:p w14:paraId="37FBD0BA" w14:textId="5481E63E" w:rsidR="005007BB" w:rsidRDefault="00C95A69" w:rsidP="005007BB">
      <w:pPr>
        <w:pStyle w:val="CETBodytext"/>
      </w:pPr>
      <w:r w:rsidRPr="006415CE">
        <w:t xml:space="preserve">According to the </w:t>
      </w:r>
      <w:r w:rsidR="00BA6660" w:rsidRPr="006415CE">
        <w:t xml:space="preserve">proposed </w:t>
      </w:r>
      <w:r w:rsidRPr="006415CE">
        <w:t xml:space="preserve">methodology, the BPI was </w:t>
      </w:r>
      <w:r w:rsidR="009E7B07" w:rsidRPr="006415CE">
        <w:t xml:space="preserve">calculated </w:t>
      </w:r>
      <w:r w:rsidRPr="006415CE">
        <w:t xml:space="preserve">for </w:t>
      </w:r>
      <w:r w:rsidR="00EC1000" w:rsidRPr="006415CE">
        <w:t>all the discharges of the industrial activities</w:t>
      </w:r>
      <w:r w:rsidRPr="006415CE">
        <w:t xml:space="preserve"> identified in the area</w:t>
      </w:r>
      <w:r w:rsidR="00553406" w:rsidRPr="006415CE">
        <w:t>.</w:t>
      </w:r>
      <w:r w:rsidR="00AA5BD7" w:rsidRPr="006415CE">
        <w:t xml:space="preserve"> </w:t>
      </w:r>
      <w:r w:rsidR="00553406" w:rsidRPr="006415CE">
        <w:t xml:space="preserve">The documentation required </w:t>
      </w:r>
      <w:r w:rsidR="00EC1000" w:rsidRPr="006415CE">
        <w:t>for the characterization</w:t>
      </w:r>
      <w:r w:rsidR="00553406" w:rsidRPr="006415CE">
        <w:t xml:space="preserve"> was retrieved from official </w:t>
      </w:r>
      <w:r w:rsidR="000B7B03" w:rsidRPr="006415CE">
        <w:t>sources, listed</w:t>
      </w:r>
      <w:r w:rsidR="00553406" w:rsidRPr="006415CE">
        <w:t xml:space="preserve"> for the sake of completeness</w:t>
      </w:r>
      <w:r w:rsidR="00553406" w:rsidRPr="004C406F">
        <w:t xml:space="preserve"> </w:t>
      </w:r>
      <w:r w:rsidR="00553406">
        <w:t>in Table 3.</w:t>
      </w:r>
      <w:r>
        <w:t xml:space="preserve"> </w:t>
      </w:r>
      <w:r w:rsidR="00553406">
        <w:t>S</w:t>
      </w:r>
      <w:r>
        <w:t xml:space="preserve">ubsequently, the CBPI and the BQI index were estimated along the river network. </w:t>
      </w:r>
    </w:p>
    <w:p w14:paraId="5283474F" w14:textId="77777777" w:rsidR="005007BB" w:rsidRDefault="005007BB" w:rsidP="005007BB">
      <w:pPr>
        <w:pStyle w:val="CETTabletitle"/>
      </w:pPr>
      <w:r w:rsidRPr="00B57B36">
        <w:t xml:space="preserve">Table </w:t>
      </w:r>
      <w:r>
        <w:t>3</w:t>
      </w:r>
      <w:r w:rsidRPr="00B57B36">
        <w:t xml:space="preserve">: </w:t>
      </w:r>
      <w:r>
        <w:t>Data sources employed for the characterization of the anthropic pressures.</w:t>
      </w:r>
    </w:p>
    <w:tbl>
      <w:tblPr>
        <w:tblW w:w="878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87"/>
        <w:gridCol w:w="7198"/>
      </w:tblGrid>
      <w:tr w:rsidR="005007BB" w:rsidRPr="00B57B36" w14:paraId="1549ECFA" w14:textId="77777777" w:rsidTr="0086631F">
        <w:trPr>
          <w:trHeight w:val="368"/>
        </w:trPr>
        <w:tc>
          <w:tcPr>
            <w:tcW w:w="1587" w:type="dxa"/>
            <w:tcBorders>
              <w:top w:val="single" w:sz="12" w:space="0" w:color="008000"/>
              <w:bottom w:val="single" w:sz="6" w:space="0" w:color="008000"/>
            </w:tcBorders>
            <w:shd w:val="clear" w:color="auto" w:fill="FFFFFF"/>
            <w:vAlign w:val="center"/>
          </w:tcPr>
          <w:p w14:paraId="11539671" w14:textId="77777777" w:rsidR="005007BB" w:rsidRPr="00B57B36" w:rsidRDefault="005007BB" w:rsidP="0086631F">
            <w:pPr>
              <w:pStyle w:val="CETBodytext"/>
              <w:ind w:left="142"/>
              <w:jc w:val="left"/>
              <w:rPr>
                <w:lang w:val="en-GB"/>
              </w:rPr>
            </w:pPr>
            <w:r>
              <w:t>Activity typology</w:t>
            </w:r>
          </w:p>
        </w:tc>
        <w:tc>
          <w:tcPr>
            <w:tcW w:w="7198" w:type="dxa"/>
            <w:tcBorders>
              <w:top w:val="single" w:sz="12" w:space="0" w:color="008000"/>
              <w:bottom w:val="single" w:sz="6" w:space="0" w:color="008000"/>
            </w:tcBorders>
            <w:shd w:val="clear" w:color="auto" w:fill="FFFFFF"/>
            <w:vAlign w:val="center"/>
          </w:tcPr>
          <w:p w14:paraId="4EBF2060" w14:textId="77777777" w:rsidR="005007BB" w:rsidRPr="00B57B36" w:rsidRDefault="005007BB" w:rsidP="0086631F">
            <w:pPr>
              <w:pStyle w:val="CETBodytext"/>
              <w:ind w:left="119"/>
              <w:jc w:val="left"/>
              <w:rPr>
                <w:lang w:val="en-GB"/>
              </w:rPr>
            </w:pPr>
            <w:r>
              <w:t>Data source</w:t>
            </w:r>
          </w:p>
        </w:tc>
      </w:tr>
      <w:tr w:rsidR="005007BB" w:rsidRPr="00830D8D" w14:paraId="7225B02B" w14:textId="77777777" w:rsidTr="0086631F">
        <w:trPr>
          <w:trHeight w:val="340"/>
        </w:trPr>
        <w:tc>
          <w:tcPr>
            <w:tcW w:w="1587" w:type="dxa"/>
            <w:shd w:val="clear" w:color="auto" w:fill="auto"/>
            <w:vAlign w:val="center"/>
          </w:tcPr>
          <w:p w14:paraId="5014EE17" w14:textId="77777777" w:rsidR="005007BB" w:rsidRPr="00484F8F" w:rsidRDefault="005007BB" w:rsidP="0086631F">
            <w:pPr>
              <w:pStyle w:val="CETBodytext"/>
              <w:ind w:left="142"/>
              <w:jc w:val="left"/>
            </w:pPr>
            <w:r w:rsidRPr="00484F8F">
              <w:t>Seveso</w:t>
            </w:r>
          </w:p>
        </w:tc>
        <w:tc>
          <w:tcPr>
            <w:tcW w:w="7198" w:type="dxa"/>
            <w:tcBorders>
              <w:top w:val="single" w:sz="4" w:space="0" w:color="auto"/>
              <w:bottom w:val="nil"/>
              <w:right w:val="nil"/>
            </w:tcBorders>
            <w:shd w:val="clear" w:color="auto" w:fill="auto"/>
            <w:vAlign w:val="center"/>
          </w:tcPr>
          <w:p w14:paraId="4DFEB5D5" w14:textId="77777777" w:rsidR="005007BB" w:rsidRPr="00305B22" w:rsidRDefault="005007BB" w:rsidP="0086631F">
            <w:pPr>
              <w:pStyle w:val="CETBodytext"/>
              <w:ind w:left="119"/>
              <w:jc w:val="left"/>
              <w:rPr>
                <w:lang w:val="it-IT"/>
              </w:rPr>
            </w:pPr>
            <w:r w:rsidRPr="00305B22">
              <w:rPr>
                <w:lang w:val="it-IT"/>
              </w:rPr>
              <w:t>Bologna Prefecture, &lt;</w:t>
            </w:r>
            <w:hyperlink r:id="rId13" w:history="1">
              <w:r w:rsidRPr="00305B22">
                <w:rPr>
                  <w:rStyle w:val="Collegamentoipertestuale"/>
                  <w:lang w:val="it-IT"/>
                </w:rPr>
                <w:t>prefettura.it/bologna/multidip/index.htm</w:t>
              </w:r>
            </w:hyperlink>
            <w:r w:rsidRPr="00305B22">
              <w:rPr>
                <w:lang w:val="it-IT"/>
              </w:rPr>
              <w:t>&gt;</w:t>
            </w:r>
          </w:p>
          <w:p w14:paraId="3F927F2D" w14:textId="77777777" w:rsidR="005007BB" w:rsidRPr="00305B22" w:rsidRDefault="005007BB" w:rsidP="0086631F">
            <w:pPr>
              <w:pStyle w:val="CETBodytext"/>
              <w:ind w:left="119"/>
              <w:jc w:val="left"/>
              <w:rPr>
                <w:lang w:val="it-IT"/>
              </w:rPr>
            </w:pPr>
            <w:r w:rsidRPr="00305B22">
              <w:rPr>
                <w:lang w:val="it-IT"/>
              </w:rPr>
              <w:t>IPPC portal of Emilia Romagna Region,&lt;</w:t>
            </w:r>
            <w:hyperlink r:id="rId14" w:history="1">
              <w:r w:rsidRPr="00305B22">
                <w:rPr>
                  <w:rStyle w:val="Collegamentoipertestuale"/>
                  <w:lang w:val="it-IT"/>
                </w:rPr>
                <w:t>ippc-aia.arpa.emr.it/ippc-aia/Homepage.aspx</w:t>
              </w:r>
            </w:hyperlink>
            <w:r w:rsidRPr="00305B22">
              <w:rPr>
                <w:lang w:val="it-IT"/>
              </w:rPr>
              <w:t>&gt;</w:t>
            </w:r>
          </w:p>
        </w:tc>
      </w:tr>
      <w:tr w:rsidR="005007BB" w:rsidRPr="00B57B36" w14:paraId="2EE8359A" w14:textId="77777777" w:rsidTr="0086631F">
        <w:trPr>
          <w:trHeight w:val="368"/>
        </w:trPr>
        <w:tc>
          <w:tcPr>
            <w:tcW w:w="1587" w:type="dxa"/>
            <w:shd w:val="clear" w:color="auto" w:fill="FFFFFF"/>
            <w:vAlign w:val="center"/>
          </w:tcPr>
          <w:p w14:paraId="2AE4651F" w14:textId="77777777" w:rsidR="005007BB" w:rsidRPr="00484F8F" w:rsidRDefault="005007BB" w:rsidP="0086631F">
            <w:pPr>
              <w:pStyle w:val="CETBodytext"/>
              <w:ind w:left="142" w:right="-1"/>
              <w:jc w:val="left"/>
              <w:rPr>
                <w:rFonts w:cs="Arial"/>
                <w:szCs w:val="18"/>
                <w:lang w:val="en-GB"/>
              </w:rPr>
            </w:pPr>
            <w:r w:rsidRPr="00484F8F">
              <w:t>IPPC-IED</w:t>
            </w:r>
          </w:p>
        </w:tc>
        <w:tc>
          <w:tcPr>
            <w:tcW w:w="7198" w:type="dxa"/>
            <w:shd w:val="clear" w:color="auto" w:fill="FFFFFF"/>
            <w:vAlign w:val="center"/>
          </w:tcPr>
          <w:p w14:paraId="170827B6" w14:textId="77777777" w:rsidR="005007BB" w:rsidRPr="00B57B36" w:rsidRDefault="005007BB" w:rsidP="0086631F">
            <w:pPr>
              <w:pStyle w:val="CETBodytext"/>
              <w:ind w:left="119" w:right="-1"/>
              <w:jc w:val="left"/>
              <w:rPr>
                <w:rFonts w:cs="Arial"/>
                <w:szCs w:val="18"/>
                <w:lang w:val="en-GB"/>
              </w:rPr>
            </w:pPr>
            <w:r>
              <w:t>IPPC portal of Emilia Romagna Region, &lt;</w:t>
            </w:r>
            <w:hyperlink r:id="rId15" w:history="1">
              <w:r w:rsidRPr="00F73C08">
                <w:rPr>
                  <w:rStyle w:val="Collegamentoipertestuale"/>
                </w:rPr>
                <w:t>ippc-aia.arpa.emr.it/ippc-aia/Homepage.aspx</w:t>
              </w:r>
            </w:hyperlink>
            <w:r>
              <w:t>&gt;</w:t>
            </w:r>
          </w:p>
        </w:tc>
      </w:tr>
      <w:tr w:rsidR="005007BB" w:rsidRPr="00830D8D" w14:paraId="533FD099" w14:textId="77777777" w:rsidTr="0086631F">
        <w:trPr>
          <w:trHeight w:val="368"/>
        </w:trPr>
        <w:tc>
          <w:tcPr>
            <w:tcW w:w="1587" w:type="dxa"/>
            <w:shd w:val="clear" w:color="auto" w:fill="FFFFFF"/>
            <w:vAlign w:val="center"/>
          </w:tcPr>
          <w:p w14:paraId="1D5D2F89" w14:textId="77777777" w:rsidR="005007BB" w:rsidRPr="00484F8F" w:rsidRDefault="005007BB" w:rsidP="0086631F">
            <w:pPr>
              <w:pStyle w:val="CETBodytext"/>
              <w:ind w:left="142" w:right="-1"/>
              <w:jc w:val="left"/>
              <w:rPr>
                <w:rFonts w:cs="Arial"/>
                <w:szCs w:val="18"/>
                <w:lang w:val="en-GB"/>
              </w:rPr>
            </w:pPr>
            <w:r w:rsidRPr="00484F8F">
              <w:rPr>
                <w:rFonts w:cs="Arial"/>
                <w:szCs w:val="18"/>
                <w:lang w:val="en-GB"/>
              </w:rPr>
              <w:t>WWTP</w:t>
            </w:r>
          </w:p>
        </w:tc>
        <w:tc>
          <w:tcPr>
            <w:tcW w:w="7198" w:type="dxa"/>
            <w:shd w:val="clear" w:color="auto" w:fill="FFFFFF"/>
            <w:vAlign w:val="center"/>
          </w:tcPr>
          <w:p w14:paraId="1AF56567" w14:textId="77777777" w:rsidR="005007BB" w:rsidRPr="00305B22" w:rsidRDefault="005007BB" w:rsidP="0086631F">
            <w:pPr>
              <w:pStyle w:val="CETBodytext"/>
              <w:ind w:left="119" w:right="-1"/>
              <w:jc w:val="left"/>
              <w:rPr>
                <w:lang w:val="it-IT"/>
              </w:rPr>
            </w:pPr>
            <w:r w:rsidRPr="00305B22">
              <w:rPr>
                <w:lang w:val="it-IT"/>
              </w:rPr>
              <w:t>WWTPs database of Emilia Romagna Region, &lt;</w:t>
            </w:r>
            <w:hyperlink r:id="rId16" w:history="1">
              <w:r w:rsidRPr="00305B22">
                <w:rPr>
                  <w:rStyle w:val="Collegamentoipertestuale"/>
                  <w:lang w:val="it-IT"/>
                </w:rPr>
                <w:t>datacatalog.regione.emilia-romagna.it/catalogCTA/dataset/depuratori-della-regione-emilia-romagna-1506530997461-718</w:t>
              </w:r>
            </w:hyperlink>
            <w:r w:rsidRPr="00305B22">
              <w:rPr>
                <w:lang w:val="it-IT"/>
              </w:rPr>
              <w:t>&gt;</w:t>
            </w:r>
          </w:p>
        </w:tc>
      </w:tr>
    </w:tbl>
    <w:p w14:paraId="25D56B33" w14:textId="77777777" w:rsidR="005007BB" w:rsidRPr="00305B22" w:rsidRDefault="005007BB" w:rsidP="00C95A69">
      <w:pPr>
        <w:pStyle w:val="CETBodytext"/>
        <w:rPr>
          <w:lang w:val="it-IT"/>
        </w:rPr>
      </w:pPr>
    </w:p>
    <w:p w14:paraId="41556585" w14:textId="54D0AAE4" w:rsidR="00A47E68" w:rsidRDefault="00C95A69" w:rsidP="00D35206">
      <w:pPr>
        <w:pStyle w:val="CETBodytext"/>
      </w:pPr>
      <w:r>
        <w:t xml:space="preserve">The </w:t>
      </w:r>
      <w:r w:rsidR="002373B3">
        <w:t>BQI</w:t>
      </w:r>
      <w:r w:rsidR="00A81D23">
        <w:t xml:space="preserve"> values</w:t>
      </w:r>
      <w:r>
        <w:t xml:space="preserve"> obtained </w:t>
      </w:r>
      <w:r w:rsidR="009E7B07">
        <w:t>by applying the proposed methodology</w:t>
      </w:r>
      <w:r w:rsidR="002373B3">
        <w:t xml:space="preserve"> to the Reno catchment</w:t>
      </w:r>
      <w:r w:rsidR="009E7B07">
        <w:t xml:space="preserve"> </w:t>
      </w:r>
      <w:r>
        <w:t xml:space="preserve">were analyzed to verify </w:t>
      </w:r>
      <w:r w:rsidR="00A81D23">
        <w:t>the</w:t>
      </w:r>
      <w:r w:rsidR="009E7B07">
        <w:t xml:space="preserve"> </w:t>
      </w:r>
      <w:r>
        <w:t>consistency</w:t>
      </w:r>
      <w:r w:rsidR="00A81D23">
        <w:t xml:space="preserve"> of the proposed approach</w:t>
      </w:r>
      <w:r w:rsidR="00D8035B">
        <w:t xml:space="preserve"> through the comparison of</w:t>
      </w:r>
      <w:r w:rsidR="00837850">
        <w:t xml:space="preserve"> BQI values</w:t>
      </w:r>
      <w:r w:rsidR="00864AD8">
        <w:t xml:space="preserve"> </w:t>
      </w:r>
      <w:r w:rsidR="00927CC9">
        <w:t xml:space="preserve">with </w:t>
      </w:r>
      <w:r w:rsidR="00D8035B">
        <w:t xml:space="preserve">actual </w:t>
      </w:r>
      <w:r w:rsidR="00F27EED">
        <w:t>water quality data</w:t>
      </w:r>
      <w:r w:rsidR="00670E5F">
        <w:t>,</w:t>
      </w:r>
      <w:r w:rsidR="000F19C1" w:rsidRPr="000F19C1">
        <w:t xml:space="preserve"> </w:t>
      </w:r>
      <w:r w:rsidR="00670E5F">
        <w:t>k</w:t>
      </w:r>
      <w:r w:rsidR="000F19C1">
        <w:t>eeping the four monitoring stations as a reference</w:t>
      </w:r>
      <w:r w:rsidR="00970B87">
        <w:t>.</w:t>
      </w:r>
      <w:r w:rsidR="00300E3B">
        <w:t xml:space="preserve"> </w:t>
      </w:r>
      <w:r w:rsidR="003B1DD0">
        <w:t>The analysis was pe</w:t>
      </w:r>
      <w:r w:rsidR="00E65043">
        <w:t>rform</w:t>
      </w:r>
      <w:r w:rsidR="009F2B2B">
        <w:t>ed</w:t>
      </w:r>
      <w:r w:rsidR="00E65043">
        <w:t xml:space="preserve"> </w:t>
      </w:r>
      <w:r w:rsidR="009F2B2B">
        <w:t xml:space="preserve">by </w:t>
      </w:r>
      <w:r w:rsidR="00E65043">
        <w:t>addressing the yearly average of the</w:t>
      </w:r>
      <w:r w:rsidR="006F4917">
        <w:t xml:space="preserve"> </w:t>
      </w:r>
      <w:r w:rsidR="00E65043">
        <w:t>Chemical Ox</w:t>
      </w:r>
      <w:r w:rsidR="009F2B2B">
        <w:t>y</w:t>
      </w:r>
      <w:r w:rsidR="00E65043">
        <w:t xml:space="preserve">gen Demand (COD) </w:t>
      </w:r>
      <w:r w:rsidR="00235E52">
        <w:t xml:space="preserve">recorded </w:t>
      </w:r>
      <w:r w:rsidR="004F390A">
        <w:t>at the four stations</w:t>
      </w:r>
      <w:r w:rsidR="009F2B2B">
        <w:t xml:space="preserve">, given that this parameter </w:t>
      </w:r>
      <w:r w:rsidR="007750F9">
        <w:t xml:space="preserve">can be considered directly correlated with the BQI </w:t>
      </w:r>
      <w:r w:rsidR="00096139">
        <w:t>as it represents a</w:t>
      </w:r>
      <w:r w:rsidR="00467511">
        <w:t xml:space="preserve"> recognized </w:t>
      </w:r>
      <w:r w:rsidR="00096139">
        <w:t>indicator of the quality of surface waters</w:t>
      </w:r>
      <w:r w:rsidR="00CA0714">
        <w:t>.</w:t>
      </w:r>
      <w:r w:rsidR="00D63C97" w:rsidRPr="00D63C97">
        <w:t xml:space="preserve"> </w:t>
      </w:r>
      <w:r w:rsidR="00D63C97">
        <w:t xml:space="preserve">The COD data were retrieved </w:t>
      </w:r>
      <w:r w:rsidR="006F4917">
        <w:t>from</w:t>
      </w:r>
      <w:r w:rsidR="00D63C97">
        <w:t xml:space="preserve"> </w:t>
      </w:r>
      <w:r w:rsidR="0098503F" w:rsidRPr="0098503F">
        <w:t xml:space="preserve">the Emilia Romagna </w:t>
      </w:r>
      <w:r w:rsidR="00FC5092">
        <w:t>environmental</w:t>
      </w:r>
      <w:r w:rsidR="0098503F" w:rsidRPr="0098503F">
        <w:t xml:space="preserve"> agency</w:t>
      </w:r>
      <w:r w:rsidR="007B7E46">
        <w:t xml:space="preserve"> </w:t>
      </w:r>
      <w:r w:rsidR="005F29B4" w:rsidRPr="005F29B4">
        <w:rPr>
          <w:i/>
          <w:iCs/>
        </w:rPr>
        <w:t>ARPAE</w:t>
      </w:r>
      <w:r w:rsidR="005F29B4">
        <w:t xml:space="preserve"> </w:t>
      </w:r>
      <w:r w:rsidR="007B7E46">
        <w:t xml:space="preserve">portal </w:t>
      </w:r>
      <w:r w:rsidR="00D63C97">
        <w:t>&lt;</w:t>
      </w:r>
      <w:hyperlink r:id="rId17" w:history="1">
        <w:r w:rsidR="00D63C97" w:rsidRPr="00F73C08">
          <w:rPr>
            <w:rStyle w:val="Collegamentoipertestuale"/>
          </w:rPr>
          <w:t>dati.arpae.it/</w:t>
        </w:r>
      </w:hyperlink>
      <w:r w:rsidR="00D63C97">
        <w:t>&gt;.</w:t>
      </w:r>
    </w:p>
    <w:p w14:paraId="7EF73BB8" w14:textId="58E61126" w:rsidR="00022047" w:rsidRDefault="00022047" w:rsidP="00022047">
      <w:pPr>
        <w:pStyle w:val="CETHeading1"/>
        <w:rPr>
          <w:lang w:val="en-GB"/>
        </w:rPr>
      </w:pPr>
      <w:r>
        <w:rPr>
          <w:lang w:val="en-GB"/>
        </w:rPr>
        <w:t>Results</w:t>
      </w:r>
    </w:p>
    <w:p w14:paraId="26F546FD" w14:textId="32167718" w:rsidR="00DE65BB" w:rsidRDefault="00AA69A4" w:rsidP="00AA69A4">
      <w:pPr>
        <w:pStyle w:val="CETBodytext"/>
        <w:rPr>
          <w:lang w:val="en-GB"/>
        </w:rPr>
      </w:pPr>
      <w:r>
        <w:rPr>
          <w:lang w:val="en-GB"/>
        </w:rPr>
        <w:t xml:space="preserve">The </w:t>
      </w:r>
      <w:r w:rsidR="0019273D">
        <w:rPr>
          <w:lang w:val="en-GB"/>
        </w:rPr>
        <w:t xml:space="preserve">proposed </w:t>
      </w:r>
      <w:r w:rsidR="00AB2660">
        <w:rPr>
          <w:lang w:val="en-GB"/>
        </w:rPr>
        <w:t>methodology allows a straig</w:t>
      </w:r>
      <w:r w:rsidR="001568AF">
        <w:rPr>
          <w:lang w:val="en-GB"/>
        </w:rPr>
        <w:t>h</w:t>
      </w:r>
      <w:r w:rsidR="00AB2660">
        <w:rPr>
          <w:lang w:val="en-GB"/>
        </w:rPr>
        <w:t>tfor</w:t>
      </w:r>
      <w:r w:rsidR="001C1516">
        <w:rPr>
          <w:lang w:val="en-GB"/>
        </w:rPr>
        <w:t xml:space="preserve">ward </w:t>
      </w:r>
      <w:r w:rsidR="004B5143">
        <w:rPr>
          <w:lang w:val="en-GB"/>
        </w:rPr>
        <w:t xml:space="preserve">semi-quantitative </w:t>
      </w:r>
      <w:r w:rsidR="001C1516">
        <w:rPr>
          <w:lang w:val="en-GB"/>
        </w:rPr>
        <w:t xml:space="preserve">assessment of the biochemical </w:t>
      </w:r>
      <w:r w:rsidR="00A278DC">
        <w:rPr>
          <w:lang w:val="en-GB"/>
        </w:rPr>
        <w:t xml:space="preserve">status </w:t>
      </w:r>
      <w:r w:rsidR="001568AF">
        <w:rPr>
          <w:lang w:val="en-GB"/>
        </w:rPr>
        <w:t>of surface water in a river basin</w:t>
      </w:r>
      <w:r w:rsidR="007B7E46">
        <w:rPr>
          <w:lang w:val="en-GB"/>
        </w:rPr>
        <w:t>,</w:t>
      </w:r>
      <w:r w:rsidR="001568AF">
        <w:rPr>
          <w:lang w:val="en-GB"/>
        </w:rPr>
        <w:t xml:space="preserve"> </w:t>
      </w:r>
      <w:r w:rsidR="00E80363">
        <w:rPr>
          <w:lang w:val="en-GB"/>
        </w:rPr>
        <w:t>starting from the characterization of the anthropic pressures</w:t>
      </w:r>
      <w:r w:rsidR="005B2B5C">
        <w:rPr>
          <w:lang w:val="en-GB"/>
        </w:rPr>
        <w:t xml:space="preserve"> (i.e. the discharges of </w:t>
      </w:r>
      <w:r w:rsidR="00F86331">
        <w:rPr>
          <w:lang w:val="en-GB"/>
        </w:rPr>
        <w:t>selected industrial activities)</w:t>
      </w:r>
      <w:r w:rsidR="004733CD">
        <w:rPr>
          <w:lang w:val="en-GB"/>
        </w:rPr>
        <w:t xml:space="preserve"> exerted on a river network</w:t>
      </w:r>
      <w:r w:rsidR="00F86331">
        <w:rPr>
          <w:lang w:val="en-GB"/>
        </w:rPr>
        <w:t>.</w:t>
      </w:r>
      <w:r w:rsidR="00821810">
        <w:rPr>
          <w:lang w:val="en-GB"/>
        </w:rPr>
        <w:t xml:space="preserve"> </w:t>
      </w:r>
    </w:p>
    <w:p w14:paraId="7C25C815" w14:textId="6438C7B7" w:rsidR="00BD22A0" w:rsidRDefault="00821810" w:rsidP="00AA69A4">
      <w:pPr>
        <w:pStyle w:val="CETBodytext"/>
        <w:rPr>
          <w:lang w:val="en-GB"/>
        </w:rPr>
      </w:pPr>
      <w:r>
        <w:rPr>
          <w:lang w:val="en-GB"/>
        </w:rPr>
        <w:t>T</w:t>
      </w:r>
      <w:r w:rsidR="00365238">
        <w:rPr>
          <w:lang w:val="en-GB"/>
        </w:rPr>
        <w:t>he</w:t>
      </w:r>
      <w:r w:rsidR="00185681">
        <w:rPr>
          <w:lang w:val="en-GB"/>
        </w:rPr>
        <w:t xml:space="preserve"> methodology application to the case study area </w:t>
      </w:r>
      <w:r w:rsidR="002E6DE5">
        <w:rPr>
          <w:lang w:val="en-GB"/>
        </w:rPr>
        <w:t xml:space="preserve">provided an assessment of the </w:t>
      </w:r>
      <w:r w:rsidR="004868A0">
        <w:rPr>
          <w:lang w:val="en-GB"/>
        </w:rPr>
        <w:t>biochemical quality of</w:t>
      </w:r>
      <w:r w:rsidR="00424B04">
        <w:rPr>
          <w:lang w:val="en-GB"/>
        </w:rPr>
        <w:t xml:space="preserve"> </w:t>
      </w:r>
      <w:r w:rsidR="00787FA4">
        <w:rPr>
          <w:lang w:val="en-GB"/>
        </w:rPr>
        <w:t xml:space="preserve">surface </w:t>
      </w:r>
      <w:r w:rsidR="00676FF3">
        <w:rPr>
          <w:lang w:val="en-GB"/>
        </w:rPr>
        <w:t xml:space="preserve">water in the main river body through the </w:t>
      </w:r>
      <w:r w:rsidR="00056AB1">
        <w:rPr>
          <w:lang w:val="en-GB"/>
        </w:rPr>
        <w:t xml:space="preserve">assessment of the </w:t>
      </w:r>
      <w:r w:rsidR="00676FF3">
        <w:rPr>
          <w:lang w:val="en-GB"/>
        </w:rPr>
        <w:t>BQI</w:t>
      </w:r>
      <w:r w:rsidR="00347DAC">
        <w:rPr>
          <w:lang w:val="en-GB"/>
        </w:rPr>
        <w:t xml:space="preserve">. For the sake of clarity, </w:t>
      </w:r>
      <w:r w:rsidR="00111DBF">
        <w:rPr>
          <w:lang w:val="en-GB"/>
        </w:rPr>
        <w:t xml:space="preserve">Figure 1b presents the drainage areas </w:t>
      </w:r>
      <w:r w:rsidR="008760E7">
        <w:rPr>
          <w:lang w:val="en-GB"/>
        </w:rPr>
        <w:t>and</w:t>
      </w:r>
      <w:r w:rsidR="00215FD6">
        <w:rPr>
          <w:lang w:val="en-GB"/>
        </w:rPr>
        <w:t xml:space="preserve"> </w:t>
      </w:r>
      <w:r w:rsidR="00347DAC">
        <w:rPr>
          <w:lang w:val="en-GB"/>
        </w:rPr>
        <w:t>the</w:t>
      </w:r>
      <w:r w:rsidR="00056AB1">
        <w:rPr>
          <w:lang w:val="en-GB"/>
        </w:rPr>
        <w:t xml:space="preserve"> BQI</w:t>
      </w:r>
      <w:r w:rsidR="00347DAC">
        <w:rPr>
          <w:lang w:val="en-GB"/>
        </w:rPr>
        <w:t xml:space="preserve"> </w:t>
      </w:r>
      <w:r w:rsidR="00056AB1">
        <w:rPr>
          <w:lang w:val="en-GB"/>
        </w:rPr>
        <w:t>values</w:t>
      </w:r>
      <w:r w:rsidR="00347DAC">
        <w:rPr>
          <w:lang w:val="en-GB"/>
        </w:rPr>
        <w:t xml:space="preserve"> obtained</w:t>
      </w:r>
      <w:r w:rsidR="00983732">
        <w:rPr>
          <w:lang w:val="en-GB"/>
        </w:rPr>
        <w:t xml:space="preserve">, </w:t>
      </w:r>
      <w:r w:rsidR="00056AB1">
        <w:rPr>
          <w:lang w:val="en-GB"/>
        </w:rPr>
        <w:t>ranging from 0</w:t>
      </w:r>
      <w:r w:rsidR="00983732">
        <w:rPr>
          <w:lang w:val="en-GB"/>
        </w:rPr>
        <w:t xml:space="preserve"> (in green)</w:t>
      </w:r>
      <w:r w:rsidR="00056AB1">
        <w:rPr>
          <w:lang w:val="en-GB"/>
        </w:rPr>
        <w:t xml:space="preserve"> to 0.103</w:t>
      </w:r>
      <w:r w:rsidR="00983732">
        <w:rPr>
          <w:lang w:val="en-GB"/>
        </w:rPr>
        <w:t xml:space="preserve"> (in red)</w:t>
      </w:r>
      <w:r w:rsidR="00082B9E">
        <w:rPr>
          <w:lang w:val="en-GB"/>
        </w:rPr>
        <w:t xml:space="preserve">. As expected, </w:t>
      </w:r>
      <w:r w:rsidR="00072585">
        <w:rPr>
          <w:lang w:val="en-GB"/>
        </w:rPr>
        <w:t xml:space="preserve">higher BQI values </w:t>
      </w:r>
      <w:r w:rsidR="00DD32F4">
        <w:rPr>
          <w:lang w:val="en-GB"/>
        </w:rPr>
        <w:t>occur</w:t>
      </w:r>
      <w:r w:rsidR="00072585">
        <w:rPr>
          <w:lang w:val="en-GB"/>
        </w:rPr>
        <w:t xml:space="preserve"> </w:t>
      </w:r>
      <w:r w:rsidR="00A278DC">
        <w:rPr>
          <w:lang w:val="en-GB"/>
        </w:rPr>
        <w:t>downstream</w:t>
      </w:r>
      <w:r w:rsidR="00072585">
        <w:rPr>
          <w:lang w:val="en-GB"/>
        </w:rPr>
        <w:t>.</w:t>
      </w:r>
    </w:p>
    <w:p w14:paraId="6D68EA51" w14:textId="77777777" w:rsidR="00B14236" w:rsidRDefault="00B14236" w:rsidP="00B14236">
      <w:pPr>
        <w:pStyle w:val="CETBodytext"/>
      </w:pPr>
    </w:p>
    <w:p w14:paraId="6CF21331" w14:textId="0935722D" w:rsidR="00B14236" w:rsidRDefault="00BA1AF6" w:rsidP="00B14236">
      <w:pPr>
        <w:pStyle w:val="CETBodytext"/>
      </w:pPr>
      <w:r w:rsidRPr="00BA1AF6">
        <w:rPr>
          <w:noProof/>
        </w:rPr>
        <w:drawing>
          <wp:inline distT="0" distB="0" distL="0" distR="0" wp14:anchorId="6269EC4E" wp14:editId="74B7EDE7">
            <wp:extent cx="5555357" cy="2459355"/>
            <wp:effectExtent l="0" t="0" r="7620" b="0"/>
            <wp:docPr id="712601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0108" name=""/>
                    <pic:cNvPicPr/>
                  </pic:nvPicPr>
                  <pic:blipFill>
                    <a:blip r:embed="rId18"/>
                    <a:stretch>
                      <a:fillRect/>
                    </a:stretch>
                  </pic:blipFill>
                  <pic:spPr>
                    <a:xfrm>
                      <a:off x="0" y="0"/>
                      <a:ext cx="5719335" cy="2531948"/>
                    </a:xfrm>
                    <a:prstGeom prst="rect">
                      <a:avLst/>
                    </a:prstGeom>
                  </pic:spPr>
                </pic:pic>
              </a:graphicData>
            </a:graphic>
          </wp:inline>
        </w:drawing>
      </w:r>
    </w:p>
    <w:p w14:paraId="1DD7430D" w14:textId="4FF0CADF" w:rsidR="00B14236" w:rsidRDefault="00B14236" w:rsidP="00B14236">
      <w:pPr>
        <w:pStyle w:val="CETBodytext"/>
      </w:pPr>
      <w:r w:rsidRPr="69E4577E">
        <w:rPr>
          <w:rStyle w:val="CETCaptionCarattere"/>
          <w:lang w:val="en-US"/>
        </w:rPr>
        <w:t>Figure 1:</w:t>
      </w:r>
      <w:r w:rsidR="008D56D3" w:rsidRPr="69E4577E">
        <w:rPr>
          <w:rStyle w:val="CETCaptionCarattere"/>
          <w:lang w:val="en-US"/>
        </w:rPr>
        <w:t xml:space="preserve"> a)</w:t>
      </w:r>
      <w:r w:rsidRPr="69E4577E">
        <w:rPr>
          <w:rStyle w:val="CETCaptionCarattere"/>
          <w:lang w:val="en-US"/>
        </w:rPr>
        <w:t xml:space="preserve"> Case study area representation with the position of the 46 industrial activities and the 4 monitoring stations</w:t>
      </w:r>
      <w:r w:rsidR="003F4037" w:rsidRPr="69E4577E">
        <w:rPr>
          <w:rStyle w:val="CETCaptionCarattere"/>
          <w:lang w:val="en-US"/>
        </w:rPr>
        <w:t>; b) BQI values obtained for the main river of the analyzed ne</w:t>
      </w:r>
      <w:r w:rsidR="00056AB1" w:rsidRPr="69E4577E">
        <w:rPr>
          <w:rStyle w:val="CETCaptionCarattere"/>
          <w:lang w:val="en-US"/>
        </w:rPr>
        <w:t>twork.</w:t>
      </w:r>
    </w:p>
    <w:p w14:paraId="5D6D3342" w14:textId="77777777" w:rsidR="00B14236" w:rsidRDefault="00B14236" w:rsidP="00AA69A4">
      <w:pPr>
        <w:pStyle w:val="CETBodytext"/>
        <w:rPr>
          <w:lang w:val="en-GB"/>
        </w:rPr>
      </w:pPr>
    </w:p>
    <w:p w14:paraId="651946C5" w14:textId="1E7CDE94" w:rsidR="006210D5" w:rsidRDefault="00BA715C" w:rsidP="00AA69A4">
      <w:pPr>
        <w:pStyle w:val="CETBodytext"/>
        <w:rPr>
          <w:lang w:val="en-GB"/>
        </w:rPr>
      </w:pPr>
      <w:r>
        <w:rPr>
          <w:lang w:val="en-GB"/>
        </w:rPr>
        <w:t>First</w:t>
      </w:r>
      <w:r w:rsidR="006210D5">
        <w:rPr>
          <w:lang w:val="en-GB"/>
        </w:rPr>
        <w:t xml:space="preserve">, </w:t>
      </w:r>
      <w:r w:rsidR="000C0908" w:rsidRPr="000C0908">
        <w:rPr>
          <w:lang w:val="en-GB"/>
        </w:rPr>
        <w:t>the BQI values obtained in correspondence with the four monitoring stations were analyzed together with the yearly averaged COD recorded in the same locations</w:t>
      </w:r>
      <w:r w:rsidR="009C5EFB" w:rsidRPr="009C5EFB">
        <w:rPr>
          <w:lang w:val="en-GB"/>
        </w:rPr>
        <w:t xml:space="preserve"> </w:t>
      </w:r>
      <w:r w:rsidR="009C5EFB">
        <w:rPr>
          <w:lang w:val="en-GB"/>
        </w:rPr>
        <w:t xml:space="preserve">to verify </w:t>
      </w:r>
      <w:r w:rsidR="009C5EFB" w:rsidRPr="000C0908">
        <w:rPr>
          <w:lang w:val="en-GB"/>
        </w:rPr>
        <w:t>the consistency of the methodology</w:t>
      </w:r>
      <w:r w:rsidR="000C0908" w:rsidRPr="000C0908">
        <w:rPr>
          <w:lang w:val="en-GB"/>
        </w:rPr>
        <w:t xml:space="preserve">. It is to be noted that BQI and COD values are not directly comparable. Thus, their trends were analyzed using different </w:t>
      </w:r>
      <w:r w:rsidR="00E44FCC">
        <w:rPr>
          <w:lang w:val="en-GB"/>
        </w:rPr>
        <w:t>scales</w:t>
      </w:r>
      <w:r w:rsidR="000C0908" w:rsidRPr="000C0908">
        <w:rPr>
          <w:lang w:val="en-GB"/>
        </w:rPr>
        <w:t>, as presented in Figure 2</w:t>
      </w:r>
      <w:r w:rsidR="000C0908">
        <w:rPr>
          <w:lang w:val="en-GB"/>
        </w:rPr>
        <w:t>a</w:t>
      </w:r>
      <w:r w:rsidR="000C0908" w:rsidRPr="000C0908">
        <w:rPr>
          <w:lang w:val="en-GB"/>
        </w:rPr>
        <w:t xml:space="preserve">. It can be seen from the graph that the BQI values obtained reproduce well the </w:t>
      </w:r>
      <w:r w:rsidR="00F00741">
        <w:rPr>
          <w:lang w:val="en-GB"/>
        </w:rPr>
        <w:t>general</w:t>
      </w:r>
      <w:r w:rsidR="00F00741" w:rsidRPr="000C0908">
        <w:rPr>
          <w:lang w:val="en-GB"/>
        </w:rPr>
        <w:t xml:space="preserve"> </w:t>
      </w:r>
      <w:r w:rsidR="000C0908" w:rsidRPr="000C0908">
        <w:rPr>
          <w:lang w:val="en-GB"/>
        </w:rPr>
        <w:t>water quality trend recorded along the river.</w:t>
      </w:r>
    </w:p>
    <w:p w14:paraId="26E90FD8" w14:textId="617FCD21" w:rsidR="00BD22A0" w:rsidRPr="00B27078" w:rsidRDefault="006210D5" w:rsidP="00AA69A4">
      <w:pPr>
        <w:pStyle w:val="CETBodytext"/>
        <w:rPr>
          <w:lang w:val="en-GB"/>
        </w:rPr>
      </w:pPr>
      <w:r w:rsidRPr="00B249AA">
        <w:rPr>
          <w:lang w:val="en-GB"/>
        </w:rPr>
        <w:t xml:space="preserve">Furthermore, </w:t>
      </w:r>
      <w:r w:rsidR="008906D2" w:rsidRPr="00B249AA">
        <w:rPr>
          <w:lang w:val="en-GB"/>
        </w:rPr>
        <w:t xml:space="preserve">the overall contribution of </w:t>
      </w:r>
      <w:r w:rsidR="008663EC" w:rsidRPr="00B249AA">
        <w:rPr>
          <w:lang w:val="en-GB"/>
        </w:rPr>
        <w:t xml:space="preserve">the </w:t>
      </w:r>
      <w:r w:rsidR="008906D2" w:rsidRPr="00B249AA">
        <w:rPr>
          <w:lang w:val="en-GB"/>
        </w:rPr>
        <w:t>activity t</w:t>
      </w:r>
      <w:r w:rsidR="008663EC" w:rsidRPr="00B249AA">
        <w:rPr>
          <w:lang w:val="en-GB"/>
        </w:rPr>
        <w:t>ypologies</w:t>
      </w:r>
      <w:r w:rsidR="00966974" w:rsidRPr="00B249AA">
        <w:rPr>
          <w:lang w:val="en-GB"/>
        </w:rPr>
        <w:t xml:space="preserve"> </w:t>
      </w:r>
      <w:r w:rsidR="008906D2" w:rsidRPr="00B249AA">
        <w:rPr>
          <w:lang w:val="en-GB"/>
        </w:rPr>
        <w:t xml:space="preserve">and the specific contribution </w:t>
      </w:r>
      <w:r w:rsidR="00966974" w:rsidRPr="00B249AA">
        <w:rPr>
          <w:lang w:val="en-GB"/>
        </w:rPr>
        <w:t xml:space="preserve">of the </w:t>
      </w:r>
      <w:r w:rsidR="008663EC" w:rsidRPr="00B249AA">
        <w:rPr>
          <w:lang w:val="en-GB"/>
        </w:rPr>
        <w:t>single activity</w:t>
      </w:r>
      <w:r w:rsidR="00966974" w:rsidRPr="00B249AA">
        <w:rPr>
          <w:lang w:val="en-GB"/>
        </w:rPr>
        <w:t xml:space="preserve"> w</w:t>
      </w:r>
      <w:r w:rsidR="00B27078" w:rsidRPr="00B249AA">
        <w:rPr>
          <w:lang w:val="en-GB"/>
        </w:rPr>
        <w:t>ere</w:t>
      </w:r>
      <w:r w:rsidR="00966974" w:rsidRPr="00B249AA">
        <w:rPr>
          <w:lang w:val="en-GB"/>
        </w:rPr>
        <w:t xml:space="preserve"> assess</w:t>
      </w:r>
      <w:r w:rsidR="005E0D93" w:rsidRPr="00B249AA">
        <w:rPr>
          <w:lang w:val="en-GB"/>
        </w:rPr>
        <w:t>ed</w:t>
      </w:r>
      <w:r w:rsidR="00192E89">
        <w:rPr>
          <w:lang w:val="en-GB"/>
        </w:rPr>
        <w:t>,</w:t>
      </w:r>
      <w:r w:rsidR="00B27078" w:rsidRPr="00B249AA">
        <w:rPr>
          <w:lang w:val="en-GB"/>
        </w:rPr>
        <w:t xml:space="preserve"> </w:t>
      </w:r>
      <w:r w:rsidR="00356C0C">
        <w:rPr>
          <w:lang w:val="en-GB"/>
        </w:rPr>
        <w:t>taking</w:t>
      </w:r>
      <w:r w:rsidR="00B27078" w:rsidRPr="00192E89">
        <w:rPr>
          <w:lang w:val="en-GB"/>
        </w:rPr>
        <w:t xml:space="preserve"> the BQI value obtained </w:t>
      </w:r>
      <w:r w:rsidR="00B27078" w:rsidRPr="004D2639">
        <w:rPr>
          <w:rStyle w:val="CETCaptionCarattere"/>
          <w:i w:val="0"/>
          <w:iCs/>
        </w:rPr>
        <w:t>at the basin’s closing section</w:t>
      </w:r>
      <w:r w:rsidR="00B27078" w:rsidRPr="00B249AA">
        <w:rPr>
          <w:lang w:val="en-GB"/>
        </w:rPr>
        <w:t xml:space="preserve"> </w:t>
      </w:r>
      <w:r w:rsidR="00356C0C">
        <w:rPr>
          <w:lang w:val="en-GB"/>
        </w:rPr>
        <w:t>as a reference</w:t>
      </w:r>
      <w:r w:rsidR="005E0D93" w:rsidRPr="00B249AA">
        <w:rPr>
          <w:lang w:val="en-GB"/>
        </w:rPr>
        <w:t xml:space="preserve"> </w:t>
      </w:r>
      <w:r w:rsidR="009D0EEA" w:rsidRPr="00B249AA">
        <w:rPr>
          <w:lang w:val="en-GB"/>
        </w:rPr>
        <w:t>(Figure 2b)</w:t>
      </w:r>
      <w:r w:rsidR="008906D2" w:rsidRPr="00B249AA">
        <w:rPr>
          <w:lang w:val="en-GB"/>
        </w:rPr>
        <w:t>. It is interesting to observe that</w:t>
      </w:r>
      <w:r w:rsidR="0079255A" w:rsidRPr="00B249AA">
        <w:rPr>
          <w:lang w:val="en-GB"/>
        </w:rPr>
        <w:t xml:space="preserve">, </w:t>
      </w:r>
      <w:r w:rsidR="00457A2D">
        <w:rPr>
          <w:lang w:val="en-GB"/>
        </w:rPr>
        <w:t>although</w:t>
      </w:r>
      <w:r w:rsidR="0079255A" w:rsidRPr="00B249AA">
        <w:rPr>
          <w:lang w:val="en-GB"/>
        </w:rPr>
        <w:t xml:space="preserve"> the</w:t>
      </w:r>
      <w:r w:rsidR="001844AE" w:rsidRPr="00B249AA">
        <w:rPr>
          <w:lang w:val="en-GB"/>
        </w:rPr>
        <w:t xml:space="preserve"> </w:t>
      </w:r>
      <w:r w:rsidR="00B27078" w:rsidRPr="00B249AA">
        <w:rPr>
          <w:lang w:val="en-GB"/>
        </w:rPr>
        <w:t xml:space="preserve">overall </w:t>
      </w:r>
      <w:r w:rsidR="001844AE" w:rsidRPr="00B249AA">
        <w:rPr>
          <w:lang w:val="en-GB"/>
        </w:rPr>
        <w:t>contribution to the BQI of the</w:t>
      </w:r>
      <w:r w:rsidR="0079255A" w:rsidRPr="00B249AA">
        <w:rPr>
          <w:lang w:val="en-GB"/>
        </w:rPr>
        <w:t xml:space="preserve"> 41 WWTP plants</w:t>
      </w:r>
      <w:r w:rsidR="008663EC" w:rsidRPr="00B249AA">
        <w:rPr>
          <w:lang w:val="en-GB"/>
        </w:rPr>
        <w:t xml:space="preserve"> is</w:t>
      </w:r>
      <w:r w:rsidR="0075266E" w:rsidRPr="00B249AA">
        <w:rPr>
          <w:lang w:val="en-GB"/>
        </w:rPr>
        <w:t xml:space="preserve"> 67</w:t>
      </w:r>
      <w:r w:rsidR="00017E26" w:rsidRPr="00B249AA">
        <w:rPr>
          <w:lang w:val="en-GB"/>
        </w:rPr>
        <w:t>%</w:t>
      </w:r>
      <w:r w:rsidR="00017E26">
        <w:rPr>
          <w:lang w:val="en-GB"/>
        </w:rPr>
        <w:t xml:space="preserve"> of the total BQI</w:t>
      </w:r>
      <w:r w:rsidR="00017E26" w:rsidRPr="00B249AA">
        <w:rPr>
          <w:lang w:val="en-GB"/>
        </w:rPr>
        <w:t>, the</w:t>
      </w:r>
      <w:r w:rsidR="008663EC" w:rsidRPr="00B249AA">
        <w:rPr>
          <w:lang w:val="en-GB"/>
        </w:rPr>
        <w:t xml:space="preserve"> specific contribution per single activity of this typology is </w:t>
      </w:r>
      <w:r w:rsidR="00E11EAF" w:rsidRPr="00B249AA">
        <w:rPr>
          <w:lang w:val="en-GB"/>
        </w:rPr>
        <w:t>only 6%</w:t>
      </w:r>
      <w:r w:rsidR="002851F0">
        <w:rPr>
          <w:lang w:val="en-GB"/>
        </w:rPr>
        <w:t xml:space="preserve"> (i.e. a</w:t>
      </w:r>
      <w:r w:rsidR="00160A5A">
        <w:rPr>
          <w:lang w:val="en-GB"/>
        </w:rPr>
        <w:t xml:space="preserve"> single </w:t>
      </w:r>
      <w:r w:rsidR="002851F0">
        <w:rPr>
          <w:lang w:val="en-GB"/>
        </w:rPr>
        <w:t>average WWTP impacts only for 6% on the overall</w:t>
      </w:r>
      <w:r w:rsidR="00D704B0">
        <w:rPr>
          <w:lang w:val="en-GB"/>
        </w:rPr>
        <w:t xml:space="preserve"> water quality)</w:t>
      </w:r>
      <w:r w:rsidR="00E11EAF" w:rsidRPr="00B249AA">
        <w:rPr>
          <w:lang w:val="en-GB"/>
        </w:rPr>
        <w:t>. Vice</w:t>
      </w:r>
      <w:r w:rsidR="00457A2D">
        <w:rPr>
          <w:lang w:val="en-GB"/>
        </w:rPr>
        <w:t xml:space="preserve"> </w:t>
      </w:r>
      <w:r w:rsidR="00E11EAF" w:rsidRPr="00B249AA">
        <w:rPr>
          <w:lang w:val="en-GB"/>
        </w:rPr>
        <w:t xml:space="preserve">versa, the </w:t>
      </w:r>
      <w:r w:rsidR="008306F1" w:rsidRPr="00B249AA">
        <w:rPr>
          <w:lang w:val="en-GB"/>
        </w:rPr>
        <w:t xml:space="preserve">overall contribution </w:t>
      </w:r>
      <w:r w:rsidR="00AB1313" w:rsidRPr="00B249AA">
        <w:rPr>
          <w:lang w:val="en-GB"/>
        </w:rPr>
        <w:t xml:space="preserve">of the only Seveso plant in the case study area </w:t>
      </w:r>
      <w:r w:rsidR="008306F1" w:rsidRPr="00B249AA">
        <w:rPr>
          <w:lang w:val="en-GB"/>
        </w:rPr>
        <w:t>to the BQI is 19%</w:t>
      </w:r>
      <w:r w:rsidR="004E1C33" w:rsidRPr="00B249AA">
        <w:rPr>
          <w:lang w:val="en-GB"/>
        </w:rPr>
        <w:t>,</w:t>
      </w:r>
      <w:r w:rsidR="0071357B" w:rsidRPr="00B249AA">
        <w:rPr>
          <w:lang w:val="en-GB"/>
        </w:rPr>
        <w:t xml:space="preserve"> and its </w:t>
      </w:r>
      <w:r w:rsidR="00AB1313" w:rsidRPr="00B249AA">
        <w:rPr>
          <w:lang w:val="en-GB"/>
        </w:rPr>
        <w:t>specific contribution is 63%.</w:t>
      </w:r>
      <w:r w:rsidR="004E1C33" w:rsidRPr="00B249AA">
        <w:rPr>
          <w:lang w:val="en-GB"/>
        </w:rPr>
        <w:t xml:space="preserve"> </w:t>
      </w:r>
      <w:r w:rsidR="00033BFF" w:rsidRPr="00B249AA">
        <w:rPr>
          <w:lang w:val="en-GB"/>
        </w:rPr>
        <w:t>T</w:t>
      </w:r>
      <w:r w:rsidR="0088353E" w:rsidRPr="00B249AA">
        <w:rPr>
          <w:lang w:val="en-GB"/>
        </w:rPr>
        <w:t>he</w:t>
      </w:r>
      <w:r w:rsidR="004E1C33" w:rsidRPr="00B249AA">
        <w:rPr>
          <w:lang w:val="en-GB"/>
        </w:rPr>
        <w:t>se</w:t>
      </w:r>
      <w:r w:rsidR="0088353E" w:rsidRPr="00B249AA">
        <w:rPr>
          <w:lang w:val="en-GB"/>
        </w:rPr>
        <w:t xml:space="preserve"> result</w:t>
      </w:r>
      <w:r w:rsidR="004E1C33" w:rsidRPr="00B249AA">
        <w:rPr>
          <w:lang w:val="en-GB"/>
        </w:rPr>
        <w:t>s</w:t>
      </w:r>
      <w:r w:rsidR="0088353E" w:rsidRPr="00B249AA">
        <w:rPr>
          <w:lang w:val="en-GB"/>
        </w:rPr>
        <w:t xml:space="preserve"> </w:t>
      </w:r>
      <w:r w:rsidR="004E1C33" w:rsidRPr="00B249AA">
        <w:rPr>
          <w:lang w:val="en-GB"/>
        </w:rPr>
        <w:t>are</w:t>
      </w:r>
      <w:r w:rsidR="0088353E" w:rsidRPr="00B249AA">
        <w:rPr>
          <w:lang w:val="en-GB"/>
        </w:rPr>
        <w:t xml:space="preserve"> particularly interesting as </w:t>
      </w:r>
      <w:r w:rsidR="00B249AA" w:rsidRPr="00B249AA">
        <w:rPr>
          <w:lang w:val="en-GB"/>
        </w:rPr>
        <w:t>they</w:t>
      </w:r>
      <w:r w:rsidR="0088353E" w:rsidRPr="00B249AA">
        <w:rPr>
          <w:lang w:val="en-GB"/>
        </w:rPr>
        <w:t xml:space="preserve"> show th</w:t>
      </w:r>
      <w:r w:rsidR="006437D8" w:rsidRPr="00B249AA">
        <w:rPr>
          <w:lang w:val="en-GB"/>
        </w:rPr>
        <w:t xml:space="preserve">at the methodology </w:t>
      </w:r>
      <w:r w:rsidR="00457A2D">
        <w:rPr>
          <w:lang w:val="en-GB"/>
        </w:rPr>
        <w:t>can</w:t>
      </w:r>
      <w:r w:rsidR="006437D8" w:rsidRPr="00B249AA">
        <w:rPr>
          <w:lang w:val="en-GB"/>
        </w:rPr>
        <w:t xml:space="preserve"> take into account the intrinsic characteristics of </w:t>
      </w:r>
      <w:r w:rsidR="00E42547" w:rsidRPr="00B249AA">
        <w:rPr>
          <w:lang w:val="en-GB"/>
        </w:rPr>
        <w:t>the industrial pressure</w:t>
      </w:r>
      <w:r w:rsidR="00033BFF" w:rsidRPr="00B249AA">
        <w:rPr>
          <w:lang w:val="en-GB"/>
        </w:rPr>
        <w:t>s</w:t>
      </w:r>
      <w:r w:rsidR="00E42547" w:rsidRPr="00B249AA">
        <w:rPr>
          <w:lang w:val="en-GB"/>
        </w:rPr>
        <w:t xml:space="preserve"> </w:t>
      </w:r>
      <w:r w:rsidR="00367D2D" w:rsidRPr="00B249AA">
        <w:rPr>
          <w:lang w:val="en-GB"/>
        </w:rPr>
        <w:t>analyzed</w:t>
      </w:r>
      <w:r w:rsidR="00E42547" w:rsidRPr="00B249AA">
        <w:rPr>
          <w:lang w:val="en-GB"/>
        </w:rPr>
        <w:t>.</w:t>
      </w:r>
      <w:r w:rsidR="00E42547">
        <w:rPr>
          <w:lang w:val="en-GB"/>
        </w:rPr>
        <w:t xml:space="preserve"> </w:t>
      </w:r>
      <w:r w:rsidR="001C4700">
        <w:rPr>
          <w:lang w:val="en-GB"/>
        </w:rPr>
        <w:t xml:space="preserve"> </w:t>
      </w:r>
    </w:p>
    <w:p w14:paraId="5E89A572" w14:textId="77777777" w:rsidR="009F503A" w:rsidRDefault="009F503A" w:rsidP="00A74251">
      <w:pPr>
        <w:pStyle w:val="CETBodytext"/>
        <w:rPr>
          <w:lang w:val="en-GB"/>
        </w:rPr>
      </w:pPr>
    </w:p>
    <w:p w14:paraId="60EC3483" w14:textId="7062FD2D" w:rsidR="00033BFF" w:rsidRDefault="000C0908" w:rsidP="007A67C9">
      <w:pPr>
        <w:pStyle w:val="CETBodytext"/>
        <w:jc w:val="left"/>
        <w:rPr>
          <w:rStyle w:val="CETCaptionCarattere"/>
        </w:rPr>
      </w:pPr>
      <w:r>
        <w:rPr>
          <w:rStyle w:val="CETCaptionCarattere"/>
          <w:noProof/>
        </w:rPr>
        <w:drawing>
          <wp:inline distT="0" distB="0" distL="0" distR="0" wp14:anchorId="3444BC11" wp14:editId="03486CC8">
            <wp:extent cx="5531192" cy="1874520"/>
            <wp:effectExtent l="0" t="0" r="0" b="0"/>
            <wp:docPr id="13053835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2216" cy="1915535"/>
                    </a:xfrm>
                    <a:prstGeom prst="rect">
                      <a:avLst/>
                    </a:prstGeom>
                    <a:noFill/>
                  </pic:spPr>
                </pic:pic>
              </a:graphicData>
            </a:graphic>
          </wp:inline>
        </w:drawing>
      </w:r>
    </w:p>
    <w:p w14:paraId="63E0CD0C" w14:textId="7EA275B2" w:rsidR="00A278DC" w:rsidRDefault="002B4025" w:rsidP="00DE65BB">
      <w:pPr>
        <w:pStyle w:val="CETBodytext"/>
        <w:jc w:val="left"/>
        <w:rPr>
          <w:rStyle w:val="CETCaptionCarattere"/>
        </w:rPr>
      </w:pPr>
      <w:r w:rsidRPr="00AF7544">
        <w:rPr>
          <w:rStyle w:val="CETCaptionCarattere"/>
        </w:rPr>
        <w:t xml:space="preserve">Figure </w:t>
      </w:r>
      <w:r w:rsidR="00234D53">
        <w:rPr>
          <w:rStyle w:val="CETCaptionCarattere"/>
        </w:rPr>
        <w:t>2</w:t>
      </w:r>
      <w:r w:rsidRPr="00AF7544">
        <w:rPr>
          <w:rStyle w:val="CETCaptionCarattere"/>
        </w:rPr>
        <w:t>: a)</w:t>
      </w:r>
      <w:r w:rsidRPr="007A67C9">
        <w:rPr>
          <w:rStyle w:val="CETCaptionCarattere"/>
        </w:rPr>
        <w:t xml:space="preserve"> </w:t>
      </w:r>
      <w:r w:rsidR="000C0908">
        <w:rPr>
          <w:rStyle w:val="CETCaptionCarattere"/>
        </w:rPr>
        <w:t>Recorded average COD (left axis) and estimated BQI (right axis) considering the four monitoring stations within the case study area</w:t>
      </w:r>
      <w:r w:rsidR="000C0908" w:rsidRPr="00AF7544">
        <w:rPr>
          <w:rStyle w:val="CETCaptionCarattere"/>
        </w:rPr>
        <w:t xml:space="preserve">; b) </w:t>
      </w:r>
      <w:r w:rsidR="008663EC">
        <w:rPr>
          <w:rStyle w:val="CETCaptionCarattere"/>
        </w:rPr>
        <w:t>Overall</w:t>
      </w:r>
      <w:r w:rsidR="00E01D79">
        <w:rPr>
          <w:rStyle w:val="CETCaptionCarattere"/>
        </w:rPr>
        <w:t xml:space="preserve"> contribution </w:t>
      </w:r>
      <w:r w:rsidRPr="007A67C9">
        <w:rPr>
          <w:rStyle w:val="CETCaptionCarattere"/>
        </w:rPr>
        <w:t xml:space="preserve">of the </w:t>
      </w:r>
      <w:r w:rsidR="0046424A" w:rsidRPr="007A67C9">
        <w:rPr>
          <w:rStyle w:val="CETCaptionCarattere"/>
        </w:rPr>
        <w:t xml:space="preserve">activity typologies </w:t>
      </w:r>
      <w:r w:rsidR="00E01D79">
        <w:rPr>
          <w:rStyle w:val="CETCaptionCarattere"/>
        </w:rPr>
        <w:t xml:space="preserve">and specific contribution </w:t>
      </w:r>
      <w:r w:rsidR="009C5EFB">
        <w:rPr>
          <w:rStyle w:val="CETCaptionCarattere"/>
        </w:rPr>
        <w:t xml:space="preserve">per single activity </w:t>
      </w:r>
      <w:r w:rsidR="009C5EFB" w:rsidRPr="007A67C9">
        <w:rPr>
          <w:rStyle w:val="CETCaptionCarattere"/>
        </w:rPr>
        <w:t xml:space="preserve">referring to the </w:t>
      </w:r>
      <w:r w:rsidR="00192E89">
        <w:rPr>
          <w:rStyle w:val="CETCaptionCarattere"/>
        </w:rPr>
        <w:t xml:space="preserve">BQI value obtained at the </w:t>
      </w:r>
      <w:r w:rsidR="009C5EFB">
        <w:rPr>
          <w:rStyle w:val="CETCaptionCarattere"/>
        </w:rPr>
        <w:t>basin’s closing section</w:t>
      </w:r>
      <w:r w:rsidR="00192E89">
        <w:rPr>
          <w:rStyle w:val="CETCaptionCarattere"/>
        </w:rPr>
        <w:t>.</w:t>
      </w:r>
    </w:p>
    <w:p w14:paraId="7ABA419B" w14:textId="6F844067" w:rsidR="00F93CA0" w:rsidRDefault="00022047" w:rsidP="009B39EE">
      <w:pPr>
        <w:pStyle w:val="CETHeading1"/>
      </w:pPr>
      <w:r>
        <w:t>Conclusions</w:t>
      </w:r>
    </w:p>
    <w:p w14:paraId="69A13E00" w14:textId="35E39B59" w:rsidR="00983732" w:rsidRDefault="00DE65BB" w:rsidP="002E6BA7">
      <w:pPr>
        <w:pStyle w:val="CETBodytext"/>
      </w:pPr>
      <w:r>
        <w:t xml:space="preserve">The index-based methodology presented </w:t>
      </w:r>
      <w:r w:rsidR="0085583E">
        <w:t xml:space="preserve">in this paper </w:t>
      </w:r>
      <w:r w:rsidR="005444FF">
        <w:t xml:space="preserve">provides a novel approach </w:t>
      </w:r>
      <w:r w:rsidR="00482179">
        <w:t xml:space="preserve">for </w:t>
      </w:r>
      <w:r w:rsidR="002727AC">
        <w:t>a straightforward</w:t>
      </w:r>
      <w:r w:rsidR="005444FF">
        <w:t xml:space="preserve"> estimat</w:t>
      </w:r>
      <w:r w:rsidR="00E06276">
        <w:t>e of</w:t>
      </w:r>
      <w:r w:rsidR="00482179">
        <w:t xml:space="preserve"> the biochemical</w:t>
      </w:r>
      <w:r w:rsidR="00E06276">
        <w:t xml:space="preserve"> water quality </w:t>
      </w:r>
      <w:r w:rsidR="00D12882">
        <w:t xml:space="preserve">in a river </w:t>
      </w:r>
      <w:r w:rsidR="007C5BEB">
        <w:t>catchment</w:t>
      </w:r>
      <w:r w:rsidR="00983732">
        <w:t xml:space="preserve">. </w:t>
      </w:r>
      <w:r w:rsidR="001F6370">
        <w:t xml:space="preserve">The </w:t>
      </w:r>
      <w:r w:rsidR="002727AC">
        <w:t xml:space="preserve">main novelties of the </w:t>
      </w:r>
      <w:r w:rsidR="001F6370">
        <w:t>approach</w:t>
      </w:r>
      <w:r w:rsidR="00410931">
        <w:t xml:space="preserve"> </w:t>
      </w:r>
      <w:r w:rsidR="002727AC">
        <w:t>are</w:t>
      </w:r>
      <w:r w:rsidR="001F6370">
        <w:t xml:space="preserve"> the</w:t>
      </w:r>
      <w:r w:rsidR="00D12882">
        <w:t xml:space="preserve"> </w:t>
      </w:r>
      <w:r w:rsidR="002727AC">
        <w:t xml:space="preserve">procedure defined for </w:t>
      </w:r>
      <w:r w:rsidR="00E570D4">
        <w:t>identifying and characteri</w:t>
      </w:r>
      <w:r w:rsidR="008D7300">
        <w:t>z</w:t>
      </w:r>
      <w:r w:rsidR="00E570D4">
        <w:t xml:space="preserve">ing the significant anthropic pressures within </w:t>
      </w:r>
      <w:r w:rsidR="00410931">
        <w:t>an</w:t>
      </w:r>
      <w:r w:rsidR="00E570D4">
        <w:t xml:space="preserve"> analyzed area</w:t>
      </w:r>
      <w:r w:rsidR="00983732">
        <w:t>,</w:t>
      </w:r>
      <w:r w:rsidR="00E570D4">
        <w:t xml:space="preserve"> and </w:t>
      </w:r>
      <w:r w:rsidR="00410931">
        <w:t xml:space="preserve">the method proposed to acknowledge </w:t>
      </w:r>
      <w:r w:rsidR="00F83431">
        <w:t>the evolution of the pollutant loads in the river network, a</w:t>
      </w:r>
      <w:r w:rsidR="00410931">
        <w:t>lso considering</w:t>
      </w:r>
      <w:r w:rsidR="009C6CF4">
        <w:t xml:space="preserve"> the self-depurative capacity of the </w:t>
      </w:r>
      <w:r w:rsidR="009C6CF4" w:rsidRPr="00DB67CF">
        <w:t>watercourses</w:t>
      </w:r>
      <w:r w:rsidR="009C6CF4">
        <w:t xml:space="preserve">. </w:t>
      </w:r>
      <w:r w:rsidR="00983732">
        <w:t xml:space="preserve">Notably, the methodology accounts for the normal operations of </w:t>
      </w:r>
      <w:r w:rsidR="00983732">
        <w:lastRenderedPageBreak/>
        <w:t xml:space="preserve">the industrial activities identified as relevant pressures and considers an estimated average surface water flow in the river network. </w:t>
      </w:r>
    </w:p>
    <w:p w14:paraId="5FA132A4" w14:textId="69D47FC2" w:rsidR="00071058" w:rsidRDefault="00773972" w:rsidP="002E6BA7">
      <w:pPr>
        <w:pStyle w:val="CETBodytext"/>
      </w:pPr>
      <w:r>
        <w:t>The application proposed in the case study</w:t>
      </w:r>
      <w:r w:rsidR="009C6CF4">
        <w:t>, which employed the recorde</w:t>
      </w:r>
      <w:r w:rsidR="00B93494">
        <w:t xml:space="preserve">d quality data of a real-existing river catchment in the North of Italy, </w:t>
      </w:r>
      <w:r w:rsidRPr="00D8255B">
        <w:t xml:space="preserve">confirmed the capability of the methodology </w:t>
      </w:r>
      <w:r w:rsidR="00482179">
        <w:rPr>
          <w:lang w:val="en-GB"/>
        </w:rPr>
        <w:t>to take into account the intrinsic characteristics of the industrial pressures analyzed</w:t>
      </w:r>
      <w:r w:rsidR="00482179">
        <w:t xml:space="preserve"> and </w:t>
      </w:r>
      <w:r w:rsidR="00B93494">
        <w:t xml:space="preserve">to </w:t>
      </w:r>
      <w:r w:rsidR="00482179">
        <w:t>faithfully replicate variations in water quality along the river</w:t>
      </w:r>
      <w:r w:rsidR="00B93494">
        <w:t xml:space="preserve"> network. </w:t>
      </w:r>
      <w:r w:rsidR="009E41FC">
        <w:t xml:space="preserve">Clearly enough, the </w:t>
      </w:r>
      <w:r w:rsidR="00482179">
        <w:t>methodology</w:t>
      </w:r>
      <w:r w:rsidR="009E41FC">
        <w:t xml:space="preserve"> propose</w:t>
      </w:r>
      <w:r w:rsidR="009A6309">
        <w:t>d</w:t>
      </w:r>
      <w:r w:rsidR="00482179">
        <w:t xml:space="preserve"> could </w:t>
      </w:r>
      <w:r w:rsidR="00900F4F">
        <w:t xml:space="preserve">be </w:t>
      </w:r>
      <w:r w:rsidR="009A6309">
        <w:t xml:space="preserve">employed </w:t>
      </w:r>
      <w:r w:rsidR="00410931">
        <w:t>to implement</w:t>
      </w:r>
      <w:r w:rsidR="009A6309">
        <w:t xml:space="preserve"> </w:t>
      </w:r>
      <w:r w:rsidR="00E44E5B">
        <w:t>water management plans</w:t>
      </w:r>
      <w:r w:rsidR="00410931">
        <w:t>,</w:t>
      </w:r>
      <w:r w:rsidR="00E44E5B">
        <w:t xml:space="preserve"> especially in the case of poor monitoring networks</w:t>
      </w:r>
      <w:r w:rsidR="00983732">
        <w:t xml:space="preserve">. </w:t>
      </w:r>
    </w:p>
    <w:p w14:paraId="459D05E6" w14:textId="27A6F5C3" w:rsidR="00600535" w:rsidRPr="00AA69A4" w:rsidRDefault="00600535" w:rsidP="00600535">
      <w:pPr>
        <w:pStyle w:val="CETAcknowledgementstitle"/>
      </w:pPr>
      <w:r w:rsidRPr="00AA69A4">
        <w:t>Acknowledg</w:t>
      </w:r>
      <w:r w:rsidR="00D701B8" w:rsidRPr="00AA69A4">
        <w:t>e</w:t>
      </w:r>
      <w:r w:rsidRPr="00AA69A4">
        <w:t>ments</w:t>
      </w:r>
    </w:p>
    <w:p w14:paraId="2528B2FE" w14:textId="59DE17E8" w:rsidR="003D4F18" w:rsidRPr="00B57B36" w:rsidRDefault="00D701B8" w:rsidP="00600535">
      <w:pPr>
        <w:pStyle w:val="CETBodytext"/>
        <w:rPr>
          <w:lang w:val="en-GB"/>
        </w:rPr>
      </w:pPr>
      <w:r w:rsidRPr="004D2639">
        <w:rPr>
          <w:lang w:val="en-GB"/>
        </w:rPr>
        <w:t>The research has been partially funded by the European Union – NextGenerationEU through the Alma Idea 2022 research initiative of the Alma Mater Studiorum Università di Bologna.</w:t>
      </w:r>
      <w:r w:rsidR="00600535" w:rsidRPr="00B57B36">
        <w:rPr>
          <w:lang w:val="en-GB"/>
        </w:rPr>
        <w:t xml:space="preserve"> </w:t>
      </w:r>
    </w:p>
    <w:p w14:paraId="4F1327F8" w14:textId="77777777" w:rsidR="00600535" w:rsidRPr="00B57B36" w:rsidRDefault="00600535" w:rsidP="00600535">
      <w:pPr>
        <w:pStyle w:val="CETReference"/>
      </w:pPr>
      <w:r w:rsidRPr="00B57B36">
        <w:t>References</w:t>
      </w:r>
    </w:p>
    <w:p w14:paraId="34E8AADC" w14:textId="2BD053F3" w:rsidR="00093B58" w:rsidRDefault="00093B58" w:rsidP="0025114A">
      <w:pPr>
        <w:pStyle w:val="CETReferencetext"/>
      </w:pPr>
      <w:r w:rsidRPr="005734FF">
        <w:t>Adewumi I., Ogbiye A., Longe E.,</w:t>
      </w:r>
      <w:r w:rsidR="00F669C9" w:rsidRPr="005734FF">
        <w:t xml:space="preserve"> </w:t>
      </w:r>
      <w:r w:rsidRPr="005734FF">
        <w:t>Omole D.</w:t>
      </w:r>
      <w:r w:rsidR="001812F9" w:rsidRPr="005734FF">
        <w:t xml:space="preserve">, </w:t>
      </w:r>
      <w:r w:rsidRPr="005734FF">
        <w:t>2011</w:t>
      </w:r>
      <w:r w:rsidR="001812F9" w:rsidRPr="005734FF">
        <w:t>,</w:t>
      </w:r>
      <w:r w:rsidRPr="005734FF">
        <w:t xml:space="preserve"> Effect of industrial effluents on water quality of River Atuwara in Ota, Nigeria</w:t>
      </w:r>
      <w:r w:rsidR="00F029A1" w:rsidRPr="005734FF">
        <w:t>, Urban Agric</w:t>
      </w:r>
      <w:r w:rsidR="009E31AC" w:rsidRPr="005734FF">
        <w:t>ulture, Cities and Climate Change,</w:t>
      </w:r>
      <w:r w:rsidRPr="005734FF">
        <w:t xml:space="preserve"> </w:t>
      </w:r>
      <w:r w:rsidR="005734FF" w:rsidRPr="005734FF">
        <w:t>Cuvallier Verlag, Gottingen, Germany.</w:t>
      </w:r>
    </w:p>
    <w:p w14:paraId="27A11401" w14:textId="206D3BED" w:rsidR="0025114A" w:rsidRPr="00337B56" w:rsidRDefault="0025114A" w:rsidP="0025114A">
      <w:pPr>
        <w:pStyle w:val="CETReferencetext"/>
      </w:pPr>
      <w:r w:rsidRPr="00337B56">
        <w:rPr>
          <w:lang w:val="it-IT"/>
        </w:rPr>
        <w:t>Arrigh</w:t>
      </w:r>
      <w:r w:rsidR="00337B56" w:rsidRPr="00337B56">
        <w:rPr>
          <w:lang w:val="it-IT"/>
        </w:rPr>
        <w:t>i</w:t>
      </w:r>
      <w:r w:rsidRPr="00337B56">
        <w:rPr>
          <w:lang w:val="it-IT"/>
        </w:rPr>
        <w:t xml:space="preserve"> C., Masi M., Iannelli R.</w:t>
      </w:r>
      <w:r w:rsidR="00337B56" w:rsidRPr="00337B56">
        <w:rPr>
          <w:lang w:val="it-IT"/>
        </w:rPr>
        <w:t xml:space="preserve">, </w:t>
      </w:r>
      <w:r w:rsidRPr="00337B56">
        <w:rPr>
          <w:lang w:val="it-IT"/>
        </w:rPr>
        <w:t>2018</w:t>
      </w:r>
      <w:r w:rsidR="00337B56" w:rsidRPr="00337B56">
        <w:rPr>
          <w:lang w:val="it-IT"/>
        </w:rPr>
        <w:t>,</w:t>
      </w:r>
      <w:r w:rsidRPr="00337B56">
        <w:rPr>
          <w:lang w:val="it-IT"/>
        </w:rPr>
        <w:t xml:space="preserve"> </w:t>
      </w:r>
      <w:r w:rsidRPr="00337B56">
        <w:t>Flood risk assessment of environmental pollution hotspots</w:t>
      </w:r>
      <w:r w:rsidR="00151CD9">
        <w:t>,</w:t>
      </w:r>
      <w:r w:rsidRPr="00337B56">
        <w:t xml:space="preserve"> Environmental Modelling and Software, 100, 1–10. </w:t>
      </w:r>
    </w:p>
    <w:p w14:paraId="1859337C" w14:textId="0C28F7FA" w:rsidR="008E2B6A" w:rsidRDefault="00F05112" w:rsidP="0025114A">
      <w:pPr>
        <w:pStyle w:val="CETReferencetext"/>
      </w:pPr>
      <w:r w:rsidRPr="00061101">
        <w:t>Chaudhry</w:t>
      </w:r>
      <w:r w:rsidR="00BE00D2">
        <w:t xml:space="preserve"> F.N.</w:t>
      </w:r>
      <w:r w:rsidR="006424BB">
        <w:t xml:space="preserve">, </w:t>
      </w:r>
      <w:r w:rsidR="00BE00D2">
        <w:t>Malik M.F.</w:t>
      </w:r>
      <w:r w:rsidR="00061101" w:rsidRPr="00061101">
        <w:t xml:space="preserve">, </w:t>
      </w:r>
      <w:r w:rsidRPr="00061101">
        <w:t>2017</w:t>
      </w:r>
      <w:r w:rsidR="00061101" w:rsidRPr="00061101">
        <w:t xml:space="preserve">, </w:t>
      </w:r>
      <w:r w:rsidRPr="00061101">
        <w:t>Factors Affecting Water Pollution: A Review</w:t>
      </w:r>
      <w:r w:rsidR="00061101" w:rsidRPr="00061101">
        <w:t xml:space="preserve">, </w:t>
      </w:r>
      <w:r w:rsidRPr="00061101">
        <w:t>Journal of Ecosystem &amp; Ecography, 07(01).</w:t>
      </w:r>
    </w:p>
    <w:p w14:paraId="5DE5C613" w14:textId="2E17A546" w:rsidR="00F05112" w:rsidRDefault="008E2B6A" w:rsidP="0025114A">
      <w:pPr>
        <w:pStyle w:val="CETReferencetext"/>
      </w:pPr>
      <w:r w:rsidRPr="008E2B6A">
        <w:t>Garbrecht J., Martz L.W.</w:t>
      </w:r>
      <w:r>
        <w:t>,</w:t>
      </w:r>
      <w:r w:rsidRPr="008E2B6A">
        <w:t>1997</w:t>
      </w:r>
      <w:r>
        <w:t xml:space="preserve">, </w:t>
      </w:r>
      <w:r w:rsidRPr="008E2B6A">
        <w:t>The assignment of drainage direction over flat surfaces in raster digital elevation models</w:t>
      </w:r>
      <w:r>
        <w:t>,</w:t>
      </w:r>
      <w:r w:rsidRPr="008E2B6A">
        <w:t xml:space="preserve"> Journal of Hydrology, 193(1–4), 204–213. </w:t>
      </w:r>
    </w:p>
    <w:p w14:paraId="02954FEE" w14:textId="7AF6BE57" w:rsidR="00093B58" w:rsidRDefault="00093B58" w:rsidP="0025114A">
      <w:pPr>
        <w:pStyle w:val="CETReferencetext"/>
      </w:pPr>
      <w:r w:rsidRPr="00305B22">
        <w:rPr>
          <w:lang w:val="it-IT"/>
        </w:rPr>
        <w:t>Grizzetti B., Pistocchi A., Liquete C., Udias A., Bouraoui F.,</w:t>
      </w:r>
      <w:r w:rsidR="00E73E35">
        <w:rPr>
          <w:lang w:val="it-IT"/>
        </w:rPr>
        <w:t xml:space="preserve"> </w:t>
      </w:r>
      <w:r w:rsidRPr="00305B22">
        <w:rPr>
          <w:lang w:val="it-IT"/>
        </w:rPr>
        <w:t>van de Bund W</w:t>
      </w:r>
      <w:r w:rsidR="00E73E35">
        <w:rPr>
          <w:lang w:val="it-IT"/>
        </w:rPr>
        <w:t>.</w:t>
      </w:r>
      <w:r w:rsidR="00DA7888">
        <w:rPr>
          <w:lang w:val="it-IT"/>
        </w:rPr>
        <w:t xml:space="preserve">, </w:t>
      </w:r>
      <w:r w:rsidRPr="00305B22">
        <w:rPr>
          <w:lang w:val="it-IT"/>
        </w:rPr>
        <w:t>2017</w:t>
      </w:r>
      <w:r w:rsidR="00DA7888">
        <w:rPr>
          <w:lang w:val="it-IT"/>
        </w:rPr>
        <w:t xml:space="preserve">, </w:t>
      </w:r>
      <w:r w:rsidRPr="00093B58">
        <w:t>Human pressures and ecological status of European rivers</w:t>
      </w:r>
      <w:r w:rsidR="00722022">
        <w:t>,</w:t>
      </w:r>
      <w:r w:rsidRPr="00093B58">
        <w:t xml:space="preserve"> Scientific Reports, 7(1), 205. </w:t>
      </w:r>
    </w:p>
    <w:p w14:paraId="2302F524" w14:textId="67D6F252" w:rsidR="008E2B6A" w:rsidRDefault="008E2B6A" w:rsidP="0025114A">
      <w:pPr>
        <w:pStyle w:val="CETReferencetext"/>
      </w:pPr>
      <w:r w:rsidRPr="008E2B6A">
        <w:t>Lehner B., Verdin K., Jarvis A.</w:t>
      </w:r>
      <w:r>
        <w:t xml:space="preserve">, </w:t>
      </w:r>
      <w:r w:rsidRPr="008E2B6A">
        <w:t>2008</w:t>
      </w:r>
      <w:r>
        <w:t>,</w:t>
      </w:r>
      <w:r w:rsidRPr="008E2B6A">
        <w:t xml:space="preserve"> New Global Hydrography Derived From Spaceborne Elevation Data</w:t>
      </w:r>
      <w:r>
        <w:t>,</w:t>
      </w:r>
      <w:r w:rsidRPr="008E2B6A">
        <w:t xml:space="preserve"> Eos, Transactions American Geophysical Union, 89(10), 93. </w:t>
      </w:r>
    </w:p>
    <w:p w14:paraId="32647BC4" w14:textId="6DF8C558" w:rsidR="00706B4A" w:rsidRDefault="00706B4A" w:rsidP="0025114A">
      <w:pPr>
        <w:pStyle w:val="CETReferencetext"/>
      </w:pPr>
      <w:r w:rsidRPr="00706B4A">
        <w:t>Mirauda D., Caniani D., Colucci M.T., Ostoich M.</w:t>
      </w:r>
      <w:r>
        <w:t xml:space="preserve">, </w:t>
      </w:r>
      <w:r w:rsidRPr="00706B4A">
        <w:t>2021</w:t>
      </w:r>
      <w:r>
        <w:t>,</w:t>
      </w:r>
      <w:r w:rsidRPr="00706B4A">
        <w:t xml:space="preserve"> Assessing the fluvial system resilience of the river Bacchiglione to point sources of pollution in Northeast Italy: A novel Water Resilience Index (WRI) approach</w:t>
      </w:r>
      <w:r>
        <w:t>,</w:t>
      </w:r>
      <w:r w:rsidRPr="00706B4A">
        <w:t xml:space="preserve"> Environmental Science and Pollution Research, 28(27), 36775–36792. </w:t>
      </w:r>
    </w:p>
    <w:p w14:paraId="7B22BDF2" w14:textId="38032392" w:rsidR="006D5598" w:rsidRDefault="006D5598" w:rsidP="0025114A">
      <w:pPr>
        <w:pStyle w:val="CETReferencetext"/>
      </w:pPr>
      <w:r w:rsidRPr="00305B22">
        <w:rPr>
          <w:lang w:val="it-IT"/>
        </w:rPr>
        <w:t>Malaj E., von der Ohe P.C., Grote M., Kühne R., Mondy C.P., Usseglio-Polatera P., Brack</w:t>
      </w:r>
      <w:r w:rsidR="004805B0">
        <w:rPr>
          <w:lang w:val="it-IT"/>
        </w:rPr>
        <w:t xml:space="preserve"> </w:t>
      </w:r>
      <w:r w:rsidRPr="00305B22">
        <w:rPr>
          <w:lang w:val="it-IT"/>
        </w:rPr>
        <w:t>W., Schäfer R.B</w:t>
      </w:r>
      <w:r w:rsidR="00826220">
        <w:rPr>
          <w:lang w:val="it-IT"/>
        </w:rPr>
        <w:t>.</w:t>
      </w:r>
      <w:r w:rsidR="00DA7888">
        <w:rPr>
          <w:lang w:val="it-IT"/>
        </w:rPr>
        <w:t xml:space="preserve">, </w:t>
      </w:r>
      <w:r w:rsidRPr="00305B22">
        <w:rPr>
          <w:lang w:val="it-IT"/>
        </w:rPr>
        <w:t>2014</w:t>
      </w:r>
      <w:r w:rsidR="00DA7888">
        <w:rPr>
          <w:lang w:val="it-IT"/>
        </w:rPr>
        <w:t xml:space="preserve">, </w:t>
      </w:r>
      <w:r w:rsidRPr="00A70697">
        <w:t>Organic chemicals jeopardize the health of freshwater ecosystems on the continental scale</w:t>
      </w:r>
      <w:r w:rsidR="00DA7888">
        <w:t>,</w:t>
      </w:r>
      <w:r w:rsidRPr="00A70697">
        <w:t xml:space="preserve"> </w:t>
      </w:r>
      <w:r w:rsidRPr="00DA7888">
        <w:t>Proceedings of the National Academy of Sciences, 111(26), 9549–9554.</w:t>
      </w:r>
      <w:r w:rsidRPr="00A70697">
        <w:t xml:space="preserve"> </w:t>
      </w:r>
    </w:p>
    <w:p w14:paraId="303AFD58" w14:textId="5332874D" w:rsidR="0025114A" w:rsidRPr="0025114A" w:rsidRDefault="0025114A" w:rsidP="0025114A">
      <w:pPr>
        <w:pStyle w:val="CETReferencetext"/>
      </w:pPr>
      <w:r>
        <w:t>Ouyang L.L., Shi Y.R., Yang J.Q., Mao S.J., Yuan Q., Wang Y. L.</w:t>
      </w:r>
      <w:r w:rsidR="00DA7888">
        <w:t xml:space="preserve">, </w:t>
      </w:r>
      <w:r>
        <w:t>2022</w:t>
      </w:r>
      <w:r w:rsidR="00DA7888">
        <w:t>,</w:t>
      </w:r>
      <w:r>
        <w:t xml:space="preserve"> Water quality assessment and pollution </w:t>
      </w:r>
      <w:r w:rsidRPr="00687207">
        <w:t>source analysis of Yaojiang River Basin: A case study of inland rivers in Yuyao City, China</w:t>
      </w:r>
      <w:r w:rsidR="00687207" w:rsidRPr="00687207">
        <w:t>,</w:t>
      </w:r>
      <w:r w:rsidRPr="00687207">
        <w:t xml:space="preserve"> Water Supply, 22(1), 674–685.</w:t>
      </w:r>
      <w:r>
        <w:t xml:space="preserve"> </w:t>
      </w:r>
    </w:p>
    <w:p w14:paraId="10DC9015" w14:textId="4CCF0856" w:rsidR="006D5598" w:rsidRPr="00A70697" w:rsidRDefault="006D5598" w:rsidP="0025114A">
      <w:pPr>
        <w:pStyle w:val="CETReferencetext"/>
      </w:pPr>
      <w:r w:rsidRPr="00A70697">
        <w:t>Poikane S., Salas Herrero F.</w:t>
      </w:r>
      <w:r w:rsidR="001808E2">
        <w:t xml:space="preserve">, </w:t>
      </w:r>
      <w:r w:rsidRPr="00A70697">
        <w:t>Kelly</w:t>
      </w:r>
      <w:r w:rsidR="001808E2">
        <w:t xml:space="preserve"> </w:t>
      </w:r>
      <w:r w:rsidRPr="00A70697">
        <w:t>M.G.</w:t>
      </w:r>
      <w:r w:rsidR="001808E2">
        <w:t xml:space="preserve">, </w:t>
      </w:r>
      <w:r w:rsidRPr="00A70697">
        <w:t>Borja A.</w:t>
      </w:r>
      <w:r w:rsidR="001808E2">
        <w:t>,</w:t>
      </w:r>
      <w:r w:rsidRPr="00A70697">
        <w:t xml:space="preserve"> Birk S., van de Bund W.</w:t>
      </w:r>
      <w:r w:rsidR="00687207">
        <w:t xml:space="preserve">, </w:t>
      </w:r>
      <w:r w:rsidRPr="00A70697">
        <w:t>2020</w:t>
      </w:r>
      <w:r w:rsidR="0072285A">
        <w:t>,</w:t>
      </w:r>
      <w:r w:rsidRPr="00A70697">
        <w:t xml:space="preserve"> European aquatic </w:t>
      </w:r>
      <w:r w:rsidRPr="0072285A">
        <w:t>ecological assessment methods: A critical review of their sensitivity to key pressures</w:t>
      </w:r>
      <w:r w:rsidR="00E73E35">
        <w:t xml:space="preserve">, </w:t>
      </w:r>
      <w:r w:rsidRPr="0072285A">
        <w:t>Science of The Total Environment, 740, 140075.</w:t>
      </w:r>
      <w:r w:rsidRPr="00A70697">
        <w:t xml:space="preserve"> </w:t>
      </w:r>
    </w:p>
    <w:p w14:paraId="67147EA4" w14:textId="2969DF49" w:rsidR="00F05112" w:rsidRPr="00061101" w:rsidRDefault="00F05112" w:rsidP="0025114A">
      <w:pPr>
        <w:pStyle w:val="CETReferencetext"/>
      </w:pPr>
      <w:r w:rsidRPr="00061101">
        <w:t>Shafiei Moghaddam P., Jahangiri K., Sohrabizadeh S., Hassani N., Hoseini Moghaddam M.,</w:t>
      </w:r>
      <w:r w:rsidR="00061101" w:rsidRPr="00061101">
        <w:t xml:space="preserve"> </w:t>
      </w:r>
      <w:r w:rsidRPr="00061101">
        <w:t>Tehrani G.M.</w:t>
      </w:r>
      <w:r w:rsidR="00061101" w:rsidRPr="00061101">
        <w:t>,</w:t>
      </w:r>
      <w:r w:rsidRPr="00061101">
        <w:t xml:space="preserve"> 2023</w:t>
      </w:r>
      <w:r w:rsidR="00061101" w:rsidRPr="00061101">
        <w:t>,</w:t>
      </w:r>
      <w:r w:rsidRPr="00061101">
        <w:t xml:space="preserve"> Foresight of the Consequences of the Hazmat Release From an Oil Refinery on the Surrounding Urban Community Following an Earthquake: A Natech Scenario Analysis</w:t>
      </w:r>
      <w:r w:rsidR="00061101" w:rsidRPr="00061101">
        <w:t>,</w:t>
      </w:r>
      <w:r w:rsidRPr="00061101">
        <w:t xml:space="preserve"> Disaster Medicine and Public Health Preparedness, 17, e79. </w:t>
      </w:r>
    </w:p>
    <w:p w14:paraId="10791DF8" w14:textId="38E116E9" w:rsidR="00F05112" w:rsidRDefault="00F05112" w:rsidP="0025114A">
      <w:pPr>
        <w:pStyle w:val="CETReferencetext"/>
      </w:pPr>
      <w:r w:rsidRPr="00061101">
        <w:t>Su D., Ben W., Strobel B.W., Qiang Z.</w:t>
      </w:r>
      <w:r w:rsidR="00061101" w:rsidRPr="00061101">
        <w:t>,</w:t>
      </w:r>
      <w:r w:rsidR="0072285A">
        <w:t xml:space="preserve"> </w:t>
      </w:r>
      <w:r w:rsidRPr="00061101">
        <w:t>2021</w:t>
      </w:r>
      <w:r w:rsidR="00061101" w:rsidRPr="00061101">
        <w:t xml:space="preserve">, </w:t>
      </w:r>
      <w:r w:rsidRPr="00061101">
        <w:t xml:space="preserve"> Impacts of wastewater treatment plant upgrades on the distribution and risks of pharmaceuticals in receiving rivers</w:t>
      </w:r>
      <w:r w:rsidR="00061101" w:rsidRPr="00061101">
        <w:t>,</w:t>
      </w:r>
      <w:r w:rsidRPr="00061101">
        <w:t xml:space="preserve"> Journal of Hazardous Materials,</w:t>
      </w:r>
      <w:r w:rsidR="00061101" w:rsidRPr="00061101">
        <w:t xml:space="preserve"> </w:t>
      </w:r>
      <w:r w:rsidRPr="00061101">
        <w:t>406,</w:t>
      </w:r>
      <w:r w:rsidR="009E5DC7">
        <w:t xml:space="preserve"> </w:t>
      </w:r>
      <w:r w:rsidRPr="00061101">
        <w:t xml:space="preserve">124331. </w:t>
      </w:r>
    </w:p>
    <w:p w14:paraId="003FFA40" w14:textId="67B0087C" w:rsidR="00706B4A" w:rsidRDefault="00706B4A" w:rsidP="0025114A">
      <w:pPr>
        <w:pStyle w:val="CETReferencetext"/>
      </w:pPr>
      <w:r w:rsidRPr="00706B4A">
        <w:t>Uddin Md.G., Nash S.,</w:t>
      </w:r>
      <w:r>
        <w:t xml:space="preserve"> </w:t>
      </w:r>
      <w:r w:rsidRPr="00706B4A">
        <w:t>Olbert A.I.</w:t>
      </w:r>
      <w:r>
        <w:t xml:space="preserve">, </w:t>
      </w:r>
      <w:r w:rsidRPr="00706B4A">
        <w:t>2021</w:t>
      </w:r>
      <w:r>
        <w:t>,</w:t>
      </w:r>
      <w:r w:rsidRPr="00706B4A">
        <w:t xml:space="preserve"> A review of water quality index models and their use for assessing surface water quality</w:t>
      </w:r>
      <w:r>
        <w:t>,</w:t>
      </w:r>
      <w:r w:rsidRPr="00706B4A">
        <w:t xml:space="preserve"> Ecological Indicators, 122, 107218</w:t>
      </w:r>
      <w:r>
        <w:t>.</w:t>
      </w:r>
    </w:p>
    <w:p w14:paraId="35EDCB58" w14:textId="2947BD2A" w:rsidR="0025114A" w:rsidRDefault="0025114A" w:rsidP="0025114A">
      <w:pPr>
        <w:pStyle w:val="CETReferencetext"/>
      </w:pPr>
      <w:r w:rsidRPr="00D50FA2">
        <w:t>Vigiak O., Udías A., Grizzetti B., Zanni M., Aloe A., Weiss F., Hristov J., Bisselink B., de Roo A., Pistocchi A.</w:t>
      </w:r>
      <w:r w:rsidR="00513485">
        <w:t xml:space="preserve">, </w:t>
      </w:r>
      <w:r w:rsidRPr="00D50FA2">
        <w:t>2023</w:t>
      </w:r>
      <w:r w:rsidR="00513485">
        <w:t>,</w:t>
      </w:r>
      <w:r w:rsidRPr="00D50FA2">
        <w:t xml:space="preserve"> Recent regional changes in nutrient fluxes of European surface waters</w:t>
      </w:r>
      <w:r w:rsidR="00E73E35">
        <w:t xml:space="preserve">, </w:t>
      </w:r>
      <w:r w:rsidRPr="00D50FA2">
        <w:t xml:space="preserve">Science of The Total Environment, 858, 160063. </w:t>
      </w:r>
    </w:p>
    <w:p w14:paraId="2380BE6B" w14:textId="66F0FAAD" w:rsidR="006D5598" w:rsidRPr="00983732" w:rsidRDefault="003C043B" w:rsidP="00983732">
      <w:pPr>
        <w:pStyle w:val="CETReferencetext"/>
        <w:rPr>
          <w:rFonts w:ascii="Times New Roman" w:hAnsi="Times New Roman"/>
          <w:sz w:val="20"/>
        </w:rPr>
      </w:pPr>
      <w:r w:rsidRPr="003C043B">
        <w:t>Yang S., Büttner O., Kumar R., Jäger C., Jawitz J.W., Rao P.S.C., Borchardt D</w:t>
      </w:r>
      <w:r w:rsidR="00E73E35">
        <w:t>.</w:t>
      </w:r>
      <w:r>
        <w:t xml:space="preserve">, </w:t>
      </w:r>
      <w:r w:rsidRPr="003C043B">
        <w:t>201</w:t>
      </w:r>
      <w:r>
        <w:t>9,</w:t>
      </w:r>
      <w:r w:rsidRPr="003C043B">
        <w:t xml:space="preserve"> Spatial patterns of water quality impairments from point source nutrient loads in Germany’s largest national River Basin (Weser River)</w:t>
      </w:r>
      <w:r>
        <w:t>,</w:t>
      </w:r>
      <w:r w:rsidRPr="003C043B">
        <w:t xml:space="preserve"> Science of The Total Environment, 697,134145. </w:t>
      </w:r>
    </w:p>
    <w:sectPr w:rsidR="006D5598" w:rsidRPr="00983732" w:rsidSect="00445B9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9D175" w14:textId="77777777" w:rsidR="00C837DF" w:rsidRDefault="00C837DF" w:rsidP="004F5E36">
      <w:r>
        <w:separator/>
      </w:r>
    </w:p>
  </w:endnote>
  <w:endnote w:type="continuationSeparator" w:id="0">
    <w:p w14:paraId="35A68C2E" w14:textId="77777777" w:rsidR="00C837DF" w:rsidRDefault="00C837DF" w:rsidP="004F5E36">
      <w:r>
        <w:continuationSeparator/>
      </w:r>
    </w:p>
  </w:endnote>
  <w:endnote w:type="continuationNotice" w:id="1">
    <w:p w14:paraId="65FB836A" w14:textId="77777777" w:rsidR="00C837DF" w:rsidRDefault="00C837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7544" w14:textId="77777777" w:rsidR="00C837DF" w:rsidRDefault="00C837DF" w:rsidP="004F5E36">
      <w:r>
        <w:separator/>
      </w:r>
    </w:p>
  </w:footnote>
  <w:footnote w:type="continuationSeparator" w:id="0">
    <w:p w14:paraId="69E4EE1B" w14:textId="77777777" w:rsidR="00C837DF" w:rsidRDefault="00C837DF" w:rsidP="004F5E36">
      <w:r>
        <w:continuationSeparator/>
      </w:r>
    </w:p>
  </w:footnote>
  <w:footnote w:type="continuationNotice" w:id="1">
    <w:p w14:paraId="3008DAF5" w14:textId="77777777" w:rsidR="00C837DF" w:rsidRDefault="00C837D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9A1147B"/>
    <w:multiLevelType w:val="hybridMultilevel"/>
    <w:tmpl w:val="6B5C0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EC4F16"/>
    <w:multiLevelType w:val="hybridMultilevel"/>
    <w:tmpl w:val="9C480BDE"/>
    <w:lvl w:ilvl="0" w:tplc="0C3A6860">
      <w:start w:val="1"/>
      <w:numFmt w:val="decimal"/>
      <w:lvlText w:val="%1."/>
      <w:lvlJc w:val="left"/>
      <w:pPr>
        <w:ind w:left="720" w:hanging="360"/>
      </w:pPr>
      <w:rPr>
        <w:rFonts w:hint="default"/>
        <w:b w:val="0"/>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0305860">
    <w:abstractNumId w:val="11"/>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1573659240">
    <w:abstractNumId w:val="12"/>
  </w:num>
  <w:num w:numId="13" w16cid:durableId="2092192635">
    <w:abstractNumId w:val="13"/>
  </w:num>
  <w:num w:numId="14" w16cid:durableId="1115637783">
    <w:abstractNumId w:val="14"/>
  </w:num>
  <w:num w:numId="15" w16cid:durableId="2000117120">
    <w:abstractNumId w:val="10"/>
  </w:num>
  <w:num w:numId="16" w16cid:durableId="82379791">
    <w:abstractNumId w:val="15"/>
  </w:num>
  <w:num w:numId="17" w16cid:durableId="191300264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Ma0FAMRZWectAAAA"/>
  </w:docVars>
  <w:rsids>
    <w:rsidRoot w:val="000E414A"/>
    <w:rsid w:val="0000001B"/>
    <w:rsid w:val="000027C0"/>
    <w:rsid w:val="00003273"/>
    <w:rsid w:val="00004DD8"/>
    <w:rsid w:val="000052FB"/>
    <w:rsid w:val="0001154F"/>
    <w:rsid w:val="000117CB"/>
    <w:rsid w:val="000144E7"/>
    <w:rsid w:val="00015007"/>
    <w:rsid w:val="00017176"/>
    <w:rsid w:val="00017E26"/>
    <w:rsid w:val="00022047"/>
    <w:rsid w:val="000222D6"/>
    <w:rsid w:val="00023CAA"/>
    <w:rsid w:val="0002481B"/>
    <w:rsid w:val="00026840"/>
    <w:rsid w:val="000269D6"/>
    <w:rsid w:val="0003148D"/>
    <w:rsid w:val="00031EEC"/>
    <w:rsid w:val="00032706"/>
    <w:rsid w:val="00033BFF"/>
    <w:rsid w:val="00035317"/>
    <w:rsid w:val="0004180C"/>
    <w:rsid w:val="00042E92"/>
    <w:rsid w:val="00045A51"/>
    <w:rsid w:val="00051566"/>
    <w:rsid w:val="00051659"/>
    <w:rsid w:val="00056651"/>
    <w:rsid w:val="00056AB1"/>
    <w:rsid w:val="00057D5A"/>
    <w:rsid w:val="00060088"/>
    <w:rsid w:val="00061101"/>
    <w:rsid w:val="00062A9A"/>
    <w:rsid w:val="00062E0E"/>
    <w:rsid w:val="00065058"/>
    <w:rsid w:val="00066EF1"/>
    <w:rsid w:val="00070472"/>
    <w:rsid w:val="00071058"/>
    <w:rsid w:val="00072585"/>
    <w:rsid w:val="000772F1"/>
    <w:rsid w:val="00082B9E"/>
    <w:rsid w:val="0008476D"/>
    <w:rsid w:val="00085166"/>
    <w:rsid w:val="000854DB"/>
    <w:rsid w:val="00086C39"/>
    <w:rsid w:val="00093B58"/>
    <w:rsid w:val="00094531"/>
    <w:rsid w:val="00096139"/>
    <w:rsid w:val="00097576"/>
    <w:rsid w:val="000A03B2"/>
    <w:rsid w:val="000A042F"/>
    <w:rsid w:val="000A12B0"/>
    <w:rsid w:val="000A235B"/>
    <w:rsid w:val="000A3A9E"/>
    <w:rsid w:val="000A6C5A"/>
    <w:rsid w:val="000A7968"/>
    <w:rsid w:val="000A7A46"/>
    <w:rsid w:val="000B02C1"/>
    <w:rsid w:val="000B7B03"/>
    <w:rsid w:val="000C0908"/>
    <w:rsid w:val="000C09D8"/>
    <w:rsid w:val="000C3021"/>
    <w:rsid w:val="000D0268"/>
    <w:rsid w:val="000D34BE"/>
    <w:rsid w:val="000D360A"/>
    <w:rsid w:val="000D5661"/>
    <w:rsid w:val="000E102F"/>
    <w:rsid w:val="000E19B3"/>
    <w:rsid w:val="000E2EAD"/>
    <w:rsid w:val="000E36F1"/>
    <w:rsid w:val="000E3A73"/>
    <w:rsid w:val="000E414A"/>
    <w:rsid w:val="000E56C9"/>
    <w:rsid w:val="000F093C"/>
    <w:rsid w:val="000F19C1"/>
    <w:rsid w:val="000F25AC"/>
    <w:rsid w:val="000F787B"/>
    <w:rsid w:val="00100359"/>
    <w:rsid w:val="00100F31"/>
    <w:rsid w:val="00105E43"/>
    <w:rsid w:val="00105EB2"/>
    <w:rsid w:val="00106B28"/>
    <w:rsid w:val="001071F7"/>
    <w:rsid w:val="001076C9"/>
    <w:rsid w:val="001100FC"/>
    <w:rsid w:val="001113CD"/>
    <w:rsid w:val="00111652"/>
    <w:rsid w:val="00111DBF"/>
    <w:rsid w:val="00112243"/>
    <w:rsid w:val="001127FE"/>
    <w:rsid w:val="001134A2"/>
    <w:rsid w:val="00117062"/>
    <w:rsid w:val="0012091F"/>
    <w:rsid w:val="001233BC"/>
    <w:rsid w:val="00124BFA"/>
    <w:rsid w:val="00125F66"/>
    <w:rsid w:val="00126BC2"/>
    <w:rsid w:val="001308B6"/>
    <w:rsid w:val="00130ED3"/>
    <w:rsid w:val="0013121F"/>
    <w:rsid w:val="00131FE6"/>
    <w:rsid w:val="0013263F"/>
    <w:rsid w:val="001331DF"/>
    <w:rsid w:val="0013415C"/>
    <w:rsid w:val="00134DE4"/>
    <w:rsid w:val="00136165"/>
    <w:rsid w:val="00137C55"/>
    <w:rsid w:val="00137E10"/>
    <w:rsid w:val="0014034D"/>
    <w:rsid w:val="00144D16"/>
    <w:rsid w:val="0014758C"/>
    <w:rsid w:val="00150AF7"/>
    <w:rsid w:val="00150E59"/>
    <w:rsid w:val="001513A0"/>
    <w:rsid w:val="00151C16"/>
    <w:rsid w:val="00151CD9"/>
    <w:rsid w:val="00152ADA"/>
    <w:rsid w:val="00152AE9"/>
    <w:rsid w:val="00152DE3"/>
    <w:rsid w:val="00153388"/>
    <w:rsid w:val="00153F3A"/>
    <w:rsid w:val="001568AF"/>
    <w:rsid w:val="00157DD1"/>
    <w:rsid w:val="00160668"/>
    <w:rsid w:val="00160A5A"/>
    <w:rsid w:val="00161A15"/>
    <w:rsid w:val="00162521"/>
    <w:rsid w:val="001638CE"/>
    <w:rsid w:val="00164CF9"/>
    <w:rsid w:val="00166648"/>
    <w:rsid w:val="001667A6"/>
    <w:rsid w:val="00171418"/>
    <w:rsid w:val="00171579"/>
    <w:rsid w:val="001722E0"/>
    <w:rsid w:val="00172660"/>
    <w:rsid w:val="00172A43"/>
    <w:rsid w:val="001730E1"/>
    <w:rsid w:val="00173B88"/>
    <w:rsid w:val="001808E2"/>
    <w:rsid w:val="001812F9"/>
    <w:rsid w:val="001844AE"/>
    <w:rsid w:val="00184AD6"/>
    <w:rsid w:val="00185681"/>
    <w:rsid w:val="0018601A"/>
    <w:rsid w:val="00186152"/>
    <w:rsid w:val="001900F5"/>
    <w:rsid w:val="00190228"/>
    <w:rsid w:val="0019133A"/>
    <w:rsid w:val="0019166C"/>
    <w:rsid w:val="001919FA"/>
    <w:rsid w:val="001921EF"/>
    <w:rsid w:val="0019273D"/>
    <w:rsid w:val="001927DA"/>
    <w:rsid w:val="00192E89"/>
    <w:rsid w:val="001957A6"/>
    <w:rsid w:val="001A283E"/>
    <w:rsid w:val="001A4926"/>
    <w:rsid w:val="001A4AF7"/>
    <w:rsid w:val="001A669D"/>
    <w:rsid w:val="001A6C54"/>
    <w:rsid w:val="001A7CBE"/>
    <w:rsid w:val="001A7DFE"/>
    <w:rsid w:val="001B0349"/>
    <w:rsid w:val="001B0B94"/>
    <w:rsid w:val="001B1E93"/>
    <w:rsid w:val="001B42A2"/>
    <w:rsid w:val="001B65C1"/>
    <w:rsid w:val="001B7B80"/>
    <w:rsid w:val="001C1516"/>
    <w:rsid w:val="001C20A6"/>
    <w:rsid w:val="001C2182"/>
    <w:rsid w:val="001C2719"/>
    <w:rsid w:val="001C4543"/>
    <w:rsid w:val="001C4700"/>
    <w:rsid w:val="001C4A27"/>
    <w:rsid w:val="001C4C38"/>
    <w:rsid w:val="001C4F57"/>
    <w:rsid w:val="001C684B"/>
    <w:rsid w:val="001C6A40"/>
    <w:rsid w:val="001C798C"/>
    <w:rsid w:val="001D0CFB"/>
    <w:rsid w:val="001D20BA"/>
    <w:rsid w:val="001D3DA8"/>
    <w:rsid w:val="001D478F"/>
    <w:rsid w:val="001D53FC"/>
    <w:rsid w:val="001D62BE"/>
    <w:rsid w:val="001D67FB"/>
    <w:rsid w:val="001D7D71"/>
    <w:rsid w:val="001F2C60"/>
    <w:rsid w:val="001F3D0D"/>
    <w:rsid w:val="001F42A5"/>
    <w:rsid w:val="001F5471"/>
    <w:rsid w:val="001F6370"/>
    <w:rsid w:val="001F7B9D"/>
    <w:rsid w:val="002006EB"/>
    <w:rsid w:val="00201C93"/>
    <w:rsid w:val="00202FED"/>
    <w:rsid w:val="002035E4"/>
    <w:rsid w:val="00212FAD"/>
    <w:rsid w:val="0021456F"/>
    <w:rsid w:val="002147E8"/>
    <w:rsid w:val="0021524A"/>
    <w:rsid w:val="0021575C"/>
    <w:rsid w:val="00215A8C"/>
    <w:rsid w:val="00215FD6"/>
    <w:rsid w:val="00217D31"/>
    <w:rsid w:val="00220E7D"/>
    <w:rsid w:val="002224B4"/>
    <w:rsid w:val="00225582"/>
    <w:rsid w:val="00230F07"/>
    <w:rsid w:val="00234D53"/>
    <w:rsid w:val="00235D2A"/>
    <w:rsid w:val="00235E52"/>
    <w:rsid w:val="002373B3"/>
    <w:rsid w:val="002413AA"/>
    <w:rsid w:val="00242072"/>
    <w:rsid w:val="002423FA"/>
    <w:rsid w:val="00244248"/>
    <w:rsid w:val="002447EF"/>
    <w:rsid w:val="00246DEE"/>
    <w:rsid w:val="00247F0C"/>
    <w:rsid w:val="0025114A"/>
    <w:rsid w:val="00251550"/>
    <w:rsid w:val="00253699"/>
    <w:rsid w:val="00263B05"/>
    <w:rsid w:val="002653B9"/>
    <w:rsid w:val="00267E3C"/>
    <w:rsid w:val="00267EB7"/>
    <w:rsid w:val="00271C31"/>
    <w:rsid w:val="0027221A"/>
    <w:rsid w:val="002727AC"/>
    <w:rsid w:val="00274171"/>
    <w:rsid w:val="00275B61"/>
    <w:rsid w:val="00280FAF"/>
    <w:rsid w:val="00282627"/>
    <w:rsid w:val="00282656"/>
    <w:rsid w:val="002851F0"/>
    <w:rsid w:val="00285505"/>
    <w:rsid w:val="0029080E"/>
    <w:rsid w:val="002914FB"/>
    <w:rsid w:val="002929C4"/>
    <w:rsid w:val="00294068"/>
    <w:rsid w:val="002968F2"/>
    <w:rsid w:val="00296B83"/>
    <w:rsid w:val="00296DA3"/>
    <w:rsid w:val="0029710E"/>
    <w:rsid w:val="002A3699"/>
    <w:rsid w:val="002A5242"/>
    <w:rsid w:val="002A6A1B"/>
    <w:rsid w:val="002A6EFD"/>
    <w:rsid w:val="002B02D5"/>
    <w:rsid w:val="002B12DE"/>
    <w:rsid w:val="002B1FCC"/>
    <w:rsid w:val="002B3B7E"/>
    <w:rsid w:val="002B4015"/>
    <w:rsid w:val="002B4025"/>
    <w:rsid w:val="002B4F65"/>
    <w:rsid w:val="002B5407"/>
    <w:rsid w:val="002B78CE"/>
    <w:rsid w:val="002C1929"/>
    <w:rsid w:val="002C2FB6"/>
    <w:rsid w:val="002C37ED"/>
    <w:rsid w:val="002C3DF7"/>
    <w:rsid w:val="002C6888"/>
    <w:rsid w:val="002C69C4"/>
    <w:rsid w:val="002C76C2"/>
    <w:rsid w:val="002D22A6"/>
    <w:rsid w:val="002D2C63"/>
    <w:rsid w:val="002D7248"/>
    <w:rsid w:val="002E07AE"/>
    <w:rsid w:val="002E30DC"/>
    <w:rsid w:val="002E56E8"/>
    <w:rsid w:val="002E5FA7"/>
    <w:rsid w:val="002E6BA7"/>
    <w:rsid w:val="002E6DE5"/>
    <w:rsid w:val="002F3309"/>
    <w:rsid w:val="002F60A0"/>
    <w:rsid w:val="002F66F5"/>
    <w:rsid w:val="002F6B73"/>
    <w:rsid w:val="003008CE"/>
    <w:rsid w:val="003009B7"/>
    <w:rsid w:val="00300E3B"/>
    <w:rsid w:val="00300E56"/>
    <w:rsid w:val="0030252F"/>
    <w:rsid w:val="00302C57"/>
    <w:rsid w:val="00303135"/>
    <w:rsid w:val="00304624"/>
    <w:rsid w:val="0030469C"/>
    <w:rsid w:val="00305202"/>
    <w:rsid w:val="00305B22"/>
    <w:rsid w:val="00306215"/>
    <w:rsid w:val="003103C4"/>
    <w:rsid w:val="00310C6B"/>
    <w:rsid w:val="0031144F"/>
    <w:rsid w:val="00313BEE"/>
    <w:rsid w:val="00314991"/>
    <w:rsid w:val="00317516"/>
    <w:rsid w:val="003177C6"/>
    <w:rsid w:val="00321316"/>
    <w:rsid w:val="00321CA6"/>
    <w:rsid w:val="00323763"/>
    <w:rsid w:val="003246DF"/>
    <w:rsid w:val="003258D9"/>
    <w:rsid w:val="0032655A"/>
    <w:rsid w:val="00326E36"/>
    <w:rsid w:val="0032737B"/>
    <w:rsid w:val="00331DD1"/>
    <w:rsid w:val="00334C09"/>
    <w:rsid w:val="00336A5F"/>
    <w:rsid w:val="00336C78"/>
    <w:rsid w:val="003379D2"/>
    <w:rsid w:val="00337B56"/>
    <w:rsid w:val="003406BA"/>
    <w:rsid w:val="00341D23"/>
    <w:rsid w:val="003428B7"/>
    <w:rsid w:val="00344A1A"/>
    <w:rsid w:val="00347DAC"/>
    <w:rsid w:val="00351D5A"/>
    <w:rsid w:val="00356159"/>
    <w:rsid w:val="00356C0C"/>
    <w:rsid w:val="00360741"/>
    <w:rsid w:val="00365238"/>
    <w:rsid w:val="00366388"/>
    <w:rsid w:val="00367D2D"/>
    <w:rsid w:val="003700A7"/>
    <w:rsid w:val="003723D4"/>
    <w:rsid w:val="003743F9"/>
    <w:rsid w:val="00377FCB"/>
    <w:rsid w:val="003812D9"/>
    <w:rsid w:val="00381905"/>
    <w:rsid w:val="00382892"/>
    <w:rsid w:val="00384CC8"/>
    <w:rsid w:val="003871FD"/>
    <w:rsid w:val="003873BF"/>
    <w:rsid w:val="003875BB"/>
    <w:rsid w:val="003908CD"/>
    <w:rsid w:val="00391EC2"/>
    <w:rsid w:val="00394B32"/>
    <w:rsid w:val="0039667C"/>
    <w:rsid w:val="0039748C"/>
    <w:rsid w:val="003A19A1"/>
    <w:rsid w:val="003A1E30"/>
    <w:rsid w:val="003A2829"/>
    <w:rsid w:val="003A3438"/>
    <w:rsid w:val="003A7D1C"/>
    <w:rsid w:val="003B01B3"/>
    <w:rsid w:val="003B1270"/>
    <w:rsid w:val="003B1DD0"/>
    <w:rsid w:val="003B280A"/>
    <w:rsid w:val="003B304B"/>
    <w:rsid w:val="003B3146"/>
    <w:rsid w:val="003B5E03"/>
    <w:rsid w:val="003B61D7"/>
    <w:rsid w:val="003B77B2"/>
    <w:rsid w:val="003C043B"/>
    <w:rsid w:val="003C13FF"/>
    <w:rsid w:val="003C5CB7"/>
    <w:rsid w:val="003C5CD5"/>
    <w:rsid w:val="003C6E6C"/>
    <w:rsid w:val="003D08B7"/>
    <w:rsid w:val="003D0F5D"/>
    <w:rsid w:val="003D1FA1"/>
    <w:rsid w:val="003D4796"/>
    <w:rsid w:val="003D4D8C"/>
    <w:rsid w:val="003D4F18"/>
    <w:rsid w:val="003E04DB"/>
    <w:rsid w:val="003F015E"/>
    <w:rsid w:val="003F2D36"/>
    <w:rsid w:val="003F4037"/>
    <w:rsid w:val="003F41E8"/>
    <w:rsid w:val="003F6E62"/>
    <w:rsid w:val="003F7475"/>
    <w:rsid w:val="00400414"/>
    <w:rsid w:val="0040192B"/>
    <w:rsid w:val="00402D86"/>
    <w:rsid w:val="00406D83"/>
    <w:rsid w:val="00410931"/>
    <w:rsid w:val="00413294"/>
    <w:rsid w:val="0041446B"/>
    <w:rsid w:val="00414BFB"/>
    <w:rsid w:val="00416650"/>
    <w:rsid w:val="0041677E"/>
    <w:rsid w:val="00417A3B"/>
    <w:rsid w:val="00421363"/>
    <w:rsid w:val="004220C6"/>
    <w:rsid w:val="0042228D"/>
    <w:rsid w:val="004227E8"/>
    <w:rsid w:val="00424395"/>
    <w:rsid w:val="00424B04"/>
    <w:rsid w:val="00425F3B"/>
    <w:rsid w:val="00427C6C"/>
    <w:rsid w:val="00434FB3"/>
    <w:rsid w:val="00440948"/>
    <w:rsid w:val="00442719"/>
    <w:rsid w:val="0044329C"/>
    <w:rsid w:val="00445A9E"/>
    <w:rsid w:val="00445B9A"/>
    <w:rsid w:val="00450942"/>
    <w:rsid w:val="004526CB"/>
    <w:rsid w:val="00453E24"/>
    <w:rsid w:val="00454F9F"/>
    <w:rsid w:val="004562E2"/>
    <w:rsid w:val="00457456"/>
    <w:rsid w:val="004577FE"/>
    <w:rsid w:val="00457A2D"/>
    <w:rsid w:val="00457B9C"/>
    <w:rsid w:val="0046017F"/>
    <w:rsid w:val="0046164A"/>
    <w:rsid w:val="00461CF0"/>
    <w:rsid w:val="004628D2"/>
    <w:rsid w:val="00462DCD"/>
    <w:rsid w:val="004636FC"/>
    <w:rsid w:val="0046424A"/>
    <w:rsid w:val="004648AD"/>
    <w:rsid w:val="00466CB5"/>
    <w:rsid w:val="00467511"/>
    <w:rsid w:val="004703A9"/>
    <w:rsid w:val="004720C3"/>
    <w:rsid w:val="004733CD"/>
    <w:rsid w:val="004760DE"/>
    <w:rsid w:val="00476281"/>
    <w:rsid w:val="004763D7"/>
    <w:rsid w:val="0047715E"/>
    <w:rsid w:val="004805B0"/>
    <w:rsid w:val="00482179"/>
    <w:rsid w:val="00484C25"/>
    <w:rsid w:val="00484F8F"/>
    <w:rsid w:val="004866C4"/>
    <w:rsid w:val="004868A0"/>
    <w:rsid w:val="00487138"/>
    <w:rsid w:val="00492FF8"/>
    <w:rsid w:val="004A004E"/>
    <w:rsid w:val="004A24CF"/>
    <w:rsid w:val="004A5A00"/>
    <w:rsid w:val="004A7C0E"/>
    <w:rsid w:val="004B2659"/>
    <w:rsid w:val="004B5143"/>
    <w:rsid w:val="004B6430"/>
    <w:rsid w:val="004C1B2E"/>
    <w:rsid w:val="004C2463"/>
    <w:rsid w:val="004C3D1D"/>
    <w:rsid w:val="004C406F"/>
    <w:rsid w:val="004C51DC"/>
    <w:rsid w:val="004C5B7E"/>
    <w:rsid w:val="004C7913"/>
    <w:rsid w:val="004C7C25"/>
    <w:rsid w:val="004D02A7"/>
    <w:rsid w:val="004D2639"/>
    <w:rsid w:val="004D5448"/>
    <w:rsid w:val="004D5DD0"/>
    <w:rsid w:val="004D6287"/>
    <w:rsid w:val="004E0EC7"/>
    <w:rsid w:val="004E14E7"/>
    <w:rsid w:val="004E1A73"/>
    <w:rsid w:val="004E1C33"/>
    <w:rsid w:val="004E388C"/>
    <w:rsid w:val="004E4AA2"/>
    <w:rsid w:val="004E4DD6"/>
    <w:rsid w:val="004F1074"/>
    <w:rsid w:val="004F390A"/>
    <w:rsid w:val="004F3D94"/>
    <w:rsid w:val="004F5E36"/>
    <w:rsid w:val="004F704B"/>
    <w:rsid w:val="005007BB"/>
    <w:rsid w:val="00500B37"/>
    <w:rsid w:val="00501760"/>
    <w:rsid w:val="00507B47"/>
    <w:rsid w:val="00507BEF"/>
    <w:rsid w:val="00507CC9"/>
    <w:rsid w:val="005119A5"/>
    <w:rsid w:val="00512852"/>
    <w:rsid w:val="00513485"/>
    <w:rsid w:val="005140AF"/>
    <w:rsid w:val="00514790"/>
    <w:rsid w:val="00517D7B"/>
    <w:rsid w:val="00525D7E"/>
    <w:rsid w:val="0052670D"/>
    <w:rsid w:val="005278B7"/>
    <w:rsid w:val="00532016"/>
    <w:rsid w:val="0053257E"/>
    <w:rsid w:val="00533A13"/>
    <w:rsid w:val="00533FE7"/>
    <w:rsid w:val="005346C8"/>
    <w:rsid w:val="005376B3"/>
    <w:rsid w:val="00537FDC"/>
    <w:rsid w:val="00540727"/>
    <w:rsid w:val="00542BD6"/>
    <w:rsid w:val="00543E7D"/>
    <w:rsid w:val="005444FF"/>
    <w:rsid w:val="005457E3"/>
    <w:rsid w:val="00547A68"/>
    <w:rsid w:val="00551B96"/>
    <w:rsid w:val="005531C9"/>
    <w:rsid w:val="00553406"/>
    <w:rsid w:val="00554537"/>
    <w:rsid w:val="00556834"/>
    <w:rsid w:val="00561426"/>
    <w:rsid w:val="00563EA1"/>
    <w:rsid w:val="005702EA"/>
    <w:rsid w:val="00570C43"/>
    <w:rsid w:val="005734FF"/>
    <w:rsid w:val="00573ED5"/>
    <w:rsid w:val="00574DAF"/>
    <w:rsid w:val="005758F9"/>
    <w:rsid w:val="005778DC"/>
    <w:rsid w:val="00581123"/>
    <w:rsid w:val="00585401"/>
    <w:rsid w:val="005858B6"/>
    <w:rsid w:val="005907ED"/>
    <w:rsid w:val="00591C82"/>
    <w:rsid w:val="005924B6"/>
    <w:rsid w:val="0059477B"/>
    <w:rsid w:val="00594B66"/>
    <w:rsid w:val="005951A8"/>
    <w:rsid w:val="0059760C"/>
    <w:rsid w:val="005A175B"/>
    <w:rsid w:val="005B0560"/>
    <w:rsid w:val="005B15D1"/>
    <w:rsid w:val="005B183D"/>
    <w:rsid w:val="005B2110"/>
    <w:rsid w:val="005B25EA"/>
    <w:rsid w:val="005B2866"/>
    <w:rsid w:val="005B2B5C"/>
    <w:rsid w:val="005B61E6"/>
    <w:rsid w:val="005C0C9C"/>
    <w:rsid w:val="005C540F"/>
    <w:rsid w:val="005C6F79"/>
    <w:rsid w:val="005C727C"/>
    <w:rsid w:val="005C77E1"/>
    <w:rsid w:val="005C7FE7"/>
    <w:rsid w:val="005D1DD3"/>
    <w:rsid w:val="005D33FA"/>
    <w:rsid w:val="005D3FD6"/>
    <w:rsid w:val="005D48D5"/>
    <w:rsid w:val="005D6387"/>
    <w:rsid w:val="005D668A"/>
    <w:rsid w:val="005D6A2F"/>
    <w:rsid w:val="005D6E9F"/>
    <w:rsid w:val="005D7252"/>
    <w:rsid w:val="005E0D93"/>
    <w:rsid w:val="005E1082"/>
    <w:rsid w:val="005E1A82"/>
    <w:rsid w:val="005E21A7"/>
    <w:rsid w:val="005E3B49"/>
    <w:rsid w:val="005E5D93"/>
    <w:rsid w:val="005E794C"/>
    <w:rsid w:val="005F0A28"/>
    <w:rsid w:val="005F0E5E"/>
    <w:rsid w:val="005F29B4"/>
    <w:rsid w:val="005F4661"/>
    <w:rsid w:val="005F56C7"/>
    <w:rsid w:val="005F7455"/>
    <w:rsid w:val="005F76CB"/>
    <w:rsid w:val="00600535"/>
    <w:rsid w:val="00600C84"/>
    <w:rsid w:val="00602AB0"/>
    <w:rsid w:val="00604BAA"/>
    <w:rsid w:val="00610CD6"/>
    <w:rsid w:val="00620862"/>
    <w:rsid w:val="00620B1E"/>
    <w:rsid w:val="00620DEE"/>
    <w:rsid w:val="006210D5"/>
    <w:rsid w:val="00621F92"/>
    <w:rsid w:val="0062280A"/>
    <w:rsid w:val="00623830"/>
    <w:rsid w:val="00625639"/>
    <w:rsid w:val="00631B33"/>
    <w:rsid w:val="00633ECE"/>
    <w:rsid w:val="0063474A"/>
    <w:rsid w:val="006415CE"/>
    <w:rsid w:val="0064184D"/>
    <w:rsid w:val="00641CFC"/>
    <w:rsid w:val="006420DE"/>
    <w:rsid w:val="006422CC"/>
    <w:rsid w:val="006424BB"/>
    <w:rsid w:val="006437D8"/>
    <w:rsid w:val="00644267"/>
    <w:rsid w:val="00644E8A"/>
    <w:rsid w:val="006450DE"/>
    <w:rsid w:val="00647842"/>
    <w:rsid w:val="00653920"/>
    <w:rsid w:val="0065491A"/>
    <w:rsid w:val="00655233"/>
    <w:rsid w:val="00655ED3"/>
    <w:rsid w:val="00660E3E"/>
    <w:rsid w:val="00662E74"/>
    <w:rsid w:val="00665323"/>
    <w:rsid w:val="00665CA8"/>
    <w:rsid w:val="00670E5F"/>
    <w:rsid w:val="00671ABC"/>
    <w:rsid w:val="00673AF6"/>
    <w:rsid w:val="006768AE"/>
    <w:rsid w:val="00676EDE"/>
    <w:rsid w:val="00676FF3"/>
    <w:rsid w:val="00680C23"/>
    <w:rsid w:val="00687207"/>
    <w:rsid w:val="006936E9"/>
    <w:rsid w:val="00693766"/>
    <w:rsid w:val="006937A7"/>
    <w:rsid w:val="0069380D"/>
    <w:rsid w:val="00693941"/>
    <w:rsid w:val="00696F03"/>
    <w:rsid w:val="00697A25"/>
    <w:rsid w:val="006A1728"/>
    <w:rsid w:val="006A319F"/>
    <w:rsid w:val="006A3281"/>
    <w:rsid w:val="006A4CC7"/>
    <w:rsid w:val="006A7583"/>
    <w:rsid w:val="006B1296"/>
    <w:rsid w:val="006B36C4"/>
    <w:rsid w:val="006B47BD"/>
    <w:rsid w:val="006B4888"/>
    <w:rsid w:val="006B5FA7"/>
    <w:rsid w:val="006B71D3"/>
    <w:rsid w:val="006B7832"/>
    <w:rsid w:val="006C0AED"/>
    <w:rsid w:val="006C1D14"/>
    <w:rsid w:val="006C2E45"/>
    <w:rsid w:val="006C359C"/>
    <w:rsid w:val="006C534D"/>
    <w:rsid w:val="006C5579"/>
    <w:rsid w:val="006C6795"/>
    <w:rsid w:val="006C6E9B"/>
    <w:rsid w:val="006C7245"/>
    <w:rsid w:val="006D0E5C"/>
    <w:rsid w:val="006D1882"/>
    <w:rsid w:val="006D5598"/>
    <w:rsid w:val="006D6E8B"/>
    <w:rsid w:val="006D78DE"/>
    <w:rsid w:val="006E001C"/>
    <w:rsid w:val="006E005D"/>
    <w:rsid w:val="006E34F9"/>
    <w:rsid w:val="006E4E83"/>
    <w:rsid w:val="006E737D"/>
    <w:rsid w:val="006E7684"/>
    <w:rsid w:val="006F41EF"/>
    <w:rsid w:val="006F4917"/>
    <w:rsid w:val="006F4AA7"/>
    <w:rsid w:val="006F7946"/>
    <w:rsid w:val="007025A0"/>
    <w:rsid w:val="007042C6"/>
    <w:rsid w:val="007046D4"/>
    <w:rsid w:val="00704CBE"/>
    <w:rsid w:val="007055AE"/>
    <w:rsid w:val="00706B4A"/>
    <w:rsid w:val="0071164E"/>
    <w:rsid w:val="00712F5E"/>
    <w:rsid w:val="0071357B"/>
    <w:rsid w:val="00713973"/>
    <w:rsid w:val="00716627"/>
    <w:rsid w:val="00717023"/>
    <w:rsid w:val="00720A24"/>
    <w:rsid w:val="00722022"/>
    <w:rsid w:val="0072285A"/>
    <w:rsid w:val="0072523E"/>
    <w:rsid w:val="007252D3"/>
    <w:rsid w:val="00726DF0"/>
    <w:rsid w:val="00730074"/>
    <w:rsid w:val="00730ED6"/>
    <w:rsid w:val="00732386"/>
    <w:rsid w:val="0073514D"/>
    <w:rsid w:val="007365FC"/>
    <w:rsid w:val="00737607"/>
    <w:rsid w:val="00737F93"/>
    <w:rsid w:val="007447F3"/>
    <w:rsid w:val="007452F7"/>
    <w:rsid w:val="0074615B"/>
    <w:rsid w:val="00751DA3"/>
    <w:rsid w:val="00751F3C"/>
    <w:rsid w:val="0075266E"/>
    <w:rsid w:val="0075499F"/>
    <w:rsid w:val="00754B7D"/>
    <w:rsid w:val="00761757"/>
    <w:rsid w:val="0076610C"/>
    <w:rsid w:val="007661C8"/>
    <w:rsid w:val="0077098D"/>
    <w:rsid w:val="00772B3D"/>
    <w:rsid w:val="00773972"/>
    <w:rsid w:val="007750F9"/>
    <w:rsid w:val="00785514"/>
    <w:rsid w:val="00785CE3"/>
    <w:rsid w:val="00786211"/>
    <w:rsid w:val="00787FA4"/>
    <w:rsid w:val="00790542"/>
    <w:rsid w:val="00791CAC"/>
    <w:rsid w:val="0079255A"/>
    <w:rsid w:val="007931FA"/>
    <w:rsid w:val="00795AC2"/>
    <w:rsid w:val="007A4861"/>
    <w:rsid w:val="007A67C9"/>
    <w:rsid w:val="007A7A24"/>
    <w:rsid w:val="007A7BBA"/>
    <w:rsid w:val="007A7FC5"/>
    <w:rsid w:val="007B0C50"/>
    <w:rsid w:val="007B0F86"/>
    <w:rsid w:val="007B1656"/>
    <w:rsid w:val="007B236A"/>
    <w:rsid w:val="007B3DE8"/>
    <w:rsid w:val="007B48F9"/>
    <w:rsid w:val="007B5A5C"/>
    <w:rsid w:val="007B5E93"/>
    <w:rsid w:val="007B66BC"/>
    <w:rsid w:val="007B6915"/>
    <w:rsid w:val="007B6CB1"/>
    <w:rsid w:val="007B7E46"/>
    <w:rsid w:val="007C1A43"/>
    <w:rsid w:val="007C2DC3"/>
    <w:rsid w:val="007C4CB0"/>
    <w:rsid w:val="007C55EF"/>
    <w:rsid w:val="007C5BEB"/>
    <w:rsid w:val="007C63E7"/>
    <w:rsid w:val="007C6EF8"/>
    <w:rsid w:val="007C6F8C"/>
    <w:rsid w:val="007D380E"/>
    <w:rsid w:val="007D3EBB"/>
    <w:rsid w:val="007D542E"/>
    <w:rsid w:val="007D7B8B"/>
    <w:rsid w:val="007E2DB9"/>
    <w:rsid w:val="007E39BD"/>
    <w:rsid w:val="007E596B"/>
    <w:rsid w:val="007E60FC"/>
    <w:rsid w:val="007E68AF"/>
    <w:rsid w:val="007F184F"/>
    <w:rsid w:val="007F3426"/>
    <w:rsid w:val="007F3876"/>
    <w:rsid w:val="007F3AD8"/>
    <w:rsid w:val="007F4C96"/>
    <w:rsid w:val="007F6666"/>
    <w:rsid w:val="0080013E"/>
    <w:rsid w:val="008037AC"/>
    <w:rsid w:val="00805372"/>
    <w:rsid w:val="0081042E"/>
    <w:rsid w:val="008107A3"/>
    <w:rsid w:val="008123CC"/>
    <w:rsid w:val="00813288"/>
    <w:rsid w:val="008135B6"/>
    <w:rsid w:val="008149C5"/>
    <w:rsid w:val="008168FC"/>
    <w:rsid w:val="008175FB"/>
    <w:rsid w:val="008206CD"/>
    <w:rsid w:val="00820D34"/>
    <w:rsid w:val="00821810"/>
    <w:rsid w:val="00823CD0"/>
    <w:rsid w:val="00825DD9"/>
    <w:rsid w:val="00826103"/>
    <w:rsid w:val="00826220"/>
    <w:rsid w:val="008277EE"/>
    <w:rsid w:val="00830432"/>
    <w:rsid w:val="008306F1"/>
    <w:rsid w:val="00830996"/>
    <w:rsid w:val="00830D8D"/>
    <w:rsid w:val="008345F1"/>
    <w:rsid w:val="008376C4"/>
    <w:rsid w:val="00837850"/>
    <w:rsid w:val="00837FEC"/>
    <w:rsid w:val="00840C7C"/>
    <w:rsid w:val="00840F5C"/>
    <w:rsid w:val="008464BA"/>
    <w:rsid w:val="00846B72"/>
    <w:rsid w:val="0085437A"/>
    <w:rsid w:val="0085583E"/>
    <w:rsid w:val="00856011"/>
    <w:rsid w:val="008563BC"/>
    <w:rsid w:val="00857B81"/>
    <w:rsid w:val="008620C2"/>
    <w:rsid w:val="00863E7D"/>
    <w:rsid w:val="00864AD8"/>
    <w:rsid w:val="00864DC8"/>
    <w:rsid w:val="008654FD"/>
    <w:rsid w:val="00865B07"/>
    <w:rsid w:val="008660B8"/>
    <w:rsid w:val="008663EC"/>
    <w:rsid w:val="008667EA"/>
    <w:rsid w:val="00874522"/>
    <w:rsid w:val="00874B5C"/>
    <w:rsid w:val="008760E7"/>
    <w:rsid w:val="0087637F"/>
    <w:rsid w:val="0087664F"/>
    <w:rsid w:val="0087718F"/>
    <w:rsid w:val="0088353E"/>
    <w:rsid w:val="00884824"/>
    <w:rsid w:val="00886B9B"/>
    <w:rsid w:val="00886D7A"/>
    <w:rsid w:val="008906D2"/>
    <w:rsid w:val="0089156E"/>
    <w:rsid w:val="00892AD5"/>
    <w:rsid w:val="00897E51"/>
    <w:rsid w:val="008A015D"/>
    <w:rsid w:val="008A1128"/>
    <w:rsid w:val="008A1512"/>
    <w:rsid w:val="008A3B79"/>
    <w:rsid w:val="008B65A4"/>
    <w:rsid w:val="008C1F6A"/>
    <w:rsid w:val="008C2A2B"/>
    <w:rsid w:val="008C41D5"/>
    <w:rsid w:val="008C58F1"/>
    <w:rsid w:val="008D03D7"/>
    <w:rsid w:val="008D1B0E"/>
    <w:rsid w:val="008D2698"/>
    <w:rsid w:val="008D32B9"/>
    <w:rsid w:val="008D3502"/>
    <w:rsid w:val="008D3C74"/>
    <w:rsid w:val="008D3C8A"/>
    <w:rsid w:val="008D433B"/>
    <w:rsid w:val="008D4C91"/>
    <w:rsid w:val="008D4CD6"/>
    <w:rsid w:val="008D56D3"/>
    <w:rsid w:val="008D676E"/>
    <w:rsid w:val="008D6F9D"/>
    <w:rsid w:val="008D7300"/>
    <w:rsid w:val="008E2188"/>
    <w:rsid w:val="008E2B6A"/>
    <w:rsid w:val="008E566E"/>
    <w:rsid w:val="008F34A6"/>
    <w:rsid w:val="008F432B"/>
    <w:rsid w:val="008F473F"/>
    <w:rsid w:val="00900F4F"/>
    <w:rsid w:val="0090161A"/>
    <w:rsid w:val="00901A26"/>
    <w:rsid w:val="00901EB6"/>
    <w:rsid w:val="00902CAC"/>
    <w:rsid w:val="00904C62"/>
    <w:rsid w:val="0090623A"/>
    <w:rsid w:val="00910844"/>
    <w:rsid w:val="009136ED"/>
    <w:rsid w:val="00913D40"/>
    <w:rsid w:val="009145AD"/>
    <w:rsid w:val="009146DA"/>
    <w:rsid w:val="00915077"/>
    <w:rsid w:val="0091509B"/>
    <w:rsid w:val="009161A8"/>
    <w:rsid w:val="009168D2"/>
    <w:rsid w:val="00922BA8"/>
    <w:rsid w:val="0092441A"/>
    <w:rsid w:val="00924D67"/>
    <w:rsid w:val="00924DAC"/>
    <w:rsid w:val="00925972"/>
    <w:rsid w:val="00925F66"/>
    <w:rsid w:val="00927058"/>
    <w:rsid w:val="00927CC9"/>
    <w:rsid w:val="00931D1B"/>
    <w:rsid w:val="00934504"/>
    <w:rsid w:val="00934808"/>
    <w:rsid w:val="009349E2"/>
    <w:rsid w:val="00935392"/>
    <w:rsid w:val="00937E04"/>
    <w:rsid w:val="00942750"/>
    <w:rsid w:val="00943244"/>
    <w:rsid w:val="009450CE"/>
    <w:rsid w:val="00945B35"/>
    <w:rsid w:val="0094603A"/>
    <w:rsid w:val="00947068"/>
    <w:rsid w:val="00947179"/>
    <w:rsid w:val="00947895"/>
    <w:rsid w:val="009510C5"/>
    <w:rsid w:val="009515D4"/>
    <w:rsid w:val="0095164B"/>
    <w:rsid w:val="00951904"/>
    <w:rsid w:val="009538BC"/>
    <w:rsid w:val="00954090"/>
    <w:rsid w:val="009542E3"/>
    <w:rsid w:val="00955832"/>
    <w:rsid w:val="009573E7"/>
    <w:rsid w:val="009576B5"/>
    <w:rsid w:val="00960FC3"/>
    <w:rsid w:val="009611D6"/>
    <w:rsid w:val="0096308C"/>
    <w:rsid w:val="00963E05"/>
    <w:rsid w:val="0096617C"/>
    <w:rsid w:val="00966834"/>
    <w:rsid w:val="00966974"/>
    <w:rsid w:val="00967843"/>
    <w:rsid w:val="00967D54"/>
    <w:rsid w:val="009706C9"/>
    <w:rsid w:val="009707F6"/>
    <w:rsid w:val="00970B87"/>
    <w:rsid w:val="00971028"/>
    <w:rsid w:val="00971545"/>
    <w:rsid w:val="00972967"/>
    <w:rsid w:val="00974C78"/>
    <w:rsid w:val="009768D6"/>
    <w:rsid w:val="00976B85"/>
    <w:rsid w:val="00980A9E"/>
    <w:rsid w:val="00983732"/>
    <w:rsid w:val="00984FBB"/>
    <w:rsid w:val="0098503F"/>
    <w:rsid w:val="0098717E"/>
    <w:rsid w:val="00990EF4"/>
    <w:rsid w:val="009934B9"/>
    <w:rsid w:val="00993B84"/>
    <w:rsid w:val="00994385"/>
    <w:rsid w:val="00994EC1"/>
    <w:rsid w:val="00996483"/>
    <w:rsid w:val="00996F5A"/>
    <w:rsid w:val="009A10E8"/>
    <w:rsid w:val="009A6309"/>
    <w:rsid w:val="009A758A"/>
    <w:rsid w:val="009B041A"/>
    <w:rsid w:val="009B39EE"/>
    <w:rsid w:val="009B619A"/>
    <w:rsid w:val="009B74DC"/>
    <w:rsid w:val="009C1EC2"/>
    <w:rsid w:val="009C2EFC"/>
    <w:rsid w:val="009C37C3"/>
    <w:rsid w:val="009C3F1D"/>
    <w:rsid w:val="009C5EFB"/>
    <w:rsid w:val="009C69B6"/>
    <w:rsid w:val="009C6CF4"/>
    <w:rsid w:val="009C76B2"/>
    <w:rsid w:val="009C7C86"/>
    <w:rsid w:val="009D0EEA"/>
    <w:rsid w:val="009D101D"/>
    <w:rsid w:val="009D21D2"/>
    <w:rsid w:val="009D2FF7"/>
    <w:rsid w:val="009D31BB"/>
    <w:rsid w:val="009D35A0"/>
    <w:rsid w:val="009D50A9"/>
    <w:rsid w:val="009D6136"/>
    <w:rsid w:val="009D6D9B"/>
    <w:rsid w:val="009E2132"/>
    <w:rsid w:val="009E2223"/>
    <w:rsid w:val="009E31AC"/>
    <w:rsid w:val="009E326B"/>
    <w:rsid w:val="009E3C69"/>
    <w:rsid w:val="009E41FC"/>
    <w:rsid w:val="009E45FF"/>
    <w:rsid w:val="009E4D1F"/>
    <w:rsid w:val="009E5DC7"/>
    <w:rsid w:val="009E7884"/>
    <w:rsid w:val="009E788A"/>
    <w:rsid w:val="009E7B07"/>
    <w:rsid w:val="009F0E08"/>
    <w:rsid w:val="009F15B9"/>
    <w:rsid w:val="009F1CCD"/>
    <w:rsid w:val="009F2B2B"/>
    <w:rsid w:val="009F503A"/>
    <w:rsid w:val="009F7913"/>
    <w:rsid w:val="00A00423"/>
    <w:rsid w:val="00A01142"/>
    <w:rsid w:val="00A05727"/>
    <w:rsid w:val="00A074F9"/>
    <w:rsid w:val="00A10F2A"/>
    <w:rsid w:val="00A123A6"/>
    <w:rsid w:val="00A12758"/>
    <w:rsid w:val="00A12BC5"/>
    <w:rsid w:val="00A13085"/>
    <w:rsid w:val="00A1763D"/>
    <w:rsid w:val="00A176DB"/>
    <w:rsid w:val="00A17CEC"/>
    <w:rsid w:val="00A2073D"/>
    <w:rsid w:val="00A20A55"/>
    <w:rsid w:val="00A20D94"/>
    <w:rsid w:val="00A20E6E"/>
    <w:rsid w:val="00A2489F"/>
    <w:rsid w:val="00A24C90"/>
    <w:rsid w:val="00A25F2A"/>
    <w:rsid w:val="00A27173"/>
    <w:rsid w:val="00A27375"/>
    <w:rsid w:val="00A27702"/>
    <w:rsid w:val="00A278DC"/>
    <w:rsid w:val="00A27EF0"/>
    <w:rsid w:val="00A321DB"/>
    <w:rsid w:val="00A422E7"/>
    <w:rsid w:val="00A42361"/>
    <w:rsid w:val="00A42420"/>
    <w:rsid w:val="00A44B04"/>
    <w:rsid w:val="00A44FE4"/>
    <w:rsid w:val="00A47E68"/>
    <w:rsid w:val="00A50609"/>
    <w:rsid w:val="00A50B20"/>
    <w:rsid w:val="00A50D83"/>
    <w:rsid w:val="00A5118E"/>
    <w:rsid w:val="00A51390"/>
    <w:rsid w:val="00A52493"/>
    <w:rsid w:val="00A54094"/>
    <w:rsid w:val="00A5633D"/>
    <w:rsid w:val="00A6082E"/>
    <w:rsid w:val="00A60893"/>
    <w:rsid w:val="00A60D13"/>
    <w:rsid w:val="00A61D5D"/>
    <w:rsid w:val="00A6259F"/>
    <w:rsid w:val="00A64D05"/>
    <w:rsid w:val="00A713F1"/>
    <w:rsid w:val="00A71A5B"/>
    <w:rsid w:val="00A72745"/>
    <w:rsid w:val="00A74251"/>
    <w:rsid w:val="00A75C77"/>
    <w:rsid w:val="00A76EFC"/>
    <w:rsid w:val="00A77552"/>
    <w:rsid w:val="00A81D23"/>
    <w:rsid w:val="00A8296F"/>
    <w:rsid w:val="00A83791"/>
    <w:rsid w:val="00A83AB2"/>
    <w:rsid w:val="00A84F29"/>
    <w:rsid w:val="00A852A2"/>
    <w:rsid w:val="00A87286"/>
    <w:rsid w:val="00A91010"/>
    <w:rsid w:val="00A95407"/>
    <w:rsid w:val="00A96DAA"/>
    <w:rsid w:val="00A97F29"/>
    <w:rsid w:val="00AA11CE"/>
    <w:rsid w:val="00AA201C"/>
    <w:rsid w:val="00AA2667"/>
    <w:rsid w:val="00AA5BD7"/>
    <w:rsid w:val="00AA5DD8"/>
    <w:rsid w:val="00AA6369"/>
    <w:rsid w:val="00AA69A4"/>
    <w:rsid w:val="00AA702E"/>
    <w:rsid w:val="00AA72B1"/>
    <w:rsid w:val="00AB0964"/>
    <w:rsid w:val="00AB1313"/>
    <w:rsid w:val="00AB1EB2"/>
    <w:rsid w:val="00AB2660"/>
    <w:rsid w:val="00AB3A3A"/>
    <w:rsid w:val="00AB3C22"/>
    <w:rsid w:val="00AB3EF5"/>
    <w:rsid w:val="00AB42A3"/>
    <w:rsid w:val="00AB5011"/>
    <w:rsid w:val="00AC0D0D"/>
    <w:rsid w:val="00AC1F7E"/>
    <w:rsid w:val="00AC46AC"/>
    <w:rsid w:val="00AC4AA3"/>
    <w:rsid w:val="00AC4BA0"/>
    <w:rsid w:val="00AC542D"/>
    <w:rsid w:val="00AC7152"/>
    <w:rsid w:val="00AC7368"/>
    <w:rsid w:val="00AD1136"/>
    <w:rsid w:val="00AD16B9"/>
    <w:rsid w:val="00AD20C5"/>
    <w:rsid w:val="00AD2166"/>
    <w:rsid w:val="00AD2357"/>
    <w:rsid w:val="00AD2E77"/>
    <w:rsid w:val="00AD70D3"/>
    <w:rsid w:val="00AD7C70"/>
    <w:rsid w:val="00AE19D5"/>
    <w:rsid w:val="00AE32B3"/>
    <w:rsid w:val="00AE377D"/>
    <w:rsid w:val="00AE589C"/>
    <w:rsid w:val="00AF0007"/>
    <w:rsid w:val="00AF04B7"/>
    <w:rsid w:val="00AF0EBA"/>
    <w:rsid w:val="00AF1A71"/>
    <w:rsid w:val="00AF2487"/>
    <w:rsid w:val="00B01D22"/>
    <w:rsid w:val="00B0238B"/>
    <w:rsid w:val="00B02C8A"/>
    <w:rsid w:val="00B100F8"/>
    <w:rsid w:val="00B10CBF"/>
    <w:rsid w:val="00B10D2C"/>
    <w:rsid w:val="00B11C0A"/>
    <w:rsid w:val="00B13E9B"/>
    <w:rsid w:val="00B1418B"/>
    <w:rsid w:val="00B14236"/>
    <w:rsid w:val="00B163B4"/>
    <w:rsid w:val="00B16A61"/>
    <w:rsid w:val="00B17FBD"/>
    <w:rsid w:val="00B23DE2"/>
    <w:rsid w:val="00B249AA"/>
    <w:rsid w:val="00B27078"/>
    <w:rsid w:val="00B279A9"/>
    <w:rsid w:val="00B30D74"/>
    <w:rsid w:val="00B315A6"/>
    <w:rsid w:val="00B31813"/>
    <w:rsid w:val="00B33365"/>
    <w:rsid w:val="00B346CD"/>
    <w:rsid w:val="00B35540"/>
    <w:rsid w:val="00B36CB9"/>
    <w:rsid w:val="00B44136"/>
    <w:rsid w:val="00B46063"/>
    <w:rsid w:val="00B46953"/>
    <w:rsid w:val="00B50008"/>
    <w:rsid w:val="00B508D6"/>
    <w:rsid w:val="00B55371"/>
    <w:rsid w:val="00B5540E"/>
    <w:rsid w:val="00B55F3C"/>
    <w:rsid w:val="00B57B36"/>
    <w:rsid w:val="00B57E6F"/>
    <w:rsid w:val="00B57FAD"/>
    <w:rsid w:val="00B62212"/>
    <w:rsid w:val="00B636C3"/>
    <w:rsid w:val="00B64E03"/>
    <w:rsid w:val="00B66197"/>
    <w:rsid w:val="00B67287"/>
    <w:rsid w:val="00B70888"/>
    <w:rsid w:val="00B72360"/>
    <w:rsid w:val="00B725CB"/>
    <w:rsid w:val="00B730B8"/>
    <w:rsid w:val="00B73D35"/>
    <w:rsid w:val="00B74020"/>
    <w:rsid w:val="00B74CAB"/>
    <w:rsid w:val="00B7512B"/>
    <w:rsid w:val="00B762F6"/>
    <w:rsid w:val="00B768CC"/>
    <w:rsid w:val="00B76CC9"/>
    <w:rsid w:val="00B837D0"/>
    <w:rsid w:val="00B84803"/>
    <w:rsid w:val="00B86635"/>
    <w:rsid w:val="00B8686D"/>
    <w:rsid w:val="00B90144"/>
    <w:rsid w:val="00B913EC"/>
    <w:rsid w:val="00B932AA"/>
    <w:rsid w:val="00B93494"/>
    <w:rsid w:val="00B93F69"/>
    <w:rsid w:val="00BA0CBF"/>
    <w:rsid w:val="00BA1AF6"/>
    <w:rsid w:val="00BA28E2"/>
    <w:rsid w:val="00BA29D7"/>
    <w:rsid w:val="00BA4240"/>
    <w:rsid w:val="00BA6660"/>
    <w:rsid w:val="00BA715C"/>
    <w:rsid w:val="00BB1DDC"/>
    <w:rsid w:val="00BB3D92"/>
    <w:rsid w:val="00BB576D"/>
    <w:rsid w:val="00BB60C7"/>
    <w:rsid w:val="00BB7388"/>
    <w:rsid w:val="00BC02D9"/>
    <w:rsid w:val="00BC30C9"/>
    <w:rsid w:val="00BC3DBC"/>
    <w:rsid w:val="00BC5844"/>
    <w:rsid w:val="00BD077D"/>
    <w:rsid w:val="00BD22A0"/>
    <w:rsid w:val="00BD30A6"/>
    <w:rsid w:val="00BD32C6"/>
    <w:rsid w:val="00BD5A76"/>
    <w:rsid w:val="00BD6D1D"/>
    <w:rsid w:val="00BD7836"/>
    <w:rsid w:val="00BE00D2"/>
    <w:rsid w:val="00BE07CC"/>
    <w:rsid w:val="00BE220F"/>
    <w:rsid w:val="00BE2C4E"/>
    <w:rsid w:val="00BE3E58"/>
    <w:rsid w:val="00BE5021"/>
    <w:rsid w:val="00BE61A8"/>
    <w:rsid w:val="00BE6950"/>
    <w:rsid w:val="00BE7A71"/>
    <w:rsid w:val="00BE7F19"/>
    <w:rsid w:val="00BE7F22"/>
    <w:rsid w:val="00BF3A3B"/>
    <w:rsid w:val="00BF3C37"/>
    <w:rsid w:val="00BF4426"/>
    <w:rsid w:val="00BF7ECF"/>
    <w:rsid w:val="00C00618"/>
    <w:rsid w:val="00C01616"/>
    <w:rsid w:val="00C0162B"/>
    <w:rsid w:val="00C02E4F"/>
    <w:rsid w:val="00C033A3"/>
    <w:rsid w:val="00C034BA"/>
    <w:rsid w:val="00C068ED"/>
    <w:rsid w:val="00C10ED7"/>
    <w:rsid w:val="00C15D02"/>
    <w:rsid w:val="00C22E0C"/>
    <w:rsid w:val="00C269C0"/>
    <w:rsid w:val="00C31A64"/>
    <w:rsid w:val="00C345B1"/>
    <w:rsid w:val="00C35C9D"/>
    <w:rsid w:val="00C35FFD"/>
    <w:rsid w:val="00C3614E"/>
    <w:rsid w:val="00C366C6"/>
    <w:rsid w:val="00C40142"/>
    <w:rsid w:val="00C40B10"/>
    <w:rsid w:val="00C42837"/>
    <w:rsid w:val="00C4370F"/>
    <w:rsid w:val="00C44733"/>
    <w:rsid w:val="00C459BB"/>
    <w:rsid w:val="00C47A20"/>
    <w:rsid w:val="00C47F09"/>
    <w:rsid w:val="00C50824"/>
    <w:rsid w:val="00C52125"/>
    <w:rsid w:val="00C52C3C"/>
    <w:rsid w:val="00C53D83"/>
    <w:rsid w:val="00C567AD"/>
    <w:rsid w:val="00C57182"/>
    <w:rsid w:val="00C57539"/>
    <w:rsid w:val="00C57863"/>
    <w:rsid w:val="00C57880"/>
    <w:rsid w:val="00C655FD"/>
    <w:rsid w:val="00C711F1"/>
    <w:rsid w:val="00C74607"/>
    <w:rsid w:val="00C75407"/>
    <w:rsid w:val="00C75C1C"/>
    <w:rsid w:val="00C810BE"/>
    <w:rsid w:val="00C837DF"/>
    <w:rsid w:val="00C84C96"/>
    <w:rsid w:val="00C85BCF"/>
    <w:rsid w:val="00C870A8"/>
    <w:rsid w:val="00C87B2D"/>
    <w:rsid w:val="00C94434"/>
    <w:rsid w:val="00C94E8B"/>
    <w:rsid w:val="00C95A69"/>
    <w:rsid w:val="00C97731"/>
    <w:rsid w:val="00CA0714"/>
    <w:rsid w:val="00CA0D75"/>
    <w:rsid w:val="00CA1C95"/>
    <w:rsid w:val="00CA27E4"/>
    <w:rsid w:val="00CA2B95"/>
    <w:rsid w:val="00CA2B9C"/>
    <w:rsid w:val="00CA3AD2"/>
    <w:rsid w:val="00CA4775"/>
    <w:rsid w:val="00CA4CA1"/>
    <w:rsid w:val="00CA4E38"/>
    <w:rsid w:val="00CA5869"/>
    <w:rsid w:val="00CA5A9C"/>
    <w:rsid w:val="00CA711C"/>
    <w:rsid w:val="00CB23DA"/>
    <w:rsid w:val="00CB260D"/>
    <w:rsid w:val="00CB2759"/>
    <w:rsid w:val="00CB6579"/>
    <w:rsid w:val="00CB7BD1"/>
    <w:rsid w:val="00CC4C20"/>
    <w:rsid w:val="00CC56B1"/>
    <w:rsid w:val="00CC5B38"/>
    <w:rsid w:val="00CD3517"/>
    <w:rsid w:val="00CD3D86"/>
    <w:rsid w:val="00CD4826"/>
    <w:rsid w:val="00CD5FE2"/>
    <w:rsid w:val="00CE40B2"/>
    <w:rsid w:val="00CE7C68"/>
    <w:rsid w:val="00CF0270"/>
    <w:rsid w:val="00CF1479"/>
    <w:rsid w:val="00CF24A8"/>
    <w:rsid w:val="00CF3DA3"/>
    <w:rsid w:val="00CF5662"/>
    <w:rsid w:val="00CF57FA"/>
    <w:rsid w:val="00CF7BEC"/>
    <w:rsid w:val="00D0012F"/>
    <w:rsid w:val="00D02B4C"/>
    <w:rsid w:val="00D040C4"/>
    <w:rsid w:val="00D05AC8"/>
    <w:rsid w:val="00D06055"/>
    <w:rsid w:val="00D11A2B"/>
    <w:rsid w:val="00D12882"/>
    <w:rsid w:val="00D14ADE"/>
    <w:rsid w:val="00D15EB7"/>
    <w:rsid w:val="00D16B33"/>
    <w:rsid w:val="00D16CBC"/>
    <w:rsid w:val="00D23A37"/>
    <w:rsid w:val="00D23B96"/>
    <w:rsid w:val="00D23EA7"/>
    <w:rsid w:val="00D23EF7"/>
    <w:rsid w:val="00D26D7E"/>
    <w:rsid w:val="00D27233"/>
    <w:rsid w:val="00D3393C"/>
    <w:rsid w:val="00D35206"/>
    <w:rsid w:val="00D35B22"/>
    <w:rsid w:val="00D37291"/>
    <w:rsid w:val="00D40142"/>
    <w:rsid w:val="00D42150"/>
    <w:rsid w:val="00D42645"/>
    <w:rsid w:val="00D446C2"/>
    <w:rsid w:val="00D45AB2"/>
    <w:rsid w:val="00D46B7E"/>
    <w:rsid w:val="00D4780C"/>
    <w:rsid w:val="00D47A0B"/>
    <w:rsid w:val="00D47E2C"/>
    <w:rsid w:val="00D50FA2"/>
    <w:rsid w:val="00D51012"/>
    <w:rsid w:val="00D52A5A"/>
    <w:rsid w:val="00D558DD"/>
    <w:rsid w:val="00D56210"/>
    <w:rsid w:val="00D562B1"/>
    <w:rsid w:val="00D57C84"/>
    <w:rsid w:val="00D6057D"/>
    <w:rsid w:val="00D613D0"/>
    <w:rsid w:val="00D6296C"/>
    <w:rsid w:val="00D63C97"/>
    <w:rsid w:val="00D701B8"/>
    <w:rsid w:val="00D704B0"/>
    <w:rsid w:val="00D7273F"/>
    <w:rsid w:val="00D73A5C"/>
    <w:rsid w:val="00D8035B"/>
    <w:rsid w:val="00D80EB9"/>
    <w:rsid w:val="00D810C4"/>
    <w:rsid w:val="00D8255B"/>
    <w:rsid w:val="00D836C5"/>
    <w:rsid w:val="00D8456B"/>
    <w:rsid w:val="00D84576"/>
    <w:rsid w:val="00D868B5"/>
    <w:rsid w:val="00D937D4"/>
    <w:rsid w:val="00D96218"/>
    <w:rsid w:val="00DA1399"/>
    <w:rsid w:val="00DA24C6"/>
    <w:rsid w:val="00DA362E"/>
    <w:rsid w:val="00DA4BE3"/>
    <w:rsid w:val="00DA4D7B"/>
    <w:rsid w:val="00DA7888"/>
    <w:rsid w:val="00DB3DEC"/>
    <w:rsid w:val="00DB4DF0"/>
    <w:rsid w:val="00DB605F"/>
    <w:rsid w:val="00DB67CF"/>
    <w:rsid w:val="00DC0AD7"/>
    <w:rsid w:val="00DC2995"/>
    <w:rsid w:val="00DC324C"/>
    <w:rsid w:val="00DC3EEF"/>
    <w:rsid w:val="00DD32F4"/>
    <w:rsid w:val="00DD5184"/>
    <w:rsid w:val="00DE23D5"/>
    <w:rsid w:val="00DE264A"/>
    <w:rsid w:val="00DE3714"/>
    <w:rsid w:val="00DE577A"/>
    <w:rsid w:val="00DE5D4E"/>
    <w:rsid w:val="00DE65BB"/>
    <w:rsid w:val="00DE6DD4"/>
    <w:rsid w:val="00DF0F9A"/>
    <w:rsid w:val="00DF2D4A"/>
    <w:rsid w:val="00DF4CFE"/>
    <w:rsid w:val="00DF4F09"/>
    <w:rsid w:val="00DF5072"/>
    <w:rsid w:val="00DF574E"/>
    <w:rsid w:val="00E01D79"/>
    <w:rsid w:val="00E02D18"/>
    <w:rsid w:val="00E030BA"/>
    <w:rsid w:val="00E041E7"/>
    <w:rsid w:val="00E06276"/>
    <w:rsid w:val="00E11615"/>
    <w:rsid w:val="00E11EAF"/>
    <w:rsid w:val="00E12752"/>
    <w:rsid w:val="00E15DE3"/>
    <w:rsid w:val="00E16706"/>
    <w:rsid w:val="00E17356"/>
    <w:rsid w:val="00E20CC8"/>
    <w:rsid w:val="00E23CA1"/>
    <w:rsid w:val="00E25DCF"/>
    <w:rsid w:val="00E26022"/>
    <w:rsid w:val="00E268F9"/>
    <w:rsid w:val="00E2738E"/>
    <w:rsid w:val="00E27DF4"/>
    <w:rsid w:val="00E27EF7"/>
    <w:rsid w:val="00E328F8"/>
    <w:rsid w:val="00E33C1B"/>
    <w:rsid w:val="00E34E32"/>
    <w:rsid w:val="00E35432"/>
    <w:rsid w:val="00E376F8"/>
    <w:rsid w:val="00E409A8"/>
    <w:rsid w:val="00E42547"/>
    <w:rsid w:val="00E44820"/>
    <w:rsid w:val="00E44E5B"/>
    <w:rsid w:val="00E44FCC"/>
    <w:rsid w:val="00E46EC0"/>
    <w:rsid w:val="00E47F4E"/>
    <w:rsid w:val="00E50C12"/>
    <w:rsid w:val="00E51078"/>
    <w:rsid w:val="00E51855"/>
    <w:rsid w:val="00E56271"/>
    <w:rsid w:val="00E570D4"/>
    <w:rsid w:val="00E60954"/>
    <w:rsid w:val="00E613E8"/>
    <w:rsid w:val="00E623FA"/>
    <w:rsid w:val="00E65043"/>
    <w:rsid w:val="00E6512E"/>
    <w:rsid w:val="00E65AE5"/>
    <w:rsid w:val="00E65B91"/>
    <w:rsid w:val="00E7209D"/>
    <w:rsid w:val="00E72EAD"/>
    <w:rsid w:val="00E73E35"/>
    <w:rsid w:val="00E76287"/>
    <w:rsid w:val="00E77223"/>
    <w:rsid w:val="00E77A58"/>
    <w:rsid w:val="00E80363"/>
    <w:rsid w:val="00E84D74"/>
    <w:rsid w:val="00E8528B"/>
    <w:rsid w:val="00E85B94"/>
    <w:rsid w:val="00E93119"/>
    <w:rsid w:val="00E95464"/>
    <w:rsid w:val="00E956EB"/>
    <w:rsid w:val="00E978D0"/>
    <w:rsid w:val="00EA4613"/>
    <w:rsid w:val="00EA466F"/>
    <w:rsid w:val="00EA7F91"/>
    <w:rsid w:val="00EB1523"/>
    <w:rsid w:val="00EB354E"/>
    <w:rsid w:val="00EB3571"/>
    <w:rsid w:val="00EB4143"/>
    <w:rsid w:val="00EB4641"/>
    <w:rsid w:val="00EB779A"/>
    <w:rsid w:val="00EC0E49"/>
    <w:rsid w:val="00EC0EE4"/>
    <w:rsid w:val="00EC1000"/>
    <w:rsid w:val="00EC101F"/>
    <w:rsid w:val="00EC1D9F"/>
    <w:rsid w:val="00EC20AC"/>
    <w:rsid w:val="00EC549D"/>
    <w:rsid w:val="00EC5B65"/>
    <w:rsid w:val="00EC7793"/>
    <w:rsid w:val="00ED0F67"/>
    <w:rsid w:val="00ED4081"/>
    <w:rsid w:val="00EE0131"/>
    <w:rsid w:val="00EE17B0"/>
    <w:rsid w:val="00EE54D0"/>
    <w:rsid w:val="00EE6B2B"/>
    <w:rsid w:val="00EE72D5"/>
    <w:rsid w:val="00EE79CB"/>
    <w:rsid w:val="00EF06D9"/>
    <w:rsid w:val="00F00741"/>
    <w:rsid w:val="00F029A1"/>
    <w:rsid w:val="00F02ECF"/>
    <w:rsid w:val="00F05112"/>
    <w:rsid w:val="00F07108"/>
    <w:rsid w:val="00F07127"/>
    <w:rsid w:val="00F07BC1"/>
    <w:rsid w:val="00F119DA"/>
    <w:rsid w:val="00F1465B"/>
    <w:rsid w:val="00F159B8"/>
    <w:rsid w:val="00F17019"/>
    <w:rsid w:val="00F20376"/>
    <w:rsid w:val="00F20B0A"/>
    <w:rsid w:val="00F22C08"/>
    <w:rsid w:val="00F24AE4"/>
    <w:rsid w:val="00F26303"/>
    <w:rsid w:val="00F2721C"/>
    <w:rsid w:val="00F27541"/>
    <w:rsid w:val="00F27EED"/>
    <w:rsid w:val="00F30C64"/>
    <w:rsid w:val="00F32BA2"/>
    <w:rsid w:val="00F32CDB"/>
    <w:rsid w:val="00F337AE"/>
    <w:rsid w:val="00F352C0"/>
    <w:rsid w:val="00F353B7"/>
    <w:rsid w:val="00F400E9"/>
    <w:rsid w:val="00F42AF1"/>
    <w:rsid w:val="00F50C0D"/>
    <w:rsid w:val="00F524EC"/>
    <w:rsid w:val="00F54923"/>
    <w:rsid w:val="00F565FE"/>
    <w:rsid w:val="00F5756A"/>
    <w:rsid w:val="00F57737"/>
    <w:rsid w:val="00F62477"/>
    <w:rsid w:val="00F63A70"/>
    <w:rsid w:val="00F646AF"/>
    <w:rsid w:val="00F65E87"/>
    <w:rsid w:val="00F65F0C"/>
    <w:rsid w:val="00F669C9"/>
    <w:rsid w:val="00F671AA"/>
    <w:rsid w:val="00F70754"/>
    <w:rsid w:val="00F72337"/>
    <w:rsid w:val="00F73B6D"/>
    <w:rsid w:val="00F7534E"/>
    <w:rsid w:val="00F75E05"/>
    <w:rsid w:val="00F810EF"/>
    <w:rsid w:val="00F822DA"/>
    <w:rsid w:val="00F83431"/>
    <w:rsid w:val="00F84E81"/>
    <w:rsid w:val="00F86331"/>
    <w:rsid w:val="00F86F97"/>
    <w:rsid w:val="00F902BF"/>
    <w:rsid w:val="00F91DED"/>
    <w:rsid w:val="00F91FE6"/>
    <w:rsid w:val="00F92299"/>
    <w:rsid w:val="00F93CA0"/>
    <w:rsid w:val="00F94112"/>
    <w:rsid w:val="00F97A4B"/>
    <w:rsid w:val="00FA0DC6"/>
    <w:rsid w:val="00FA1F2E"/>
    <w:rsid w:val="00FA21D0"/>
    <w:rsid w:val="00FA4132"/>
    <w:rsid w:val="00FA5F5F"/>
    <w:rsid w:val="00FA61AE"/>
    <w:rsid w:val="00FB4DF3"/>
    <w:rsid w:val="00FB5ABF"/>
    <w:rsid w:val="00FB730C"/>
    <w:rsid w:val="00FC0783"/>
    <w:rsid w:val="00FC19B6"/>
    <w:rsid w:val="00FC2695"/>
    <w:rsid w:val="00FC3E03"/>
    <w:rsid w:val="00FC3FC1"/>
    <w:rsid w:val="00FC5092"/>
    <w:rsid w:val="00FC654B"/>
    <w:rsid w:val="00FC68D5"/>
    <w:rsid w:val="00FD03CA"/>
    <w:rsid w:val="00FD275D"/>
    <w:rsid w:val="00FD5E8D"/>
    <w:rsid w:val="00FD7003"/>
    <w:rsid w:val="00FE2914"/>
    <w:rsid w:val="00FE2F55"/>
    <w:rsid w:val="00FE5FE9"/>
    <w:rsid w:val="00FF1EAC"/>
    <w:rsid w:val="00FF3037"/>
    <w:rsid w:val="00FF43B9"/>
    <w:rsid w:val="00FF6128"/>
    <w:rsid w:val="69E4577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hgkelc">
    <w:name w:val="hgkelc"/>
    <w:basedOn w:val="Carpredefinitoparagrafo"/>
    <w:rsid w:val="00344A1A"/>
  </w:style>
  <w:style w:type="character" w:styleId="Testosegnaposto">
    <w:name w:val="Placeholder Text"/>
    <w:basedOn w:val="Carpredefinitoparagrafo"/>
    <w:uiPriority w:val="99"/>
    <w:semiHidden/>
    <w:rsid w:val="002A5242"/>
    <w:rPr>
      <w:color w:val="666666"/>
    </w:rPr>
  </w:style>
  <w:style w:type="character" w:styleId="Menzionenonrisolta">
    <w:name w:val="Unresolved Mention"/>
    <w:basedOn w:val="Carpredefinitoparagrafo"/>
    <w:uiPriority w:val="99"/>
    <w:semiHidden/>
    <w:unhideWhenUsed/>
    <w:rsid w:val="006D5598"/>
    <w:rPr>
      <w:color w:val="605E5C"/>
      <w:shd w:val="clear" w:color="auto" w:fill="E1DFDD"/>
    </w:rPr>
  </w:style>
  <w:style w:type="paragraph" w:styleId="Revisione">
    <w:name w:val="Revision"/>
    <w:hidden/>
    <w:uiPriority w:val="99"/>
    <w:semiHidden/>
    <w:rsid w:val="00305B2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7221">
      <w:bodyDiv w:val="1"/>
      <w:marLeft w:val="0"/>
      <w:marRight w:val="0"/>
      <w:marTop w:val="0"/>
      <w:marBottom w:val="0"/>
      <w:divBdr>
        <w:top w:val="none" w:sz="0" w:space="0" w:color="auto"/>
        <w:left w:val="none" w:sz="0" w:space="0" w:color="auto"/>
        <w:bottom w:val="none" w:sz="0" w:space="0" w:color="auto"/>
        <w:right w:val="none" w:sz="0" w:space="0" w:color="auto"/>
      </w:divBdr>
    </w:div>
    <w:div w:id="128588577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2891987">
      <w:bodyDiv w:val="1"/>
      <w:marLeft w:val="0"/>
      <w:marRight w:val="0"/>
      <w:marTop w:val="0"/>
      <w:marBottom w:val="0"/>
      <w:divBdr>
        <w:top w:val="none" w:sz="0" w:space="0" w:color="auto"/>
        <w:left w:val="none" w:sz="0" w:space="0" w:color="auto"/>
        <w:bottom w:val="none" w:sz="0" w:space="0" w:color="auto"/>
        <w:right w:val="none" w:sz="0" w:space="0" w:color="auto"/>
      </w:divBdr>
      <w:divsChild>
        <w:div w:id="1868986029">
          <w:marLeft w:val="480"/>
          <w:marRight w:val="0"/>
          <w:marTop w:val="0"/>
          <w:marBottom w:val="0"/>
          <w:divBdr>
            <w:top w:val="none" w:sz="0" w:space="0" w:color="auto"/>
            <w:left w:val="none" w:sz="0" w:space="0" w:color="auto"/>
            <w:bottom w:val="none" w:sz="0" w:space="0" w:color="auto"/>
            <w:right w:val="none" w:sz="0" w:space="0" w:color="auto"/>
          </w:divBdr>
        </w:div>
        <w:div w:id="428232249">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ettura.it/bologna/multidip/index.ht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ati.arpae.it/" TargetMode="External"/><Relationship Id="rId2" Type="http://schemas.openxmlformats.org/officeDocument/2006/relationships/customXml" Target="../customXml/item2.xml"/><Relationship Id="rId16" Type="http://schemas.openxmlformats.org/officeDocument/2006/relationships/hyperlink" Target="https://datacatalog.regione.emilia-romagna.it/catalogCTA/dataset/depuratori-della-regione-emilia-romagna-1506530997461-7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ippc-aia.arpa.emr.it/ippc-aia/Homepage.aspx"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ppc-aia.arpa.emr.it/ippc-aia/Homepage.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6F5733-3CEA-4F84-9278-BE4167520A0F}">
  <we:reference id="f78a3046-9e99-4300-aa2b-5814002b01a2" version="1.55.1.0" store="EXCatalog" storeType="EXCatalog"/>
  <we:alternateReferences>
    <we:reference id="WA104382081" version="1.55.1.0" store="it-IT"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5e298d-f070-4530-b20f-af454165231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0EF4191A37FB4FA11EA1F400831FC7" ma:contentTypeVersion="17" ma:contentTypeDescription="Create a new document." ma:contentTypeScope="" ma:versionID="ec8f4077ab4d188cbfaf26935ec48148">
  <xsd:schema xmlns:xsd="http://www.w3.org/2001/XMLSchema" xmlns:xs="http://www.w3.org/2001/XMLSchema" xmlns:p="http://schemas.microsoft.com/office/2006/metadata/properties" xmlns:ns3="005e298d-f070-4530-b20f-af4541652319" xmlns:ns4="bfdf40c5-c895-44f0-a395-5a5d2e63d06c" targetNamespace="http://schemas.microsoft.com/office/2006/metadata/properties" ma:root="true" ma:fieldsID="9d1686d43c74cca50c7c7c0825372a0e" ns3:_="" ns4:_="">
    <xsd:import namespace="005e298d-f070-4530-b20f-af4541652319"/>
    <xsd:import namespace="bfdf40c5-c895-44f0-a395-5a5d2e63d0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e298d-f070-4530-b20f-af4541652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f40c5-c895-44f0-a395-5a5d2e63d0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A8021-DE0C-4691-B55C-97E108858705}">
  <ds:schemaRefs>
    <ds:schemaRef ds:uri="http://schemas.microsoft.com/sharepoint/v3/contenttype/forms"/>
  </ds:schemaRefs>
</ds:datastoreItem>
</file>

<file path=customXml/itemProps2.xml><?xml version="1.0" encoding="utf-8"?>
<ds:datastoreItem xmlns:ds="http://schemas.openxmlformats.org/officeDocument/2006/customXml" ds:itemID="{6FEDB31A-D207-42F9-85DB-625DFE60C2CB}">
  <ds:schemaRefs>
    <ds:schemaRef ds:uri="http://schemas.microsoft.com/office/2006/metadata/properties"/>
    <ds:schemaRef ds:uri="http://schemas.microsoft.com/office/infopath/2007/PartnerControls"/>
    <ds:schemaRef ds:uri="005e298d-f070-4530-b20f-af4541652319"/>
  </ds:schemaRefs>
</ds:datastoreItem>
</file>

<file path=customXml/itemProps3.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customXml/itemProps4.xml><?xml version="1.0" encoding="utf-8"?>
<ds:datastoreItem xmlns:ds="http://schemas.openxmlformats.org/officeDocument/2006/customXml" ds:itemID="{5B4BCCAE-42A2-4249-8EF3-00425FCF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e298d-f070-4530-b20f-af4541652319"/>
    <ds:schemaRef ds:uri="bfdf40c5-c895-44f0-a395-5a5d2e63d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3541</Words>
  <Characters>20188</Characters>
  <Application>Microsoft Office Word</Application>
  <DocSecurity>0</DocSecurity>
  <Lines>168</Lines>
  <Paragraphs>47</Paragraphs>
  <ScaleCrop>false</ScaleCrop>
  <Company>Dipartimento CMIC - Politecnico di Milano</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Valentina Di Talia</cp:lastModifiedBy>
  <cp:revision>15</cp:revision>
  <cp:lastPrinted>2015-05-12T18:31:00Z</cp:lastPrinted>
  <dcterms:created xsi:type="dcterms:W3CDTF">2024-05-13T16:10:00Z</dcterms:created>
  <dcterms:modified xsi:type="dcterms:W3CDTF">2024-07-31T11:17:00Z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0x010100290EF4191A37FB4FA11EA1F400831FC7</vt:lpwstr>
  </property>
</Properties>
</file>