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E065E8" w:rsidRPr="00E065E8"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E065E8" w:rsidRDefault="000A03B2" w:rsidP="00DE264A">
            <w:pPr>
              <w:tabs>
                <w:tab w:val="left" w:pos="-108"/>
              </w:tabs>
              <w:ind w:left="-108"/>
              <w:jc w:val="left"/>
              <w:rPr>
                <w:rFonts w:cs="Arial"/>
                <w:b/>
                <w:bCs/>
                <w:i/>
                <w:iCs/>
                <w:color w:val="000000"/>
                <w:sz w:val="12"/>
                <w:szCs w:val="12"/>
                <w:lang w:val="en-US" w:eastAsia="it-IT"/>
              </w:rPr>
            </w:pPr>
            <w:r w:rsidRPr="00E065E8">
              <w:rPr>
                <w:rFonts w:ascii="AdvP6960" w:hAnsi="AdvP6960" w:cs="AdvP6960"/>
                <w:noProof/>
                <w:color w:val="00000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E065E8">
              <w:rPr>
                <w:rFonts w:ascii="AdvP6960" w:hAnsi="AdvP6960" w:cs="AdvP6960"/>
                <w:color w:val="000000"/>
                <w:szCs w:val="18"/>
                <w:lang w:val="en-US" w:eastAsia="it-IT"/>
              </w:rPr>
              <w:t xml:space="preserve"> </w:t>
            </w:r>
            <w:r w:rsidRPr="00E065E8">
              <w:rPr>
                <w:rFonts w:cs="Arial"/>
                <w:b/>
                <w:bCs/>
                <w:i/>
                <w:iCs/>
                <w:color w:val="000000"/>
                <w:sz w:val="24"/>
                <w:szCs w:val="24"/>
                <w:lang w:val="en-US" w:eastAsia="it-IT"/>
              </w:rPr>
              <w:t>CHEMICAL ENGINEERING TRANSACTIONS</w:t>
            </w:r>
            <w:r w:rsidRPr="00E065E8">
              <w:rPr>
                <w:color w:val="000000"/>
                <w:sz w:val="24"/>
                <w:szCs w:val="24"/>
                <w:lang w:val="en-US" w:eastAsia="it-IT"/>
              </w:rPr>
              <w:t xml:space="preserve"> </w:t>
            </w:r>
            <w:r w:rsidRPr="00E065E8">
              <w:rPr>
                <w:rFonts w:cs="Arial"/>
                <w:b/>
                <w:bCs/>
                <w:i/>
                <w:iCs/>
                <w:color w:val="000000"/>
                <w:sz w:val="27"/>
                <w:szCs w:val="27"/>
                <w:lang w:val="en-US" w:eastAsia="it-IT"/>
              </w:rPr>
              <w:br/>
            </w:r>
          </w:p>
          <w:p w14:paraId="4B780582" w14:textId="38BD1662" w:rsidR="000A03B2" w:rsidRPr="00E065E8" w:rsidRDefault="00A76EFC" w:rsidP="00B57E6F">
            <w:pPr>
              <w:tabs>
                <w:tab w:val="left" w:pos="-108"/>
              </w:tabs>
              <w:ind w:left="-108"/>
              <w:rPr>
                <w:rFonts w:cs="Arial"/>
                <w:b/>
                <w:bCs/>
                <w:i/>
                <w:iCs/>
                <w:color w:val="000000"/>
                <w:sz w:val="22"/>
                <w:szCs w:val="22"/>
                <w:lang w:val="en-US" w:eastAsia="it-IT"/>
              </w:rPr>
            </w:pPr>
            <w:r w:rsidRPr="00E065E8">
              <w:rPr>
                <w:rFonts w:cs="Arial"/>
                <w:b/>
                <w:bCs/>
                <w:i/>
                <w:iCs/>
                <w:color w:val="000000"/>
                <w:sz w:val="22"/>
                <w:szCs w:val="22"/>
                <w:lang w:val="en-US" w:eastAsia="it-IT"/>
              </w:rPr>
              <w:t xml:space="preserve">VOL. </w:t>
            </w:r>
            <w:r w:rsidR="00825DD9" w:rsidRPr="00E065E8">
              <w:rPr>
                <w:rFonts w:cs="Arial"/>
                <w:b/>
                <w:bCs/>
                <w:i/>
                <w:iCs/>
                <w:color w:val="000000"/>
                <w:sz w:val="22"/>
                <w:szCs w:val="22"/>
                <w:lang w:val="en-US" w:eastAsia="it-IT"/>
              </w:rPr>
              <w:t>xxx</w:t>
            </w:r>
            <w:r w:rsidR="007B48F9" w:rsidRPr="00E065E8">
              <w:rPr>
                <w:rFonts w:cs="Arial"/>
                <w:b/>
                <w:bCs/>
                <w:i/>
                <w:iCs/>
                <w:color w:val="000000"/>
                <w:sz w:val="22"/>
                <w:szCs w:val="22"/>
                <w:lang w:val="en-US" w:eastAsia="it-IT"/>
              </w:rPr>
              <w:t>,</w:t>
            </w:r>
            <w:r w:rsidR="00FA5F5F" w:rsidRPr="00E065E8">
              <w:rPr>
                <w:rFonts w:cs="Arial"/>
                <w:b/>
                <w:bCs/>
                <w:i/>
                <w:iCs/>
                <w:color w:val="000000"/>
                <w:sz w:val="22"/>
                <w:szCs w:val="22"/>
                <w:lang w:val="en-US" w:eastAsia="it-IT"/>
              </w:rPr>
              <w:t xml:space="preserve"> 20</w:t>
            </w:r>
            <w:r w:rsidR="00DF5072" w:rsidRPr="00E065E8">
              <w:rPr>
                <w:rFonts w:cs="Arial"/>
                <w:b/>
                <w:bCs/>
                <w:i/>
                <w:iCs/>
                <w:color w:val="000000"/>
                <w:sz w:val="22"/>
                <w:szCs w:val="22"/>
                <w:lang w:val="en-US" w:eastAsia="it-IT"/>
              </w:rPr>
              <w:t>2</w:t>
            </w:r>
            <w:r w:rsidR="00825DD9" w:rsidRPr="00E065E8">
              <w:rPr>
                <w:rFonts w:cs="Arial"/>
                <w:b/>
                <w:bCs/>
                <w:i/>
                <w:iCs/>
                <w:color w:val="000000"/>
                <w:sz w:val="22"/>
                <w:szCs w:val="22"/>
                <w:lang w:val="en-US" w:eastAsia="it-IT"/>
              </w:rPr>
              <w:t>4</w:t>
            </w:r>
          </w:p>
        </w:tc>
        <w:tc>
          <w:tcPr>
            <w:tcW w:w="1843" w:type="dxa"/>
            <w:tcBorders>
              <w:left w:val="single" w:sz="4" w:space="0" w:color="auto"/>
              <w:bottom w:val="nil"/>
              <w:right w:val="single" w:sz="4" w:space="0" w:color="auto"/>
            </w:tcBorders>
          </w:tcPr>
          <w:p w14:paraId="56782132" w14:textId="77777777" w:rsidR="000A03B2" w:rsidRPr="00E065E8" w:rsidRDefault="000A03B2" w:rsidP="00CD5FE2">
            <w:pPr>
              <w:spacing w:line="140" w:lineRule="atLeast"/>
              <w:jc w:val="right"/>
              <w:rPr>
                <w:rFonts w:cs="Arial"/>
                <w:color w:val="000000"/>
                <w:sz w:val="14"/>
                <w:szCs w:val="14"/>
                <w:lang w:val="en-US"/>
              </w:rPr>
            </w:pPr>
            <w:r w:rsidRPr="00E065E8">
              <w:rPr>
                <w:rFonts w:cs="Arial"/>
                <w:color w:val="000000"/>
                <w:sz w:val="14"/>
                <w:szCs w:val="14"/>
                <w:lang w:val="en-US"/>
              </w:rPr>
              <w:t>A publication of</w:t>
            </w:r>
          </w:p>
          <w:p w14:paraId="599E5441" w14:textId="77777777" w:rsidR="000A03B2" w:rsidRPr="00E065E8" w:rsidRDefault="000A03B2" w:rsidP="00CD5FE2">
            <w:pPr>
              <w:jc w:val="right"/>
              <w:rPr>
                <w:color w:val="000000"/>
                <w:lang w:val="en-US"/>
              </w:rPr>
            </w:pPr>
            <w:r w:rsidRPr="00E065E8">
              <w:rPr>
                <w:noProof/>
                <w:color w:val="000000"/>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E065E8" w:rsidRPr="00E065E8" w14:paraId="380FA3CD" w14:textId="77777777" w:rsidTr="00DE264A">
        <w:trPr>
          <w:trHeight w:val="567"/>
          <w:jc w:val="center"/>
        </w:trPr>
        <w:tc>
          <w:tcPr>
            <w:tcW w:w="6946" w:type="dxa"/>
            <w:vMerge/>
            <w:tcBorders>
              <w:right w:val="single" w:sz="4" w:space="0" w:color="auto"/>
            </w:tcBorders>
          </w:tcPr>
          <w:p w14:paraId="39E5E4C1" w14:textId="77777777" w:rsidR="000A03B2" w:rsidRPr="00E065E8" w:rsidRDefault="000A03B2" w:rsidP="00CD5FE2">
            <w:pPr>
              <w:tabs>
                <w:tab w:val="left" w:pos="-108"/>
              </w:tabs>
              <w:rPr>
                <w:color w:val="000000"/>
                <w:lang w:val="en-US"/>
              </w:rPr>
            </w:pPr>
          </w:p>
        </w:tc>
        <w:tc>
          <w:tcPr>
            <w:tcW w:w="1843" w:type="dxa"/>
            <w:tcBorders>
              <w:left w:val="single" w:sz="4" w:space="0" w:color="auto"/>
              <w:bottom w:val="nil"/>
              <w:right w:val="single" w:sz="4" w:space="0" w:color="auto"/>
            </w:tcBorders>
          </w:tcPr>
          <w:p w14:paraId="43858A98" w14:textId="77777777" w:rsidR="000A03B2" w:rsidRPr="00E065E8" w:rsidRDefault="000A03B2" w:rsidP="00CD5FE2">
            <w:pPr>
              <w:spacing w:line="140" w:lineRule="atLeast"/>
              <w:jc w:val="right"/>
              <w:rPr>
                <w:rFonts w:cs="Arial"/>
                <w:color w:val="000000"/>
                <w:sz w:val="14"/>
                <w:szCs w:val="14"/>
                <w:lang w:val="en-US"/>
              </w:rPr>
            </w:pPr>
            <w:r w:rsidRPr="00E065E8">
              <w:rPr>
                <w:rFonts w:cs="Arial"/>
                <w:color w:val="000000"/>
                <w:sz w:val="14"/>
                <w:szCs w:val="14"/>
                <w:lang w:val="en-US"/>
              </w:rPr>
              <w:t>The Italian Association</w:t>
            </w:r>
          </w:p>
          <w:p w14:paraId="7522B1D2" w14:textId="77777777" w:rsidR="000A03B2" w:rsidRPr="00E065E8" w:rsidRDefault="000A03B2" w:rsidP="00CD5FE2">
            <w:pPr>
              <w:spacing w:line="140" w:lineRule="atLeast"/>
              <w:jc w:val="right"/>
              <w:rPr>
                <w:rFonts w:cs="Arial"/>
                <w:color w:val="000000"/>
                <w:sz w:val="14"/>
                <w:szCs w:val="14"/>
                <w:lang w:val="en-US"/>
              </w:rPr>
            </w:pPr>
            <w:r w:rsidRPr="00E065E8">
              <w:rPr>
                <w:rFonts w:cs="Arial"/>
                <w:color w:val="000000"/>
                <w:sz w:val="14"/>
                <w:szCs w:val="14"/>
                <w:lang w:val="en-US"/>
              </w:rPr>
              <w:t>of Chemical Engineering</w:t>
            </w:r>
          </w:p>
          <w:p w14:paraId="4F0CC5DE" w14:textId="47FDB2FC" w:rsidR="000A03B2" w:rsidRPr="00E065E8" w:rsidRDefault="000D0268" w:rsidP="00CD5FE2">
            <w:pPr>
              <w:spacing w:line="140" w:lineRule="atLeast"/>
              <w:jc w:val="right"/>
              <w:rPr>
                <w:rFonts w:cs="Arial"/>
                <w:color w:val="000000"/>
                <w:sz w:val="13"/>
                <w:szCs w:val="13"/>
                <w:lang w:val="en-US"/>
              </w:rPr>
            </w:pPr>
            <w:r w:rsidRPr="00E065E8">
              <w:rPr>
                <w:rFonts w:cs="Arial"/>
                <w:color w:val="000000"/>
                <w:sz w:val="13"/>
                <w:szCs w:val="13"/>
                <w:lang w:val="en-US"/>
              </w:rPr>
              <w:t>Online at www.cetjournal.it</w:t>
            </w:r>
          </w:p>
        </w:tc>
      </w:tr>
      <w:tr w:rsidR="00E065E8" w:rsidRPr="00E065E8" w14:paraId="2D1B7169" w14:textId="77777777" w:rsidTr="00DE264A">
        <w:trPr>
          <w:trHeight w:val="68"/>
          <w:jc w:val="center"/>
        </w:trPr>
        <w:tc>
          <w:tcPr>
            <w:tcW w:w="8789" w:type="dxa"/>
            <w:gridSpan w:val="2"/>
          </w:tcPr>
          <w:p w14:paraId="4B0BB442" w14:textId="4EADF2C2" w:rsidR="00300E56" w:rsidRPr="00E065E8" w:rsidRDefault="00300E56" w:rsidP="00B57E6F">
            <w:pPr>
              <w:ind w:left="-107"/>
              <w:outlineLvl w:val="2"/>
              <w:rPr>
                <w:rFonts w:ascii="Tahoma" w:hAnsi="Tahoma" w:cs="Tahoma"/>
                <w:bCs/>
                <w:color w:val="000000"/>
                <w:sz w:val="14"/>
                <w:szCs w:val="14"/>
                <w:lang w:val="en-US" w:eastAsia="it-IT"/>
              </w:rPr>
            </w:pPr>
            <w:r w:rsidRPr="00E065E8">
              <w:rPr>
                <w:rFonts w:ascii="Tahoma" w:hAnsi="Tahoma" w:cs="Tahoma"/>
                <w:iCs/>
                <w:color w:val="000000"/>
                <w:sz w:val="14"/>
                <w:szCs w:val="14"/>
                <w:lang w:val="en-US" w:eastAsia="it-IT"/>
              </w:rPr>
              <w:t>Guest Editors:</w:t>
            </w:r>
            <w:r w:rsidR="00904C62" w:rsidRPr="00E065E8">
              <w:rPr>
                <w:rFonts w:ascii="Tahoma" w:hAnsi="Tahoma" w:cs="Tahoma"/>
                <w:iCs/>
                <w:color w:val="000000"/>
                <w:sz w:val="14"/>
                <w:szCs w:val="14"/>
                <w:lang w:val="en-US" w:eastAsia="it-IT"/>
              </w:rPr>
              <w:t xml:space="preserve"> </w:t>
            </w:r>
            <w:r w:rsidR="00B57E6F" w:rsidRPr="00E065E8">
              <w:rPr>
                <w:rFonts w:ascii="Tahoma" w:hAnsi="Tahoma" w:cs="Tahoma"/>
                <w:color w:val="000000"/>
                <w:sz w:val="14"/>
                <w:szCs w:val="14"/>
                <w:shd w:val="clear" w:color="auto" w:fill="FFFFFF"/>
                <w:lang w:val="en-US"/>
              </w:rPr>
              <w:t xml:space="preserve">Valerio Cozzani, </w:t>
            </w:r>
            <w:r w:rsidR="001331DF" w:rsidRPr="00E065E8">
              <w:rPr>
                <w:rFonts w:ascii="Tahoma" w:hAnsi="Tahoma" w:cs="Tahoma"/>
                <w:color w:val="000000"/>
                <w:sz w:val="14"/>
                <w:szCs w:val="14"/>
                <w:shd w:val="clear" w:color="auto" w:fill="FFFFFF"/>
                <w:lang w:val="en-US"/>
              </w:rPr>
              <w:t>Bruno Fabiano</w:t>
            </w:r>
            <w:r w:rsidR="00B57E6F" w:rsidRPr="00E065E8">
              <w:rPr>
                <w:rFonts w:ascii="Tahoma" w:hAnsi="Tahoma" w:cs="Tahoma"/>
                <w:color w:val="000000"/>
                <w:sz w:val="14"/>
                <w:szCs w:val="14"/>
                <w:shd w:val="clear" w:color="auto" w:fill="FFFFFF"/>
                <w:lang w:val="en-US"/>
              </w:rPr>
              <w:t xml:space="preserve">, </w:t>
            </w:r>
            <w:r w:rsidR="00B57E6F" w:rsidRPr="00E065E8">
              <w:rPr>
                <w:rFonts w:ascii="Tahoma" w:hAnsi="Tahoma" w:cs="Tahoma"/>
                <w:bCs/>
                <w:color w:val="000000"/>
                <w:sz w:val="14"/>
                <w:szCs w:val="14"/>
                <w:lang w:val="en-US" w:eastAsia="it-IT"/>
              </w:rPr>
              <w:t>Genserik Reniers</w:t>
            </w:r>
          </w:p>
          <w:p w14:paraId="1B0F1814" w14:textId="7E8B8C7E" w:rsidR="000A03B2" w:rsidRPr="00E065E8" w:rsidRDefault="00FA5F5F" w:rsidP="00B57E6F">
            <w:pPr>
              <w:tabs>
                <w:tab w:val="left" w:pos="-108"/>
              </w:tabs>
              <w:spacing w:line="140" w:lineRule="atLeast"/>
              <w:ind w:left="-107"/>
              <w:jc w:val="left"/>
              <w:rPr>
                <w:color w:val="000000"/>
                <w:lang w:val="en-US"/>
              </w:rPr>
            </w:pPr>
            <w:r w:rsidRPr="00E065E8">
              <w:rPr>
                <w:rFonts w:ascii="Tahoma" w:hAnsi="Tahoma" w:cs="Tahoma"/>
                <w:iCs/>
                <w:color w:val="000000"/>
                <w:sz w:val="14"/>
                <w:szCs w:val="14"/>
                <w:lang w:val="en-US" w:eastAsia="it-IT"/>
              </w:rPr>
              <w:t>Copyright © 20</w:t>
            </w:r>
            <w:r w:rsidR="00DF5072" w:rsidRPr="00E065E8">
              <w:rPr>
                <w:rFonts w:ascii="Tahoma" w:hAnsi="Tahoma" w:cs="Tahoma"/>
                <w:iCs/>
                <w:color w:val="000000"/>
                <w:sz w:val="14"/>
                <w:szCs w:val="14"/>
                <w:lang w:val="en-US" w:eastAsia="it-IT"/>
              </w:rPr>
              <w:t>2</w:t>
            </w:r>
            <w:r w:rsidR="00825DD9" w:rsidRPr="00E065E8">
              <w:rPr>
                <w:rFonts w:ascii="Tahoma" w:hAnsi="Tahoma" w:cs="Tahoma"/>
                <w:iCs/>
                <w:color w:val="000000"/>
                <w:sz w:val="14"/>
                <w:szCs w:val="14"/>
                <w:lang w:val="en-US" w:eastAsia="it-IT"/>
              </w:rPr>
              <w:t>4</w:t>
            </w:r>
            <w:r w:rsidR="00904C62" w:rsidRPr="00E065E8">
              <w:rPr>
                <w:rFonts w:ascii="Tahoma" w:hAnsi="Tahoma" w:cs="Tahoma"/>
                <w:iCs/>
                <w:color w:val="000000"/>
                <w:sz w:val="14"/>
                <w:szCs w:val="14"/>
                <w:lang w:val="en-US" w:eastAsia="it-IT"/>
              </w:rPr>
              <w:t>, AIDIC Servizi S.r.l.</w:t>
            </w:r>
            <w:r w:rsidR="00300E56" w:rsidRPr="00E065E8">
              <w:rPr>
                <w:rFonts w:ascii="Tahoma" w:hAnsi="Tahoma" w:cs="Tahoma"/>
                <w:iCs/>
                <w:color w:val="000000"/>
                <w:sz w:val="14"/>
                <w:szCs w:val="14"/>
                <w:lang w:val="en-US" w:eastAsia="it-IT"/>
              </w:rPr>
              <w:br/>
            </w:r>
            <w:r w:rsidR="00300E56" w:rsidRPr="00E065E8">
              <w:rPr>
                <w:rFonts w:ascii="Tahoma" w:hAnsi="Tahoma" w:cs="Tahoma"/>
                <w:b/>
                <w:iCs/>
                <w:color w:val="000000"/>
                <w:sz w:val="14"/>
                <w:szCs w:val="14"/>
                <w:lang w:val="en-US" w:eastAsia="it-IT"/>
              </w:rPr>
              <w:t>ISBN</w:t>
            </w:r>
            <w:r w:rsidR="00300E56" w:rsidRPr="00E065E8">
              <w:rPr>
                <w:rFonts w:ascii="Tahoma" w:hAnsi="Tahoma" w:cs="Tahoma"/>
                <w:iCs/>
                <w:color w:val="000000"/>
                <w:sz w:val="14"/>
                <w:szCs w:val="14"/>
                <w:lang w:val="en-US" w:eastAsia="it-IT"/>
              </w:rPr>
              <w:t xml:space="preserve"> </w:t>
            </w:r>
            <w:r w:rsidR="00825DD9" w:rsidRPr="00E065E8">
              <w:rPr>
                <w:rFonts w:ascii="Tahoma" w:hAnsi="Tahoma" w:cs="Tahoma"/>
                <w:color w:val="000000"/>
                <w:sz w:val="14"/>
                <w:szCs w:val="14"/>
                <w:lang w:val="en-US" w:eastAsia="it-IT"/>
              </w:rPr>
              <w:t>979-12-81206-11-3</w:t>
            </w:r>
            <w:r w:rsidR="007B48F9" w:rsidRPr="00E065E8">
              <w:rPr>
                <w:rFonts w:ascii="Tahoma" w:hAnsi="Tahoma" w:cs="Tahoma"/>
                <w:iCs/>
                <w:color w:val="000000"/>
                <w:sz w:val="14"/>
                <w:szCs w:val="14"/>
                <w:lang w:val="en-US" w:eastAsia="it-IT"/>
              </w:rPr>
              <w:t>;</w:t>
            </w:r>
            <w:r w:rsidR="00300E56" w:rsidRPr="00E065E8">
              <w:rPr>
                <w:rFonts w:ascii="Tahoma" w:hAnsi="Tahoma" w:cs="Tahoma"/>
                <w:iCs/>
                <w:color w:val="000000"/>
                <w:sz w:val="14"/>
                <w:szCs w:val="14"/>
                <w:lang w:val="en-US" w:eastAsia="it-IT"/>
              </w:rPr>
              <w:t xml:space="preserve"> </w:t>
            </w:r>
            <w:r w:rsidR="00300E56" w:rsidRPr="00E065E8">
              <w:rPr>
                <w:rFonts w:ascii="Tahoma" w:hAnsi="Tahoma" w:cs="Tahoma"/>
                <w:b/>
                <w:iCs/>
                <w:color w:val="000000"/>
                <w:sz w:val="14"/>
                <w:szCs w:val="14"/>
                <w:lang w:val="en-US" w:eastAsia="it-IT"/>
              </w:rPr>
              <w:t>ISSN</w:t>
            </w:r>
            <w:r w:rsidR="00300E56" w:rsidRPr="00E065E8">
              <w:rPr>
                <w:rFonts w:ascii="Tahoma" w:hAnsi="Tahoma" w:cs="Tahoma"/>
                <w:iCs/>
                <w:color w:val="000000"/>
                <w:sz w:val="14"/>
                <w:szCs w:val="14"/>
                <w:lang w:val="en-US" w:eastAsia="it-IT"/>
              </w:rPr>
              <w:t xml:space="preserve"> 2283-9216</w:t>
            </w:r>
          </w:p>
        </w:tc>
      </w:tr>
    </w:tbl>
    <w:p w14:paraId="10DAA130" w14:textId="77777777" w:rsidR="000A03B2" w:rsidRPr="00E065E8" w:rsidRDefault="000A03B2" w:rsidP="000A03B2">
      <w:pPr>
        <w:pStyle w:val="CETAuthors"/>
        <w:rPr>
          <w:noProof w:val="0"/>
          <w:color w:val="000000"/>
          <w:lang w:val="en-US"/>
        </w:rPr>
        <w:sectPr w:rsidR="000A03B2" w:rsidRPr="00E065E8" w:rsidSect="003A0B4E">
          <w:type w:val="continuous"/>
          <w:pgSz w:w="11906" w:h="16838" w:code="9"/>
          <w:pgMar w:top="1701" w:right="1418" w:bottom="1701" w:left="1701" w:header="1701" w:footer="0" w:gutter="0"/>
          <w:cols w:space="708"/>
          <w:titlePg/>
          <w:docGrid w:linePitch="360"/>
        </w:sectPr>
      </w:pPr>
    </w:p>
    <w:p w14:paraId="2E667253" w14:textId="32333F71" w:rsidR="00E978D0" w:rsidRPr="00E065E8" w:rsidRDefault="00D819D2" w:rsidP="00DD177B">
      <w:pPr>
        <w:pStyle w:val="CETTitle"/>
        <w:rPr>
          <w:color w:val="000000"/>
          <w:lang w:val="en-US"/>
        </w:rPr>
      </w:pPr>
      <w:r w:rsidRPr="00E065E8">
        <w:rPr>
          <w:color w:val="000000"/>
          <w:lang w:val="en-US"/>
        </w:rPr>
        <w:t>Predicting the Shelf Life of Energetic Materials via Kinetic Analysis of Decomposition Data Gathered by Using Thermal Analysis Techniques</w:t>
      </w:r>
    </w:p>
    <w:p w14:paraId="0488FED2" w14:textId="4BE18B12" w:rsidR="00B57E6F" w:rsidRPr="00E065E8" w:rsidRDefault="00D819D2" w:rsidP="00B57E6F">
      <w:pPr>
        <w:pStyle w:val="CETAuthors"/>
        <w:rPr>
          <w:noProof w:val="0"/>
          <w:color w:val="000000"/>
          <w:lang w:val="en-US"/>
        </w:rPr>
      </w:pPr>
      <w:r w:rsidRPr="00E065E8">
        <w:rPr>
          <w:noProof w:val="0"/>
          <w:color w:val="000000"/>
          <w:lang w:val="en-US"/>
        </w:rPr>
        <w:t>Roberto Sanchirico, Valeria Di Sarli*</w:t>
      </w:r>
    </w:p>
    <w:p w14:paraId="3D72B0B0" w14:textId="6FFE236F" w:rsidR="00B57E6F" w:rsidRPr="00E065E8" w:rsidRDefault="00D819D2" w:rsidP="00D819D2">
      <w:pPr>
        <w:pStyle w:val="CETAddress"/>
        <w:rPr>
          <w:noProof w:val="0"/>
          <w:color w:val="000000"/>
          <w:lang w:val="en-US"/>
        </w:rPr>
      </w:pPr>
      <w:r w:rsidRPr="00E065E8">
        <w:rPr>
          <w:noProof w:val="0"/>
          <w:color w:val="000000"/>
          <w:lang w:val="en-US"/>
        </w:rPr>
        <w:t>Istituto di Scienze e Tecnologie per l</w:t>
      </w:r>
      <w:r w:rsidR="00783371" w:rsidRPr="00E065E8">
        <w:rPr>
          <w:noProof w:val="0"/>
          <w:color w:val="000000"/>
          <w:lang w:val="en-US"/>
        </w:rPr>
        <w:t>’</w:t>
      </w:r>
      <w:r w:rsidRPr="00E065E8">
        <w:rPr>
          <w:noProof w:val="0"/>
          <w:color w:val="000000"/>
          <w:lang w:val="en-US"/>
        </w:rPr>
        <w:t>Energia e la Mobilità Sostenibili (STEMS), Consiglio Nazionale delle Ricerche (CNR), Via G. Marconi 4, 80125, Napoli, Italy</w:t>
      </w:r>
    </w:p>
    <w:p w14:paraId="73F1267A" w14:textId="616D7742" w:rsidR="00B57E6F" w:rsidRPr="00E065E8" w:rsidRDefault="00D819D2" w:rsidP="00B57E6F">
      <w:pPr>
        <w:pStyle w:val="CETemail"/>
        <w:rPr>
          <w:noProof w:val="0"/>
          <w:color w:val="000000"/>
          <w:lang w:val="en-US"/>
        </w:rPr>
      </w:pPr>
      <w:r w:rsidRPr="00E065E8">
        <w:rPr>
          <w:noProof w:val="0"/>
          <w:color w:val="000000"/>
          <w:lang w:val="en-US"/>
        </w:rPr>
        <w:t>valeria.disarli@stems.cnr.it</w:t>
      </w:r>
    </w:p>
    <w:p w14:paraId="7A5F8546" w14:textId="240CBA72" w:rsidR="00E9660C" w:rsidRPr="00E065E8" w:rsidRDefault="002334B8" w:rsidP="00600535">
      <w:pPr>
        <w:pStyle w:val="CETBodytext"/>
        <w:rPr>
          <w:rFonts w:cs="Arial"/>
          <w:color w:val="000000"/>
          <w:szCs w:val="18"/>
        </w:rPr>
      </w:pPr>
      <w:r w:rsidRPr="00E065E8">
        <w:rPr>
          <w:rFonts w:cs="Arial"/>
          <w:color w:val="000000"/>
          <w:szCs w:val="18"/>
        </w:rPr>
        <w:t xml:space="preserve">The shelf life of energetic materials (EMs) (i.e., explosives, propellants, and pyrotechnics) is strictly linked to safety and functionality. Therefore, a priori knowledge of this parameter is of paramount importance. </w:t>
      </w:r>
      <w:r w:rsidR="00654706" w:rsidRPr="00E065E8">
        <w:rPr>
          <w:rFonts w:cs="Arial"/>
          <w:color w:val="000000"/>
          <w:szCs w:val="18"/>
        </w:rPr>
        <w:t xml:space="preserve">The standard </w:t>
      </w:r>
      <w:r w:rsidR="00D721CF" w:rsidRPr="00E065E8">
        <w:rPr>
          <w:rFonts w:cs="Arial"/>
          <w:color w:val="000000"/>
          <w:szCs w:val="18"/>
        </w:rPr>
        <w:t xml:space="preserve">method </w:t>
      </w:r>
      <w:r w:rsidR="00654706" w:rsidRPr="00E065E8">
        <w:rPr>
          <w:rFonts w:cs="Arial"/>
          <w:color w:val="000000"/>
          <w:szCs w:val="18"/>
        </w:rPr>
        <w:t>for predicting the shelf life of EMs</w:t>
      </w:r>
      <w:r w:rsidR="00D721CF" w:rsidRPr="00E065E8">
        <w:rPr>
          <w:rFonts w:cs="Arial"/>
          <w:color w:val="000000"/>
          <w:szCs w:val="18"/>
        </w:rPr>
        <w:t xml:space="preserve">, the so called </w:t>
      </w:r>
      <w:r w:rsidR="00654706" w:rsidRPr="00E065E8">
        <w:rPr>
          <w:rFonts w:cs="Arial"/>
          <w:color w:val="000000"/>
          <w:szCs w:val="18"/>
        </w:rPr>
        <w:t xml:space="preserve">multi temperature aging method, is tremendously time and money </w:t>
      </w:r>
      <w:r w:rsidR="00DC55D2" w:rsidRPr="00E065E8">
        <w:rPr>
          <w:rFonts w:cs="Arial"/>
          <w:color w:val="000000"/>
          <w:szCs w:val="18"/>
        </w:rPr>
        <w:t>consuming</w:t>
      </w:r>
      <w:r w:rsidR="003467F7" w:rsidRPr="00E065E8">
        <w:rPr>
          <w:rFonts w:cs="Arial"/>
          <w:color w:val="000000"/>
          <w:szCs w:val="18"/>
        </w:rPr>
        <w:t xml:space="preserve">. Specifically, </w:t>
      </w:r>
      <w:r w:rsidR="00361633" w:rsidRPr="00E065E8">
        <w:rPr>
          <w:rFonts w:cs="Arial"/>
          <w:color w:val="000000"/>
          <w:szCs w:val="18"/>
        </w:rPr>
        <w:t>it</w:t>
      </w:r>
      <w:r w:rsidR="003467F7" w:rsidRPr="00E065E8">
        <w:rPr>
          <w:rFonts w:cs="Arial"/>
          <w:color w:val="000000"/>
          <w:szCs w:val="18"/>
        </w:rPr>
        <w:t xml:space="preserve"> consists of massive isothermal accelerated aging tests at temperatures typically between 40 and 80°C for relatively long time periods (from months to years) with different aging time intervals, followed by analysis of the aging-induced changes. A subsequent kinetic analysis with Arrhenius evaluation provides the effective activation energy for calculating shelf life at lower storage temperatures.</w:t>
      </w:r>
      <w:r w:rsidR="00654706" w:rsidRPr="00E065E8">
        <w:rPr>
          <w:rFonts w:cs="Arial"/>
          <w:color w:val="000000"/>
          <w:szCs w:val="18"/>
        </w:rPr>
        <w:t xml:space="preserve"> </w:t>
      </w:r>
      <w:r w:rsidRPr="00E065E8">
        <w:rPr>
          <w:rFonts w:cs="Arial"/>
          <w:color w:val="000000"/>
          <w:szCs w:val="18"/>
        </w:rPr>
        <w:t xml:space="preserve">In this work, a much less time- and resource-intensive approach is </w:t>
      </w:r>
      <w:r w:rsidR="00F842FC" w:rsidRPr="00E065E8">
        <w:rPr>
          <w:rFonts w:cs="Arial"/>
          <w:color w:val="000000"/>
          <w:szCs w:val="18"/>
        </w:rPr>
        <w:t>presented</w:t>
      </w:r>
      <w:r w:rsidRPr="00E065E8">
        <w:rPr>
          <w:rFonts w:cs="Arial"/>
          <w:color w:val="000000"/>
          <w:szCs w:val="18"/>
        </w:rPr>
        <w:t xml:space="preserve"> as a possible alternative for the shelf life prediction of EMs. This approach is based on the kinetic analysis of decomposition data gathered by using thermal analysis techniques</w:t>
      </w:r>
      <w:r w:rsidR="001322BD" w:rsidRPr="00E065E8">
        <w:rPr>
          <w:rFonts w:cs="Arial"/>
          <w:color w:val="000000"/>
          <w:szCs w:val="18"/>
        </w:rPr>
        <w:t>,</w:t>
      </w:r>
      <w:r w:rsidRPr="00E065E8">
        <w:rPr>
          <w:rFonts w:cs="Arial"/>
          <w:color w:val="000000"/>
          <w:szCs w:val="18"/>
        </w:rPr>
        <w:t xml:space="preserve"> which are usually operated under dynamic (i.e., non-isothermal) conditions and possess the advantage of a rapid reaction process</w:t>
      </w:r>
      <w:r w:rsidR="001322BD" w:rsidRPr="00E065E8">
        <w:rPr>
          <w:rFonts w:cs="Arial"/>
          <w:color w:val="000000"/>
          <w:szCs w:val="18"/>
        </w:rPr>
        <w:t>,</w:t>
      </w:r>
      <w:r w:rsidRPr="00E065E8">
        <w:rPr>
          <w:rFonts w:cs="Arial"/>
          <w:color w:val="000000"/>
          <w:szCs w:val="18"/>
        </w:rPr>
        <w:t xml:space="preserve"> and requires accelerated aging tests only to validate the kinetics extracted from such data. </w:t>
      </w:r>
      <w:r w:rsidR="004E1A4C" w:rsidRPr="00E065E8">
        <w:rPr>
          <w:rFonts w:cs="Arial"/>
          <w:color w:val="000000"/>
          <w:szCs w:val="18"/>
        </w:rPr>
        <w:t>R</w:t>
      </w:r>
      <w:r w:rsidRPr="00E065E8">
        <w:rPr>
          <w:rFonts w:cs="Arial"/>
          <w:color w:val="000000"/>
          <w:szCs w:val="18"/>
        </w:rPr>
        <w:t xml:space="preserve">esults </w:t>
      </w:r>
      <w:r w:rsidR="004E1A4C" w:rsidRPr="00E065E8">
        <w:rPr>
          <w:rFonts w:cs="Arial"/>
          <w:color w:val="000000"/>
          <w:szCs w:val="18"/>
        </w:rPr>
        <w:t>from the literature to</w:t>
      </w:r>
      <w:r w:rsidRPr="00E065E8">
        <w:rPr>
          <w:rFonts w:cs="Arial"/>
          <w:color w:val="000000"/>
          <w:szCs w:val="18"/>
        </w:rPr>
        <w:t xml:space="preserve"> support this alternative approach are </w:t>
      </w:r>
      <w:r w:rsidR="00F842FC" w:rsidRPr="00E065E8">
        <w:rPr>
          <w:rFonts w:cs="Arial"/>
          <w:color w:val="000000"/>
          <w:szCs w:val="18"/>
        </w:rPr>
        <w:t>discussed</w:t>
      </w:r>
      <w:bookmarkStart w:id="0" w:name="_Hlk495475023"/>
      <w:r w:rsidR="008C5D0C" w:rsidRPr="00E065E8">
        <w:rPr>
          <w:rFonts w:cs="Arial"/>
          <w:color w:val="000000"/>
          <w:szCs w:val="18"/>
        </w:rPr>
        <w:t xml:space="preserve">, with particular emphasis on </w:t>
      </w:r>
      <w:r w:rsidR="00B139F2" w:rsidRPr="00E065E8">
        <w:rPr>
          <w:rFonts w:cs="Arial"/>
          <w:color w:val="000000"/>
          <w:szCs w:val="18"/>
        </w:rPr>
        <w:t>those obtained by the present authors</w:t>
      </w:r>
      <w:r w:rsidR="00ED2C21" w:rsidRPr="00E065E8">
        <w:rPr>
          <w:rFonts w:cs="Arial"/>
          <w:color w:val="000000"/>
          <w:szCs w:val="18"/>
        </w:rPr>
        <w:t>.</w:t>
      </w:r>
    </w:p>
    <w:bookmarkEnd w:id="0"/>
    <w:p w14:paraId="476B2F2E" w14:textId="3028A464" w:rsidR="00600535" w:rsidRPr="00E065E8" w:rsidRDefault="00600535" w:rsidP="00600535">
      <w:pPr>
        <w:pStyle w:val="CETHeading1"/>
        <w:rPr>
          <w:color w:val="000000"/>
        </w:rPr>
      </w:pPr>
      <w:r w:rsidRPr="00E065E8">
        <w:rPr>
          <w:color w:val="000000"/>
        </w:rPr>
        <w:t>Introduction</w:t>
      </w:r>
    </w:p>
    <w:p w14:paraId="44E61752" w14:textId="2ADC8FCE" w:rsidR="0086434A" w:rsidRPr="00E065E8" w:rsidRDefault="00EB356B" w:rsidP="002C1CB6">
      <w:pPr>
        <w:pStyle w:val="CETBodytext"/>
        <w:rPr>
          <w:rFonts w:cs="Arial"/>
          <w:color w:val="000000"/>
          <w:szCs w:val="18"/>
        </w:rPr>
      </w:pPr>
      <w:r w:rsidRPr="00E065E8">
        <w:rPr>
          <w:rFonts w:cs="Arial"/>
          <w:color w:val="000000"/>
          <w:szCs w:val="18"/>
        </w:rPr>
        <w:t xml:space="preserve">Energetic materials (EMs) (i.e., explosives, propellants, and pyrotechnics) can quickly react to release a huge amount of energy and gas, even in the absence of oxygen. This feature makes them attractive for both military and civilian applications. Unfortunately, EMs are thermodynamically unstable substances – their existence is only due to kinetic reasons. For most of these materials, slow chemical decomposition already occurs at room temperature and even more so at elevated temperatures (as in the case of exposition to fires). </w:t>
      </w:r>
      <w:r w:rsidR="0086434A" w:rsidRPr="00E065E8">
        <w:rPr>
          <w:rFonts w:cs="Arial"/>
          <w:color w:val="000000"/>
          <w:szCs w:val="18"/>
        </w:rPr>
        <w:t>As a rule of thumb, EMs with an activation energy of decomposition higher than 170 kJ mol</w:t>
      </w:r>
      <w:r w:rsidR="0086434A" w:rsidRPr="00E065E8">
        <w:rPr>
          <w:rFonts w:cs="Arial"/>
          <w:color w:val="000000"/>
          <w:szCs w:val="18"/>
          <w:vertAlign w:val="superscript"/>
        </w:rPr>
        <w:t>-1</w:t>
      </w:r>
      <w:r w:rsidR="0086434A" w:rsidRPr="00E065E8">
        <w:rPr>
          <w:rFonts w:cs="Arial"/>
          <w:color w:val="000000"/>
          <w:szCs w:val="18"/>
        </w:rPr>
        <w:t xml:space="preserve"> are stable for thousands of years at room temperature, whereas EMs with an activation energy of decomposition lower than 155 kJ mol</w:t>
      </w:r>
      <w:r w:rsidR="0086434A" w:rsidRPr="00E065E8">
        <w:rPr>
          <w:rFonts w:cs="Arial"/>
          <w:color w:val="000000"/>
          <w:szCs w:val="18"/>
          <w:vertAlign w:val="superscript"/>
        </w:rPr>
        <w:t>-1</w:t>
      </w:r>
      <w:r w:rsidR="0086434A" w:rsidRPr="00E065E8">
        <w:rPr>
          <w:rFonts w:cs="Arial"/>
          <w:color w:val="000000"/>
          <w:szCs w:val="18"/>
        </w:rPr>
        <w:t xml:space="preserve"> have limited thermal stability (</w:t>
      </w:r>
      <w:r w:rsidR="00AB07BA" w:rsidRPr="00E065E8">
        <w:rPr>
          <w:rFonts w:cs="Arial"/>
          <w:color w:val="000000"/>
          <w:szCs w:val="18"/>
        </w:rPr>
        <w:t>Manelis et al., 2003).</w:t>
      </w:r>
      <w:r w:rsidR="00FF0057" w:rsidRPr="00E065E8">
        <w:rPr>
          <w:rFonts w:cs="Arial"/>
          <w:color w:val="000000"/>
          <w:szCs w:val="18"/>
        </w:rPr>
        <w:t xml:space="preserve"> </w:t>
      </w:r>
      <w:r w:rsidRPr="00E065E8">
        <w:rPr>
          <w:rFonts w:cs="Arial"/>
          <w:color w:val="000000"/>
          <w:szCs w:val="18"/>
        </w:rPr>
        <w:t xml:space="preserve">Table 1 quantifies the activation energy of decomposition </w:t>
      </w:r>
      <w:r w:rsidR="000C108E" w:rsidRPr="00E065E8">
        <w:rPr>
          <w:rFonts w:cs="Arial"/>
          <w:color w:val="000000"/>
          <w:szCs w:val="18"/>
        </w:rPr>
        <w:t xml:space="preserve">for different classes of organic EMs. As can be seen from this table, </w:t>
      </w:r>
      <w:r w:rsidRPr="00E065E8">
        <w:rPr>
          <w:rFonts w:cs="Arial"/>
          <w:color w:val="000000"/>
          <w:szCs w:val="18"/>
        </w:rPr>
        <w:t>aromatic and aliphatic nitro compounds, secondary nitramines, and organic azides are relatively stable, whereas aliphatic nitrate esters suffer from much lower stability.</w:t>
      </w:r>
    </w:p>
    <w:p w14:paraId="2223DF89" w14:textId="77777777" w:rsidR="000C108E" w:rsidRPr="00E065E8" w:rsidRDefault="000C108E" w:rsidP="000C108E">
      <w:pPr>
        <w:pStyle w:val="CETBodytext"/>
        <w:rPr>
          <w:rFonts w:cs="Arial"/>
          <w:color w:val="000000"/>
          <w:szCs w:val="18"/>
        </w:rPr>
      </w:pPr>
      <w:r w:rsidRPr="00E065E8">
        <w:rPr>
          <w:rFonts w:cs="Arial"/>
          <w:color w:val="000000"/>
          <w:szCs w:val="18"/>
        </w:rPr>
        <w:t>The occurrence of decomposition causes the aging of EMs with the consequent compromise of storage and handling safety as well of functionality. Therefore, a priori knowledge of the shelf life of EMs, i.e., the time interval during which they can be stored, handled, and used without any danger, is of paramount importance.</w:t>
      </w:r>
    </w:p>
    <w:p w14:paraId="55434776" w14:textId="1E08AA12" w:rsidR="000C108E" w:rsidRPr="00E065E8" w:rsidRDefault="00012C21" w:rsidP="000C108E">
      <w:pPr>
        <w:pStyle w:val="CETBodytext"/>
        <w:rPr>
          <w:rFonts w:cs="Arial"/>
          <w:color w:val="000000"/>
          <w:szCs w:val="18"/>
        </w:rPr>
      </w:pPr>
      <w:r w:rsidRPr="00E065E8">
        <w:rPr>
          <w:rFonts w:cs="Arial"/>
          <w:color w:val="000000"/>
          <w:szCs w:val="18"/>
        </w:rPr>
        <w:t xml:space="preserve">In </w:t>
      </w:r>
      <w:r w:rsidR="006D0972" w:rsidRPr="00E065E8">
        <w:rPr>
          <w:rFonts w:cs="Arial"/>
          <w:color w:val="000000"/>
          <w:szCs w:val="18"/>
        </w:rPr>
        <w:t>order</w:t>
      </w:r>
      <w:r w:rsidRPr="00E065E8">
        <w:rPr>
          <w:rFonts w:cs="Arial"/>
          <w:color w:val="000000"/>
          <w:szCs w:val="18"/>
        </w:rPr>
        <w:t xml:space="preserve"> t</w:t>
      </w:r>
      <w:r w:rsidR="000C108E" w:rsidRPr="00E065E8">
        <w:rPr>
          <w:rFonts w:cs="Arial"/>
          <w:color w:val="000000"/>
          <w:szCs w:val="18"/>
        </w:rPr>
        <w:t xml:space="preserve">o reduce the time scale for aging studies, </w:t>
      </w:r>
      <w:r w:rsidR="004C2408" w:rsidRPr="00E065E8">
        <w:rPr>
          <w:rFonts w:cs="Arial"/>
          <w:color w:val="000000"/>
          <w:szCs w:val="18"/>
        </w:rPr>
        <w:t xml:space="preserve">which are relevant regarding assessing the safe and reliable use of EMs, </w:t>
      </w:r>
      <w:r w:rsidR="000C108E" w:rsidRPr="00E065E8">
        <w:rPr>
          <w:rFonts w:cs="Arial"/>
          <w:color w:val="000000"/>
          <w:szCs w:val="18"/>
        </w:rPr>
        <w:t xml:space="preserve">accelerated aging tests (i.e., artificial aging tests at temperatures higher than ambient temperature) are generally </w:t>
      </w:r>
      <w:r w:rsidR="006F2D3D" w:rsidRPr="00E065E8">
        <w:rPr>
          <w:rFonts w:cs="Arial"/>
          <w:color w:val="000000"/>
          <w:szCs w:val="18"/>
        </w:rPr>
        <w:t>used</w:t>
      </w:r>
      <w:r w:rsidR="000C108E" w:rsidRPr="00E065E8">
        <w:rPr>
          <w:rFonts w:cs="Arial"/>
          <w:color w:val="000000"/>
          <w:szCs w:val="18"/>
        </w:rPr>
        <w:t xml:space="preserve">. Among the stability test methods based on accelerated aging, the multi temperature aging method is the only method that allows for predicting shelf life (Vogelsanger, 2004). Specifically, this method consists of massive isothermal accelerated aging tests at temperatures typically between 40 and 80°C for </w:t>
      </w:r>
      <w:r w:rsidR="000C108E" w:rsidRPr="00E065E8">
        <w:rPr>
          <w:rFonts w:cs="Arial"/>
          <w:color w:val="000000"/>
          <w:szCs w:val="18"/>
        </w:rPr>
        <w:lastRenderedPageBreak/>
        <w:t xml:space="preserve">relatively long time periods (from months to years) with different aging time intervals, followed by analysis of the aging-induced changes. A subsequent kinetic analysis with Arrhenius evaluation provides the effective activation energy for calculating shelf life at lower storage temperatures. An example of the practical application of this approach to a nitrocellulose-based propellant can be found in NATO-AOP 48 Ed. 2 (2008). The accelerated aging process of the propellant was tracked using measurements of the content of the stabilizer performed by high performance liquid chromatography (HPLC) analysis. </w:t>
      </w:r>
      <w:r w:rsidR="00983269" w:rsidRPr="00E065E8">
        <w:rPr>
          <w:rFonts w:cs="Arial"/>
          <w:color w:val="000000"/>
          <w:szCs w:val="18"/>
        </w:rPr>
        <w:t>The</w:t>
      </w:r>
      <w:r w:rsidR="000C108E" w:rsidRPr="00E065E8">
        <w:rPr>
          <w:rFonts w:cs="Arial"/>
          <w:color w:val="000000"/>
          <w:szCs w:val="18"/>
        </w:rPr>
        <w:t xml:space="preserve"> content of the stabilizer was measured after accelerated aging for up to 6, 23, and 91 days at 80, 70, and 60°C, respectively. The kinetic evaluation gave the best fit for reaction order n = 0.58. The obtained activation energy value (135.3 kJ mol</w:t>
      </w:r>
      <w:r w:rsidR="000C108E" w:rsidRPr="00E065E8">
        <w:rPr>
          <w:rFonts w:cs="Arial"/>
          <w:color w:val="000000"/>
          <w:szCs w:val="18"/>
          <w:vertAlign w:val="superscript"/>
        </w:rPr>
        <w:t>-1</w:t>
      </w:r>
      <w:r w:rsidR="000C108E" w:rsidRPr="00E065E8">
        <w:rPr>
          <w:rFonts w:cs="Arial"/>
          <w:color w:val="000000"/>
          <w:szCs w:val="18"/>
        </w:rPr>
        <w:t>) allowed reliable extrapolation to lower temperatures. Thus, a shelf life of 41 years at 25°C was calculated, with the failure criterion defined as a 50% decrease in the content of the stabilizer.</w:t>
      </w:r>
    </w:p>
    <w:p w14:paraId="010B2660" w14:textId="2905DC57" w:rsidR="00BE2573" w:rsidRPr="00E065E8" w:rsidRDefault="00BE2573" w:rsidP="00102088">
      <w:pPr>
        <w:pStyle w:val="CETTabletitle"/>
        <w:rPr>
          <w:i w:val="0"/>
          <w:color w:val="000000"/>
          <w:lang w:val="en-US"/>
        </w:rPr>
      </w:pPr>
      <w:r w:rsidRPr="00E065E8">
        <w:rPr>
          <w:color w:val="000000"/>
          <w:lang w:val="en-US"/>
        </w:rPr>
        <w:t xml:space="preserve">Table 1: </w:t>
      </w:r>
      <w:r w:rsidR="00B911F8" w:rsidRPr="00E065E8">
        <w:rPr>
          <w:color w:val="000000"/>
          <w:lang w:val="en-US"/>
        </w:rPr>
        <w:t xml:space="preserve">Activation energy of </w:t>
      </w:r>
      <w:r w:rsidR="00B911F8" w:rsidRPr="00102088">
        <w:t>decomposition</w:t>
      </w:r>
      <w:r w:rsidR="00B911F8" w:rsidRPr="00E065E8">
        <w:rPr>
          <w:color w:val="000000"/>
          <w:lang w:val="en-US"/>
        </w:rPr>
        <w:t xml:space="preserve"> for different classes of organic EMs</w:t>
      </w:r>
      <w:r w:rsidRPr="00E065E8">
        <w:rPr>
          <w:color w:val="000000"/>
          <w:lang w:val="en-US"/>
        </w:rPr>
        <w:t>.</w:t>
      </w:r>
    </w:p>
    <w:tbl>
      <w:tblPr>
        <w:tblW w:w="3334"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29"/>
        <w:gridCol w:w="2930"/>
      </w:tblGrid>
      <w:tr w:rsidR="00E065E8" w:rsidRPr="00E065E8" w14:paraId="42AACCE6" w14:textId="77777777" w:rsidTr="008404E5">
        <w:tc>
          <w:tcPr>
            <w:tcW w:w="2500" w:type="pct"/>
            <w:tcBorders>
              <w:top w:val="single" w:sz="12" w:space="0" w:color="008000"/>
              <w:bottom w:val="single" w:sz="6" w:space="0" w:color="008000"/>
            </w:tcBorders>
            <w:shd w:val="clear" w:color="auto" w:fill="FFFFFF"/>
          </w:tcPr>
          <w:p w14:paraId="23CBEFF7" w14:textId="57E4A7DF" w:rsidR="008404E5" w:rsidRPr="00E065E8" w:rsidRDefault="008404E5" w:rsidP="00D77368">
            <w:pPr>
              <w:rPr>
                <w:color w:val="000000"/>
                <w:lang w:val="en-US"/>
              </w:rPr>
            </w:pPr>
            <w:r w:rsidRPr="00E065E8">
              <w:rPr>
                <w:color w:val="000000"/>
                <w:lang w:val="en-US"/>
              </w:rPr>
              <w:t>Class of Organic EMs</w:t>
            </w:r>
          </w:p>
        </w:tc>
        <w:tc>
          <w:tcPr>
            <w:tcW w:w="2500" w:type="pct"/>
            <w:tcBorders>
              <w:top w:val="single" w:sz="12" w:space="0" w:color="008000"/>
              <w:bottom w:val="single" w:sz="6" w:space="0" w:color="008000"/>
            </w:tcBorders>
            <w:shd w:val="clear" w:color="auto" w:fill="FFFFFF"/>
          </w:tcPr>
          <w:p w14:paraId="61C1AE52" w14:textId="212C0D14" w:rsidR="008404E5" w:rsidRPr="00E065E8" w:rsidRDefault="008404E5" w:rsidP="00D77368">
            <w:pPr>
              <w:rPr>
                <w:color w:val="000000"/>
                <w:lang w:val="en-US"/>
              </w:rPr>
            </w:pPr>
            <w:r w:rsidRPr="00E065E8">
              <w:rPr>
                <w:color w:val="000000"/>
                <w:lang w:val="en-US"/>
              </w:rPr>
              <w:t xml:space="preserve">Activation Energy of </w:t>
            </w:r>
            <w:r w:rsidR="00CB76E9" w:rsidRPr="00E065E8">
              <w:rPr>
                <w:color w:val="000000"/>
                <w:lang w:val="en-US"/>
              </w:rPr>
              <w:t>Decomposition</w:t>
            </w:r>
            <w:r w:rsidRPr="00E065E8">
              <w:rPr>
                <w:color w:val="000000"/>
                <w:lang w:val="en-US"/>
              </w:rPr>
              <w:t xml:space="preserve"> (</w:t>
            </w:r>
            <w:r w:rsidR="000611B2" w:rsidRPr="00E065E8">
              <w:rPr>
                <w:color w:val="000000"/>
                <w:lang w:val="en-US"/>
              </w:rPr>
              <w:t>kJ mol</w:t>
            </w:r>
            <w:r w:rsidR="000611B2" w:rsidRPr="00E065E8">
              <w:rPr>
                <w:color w:val="000000"/>
                <w:vertAlign w:val="superscript"/>
                <w:lang w:val="en-US"/>
              </w:rPr>
              <w:t>-1</w:t>
            </w:r>
            <w:r w:rsidRPr="00E065E8">
              <w:rPr>
                <w:color w:val="000000"/>
                <w:lang w:val="en-US"/>
              </w:rPr>
              <w:t>)</w:t>
            </w:r>
            <w:r w:rsidR="001F166D" w:rsidRPr="00E065E8">
              <w:rPr>
                <w:color w:val="000000"/>
                <w:lang w:val="en-US"/>
              </w:rPr>
              <w:t>*</w:t>
            </w:r>
          </w:p>
        </w:tc>
      </w:tr>
      <w:tr w:rsidR="00E065E8" w:rsidRPr="00E065E8" w14:paraId="2FDF8F77" w14:textId="77777777" w:rsidTr="008404E5">
        <w:tc>
          <w:tcPr>
            <w:tcW w:w="2500" w:type="pct"/>
            <w:shd w:val="clear" w:color="auto" w:fill="FFFFFF"/>
          </w:tcPr>
          <w:p w14:paraId="5EFC09DD" w14:textId="0228DDB9" w:rsidR="008404E5" w:rsidRPr="00E065E8" w:rsidRDefault="006F2D3D" w:rsidP="00D77368">
            <w:pPr>
              <w:rPr>
                <w:rFonts w:cs="Arial"/>
                <w:color w:val="000000"/>
                <w:szCs w:val="18"/>
                <w:shd w:val="clear" w:color="auto" w:fill="FFFFFF"/>
                <w:lang w:val="en-US"/>
              </w:rPr>
            </w:pPr>
            <w:r w:rsidRPr="00E065E8">
              <w:rPr>
                <w:rFonts w:cs="Arial"/>
                <w:color w:val="000000"/>
                <w:szCs w:val="18"/>
                <w:shd w:val="clear" w:color="auto" w:fill="FFFFFF"/>
                <w:lang w:val="en-US"/>
              </w:rPr>
              <w:t>Aromatic nitro compounds</w:t>
            </w:r>
          </w:p>
        </w:tc>
        <w:tc>
          <w:tcPr>
            <w:tcW w:w="2500" w:type="pct"/>
            <w:shd w:val="clear" w:color="auto" w:fill="FFFFFF"/>
          </w:tcPr>
          <w:p w14:paraId="06135CE6" w14:textId="5DA78BA1" w:rsidR="008404E5" w:rsidRPr="00E065E8" w:rsidRDefault="007B0687" w:rsidP="00736196">
            <w:pPr>
              <w:rPr>
                <w:rFonts w:cs="Arial"/>
                <w:color w:val="000000"/>
                <w:szCs w:val="18"/>
                <w:shd w:val="clear" w:color="auto" w:fill="FFFFFF"/>
                <w:lang w:val="en-US"/>
              </w:rPr>
            </w:pPr>
            <w:r w:rsidRPr="00E065E8">
              <w:rPr>
                <w:rFonts w:cs="Arial"/>
                <w:color w:val="000000"/>
                <w:szCs w:val="18"/>
                <w:shd w:val="clear" w:color="auto" w:fill="FFFFFF"/>
                <w:lang w:val="en-US"/>
              </w:rPr>
              <w:t>190</w:t>
            </w:r>
            <w:r w:rsidR="00736196" w:rsidRPr="00E065E8">
              <w:rPr>
                <w:rFonts w:cs="Arial"/>
                <w:color w:val="000000"/>
                <w:szCs w:val="18"/>
                <w:shd w:val="clear" w:color="auto" w:fill="FFFFFF"/>
                <w:lang w:val="en-US"/>
              </w:rPr>
              <w:t>–</w:t>
            </w:r>
            <w:r w:rsidRPr="00E065E8">
              <w:rPr>
                <w:rFonts w:cs="Arial"/>
                <w:color w:val="000000"/>
                <w:szCs w:val="18"/>
                <w:shd w:val="clear" w:color="auto" w:fill="FFFFFF"/>
                <w:lang w:val="en-US"/>
              </w:rPr>
              <w:t>290</w:t>
            </w:r>
          </w:p>
        </w:tc>
      </w:tr>
      <w:tr w:rsidR="00E065E8" w:rsidRPr="00E065E8" w14:paraId="63D014E3" w14:textId="77777777" w:rsidTr="008404E5">
        <w:tc>
          <w:tcPr>
            <w:tcW w:w="2500" w:type="pct"/>
            <w:shd w:val="clear" w:color="auto" w:fill="FFFFFF"/>
          </w:tcPr>
          <w:p w14:paraId="33597260" w14:textId="29520FC8" w:rsidR="008404E5" w:rsidRPr="00E065E8" w:rsidRDefault="006F2D3D" w:rsidP="00D77368">
            <w:pPr>
              <w:rPr>
                <w:rFonts w:cs="Arial"/>
                <w:color w:val="000000"/>
                <w:szCs w:val="18"/>
                <w:shd w:val="clear" w:color="auto" w:fill="FFFFFF"/>
                <w:lang w:val="en-US"/>
              </w:rPr>
            </w:pPr>
            <w:r w:rsidRPr="00E065E8">
              <w:rPr>
                <w:rFonts w:cs="Arial"/>
                <w:color w:val="000000"/>
                <w:szCs w:val="18"/>
                <w:shd w:val="clear" w:color="auto" w:fill="FFFFFF"/>
                <w:lang w:val="en-US"/>
              </w:rPr>
              <w:t>Aliphatic nitro compounds</w:t>
            </w:r>
          </w:p>
        </w:tc>
        <w:tc>
          <w:tcPr>
            <w:tcW w:w="2500" w:type="pct"/>
            <w:shd w:val="clear" w:color="auto" w:fill="FFFFFF"/>
          </w:tcPr>
          <w:p w14:paraId="09858F1E" w14:textId="7FA47547" w:rsidR="008404E5" w:rsidRPr="00E065E8" w:rsidRDefault="007B0687" w:rsidP="00736196">
            <w:pPr>
              <w:rPr>
                <w:rFonts w:cs="Arial"/>
                <w:color w:val="000000"/>
                <w:szCs w:val="18"/>
                <w:shd w:val="clear" w:color="auto" w:fill="FFFFFF"/>
                <w:lang w:val="en-US"/>
              </w:rPr>
            </w:pPr>
            <w:r w:rsidRPr="00E065E8">
              <w:rPr>
                <w:rFonts w:cs="Arial"/>
                <w:color w:val="000000"/>
                <w:szCs w:val="18"/>
                <w:shd w:val="clear" w:color="auto" w:fill="FFFFFF"/>
                <w:lang w:val="en-US"/>
              </w:rPr>
              <w:t>230</w:t>
            </w:r>
            <w:r w:rsidR="00736196" w:rsidRPr="00E065E8">
              <w:rPr>
                <w:rFonts w:cs="Arial"/>
                <w:color w:val="000000"/>
                <w:szCs w:val="18"/>
                <w:shd w:val="clear" w:color="auto" w:fill="FFFFFF"/>
                <w:lang w:val="en-US"/>
              </w:rPr>
              <w:t>–</w:t>
            </w:r>
            <w:r w:rsidRPr="00E065E8">
              <w:rPr>
                <w:rFonts w:cs="Arial"/>
                <w:color w:val="000000"/>
                <w:szCs w:val="18"/>
                <w:shd w:val="clear" w:color="auto" w:fill="FFFFFF"/>
                <w:lang w:val="en-US"/>
              </w:rPr>
              <w:t>260</w:t>
            </w:r>
          </w:p>
        </w:tc>
      </w:tr>
      <w:tr w:rsidR="00E065E8" w:rsidRPr="00E065E8" w14:paraId="24A01453" w14:textId="77777777" w:rsidTr="008404E5">
        <w:tc>
          <w:tcPr>
            <w:tcW w:w="2500" w:type="pct"/>
            <w:shd w:val="clear" w:color="auto" w:fill="FFFFFF"/>
          </w:tcPr>
          <w:p w14:paraId="2D8366A7" w14:textId="311BE6BE" w:rsidR="008404E5" w:rsidRPr="00E065E8" w:rsidRDefault="006F2D3D" w:rsidP="00D77368">
            <w:pPr>
              <w:rPr>
                <w:rFonts w:cs="Arial"/>
                <w:color w:val="000000"/>
                <w:szCs w:val="18"/>
                <w:shd w:val="clear" w:color="auto" w:fill="FFFFFF"/>
                <w:lang w:val="en-US"/>
              </w:rPr>
            </w:pPr>
            <w:r w:rsidRPr="00E065E8">
              <w:rPr>
                <w:rFonts w:cs="Arial"/>
                <w:color w:val="000000"/>
                <w:szCs w:val="18"/>
                <w:shd w:val="clear" w:color="auto" w:fill="FFFFFF"/>
                <w:lang w:val="en-US"/>
              </w:rPr>
              <w:t>Secondary nitramines</w:t>
            </w:r>
          </w:p>
        </w:tc>
        <w:tc>
          <w:tcPr>
            <w:tcW w:w="2500" w:type="pct"/>
            <w:shd w:val="clear" w:color="auto" w:fill="FFFFFF"/>
          </w:tcPr>
          <w:p w14:paraId="2505D901" w14:textId="3175792C" w:rsidR="008404E5" w:rsidRPr="00E065E8" w:rsidRDefault="007B0687" w:rsidP="00736196">
            <w:pPr>
              <w:rPr>
                <w:rFonts w:cs="Arial"/>
                <w:color w:val="000000"/>
                <w:szCs w:val="18"/>
                <w:shd w:val="clear" w:color="auto" w:fill="FFFFFF"/>
                <w:lang w:val="en-US"/>
              </w:rPr>
            </w:pPr>
            <w:r w:rsidRPr="00E065E8">
              <w:rPr>
                <w:rFonts w:cs="Arial"/>
                <w:color w:val="000000"/>
                <w:szCs w:val="18"/>
                <w:shd w:val="clear" w:color="auto" w:fill="FFFFFF"/>
                <w:lang w:val="en-US"/>
              </w:rPr>
              <w:t>170</w:t>
            </w:r>
            <w:r w:rsidR="00736196" w:rsidRPr="00E065E8">
              <w:rPr>
                <w:rFonts w:cs="Arial"/>
                <w:color w:val="000000"/>
                <w:szCs w:val="18"/>
                <w:shd w:val="clear" w:color="auto" w:fill="FFFFFF"/>
                <w:lang w:val="en-US"/>
              </w:rPr>
              <w:t>–</w:t>
            </w:r>
            <w:r w:rsidRPr="00E065E8">
              <w:rPr>
                <w:rFonts w:cs="Arial"/>
                <w:color w:val="000000"/>
                <w:szCs w:val="18"/>
                <w:shd w:val="clear" w:color="auto" w:fill="FFFFFF"/>
                <w:lang w:val="en-US"/>
              </w:rPr>
              <w:t>200</w:t>
            </w:r>
          </w:p>
        </w:tc>
      </w:tr>
      <w:tr w:rsidR="00E065E8" w:rsidRPr="00E065E8" w14:paraId="27102705" w14:textId="77777777" w:rsidTr="008404E5">
        <w:tc>
          <w:tcPr>
            <w:tcW w:w="2500" w:type="pct"/>
            <w:shd w:val="clear" w:color="auto" w:fill="FFFFFF"/>
          </w:tcPr>
          <w:p w14:paraId="2C388A19" w14:textId="426F0EE9" w:rsidR="008404E5" w:rsidRPr="00E065E8" w:rsidRDefault="006F2D3D" w:rsidP="00D77368">
            <w:pPr>
              <w:rPr>
                <w:rFonts w:cs="Arial"/>
                <w:color w:val="000000"/>
                <w:szCs w:val="18"/>
                <w:shd w:val="clear" w:color="auto" w:fill="FFFFFF"/>
                <w:lang w:val="en-US"/>
              </w:rPr>
            </w:pPr>
            <w:r w:rsidRPr="00E065E8">
              <w:rPr>
                <w:rFonts w:cs="Arial"/>
                <w:color w:val="000000"/>
                <w:szCs w:val="18"/>
                <w:shd w:val="clear" w:color="auto" w:fill="FFFFFF"/>
                <w:lang w:val="en-US"/>
              </w:rPr>
              <w:t>Organic azides</w:t>
            </w:r>
          </w:p>
        </w:tc>
        <w:tc>
          <w:tcPr>
            <w:tcW w:w="2500" w:type="pct"/>
            <w:shd w:val="clear" w:color="auto" w:fill="FFFFFF"/>
          </w:tcPr>
          <w:p w14:paraId="1016A1AC" w14:textId="31326F60" w:rsidR="008404E5" w:rsidRPr="00E065E8" w:rsidRDefault="007B0687" w:rsidP="00736196">
            <w:pPr>
              <w:rPr>
                <w:rFonts w:cs="Arial"/>
                <w:color w:val="000000"/>
                <w:szCs w:val="18"/>
                <w:shd w:val="clear" w:color="auto" w:fill="FFFFFF"/>
                <w:lang w:val="en-US"/>
              </w:rPr>
            </w:pPr>
            <w:r w:rsidRPr="00E065E8">
              <w:rPr>
                <w:rFonts w:cs="Arial"/>
                <w:color w:val="000000"/>
                <w:szCs w:val="18"/>
                <w:shd w:val="clear" w:color="auto" w:fill="FFFFFF"/>
                <w:lang w:val="en-US"/>
              </w:rPr>
              <w:t>165</w:t>
            </w:r>
            <w:r w:rsidR="00736196" w:rsidRPr="00E065E8">
              <w:rPr>
                <w:rFonts w:cs="Arial"/>
                <w:color w:val="000000"/>
                <w:szCs w:val="18"/>
                <w:shd w:val="clear" w:color="auto" w:fill="FFFFFF"/>
                <w:lang w:val="en-US"/>
              </w:rPr>
              <w:t>–</w:t>
            </w:r>
            <w:r w:rsidRPr="00E065E8">
              <w:rPr>
                <w:rFonts w:cs="Arial"/>
                <w:color w:val="000000"/>
                <w:szCs w:val="18"/>
                <w:shd w:val="clear" w:color="auto" w:fill="FFFFFF"/>
                <w:lang w:val="en-US"/>
              </w:rPr>
              <w:t>170</w:t>
            </w:r>
          </w:p>
        </w:tc>
      </w:tr>
      <w:tr w:rsidR="00E065E8" w:rsidRPr="00E065E8" w14:paraId="5C36153D" w14:textId="77777777" w:rsidTr="008404E5">
        <w:tc>
          <w:tcPr>
            <w:tcW w:w="2500" w:type="pct"/>
            <w:shd w:val="clear" w:color="auto" w:fill="FFFFFF"/>
          </w:tcPr>
          <w:p w14:paraId="31B5ADE1" w14:textId="75B29E6C" w:rsidR="008404E5" w:rsidRPr="00E065E8" w:rsidRDefault="006F2D3D" w:rsidP="006F2D3D">
            <w:pPr>
              <w:rPr>
                <w:rFonts w:cs="Arial"/>
                <w:color w:val="000000"/>
                <w:szCs w:val="18"/>
                <w:shd w:val="clear" w:color="auto" w:fill="FFFFFF"/>
                <w:lang w:val="en-US"/>
              </w:rPr>
            </w:pPr>
            <w:r w:rsidRPr="00E065E8">
              <w:rPr>
                <w:rFonts w:cs="Arial"/>
                <w:color w:val="000000"/>
                <w:szCs w:val="18"/>
                <w:shd w:val="clear" w:color="auto" w:fill="FFFFFF"/>
                <w:lang w:val="en-US"/>
              </w:rPr>
              <w:t>Aliphatic nitrate esters</w:t>
            </w:r>
          </w:p>
        </w:tc>
        <w:tc>
          <w:tcPr>
            <w:tcW w:w="2500" w:type="pct"/>
            <w:shd w:val="clear" w:color="auto" w:fill="FFFFFF"/>
          </w:tcPr>
          <w:p w14:paraId="21DC5A05" w14:textId="1647B660" w:rsidR="008404E5" w:rsidRPr="00E065E8" w:rsidRDefault="00485837" w:rsidP="00736196">
            <w:pPr>
              <w:rPr>
                <w:rFonts w:cs="Arial"/>
                <w:color w:val="000000"/>
                <w:szCs w:val="18"/>
                <w:shd w:val="clear" w:color="auto" w:fill="FFFFFF"/>
                <w:lang w:val="en-US"/>
              </w:rPr>
            </w:pPr>
            <w:r w:rsidRPr="00E065E8">
              <w:rPr>
                <w:rFonts w:cs="Arial"/>
                <w:color w:val="000000"/>
                <w:szCs w:val="18"/>
                <w:shd w:val="clear" w:color="auto" w:fill="FFFFFF"/>
                <w:lang w:val="en-US"/>
              </w:rPr>
              <w:t>155</w:t>
            </w:r>
            <w:r w:rsidR="00736196" w:rsidRPr="00E065E8">
              <w:rPr>
                <w:rFonts w:cs="Arial"/>
                <w:color w:val="000000"/>
                <w:szCs w:val="18"/>
                <w:shd w:val="clear" w:color="auto" w:fill="FFFFFF"/>
                <w:lang w:val="en-US"/>
              </w:rPr>
              <w:t>–</w:t>
            </w:r>
            <w:r w:rsidRPr="00E065E8">
              <w:rPr>
                <w:rFonts w:cs="Arial"/>
                <w:color w:val="000000"/>
                <w:szCs w:val="18"/>
                <w:shd w:val="clear" w:color="auto" w:fill="FFFFFF"/>
                <w:lang w:val="en-US"/>
              </w:rPr>
              <w:t>190</w:t>
            </w:r>
          </w:p>
        </w:tc>
      </w:tr>
    </w:tbl>
    <w:p w14:paraId="3C688561" w14:textId="544ED288" w:rsidR="001F166D" w:rsidRPr="00E065E8" w:rsidRDefault="001F166D" w:rsidP="00E70BE9">
      <w:pPr>
        <w:pStyle w:val="CETBodytext"/>
        <w:spacing w:after="240"/>
        <w:rPr>
          <w:color w:val="000000"/>
        </w:rPr>
      </w:pPr>
      <w:r w:rsidRPr="00E065E8">
        <w:rPr>
          <w:color w:val="000000"/>
        </w:rPr>
        <w:t xml:space="preserve">* </w:t>
      </w:r>
      <w:r w:rsidR="00286D4A" w:rsidRPr="00E065E8">
        <w:rPr>
          <w:i/>
          <w:color w:val="000000"/>
        </w:rPr>
        <w:t>Values</w:t>
      </w:r>
      <w:r w:rsidRPr="00E065E8">
        <w:rPr>
          <w:i/>
          <w:color w:val="000000"/>
        </w:rPr>
        <w:t xml:space="preserve"> taken from Vogelsanger (2004)</w:t>
      </w:r>
    </w:p>
    <w:p w14:paraId="7791D671" w14:textId="533BE90D" w:rsidR="00D84C1C" w:rsidRPr="00E065E8" w:rsidRDefault="00D84C1C" w:rsidP="00386C30">
      <w:pPr>
        <w:pStyle w:val="CETBodytext"/>
        <w:rPr>
          <w:rFonts w:cs="Arial"/>
          <w:color w:val="000000"/>
          <w:szCs w:val="18"/>
        </w:rPr>
      </w:pPr>
      <w:r w:rsidRPr="00E065E8">
        <w:rPr>
          <w:rFonts w:cs="Arial"/>
          <w:color w:val="000000"/>
          <w:szCs w:val="18"/>
        </w:rPr>
        <w:t>The multi temperature aging method suffers from some important limitations, including its difficult application to non-isothermal aging (Dubois and Perreault, 2002). Furthermore, it is tremendously time and money consuming. More effective approaches for predicting the shelf life of EMs are therefore necessary.</w:t>
      </w:r>
    </w:p>
    <w:p w14:paraId="70D66A83" w14:textId="79DBE1FB" w:rsidR="00ED2C21" w:rsidRPr="00E065E8" w:rsidRDefault="00920FBD" w:rsidP="00D71DA4">
      <w:pPr>
        <w:pStyle w:val="CETBodytext"/>
        <w:rPr>
          <w:rFonts w:cs="Arial"/>
          <w:color w:val="000000"/>
          <w:szCs w:val="18"/>
        </w:rPr>
      </w:pPr>
      <w:r w:rsidRPr="00E065E8">
        <w:rPr>
          <w:rFonts w:cs="Arial"/>
          <w:color w:val="000000"/>
          <w:szCs w:val="18"/>
        </w:rPr>
        <w:t xml:space="preserve">Different thermal analysis techniques, such as thermogravimetry (TG), differential thermal analysis (DTA), and differential scanning calorimetry (DSC), have been widely used to investigate the decomposition of EMs, even as simultaneous techniques (i.e., TG/DTA and TG/DSC) and in combination with mass spectrometry (MS) and/or Fourier-transform infrared spectroscopy (FTIR) (these latter for identifying the reaction products) (Benhammada and Trache, 2020; Liu, 2021; EL-Sayed, 2022). These techniques are usually operated under dynamic (i.e., non-isothermal) conditions and possess the advantage of a rapid reaction process. The kinetics of the thermal decomposition of EMs can be extracted from thermal analysis data and, once their reliability for extrapolation outside the range of calibration has been </w:t>
      </w:r>
      <w:r w:rsidR="00C854D6" w:rsidRPr="00E065E8">
        <w:rPr>
          <w:rFonts w:cs="Arial"/>
          <w:color w:val="000000"/>
          <w:szCs w:val="18"/>
        </w:rPr>
        <w:t>thoroughly</w:t>
      </w:r>
      <w:r w:rsidRPr="00E065E8">
        <w:rPr>
          <w:rFonts w:cs="Arial"/>
          <w:color w:val="000000"/>
          <w:szCs w:val="18"/>
        </w:rPr>
        <w:t xml:space="preserve"> assessed, used to predict the shelf life</w:t>
      </w:r>
      <w:r w:rsidR="00CD2DDD" w:rsidRPr="00E065E8">
        <w:rPr>
          <w:rFonts w:cs="Arial"/>
          <w:color w:val="000000"/>
          <w:szCs w:val="18"/>
        </w:rPr>
        <w:t xml:space="preserve"> </w:t>
      </w:r>
      <w:r w:rsidR="001B2FDD" w:rsidRPr="00E065E8">
        <w:rPr>
          <w:rFonts w:cs="Arial"/>
          <w:color w:val="000000"/>
          <w:szCs w:val="18"/>
        </w:rPr>
        <w:t>–</w:t>
      </w:r>
      <w:r w:rsidR="00CD2DDD" w:rsidRPr="00E065E8">
        <w:rPr>
          <w:rFonts w:cs="Arial"/>
          <w:color w:val="000000"/>
          <w:szCs w:val="18"/>
        </w:rPr>
        <w:t xml:space="preserve"> t</w:t>
      </w:r>
      <w:r w:rsidRPr="00E065E8">
        <w:rPr>
          <w:rFonts w:cs="Arial"/>
          <w:color w:val="000000"/>
          <w:szCs w:val="18"/>
        </w:rPr>
        <w:t xml:space="preserve">o this end, the failure threshold needs to be defined as a function of the limiting extent of conversion. In this work, this much less time- and resource-intensive approach is </w:t>
      </w:r>
      <w:r w:rsidR="0035033E" w:rsidRPr="00E065E8">
        <w:rPr>
          <w:rFonts w:cs="Arial"/>
          <w:color w:val="000000"/>
          <w:szCs w:val="18"/>
        </w:rPr>
        <w:t>presented</w:t>
      </w:r>
      <w:r w:rsidRPr="00E065E8">
        <w:rPr>
          <w:rFonts w:cs="Arial"/>
          <w:color w:val="000000"/>
          <w:szCs w:val="18"/>
        </w:rPr>
        <w:t xml:space="preserve"> as a possible alternative for the shelf life prediction of EMs. </w:t>
      </w:r>
      <w:r w:rsidR="005C3396" w:rsidRPr="00E065E8">
        <w:rPr>
          <w:rFonts w:cs="Arial"/>
          <w:color w:val="000000"/>
          <w:szCs w:val="18"/>
        </w:rPr>
        <w:t>Results from the literature to support this alternative approach are discussed, with particular emphasis on those obtained by the present authors.</w:t>
      </w:r>
    </w:p>
    <w:p w14:paraId="4282A5DD" w14:textId="5CCB9E93" w:rsidR="00DE6789" w:rsidRPr="00E065E8" w:rsidRDefault="00DE6789" w:rsidP="006C131A">
      <w:pPr>
        <w:pStyle w:val="CETHeading1"/>
        <w:rPr>
          <w:color w:val="000000"/>
        </w:rPr>
      </w:pPr>
      <w:r w:rsidRPr="00E065E8">
        <w:rPr>
          <w:color w:val="000000"/>
        </w:rPr>
        <w:t>Results</w:t>
      </w:r>
      <w:r w:rsidR="00135AE4" w:rsidRPr="00E065E8">
        <w:rPr>
          <w:color w:val="000000"/>
        </w:rPr>
        <w:t xml:space="preserve"> from the Literature</w:t>
      </w:r>
    </w:p>
    <w:p w14:paraId="0C04BB35" w14:textId="2EB0C219" w:rsidR="00A04765" w:rsidRPr="00E065E8" w:rsidRDefault="007A41EF" w:rsidP="00486AC0">
      <w:pPr>
        <w:rPr>
          <w:rFonts w:cs="Arial"/>
          <w:color w:val="000000"/>
          <w:szCs w:val="18"/>
          <w:lang w:val="en-US"/>
        </w:rPr>
      </w:pPr>
      <w:r w:rsidRPr="00E065E8">
        <w:rPr>
          <w:rFonts w:cs="Arial"/>
          <w:color w:val="000000"/>
          <w:szCs w:val="18"/>
          <w:lang w:val="en-US"/>
        </w:rPr>
        <w:t>Results</w:t>
      </w:r>
      <w:r w:rsidR="00A04765" w:rsidRPr="00E065E8">
        <w:rPr>
          <w:rFonts w:cs="Arial"/>
          <w:color w:val="000000"/>
          <w:szCs w:val="18"/>
          <w:lang w:val="en-US"/>
        </w:rPr>
        <w:t xml:space="preserve"> </w:t>
      </w:r>
      <w:r w:rsidRPr="00E065E8">
        <w:rPr>
          <w:rFonts w:cs="Arial"/>
          <w:color w:val="000000"/>
          <w:szCs w:val="18"/>
        </w:rPr>
        <w:t xml:space="preserve">to support </w:t>
      </w:r>
      <w:r w:rsidR="00A04765" w:rsidRPr="00E065E8">
        <w:rPr>
          <w:rFonts w:cs="Arial"/>
          <w:color w:val="000000"/>
          <w:szCs w:val="18"/>
          <w:lang w:val="en-US"/>
        </w:rPr>
        <w:t>the perspective outlined in this work come from few literature studies (</w:t>
      </w:r>
      <w:r w:rsidR="000910C6" w:rsidRPr="00E065E8">
        <w:rPr>
          <w:rFonts w:cs="Arial"/>
          <w:color w:val="000000"/>
          <w:szCs w:val="18"/>
          <w:lang w:val="en-US"/>
        </w:rPr>
        <w:t>Li and Cheng, 2010; Kim et al., 2018; Harter et al., 2022; Sanchirico et al., 2022</w:t>
      </w:r>
      <w:r w:rsidR="009931BF" w:rsidRPr="00E065E8">
        <w:rPr>
          <w:rFonts w:cs="Arial"/>
          <w:color w:val="000000"/>
          <w:szCs w:val="18"/>
          <w:lang w:val="en-US"/>
        </w:rPr>
        <w:t>a</w:t>
      </w:r>
      <w:r w:rsidR="000910C6" w:rsidRPr="00E065E8">
        <w:rPr>
          <w:rFonts w:cs="Arial"/>
          <w:color w:val="000000"/>
          <w:szCs w:val="18"/>
          <w:lang w:val="en-US"/>
        </w:rPr>
        <w:t>)</w:t>
      </w:r>
      <w:r w:rsidR="00A04765" w:rsidRPr="00E065E8">
        <w:rPr>
          <w:rFonts w:cs="Arial"/>
          <w:color w:val="000000"/>
          <w:szCs w:val="18"/>
          <w:lang w:val="en-US"/>
        </w:rPr>
        <w:t>. In such studies, both isoconversional (</w:t>
      </w:r>
      <w:r w:rsidR="000910C6" w:rsidRPr="00E065E8">
        <w:rPr>
          <w:rFonts w:cs="Arial"/>
          <w:color w:val="000000"/>
          <w:szCs w:val="18"/>
          <w:lang w:val="en-US"/>
        </w:rPr>
        <w:t xml:space="preserve">Kim et al., 2018; Harter et al., 2022) </w:t>
      </w:r>
      <w:r w:rsidR="00A04765" w:rsidRPr="00E065E8">
        <w:rPr>
          <w:rFonts w:cs="Arial"/>
          <w:color w:val="000000"/>
          <w:szCs w:val="18"/>
          <w:lang w:val="en-US"/>
        </w:rPr>
        <w:t>and model-based (</w:t>
      </w:r>
      <w:r w:rsidR="000910C6" w:rsidRPr="00E065E8">
        <w:rPr>
          <w:rFonts w:cs="Arial"/>
          <w:color w:val="000000"/>
          <w:szCs w:val="18"/>
          <w:lang w:val="en-US"/>
        </w:rPr>
        <w:t>Li and Cheng, 2010; Sanchirico et al., 2022</w:t>
      </w:r>
      <w:r w:rsidR="009931BF" w:rsidRPr="00E065E8">
        <w:rPr>
          <w:rFonts w:cs="Arial"/>
          <w:color w:val="000000"/>
          <w:szCs w:val="18"/>
          <w:lang w:val="en-US"/>
        </w:rPr>
        <w:t>a</w:t>
      </w:r>
      <w:r w:rsidR="00A04765" w:rsidRPr="00E065E8">
        <w:rPr>
          <w:rFonts w:cs="Arial"/>
          <w:color w:val="000000"/>
          <w:szCs w:val="18"/>
          <w:lang w:val="en-US"/>
        </w:rPr>
        <w:t xml:space="preserve">) methods were adopted to determine the decomposition kinetics </w:t>
      </w:r>
      <w:r w:rsidR="00F82883" w:rsidRPr="00E065E8">
        <w:rPr>
          <w:rFonts w:cs="Arial"/>
          <w:color w:val="000000"/>
          <w:szCs w:val="18"/>
          <w:lang w:val="en-US"/>
        </w:rPr>
        <w:t>of energetic materials (</w:t>
      </w:r>
      <w:r w:rsidR="00A04765" w:rsidRPr="00E065E8">
        <w:rPr>
          <w:rFonts w:cs="Arial"/>
          <w:color w:val="000000"/>
          <w:szCs w:val="18"/>
          <w:lang w:val="en-US"/>
        </w:rPr>
        <w:t>EMs</w:t>
      </w:r>
      <w:r w:rsidR="00F82883" w:rsidRPr="00E065E8">
        <w:rPr>
          <w:rFonts w:cs="Arial"/>
          <w:color w:val="000000"/>
          <w:szCs w:val="18"/>
          <w:lang w:val="en-US"/>
        </w:rPr>
        <w:t>)</w:t>
      </w:r>
      <w:r w:rsidR="00A04765" w:rsidRPr="00E065E8">
        <w:rPr>
          <w:rFonts w:cs="Arial"/>
          <w:color w:val="000000"/>
          <w:szCs w:val="18"/>
          <w:lang w:val="en-US"/>
        </w:rPr>
        <w:t xml:space="preserve"> from the data of thermal analysis experiments performed under dynamic conditions at different heating rates. In the latter methods, the kinetic law is predetermined based on the thermal behavior of the substance under examination. This predetermination is not needed with the former methods. However, the isoconversional methods, also </w:t>
      </w:r>
      <w:r w:rsidR="00ED638F" w:rsidRPr="00E065E8">
        <w:rPr>
          <w:rFonts w:cs="Arial"/>
          <w:color w:val="000000"/>
          <w:szCs w:val="18"/>
          <w:lang w:val="en-US"/>
        </w:rPr>
        <w:t>known as</w:t>
      </w:r>
      <w:r w:rsidR="00A04765" w:rsidRPr="00E065E8">
        <w:rPr>
          <w:rFonts w:cs="Arial"/>
          <w:color w:val="000000"/>
          <w:szCs w:val="18"/>
          <w:lang w:val="en-US"/>
        </w:rPr>
        <w:t xml:space="preserve"> “model-free” kinetic analyses, are not assumption-free methods.</w:t>
      </w:r>
      <w:r w:rsidR="0054536A" w:rsidRPr="00E065E8">
        <w:rPr>
          <w:rFonts w:cs="Arial"/>
          <w:color w:val="000000"/>
          <w:szCs w:val="18"/>
          <w:lang w:val="en-US"/>
        </w:rPr>
        <w:t xml:space="preserve"> </w:t>
      </w:r>
      <w:r w:rsidR="00A04765" w:rsidRPr="00E065E8">
        <w:rPr>
          <w:rFonts w:cs="Arial"/>
          <w:color w:val="000000"/>
          <w:szCs w:val="18"/>
          <w:lang w:val="en-US"/>
        </w:rPr>
        <w:t>The validation of the kinetics obtained from data gathered by using thermal analysis techniques, i.e., the assessment of their reliability for extrapolation outside the range of calibration, is a key step, especially when they are intended to predict a very slow decomposition phenomenon such as the aging process. In this case, experimental aging data (i.e., low temperature, long term decomposition data) are needed.</w:t>
      </w:r>
      <w:r w:rsidR="00486AC0" w:rsidRPr="00E065E8">
        <w:rPr>
          <w:rFonts w:cs="Arial"/>
          <w:color w:val="000000"/>
          <w:szCs w:val="18"/>
          <w:lang w:val="en-US"/>
        </w:rPr>
        <w:t xml:space="preserve"> </w:t>
      </w:r>
      <w:r w:rsidR="003B1EEA" w:rsidRPr="00E065E8">
        <w:rPr>
          <w:rFonts w:cs="Arial"/>
          <w:color w:val="000000"/>
          <w:szCs w:val="18"/>
          <w:lang w:val="en-US"/>
        </w:rPr>
        <w:t xml:space="preserve">In </w:t>
      </w:r>
      <w:r w:rsidR="00C24048" w:rsidRPr="00E065E8">
        <w:rPr>
          <w:rFonts w:cs="Arial"/>
          <w:color w:val="000000"/>
          <w:szCs w:val="18"/>
          <w:lang w:val="en-US"/>
        </w:rPr>
        <w:t>all the above cited studies</w:t>
      </w:r>
      <w:r w:rsidR="00464209" w:rsidRPr="00E065E8">
        <w:rPr>
          <w:rFonts w:cs="Arial"/>
          <w:color w:val="000000"/>
          <w:szCs w:val="18"/>
          <w:lang w:val="en-US"/>
        </w:rPr>
        <w:t>,</w:t>
      </w:r>
      <w:r w:rsidR="00627A40" w:rsidRPr="00E065E8">
        <w:rPr>
          <w:rFonts w:cs="Arial"/>
          <w:color w:val="000000"/>
          <w:szCs w:val="18"/>
          <w:lang w:val="en-US"/>
        </w:rPr>
        <w:t xml:space="preserve"> </w:t>
      </w:r>
      <w:r w:rsidR="00BC3C7D" w:rsidRPr="00E065E8">
        <w:rPr>
          <w:rFonts w:cs="Arial"/>
          <w:color w:val="000000"/>
          <w:szCs w:val="18"/>
          <w:lang w:val="en-US"/>
        </w:rPr>
        <w:t xml:space="preserve">kinetic predictions </w:t>
      </w:r>
      <w:r w:rsidR="003B1EEA" w:rsidRPr="00E065E8">
        <w:rPr>
          <w:rFonts w:cs="Arial"/>
          <w:color w:val="000000"/>
          <w:szCs w:val="18"/>
          <w:lang w:val="en-US"/>
        </w:rPr>
        <w:t xml:space="preserve">were compared </w:t>
      </w:r>
      <w:r w:rsidR="00A04765" w:rsidRPr="00E065E8">
        <w:rPr>
          <w:rFonts w:cs="Arial"/>
          <w:color w:val="000000"/>
          <w:szCs w:val="18"/>
          <w:lang w:val="en-US"/>
        </w:rPr>
        <w:t>with experimental data obtained on actual aged samples.</w:t>
      </w:r>
    </w:p>
    <w:p w14:paraId="5C5C3430" w14:textId="4D71331B" w:rsidR="00ED638F" w:rsidRPr="00E065E8" w:rsidRDefault="00ED638F" w:rsidP="00ED638F">
      <w:pPr>
        <w:rPr>
          <w:rFonts w:cs="Arial"/>
          <w:color w:val="000000"/>
          <w:szCs w:val="18"/>
          <w:lang w:val="en-US"/>
        </w:rPr>
      </w:pPr>
      <w:r w:rsidRPr="00E065E8">
        <w:rPr>
          <w:rFonts w:cs="Arial"/>
          <w:color w:val="000000"/>
          <w:szCs w:val="18"/>
          <w:lang w:val="en-US"/>
        </w:rPr>
        <w:t xml:space="preserve">Kim et al. (2018) applied an isoconversional method to </w:t>
      </w:r>
      <w:r w:rsidR="00620453" w:rsidRPr="00E065E8">
        <w:rPr>
          <w:rFonts w:cs="Arial"/>
          <w:color w:val="000000"/>
          <w:szCs w:val="18"/>
          <w:lang w:val="en-US"/>
        </w:rPr>
        <w:t>differential scanning calorimetry (</w:t>
      </w:r>
      <w:r w:rsidRPr="00E065E8">
        <w:rPr>
          <w:rFonts w:cs="Arial"/>
          <w:color w:val="000000"/>
          <w:szCs w:val="18"/>
          <w:lang w:val="en-US"/>
        </w:rPr>
        <w:t>DSC</w:t>
      </w:r>
      <w:r w:rsidR="00620453" w:rsidRPr="00E065E8">
        <w:rPr>
          <w:rFonts w:cs="Arial"/>
          <w:color w:val="000000"/>
          <w:szCs w:val="18"/>
          <w:lang w:val="en-US"/>
        </w:rPr>
        <w:t>)</w:t>
      </w:r>
      <w:r w:rsidRPr="00E065E8">
        <w:rPr>
          <w:rFonts w:cs="Arial"/>
          <w:color w:val="000000"/>
          <w:szCs w:val="18"/>
          <w:lang w:val="en-US"/>
        </w:rPr>
        <w:t xml:space="preserve"> data to extract the kinetics of the thermal decomposition of 97.5% hexahydrotrinitrotriazine (RDX), 95% octahydrotetranitrotetrazine (HMX), and boron/potassium nitrate (BPN). Only this latter EM was subjected to isothermal accelerated aging tests at a single temperature of 71°C for 8, 16, 24, and 48 weeks. There was agreement between experimental data and kinetic predictions that, even after 48 weeks, the remaining fraction of BPN was very close to unity.</w:t>
      </w:r>
    </w:p>
    <w:p w14:paraId="584AFF89" w14:textId="4E76477F" w:rsidR="00ED638F" w:rsidRPr="00E065E8" w:rsidRDefault="00ED638F" w:rsidP="00ED638F">
      <w:pPr>
        <w:rPr>
          <w:rFonts w:cs="Arial"/>
          <w:color w:val="000000"/>
          <w:lang w:val="en-US"/>
        </w:rPr>
      </w:pPr>
      <w:r w:rsidRPr="00E065E8">
        <w:rPr>
          <w:rFonts w:cs="Arial"/>
          <w:color w:val="000000"/>
          <w:lang w:val="en-US"/>
        </w:rPr>
        <w:lastRenderedPageBreak/>
        <w:t xml:space="preserve">In the work by Harter et al. (2022), the kinetic analysis of dihydroxylammonium-5,5′-bistetrazolyl-1,1′-diolat (TKX-50), RDX, HMX, hexanitrohexaazaisowurtzitane (CL-20), and pentaerythritoltetranitrate (PETN) was carried out applying an isoconversional method that fitted </w:t>
      </w:r>
      <w:r w:rsidR="00620453" w:rsidRPr="00E065E8">
        <w:rPr>
          <w:rFonts w:cs="Arial"/>
          <w:color w:val="000000"/>
          <w:lang w:val="en-US"/>
        </w:rPr>
        <w:t xml:space="preserve">thermogravimetry (TG) </w:t>
      </w:r>
      <w:r w:rsidRPr="00E065E8">
        <w:rPr>
          <w:rFonts w:cs="Arial"/>
          <w:color w:val="000000"/>
          <w:lang w:val="en-US"/>
        </w:rPr>
        <w:t>data slightly better than a model-based method also investigated, but only for TKX-50. Isothermal predictions of the mass loss of each EM were calculated at various temperatures, and the predictions at 100°C were compared with experimental mass loss data of samples subjected to isothermal accelerated aging at the same temperature for 4, 14, and 28 days. Consistency was found between kinetic predictions and experimental aging data.</w:t>
      </w:r>
    </w:p>
    <w:p w14:paraId="503A0C67" w14:textId="3A579EDD" w:rsidR="00ED638F" w:rsidRPr="00E065E8" w:rsidRDefault="00ED638F" w:rsidP="00C5170F">
      <w:pPr>
        <w:rPr>
          <w:rFonts w:cs="Arial"/>
          <w:color w:val="000000"/>
          <w:lang w:val="en-US"/>
        </w:rPr>
      </w:pPr>
      <w:r w:rsidRPr="00E065E8">
        <w:rPr>
          <w:rFonts w:cs="Arial"/>
          <w:color w:val="000000"/>
          <w:lang w:val="en-US"/>
        </w:rPr>
        <w:t xml:space="preserve">Li and Cheng </w:t>
      </w:r>
      <w:r w:rsidR="00C5170F" w:rsidRPr="00E065E8">
        <w:rPr>
          <w:rFonts w:cs="Arial"/>
          <w:color w:val="000000"/>
          <w:lang w:val="en-US"/>
        </w:rPr>
        <w:t>(2010)</w:t>
      </w:r>
      <w:r w:rsidRPr="00E065E8">
        <w:rPr>
          <w:rFonts w:cs="Arial"/>
          <w:color w:val="000000"/>
          <w:lang w:val="en-US"/>
        </w:rPr>
        <w:t xml:space="preserve"> investigated the thermal behavior of nitroguanidine (NQ) using </w:t>
      </w:r>
      <w:r w:rsidR="00D34EF0" w:rsidRPr="00E065E8">
        <w:rPr>
          <w:rFonts w:cs="Arial"/>
          <w:color w:val="000000"/>
          <w:lang w:val="en-US"/>
        </w:rPr>
        <w:t>TG/DSC</w:t>
      </w:r>
      <w:r w:rsidR="00A75770" w:rsidRPr="00E065E8">
        <w:rPr>
          <w:rFonts w:cs="Arial"/>
          <w:color w:val="000000"/>
          <w:lang w:val="en-US"/>
        </w:rPr>
        <w:t>/</w:t>
      </w:r>
      <w:r w:rsidR="00554D61" w:rsidRPr="00E065E8">
        <w:rPr>
          <w:rFonts w:cs="Arial"/>
          <w:color w:val="000000"/>
          <w:lang w:val="en-US"/>
        </w:rPr>
        <w:t>mass spectrometry (</w:t>
      </w:r>
      <w:r w:rsidR="00D34EF0" w:rsidRPr="00E065E8">
        <w:rPr>
          <w:rFonts w:cs="Arial"/>
          <w:color w:val="000000"/>
          <w:lang w:val="en-US"/>
        </w:rPr>
        <w:t>MS</w:t>
      </w:r>
      <w:r w:rsidR="00554D61" w:rsidRPr="00E065E8">
        <w:rPr>
          <w:rFonts w:cs="Arial"/>
          <w:color w:val="000000"/>
          <w:lang w:val="en-US"/>
        </w:rPr>
        <w:t>)</w:t>
      </w:r>
      <w:r w:rsidR="00A75770" w:rsidRPr="00E065E8">
        <w:rPr>
          <w:rFonts w:cs="Arial"/>
          <w:color w:val="000000"/>
          <w:lang w:val="en-US"/>
        </w:rPr>
        <w:t>/</w:t>
      </w:r>
      <w:r w:rsidR="00554D61" w:rsidRPr="00E065E8">
        <w:rPr>
          <w:rFonts w:cs="Arial"/>
          <w:color w:val="000000"/>
          <w:lang w:val="en-US"/>
        </w:rPr>
        <w:t>Fourier-transform infrared spectroscopy (</w:t>
      </w:r>
      <w:r w:rsidR="00D34EF0" w:rsidRPr="00E065E8">
        <w:rPr>
          <w:rFonts w:cs="Arial"/>
          <w:color w:val="000000"/>
          <w:lang w:val="en-US"/>
        </w:rPr>
        <w:t>FTIR</w:t>
      </w:r>
      <w:r w:rsidR="00554D61" w:rsidRPr="00E065E8">
        <w:rPr>
          <w:rFonts w:cs="Arial"/>
          <w:color w:val="000000"/>
          <w:lang w:val="en-US"/>
        </w:rPr>
        <w:t>)</w:t>
      </w:r>
      <w:r w:rsidR="00A75770" w:rsidRPr="00E065E8">
        <w:rPr>
          <w:rFonts w:cs="Arial"/>
          <w:color w:val="000000"/>
          <w:lang w:val="en-US"/>
        </w:rPr>
        <w:t xml:space="preserve"> analysis</w:t>
      </w:r>
      <w:r w:rsidRPr="00E065E8">
        <w:rPr>
          <w:rFonts w:cs="Arial"/>
          <w:color w:val="000000"/>
          <w:lang w:val="en-US"/>
        </w:rPr>
        <w:t>. They extracted the kinetics of the thermal decomposition of this EM in the frame of a model-based approach and used the kinetics to simulate the mass loss under isothermal conditions at a temperature of 210°C for a total exposure time (i.e., an aging time) of 30 min. The simulated and TG curves almost overlapped. Isothermal simulations of the mass loss were also performed at lower temperatures (down to 150°C) for a total exposure time of 12 h. Predictions show that before 170°C, the mass loss rose to only 7%, whereas it shifted rapidly to much more after 170°C.</w:t>
      </w:r>
      <w:r w:rsidR="00AB214D" w:rsidRPr="00E065E8">
        <w:rPr>
          <w:rFonts w:cs="Arial"/>
          <w:color w:val="000000"/>
          <w:lang w:val="en-US"/>
        </w:rPr>
        <w:t xml:space="preserve"> This is consistent with the change in the mechanism of the decomposition of NQ in the 160–170°C temperature range deduced by Lee and Back (198</w:t>
      </w:r>
      <w:r w:rsidR="00F12A1D" w:rsidRPr="00E065E8">
        <w:rPr>
          <w:rFonts w:cs="Arial"/>
          <w:color w:val="000000"/>
          <w:lang w:val="en-US"/>
        </w:rPr>
        <w:t>8</w:t>
      </w:r>
      <w:r w:rsidR="00AB214D" w:rsidRPr="00E065E8">
        <w:rPr>
          <w:rFonts w:cs="Arial"/>
          <w:color w:val="000000"/>
          <w:lang w:val="en-US"/>
        </w:rPr>
        <w:t>) based on the comparison of the rate constants they obtained from accelerating rate calorimetry (ARC) experiments with literature rate constants derived from measurements performed using techniques other than ARC.</w:t>
      </w:r>
    </w:p>
    <w:p w14:paraId="7391342C" w14:textId="3DFD10AB" w:rsidR="00627FD4" w:rsidRPr="00C02B51" w:rsidRDefault="00E74731" w:rsidP="00627FD4">
      <w:pPr>
        <w:rPr>
          <w:rFonts w:cs="Arial"/>
          <w:color w:val="000000"/>
          <w:lang w:val="en-US"/>
        </w:rPr>
      </w:pPr>
      <w:r w:rsidRPr="00C02B51">
        <w:rPr>
          <w:rFonts w:cs="Arial"/>
          <w:color w:val="000000"/>
          <w:lang w:val="en-US"/>
        </w:rPr>
        <w:t>An extensive validation of kinetic predictions against experimental aging data was carried out in Sanchirico et al. (2022</w:t>
      </w:r>
      <w:r w:rsidR="009931BF" w:rsidRPr="00C02B51">
        <w:rPr>
          <w:rFonts w:cs="Arial"/>
          <w:color w:val="000000"/>
          <w:lang w:val="en-US"/>
        </w:rPr>
        <w:t>a</w:t>
      </w:r>
      <w:r w:rsidRPr="00C02B51">
        <w:rPr>
          <w:rFonts w:cs="Arial"/>
          <w:color w:val="000000"/>
          <w:lang w:val="en-US"/>
        </w:rPr>
        <w:t>). Specifically, attention was focused on picric acid (PA), an explosive belonging to the class of aromatic nitro compounds (like trinitrotoluene (TNT)). Dynamic DSC experiments were first performed at different heating rates. The gathered thermograms</w:t>
      </w:r>
      <w:r w:rsidR="00F70AA4" w:rsidRPr="00C02B51">
        <w:rPr>
          <w:rFonts w:cs="Arial"/>
          <w:color w:val="000000"/>
          <w:lang w:val="en-US"/>
        </w:rPr>
        <w:t xml:space="preserve"> </w:t>
      </w:r>
      <w:r w:rsidRPr="00C02B51">
        <w:rPr>
          <w:rFonts w:cs="Arial"/>
          <w:color w:val="000000"/>
          <w:lang w:val="en-US"/>
        </w:rPr>
        <w:t xml:space="preserve">exhibited a single exothermic peak, and there was only one intersection point between curves collected at two different heating rates, confirming the autocatalytic nature of the process under examination </w:t>
      </w:r>
      <w:r w:rsidR="00271729" w:rsidRPr="00C02B51">
        <w:rPr>
          <w:rFonts w:cs="Arial"/>
          <w:color w:val="000000"/>
          <w:lang w:val="en-US"/>
        </w:rPr>
        <w:t xml:space="preserve">(Brill and James, 1993; Long et al., 2002). </w:t>
      </w:r>
      <w:r w:rsidRPr="00C02B51">
        <w:rPr>
          <w:rFonts w:cs="Arial"/>
          <w:color w:val="000000"/>
          <w:lang w:val="en-US"/>
        </w:rPr>
        <w:t>A kinetic law</w:t>
      </w:r>
      <w:r w:rsidR="00436EFF" w:rsidRPr="00C02B51">
        <w:rPr>
          <w:rFonts w:cs="Arial"/>
          <w:color w:val="000000"/>
          <w:lang w:val="en-US"/>
        </w:rPr>
        <w:t xml:space="preserve">, </w:t>
      </w:r>
      <m:oMath>
        <m:r>
          <w:rPr>
            <w:rFonts w:ascii="Cambria Math" w:hAnsi="Cambria Math" w:cs="Arial"/>
            <w:color w:val="000000"/>
            <w:szCs w:val="18"/>
            <w:lang w:val="en-US"/>
          </w:rPr>
          <m:t>f</m:t>
        </m:r>
        <m:d>
          <m:dPr>
            <m:ctrlPr>
              <w:rPr>
                <w:rFonts w:ascii="Cambria Math" w:hAnsi="Cambria Math" w:cs="Arial"/>
                <w:i/>
                <w:color w:val="000000"/>
                <w:szCs w:val="18"/>
                <w:lang w:val="en-US"/>
              </w:rPr>
            </m:ctrlPr>
          </m:dPr>
          <m:e>
            <m:r>
              <w:rPr>
                <w:rFonts w:ascii="Cambria Math" w:hAnsi="Cambria Math" w:cs="Arial"/>
                <w:color w:val="000000"/>
                <w:szCs w:val="18"/>
                <w:lang w:val="en-US"/>
              </w:rPr>
              <m:t>α</m:t>
            </m:r>
          </m:e>
        </m:d>
      </m:oMath>
      <w:r w:rsidR="00436EFF" w:rsidRPr="00C02B51">
        <w:rPr>
          <w:rFonts w:cs="Arial"/>
          <w:color w:val="000000"/>
          <w:lang w:val="en-US"/>
        </w:rPr>
        <w:t xml:space="preserve">, </w:t>
      </w:r>
      <w:r w:rsidRPr="00C02B51">
        <w:rPr>
          <w:rFonts w:cs="Arial"/>
          <w:color w:val="000000"/>
          <w:lang w:val="en-US"/>
        </w:rPr>
        <w:t>consistent with this nature</w:t>
      </w:r>
      <w:r w:rsidR="00C66132" w:rsidRPr="00C02B51">
        <w:rPr>
          <w:rFonts w:cs="Arial"/>
          <w:color w:val="000000"/>
          <w:lang w:val="en-US"/>
        </w:rPr>
        <w:t>, i.e., a model of generalized autocatalysis (</w:t>
      </w:r>
      <w:r w:rsidR="000B0066" w:rsidRPr="00C02B51">
        <w:rPr>
          <w:rFonts w:cs="Arial"/>
          <w:color w:val="000000"/>
          <w:lang w:val="en-US"/>
        </w:rPr>
        <w:t>Kossoy and Hofelich, 2003</w:t>
      </w:r>
      <w:r w:rsidR="00C66132" w:rsidRPr="00C02B51">
        <w:rPr>
          <w:rFonts w:cs="Arial"/>
          <w:color w:val="000000"/>
          <w:lang w:val="en-US"/>
        </w:rPr>
        <w:t xml:space="preserve">), </w:t>
      </w:r>
      <w:r w:rsidR="00627FD4" w:rsidRPr="00C02B51">
        <w:rPr>
          <w:rFonts w:cs="Arial"/>
          <w:color w:val="000000"/>
          <w:lang w:val="en-US"/>
        </w:rPr>
        <w:t>was thus assumed</w:t>
      </w:r>
      <w:r w:rsidR="006F22DC" w:rsidRPr="00C02B51">
        <w:rPr>
          <w:rFonts w:cs="Arial"/>
          <w:color w:val="000000"/>
          <w:lang w:val="en-US"/>
        </w:rPr>
        <w:t>:</w:t>
      </w:r>
    </w:p>
    <w:tbl>
      <w:tblPr>
        <w:tblW w:w="5000" w:type="pct"/>
        <w:tblLook w:val="04A0" w:firstRow="1" w:lastRow="0" w:firstColumn="1" w:lastColumn="0" w:noHBand="0" w:noVBand="1"/>
      </w:tblPr>
      <w:tblGrid>
        <w:gridCol w:w="7983"/>
        <w:gridCol w:w="804"/>
      </w:tblGrid>
      <w:tr w:rsidR="00E065E8" w:rsidRPr="00C02B51" w14:paraId="05647332" w14:textId="77777777" w:rsidTr="00143205">
        <w:tc>
          <w:tcPr>
            <w:tcW w:w="7983" w:type="dxa"/>
            <w:shd w:val="clear" w:color="auto" w:fill="auto"/>
            <w:vAlign w:val="center"/>
          </w:tcPr>
          <w:p w14:paraId="3565DFE6" w14:textId="6B3E5DFF" w:rsidR="001619BF" w:rsidRPr="00C02B51" w:rsidRDefault="00045F21" w:rsidP="00EC7150">
            <w:pPr>
              <w:pStyle w:val="MDPI39equation"/>
              <w:spacing w:line="264" w:lineRule="auto"/>
              <w:ind w:left="0"/>
              <w:jc w:val="left"/>
              <w:rPr>
                <w:rFonts w:ascii="Arial" w:hAnsi="Arial" w:cs="Arial"/>
                <w:i/>
              </w:rPr>
            </w:pPr>
            <m:oMathPara>
              <m:oMathParaPr>
                <m:jc m:val="left"/>
              </m:oMathParaPr>
              <m:oMath>
                <m:r>
                  <w:rPr>
                    <w:rFonts w:ascii="Cambria Math" w:hAnsi="Cambria Math" w:cs="Arial"/>
                    <w:sz w:val="18"/>
                    <w:szCs w:val="18"/>
                  </w:rPr>
                  <m:t>f</m:t>
                </m:r>
                <m:d>
                  <m:dPr>
                    <m:ctrlPr>
                      <w:rPr>
                        <w:rFonts w:ascii="Cambria Math" w:hAnsi="Cambria Math" w:cs="Arial"/>
                        <w:i/>
                        <w:sz w:val="18"/>
                        <w:szCs w:val="18"/>
                      </w:rPr>
                    </m:ctrlPr>
                  </m:dPr>
                  <m:e>
                    <m:r>
                      <w:rPr>
                        <w:rFonts w:ascii="Cambria Math" w:hAnsi="Cambria Math" w:cs="Arial"/>
                        <w:sz w:val="18"/>
                        <w:szCs w:val="18"/>
                      </w:rPr>
                      <m:t>α</m:t>
                    </m:r>
                  </m:e>
                </m:d>
                <m:r>
                  <w:rPr>
                    <w:rFonts w:ascii="Cambria Math" w:hAnsi="Cambria Math" w:cs="Arial"/>
                    <w:sz w:val="18"/>
                    <w:szCs w:val="18"/>
                  </w:rPr>
                  <m:t>=</m:t>
                </m:r>
                <m:d>
                  <m:dPr>
                    <m:ctrlPr>
                      <w:rPr>
                        <w:rFonts w:ascii="Cambria Math" w:hAnsi="Cambria Math" w:cs="Arial"/>
                        <w:i/>
                        <w:sz w:val="18"/>
                        <w:szCs w:val="18"/>
                      </w:rPr>
                    </m:ctrlPr>
                  </m:dPr>
                  <m:e>
                    <m:r>
                      <w:rPr>
                        <w:rFonts w:ascii="Cambria Math" w:hAnsi="Cambria Math" w:cs="Arial"/>
                        <w:sz w:val="18"/>
                        <w:szCs w:val="18"/>
                      </w:rPr>
                      <m:t>z+</m:t>
                    </m:r>
                    <m:sSup>
                      <m:sSupPr>
                        <m:ctrlPr>
                          <w:rPr>
                            <w:rFonts w:ascii="Cambria Math" w:hAnsi="Cambria Math" w:cs="Arial"/>
                            <w:i/>
                            <w:sz w:val="18"/>
                            <w:szCs w:val="18"/>
                          </w:rPr>
                        </m:ctrlPr>
                      </m:sSupPr>
                      <m:e>
                        <m:r>
                          <w:rPr>
                            <w:rFonts w:ascii="Cambria Math" w:hAnsi="Cambria Math" w:cs="Arial"/>
                            <w:sz w:val="18"/>
                            <w:szCs w:val="18"/>
                          </w:rPr>
                          <m:t>α</m:t>
                        </m:r>
                      </m:e>
                      <m:sup>
                        <m:r>
                          <w:rPr>
                            <w:rFonts w:ascii="Cambria Math" w:hAnsi="Cambria Math" w:cs="Arial"/>
                            <w:sz w:val="18"/>
                            <w:szCs w:val="18"/>
                          </w:rPr>
                          <m:t>m</m:t>
                        </m:r>
                      </m:sup>
                    </m:sSup>
                  </m:e>
                </m:d>
                <m:sSup>
                  <m:sSupPr>
                    <m:ctrlPr>
                      <w:rPr>
                        <w:rFonts w:ascii="Cambria Math" w:hAnsi="Cambria Math" w:cs="Arial"/>
                        <w:i/>
                        <w:sz w:val="18"/>
                        <w:szCs w:val="18"/>
                      </w:rPr>
                    </m:ctrlPr>
                  </m:sSupPr>
                  <m:e>
                    <m:r>
                      <w:rPr>
                        <w:rFonts w:ascii="Cambria Math" w:hAnsi="Cambria Math" w:cs="Arial"/>
                        <w:sz w:val="18"/>
                        <w:szCs w:val="18"/>
                      </w:rPr>
                      <m:t>(1-α)</m:t>
                    </m:r>
                  </m:e>
                  <m:sup>
                    <m:r>
                      <w:rPr>
                        <w:rFonts w:ascii="Cambria Math" w:hAnsi="Cambria Math" w:cs="Arial"/>
                        <w:sz w:val="18"/>
                        <w:szCs w:val="18"/>
                      </w:rPr>
                      <m:t>n</m:t>
                    </m:r>
                  </m:sup>
                </m:sSup>
              </m:oMath>
            </m:oMathPara>
          </w:p>
        </w:tc>
        <w:tc>
          <w:tcPr>
            <w:tcW w:w="804" w:type="dxa"/>
            <w:shd w:val="clear" w:color="auto" w:fill="auto"/>
            <w:vAlign w:val="center"/>
          </w:tcPr>
          <w:p w14:paraId="204B5765" w14:textId="77777777" w:rsidR="001619BF" w:rsidRPr="00C02B51" w:rsidRDefault="001619BF" w:rsidP="00EC7150">
            <w:pPr>
              <w:pStyle w:val="CETEquation"/>
              <w:jc w:val="right"/>
              <w:rPr>
                <w:rFonts w:cs="Arial"/>
                <w:color w:val="000000"/>
                <w:lang w:val="en-US"/>
              </w:rPr>
            </w:pPr>
            <w:r w:rsidRPr="00C02B51">
              <w:rPr>
                <w:rFonts w:cs="Arial"/>
                <w:color w:val="000000"/>
                <w:lang w:val="en-US"/>
              </w:rPr>
              <w:t>(1)</w:t>
            </w:r>
          </w:p>
        </w:tc>
      </w:tr>
    </w:tbl>
    <w:p w14:paraId="47274F6C" w14:textId="2AA1AA5B" w:rsidR="007358F5" w:rsidRPr="00C02B51" w:rsidRDefault="00105F16" w:rsidP="00271729">
      <w:pPr>
        <w:rPr>
          <w:rFonts w:cs="Arial"/>
          <w:color w:val="000000"/>
          <w:lang w:val="en-US"/>
        </w:rPr>
      </w:pPr>
      <w:r w:rsidRPr="00C02B51">
        <w:rPr>
          <w:rFonts w:cs="Arial"/>
          <w:color w:val="000000"/>
          <w:lang w:val="en-US"/>
        </w:rPr>
        <w:t>where</w:t>
      </w:r>
      <w:r w:rsidR="00627FD4" w:rsidRPr="00C02B51">
        <w:rPr>
          <w:rFonts w:cs="Arial"/>
          <w:color w:val="000000"/>
          <w:lang w:val="en-US"/>
        </w:rPr>
        <w:t xml:space="preserve"> </w:t>
      </w:r>
      <m:oMath>
        <m:r>
          <w:rPr>
            <w:rFonts w:ascii="Cambria Math" w:hAnsi="Cambria Math" w:cs="Arial"/>
            <w:color w:val="000000"/>
            <w:lang w:val="en-US"/>
          </w:rPr>
          <m:t>α</m:t>
        </m:r>
      </m:oMath>
      <w:r w:rsidR="00627FD4" w:rsidRPr="00C02B51">
        <w:rPr>
          <w:rFonts w:cs="Arial"/>
          <w:color w:val="000000"/>
          <w:lang w:val="en-US"/>
        </w:rPr>
        <w:t xml:space="preserve"> </w:t>
      </w:r>
      <w:r w:rsidR="00253FAA" w:rsidRPr="00C02B51">
        <w:rPr>
          <w:rFonts w:cs="Arial"/>
          <w:color w:val="000000"/>
          <w:lang w:val="en-US"/>
        </w:rPr>
        <w:t xml:space="preserve">is </w:t>
      </w:r>
      <w:r w:rsidR="00627FD4" w:rsidRPr="00C02B51">
        <w:rPr>
          <w:rFonts w:cs="Arial"/>
          <w:color w:val="000000"/>
          <w:lang w:val="en-US"/>
        </w:rPr>
        <w:t xml:space="preserve">the conversion, </w:t>
      </w:r>
      <m:oMath>
        <m:r>
          <w:rPr>
            <w:rFonts w:ascii="Cambria Math" w:hAnsi="Cambria Math" w:cs="Arial"/>
            <w:color w:val="000000"/>
            <w:lang w:val="en-US"/>
          </w:rPr>
          <m:t>z</m:t>
        </m:r>
      </m:oMath>
      <w:r w:rsidR="00627FD4" w:rsidRPr="00C02B51">
        <w:rPr>
          <w:rFonts w:cs="Arial"/>
          <w:color w:val="000000"/>
          <w:lang w:val="en-US"/>
        </w:rPr>
        <w:t xml:space="preserve"> is the autocatalytic factor, and </w:t>
      </w:r>
      <m:oMath>
        <m:r>
          <w:rPr>
            <w:rFonts w:ascii="Cambria Math" w:hAnsi="Cambria Math" w:cs="Arial"/>
            <w:color w:val="000000"/>
            <w:lang w:val="en-US"/>
          </w:rPr>
          <m:t>m</m:t>
        </m:r>
      </m:oMath>
      <w:r w:rsidR="00627FD4" w:rsidRPr="00C02B51">
        <w:rPr>
          <w:rFonts w:cs="Arial"/>
          <w:color w:val="000000"/>
          <w:lang w:val="en-US"/>
        </w:rPr>
        <w:t xml:space="preserve"> and </w:t>
      </w:r>
      <m:oMath>
        <m:r>
          <w:rPr>
            <w:rFonts w:ascii="Cambria Math" w:hAnsi="Cambria Math" w:cs="Arial"/>
            <w:color w:val="000000"/>
            <w:lang w:val="en-US"/>
          </w:rPr>
          <m:t>n</m:t>
        </m:r>
      </m:oMath>
      <w:r w:rsidR="00627FD4" w:rsidRPr="00C02B51">
        <w:rPr>
          <w:rFonts w:cs="Arial"/>
          <w:color w:val="000000"/>
          <w:lang w:val="en-US"/>
        </w:rPr>
        <w:t xml:space="preserve"> are the reaction orders</w:t>
      </w:r>
      <w:r w:rsidR="006F22DC" w:rsidRPr="00C02B51">
        <w:rPr>
          <w:rFonts w:cs="Arial"/>
          <w:color w:val="000000"/>
          <w:lang w:val="en-US"/>
        </w:rPr>
        <w:t>. The kinetics</w:t>
      </w:r>
      <w:r w:rsidRPr="00C02B51">
        <w:rPr>
          <w:rFonts w:cs="Arial"/>
          <w:color w:val="000000"/>
          <w:lang w:val="en-US"/>
        </w:rPr>
        <w:t xml:space="preserve"> </w:t>
      </w:r>
      <w:r w:rsidR="005C7607" w:rsidRPr="00C02B51">
        <w:rPr>
          <w:rFonts w:cs="Arial"/>
          <w:color w:val="000000"/>
          <w:lang w:val="en-US"/>
        </w:rPr>
        <w:t>(i.e., the kinetic triplet</w:t>
      </w:r>
      <w:r w:rsidR="005E1D37" w:rsidRPr="00C02B51">
        <w:rPr>
          <w:rFonts w:cs="Arial"/>
          <w:color w:val="000000"/>
          <w:lang w:val="en-US"/>
        </w:rPr>
        <w:t xml:space="preserve"> </w:t>
      </w:r>
      <w:r w:rsidR="000D2DB1" w:rsidRPr="00C02B51">
        <w:rPr>
          <w:rFonts w:cs="Arial"/>
          <w:color w:val="000000"/>
          <w:lang w:val="en-US"/>
        </w:rPr>
        <w:t>–</w:t>
      </w:r>
      <w:r w:rsidR="005E1D37" w:rsidRPr="00C02B51">
        <w:rPr>
          <w:rFonts w:cs="Arial"/>
          <w:color w:val="000000"/>
          <w:lang w:val="en-US"/>
        </w:rPr>
        <w:t xml:space="preserve"> </w:t>
      </w:r>
      <w:r w:rsidR="009949EF" w:rsidRPr="00C02B51">
        <w:rPr>
          <w:rFonts w:cs="Arial"/>
          <w:color w:val="000000"/>
          <w:lang w:val="en-US"/>
        </w:rPr>
        <w:t xml:space="preserve">pre-exponential factor, </w:t>
      </w:r>
      <m:oMath>
        <m:r>
          <w:rPr>
            <w:rFonts w:ascii="Cambria Math" w:hAnsi="Cambria Math" w:cs="Arial"/>
            <w:color w:val="000000"/>
            <w:lang w:val="en-US"/>
          </w:rPr>
          <m:t>A</m:t>
        </m:r>
      </m:oMath>
      <w:r w:rsidR="005E1D37" w:rsidRPr="00C02B51">
        <w:rPr>
          <w:rFonts w:cs="Arial"/>
          <w:color w:val="000000"/>
          <w:lang w:val="en-US"/>
        </w:rPr>
        <w:t xml:space="preserve">, </w:t>
      </w:r>
      <w:r w:rsidR="009949EF" w:rsidRPr="00C02B51">
        <w:rPr>
          <w:rFonts w:cs="Arial"/>
          <w:color w:val="000000"/>
          <w:lang w:val="en-US"/>
        </w:rPr>
        <w:t xml:space="preserve">activation energy, </w:t>
      </w:r>
      <m:oMath>
        <m:sSub>
          <m:sSubPr>
            <m:ctrlPr>
              <w:rPr>
                <w:rFonts w:ascii="Cambria Math" w:hAnsi="Cambria Math" w:cs="Arial"/>
                <w:color w:val="000000"/>
                <w:lang w:val="en-US"/>
              </w:rPr>
            </m:ctrlPr>
          </m:sSubPr>
          <m:e>
            <m:r>
              <w:rPr>
                <w:rFonts w:ascii="Cambria Math" w:hAnsi="Cambria Math" w:cs="Arial"/>
                <w:color w:val="000000"/>
                <w:lang w:val="en-US"/>
              </w:rPr>
              <m:t>E</m:t>
            </m:r>
          </m:e>
          <m:sub>
            <m:r>
              <w:rPr>
                <w:rFonts w:ascii="Cambria Math" w:hAnsi="Cambria Math" w:cs="Arial"/>
                <w:color w:val="000000"/>
                <w:lang w:val="en-US"/>
              </w:rPr>
              <m:t>a</m:t>
            </m:r>
          </m:sub>
        </m:sSub>
      </m:oMath>
      <w:r w:rsidR="005E1D37" w:rsidRPr="00C02B51">
        <w:rPr>
          <w:rFonts w:cs="Arial"/>
          <w:color w:val="000000"/>
          <w:lang w:val="en-US"/>
        </w:rPr>
        <w:t xml:space="preserve">, and the parameters of </w:t>
      </w:r>
      <m:oMath>
        <m:r>
          <w:rPr>
            <w:rFonts w:ascii="Cambria Math" w:hAnsi="Cambria Math" w:cs="Arial"/>
            <w:color w:val="000000"/>
            <w:lang w:val="en-US"/>
          </w:rPr>
          <m:t>f</m:t>
        </m:r>
        <m:d>
          <m:dPr>
            <m:ctrlPr>
              <w:rPr>
                <w:rFonts w:ascii="Cambria Math" w:hAnsi="Cambria Math" w:cs="Arial"/>
                <w:color w:val="000000"/>
                <w:lang w:val="en-US"/>
              </w:rPr>
            </m:ctrlPr>
          </m:dPr>
          <m:e>
            <m:r>
              <w:rPr>
                <w:rFonts w:ascii="Cambria Math" w:hAnsi="Cambria Math" w:cs="Arial"/>
                <w:color w:val="000000"/>
                <w:lang w:val="en-US"/>
              </w:rPr>
              <m:t>α</m:t>
            </m:r>
          </m:e>
        </m:d>
      </m:oMath>
      <w:r w:rsidR="005E1D37" w:rsidRPr="00C02B51">
        <w:rPr>
          <w:rFonts w:cs="Arial"/>
          <w:color w:val="000000"/>
          <w:lang w:val="en-US"/>
        </w:rPr>
        <w:t xml:space="preserve">) </w:t>
      </w:r>
      <w:r w:rsidR="000D2DB1" w:rsidRPr="00C02B51">
        <w:rPr>
          <w:rFonts w:cs="Arial"/>
          <w:color w:val="000000"/>
          <w:lang w:val="en-US"/>
        </w:rPr>
        <w:t xml:space="preserve">– </w:t>
      </w:r>
      <w:r w:rsidR="006F22DC" w:rsidRPr="00C02B51">
        <w:rPr>
          <w:rFonts w:cs="Arial"/>
          <w:color w:val="000000"/>
          <w:lang w:val="en-US"/>
        </w:rPr>
        <w:t>w</w:t>
      </w:r>
      <w:r w:rsidR="00FF42EB" w:rsidRPr="00C02B51">
        <w:rPr>
          <w:rFonts w:cs="Arial"/>
          <w:color w:val="000000"/>
          <w:lang w:val="en-US"/>
        </w:rPr>
        <w:t>ere</w:t>
      </w:r>
      <w:r w:rsidR="006F22DC" w:rsidRPr="00C02B51">
        <w:rPr>
          <w:rFonts w:cs="Arial"/>
          <w:color w:val="000000"/>
          <w:lang w:val="en-US"/>
        </w:rPr>
        <w:t xml:space="preserve"> </w:t>
      </w:r>
      <w:r w:rsidR="00FF42EB" w:rsidRPr="00C02B51">
        <w:rPr>
          <w:rFonts w:cs="Arial"/>
          <w:color w:val="000000"/>
          <w:lang w:val="en-US"/>
        </w:rPr>
        <w:t>extracted</w:t>
      </w:r>
      <w:r w:rsidR="006F22DC" w:rsidRPr="00C02B51">
        <w:rPr>
          <w:rFonts w:cs="Arial"/>
          <w:color w:val="000000"/>
          <w:lang w:val="en-US"/>
        </w:rPr>
        <w:t xml:space="preserve"> </w:t>
      </w:r>
      <w:r w:rsidR="000D2DB1" w:rsidRPr="00C02B51">
        <w:rPr>
          <w:rFonts w:cs="Arial"/>
          <w:color w:val="000000"/>
          <w:lang w:val="en-US"/>
        </w:rPr>
        <w:t>–</w:t>
      </w:r>
      <w:r w:rsidR="00F10DA7" w:rsidRPr="00C02B51">
        <w:rPr>
          <w:rFonts w:cs="Arial"/>
          <w:color w:val="000000"/>
          <w:lang w:val="en-US"/>
        </w:rPr>
        <w:t xml:space="preserve"> </w:t>
      </w:r>
      <w:r w:rsidR="00E74731" w:rsidRPr="00C02B51">
        <w:rPr>
          <w:rFonts w:cs="Arial"/>
          <w:color w:val="000000"/>
          <w:lang w:val="en-US"/>
        </w:rPr>
        <w:t>via a suitable procedure of parameter identification</w:t>
      </w:r>
      <w:r w:rsidR="00F10DA7" w:rsidRPr="00C02B51">
        <w:rPr>
          <w:rFonts w:cs="Arial"/>
          <w:color w:val="000000"/>
          <w:lang w:val="en-US"/>
        </w:rPr>
        <w:t xml:space="preserve"> </w:t>
      </w:r>
      <w:r w:rsidR="000D2DB1" w:rsidRPr="00C02B51">
        <w:rPr>
          <w:rFonts w:cs="Arial"/>
          <w:color w:val="000000"/>
          <w:lang w:val="en-US"/>
        </w:rPr>
        <w:t>–</w:t>
      </w:r>
      <w:r w:rsidR="00F10DA7" w:rsidRPr="00C02B51">
        <w:rPr>
          <w:rFonts w:cs="Arial"/>
          <w:color w:val="000000"/>
          <w:lang w:val="en-US"/>
        </w:rPr>
        <w:t xml:space="preserve"> </w:t>
      </w:r>
      <w:r w:rsidR="00E74731" w:rsidRPr="00C02B51">
        <w:rPr>
          <w:rFonts w:cs="Arial"/>
          <w:color w:val="000000"/>
          <w:lang w:val="en-US"/>
        </w:rPr>
        <w:t>from DSC data gathered at three different heating rates</w:t>
      </w:r>
      <w:r w:rsidR="00E61C3A" w:rsidRPr="00C02B51">
        <w:rPr>
          <w:rFonts w:cs="Arial"/>
          <w:color w:val="000000"/>
          <w:lang w:val="en-US"/>
        </w:rPr>
        <w:t xml:space="preserve"> (2.5, 10, and 20°C min</w:t>
      </w:r>
      <w:r w:rsidR="00E61C3A" w:rsidRPr="00C02B51">
        <w:rPr>
          <w:rFonts w:cs="Arial"/>
          <w:color w:val="000000"/>
          <w:vertAlign w:val="superscript"/>
          <w:lang w:val="en-US"/>
        </w:rPr>
        <w:t>-1</w:t>
      </w:r>
      <w:r w:rsidR="00E61C3A" w:rsidRPr="00C02B51">
        <w:rPr>
          <w:rFonts w:cs="Arial"/>
          <w:color w:val="000000"/>
          <w:lang w:val="en-US"/>
        </w:rPr>
        <w:t>)</w:t>
      </w:r>
      <w:r w:rsidR="00E74731" w:rsidRPr="00C02B51">
        <w:rPr>
          <w:rFonts w:cs="Arial"/>
          <w:color w:val="000000"/>
          <w:lang w:val="en-US"/>
        </w:rPr>
        <w:t>.</w:t>
      </w:r>
      <w:r w:rsidR="00E61C3A" w:rsidRPr="00C02B51">
        <w:rPr>
          <w:rFonts w:cs="Arial"/>
          <w:color w:val="000000"/>
          <w:lang w:val="en-US"/>
        </w:rPr>
        <w:t xml:space="preserve"> </w:t>
      </w:r>
      <w:r w:rsidR="00D353D3" w:rsidRPr="00C02B51">
        <w:rPr>
          <w:rFonts w:cs="Arial"/>
          <w:color w:val="000000"/>
          <w:lang w:val="en-US"/>
        </w:rPr>
        <w:t xml:space="preserve">The obtained kinetics were </w:t>
      </w:r>
      <w:r w:rsidR="005A714D" w:rsidRPr="00C02B51">
        <w:rPr>
          <w:rFonts w:cs="Arial"/>
          <w:color w:val="000000"/>
          <w:lang w:val="en-US"/>
        </w:rPr>
        <w:t>validated</w:t>
      </w:r>
      <w:r w:rsidR="00D353D3" w:rsidRPr="00C02B51">
        <w:rPr>
          <w:rFonts w:cs="Arial"/>
          <w:color w:val="000000"/>
          <w:lang w:val="en-US"/>
        </w:rPr>
        <w:t xml:space="preserve"> against</w:t>
      </w:r>
      <w:r w:rsidR="00E74731" w:rsidRPr="00C02B51">
        <w:rPr>
          <w:rFonts w:cs="Arial"/>
          <w:color w:val="000000"/>
          <w:lang w:val="en-US"/>
        </w:rPr>
        <w:t xml:space="preserve"> </w:t>
      </w:r>
      <w:r w:rsidR="009E0422" w:rsidRPr="00C02B51">
        <w:rPr>
          <w:rFonts w:cs="Arial"/>
          <w:color w:val="000000"/>
          <w:lang w:val="en-US"/>
        </w:rPr>
        <w:t xml:space="preserve">isothermal and further dynamic </w:t>
      </w:r>
      <w:r w:rsidR="00B44178" w:rsidRPr="00C02B51">
        <w:rPr>
          <w:rFonts w:cs="Arial"/>
          <w:color w:val="000000"/>
          <w:lang w:val="en-US"/>
        </w:rPr>
        <w:t xml:space="preserve">DSC experiments. </w:t>
      </w:r>
      <w:r w:rsidR="005D2DC1" w:rsidRPr="00C02B51">
        <w:rPr>
          <w:rFonts w:cs="Arial"/>
          <w:color w:val="000000"/>
          <w:lang w:val="en-US"/>
        </w:rPr>
        <w:t>Figure 1 s</w:t>
      </w:r>
      <w:r w:rsidR="00B44178" w:rsidRPr="00C02B51">
        <w:rPr>
          <w:rFonts w:cs="Arial"/>
          <w:color w:val="000000"/>
          <w:lang w:val="en-US"/>
        </w:rPr>
        <w:t>how</w:t>
      </w:r>
      <w:r w:rsidR="00942A63" w:rsidRPr="00C02B51">
        <w:rPr>
          <w:rFonts w:cs="Arial"/>
          <w:color w:val="000000"/>
          <w:lang w:val="en-US"/>
        </w:rPr>
        <w:t>s</w:t>
      </w:r>
      <w:r w:rsidR="00B44178" w:rsidRPr="00C02B51">
        <w:rPr>
          <w:rFonts w:cs="Arial"/>
          <w:color w:val="000000"/>
          <w:lang w:val="en-US"/>
        </w:rPr>
        <w:t xml:space="preserve"> the comparison between kinetic predictions and </w:t>
      </w:r>
      <w:r w:rsidR="005D2DC1" w:rsidRPr="00C02B51">
        <w:rPr>
          <w:rFonts w:cs="Arial"/>
          <w:color w:val="000000"/>
          <w:lang w:val="en-US"/>
        </w:rPr>
        <w:t>experimental data</w:t>
      </w:r>
      <w:r w:rsidR="00C47FDC" w:rsidRPr="00C02B51">
        <w:rPr>
          <w:rFonts w:cs="Arial"/>
          <w:color w:val="000000"/>
          <w:lang w:val="en-US"/>
        </w:rPr>
        <w:t xml:space="preserve"> for isothermal conditions</w:t>
      </w:r>
      <w:r w:rsidR="005D2DC1" w:rsidRPr="00C02B51">
        <w:rPr>
          <w:rFonts w:cs="Arial"/>
          <w:color w:val="000000"/>
          <w:lang w:val="en-US"/>
        </w:rPr>
        <w:t>.</w:t>
      </w:r>
    </w:p>
    <w:p w14:paraId="27561A11" w14:textId="7A47D96C" w:rsidR="003D36F9" w:rsidRPr="00E065E8" w:rsidRDefault="00843343" w:rsidP="00F80327">
      <w:pPr>
        <w:spacing w:before="240" w:after="240"/>
        <w:rPr>
          <w:color w:val="000000"/>
          <w:lang w:val="en-US"/>
        </w:rPr>
      </w:pPr>
      <w:r w:rsidRPr="00E065E8">
        <w:rPr>
          <w:i/>
          <w:noProof/>
          <w:color w:val="000000"/>
          <w:lang w:val="it-IT" w:eastAsia="it-IT"/>
        </w:rPr>
        <w:drawing>
          <wp:inline distT="0" distB="0" distL="0" distR="0" wp14:anchorId="316CEF4F" wp14:editId="763E6904">
            <wp:extent cx="4284000" cy="3132000"/>
            <wp:effectExtent l="0" t="0" r="254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167"/>
                    <a:stretch/>
                  </pic:blipFill>
                  <pic:spPr bwMode="auto">
                    <a:xfrm>
                      <a:off x="0" y="0"/>
                      <a:ext cx="4284000" cy="3132000"/>
                    </a:xfrm>
                    <a:prstGeom prst="rect">
                      <a:avLst/>
                    </a:prstGeom>
                    <a:noFill/>
                    <a:ln>
                      <a:noFill/>
                    </a:ln>
                    <a:extLst>
                      <a:ext uri="{53640926-AAD7-44D8-BBD7-CCE9431645EC}">
                        <a14:shadowObscured xmlns:a14="http://schemas.microsoft.com/office/drawing/2010/main"/>
                      </a:ext>
                    </a:extLst>
                  </pic:spPr>
                </pic:pic>
              </a:graphicData>
            </a:graphic>
          </wp:inline>
        </w:drawing>
      </w:r>
    </w:p>
    <w:p w14:paraId="02AF6D42" w14:textId="35F13AE3" w:rsidR="00B024B8" w:rsidRPr="00E065E8" w:rsidRDefault="003D36F9" w:rsidP="00B024B8">
      <w:pPr>
        <w:pStyle w:val="CETCaption"/>
        <w:rPr>
          <w:rStyle w:val="CETCaptionCarattere"/>
          <w:i/>
          <w:color w:val="000000"/>
          <w:lang w:val="en-US"/>
        </w:rPr>
      </w:pPr>
      <w:r w:rsidRPr="00E065E8">
        <w:rPr>
          <w:rStyle w:val="CETCaptionCarattere"/>
          <w:i/>
          <w:color w:val="000000"/>
          <w:lang w:val="en-US"/>
        </w:rPr>
        <w:t xml:space="preserve">Figure </w:t>
      </w:r>
      <w:r w:rsidR="00BF6C2E" w:rsidRPr="00E065E8">
        <w:rPr>
          <w:rStyle w:val="CETCaptionCarattere"/>
          <w:i/>
          <w:color w:val="000000"/>
          <w:lang w:val="en-US"/>
        </w:rPr>
        <w:t>1</w:t>
      </w:r>
      <w:r w:rsidR="0049331C" w:rsidRPr="00E065E8">
        <w:rPr>
          <w:rStyle w:val="CETCaptionCarattere"/>
          <w:i/>
          <w:color w:val="000000"/>
          <w:lang w:val="en-US"/>
        </w:rPr>
        <w:t>:</w:t>
      </w:r>
      <w:r w:rsidRPr="00E065E8">
        <w:rPr>
          <w:rStyle w:val="CETCaptionCarattere"/>
          <w:i/>
          <w:color w:val="000000"/>
          <w:lang w:val="en-US"/>
        </w:rPr>
        <w:t xml:space="preserve"> Conversion of PA as a function of time at different temperatures: DSC experiments </w:t>
      </w:r>
      <w:r w:rsidR="00946EFF" w:rsidRPr="00E065E8">
        <w:rPr>
          <w:rStyle w:val="CETCaptionCarattere"/>
          <w:i/>
          <w:color w:val="000000"/>
          <w:lang w:val="en-US"/>
        </w:rPr>
        <w:t xml:space="preserve">(dashed lines) </w:t>
      </w:r>
      <w:r w:rsidRPr="00E065E8">
        <w:rPr>
          <w:rStyle w:val="CETCaptionCarattere"/>
          <w:i/>
          <w:color w:val="000000"/>
          <w:lang w:val="en-US"/>
        </w:rPr>
        <w:t>and corresponding kinetic predictions (solid lines).</w:t>
      </w:r>
      <w:r w:rsidR="00B024B8" w:rsidRPr="00E065E8">
        <w:rPr>
          <w:rStyle w:val="CETCaptionCarattere"/>
          <w:i/>
          <w:color w:val="000000"/>
          <w:lang w:val="en-US"/>
        </w:rPr>
        <w:t xml:space="preserve"> (From Sanchirico et al. (2022a)).</w:t>
      </w:r>
    </w:p>
    <w:p w14:paraId="66115E31" w14:textId="40CF5AA8" w:rsidR="00E17FFD" w:rsidRPr="00E065E8" w:rsidRDefault="00E17FFD" w:rsidP="00CC727C">
      <w:pPr>
        <w:rPr>
          <w:color w:val="000000"/>
          <w:lang w:val="en-US"/>
        </w:rPr>
      </w:pPr>
      <w:r w:rsidRPr="00E065E8">
        <w:rPr>
          <w:color w:val="000000"/>
          <w:lang w:val="en-US"/>
        </w:rPr>
        <w:lastRenderedPageBreak/>
        <w:t xml:space="preserve">After this preliminary validation, kinetic predictions were compared with experimental aging data, i.e., the conversions of aged PA. Such data were obtained for PA subjected not only to isothermal accelerated aging – under such conditions, wide ranges of temperature (from 90 to 230°C) and exposure time (from 25 min to 6 months) were explored – but also to non-isothermal accelerated aging (with temperature following a complex history of variations between 120 and 265°C over a time period of 35 min) and natural aging (during more than 10 years of storage at room temperature). Another element of novelty introduced was the use of high performance liquid chromatography (HPLC) analysis – instead of heat release (Kim et al., 2018) or mass loss (Li and Cheng, 2010; Harter et al., 2022) measurements – to obtain the effective conversion of aged PA. Predictions were found to be in good agreement with experimental data. In this regard, Figure </w:t>
      </w:r>
      <w:r w:rsidR="004E639B" w:rsidRPr="00E065E8">
        <w:rPr>
          <w:color w:val="000000"/>
          <w:lang w:val="en-US"/>
        </w:rPr>
        <w:t>2</w:t>
      </w:r>
      <w:r w:rsidRPr="00E065E8">
        <w:rPr>
          <w:color w:val="000000"/>
          <w:lang w:val="en-US"/>
        </w:rPr>
        <w:t xml:space="preserve"> and Table </w:t>
      </w:r>
      <w:r w:rsidR="00BE2573" w:rsidRPr="00E065E8">
        <w:rPr>
          <w:color w:val="000000"/>
          <w:lang w:val="en-US"/>
        </w:rPr>
        <w:t>2</w:t>
      </w:r>
      <w:r w:rsidRPr="00E065E8">
        <w:rPr>
          <w:color w:val="000000"/>
          <w:lang w:val="en-US"/>
        </w:rPr>
        <w:t xml:space="preserve"> show the comparison under high and low temperature isothermal conditions, respectively.</w:t>
      </w:r>
      <w:r w:rsidR="009A6B94">
        <w:rPr>
          <w:color w:val="000000"/>
          <w:lang w:val="en-US"/>
        </w:rPr>
        <w:t xml:space="preserve"> </w:t>
      </w:r>
      <w:r w:rsidR="009A6B94" w:rsidRPr="004A71C0">
        <w:rPr>
          <w:color w:val="000000"/>
          <w:lang w:val="en-US"/>
        </w:rPr>
        <w:t xml:space="preserve">The caption of Figure 2 </w:t>
      </w:r>
      <w:r w:rsidR="005576CD">
        <w:rPr>
          <w:color w:val="000000"/>
          <w:lang w:val="en-US"/>
        </w:rPr>
        <w:t xml:space="preserve">also </w:t>
      </w:r>
      <w:r w:rsidR="009A6B94" w:rsidRPr="004A71C0">
        <w:rPr>
          <w:color w:val="000000"/>
          <w:lang w:val="en-US"/>
        </w:rPr>
        <w:t>details the (high temperature) aging conditions.</w:t>
      </w:r>
    </w:p>
    <w:p w14:paraId="42C3A239" w14:textId="0E08AF75" w:rsidR="00080E90" w:rsidRPr="00E065E8" w:rsidRDefault="006C09BD" w:rsidP="0065613D">
      <w:pPr>
        <w:pStyle w:val="CETCaption"/>
        <w:rPr>
          <w:rStyle w:val="CETCaptionCarattere"/>
          <w:rFonts w:eastAsiaTheme="minorEastAsia"/>
          <w:color w:val="000000"/>
          <w:lang w:val="en-US"/>
        </w:rPr>
      </w:pPr>
      <w:r w:rsidRPr="00E065E8">
        <w:rPr>
          <w:noProof/>
          <w:color w:val="000000"/>
          <w:lang w:val="it-IT" w:eastAsia="it-IT"/>
        </w:rPr>
        <w:drawing>
          <wp:inline distT="0" distB="0" distL="0" distR="0" wp14:anchorId="7E3FC8D5" wp14:editId="61626BEC">
            <wp:extent cx="4428000" cy="3790800"/>
            <wp:effectExtent l="0" t="0" r="0" b="63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8000" cy="3790800"/>
                    </a:xfrm>
                    <a:prstGeom prst="rect">
                      <a:avLst/>
                    </a:prstGeom>
                    <a:noFill/>
                    <a:ln>
                      <a:noFill/>
                    </a:ln>
                  </pic:spPr>
                </pic:pic>
              </a:graphicData>
            </a:graphic>
          </wp:inline>
        </w:drawing>
      </w:r>
    </w:p>
    <w:p w14:paraId="4B62B95F" w14:textId="4CD5D584" w:rsidR="00080E90" w:rsidRPr="00E065E8" w:rsidRDefault="00080E90" w:rsidP="00080E90">
      <w:pPr>
        <w:pStyle w:val="CETCaption"/>
        <w:rPr>
          <w:rStyle w:val="CETCaptionCarattere"/>
          <w:i/>
          <w:color w:val="000000"/>
          <w:lang w:val="en-US"/>
        </w:rPr>
      </w:pPr>
      <w:r w:rsidRPr="00E065E8">
        <w:rPr>
          <w:rStyle w:val="CETCaptionCarattere"/>
          <w:i/>
          <w:color w:val="000000"/>
          <w:lang w:val="en-US"/>
        </w:rPr>
        <w:t xml:space="preserve">Figure </w:t>
      </w:r>
      <w:r w:rsidR="004E639B" w:rsidRPr="00E065E8">
        <w:rPr>
          <w:rStyle w:val="CETCaptionCarattere"/>
          <w:i/>
          <w:color w:val="000000"/>
          <w:lang w:val="en-US"/>
        </w:rPr>
        <w:t>2</w:t>
      </w:r>
      <w:r w:rsidRPr="00E065E8">
        <w:rPr>
          <w:rStyle w:val="CETCaptionCarattere"/>
          <w:i/>
          <w:color w:val="000000"/>
          <w:lang w:val="en-US"/>
        </w:rPr>
        <w:t>: Conversions of PA evaluated using HPLC analysis for different sample groups subjected to high temperature isothermal aging (A: @ 200°C for 180 min; B: @ 210°C for 60 min; C: @ 210°C for 90 min; D: @ 210°C for 120 min; E: @ 220°C for 45 min; F: @ 220°C for 60 min; G: @ 230°C for 25 min; H: @ 230°C for 45 min) and corresponding kinetic predictions. For each sample group, three tests were run. (From Sanchirico et al. (2022a)).</w:t>
      </w:r>
    </w:p>
    <w:p w14:paraId="65043148" w14:textId="62273F3C" w:rsidR="005241D5" w:rsidRPr="00E065E8" w:rsidRDefault="005241D5" w:rsidP="005241D5">
      <w:pPr>
        <w:keepNext/>
        <w:tabs>
          <w:tab w:val="clear" w:pos="7100"/>
        </w:tabs>
        <w:spacing w:before="240" w:after="80" w:line="240" w:lineRule="exact"/>
        <w:jc w:val="left"/>
        <w:rPr>
          <w:i/>
          <w:color w:val="000000"/>
          <w:lang w:val="en-US"/>
        </w:rPr>
      </w:pPr>
      <w:r w:rsidRPr="00E065E8">
        <w:rPr>
          <w:i/>
          <w:color w:val="000000"/>
          <w:lang w:val="en-US"/>
        </w:rPr>
        <w:t xml:space="preserve">Table </w:t>
      </w:r>
      <w:r w:rsidR="00BE2573" w:rsidRPr="00E065E8">
        <w:rPr>
          <w:i/>
          <w:color w:val="000000"/>
          <w:lang w:val="en-US"/>
        </w:rPr>
        <w:t>2</w:t>
      </w:r>
      <w:r w:rsidRPr="00E065E8">
        <w:rPr>
          <w:i/>
          <w:color w:val="000000"/>
          <w:lang w:val="en-US"/>
        </w:rPr>
        <w:t>: Conversions of PA evaluated using HPLC analysis for samples subjected to low temperature isothermal aging and corresponding kinetic predictions. (From Sanchirico et al. (2022a)).</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29"/>
        <w:gridCol w:w="2930"/>
        <w:gridCol w:w="2928"/>
      </w:tblGrid>
      <w:tr w:rsidR="00E065E8" w:rsidRPr="00E065E8" w14:paraId="7CA97ADD" w14:textId="77777777" w:rsidTr="00D77368">
        <w:tc>
          <w:tcPr>
            <w:tcW w:w="1667" w:type="pct"/>
            <w:tcBorders>
              <w:top w:val="single" w:sz="12" w:space="0" w:color="008000"/>
              <w:bottom w:val="single" w:sz="6" w:space="0" w:color="008000"/>
            </w:tcBorders>
            <w:shd w:val="clear" w:color="auto" w:fill="FFFFFF"/>
          </w:tcPr>
          <w:p w14:paraId="6CE39555" w14:textId="77777777" w:rsidR="005241D5" w:rsidRPr="00E065E8" w:rsidRDefault="005241D5" w:rsidP="00D77368">
            <w:pPr>
              <w:rPr>
                <w:color w:val="000000"/>
                <w:lang w:val="en-US"/>
              </w:rPr>
            </w:pPr>
            <w:r w:rsidRPr="00E065E8">
              <w:rPr>
                <w:color w:val="000000"/>
                <w:lang w:val="en-US"/>
              </w:rPr>
              <w:t>Aging Conditions</w:t>
            </w:r>
          </w:p>
        </w:tc>
        <w:tc>
          <w:tcPr>
            <w:tcW w:w="1667" w:type="pct"/>
            <w:tcBorders>
              <w:top w:val="single" w:sz="12" w:space="0" w:color="008000"/>
              <w:bottom w:val="single" w:sz="6" w:space="0" w:color="008000"/>
            </w:tcBorders>
            <w:shd w:val="clear" w:color="auto" w:fill="FFFFFF"/>
          </w:tcPr>
          <w:p w14:paraId="71E4D995" w14:textId="77777777" w:rsidR="005241D5" w:rsidRPr="00E065E8" w:rsidRDefault="005241D5" w:rsidP="00D77368">
            <w:pPr>
              <w:rPr>
                <w:color w:val="000000"/>
                <w:lang w:val="en-US"/>
              </w:rPr>
            </w:pPr>
            <w:r w:rsidRPr="00E065E8">
              <w:rPr>
                <w:color w:val="000000"/>
                <w:lang w:val="en-US"/>
              </w:rPr>
              <w:t>Experimental Conversion (%)</w:t>
            </w:r>
          </w:p>
        </w:tc>
        <w:tc>
          <w:tcPr>
            <w:tcW w:w="1667" w:type="pct"/>
            <w:tcBorders>
              <w:top w:val="single" w:sz="12" w:space="0" w:color="008000"/>
              <w:bottom w:val="single" w:sz="6" w:space="0" w:color="008000"/>
            </w:tcBorders>
            <w:shd w:val="clear" w:color="auto" w:fill="FFFFFF"/>
          </w:tcPr>
          <w:p w14:paraId="737C2522" w14:textId="77777777" w:rsidR="005241D5" w:rsidRPr="00E065E8" w:rsidRDefault="005241D5" w:rsidP="00D77368">
            <w:pPr>
              <w:rPr>
                <w:color w:val="000000"/>
                <w:lang w:val="en-US"/>
              </w:rPr>
            </w:pPr>
            <w:r w:rsidRPr="00E065E8">
              <w:rPr>
                <w:color w:val="000000"/>
                <w:lang w:val="en-US"/>
              </w:rPr>
              <w:t>Predicted Conversion (%)</w:t>
            </w:r>
          </w:p>
        </w:tc>
      </w:tr>
      <w:tr w:rsidR="00E065E8" w:rsidRPr="00E065E8" w14:paraId="44439366" w14:textId="77777777" w:rsidTr="00D77368">
        <w:tc>
          <w:tcPr>
            <w:tcW w:w="1667" w:type="pct"/>
            <w:shd w:val="clear" w:color="auto" w:fill="FFFFFF"/>
          </w:tcPr>
          <w:p w14:paraId="0CDB77AF" w14:textId="426CFFCC" w:rsidR="005241D5" w:rsidRPr="00E065E8" w:rsidRDefault="005241D5" w:rsidP="00231B2B">
            <w:pPr>
              <w:rPr>
                <w:color w:val="000000"/>
                <w:lang w:val="en-US"/>
              </w:rPr>
            </w:pPr>
            <w:r w:rsidRPr="00E065E8">
              <w:rPr>
                <w:color w:val="000000"/>
                <w:lang w:val="en-US"/>
              </w:rPr>
              <w:t>140°C for 1 week</w:t>
            </w:r>
          </w:p>
        </w:tc>
        <w:tc>
          <w:tcPr>
            <w:tcW w:w="1667" w:type="pct"/>
            <w:shd w:val="clear" w:color="auto" w:fill="FFFFFF"/>
          </w:tcPr>
          <w:p w14:paraId="5A8B30BE" w14:textId="77777777" w:rsidR="005241D5" w:rsidRPr="00E065E8" w:rsidRDefault="005241D5" w:rsidP="00D77368">
            <w:pPr>
              <w:rPr>
                <w:color w:val="000000"/>
                <w:lang w:val="en-US"/>
              </w:rPr>
            </w:pPr>
            <w:r w:rsidRPr="00E065E8">
              <w:rPr>
                <w:color w:val="000000"/>
                <w:lang w:val="en-US"/>
              </w:rPr>
              <w:t xml:space="preserve">  5.70</w:t>
            </w:r>
          </w:p>
        </w:tc>
        <w:tc>
          <w:tcPr>
            <w:tcW w:w="1667" w:type="pct"/>
            <w:shd w:val="clear" w:color="auto" w:fill="FFFFFF"/>
          </w:tcPr>
          <w:p w14:paraId="28D9BD65" w14:textId="77777777" w:rsidR="005241D5" w:rsidRPr="00E065E8" w:rsidRDefault="005241D5" w:rsidP="00D77368">
            <w:pPr>
              <w:rPr>
                <w:color w:val="000000"/>
                <w:lang w:val="en-US"/>
              </w:rPr>
            </w:pPr>
            <w:r w:rsidRPr="00E065E8">
              <w:rPr>
                <w:color w:val="000000"/>
                <w:lang w:val="en-US"/>
              </w:rPr>
              <w:t xml:space="preserve">  5.75</w:t>
            </w:r>
          </w:p>
        </w:tc>
      </w:tr>
      <w:tr w:rsidR="00E065E8" w:rsidRPr="00E065E8" w14:paraId="041F734F" w14:textId="77777777" w:rsidTr="00D77368">
        <w:tc>
          <w:tcPr>
            <w:tcW w:w="1667" w:type="pct"/>
            <w:shd w:val="clear" w:color="auto" w:fill="FFFFFF"/>
          </w:tcPr>
          <w:p w14:paraId="6F7A835F" w14:textId="6A9DFC97" w:rsidR="005241D5" w:rsidRPr="00E065E8" w:rsidRDefault="005241D5" w:rsidP="00231B2B">
            <w:pPr>
              <w:rPr>
                <w:color w:val="000000"/>
                <w:lang w:val="en-US"/>
              </w:rPr>
            </w:pPr>
            <w:r w:rsidRPr="00E065E8">
              <w:rPr>
                <w:color w:val="000000"/>
                <w:lang w:val="en-US"/>
              </w:rPr>
              <w:t>140°C for 5 weeks</w:t>
            </w:r>
          </w:p>
        </w:tc>
        <w:tc>
          <w:tcPr>
            <w:tcW w:w="1667" w:type="pct"/>
            <w:shd w:val="clear" w:color="auto" w:fill="FFFFFF"/>
          </w:tcPr>
          <w:p w14:paraId="4A0ED31D" w14:textId="77777777" w:rsidR="005241D5" w:rsidRPr="00E065E8" w:rsidRDefault="005241D5" w:rsidP="00D77368">
            <w:pPr>
              <w:rPr>
                <w:color w:val="000000"/>
                <w:lang w:val="en-US"/>
              </w:rPr>
            </w:pPr>
            <w:r w:rsidRPr="00E065E8">
              <w:rPr>
                <w:color w:val="000000"/>
                <w:lang w:val="en-US"/>
              </w:rPr>
              <w:t>72.10</w:t>
            </w:r>
          </w:p>
        </w:tc>
        <w:tc>
          <w:tcPr>
            <w:tcW w:w="1667" w:type="pct"/>
            <w:shd w:val="clear" w:color="auto" w:fill="FFFFFF"/>
          </w:tcPr>
          <w:p w14:paraId="35C5E643" w14:textId="77777777" w:rsidR="005241D5" w:rsidRPr="00E065E8" w:rsidRDefault="005241D5" w:rsidP="00D77368">
            <w:pPr>
              <w:rPr>
                <w:color w:val="000000"/>
                <w:lang w:val="en-US"/>
              </w:rPr>
            </w:pPr>
            <w:r w:rsidRPr="00E065E8">
              <w:rPr>
                <w:color w:val="000000"/>
                <w:lang w:val="en-US"/>
              </w:rPr>
              <w:t>73.97</w:t>
            </w:r>
          </w:p>
        </w:tc>
      </w:tr>
      <w:tr w:rsidR="00E065E8" w:rsidRPr="00E065E8" w14:paraId="351DA6CA" w14:textId="77777777" w:rsidTr="00D77368">
        <w:tc>
          <w:tcPr>
            <w:tcW w:w="1667" w:type="pct"/>
            <w:shd w:val="clear" w:color="auto" w:fill="FFFFFF"/>
          </w:tcPr>
          <w:p w14:paraId="45973E71" w14:textId="75319CAA" w:rsidR="005241D5" w:rsidRPr="00E065E8" w:rsidRDefault="00231B2B" w:rsidP="00231B2B">
            <w:pPr>
              <w:rPr>
                <w:color w:val="000000"/>
                <w:lang w:val="en-US"/>
              </w:rPr>
            </w:pPr>
            <w:r w:rsidRPr="00E065E8">
              <w:rPr>
                <w:color w:val="000000"/>
                <w:lang w:val="en-US"/>
              </w:rPr>
              <w:t xml:space="preserve">  </w:t>
            </w:r>
            <w:r w:rsidR="005241D5" w:rsidRPr="00E065E8">
              <w:rPr>
                <w:color w:val="000000"/>
                <w:lang w:val="en-US"/>
              </w:rPr>
              <w:t>90°C for 6 months</w:t>
            </w:r>
          </w:p>
        </w:tc>
        <w:tc>
          <w:tcPr>
            <w:tcW w:w="1667" w:type="pct"/>
            <w:shd w:val="clear" w:color="auto" w:fill="FFFFFF"/>
          </w:tcPr>
          <w:p w14:paraId="56435D5A" w14:textId="77777777" w:rsidR="005241D5" w:rsidRPr="00E065E8" w:rsidRDefault="005241D5" w:rsidP="00D77368">
            <w:pPr>
              <w:rPr>
                <w:color w:val="000000"/>
                <w:lang w:val="en-US"/>
              </w:rPr>
            </w:pPr>
            <w:r w:rsidRPr="00E065E8">
              <w:rPr>
                <w:color w:val="000000"/>
                <w:lang w:val="en-US"/>
              </w:rPr>
              <w:sym w:font="Symbol" w:char="F03C"/>
            </w:r>
            <w:r w:rsidRPr="00E065E8">
              <w:rPr>
                <w:color w:val="000000"/>
                <w:lang w:val="en-US"/>
              </w:rPr>
              <w:t>1.00</w:t>
            </w:r>
          </w:p>
        </w:tc>
        <w:tc>
          <w:tcPr>
            <w:tcW w:w="1667" w:type="pct"/>
            <w:shd w:val="clear" w:color="auto" w:fill="FFFFFF"/>
          </w:tcPr>
          <w:p w14:paraId="7161198A" w14:textId="77777777" w:rsidR="005241D5" w:rsidRPr="00E065E8" w:rsidRDefault="005241D5" w:rsidP="00D77368">
            <w:pPr>
              <w:rPr>
                <w:color w:val="000000"/>
                <w:lang w:val="en-US"/>
              </w:rPr>
            </w:pPr>
            <w:r w:rsidRPr="00E065E8">
              <w:rPr>
                <w:color w:val="000000"/>
                <w:lang w:val="en-US"/>
              </w:rPr>
              <w:sym w:font="Symbol" w:char="F07E"/>
            </w:r>
            <w:r w:rsidRPr="00E065E8">
              <w:rPr>
                <w:color w:val="000000"/>
                <w:lang w:val="en-US"/>
              </w:rPr>
              <w:t>0.70</w:t>
            </w:r>
          </w:p>
        </w:tc>
      </w:tr>
    </w:tbl>
    <w:p w14:paraId="0078D8B9" w14:textId="77777777" w:rsidR="00F91E97" w:rsidRPr="00E065E8" w:rsidRDefault="00D11126" w:rsidP="00F91E97">
      <w:pPr>
        <w:spacing w:before="240"/>
        <w:rPr>
          <w:color w:val="000000"/>
          <w:lang w:val="en-US"/>
        </w:rPr>
      </w:pPr>
      <w:r w:rsidRPr="00E065E8">
        <w:rPr>
          <w:color w:val="000000"/>
          <w:lang w:val="en-US"/>
        </w:rPr>
        <w:t xml:space="preserve">In the case of non-isothermal accelerated aging, a conversion of PA equal to 35.87% was evaluated using HPLC analysis, whereas the corresponding predicted value was equal to 33.53%. </w:t>
      </w:r>
      <w:r w:rsidR="0035339B" w:rsidRPr="00E065E8">
        <w:rPr>
          <w:color w:val="000000"/>
          <w:lang w:val="en-US"/>
        </w:rPr>
        <w:t xml:space="preserve">The fact that </w:t>
      </w:r>
      <w:r w:rsidR="004E639B" w:rsidRPr="00E065E8">
        <w:rPr>
          <w:color w:val="000000"/>
          <w:lang w:val="en-US"/>
        </w:rPr>
        <w:t>the same sample holder was used in both DSC experiments and accelerated aging tests represents a further point of strength for the performed validation.</w:t>
      </w:r>
    </w:p>
    <w:p w14:paraId="027B7A66" w14:textId="63C4658E" w:rsidR="00470023" w:rsidRPr="00E065E8" w:rsidRDefault="00E17FFD" w:rsidP="007B1F30">
      <w:pPr>
        <w:rPr>
          <w:rStyle w:val="CETCaptionCarattere"/>
          <w:i w:val="0"/>
          <w:color w:val="000000"/>
          <w:lang w:val="en-US"/>
        </w:rPr>
      </w:pPr>
      <w:r w:rsidRPr="00E065E8">
        <w:rPr>
          <w:color w:val="000000"/>
          <w:lang w:val="en-US"/>
        </w:rPr>
        <w:lastRenderedPageBreak/>
        <w:t xml:space="preserve">For naturally aged PA, a negligible conversion was </w:t>
      </w:r>
      <w:r w:rsidR="008F1D0E" w:rsidRPr="00E065E8">
        <w:rPr>
          <w:color w:val="000000"/>
          <w:lang w:val="en-US"/>
        </w:rPr>
        <w:t>found</w:t>
      </w:r>
      <w:r w:rsidRPr="00E065E8">
        <w:rPr>
          <w:color w:val="000000"/>
          <w:lang w:val="en-US"/>
        </w:rPr>
        <w:t xml:space="preserve"> – this was consistent with the almost overlap of the dynamic DSC thermograms recorded for a sample of this material and a sample of fresh (i.e., unaged) PA (Sanchirico et al., 2022b) (Figure </w:t>
      </w:r>
      <w:r w:rsidR="009054A4" w:rsidRPr="00E065E8">
        <w:rPr>
          <w:color w:val="000000"/>
          <w:lang w:val="en-US"/>
        </w:rPr>
        <w:t>3</w:t>
      </w:r>
      <w:r w:rsidRPr="00E065E8">
        <w:rPr>
          <w:color w:val="000000"/>
          <w:lang w:val="en-US"/>
        </w:rPr>
        <w:t>).</w:t>
      </w:r>
    </w:p>
    <w:p w14:paraId="6E3C5D8E" w14:textId="779CC426" w:rsidR="007858C1" w:rsidRPr="00E065E8" w:rsidRDefault="00D941BD" w:rsidP="00D941BD">
      <w:pPr>
        <w:spacing w:before="240" w:after="240"/>
        <w:rPr>
          <w:color w:val="000000"/>
          <w:lang w:val="en-US"/>
        </w:rPr>
      </w:pPr>
      <w:r w:rsidRPr="00E065E8">
        <w:rPr>
          <w:i/>
          <w:noProof/>
          <w:color w:val="000000"/>
          <w:lang w:val="it-IT" w:eastAsia="it-IT"/>
        </w:rPr>
        <w:drawing>
          <wp:inline distT="0" distB="0" distL="0" distR="0" wp14:anchorId="541DE5C8" wp14:editId="7003EB2F">
            <wp:extent cx="4428000" cy="3265200"/>
            <wp:effectExtent l="0" t="0" r="0" b="0"/>
            <wp:docPr id="134658510" name="Picture 13465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8000" cy="3265200"/>
                    </a:xfrm>
                    <a:prstGeom prst="rect">
                      <a:avLst/>
                    </a:prstGeom>
                    <a:noFill/>
                    <a:ln>
                      <a:noFill/>
                    </a:ln>
                  </pic:spPr>
                </pic:pic>
              </a:graphicData>
            </a:graphic>
          </wp:inline>
        </w:drawing>
      </w:r>
    </w:p>
    <w:p w14:paraId="67DA44DE" w14:textId="46A08DE7" w:rsidR="00726D45" w:rsidRPr="00E065E8" w:rsidRDefault="00E82DA5" w:rsidP="00726D45">
      <w:pPr>
        <w:pStyle w:val="CETCaption"/>
        <w:rPr>
          <w:rStyle w:val="CETCaptionCarattere"/>
          <w:i/>
          <w:color w:val="000000"/>
          <w:lang w:val="en-US"/>
        </w:rPr>
      </w:pPr>
      <w:r w:rsidRPr="00E065E8">
        <w:rPr>
          <w:rStyle w:val="CETCaptionCarattere"/>
          <w:i/>
          <w:color w:val="000000"/>
          <w:lang w:val="en-US"/>
        </w:rPr>
        <w:t xml:space="preserve">Figure </w:t>
      </w:r>
      <w:r w:rsidR="009054A4" w:rsidRPr="00E065E8">
        <w:rPr>
          <w:rStyle w:val="CETCaptionCarattere"/>
          <w:i/>
          <w:color w:val="000000"/>
          <w:lang w:val="en-US"/>
        </w:rPr>
        <w:t>3</w:t>
      </w:r>
      <w:r w:rsidR="0049331C" w:rsidRPr="00E065E8">
        <w:rPr>
          <w:rStyle w:val="CETCaptionCarattere"/>
          <w:i/>
          <w:color w:val="000000"/>
          <w:lang w:val="en-US"/>
        </w:rPr>
        <w:t>:</w:t>
      </w:r>
      <w:r w:rsidRPr="00E065E8">
        <w:rPr>
          <w:rStyle w:val="CETCaptionCarattere"/>
          <w:i/>
          <w:color w:val="000000"/>
          <w:lang w:val="en-US"/>
        </w:rPr>
        <w:t xml:space="preserve"> Dynamic DSC thermograms (i.e., specific heat power, q, versus temperature curves) recorded for fresh and naturally aged PA (heating rate of 20°C min</w:t>
      </w:r>
      <w:r w:rsidRPr="00E065E8">
        <w:rPr>
          <w:rStyle w:val="CETCaptionCarattere"/>
          <w:i/>
          <w:color w:val="000000"/>
          <w:vertAlign w:val="superscript"/>
          <w:lang w:val="en-US"/>
        </w:rPr>
        <w:t>-1</w:t>
      </w:r>
      <w:r w:rsidRPr="00E065E8">
        <w:rPr>
          <w:rStyle w:val="CETCaptionCarattere"/>
          <w:i/>
          <w:color w:val="000000"/>
          <w:lang w:val="en-US"/>
        </w:rPr>
        <w:t xml:space="preserve">). </w:t>
      </w:r>
      <w:r w:rsidR="00726D45" w:rsidRPr="00E065E8">
        <w:rPr>
          <w:rStyle w:val="CETCaptionCarattere"/>
          <w:i/>
          <w:color w:val="000000"/>
          <w:lang w:val="en-US"/>
        </w:rPr>
        <w:t>(From Sanchirico et al. (2022b)).</w:t>
      </w:r>
    </w:p>
    <w:p w14:paraId="3CF3EE38" w14:textId="63A02ECD" w:rsidR="007858C1" w:rsidRPr="00E065E8" w:rsidRDefault="007858C1" w:rsidP="001E7A8C">
      <w:pPr>
        <w:rPr>
          <w:color w:val="000000"/>
          <w:lang w:val="en-US"/>
        </w:rPr>
      </w:pPr>
      <w:r w:rsidRPr="00E065E8">
        <w:rPr>
          <w:color w:val="000000"/>
          <w:lang w:val="en-US"/>
        </w:rPr>
        <w:t xml:space="preserve">The good agreement between predictions and </w:t>
      </w:r>
      <w:r w:rsidR="00162401" w:rsidRPr="00E065E8">
        <w:rPr>
          <w:color w:val="000000"/>
          <w:lang w:val="en-US"/>
        </w:rPr>
        <w:t>exper</w:t>
      </w:r>
      <w:r w:rsidR="00162401">
        <w:rPr>
          <w:color w:val="000000"/>
          <w:lang w:val="en-US"/>
        </w:rPr>
        <w:t>im</w:t>
      </w:r>
      <w:r w:rsidR="00162401" w:rsidRPr="00E065E8">
        <w:rPr>
          <w:color w:val="000000"/>
          <w:lang w:val="en-US"/>
        </w:rPr>
        <w:t>ental</w:t>
      </w:r>
      <w:r w:rsidRPr="00E065E8">
        <w:rPr>
          <w:color w:val="000000"/>
          <w:lang w:val="en-US"/>
        </w:rPr>
        <w:t xml:space="preserve"> aging data proves the reliability of the kinetics extracted for PA, also supporting the extension of the adopted model-based approach to the prediction of the shelf life of EMs that, like PA, decompose in an autocatalytic manner.</w:t>
      </w:r>
    </w:p>
    <w:p w14:paraId="68D26B83" w14:textId="77777777" w:rsidR="00600535" w:rsidRPr="00E065E8" w:rsidRDefault="00600535" w:rsidP="00600535">
      <w:pPr>
        <w:pStyle w:val="CETHeading1"/>
        <w:rPr>
          <w:color w:val="000000"/>
        </w:rPr>
      </w:pPr>
      <w:r w:rsidRPr="00E065E8">
        <w:rPr>
          <w:color w:val="000000"/>
        </w:rPr>
        <w:t>Conclusions</w:t>
      </w:r>
    </w:p>
    <w:p w14:paraId="01148479" w14:textId="2E4DB5F8" w:rsidR="00A72F86" w:rsidRPr="00E065E8" w:rsidRDefault="00446320" w:rsidP="00A72F86">
      <w:pPr>
        <w:pStyle w:val="CETBodytext"/>
        <w:rPr>
          <w:color w:val="000000"/>
        </w:rPr>
      </w:pPr>
      <w:r w:rsidRPr="00E065E8">
        <w:rPr>
          <w:color w:val="000000"/>
        </w:rPr>
        <w:t xml:space="preserve">Based on the </w:t>
      </w:r>
      <w:r w:rsidR="00B92006" w:rsidRPr="00E065E8">
        <w:rPr>
          <w:color w:val="000000"/>
        </w:rPr>
        <w:t xml:space="preserve">literature results </w:t>
      </w:r>
      <w:r w:rsidR="009537FE" w:rsidRPr="00E065E8">
        <w:rPr>
          <w:color w:val="000000"/>
        </w:rPr>
        <w:t>discussed</w:t>
      </w:r>
      <w:r w:rsidR="00B92006" w:rsidRPr="00E065E8">
        <w:rPr>
          <w:color w:val="000000"/>
        </w:rPr>
        <w:t xml:space="preserve"> in the previous section</w:t>
      </w:r>
      <w:r w:rsidRPr="00E065E8">
        <w:rPr>
          <w:color w:val="000000"/>
        </w:rPr>
        <w:t xml:space="preserve">, it can be concluded that </w:t>
      </w:r>
      <w:r w:rsidR="00B92006" w:rsidRPr="00E065E8">
        <w:rPr>
          <w:color w:val="000000"/>
        </w:rPr>
        <w:t xml:space="preserve">the application of the kinetic analysis of decomposition data gathered by using thermal analysis techniques to the shelf life prediction of energetic materials (EMs) deservers further consideration. As a whole, the studies performed so far on this subject, although limited in number, represent a good premise, having shown agreement </w:t>
      </w:r>
      <w:r w:rsidR="003D4BF2" w:rsidRPr="00E065E8">
        <w:rPr>
          <w:color w:val="000000"/>
        </w:rPr>
        <w:t xml:space="preserve">or </w:t>
      </w:r>
      <w:r w:rsidR="00BC0DC4" w:rsidRPr="00E065E8">
        <w:rPr>
          <w:color w:val="000000"/>
        </w:rPr>
        <w:t>(</w:t>
      </w:r>
      <w:r w:rsidR="003D4BF2" w:rsidRPr="00E065E8">
        <w:rPr>
          <w:color w:val="000000"/>
        </w:rPr>
        <w:t>at least</w:t>
      </w:r>
      <w:r w:rsidR="00BC0DC4" w:rsidRPr="00E065E8">
        <w:rPr>
          <w:color w:val="000000"/>
        </w:rPr>
        <w:t>)</w:t>
      </w:r>
      <w:r w:rsidR="003D4BF2" w:rsidRPr="00E065E8">
        <w:rPr>
          <w:color w:val="000000"/>
        </w:rPr>
        <w:t xml:space="preserve"> consistency </w:t>
      </w:r>
      <w:r w:rsidR="00B92006" w:rsidRPr="00E065E8">
        <w:rPr>
          <w:color w:val="000000"/>
        </w:rPr>
        <w:t xml:space="preserve">between kinetic predictions and experimental data obtained on actual aged samples. Starting from these studies, future research should broaden the range of investigated EMs, </w:t>
      </w:r>
      <w:r w:rsidR="00231566" w:rsidRPr="00E065E8">
        <w:rPr>
          <w:color w:val="000000"/>
        </w:rPr>
        <w:t>thoroughly</w:t>
      </w:r>
      <w:r w:rsidR="007F4534" w:rsidRPr="00E065E8">
        <w:rPr>
          <w:color w:val="000000"/>
        </w:rPr>
        <w:t xml:space="preserve"> assessing the </w:t>
      </w:r>
      <w:r w:rsidR="00B92006" w:rsidRPr="00E065E8">
        <w:rPr>
          <w:color w:val="000000"/>
        </w:rPr>
        <w:t>reliability of kinetic predictions against aging data.</w:t>
      </w:r>
      <w:r w:rsidR="00456B8D" w:rsidRPr="00E065E8">
        <w:rPr>
          <w:color w:val="000000"/>
        </w:rPr>
        <w:t xml:space="preserve"> </w:t>
      </w:r>
      <w:r w:rsidR="00B92006" w:rsidRPr="00E065E8">
        <w:rPr>
          <w:color w:val="000000"/>
        </w:rPr>
        <w:t xml:space="preserve">This assessment involves accelerated aging tests and, therefore, is the most delicate point to deal with. However, the efforts associated with such tests can be suitably optimized through a reasoned planning of the experimental campaign based on indications coming from the kinetic predictions themselves. </w:t>
      </w:r>
      <w:r w:rsidR="00E02978" w:rsidRPr="00E065E8">
        <w:rPr>
          <w:color w:val="000000"/>
        </w:rPr>
        <w:t xml:space="preserve">For example, should test conditions result, even after relatively long aging times (months or years), in values of conversion not detectable by the available measurement techniques, then they would be rejected a priori. The same is true in the case of conversions well above the value corresponding to the failure threshold. </w:t>
      </w:r>
      <w:r w:rsidR="00B92006" w:rsidRPr="00E065E8">
        <w:rPr>
          <w:color w:val="000000"/>
        </w:rPr>
        <w:t xml:space="preserve">From this perspective, the </w:t>
      </w:r>
      <w:r w:rsidR="00CE7CBD" w:rsidRPr="00E065E8">
        <w:rPr>
          <w:color w:val="000000"/>
        </w:rPr>
        <w:t xml:space="preserve">approach </w:t>
      </w:r>
      <w:r w:rsidR="00622AE8" w:rsidRPr="00E065E8">
        <w:rPr>
          <w:color w:val="000000"/>
        </w:rPr>
        <w:t xml:space="preserve">presented in this work </w:t>
      </w:r>
      <w:r w:rsidR="00B92006" w:rsidRPr="00E065E8">
        <w:rPr>
          <w:color w:val="000000"/>
        </w:rPr>
        <w:t xml:space="preserve">can be a viable alternative to the standard multi temperature aging method, which, in comparison, is much more time and resource intensive as it </w:t>
      </w:r>
      <w:r w:rsidR="00A85A1E" w:rsidRPr="00E065E8">
        <w:rPr>
          <w:color w:val="000000"/>
        </w:rPr>
        <w:t>requires</w:t>
      </w:r>
      <w:r w:rsidR="00B92006" w:rsidRPr="00E065E8">
        <w:rPr>
          <w:color w:val="000000"/>
        </w:rPr>
        <w:t xml:space="preserve"> massive accelerated aging tests.</w:t>
      </w:r>
    </w:p>
    <w:p w14:paraId="6A5FAB24" w14:textId="77777777" w:rsidR="008413F9" w:rsidRPr="00E065E8" w:rsidRDefault="008413F9" w:rsidP="008413F9">
      <w:pPr>
        <w:pStyle w:val="CETHeadingxx"/>
        <w:rPr>
          <w:color w:val="000000"/>
        </w:rPr>
        <w:sectPr w:rsidR="008413F9" w:rsidRPr="00E065E8" w:rsidSect="003A0B4E">
          <w:type w:val="continuous"/>
          <w:pgSz w:w="11906" w:h="16838" w:code="9"/>
          <w:pgMar w:top="1701" w:right="1418" w:bottom="1701" w:left="1701" w:header="1701" w:footer="0" w:gutter="0"/>
          <w:cols w:space="708"/>
          <w:formProt w:val="0"/>
          <w:titlePg/>
          <w:docGrid w:linePitch="360"/>
        </w:sectPr>
      </w:pPr>
      <w:r w:rsidRPr="00E065E8">
        <w:rPr>
          <w:color w:val="000000"/>
        </w:rPr>
        <w:t>Nomenclature</w:t>
      </w:r>
    </w:p>
    <w:p w14:paraId="7335760B" w14:textId="1080A8E5" w:rsidR="008413F9" w:rsidRPr="00E065E8" w:rsidRDefault="008413F9" w:rsidP="008413F9">
      <w:pPr>
        <w:pStyle w:val="CETBodytext"/>
        <w:jc w:val="left"/>
        <w:rPr>
          <w:rFonts w:eastAsia="SimSun" w:cs="Arial"/>
          <w:color w:val="000000"/>
          <w:szCs w:val="18"/>
        </w:rPr>
      </w:pPr>
      <w:r w:rsidRPr="00E065E8">
        <w:rPr>
          <w:rFonts w:eastAsia="SimSun" w:cs="Arial"/>
          <w:color w:val="000000"/>
          <w:szCs w:val="18"/>
        </w:rPr>
        <w:t>A – pre-exponential factor</w:t>
      </w:r>
    </w:p>
    <w:p w14:paraId="64FE6866" w14:textId="77777777" w:rsidR="008413F9" w:rsidRPr="00E065E8" w:rsidRDefault="008413F9" w:rsidP="008413F9">
      <w:pPr>
        <w:pStyle w:val="CETBodytext"/>
        <w:jc w:val="left"/>
        <w:rPr>
          <w:rFonts w:eastAsia="SimSun" w:cs="Arial"/>
          <w:color w:val="000000"/>
          <w:szCs w:val="18"/>
        </w:rPr>
        <w:sectPr w:rsidR="008413F9" w:rsidRPr="00E065E8" w:rsidSect="003A0B4E">
          <w:type w:val="continuous"/>
          <w:pgSz w:w="11906" w:h="16838" w:code="9"/>
          <w:pgMar w:top="1701" w:right="1418" w:bottom="1701" w:left="1701" w:header="1701" w:footer="0" w:gutter="0"/>
          <w:cols w:space="708"/>
          <w:formProt w:val="0"/>
          <w:titlePg/>
          <w:docGrid w:linePitch="360"/>
        </w:sectPr>
      </w:pPr>
    </w:p>
    <w:p w14:paraId="03F5BB90" w14:textId="77777777" w:rsidR="00C160BD" w:rsidRPr="00E065E8" w:rsidRDefault="00C160BD" w:rsidP="00C160BD">
      <w:pPr>
        <w:pStyle w:val="CETBodytext"/>
        <w:jc w:val="left"/>
        <w:rPr>
          <w:rFonts w:eastAsia="SimSun" w:cs="Arial"/>
          <w:color w:val="000000"/>
          <w:szCs w:val="18"/>
        </w:rPr>
      </w:pPr>
      <w:r w:rsidRPr="00E065E8">
        <w:rPr>
          <w:rFonts w:eastAsia="SimSun" w:cs="Arial"/>
          <w:color w:val="000000"/>
          <w:szCs w:val="18"/>
        </w:rPr>
        <w:t xml:space="preserve">ARC – </w:t>
      </w:r>
      <w:r w:rsidRPr="00E065E8">
        <w:rPr>
          <w:rFonts w:cs="Arial"/>
          <w:color w:val="000000"/>
          <w:szCs w:val="18"/>
        </w:rPr>
        <w:t>accelerating rate calorimetry</w:t>
      </w:r>
    </w:p>
    <w:p w14:paraId="05294122" w14:textId="77777777" w:rsidR="00C160BD" w:rsidRPr="00E065E8" w:rsidRDefault="00C160BD" w:rsidP="00C160BD">
      <w:pPr>
        <w:pStyle w:val="CETBodytext"/>
        <w:jc w:val="left"/>
        <w:rPr>
          <w:rFonts w:eastAsia="SimSun" w:cs="Arial"/>
          <w:color w:val="000000"/>
          <w:szCs w:val="18"/>
        </w:rPr>
      </w:pPr>
      <w:r w:rsidRPr="00E065E8">
        <w:rPr>
          <w:rFonts w:eastAsia="SimSun" w:cs="Arial"/>
          <w:color w:val="000000"/>
          <w:szCs w:val="18"/>
        </w:rPr>
        <w:t>BPN – boron/potassium nitrate</w:t>
      </w:r>
    </w:p>
    <w:p w14:paraId="1AB46336" w14:textId="77777777" w:rsidR="00C160BD" w:rsidRPr="00E065E8" w:rsidRDefault="00C160BD" w:rsidP="00C160BD">
      <w:pPr>
        <w:pStyle w:val="CETBodytext"/>
        <w:jc w:val="left"/>
        <w:rPr>
          <w:rFonts w:eastAsia="SimSun" w:cs="Arial"/>
          <w:color w:val="000000"/>
          <w:szCs w:val="18"/>
        </w:rPr>
      </w:pPr>
      <w:r w:rsidRPr="00E065E8">
        <w:rPr>
          <w:rFonts w:eastAsia="SimSun" w:cs="Arial"/>
          <w:color w:val="000000"/>
          <w:szCs w:val="18"/>
        </w:rPr>
        <w:t>CL-20 – hexanitrohexaazaisowurtzitane</w:t>
      </w:r>
    </w:p>
    <w:p w14:paraId="154EC864" w14:textId="77777777" w:rsidR="00C160BD" w:rsidRPr="00E065E8" w:rsidRDefault="00C160BD" w:rsidP="00C160BD">
      <w:pPr>
        <w:pStyle w:val="CETBodytext"/>
        <w:jc w:val="left"/>
        <w:rPr>
          <w:rFonts w:eastAsia="SimSun" w:cs="Arial"/>
          <w:color w:val="000000"/>
          <w:szCs w:val="18"/>
        </w:rPr>
      </w:pPr>
      <w:r w:rsidRPr="00E065E8">
        <w:rPr>
          <w:rFonts w:eastAsia="SimSun" w:cs="Arial"/>
          <w:color w:val="000000"/>
          <w:szCs w:val="18"/>
        </w:rPr>
        <w:t>DSC – differential scanning calorimetry</w:t>
      </w:r>
    </w:p>
    <w:p w14:paraId="0A6A5988" w14:textId="77777777" w:rsidR="00C160BD" w:rsidRPr="00E065E8" w:rsidRDefault="00C160BD" w:rsidP="00C160BD">
      <w:pPr>
        <w:pStyle w:val="CETBodytext"/>
        <w:jc w:val="left"/>
        <w:rPr>
          <w:rFonts w:eastAsia="SimSun" w:cs="Arial"/>
          <w:color w:val="000000"/>
          <w:szCs w:val="18"/>
        </w:rPr>
      </w:pPr>
      <w:r w:rsidRPr="00E065E8">
        <w:rPr>
          <w:rFonts w:eastAsia="SimSun" w:cs="Arial"/>
          <w:color w:val="000000"/>
          <w:szCs w:val="18"/>
        </w:rPr>
        <w:t>DTA – differential thermal analysis</w:t>
      </w:r>
    </w:p>
    <w:p w14:paraId="2CF96889" w14:textId="77777777" w:rsidR="00C160BD" w:rsidRPr="00E065E8" w:rsidRDefault="00C160BD" w:rsidP="00C160BD">
      <w:pPr>
        <w:pStyle w:val="CETBodytext"/>
        <w:jc w:val="left"/>
        <w:rPr>
          <w:rFonts w:eastAsia="SimSun" w:cs="Arial"/>
          <w:color w:val="000000"/>
          <w:szCs w:val="18"/>
        </w:rPr>
      </w:pPr>
      <w:r w:rsidRPr="00E065E8">
        <w:rPr>
          <w:rFonts w:eastAsia="SimSun" w:cs="Arial"/>
          <w:color w:val="000000"/>
          <w:szCs w:val="18"/>
        </w:rPr>
        <w:t>E</w:t>
      </w:r>
      <w:r w:rsidRPr="00E065E8">
        <w:rPr>
          <w:rFonts w:eastAsia="SimSun" w:cs="Arial"/>
          <w:color w:val="000000"/>
          <w:szCs w:val="18"/>
          <w:vertAlign w:val="subscript"/>
        </w:rPr>
        <w:t>a</w:t>
      </w:r>
      <w:r w:rsidRPr="00E065E8">
        <w:rPr>
          <w:rFonts w:eastAsia="SimSun" w:cs="Arial"/>
          <w:color w:val="000000"/>
          <w:szCs w:val="18"/>
        </w:rPr>
        <w:t xml:space="preserve"> – activation energy</w:t>
      </w:r>
    </w:p>
    <w:p w14:paraId="772C1719" w14:textId="77777777" w:rsidR="00C160BD" w:rsidRPr="00E065E8" w:rsidRDefault="00C160BD" w:rsidP="00C160BD">
      <w:pPr>
        <w:pStyle w:val="CETBodytext"/>
        <w:jc w:val="left"/>
        <w:rPr>
          <w:rFonts w:eastAsia="SimSun" w:cs="Arial"/>
          <w:color w:val="000000"/>
          <w:szCs w:val="18"/>
        </w:rPr>
      </w:pPr>
      <w:r w:rsidRPr="00E065E8">
        <w:rPr>
          <w:rFonts w:eastAsia="SimSun" w:cs="Arial"/>
          <w:color w:val="000000"/>
          <w:szCs w:val="18"/>
        </w:rPr>
        <w:t>EM(s) – energetic material(s)</w:t>
      </w:r>
    </w:p>
    <w:p w14:paraId="717F1749" w14:textId="77777777" w:rsidR="00C160BD" w:rsidRPr="00E065E8" w:rsidRDefault="00C160BD" w:rsidP="00C160BD">
      <w:pPr>
        <w:pStyle w:val="CETBodytext"/>
        <w:jc w:val="left"/>
        <w:rPr>
          <w:rFonts w:eastAsia="SimSun" w:cs="Arial"/>
          <w:color w:val="000000"/>
          <w:szCs w:val="18"/>
        </w:rPr>
      </w:pPr>
      <w:r w:rsidRPr="00E065E8">
        <w:rPr>
          <w:rFonts w:eastAsia="SimSun" w:cs="Arial"/>
          <w:color w:val="000000"/>
          <w:szCs w:val="18"/>
        </w:rPr>
        <w:t>f(α) – kinetic law</w:t>
      </w:r>
    </w:p>
    <w:p w14:paraId="33AD3971" w14:textId="77777777" w:rsidR="00C160BD" w:rsidRPr="00E065E8" w:rsidRDefault="00C160BD" w:rsidP="00C160BD">
      <w:pPr>
        <w:pStyle w:val="CETBodytext"/>
        <w:jc w:val="left"/>
        <w:rPr>
          <w:rFonts w:eastAsia="SimSun" w:cs="Arial"/>
          <w:color w:val="000000"/>
          <w:szCs w:val="18"/>
        </w:rPr>
      </w:pPr>
      <w:r w:rsidRPr="00E065E8">
        <w:rPr>
          <w:rFonts w:eastAsia="SimSun" w:cs="Arial"/>
          <w:color w:val="000000"/>
          <w:szCs w:val="18"/>
        </w:rPr>
        <w:lastRenderedPageBreak/>
        <w:t>FTIR – Fourier-transform infrared spectroscopy</w:t>
      </w:r>
    </w:p>
    <w:p w14:paraId="17816983" w14:textId="77777777" w:rsidR="00C160BD" w:rsidRPr="00E065E8" w:rsidRDefault="00C160BD" w:rsidP="00C160BD">
      <w:pPr>
        <w:pStyle w:val="CETBodytext"/>
        <w:jc w:val="left"/>
        <w:rPr>
          <w:rFonts w:eastAsia="SimSun" w:cs="Arial"/>
          <w:color w:val="000000"/>
          <w:szCs w:val="18"/>
        </w:rPr>
      </w:pPr>
      <w:r w:rsidRPr="00E065E8">
        <w:rPr>
          <w:rFonts w:eastAsia="SimSun" w:cs="Arial"/>
          <w:color w:val="000000"/>
          <w:szCs w:val="18"/>
        </w:rPr>
        <w:t>HMX – octahydrotetranitrotetrazine</w:t>
      </w:r>
    </w:p>
    <w:p w14:paraId="5AB988AD" w14:textId="77777777" w:rsidR="00C160BD" w:rsidRPr="00E065E8" w:rsidRDefault="00C160BD" w:rsidP="00C160BD">
      <w:pPr>
        <w:pStyle w:val="CETBodytext"/>
        <w:jc w:val="left"/>
        <w:rPr>
          <w:rFonts w:eastAsia="SimSun" w:cs="Arial"/>
          <w:color w:val="000000"/>
          <w:szCs w:val="18"/>
        </w:rPr>
      </w:pPr>
      <w:r w:rsidRPr="00E065E8">
        <w:rPr>
          <w:rFonts w:eastAsia="SimSun" w:cs="Arial"/>
          <w:color w:val="000000"/>
          <w:szCs w:val="18"/>
        </w:rPr>
        <w:t>HPLC – high performance liquid chromatography</w:t>
      </w:r>
    </w:p>
    <w:p w14:paraId="1ABD36A2" w14:textId="77777777" w:rsidR="00C160BD" w:rsidRPr="00E065E8" w:rsidRDefault="00C160BD" w:rsidP="00C160BD">
      <w:pPr>
        <w:pStyle w:val="CETBodytext"/>
        <w:jc w:val="left"/>
        <w:rPr>
          <w:rFonts w:eastAsia="SimSun" w:cs="Arial"/>
          <w:color w:val="000000"/>
          <w:szCs w:val="18"/>
        </w:rPr>
      </w:pPr>
      <w:r w:rsidRPr="00E065E8">
        <w:rPr>
          <w:rFonts w:eastAsia="SimSun" w:cs="Arial"/>
          <w:color w:val="000000"/>
          <w:szCs w:val="18"/>
        </w:rPr>
        <w:t>m – reaction order</w:t>
      </w:r>
    </w:p>
    <w:p w14:paraId="67E599E6" w14:textId="77777777" w:rsidR="00C160BD" w:rsidRPr="00E065E8" w:rsidRDefault="00C160BD" w:rsidP="00C160BD">
      <w:pPr>
        <w:pStyle w:val="CETBodytext"/>
        <w:jc w:val="left"/>
        <w:rPr>
          <w:rFonts w:eastAsia="SimSun" w:cs="Arial"/>
          <w:color w:val="000000"/>
          <w:szCs w:val="18"/>
        </w:rPr>
      </w:pPr>
      <w:r w:rsidRPr="00E065E8">
        <w:rPr>
          <w:rFonts w:eastAsia="SimSun" w:cs="Arial"/>
          <w:color w:val="000000"/>
          <w:szCs w:val="18"/>
        </w:rPr>
        <w:t>MS – mass spectrometry</w:t>
      </w:r>
    </w:p>
    <w:p w14:paraId="6E4DFD78" w14:textId="77777777" w:rsidR="00C160BD" w:rsidRPr="00E065E8" w:rsidRDefault="00C160BD" w:rsidP="00C160BD">
      <w:pPr>
        <w:pStyle w:val="CETBodytext"/>
        <w:jc w:val="left"/>
        <w:rPr>
          <w:rFonts w:eastAsia="SimSun" w:cs="Arial"/>
          <w:color w:val="000000"/>
          <w:szCs w:val="18"/>
        </w:rPr>
      </w:pPr>
      <w:r w:rsidRPr="00E065E8">
        <w:rPr>
          <w:rFonts w:eastAsia="SimSun" w:cs="Arial"/>
          <w:color w:val="000000"/>
          <w:szCs w:val="18"/>
        </w:rPr>
        <w:t>n – reaction order</w:t>
      </w:r>
    </w:p>
    <w:p w14:paraId="4101DA88" w14:textId="77777777" w:rsidR="00C160BD" w:rsidRPr="00E065E8" w:rsidRDefault="00C160BD" w:rsidP="00C160BD">
      <w:pPr>
        <w:pStyle w:val="CETBodytext"/>
        <w:jc w:val="left"/>
        <w:rPr>
          <w:rFonts w:eastAsia="SimSun" w:cs="Arial"/>
          <w:color w:val="000000"/>
          <w:szCs w:val="18"/>
        </w:rPr>
      </w:pPr>
      <w:r w:rsidRPr="00E065E8">
        <w:rPr>
          <w:rFonts w:eastAsia="SimSun" w:cs="Arial"/>
          <w:color w:val="000000"/>
          <w:szCs w:val="18"/>
        </w:rPr>
        <w:t>NQ – nitroguanidine</w:t>
      </w:r>
    </w:p>
    <w:p w14:paraId="7F2969A5" w14:textId="77777777" w:rsidR="00C160BD" w:rsidRPr="00E065E8" w:rsidRDefault="00C160BD" w:rsidP="00C160BD">
      <w:pPr>
        <w:pStyle w:val="CETBodytext"/>
        <w:jc w:val="left"/>
        <w:rPr>
          <w:rFonts w:eastAsia="SimSun" w:cs="Arial"/>
          <w:color w:val="000000"/>
          <w:szCs w:val="18"/>
        </w:rPr>
      </w:pPr>
      <w:r w:rsidRPr="00E065E8">
        <w:rPr>
          <w:rFonts w:eastAsia="SimSun" w:cs="Arial"/>
          <w:color w:val="000000"/>
          <w:szCs w:val="18"/>
        </w:rPr>
        <w:t>PA – picric acid</w:t>
      </w:r>
    </w:p>
    <w:p w14:paraId="72C6E1C3" w14:textId="77777777" w:rsidR="00C160BD" w:rsidRPr="00E065E8" w:rsidRDefault="00C160BD" w:rsidP="00C160BD">
      <w:pPr>
        <w:pStyle w:val="CETBodytext"/>
        <w:jc w:val="left"/>
        <w:rPr>
          <w:rFonts w:eastAsia="SimSun" w:cs="Arial"/>
          <w:color w:val="000000"/>
          <w:szCs w:val="18"/>
        </w:rPr>
      </w:pPr>
      <w:r w:rsidRPr="00E065E8">
        <w:rPr>
          <w:rFonts w:eastAsia="SimSun" w:cs="Arial"/>
          <w:color w:val="000000"/>
          <w:szCs w:val="18"/>
        </w:rPr>
        <w:t>PETN – pentaerythritoltetranitrate</w:t>
      </w:r>
    </w:p>
    <w:p w14:paraId="52CFFBBC" w14:textId="77777777" w:rsidR="00C160BD" w:rsidRPr="00E065E8" w:rsidRDefault="00C160BD" w:rsidP="00C160BD">
      <w:pPr>
        <w:pStyle w:val="CETBodytext"/>
        <w:jc w:val="left"/>
        <w:rPr>
          <w:rFonts w:eastAsia="SimSun" w:cs="Arial"/>
          <w:color w:val="000000"/>
          <w:szCs w:val="18"/>
        </w:rPr>
      </w:pPr>
      <w:r w:rsidRPr="00E065E8">
        <w:rPr>
          <w:rFonts w:eastAsia="SimSun" w:cs="Arial"/>
          <w:color w:val="000000"/>
          <w:szCs w:val="18"/>
        </w:rPr>
        <w:t>q – specifc heat power</w:t>
      </w:r>
    </w:p>
    <w:p w14:paraId="0FF94BEB" w14:textId="77777777" w:rsidR="00C160BD" w:rsidRPr="00E065E8" w:rsidRDefault="00C160BD" w:rsidP="00C160BD">
      <w:pPr>
        <w:pStyle w:val="CETBodytext"/>
        <w:jc w:val="left"/>
        <w:rPr>
          <w:rFonts w:eastAsia="SimSun" w:cs="Arial"/>
          <w:color w:val="000000"/>
          <w:szCs w:val="18"/>
        </w:rPr>
      </w:pPr>
      <w:r w:rsidRPr="00E065E8">
        <w:rPr>
          <w:rFonts w:eastAsia="SimSun" w:cs="Arial"/>
          <w:color w:val="000000"/>
          <w:szCs w:val="18"/>
        </w:rPr>
        <w:t>RDX – hexahydrotrinitrotriazine</w:t>
      </w:r>
    </w:p>
    <w:p w14:paraId="69E22A12" w14:textId="77777777" w:rsidR="00C160BD" w:rsidRPr="00E065E8" w:rsidRDefault="00C160BD" w:rsidP="00C160BD">
      <w:pPr>
        <w:pStyle w:val="CETBodytext"/>
        <w:jc w:val="left"/>
        <w:rPr>
          <w:rFonts w:eastAsia="SimSun" w:cs="Arial"/>
          <w:color w:val="000000"/>
          <w:szCs w:val="18"/>
        </w:rPr>
      </w:pPr>
      <w:r w:rsidRPr="00E065E8">
        <w:rPr>
          <w:rFonts w:eastAsia="SimSun" w:cs="Arial"/>
          <w:color w:val="000000"/>
          <w:szCs w:val="18"/>
        </w:rPr>
        <w:t>TG – thermogravimetry</w:t>
      </w:r>
    </w:p>
    <w:p w14:paraId="2474DB1E" w14:textId="77777777" w:rsidR="00C160BD" w:rsidRPr="00E065E8" w:rsidRDefault="00C160BD" w:rsidP="00C160BD">
      <w:pPr>
        <w:pStyle w:val="CETBodytext"/>
        <w:jc w:val="left"/>
        <w:rPr>
          <w:rFonts w:eastAsia="SimSun" w:cs="Arial"/>
          <w:color w:val="000000"/>
          <w:szCs w:val="18"/>
        </w:rPr>
      </w:pPr>
      <w:r w:rsidRPr="00E065E8">
        <w:rPr>
          <w:rFonts w:eastAsia="SimSun" w:cs="Arial"/>
          <w:color w:val="000000"/>
          <w:szCs w:val="18"/>
        </w:rPr>
        <w:t>TKX-50 – dihydroxylammonium-5,5′-bistetrazolyl-1,1′-diolat</w:t>
      </w:r>
    </w:p>
    <w:p w14:paraId="3206DAED" w14:textId="77777777" w:rsidR="00C160BD" w:rsidRPr="00E065E8" w:rsidRDefault="00C160BD" w:rsidP="00C160BD">
      <w:pPr>
        <w:pStyle w:val="CETBodytext"/>
        <w:jc w:val="left"/>
        <w:rPr>
          <w:rFonts w:eastAsia="SimSun" w:cs="Arial"/>
          <w:color w:val="000000"/>
          <w:szCs w:val="18"/>
        </w:rPr>
      </w:pPr>
      <w:r w:rsidRPr="00E065E8">
        <w:rPr>
          <w:rFonts w:eastAsia="SimSun" w:cs="Arial"/>
          <w:color w:val="000000"/>
          <w:szCs w:val="18"/>
        </w:rPr>
        <w:t>TNT – trinitrotoluene</w:t>
      </w:r>
    </w:p>
    <w:p w14:paraId="4C098572" w14:textId="77777777" w:rsidR="00C160BD" w:rsidRPr="00E065E8" w:rsidRDefault="00C160BD" w:rsidP="00C160BD">
      <w:pPr>
        <w:pStyle w:val="CETBodytext"/>
        <w:jc w:val="left"/>
        <w:rPr>
          <w:rFonts w:eastAsia="SimSun" w:cs="Arial"/>
          <w:color w:val="000000"/>
          <w:szCs w:val="18"/>
        </w:rPr>
      </w:pPr>
      <w:r w:rsidRPr="00E065E8">
        <w:rPr>
          <w:rFonts w:eastAsia="SimSun" w:cs="Arial"/>
          <w:color w:val="000000"/>
          <w:szCs w:val="18"/>
        </w:rPr>
        <w:t>z – autocatalytic factor</w:t>
      </w:r>
    </w:p>
    <w:p w14:paraId="712199A1" w14:textId="631699F9" w:rsidR="008413F9" w:rsidRPr="00E065E8" w:rsidRDefault="00C160BD" w:rsidP="008413F9">
      <w:pPr>
        <w:pStyle w:val="CETBodytext"/>
        <w:jc w:val="left"/>
        <w:rPr>
          <w:rFonts w:eastAsia="SimSun"/>
          <w:color w:val="000000"/>
        </w:rPr>
        <w:sectPr w:rsidR="008413F9" w:rsidRPr="00E065E8" w:rsidSect="003A0B4E">
          <w:type w:val="continuous"/>
          <w:pgSz w:w="11906" w:h="16838" w:code="9"/>
          <w:pgMar w:top="1701" w:right="1418" w:bottom="1701" w:left="1701" w:header="1701" w:footer="0" w:gutter="0"/>
          <w:cols w:num="2" w:space="708"/>
          <w:formProt w:val="0"/>
          <w:titlePg/>
          <w:docGrid w:linePitch="360"/>
        </w:sectPr>
      </w:pPr>
      <w:r w:rsidRPr="00E065E8">
        <w:rPr>
          <w:rFonts w:eastAsia="SimSun" w:cs="Arial"/>
          <w:color w:val="000000"/>
          <w:szCs w:val="18"/>
        </w:rPr>
        <w:t>α – conversion</w:t>
      </w:r>
    </w:p>
    <w:p w14:paraId="459D05E6" w14:textId="560E9372" w:rsidR="00600535" w:rsidRPr="00E065E8" w:rsidRDefault="00600535" w:rsidP="007A0E9A">
      <w:pPr>
        <w:pStyle w:val="CETReference"/>
        <w:rPr>
          <w:color w:val="000000"/>
          <w:lang w:val="en-US"/>
        </w:rPr>
      </w:pPr>
      <w:r w:rsidRPr="00E065E8">
        <w:rPr>
          <w:color w:val="000000"/>
          <w:lang w:val="en-US"/>
        </w:rPr>
        <w:t>Acknowledgments</w:t>
      </w:r>
    </w:p>
    <w:p w14:paraId="33F8138F" w14:textId="2FA1AD30" w:rsidR="00600535" w:rsidRPr="00E065E8" w:rsidRDefault="00291159" w:rsidP="00600535">
      <w:pPr>
        <w:pStyle w:val="CETBodytext"/>
        <w:rPr>
          <w:rFonts w:cs="Arial"/>
          <w:color w:val="000000"/>
          <w:szCs w:val="18"/>
        </w:rPr>
      </w:pPr>
      <w:r w:rsidRPr="00E065E8">
        <w:rPr>
          <w:rFonts w:cs="Arial"/>
          <w:color w:val="000000"/>
          <w:szCs w:val="18"/>
        </w:rPr>
        <w:t xml:space="preserve">This research activity was performed </w:t>
      </w:r>
      <w:r w:rsidR="00AC6E5C" w:rsidRPr="00E065E8">
        <w:rPr>
          <w:rFonts w:cs="Arial"/>
          <w:color w:val="000000"/>
          <w:szCs w:val="18"/>
        </w:rPr>
        <w:t>within</w:t>
      </w:r>
      <w:r w:rsidRPr="00E065E8">
        <w:rPr>
          <w:rFonts w:cs="Arial"/>
          <w:color w:val="000000"/>
          <w:szCs w:val="18"/>
        </w:rPr>
        <w:t xml:space="preserve"> the frame of the Ad Hoc Research &amp; Technology Project “PREdiction Models for the Implementation of mUnition health Management” (Acronym: PREMIUM) of the European Defence Agency (EDA) (EDA Project Arrangement n. B.PRJ.RT.858).</w:t>
      </w:r>
    </w:p>
    <w:p w14:paraId="0E1E0F6E" w14:textId="77777777" w:rsidR="00E349EE" w:rsidRPr="00E065E8" w:rsidRDefault="00E349EE" w:rsidP="00E349EE">
      <w:pPr>
        <w:pStyle w:val="CETReference"/>
        <w:rPr>
          <w:color w:val="000000"/>
          <w:lang w:val="en-US"/>
        </w:rPr>
      </w:pPr>
      <w:r w:rsidRPr="00E065E8">
        <w:rPr>
          <w:color w:val="000000"/>
          <w:lang w:val="en-US"/>
        </w:rPr>
        <w:t>References</w:t>
      </w:r>
    </w:p>
    <w:p w14:paraId="447CB894" w14:textId="77777777" w:rsidR="00C9586E" w:rsidRPr="00E065E8" w:rsidRDefault="00C9586E" w:rsidP="00A54A47">
      <w:pPr>
        <w:pStyle w:val="CETReferencetext"/>
        <w:rPr>
          <w:rFonts w:cs="Arial"/>
          <w:color w:val="000000"/>
          <w:szCs w:val="18"/>
          <w:lang w:val="en-US"/>
        </w:rPr>
      </w:pPr>
      <w:r w:rsidRPr="00E065E8">
        <w:rPr>
          <w:rFonts w:cs="Arial"/>
          <w:color w:val="000000"/>
          <w:szCs w:val="18"/>
          <w:lang w:val="en-US"/>
        </w:rPr>
        <w:t>AOP-48—Edition 2—Explosives, Nitrocellulose-Based Propellants, Stability Test Procedures and Requirements Using Stabilizer Depletion, 2008, Allied Ordnance Publication (AOP) (NATO/PFP Unclassified) &lt;msiac.nato.int/sites/default/files/media/SurveyonInServiceSurveillanceandStabilityTests/aop-48_edn02_explosives_nitrocellulose_based_propellants_stability_test_procedures_and_requirements_using_stabilizer_depletion_-e.pdf&gt; accessed 08.04.2024.</w:t>
      </w:r>
    </w:p>
    <w:p w14:paraId="7FC1E333" w14:textId="77777777" w:rsidR="00C9586E" w:rsidRPr="00E065E8" w:rsidRDefault="00C9586E" w:rsidP="00E349EE">
      <w:pPr>
        <w:pStyle w:val="CETReferencetext"/>
        <w:rPr>
          <w:rFonts w:cs="Arial"/>
          <w:color w:val="000000"/>
          <w:szCs w:val="18"/>
          <w:lang w:val="en-US"/>
        </w:rPr>
      </w:pPr>
      <w:r w:rsidRPr="00E065E8">
        <w:rPr>
          <w:rFonts w:cs="Arial"/>
          <w:color w:val="000000"/>
          <w:szCs w:val="18"/>
          <w:lang w:val="en-US"/>
        </w:rPr>
        <w:t>Benhammada A., Trache D., 2020, Thermal decomposition of energetic materials using TG-FTIR and TG-MS: A state-of-the-art review, Applied Spectroscopy Reviews, 55, 724–777.</w:t>
      </w:r>
    </w:p>
    <w:p w14:paraId="4C3608C6" w14:textId="77777777" w:rsidR="00C9586E" w:rsidRPr="00E065E8" w:rsidRDefault="00C9586E" w:rsidP="0057372C">
      <w:pPr>
        <w:pStyle w:val="CETReferencetext"/>
        <w:rPr>
          <w:rFonts w:cs="Arial"/>
          <w:color w:val="000000"/>
          <w:szCs w:val="18"/>
          <w:lang w:val="en-US"/>
        </w:rPr>
      </w:pPr>
      <w:r w:rsidRPr="00E065E8">
        <w:rPr>
          <w:rFonts w:cs="Arial"/>
          <w:color w:val="000000"/>
          <w:szCs w:val="18"/>
          <w:lang w:val="en-US"/>
        </w:rPr>
        <w:t>Brill T.B., James K.J., 1993, Kinetics and mechanisms of thermal decomposition of nitroaromatic explosives, Chemical Reviews, 93, 2667–2692.</w:t>
      </w:r>
    </w:p>
    <w:p w14:paraId="4FFB6779" w14:textId="77777777" w:rsidR="00C9586E" w:rsidRPr="00E065E8" w:rsidRDefault="00C9586E" w:rsidP="00226E57">
      <w:pPr>
        <w:pStyle w:val="CETReferencetext"/>
        <w:rPr>
          <w:rFonts w:cs="Arial"/>
          <w:color w:val="000000"/>
          <w:szCs w:val="18"/>
          <w:lang w:val="en-US"/>
        </w:rPr>
      </w:pPr>
      <w:r w:rsidRPr="00E065E8">
        <w:rPr>
          <w:rFonts w:cs="Arial"/>
          <w:color w:val="000000"/>
          <w:szCs w:val="18"/>
          <w:lang w:val="en-US"/>
        </w:rPr>
        <w:t>Dubois C., Perreault F., 2002, Shelf life prediction of propellants using a reaction severity index, Propellants, Explosives, Pyrotechnics, 27, 253–261.</w:t>
      </w:r>
    </w:p>
    <w:p w14:paraId="7ABD7B19" w14:textId="77777777" w:rsidR="00C9586E" w:rsidRPr="00E065E8" w:rsidRDefault="00C9586E" w:rsidP="00226E57">
      <w:pPr>
        <w:pStyle w:val="CETReferencetext"/>
        <w:rPr>
          <w:rFonts w:cs="Arial"/>
          <w:color w:val="000000"/>
          <w:szCs w:val="18"/>
          <w:lang w:val="en-US"/>
        </w:rPr>
      </w:pPr>
      <w:r w:rsidRPr="00E065E8">
        <w:rPr>
          <w:rFonts w:cs="Arial"/>
          <w:color w:val="000000"/>
          <w:szCs w:val="18"/>
          <w:lang w:val="en-US"/>
        </w:rPr>
        <w:t>EL-Sayed S.A., 2022, Review of thermal decomposition, kinetics parameters and evolved gases during pyrolysis of energetic materials using different techniques, Journal of Analytical and Applied Pyrolysis, 161, 105364.</w:t>
      </w:r>
    </w:p>
    <w:p w14:paraId="52286EBC" w14:textId="77777777" w:rsidR="00C9586E" w:rsidRPr="00E065E8" w:rsidRDefault="00C9586E" w:rsidP="00E9490A">
      <w:pPr>
        <w:pStyle w:val="CETReferencetext"/>
        <w:rPr>
          <w:rFonts w:cs="Arial"/>
          <w:color w:val="000000"/>
          <w:szCs w:val="18"/>
          <w:lang w:val="en-US"/>
        </w:rPr>
      </w:pPr>
      <w:r w:rsidRPr="00E065E8">
        <w:rPr>
          <w:rFonts w:cs="Arial"/>
          <w:color w:val="000000"/>
          <w:szCs w:val="18"/>
          <w:lang w:val="en-US"/>
        </w:rPr>
        <w:t>Harter A.G., Klapötke T.M., Lechner J.T., Stierstorfer J., 2022, Kinetic predictions concerning the long-term stability of TKX-50 and other common explosives using the NETZSCH Kinetics Neo software, Propellants, Explosives, Pyrotechnics, 47, e202200031.</w:t>
      </w:r>
    </w:p>
    <w:p w14:paraId="742CF77D" w14:textId="77777777" w:rsidR="00C9586E" w:rsidRPr="00E065E8" w:rsidRDefault="00C9586E" w:rsidP="00E9490A">
      <w:pPr>
        <w:pStyle w:val="CETReferencetext"/>
        <w:rPr>
          <w:rFonts w:cs="Arial"/>
          <w:color w:val="000000"/>
          <w:szCs w:val="18"/>
          <w:lang w:val="en-US"/>
        </w:rPr>
      </w:pPr>
      <w:r w:rsidRPr="00E065E8">
        <w:rPr>
          <w:rFonts w:cs="Arial"/>
          <w:color w:val="000000"/>
          <w:szCs w:val="18"/>
          <w:lang w:val="en-US"/>
        </w:rPr>
        <w:t>Kim Y., Ambekar A., Yoh J.J., 2018, Toward understanding the aging effect of energetic materials via advanced isoconversional decomposition kinetics, Journal of Thermal Analysis and Calorimetry, 133, 737–744.</w:t>
      </w:r>
    </w:p>
    <w:p w14:paraId="7C1F6467" w14:textId="77777777" w:rsidR="00C9586E" w:rsidRPr="00E065E8" w:rsidRDefault="00C9586E" w:rsidP="006F760B">
      <w:pPr>
        <w:pStyle w:val="CETReferencetext"/>
        <w:rPr>
          <w:rFonts w:cs="Arial"/>
          <w:color w:val="000000"/>
          <w:szCs w:val="18"/>
          <w:lang w:val="en-US"/>
        </w:rPr>
      </w:pPr>
      <w:r w:rsidRPr="00E065E8">
        <w:rPr>
          <w:rFonts w:cs="Arial"/>
          <w:color w:val="000000"/>
          <w:szCs w:val="18"/>
          <w:lang w:val="en-US"/>
        </w:rPr>
        <w:t>Kossoy A., Hofelich T., 2003, Methodology and software for assessing reactivity ratings of chemical systems, Process Safety Progress, 22, 235–240.</w:t>
      </w:r>
    </w:p>
    <w:p w14:paraId="5B5BB622" w14:textId="77777777" w:rsidR="00C9586E" w:rsidRPr="00E065E8" w:rsidRDefault="00C9586E" w:rsidP="006F760B">
      <w:pPr>
        <w:pStyle w:val="CETReferencetext"/>
        <w:rPr>
          <w:rFonts w:cs="Arial"/>
          <w:color w:val="000000"/>
          <w:szCs w:val="18"/>
          <w:lang w:val="en-US"/>
        </w:rPr>
      </w:pPr>
      <w:r w:rsidRPr="00E065E8">
        <w:rPr>
          <w:rFonts w:cs="Arial"/>
          <w:color w:val="000000"/>
          <w:szCs w:val="18"/>
          <w:lang w:val="en-US"/>
        </w:rPr>
        <w:t>Lee P.P., Back M.H., 1988, Kinetic studies of the thermal decomposition of nitroguanidine using accelerating rate calorimetry, Thermochimica Acta, 127, 89–100.</w:t>
      </w:r>
    </w:p>
    <w:p w14:paraId="686713C9" w14:textId="77777777" w:rsidR="00C9586E" w:rsidRPr="00E065E8" w:rsidRDefault="00C9586E" w:rsidP="00E9490A">
      <w:pPr>
        <w:pStyle w:val="CETReferencetext"/>
        <w:rPr>
          <w:rFonts w:cs="Arial"/>
          <w:color w:val="000000"/>
          <w:szCs w:val="18"/>
          <w:lang w:val="en-US"/>
        </w:rPr>
      </w:pPr>
      <w:r w:rsidRPr="00E065E8">
        <w:rPr>
          <w:rFonts w:cs="Arial"/>
          <w:color w:val="000000"/>
          <w:szCs w:val="18"/>
          <w:lang w:val="en-US"/>
        </w:rPr>
        <w:t>Li Y., Cheng Y., 2010, Investigation on the thermal stability of nitroguanidine by TG/DSC-MS-FTIR and multivariate non-linear regression, Journal of Thermal Analysis and Calorimetry, 100, 949–953.</w:t>
      </w:r>
    </w:p>
    <w:p w14:paraId="556EF344" w14:textId="77777777" w:rsidR="00C9586E" w:rsidRPr="00E065E8" w:rsidRDefault="00C9586E" w:rsidP="00226E57">
      <w:pPr>
        <w:pStyle w:val="CETReferencetext"/>
        <w:rPr>
          <w:rFonts w:cs="Arial"/>
          <w:color w:val="000000"/>
          <w:szCs w:val="18"/>
          <w:lang w:val="en-US"/>
        </w:rPr>
      </w:pPr>
      <w:r w:rsidRPr="00E065E8">
        <w:rPr>
          <w:rFonts w:cs="Arial"/>
          <w:color w:val="000000"/>
          <w:szCs w:val="18"/>
          <w:lang w:val="en-US"/>
        </w:rPr>
        <w:t>Liu Z., 2021, Review and prospect of thermal analysis technology applied to study thermal properties of energetic materials, FirePhysChem, 1, 129–138.</w:t>
      </w:r>
    </w:p>
    <w:p w14:paraId="1C774B1A" w14:textId="77777777" w:rsidR="00C9586E" w:rsidRPr="00E065E8" w:rsidRDefault="00C9586E" w:rsidP="0057372C">
      <w:pPr>
        <w:pStyle w:val="CETReferencetext"/>
        <w:rPr>
          <w:rFonts w:cs="Arial"/>
          <w:color w:val="000000"/>
          <w:szCs w:val="18"/>
          <w:lang w:val="en-US"/>
        </w:rPr>
      </w:pPr>
      <w:r w:rsidRPr="00E065E8">
        <w:rPr>
          <w:rFonts w:cs="Arial"/>
          <w:color w:val="000000"/>
          <w:szCs w:val="18"/>
          <w:lang w:val="en-US"/>
        </w:rPr>
        <w:t>Long G.T., Brems B.A., Wight C.A., 2002, Autocatalytic thermal decomposition kinetics of TNT, Thermochimica Acta, 388, 175–181.</w:t>
      </w:r>
    </w:p>
    <w:p w14:paraId="4E139651" w14:textId="6CD78CD1" w:rsidR="00187B7F" w:rsidRDefault="00C9586E" w:rsidP="007A41EF">
      <w:pPr>
        <w:pStyle w:val="CETReferencetext"/>
        <w:rPr>
          <w:rFonts w:cs="Arial"/>
          <w:color w:val="000000"/>
          <w:szCs w:val="18"/>
          <w:lang w:val="en-US"/>
        </w:rPr>
      </w:pPr>
      <w:r w:rsidRPr="00E065E8">
        <w:rPr>
          <w:rFonts w:cs="Arial"/>
          <w:color w:val="000000"/>
          <w:szCs w:val="18"/>
          <w:lang w:val="en-US"/>
        </w:rPr>
        <w:t>Manelis G.B., Nazin G.M., Rubtsov Yu.I., Strunin V.A., 2003, Thermal Decomposition and Combustion of Explosives and Propellants, 1st ed., Taylor &amp; Francis, London, UK</w:t>
      </w:r>
      <w:r w:rsidR="00383278">
        <w:rPr>
          <w:rFonts w:cs="Arial"/>
          <w:color w:val="000000"/>
          <w:szCs w:val="18"/>
          <w:lang w:val="en-US"/>
        </w:rPr>
        <w:t>.</w:t>
      </w:r>
      <w:bookmarkStart w:id="1" w:name="_GoBack"/>
      <w:bookmarkEnd w:id="1"/>
    </w:p>
    <w:p w14:paraId="5C0CC5B6" w14:textId="77777777" w:rsidR="00187B7F" w:rsidRDefault="008A32B6" w:rsidP="00E9490A">
      <w:pPr>
        <w:pStyle w:val="CETReferencetext"/>
        <w:rPr>
          <w:rFonts w:cs="Arial"/>
          <w:color w:val="000000"/>
          <w:szCs w:val="18"/>
          <w:lang w:val="en-US"/>
        </w:rPr>
      </w:pPr>
      <w:r w:rsidRPr="00E065E8">
        <w:rPr>
          <w:rFonts w:cs="Arial"/>
          <w:color w:val="000000"/>
          <w:szCs w:val="18"/>
          <w:lang w:val="en-US"/>
        </w:rPr>
        <w:t>Sanchirico R., Santonocito M.L., Di Sarli V., Lisi L., 2022a, Shelf life prediction of picric acid via model-based kinetic analysis of its thermal decomposition, Materials, 15, 8899</w:t>
      </w:r>
      <w:r>
        <w:rPr>
          <w:rFonts w:cs="Arial"/>
          <w:color w:val="000000"/>
          <w:szCs w:val="18"/>
          <w:lang w:val="en-US"/>
        </w:rPr>
        <w:t>.</w:t>
      </w:r>
    </w:p>
    <w:p w14:paraId="7227DF74" w14:textId="77777777" w:rsidR="00187B7F" w:rsidRDefault="00C9586E" w:rsidP="006F760B">
      <w:pPr>
        <w:pStyle w:val="CETReferencetext"/>
        <w:rPr>
          <w:rFonts w:cs="Arial"/>
          <w:color w:val="000000"/>
          <w:szCs w:val="18"/>
          <w:lang w:val="en-US"/>
        </w:rPr>
      </w:pPr>
      <w:r w:rsidRPr="00E065E8">
        <w:rPr>
          <w:rFonts w:cs="Arial"/>
          <w:color w:val="000000"/>
          <w:szCs w:val="18"/>
          <w:lang w:val="en-US"/>
        </w:rPr>
        <w:t>Sanchirico R., Lisi L., Di Sarli V., 2022b, The combined effect of ambient conditions and diluting salt on the degradation of picric acid: An in situ DRIFT study, Materials, 15, 6029.</w:t>
      </w:r>
    </w:p>
    <w:p w14:paraId="24647472" w14:textId="1CBF4E34" w:rsidR="00C9586E" w:rsidRPr="00E065E8" w:rsidRDefault="00C9586E" w:rsidP="006F760B">
      <w:pPr>
        <w:pStyle w:val="CETReferencetext"/>
        <w:rPr>
          <w:rFonts w:cs="Arial"/>
          <w:color w:val="000000"/>
          <w:szCs w:val="18"/>
          <w:lang w:val="en-US"/>
        </w:rPr>
      </w:pPr>
      <w:r w:rsidRPr="00E065E8">
        <w:rPr>
          <w:rFonts w:cs="Arial"/>
          <w:color w:val="000000"/>
          <w:szCs w:val="18"/>
          <w:lang w:val="en-US"/>
        </w:rPr>
        <w:t>Vogelsanger B., 2004, Chemical stability, compatibility and shelf life of explosives, Chimia, 58, 401–408.</w:t>
      </w:r>
    </w:p>
    <w:sectPr w:rsidR="00C9586E" w:rsidRPr="00E065E8" w:rsidSect="003A0B4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A63D9" w14:textId="77777777" w:rsidR="00FE09FD" w:rsidRDefault="00FE09FD" w:rsidP="004F5E36">
      <w:r>
        <w:separator/>
      </w:r>
    </w:p>
  </w:endnote>
  <w:endnote w:type="continuationSeparator" w:id="0">
    <w:p w14:paraId="0ED287A5" w14:textId="77777777" w:rsidR="00FE09FD" w:rsidRDefault="00FE09F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0C261" w14:textId="77777777" w:rsidR="00FE09FD" w:rsidRDefault="00FE09FD" w:rsidP="004F5E36">
      <w:r>
        <w:separator/>
      </w:r>
    </w:p>
  </w:footnote>
  <w:footnote w:type="continuationSeparator" w:id="0">
    <w:p w14:paraId="271BCFA1" w14:textId="77777777" w:rsidR="00FE09FD" w:rsidRDefault="00FE09F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11F13C4"/>
    <w:multiLevelType w:val="multilevel"/>
    <w:tmpl w:val="F4E24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4176328"/>
    <w:multiLevelType w:val="multilevel"/>
    <w:tmpl w:val="9D1CC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4D4B84"/>
    <w:multiLevelType w:val="multilevel"/>
    <w:tmpl w:val="782A5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3"/>
  </w:num>
  <w:num w:numId="14">
    <w:abstractNumId w:val="21"/>
  </w:num>
  <w:num w:numId="15">
    <w:abstractNumId w:val="23"/>
  </w:num>
  <w:num w:numId="16">
    <w:abstractNumId w:val="22"/>
  </w:num>
  <w:num w:numId="17">
    <w:abstractNumId w:val="12"/>
  </w:num>
  <w:num w:numId="18">
    <w:abstractNumId w:val="13"/>
    <w:lvlOverride w:ilvl="0">
      <w:startOverride w:val="1"/>
    </w:lvlOverride>
  </w:num>
  <w:num w:numId="19">
    <w:abstractNumId w:val="19"/>
  </w:num>
  <w:num w:numId="20">
    <w:abstractNumId w:val="17"/>
  </w:num>
  <w:num w:numId="21">
    <w:abstractNumId w:val="15"/>
  </w:num>
  <w:num w:numId="22">
    <w:abstractNumId w:val="14"/>
  </w:num>
  <w:num w:numId="23">
    <w:abstractNumId w:val="16"/>
  </w:num>
  <w:num w:numId="24">
    <w:abstractNumId w:val="11"/>
  </w:num>
  <w:num w:numId="25">
    <w:abstractNumId w:val="10"/>
  </w:num>
  <w:num w:numId="26">
    <w:abstractNumId w:val="18"/>
  </w:num>
  <w:num w:numId="27">
    <w:abstractNumId w:val="11"/>
  </w:num>
  <w:num w:numId="28">
    <w:abstractNumId w:val="11"/>
  </w:num>
  <w:num w:numId="29">
    <w:abstractNumId w:val="11"/>
  </w:num>
  <w:num w:numId="30">
    <w:abstractNumId w:val="11"/>
  </w:num>
  <w:num w:numId="31">
    <w:abstractNumId w:val="1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6A1"/>
    <w:rsid w:val="000052FB"/>
    <w:rsid w:val="00010553"/>
    <w:rsid w:val="000117CB"/>
    <w:rsid w:val="00012C21"/>
    <w:rsid w:val="00013B46"/>
    <w:rsid w:val="00013E1D"/>
    <w:rsid w:val="0001578C"/>
    <w:rsid w:val="00017D08"/>
    <w:rsid w:val="00030423"/>
    <w:rsid w:val="0003148D"/>
    <w:rsid w:val="00031EEC"/>
    <w:rsid w:val="00032F9A"/>
    <w:rsid w:val="000376CE"/>
    <w:rsid w:val="0004459A"/>
    <w:rsid w:val="00045F21"/>
    <w:rsid w:val="00051566"/>
    <w:rsid w:val="0005727F"/>
    <w:rsid w:val="000611B2"/>
    <w:rsid w:val="00062A9A"/>
    <w:rsid w:val="000633F6"/>
    <w:rsid w:val="00063EB6"/>
    <w:rsid w:val="00065058"/>
    <w:rsid w:val="00065737"/>
    <w:rsid w:val="0006735B"/>
    <w:rsid w:val="0007475F"/>
    <w:rsid w:val="00076F8C"/>
    <w:rsid w:val="00080E90"/>
    <w:rsid w:val="00083796"/>
    <w:rsid w:val="00086C39"/>
    <w:rsid w:val="00090B39"/>
    <w:rsid w:val="000910C6"/>
    <w:rsid w:val="00091882"/>
    <w:rsid w:val="00092952"/>
    <w:rsid w:val="00093B59"/>
    <w:rsid w:val="00093C30"/>
    <w:rsid w:val="00095510"/>
    <w:rsid w:val="000974D0"/>
    <w:rsid w:val="000A03B2"/>
    <w:rsid w:val="000A1989"/>
    <w:rsid w:val="000A4C49"/>
    <w:rsid w:val="000B0066"/>
    <w:rsid w:val="000B1744"/>
    <w:rsid w:val="000B5807"/>
    <w:rsid w:val="000B6188"/>
    <w:rsid w:val="000B779E"/>
    <w:rsid w:val="000C108E"/>
    <w:rsid w:val="000C1885"/>
    <w:rsid w:val="000C696B"/>
    <w:rsid w:val="000D0268"/>
    <w:rsid w:val="000D2B49"/>
    <w:rsid w:val="000D2DB1"/>
    <w:rsid w:val="000D32D8"/>
    <w:rsid w:val="000D34BE"/>
    <w:rsid w:val="000E102F"/>
    <w:rsid w:val="000E206D"/>
    <w:rsid w:val="000E36F1"/>
    <w:rsid w:val="000E3A73"/>
    <w:rsid w:val="000E414A"/>
    <w:rsid w:val="000E5D8F"/>
    <w:rsid w:val="000F093C"/>
    <w:rsid w:val="000F10D7"/>
    <w:rsid w:val="000F452B"/>
    <w:rsid w:val="000F787B"/>
    <w:rsid w:val="001015CE"/>
    <w:rsid w:val="00102088"/>
    <w:rsid w:val="00102417"/>
    <w:rsid w:val="00105C4A"/>
    <w:rsid w:val="00105F16"/>
    <w:rsid w:val="0010608B"/>
    <w:rsid w:val="001068C0"/>
    <w:rsid w:val="00106B28"/>
    <w:rsid w:val="00114D1B"/>
    <w:rsid w:val="0012091F"/>
    <w:rsid w:val="00124CAF"/>
    <w:rsid w:val="00126BC2"/>
    <w:rsid w:val="00126F79"/>
    <w:rsid w:val="001308B6"/>
    <w:rsid w:val="0013121F"/>
    <w:rsid w:val="00131FE6"/>
    <w:rsid w:val="001322BD"/>
    <w:rsid w:val="0013263F"/>
    <w:rsid w:val="001331DF"/>
    <w:rsid w:val="00134DE4"/>
    <w:rsid w:val="00134E66"/>
    <w:rsid w:val="00135AE4"/>
    <w:rsid w:val="00137A04"/>
    <w:rsid w:val="0014034D"/>
    <w:rsid w:val="00143205"/>
    <w:rsid w:val="00143F89"/>
    <w:rsid w:val="00144427"/>
    <w:rsid w:val="00144D16"/>
    <w:rsid w:val="00144F14"/>
    <w:rsid w:val="00150B1F"/>
    <w:rsid w:val="00150E59"/>
    <w:rsid w:val="00152DE3"/>
    <w:rsid w:val="0015461A"/>
    <w:rsid w:val="0015577F"/>
    <w:rsid w:val="001615BE"/>
    <w:rsid w:val="001619BF"/>
    <w:rsid w:val="00162401"/>
    <w:rsid w:val="00162682"/>
    <w:rsid w:val="00164CF9"/>
    <w:rsid w:val="001667A6"/>
    <w:rsid w:val="00171B5C"/>
    <w:rsid w:val="00173BA1"/>
    <w:rsid w:val="001763FE"/>
    <w:rsid w:val="00184AD6"/>
    <w:rsid w:val="00185E2D"/>
    <w:rsid w:val="00187B7F"/>
    <w:rsid w:val="0019244D"/>
    <w:rsid w:val="00193ED7"/>
    <w:rsid w:val="001A4AF7"/>
    <w:rsid w:val="001B0349"/>
    <w:rsid w:val="001B1E93"/>
    <w:rsid w:val="001B2FDD"/>
    <w:rsid w:val="001B63BD"/>
    <w:rsid w:val="001B65C1"/>
    <w:rsid w:val="001B69DA"/>
    <w:rsid w:val="001C182C"/>
    <w:rsid w:val="001C1866"/>
    <w:rsid w:val="001C34BF"/>
    <w:rsid w:val="001C684B"/>
    <w:rsid w:val="001D0CFB"/>
    <w:rsid w:val="001D327F"/>
    <w:rsid w:val="001D53FC"/>
    <w:rsid w:val="001E6275"/>
    <w:rsid w:val="001E62A3"/>
    <w:rsid w:val="001E7A8C"/>
    <w:rsid w:val="001F166D"/>
    <w:rsid w:val="001F3214"/>
    <w:rsid w:val="001F42A5"/>
    <w:rsid w:val="001F7B9D"/>
    <w:rsid w:val="00201C93"/>
    <w:rsid w:val="00212C8F"/>
    <w:rsid w:val="002207E2"/>
    <w:rsid w:val="002224B4"/>
    <w:rsid w:val="00224C9C"/>
    <w:rsid w:val="00226E57"/>
    <w:rsid w:val="00231566"/>
    <w:rsid w:val="00231B2B"/>
    <w:rsid w:val="002334B8"/>
    <w:rsid w:val="00235124"/>
    <w:rsid w:val="00240300"/>
    <w:rsid w:val="002447EF"/>
    <w:rsid w:val="00251550"/>
    <w:rsid w:val="00252C29"/>
    <w:rsid w:val="00253CE3"/>
    <w:rsid w:val="00253FAA"/>
    <w:rsid w:val="0025781A"/>
    <w:rsid w:val="002619AC"/>
    <w:rsid w:val="00262C28"/>
    <w:rsid w:val="00263B05"/>
    <w:rsid w:val="002701BC"/>
    <w:rsid w:val="00271729"/>
    <w:rsid w:val="0027221A"/>
    <w:rsid w:val="00275B61"/>
    <w:rsid w:val="002776EB"/>
    <w:rsid w:val="00280FAF"/>
    <w:rsid w:val="00281788"/>
    <w:rsid w:val="00282656"/>
    <w:rsid w:val="00285810"/>
    <w:rsid w:val="00286D4A"/>
    <w:rsid w:val="00287367"/>
    <w:rsid w:val="00291159"/>
    <w:rsid w:val="00292B84"/>
    <w:rsid w:val="00296B83"/>
    <w:rsid w:val="002A2A68"/>
    <w:rsid w:val="002A5BEE"/>
    <w:rsid w:val="002B1F9D"/>
    <w:rsid w:val="002B4015"/>
    <w:rsid w:val="002B7794"/>
    <w:rsid w:val="002B78CE"/>
    <w:rsid w:val="002C1CB6"/>
    <w:rsid w:val="002C2FB6"/>
    <w:rsid w:val="002C79DC"/>
    <w:rsid w:val="002D0174"/>
    <w:rsid w:val="002D351D"/>
    <w:rsid w:val="002E15FB"/>
    <w:rsid w:val="002E25A2"/>
    <w:rsid w:val="002E3849"/>
    <w:rsid w:val="002E5FA7"/>
    <w:rsid w:val="002E789E"/>
    <w:rsid w:val="002F13A8"/>
    <w:rsid w:val="002F1535"/>
    <w:rsid w:val="002F3309"/>
    <w:rsid w:val="002F6908"/>
    <w:rsid w:val="003008CE"/>
    <w:rsid w:val="00300905"/>
    <w:rsid w:val="003009B7"/>
    <w:rsid w:val="00300E56"/>
    <w:rsid w:val="003011B2"/>
    <w:rsid w:val="00301AD5"/>
    <w:rsid w:val="0030396E"/>
    <w:rsid w:val="0030469C"/>
    <w:rsid w:val="0030658A"/>
    <w:rsid w:val="00313EF0"/>
    <w:rsid w:val="003141CD"/>
    <w:rsid w:val="0031703F"/>
    <w:rsid w:val="00321CA6"/>
    <w:rsid w:val="00323763"/>
    <w:rsid w:val="0033064E"/>
    <w:rsid w:val="00331F96"/>
    <w:rsid w:val="0033242A"/>
    <w:rsid w:val="00334C09"/>
    <w:rsid w:val="003375F1"/>
    <w:rsid w:val="00343B33"/>
    <w:rsid w:val="003467F7"/>
    <w:rsid w:val="0035033E"/>
    <w:rsid w:val="003527AA"/>
    <w:rsid w:val="003529AB"/>
    <w:rsid w:val="0035339B"/>
    <w:rsid w:val="00360EF3"/>
    <w:rsid w:val="00361633"/>
    <w:rsid w:val="003644BF"/>
    <w:rsid w:val="003723D4"/>
    <w:rsid w:val="00372E0D"/>
    <w:rsid w:val="0037393F"/>
    <w:rsid w:val="003760CE"/>
    <w:rsid w:val="00377176"/>
    <w:rsid w:val="00381905"/>
    <w:rsid w:val="00382C4F"/>
    <w:rsid w:val="00383278"/>
    <w:rsid w:val="00384CC8"/>
    <w:rsid w:val="00386C30"/>
    <w:rsid w:val="003871FD"/>
    <w:rsid w:val="003A0B4E"/>
    <w:rsid w:val="003A1E30"/>
    <w:rsid w:val="003A2829"/>
    <w:rsid w:val="003A2CA0"/>
    <w:rsid w:val="003A4E49"/>
    <w:rsid w:val="003A7D1C"/>
    <w:rsid w:val="003A7D88"/>
    <w:rsid w:val="003B073F"/>
    <w:rsid w:val="003B0B23"/>
    <w:rsid w:val="003B1EEA"/>
    <w:rsid w:val="003B304B"/>
    <w:rsid w:val="003B3146"/>
    <w:rsid w:val="003C38AB"/>
    <w:rsid w:val="003D0258"/>
    <w:rsid w:val="003D36F9"/>
    <w:rsid w:val="003D4BF2"/>
    <w:rsid w:val="003D63AC"/>
    <w:rsid w:val="003E0EB6"/>
    <w:rsid w:val="003E1B63"/>
    <w:rsid w:val="003E5614"/>
    <w:rsid w:val="003E764C"/>
    <w:rsid w:val="003F015E"/>
    <w:rsid w:val="003F7749"/>
    <w:rsid w:val="00400414"/>
    <w:rsid w:val="00402A92"/>
    <w:rsid w:val="0040645D"/>
    <w:rsid w:val="0041207C"/>
    <w:rsid w:val="00412DD6"/>
    <w:rsid w:val="0041446B"/>
    <w:rsid w:val="00414D9D"/>
    <w:rsid w:val="004218F5"/>
    <w:rsid w:val="00423F04"/>
    <w:rsid w:val="00430878"/>
    <w:rsid w:val="00436EFF"/>
    <w:rsid w:val="00437E47"/>
    <w:rsid w:val="00442B08"/>
    <w:rsid w:val="0044329C"/>
    <w:rsid w:val="00446320"/>
    <w:rsid w:val="004521A6"/>
    <w:rsid w:val="00452704"/>
    <w:rsid w:val="00453E24"/>
    <w:rsid w:val="004545EC"/>
    <w:rsid w:val="004550EE"/>
    <w:rsid w:val="00456B8D"/>
    <w:rsid w:val="00457456"/>
    <w:rsid w:val="004577FE"/>
    <w:rsid w:val="00457A0B"/>
    <w:rsid w:val="00457B9C"/>
    <w:rsid w:val="0046164A"/>
    <w:rsid w:val="004628D2"/>
    <w:rsid w:val="00462DCD"/>
    <w:rsid w:val="00464209"/>
    <w:rsid w:val="004648AD"/>
    <w:rsid w:val="00467804"/>
    <w:rsid w:val="00470023"/>
    <w:rsid w:val="004703A9"/>
    <w:rsid w:val="004760DE"/>
    <w:rsid w:val="004763D7"/>
    <w:rsid w:val="00477D0D"/>
    <w:rsid w:val="00485837"/>
    <w:rsid w:val="00485AB0"/>
    <w:rsid w:val="00486AC0"/>
    <w:rsid w:val="0049187A"/>
    <w:rsid w:val="00491935"/>
    <w:rsid w:val="0049331C"/>
    <w:rsid w:val="00497E2F"/>
    <w:rsid w:val="004A004E"/>
    <w:rsid w:val="004A24CF"/>
    <w:rsid w:val="004A7309"/>
    <w:rsid w:val="004B02CF"/>
    <w:rsid w:val="004B2099"/>
    <w:rsid w:val="004B356D"/>
    <w:rsid w:val="004C2408"/>
    <w:rsid w:val="004C3A36"/>
    <w:rsid w:val="004C3D1D"/>
    <w:rsid w:val="004C75DE"/>
    <w:rsid w:val="004C7913"/>
    <w:rsid w:val="004D121F"/>
    <w:rsid w:val="004D1D65"/>
    <w:rsid w:val="004E1A4C"/>
    <w:rsid w:val="004E4DD6"/>
    <w:rsid w:val="004E639B"/>
    <w:rsid w:val="004E7BFB"/>
    <w:rsid w:val="004F015A"/>
    <w:rsid w:val="004F5E36"/>
    <w:rsid w:val="00504BDE"/>
    <w:rsid w:val="005051A5"/>
    <w:rsid w:val="00507B47"/>
    <w:rsid w:val="00507BEF"/>
    <w:rsid w:val="00507CC9"/>
    <w:rsid w:val="005119A5"/>
    <w:rsid w:val="005145FA"/>
    <w:rsid w:val="005178F6"/>
    <w:rsid w:val="0052168F"/>
    <w:rsid w:val="005225E5"/>
    <w:rsid w:val="005241D5"/>
    <w:rsid w:val="00524A4B"/>
    <w:rsid w:val="005278B7"/>
    <w:rsid w:val="00530EF2"/>
    <w:rsid w:val="005313AE"/>
    <w:rsid w:val="00531CDB"/>
    <w:rsid w:val="00532016"/>
    <w:rsid w:val="0053394F"/>
    <w:rsid w:val="005346C8"/>
    <w:rsid w:val="00543E7D"/>
    <w:rsid w:val="0054536A"/>
    <w:rsid w:val="00547A68"/>
    <w:rsid w:val="005531C9"/>
    <w:rsid w:val="00554D61"/>
    <w:rsid w:val="005576CD"/>
    <w:rsid w:val="00565576"/>
    <w:rsid w:val="00567213"/>
    <w:rsid w:val="00570C43"/>
    <w:rsid w:val="00571392"/>
    <w:rsid w:val="0057372C"/>
    <w:rsid w:val="00576D3E"/>
    <w:rsid w:val="00576EFD"/>
    <w:rsid w:val="00584222"/>
    <w:rsid w:val="005864AA"/>
    <w:rsid w:val="00590291"/>
    <w:rsid w:val="00592A52"/>
    <w:rsid w:val="00593525"/>
    <w:rsid w:val="0059450A"/>
    <w:rsid w:val="0059582F"/>
    <w:rsid w:val="005A2C88"/>
    <w:rsid w:val="005A2CE0"/>
    <w:rsid w:val="005A714D"/>
    <w:rsid w:val="005B2110"/>
    <w:rsid w:val="005B2953"/>
    <w:rsid w:val="005B49B0"/>
    <w:rsid w:val="005B61E6"/>
    <w:rsid w:val="005C06AD"/>
    <w:rsid w:val="005C3396"/>
    <w:rsid w:val="005C38EC"/>
    <w:rsid w:val="005C7607"/>
    <w:rsid w:val="005C77E1"/>
    <w:rsid w:val="005D1D62"/>
    <w:rsid w:val="005D2DC1"/>
    <w:rsid w:val="005D5DB6"/>
    <w:rsid w:val="005D668A"/>
    <w:rsid w:val="005D6A2F"/>
    <w:rsid w:val="005E1A82"/>
    <w:rsid w:val="005E1D37"/>
    <w:rsid w:val="005E5120"/>
    <w:rsid w:val="005E5583"/>
    <w:rsid w:val="005E794C"/>
    <w:rsid w:val="005F0A28"/>
    <w:rsid w:val="005F0E5E"/>
    <w:rsid w:val="005F4661"/>
    <w:rsid w:val="00600535"/>
    <w:rsid w:val="00602AF1"/>
    <w:rsid w:val="006066DB"/>
    <w:rsid w:val="00610715"/>
    <w:rsid w:val="00610CD6"/>
    <w:rsid w:val="006140C5"/>
    <w:rsid w:val="00620453"/>
    <w:rsid w:val="00620DEE"/>
    <w:rsid w:val="00621F92"/>
    <w:rsid w:val="0062280A"/>
    <w:rsid w:val="00622AE8"/>
    <w:rsid w:val="00624E24"/>
    <w:rsid w:val="00625639"/>
    <w:rsid w:val="00627A40"/>
    <w:rsid w:val="00627FD4"/>
    <w:rsid w:val="006319D0"/>
    <w:rsid w:val="00631B33"/>
    <w:rsid w:val="00636A87"/>
    <w:rsid w:val="0064184D"/>
    <w:rsid w:val="006422CC"/>
    <w:rsid w:val="00644EFB"/>
    <w:rsid w:val="00654480"/>
    <w:rsid w:val="00654706"/>
    <w:rsid w:val="00654A3D"/>
    <w:rsid w:val="0065613D"/>
    <w:rsid w:val="00660E3E"/>
    <w:rsid w:val="00662673"/>
    <w:rsid w:val="00662E74"/>
    <w:rsid w:val="00665323"/>
    <w:rsid w:val="00671817"/>
    <w:rsid w:val="0067747B"/>
    <w:rsid w:val="00677A20"/>
    <w:rsid w:val="0068064C"/>
    <w:rsid w:val="00680C23"/>
    <w:rsid w:val="00693766"/>
    <w:rsid w:val="006A3281"/>
    <w:rsid w:val="006B0DEE"/>
    <w:rsid w:val="006B3166"/>
    <w:rsid w:val="006B4888"/>
    <w:rsid w:val="006B7990"/>
    <w:rsid w:val="006C09BD"/>
    <w:rsid w:val="006C131A"/>
    <w:rsid w:val="006C2E45"/>
    <w:rsid w:val="006C359C"/>
    <w:rsid w:val="006C381E"/>
    <w:rsid w:val="006C5579"/>
    <w:rsid w:val="006C6BC6"/>
    <w:rsid w:val="006D0972"/>
    <w:rsid w:val="006D16B0"/>
    <w:rsid w:val="006D6E8B"/>
    <w:rsid w:val="006D78B4"/>
    <w:rsid w:val="006E1DB3"/>
    <w:rsid w:val="006E737D"/>
    <w:rsid w:val="006F22DC"/>
    <w:rsid w:val="006F2D3D"/>
    <w:rsid w:val="006F32BD"/>
    <w:rsid w:val="006F4FAA"/>
    <w:rsid w:val="006F760B"/>
    <w:rsid w:val="0070170C"/>
    <w:rsid w:val="007069C1"/>
    <w:rsid w:val="00707A44"/>
    <w:rsid w:val="00710FFA"/>
    <w:rsid w:val="00713529"/>
    <w:rsid w:val="00713973"/>
    <w:rsid w:val="007140BF"/>
    <w:rsid w:val="00720A24"/>
    <w:rsid w:val="00723C58"/>
    <w:rsid w:val="00726D45"/>
    <w:rsid w:val="00730787"/>
    <w:rsid w:val="00732386"/>
    <w:rsid w:val="007328AC"/>
    <w:rsid w:val="007329AB"/>
    <w:rsid w:val="0073514D"/>
    <w:rsid w:val="007358F5"/>
    <w:rsid w:val="00736196"/>
    <w:rsid w:val="00737F65"/>
    <w:rsid w:val="007420DC"/>
    <w:rsid w:val="007447F3"/>
    <w:rsid w:val="00745115"/>
    <w:rsid w:val="0075499F"/>
    <w:rsid w:val="007570B4"/>
    <w:rsid w:val="007653CF"/>
    <w:rsid w:val="007661C8"/>
    <w:rsid w:val="00766A2C"/>
    <w:rsid w:val="0077098D"/>
    <w:rsid w:val="00777810"/>
    <w:rsid w:val="00783371"/>
    <w:rsid w:val="007858C1"/>
    <w:rsid w:val="00787341"/>
    <w:rsid w:val="00787FE1"/>
    <w:rsid w:val="00791A2C"/>
    <w:rsid w:val="007931FA"/>
    <w:rsid w:val="007939B8"/>
    <w:rsid w:val="007941C8"/>
    <w:rsid w:val="0079507D"/>
    <w:rsid w:val="007956A4"/>
    <w:rsid w:val="007973B8"/>
    <w:rsid w:val="007977BF"/>
    <w:rsid w:val="007A061A"/>
    <w:rsid w:val="007A0E9A"/>
    <w:rsid w:val="007A34E7"/>
    <w:rsid w:val="007A41EF"/>
    <w:rsid w:val="007A4861"/>
    <w:rsid w:val="007A7BBA"/>
    <w:rsid w:val="007B0687"/>
    <w:rsid w:val="007B08E2"/>
    <w:rsid w:val="007B0C50"/>
    <w:rsid w:val="007B1172"/>
    <w:rsid w:val="007B1596"/>
    <w:rsid w:val="007B1F30"/>
    <w:rsid w:val="007B48F9"/>
    <w:rsid w:val="007B6699"/>
    <w:rsid w:val="007C17AB"/>
    <w:rsid w:val="007C1A43"/>
    <w:rsid w:val="007C1AFE"/>
    <w:rsid w:val="007D41EB"/>
    <w:rsid w:val="007E6426"/>
    <w:rsid w:val="007F20F0"/>
    <w:rsid w:val="007F2C5D"/>
    <w:rsid w:val="007F4534"/>
    <w:rsid w:val="0080013E"/>
    <w:rsid w:val="00800477"/>
    <w:rsid w:val="008023CA"/>
    <w:rsid w:val="00812753"/>
    <w:rsid w:val="00812D2A"/>
    <w:rsid w:val="00813288"/>
    <w:rsid w:val="0081428F"/>
    <w:rsid w:val="008168FC"/>
    <w:rsid w:val="00817F94"/>
    <w:rsid w:val="008229EE"/>
    <w:rsid w:val="00825DD9"/>
    <w:rsid w:val="00826188"/>
    <w:rsid w:val="00830996"/>
    <w:rsid w:val="00832027"/>
    <w:rsid w:val="008327C9"/>
    <w:rsid w:val="008345F1"/>
    <w:rsid w:val="008404E5"/>
    <w:rsid w:val="008413F9"/>
    <w:rsid w:val="00843343"/>
    <w:rsid w:val="00844AA7"/>
    <w:rsid w:val="00844CF8"/>
    <w:rsid w:val="00846828"/>
    <w:rsid w:val="00851C00"/>
    <w:rsid w:val="008567F9"/>
    <w:rsid w:val="00856AA5"/>
    <w:rsid w:val="00857B2D"/>
    <w:rsid w:val="0086434A"/>
    <w:rsid w:val="00865B07"/>
    <w:rsid w:val="00866584"/>
    <w:rsid w:val="008667EA"/>
    <w:rsid w:val="00866916"/>
    <w:rsid w:val="008673FE"/>
    <w:rsid w:val="0087637F"/>
    <w:rsid w:val="008763A1"/>
    <w:rsid w:val="008820CB"/>
    <w:rsid w:val="00886D39"/>
    <w:rsid w:val="00891B96"/>
    <w:rsid w:val="00892AD5"/>
    <w:rsid w:val="00897CAF"/>
    <w:rsid w:val="008A1512"/>
    <w:rsid w:val="008A1FEE"/>
    <w:rsid w:val="008A32B6"/>
    <w:rsid w:val="008B4AD2"/>
    <w:rsid w:val="008B4AD5"/>
    <w:rsid w:val="008B5D5A"/>
    <w:rsid w:val="008B618F"/>
    <w:rsid w:val="008B7E2E"/>
    <w:rsid w:val="008C25E8"/>
    <w:rsid w:val="008C41EA"/>
    <w:rsid w:val="008C5D0C"/>
    <w:rsid w:val="008D32B9"/>
    <w:rsid w:val="008D3B08"/>
    <w:rsid w:val="008D433B"/>
    <w:rsid w:val="008D506E"/>
    <w:rsid w:val="008E0B38"/>
    <w:rsid w:val="008E566E"/>
    <w:rsid w:val="008F1D0E"/>
    <w:rsid w:val="008F7CCD"/>
    <w:rsid w:val="0090161A"/>
    <w:rsid w:val="00901EB6"/>
    <w:rsid w:val="00901F6D"/>
    <w:rsid w:val="00902C28"/>
    <w:rsid w:val="00904C62"/>
    <w:rsid w:val="009054A4"/>
    <w:rsid w:val="009079C8"/>
    <w:rsid w:val="00914F25"/>
    <w:rsid w:val="00915432"/>
    <w:rsid w:val="00915D1A"/>
    <w:rsid w:val="00916639"/>
    <w:rsid w:val="00917338"/>
    <w:rsid w:val="00920FBD"/>
    <w:rsid w:val="00922BA8"/>
    <w:rsid w:val="009238A5"/>
    <w:rsid w:val="00924677"/>
    <w:rsid w:val="00924DAC"/>
    <w:rsid w:val="009268C3"/>
    <w:rsid w:val="00927058"/>
    <w:rsid w:val="00932796"/>
    <w:rsid w:val="009412D8"/>
    <w:rsid w:val="00941C51"/>
    <w:rsid w:val="00942750"/>
    <w:rsid w:val="00942A63"/>
    <w:rsid w:val="009450CE"/>
    <w:rsid w:val="00946EFF"/>
    <w:rsid w:val="00947179"/>
    <w:rsid w:val="0095164B"/>
    <w:rsid w:val="0095316E"/>
    <w:rsid w:val="009537FE"/>
    <w:rsid w:val="00954090"/>
    <w:rsid w:val="009573E7"/>
    <w:rsid w:val="00957B2E"/>
    <w:rsid w:val="009609A4"/>
    <w:rsid w:val="009619A4"/>
    <w:rsid w:val="00961DB3"/>
    <w:rsid w:val="00963E05"/>
    <w:rsid w:val="00967843"/>
    <w:rsid w:val="00967D54"/>
    <w:rsid w:val="00971028"/>
    <w:rsid w:val="00971374"/>
    <w:rsid w:val="009721B8"/>
    <w:rsid w:val="00975530"/>
    <w:rsid w:val="00983269"/>
    <w:rsid w:val="0098553C"/>
    <w:rsid w:val="0098703D"/>
    <w:rsid w:val="009931BF"/>
    <w:rsid w:val="00993B84"/>
    <w:rsid w:val="0099493F"/>
    <w:rsid w:val="009949EF"/>
    <w:rsid w:val="00995BE3"/>
    <w:rsid w:val="00996483"/>
    <w:rsid w:val="00996F5A"/>
    <w:rsid w:val="009A12A2"/>
    <w:rsid w:val="009A4B3B"/>
    <w:rsid w:val="009A6B94"/>
    <w:rsid w:val="009B041A"/>
    <w:rsid w:val="009C2D30"/>
    <w:rsid w:val="009C37C3"/>
    <w:rsid w:val="009C6441"/>
    <w:rsid w:val="009C7C86"/>
    <w:rsid w:val="009D2FF7"/>
    <w:rsid w:val="009D6164"/>
    <w:rsid w:val="009E0422"/>
    <w:rsid w:val="009E18A9"/>
    <w:rsid w:val="009E3BB4"/>
    <w:rsid w:val="009E6A6B"/>
    <w:rsid w:val="009E7884"/>
    <w:rsid w:val="009E788A"/>
    <w:rsid w:val="009F0318"/>
    <w:rsid w:val="009F0E08"/>
    <w:rsid w:val="009F2575"/>
    <w:rsid w:val="009F26EA"/>
    <w:rsid w:val="009F291A"/>
    <w:rsid w:val="009F6693"/>
    <w:rsid w:val="00A004A4"/>
    <w:rsid w:val="00A03D9A"/>
    <w:rsid w:val="00A04765"/>
    <w:rsid w:val="00A067C6"/>
    <w:rsid w:val="00A06CDC"/>
    <w:rsid w:val="00A07CD6"/>
    <w:rsid w:val="00A10EF0"/>
    <w:rsid w:val="00A13264"/>
    <w:rsid w:val="00A15C42"/>
    <w:rsid w:val="00A1763D"/>
    <w:rsid w:val="00A17CEC"/>
    <w:rsid w:val="00A21B36"/>
    <w:rsid w:val="00A2380B"/>
    <w:rsid w:val="00A2737D"/>
    <w:rsid w:val="00A27EF0"/>
    <w:rsid w:val="00A3432E"/>
    <w:rsid w:val="00A42361"/>
    <w:rsid w:val="00A47E77"/>
    <w:rsid w:val="00A50B20"/>
    <w:rsid w:val="00A51390"/>
    <w:rsid w:val="00A527DE"/>
    <w:rsid w:val="00A54A47"/>
    <w:rsid w:val="00A60D13"/>
    <w:rsid w:val="00A71664"/>
    <w:rsid w:val="00A72745"/>
    <w:rsid w:val="00A72F86"/>
    <w:rsid w:val="00A736AE"/>
    <w:rsid w:val="00A73DC5"/>
    <w:rsid w:val="00A75514"/>
    <w:rsid w:val="00A75770"/>
    <w:rsid w:val="00A76EFC"/>
    <w:rsid w:val="00A83556"/>
    <w:rsid w:val="00A83D05"/>
    <w:rsid w:val="00A858A1"/>
    <w:rsid w:val="00A85A1E"/>
    <w:rsid w:val="00A87DCD"/>
    <w:rsid w:val="00A90375"/>
    <w:rsid w:val="00A91010"/>
    <w:rsid w:val="00A91F25"/>
    <w:rsid w:val="00A95730"/>
    <w:rsid w:val="00A97F29"/>
    <w:rsid w:val="00AA1EB9"/>
    <w:rsid w:val="00AA35A6"/>
    <w:rsid w:val="00AA3AAD"/>
    <w:rsid w:val="00AA42F0"/>
    <w:rsid w:val="00AA5466"/>
    <w:rsid w:val="00AA659B"/>
    <w:rsid w:val="00AA702E"/>
    <w:rsid w:val="00AA7D6A"/>
    <w:rsid w:val="00AB07BA"/>
    <w:rsid w:val="00AB0964"/>
    <w:rsid w:val="00AB0F91"/>
    <w:rsid w:val="00AB1B70"/>
    <w:rsid w:val="00AB214D"/>
    <w:rsid w:val="00AB3DC8"/>
    <w:rsid w:val="00AB4B08"/>
    <w:rsid w:val="00AB5011"/>
    <w:rsid w:val="00AC2676"/>
    <w:rsid w:val="00AC3075"/>
    <w:rsid w:val="00AC6E5C"/>
    <w:rsid w:val="00AC7368"/>
    <w:rsid w:val="00AD16B9"/>
    <w:rsid w:val="00AD2E29"/>
    <w:rsid w:val="00AD4A21"/>
    <w:rsid w:val="00AD6A2A"/>
    <w:rsid w:val="00AD7BF7"/>
    <w:rsid w:val="00AE361D"/>
    <w:rsid w:val="00AE377D"/>
    <w:rsid w:val="00AF0EBA"/>
    <w:rsid w:val="00AF6489"/>
    <w:rsid w:val="00B01B2C"/>
    <w:rsid w:val="00B023AA"/>
    <w:rsid w:val="00B024B8"/>
    <w:rsid w:val="00B02C8A"/>
    <w:rsid w:val="00B03F5C"/>
    <w:rsid w:val="00B03F7D"/>
    <w:rsid w:val="00B040D0"/>
    <w:rsid w:val="00B07F8F"/>
    <w:rsid w:val="00B10614"/>
    <w:rsid w:val="00B11473"/>
    <w:rsid w:val="00B139F2"/>
    <w:rsid w:val="00B17FBD"/>
    <w:rsid w:val="00B25307"/>
    <w:rsid w:val="00B3040A"/>
    <w:rsid w:val="00B315A6"/>
    <w:rsid w:val="00B31813"/>
    <w:rsid w:val="00B33365"/>
    <w:rsid w:val="00B36AD0"/>
    <w:rsid w:val="00B40437"/>
    <w:rsid w:val="00B40F4E"/>
    <w:rsid w:val="00B4119C"/>
    <w:rsid w:val="00B428B7"/>
    <w:rsid w:val="00B44178"/>
    <w:rsid w:val="00B44F87"/>
    <w:rsid w:val="00B51790"/>
    <w:rsid w:val="00B57B36"/>
    <w:rsid w:val="00B57E6F"/>
    <w:rsid w:val="00B64DB2"/>
    <w:rsid w:val="00B8276B"/>
    <w:rsid w:val="00B8686D"/>
    <w:rsid w:val="00B911F8"/>
    <w:rsid w:val="00B92006"/>
    <w:rsid w:val="00B93F69"/>
    <w:rsid w:val="00BA2D80"/>
    <w:rsid w:val="00BA467C"/>
    <w:rsid w:val="00BA4992"/>
    <w:rsid w:val="00BB1DDC"/>
    <w:rsid w:val="00BC0372"/>
    <w:rsid w:val="00BC0A3B"/>
    <w:rsid w:val="00BC0DC4"/>
    <w:rsid w:val="00BC2840"/>
    <w:rsid w:val="00BC30C9"/>
    <w:rsid w:val="00BC3C7D"/>
    <w:rsid w:val="00BD077D"/>
    <w:rsid w:val="00BE2573"/>
    <w:rsid w:val="00BE3E58"/>
    <w:rsid w:val="00BF57D0"/>
    <w:rsid w:val="00BF6C2E"/>
    <w:rsid w:val="00C01616"/>
    <w:rsid w:val="00C0162B"/>
    <w:rsid w:val="00C02B51"/>
    <w:rsid w:val="00C068ED"/>
    <w:rsid w:val="00C136B7"/>
    <w:rsid w:val="00C14EA1"/>
    <w:rsid w:val="00C160BD"/>
    <w:rsid w:val="00C173E8"/>
    <w:rsid w:val="00C20058"/>
    <w:rsid w:val="00C20D69"/>
    <w:rsid w:val="00C20D71"/>
    <w:rsid w:val="00C21A19"/>
    <w:rsid w:val="00C22E0C"/>
    <w:rsid w:val="00C24048"/>
    <w:rsid w:val="00C24520"/>
    <w:rsid w:val="00C27751"/>
    <w:rsid w:val="00C30B22"/>
    <w:rsid w:val="00C345B1"/>
    <w:rsid w:val="00C34F86"/>
    <w:rsid w:val="00C40142"/>
    <w:rsid w:val="00C409A4"/>
    <w:rsid w:val="00C47FDC"/>
    <w:rsid w:val="00C5170F"/>
    <w:rsid w:val="00C51E63"/>
    <w:rsid w:val="00C52C3C"/>
    <w:rsid w:val="00C5382A"/>
    <w:rsid w:val="00C53AE3"/>
    <w:rsid w:val="00C54088"/>
    <w:rsid w:val="00C54B2F"/>
    <w:rsid w:val="00C555A7"/>
    <w:rsid w:val="00C57182"/>
    <w:rsid w:val="00C57446"/>
    <w:rsid w:val="00C57863"/>
    <w:rsid w:val="00C60C0F"/>
    <w:rsid w:val="00C63457"/>
    <w:rsid w:val="00C655FD"/>
    <w:rsid w:val="00C66132"/>
    <w:rsid w:val="00C73173"/>
    <w:rsid w:val="00C7421F"/>
    <w:rsid w:val="00C75407"/>
    <w:rsid w:val="00C75E3F"/>
    <w:rsid w:val="00C760F3"/>
    <w:rsid w:val="00C76303"/>
    <w:rsid w:val="00C854D6"/>
    <w:rsid w:val="00C870A8"/>
    <w:rsid w:val="00C90476"/>
    <w:rsid w:val="00C926A6"/>
    <w:rsid w:val="00C94434"/>
    <w:rsid w:val="00C952B1"/>
    <w:rsid w:val="00C9586E"/>
    <w:rsid w:val="00CA0053"/>
    <w:rsid w:val="00CA0D75"/>
    <w:rsid w:val="00CA1C95"/>
    <w:rsid w:val="00CA40A9"/>
    <w:rsid w:val="00CA48BB"/>
    <w:rsid w:val="00CA5A9C"/>
    <w:rsid w:val="00CB02D3"/>
    <w:rsid w:val="00CB2117"/>
    <w:rsid w:val="00CB5052"/>
    <w:rsid w:val="00CB51C8"/>
    <w:rsid w:val="00CB6C45"/>
    <w:rsid w:val="00CB76E9"/>
    <w:rsid w:val="00CC4C20"/>
    <w:rsid w:val="00CC4EE7"/>
    <w:rsid w:val="00CC5079"/>
    <w:rsid w:val="00CC5ED0"/>
    <w:rsid w:val="00CC727C"/>
    <w:rsid w:val="00CD2DDD"/>
    <w:rsid w:val="00CD3517"/>
    <w:rsid w:val="00CD5DEB"/>
    <w:rsid w:val="00CD5FE2"/>
    <w:rsid w:val="00CE1AB0"/>
    <w:rsid w:val="00CE4816"/>
    <w:rsid w:val="00CE6D0C"/>
    <w:rsid w:val="00CE7C68"/>
    <w:rsid w:val="00CE7CBD"/>
    <w:rsid w:val="00D020D3"/>
    <w:rsid w:val="00D02B4C"/>
    <w:rsid w:val="00D03CCC"/>
    <w:rsid w:val="00D040C4"/>
    <w:rsid w:val="00D05E23"/>
    <w:rsid w:val="00D07BCF"/>
    <w:rsid w:val="00D11126"/>
    <w:rsid w:val="00D1397B"/>
    <w:rsid w:val="00D15C87"/>
    <w:rsid w:val="00D1729E"/>
    <w:rsid w:val="00D21EFC"/>
    <w:rsid w:val="00D24CB6"/>
    <w:rsid w:val="00D27A99"/>
    <w:rsid w:val="00D27F96"/>
    <w:rsid w:val="00D34EF0"/>
    <w:rsid w:val="00D353D3"/>
    <w:rsid w:val="00D36237"/>
    <w:rsid w:val="00D44284"/>
    <w:rsid w:val="00D46B7E"/>
    <w:rsid w:val="00D52679"/>
    <w:rsid w:val="00D5562B"/>
    <w:rsid w:val="00D57C84"/>
    <w:rsid w:val="00D57D06"/>
    <w:rsid w:val="00D600EF"/>
    <w:rsid w:val="00D6057D"/>
    <w:rsid w:val="00D642F4"/>
    <w:rsid w:val="00D67FE2"/>
    <w:rsid w:val="00D71DA4"/>
    <w:rsid w:val="00D721CF"/>
    <w:rsid w:val="00D7487A"/>
    <w:rsid w:val="00D77368"/>
    <w:rsid w:val="00D819D2"/>
    <w:rsid w:val="00D8236F"/>
    <w:rsid w:val="00D8246F"/>
    <w:rsid w:val="00D8351C"/>
    <w:rsid w:val="00D836C5"/>
    <w:rsid w:val="00D83F85"/>
    <w:rsid w:val="00D84576"/>
    <w:rsid w:val="00D84C1C"/>
    <w:rsid w:val="00D90B10"/>
    <w:rsid w:val="00D941BD"/>
    <w:rsid w:val="00D9733F"/>
    <w:rsid w:val="00D97E16"/>
    <w:rsid w:val="00DA1399"/>
    <w:rsid w:val="00DA24C6"/>
    <w:rsid w:val="00DA4D7B"/>
    <w:rsid w:val="00DB10E2"/>
    <w:rsid w:val="00DB1E94"/>
    <w:rsid w:val="00DC0C85"/>
    <w:rsid w:val="00DC50DC"/>
    <w:rsid w:val="00DC55D2"/>
    <w:rsid w:val="00DD177B"/>
    <w:rsid w:val="00DE264A"/>
    <w:rsid w:val="00DE49A6"/>
    <w:rsid w:val="00DE6789"/>
    <w:rsid w:val="00DF5072"/>
    <w:rsid w:val="00DF6813"/>
    <w:rsid w:val="00DF6849"/>
    <w:rsid w:val="00E00A8B"/>
    <w:rsid w:val="00E02978"/>
    <w:rsid w:val="00E02D18"/>
    <w:rsid w:val="00E041E7"/>
    <w:rsid w:val="00E065E8"/>
    <w:rsid w:val="00E07DB3"/>
    <w:rsid w:val="00E101A6"/>
    <w:rsid w:val="00E17924"/>
    <w:rsid w:val="00E17FFD"/>
    <w:rsid w:val="00E23CA1"/>
    <w:rsid w:val="00E25B85"/>
    <w:rsid w:val="00E349EE"/>
    <w:rsid w:val="00E409A8"/>
    <w:rsid w:val="00E50149"/>
    <w:rsid w:val="00E50C12"/>
    <w:rsid w:val="00E56BE7"/>
    <w:rsid w:val="00E61C3A"/>
    <w:rsid w:val="00E627C1"/>
    <w:rsid w:val="00E63F7C"/>
    <w:rsid w:val="00E65B91"/>
    <w:rsid w:val="00E66C2D"/>
    <w:rsid w:val="00E66D90"/>
    <w:rsid w:val="00E70403"/>
    <w:rsid w:val="00E70BE9"/>
    <w:rsid w:val="00E71F6A"/>
    <w:rsid w:val="00E7209D"/>
    <w:rsid w:val="00E72EAD"/>
    <w:rsid w:val="00E74731"/>
    <w:rsid w:val="00E77223"/>
    <w:rsid w:val="00E82DA5"/>
    <w:rsid w:val="00E82FBF"/>
    <w:rsid w:val="00E8528B"/>
    <w:rsid w:val="00E85B94"/>
    <w:rsid w:val="00E902AB"/>
    <w:rsid w:val="00E93A8D"/>
    <w:rsid w:val="00E9490A"/>
    <w:rsid w:val="00E959F6"/>
    <w:rsid w:val="00E9660C"/>
    <w:rsid w:val="00E978D0"/>
    <w:rsid w:val="00EA4613"/>
    <w:rsid w:val="00EA4FDC"/>
    <w:rsid w:val="00EA5AE4"/>
    <w:rsid w:val="00EA75C8"/>
    <w:rsid w:val="00EA78C2"/>
    <w:rsid w:val="00EA7F91"/>
    <w:rsid w:val="00EB1523"/>
    <w:rsid w:val="00EB356B"/>
    <w:rsid w:val="00EB3AC1"/>
    <w:rsid w:val="00EC0E49"/>
    <w:rsid w:val="00EC101F"/>
    <w:rsid w:val="00EC1D9F"/>
    <w:rsid w:val="00EC2B4C"/>
    <w:rsid w:val="00EC422F"/>
    <w:rsid w:val="00EC5EA9"/>
    <w:rsid w:val="00EC7150"/>
    <w:rsid w:val="00ED2C21"/>
    <w:rsid w:val="00ED52AA"/>
    <w:rsid w:val="00ED638F"/>
    <w:rsid w:val="00EE0131"/>
    <w:rsid w:val="00EE17B0"/>
    <w:rsid w:val="00EE4137"/>
    <w:rsid w:val="00EE4D03"/>
    <w:rsid w:val="00EE70A7"/>
    <w:rsid w:val="00EF06D9"/>
    <w:rsid w:val="00EF5447"/>
    <w:rsid w:val="00F04DCD"/>
    <w:rsid w:val="00F06925"/>
    <w:rsid w:val="00F10C43"/>
    <w:rsid w:val="00F10DA7"/>
    <w:rsid w:val="00F12A1D"/>
    <w:rsid w:val="00F20D9C"/>
    <w:rsid w:val="00F21253"/>
    <w:rsid w:val="00F22F5A"/>
    <w:rsid w:val="00F2414D"/>
    <w:rsid w:val="00F30C64"/>
    <w:rsid w:val="00F3133F"/>
    <w:rsid w:val="00F323C3"/>
    <w:rsid w:val="00F32BA2"/>
    <w:rsid w:val="00F32CDB"/>
    <w:rsid w:val="00F439A6"/>
    <w:rsid w:val="00F46CBF"/>
    <w:rsid w:val="00F50A98"/>
    <w:rsid w:val="00F565FE"/>
    <w:rsid w:val="00F57F79"/>
    <w:rsid w:val="00F615AD"/>
    <w:rsid w:val="00F63A70"/>
    <w:rsid w:val="00F70AA4"/>
    <w:rsid w:val="00F7534E"/>
    <w:rsid w:val="00F76989"/>
    <w:rsid w:val="00F77841"/>
    <w:rsid w:val="00F80327"/>
    <w:rsid w:val="00F82883"/>
    <w:rsid w:val="00F842FC"/>
    <w:rsid w:val="00F91E97"/>
    <w:rsid w:val="00FA21D0"/>
    <w:rsid w:val="00FA5F5F"/>
    <w:rsid w:val="00FA6142"/>
    <w:rsid w:val="00FB0DF5"/>
    <w:rsid w:val="00FB14B6"/>
    <w:rsid w:val="00FB3FE2"/>
    <w:rsid w:val="00FB4505"/>
    <w:rsid w:val="00FB4E55"/>
    <w:rsid w:val="00FB66E0"/>
    <w:rsid w:val="00FB730C"/>
    <w:rsid w:val="00FB7C57"/>
    <w:rsid w:val="00FC129A"/>
    <w:rsid w:val="00FC1D31"/>
    <w:rsid w:val="00FC2695"/>
    <w:rsid w:val="00FC3E03"/>
    <w:rsid w:val="00FC3FC1"/>
    <w:rsid w:val="00FC4296"/>
    <w:rsid w:val="00FD379D"/>
    <w:rsid w:val="00FD4DA9"/>
    <w:rsid w:val="00FE09FD"/>
    <w:rsid w:val="00FE0FA5"/>
    <w:rsid w:val="00FF0057"/>
    <w:rsid w:val="00FF42EB"/>
    <w:rsid w:val="00FF610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E0CC22"/>
  <w14:defaultImageDpi w14:val="330"/>
  <w15:docId w15:val="{8B0D5BF7-FB49-421A-994F-6C131D7C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aliases w:val="Char,Char Char Char,Caption Fig., Char"/>
    <w:basedOn w:val="Normale"/>
    <w:next w:val="Normale"/>
    <w:link w:val="DidascaliaCarattere"/>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html-italic">
    <w:name w:val="html-italic"/>
    <w:basedOn w:val="Carpredefinitoparagrafo"/>
    <w:rsid w:val="00063EB6"/>
  </w:style>
  <w:style w:type="character" w:styleId="Enfasicorsivo">
    <w:name w:val="Emphasis"/>
    <w:basedOn w:val="Carpredefinitoparagrafo"/>
    <w:uiPriority w:val="20"/>
    <w:qFormat/>
    <w:rsid w:val="00D90B10"/>
    <w:rPr>
      <w:i/>
      <w:iCs/>
    </w:rPr>
  </w:style>
  <w:style w:type="paragraph" w:customStyle="1" w:styleId="MDPI51figurecaption">
    <w:name w:val="MDPI_5.1_figure_caption"/>
    <w:qFormat/>
    <w:rsid w:val="00080E90"/>
    <w:pPr>
      <w:adjustRightInd w:val="0"/>
      <w:snapToGrid w:val="0"/>
      <w:spacing w:before="120" w:after="240" w:line="228" w:lineRule="auto"/>
      <w:ind w:left="2608"/>
      <w:jc w:val="both"/>
    </w:pPr>
    <w:rPr>
      <w:rFonts w:ascii="Palatino Linotype" w:eastAsia="Times New Roman" w:hAnsi="Palatino Linotype" w:cs="Times New Roman"/>
      <w:color w:val="000000"/>
      <w:sz w:val="18"/>
      <w:szCs w:val="20"/>
      <w:lang w:val="en-US" w:eastAsia="de-DE" w:bidi="en-US"/>
    </w:rPr>
  </w:style>
  <w:style w:type="character" w:customStyle="1" w:styleId="DidascaliaCarattere">
    <w:name w:val="Didascalia Carattere"/>
    <w:aliases w:val="Char Carattere,Char Char Char Carattere,Caption Fig. Carattere, Char Carattere"/>
    <w:link w:val="Didascalia"/>
    <w:locked/>
    <w:rsid w:val="00F70AA4"/>
    <w:rPr>
      <w:rFonts w:ascii="Arial" w:eastAsia="Times New Roman" w:hAnsi="Arial" w:cs="Times New Roman"/>
      <w:b/>
      <w:bCs/>
      <w:color w:val="4F81BD" w:themeColor="accent1"/>
      <w:sz w:val="18"/>
      <w:szCs w:val="18"/>
      <w:lang w:val="en-GB"/>
    </w:rPr>
  </w:style>
  <w:style w:type="paragraph" w:customStyle="1" w:styleId="MDPI39equation">
    <w:name w:val="MDPI_3.9_equation"/>
    <w:qFormat/>
    <w:rsid w:val="001619BF"/>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43554">
      <w:bodyDiv w:val="1"/>
      <w:marLeft w:val="0"/>
      <w:marRight w:val="0"/>
      <w:marTop w:val="0"/>
      <w:marBottom w:val="0"/>
      <w:divBdr>
        <w:top w:val="none" w:sz="0" w:space="0" w:color="auto"/>
        <w:left w:val="none" w:sz="0" w:space="0" w:color="auto"/>
        <w:bottom w:val="none" w:sz="0" w:space="0" w:color="auto"/>
        <w:right w:val="none" w:sz="0" w:space="0" w:color="auto"/>
      </w:divBdr>
    </w:div>
    <w:div w:id="148252136">
      <w:bodyDiv w:val="1"/>
      <w:marLeft w:val="0"/>
      <w:marRight w:val="0"/>
      <w:marTop w:val="0"/>
      <w:marBottom w:val="0"/>
      <w:divBdr>
        <w:top w:val="none" w:sz="0" w:space="0" w:color="auto"/>
        <w:left w:val="none" w:sz="0" w:space="0" w:color="auto"/>
        <w:bottom w:val="none" w:sz="0" w:space="0" w:color="auto"/>
        <w:right w:val="none" w:sz="0" w:space="0" w:color="auto"/>
      </w:divBdr>
    </w:div>
    <w:div w:id="204803170">
      <w:bodyDiv w:val="1"/>
      <w:marLeft w:val="0"/>
      <w:marRight w:val="0"/>
      <w:marTop w:val="0"/>
      <w:marBottom w:val="0"/>
      <w:divBdr>
        <w:top w:val="none" w:sz="0" w:space="0" w:color="auto"/>
        <w:left w:val="none" w:sz="0" w:space="0" w:color="auto"/>
        <w:bottom w:val="none" w:sz="0" w:space="0" w:color="auto"/>
        <w:right w:val="none" w:sz="0" w:space="0" w:color="auto"/>
      </w:divBdr>
    </w:div>
    <w:div w:id="251938030">
      <w:bodyDiv w:val="1"/>
      <w:marLeft w:val="0"/>
      <w:marRight w:val="0"/>
      <w:marTop w:val="0"/>
      <w:marBottom w:val="0"/>
      <w:divBdr>
        <w:top w:val="none" w:sz="0" w:space="0" w:color="auto"/>
        <w:left w:val="none" w:sz="0" w:space="0" w:color="auto"/>
        <w:bottom w:val="none" w:sz="0" w:space="0" w:color="auto"/>
        <w:right w:val="none" w:sz="0" w:space="0" w:color="auto"/>
      </w:divBdr>
    </w:div>
    <w:div w:id="262418014">
      <w:bodyDiv w:val="1"/>
      <w:marLeft w:val="0"/>
      <w:marRight w:val="0"/>
      <w:marTop w:val="0"/>
      <w:marBottom w:val="0"/>
      <w:divBdr>
        <w:top w:val="none" w:sz="0" w:space="0" w:color="auto"/>
        <w:left w:val="none" w:sz="0" w:space="0" w:color="auto"/>
        <w:bottom w:val="none" w:sz="0" w:space="0" w:color="auto"/>
        <w:right w:val="none" w:sz="0" w:space="0" w:color="auto"/>
      </w:divBdr>
    </w:div>
    <w:div w:id="267198531">
      <w:bodyDiv w:val="1"/>
      <w:marLeft w:val="0"/>
      <w:marRight w:val="0"/>
      <w:marTop w:val="0"/>
      <w:marBottom w:val="0"/>
      <w:divBdr>
        <w:top w:val="none" w:sz="0" w:space="0" w:color="auto"/>
        <w:left w:val="none" w:sz="0" w:space="0" w:color="auto"/>
        <w:bottom w:val="none" w:sz="0" w:space="0" w:color="auto"/>
        <w:right w:val="none" w:sz="0" w:space="0" w:color="auto"/>
      </w:divBdr>
    </w:div>
    <w:div w:id="338394166">
      <w:bodyDiv w:val="1"/>
      <w:marLeft w:val="0"/>
      <w:marRight w:val="0"/>
      <w:marTop w:val="0"/>
      <w:marBottom w:val="0"/>
      <w:divBdr>
        <w:top w:val="none" w:sz="0" w:space="0" w:color="auto"/>
        <w:left w:val="none" w:sz="0" w:space="0" w:color="auto"/>
        <w:bottom w:val="none" w:sz="0" w:space="0" w:color="auto"/>
        <w:right w:val="none" w:sz="0" w:space="0" w:color="auto"/>
      </w:divBdr>
    </w:div>
    <w:div w:id="368647424">
      <w:bodyDiv w:val="1"/>
      <w:marLeft w:val="0"/>
      <w:marRight w:val="0"/>
      <w:marTop w:val="0"/>
      <w:marBottom w:val="0"/>
      <w:divBdr>
        <w:top w:val="none" w:sz="0" w:space="0" w:color="auto"/>
        <w:left w:val="none" w:sz="0" w:space="0" w:color="auto"/>
        <w:bottom w:val="none" w:sz="0" w:space="0" w:color="auto"/>
        <w:right w:val="none" w:sz="0" w:space="0" w:color="auto"/>
      </w:divBdr>
    </w:div>
    <w:div w:id="654141648">
      <w:bodyDiv w:val="1"/>
      <w:marLeft w:val="0"/>
      <w:marRight w:val="0"/>
      <w:marTop w:val="0"/>
      <w:marBottom w:val="0"/>
      <w:divBdr>
        <w:top w:val="none" w:sz="0" w:space="0" w:color="auto"/>
        <w:left w:val="none" w:sz="0" w:space="0" w:color="auto"/>
        <w:bottom w:val="none" w:sz="0" w:space="0" w:color="auto"/>
        <w:right w:val="none" w:sz="0" w:space="0" w:color="auto"/>
      </w:divBdr>
    </w:div>
    <w:div w:id="668093245">
      <w:bodyDiv w:val="1"/>
      <w:marLeft w:val="0"/>
      <w:marRight w:val="0"/>
      <w:marTop w:val="0"/>
      <w:marBottom w:val="0"/>
      <w:divBdr>
        <w:top w:val="none" w:sz="0" w:space="0" w:color="auto"/>
        <w:left w:val="none" w:sz="0" w:space="0" w:color="auto"/>
        <w:bottom w:val="none" w:sz="0" w:space="0" w:color="auto"/>
        <w:right w:val="none" w:sz="0" w:space="0" w:color="auto"/>
      </w:divBdr>
    </w:div>
    <w:div w:id="78034630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1653">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5345">
      <w:bodyDiv w:val="1"/>
      <w:marLeft w:val="0"/>
      <w:marRight w:val="0"/>
      <w:marTop w:val="0"/>
      <w:marBottom w:val="0"/>
      <w:divBdr>
        <w:top w:val="none" w:sz="0" w:space="0" w:color="auto"/>
        <w:left w:val="none" w:sz="0" w:space="0" w:color="auto"/>
        <w:bottom w:val="none" w:sz="0" w:space="0" w:color="auto"/>
        <w:right w:val="none" w:sz="0" w:space="0" w:color="auto"/>
      </w:divBdr>
    </w:div>
    <w:div w:id="1092432831">
      <w:bodyDiv w:val="1"/>
      <w:marLeft w:val="0"/>
      <w:marRight w:val="0"/>
      <w:marTop w:val="0"/>
      <w:marBottom w:val="0"/>
      <w:divBdr>
        <w:top w:val="none" w:sz="0" w:space="0" w:color="auto"/>
        <w:left w:val="none" w:sz="0" w:space="0" w:color="auto"/>
        <w:bottom w:val="none" w:sz="0" w:space="0" w:color="auto"/>
        <w:right w:val="none" w:sz="0" w:space="0" w:color="auto"/>
      </w:divBdr>
    </w:div>
    <w:div w:id="1191644244">
      <w:bodyDiv w:val="1"/>
      <w:marLeft w:val="0"/>
      <w:marRight w:val="0"/>
      <w:marTop w:val="0"/>
      <w:marBottom w:val="0"/>
      <w:divBdr>
        <w:top w:val="none" w:sz="0" w:space="0" w:color="auto"/>
        <w:left w:val="none" w:sz="0" w:space="0" w:color="auto"/>
        <w:bottom w:val="none" w:sz="0" w:space="0" w:color="auto"/>
        <w:right w:val="none" w:sz="0" w:space="0" w:color="auto"/>
      </w:divBdr>
    </w:div>
    <w:div w:id="1235819444">
      <w:bodyDiv w:val="1"/>
      <w:marLeft w:val="0"/>
      <w:marRight w:val="0"/>
      <w:marTop w:val="0"/>
      <w:marBottom w:val="0"/>
      <w:divBdr>
        <w:top w:val="none" w:sz="0" w:space="0" w:color="auto"/>
        <w:left w:val="none" w:sz="0" w:space="0" w:color="auto"/>
        <w:bottom w:val="none" w:sz="0" w:space="0" w:color="auto"/>
        <w:right w:val="none" w:sz="0" w:space="0" w:color="auto"/>
      </w:divBdr>
    </w:div>
    <w:div w:id="1402213864">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2870325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52787">
      <w:bodyDiv w:val="1"/>
      <w:marLeft w:val="0"/>
      <w:marRight w:val="0"/>
      <w:marTop w:val="0"/>
      <w:marBottom w:val="0"/>
      <w:divBdr>
        <w:top w:val="none" w:sz="0" w:space="0" w:color="auto"/>
        <w:left w:val="none" w:sz="0" w:space="0" w:color="auto"/>
        <w:bottom w:val="none" w:sz="0" w:space="0" w:color="auto"/>
        <w:right w:val="none" w:sz="0" w:space="0" w:color="auto"/>
      </w:divBdr>
    </w:div>
    <w:div w:id="209913027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6307A-9F58-49E2-9973-B18AE8BC1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3144</Words>
  <Characters>17923</Characters>
  <Application>Microsoft Office Word</Application>
  <DocSecurity>0</DocSecurity>
  <Lines>149</Lines>
  <Paragraphs>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valeria</cp:lastModifiedBy>
  <cp:revision>8</cp:revision>
  <cp:lastPrinted>2024-04-25T17:25:00Z</cp:lastPrinted>
  <dcterms:created xsi:type="dcterms:W3CDTF">2024-05-21T13:26:00Z</dcterms:created>
  <dcterms:modified xsi:type="dcterms:W3CDTF">2024-05-27T12:59:00Z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