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2D89DE70"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38BD1662" w:rsidR="000A03B2" w:rsidRPr="00B57B36" w:rsidRDefault="00A76EFC" w:rsidP="00B57E6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825DD9">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20</w:t>
            </w:r>
            <w:r w:rsidR="00DF5072">
              <w:rPr>
                <w:rFonts w:cs="Arial"/>
                <w:b/>
                <w:bCs/>
                <w:i/>
                <w:iCs/>
                <w:color w:val="000066"/>
                <w:sz w:val="22"/>
                <w:szCs w:val="22"/>
                <w:lang w:eastAsia="it-IT"/>
              </w:rPr>
              <w:t>2</w:t>
            </w:r>
            <w:r w:rsidR="00825DD9">
              <w:rPr>
                <w:rFonts w:cs="Arial"/>
                <w:b/>
                <w:bCs/>
                <w:i/>
                <w:iCs/>
                <w:color w:val="000066"/>
                <w:sz w:val="22"/>
                <w:szCs w:val="22"/>
                <w:lang w:eastAsia="it-IT"/>
              </w:rPr>
              <w:t>4</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4B0BB442" w14:textId="4EADF2C2" w:rsidR="00300E56" w:rsidRPr="00825DD9" w:rsidRDefault="00300E56" w:rsidP="00B57E6F">
            <w:pPr>
              <w:ind w:left="-107"/>
              <w:outlineLvl w:val="2"/>
              <w:rPr>
                <w:rFonts w:ascii="Tahoma" w:hAnsi="Tahoma" w:cs="Tahoma"/>
                <w:bCs/>
                <w:color w:val="000000"/>
                <w:sz w:val="14"/>
                <w:szCs w:val="14"/>
                <w:lang w:val="it-IT" w:eastAsia="it-IT"/>
              </w:rPr>
            </w:pPr>
            <w:r w:rsidRPr="00825DD9">
              <w:rPr>
                <w:rFonts w:ascii="Tahoma" w:hAnsi="Tahoma" w:cs="Tahoma"/>
                <w:iCs/>
                <w:color w:val="333333"/>
                <w:sz w:val="14"/>
                <w:szCs w:val="14"/>
                <w:lang w:val="it-IT" w:eastAsia="it-IT"/>
              </w:rPr>
              <w:t>Guest Editors:</w:t>
            </w:r>
            <w:r w:rsidR="00904C62" w:rsidRPr="00825DD9">
              <w:rPr>
                <w:rFonts w:ascii="Tahoma" w:hAnsi="Tahoma" w:cs="Tahoma"/>
                <w:iCs/>
                <w:color w:val="333333"/>
                <w:sz w:val="14"/>
                <w:szCs w:val="14"/>
                <w:lang w:val="it-IT" w:eastAsia="it-IT"/>
              </w:rPr>
              <w:t xml:space="preserve"> </w:t>
            </w:r>
            <w:r w:rsidR="00B57E6F" w:rsidRPr="00825DD9">
              <w:rPr>
                <w:rFonts w:ascii="Tahoma" w:hAnsi="Tahoma" w:cs="Tahoma"/>
                <w:color w:val="000000"/>
                <w:sz w:val="14"/>
                <w:szCs w:val="14"/>
                <w:shd w:val="clear" w:color="auto" w:fill="FFFFFF"/>
                <w:lang w:val="it-IT"/>
              </w:rPr>
              <w:t xml:space="preserve">Valerio Cozzani, </w:t>
            </w:r>
            <w:r w:rsidR="001331DF" w:rsidRPr="00825DD9">
              <w:rPr>
                <w:rFonts w:ascii="Tahoma" w:hAnsi="Tahoma" w:cs="Tahoma"/>
                <w:color w:val="000000"/>
                <w:sz w:val="14"/>
                <w:szCs w:val="14"/>
                <w:shd w:val="clear" w:color="auto" w:fill="FFFFFF"/>
                <w:lang w:val="it-IT"/>
              </w:rPr>
              <w:t>Bruno Fabiano</w:t>
            </w:r>
            <w:r w:rsidR="00B57E6F" w:rsidRPr="00825DD9">
              <w:rPr>
                <w:rFonts w:ascii="Tahoma" w:hAnsi="Tahoma" w:cs="Tahoma"/>
                <w:color w:val="000000"/>
                <w:sz w:val="14"/>
                <w:szCs w:val="14"/>
                <w:shd w:val="clear" w:color="auto" w:fill="FFFFFF"/>
                <w:lang w:val="it-IT"/>
              </w:rPr>
              <w:t xml:space="preserve">, </w:t>
            </w:r>
            <w:proofErr w:type="spellStart"/>
            <w:r w:rsidR="00B57E6F" w:rsidRPr="00825DD9">
              <w:rPr>
                <w:rFonts w:ascii="Tahoma" w:hAnsi="Tahoma" w:cs="Tahoma"/>
                <w:bCs/>
                <w:color w:val="000000"/>
                <w:sz w:val="14"/>
                <w:szCs w:val="14"/>
                <w:lang w:val="it-IT" w:eastAsia="it-IT"/>
              </w:rPr>
              <w:t>Genserik</w:t>
            </w:r>
            <w:proofErr w:type="spellEnd"/>
            <w:r w:rsidR="00B57E6F" w:rsidRPr="00825DD9">
              <w:rPr>
                <w:rFonts w:ascii="Tahoma" w:hAnsi="Tahoma" w:cs="Tahoma"/>
                <w:bCs/>
                <w:color w:val="000000"/>
                <w:sz w:val="14"/>
                <w:szCs w:val="14"/>
                <w:lang w:val="it-IT" w:eastAsia="it-IT"/>
              </w:rPr>
              <w:t xml:space="preserve"> </w:t>
            </w:r>
            <w:proofErr w:type="spellStart"/>
            <w:r w:rsidR="00B57E6F" w:rsidRPr="00825DD9">
              <w:rPr>
                <w:rFonts w:ascii="Tahoma" w:hAnsi="Tahoma" w:cs="Tahoma"/>
                <w:bCs/>
                <w:color w:val="000000"/>
                <w:sz w:val="14"/>
                <w:szCs w:val="14"/>
                <w:lang w:val="it-IT" w:eastAsia="it-IT"/>
              </w:rPr>
              <w:t>Reniers</w:t>
            </w:r>
            <w:proofErr w:type="spellEnd"/>
          </w:p>
          <w:p w14:paraId="1B0F1814" w14:textId="7E8B8C7E" w:rsidR="000A03B2" w:rsidRPr="00B57B36" w:rsidRDefault="00FA5F5F" w:rsidP="00B57E6F">
            <w:pPr>
              <w:tabs>
                <w:tab w:val="left" w:pos="-108"/>
              </w:tabs>
              <w:spacing w:line="140" w:lineRule="atLeast"/>
              <w:ind w:left="-107"/>
              <w:jc w:val="left"/>
            </w:pPr>
            <w:r>
              <w:rPr>
                <w:rFonts w:ascii="Tahoma" w:hAnsi="Tahoma" w:cs="Tahoma"/>
                <w:iCs/>
                <w:color w:val="333333"/>
                <w:sz w:val="14"/>
                <w:szCs w:val="14"/>
                <w:lang w:eastAsia="it-IT"/>
              </w:rPr>
              <w:t>Copyright © 20</w:t>
            </w:r>
            <w:r w:rsidR="00DF5072">
              <w:rPr>
                <w:rFonts w:ascii="Tahoma" w:hAnsi="Tahoma" w:cs="Tahoma"/>
                <w:iCs/>
                <w:color w:val="333333"/>
                <w:sz w:val="14"/>
                <w:szCs w:val="14"/>
                <w:lang w:eastAsia="it-IT"/>
              </w:rPr>
              <w:t>2</w:t>
            </w:r>
            <w:r w:rsidR="00825DD9">
              <w:rPr>
                <w:rFonts w:ascii="Tahoma" w:hAnsi="Tahoma" w:cs="Tahoma"/>
                <w:iCs/>
                <w:color w:val="333333"/>
                <w:sz w:val="14"/>
                <w:szCs w:val="14"/>
                <w:lang w:eastAsia="it-IT"/>
              </w:rPr>
              <w:t>4</w:t>
            </w:r>
            <w:r w:rsidR="00904C62" w:rsidRPr="00B57B36">
              <w:rPr>
                <w:rFonts w:ascii="Tahoma" w:hAnsi="Tahoma" w:cs="Tahoma"/>
                <w:iCs/>
                <w:color w:val="333333"/>
                <w:sz w:val="14"/>
                <w:szCs w:val="14"/>
                <w:lang w:eastAsia="it-IT"/>
              </w:rPr>
              <w:t xml:space="preserve">, AIDIC </w:t>
            </w:r>
            <w:proofErr w:type="spellStart"/>
            <w:r w:rsidR="00904C62" w:rsidRPr="00B57B36">
              <w:rPr>
                <w:rFonts w:ascii="Tahoma" w:hAnsi="Tahoma" w:cs="Tahoma"/>
                <w:iCs/>
                <w:color w:val="333333"/>
                <w:sz w:val="14"/>
                <w:szCs w:val="14"/>
                <w:lang w:eastAsia="it-IT"/>
              </w:rPr>
              <w:t>Servizi</w:t>
            </w:r>
            <w:proofErr w:type="spellEnd"/>
            <w:r w:rsidR="00904C62" w:rsidRPr="00B57B36">
              <w:rPr>
                <w:rFonts w:ascii="Tahoma" w:hAnsi="Tahoma" w:cs="Tahoma"/>
                <w:iCs/>
                <w:color w:val="333333"/>
                <w:sz w:val="14"/>
                <w:szCs w:val="14"/>
                <w:lang w:eastAsia="it-IT"/>
              </w:rPr>
              <w:t xml:space="preserve"> </w:t>
            </w:r>
            <w:proofErr w:type="spellStart"/>
            <w:r w:rsidR="00904C62" w:rsidRPr="00B57B36">
              <w:rPr>
                <w:rFonts w:ascii="Tahoma" w:hAnsi="Tahoma" w:cs="Tahoma"/>
                <w:iCs/>
                <w:color w:val="333333"/>
                <w:sz w:val="14"/>
                <w:szCs w:val="14"/>
                <w:lang w:eastAsia="it-IT"/>
              </w:rPr>
              <w:t>S.r.l</w:t>
            </w:r>
            <w:proofErr w:type="spellEnd"/>
            <w:r w:rsidR="00904C62" w:rsidRPr="00B57B36">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br/>
            </w:r>
            <w:r w:rsidR="00300E56" w:rsidRPr="00B57B36">
              <w:rPr>
                <w:rFonts w:ascii="Tahoma" w:hAnsi="Tahoma" w:cs="Tahoma"/>
                <w:b/>
                <w:iCs/>
                <w:color w:val="000000"/>
                <w:sz w:val="14"/>
                <w:szCs w:val="14"/>
                <w:lang w:eastAsia="it-IT"/>
              </w:rPr>
              <w:t>ISBN</w:t>
            </w:r>
            <w:r w:rsidR="00300E56" w:rsidRPr="00B57B36">
              <w:rPr>
                <w:rFonts w:ascii="Tahoma" w:hAnsi="Tahoma" w:cs="Tahoma"/>
                <w:iCs/>
                <w:color w:val="000000"/>
                <w:sz w:val="14"/>
                <w:szCs w:val="14"/>
                <w:lang w:eastAsia="it-IT"/>
              </w:rPr>
              <w:t xml:space="preserve"> </w:t>
            </w:r>
            <w:r w:rsidR="00825DD9" w:rsidRPr="00825DD9">
              <w:rPr>
                <w:rFonts w:ascii="Tahoma" w:hAnsi="Tahoma" w:cs="Tahoma"/>
                <w:sz w:val="14"/>
                <w:szCs w:val="14"/>
                <w:lang w:eastAsia="it-IT"/>
              </w:rPr>
              <w:t>979-12-81206-11-3</w:t>
            </w:r>
            <w:r w:rsidR="007B48F9" w:rsidRPr="00EF06D9">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t xml:space="preserve"> </w:t>
            </w:r>
            <w:r w:rsidR="00300E56" w:rsidRPr="00B57B36">
              <w:rPr>
                <w:rFonts w:ascii="Tahoma" w:hAnsi="Tahoma" w:cs="Tahoma"/>
                <w:b/>
                <w:iCs/>
                <w:color w:val="333333"/>
                <w:sz w:val="14"/>
                <w:szCs w:val="14"/>
                <w:lang w:eastAsia="it-IT"/>
              </w:rPr>
              <w:t>ISSN</w:t>
            </w:r>
            <w:r w:rsidR="00300E56" w:rsidRPr="00B57B36">
              <w:rPr>
                <w:rFonts w:ascii="Tahoma" w:hAnsi="Tahoma" w:cs="Tahoma"/>
                <w:iCs/>
                <w:color w:val="333333"/>
                <w:sz w:val="14"/>
                <w:szCs w:val="14"/>
                <w:lang w:eastAsia="it-IT"/>
              </w:rPr>
              <w:t xml:space="preserve"> 2283-9216</w:t>
            </w:r>
          </w:p>
        </w:tc>
      </w:tr>
    </w:tbl>
    <w:p w14:paraId="2E667253" w14:textId="67497DAE" w:rsidR="00E978D0" w:rsidRPr="00202FF9" w:rsidRDefault="00164479" w:rsidP="00DD177B">
      <w:pPr>
        <w:pStyle w:val="CETTitle"/>
        <w:rPr>
          <w:sz w:val="28"/>
          <w:szCs w:val="28"/>
        </w:rPr>
      </w:pPr>
      <w:r w:rsidRPr="00202FF9">
        <w:rPr>
          <w:sz w:val="28"/>
          <w:szCs w:val="28"/>
        </w:rPr>
        <w:t xml:space="preserve">Risk </w:t>
      </w:r>
      <w:r w:rsidR="00F6482B">
        <w:rPr>
          <w:sz w:val="28"/>
          <w:szCs w:val="28"/>
        </w:rPr>
        <w:t>A</w:t>
      </w:r>
      <w:r w:rsidRPr="00202FF9">
        <w:rPr>
          <w:sz w:val="28"/>
          <w:szCs w:val="28"/>
        </w:rPr>
        <w:t xml:space="preserve">ssessment of </w:t>
      </w:r>
      <w:r w:rsidR="00F6482B">
        <w:rPr>
          <w:sz w:val="28"/>
          <w:szCs w:val="28"/>
        </w:rPr>
        <w:t>O</w:t>
      </w:r>
      <w:r w:rsidRPr="00202FF9">
        <w:rPr>
          <w:sz w:val="28"/>
          <w:szCs w:val="28"/>
        </w:rPr>
        <w:t xml:space="preserve">il </w:t>
      </w:r>
      <w:r w:rsidR="00F6482B">
        <w:rPr>
          <w:sz w:val="28"/>
          <w:szCs w:val="28"/>
        </w:rPr>
        <w:t>S</w:t>
      </w:r>
      <w:r w:rsidRPr="00202FF9">
        <w:rPr>
          <w:sz w:val="28"/>
          <w:szCs w:val="28"/>
        </w:rPr>
        <w:t xml:space="preserve">torage </w:t>
      </w:r>
      <w:r w:rsidR="00F6482B">
        <w:rPr>
          <w:sz w:val="28"/>
          <w:szCs w:val="28"/>
        </w:rPr>
        <w:t>F</w:t>
      </w:r>
      <w:r w:rsidRPr="00202FF9">
        <w:rPr>
          <w:sz w:val="28"/>
          <w:szCs w:val="28"/>
        </w:rPr>
        <w:t xml:space="preserve">acilities </w:t>
      </w:r>
      <w:r w:rsidR="00F6482B">
        <w:rPr>
          <w:sz w:val="28"/>
          <w:szCs w:val="28"/>
        </w:rPr>
        <w:t>E</w:t>
      </w:r>
      <w:r w:rsidRPr="00202FF9">
        <w:rPr>
          <w:sz w:val="28"/>
          <w:szCs w:val="28"/>
        </w:rPr>
        <w:t xml:space="preserve">xposed to </w:t>
      </w:r>
      <w:r w:rsidR="00F6482B">
        <w:rPr>
          <w:sz w:val="28"/>
          <w:szCs w:val="28"/>
        </w:rPr>
        <w:t>T</w:t>
      </w:r>
      <w:r w:rsidRPr="00202FF9">
        <w:rPr>
          <w:sz w:val="28"/>
          <w:szCs w:val="28"/>
        </w:rPr>
        <w:t xml:space="preserve">sunami </w:t>
      </w:r>
      <w:r w:rsidR="00F6482B">
        <w:rPr>
          <w:sz w:val="28"/>
          <w:szCs w:val="28"/>
        </w:rPr>
        <w:t>H</w:t>
      </w:r>
      <w:r w:rsidR="00202FF9" w:rsidRPr="00202FF9">
        <w:rPr>
          <w:sz w:val="28"/>
          <w:szCs w:val="28"/>
        </w:rPr>
        <w:t>azard</w:t>
      </w:r>
    </w:p>
    <w:p w14:paraId="0488FED2" w14:textId="77F388A5" w:rsidR="00B57E6F" w:rsidRPr="004C36E1" w:rsidRDefault="00164479" w:rsidP="00B57E6F">
      <w:pPr>
        <w:pStyle w:val="CETAuthors"/>
        <w:rPr>
          <w:lang w:val="it-IT"/>
        </w:rPr>
      </w:pPr>
      <w:r w:rsidRPr="004C36E1">
        <w:rPr>
          <w:lang w:val="it-IT"/>
        </w:rPr>
        <w:t>Antonio Vitale</w:t>
      </w:r>
      <w:r w:rsidR="00B57E6F" w:rsidRPr="004C36E1">
        <w:rPr>
          <w:vertAlign w:val="superscript"/>
          <w:lang w:val="it-IT"/>
        </w:rPr>
        <w:t>a</w:t>
      </w:r>
      <w:r w:rsidR="00270C86" w:rsidRPr="004C36E1">
        <w:rPr>
          <w:vertAlign w:val="superscript"/>
          <w:lang w:val="it-IT"/>
        </w:rPr>
        <w:t>,</w:t>
      </w:r>
      <w:r w:rsidR="00270C86" w:rsidRPr="004C36E1">
        <w:rPr>
          <w:noProof w:val="0"/>
          <w:szCs w:val="24"/>
          <w:lang w:val="it-IT"/>
        </w:rPr>
        <w:t>*</w:t>
      </w:r>
      <w:r w:rsidR="00B57E6F" w:rsidRPr="004C36E1">
        <w:rPr>
          <w:lang w:val="it-IT"/>
        </w:rPr>
        <w:t>,</w:t>
      </w:r>
      <w:r w:rsidRPr="004C36E1">
        <w:rPr>
          <w:lang w:val="it-IT"/>
        </w:rPr>
        <w:t xml:space="preserve"> </w:t>
      </w:r>
      <w:r w:rsidR="003409A1" w:rsidRPr="004C36E1">
        <w:rPr>
          <w:lang w:val="it-IT"/>
        </w:rPr>
        <w:t>Federica Ricci</w:t>
      </w:r>
      <w:r w:rsidR="003409A1" w:rsidRPr="004C36E1">
        <w:rPr>
          <w:vertAlign w:val="superscript"/>
          <w:lang w:val="it-IT"/>
        </w:rPr>
        <w:t>b</w:t>
      </w:r>
      <w:r w:rsidR="003409A1" w:rsidRPr="004C36E1">
        <w:rPr>
          <w:lang w:val="it-IT"/>
        </w:rPr>
        <w:t xml:space="preserve">, </w:t>
      </w:r>
      <w:r w:rsidRPr="004C36E1">
        <w:rPr>
          <w:lang w:val="it-IT"/>
        </w:rPr>
        <w:t>Georgios Baltzopoulos</w:t>
      </w:r>
      <w:r w:rsidRPr="004C36E1">
        <w:rPr>
          <w:vertAlign w:val="superscript"/>
          <w:lang w:val="it-IT"/>
        </w:rPr>
        <w:t>a</w:t>
      </w:r>
      <w:r w:rsidRPr="004C36E1">
        <w:rPr>
          <w:lang w:val="it-IT"/>
        </w:rPr>
        <w:t>, Valerio Cozzani</w:t>
      </w:r>
      <w:r w:rsidRPr="004C36E1">
        <w:rPr>
          <w:vertAlign w:val="superscript"/>
          <w:lang w:val="it-IT"/>
        </w:rPr>
        <w:t>b</w:t>
      </w:r>
      <w:r w:rsidRPr="004C36E1">
        <w:rPr>
          <w:lang w:val="it-IT"/>
        </w:rPr>
        <w:t>, Iunio Iervolino</w:t>
      </w:r>
      <w:r w:rsidRPr="004C36E1">
        <w:rPr>
          <w:vertAlign w:val="superscript"/>
          <w:lang w:val="it-IT"/>
        </w:rPr>
        <w:t>a</w:t>
      </w:r>
      <w:r w:rsidR="00F66837">
        <w:rPr>
          <w:vertAlign w:val="superscript"/>
          <w:lang w:val="it-IT"/>
        </w:rPr>
        <w:t>,c</w:t>
      </w:r>
    </w:p>
    <w:p w14:paraId="6B2D21B3" w14:textId="61901F32" w:rsidR="00B57E6F" w:rsidRPr="008046B6" w:rsidRDefault="00B57E6F" w:rsidP="00B57E6F">
      <w:pPr>
        <w:pStyle w:val="CETAddress"/>
        <w:rPr>
          <w:lang w:val="it-IT"/>
        </w:rPr>
      </w:pPr>
      <w:r w:rsidRPr="008046B6">
        <w:rPr>
          <w:vertAlign w:val="superscript"/>
          <w:lang w:val="it-IT"/>
        </w:rPr>
        <w:t>a</w:t>
      </w:r>
      <w:r w:rsidR="00890C70" w:rsidRPr="008046B6">
        <w:rPr>
          <w:lang w:val="it-IT"/>
        </w:rPr>
        <w:t>Dipartimento di Strutture per l’Ingegneria e l’Architettura</w:t>
      </w:r>
      <w:r w:rsidR="00F74EFE" w:rsidRPr="008046B6">
        <w:rPr>
          <w:lang w:val="it-IT"/>
        </w:rPr>
        <w:t xml:space="preserve">, Università di Napoli </w:t>
      </w:r>
      <w:r w:rsidR="0023070E" w:rsidRPr="008046B6">
        <w:rPr>
          <w:lang w:val="it-IT"/>
        </w:rPr>
        <w:t xml:space="preserve">Federico II, </w:t>
      </w:r>
      <w:r w:rsidR="00EC17AE" w:rsidRPr="008046B6">
        <w:rPr>
          <w:lang w:val="it-IT"/>
        </w:rPr>
        <w:t xml:space="preserve">Via Claudio 21, </w:t>
      </w:r>
      <w:r w:rsidR="00550809" w:rsidRPr="008046B6">
        <w:rPr>
          <w:lang w:val="it-IT"/>
        </w:rPr>
        <w:t>80125</w:t>
      </w:r>
      <w:r w:rsidR="002237AB" w:rsidRPr="008046B6">
        <w:rPr>
          <w:lang w:val="it-IT"/>
        </w:rPr>
        <w:t xml:space="preserve"> Naples</w:t>
      </w:r>
      <w:r w:rsidR="000F65DA" w:rsidRPr="008046B6">
        <w:rPr>
          <w:lang w:val="it-IT"/>
        </w:rPr>
        <w:t>, Italy.</w:t>
      </w:r>
    </w:p>
    <w:p w14:paraId="2C766A12" w14:textId="3034613B" w:rsidR="00682464" w:rsidRDefault="00B57E6F" w:rsidP="00B57E6F">
      <w:pPr>
        <w:pStyle w:val="CETAddress"/>
        <w:rPr>
          <w:lang w:val="en-US"/>
        </w:rPr>
      </w:pPr>
      <w:r w:rsidRPr="00037464">
        <w:rPr>
          <w:vertAlign w:val="superscript"/>
          <w:lang w:val="en-US"/>
        </w:rPr>
        <w:t>b</w:t>
      </w:r>
      <w:r w:rsidR="00037464" w:rsidRPr="00037464">
        <w:rPr>
          <w:lang w:val="en-US"/>
        </w:rPr>
        <w:t>LISES – Laboratory of Industrial Safety and Environmental Sustainability, Department of Civil, Chemical, Environmental and Material Engineering, University of Bologna, via Terracini 28, 40131, Bologna, Italy</w:t>
      </w:r>
      <w:r w:rsidR="000C1363">
        <w:rPr>
          <w:lang w:val="en-US"/>
        </w:rPr>
        <w:t>.</w:t>
      </w:r>
    </w:p>
    <w:p w14:paraId="7DFD0486" w14:textId="6021E893" w:rsidR="000C1363" w:rsidRPr="008046B6" w:rsidRDefault="00060EBA" w:rsidP="00B57E6F">
      <w:pPr>
        <w:pStyle w:val="CETAddress"/>
        <w:rPr>
          <w:lang w:val="it-IT"/>
        </w:rPr>
      </w:pPr>
      <w:r w:rsidRPr="008046B6">
        <w:rPr>
          <w:vertAlign w:val="superscript"/>
          <w:lang w:val="it-IT"/>
        </w:rPr>
        <w:t>c</w:t>
      </w:r>
      <w:r w:rsidR="00B21A74" w:rsidRPr="008046B6">
        <w:rPr>
          <w:lang w:val="it-IT"/>
        </w:rPr>
        <w:t xml:space="preserve">IUSS </w:t>
      </w:r>
      <w:r w:rsidR="00300965" w:rsidRPr="008046B6">
        <w:rPr>
          <w:lang w:val="it-IT"/>
        </w:rPr>
        <w:t xml:space="preserve">Scuola </w:t>
      </w:r>
      <w:r w:rsidR="00DA4CF3" w:rsidRPr="008046B6">
        <w:rPr>
          <w:lang w:val="it-IT"/>
        </w:rPr>
        <w:t xml:space="preserve">Universitaria Superiore di Pavia, </w:t>
      </w:r>
      <w:r w:rsidR="000C3B7C" w:rsidRPr="008046B6">
        <w:rPr>
          <w:lang w:val="it-IT"/>
        </w:rPr>
        <w:t xml:space="preserve">Piazza della Vittoria 15, </w:t>
      </w:r>
      <w:r w:rsidR="00FC41C2" w:rsidRPr="008046B6">
        <w:rPr>
          <w:lang w:val="it-IT"/>
        </w:rPr>
        <w:t xml:space="preserve">27100 Pavia, </w:t>
      </w:r>
      <w:r w:rsidR="00F66837" w:rsidRPr="008046B6">
        <w:rPr>
          <w:lang w:val="it-IT"/>
        </w:rPr>
        <w:t>Italy.</w:t>
      </w:r>
    </w:p>
    <w:p w14:paraId="73F1267A" w14:textId="1F47466E" w:rsidR="00B57E6F" w:rsidRPr="00B57B36" w:rsidRDefault="00000000" w:rsidP="00B57E6F">
      <w:pPr>
        <w:pStyle w:val="CETemail"/>
      </w:pPr>
      <w:hyperlink r:id="rId10" w:history="1">
        <w:r w:rsidR="00202FF9" w:rsidRPr="00082C11">
          <w:rPr>
            <w:rStyle w:val="Collegamentoipertestuale"/>
          </w:rPr>
          <w:t>antonio.vitale5@unina.it</w:t>
        </w:r>
      </w:hyperlink>
    </w:p>
    <w:p w14:paraId="5A5647A2" w14:textId="700D0063" w:rsidR="00DD177B" w:rsidRDefault="00270C86" w:rsidP="00270C86">
      <w:r>
        <w:t xml:space="preserve">The term NaTech was coined to describe events where natural hazards trigger technological accidents in industrial facilities. Structural damage to the installations, caused by natural events such as earthquakes or tsunami, may </w:t>
      </w:r>
      <w:r w:rsidR="00C53B04">
        <w:t xml:space="preserve">cause </w:t>
      </w:r>
      <w:r>
        <w:t>loss of containment, which may in turn lead to fire</w:t>
      </w:r>
      <w:r w:rsidR="00C53B04">
        <w:t>s</w:t>
      </w:r>
      <w:r>
        <w:t xml:space="preserve">, blasts, or dispersion of toxic </w:t>
      </w:r>
      <w:r w:rsidR="00AB1651">
        <w:t>gases</w:t>
      </w:r>
      <w:r>
        <w:t xml:space="preserve">. Thus, NaTech quantitative risk assessment (QRA) requires a measure of structural risk to provide estimates of future losses and a detailed assessment of the consequences arising from such losses. </w:t>
      </w:r>
      <w:r w:rsidR="00646A48">
        <w:t>T</w:t>
      </w:r>
      <w:r>
        <w:t xml:space="preserve">his paper presents an industrial risk analysis for anchored atmospheric storage tanks subjected to tsunami hazard, by means of a multidisciplinary approach integrating structural analysis and consequence assessment. This is performed for </w:t>
      </w:r>
      <w:r w:rsidRPr="003263AF">
        <w:t xml:space="preserve">a case study </w:t>
      </w:r>
      <w:r w:rsidR="00D12667">
        <w:t>consisting of</w:t>
      </w:r>
      <w:r>
        <w:t xml:space="preserve"> a </w:t>
      </w:r>
      <w:r w:rsidRPr="0086356A">
        <w:rPr>
          <w:lang w:val="en-US"/>
        </w:rPr>
        <w:t>waterfront tank farm</w:t>
      </w:r>
      <w:r w:rsidRPr="003263AF">
        <w:t xml:space="preserve"> </w:t>
      </w:r>
      <w:r>
        <w:rPr>
          <w:lang w:val="en-US"/>
        </w:rPr>
        <w:t>located</w:t>
      </w:r>
      <w:r w:rsidRPr="0086356A">
        <w:rPr>
          <w:lang w:val="en-US"/>
        </w:rPr>
        <w:t xml:space="preserve"> at a coastal Italian</w:t>
      </w:r>
      <w:r>
        <w:rPr>
          <w:lang w:val="en-US"/>
        </w:rPr>
        <w:t xml:space="preserve"> site.</w:t>
      </w:r>
      <w:r>
        <w:t xml:space="preserve"> The first part of </w:t>
      </w:r>
      <w:r w:rsidR="00C6779F">
        <w:t xml:space="preserve">the </w:t>
      </w:r>
      <w:r>
        <w:t>analysis requires calculation of the structural failure rate of storage tanks that suffer content release due to damage induced by tsunami inundation</w:t>
      </w:r>
      <w:r w:rsidR="0033770F">
        <w:t xml:space="preserve">, via models of </w:t>
      </w:r>
      <w:r>
        <w:t xml:space="preserve">probabilistic hazard for the site of interest and the vulnerability </w:t>
      </w:r>
      <w:r w:rsidR="0033770F">
        <w:t xml:space="preserve">(fragility) </w:t>
      </w:r>
      <w:r>
        <w:t>of the examined structures.</w:t>
      </w:r>
      <w:r w:rsidRPr="00354DB2">
        <w:t xml:space="preserve"> </w:t>
      </w:r>
      <w:r>
        <w:t xml:space="preserve">Structural </w:t>
      </w:r>
      <w:r w:rsidRPr="00593EDF">
        <w:t xml:space="preserve">failure </w:t>
      </w:r>
      <w:r>
        <w:t xml:space="preserve">rates are evaluated for various numbers of simultaneous waterfront storage tank failures, using tsunami fragility curves for variable tank geometry and filling level. The </w:t>
      </w:r>
      <w:r w:rsidR="0033770F">
        <w:t>failure rates</w:t>
      </w:r>
      <w:r>
        <w:t xml:space="preserve"> </w:t>
      </w:r>
      <w:r w:rsidR="0039131F">
        <w:t xml:space="preserve">and </w:t>
      </w:r>
      <w:r w:rsidR="00FF63E4">
        <w:t>consequence</w:t>
      </w:r>
      <w:r w:rsidR="00755A53">
        <w:t xml:space="preserve"> analysis </w:t>
      </w:r>
      <w:r w:rsidR="00310009">
        <w:t xml:space="preserve">for </w:t>
      </w:r>
      <w:r w:rsidR="00974B96">
        <w:t xml:space="preserve">the </w:t>
      </w:r>
      <w:r w:rsidR="00D45715">
        <w:t xml:space="preserve">tank farm </w:t>
      </w:r>
      <w:r>
        <w:t>are then used as input parameters for the Na</w:t>
      </w:r>
      <w:r w:rsidR="00F64247">
        <w:t>T</w:t>
      </w:r>
      <w:r>
        <w:t>ech QRA,</w:t>
      </w:r>
      <w:r w:rsidR="00B433C5">
        <w:t xml:space="preserve"> </w:t>
      </w:r>
      <w:r w:rsidR="004974C5">
        <w:t xml:space="preserve">leading to </w:t>
      </w:r>
      <w:r w:rsidR="00F374FF">
        <w:t xml:space="preserve">the calculation </w:t>
      </w:r>
      <w:r w:rsidR="00EC528A">
        <w:t>of risk</w:t>
      </w:r>
      <w:r w:rsidR="00F30760">
        <w:t xml:space="preserve"> figures </w:t>
      </w:r>
      <w:r w:rsidR="00B17D5A">
        <w:t>for tsunami hazard.</w:t>
      </w:r>
      <w:r>
        <w:t xml:space="preserve"> </w:t>
      </w:r>
      <w:bookmarkStart w:id="0" w:name="_Hlk160095173"/>
    </w:p>
    <w:bookmarkEnd w:id="0"/>
    <w:p w14:paraId="476B2F2E" w14:textId="77777777" w:rsidR="00600535" w:rsidRPr="00B57B36" w:rsidRDefault="00600535" w:rsidP="00600535">
      <w:pPr>
        <w:pStyle w:val="CETHeading1"/>
        <w:rPr>
          <w:lang w:val="en-GB"/>
        </w:rPr>
      </w:pPr>
      <w:r w:rsidRPr="00B57B36">
        <w:rPr>
          <w:lang w:val="en-GB"/>
        </w:rPr>
        <w:t>Introduction</w:t>
      </w:r>
    </w:p>
    <w:p w14:paraId="1328F5DE" w14:textId="678B3685" w:rsidR="006C1476" w:rsidRDefault="008563A5" w:rsidP="00600535">
      <w:pPr>
        <w:pStyle w:val="CETBodytext"/>
        <w:rPr>
          <w:lang w:val="en-GB"/>
        </w:rPr>
      </w:pPr>
      <w:r>
        <w:rPr>
          <w:lang w:val="en-GB"/>
        </w:rPr>
        <w:t>Quantitative assessment</w:t>
      </w:r>
      <w:r w:rsidR="00510D84">
        <w:rPr>
          <w:lang w:val="en-GB"/>
        </w:rPr>
        <w:t xml:space="preserve"> of industrial</w:t>
      </w:r>
      <w:r>
        <w:rPr>
          <w:lang w:val="en-GB"/>
        </w:rPr>
        <w:t xml:space="preserve"> </w:t>
      </w:r>
      <w:r w:rsidR="00B26FE5">
        <w:rPr>
          <w:lang w:val="en-GB"/>
        </w:rPr>
        <w:t xml:space="preserve">risk </w:t>
      </w:r>
      <w:r w:rsidR="00852B9D">
        <w:rPr>
          <w:lang w:val="en-GB"/>
        </w:rPr>
        <w:t>due to natural hazards</w:t>
      </w:r>
      <w:r w:rsidR="00C57D52">
        <w:rPr>
          <w:lang w:val="en-GB"/>
        </w:rPr>
        <w:t xml:space="preserve"> </w:t>
      </w:r>
      <w:r w:rsidR="00B26FE5">
        <w:rPr>
          <w:lang w:val="en-GB"/>
        </w:rPr>
        <w:t xml:space="preserve">is </w:t>
      </w:r>
      <w:r w:rsidR="00CA0BDF">
        <w:rPr>
          <w:lang w:val="en-GB"/>
        </w:rPr>
        <w:t>primarily</w:t>
      </w:r>
      <w:r w:rsidR="00561665">
        <w:rPr>
          <w:lang w:val="en-GB"/>
        </w:rPr>
        <w:t xml:space="preserve"> f</w:t>
      </w:r>
      <w:r w:rsidR="00EF498E">
        <w:rPr>
          <w:lang w:val="en-GB"/>
        </w:rPr>
        <w:t xml:space="preserve">ocused </w:t>
      </w:r>
      <w:r w:rsidR="00B26FE5">
        <w:rPr>
          <w:lang w:val="en-GB"/>
        </w:rPr>
        <w:t xml:space="preserve">on </w:t>
      </w:r>
      <w:r w:rsidR="00AF7D7F">
        <w:rPr>
          <w:lang w:val="en-GB"/>
        </w:rPr>
        <w:t>study</w:t>
      </w:r>
      <w:r w:rsidR="00C56340">
        <w:rPr>
          <w:lang w:val="en-GB"/>
        </w:rPr>
        <w:t>ing</w:t>
      </w:r>
      <w:r w:rsidR="00AF7D7F">
        <w:rPr>
          <w:lang w:val="en-GB"/>
        </w:rPr>
        <w:t xml:space="preserve"> the </w:t>
      </w:r>
      <w:r w:rsidR="00B26FE5">
        <w:rPr>
          <w:lang w:val="en-GB"/>
        </w:rPr>
        <w:t xml:space="preserve">consequences </w:t>
      </w:r>
      <w:r w:rsidR="00755033">
        <w:rPr>
          <w:lang w:val="en-GB"/>
        </w:rPr>
        <w:t xml:space="preserve">that </w:t>
      </w:r>
      <w:r w:rsidR="00AF7D7F">
        <w:rPr>
          <w:lang w:val="en-GB"/>
        </w:rPr>
        <w:t>natural event</w:t>
      </w:r>
      <w:r w:rsidR="000E74D1">
        <w:rPr>
          <w:lang w:val="en-GB"/>
        </w:rPr>
        <w:t>s</w:t>
      </w:r>
      <w:r w:rsidR="00840FEA">
        <w:rPr>
          <w:lang w:val="en-GB"/>
        </w:rPr>
        <w:t>, such as</w:t>
      </w:r>
      <w:r w:rsidR="00E54E4A">
        <w:rPr>
          <w:lang w:val="en-GB"/>
        </w:rPr>
        <w:t xml:space="preserve"> </w:t>
      </w:r>
      <w:r w:rsidR="000B7CA1">
        <w:rPr>
          <w:lang w:val="en-GB"/>
        </w:rPr>
        <w:t>earthquake</w:t>
      </w:r>
      <w:r w:rsidR="000E74D1">
        <w:rPr>
          <w:lang w:val="en-GB"/>
        </w:rPr>
        <w:t>s</w:t>
      </w:r>
      <w:r w:rsidR="000B7CA1">
        <w:rPr>
          <w:lang w:val="en-GB"/>
        </w:rPr>
        <w:t>, tsunami</w:t>
      </w:r>
      <w:r w:rsidR="000E74D1">
        <w:rPr>
          <w:lang w:val="en-GB"/>
        </w:rPr>
        <w:t>s</w:t>
      </w:r>
      <w:r w:rsidR="000B7CA1">
        <w:rPr>
          <w:lang w:val="en-GB"/>
        </w:rPr>
        <w:t>, hurricane</w:t>
      </w:r>
      <w:r w:rsidR="000E74D1">
        <w:rPr>
          <w:lang w:val="en-GB"/>
        </w:rPr>
        <w:t>s</w:t>
      </w:r>
      <w:r w:rsidR="00840FEA">
        <w:rPr>
          <w:lang w:val="en-GB"/>
        </w:rPr>
        <w:t xml:space="preserve"> or</w:t>
      </w:r>
      <w:r w:rsidR="000B7CA1">
        <w:rPr>
          <w:lang w:val="en-GB"/>
        </w:rPr>
        <w:t xml:space="preserve"> lightning storm</w:t>
      </w:r>
      <w:r w:rsidR="000E74D1">
        <w:rPr>
          <w:lang w:val="en-GB"/>
        </w:rPr>
        <w:t>s</w:t>
      </w:r>
      <w:r w:rsidR="00840FEA">
        <w:rPr>
          <w:lang w:val="en-GB"/>
        </w:rPr>
        <w:t>,</w:t>
      </w:r>
      <w:r w:rsidR="000B7CA1">
        <w:rPr>
          <w:lang w:val="en-GB"/>
        </w:rPr>
        <w:t xml:space="preserve"> </w:t>
      </w:r>
      <w:r w:rsidR="00AF7D7F">
        <w:rPr>
          <w:lang w:val="en-GB"/>
        </w:rPr>
        <w:t xml:space="preserve">can </w:t>
      </w:r>
      <w:r w:rsidR="000B7CA1">
        <w:rPr>
          <w:lang w:val="en-GB"/>
        </w:rPr>
        <w:t xml:space="preserve">provoke. </w:t>
      </w:r>
      <w:r w:rsidR="004C1011">
        <w:rPr>
          <w:lang w:val="en-GB"/>
        </w:rPr>
        <w:t xml:space="preserve">These </w:t>
      </w:r>
      <w:r w:rsidR="003A64CD">
        <w:rPr>
          <w:lang w:val="en-GB"/>
        </w:rPr>
        <w:t>event</w:t>
      </w:r>
      <w:r w:rsidR="004C1011">
        <w:rPr>
          <w:lang w:val="en-GB"/>
        </w:rPr>
        <w:t>s</w:t>
      </w:r>
      <w:r w:rsidR="000B7CA1">
        <w:rPr>
          <w:lang w:val="en-GB"/>
        </w:rPr>
        <w:t xml:space="preserve"> can induce structural damage to the installation with consequent loss of the containment.</w:t>
      </w:r>
      <w:r w:rsidR="008E7623">
        <w:rPr>
          <w:lang w:val="en-GB"/>
        </w:rPr>
        <w:t xml:space="preserve"> </w:t>
      </w:r>
      <w:r w:rsidR="00837A0D">
        <w:rPr>
          <w:lang w:val="en-GB"/>
        </w:rPr>
        <w:t>Therefore, t</w:t>
      </w:r>
      <w:r w:rsidR="000B7CA1">
        <w:rPr>
          <w:lang w:val="en-GB"/>
        </w:rPr>
        <w:t>echnological accidents triggered by natural events</w:t>
      </w:r>
      <w:r w:rsidR="008E7623">
        <w:rPr>
          <w:lang w:val="en-GB"/>
        </w:rPr>
        <w:t>,</w:t>
      </w:r>
      <w:r w:rsidR="008E7623" w:rsidRPr="008E7623">
        <w:rPr>
          <w:lang w:val="en-GB"/>
        </w:rPr>
        <w:t xml:space="preserve"> </w:t>
      </w:r>
      <w:r w:rsidR="008E7623">
        <w:rPr>
          <w:lang w:val="en-GB"/>
        </w:rPr>
        <w:t xml:space="preserve">also called NaTech events, </w:t>
      </w:r>
      <w:r w:rsidR="005A46CE">
        <w:rPr>
          <w:lang w:val="en-GB"/>
        </w:rPr>
        <w:t xml:space="preserve">may </w:t>
      </w:r>
      <w:r w:rsidR="008E7623">
        <w:rPr>
          <w:lang w:val="en-GB"/>
        </w:rPr>
        <w:t xml:space="preserve">be the cause of </w:t>
      </w:r>
      <w:r w:rsidR="000E21C8">
        <w:rPr>
          <w:lang w:val="en-GB"/>
        </w:rPr>
        <w:t>other</w:t>
      </w:r>
      <w:r w:rsidR="00A92A1C">
        <w:rPr>
          <w:lang w:val="en-GB"/>
        </w:rPr>
        <w:t xml:space="preserve"> </w:t>
      </w:r>
      <w:r w:rsidR="005A46CE">
        <w:rPr>
          <w:lang w:val="en-GB"/>
        </w:rPr>
        <w:t>hazardous events such as flash fire</w:t>
      </w:r>
      <w:r w:rsidR="000E21C8">
        <w:rPr>
          <w:lang w:val="en-GB"/>
        </w:rPr>
        <w:t>s</w:t>
      </w:r>
      <w:r w:rsidR="005A46CE">
        <w:rPr>
          <w:lang w:val="en-GB"/>
        </w:rPr>
        <w:t>, pool fire</w:t>
      </w:r>
      <w:r w:rsidR="000E21C8">
        <w:rPr>
          <w:lang w:val="en-GB"/>
        </w:rPr>
        <w:t>s</w:t>
      </w:r>
      <w:r w:rsidR="008461B8">
        <w:rPr>
          <w:lang w:val="en-GB"/>
        </w:rPr>
        <w:t xml:space="preserve"> and</w:t>
      </w:r>
      <w:r w:rsidR="005A46CE">
        <w:rPr>
          <w:lang w:val="en-GB"/>
        </w:rPr>
        <w:t xml:space="preserve"> vapour cloud explosions involv</w:t>
      </w:r>
      <w:r w:rsidR="008E7623">
        <w:rPr>
          <w:lang w:val="en-GB"/>
        </w:rPr>
        <w:t>ing</w:t>
      </w:r>
      <w:r w:rsidR="005A46CE">
        <w:rPr>
          <w:lang w:val="en-GB"/>
        </w:rPr>
        <w:t xml:space="preserve"> </w:t>
      </w:r>
      <w:r w:rsidR="00A92A1C">
        <w:rPr>
          <w:lang w:val="en-GB"/>
        </w:rPr>
        <w:t xml:space="preserve">several </w:t>
      </w:r>
      <w:r w:rsidR="005A46CE">
        <w:rPr>
          <w:lang w:val="en-GB"/>
        </w:rPr>
        <w:t xml:space="preserve">industrial units in </w:t>
      </w:r>
      <w:r w:rsidR="00D62128">
        <w:rPr>
          <w:lang w:val="en-GB"/>
        </w:rPr>
        <w:t>a</w:t>
      </w:r>
      <w:r w:rsidR="005A46CE">
        <w:rPr>
          <w:lang w:val="en-GB"/>
        </w:rPr>
        <w:t xml:space="preserve"> </w:t>
      </w:r>
      <w:r w:rsidR="0044212F">
        <w:rPr>
          <w:lang w:val="en-GB"/>
        </w:rPr>
        <w:t>domino effect</w:t>
      </w:r>
      <w:r w:rsidR="006C6D39">
        <w:rPr>
          <w:lang w:val="en-GB"/>
        </w:rPr>
        <w:t xml:space="preserve"> (Mesa-Gomez A. et al. 2020; Suarez-Paba M.C. et al. 2019)</w:t>
      </w:r>
      <w:r w:rsidR="0044212F">
        <w:rPr>
          <w:lang w:val="en-GB"/>
        </w:rPr>
        <w:t xml:space="preserve">. </w:t>
      </w:r>
      <w:r w:rsidR="008C177B">
        <w:rPr>
          <w:lang w:val="en-GB"/>
        </w:rPr>
        <w:t>NaTech</w:t>
      </w:r>
      <w:r w:rsidR="00A322C8">
        <w:rPr>
          <w:lang w:val="en-GB"/>
        </w:rPr>
        <w:t xml:space="preserve"> risk assessment follows a structured outline based on the characterization of the natural hazard at the site of interest, the study of the vulnerability of the structures exposed to natural hazard events, the simulation of accidents with escalation scenarios, and the estimation of the consequences </w:t>
      </w:r>
      <w:r w:rsidR="00A322C8" w:rsidRPr="00A84B4E">
        <w:rPr>
          <w:lang w:val="en-GB"/>
        </w:rPr>
        <w:t>(Lees, 2012)</w:t>
      </w:r>
      <w:r w:rsidR="00A322C8">
        <w:rPr>
          <w:lang w:val="en-GB"/>
        </w:rPr>
        <w:t>. Traditionally, the crucial point for a quantitative risk assessment (QRA) is the evaluation of the vulnerability or, more specifically, of the behaviour of different facilities under the natural events</w:t>
      </w:r>
      <w:r w:rsidR="00746541">
        <w:rPr>
          <w:lang w:val="en-GB"/>
        </w:rPr>
        <w:t>.</w:t>
      </w:r>
      <w:r w:rsidR="002068AD">
        <w:rPr>
          <w:lang w:val="en-GB"/>
        </w:rPr>
        <w:t xml:space="preserve"> </w:t>
      </w:r>
      <w:r w:rsidR="006A0665">
        <w:rPr>
          <w:lang w:val="en-GB"/>
        </w:rPr>
        <w:t xml:space="preserve">As an example, </w:t>
      </w:r>
      <w:r w:rsidR="00214215">
        <w:rPr>
          <w:lang w:val="en-GB"/>
        </w:rPr>
        <w:t>f</w:t>
      </w:r>
      <w:r w:rsidR="00E84EFD">
        <w:rPr>
          <w:lang w:val="en-GB"/>
        </w:rPr>
        <w:t>or atmosp</w:t>
      </w:r>
      <w:r w:rsidR="00E44A26">
        <w:rPr>
          <w:lang w:val="en-GB"/>
        </w:rPr>
        <w:t>h</w:t>
      </w:r>
      <w:r w:rsidR="00E84EFD">
        <w:rPr>
          <w:lang w:val="en-GB"/>
        </w:rPr>
        <w:t>e</w:t>
      </w:r>
      <w:r w:rsidR="00E44A26">
        <w:rPr>
          <w:lang w:val="en-GB"/>
        </w:rPr>
        <w:t>ric storage tanks, that are</w:t>
      </w:r>
      <w:r w:rsidR="00F16C6A">
        <w:rPr>
          <w:lang w:val="en-GB"/>
        </w:rPr>
        <w:t xml:space="preserve"> the</w:t>
      </w:r>
      <w:r w:rsidR="00E44A26">
        <w:rPr>
          <w:lang w:val="en-GB"/>
        </w:rPr>
        <w:t xml:space="preserve"> object of this study, </w:t>
      </w:r>
      <w:r w:rsidR="00245BA9">
        <w:rPr>
          <w:lang w:val="en-GB"/>
        </w:rPr>
        <w:t xml:space="preserve">technical </w:t>
      </w:r>
      <w:r w:rsidR="00E44A26">
        <w:rPr>
          <w:lang w:val="en-GB"/>
        </w:rPr>
        <w:t xml:space="preserve">literature </w:t>
      </w:r>
      <w:r w:rsidR="00245BA9">
        <w:rPr>
          <w:lang w:val="en-GB"/>
        </w:rPr>
        <w:t xml:space="preserve">is </w:t>
      </w:r>
      <w:r w:rsidR="00E35868">
        <w:rPr>
          <w:lang w:val="en-GB"/>
        </w:rPr>
        <w:t>available</w:t>
      </w:r>
      <w:r w:rsidR="00746541">
        <w:rPr>
          <w:lang w:val="en-GB"/>
        </w:rPr>
        <w:t xml:space="preserve"> </w:t>
      </w:r>
      <w:r w:rsidR="00E44A26">
        <w:rPr>
          <w:lang w:val="en-GB"/>
        </w:rPr>
        <w:t>for</w:t>
      </w:r>
      <w:r w:rsidR="00E35868">
        <w:rPr>
          <w:lang w:val="en-GB"/>
        </w:rPr>
        <w:t xml:space="preserve"> </w:t>
      </w:r>
      <w:r w:rsidR="009668B1">
        <w:rPr>
          <w:lang w:val="en-GB"/>
        </w:rPr>
        <w:t xml:space="preserve">seismic </w:t>
      </w:r>
      <w:r w:rsidR="00E35868">
        <w:rPr>
          <w:lang w:val="en-GB"/>
        </w:rPr>
        <w:t>action</w:t>
      </w:r>
      <w:r w:rsidR="006A0665">
        <w:rPr>
          <w:lang w:val="en-GB"/>
        </w:rPr>
        <w:t>s</w:t>
      </w:r>
      <w:r w:rsidR="00E53DE6">
        <w:rPr>
          <w:lang w:val="en-GB"/>
        </w:rPr>
        <w:t>,</w:t>
      </w:r>
      <w:r w:rsidR="009668B1">
        <w:rPr>
          <w:lang w:val="en-GB"/>
        </w:rPr>
        <w:t xml:space="preserve"> provid</w:t>
      </w:r>
      <w:r w:rsidR="00E53DE6">
        <w:rPr>
          <w:lang w:val="en-GB"/>
        </w:rPr>
        <w:t>ing</w:t>
      </w:r>
      <w:r w:rsidR="00EA7766">
        <w:rPr>
          <w:lang w:val="en-GB"/>
        </w:rPr>
        <w:t xml:space="preserve"> </w:t>
      </w:r>
      <w:r w:rsidR="00FE2C1C">
        <w:rPr>
          <w:lang w:val="en-GB"/>
        </w:rPr>
        <w:t xml:space="preserve">vulnerability studies based on </w:t>
      </w:r>
      <w:r w:rsidR="00E53DE6">
        <w:rPr>
          <w:lang w:val="en-GB"/>
        </w:rPr>
        <w:t xml:space="preserve">observed </w:t>
      </w:r>
      <w:r w:rsidR="00FE2C1C">
        <w:rPr>
          <w:lang w:val="en-GB"/>
        </w:rPr>
        <w:t xml:space="preserve">damage </w:t>
      </w:r>
      <w:r w:rsidR="00A92B0F">
        <w:rPr>
          <w:lang w:val="en-GB"/>
        </w:rPr>
        <w:t xml:space="preserve">from </w:t>
      </w:r>
      <w:r w:rsidR="00EA7766">
        <w:rPr>
          <w:lang w:val="en-GB"/>
        </w:rPr>
        <w:t>past events</w:t>
      </w:r>
      <w:r w:rsidR="00214215">
        <w:rPr>
          <w:lang w:val="en-GB"/>
        </w:rPr>
        <w:t xml:space="preserve">, </w:t>
      </w:r>
      <w:r w:rsidR="00F913DA">
        <w:rPr>
          <w:lang w:val="en-GB"/>
        </w:rPr>
        <w:t>as</w:t>
      </w:r>
      <w:r w:rsidR="00214215">
        <w:rPr>
          <w:lang w:val="en-GB"/>
        </w:rPr>
        <w:t xml:space="preserve"> in</w:t>
      </w:r>
      <w:r w:rsidR="00860569">
        <w:rPr>
          <w:lang w:val="en-GB"/>
        </w:rPr>
        <w:t xml:space="preserve"> Salzano et al. (2003)</w:t>
      </w:r>
      <w:r w:rsidR="00214215">
        <w:rPr>
          <w:lang w:val="en-GB"/>
        </w:rPr>
        <w:t>.</w:t>
      </w:r>
      <w:r w:rsidR="004A031A">
        <w:rPr>
          <w:lang w:val="en-GB"/>
        </w:rPr>
        <w:t xml:space="preserve"> </w:t>
      </w:r>
      <w:r w:rsidR="00214215">
        <w:rPr>
          <w:lang w:val="en-GB"/>
        </w:rPr>
        <w:t>On the other hand,</w:t>
      </w:r>
      <w:r w:rsidR="00D9056B">
        <w:rPr>
          <w:lang w:val="en-GB"/>
        </w:rPr>
        <w:t xml:space="preserve"> </w:t>
      </w:r>
      <w:r w:rsidR="00B65958">
        <w:rPr>
          <w:lang w:val="en-GB"/>
        </w:rPr>
        <w:t>other</w:t>
      </w:r>
      <w:r w:rsidR="00214215">
        <w:rPr>
          <w:lang w:val="en-GB"/>
        </w:rPr>
        <w:t xml:space="preserve"> vulnerability models</w:t>
      </w:r>
      <w:r w:rsidR="00A92B0F">
        <w:rPr>
          <w:lang w:val="en-GB"/>
        </w:rPr>
        <w:t xml:space="preserve"> </w:t>
      </w:r>
      <w:r w:rsidR="00D9056B">
        <w:rPr>
          <w:lang w:val="en-GB"/>
        </w:rPr>
        <w:t xml:space="preserve">are </w:t>
      </w:r>
      <w:r w:rsidR="00B806AF">
        <w:rPr>
          <w:lang w:val="en-GB"/>
        </w:rPr>
        <w:t xml:space="preserve">based on </w:t>
      </w:r>
      <w:r w:rsidR="005E19AA">
        <w:rPr>
          <w:lang w:val="en-GB"/>
        </w:rPr>
        <w:t>structural analysis</w:t>
      </w:r>
      <w:r w:rsidR="00B65958">
        <w:rPr>
          <w:lang w:val="en-GB"/>
        </w:rPr>
        <w:t xml:space="preserve"> </w:t>
      </w:r>
      <w:r w:rsidR="005E19AA">
        <w:rPr>
          <w:lang w:val="en-GB"/>
        </w:rPr>
        <w:t xml:space="preserve">on finite element models as </w:t>
      </w:r>
      <w:r w:rsidR="005D15F5" w:rsidRPr="00BC7A9A">
        <w:rPr>
          <w:lang w:val="en-GB"/>
        </w:rPr>
        <w:t>Bakalis</w:t>
      </w:r>
      <w:r w:rsidR="00BC7A9A">
        <w:rPr>
          <w:lang w:val="en-GB"/>
        </w:rPr>
        <w:t xml:space="preserve"> et al. (2017)</w:t>
      </w:r>
      <w:r w:rsidR="00A13F56">
        <w:rPr>
          <w:lang w:val="en-GB"/>
        </w:rPr>
        <w:t xml:space="preserve">. </w:t>
      </w:r>
      <w:r w:rsidR="00F07805">
        <w:rPr>
          <w:lang w:val="en-GB"/>
        </w:rPr>
        <w:t>Furthermore</w:t>
      </w:r>
      <w:r w:rsidR="00875E0A">
        <w:rPr>
          <w:lang w:val="en-GB"/>
        </w:rPr>
        <w:t xml:space="preserve">, </w:t>
      </w:r>
      <w:r w:rsidR="00F12F9A">
        <w:rPr>
          <w:lang w:val="en-GB"/>
        </w:rPr>
        <w:t>for</w:t>
      </w:r>
      <w:r w:rsidR="00875E0A">
        <w:rPr>
          <w:lang w:val="en-GB"/>
        </w:rPr>
        <w:t xml:space="preserve"> the tsunami action</w:t>
      </w:r>
      <w:r w:rsidR="00040CA0">
        <w:rPr>
          <w:lang w:val="en-GB"/>
        </w:rPr>
        <w:t>,</w:t>
      </w:r>
      <w:r w:rsidR="00875E0A">
        <w:rPr>
          <w:lang w:val="en-GB"/>
        </w:rPr>
        <w:t xml:space="preserve"> </w:t>
      </w:r>
      <w:r w:rsidR="00DC1909">
        <w:rPr>
          <w:lang w:val="en-GB"/>
        </w:rPr>
        <w:t xml:space="preserve">simplified approaches are developed </w:t>
      </w:r>
      <w:r w:rsidR="00147E32">
        <w:rPr>
          <w:lang w:val="en-GB"/>
        </w:rPr>
        <w:t xml:space="preserve">by </w:t>
      </w:r>
      <w:r w:rsidR="00BC7A9A">
        <w:rPr>
          <w:lang w:val="en-GB"/>
        </w:rPr>
        <w:t>Landucci et al. (2012)</w:t>
      </w:r>
      <w:r w:rsidR="00702A47">
        <w:rPr>
          <w:lang w:val="en-GB"/>
        </w:rPr>
        <w:t xml:space="preserve">. </w:t>
      </w:r>
    </w:p>
    <w:p w14:paraId="56DADA4D" w14:textId="5BBB9284" w:rsidR="008E7623" w:rsidRDefault="00CB0BD1" w:rsidP="00600535">
      <w:pPr>
        <w:pStyle w:val="CETBodytext"/>
        <w:rPr>
          <w:lang w:val="en-GB"/>
        </w:rPr>
      </w:pPr>
      <w:r>
        <w:rPr>
          <w:lang w:val="en-GB"/>
        </w:rPr>
        <w:t xml:space="preserve">In </w:t>
      </w:r>
      <w:r w:rsidR="001D3612">
        <w:rPr>
          <w:lang w:val="en-GB"/>
        </w:rPr>
        <w:t>the study presented herein</w:t>
      </w:r>
      <w:r>
        <w:rPr>
          <w:lang w:val="en-GB"/>
        </w:rPr>
        <w:t>,</w:t>
      </w:r>
      <w:r w:rsidR="0031071C">
        <w:rPr>
          <w:lang w:val="en-GB"/>
        </w:rPr>
        <w:t xml:space="preserve"> </w:t>
      </w:r>
      <w:r>
        <w:rPr>
          <w:lang w:val="en-GB"/>
        </w:rPr>
        <w:t xml:space="preserve">a NaTech QRA is </w:t>
      </w:r>
      <w:r w:rsidR="005E55D1">
        <w:rPr>
          <w:lang w:val="en-GB"/>
        </w:rPr>
        <w:t>discussed</w:t>
      </w:r>
      <w:r w:rsidR="001D3612">
        <w:rPr>
          <w:lang w:val="en-GB"/>
        </w:rPr>
        <w:t>,</w:t>
      </w:r>
      <w:r>
        <w:rPr>
          <w:lang w:val="en-GB"/>
        </w:rPr>
        <w:t xml:space="preserve"> </w:t>
      </w:r>
      <w:r w:rsidR="001D3612">
        <w:rPr>
          <w:lang w:val="en-GB"/>
        </w:rPr>
        <w:t xml:space="preserve">referring </w:t>
      </w:r>
      <w:r>
        <w:rPr>
          <w:lang w:val="en-GB"/>
        </w:rPr>
        <w:t xml:space="preserve">to a </w:t>
      </w:r>
      <w:r w:rsidR="005E5E06">
        <w:rPr>
          <w:lang w:val="en-GB"/>
        </w:rPr>
        <w:t>case-</w:t>
      </w:r>
      <w:r>
        <w:rPr>
          <w:lang w:val="en-GB"/>
        </w:rPr>
        <w:t xml:space="preserve">study coastal refinery </w:t>
      </w:r>
      <w:r w:rsidR="00D56181">
        <w:t xml:space="preserve">located in a site in southern Italy (Milazzo, Sicily) </w:t>
      </w:r>
      <w:r w:rsidR="005E55D1">
        <w:t xml:space="preserve">featuring </w:t>
      </w:r>
      <w:r>
        <w:rPr>
          <w:lang w:val="en-GB"/>
        </w:rPr>
        <w:t xml:space="preserve">anchored atmospheric storage tanks </w:t>
      </w:r>
      <w:r w:rsidR="00251370">
        <w:rPr>
          <w:lang w:val="en-GB"/>
        </w:rPr>
        <w:t>exposed to</w:t>
      </w:r>
      <w:r w:rsidR="00082EC1">
        <w:rPr>
          <w:lang w:val="en-GB"/>
        </w:rPr>
        <w:t xml:space="preserve"> </w:t>
      </w:r>
      <w:r w:rsidR="008B303B">
        <w:rPr>
          <w:lang w:val="en-GB"/>
        </w:rPr>
        <w:t>tsunami</w:t>
      </w:r>
      <w:r w:rsidR="00251370">
        <w:rPr>
          <w:lang w:val="en-GB"/>
        </w:rPr>
        <w:t xml:space="preserve"> hazard</w:t>
      </w:r>
      <w:r w:rsidR="008B303B">
        <w:rPr>
          <w:lang w:val="en-GB"/>
        </w:rPr>
        <w:t>.</w:t>
      </w:r>
      <w:r w:rsidR="00FE44A9">
        <w:rPr>
          <w:lang w:val="en-GB"/>
        </w:rPr>
        <w:t xml:space="preserve"> </w:t>
      </w:r>
      <w:r w:rsidR="00082EC1">
        <w:rPr>
          <w:lang w:val="en-GB"/>
        </w:rPr>
        <w:t xml:space="preserve">The structural damage and the consequences due to the loss of contents are discussed considering </w:t>
      </w:r>
      <w:r w:rsidR="00FE44A9">
        <w:rPr>
          <w:lang w:val="en-GB"/>
        </w:rPr>
        <w:t xml:space="preserve">the </w:t>
      </w:r>
      <w:r w:rsidR="00082EC1">
        <w:rPr>
          <w:lang w:val="en-GB"/>
        </w:rPr>
        <w:t xml:space="preserve">examined </w:t>
      </w:r>
      <w:r w:rsidR="00FE44A9">
        <w:rPr>
          <w:lang w:val="en-GB"/>
        </w:rPr>
        <w:t xml:space="preserve">storage tanks </w:t>
      </w:r>
      <w:r w:rsidR="0059290E">
        <w:rPr>
          <w:lang w:val="en-GB"/>
        </w:rPr>
        <w:t>for</w:t>
      </w:r>
      <w:r w:rsidR="00FE44A9">
        <w:rPr>
          <w:lang w:val="en-GB"/>
        </w:rPr>
        <w:t xml:space="preserve"> different levels</w:t>
      </w:r>
      <w:r w:rsidR="00B91A87">
        <w:rPr>
          <w:lang w:val="en-GB"/>
        </w:rPr>
        <w:t xml:space="preserve"> of </w:t>
      </w:r>
      <w:r w:rsidR="001D3612">
        <w:rPr>
          <w:lang w:val="en-GB"/>
        </w:rPr>
        <w:t>oil</w:t>
      </w:r>
      <w:r w:rsidR="00B91A87">
        <w:rPr>
          <w:lang w:val="en-GB"/>
        </w:rPr>
        <w:t xml:space="preserve"> filling</w:t>
      </w:r>
      <w:r w:rsidR="00FE44A9">
        <w:rPr>
          <w:lang w:val="en-GB"/>
        </w:rPr>
        <w:t xml:space="preserve">. </w:t>
      </w:r>
    </w:p>
    <w:p w14:paraId="5741900F" w14:textId="011BC411" w:rsidR="00453E24" w:rsidRDefault="00436D5F" w:rsidP="00453E24">
      <w:pPr>
        <w:pStyle w:val="CETHeading1"/>
      </w:pPr>
      <w:r>
        <w:lastRenderedPageBreak/>
        <w:t>Methodology</w:t>
      </w:r>
    </w:p>
    <w:p w14:paraId="344B5368" w14:textId="0AE734E5" w:rsidR="000179C7" w:rsidRDefault="00B91A87" w:rsidP="00B601B9">
      <w:pPr>
        <w:pStyle w:val="CETBodytext"/>
      </w:pPr>
      <w:r>
        <w:t xml:space="preserve">The </w:t>
      </w:r>
      <w:r w:rsidR="00342778">
        <w:t xml:space="preserve">QRA </w:t>
      </w:r>
      <w:r>
        <w:t xml:space="preserve">methodology is split into </w:t>
      </w:r>
      <w:r w:rsidR="00342778">
        <w:t xml:space="preserve">three main steps: </w:t>
      </w:r>
      <w:r w:rsidR="00A44D0B">
        <w:t>assessment</w:t>
      </w:r>
      <w:r>
        <w:t xml:space="preserve"> of </w:t>
      </w:r>
      <w:r w:rsidR="00342778">
        <w:t xml:space="preserve">the hazard </w:t>
      </w:r>
      <w:r>
        <w:t xml:space="preserve">at the </w:t>
      </w:r>
      <w:r w:rsidR="00342778">
        <w:t xml:space="preserve">site of interest, </w:t>
      </w:r>
      <w:r w:rsidR="00A44D0B">
        <w:t>evaluation of</w:t>
      </w:r>
      <w:r w:rsidR="001A5465">
        <w:t xml:space="preserve"> the</w:t>
      </w:r>
      <w:r w:rsidR="00342778">
        <w:t xml:space="preserve"> vulnerability of the </w:t>
      </w:r>
      <w:r w:rsidR="0059305B">
        <w:t xml:space="preserve">considered </w:t>
      </w:r>
      <w:r w:rsidR="00342778">
        <w:t>structures</w:t>
      </w:r>
      <w:r w:rsidR="0059305B">
        <w:t>,</w:t>
      </w:r>
      <w:r w:rsidR="00342778">
        <w:t xml:space="preserve"> and the </w:t>
      </w:r>
      <w:r w:rsidR="0059305B">
        <w:t xml:space="preserve">modelling of </w:t>
      </w:r>
      <w:r w:rsidR="00342778">
        <w:t>consequence</w:t>
      </w:r>
      <w:r w:rsidR="0059305B">
        <w:t>s</w:t>
      </w:r>
      <w:r w:rsidR="00342778">
        <w:t>.</w:t>
      </w:r>
      <w:r w:rsidR="005030B5">
        <w:t xml:space="preserve"> </w:t>
      </w:r>
      <w:r w:rsidR="00F44662">
        <w:t>H</w:t>
      </w:r>
      <w:r w:rsidR="005030B5">
        <w:t xml:space="preserve">azard and the vulnerability </w:t>
      </w:r>
      <w:r w:rsidR="00F44662">
        <w:t>assessment</w:t>
      </w:r>
      <w:r w:rsidR="005030B5">
        <w:t xml:space="preserve"> </w:t>
      </w:r>
      <w:r w:rsidR="00255900">
        <w:t>allow to evaluate the risk</w:t>
      </w:r>
      <w:r w:rsidR="00442BF8">
        <w:t xml:space="preserve"> in terms of</w:t>
      </w:r>
      <w:r w:rsidR="00255900">
        <w:t xml:space="preserve"> structural failure</w:t>
      </w:r>
      <w:r w:rsidR="00442BF8">
        <w:t xml:space="preserve"> </w:t>
      </w:r>
      <w:r w:rsidR="00971D18">
        <w:t>frequency</w:t>
      </w:r>
      <w:r w:rsidR="00442BF8">
        <w:t xml:space="preserve"> </w:t>
      </w:r>
      <w:r w:rsidR="0059305B">
        <w:t>(rate)</w:t>
      </w:r>
      <w:r w:rsidR="00442BF8">
        <w:t xml:space="preserve">. The </w:t>
      </w:r>
      <w:r w:rsidR="00971D18">
        <w:t>structural failure rates</w:t>
      </w:r>
      <w:r w:rsidR="00D56181">
        <w:t xml:space="preserve"> are</w:t>
      </w:r>
      <w:r w:rsidR="00442BF8">
        <w:t xml:space="preserve"> then used for </w:t>
      </w:r>
      <w:r w:rsidR="00962CFE">
        <w:t>simulating</w:t>
      </w:r>
      <w:r w:rsidR="00442BF8">
        <w:t xml:space="preserve"> the consequences</w:t>
      </w:r>
      <w:r w:rsidR="005E55D1">
        <w:t xml:space="preserve">, in terms of fatalities, </w:t>
      </w:r>
      <w:r w:rsidR="00442BF8">
        <w:t xml:space="preserve">that </w:t>
      </w:r>
      <w:r w:rsidR="009F297F">
        <w:t>may arise from</w:t>
      </w:r>
      <w:r w:rsidR="00442BF8">
        <w:t xml:space="preserve"> accident</w:t>
      </w:r>
      <w:r w:rsidR="009F297F">
        <w:t>al</w:t>
      </w:r>
      <w:r w:rsidR="00442BF8">
        <w:t xml:space="preserve"> events due to loss of content</w:t>
      </w:r>
      <w:r w:rsidR="00962CFE">
        <w:t>.</w:t>
      </w:r>
    </w:p>
    <w:p w14:paraId="298A10D4" w14:textId="6033BE03" w:rsidR="001F4CF1" w:rsidRDefault="00962CFE" w:rsidP="00503A38">
      <w:pPr>
        <w:pStyle w:val="CETheadingx"/>
      </w:pPr>
      <w:r>
        <w:t>Probabilistic tsunami h</w:t>
      </w:r>
      <w:r w:rsidR="001F4CF1">
        <w:t>azard</w:t>
      </w:r>
      <w:r w:rsidR="00B9588B">
        <w:t xml:space="preserve"> analysis</w:t>
      </w:r>
    </w:p>
    <w:p w14:paraId="59648468" w14:textId="7F25F9E6" w:rsidR="00640FF8" w:rsidRDefault="005A2564" w:rsidP="009077A6">
      <w:pPr>
        <w:pStyle w:val="CETBodytext"/>
      </w:pPr>
      <w:r w:rsidRPr="003C0F52">
        <w:rPr>
          <w:lang w:val="en-GB"/>
        </w:rPr>
        <w:t>Tsunami</w:t>
      </w:r>
      <w:r w:rsidR="004467FC">
        <w:rPr>
          <w:lang w:val="en-GB"/>
        </w:rPr>
        <w:t>s</w:t>
      </w:r>
      <w:r w:rsidRPr="003C0F52">
        <w:rPr>
          <w:lang w:val="en-GB"/>
        </w:rPr>
        <w:t xml:space="preserve"> </w:t>
      </w:r>
      <w:r w:rsidR="004467FC">
        <w:rPr>
          <w:lang w:val="en-GB"/>
        </w:rPr>
        <w:t>are</w:t>
      </w:r>
      <w:r w:rsidRPr="003C0F52">
        <w:rPr>
          <w:lang w:val="en-GB"/>
        </w:rPr>
        <w:t xml:space="preserve"> triggered by other natural event</w:t>
      </w:r>
      <w:r w:rsidR="004467FC">
        <w:rPr>
          <w:lang w:val="en-GB"/>
        </w:rPr>
        <w:t>s</w:t>
      </w:r>
      <w:r>
        <w:rPr>
          <w:lang w:val="en-GB"/>
        </w:rPr>
        <w:t xml:space="preserve">, </w:t>
      </w:r>
      <w:r w:rsidR="001A441C">
        <w:rPr>
          <w:lang w:val="en-GB"/>
        </w:rPr>
        <w:t>such as</w:t>
      </w:r>
      <w:r>
        <w:rPr>
          <w:lang w:val="en-GB"/>
        </w:rPr>
        <w:t xml:space="preserve"> earthquakes,</w:t>
      </w:r>
      <w:r w:rsidRPr="005A2564">
        <w:rPr>
          <w:lang w:val="en-GB"/>
        </w:rPr>
        <w:t xml:space="preserve"> </w:t>
      </w:r>
      <w:r w:rsidRPr="003C0F52">
        <w:rPr>
          <w:lang w:val="en-GB"/>
        </w:rPr>
        <w:t xml:space="preserve">volcanic eruptions, submarine landslides, atmospheric disturbances, or asteroid impacts. </w:t>
      </w:r>
      <w:r w:rsidR="0057026F">
        <w:t>A</w:t>
      </w:r>
      <w:r w:rsidR="00833518">
        <w:t xml:space="preserve"> probabilistic tsunami hazard analysis</w:t>
      </w:r>
      <w:r w:rsidR="00962CFE">
        <w:t xml:space="preserve"> (PTHA) for </w:t>
      </w:r>
      <w:r>
        <w:t>the case study of Milazzo</w:t>
      </w:r>
      <w:r w:rsidR="00962CFE">
        <w:t xml:space="preserve">, </w:t>
      </w:r>
      <w:r w:rsidR="00AA7E57">
        <w:t>was</w:t>
      </w:r>
      <w:r w:rsidR="00795EAF">
        <w:t xml:space="preserve"> developed by </w:t>
      </w:r>
      <w:r w:rsidR="00795EAF" w:rsidRPr="002F76FB">
        <w:t>Volpe</w:t>
      </w:r>
      <w:r w:rsidR="00CC09A3" w:rsidRPr="002F76FB">
        <w:t xml:space="preserve"> et al</w:t>
      </w:r>
      <w:r w:rsidR="002F76FB">
        <w:t xml:space="preserve">. </w:t>
      </w:r>
      <w:r w:rsidR="001235EF">
        <w:t>(</w:t>
      </w:r>
      <w:r w:rsidR="00795EAF" w:rsidRPr="002F76FB">
        <w:t>2019)</w:t>
      </w:r>
      <w:r w:rsidR="00990A1B">
        <w:t>,</w:t>
      </w:r>
      <w:r w:rsidR="00795EAF">
        <w:t xml:space="preserve"> </w:t>
      </w:r>
      <w:r w:rsidR="001A441C">
        <w:t>considering</w:t>
      </w:r>
      <w:r>
        <w:t xml:space="preserve"> tsunamis </w:t>
      </w:r>
      <w:r w:rsidR="005E55D1">
        <w:t xml:space="preserve">generated </w:t>
      </w:r>
      <w:r>
        <w:t>by earthquakes</w:t>
      </w:r>
      <w:r w:rsidR="00962CFE">
        <w:t>.</w:t>
      </w:r>
      <w:r w:rsidR="00DA5A3E">
        <w:t xml:space="preserve"> PTHA </w:t>
      </w:r>
      <w:r w:rsidR="001A441C">
        <w:t>was performed</w:t>
      </w:r>
      <w:r w:rsidR="00DA5A3E">
        <w:t xml:space="preserve"> via numerical simulations of inundation scenarios for a grid covering an area </w:t>
      </w:r>
      <w:r w:rsidR="00B23C58">
        <w:t xml:space="preserve">including </w:t>
      </w:r>
      <w:r w:rsidR="00DA5A3E">
        <w:t>the refinery</w:t>
      </w:r>
      <w:r w:rsidR="006F3A1D">
        <w:t>.</w:t>
      </w:r>
      <w:r w:rsidR="00F87661">
        <w:t xml:space="preserve"> </w:t>
      </w:r>
      <w:r w:rsidR="00DF1034">
        <w:fldChar w:fldCharType="begin"/>
      </w:r>
      <w:r w:rsidR="00DF1034">
        <w:instrText xml:space="preserve"> REF _Ref170296733 \h </w:instrText>
      </w:r>
      <w:r w:rsidR="00DF1034">
        <w:fldChar w:fldCharType="separate"/>
      </w:r>
      <w:r w:rsidR="00F1294D">
        <w:t xml:space="preserve">Figure </w:t>
      </w:r>
      <w:r w:rsidR="00F1294D">
        <w:rPr>
          <w:noProof/>
        </w:rPr>
        <w:t>1</w:t>
      </w:r>
      <w:r w:rsidR="00DF1034">
        <w:fldChar w:fldCharType="end"/>
      </w:r>
      <w:r w:rsidR="00D7582C">
        <w:t xml:space="preserve">a </w:t>
      </w:r>
      <w:r w:rsidR="00F87661">
        <w:t xml:space="preserve">shows some </w:t>
      </w:r>
      <w:r w:rsidR="00251278">
        <w:t xml:space="preserve">of the </w:t>
      </w:r>
      <w:r w:rsidR="00F87661">
        <w:t>grid points located ar</w:t>
      </w:r>
      <w:r w:rsidR="00DD49CA">
        <w:t xml:space="preserve">ound the tanks. </w:t>
      </w:r>
      <w:r w:rsidR="00B50D6F" w:rsidRPr="00B50D6F">
        <w:rPr>
          <w:lang w:val="en-GB"/>
        </w:rPr>
        <w:t xml:space="preserve">At each point, a hazard curve is </w:t>
      </w:r>
      <w:r w:rsidR="005E55D1">
        <w:rPr>
          <w:lang w:val="en-GB"/>
        </w:rPr>
        <w:t xml:space="preserve">obtained </w:t>
      </w:r>
      <w:r w:rsidR="00CE63ED">
        <w:rPr>
          <w:lang w:val="en-GB"/>
        </w:rPr>
        <w:t xml:space="preserve">by </w:t>
      </w:r>
      <w:r w:rsidR="00B50D6F" w:rsidRPr="00B50D6F">
        <w:rPr>
          <w:lang w:val="en-GB"/>
        </w:rPr>
        <w:t xml:space="preserve">PTHA. This curve depicts the </w:t>
      </w:r>
      <w:r w:rsidR="00CE63ED">
        <w:rPr>
          <w:lang w:val="en-GB"/>
        </w:rPr>
        <w:t xml:space="preserve">annual </w:t>
      </w:r>
      <w:r w:rsidR="00B50D6F" w:rsidRPr="00B50D6F">
        <w:rPr>
          <w:lang w:val="en-GB"/>
        </w:rPr>
        <w:t xml:space="preserve">rate of </w:t>
      </w:r>
      <w:r w:rsidR="00BF5AB2">
        <w:rPr>
          <w:lang w:val="en-GB"/>
        </w:rPr>
        <w:t>tsunami</w:t>
      </w:r>
      <w:r w:rsidR="00E2212F">
        <w:rPr>
          <w:lang w:val="en-GB"/>
        </w:rPr>
        <w:t>s</w:t>
      </w:r>
      <w:r w:rsidR="00B50D6F" w:rsidRPr="00B50D6F">
        <w:rPr>
          <w:lang w:val="en-GB"/>
        </w:rPr>
        <w:t xml:space="preserve"> exceeding different </w:t>
      </w:r>
      <w:r w:rsidR="000003CB">
        <w:rPr>
          <w:lang w:val="en-GB"/>
        </w:rPr>
        <w:t>threshold</w:t>
      </w:r>
      <w:r w:rsidR="00806310">
        <w:rPr>
          <w:lang w:val="en-GB"/>
        </w:rPr>
        <w:t xml:space="preserve"> value</w:t>
      </w:r>
      <w:r w:rsidR="00E2212F">
        <w:rPr>
          <w:lang w:val="en-GB"/>
        </w:rPr>
        <w:t>s</w:t>
      </w:r>
      <w:r w:rsidR="00B50D6F" w:rsidRPr="00B50D6F">
        <w:rPr>
          <w:lang w:val="en-GB"/>
        </w:rPr>
        <w:t xml:space="preserve"> of inundation intensity </w:t>
      </w:r>
      <m:oMath>
        <m:d>
          <m:dPr>
            <m:ctrlPr>
              <w:rPr>
                <w:rFonts w:ascii="Cambria Math" w:hAnsi="Cambria Math"/>
                <w:i/>
              </w:rPr>
            </m:ctrlPr>
          </m:dPr>
          <m:e>
            <m:sSub>
              <m:sSubPr>
                <m:ctrlPr>
                  <w:rPr>
                    <w:rFonts w:ascii="Cambria Math" w:hAnsi="Cambria Math"/>
                    <w:i/>
                  </w:rPr>
                </m:ctrlPr>
              </m:sSubPr>
              <m:e>
                <m:r>
                  <w:rPr>
                    <w:rFonts w:ascii="Cambria Math" w:hAnsi="Cambria Math"/>
                  </w:rPr>
                  <m:t>λ</m:t>
                </m:r>
              </m:e>
              <m:sub>
                <m:r>
                  <m:rPr>
                    <m:sty m:val="p"/>
                  </m:rPr>
                  <w:rPr>
                    <w:rFonts w:ascii="Cambria Math" w:hAnsi="Cambria Math"/>
                  </w:rPr>
                  <m:t>Φ</m:t>
                </m:r>
              </m:sub>
            </m:sSub>
          </m:e>
        </m:d>
      </m:oMath>
      <w:r w:rsidR="00E128A4">
        <w:rPr>
          <w:rFonts w:ascii="Cambria Math" w:hAnsi="Cambria Math"/>
          <w:iCs/>
        </w:rPr>
        <w:t>.</w:t>
      </w:r>
      <w:r w:rsidR="006331EC">
        <w:rPr>
          <w:rFonts w:ascii="Cambria Math" w:hAnsi="Cambria Math"/>
          <w:iCs/>
        </w:rPr>
        <w:t xml:space="preserve"> </w:t>
      </w:r>
      <w:r w:rsidR="006331EC">
        <w:rPr>
          <w:rFonts w:cs="Arial"/>
          <w:iCs/>
        </w:rPr>
        <w:t>The inundation intensity chosen, herein,</w:t>
      </w:r>
      <w:r w:rsidR="0075161F">
        <w:t xml:space="preserve"> is the inundation</w:t>
      </w:r>
      <w:r w:rsidR="00F85C10">
        <w:t xml:space="preserve"> level </w:t>
      </w:r>
      <m:oMath>
        <m:d>
          <m:dPr>
            <m:ctrlPr>
              <w:rPr>
                <w:rFonts w:ascii="Cambria Math" w:hAnsi="Cambria Math"/>
                <w:i/>
              </w:rPr>
            </m:ctrlPr>
          </m:dPr>
          <m:e>
            <m:r>
              <m:rPr>
                <m:sty m:val="p"/>
              </m:rPr>
              <w:rPr>
                <w:rFonts w:ascii="Cambria Math" w:hAnsi="Cambria Math"/>
              </w:rPr>
              <m:t>Φ</m:t>
            </m:r>
          </m:e>
        </m:d>
      </m:oMath>
      <w:r w:rsidR="004374CC">
        <w:t>,</w:t>
      </w:r>
      <w:r w:rsidR="0075161F">
        <w:t xml:space="preserve"> </w:t>
      </w:r>
      <w:r w:rsidR="00F85C10">
        <w:t xml:space="preserve">defined as the ratio between the </w:t>
      </w:r>
      <w:r w:rsidR="0080495B">
        <w:t xml:space="preserve">maximum inundation depth </w:t>
      </w:r>
      <m:oMath>
        <m:d>
          <m:dPr>
            <m:ctrlPr>
              <w:rPr>
                <w:rFonts w:ascii="Cambria Math" w:hAnsi="Cambria Math"/>
                <w:i/>
              </w:rPr>
            </m:ctrlPr>
          </m:dPr>
          <m:e>
            <m:sSub>
              <m:sSubPr>
                <m:ctrlPr>
                  <w:rPr>
                    <w:rFonts w:ascii="Cambria Math" w:hAnsi="Cambria Math"/>
                    <w:i/>
                  </w:rPr>
                </m:ctrlPr>
              </m:sSubPr>
              <m:e>
                <m:r>
                  <w:rPr>
                    <w:rFonts w:ascii="Cambria Math" w:hAnsi="Cambria Math"/>
                  </w:rPr>
                  <m:t>h</m:t>
                </m:r>
              </m:e>
              <m:sub>
                <m:r>
                  <w:rPr>
                    <w:rFonts w:ascii="Cambria Math" w:hAnsi="Cambria Math"/>
                  </w:rPr>
                  <m:t>w</m:t>
                </m:r>
              </m:sub>
            </m:sSub>
          </m:e>
        </m:d>
      </m:oMath>
      <w:r w:rsidR="0080495B">
        <w:t xml:space="preserve">, </w:t>
      </w:r>
      <w:r w:rsidR="0075161F">
        <w:t xml:space="preserve">that is the maximum height of the wave measured near the structure from the ground level during the simulated </w:t>
      </w:r>
      <w:r w:rsidR="004374CC">
        <w:t>inundation</w:t>
      </w:r>
      <w:r w:rsidR="0080495B">
        <w:t xml:space="preserve">, and the maximum filling </w:t>
      </w:r>
      <w:r w:rsidR="00393553">
        <w:t>height</w:t>
      </w:r>
      <w:r w:rsidR="0080495B">
        <w:t xml:space="preserve"> </w:t>
      </w:r>
      <m:oMath>
        <m:d>
          <m:dPr>
            <m:ctrlPr>
              <w:rPr>
                <w:rFonts w:ascii="Cambria Math" w:hAnsi="Cambria Math"/>
                <w:i/>
              </w:rPr>
            </m:ctrlPr>
          </m:dPr>
          <m:e>
            <m:sSub>
              <m:sSubPr>
                <m:ctrlPr>
                  <w:rPr>
                    <w:rFonts w:ascii="Cambria Math" w:hAnsi="Cambria Math"/>
                    <w:i/>
                  </w:rPr>
                </m:ctrlPr>
              </m:sSubPr>
              <m:e>
                <m:r>
                  <w:rPr>
                    <w:rFonts w:ascii="Cambria Math" w:hAnsi="Cambria Math"/>
                  </w:rPr>
                  <m:t>h</m:t>
                </m:r>
              </m:e>
              <m:sub>
                <m:r>
                  <w:rPr>
                    <w:rFonts w:ascii="Cambria Math" w:hAnsi="Cambria Math"/>
                  </w:rPr>
                  <m:t>f,max</m:t>
                </m:r>
              </m:sub>
            </m:sSub>
          </m:e>
        </m:d>
      </m:oMath>
      <w:r w:rsidR="006C7EC0">
        <w:t xml:space="preserve"> of the tank</w:t>
      </w:r>
      <w:r w:rsidR="0075161F">
        <w:t>.</w:t>
      </w:r>
    </w:p>
    <w:p w14:paraId="392724B6" w14:textId="77777777" w:rsidR="006601FD" w:rsidRDefault="006601FD" w:rsidP="00C52ADC">
      <w:pPr>
        <w:pStyle w:val="CETBodytext"/>
        <w:keepNext/>
        <w:jc w:val="left"/>
      </w:pPr>
      <w:r>
        <w:rPr>
          <w:noProof/>
          <w:lang w:val="en-GB"/>
        </w:rPr>
        <w:drawing>
          <wp:inline distT="0" distB="0" distL="0" distR="0" wp14:anchorId="0B4716DD" wp14:editId="2C9A6781">
            <wp:extent cx="4572000" cy="1672441"/>
            <wp:effectExtent l="0" t="0" r="0" b="4445"/>
            <wp:docPr id="198130907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309075" name="Immagine 5"/>
                    <pic:cNvPicPr/>
                  </pic:nvPicPr>
                  <pic:blipFill>
                    <a:blip r:embed="rId11"/>
                    <a:stretch>
                      <a:fillRect/>
                    </a:stretch>
                  </pic:blipFill>
                  <pic:spPr>
                    <a:xfrm>
                      <a:off x="0" y="0"/>
                      <a:ext cx="4572000" cy="1672441"/>
                    </a:xfrm>
                    <a:prstGeom prst="rect">
                      <a:avLst/>
                    </a:prstGeom>
                  </pic:spPr>
                </pic:pic>
              </a:graphicData>
            </a:graphic>
          </wp:inline>
        </w:drawing>
      </w:r>
    </w:p>
    <w:p w14:paraId="2DB81D41" w14:textId="5E39ADF2" w:rsidR="006601FD" w:rsidRDefault="006601FD" w:rsidP="00341FDC">
      <w:pPr>
        <w:pStyle w:val="CETCaption"/>
        <w:spacing w:before="120" w:after="120"/>
      </w:pPr>
      <w:bookmarkStart w:id="1" w:name="_Ref170296733"/>
      <w:r>
        <w:t xml:space="preserve">Figure </w:t>
      </w:r>
      <w:r>
        <w:fldChar w:fldCharType="begin"/>
      </w:r>
      <w:r>
        <w:instrText xml:space="preserve"> SEQ Figure \* ARABIC </w:instrText>
      </w:r>
      <w:r>
        <w:fldChar w:fldCharType="separate"/>
      </w:r>
      <w:r w:rsidR="00F1294D">
        <w:rPr>
          <w:noProof/>
        </w:rPr>
        <w:t>1</w:t>
      </w:r>
      <w:r>
        <w:fldChar w:fldCharType="end"/>
      </w:r>
      <w:bookmarkEnd w:id="1"/>
      <w:r>
        <w:t xml:space="preserve">: a) </w:t>
      </w:r>
      <w:r w:rsidRPr="00CD3100">
        <w:t>Grid points of interest for the tsunami hazard assessment</w:t>
      </w:r>
      <w:r>
        <w:t>. b) Schematic representation of an anchored storage tank.</w:t>
      </w:r>
    </w:p>
    <w:p w14:paraId="6599EC63" w14:textId="184864F8" w:rsidR="001F4CF1" w:rsidRDefault="00D83DF5" w:rsidP="00503A38">
      <w:pPr>
        <w:pStyle w:val="CETheadingx"/>
      </w:pPr>
      <w:r>
        <w:t>Tsunami fragility functions</w:t>
      </w:r>
    </w:p>
    <w:p w14:paraId="4ADF5CBD" w14:textId="0E917A95" w:rsidR="00AC329E" w:rsidRDefault="00B41D09" w:rsidP="009077A6">
      <w:pPr>
        <w:pStyle w:val="CETBodytext"/>
      </w:pPr>
      <w:r>
        <w:t xml:space="preserve">The vulnerability analysis </w:t>
      </w:r>
      <w:r w:rsidR="00AA7E57">
        <w:t>was</w:t>
      </w:r>
      <w:r w:rsidR="00175556">
        <w:t xml:space="preserve"> </w:t>
      </w:r>
      <w:r>
        <w:t>carr</w:t>
      </w:r>
      <w:r w:rsidR="00902F22">
        <w:t>ied</w:t>
      </w:r>
      <w:r>
        <w:t xml:space="preserve"> out for anchored atmospheric storage tanks under tsunami</w:t>
      </w:r>
      <w:r w:rsidR="00175556">
        <w:t>-induced actions</w:t>
      </w:r>
      <w:r>
        <w:t>.</w:t>
      </w:r>
      <w:r w:rsidR="00512AE1">
        <w:t xml:space="preserve"> </w:t>
      </w:r>
      <w:r w:rsidR="00175556">
        <w:t>T</w:t>
      </w:r>
      <w:r w:rsidR="00902F22">
        <w:t>sunami action</w:t>
      </w:r>
      <w:r w:rsidR="00175556">
        <w:t>s</w:t>
      </w:r>
      <w:r w:rsidR="00902F22">
        <w:t xml:space="preserve"> </w:t>
      </w:r>
      <w:r w:rsidR="00AA7E57">
        <w:t>were</w:t>
      </w:r>
      <w:r w:rsidR="00902F22">
        <w:t xml:space="preserve"> </w:t>
      </w:r>
      <w:r w:rsidR="00532CDD">
        <w:t>modelled following a quasi-static approach</w:t>
      </w:r>
      <w:r w:rsidR="0030189C">
        <w:t xml:space="preserve">, where the external pressure acting on the vessel </w:t>
      </w:r>
      <w:r w:rsidR="00E16241">
        <w:t xml:space="preserve">can be </w:t>
      </w:r>
      <w:r w:rsidR="00532CDD">
        <w:t>consider</w:t>
      </w:r>
      <w:r w:rsidR="00E16241">
        <w:t>ed</w:t>
      </w:r>
      <w:r w:rsidR="00532CDD">
        <w:t xml:space="preserve"> </w:t>
      </w:r>
      <w:r w:rsidR="00E16241">
        <w:t>as the sum of a</w:t>
      </w:r>
      <w:r w:rsidR="00532CDD">
        <w:t xml:space="preserve"> </w:t>
      </w:r>
      <w:r w:rsidR="00A95E4B">
        <w:t xml:space="preserve">hydrostatic and hydrodynamic component </w:t>
      </w:r>
      <w:r w:rsidR="00E16241">
        <w:t>including</w:t>
      </w:r>
      <w:r w:rsidR="00B1141A">
        <w:t xml:space="preserve"> </w:t>
      </w:r>
      <w:r w:rsidR="00361815">
        <w:t>a</w:t>
      </w:r>
      <w:r w:rsidR="00B1141A">
        <w:t xml:space="preserve"> buoyant</w:t>
      </w:r>
      <w:r w:rsidR="00361815">
        <w:t>-force</w:t>
      </w:r>
      <w:r w:rsidR="00B1141A">
        <w:t xml:space="preserve"> pressure </w:t>
      </w:r>
      <w:r w:rsidR="00361815">
        <w:t xml:space="preserve">acting </w:t>
      </w:r>
      <w:r w:rsidR="0091211C">
        <w:t xml:space="preserve">from under </w:t>
      </w:r>
      <w:r w:rsidR="002A4442">
        <w:t xml:space="preserve">the base </w:t>
      </w:r>
      <w:r w:rsidR="002A4442" w:rsidRPr="00F128EE">
        <w:t>plate</w:t>
      </w:r>
      <w:r w:rsidR="00A95E4B" w:rsidRPr="00F128EE">
        <w:t xml:space="preserve">. </w:t>
      </w:r>
      <w:r w:rsidR="00F128EE" w:rsidRPr="00F128EE">
        <w:rPr>
          <w:lang w:val="en-GB"/>
        </w:rPr>
        <w:t xml:space="preserve">These </w:t>
      </w:r>
      <w:r w:rsidR="002C69B2">
        <w:rPr>
          <w:lang w:val="en-GB"/>
        </w:rPr>
        <w:t>actions may trigger</w:t>
      </w:r>
      <w:r w:rsidR="00F128EE" w:rsidRPr="00F128EE">
        <w:rPr>
          <w:lang w:val="en-GB"/>
        </w:rPr>
        <w:t xml:space="preserve"> a series of failure </w:t>
      </w:r>
      <w:r w:rsidR="002C69B2">
        <w:rPr>
          <w:lang w:val="en-GB"/>
        </w:rPr>
        <w:t>mechanisms</w:t>
      </w:r>
      <w:r w:rsidR="00F128EE" w:rsidRPr="00F128EE">
        <w:rPr>
          <w:lang w:val="en-GB"/>
        </w:rPr>
        <w:t xml:space="preserve"> that </w:t>
      </w:r>
      <w:r w:rsidR="00E23E20">
        <w:rPr>
          <w:lang w:val="en-GB"/>
        </w:rPr>
        <w:t xml:space="preserve">govern </w:t>
      </w:r>
      <w:r w:rsidR="00F128EE" w:rsidRPr="00F128EE">
        <w:rPr>
          <w:lang w:val="en-GB"/>
        </w:rPr>
        <w:t>the tank's response.</w:t>
      </w:r>
      <w:r w:rsidR="00F128EE">
        <w:rPr>
          <w:lang w:val="en-GB"/>
        </w:rPr>
        <w:t xml:space="preserve"> </w:t>
      </w:r>
      <w:r w:rsidR="00E23E20">
        <w:rPr>
          <w:lang w:val="en-GB"/>
        </w:rPr>
        <w:t>More specifically</w:t>
      </w:r>
      <w:r w:rsidR="00624633">
        <w:rPr>
          <w:lang w:val="en-GB"/>
        </w:rPr>
        <w:t xml:space="preserve">, </w:t>
      </w:r>
      <w:r w:rsidR="00E23E20">
        <w:rPr>
          <w:lang w:val="en-GB"/>
        </w:rPr>
        <w:t xml:space="preserve">the </w:t>
      </w:r>
      <w:r w:rsidR="00E23E20">
        <w:t>radially acting</w:t>
      </w:r>
      <w:r w:rsidR="00624633">
        <w:t xml:space="preserve"> </w:t>
      </w:r>
      <w:r w:rsidR="00DB6341">
        <w:t>hydrostatic pressure</w:t>
      </w:r>
      <w:r w:rsidR="009F1780">
        <w:t xml:space="preserve"> </w:t>
      </w:r>
      <w:r w:rsidR="003E7BAD">
        <w:t xml:space="preserve">can induce </w:t>
      </w:r>
      <w:r w:rsidR="002E1182">
        <w:t xml:space="preserve">shell </w:t>
      </w:r>
      <w:r w:rsidR="00183DF9">
        <w:t xml:space="preserve">buckling due to the </w:t>
      </w:r>
      <w:r w:rsidR="00632CDE">
        <w:t xml:space="preserve">rise of </w:t>
      </w:r>
      <w:r w:rsidR="005428B6">
        <w:t xml:space="preserve">critical </w:t>
      </w:r>
      <w:r w:rsidR="00BD772A">
        <w:t xml:space="preserve">compressive </w:t>
      </w:r>
      <w:r w:rsidR="00F6427A">
        <w:t xml:space="preserve">circumferential </w:t>
      </w:r>
      <w:r w:rsidR="00632CDE">
        <w:t>stresses</w:t>
      </w:r>
      <w:r w:rsidR="005F2E37">
        <w:t xml:space="preserve"> on the thin-walled cylindrical structure</w:t>
      </w:r>
      <w:r w:rsidR="00A05F7E">
        <w:t>.</w:t>
      </w:r>
      <w:r w:rsidR="00B8431F">
        <w:t xml:space="preserve"> </w:t>
      </w:r>
      <w:r w:rsidR="005F2E37">
        <w:t xml:space="preserve">On the other hand, </w:t>
      </w:r>
      <w:r w:rsidR="007D577B">
        <w:t>the h</w:t>
      </w:r>
      <w:r w:rsidR="009A57F9">
        <w:t>ydrodynamic pressure</w:t>
      </w:r>
      <w:r w:rsidR="007D577B">
        <w:t xml:space="preserve"> component</w:t>
      </w:r>
      <w:r w:rsidR="00DB09EF">
        <w:t xml:space="preserve">, </w:t>
      </w:r>
      <w:r w:rsidR="00AA7E57">
        <w:t xml:space="preserve">so-called </w:t>
      </w:r>
      <w:r w:rsidR="00DB09EF" w:rsidRPr="00E7564A">
        <w:rPr>
          <w:i/>
          <w:iCs/>
        </w:rPr>
        <w:t>drag force</w:t>
      </w:r>
      <w:r w:rsidR="00DB09EF">
        <w:t>,</w:t>
      </w:r>
      <w:r w:rsidR="007D577B">
        <w:t xml:space="preserve"> </w:t>
      </w:r>
      <w:r w:rsidR="00BB785C">
        <w:t xml:space="preserve">can cause </w:t>
      </w:r>
      <w:r w:rsidR="007E13E7">
        <w:t>shear failure in the anchors</w:t>
      </w:r>
      <w:r w:rsidR="007D577B">
        <w:t xml:space="preserve"> leading to</w:t>
      </w:r>
      <w:r w:rsidR="00BB785C">
        <w:t xml:space="preserve"> </w:t>
      </w:r>
      <w:r w:rsidR="007E13E7">
        <w:t>slid</w:t>
      </w:r>
      <w:r w:rsidR="00BB785C">
        <w:t>ing of the tank</w:t>
      </w:r>
      <w:r w:rsidR="007D577B">
        <w:t>,</w:t>
      </w:r>
      <w:r w:rsidR="007E13E7">
        <w:t xml:space="preserve"> </w:t>
      </w:r>
      <w:r w:rsidR="00F945E3">
        <w:t xml:space="preserve">when the frictional forces in the </w:t>
      </w:r>
      <w:r w:rsidR="000A379B">
        <w:t>steel-concrete foundation interface are exceeded</w:t>
      </w:r>
      <w:r w:rsidR="007E13E7">
        <w:t xml:space="preserve">. </w:t>
      </w:r>
      <w:r w:rsidR="00657B27">
        <w:t xml:space="preserve">Finally, </w:t>
      </w:r>
      <w:r w:rsidR="00D4316B">
        <w:t>t</w:t>
      </w:r>
      <w:r w:rsidR="00C6211F">
        <w:t>he</w:t>
      </w:r>
      <w:r w:rsidR="00163641">
        <w:t xml:space="preserve"> </w:t>
      </w:r>
      <w:r w:rsidR="00671920">
        <w:t xml:space="preserve">combined effects of </w:t>
      </w:r>
      <w:r w:rsidR="00165A63">
        <w:t xml:space="preserve">buoyant and hydrodynamic </w:t>
      </w:r>
      <w:r w:rsidR="001618AC">
        <w:t>forces</w:t>
      </w:r>
      <w:r w:rsidR="00C6211F">
        <w:t xml:space="preserve"> can </w:t>
      </w:r>
      <w:r w:rsidR="001E7B75">
        <w:t xml:space="preserve">cause the </w:t>
      </w:r>
      <w:r w:rsidR="006406F8">
        <w:t xml:space="preserve">uplift of the </w:t>
      </w:r>
      <w:r w:rsidR="00AA7E57">
        <w:t>tank</w:t>
      </w:r>
      <w:r w:rsidR="00614F45">
        <w:t xml:space="preserve">, </w:t>
      </w:r>
      <w:r w:rsidR="00F86CA5">
        <w:t xml:space="preserve">potentially </w:t>
      </w:r>
      <w:r w:rsidR="00614F45">
        <w:t xml:space="preserve">leading to </w:t>
      </w:r>
      <w:r w:rsidR="006E6A8E">
        <w:t>anchor</w:t>
      </w:r>
      <w:r w:rsidR="00AA7E57">
        <w:t>s’</w:t>
      </w:r>
      <w:r w:rsidR="006E6A8E">
        <w:t xml:space="preserve"> </w:t>
      </w:r>
      <w:r w:rsidR="001C0845">
        <w:t>failure,</w:t>
      </w:r>
      <w:r w:rsidR="00A37202">
        <w:t xml:space="preserve"> </w:t>
      </w:r>
      <w:r w:rsidR="00AA7E57">
        <w:t>due to</w:t>
      </w:r>
      <w:r w:rsidR="001C0845">
        <w:t xml:space="preserve"> </w:t>
      </w:r>
      <w:r w:rsidR="0051389F">
        <w:t xml:space="preserve">exceeding the </w:t>
      </w:r>
      <w:r w:rsidR="00AA7E57">
        <w:t>steel capacity</w:t>
      </w:r>
      <w:r w:rsidR="001C0845">
        <w:t>,</w:t>
      </w:r>
      <w:r w:rsidR="006426FA">
        <w:t xml:space="preserve"> or </w:t>
      </w:r>
      <w:r w:rsidR="009A5EEF">
        <w:t xml:space="preserve">with </w:t>
      </w:r>
      <w:r w:rsidR="0055774E">
        <w:t xml:space="preserve">the </w:t>
      </w:r>
      <w:r w:rsidR="006426FA">
        <w:t xml:space="preserve">concrete cone breakout. </w:t>
      </w:r>
      <w:r w:rsidR="00505DD5">
        <w:t xml:space="preserve">This behavior </w:t>
      </w:r>
      <w:r w:rsidR="00BD1D8F">
        <w:t xml:space="preserve">was </w:t>
      </w:r>
      <w:r w:rsidR="00C446EE">
        <w:t xml:space="preserve">modelled </w:t>
      </w:r>
      <w:r w:rsidR="00BD1D8F">
        <w:t xml:space="preserve">by </w:t>
      </w:r>
      <w:r w:rsidR="000A1089">
        <w:t xml:space="preserve">performing </w:t>
      </w:r>
      <w:r w:rsidR="00176F55">
        <w:t xml:space="preserve">nonlinear </w:t>
      </w:r>
      <w:r w:rsidR="00EE57B6">
        <w:t>static</w:t>
      </w:r>
      <w:r w:rsidR="00176F55">
        <w:t xml:space="preserve"> analysis on finite element model</w:t>
      </w:r>
      <w:r w:rsidR="00327CB7">
        <w:t>s</w:t>
      </w:r>
      <w:r w:rsidR="00176F55">
        <w:t xml:space="preserve"> of the tank</w:t>
      </w:r>
      <w:r w:rsidR="00327CB7">
        <w:t>s</w:t>
      </w:r>
      <w:r w:rsidR="00EB748A">
        <w:t xml:space="preserve">, </w:t>
      </w:r>
      <w:r w:rsidR="004B1475">
        <w:t xml:space="preserve">while </w:t>
      </w:r>
      <w:r w:rsidR="00A75383">
        <w:t xml:space="preserve">varying the </w:t>
      </w:r>
      <w:r w:rsidR="004B1475">
        <w:t>internal</w:t>
      </w:r>
      <w:r w:rsidR="00A75383">
        <w:t xml:space="preserve"> </w:t>
      </w:r>
      <w:r w:rsidR="00F82A62">
        <w:t xml:space="preserve">liquid </w:t>
      </w:r>
      <w:r w:rsidR="00961B3D">
        <w:t>fill</w:t>
      </w:r>
      <w:r w:rsidR="004D5C63">
        <w:t>ing</w:t>
      </w:r>
      <w:r w:rsidR="00961B3D">
        <w:t xml:space="preserve"> level</w:t>
      </w:r>
      <w:r w:rsidR="00F82A62">
        <w:t xml:space="preserve">, </w:t>
      </w:r>
      <w:r w:rsidR="004D5C63">
        <w:t xml:space="preserve">the </w:t>
      </w:r>
      <w:r w:rsidR="00F82A62">
        <w:t>inundation depth and</w:t>
      </w:r>
      <w:r w:rsidR="004D5C63">
        <w:t xml:space="preserve"> the</w:t>
      </w:r>
      <w:r w:rsidR="00E3569D">
        <w:t xml:space="preserve"> flow</w:t>
      </w:r>
      <w:r w:rsidR="00F82A62">
        <w:t xml:space="preserve"> </w:t>
      </w:r>
      <w:r w:rsidR="006E415A">
        <w:t xml:space="preserve">velocity. </w:t>
      </w:r>
      <w:r w:rsidR="003F49A0">
        <w:t xml:space="preserve">A detailed </w:t>
      </w:r>
      <w:r w:rsidR="00961B3D">
        <w:t>description of the model</w:t>
      </w:r>
      <w:r w:rsidR="00DE3A91">
        <w:t>ling</w:t>
      </w:r>
      <w:r w:rsidR="00961B3D">
        <w:t xml:space="preserve"> and analysis </w:t>
      </w:r>
      <w:r w:rsidR="003F49A0">
        <w:t xml:space="preserve">can be found </w:t>
      </w:r>
      <w:r w:rsidR="004738A6">
        <w:t xml:space="preserve">in </w:t>
      </w:r>
      <w:r w:rsidR="002A5530" w:rsidRPr="0088574E">
        <w:t>Vitale</w:t>
      </w:r>
      <w:r w:rsidR="0088574E">
        <w:t xml:space="preserve"> (</w:t>
      </w:r>
      <w:r w:rsidR="002A5530" w:rsidRPr="0088574E">
        <w:t>2024</w:t>
      </w:r>
      <w:r w:rsidR="0088574E">
        <w:t>)</w:t>
      </w:r>
      <w:r w:rsidR="00DE3A91">
        <w:t>, while</w:t>
      </w:r>
      <w:r w:rsidR="004D7D87">
        <w:t xml:space="preserve"> the results</w:t>
      </w:r>
      <w:r w:rsidR="004738A6">
        <w:t xml:space="preserve"> are </w:t>
      </w:r>
      <w:r w:rsidR="004D7D87">
        <w:t>briefly summarized</w:t>
      </w:r>
      <w:r w:rsidR="00FD3B39">
        <w:t xml:space="preserve"> herein</w:t>
      </w:r>
      <w:r w:rsidR="00B51707">
        <w:t>.</w:t>
      </w:r>
      <w:r w:rsidR="004D7D87">
        <w:t xml:space="preserve"> </w:t>
      </w:r>
    </w:p>
    <w:p w14:paraId="7E5C38A3" w14:textId="02999D2E" w:rsidR="001F1931" w:rsidRDefault="00AC329E" w:rsidP="009077A6">
      <w:pPr>
        <w:pStyle w:val="CETBodytext"/>
      </w:pPr>
      <w:r>
        <w:t>T</w:t>
      </w:r>
      <w:r w:rsidR="006B272A">
        <w:t xml:space="preserve">he </w:t>
      </w:r>
      <w:r w:rsidR="00144F42">
        <w:t xml:space="preserve">vulnerability </w:t>
      </w:r>
      <w:r w:rsidR="00C64AD2">
        <w:t xml:space="preserve">analysis </w:t>
      </w:r>
      <w:r w:rsidR="00FD3B39">
        <w:t>resulted in the development of</w:t>
      </w:r>
      <w:r w:rsidR="00144F42">
        <w:t xml:space="preserve"> fragility functions</w:t>
      </w:r>
      <w:r w:rsidR="00327CB7">
        <w:t xml:space="preserve"> expressing </w:t>
      </w:r>
      <w:r w:rsidR="00144F42">
        <w:t xml:space="preserve">the probability </w:t>
      </w:r>
      <w:r w:rsidR="00C64AD2">
        <w:t xml:space="preserve">of failure </w:t>
      </w:r>
      <w:r w:rsidR="00FD3B39">
        <w:t>conditional on</w:t>
      </w:r>
      <w:r w:rsidR="00F64DA5">
        <w:t xml:space="preserve"> </w:t>
      </w:r>
      <w:r w:rsidR="00D62283">
        <w:t xml:space="preserve">a </w:t>
      </w:r>
      <w:r w:rsidR="00C64AD2">
        <w:t xml:space="preserve">given </w:t>
      </w:r>
      <w:r w:rsidR="00FD3B39">
        <w:t>value of</w:t>
      </w:r>
      <w:r w:rsidR="00C64AD2">
        <w:t xml:space="preserve"> </w:t>
      </w:r>
      <w:r w:rsidR="00327CB7">
        <w:t xml:space="preserve">the </w:t>
      </w:r>
      <w:r w:rsidR="000E77F7">
        <w:t>intensity measure.</w:t>
      </w:r>
      <w:r w:rsidR="00EF7C4E">
        <w:t xml:space="preserve"> T</w:t>
      </w:r>
      <w:r w:rsidR="00661099">
        <w:t xml:space="preserve">he tsunami fragility functions </w:t>
      </w:r>
      <w:r w:rsidR="00E87BB7">
        <w:t xml:space="preserve">express </w:t>
      </w:r>
      <w:r w:rsidR="00316B8A">
        <w:t xml:space="preserve">the probability </w:t>
      </w:r>
      <w:r w:rsidR="001C7C37">
        <w:t xml:space="preserve">of </w:t>
      </w:r>
      <w:r w:rsidR="00E87BB7">
        <w:t xml:space="preserve">a </w:t>
      </w:r>
      <w:r w:rsidR="0068636A">
        <w:t xml:space="preserve">tank </w:t>
      </w:r>
      <w:r w:rsidR="001C7C37">
        <w:t xml:space="preserve">suffering </w:t>
      </w:r>
      <w:r w:rsidR="0068636A">
        <w:t xml:space="preserve">structural damage </w:t>
      </w:r>
      <w:r w:rsidR="00E87BB7">
        <w:t xml:space="preserve">that </w:t>
      </w:r>
      <w:r w:rsidR="00F904CF">
        <w:t>lead</w:t>
      </w:r>
      <w:r w:rsidR="00E87BB7">
        <w:t>s</w:t>
      </w:r>
      <w:r w:rsidR="00F904CF">
        <w:t xml:space="preserve"> to </w:t>
      </w:r>
      <w:r w:rsidR="00C03B79">
        <w:t xml:space="preserve">loss of </w:t>
      </w:r>
      <w:r w:rsidR="00F97D9E">
        <w:t xml:space="preserve">containment, </w:t>
      </w:r>
      <w:r w:rsidR="00C03B79">
        <w:t>given a certain inundation</w:t>
      </w:r>
      <w:r w:rsidR="005416E9">
        <w:t xml:space="preserve"> </w:t>
      </w:r>
      <w:r w:rsidR="00142638">
        <w:t>level</w:t>
      </w:r>
      <w:r w:rsidR="0011459A">
        <w:t xml:space="preserve"> </w:t>
      </w:r>
      <m:oMath>
        <m:d>
          <m:dPr>
            <m:ctrlPr>
              <w:rPr>
                <w:rFonts w:ascii="Cambria Math" w:hAnsi="Cambria Math"/>
                <w:i/>
              </w:rPr>
            </m:ctrlPr>
          </m:dPr>
          <m:e>
            <m:r>
              <m:rPr>
                <m:sty m:val="p"/>
              </m:rPr>
              <w:rPr>
                <w:rFonts w:ascii="Cambria Math" w:hAnsi="Cambria Math"/>
              </w:rPr>
              <m:t>Φ</m:t>
            </m:r>
          </m:e>
        </m:d>
      </m:oMath>
      <w:r w:rsidR="005416E9">
        <w:t xml:space="preserve"> </w:t>
      </w:r>
      <w:r w:rsidR="00DF4F01">
        <w:t xml:space="preserve">and </w:t>
      </w:r>
      <w:r w:rsidR="00B665F9">
        <w:t>filling level</w:t>
      </w:r>
      <w:r w:rsidR="0011459A">
        <w:t xml:space="preserve"> </w:t>
      </w:r>
      <m:oMath>
        <m:d>
          <m:dPr>
            <m:ctrlPr>
              <w:rPr>
                <w:rFonts w:ascii="Cambria Math" w:hAnsi="Cambria Math"/>
                <w:i/>
              </w:rPr>
            </m:ctrlPr>
          </m:dPr>
          <m:e>
            <m:r>
              <m:rPr>
                <m:sty m:val="p"/>
              </m:rPr>
              <w:rPr>
                <w:rFonts w:ascii="Cambria Math" w:hAnsi="Cambria Math"/>
              </w:rPr>
              <m:t>Ψ</m:t>
            </m:r>
          </m:e>
        </m:d>
      </m:oMath>
      <w:r>
        <w:t>, as expressed</w:t>
      </w:r>
      <w:r w:rsidR="00431E1C">
        <w:t xml:space="preserve"> </w:t>
      </w:r>
      <w:r w:rsidR="00EF7C4E">
        <w:t>per</w:t>
      </w:r>
      <w:r w:rsidR="00F64DA5">
        <w:t xml:space="preserve"> </w:t>
      </w:r>
      <w:r w:rsidR="00A943F5">
        <w:t>Eq</w:t>
      </w:r>
      <w:r w:rsidR="00EF7C4E">
        <w:t xml:space="preserve">. </w:t>
      </w:r>
      <w:r w:rsidR="008B1D4F">
        <w:t>(1)</w:t>
      </w:r>
      <w:r w:rsidR="00EF7C4E">
        <w:t>:</w:t>
      </w:r>
    </w:p>
    <w:tbl>
      <w:tblPr>
        <w:tblW w:w="5000" w:type="pct"/>
        <w:tblLook w:val="04A0" w:firstRow="1" w:lastRow="0" w:firstColumn="1" w:lastColumn="0" w:noHBand="0" w:noVBand="1"/>
      </w:tblPr>
      <w:tblGrid>
        <w:gridCol w:w="7505"/>
        <w:gridCol w:w="1282"/>
      </w:tblGrid>
      <w:tr w:rsidR="00B9588B" w:rsidRPr="009C7CF4" w14:paraId="78979618" w14:textId="77777777" w:rsidTr="000B25FE">
        <w:tc>
          <w:tcPr>
            <w:tcW w:w="7505" w:type="dxa"/>
            <w:shd w:val="clear" w:color="auto" w:fill="auto"/>
            <w:vAlign w:val="center"/>
          </w:tcPr>
          <w:p w14:paraId="37DCEC8A" w14:textId="0ABEB0F5" w:rsidR="00B9588B" w:rsidRPr="006463C1" w:rsidRDefault="00F64247">
            <w:pPr>
              <w:pStyle w:val="CETEquation"/>
            </w:pPr>
            <m:oMathPara>
              <m:oMathParaPr>
                <m:jc m:val="left"/>
              </m:oMathParaPr>
              <m:oMath>
                <m:r>
                  <w:rPr>
                    <w:rFonts w:ascii="Cambria Math" w:hAnsi="Cambria Math"/>
                  </w:rPr>
                  <m:t>P</m:t>
                </m:r>
                <m:d>
                  <m:dPr>
                    <m:begChr m:val="["/>
                    <m:endChr m:val="]"/>
                    <m:ctrlPr>
                      <w:rPr>
                        <w:rFonts w:ascii="Cambria Math" w:hAnsi="Cambria Math"/>
                        <w:i/>
                      </w:rPr>
                    </m:ctrlPr>
                  </m:dPr>
                  <m:e>
                    <m:r>
                      <w:rPr>
                        <w:rFonts w:ascii="Cambria Math" w:hAnsi="Cambria Math"/>
                      </w:rPr>
                      <m:t xml:space="preserve">F| </m:t>
                    </m:r>
                    <m:r>
                      <m:rPr>
                        <m:sty m:val="p"/>
                      </m:rPr>
                      <w:rPr>
                        <w:rFonts w:ascii="Cambria Math" w:hAnsi="Cambria Math"/>
                      </w:rPr>
                      <m:t>Φ</m:t>
                    </m:r>
                    <m:r>
                      <w:rPr>
                        <w:rFonts w:ascii="Cambria Math" w:hAnsi="Cambria Math"/>
                      </w:rPr>
                      <m:t>,</m:t>
                    </m:r>
                    <m:r>
                      <m:rPr>
                        <m:sty m:val="p"/>
                      </m:rPr>
                      <w:rPr>
                        <w:rFonts w:ascii="Cambria Math" w:hAnsi="Cambria Math"/>
                      </w:rPr>
                      <m:t>Ψ</m:t>
                    </m:r>
                  </m:e>
                </m:d>
                <m:r>
                  <w:rPr>
                    <w:rFonts w:ascii="Cambria Math" w:hAnsi="Cambria Math"/>
                  </w:rPr>
                  <m:t>=1-</m:t>
                </m:r>
                <m:nary>
                  <m:naryPr>
                    <m:chr m:val="∏"/>
                    <m:limLoc m:val="undOvr"/>
                    <m:ctrlPr>
                      <w:rPr>
                        <w:rFonts w:ascii="Cambria Math" w:hAnsi="Cambria Math"/>
                        <w:i/>
                      </w:rPr>
                    </m:ctrlPr>
                  </m:naryPr>
                  <m:sub>
                    <m:r>
                      <w:rPr>
                        <w:rFonts w:ascii="Cambria Math" w:hAnsi="Cambria Math"/>
                      </w:rPr>
                      <m:t>i=1</m:t>
                    </m:r>
                  </m:sub>
                  <m:sup>
                    <m:r>
                      <w:rPr>
                        <w:rFonts w:ascii="Cambria Math" w:hAnsi="Cambria Math"/>
                      </w:rPr>
                      <m:t>3</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m:rPr>
                                        <m:sty m:val="p"/>
                                      </m:rPr>
                                      <w:rPr>
                                        <w:rFonts w:ascii="Cambria Math" w:hAnsi="Cambria Math"/>
                                      </w:rPr>
                                      <m:t>Φ</m:t>
                                    </m:r>
                                  </m:num>
                                  <m:den>
                                    <m:sSub>
                                      <m:sSubPr>
                                        <m:ctrlPr>
                                          <w:rPr>
                                            <w:rFonts w:ascii="Cambria Math" w:hAnsi="Cambria Math"/>
                                            <w:i/>
                                          </w:rPr>
                                        </m:ctrlPr>
                                      </m:sSubPr>
                                      <m:e>
                                        <m:r>
                                          <w:rPr>
                                            <w:rFonts w:ascii="Cambria Math" w:hAnsi="Cambria Math"/>
                                          </w:rPr>
                                          <m:t>a</m:t>
                                        </m:r>
                                      </m:e>
                                      <m:sub>
                                        <m:r>
                                          <w:rPr>
                                            <w:rFonts w:ascii="Cambria Math" w:hAnsi="Cambria Math"/>
                                          </w:rPr>
                                          <m:t>i</m:t>
                                        </m:r>
                                      </m:sub>
                                    </m:sSub>
                                    <m:d>
                                      <m:dPr>
                                        <m:ctrlPr>
                                          <w:rPr>
                                            <w:rFonts w:ascii="Cambria Math" w:hAnsi="Cambria Math"/>
                                            <w:i/>
                                          </w:rPr>
                                        </m:ctrlPr>
                                      </m:dPr>
                                      <m:e>
                                        <m:r>
                                          <m:rPr>
                                            <m:sty m:val="p"/>
                                          </m:rPr>
                                          <w:rPr>
                                            <w:rFonts w:ascii="Cambria Math" w:hAnsi="Cambria Math"/>
                                          </w:rPr>
                                          <m:t>Ψ</m:t>
                                        </m:r>
                                      </m:e>
                                    </m:d>
                                  </m:den>
                                </m:f>
                              </m:e>
                            </m:d>
                          </m:e>
                          <m:sup>
                            <m:sSub>
                              <m:sSubPr>
                                <m:ctrlPr>
                                  <w:rPr>
                                    <w:rFonts w:ascii="Cambria Math" w:hAnsi="Cambria Math"/>
                                    <w:i/>
                                  </w:rPr>
                                </m:ctrlPr>
                              </m:sSubPr>
                              <m:e>
                                <m:r>
                                  <w:rPr>
                                    <w:rFonts w:ascii="Cambria Math" w:hAnsi="Cambria Math"/>
                                  </w:rPr>
                                  <m:t>b</m:t>
                                </m:r>
                              </m:e>
                              <m:sub>
                                <m:r>
                                  <w:rPr>
                                    <w:rFonts w:ascii="Cambria Math" w:hAnsi="Cambria Math"/>
                                  </w:rPr>
                                  <m:t>i</m:t>
                                </m:r>
                              </m:sub>
                            </m:sSub>
                            <m:d>
                              <m:dPr>
                                <m:ctrlPr>
                                  <w:rPr>
                                    <w:rFonts w:ascii="Cambria Math" w:hAnsi="Cambria Math"/>
                                    <w:i/>
                                  </w:rPr>
                                </m:ctrlPr>
                              </m:dPr>
                              <m:e>
                                <m:r>
                                  <m:rPr>
                                    <m:sty m:val="p"/>
                                  </m:rPr>
                                  <w:rPr>
                                    <w:rFonts w:ascii="Cambria Math" w:hAnsi="Cambria Math"/>
                                  </w:rPr>
                                  <m:t>Ψ</m:t>
                                </m:r>
                              </m:e>
                            </m:d>
                          </m:sup>
                        </m:sSup>
                      </m:sup>
                    </m:sSup>
                  </m:e>
                </m:nary>
                <m:r>
                  <w:rPr>
                    <w:rFonts w:ascii="Cambria Math" w:hAnsi="Cambria Math"/>
                  </w:rPr>
                  <m:t>,</m:t>
                </m:r>
              </m:oMath>
            </m:oMathPara>
          </w:p>
        </w:tc>
        <w:tc>
          <w:tcPr>
            <w:tcW w:w="1282" w:type="dxa"/>
            <w:shd w:val="clear" w:color="auto" w:fill="auto"/>
            <w:vAlign w:val="center"/>
          </w:tcPr>
          <w:p w14:paraId="316B3330" w14:textId="078DE817" w:rsidR="00B9588B" w:rsidRPr="009C7CF4" w:rsidRDefault="008B1D4F" w:rsidP="008B1D4F">
            <w:pPr>
              <w:pStyle w:val="CETEquation"/>
              <w:ind w:left="576" w:right="270"/>
              <w:jc w:val="right"/>
            </w:pPr>
            <w:bookmarkStart w:id="2" w:name="_Ref164163470"/>
            <w:r>
              <w:t>(1)</w:t>
            </w:r>
          </w:p>
        </w:tc>
        <w:bookmarkEnd w:id="2"/>
      </w:tr>
    </w:tbl>
    <w:p w14:paraId="45AD5D4F" w14:textId="5DE3A28F" w:rsidR="00D91FBB" w:rsidRDefault="008141A6" w:rsidP="009077A6">
      <w:pPr>
        <w:pStyle w:val="CETBodytext"/>
      </w:pPr>
      <w:r>
        <w:t>w</w:t>
      </w:r>
      <w:r w:rsidR="00431E1C">
        <w:t xml:space="preserve">here </w:t>
      </w:r>
      <m:oMath>
        <m:r>
          <m:rPr>
            <m:sty m:val="p"/>
          </m:rPr>
          <w:rPr>
            <w:rFonts w:ascii="Cambria Math" w:hAnsi="Cambria Math"/>
          </w:rPr>
          <m:t>Φ</m:t>
        </m:r>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w</m:t>
                </m:r>
              </m:sub>
            </m:sSub>
          </m:num>
          <m:den>
            <m:sSub>
              <m:sSubPr>
                <m:ctrlPr>
                  <w:rPr>
                    <w:rFonts w:ascii="Cambria Math" w:hAnsi="Cambria Math"/>
                    <w:i/>
                  </w:rPr>
                </m:ctrlPr>
              </m:sSubPr>
              <m:e>
                <m:r>
                  <w:rPr>
                    <w:rFonts w:ascii="Cambria Math" w:hAnsi="Cambria Math"/>
                  </w:rPr>
                  <m:t>h</m:t>
                </m:r>
              </m:e>
              <m:sub>
                <m:r>
                  <w:rPr>
                    <w:rFonts w:ascii="Cambria Math" w:hAnsi="Cambria Math"/>
                  </w:rPr>
                  <m:t>f,max</m:t>
                </m:r>
              </m:sub>
            </m:sSub>
          </m:den>
        </m:f>
      </m:oMath>
      <w:r w:rsidR="00A17C19">
        <w:t xml:space="preserve"> </w:t>
      </w:r>
      <w:r w:rsidR="00393A42">
        <w:t>and</w:t>
      </w:r>
      <w:r w:rsidR="00A17C19">
        <w:t xml:space="preserve"> </w:t>
      </w:r>
      <m:oMath>
        <m:r>
          <m:rPr>
            <m:sty m:val="p"/>
          </m:rPr>
          <w:rPr>
            <w:rFonts w:ascii="Cambria Math" w:hAnsi="Cambria Math"/>
          </w:rPr>
          <m:t>Ψ</m:t>
        </m:r>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h</m:t>
                </m:r>
              </m:e>
              <m:sub>
                <m:r>
                  <w:rPr>
                    <w:rFonts w:ascii="Cambria Math" w:hAnsi="Cambria Math"/>
                  </w:rPr>
                  <m:t>f</m:t>
                </m:r>
              </m:sub>
            </m:sSub>
          </m:num>
          <m:den>
            <m:sSub>
              <m:sSubPr>
                <m:ctrlPr>
                  <w:rPr>
                    <w:rFonts w:ascii="Cambria Math" w:hAnsi="Cambria Math"/>
                    <w:i/>
                  </w:rPr>
                </m:ctrlPr>
              </m:sSubPr>
              <m:e>
                <m:r>
                  <w:rPr>
                    <w:rFonts w:ascii="Cambria Math" w:hAnsi="Cambria Math"/>
                  </w:rPr>
                  <m:t>h</m:t>
                </m:r>
              </m:e>
              <m:sub>
                <m:r>
                  <w:rPr>
                    <w:rFonts w:ascii="Cambria Math" w:hAnsi="Cambria Math"/>
                  </w:rPr>
                  <m:t>f,max</m:t>
                </m:r>
              </m:sub>
            </m:sSub>
          </m:den>
        </m:f>
      </m:oMath>
      <w:r w:rsidR="00A17C19">
        <w:t xml:space="preserve"> </w:t>
      </w:r>
      <w:r w:rsidR="005502E5">
        <w:t>are</w:t>
      </w:r>
      <w:r w:rsidR="001834DF">
        <w:t xml:space="preserve"> the normalized </w:t>
      </w:r>
      <w:r w:rsidR="008F39DA">
        <w:t xml:space="preserve">inundation depth and filling </w:t>
      </w:r>
      <w:r w:rsidR="007C1C47">
        <w:t>degree; and</w:t>
      </w:r>
      <m:oMath>
        <m:r>
          <m:rPr>
            <m:sty m:val="p"/>
          </m:rP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f</m:t>
            </m:r>
          </m:sub>
        </m:sSub>
      </m:oMath>
      <w:r w:rsidR="007C1C47">
        <w:t xml:space="preserve"> </w:t>
      </w:r>
      <w:r w:rsidR="0011459A">
        <w:t>is the</w:t>
      </w:r>
      <w:r w:rsidR="00FA5D73">
        <w:t xml:space="preserve"> height of the internal liquid</w:t>
      </w:r>
      <w:r w:rsidR="0011459A">
        <w:t>.</w:t>
      </w:r>
      <w:r w:rsidR="00D20CFA">
        <w:t xml:space="preserve"> The subscript</w:t>
      </w:r>
      <w:r w:rsidR="0011459A">
        <w:t xml:space="preserve"> </w:t>
      </w:r>
      <m:oMath>
        <m:r>
          <w:rPr>
            <w:rFonts w:ascii="Cambria Math" w:hAnsi="Cambria Math" w:cs="Cambria Math"/>
            <w:lang w:val="en-GB"/>
          </w:rPr>
          <m:t>i</m:t>
        </m:r>
        <m:r>
          <w:rPr>
            <w:rFonts w:ascii="Cambria Math" w:hAnsi="Cambria Math"/>
            <w:lang w:val="en-GB"/>
          </w:rPr>
          <m:t xml:space="preserve"> = 1,2,3</m:t>
        </m:r>
      </m:oMath>
      <w:r w:rsidR="00D91FBB" w:rsidRPr="00D91FBB">
        <w:rPr>
          <w:lang w:val="en-GB"/>
        </w:rPr>
        <w:t xml:space="preserve"> </w:t>
      </w:r>
      <w:r w:rsidR="00F07C58">
        <w:rPr>
          <w:lang w:val="en-GB"/>
        </w:rPr>
        <w:t xml:space="preserve">indicates the </w:t>
      </w:r>
      <w:r w:rsidR="00D91FBB" w:rsidRPr="00D91FBB">
        <w:rPr>
          <w:lang w:val="en-GB"/>
        </w:rPr>
        <w:t>activation of each of the three failure mechanisms</w:t>
      </w:r>
      <w:r w:rsidR="00B3592F">
        <w:rPr>
          <w:lang w:val="en-GB"/>
        </w:rPr>
        <w:t xml:space="preserve"> (shell buckling, shear </w:t>
      </w:r>
      <w:r w:rsidR="008770F7">
        <w:rPr>
          <w:lang w:val="en-GB"/>
        </w:rPr>
        <w:t xml:space="preserve">failure of the anchors, and </w:t>
      </w:r>
      <w:r w:rsidR="00634390">
        <w:rPr>
          <w:lang w:val="en-GB"/>
        </w:rPr>
        <w:t xml:space="preserve">uplift due to </w:t>
      </w:r>
      <w:r w:rsidR="008770F7">
        <w:rPr>
          <w:lang w:val="en-GB"/>
        </w:rPr>
        <w:t>tension failure of the anchors</w:t>
      </w:r>
      <w:r w:rsidR="00B3592F">
        <w:rPr>
          <w:lang w:val="en-GB"/>
        </w:rPr>
        <w:t>)</w:t>
      </w:r>
      <w:r w:rsidR="00D91FBB" w:rsidRPr="00D91FBB">
        <w:rPr>
          <w:lang w:val="en-GB"/>
        </w:rPr>
        <w:t xml:space="preserve">, with </w:t>
      </w:r>
      <m:oMath>
        <m:sSub>
          <m:sSubPr>
            <m:ctrlPr>
              <w:rPr>
                <w:rFonts w:ascii="Cambria Math" w:hAnsi="Cambria Math" w:cs="Cambria Math"/>
                <w:i/>
                <w:lang w:val="en-GB"/>
              </w:rPr>
            </m:ctrlPr>
          </m:sSubPr>
          <m:e>
            <m:r>
              <w:rPr>
                <w:rFonts w:ascii="Cambria Math" w:hAnsi="Cambria Math" w:cs="Cambria Math"/>
                <w:lang w:val="en-GB"/>
              </w:rPr>
              <m:t>a</m:t>
            </m:r>
          </m:e>
          <m:sub>
            <m:r>
              <w:rPr>
                <w:rFonts w:ascii="Cambria Math" w:hAnsi="Cambria Math" w:cs="Cambria Math"/>
                <w:lang w:val="en-GB"/>
              </w:rPr>
              <m:t>i</m:t>
            </m:r>
          </m:sub>
        </m:sSub>
        <m:r>
          <w:rPr>
            <w:rFonts w:ascii="Cambria Math" w:hAnsi="Cambria Math"/>
            <w:lang w:val="en-GB"/>
          </w:rPr>
          <m:t>(</m:t>
        </m:r>
        <m:r>
          <m:rPr>
            <m:sty m:val="p"/>
          </m:rPr>
          <w:rPr>
            <w:rFonts w:ascii="Cambria Math" w:hAnsi="Cambria Math"/>
            <w:lang w:val="en-GB"/>
          </w:rPr>
          <m:t>Ψ</m:t>
        </m:r>
        <m:r>
          <w:rPr>
            <w:rFonts w:ascii="Cambria Math" w:hAnsi="Cambria Math"/>
            <w:lang w:val="en-GB"/>
          </w:rPr>
          <m:t>)</m:t>
        </m:r>
      </m:oMath>
      <w:r w:rsidR="00D91FBB" w:rsidRPr="00D91FBB">
        <w:rPr>
          <w:lang w:val="en-GB"/>
        </w:rPr>
        <w:t xml:space="preserve"> and </w:t>
      </w:r>
      <m:oMath>
        <m:sSub>
          <m:sSubPr>
            <m:ctrlPr>
              <w:rPr>
                <w:rFonts w:ascii="Cambria Math" w:hAnsi="Cambria Math" w:cs="Cambria Math"/>
                <w:i/>
                <w:lang w:val="en-GB"/>
              </w:rPr>
            </m:ctrlPr>
          </m:sSubPr>
          <m:e>
            <m:r>
              <w:rPr>
                <w:rFonts w:ascii="Cambria Math" w:hAnsi="Cambria Math" w:cs="Cambria Math"/>
                <w:lang w:val="en-GB"/>
              </w:rPr>
              <m:t>b</m:t>
            </m:r>
          </m:e>
          <m:sub>
            <m:r>
              <w:rPr>
                <w:rFonts w:ascii="Cambria Math" w:hAnsi="Cambria Math" w:cs="Cambria Math"/>
                <w:lang w:val="en-GB"/>
              </w:rPr>
              <m:t>i</m:t>
            </m:r>
          </m:sub>
        </m:sSub>
        <m:r>
          <w:rPr>
            <w:rFonts w:ascii="Cambria Math" w:hAnsi="Cambria Math"/>
            <w:lang w:val="en-GB"/>
          </w:rPr>
          <m:t>(</m:t>
        </m:r>
        <m:r>
          <m:rPr>
            <m:sty m:val="p"/>
          </m:rPr>
          <w:rPr>
            <w:rFonts w:ascii="Cambria Math" w:hAnsi="Cambria Math"/>
            <w:lang w:val="en-GB"/>
          </w:rPr>
          <m:t>Ψ</m:t>
        </m:r>
        <m:r>
          <w:rPr>
            <w:rFonts w:ascii="Cambria Math" w:hAnsi="Cambria Math"/>
            <w:lang w:val="en-GB"/>
          </w:rPr>
          <m:t>)</m:t>
        </m:r>
      </m:oMath>
      <w:r w:rsidR="00D91FBB" w:rsidRPr="00D91FBB">
        <w:rPr>
          <w:lang w:val="en-GB"/>
        </w:rPr>
        <w:t xml:space="preserve"> being the</w:t>
      </w:r>
      <w:r w:rsidR="00C934AD">
        <w:rPr>
          <w:lang w:val="en-GB"/>
        </w:rPr>
        <w:t xml:space="preserve"> </w:t>
      </w:r>
      <w:r w:rsidR="00D91FBB" w:rsidRPr="00D91FBB">
        <w:rPr>
          <w:lang w:val="en-GB"/>
        </w:rPr>
        <w:t>scale and shape parameters</w:t>
      </w:r>
      <w:r w:rsidR="00337549">
        <w:rPr>
          <w:lang w:val="en-GB"/>
        </w:rPr>
        <w:t xml:space="preserve"> of a </w:t>
      </w:r>
      <w:r w:rsidR="0092393F">
        <w:rPr>
          <w:lang w:val="en-GB"/>
        </w:rPr>
        <w:t>Weibull</w:t>
      </w:r>
      <w:r w:rsidR="00337549">
        <w:rPr>
          <w:lang w:val="en-GB"/>
        </w:rPr>
        <w:t xml:space="preserve"> distribution</w:t>
      </w:r>
      <w:r w:rsidR="00D91FBB" w:rsidRPr="00D91FBB">
        <w:rPr>
          <w:lang w:val="en-GB"/>
        </w:rPr>
        <w:t>, respectively.</w:t>
      </w:r>
      <w:r w:rsidR="00875AA1">
        <w:rPr>
          <w:lang w:val="en-GB"/>
        </w:rPr>
        <w:t xml:space="preserve"> The value of these coefficients is available </w:t>
      </w:r>
      <w:r w:rsidR="00C47A8E">
        <w:rPr>
          <w:lang w:val="en-GB"/>
        </w:rPr>
        <w:t xml:space="preserve">in </w:t>
      </w:r>
      <w:r w:rsidR="00DA79C2" w:rsidRPr="0088574E">
        <w:t>Vitale</w:t>
      </w:r>
      <w:r w:rsidR="00DA79C2">
        <w:t xml:space="preserve"> (</w:t>
      </w:r>
      <w:r w:rsidR="00DA79C2" w:rsidRPr="0088574E">
        <w:t>2024</w:t>
      </w:r>
      <w:r w:rsidR="00DA79C2">
        <w:t>)</w:t>
      </w:r>
      <w:r w:rsidR="000761A9">
        <w:t xml:space="preserve"> </w:t>
      </w:r>
      <w:r w:rsidR="000654D1">
        <w:rPr>
          <w:lang w:val="en-GB"/>
        </w:rPr>
        <w:t>for</w:t>
      </w:r>
      <w:r w:rsidR="00AC63BA">
        <w:rPr>
          <w:lang w:val="en-GB"/>
        </w:rPr>
        <w:t xml:space="preserve"> different </w:t>
      </w:r>
      <w:r w:rsidR="000654D1">
        <w:rPr>
          <w:lang w:val="en-GB"/>
        </w:rPr>
        <w:t xml:space="preserve">values of tank </w:t>
      </w:r>
      <w:r w:rsidR="00AC63BA">
        <w:rPr>
          <w:lang w:val="en-GB"/>
        </w:rPr>
        <w:t>height-</w:t>
      </w:r>
      <w:r w:rsidR="000654D1">
        <w:rPr>
          <w:lang w:val="en-GB"/>
        </w:rPr>
        <w:t>to</w:t>
      </w:r>
      <w:r w:rsidR="00AC63BA">
        <w:rPr>
          <w:lang w:val="en-GB"/>
        </w:rPr>
        <w:t>-radius ratio.</w:t>
      </w:r>
    </w:p>
    <w:p w14:paraId="2839C722" w14:textId="15561C08" w:rsidR="00F21B65" w:rsidRDefault="00255709" w:rsidP="00503A38">
      <w:pPr>
        <w:pStyle w:val="CETheadingx"/>
      </w:pPr>
      <w:r>
        <w:t>Rate of multiple s</w:t>
      </w:r>
      <w:r w:rsidR="00384E32">
        <w:t>imultaneous s</w:t>
      </w:r>
      <w:r w:rsidR="001F4CF1">
        <w:t>tructural failure</w:t>
      </w:r>
      <w:r>
        <w:t>s</w:t>
      </w:r>
    </w:p>
    <w:p w14:paraId="38D1B3DA" w14:textId="55978F04" w:rsidR="00765B84" w:rsidRDefault="00765B84" w:rsidP="00BD4E8C">
      <w:pPr>
        <w:pStyle w:val="CETBodytext"/>
      </w:pPr>
      <w:r>
        <w:t>T</w:t>
      </w:r>
      <w:r w:rsidR="007F3AD2">
        <w:t xml:space="preserve">he structural failure rate </w:t>
      </w:r>
      <w:r w:rsidR="00705E7B">
        <w:t>of a storage tank</w:t>
      </w:r>
      <w:r w:rsidR="00696780">
        <w:t xml:space="preserve"> </w:t>
      </w:r>
      <w:r w:rsidR="00F22BBF">
        <w:t xml:space="preserve">with </w:t>
      </w:r>
      <w:r w:rsidR="0033675E">
        <w:t xml:space="preserve">a given filling level </w:t>
      </w:r>
      <m:oMath>
        <m:r>
          <m:rPr>
            <m:sty m:val="p"/>
          </m:rPr>
          <w:rPr>
            <w:rFonts w:ascii="Cambria Math" w:hAnsi="Cambria Math"/>
          </w:rPr>
          <m:t>Ψ</m:t>
        </m:r>
      </m:oMath>
      <w:r w:rsidR="0033675E">
        <w:t>,</w:t>
      </w:r>
      <w:r w:rsidR="00696780">
        <w:t xml:space="preserve"> </w:t>
      </w:r>
      <w:r w:rsidR="006D0F73">
        <w:t xml:space="preserve">is </w:t>
      </w:r>
      <w:r w:rsidR="00F22BBF">
        <w:t xml:space="preserve">provided </w:t>
      </w:r>
      <w:r w:rsidR="005B77BA">
        <w:t>by</w:t>
      </w:r>
      <w:r w:rsidR="00C3698C">
        <w:t xml:space="preserve"> </w:t>
      </w:r>
      <w:proofErr w:type="gramStart"/>
      <w:r w:rsidR="005B77BA" w:rsidRPr="00C3698C">
        <w:t>Eq</w:t>
      </w:r>
      <w:r w:rsidR="00C3698C" w:rsidRPr="00C3698C">
        <w:t>(</w:t>
      </w:r>
      <w:proofErr w:type="gramEnd"/>
      <w:r w:rsidR="00C3698C" w:rsidRPr="00C3698C">
        <w:t>2)</w:t>
      </w:r>
      <w:r w:rsidR="009E3D4F">
        <w:t>:</w:t>
      </w:r>
    </w:p>
    <w:tbl>
      <w:tblPr>
        <w:tblW w:w="5000" w:type="pct"/>
        <w:tblLook w:val="04A0" w:firstRow="1" w:lastRow="0" w:firstColumn="1" w:lastColumn="0" w:noHBand="0" w:noVBand="1"/>
      </w:tblPr>
      <w:tblGrid>
        <w:gridCol w:w="7415"/>
        <w:gridCol w:w="1372"/>
      </w:tblGrid>
      <w:tr w:rsidR="009D50F0" w:rsidRPr="00B57B36" w14:paraId="5F8D2ED0" w14:textId="77777777" w:rsidTr="00F80F2E">
        <w:tc>
          <w:tcPr>
            <w:tcW w:w="7415" w:type="dxa"/>
            <w:shd w:val="clear" w:color="auto" w:fill="auto"/>
            <w:vAlign w:val="center"/>
          </w:tcPr>
          <w:p w14:paraId="2325304B" w14:textId="6EEA0694" w:rsidR="009D50F0" w:rsidRPr="006463C1" w:rsidRDefault="00000000" w:rsidP="00E06172">
            <w:pPr>
              <w:pStyle w:val="CETEquation"/>
            </w:pPr>
            <m:oMath>
              <m:sSub>
                <m:sSubPr>
                  <m:ctrlPr>
                    <w:rPr>
                      <w:rFonts w:ascii="Cambria Math" w:hAnsi="Cambria Math"/>
                      <w:i/>
                    </w:rPr>
                  </m:ctrlPr>
                </m:sSubPr>
                <m:e>
                  <m:r>
                    <w:rPr>
                      <w:rFonts w:ascii="Cambria Math" w:hAnsi="Cambria Math"/>
                    </w:rPr>
                    <m:t>λ</m:t>
                  </m:r>
                </m:e>
                <m:sub>
                  <m:r>
                    <w:rPr>
                      <w:rFonts w:ascii="Cambria Math" w:hAnsi="Cambria Math"/>
                    </w:rPr>
                    <m:t>f,j</m:t>
                  </m:r>
                </m:sub>
              </m:sSub>
              <m:r>
                <w:rPr>
                  <w:rFonts w:ascii="Cambria Math" w:hAnsi="Cambria Math"/>
                </w:rPr>
                <m:t>=ν∙P</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j</m:t>
                      </m:r>
                    </m:sub>
                  </m:sSub>
                </m:e>
              </m:d>
              <m:r>
                <w:rPr>
                  <w:rFonts w:ascii="Cambria Math" w:hAnsi="Cambria Math"/>
                </w:rPr>
                <m:t>=</m:t>
              </m:r>
              <m:nary>
                <m:naryPr>
                  <m:limLoc m:val="undOvr"/>
                  <m:ctrlPr>
                    <w:rPr>
                      <w:rFonts w:ascii="Cambria Math" w:hAnsi="Cambria Math"/>
                      <w:i/>
                    </w:rPr>
                  </m:ctrlPr>
                </m:naryPr>
                <m:sub>
                  <m:r>
                    <m:rPr>
                      <m:sty m:val="p"/>
                    </m:rPr>
                    <w:rPr>
                      <w:rFonts w:ascii="Cambria Math" w:hAnsi="Cambria Math"/>
                    </w:rPr>
                    <m:t>0</m:t>
                  </m:r>
                </m:sub>
                <m:sup>
                  <m:r>
                    <m:rPr>
                      <m:sty m:val="p"/>
                    </m:rPr>
                    <w:rPr>
                      <w:rFonts w:ascii="Cambria Math" w:hAnsi="Cambria Math"/>
                    </w:rPr>
                    <m:t>100%</m:t>
                  </m:r>
                </m:sup>
                <m:e>
                  <m:r>
                    <w:rPr>
                      <w:rFonts w:ascii="Cambria Math" w:hAnsi="Cambria Math"/>
                    </w:rPr>
                    <m:t>P</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j</m:t>
                          </m:r>
                        </m:sub>
                      </m:sSub>
                      <m:r>
                        <w:rPr>
                          <w:rFonts w:ascii="Cambria Math" w:hAnsi="Cambria Math"/>
                        </w:rPr>
                        <m:t>|</m:t>
                      </m:r>
                      <m:r>
                        <m:rPr>
                          <m:sty m:val="p"/>
                        </m:rPr>
                        <w:rPr>
                          <w:rFonts w:ascii="Cambria Math" w:hAnsi="Cambria Math"/>
                        </w:rPr>
                        <m:t>Φ</m:t>
                      </m:r>
                      <m:r>
                        <w:rPr>
                          <w:rFonts w:ascii="Cambria Math" w:hAnsi="Cambria Math"/>
                        </w:rPr>
                        <m:t>,</m:t>
                      </m:r>
                      <m:r>
                        <m:rPr>
                          <m:sty m:val="p"/>
                        </m:rPr>
                        <w:rPr>
                          <w:rFonts w:ascii="Cambria Math" w:hAnsi="Cambria Math"/>
                        </w:rPr>
                        <m:t>Ψ</m:t>
                      </m:r>
                    </m:e>
                  </m:d>
                  <m:r>
                    <w:rPr>
                      <w:rFonts w:ascii="Cambria Math" w:hAnsi="Cambria Math"/>
                    </w:rPr>
                    <m:t>∙</m:t>
                  </m:r>
                  <m:d>
                    <m:dPr>
                      <m:begChr m:val="|"/>
                      <m:endChr m:val="|"/>
                      <m:ctrlPr>
                        <w:rPr>
                          <w:rFonts w:ascii="Cambria Math" w:hAnsi="Cambria Math"/>
                          <w:i/>
                        </w:rPr>
                      </m:ctrlPr>
                    </m:dPr>
                    <m:e>
                      <m:r>
                        <w:rPr>
                          <w:rFonts w:ascii="Cambria Math" w:hAnsi="Cambria Math"/>
                        </w:rPr>
                        <m:t>d</m:t>
                      </m:r>
                      <m:sSub>
                        <m:sSubPr>
                          <m:ctrlPr>
                            <w:rPr>
                              <w:rFonts w:ascii="Cambria Math" w:hAnsi="Cambria Math"/>
                              <w:i/>
                            </w:rPr>
                          </m:ctrlPr>
                        </m:sSubPr>
                        <m:e>
                          <m:r>
                            <w:rPr>
                              <w:rFonts w:ascii="Cambria Math" w:hAnsi="Cambria Math"/>
                            </w:rPr>
                            <m:t>λ</m:t>
                          </m:r>
                        </m:e>
                        <m:sub>
                          <m:r>
                            <m:rPr>
                              <m:sty m:val="p"/>
                            </m:rPr>
                            <w:rPr>
                              <w:rFonts w:ascii="Cambria Math" w:hAnsi="Cambria Math"/>
                            </w:rPr>
                            <m:t>Φ,j</m:t>
                          </m:r>
                        </m:sub>
                      </m:sSub>
                    </m:e>
                  </m:d>
                </m:e>
              </m:nary>
            </m:oMath>
            <w:r w:rsidR="00F80F2E">
              <w:t>,</w:t>
            </w:r>
          </w:p>
        </w:tc>
        <w:tc>
          <w:tcPr>
            <w:tcW w:w="1372" w:type="dxa"/>
            <w:shd w:val="clear" w:color="auto" w:fill="auto"/>
            <w:vAlign w:val="center"/>
          </w:tcPr>
          <w:p w14:paraId="64BA70FB" w14:textId="5413D87B" w:rsidR="009D50F0" w:rsidRPr="005827AC" w:rsidRDefault="009D50F0" w:rsidP="00E06172">
            <w:pPr>
              <w:pStyle w:val="CETEquation"/>
              <w:ind w:left="576" w:right="360"/>
              <w:jc w:val="right"/>
            </w:pPr>
            <w:r>
              <w:t>(</w:t>
            </w:r>
            <w:r w:rsidR="003E7FCA">
              <w:t>2</w:t>
            </w:r>
            <w:r>
              <w:t>)</w:t>
            </w:r>
          </w:p>
        </w:tc>
      </w:tr>
    </w:tbl>
    <w:p w14:paraId="78F4020C" w14:textId="32565D4D" w:rsidR="00F80F2E" w:rsidRDefault="00F80F2E" w:rsidP="009077A6">
      <w:pPr>
        <w:pStyle w:val="CETBodytext"/>
      </w:pPr>
      <w:r>
        <w:t xml:space="preserve">that is, the product of the tsunami occurrence rate (of any intensity) at the site, </w:t>
      </w:r>
      <m:oMath>
        <m:r>
          <w:rPr>
            <w:rFonts w:ascii="Cambria Math" w:hAnsi="Cambria Math"/>
          </w:rPr>
          <m:t>ν</m:t>
        </m:r>
      </m:oMath>
      <w:r>
        <w:t xml:space="preserve">, and the probability of failure given a tsunami event of tank </w:t>
      </w:r>
      <w:r w:rsidRPr="00D206AD">
        <w:rPr>
          <w:rFonts w:asciiTheme="majorHAnsi" w:hAnsiTheme="majorHAnsi"/>
          <w:i/>
          <w:iCs/>
        </w:rPr>
        <w:t>j</w:t>
      </w:r>
      <w:r>
        <w:t xml:space="preserve"> out of </w:t>
      </w:r>
      <w:r w:rsidRPr="00D206AD">
        <w:rPr>
          <w:rFonts w:asciiTheme="majorHAnsi" w:hAnsiTheme="majorHAnsi"/>
          <w:i/>
          <w:iCs/>
        </w:rPr>
        <w:t>n</w:t>
      </w:r>
      <w:r>
        <w:t xml:space="preserve">, </w:t>
      </w:r>
      <m:oMath>
        <m:r>
          <w:rPr>
            <w:rFonts w:ascii="Cambria Math" w:hAnsi="Cambria Math"/>
          </w:rPr>
          <m:t>P</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j</m:t>
                </m:r>
              </m:sub>
            </m:sSub>
          </m:e>
        </m:d>
      </m:oMath>
      <w:r>
        <w:t>, or – equivalently – the integral of the fragility curve times the absolute value of the hazard curve’s</w:t>
      </w:r>
      <w:r w:rsidRPr="00B13EEA">
        <w:t xml:space="preserve"> </w:t>
      </w:r>
      <w:r>
        <w:t>differential. This rate represents the average annual number of tsunamis that trigger the release of contents due to tank structural damage.</w:t>
      </w:r>
    </w:p>
    <w:p w14:paraId="1658CBAA" w14:textId="3971C5FD" w:rsidR="002C02BC" w:rsidRDefault="0099793E" w:rsidP="009077A6">
      <w:pPr>
        <w:pStyle w:val="CETBodytext"/>
      </w:pPr>
      <w:r>
        <w:t xml:space="preserve">For </w:t>
      </w:r>
      <w:r w:rsidR="00C557AF">
        <w:t>the</w:t>
      </w:r>
      <w:r w:rsidR="00C0398C">
        <w:t xml:space="preserve"> </w:t>
      </w:r>
      <w:r w:rsidR="00050131">
        <w:t>consequence</w:t>
      </w:r>
      <w:r w:rsidR="00C0398C">
        <w:t xml:space="preserve"> </w:t>
      </w:r>
      <w:r w:rsidR="00F21B65">
        <w:t>analysis</w:t>
      </w:r>
      <w:r>
        <w:t>, one should</w:t>
      </w:r>
      <w:r w:rsidR="00F21B65">
        <w:t xml:space="preserve"> consider</w:t>
      </w:r>
      <w:r>
        <w:t xml:space="preserve"> </w:t>
      </w:r>
      <w:r w:rsidR="00C0398C">
        <w:t>the</w:t>
      </w:r>
      <w:r w:rsidR="00C34193">
        <w:t xml:space="preserve"> simultaneous</w:t>
      </w:r>
      <w:r w:rsidR="00C0398C">
        <w:t xml:space="preserve"> </w:t>
      </w:r>
      <w:r w:rsidR="00F36BF3">
        <w:t>oc</w:t>
      </w:r>
      <w:r w:rsidR="00C0398C">
        <w:t xml:space="preserve">currence of </w:t>
      </w:r>
      <w:r w:rsidR="00F80F2E">
        <w:t xml:space="preserve">structural </w:t>
      </w:r>
      <w:r w:rsidR="00693CE1">
        <w:t>failure</w:t>
      </w:r>
      <w:r w:rsidR="00F80F2E">
        <w:t xml:space="preserve"> </w:t>
      </w:r>
      <w:r w:rsidR="00693CE1">
        <w:t>in</w:t>
      </w:r>
      <w:r w:rsidR="00C34193">
        <w:t xml:space="preserve"> more than one </w:t>
      </w:r>
      <w:r w:rsidR="00693CE1">
        <w:t>tank</w:t>
      </w:r>
      <w:r w:rsidR="00F21B65">
        <w:t>.</w:t>
      </w:r>
      <w:r w:rsidR="007F3AD2">
        <w:t xml:space="preserve"> </w:t>
      </w:r>
      <w:r w:rsidR="00693CE1">
        <w:t xml:space="preserve">If </w:t>
      </w:r>
      <w:r w:rsidR="00D07896">
        <w:t xml:space="preserve">failure of </w:t>
      </w:r>
      <w:r w:rsidR="00642FBB">
        <w:t xml:space="preserve">various </w:t>
      </w:r>
      <w:r w:rsidR="00234A71">
        <w:t xml:space="preserve">industrial units </w:t>
      </w:r>
      <w:r w:rsidR="00642FBB">
        <w:t>can be assumed stochastically independent</w:t>
      </w:r>
      <w:r w:rsidR="001F3F49">
        <w:t xml:space="preserve"> </w:t>
      </w:r>
      <w:r w:rsidR="001F3F49" w:rsidRPr="0057045A">
        <w:t>(</w:t>
      </w:r>
      <w:proofErr w:type="spellStart"/>
      <w:r w:rsidR="001F3F49" w:rsidRPr="0057045A">
        <w:rPr>
          <w:lang w:val="en-GB"/>
        </w:rPr>
        <w:t>Cozzani</w:t>
      </w:r>
      <w:proofErr w:type="spellEnd"/>
      <w:r w:rsidR="001F3F49" w:rsidRPr="0057045A">
        <w:rPr>
          <w:lang w:val="en-GB"/>
        </w:rPr>
        <w:t xml:space="preserve"> </w:t>
      </w:r>
      <w:r w:rsidR="0057045A" w:rsidRPr="0057045A">
        <w:rPr>
          <w:lang w:val="en-GB"/>
        </w:rPr>
        <w:t>et al. 2014)</w:t>
      </w:r>
      <w:r w:rsidR="000B0EF2" w:rsidRPr="0057045A">
        <w:t xml:space="preserve">, </w:t>
      </w:r>
      <w:r w:rsidR="00377DD3" w:rsidRPr="0057045A">
        <w:t xml:space="preserve">for a group </w:t>
      </w:r>
      <w:r w:rsidR="007266DD">
        <w:t xml:space="preserve">consisting </w:t>
      </w:r>
      <w:r w:rsidR="00377DD3" w:rsidRPr="0057045A">
        <w:t xml:space="preserve">of </w:t>
      </w:r>
      <m:oMath>
        <m:r>
          <w:rPr>
            <w:rFonts w:ascii="Cambria Math" w:hAnsi="Cambria Math"/>
          </w:rPr>
          <m:t>n</m:t>
        </m:r>
      </m:oMath>
      <w:r w:rsidR="0009092F" w:rsidRPr="0057045A">
        <w:t xml:space="preserve"> tanks,</w:t>
      </w:r>
      <w:r w:rsidR="007F3AD2" w:rsidRPr="0057045A">
        <w:t xml:space="preserve"> </w:t>
      </w:r>
      <w:r w:rsidR="004910F7" w:rsidRPr="0057045A">
        <w:t xml:space="preserve">the probability </w:t>
      </w:r>
      <w:r w:rsidR="00F20740" w:rsidRPr="0057045A">
        <w:t xml:space="preserve">to observe </w:t>
      </w:r>
      <w:r w:rsidR="00087831" w:rsidRPr="0057045A">
        <w:t xml:space="preserve">exactly </w:t>
      </w:r>
      <m:oMath>
        <m:r>
          <w:rPr>
            <w:rFonts w:ascii="Cambria Math" w:hAnsi="Cambria Math"/>
          </w:rPr>
          <m:t>k</m:t>
        </m:r>
      </m:oMath>
      <w:r w:rsidR="00E50A84" w:rsidRPr="0057045A">
        <w:t xml:space="preserve"> </w:t>
      </w:r>
      <w:r w:rsidR="0084184E" w:rsidRPr="0057045A">
        <w:t xml:space="preserve">out of </w:t>
      </w:r>
      <m:oMath>
        <m:r>
          <w:rPr>
            <w:rFonts w:ascii="Cambria Math" w:hAnsi="Cambria Math"/>
          </w:rPr>
          <m:t>n</m:t>
        </m:r>
      </m:oMath>
      <w:r w:rsidR="0084184E" w:rsidRPr="0057045A">
        <w:t xml:space="preserve"> </w:t>
      </w:r>
      <w:r w:rsidR="00E50A84" w:rsidRPr="0057045A">
        <w:t xml:space="preserve">failed tanks </w:t>
      </w:r>
      <w:r w:rsidR="009F7577" w:rsidRPr="0057045A">
        <w:t>is</w:t>
      </w:r>
      <w:r w:rsidR="00E22F62" w:rsidRPr="0057045A">
        <w:t>:</w:t>
      </w:r>
    </w:p>
    <w:tbl>
      <w:tblPr>
        <w:tblW w:w="5000" w:type="pct"/>
        <w:tblLook w:val="04A0" w:firstRow="1" w:lastRow="0" w:firstColumn="1" w:lastColumn="0" w:noHBand="0" w:noVBand="1"/>
      </w:tblPr>
      <w:tblGrid>
        <w:gridCol w:w="7415"/>
        <w:gridCol w:w="1372"/>
      </w:tblGrid>
      <w:tr w:rsidR="00256BED" w:rsidRPr="00B57B36" w14:paraId="0174D0CB" w14:textId="77777777" w:rsidTr="00E06172">
        <w:tc>
          <w:tcPr>
            <w:tcW w:w="7513" w:type="dxa"/>
            <w:shd w:val="clear" w:color="auto" w:fill="auto"/>
            <w:vAlign w:val="center"/>
          </w:tcPr>
          <w:p w14:paraId="71399C0F" w14:textId="21EB0FBB" w:rsidR="00256BED" w:rsidRPr="006463C1" w:rsidRDefault="00256BED" w:rsidP="00E06172">
            <w:pPr>
              <w:pStyle w:val="CETEquation"/>
            </w:pPr>
            <m:oMathPara>
              <m:oMathParaPr>
                <m:jc m:val="left"/>
              </m:oMathParaPr>
              <m:oMath>
                <m:r>
                  <w:rPr>
                    <w:rFonts w:ascii="Cambria Math" w:hAnsi="Cambria Math"/>
                  </w:rPr>
                  <m:t>P</m:t>
                </m:r>
                <m:d>
                  <m:dPr>
                    <m:begChr m:val="["/>
                    <m:endChr m:val="]"/>
                    <m:ctrlPr>
                      <w:rPr>
                        <w:rFonts w:ascii="Cambria Math" w:hAnsi="Cambria Math"/>
                        <w:i/>
                      </w:rPr>
                    </m:ctrlPr>
                  </m:dPr>
                  <m:e>
                    <m:r>
                      <w:rPr>
                        <w:rFonts w:ascii="Cambria Math" w:hAnsi="Cambria Math"/>
                      </w:rPr>
                      <m:t>F=k</m:t>
                    </m:r>
                  </m:e>
                </m:d>
                <m:r>
                  <w:rPr>
                    <w:rFonts w:ascii="Cambria Math" w:hAnsi="Cambria Math"/>
                  </w:rPr>
                  <m:t>=</m:t>
                </m:r>
                <m:nary>
                  <m:naryPr>
                    <m:chr m:val="∑"/>
                    <m:limLoc m:val="undOvr"/>
                    <m:ctrlPr>
                      <w:rPr>
                        <w:rFonts w:ascii="Cambria Math" w:hAnsi="Cambria Math"/>
                        <w:i/>
                      </w:rPr>
                    </m:ctrlPr>
                  </m:naryPr>
                  <m:sub>
                    <m:r>
                      <w:rPr>
                        <w:rFonts w:ascii="Cambria Math" w:hAnsi="Cambria Math"/>
                      </w:rPr>
                      <m:t>i=1</m:t>
                    </m:r>
                  </m:sub>
                  <m:sup>
                    <m:d>
                      <m:dPr>
                        <m:ctrlPr>
                          <w:rPr>
                            <w:rFonts w:ascii="Cambria Math" w:hAnsi="Cambria Math"/>
                            <w:i/>
                          </w:rPr>
                        </m:ctrlPr>
                      </m:dPr>
                      <m:e>
                        <m:f>
                          <m:fPr>
                            <m:type m:val="noBar"/>
                            <m:ctrlPr>
                              <w:rPr>
                                <w:rFonts w:ascii="Cambria Math" w:hAnsi="Cambria Math"/>
                                <w:i/>
                              </w:rPr>
                            </m:ctrlPr>
                          </m:fPr>
                          <m:num>
                            <m:r>
                              <w:rPr>
                                <w:rFonts w:ascii="Cambria Math" w:hAnsi="Cambria Math"/>
                              </w:rPr>
                              <m:t>n</m:t>
                            </m:r>
                          </m:num>
                          <m:den>
                            <m:r>
                              <w:rPr>
                                <w:rFonts w:ascii="Cambria Math" w:hAnsi="Cambria Math"/>
                              </w:rPr>
                              <m:t>k</m:t>
                            </m:r>
                          </m:den>
                        </m:f>
                      </m:e>
                    </m:d>
                  </m:sup>
                  <m:e>
                    <m:nary>
                      <m:naryPr>
                        <m:chr m:val="∏"/>
                        <m:limLoc m:val="undOvr"/>
                        <m:ctrlPr>
                          <w:rPr>
                            <w:rFonts w:ascii="Cambria Math" w:hAnsi="Cambria Math"/>
                            <w:i/>
                          </w:rPr>
                        </m:ctrlPr>
                      </m:naryPr>
                      <m:sub>
                        <m:r>
                          <w:rPr>
                            <w:rFonts w:ascii="Cambria Math" w:hAnsi="Cambria Math"/>
                          </w:rPr>
                          <m:t>j=1</m:t>
                        </m:r>
                      </m:sub>
                      <m:sup>
                        <m:r>
                          <w:rPr>
                            <w:rFonts w:ascii="Cambria Math" w:hAnsi="Cambria Math"/>
                          </w:rPr>
                          <m:t>n</m:t>
                        </m:r>
                      </m:sup>
                      <m:e>
                        <m:d>
                          <m:dPr>
                            <m:begChr m:val="{"/>
                            <m:endChr m:val="}"/>
                            <m:ctrlPr>
                              <w:rPr>
                                <w:rFonts w:ascii="Cambria Math" w:hAnsi="Cambria Math"/>
                                <w:i/>
                              </w:rPr>
                            </m:ctrlPr>
                          </m:dPr>
                          <m:e>
                            <m:r>
                              <w:rPr>
                                <w:rFonts w:ascii="Cambria Math" w:hAnsi="Cambria Math"/>
                              </w:rPr>
                              <m:t>1-P</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j</m:t>
                                    </m:r>
                                  </m:sub>
                                </m:sSub>
                              </m:e>
                            </m:d>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m:t>
                            </m:r>
                            <m:d>
                              <m:dPr>
                                <m:ctrlPr>
                                  <w:rPr>
                                    <w:rFonts w:ascii="Cambria Math" w:hAnsi="Cambria Math"/>
                                    <w:i/>
                                  </w:rPr>
                                </m:ctrlPr>
                              </m:dPr>
                              <m:e>
                                <m:r>
                                  <w:rPr>
                                    <w:rFonts w:ascii="Cambria Math" w:hAnsi="Cambria Math"/>
                                  </w:rPr>
                                  <m:t>2∙P</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j</m:t>
                                        </m:r>
                                      </m:sub>
                                    </m:sSub>
                                  </m:e>
                                </m:d>
                                <m:r>
                                  <w:rPr>
                                    <w:rFonts w:ascii="Cambria Math" w:hAnsi="Cambria Math"/>
                                  </w:rPr>
                                  <m:t>-1</m:t>
                                </m:r>
                              </m:e>
                            </m:d>
                          </m:e>
                        </m:d>
                      </m:e>
                    </m:nary>
                  </m:e>
                </m:nary>
              </m:oMath>
            </m:oMathPara>
          </w:p>
        </w:tc>
        <w:tc>
          <w:tcPr>
            <w:tcW w:w="1274" w:type="dxa"/>
            <w:shd w:val="clear" w:color="auto" w:fill="auto"/>
            <w:vAlign w:val="center"/>
          </w:tcPr>
          <w:p w14:paraId="4A24D10E" w14:textId="62A36CD8" w:rsidR="00256BED" w:rsidRPr="005827AC" w:rsidRDefault="00256BED" w:rsidP="00E06172">
            <w:pPr>
              <w:pStyle w:val="CETEquation"/>
              <w:ind w:left="576" w:right="360"/>
              <w:jc w:val="right"/>
            </w:pPr>
            <w:r>
              <w:t>(</w:t>
            </w:r>
            <w:r w:rsidR="0007417D">
              <w:t>3</w:t>
            </w:r>
            <w:r>
              <w:t>)</w:t>
            </w:r>
          </w:p>
        </w:tc>
      </w:tr>
    </w:tbl>
    <w:p w14:paraId="1AD171CF" w14:textId="07FC3259" w:rsidR="00925164" w:rsidRDefault="0012021B" w:rsidP="009077A6">
      <w:pPr>
        <w:pStyle w:val="CETBodytext"/>
      </w:pPr>
      <w:r>
        <w:t>where</w:t>
      </w:r>
      <w:r w:rsidR="00906B60">
        <w:t xml:space="preserve"> </w:t>
      </w:r>
      <m:oMath>
        <m:r>
          <w:rPr>
            <w:rFonts w:ascii="Cambria Math" w:hAnsi="Cambria Math"/>
          </w:rPr>
          <m:t>i=1,2,…,</m:t>
        </m:r>
        <m:d>
          <m:dPr>
            <m:ctrlPr>
              <w:rPr>
                <w:rFonts w:ascii="Cambria Math" w:hAnsi="Cambria Math"/>
                <w:i/>
              </w:rPr>
            </m:ctrlPr>
          </m:dPr>
          <m:e>
            <m:f>
              <m:fPr>
                <m:type m:val="noBar"/>
                <m:ctrlPr>
                  <w:rPr>
                    <w:rFonts w:ascii="Cambria Math" w:hAnsi="Cambria Math"/>
                    <w:i/>
                  </w:rPr>
                </m:ctrlPr>
              </m:fPr>
              <m:num>
                <m:r>
                  <w:rPr>
                    <w:rFonts w:ascii="Cambria Math" w:hAnsi="Cambria Math"/>
                  </w:rPr>
                  <m:t>n</m:t>
                </m:r>
              </m:num>
              <m:den>
                <m:r>
                  <w:rPr>
                    <w:rFonts w:ascii="Cambria Math" w:hAnsi="Cambria Math"/>
                  </w:rPr>
                  <m:t>k</m:t>
                </m:r>
              </m:den>
            </m:f>
          </m:e>
        </m:d>
      </m:oMath>
      <w:r>
        <w:t xml:space="preserve"> </w:t>
      </w:r>
      <w:r w:rsidR="00B11520">
        <w:t xml:space="preserve">is the number of combinations of </w:t>
      </w:r>
      <w:r w:rsidR="00891960" w:rsidRPr="00BB58A6">
        <w:rPr>
          <w:rFonts w:asciiTheme="majorHAnsi" w:hAnsiTheme="majorHAnsi"/>
          <w:i/>
        </w:rPr>
        <w:t>k</w:t>
      </w:r>
      <w:r w:rsidR="00891960">
        <w:t xml:space="preserve"> failed tanks</w:t>
      </w:r>
      <w:r w:rsidR="00CE282A">
        <w:t xml:space="preserve"> out of </w:t>
      </w:r>
      <w:r w:rsidR="00CE282A" w:rsidRPr="00BB58A6">
        <w:rPr>
          <w:rFonts w:asciiTheme="majorHAnsi" w:hAnsiTheme="majorHAnsi"/>
          <w:i/>
          <w:iCs/>
        </w:rPr>
        <w:t>n</w:t>
      </w:r>
      <w:r w:rsidR="00322C27">
        <w:t xml:space="preserve">, and </w:t>
      </w:r>
      <m:oMath>
        <m:r>
          <w:rPr>
            <w:rFonts w:ascii="Cambria Math" w:hAnsi="Cambria Math"/>
          </w:rPr>
          <m:t>j=1,2,…,n</m:t>
        </m:r>
      </m:oMath>
      <w:r w:rsidR="00322C27">
        <w:t xml:space="preserve"> is the number </w:t>
      </w:r>
      <w:r w:rsidR="0084353D">
        <w:t xml:space="preserve">associated to each individual </w:t>
      </w:r>
      <w:r w:rsidR="00322C27">
        <w:t>tank</w:t>
      </w:r>
      <w:r w:rsidR="00891960">
        <w:t>.</w:t>
      </w:r>
      <w:r w:rsidR="00B11520">
        <w:t xml:space="preserve"> </w:t>
      </w:r>
      <w:r w:rsidR="00EB6DD4">
        <w:t>The symbol</w:t>
      </w:r>
      <w:r w:rsidR="00B11520">
        <w:t xml:space="preserve"> </w:t>
      </w:r>
      <m:oMath>
        <m:sSub>
          <m:sSubPr>
            <m:ctrlPr>
              <w:rPr>
                <w:rFonts w:ascii="Cambria Math" w:hAnsi="Cambria Math"/>
                <w:i/>
              </w:rPr>
            </m:ctrlPr>
          </m:sSubPr>
          <m:e>
            <m:r>
              <w:rPr>
                <w:rFonts w:ascii="Cambria Math" w:hAnsi="Cambria Math"/>
              </w:rPr>
              <m:t>δ</m:t>
            </m:r>
          </m:e>
          <m:sub>
            <m:r>
              <w:rPr>
                <w:rFonts w:ascii="Cambria Math" w:hAnsi="Cambria Math"/>
              </w:rPr>
              <m:t>ij</m:t>
            </m:r>
          </m:sub>
        </m:sSub>
      </m:oMath>
      <w:r w:rsidR="00891960">
        <w:t xml:space="preserve">, </w:t>
      </w:r>
      <w:r w:rsidR="00EB6DD4">
        <w:t xml:space="preserve">is an </w:t>
      </w:r>
      <w:r w:rsidR="006A6ADC">
        <w:t>indicator function equaling one</w:t>
      </w:r>
      <w:r w:rsidR="0023109D">
        <w:t xml:space="preserve"> if the </w:t>
      </w:r>
      <w:r w:rsidR="00A22D24" w:rsidRPr="00161E1B">
        <w:rPr>
          <w:rFonts w:asciiTheme="majorHAnsi" w:hAnsiTheme="majorHAnsi"/>
          <w:i/>
          <w:iCs/>
        </w:rPr>
        <w:t>j</w:t>
      </w:r>
      <w:r w:rsidR="00A22D24">
        <w:t>-</w:t>
      </w:r>
      <w:proofErr w:type="spellStart"/>
      <w:r w:rsidR="00A22D24">
        <w:t>th</w:t>
      </w:r>
      <w:proofErr w:type="spellEnd"/>
      <w:r w:rsidR="00A22D24">
        <w:t xml:space="preserve"> </w:t>
      </w:r>
      <w:r w:rsidR="0023109D">
        <w:t xml:space="preserve">tank </w:t>
      </w:r>
      <w:r w:rsidR="00A22D24">
        <w:t xml:space="preserve">has </w:t>
      </w:r>
      <w:r w:rsidR="0023109D">
        <w:t xml:space="preserve">failed, </w:t>
      </w:r>
      <w:r w:rsidR="00A22D24">
        <w:t>and</w:t>
      </w:r>
      <w:r w:rsidR="0023109D">
        <w:t xml:space="preserve"> </w:t>
      </w:r>
      <w:r w:rsidR="006A6ADC">
        <w:t xml:space="preserve">zero </w:t>
      </w:r>
      <w:r w:rsidR="0023109D">
        <w:t>otherwise</w:t>
      </w:r>
      <w:r w:rsidR="000234DA">
        <w:t xml:space="preserve">. </w:t>
      </w:r>
      <w:r w:rsidR="004B7AE7">
        <w:t xml:space="preserve">Finally, </w:t>
      </w:r>
      <w:r w:rsidR="00CB445E">
        <w:t xml:space="preserve">the </w:t>
      </w:r>
      <w:r w:rsidR="0082716B">
        <w:t xml:space="preserve">rate of </w:t>
      </w:r>
      <w:r w:rsidR="00CA09D6">
        <w:t xml:space="preserve">simultaneous </w:t>
      </w:r>
      <w:r w:rsidR="00CB445E">
        <w:t xml:space="preserve">failure of </w:t>
      </w:r>
      <w:r w:rsidR="00CA09D6">
        <w:t xml:space="preserve">k tanks can be obtained from </w:t>
      </w:r>
      <w:proofErr w:type="gramStart"/>
      <w:r w:rsidR="00CA09D6">
        <w:t>Eq(</w:t>
      </w:r>
      <w:proofErr w:type="gramEnd"/>
      <w:r w:rsidR="00CA09D6">
        <w:t>4):</w:t>
      </w:r>
    </w:p>
    <w:tbl>
      <w:tblPr>
        <w:tblW w:w="5000" w:type="pct"/>
        <w:tblLook w:val="04A0" w:firstRow="1" w:lastRow="0" w:firstColumn="1" w:lastColumn="0" w:noHBand="0" w:noVBand="1"/>
      </w:tblPr>
      <w:tblGrid>
        <w:gridCol w:w="7415"/>
        <w:gridCol w:w="1372"/>
      </w:tblGrid>
      <w:tr w:rsidR="00154DD9" w:rsidRPr="00B57B36" w14:paraId="01EB0C8C" w14:textId="77777777" w:rsidTr="00CA09D6">
        <w:tc>
          <w:tcPr>
            <w:tcW w:w="7415" w:type="dxa"/>
            <w:shd w:val="clear" w:color="auto" w:fill="auto"/>
            <w:vAlign w:val="center"/>
          </w:tcPr>
          <w:p w14:paraId="6DEA5808" w14:textId="2164C81F" w:rsidR="00154DD9" w:rsidRPr="006463C1" w:rsidRDefault="00000000" w:rsidP="00E06172">
            <w:pPr>
              <w:pStyle w:val="CETEquation"/>
            </w:pPr>
            <m:oMath>
              <m:sSub>
                <m:sSubPr>
                  <m:ctrlPr>
                    <w:rPr>
                      <w:rFonts w:ascii="Cambria Math" w:hAnsi="Cambria Math"/>
                      <w:i/>
                    </w:rPr>
                  </m:ctrlPr>
                </m:sSubPr>
                <m:e>
                  <m:r>
                    <w:rPr>
                      <w:rFonts w:ascii="Cambria Math" w:hAnsi="Cambria Math"/>
                    </w:rPr>
                    <m:t>λ</m:t>
                  </m:r>
                </m:e>
                <m:sub>
                  <m:r>
                    <w:rPr>
                      <w:rFonts w:ascii="Cambria Math" w:hAnsi="Cambria Math"/>
                    </w:rPr>
                    <m:t>f</m:t>
                  </m:r>
                </m:sub>
              </m:sSub>
              <m:d>
                <m:dPr>
                  <m:ctrlPr>
                    <w:rPr>
                      <w:rFonts w:ascii="Cambria Math" w:hAnsi="Cambria Math"/>
                      <w:i/>
                    </w:rPr>
                  </m:ctrlPr>
                </m:dPr>
                <m:e>
                  <m:r>
                    <w:rPr>
                      <w:rFonts w:ascii="Cambria Math" w:hAnsi="Cambria Math"/>
                    </w:rPr>
                    <m:t>k</m:t>
                  </m:r>
                </m:e>
              </m:d>
              <m:r>
                <w:rPr>
                  <w:rFonts w:ascii="Cambria Math" w:hAnsi="Cambria Math"/>
                </w:rPr>
                <m:t>=ν∙P</m:t>
              </m:r>
              <m:d>
                <m:dPr>
                  <m:begChr m:val="["/>
                  <m:endChr m:val="]"/>
                  <m:ctrlPr>
                    <w:rPr>
                      <w:rFonts w:ascii="Cambria Math" w:hAnsi="Cambria Math"/>
                      <w:i/>
                    </w:rPr>
                  </m:ctrlPr>
                </m:dPr>
                <m:e>
                  <m:r>
                    <w:rPr>
                      <w:rFonts w:ascii="Cambria Math" w:hAnsi="Cambria Math"/>
                    </w:rPr>
                    <m:t>F=k</m:t>
                  </m:r>
                </m:e>
              </m:d>
            </m:oMath>
            <w:r w:rsidR="004B7AE7">
              <w:t>.</w:t>
            </w:r>
          </w:p>
        </w:tc>
        <w:tc>
          <w:tcPr>
            <w:tcW w:w="1372" w:type="dxa"/>
            <w:shd w:val="clear" w:color="auto" w:fill="auto"/>
            <w:vAlign w:val="center"/>
          </w:tcPr>
          <w:p w14:paraId="5240257D" w14:textId="05ACA9BE" w:rsidR="00154DD9" w:rsidRPr="005827AC" w:rsidRDefault="00154DD9" w:rsidP="00E06172">
            <w:pPr>
              <w:pStyle w:val="CETEquation"/>
              <w:ind w:left="576" w:right="360"/>
              <w:jc w:val="right"/>
            </w:pPr>
            <w:r>
              <w:t>(</w:t>
            </w:r>
            <w:r w:rsidR="005D32EC">
              <w:t>4</w:t>
            </w:r>
            <w:r>
              <w:t>)</w:t>
            </w:r>
          </w:p>
        </w:tc>
      </w:tr>
    </w:tbl>
    <w:p w14:paraId="6E3BF92D" w14:textId="44501BF8" w:rsidR="00ED5BCD" w:rsidRDefault="00ED5BCD" w:rsidP="00ED5BCD">
      <w:pPr>
        <w:pStyle w:val="CETheadingx"/>
      </w:pPr>
      <w:r>
        <w:t>Consequence analysis</w:t>
      </w:r>
      <w:r w:rsidR="1FA796C7">
        <w:t xml:space="preserve"> and risk assessment</w:t>
      </w:r>
    </w:p>
    <w:p w14:paraId="0DD31AC1" w14:textId="64745F26" w:rsidR="00ED5BCD" w:rsidRDefault="00ED5BCD" w:rsidP="00ED5BCD">
      <w:pPr>
        <w:pStyle w:val="CETBodytext"/>
      </w:pPr>
      <w:r>
        <w:t xml:space="preserve">Considering the failure </w:t>
      </w:r>
      <w:r w:rsidRPr="00D91FBB">
        <w:rPr>
          <w:lang w:val="en-GB"/>
        </w:rPr>
        <w:t>mechanisms</w:t>
      </w:r>
      <w:r>
        <w:rPr>
          <w:lang w:val="en-GB"/>
        </w:rPr>
        <w:t xml:space="preserve"> </w:t>
      </w:r>
      <w:r>
        <w:t xml:space="preserve">described in Section 2.2, the instantaneous release of the complete tank </w:t>
      </w:r>
      <w:r w:rsidR="00E00DB6">
        <w:t>content</w:t>
      </w:r>
      <w:r>
        <w:t xml:space="preserve"> was considered in the consequence analysis. In addition, a worst-case approach was applied </w:t>
      </w:r>
      <w:r w:rsidR="00886955">
        <w:t>to</w:t>
      </w:r>
      <w:r>
        <w:t xml:space="preserve"> the </w:t>
      </w:r>
      <w:r w:rsidR="007B3C94">
        <w:t>QRA</w:t>
      </w:r>
      <w:r>
        <w:t xml:space="preserve">, </w:t>
      </w:r>
      <w:r w:rsidR="007B3C94">
        <w:t>following</w:t>
      </w:r>
      <w:r>
        <w:t xml:space="preserve"> Ricci et al. </w:t>
      </w:r>
      <w:r w:rsidR="003D7B15">
        <w:t>(</w:t>
      </w:r>
      <w:r>
        <w:t xml:space="preserve">2024). The method </w:t>
      </w:r>
      <w:r w:rsidR="003C4A09">
        <w:t xml:space="preserve">entails </w:t>
      </w:r>
      <w:r>
        <w:t xml:space="preserve">including a single </w:t>
      </w:r>
      <w:r w:rsidR="00CB64EE">
        <w:t>representative</w:t>
      </w:r>
      <w:r>
        <w:t xml:space="preserve"> scenario</w:t>
      </w:r>
      <w:r w:rsidRPr="00BE5C92">
        <w:t xml:space="preserve"> </w:t>
      </w:r>
      <w:r>
        <w:t xml:space="preserve">for each tank in the analysis, </w:t>
      </w:r>
      <w:r w:rsidR="00CB64EE">
        <w:t xml:space="preserve">chosen to be </w:t>
      </w:r>
      <w:r>
        <w:t>the worst</w:t>
      </w:r>
      <w:r w:rsidR="00E00DB6">
        <w:t>-</w:t>
      </w:r>
      <w:r w:rsidR="003C4A09">
        <w:t xml:space="preserve">case </w:t>
      </w:r>
      <w:r>
        <w:t xml:space="preserve">in terms of consequences. </w:t>
      </w:r>
      <w:r w:rsidR="27346328">
        <w:t xml:space="preserve">The </w:t>
      </w:r>
      <w:r w:rsidR="3ED8D0B9">
        <w:t>quantification of Na</w:t>
      </w:r>
      <w:r w:rsidR="00497BAC">
        <w:t>T</w:t>
      </w:r>
      <w:r w:rsidR="3ED8D0B9">
        <w:t xml:space="preserve">ech scenarios including the possibility of simultaneous multiple equipment failures was performed following </w:t>
      </w:r>
      <w:r w:rsidR="6CA783A4">
        <w:t xml:space="preserve">the methodology proposed by </w:t>
      </w:r>
      <w:proofErr w:type="spellStart"/>
      <w:r w:rsidR="6CA783A4">
        <w:t>Cozzani</w:t>
      </w:r>
      <w:proofErr w:type="spellEnd"/>
      <w:r w:rsidR="004645D9">
        <w:t xml:space="preserve"> </w:t>
      </w:r>
      <w:r w:rsidR="6CA783A4">
        <w:t>et al. (20</w:t>
      </w:r>
      <w:r w:rsidR="4E895166">
        <w:t>1</w:t>
      </w:r>
      <w:r w:rsidR="6CA783A4">
        <w:t xml:space="preserve">4). </w:t>
      </w:r>
      <w:r>
        <w:t xml:space="preserve">Individual and societal risk </w:t>
      </w:r>
      <w:r w:rsidR="005073C4">
        <w:t>indices</w:t>
      </w:r>
      <w:r>
        <w:t xml:space="preserve"> can </w:t>
      </w:r>
      <w:r w:rsidR="00EF6D55">
        <w:t>then</w:t>
      </w:r>
      <w:r>
        <w:t xml:space="preserve"> be calculated, </w:t>
      </w:r>
      <w:r w:rsidR="000163EC">
        <w:t>reflecting</w:t>
      </w:r>
      <w:r>
        <w:t xml:space="preserve"> the consequences </w:t>
      </w:r>
      <w:r w:rsidR="000163EC">
        <w:t xml:space="preserve">of the technological scenarios </w:t>
      </w:r>
      <w:r>
        <w:t xml:space="preserve">on human </w:t>
      </w:r>
      <w:r w:rsidR="000163EC">
        <w:t>life</w:t>
      </w:r>
      <w:r>
        <w:t xml:space="preserve">. Specifically, </w:t>
      </w:r>
      <w:r w:rsidR="001C4525">
        <w:t>consequences are</w:t>
      </w:r>
      <w:r>
        <w:t xml:space="preserve"> </w:t>
      </w:r>
      <w:r w:rsidR="003644CE">
        <w:t>quantified via</w:t>
      </w:r>
      <w:r w:rsidR="009F158A">
        <w:t xml:space="preserve"> </w:t>
      </w:r>
      <w:r w:rsidR="006E50AD">
        <w:t>(local</w:t>
      </w:r>
      <w:r w:rsidR="3C2CCF4F">
        <w:t xml:space="preserve"> specific</w:t>
      </w:r>
      <w:r>
        <w:t>) map</w:t>
      </w:r>
      <w:r w:rsidR="001E4017">
        <w:t>s</w:t>
      </w:r>
      <w:r w:rsidR="3C2CCF4F">
        <w:t xml:space="preserve"> of the</w:t>
      </w:r>
      <w:r w:rsidR="009F158A">
        <w:t xml:space="preserve"> </w:t>
      </w:r>
      <w:r w:rsidR="00E00DB6" w:rsidRPr="00A21DF8">
        <w:rPr>
          <w:i/>
          <w:iCs/>
        </w:rPr>
        <w:t>i</w:t>
      </w:r>
      <w:r w:rsidR="009F158A" w:rsidRPr="00A21DF8">
        <w:rPr>
          <w:i/>
          <w:iCs/>
        </w:rPr>
        <w:t xml:space="preserve">ndividual </w:t>
      </w:r>
      <w:r w:rsidR="00E00DB6" w:rsidRPr="00A21DF8">
        <w:rPr>
          <w:i/>
          <w:iCs/>
        </w:rPr>
        <w:t>r</w:t>
      </w:r>
      <w:r w:rsidR="009F158A" w:rsidRPr="00A21DF8">
        <w:rPr>
          <w:i/>
          <w:iCs/>
        </w:rPr>
        <w:t>isk</w:t>
      </w:r>
      <w:r w:rsidR="009F158A">
        <w:t xml:space="preserve"> </w:t>
      </w:r>
      <w:r>
        <w:t>(IR)</w:t>
      </w:r>
      <w:r w:rsidR="00CD6051">
        <w:t>. In these maps</w:t>
      </w:r>
      <w:r w:rsidR="009F158A">
        <w:t>,</w:t>
      </w:r>
      <w:r w:rsidR="00CD6051">
        <w:t xml:space="preserve"> </w:t>
      </w:r>
      <w:r>
        <w:t xml:space="preserve">the annual death </w:t>
      </w:r>
      <w:r w:rsidR="006E0DB7">
        <w:t xml:space="preserve">rates </w:t>
      </w:r>
      <w:r>
        <w:t xml:space="preserve">of an </w:t>
      </w:r>
      <w:r w:rsidR="00BA004D">
        <w:t xml:space="preserve">unprotected </w:t>
      </w:r>
      <w:r>
        <w:t>individual</w:t>
      </w:r>
      <w:r w:rsidR="00DC1462">
        <w:t xml:space="preserve">, assumed in a </w:t>
      </w:r>
      <w:r w:rsidR="005853FE">
        <w:t xml:space="preserve">specific location </w:t>
      </w:r>
      <w:r w:rsidR="0089115C">
        <w:t>around the area of the plant,</w:t>
      </w:r>
      <w:r w:rsidR="00E00DB6">
        <w:t xml:space="preserve"> </w:t>
      </w:r>
      <w:r w:rsidR="00DB3213">
        <w:t>continuously</w:t>
      </w:r>
      <w:r>
        <w:t xml:space="preserve"> exposed to </w:t>
      </w:r>
      <w:r w:rsidR="00DB3213">
        <w:t>accident</w:t>
      </w:r>
      <w:r>
        <w:t xml:space="preserve"> scenario</w:t>
      </w:r>
      <w:r w:rsidR="00413983">
        <w:t xml:space="preserve">s arising from </w:t>
      </w:r>
      <w:r w:rsidR="03F4E755">
        <w:t xml:space="preserve">all the </w:t>
      </w:r>
      <w:r w:rsidR="7E7BA3B2">
        <w:t xml:space="preserve">risk sources considered </w:t>
      </w:r>
      <w:r w:rsidR="652726C1">
        <w:t>are reported</w:t>
      </w:r>
      <w:r>
        <w:t xml:space="preserve">. The societal risk, </w:t>
      </w:r>
      <w:r w:rsidR="009D4D4D">
        <w:t>on the other hand</w:t>
      </w:r>
      <w:r>
        <w:t xml:space="preserve">, is </w:t>
      </w:r>
      <w:r w:rsidR="009E7960">
        <w:t>a mea</w:t>
      </w:r>
      <w:r w:rsidR="008778CF">
        <w:t>sure to evaluate the risk of multiple fatalities</w:t>
      </w:r>
      <w:r>
        <w:t xml:space="preserve">. The outcomes are illustrated </w:t>
      </w:r>
      <w:r w:rsidR="007E2F05">
        <w:t xml:space="preserve">by means of </w:t>
      </w:r>
      <w:r>
        <w:t xml:space="preserve">F/N plots, in which N is the number of deaths and F(N) is the cumulative </w:t>
      </w:r>
      <w:r w:rsidR="00BC62CB">
        <w:t xml:space="preserve">annual </w:t>
      </w:r>
      <w:r>
        <w:t>frequency of accidents with N or more deaths (</w:t>
      </w:r>
      <w:proofErr w:type="spellStart"/>
      <w:r w:rsidRPr="00B70E73">
        <w:t>Uijt</w:t>
      </w:r>
      <w:proofErr w:type="spellEnd"/>
      <w:r w:rsidRPr="00B70E73">
        <w:t xml:space="preserve"> de Haag, Ale</w:t>
      </w:r>
      <w:r>
        <w:t xml:space="preserve">, 2005). </w:t>
      </w:r>
      <w:r w:rsidR="008778CF">
        <w:t>S</w:t>
      </w:r>
      <w:r>
        <w:t xml:space="preserve">ocietal risk can be </w:t>
      </w:r>
      <w:r w:rsidR="00C32F3C">
        <w:t xml:space="preserve">also </w:t>
      </w:r>
      <w:r>
        <w:t xml:space="preserve">expressed </w:t>
      </w:r>
      <w:r w:rsidR="008778CF">
        <w:t xml:space="preserve">using </w:t>
      </w:r>
      <w:r w:rsidR="00D4446F">
        <w:t xml:space="preserve">more concise </w:t>
      </w:r>
      <w:r>
        <w:t xml:space="preserve">risk </w:t>
      </w:r>
      <w:r w:rsidR="005073C4">
        <w:t>indices</w:t>
      </w:r>
      <w:r w:rsidR="00D4446F">
        <w:t>:</w:t>
      </w:r>
      <w:r>
        <w:t xml:space="preserve"> the </w:t>
      </w:r>
      <w:r w:rsidR="00FE51BE">
        <w:t xml:space="preserve">Potential Life Loss </w:t>
      </w:r>
      <m:oMath>
        <m:d>
          <m:dPr>
            <m:ctrlPr>
              <w:rPr>
                <w:rFonts w:ascii="Cambria Math" w:hAnsi="Cambria Math"/>
                <w:i/>
              </w:rPr>
            </m:ctrlPr>
          </m:dPr>
          <m:e>
            <m:r>
              <w:rPr>
                <w:rFonts w:ascii="Cambria Math" w:hAnsi="Cambria Math"/>
              </w:rPr>
              <m:t>PLL</m:t>
            </m:r>
          </m:e>
        </m:d>
      </m:oMath>
      <w:r>
        <w:t xml:space="preserve"> and the </w:t>
      </w:r>
      <w:r w:rsidR="00FE51BE">
        <w:t xml:space="preserve">Expectation Value </w:t>
      </w:r>
      <m:oMath>
        <m:d>
          <m:dPr>
            <m:ctrlPr>
              <w:rPr>
                <w:rFonts w:ascii="Cambria Math" w:hAnsi="Cambria Math"/>
                <w:i/>
              </w:rPr>
            </m:ctrlPr>
          </m:dPr>
          <m:e>
            <m:r>
              <w:rPr>
                <w:rFonts w:ascii="Cambria Math" w:hAnsi="Cambria Math"/>
              </w:rPr>
              <m:t>EV</m:t>
            </m:r>
          </m:e>
        </m:d>
      </m:oMath>
      <w:r w:rsidR="00E7270A">
        <w:t>,</w:t>
      </w:r>
      <w:r>
        <w:t xml:space="preserve"> calculated according to </w:t>
      </w:r>
      <w:proofErr w:type="spellStart"/>
      <w:r>
        <w:t>Eq</w:t>
      </w:r>
      <w:r w:rsidR="00E7270A">
        <w:t>s</w:t>
      </w:r>
      <w:proofErr w:type="spellEnd"/>
      <w:r w:rsidR="28E3677E">
        <w:t xml:space="preserve"> </w:t>
      </w:r>
      <w:r>
        <w:t>(5) and (6) respectively:</w:t>
      </w:r>
    </w:p>
    <w:tbl>
      <w:tblPr>
        <w:tblW w:w="5000" w:type="pct"/>
        <w:tblLook w:val="04A0" w:firstRow="1" w:lastRow="0" w:firstColumn="1" w:lastColumn="0" w:noHBand="0" w:noVBand="1"/>
      </w:tblPr>
      <w:tblGrid>
        <w:gridCol w:w="7415"/>
        <w:gridCol w:w="1372"/>
      </w:tblGrid>
      <w:tr w:rsidR="00ED5BCD" w:rsidRPr="00B57B36" w14:paraId="41AE686A" w14:textId="77777777">
        <w:tc>
          <w:tcPr>
            <w:tcW w:w="7415" w:type="dxa"/>
            <w:shd w:val="clear" w:color="auto" w:fill="auto"/>
            <w:vAlign w:val="center"/>
          </w:tcPr>
          <w:p w14:paraId="3FDF35C6" w14:textId="7A0CADDE" w:rsidR="00ED5BCD" w:rsidRPr="006463C1" w:rsidRDefault="00ED5BCD">
            <w:pPr>
              <w:pStyle w:val="CETEquation"/>
            </w:pPr>
            <m:oMathPara>
              <m:oMathParaPr>
                <m:jc m:val="left"/>
              </m:oMathParaPr>
              <m:oMath>
                <m:r>
                  <w:rPr>
                    <w:rFonts w:ascii="Cambria Math" w:hAnsi="Cambria Math"/>
                  </w:rPr>
                  <m:t>PLL=</m:t>
                </m:r>
                <m:nary>
                  <m:naryPr>
                    <m:chr m:val="∑"/>
                    <m:limLoc m:val="subSup"/>
                    <m:supHide m:val="1"/>
                    <m:ctrlPr>
                      <w:rPr>
                        <w:rFonts w:ascii="Cambria Math" w:hAnsi="Cambria Math"/>
                        <w:i/>
                      </w:rPr>
                    </m:ctrlPr>
                  </m:naryPr>
                  <m:sub>
                    <m:r>
                      <w:rPr>
                        <w:rFonts w:ascii="Cambria Math" w:hAnsi="Cambria Math"/>
                      </w:rPr>
                      <m:t>N</m:t>
                    </m:r>
                  </m:sub>
                  <m:sup/>
                  <m:e>
                    <m:r>
                      <w:rPr>
                        <w:rFonts w:ascii="Cambria Math" w:hAnsi="Cambria Math"/>
                      </w:rPr>
                      <m:t>f</m:t>
                    </m:r>
                    <m:d>
                      <m:dPr>
                        <m:ctrlPr>
                          <w:rPr>
                            <w:rFonts w:ascii="Cambria Math" w:hAnsi="Cambria Math"/>
                            <w:i/>
                          </w:rPr>
                        </m:ctrlPr>
                      </m:dPr>
                      <m:e>
                        <m:r>
                          <w:rPr>
                            <w:rFonts w:ascii="Cambria Math" w:hAnsi="Cambria Math"/>
                          </w:rPr>
                          <m:t>N</m:t>
                        </m:r>
                      </m:e>
                    </m:d>
                    <m:r>
                      <w:rPr>
                        <w:rFonts w:ascii="Cambria Math" w:hAnsi="Cambria Math"/>
                      </w:rPr>
                      <m:t xml:space="preserve">∙N </m:t>
                    </m:r>
                  </m:e>
                </m:nary>
              </m:oMath>
            </m:oMathPara>
          </w:p>
        </w:tc>
        <w:tc>
          <w:tcPr>
            <w:tcW w:w="1372" w:type="dxa"/>
            <w:shd w:val="clear" w:color="auto" w:fill="auto"/>
            <w:vAlign w:val="center"/>
          </w:tcPr>
          <w:p w14:paraId="711EB263" w14:textId="17F8519A" w:rsidR="00ED5BCD" w:rsidRPr="005827AC" w:rsidRDefault="00ED5BCD">
            <w:pPr>
              <w:pStyle w:val="CETEquation"/>
              <w:ind w:left="576" w:right="360"/>
              <w:jc w:val="right"/>
            </w:pPr>
            <w:r>
              <w:t>(5)</w:t>
            </w:r>
          </w:p>
        </w:tc>
      </w:tr>
      <w:tr w:rsidR="00ED5BCD" w:rsidRPr="00B57B36" w14:paraId="69AA2F3C" w14:textId="77777777">
        <w:tc>
          <w:tcPr>
            <w:tcW w:w="7415" w:type="dxa"/>
            <w:shd w:val="clear" w:color="auto" w:fill="auto"/>
            <w:vAlign w:val="center"/>
          </w:tcPr>
          <w:p w14:paraId="26608E0A" w14:textId="1F6392E5" w:rsidR="00ED5BCD" w:rsidRPr="006463C1" w:rsidRDefault="00ED5BCD">
            <w:pPr>
              <w:pStyle w:val="CETEquation"/>
            </w:pPr>
            <m:oMathPara>
              <m:oMathParaPr>
                <m:jc m:val="left"/>
              </m:oMathParaPr>
              <m:oMath>
                <m:r>
                  <w:rPr>
                    <w:rFonts w:ascii="Cambria Math" w:hAnsi="Cambria Math"/>
                  </w:rPr>
                  <m:t>EV=</m:t>
                </m:r>
                <m:nary>
                  <m:naryPr>
                    <m:chr m:val="∑"/>
                    <m:limLoc m:val="subSup"/>
                    <m:supHide m:val="1"/>
                    <m:ctrlPr>
                      <w:rPr>
                        <w:rFonts w:ascii="Cambria Math" w:hAnsi="Cambria Math"/>
                        <w:i/>
                      </w:rPr>
                    </m:ctrlPr>
                  </m:naryPr>
                  <m:sub>
                    <m:r>
                      <w:rPr>
                        <w:rFonts w:ascii="Cambria Math" w:hAnsi="Cambria Math"/>
                      </w:rPr>
                      <m:t>N</m:t>
                    </m:r>
                  </m:sub>
                  <m:sup/>
                  <m:e>
                    <m:r>
                      <w:rPr>
                        <w:rFonts w:ascii="Cambria Math" w:hAnsi="Cambria Math"/>
                      </w:rPr>
                      <m:t>f</m:t>
                    </m:r>
                    <m:d>
                      <m:dPr>
                        <m:ctrlPr>
                          <w:rPr>
                            <w:rFonts w:ascii="Cambria Math" w:hAnsi="Cambria Math"/>
                            <w:i/>
                          </w:rPr>
                        </m:ctrlPr>
                      </m:dPr>
                      <m:e>
                        <m:r>
                          <w:rPr>
                            <w:rFonts w:ascii="Cambria Math" w:hAnsi="Cambria Math"/>
                          </w:rPr>
                          <m:t>N</m:t>
                        </m:r>
                      </m:e>
                    </m:d>
                    <m:r>
                      <w:rPr>
                        <w:rFonts w:ascii="Cambria Math" w:hAnsi="Cambria Math"/>
                      </w:rPr>
                      <m:t>∙</m:t>
                    </m:r>
                    <m:sSup>
                      <m:sSupPr>
                        <m:ctrlPr>
                          <w:rPr>
                            <w:rFonts w:ascii="Cambria Math" w:hAnsi="Cambria Math"/>
                            <w:i/>
                          </w:rPr>
                        </m:ctrlPr>
                      </m:sSupPr>
                      <m:e>
                        <m:r>
                          <w:rPr>
                            <w:rFonts w:ascii="Cambria Math" w:hAnsi="Cambria Math"/>
                          </w:rPr>
                          <m:t>N</m:t>
                        </m:r>
                      </m:e>
                      <m:sup>
                        <m:r>
                          <w:rPr>
                            <w:rFonts w:ascii="Cambria Math" w:hAnsi="Cambria Math"/>
                          </w:rPr>
                          <m:t>α</m:t>
                        </m:r>
                      </m:sup>
                    </m:sSup>
                  </m:e>
                </m:nary>
              </m:oMath>
            </m:oMathPara>
          </w:p>
        </w:tc>
        <w:tc>
          <w:tcPr>
            <w:tcW w:w="1372" w:type="dxa"/>
            <w:shd w:val="clear" w:color="auto" w:fill="auto"/>
            <w:vAlign w:val="center"/>
          </w:tcPr>
          <w:p w14:paraId="6135D7F1" w14:textId="0F00A2CF" w:rsidR="00ED5BCD" w:rsidRPr="005827AC" w:rsidRDefault="00ED5BCD">
            <w:pPr>
              <w:pStyle w:val="CETEquation"/>
              <w:ind w:left="576" w:right="360"/>
              <w:jc w:val="right"/>
            </w:pPr>
            <w:r>
              <w:t>(6)</w:t>
            </w:r>
          </w:p>
        </w:tc>
      </w:tr>
    </w:tbl>
    <w:p w14:paraId="6072114B" w14:textId="096DE021" w:rsidR="00ED5BCD" w:rsidRDefault="00ED5BCD" w:rsidP="00ED5BCD">
      <w:pPr>
        <w:pStyle w:val="CETBodytext"/>
      </w:pPr>
      <w:r>
        <w:t xml:space="preserve">in which </w:t>
      </w:r>
      <m:oMath>
        <m:r>
          <w:rPr>
            <w:rFonts w:ascii="Cambria Math" w:hAnsi="Cambria Math"/>
          </w:rPr>
          <m:t>f</m:t>
        </m:r>
        <m:d>
          <m:dPr>
            <m:ctrlPr>
              <w:rPr>
                <w:rFonts w:ascii="Cambria Math" w:hAnsi="Cambria Math"/>
                <w:i/>
              </w:rPr>
            </m:ctrlPr>
          </m:dPr>
          <m:e>
            <m:r>
              <w:rPr>
                <w:rFonts w:ascii="Cambria Math" w:hAnsi="Cambria Math"/>
              </w:rPr>
              <m:t>N</m:t>
            </m:r>
          </m:e>
        </m:d>
      </m:oMath>
      <w:r>
        <w:t xml:space="preserve"> is the annual frequency of scenario</w:t>
      </w:r>
      <w:r w:rsidR="00E7270A">
        <w:t>s</w:t>
      </w:r>
      <w:r>
        <w:t xml:space="preserve"> causing </w:t>
      </w:r>
      <m:oMath>
        <m:r>
          <w:rPr>
            <w:rFonts w:ascii="Cambria Math" w:hAnsi="Cambria Math"/>
          </w:rPr>
          <m:t>N</m:t>
        </m:r>
      </m:oMath>
      <w:r>
        <w:t xml:space="preserve"> fatalities</w:t>
      </w:r>
      <w:r w:rsidR="005A5272">
        <w:t>,</w:t>
      </w:r>
      <w:r>
        <w:t xml:space="preserve"> and </w:t>
      </w:r>
      <m:oMath>
        <m:r>
          <w:rPr>
            <w:rFonts w:ascii="Cambria Math" w:hAnsi="Cambria Math"/>
          </w:rPr>
          <m:t>α</m:t>
        </m:r>
      </m:oMath>
      <w:r>
        <w:t xml:space="preserve"> is a parameter </w:t>
      </w:r>
      <w:r w:rsidR="005A5272">
        <w:t xml:space="preserve">used to </w:t>
      </w:r>
      <w:r>
        <w:rPr>
          <w:lang w:val="en-GB"/>
        </w:rPr>
        <w:t xml:space="preserve">give </w:t>
      </w:r>
      <w:r w:rsidRPr="00827B21">
        <w:rPr>
          <w:lang w:val="en-GB"/>
        </w:rPr>
        <w:t xml:space="preserve">more relevance to the </w:t>
      </w:r>
      <w:r>
        <w:rPr>
          <w:lang w:val="en-GB"/>
        </w:rPr>
        <w:t xml:space="preserve">consequences of the accidents </w:t>
      </w:r>
      <w:r w:rsidR="001D6ACF">
        <w:rPr>
          <w:lang w:val="en-GB"/>
        </w:rPr>
        <w:t xml:space="preserve">leading to multiple fatalities. In the present study, a value of 2 is attributed to the </w:t>
      </w:r>
      <m:oMath>
        <m:r>
          <w:rPr>
            <w:rFonts w:ascii="Cambria Math" w:hAnsi="Cambria Math"/>
          </w:rPr>
          <m:t>α</m:t>
        </m:r>
      </m:oMath>
      <w:r w:rsidR="001D6ACF">
        <w:t xml:space="preserve"> parameter</w:t>
      </w:r>
      <w:r w:rsidR="000D7F2C">
        <w:rPr>
          <w:lang w:val="en-GB"/>
        </w:rPr>
        <w:t xml:space="preserve"> </w:t>
      </w:r>
      <w:r>
        <w:rPr>
          <w:lang w:val="en-GB"/>
        </w:rPr>
        <w:t>(</w:t>
      </w:r>
      <w:proofErr w:type="spellStart"/>
      <w:r>
        <w:rPr>
          <w:lang w:val="en-GB"/>
        </w:rPr>
        <w:t>Misuri</w:t>
      </w:r>
      <w:proofErr w:type="spellEnd"/>
      <w:r>
        <w:rPr>
          <w:lang w:val="en-GB"/>
        </w:rPr>
        <w:t xml:space="preserve"> et al</w:t>
      </w:r>
      <w:r w:rsidR="000B7BAE">
        <w:rPr>
          <w:lang w:val="en-GB"/>
        </w:rPr>
        <w:t>.</w:t>
      </w:r>
      <w:r>
        <w:rPr>
          <w:lang w:val="en-GB"/>
        </w:rPr>
        <w:t xml:space="preserve"> 2023).</w:t>
      </w:r>
      <w:r w:rsidR="0A7266B2">
        <w:rPr>
          <w:lang w:val="en-GB"/>
        </w:rPr>
        <w:t xml:space="preserve"> </w:t>
      </w:r>
      <w:r w:rsidR="0A7266B2">
        <w:t xml:space="preserve">A conventional QRA for the industrial site was also performed following the approach proposed by </w:t>
      </w:r>
      <w:proofErr w:type="spellStart"/>
      <w:r w:rsidR="0A7266B2">
        <w:t>Uijt</w:t>
      </w:r>
      <w:proofErr w:type="spellEnd"/>
      <w:r w:rsidR="0A7266B2">
        <w:t xml:space="preserve"> de Haag and Ale (2005)</w:t>
      </w:r>
      <w:r w:rsidR="627306C8">
        <w:t xml:space="preserve"> </w:t>
      </w:r>
      <w:r w:rsidR="0A7266B2">
        <w:t>to compare the results of risk figures.</w:t>
      </w:r>
      <w:r w:rsidR="185F1D21">
        <w:t xml:space="preserve"> </w:t>
      </w:r>
      <w:r w:rsidR="0DE87D59">
        <w:t>Specifically,</w:t>
      </w:r>
      <w:r w:rsidR="185F1D21">
        <w:t xml:space="preserve"> F/N curves were calculated </w:t>
      </w:r>
      <w:r w:rsidR="7C5554A2">
        <w:t>considering</w:t>
      </w:r>
      <w:r w:rsidR="1F3F4AF9">
        <w:t xml:space="preserve"> only internal failures</w:t>
      </w:r>
      <w:r w:rsidR="7C5554A2">
        <w:t xml:space="preserve"> </w:t>
      </w:r>
      <w:r w:rsidR="3C8383F8">
        <w:t>and including also the scenarios triggered by the tsunami (Antonioni et al. 2009).</w:t>
      </w:r>
    </w:p>
    <w:p w14:paraId="0FC9F570" w14:textId="77777777" w:rsidR="00D42921" w:rsidRDefault="00D42921" w:rsidP="00D42921">
      <w:pPr>
        <w:pStyle w:val="CETHeading1"/>
        <w:tabs>
          <w:tab w:val="clear" w:pos="360"/>
          <w:tab w:val="right" w:pos="7100"/>
        </w:tabs>
        <w:jc w:val="both"/>
        <w:rPr>
          <w:lang w:val="en-GB"/>
        </w:rPr>
      </w:pPr>
      <w:r>
        <w:rPr>
          <w:lang w:val="en-GB"/>
        </w:rPr>
        <w:t>Case study</w:t>
      </w:r>
    </w:p>
    <w:p w14:paraId="6F59F785" w14:textId="66895875" w:rsidR="002A5530" w:rsidRDefault="002A5530" w:rsidP="0056429E">
      <w:pPr>
        <w:pStyle w:val="CETBodytext"/>
        <w:spacing w:after="160"/>
        <w:rPr>
          <w:lang w:val="en-GB"/>
        </w:rPr>
      </w:pPr>
      <w:r>
        <w:rPr>
          <w:lang w:val="en-GB"/>
        </w:rPr>
        <w:t xml:space="preserve">QRA </w:t>
      </w:r>
      <w:r w:rsidR="000730A1">
        <w:rPr>
          <w:lang w:val="en-GB"/>
        </w:rPr>
        <w:t xml:space="preserve">was carried out </w:t>
      </w:r>
      <w:r>
        <w:rPr>
          <w:lang w:val="en-GB"/>
        </w:rPr>
        <w:t>for t</w:t>
      </w:r>
      <w:r w:rsidR="00E04640">
        <w:rPr>
          <w:lang w:val="en-GB"/>
        </w:rPr>
        <w:t xml:space="preserve">he case study </w:t>
      </w:r>
      <w:r>
        <w:rPr>
          <w:lang w:val="en-GB"/>
        </w:rPr>
        <w:t xml:space="preserve">of </w:t>
      </w:r>
      <w:r w:rsidR="00E04640">
        <w:rPr>
          <w:lang w:val="en-GB"/>
        </w:rPr>
        <w:t xml:space="preserve">a </w:t>
      </w:r>
      <w:r>
        <w:rPr>
          <w:lang w:val="en-GB"/>
        </w:rPr>
        <w:t xml:space="preserve">hypothetical </w:t>
      </w:r>
      <w:r w:rsidR="00E04640">
        <w:rPr>
          <w:lang w:val="en-GB"/>
        </w:rPr>
        <w:t xml:space="preserve">coastal refinery located in Milazzo (ME) in </w:t>
      </w:r>
      <w:r w:rsidR="00342A82">
        <w:rPr>
          <w:lang w:val="en-GB"/>
        </w:rPr>
        <w:t>s</w:t>
      </w:r>
      <w:r w:rsidR="00E04640">
        <w:rPr>
          <w:lang w:val="en-GB"/>
        </w:rPr>
        <w:t xml:space="preserve">outhern Italy. </w:t>
      </w:r>
      <w:r>
        <w:rPr>
          <w:lang w:val="en-GB"/>
        </w:rPr>
        <w:t xml:space="preserve">The </w:t>
      </w:r>
      <w:r w:rsidR="00C67B61">
        <w:rPr>
          <w:lang w:val="en-GB"/>
        </w:rPr>
        <w:t>facilities considered are</w:t>
      </w:r>
      <w:r>
        <w:rPr>
          <w:lang w:val="en-GB"/>
        </w:rPr>
        <w:t xml:space="preserve"> </w:t>
      </w:r>
      <w:r w:rsidR="00C67B61">
        <w:rPr>
          <w:lang w:val="en-GB"/>
        </w:rPr>
        <w:t>the</w:t>
      </w:r>
      <w:r w:rsidR="000730A1">
        <w:rPr>
          <w:lang w:val="en-GB"/>
        </w:rPr>
        <w:t xml:space="preserve"> six</w:t>
      </w:r>
      <w:r w:rsidR="00E04640">
        <w:rPr>
          <w:lang w:val="en-GB"/>
        </w:rPr>
        <w:t xml:space="preserve"> atmospheric storage tanks</w:t>
      </w:r>
      <w:r w:rsidR="00C67B61">
        <w:rPr>
          <w:lang w:val="en-GB"/>
        </w:rPr>
        <w:t xml:space="preserve"> in </w:t>
      </w:r>
      <w:r w:rsidR="00DF1034">
        <w:rPr>
          <w:highlight w:val="yellow"/>
          <w:lang w:val="en-GB"/>
        </w:rPr>
        <w:fldChar w:fldCharType="begin"/>
      </w:r>
      <w:r w:rsidR="00DF1034">
        <w:rPr>
          <w:lang w:val="en-GB"/>
        </w:rPr>
        <w:instrText xml:space="preserve"> REF _Ref170296733 \h </w:instrText>
      </w:r>
      <w:r w:rsidR="00DF1034">
        <w:rPr>
          <w:highlight w:val="yellow"/>
          <w:lang w:val="en-GB"/>
        </w:rPr>
      </w:r>
      <w:r w:rsidR="00DF1034">
        <w:rPr>
          <w:highlight w:val="yellow"/>
          <w:lang w:val="en-GB"/>
        </w:rPr>
        <w:fldChar w:fldCharType="separate"/>
      </w:r>
      <w:r w:rsidR="00F1294D">
        <w:t xml:space="preserve">Figure </w:t>
      </w:r>
      <w:r w:rsidR="00F1294D">
        <w:rPr>
          <w:noProof/>
        </w:rPr>
        <w:t>1</w:t>
      </w:r>
      <w:r w:rsidR="00DF1034">
        <w:rPr>
          <w:highlight w:val="yellow"/>
          <w:lang w:val="en-GB"/>
        </w:rPr>
        <w:fldChar w:fldCharType="end"/>
      </w:r>
      <w:r w:rsidR="00C67B61">
        <w:rPr>
          <w:lang w:val="en-GB"/>
        </w:rPr>
        <w:t xml:space="preserve">a. </w:t>
      </w:r>
      <w:r w:rsidR="007D3A16">
        <w:rPr>
          <w:lang w:val="en-GB"/>
        </w:rPr>
        <w:t>All</w:t>
      </w:r>
      <w:r w:rsidR="00C67B61">
        <w:rPr>
          <w:lang w:val="en-GB"/>
        </w:rPr>
        <w:t xml:space="preserve"> tanks </w:t>
      </w:r>
      <w:r w:rsidR="007D3A16">
        <w:rPr>
          <w:lang w:val="en-GB"/>
        </w:rPr>
        <w:t xml:space="preserve">are </w:t>
      </w:r>
      <w:r w:rsidR="00C67B61">
        <w:rPr>
          <w:lang w:val="en-GB"/>
        </w:rPr>
        <w:t xml:space="preserve">anchored to the base and equipped with a floating roof. </w:t>
      </w:r>
      <w:r w:rsidR="00F82FD3">
        <w:rPr>
          <w:lang w:val="en-GB"/>
        </w:rPr>
        <w:t xml:space="preserve">The roof moves with the </w:t>
      </w:r>
      <w:r w:rsidR="00AF4DEE">
        <w:rPr>
          <w:lang w:val="en-GB"/>
        </w:rPr>
        <w:t xml:space="preserve">internal liquid up to a height </w:t>
      </w:r>
      <w:r w:rsidR="005E6DCA">
        <w:rPr>
          <w:lang w:val="en-GB"/>
        </w:rPr>
        <w:t xml:space="preserve">ensuring a </w:t>
      </w:r>
      <w:r w:rsidR="00EF7C26">
        <w:rPr>
          <w:lang w:val="en-GB"/>
        </w:rPr>
        <w:t>freeboard</w:t>
      </w:r>
      <w:r w:rsidR="00CD58C0">
        <w:rPr>
          <w:lang w:val="en-GB"/>
        </w:rPr>
        <w:t xml:space="preserve"> to avoid spillage.</w:t>
      </w:r>
      <w:r w:rsidR="00AF4DEE">
        <w:rPr>
          <w:lang w:val="en-GB"/>
        </w:rPr>
        <w:t xml:space="preserve"> </w:t>
      </w:r>
      <w:r w:rsidR="00766555">
        <w:rPr>
          <w:lang w:val="en-GB"/>
        </w:rPr>
        <w:t>A</w:t>
      </w:r>
      <w:r w:rsidR="00C67B61">
        <w:rPr>
          <w:lang w:val="en-GB"/>
        </w:rPr>
        <w:t xml:space="preserve"> </w:t>
      </w:r>
      <w:r w:rsidR="0000352F">
        <w:rPr>
          <w:lang w:val="en-GB"/>
        </w:rPr>
        <w:t>typical section</w:t>
      </w:r>
      <w:r w:rsidR="00C67B61">
        <w:rPr>
          <w:lang w:val="en-GB"/>
        </w:rPr>
        <w:t xml:space="preserve"> of </w:t>
      </w:r>
      <w:r w:rsidR="00766555">
        <w:rPr>
          <w:lang w:val="en-GB"/>
        </w:rPr>
        <w:t>the examined tanks</w:t>
      </w:r>
      <w:r w:rsidR="00C67B61">
        <w:rPr>
          <w:lang w:val="en-GB"/>
        </w:rPr>
        <w:t xml:space="preserve"> is shown </w:t>
      </w:r>
      <w:r w:rsidR="00630C60">
        <w:rPr>
          <w:lang w:val="en-GB"/>
        </w:rPr>
        <w:t>schematically</w:t>
      </w:r>
      <w:r w:rsidR="00C67B61">
        <w:rPr>
          <w:lang w:val="en-GB"/>
        </w:rPr>
        <w:t xml:space="preserve"> in </w:t>
      </w:r>
      <w:r w:rsidR="00DF1034">
        <w:rPr>
          <w:highlight w:val="yellow"/>
          <w:lang w:val="en-GB"/>
        </w:rPr>
        <w:fldChar w:fldCharType="begin"/>
      </w:r>
      <w:r w:rsidR="00DF1034">
        <w:rPr>
          <w:lang w:val="en-GB"/>
        </w:rPr>
        <w:instrText xml:space="preserve"> REF _Ref170296733 \h </w:instrText>
      </w:r>
      <w:r w:rsidR="00DF1034">
        <w:rPr>
          <w:highlight w:val="yellow"/>
          <w:lang w:val="en-GB"/>
        </w:rPr>
      </w:r>
      <w:r w:rsidR="00DF1034">
        <w:rPr>
          <w:highlight w:val="yellow"/>
          <w:lang w:val="en-GB"/>
        </w:rPr>
        <w:fldChar w:fldCharType="separate"/>
      </w:r>
      <w:r w:rsidR="00F1294D">
        <w:t xml:space="preserve">Figure </w:t>
      </w:r>
      <w:r w:rsidR="00F1294D">
        <w:rPr>
          <w:noProof/>
        </w:rPr>
        <w:t>1</w:t>
      </w:r>
      <w:r w:rsidR="00DF1034">
        <w:rPr>
          <w:highlight w:val="yellow"/>
          <w:lang w:val="en-GB"/>
        </w:rPr>
        <w:fldChar w:fldCharType="end"/>
      </w:r>
      <w:r w:rsidR="00C67B61">
        <w:rPr>
          <w:lang w:val="en-GB"/>
        </w:rPr>
        <w:t xml:space="preserve">b, while the main </w:t>
      </w:r>
      <w:r w:rsidR="00F716C0">
        <w:rPr>
          <w:lang w:val="en-GB"/>
        </w:rPr>
        <w:lastRenderedPageBreak/>
        <w:t>features</w:t>
      </w:r>
      <w:r w:rsidR="007458D7">
        <w:rPr>
          <w:lang w:val="en-GB"/>
        </w:rPr>
        <w:t xml:space="preserve"> </w:t>
      </w:r>
      <w:r w:rsidR="00C67B61">
        <w:rPr>
          <w:lang w:val="en-GB"/>
        </w:rPr>
        <w:t xml:space="preserve">are </w:t>
      </w:r>
      <w:r w:rsidR="00630C60">
        <w:rPr>
          <w:lang w:val="en-GB"/>
        </w:rPr>
        <w:t xml:space="preserve">provided </w:t>
      </w:r>
      <w:r w:rsidR="00C67B61">
        <w:rPr>
          <w:lang w:val="en-GB"/>
        </w:rPr>
        <w:t>in</w:t>
      </w:r>
      <w:r w:rsidR="00BD346E">
        <w:rPr>
          <w:lang w:val="en-GB"/>
        </w:rPr>
        <w:t xml:space="preserve"> </w:t>
      </w:r>
      <w:r w:rsidR="00BD346E">
        <w:rPr>
          <w:lang w:val="en-GB"/>
        </w:rPr>
        <w:fldChar w:fldCharType="begin"/>
      </w:r>
      <w:r w:rsidR="00BD346E">
        <w:rPr>
          <w:lang w:val="en-GB"/>
        </w:rPr>
        <w:instrText xml:space="preserve"> REF _Ref164163907 \h </w:instrText>
      </w:r>
      <w:r w:rsidR="00BD346E">
        <w:rPr>
          <w:lang w:val="en-GB"/>
        </w:rPr>
      </w:r>
      <w:r w:rsidR="00BD346E">
        <w:rPr>
          <w:lang w:val="en-GB"/>
        </w:rPr>
        <w:fldChar w:fldCharType="separate"/>
      </w:r>
      <w:r w:rsidR="00F1294D">
        <w:t xml:space="preserve">Table </w:t>
      </w:r>
      <w:r w:rsidR="00F1294D">
        <w:rPr>
          <w:noProof/>
        </w:rPr>
        <w:t>1</w:t>
      </w:r>
      <w:r w:rsidR="00BD346E">
        <w:rPr>
          <w:lang w:val="en-GB"/>
        </w:rPr>
        <w:fldChar w:fldCharType="end"/>
      </w:r>
      <w:r w:rsidR="00C67B61">
        <w:rPr>
          <w:lang w:val="en-GB"/>
        </w:rPr>
        <w:t xml:space="preserve">. Typically, </w:t>
      </w:r>
      <w:r w:rsidR="00F06757">
        <w:rPr>
          <w:lang w:val="en-GB"/>
        </w:rPr>
        <w:t xml:space="preserve">the </w:t>
      </w:r>
      <w:r w:rsidR="00420D20">
        <w:rPr>
          <w:lang w:val="en-GB"/>
        </w:rPr>
        <w:t>contents are</w:t>
      </w:r>
      <w:r w:rsidR="007B7602">
        <w:rPr>
          <w:lang w:val="en-GB"/>
        </w:rPr>
        <w:t xml:space="preserve"> highly flammable substances, like crude oil and gasoline</w:t>
      </w:r>
      <w:r w:rsidR="00420D20">
        <w:rPr>
          <w:lang w:val="en-GB"/>
        </w:rPr>
        <w:t>,</w:t>
      </w:r>
      <w:r w:rsidR="007B7602">
        <w:rPr>
          <w:lang w:val="en-GB"/>
        </w:rPr>
        <w:t xml:space="preserve"> </w:t>
      </w:r>
      <w:r w:rsidR="00420D20">
        <w:rPr>
          <w:lang w:val="en-GB"/>
        </w:rPr>
        <w:t>which are</w:t>
      </w:r>
      <w:r w:rsidR="007B7602">
        <w:rPr>
          <w:lang w:val="en-GB"/>
        </w:rPr>
        <w:t xml:space="preserve"> </w:t>
      </w:r>
      <w:r w:rsidR="00F279BD">
        <w:rPr>
          <w:lang w:val="en-GB"/>
        </w:rPr>
        <w:t>considered</w:t>
      </w:r>
      <w:r w:rsidR="007B7602">
        <w:rPr>
          <w:lang w:val="en-GB"/>
        </w:rPr>
        <w:t xml:space="preserve"> </w:t>
      </w:r>
      <w:r w:rsidR="00420D20">
        <w:rPr>
          <w:lang w:val="en-GB"/>
        </w:rPr>
        <w:t>in</w:t>
      </w:r>
      <w:r w:rsidR="007B7602">
        <w:rPr>
          <w:lang w:val="en-GB"/>
        </w:rPr>
        <w:t xml:space="preserve"> the case study.</w:t>
      </w:r>
      <w:r w:rsidR="00C67B61">
        <w:rPr>
          <w:lang w:val="en-GB"/>
        </w:rPr>
        <w:t xml:space="preserve"> </w:t>
      </w:r>
    </w:p>
    <w:p w14:paraId="2969ED91" w14:textId="7029CE1F" w:rsidR="00E92254" w:rsidRDefault="00E92254" w:rsidP="00B45C03">
      <w:pPr>
        <w:pStyle w:val="CETTabletitle"/>
        <w:spacing w:before="120"/>
      </w:pPr>
      <w:bookmarkStart w:id="3" w:name="_Ref164163907"/>
      <w:r>
        <w:t xml:space="preserve">Table </w:t>
      </w:r>
      <w:r>
        <w:fldChar w:fldCharType="begin"/>
      </w:r>
      <w:r>
        <w:instrText xml:space="preserve"> SEQ Table \* ARABIC </w:instrText>
      </w:r>
      <w:r>
        <w:fldChar w:fldCharType="separate"/>
      </w:r>
      <w:r w:rsidR="00F1294D">
        <w:rPr>
          <w:noProof/>
        </w:rPr>
        <w:t>1</w:t>
      </w:r>
      <w:r>
        <w:fldChar w:fldCharType="end"/>
      </w:r>
      <w:bookmarkEnd w:id="3"/>
      <w:r>
        <w:t xml:space="preserve">: </w:t>
      </w:r>
      <w:r w:rsidR="00F73452">
        <w:t>Geometric properties, storage liquid and</w:t>
      </w:r>
      <w:r w:rsidR="004345F7">
        <w:t xml:space="preserve"> basin area of the </w:t>
      </w:r>
      <w:r w:rsidR="00692E31">
        <w:t xml:space="preserve">case study </w:t>
      </w:r>
      <w:r w:rsidR="004345F7">
        <w:t>tanks</w:t>
      </w:r>
      <w:r w:rsidR="001F1931">
        <w:t>.</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2553"/>
        <w:gridCol w:w="992"/>
        <w:gridCol w:w="1156"/>
        <w:gridCol w:w="2271"/>
        <w:gridCol w:w="1815"/>
      </w:tblGrid>
      <w:tr w:rsidR="000730A1" w:rsidRPr="00E07F63" w14:paraId="3B07DC65" w14:textId="77777777" w:rsidTr="0056429E">
        <w:trPr>
          <w:trHeight w:val="403"/>
        </w:trPr>
        <w:tc>
          <w:tcPr>
            <w:tcW w:w="1452" w:type="pct"/>
            <w:tcBorders>
              <w:top w:val="single" w:sz="12" w:space="0" w:color="008000"/>
              <w:bottom w:val="single" w:sz="6" w:space="0" w:color="008000"/>
            </w:tcBorders>
            <w:shd w:val="clear" w:color="auto" w:fill="FFFFFF"/>
          </w:tcPr>
          <w:p w14:paraId="466B6D37" w14:textId="77777777" w:rsidR="00E07F63" w:rsidRPr="00E07F63" w:rsidRDefault="00E07F63" w:rsidP="00E07F63">
            <w:pPr>
              <w:pStyle w:val="CETBodytext"/>
            </w:pPr>
            <w:r w:rsidRPr="00E07F63">
              <w:t>ID item</w:t>
            </w:r>
          </w:p>
        </w:tc>
        <w:tc>
          <w:tcPr>
            <w:tcW w:w="564" w:type="pct"/>
            <w:tcBorders>
              <w:top w:val="single" w:sz="12" w:space="0" w:color="008000"/>
              <w:bottom w:val="single" w:sz="6" w:space="0" w:color="008000"/>
            </w:tcBorders>
            <w:shd w:val="clear" w:color="auto" w:fill="FFFFFF"/>
          </w:tcPr>
          <w:p w14:paraId="00677616" w14:textId="29E403C3" w:rsidR="00E07F63" w:rsidRPr="00E07F63" w:rsidRDefault="00E07F63" w:rsidP="000730A1">
            <w:pPr>
              <w:pStyle w:val="CETBodytext"/>
              <w:jc w:val="left"/>
            </w:pPr>
            <w:r w:rsidRPr="00E07F63">
              <w:t>Height</w:t>
            </w:r>
            <w:r w:rsidR="000730A1">
              <w:t xml:space="preserve"> </w:t>
            </w:r>
            <w:r w:rsidRPr="00E07F63">
              <w:t>[m]</w:t>
            </w:r>
          </w:p>
        </w:tc>
        <w:tc>
          <w:tcPr>
            <w:tcW w:w="658" w:type="pct"/>
            <w:tcBorders>
              <w:top w:val="single" w:sz="12" w:space="0" w:color="008000"/>
              <w:bottom w:val="single" w:sz="6" w:space="0" w:color="008000"/>
            </w:tcBorders>
            <w:shd w:val="clear" w:color="auto" w:fill="FFFFFF"/>
          </w:tcPr>
          <w:p w14:paraId="0BC925CA" w14:textId="17FE3B5A" w:rsidR="00E07F63" w:rsidRPr="00E07F63" w:rsidRDefault="00E07F63" w:rsidP="000730A1">
            <w:pPr>
              <w:pStyle w:val="CETBodytext"/>
              <w:jc w:val="left"/>
            </w:pPr>
            <w:r w:rsidRPr="00E07F63">
              <w:t>Diameter</w:t>
            </w:r>
            <w:r w:rsidR="000730A1">
              <w:t xml:space="preserve"> </w:t>
            </w:r>
            <w:r w:rsidRPr="00E07F63">
              <w:t>[m]</w:t>
            </w:r>
          </w:p>
        </w:tc>
        <w:tc>
          <w:tcPr>
            <w:tcW w:w="1292" w:type="pct"/>
            <w:tcBorders>
              <w:top w:val="single" w:sz="12" w:space="0" w:color="008000"/>
              <w:bottom w:val="single" w:sz="6" w:space="0" w:color="008000"/>
            </w:tcBorders>
            <w:shd w:val="clear" w:color="auto" w:fill="FFFFFF"/>
          </w:tcPr>
          <w:p w14:paraId="3EBB739A" w14:textId="0F379B94" w:rsidR="00E07F63" w:rsidRPr="00E07F63" w:rsidRDefault="000730A1" w:rsidP="00E07F63">
            <w:pPr>
              <w:pStyle w:val="CETBodytext"/>
              <w:jc w:val="left"/>
            </w:pPr>
            <w:r>
              <w:t>Content</w:t>
            </w:r>
          </w:p>
        </w:tc>
        <w:tc>
          <w:tcPr>
            <w:tcW w:w="1033" w:type="pct"/>
            <w:tcBorders>
              <w:top w:val="single" w:sz="12" w:space="0" w:color="008000"/>
              <w:bottom w:val="single" w:sz="6" w:space="0" w:color="008000"/>
            </w:tcBorders>
            <w:shd w:val="clear" w:color="auto" w:fill="FFFFFF"/>
          </w:tcPr>
          <w:p w14:paraId="384E9DC8" w14:textId="3992ADBA" w:rsidR="00E07F63" w:rsidRPr="00E07F63" w:rsidRDefault="00E07F63" w:rsidP="00E07F63">
            <w:pPr>
              <w:pStyle w:val="CETBodytext"/>
              <w:jc w:val="left"/>
            </w:pPr>
            <w:r w:rsidRPr="00E07F63">
              <w:t>Catch basin area</w:t>
            </w:r>
            <w:r w:rsidR="000730A1">
              <w:t xml:space="preserve"> </w:t>
            </w:r>
            <w:r w:rsidRPr="00E07F63">
              <w:t>[m</w:t>
            </w:r>
            <w:r w:rsidRPr="00E07F63">
              <w:rPr>
                <w:vertAlign w:val="superscript"/>
              </w:rPr>
              <w:t>2</w:t>
            </w:r>
            <w:r w:rsidRPr="00E07F63">
              <w:t>]</w:t>
            </w:r>
          </w:p>
        </w:tc>
      </w:tr>
      <w:tr w:rsidR="000730A1" w:rsidRPr="00E07F63" w14:paraId="53E2A980" w14:textId="77777777" w:rsidTr="0056429E">
        <w:trPr>
          <w:trHeight w:val="253"/>
        </w:trPr>
        <w:tc>
          <w:tcPr>
            <w:tcW w:w="1452" w:type="pct"/>
            <w:shd w:val="clear" w:color="auto" w:fill="FFFFFF"/>
          </w:tcPr>
          <w:p w14:paraId="379EE742" w14:textId="5E17CA6E" w:rsidR="00E07F63" w:rsidRPr="00E07F63" w:rsidRDefault="00000000" w:rsidP="00E07F63">
            <w:pPr>
              <w:pStyle w:val="CETBodytext"/>
            </w:pPr>
            <m:oMath>
              <m:sSub>
                <m:sSubPr>
                  <m:ctrlPr>
                    <w:rPr>
                      <w:rFonts w:ascii="Cambria Math" w:hAnsi="Cambria Math"/>
                      <w:i/>
                    </w:rPr>
                  </m:ctrlPr>
                </m:sSubPr>
                <m:e>
                  <m:r>
                    <w:rPr>
                      <w:rFonts w:ascii="Cambria Math" w:hAnsi="Cambria Math"/>
                    </w:rPr>
                    <m:t>Tank</m:t>
                  </m:r>
                </m:e>
                <m:sub>
                  <m:r>
                    <w:rPr>
                      <w:rFonts w:ascii="Cambria Math" w:hAnsi="Cambria Math"/>
                    </w:rPr>
                    <m:t>1</m:t>
                  </m:r>
                </m:sub>
              </m:sSub>
            </m:oMath>
            <w:r w:rsidR="00E07F63" w:rsidRPr="00E07F63">
              <w:t xml:space="preserve">, </w:t>
            </w:r>
            <m:oMath>
              <m:sSub>
                <m:sSubPr>
                  <m:ctrlPr>
                    <w:rPr>
                      <w:rFonts w:ascii="Cambria Math" w:hAnsi="Cambria Math"/>
                      <w:i/>
                    </w:rPr>
                  </m:ctrlPr>
                </m:sSubPr>
                <m:e>
                  <m:r>
                    <w:rPr>
                      <w:rFonts w:ascii="Cambria Math" w:hAnsi="Cambria Math"/>
                    </w:rPr>
                    <m:t>Tank</m:t>
                  </m:r>
                </m:e>
                <m:sub>
                  <m:r>
                    <w:rPr>
                      <w:rFonts w:ascii="Cambria Math" w:hAnsi="Cambria Math"/>
                    </w:rPr>
                    <m:t>2</m:t>
                  </m:r>
                </m:sub>
              </m:sSub>
            </m:oMath>
          </w:p>
        </w:tc>
        <w:tc>
          <w:tcPr>
            <w:tcW w:w="564" w:type="pct"/>
            <w:shd w:val="clear" w:color="auto" w:fill="FFFFFF"/>
          </w:tcPr>
          <w:p w14:paraId="661A9D46" w14:textId="77777777" w:rsidR="00E07F63" w:rsidRPr="00E07F63" w:rsidRDefault="00E07F63" w:rsidP="00E07F63">
            <w:pPr>
              <w:pStyle w:val="CETBodytext"/>
            </w:pPr>
            <w:r w:rsidRPr="00E07F63">
              <w:t>16</w:t>
            </w:r>
          </w:p>
        </w:tc>
        <w:tc>
          <w:tcPr>
            <w:tcW w:w="658" w:type="pct"/>
            <w:shd w:val="clear" w:color="auto" w:fill="FFFFFF"/>
          </w:tcPr>
          <w:p w14:paraId="26107F84" w14:textId="77777777" w:rsidR="00E07F63" w:rsidRPr="00E07F63" w:rsidRDefault="00E07F63" w:rsidP="00E07F63">
            <w:pPr>
              <w:pStyle w:val="CETBodytext"/>
            </w:pPr>
            <w:r w:rsidRPr="00E07F63">
              <w:t>55</w:t>
            </w:r>
          </w:p>
        </w:tc>
        <w:tc>
          <w:tcPr>
            <w:tcW w:w="1292" w:type="pct"/>
            <w:shd w:val="clear" w:color="auto" w:fill="FFFFFF"/>
          </w:tcPr>
          <w:p w14:paraId="61F8B2CF" w14:textId="77777777" w:rsidR="00E07F63" w:rsidRPr="00E07F63" w:rsidRDefault="00E07F63" w:rsidP="00E07F63">
            <w:pPr>
              <w:pStyle w:val="CETBodytext"/>
            </w:pPr>
            <w:r w:rsidRPr="00E07F63">
              <w:t>Crude oil</w:t>
            </w:r>
          </w:p>
        </w:tc>
        <w:tc>
          <w:tcPr>
            <w:tcW w:w="1033" w:type="pct"/>
            <w:shd w:val="clear" w:color="auto" w:fill="FFFFFF"/>
          </w:tcPr>
          <w:p w14:paraId="1CF09075" w14:textId="77777777" w:rsidR="00E07F63" w:rsidRPr="00E07F63" w:rsidRDefault="00E07F63" w:rsidP="00E07F63">
            <w:pPr>
              <w:pStyle w:val="CETBodytext"/>
            </w:pPr>
            <w:r w:rsidRPr="00E07F63">
              <w:t>7600</w:t>
            </w:r>
          </w:p>
        </w:tc>
      </w:tr>
      <w:tr w:rsidR="000730A1" w:rsidRPr="00E07F63" w14:paraId="1A05609E" w14:textId="77777777" w:rsidTr="0056429E">
        <w:trPr>
          <w:trHeight w:val="253"/>
        </w:trPr>
        <w:tc>
          <w:tcPr>
            <w:tcW w:w="1452" w:type="pct"/>
            <w:shd w:val="clear" w:color="auto" w:fill="FFFFFF"/>
          </w:tcPr>
          <w:p w14:paraId="398D7AE7" w14:textId="7DB964D3" w:rsidR="00E07F63" w:rsidRPr="00E07F63" w:rsidRDefault="00000000" w:rsidP="00AA04ED">
            <w:pPr>
              <w:pStyle w:val="CETBodytext"/>
            </w:pPr>
            <m:oMath>
              <m:sSub>
                <m:sSubPr>
                  <m:ctrlPr>
                    <w:rPr>
                      <w:rFonts w:ascii="Cambria Math" w:hAnsi="Cambria Math"/>
                      <w:i/>
                    </w:rPr>
                  </m:ctrlPr>
                </m:sSubPr>
                <m:e>
                  <m:r>
                    <w:rPr>
                      <w:rFonts w:ascii="Cambria Math" w:hAnsi="Cambria Math"/>
                    </w:rPr>
                    <m:t>Tank</m:t>
                  </m:r>
                </m:e>
                <m:sub>
                  <m:r>
                    <w:rPr>
                      <w:rFonts w:ascii="Cambria Math" w:hAnsi="Cambria Math"/>
                    </w:rPr>
                    <m:t>3</m:t>
                  </m:r>
                </m:sub>
              </m:sSub>
            </m:oMath>
            <w:r w:rsidR="00E07F63" w:rsidRPr="00E07F63">
              <w:t xml:space="preserve">, </w:t>
            </w:r>
            <m:oMath>
              <m:sSub>
                <m:sSubPr>
                  <m:ctrlPr>
                    <w:rPr>
                      <w:rFonts w:ascii="Cambria Math" w:hAnsi="Cambria Math"/>
                      <w:i/>
                    </w:rPr>
                  </m:ctrlPr>
                </m:sSubPr>
                <m:e>
                  <m:r>
                    <w:rPr>
                      <w:rFonts w:ascii="Cambria Math" w:hAnsi="Cambria Math"/>
                    </w:rPr>
                    <m:t>Tank</m:t>
                  </m:r>
                </m:e>
                <m:sub>
                  <m:r>
                    <w:rPr>
                      <w:rFonts w:ascii="Cambria Math" w:hAnsi="Cambria Math"/>
                    </w:rPr>
                    <m:t>4</m:t>
                  </m:r>
                </m:sub>
              </m:sSub>
            </m:oMath>
            <w:r w:rsidR="00E07F63" w:rsidRPr="00E07F63">
              <w:t xml:space="preserve">, </w:t>
            </w:r>
            <m:oMath>
              <m:sSub>
                <m:sSubPr>
                  <m:ctrlPr>
                    <w:rPr>
                      <w:rFonts w:ascii="Cambria Math" w:hAnsi="Cambria Math"/>
                      <w:i/>
                    </w:rPr>
                  </m:ctrlPr>
                </m:sSubPr>
                <m:e>
                  <m:r>
                    <w:rPr>
                      <w:rFonts w:ascii="Cambria Math" w:hAnsi="Cambria Math"/>
                    </w:rPr>
                    <m:t>Tank</m:t>
                  </m:r>
                </m:e>
                <m:sub>
                  <m:r>
                    <w:rPr>
                      <w:rFonts w:ascii="Cambria Math" w:hAnsi="Cambria Math"/>
                    </w:rPr>
                    <m:t>5</m:t>
                  </m:r>
                </m:sub>
              </m:sSub>
            </m:oMath>
            <w:r w:rsidR="00E07F63" w:rsidRPr="00E07F63">
              <w:t xml:space="preserve">, </w:t>
            </w:r>
            <m:oMath>
              <m:sSub>
                <m:sSubPr>
                  <m:ctrlPr>
                    <w:rPr>
                      <w:rFonts w:ascii="Cambria Math" w:hAnsi="Cambria Math"/>
                      <w:i/>
                    </w:rPr>
                  </m:ctrlPr>
                </m:sSubPr>
                <m:e>
                  <m:r>
                    <w:rPr>
                      <w:rFonts w:ascii="Cambria Math" w:hAnsi="Cambria Math"/>
                    </w:rPr>
                    <m:t>Tank</m:t>
                  </m:r>
                </m:e>
                <m:sub>
                  <m:r>
                    <w:rPr>
                      <w:rFonts w:ascii="Cambria Math" w:hAnsi="Cambria Math"/>
                    </w:rPr>
                    <m:t>6</m:t>
                  </m:r>
                </m:sub>
              </m:sSub>
            </m:oMath>
          </w:p>
        </w:tc>
        <w:tc>
          <w:tcPr>
            <w:tcW w:w="564" w:type="pct"/>
            <w:shd w:val="clear" w:color="auto" w:fill="FFFFFF"/>
          </w:tcPr>
          <w:p w14:paraId="03B0BCE0" w14:textId="77777777" w:rsidR="00E07F63" w:rsidRPr="00E07F63" w:rsidRDefault="00E07F63" w:rsidP="00E07F63">
            <w:pPr>
              <w:pStyle w:val="CETBodytext"/>
            </w:pPr>
            <w:r w:rsidRPr="00E07F63">
              <w:t>13</w:t>
            </w:r>
          </w:p>
        </w:tc>
        <w:tc>
          <w:tcPr>
            <w:tcW w:w="658" w:type="pct"/>
            <w:shd w:val="clear" w:color="auto" w:fill="FFFFFF"/>
          </w:tcPr>
          <w:p w14:paraId="2E4A7F65" w14:textId="77777777" w:rsidR="00E07F63" w:rsidRPr="00E07F63" w:rsidRDefault="00E07F63" w:rsidP="00E07F63">
            <w:pPr>
              <w:pStyle w:val="CETBodytext"/>
            </w:pPr>
            <w:r w:rsidRPr="00E07F63">
              <w:t>40</w:t>
            </w:r>
          </w:p>
        </w:tc>
        <w:tc>
          <w:tcPr>
            <w:tcW w:w="1292" w:type="pct"/>
            <w:shd w:val="clear" w:color="auto" w:fill="FFFFFF"/>
          </w:tcPr>
          <w:p w14:paraId="7B060AFF" w14:textId="77777777" w:rsidR="00E07F63" w:rsidRPr="00E07F63" w:rsidRDefault="00E07F63" w:rsidP="00E07F63">
            <w:pPr>
              <w:pStyle w:val="CETBodytext"/>
            </w:pPr>
            <w:r w:rsidRPr="00E07F63">
              <w:t>Gasoline</w:t>
            </w:r>
          </w:p>
        </w:tc>
        <w:tc>
          <w:tcPr>
            <w:tcW w:w="1033" w:type="pct"/>
            <w:shd w:val="clear" w:color="auto" w:fill="FFFFFF"/>
          </w:tcPr>
          <w:p w14:paraId="31E0D984" w14:textId="77777777" w:rsidR="00E07F63" w:rsidRPr="00E07F63" w:rsidRDefault="00E07F63" w:rsidP="00E07F63">
            <w:pPr>
              <w:pStyle w:val="CETBodytext"/>
            </w:pPr>
            <w:r w:rsidRPr="00E07F63">
              <w:t>3200</w:t>
            </w:r>
          </w:p>
        </w:tc>
      </w:tr>
    </w:tbl>
    <w:p w14:paraId="02B39607" w14:textId="77777777" w:rsidR="006E7685" w:rsidRDefault="006E7685" w:rsidP="009077A6">
      <w:pPr>
        <w:pStyle w:val="CETBodytext"/>
        <w:rPr>
          <w:lang w:val="en-GB"/>
        </w:rPr>
      </w:pPr>
    </w:p>
    <w:p w14:paraId="08B1DF0D" w14:textId="1AA24EEF" w:rsidR="00553A82" w:rsidRPr="000F39FD" w:rsidRDefault="00553A82" w:rsidP="00553A82">
      <w:pPr>
        <w:pStyle w:val="CETBodytext"/>
      </w:pPr>
      <w:r>
        <w:t>The tsunami QRA is performed considering the tanks with three different degrees of filling: 10%, 50%</w:t>
      </w:r>
      <w:r w:rsidR="00F83F24">
        <w:t>,</w:t>
      </w:r>
      <w:r>
        <w:t xml:space="preserve"> and 90%. </w:t>
      </w:r>
      <w:r w:rsidR="00F667DF">
        <w:t>F</w:t>
      </w:r>
      <w:r>
        <w:t xml:space="preserve">or </w:t>
      </w:r>
      <w:r w:rsidR="00664252">
        <w:t>consequence</w:t>
      </w:r>
      <w:r>
        <w:t xml:space="preserve"> evaluation, pool fire</w:t>
      </w:r>
      <w:r w:rsidR="00664252">
        <w:t>s</w:t>
      </w:r>
      <w:r>
        <w:t xml:space="preserve"> w</w:t>
      </w:r>
      <w:r w:rsidR="00664252">
        <w:t>ere</w:t>
      </w:r>
      <w:r>
        <w:t xml:space="preserve"> considered as </w:t>
      </w:r>
      <w:r w:rsidR="00653A53">
        <w:t xml:space="preserve">the </w:t>
      </w:r>
      <w:r>
        <w:t>worst</w:t>
      </w:r>
      <w:r w:rsidR="00653A53">
        <w:t>-case</w:t>
      </w:r>
      <w:r>
        <w:t xml:space="preserve"> scenario after </w:t>
      </w:r>
      <w:r w:rsidR="00653A53">
        <w:t>a</w:t>
      </w:r>
      <w:r>
        <w:t xml:space="preserve"> catastrophic failure of the tank. The probability of immediate pool fire ignition for tsunami</w:t>
      </w:r>
      <w:r w:rsidR="000D7F2C">
        <w:t>s</w:t>
      </w:r>
      <w:r>
        <w:t xml:space="preserve"> is </w:t>
      </w:r>
      <w:r w:rsidR="00653A53">
        <w:t>assumed</w:t>
      </w:r>
      <w:r>
        <w:t xml:space="preserve"> </w:t>
      </w:r>
      <m:oMath>
        <m:r>
          <w:rPr>
            <w:rFonts w:ascii="Cambria Math" w:hAnsi="Cambria Math"/>
          </w:rPr>
          <m:t>0.013</m:t>
        </m:r>
      </m:oMath>
      <w:r>
        <w:t xml:space="preserve"> </w:t>
      </w:r>
      <w:r w:rsidRPr="000557B9">
        <w:t>(Ricci et al. 2021)</w:t>
      </w:r>
      <w:r>
        <w:t xml:space="preserve">. </w:t>
      </w:r>
      <w:r w:rsidR="000501D9">
        <w:t>E</w:t>
      </w:r>
      <w:r>
        <w:t>stablished literature models were applied for consequence analysis (</w:t>
      </w:r>
      <w:r w:rsidRPr="00791A9A">
        <w:t>Van Den Bosh</w:t>
      </w:r>
      <w:r>
        <w:t xml:space="preserve"> &amp;</w:t>
      </w:r>
      <w:r w:rsidRPr="00791A9A">
        <w:t xml:space="preserve"> </w:t>
      </w:r>
      <w:proofErr w:type="spellStart"/>
      <w:r w:rsidRPr="00791A9A">
        <w:t>Weterings</w:t>
      </w:r>
      <w:proofErr w:type="spellEnd"/>
      <w:r>
        <w:t xml:space="preserve">, 2005). For the sake of simplicity, a single set of meteorological conditions was considered: a uniform wind distribution and neutral atmospheric stability (wind speed at 5 m/s, </w:t>
      </w:r>
      <w:proofErr w:type="spellStart"/>
      <w:r w:rsidRPr="00FA7BE4">
        <w:rPr>
          <w:i/>
        </w:rPr>
        <w:t>Pasquill</w:t>
      </w:r>
      <w:proofErr w:type="spellEnd"/>
      <w:r w:rsidRPr="00FA7BE4">
        <w:rPr>
          <w:i/>
        </w:rPr>
        <w:t xml:space="preserve"> class</w:t>
      </w:r>
      <w:r>
        <w:t xml:space="preserve"> D). For societal risk calculation, a uniform population density of 50 </w:t>
      </w:r>
      <w:r w:rsidR="0068017A">
        <w:t>in</w:t>
      </w:r>
      <w:r>
        <w:t>habitants/hectare was considered, with a presence probability of 60%.</w:t>
      </w:r>
    </w:p>
    <w:p w14:paraId="6CB7BBBD" w14:textId="77777777" w:rsidR="00860FE8" w:rsidRPr="00860FE8" w:rsidRDefault="00860FE8" w:rsidP="00860FE8">
      <w:pPr>
        <w:pStyle w:val="CETHeading1"/>
      </w:pPr>
      <w:r w:rsidRPr="00860FE8">
        <w:t>Results and discussion</w:t>
      </w:r>
    </w:p>
    <w:p w14:paraId="5921000D" w14:textId="11C43C5C" w:rsidR="0065563F" w:rsidRDefault="00C96392" w:rsidP="0065563F">
      <w:pPr>
        <w:pStyle w:val="CETBodytext"/>
        <w:rPr>
          <w:lang w:val="en-GB"/>
        </w:rPr>
      </w:pPr>
      <w:r>
        <w:rPr>
          <w:highlight w:val="yellow"/>
          <w:lang w:val="en-GB"/>
        </w:rPr>
        <w:fldChar w:fldCharType="begin"/>
      </w:r>
      <w:r>
        <w:rPr>
          <w:lang w:val="en-GB"/>
        </w:rPr>
        <w:instrText xml:space="preserve"> REF _Ref164163935 \h </w:instrText>
      </w:r>
      <w:r>
        <w:rPr>
          <w:highlight w:val="yellow"/>
          <w:lang w:val="en-GB"/>
        </w:rPr>
      </w:r>
      <w:r>
        <w:rPr>
          <w:highlight w:val="yellow"/>
          <w:lang w:val="en-GB"/>
        </w:rPr>
        <w:fldChar w:fldCharType="separate"/>
      </w:r>
      <w:r w:rsidR="00F1294D">
        <w:t xml:space="preserve">Figure </w:t>
      </w:r>
      <w:r w:rsidR="00F1294D">
        <w:rPr>
          <w:noProof/>
        </w:rPr>
        <w:t>2</w:t>
      </w:r>
      <w:r>
        <w:rPr>
          <w:highlight w:val="yellow"/>
          <w:lang w:val="en-GB"/>
        </w:rPr>
        <w:fldChar w:fldCharType="end"/>
      </w:r>
      <w:r w:rsidR="008372A2" w:rsidRPr="008372A2">
        <w:rPr>
          <w:lang w:val="en-GB"/>
        </w:rPr>
        <w:t xml:space="preserve">a presents the hazard curves derived from the PTHA for the grid points identified by the red squares in the </w:t>
      </w:r>
      <w:r w:rsidR="00DF1034">
        <w:rPr>
          <w:highlight w:val="yellow"/>
          <w:lang w:val="en-GB"/>
        </w:rPr>
        <w:fldChar w:fldCharType="begin"/>
      </w:r>
      <w:r w:rsidR="00DF1034">
        <w:rPr>
          <w:lang w:val="en-GB"/>
        </w:rPr>
        <w:instrText xml:space="preserve"> REF _Ref170296733 \h </w:instrText>
      </w:r>
      <w:r w:rsidR="00DF1034">
        <w:rPr>
          <w:highlight w:val="yellow"/>
          <w:lang w:val="en-GB"/>
        </w:rPr>
      </w:r>
      <w:r w:rsidR="00DF1034">
        <w:rPr>
          <w:highlight w:val="yellow"/>
          <w:lang w:val="en-GB"/>
        </w:rPr>
        <w:fldChar w:fldCharType="separate"/>
      </w:r>
      <w:r w:rsidR="00F1294D">
        <w:t xml:space="preserve">Figure </w:t>
      </w:r>
      <w:r w:rsidR="00F1294D">
        <w:rPr>
          <w:noProof/>
        </w:rPr>
        <w:t>1</w:t>
      </w:r>
      <w:r w:rsidR="00DF1034">
        <w:rPr>
          <w:highlight w:val="yellow"/>
          <w:lang w:val="en-GB"/>
        </w:rPr>
        <w:fldChar w:fldCharType="end"/>
      </w:r>
      <w:r w:rsidR="008372A2">
        <w:rPr>
          <w:lang w:val="en-GB"/>
        </w:rPr>
        <w:t>a</w:t>
      </w:r>
      <w:r w:rsidR="008372A2" w:rsidRPr="008372A2">
        <w:rPr>
          <w:lang w:val="en-GB"/>
        </w:rPr>
        <w:t>.</w:t>
      </w:r>
      <w:r w:rsidR="008372A2">
        <w:rPr>
          <w:lang w:val="en-GB"/>
        </w:rPr>
        <w:t xml:space="preserve"> </w:t>
      </w:r>
      <w:r w:rsidR="007474F7">
        <w:rPr>
          <w:lang w:val="en-GB"/>
        </w:rPr>
        <w:t xml:space="preserve">The </w:t>
      </w:r>
      <w:r w:rsidR="001433DB">
        <w:rPr>
          <w:lang w:val="en-GB"/>
        </w:rPr>
        <w:t xml:space="preserve">hazard </w:t>
      </w:r>
      <w:r w:rsidR="007474F7">
        <w:rPr>
          <w:lang w:val="en-GB"/>
        </w:rPr>
        <w:t xml:space="preserve">results </w:t>
      </w:r>
      <w:r w:rsidR="002237FE">
        <w:rPr>
          <w:lang w:val="en-GB"/>
        </w:rPr>
        <w:t>show</w:t>
      </w:r>
      <w:r w:rsidR="00634036">
        <w:rPr>
          <w:lang w:val="en-GB"/>
        </w:rPr>
        <w:t xml:space="preserve"> </w:t>
      </w:r>
      <w:r w:rsidR="002237FE">
        <w:rPr>
          <w:lang w:val="en-GB"/>
        </w:rPr>
        <w:t xml:space="preserve">that </w:t>
      </w:r>
      <w:r w:rsidR="00EE7B92">
        <w:rPr>
          <w:lang w:val="en-GB"/>
        </w:rPr>
        <w:t>t</w:t>
      </w:r>
      <w:r w:rsidR="00EE7B92" w:rsidRPr="008C5CD9">
        <w:rPr>
          <w:lang w:val="en-GB"/>
        </w:rPr>
        <w:t>anks located closer to the coast</w:t>
      </w:r>
      <w:r w:rsidR="00EE7B92">
        <w:rPr>
          <w:lang w:val="en-GB"/>
        </w:rPr>
        <w:t xml:space="preserve">, as </w:t>
      </w:r>
      <m:oMath>
        <m:sSub>
          <m:sSubPr>
            <m:ctrlPr>
              <w:rPr>
                <w:rFonts w:ascii="Cambria Math" w:hAnsi="Cambria Math"/>
                <w:i/>
                <w:lang w:val="en-GB"/>
              </w:rPr>
            </m:ctrlPr>
          </m:sSubPr>
          <m:e>
            <m:r>
              <w:rPr>
                <w:rFonts w:ascii="Cambria Math" w:hAnsi="Cambria Math"/>
                <w:lang w:val="en-GB"/>
              </w:rPr>
              <m:t>Tank</m:t>
            </m:r>
          </m:e>
          <m:sub>
            <m:r>
              <w:rPr>
                <w:rFonts w:ascii="Cambria Math" w:hAnsi="Cambria Math"/>
                <w:lang w:val="en-GB"/>
              </w:rPr>
              <m:t>1</m:t>
            </m:r>
          </m:sub>
        </m:sSub>
      </m:oMath>
      <w:r w:rsidR="00EE7B92">
        <w:rPr>
          <w:lang w:val="en-GB"/>
        </w:rPr>
        <w:t xml:space="preserve"> and </w:t>
      </w:r>
      <m:oMath>
        <m:sSub>
          <m:sSubPr>
            <m:ctrlPr>
              <w:rPr>
                <w:rFonts w:ascii="Cambria Math" w:hAnsi="Cambria Math"/>
                <w:i/>
                <w:lang w:val="en-GB"/>
              </w:rPr>
            </m:ctrlPr>
          </m:sSubPr>
          <m:e>
            <m:r>
              <w:rPr>
                <w:rFonts w:ascii="Cambria Math" w:hAnsi="Cambria Math"/>
                <w:lang w:val="en-GB"/>
              </w:rPr>
              <m:t>Tank</m:t>
            </m:r>
          </m:e>
          <m:sub>
            <m:r>
              <w:rPr>
                <w:rFonts w:ascii="Cambria Math" w:hAnsi="Cambria Math"/>
                <w:lang w:val="en-GB"/>
              </w:rPr>
              <m:t>3</m:t>
            </m:r>
          </m:sub>
        </m:sSub>
      </m:oMath>
      <w:r w:rsidR="00EE7B92">
        <w:rPr>
          <w:lang w:val="en-GB"/>
        </w:rPr>
        <w:t>,</w:t>
      </w:r>
      <w:r w:rsidR="00EE7B92" w:rsidRPr="008C5CD9">
        <w:rPr>
          <w:lang w:val="en-GB"/>
        </w:rPr>
        <w:t xml:space="preserve"> are generally at greater </w:t>
      </w:r>
      <w:r w:rsidR="00EE7B92">
        <w:rPr>
          <w:lang w:val="en-GB"/>
        </w:rPr>
        <w:t>hazard</w:t>
      </w:r>
      <w:r w:rsidR="00634036">
        <w:rPr>
          <w:lang w:val="en-GB"/>
        </w:rPr>
        <w:t xml:space="preserve">. </w:t>
      </w:r>
      <w:r w:rsidR="005C00E1">
        <w:rPr>
          <w:lang w:val="en-GB"/>
        </w:rPr>
        <w:t>In addition, for the site of the case study, the inundation level</w:t>
      </w:r>
      <w:r w:rsidR="00D80683">
        <w:rPr>
          <w:lang w:val="en-GB"/>
        </w:rPr>
        <w:t xml:space="preserve">s considered in PTHA </w:t>
      </w:r>
      <w:r w:rsidR="00C01DC3">
        <w:rPr>
          <w:lang w:val="en-GB"/>
        </w:rPr>
        <w:t xml:space="preserve">never </w:t>
      </w:r>
      <w:r w:rsidR="005C00E1">
        <w:rPr>
          <w:lang w:val="en-GB"/>
        </w:rPr>
        <w:t xml:space="preserve">reach </w:t>
      </w:r>
      <w:r w:rsidR="00C955DB">
        <w:rPr>
          <w:lang w:val="en-GB"/>
        </w:rPr>
        <w:t>values</w:t>
      </w:r>
      <w:r w:rsidR="008372A2">
        <w:rPr>
          <w:lang w:val="en-GB"/>
        </w:rPr>
        <w:t xml:space="preserve"> </w:t>
      </w:r>
      <w:r w:rsidR="00582E5D">
        <w:rPr>
          <w:lang w:val="en-GB"/>
        </w:rPr>
        <w:t>larger</w:t>
      </w:r>
      <w:r w:rsidR="00C01DC3">
        <w:rPr>
          <w:lang w:val="en-GB"/>
        </w:rPr>
        <w:t xml:space="preserve"> than</w:t>
      </w:r>
      <w:r w:rsidR="000730A1">
        <w:rPr>
          <w:lang w:val="en-GB"/>
        </w:rPr>
        <w:t xml:space="preserve"> half</w:t>
      </w:r>
      <w:r w:rsidR="008372A2">
        <w:rPr>
          <w:lang w:val="en-GB"/>
        </w:rPr>
        <w:t xml:space="preserve"> of the height of the tanks, </w:t>
      </w:r>
      <w:r w:rsidR="00C01DC3">
        <w:rPr>
          <w:lang w:val="en-GB"/>
        </w:rPr>
        <w:t>more specifically</w:t>
      </w:r>
      <w:r w:rsidR="008372A2">
        <w:rPr>
          <w:lang w:val="en-GB"/>
        </w:rPr>
        <w:t>,</w:t>
      </w:r>
      <w:r w:rsidR="00C955DB">
        <w:rPr>
          <w:lang w:val="en-GB"/>
        </w:rPr>
        <w:t xml:space="preserve"> </w:t>
      </w:r>
      <w:r w:rsidR="00634036">
        <w:rPr>
          <w:lang w:val="en-GB"/>
        </w:rPr>
        <w:t xml:space="preserve">slightly more than </w:t>
      </w:r>
      <m:oMath>
        <m:r>
          <w:rPr>
            <w:rFonts w:ascii="Cambria Math" w:hAnsi="Cambria Math"/>
            <w:lang w:val="en-GB"/>
          </w:rPr>
          <m:t>40 %</m:t>
        </m:r>
      </m:oMath>
      <w:r w:rsidR="00634036">
        <w:rPr>
          <w:lang w:val="en-GB"/>
        </w:rPr>
        <w:t xml:space="preserve"> for </w:t>
      </w:r>
      <m:oMath>
        <m:sSub>
          <m:sSubPr>
            <m:ctrlPr>
              <w:rPr>
                <w:rFonts w:ascii="Cambria Math" w:hAnsi="Cambria Math"/>
                <w:i/>
                <w:lang w:val="en-GB"/>
              </w:rPr>
            </m:ctrlPr>
          </m:sSubPr>
          <m:e>
            <m:r>
              <w:rPr>
                <w:rFonts w:ascii="Cambria Math" w:hAnsi="Cambria Math"/>
                <w:lang w:val="en-GB"/>
              </w:rPr>
              <m:t>Tank</m:t>
            </m:r>
          </m:e>
          <m:sub>
            <m:r>
              <w:rPr>
                <w:rFonts w:ascii="Cambria Math" w:hAnsi="Cambria Math"/>
                <w:lang w:val="en-GB"/>
              </w:rPr>
              <m:t>3</m:t>
            </m:r>
          </m:sub>
        </m:sSub>
      </m:oMath>
      <w:r w:rsidR="00C955DB">
        <w:rPr>
          <w:lang w:val="en-GB"/>
        </w:rPr>
        <w:t xml:space="preserve">, about the </w:t>
      </w:r>
      <m:oMath>
        <m:r>
          <w:rPr>
            <w:rFonts w:ascii="Cambria Math" w:hAnsi="Cambria Math"/>
            <w:lang w:val="en-GB"/>
          </w:rPr>
          <m:t>37 %</m:t>
        </m:r>
      </m:oMath>
      <w:r w:rsidR="00182F78">
        <w:rPr>
          <w:lang w:val="en-GB"/>
        </w:rPr>
        <w:t xml:space="preserve"> </w:t>
      </w:r>
      <w:r w:rsidR="00E761C1">
        <w:rPr>
          <w:lang w:val="en-GB"/>
        </w:rPr>
        <w:t xml:space="preserve">for </w:t>
      </w:r>
      <m:oMath>
        <m:sSub>
          <m:sSubPr>
            <m:ctrlPr>
              <w:rPr>
                <w:rFonts w:ascii="Cambria Math" w:hAnsi="Cambria Math"/>
                <w:i/>
                <w:lang w:val="en-GB"/>
              </w:rPr>
            </m:ctrlPr>
          </m:sSubPr>
          <m:e>
            <m:r>
              <w:rPr>
                <w:rFonts w:ascii="Cambria Math" w:hAnsi="Cambria Math"/>
                <w:lang w:val="en-GB"/>
              </w:rPr>
              <m:t>Tank</m:t>
            </m:r>
          </m:e>
          <m:sub>
            <m:r>
              <w:rPr>
                <w:rFonts w:ascii="Cambria Math" w:hAnsi="Cambria Math"/>
                <w:lang w:val="en-GB"/>
              </w:rPr>
              <m:t>1</m:t>
            </m:r>
          </m:sub>
        </m:sSub>
      </m:oMath>
      <w:r w:rsidR="00C955DB">
        <w:rPr>
          <w:lang w:val="en-GB"/>
        </w:rPr>
        <w:t xml:space="preserve"> and </w:t>
      </w:r>
      <m:oMath>
        <m:sSub>
          <m:sSubPr>
            <m:ctrlPr>
              <w:rPr>
                <w:rFonts w:ascii="Cambria Math" w:hAnsi="Cambria Math"/>
                <w:i/>
                <w:lang w:val="en-GB"/>
              </w:rPr>
            </m:ctrlPr>
          </m:sSubPr>
          <m:e>
            <m:r>
              <w:rPr>
                <w:rFonts w:ascii="Cambria Math" w:hAnsi="Cambria Math"/>
                <w:lang w:val="en-GB"/>
              </w:rPr>
              <m:t>Tank</m:t>
            </m:r>
          </m:e>
          <m:sub>
            <m:r>
              <w:rPr>
                <w:rFonts w:ascii="Cambria Math" w:hAnsi="Cambria Math"/>
                <w:lang w:val="en-GB"/>
              </w:rPr>
              <m:t>4</m:t>
            </m:r>
          </m:sub>
        </m:sSub>
      </m:oMath>
      <w:r w:rsidR="00C955DB">
        <w:rPr>
          <w:lang w:val="en-GB"/>
        </w:rPr>
        <w:t xml:space="preserve">, </w:t>
      </w:r>
      <w:r w:rsidR="005425D6">
        <w:rPr>
          <w:lang w:val="en-GB"/>
        </w:rPr>
        <w:t xml:space="preserve">about the </w:t>
      </w:r>
      <m:oMath>
        <m:r>
          <w:rPr>
            <w:rFonts w:ascii="Cambria Math" w:hAnsi="Cambria Math"/>
            <w:lang w:val="en-GB"/>
          </w:rPr>
          <m:t>30 %</m:t>
        </m:r>
      </m:oMath>
      <w:r w:rsidR="005425D6">
        <w:rPr>
          <w:lang w:val="en-GB"/>
        </w:rPr>
        <w:t xml:space="preserve"> for </w:t>
      </w:r>
      <m:oMath>
        <m:sSub>
          <m:sSubPr>
            <m:ctrlPr>
              <w:rPr>
                <w:rFonts w:ascii="Cambria Math" w:hAnsi="Cambria Math"/>
                <w:i/>
                <w:lang w:val="en-GB"/>
              </w:rPr>
            </m:ctrlPr>
          </m:sSubPr>
          <m:e>
            <m:r>
              <w:rPr>
                <w:rFonts w:ascii="Cambria Math" w:hAnsi="Cambria Math"/>
                <w:lang w:val="en-GB"/>
              </w:rPr>
              <m:t>Tank</m:t>
            </m:r>
          </m:e>
          <m:sub>
            <m:r>
              <w:rPr>
                <w:rFonts w:ascii="Cambria Math" w:hAnsi="Cambria Math"/>
                <w:lang w:val="en-GB"/>
              </w:rPr>
              <m:t>2</m:t>
            </m:r>
          </m:sub>
        </m:sSub>
      </m:oMath>
      <w:r w:rsidR="005425D6">
        <w:rPr>
          <w:lang w:val="en-GB"/>
        </w:rPr>
        <w:t xml:space="preserve">, </w:t>
      </w:r>
      <m:oMath>
        <m:sSub>
          <m:sSubPr>
            <m:ctrlPr>
              <w:rPr>
                <w:rFonts w:ascii="Cambria Math" w:hAnsi="Cambria Math"/>
                <w:i/>
                <w:lang w:val="en-GB"/>
              </w:rPr>
            </m:ctrlPr>
          </m:sSubPr>
          <m:e>
            <m:r>
              <w:rPr>
                <w:rFonts w:ascii="Cambria Math" w:hAnsi="Cambria Math"/>
                <w:lang w:val="en-GB"/>
              </w:rPr>
              <m:t>Tank</m:t>
            </m:r>
          </m:e>
          <m:sub>
            <m:r>
              <w:rPr>
                <w:rFonts w:ascii="Cambria Math" w:hAnsi="Cambria Math"/>
                <w:lang w:val="en-GB"/>
              </w:rPr>
              <m:t>5</m:t>
            </m:r>
          </m:sub>
        </m:sSub>
      </m:oMath>
      <w:r w:rsidR="005425D6">
        <w:rPr>
          <w:lang w:val="en-GB"/>
        </w:rPr>
        <w:t xml:space="preserve"> and </w:t>
      </w:r>
      <m:oMath>
        <m:sSub>
          <m:sSubPr>
            <m:ctrlPr>
              <w:rPr>
                <w:rFonts w:ascii="Cambria Math" w:hAnsi="Cambria Math"/>
                <w:i/>
                <w:lang w:val="en-GB"/>
              </w:rPr>
            </m:ctrlPr>
          </m:sSubPr>
          <m:e>
            <m:r>
              <w:rPr>
                <w:rFonts w:ascii="Cambria Math" w:hAnsi="Cambria Math"/>
                <w:lang w:val="en-GB"/>
              </w:rPr>
              <m:t>Tank</m:t>
            </m:r>
          </m:e>
          <m:sub>
            <m:r>
              <w:rPr>
                <w:rFonts w:ascii="Cambria Math" w:hAnsi="Cambria Math"/>
                <w:lang w:val="en-GB"/>
              </w:rPr>
              <m:t>6.</m:t>
            </m:r>
          </m:sub>
        </m:sSub>
      </m:oMath>
    </w:p>
    <w:p w14:paraId="33BA33EA" w14:textId="64DEC4B6" w:rsidR="00351BA1" w:rsidRDefault="002229BE" w:rsidP="00FA7BE4">
      <w:pPr>
        <w:pStyle w:val="CETBodytext"/>
        <w:spacing w:after="160"/>
        <w:rPr>
          <w:lang w:val="en-GB"/>
        </w:rPr>
      </w:pPr>
      <w:r>
        <w:rPr>
          <w:lang w:val="en-GB"/>
        </w:rPr>
        <w:t xml:space="preserve">All tanks </w:t>
      </w:r>
      <w:r w:rsidR="00AC63BA">
        <w:rPr>
          <w:lang w:val="en-GB"/>
        </w:rPr>
        <w:t xml:space="preserve">have </w:t>
      </w:r>
      <w:r w:rsidR="0042163A">
        <w:rPr>
          <w:lang w:val="en-GB"/>
        </w:rPr>
        <w:t xml:space="preserve">about the </w:t>
      </w:r>
      <w:r w:rsidR="00A40D25">
        <w:rPr>
          <w:lang w:val="en-GB"/>
        </w:rPr>
        <w:t>same height-radius ratio, t</w:t>
      </w:r>
      <w:r>
        <w:rPr>
          <w:lang w:val="en-GB"/>
        </w:rPr>
        <w:t>hus,</w:t>
      </w:r>
      <w:r w:rsidR="00A40D25">
        <w:rPr>
          <w:lang w:val="en-GB"/>
        </w:rPr>
        <w:t xml:space="preserve"> the fragility curves </w:t>
      </w:r>
      <w:r w:rsidR="009F6BFD">
        <w:rPr>
          <w:lang w:val="en-GB"/>
        </w:rPr>
        <w:t xml:space="preserve">of </w:t>
      </w:r>
      <w:r w:rsidR="00BD346E">
        <w:rPr>
          <w:highlight w:val="yellow"/>
        </w:rPr>
        <w:fldChar w:fldCharType="begin"/>
      </w:r>
      <w:r w:rsidR="00BD346E">
        <w:rPr>
          <w:lang w:val="en-GB"/>
        </w:rPr>
        <w:instrText xml:space="preserve"> REF _Ref164163935 \h </w:instrText>
      </w:r>
      <w:r w:rsidR="00BD346E">
        <w:rPr>
          <w:highlight w:val="yellow"/>
        </w:rPr>
      </w:r>
      <w:r w:rsidR="00BD346E">
        <w:rPr>
          <w:highlight w:val="yellow"/>
        </w:rPr>
        <w:fldChar w:fldCharType="separate"/>
      </w:r>
      <w:r w:rsidR="00F1294D">
        <w:t xml:space="preserve">Figure </w:t>
      </w:r>
      <w:r w:rsidR="00F1294D">
        <w:rPr>
          <w:noProof/>
        </w:rPr>
        <w:t>2</w:t>
      </w:r>
      <w:r w:rsidR="00BD346E">
        <w:rPr>
          <w:highlight w:val="yellow"/>
        </w:rPr>
        <w:fldChar w:fldCharType="end"/>
      </w:r>
      <w:r w:rsidR="009F6BFD">
        <w:rPr>
          <w:lang w:val="en-GB"/>
        </w:rPr>
        <w:t>b can be</w:t>
      </w:r>
      <w:r>
        <w:rPr>
          <w:lang w:val="en-GB"/>
        </w:rPr>
        <w:t xml:space="preserve"> </w:t>
      </w:r>
      <w:r w:rsidR="009F6BFD">
        <w:rPr>
          <w:lang w:val="en-GB"/>
        </w:rPr>
        <w:t xml:space="preserve">representative of all </w:t>
      </w:r>
      <w:r w:rsidR="000730A1">
        <w:rPr>
          <w:lang w:val="en-GB"/>
        </w:rPr>
        <w:t>of them</w:t>
      </w:r>
      <w:r w:rsidR="009F6BFD">
        <w:rPr>
          <w:lang w:val="en-GB"/>
        </w:rPr>
        <w:t xml:space="preserve">. </w:t>
      </w:r>
      <w:r w:rsidR="00273B3A">
        <w:rPr>
          <w:lang w:val="en-GB"/>
        </w:rPr>
        <w:t xml:space="preserve">The figure </w:t>
      </w:r>
      <w:r w:rsidR="00F52716">
        <w:rPr>
          <w:lang w:val="en-GB"/>
        </w:rPr>
        <w:t xml:space="preserve">shows </w:t>
      </w:r>
      <w:r w:rsidR="006061F1">
        <w:rPr>
          <w:lang w:val="en-GB"/>
        </w:rPr>
        <w:t xml:space="preserve">the fragility curves for the </w:t>
      </w:r>
      <w:r>
        <w:rPr>
          <w:lang w:val="en-GB"/>
        </w:rPr>
        <w:t xml:space="preserve">three </w:t>
      </w:r>
      <w:r w:rsidR="00820E71">
        <w:rPr>
          <w:lang w:val="en-GB"/>
        </w:rPr>
        <w:t xml:space="preserve">normalized </w:t>
      </w:r>
      <w:r>
        <w:rPr>
          <w:lang w:val="en-GB"/>
        </w:rPr>
        <w:t>filling levels</w:t>
      </w:r>
      <w:r w:rsidR="00F52716">
        <w:rPr>
          <w:lang w:val="en-GB"/>
        </w:rPr>
        <w:t xml:space="preserve"> considered</w:t>
      </w:r>
      <w:r w:rsidR="0004644E">
        <w:rPr>
          <w:lang w:val="en-GB"/>
        </w:rPr>
        <w:t>:</w:t>
      </w:r>
      <w:r>
        <w:rPr>
          <w:lang w:val="en-GB"/>
        </w:rPr>
        <w:t xml:space="preserve"> </w:t>
      </w:r>
      <m:oMath>
        <m:r>
          <w:rPr>
            <w:rFonts w:ascii="Cambria Math" w:hAnsi="Cambria Math"/>
            <w:lang w:val="en-GB"/>
          </w:rPr>
          <m:t>10%</m:t>
        </m:r>
      </m:oMath>
      <w:r>
        <w:rPr>
          <w:lang w:val="en-GB"/>
        </w:rPr>
        <w:t xml:space="preserve">, </w:t>
      </w:r>
      <m:oMath>
        <m:r>
          <w:rPr>
            <w:rFonts w:ascii="Cambria Math" w:hAnsi="Cambria Math"/>
            <w:lang w:val="en-GB"/>
          </w:rPr>
          <m:t>50%</m:t>
        </m:r>
      </m:oMath>
      <w:r>
        <w:rPr>
          <w:lang w:val="en-GB"/>
        </w:rPr>
        <w:t xml:space="preserve">, and </w:t>
      </w:r>
      <m:oMath>
        <m:r>
          <w:rPr>
            <w:rFonts w:ascii="Cambria Math" w:hAnsi="Cambria Math"/>
            <w:lang w:val="en-GB"/>
          </w:rPr>
          <m:t>90%</m:t>
        </m:r>
      </m:oMath>
      <w:r w:rsidR="006061F1">
        <w:rPr>
          <w:lang w:val="en-GB"/>
        </w:rPr>
        <w:t xml:space="preserve">. </w:t>
      </w:r>
      <w:r w:rsidR="00BF105C">
        <w:rPr>
          <w:lang w:val="en-GB"/>
        </w:rPr>
        <w:t xml:space="preserve">As can be seen, </w:t>
      </w:r>
      <w:r w:rsidR="00D75FC8">
        <w:rPr>
          <w:lang w:val="en-GB"/>
        </w:rPr>
        <w:t>a</w:t>
      </w:r>
      <w:r w:rsidR="0082545C">
        <w:rPr>
          <w:lang w:val="en-GB"/>
        </w:rPr>
        <w:t xml:space="preserve">n </w:t>
      </w:r>
      <w:r w:rsidR="00AB6B16">
        <w:rPr>
          <w:lang w:val="en-GB"/>
        </w:rPr>
        <w:t>almost empty</w:t>
      </w:r>
      <w:r w:rsidR="0066151F">
        <w:rPr>
          <w:lang w:val="en-GB"/>
        </w:rPr>
        <w:t xml:space="preserve"> </w:t>
      </w:r>
      <w:r w:rsidR="0082545C">
        <w:rPr>
          <w:lang w:val="en-GB"/>
        </w:rPr>
        <w:t xml:space="preserve">tank </w:t>
      </w:r>
      <w:r w:rsidR="0066151F">
        <w:rPr>
          <w:lang w:val="en-GB"/>
        </w:rPr>
        <w:t xml:space="preserve">is more vulnerable </w:t>
      </w:r>
      <w:r w:rsidR="00CA4F95">
        <w:rPr>
          <w:lang w:val="en-GB"/>
        </w:rPr>
        <w:t xml:space="preserve">than </w:t>
      </w:r>
      <w:r w:rsidR="0082545C">
        <w:rPr>
          <w:lang w:val="en-GB"/>
        </w:rPr>
        <w:t xml:space="preserve">a </w:t>
      </w:r>
      <w:r w:rsidR="00CA4F95">
        <w:rPr>
          <w:lang w:val="en-GB"/>
        </w:rPr>
        <w:t>ful</w:t>
      </w:r>
      <w:r w:rsidR="0082545C">
        <w:rPr>
          <w:lang w:val="en-GB"/>
        </w:rPr>
        <w:t>l tank</w:t>
      </w:r>
      <w:r w:rsidR="000557B9">
        <w:rPr>
          <w:lang w:val="en-GB"/>
        </w:rPr>
        <w:t>.</w:t>
      </w:r>
    </w:p>
    <w:p w14:paraId="7192F840" w14:textId="3926604F" w:rsidR="001F4CF1" w:rsidRDefault="00F6661E" w:rsidP="00C52ADC">
      <w:pPr>
        <w:pStyle w:val="CETBodytext"/>
        <w:keepNext/>
        <w:jc w:val="left"/>
      </w:pPr>
      <w:r>
        <w:rPr>
          <w:noProof/>
          <w:sz w:val="16"/>
          <w:szCs w:val="16"/>
          <w:lang w:val="en-GB"/>
        </w:rPr>
        <w:drawing>
          <wp:inline distT="0" distB="0" distL="0" distR="0" wp14:anchorId="6FEC45E9" wp14:editId="727A4C7D">
            <wp:extent cx="5272317" cy="1574337"/>
            <wp:effectExtent l="0" t="0" r="5080" b="6985"/>
            <wp:docPr id="192497858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978582" name="Immagine 1"/>
                    <pic:cNvPicPr/>
                  </pic:nvPicPr>
                  <pic:blipFill>
                    <a:blip r:embed="rId12"/>
                    <a:stretch>
                      <a:fillRect/>
                    </a:stretch>
                  </pic:blipFill>
                  <pic:spPr>
                    <a:xfrm>
                      <a:off x="0" y="0"/>
                      <a:ext cx="5272317" cy="1574337"/>
                    </a:xfrm>
                    <a:prstGeom prst="rect">
                      <a:avLst/>
                    </a:prstGeom>
                  </pic:spPr>
                </pic:pic>
              </a:graphicData>
            </a:graphic>
          </wp:inline>
        </w:drawing>
      </w:r>
    </w:p>
    <w:p w14:paraId="2B8CA3C8" w14:textId="48C3B74B" w:rsidR="00CA4E94" w:rsidRPr="001F4CF1" w:rsidRDefault="001F4CF1" w:rsidP="00B45C03">
      <w:pPr>
        <w:pStyle w:val="CETCaption"/>
        <w:spacing w:before="120" w:after="120"/>
      </w:pPr>
      <w:bookmarkStart w:id="4" w:name="_Ref164163935"/>
      <w:r>
        <w:t xml:space="preserve">Figure </w:t>
      </w:r>
      <w:r w:rsidR="001B4611">
        <w:fldChar w:fldCharType="begin"/>
      </w:r>
      <w:r w:rsidR="001B4611">
        <w:instrText xml:space="preserve"> SEQ Figure \* ARABIC </w:instrText>
      </w:r>
      <w:r w:rsidR="001B4611">
        <w:fldChar w:fldCharType="separate"/>
      </w:r>
      <w:r w:rsidR="00F1294D">
        <w:rPr>
          <w:noProof/>
        </w:rPr>
        <w:t>2</w:t>
      </w:r>
      <w:r w:rsidR="001B4611">
        <w:fldChar w:fldCharType="end"/>
      </w:r>
      <w:bookmarkEnd w:id="4"/>
      <w:r>
        <w:t>: a) Hazard curves</w:t>
      </w:r>
      <w:r w:rsidR="00BD346E">
        <w:t xml:space="preserve"> associated </w:t>
      </w:r>
      <w:r w:rsidR="008046B6">
        <w:t>with</w:t>
      </w:r>
      <w:r w:rsidR="00BD346E">
        <w:t xml:space="preserve"> each tank</w:t>
      </w:r>
      <w:r>
        <w:t>. b) Fragility functions</w:t>
      </w:r>
      <w:r w:rsidR="004345F7">
        <w:t xml:space="preserve"> </w:t>
      </w:r>
      <w:r w:rsidR="00BD346E">
        <w:t>for three filling levels</w:t>
      </w:r>
      <w:r w:rsidR="001F1931">
        <w:t>.</w:t>
      </w:r>
    </w:p>
    <w:p w14:paraId="097E460D" w14:textId="1801FAE7" w:rsidR="00F24ED2" w:rsidRDefault="00F24ED2" w:rsidP="00B45C03">
      <w:pPr>
        <w:pStyle w:val="CETTabletitle"/>
        <w:spacing w:before="120"/>
      </w:pPr>
      <w:bookmarkStart w:id="5" w:name="_Ref164163953"/>
      <w:r>
        <w:t xml:space="preserve">Table </w:t>
      </w:r>
      <w:r>
        <w:fldChar w:fldCharType="begin"/>
      </w:r>
      <w:r>
        <w:instrText xml:space="preserve"> SEQ Table \* ARABIC </w:instrText>
      </w:r>
      <w:r>
        <w:fldChar w:fldCharType="separate"/>
      </w:r>
      <w:r w:rsidR="00F1294D">
        <w:rPr>
          <w:noProof/>
        </w:rPr>
        <w:t>2</w:t>
      </w:r>
      <w:r>
        <w:fldChar w:fldCharType="end"/>
      </w:r>
      <w:bookmarkEnd w:id="5"/>
      <w:r>
        <w:t xml:space="preserve">: </w:t>
      </w:r>
      <w:r w:rsidR="00960935">
        <w:t>Structural failure rates of each tank for the three filling levels</w:t>
      </w:r>
      <w:r w:rsidR="00BD346E">
        <w:t>.</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254"/>
        <w:gridCol w:w="1254"/>
        <w:gridCol w:w="1255"/>
        <w:gridCol w:w="1257"/>
        <w:gridCol w:w="1255"/>
        <w:gridCol w:w="1255"/>
        <w:gridCol w:w="1257"/>
      </w:tblGrid>
      <w:tr w:rsidR="00275153" w:rsidRPr="00CA4E94" w14:paraId="6D41781C" w14:textId="77777777" w:rsidTr="00275153">
        <w:tc>
          <w:tcPr>
            <w:tcW w:w="714" w:type="pct"/>
            <w:tcBorders>
              <w:top w:val="single" w:sz="12" w:space="0" w:color="008000"/>
              <w:bottom w:val="single" w:sz="6" w:space="0" w:color="008000"/>
            </w:tcBorders>
            <w:shd w:val="clear" w:color="auto" w:fill="FFFFFF"/>
            <w:vAlign w:val="center"/>
          </w:tcPr>
          <w:p w14:paraId="5AAEF8AA" w14:textId="26810DFD" w:rsidR="00275153" w:rsidRPr="00CA4E94" w:rsidRDefault="00275153" w:rsidP="004B437C">
            <w:pPr>
              <w:pStyle w:val="CETBodytext"/>
              <w:ind w:right="-1"/>
              <w:jc w:val="left"/>
              <w:rPr>
                <w:rFonts w:cs="Arial"/>
                <w:sz w:val="16"/>
                <w:szCs w:val="16"/>
                <w:lang w:val="en-GB"/>
              </w:rPr>
            </w:pPr>
            <m:oMathPara>
              <m:oMath>
                <m:r>
                  <m:rPr>
                    <m:sty m:val="p"/>
                  </m:rPr>
                  <w:rPr>
                    <w:rFonts w:ascii="Cambria Math" w:hAnsi="Cambria Math" w:cs="Arial"/>
                    <w:sz w:val="16"/>
                    <w:szCs w:val="16"/>
                    <w:lang w:val="en-GB"/>
                  </w:rPr>
                  <m:t>Ψ</m:t>
                </m:r>
              </m:oMath>
            </m:oMathPara>
          </w:p>
        </w:tc>
        <w:tc>
          <w:tcPr>
            <w:tcW w:w="4286" w:type="pct"/>
            <w:gridSpan w:val="6"/>
            <w:tcBorders>
              <w:top w:val="single" w:sz="12" w:space="0" w:color="008000"/>
              <w:bottom w:val="single" w:sz="6" w:space="0" w:color="008000"/>
            </w:tcBorders>
            <w:shd w:val="clear" w:color="auto" w:fill="FFFFFF"/>
            <w:vAlign w:val="center"/>
          </w:tcPr>
          <w:p w14:paraId="17F6AC6C" w14:textId="1B6BF1E2" w:rsidR="00275153" w:rsidRPr="00CA4E94" w:rsidRDefault="00000000" w:rsidP="004B437C">
            <w:pPr>
              <w:pStyle w:val="CETBodytext"/>
              <w:ind w:right="-1"/>
              <w:jc w:val="left"/>
              <w:rPr>
                <w:rFonts w:cs="Arial"/>
                <w:sz w:val="16"/>
                <w:szCs w:val="16"/>
                <w:lang w:val="en-GB"/>
              </w:rPr>
            </w:pPr>
            <m:oMathPara>
              <m:oMath>
                <m:sSub>
                  <m:sSubPr>
                    <m:ctrlPr>
                      <w:rPr>
                        <w:rFonts w:ascii="Cambria Math" w:hAnsi="Cambria Math" w:cs="Arial"/>
                        <w:i/>
                        <w:sz w:val="16"/>
                        <w:szCs w:val="16"/>
                        <w:lang w:val="en-GB"/>
                      </w:rPr>
                    </m:ctrlPr>
                  </m:sSubPr>
                  <m:e>
                    <m:r>
                      <w:rPr>
                        <w:rFonts w:ascii="Cambria Math" w:hAnsi="Cambria Math" w:cs="Arial"/>
                        <w:sz w:val="16"/>
                        <w:szCs w:val="16"/>
                        <w:lang w:val="en-GB"/>
                      </w:rPr>
                      <m:t>λ</m:t>
                    </m:r>
                  </m:e>
                  <m:sub>
                    <m:r>
                      <w:rPr>
                        <w:rFonts w:ascii="Cambria Math" w:hAnsi="Cambria Math" w:cs="Arial"/>
                        <w:sz w:val="16"/>
                        <w:szCs w:val="16"/>
                        <w:lang w:val="en-GB"/>
                      </w:rPr>
                      <m:t>f</m:t>
                    </m:r>
                  </m:sub>
                </m:sSub>
                <m:r>
                  <w:rPr>
                    <w:rFonts w:ascii="Cambria Math" w:hAnsi="Cambria Math" w:cs="Arial"/>
                    <w:sz w:val="16"/>
                    <w:szCs w:val="16"/>
                    <w:lang w:val="en-GB"/>
                  </w:rPr>
                  <m:t xml:space="preserve"> </m:t>
                </m:r>
                <m:d>
                  <m:dPr>
                    <m:begChr m:val="["/>
                    <m:endChr m:val="]"/>
                    <m:ctrlPr>
                      <w:rPr>
                        <w:rFonts w:ascii="Cambria Math" w:hAnsi="Cambria Math" w:cs="Arial"/>
                        <w:i/>
                        <w:sz w:val="16"/>
                        <w:szCs w:val="16"/>
                        <w:lang w:val="en-GB"/>
                      </w:rPr>
                    </m:ctrlPr>
                  </m:dPr>
                  <m:e>
                    <m:f>
                      <m:fPr>
                        <m:type m:val="lin"/>
                        <m:ctrlPr>
                          <w:rPr>
                            <w:rFonts w:ascii="Cambria Math" w:hAnsi="Cambria Math" w:cs="Arial"/>
                            <w:i/>
                            <w:sz w:val="16"/>
                            <w:szCs w:val="16"/>
                            <w:lang w:val="en-GB"/>
                          </w:rPr>
                        </m:ctrlPr>
                      </m:fPr>
                      <m:num>
                        <m:r>
                          <w:rPr>
                            <w:rFonts w:ascii="Cambria Math" w:hAnsi="Cambria Math" w:cs="Arial"/>
                            <w:sz w:val="16"/>
                            <w:szCs w:val="16"/>
                            <w:lang w:val="en-GB"/>
                          </w:rPr>
                          <m:t>1</m:t>
                        </m:r>
                      </m:num>
                      <m:den>
                        <m:r>
                          <w:rPr>
                            <w:rFonts w:ascii="Cambria Math" w:hAnsi="Cambria Math" w:cs="Arial"/>
                            <w:sz w:val="16"/>
                            <w:szCs w:val="16"/>
                            <w:lang w:val="en-GB"/>
                          </w:rPr>
                          <m:t>y</m:t>
                        </m:r>
                      </m:den>
                    </m:f>
                  </m:e>
                </m:d>
              </m:oMath>
            </m:oMathPara>
          </w:p>
        </w:tc>
      </w:tr>
      <w:tr w:rsidR="004534B6" w:rsidRPr="00CA4E94" w14:paraId="32DC314F" w14:textId="77777777" w:rsidTr="004B437C">
        <w:tc>
          <w:tcPr>
            <w:tcW w:w="714" w:type="pct"/>
            <w:tcBorders>
              <w:top w:val="single" w:sz="12" w:space="0" w:color="008000"/>
              <w:bottom w:val="single" w:sz="6" w:space="0" w:color="008000"/>
            </w:tcBorders>
            <w:shd w:val="clear" w:color="auto" w:fill="FFFFFF"/>
            <w:vAlign w:val="center"/>
          </w:tcPr>
          <w:p w14:paraId="0823EA91" w14:textId="3C50CBD9" w:rsidR="004534B6" w:rsidRPr="00CA4E94" w:rsidRDefault="00275153" w:rsidP="004534B6">
            <w:pPr>
              <w:pStyle w:val="CETBodytext"/>
              <w:ind w:right="-1"/>
              <w:jc w:val="left"/>
              <w:rPr>
                <w:rFonts w:cs="Arial"/>
                <w:sz w:val="16"/>
                <w:szCs w:val="16"/>
                <w:lang w:val="en-GB"/>
              </w:rPr>
            </w:pPr>
            <m:oMathPara>
              <m:oMath>
                <m:r>
                  <w:rPr>
                    <w:rFonts w:ascii="Cambria Math" w:hAnsi="Cambria Math" w:cs="Arial"/>
                    <w:sz w:val="16"/>
                    <w:szCs w:val="16"/>
                    <w:lang w:val="en-GB"/>
                  </w:rPr>
                  <m:t>[%]</m:t>
                </m:r>
              </m:oMath>
            </m:oMathPara>
          </w:p>
        </w:tc>
        <w:tc>
          <w:tcPr>
            <w:tcW w:w="714" w:type="pct"/>
            <w:tcBorders>
              <w:top w:val="single" w:sz="12" w:space="0" w:color="008000"/>
              <w:bottom w:val="single" w:sz="6" w:space="0" w:color="008000"/>
            </w:tcBorders>
            <w:shd w:val="clear" w:color="auto" w:fill="FFFFFF"/>
            <w:vAlign w:val="center"/>
          </w:tcPr>
          <w:p w14:paraId="64EA72B2" w14:textId="2B18C3B7" w:rsidR="004534B6" w:rsidRPr="002F323A" w:rsidRDefault="00000000" w:rsidP="004534B6">
            <w:pPr>
              <w:pStyle w:val="CETBodytext"/>
              <w:ind w:right="-1"/>
              <w:jc w:val="left"/>
              <w:rPr>
                <w:rFonts w:cs="Arial"/>
                <w:sz w:val="16"/>
                <w:szCs w:val="16"/>
                <w:lang w:val="en-GB"/>
              </w:rPr>
            </w:pPr>
            <m:oMathPara>
              <m:oMath>
                <m:sSub>
                  <m:sSubPr>
                    <m:ctrlPr>
                      <w:rPr>
                        <w:rFonts w:ascii="Cambria Math" w:hAnsi="Cambria Math" w:cs="Arial"/>
                        <w:i/>
                        <w:sz w:val="16"/>
                        <w:szCs w:val="16"/>
                        <w:lang w:val="en-GB"/>
                      </w:rPr>
                    </m:ctrlPr>
                  </m:sSubPr>
                  <m:e>
                    <m:r>
                      <w:rPr>
                        <w:rFonts w:ascii="Cambria Math" w:hAnsi="Cambria Math" w:cs="Arial"/>
                        <w:sz w:val="16"/>
                        <w:szCs w:val="16"/>
                        <w:lang w:val="en-GB"/>
                      </w:rPr>
                      <m:t>Tank</m:t>
                    </m:r>
                  </m:e>
                  <m:sub>
                    <m:r>
                      <w:rPr>
                        <w:rFonts w:ascii="Cambria Math" w:hAnsi="Cambria Math" w:cs="Arial"/>
                        <w:sz w:val="16"/>
                        <w:szCs w:val="16"/>
                        <w:lang w:val="en-GB"/>
                      </w:rPr>
                      <m:t>1</m:t>
                    </m:r>
                  </m:sub>
                </m:sSub>
              </m:oMath>
            </m:oMathPara>
          </w:p>
        </w:tc>
        <w:tc>
          <w:tcPr>
            <w:tcW w:w="714" w:type="pct"/>
            <w:tcBorders>
              <w:top w:val="single" w:sz="12" w:space="0" w:color="008000"/>
              <w:bottom w:val="single" w:sz="6" w:space="0" w:color="008000"/>
            </w:tcBorders>
            <w:shd w:val="clear" w:color="auto" w:fill="FFFFFF"/>
            <w:vAlign w:val="center"/>
          </w:tcPr>
          <w:p w14:paraId="113F1572" w14:textId="70191500" w:rsidR="004534B6" w:rsidRPr="002F323A" w:rsidRDefault="00000000" w:rsidP="004534B6">
            <w:pPr>
              <w:pStyle w:val="CETBodytext"/>
              <w:ind w:right="-1"/>
              <w:jc w:val="left"/>
              <w:rPr>
                <w:rFonts w:cs="Arial"/>
                <w:sz w:val="16"/>
                <w:szCs w:val="16"/>
                <w:lang w:val="en-GB"/>
              </w:rPr>
            </w:pPr>
            <m:oMathPara>
              <m:oMath>
                <m:sSub>
                  <m:sSubPr>
                    <m:ctrlPr>
                      <w:rPr>
                        <w:rFonts w:ascii="Cambria Math" w:hAnsi="Cambria Math" w:cs="Arial"/>
                        <w:i/>
                        <w:sz w:val="16"/>
                        <w:szCs w:val="16"/>
                        <w:lang w:val="en-GB"/>
                      </w:rPr>
                    </m:ctrlPr>
                  </m:sSubPr>
                  <m:e>
                    <m:r>
                      <w:rPr>
                        <w:rFonts w:ascii="Cambria Math" w:hAnsi="Cambria Math" w:cs="Arial"/>
                        <w:sz w:val="16"/>
                        <w:szCs w:val="16"/>
                        <w:lang w:val="en-GB"/>
                      </w:rPr>
                      <m:t>Tank</m:t>
                    </m:r>
                  </m:e>
                  <m:sub>
                    <m:r>
                      <w:rPr>
                        <w:rFonts w:ascii="Cambria Math" w:hAnsi="Cambria Math" w:cs="Arial"/>
                        <w:sz w:val="16"/>
                        <w:szCs w:val="16"/>
                        <w:lang w:val="en-GB"/>
                      </w:rPr>
                      <m:t>2</m:t>
                    </m:r>
                  </m:sub>
                </m:sSub>
              </m:oMath>
            </m:oMathPara>
          </w:p>
        </w:tc>
        <w:tc>
          <w:tcPr>
            <w:tcW w:w="715" w:type="pct"/>
            <w:tcBorders>
              <w:top w:val="single" w:sz="12" w:space="0" w:color="008000"/>
              <w:bottom w:val="single" w:sz="6" w:space="0" w:color="008000"/>
            </w:tcBorders>
            <w:shd w:val="clear" w:color="auto" w:fill="FFFFFF"/>
            <w:vAlign w:val="center"/>
          </w:tcPr>
          <w:p w14:paraId="3C2676C7" w14:textId="0D4792D2" w:rsidR="004534B6" w:rsidRPr="002F323A" w:rsidRDefault="00000000" w:rsidP="004534B6">
            <w:pPr>
              <w:pStyle w:val="CETBodytext"/>
              <w:ind w:right="-1"/>
              <w:jc w:val="left"/>
              <w:rPr>
                <w:rFonts w:cs="Arial"/>
                <w:sz w:val="16"/>
                <w:szCs w:val="16"/>
                <w:lang w:val="en-GB"/>
              </w:rPr>
            </w:pPr>
            <m:oMathPara>
              <m:oMath>
                <m:sSub>
                  <m:sSubPr>
                    <m:ctrlPr>
                      <w:rPr>
                        <w:rFonts w:ascii="Cambria Math" w:hAnsi="Cambria Math" w:cs="Arial"/>
                        <w:i/>
                        <w:sz w:val="16"/>
                        <w:szCs w:val="16"/>
                        <w:lang w:val="en-GB"/>
                      </w:rPr>
                    </m:ctrlPr>
                  </m:sSubPr>
                  <m:e>
                    <m:r>
                      <w:rPr>
                        <w:rFonts w:ascii="Cambria Math" w:hAnsi="Cambria Math" w:cs="Arial"/>
                        <w:sz w:val="16"/>
                        <w:szCs w:val="16"/>
                        <w:lang w:val="en-GB"/>
                      </w:rPr>
                      <m:t>Tank</m:t>
                    </m:r>
                  </m:e>
                  <m:sub>
                    <m:r>
                      <w:rPr>
                        <w:rFonts w:ascii="Cambria Math" w:hAnsi="Cambria Math" w:cs="Arial"/>
                        <w:sz w:val="16"/>
                        <w:szCs w:val="16"/>
                        <w:lang w:val="en-GB"/>
                      </w:rPr>
                      <m:t>3</m:t>
                    </m:r>
                  </m:sub>
                </m:sSub>
              </m:oMath>
            </m:oMathPara>
          </w:p>
        </w:tc>
        <w:tc>
          <w:tcPr>
            <w:tcW w:w="714" w:type="pct"/>
            <w:tcBorders>
              <w:top w:val="single" w:sz="12" w:space="0" w:color="008000"/>
              <w:bottom w:val="single" w:sz="6" w:space="0" w:color="008000"/>
            </w:tcBorders>
            <w:shd w:val="clear" w:color="auto" w:fill="FFFFFF"/>
            <w:vAlign w:val="center"/>
          </w:tcPr>
          <w:p w14:paraId="2AA78B42" w14:textId="0DD83279" w:rsidR="004534B6" w:rsidRPr="002F323A" w:rsidRDefault="00000000" w:rsidP="004534B6">
            <w:pPr>
              <w:pStyle w:val="CETBodytext"/>
              <w:ind w:right="-1"/>
              <w:jc w:val="left"/>
              <w:rPr>
                <w:rFonts w:cs="Arial"/>
                <w:sz w:val="16"/>
                <w:szCs w:val="16"/>
                <w:lang w:val="en-GB"/>
              </w:rPr>
            </w:pPr>
            <m:oMathPara>
              <m:oMath>
                <m:sSub>
                  <m:sSubPr>
                    <m:ctrlPr>
                      <w:rPr>
                        <w:rFonts w:ascii="Cambria Math" w:hAnsi="Cambria Math" w:cs="Arial"/>
                        <w:i/>
                        <w:sz w:val="16"/>
                        <w:szCs w:val="16"/>
                        <w:lang w:val="en-GB"/>
                      </w:rPr>
                    </m:ctrlPr>
                  </m:sSubPr>
                  <m:e>
                    <m:r>
                      <w:rPr>
                        <w:rFonts w:ascii="Cambria Math" w:hAnsi="Cambria Math" w:cs="Arial"/>
                        <w:sz w:val="16"/>
                        <w:szCs w:val="16"/>
                        <w:lang w:val="en-GB"/>
                      </w:rPr>
                      <m:t>Tank</m:t>
                    </m:r>
                  </m:e>
                  <m:sub>
                    <m:r>
                      <w:rPr>
                        <w:rFonts w:ascii="Cambria Math" w:hAnsi="Cambria Math" w:cs="Arial"/>
                        <w:sz w:val="16"/>
                        <w:szCs w:val="16"/>
                        <w:lang w:val="en-GB"/>
                      </w:rPr>
                      <m:t>4</m:t>
                    </m:r>
                  </m:sub>
                </m:sSub>
              </m:oMath>
            </m:oMathPara>
          </w:p>
        </w:tc>
        <w:tc>
          <w:tcPr>
            <w:tcW w:w="714" w:type="pct"/>
            <w:tcBorders>
              <w:top w:val="single" w:sz="12" w:space="0" w:color="008000"/>
              <w:bottom w:val="single" w:sz="6" w:space="0" w:color="008000"/>
            </w:tcBorders>
            <w:shd w:val="clear" w:color="auto" w:fill="FFFFFF"/>
            <w:vAlign w:val="center"/>
          </w:tcPr>
          <w:p w14:paraId="78962A15" w14:textId="3A14F791" w:rsidR="004534B6" w:rsidRPr="002F323A" w:rsidRDefault="00000000" w:rsidP="004534B6">
            <w:pPr>
              <w:pStyle w:val="CETBodytext"/>
              <w:ind w:right="-1"/>
              <w:jc w:val="left"/>
              <w:rPr>
                <w:rFonts w:cs="Arial"/>
                <w:sz w:val="16"/>
                <w:szCs w:val="16"/>
                <w:lang w:val="en-GB"/>
              </w:rPr>
            </w:pPr>
            <m:oMathPara>
              <m:oMath>
                <m:sSub>
                  <m:sSubPr>
                    <m:ctrlPr>
                      <w:rPr>
                        <w:rFonts w:ascii="Cambria Math" w:hAnsi="Cambria Math" w:cs="Arial"/>
                        <w:i/>
                        <w:sz w:val="16"/>
                        <w:szCs w:val="16"/>
                        <w:lang w:val="en-GB"/>
                      </w:rPr>
                    </m:ctrlPr>
                  </m:sSubPr>
                  <m:e>
                    <m:r>
                      <w:rPr>
                        <w:rFonts w:ascii="Cambria Math" w:hAnsi="Cambria Math" w:cs="Arial"/>
                        <w:sz w:val="16"/>
                        <w:szCs w:val="16"/>
                        <w:lang w:val="en-GB"/>
                      </w:rPr>
                      <m:t>Tank</m:t>
                    </m:r>
                  </m:e>
                  <m:sub>
                    <m:r>
                      <w:rPr>
                        <w:rFonts w:ascii="Cambria Math" w:hAnsi="Cambria Math" w:cs="Arial"/>
                        <w:sz w:val="16"/>
                        <w:szCs w:val="16"/>
                        <w:lang w:val="en-GB"/>
                      </w:rPr>
                      <m:t>5</m:t>
                    </m:r>
                  </m:sub>
                </m:sSub>
              </m:oMath>
            </m:oMathPara>
          </w:p>
        </w:tc>
        <w:tc>
          <w:tcPr>
            <w:tcW w:w="715" w:type="pct"/>
            <w:tcBorders>
              <w:top w:val="single" w:sz="12" w:space="0" w:color="008000"/>
              <w:bottom w:val="single" w:sz="6" w:space="0" w:color="008000"/>
            </w:tcBorders>
            <w:shd w:val="clear" w:color="auto" w:fill="FFFFFF"/>
            <w:vAlign w:val="center"/>
          </w:tcPr>
          <w:p w14:paraId="33D94FEE" w14:textId="516A4493" w:rsidR="004534B6" w:rsidRPr="002F323A" w:rsidRDefault="00000000" w:rsidP="004534B6">
            <w:pPr>
              <w:pStyle w:val="CETBodytext"/>
              <w:ind w:right="-1"/>
              <w:jc w:val="left"/>
              <w:rPr>
                <w:rFonts w:cs="Arial"/>
                <w:sz w:val="16"/>
                <w:szCs w:val="16"/>
                <w:lang w:val="en-GB"/>
              </w:rPr>
            </w:pPr>
            <m:oMathPara>
              <m:oMath>
                <m:sSub>
                  <m:sSubPr>
                    <m:ctrlPr>
                      <w:rPr>
                        <w:rFonts w:ascii="Cambria Math" w:hAnsi="Cambria Math" w:cs="Arial"/>
                        <w:i/>
                        <w:sz w:val="16"/>
                        <w:szCs w:val="16"/>
                        <w:lang w:val="en-GB"/>
                      </w:rPr>
                    </m:ctrlPr>
                  </m:sSubPr>
                  <m:e>
                    <m:r>
                      <w:rPr>
                        <w:rFonts w:ascii="Cambria Math" w:hAnsi="Cambria Math" w:cs="Arial"/>
                        <w:sz w:val="16"/>
                        <w:szCs w:val="16"/>
                        <w:lang w:val="en-GB"/>
                      </w:rPr>
                      <m:t>Tank</m:t>
                    </m:r>
                  </m:e>
                  <m:sub>
                    <m:r>
                      <w:rPr>
                        <w:rFonts w:ascii="Cambria Math" w:hAnsi="Cambria Math" w:cs="Arial"/>
                        <w:sz w:val="16"/>
                        <w:szCs w:val="16"/>
                        <w:lang w:val="en-GB"/>
                      </w:rPr>
                      <m:t>6</m:t>
                    </m:r>
                  </m:sub>
                </m:sSub>
              </m:oMath>
            </m:oMathPara>
          </w:p>
        </w:tc>
      </w:tr>
      <w:tr w:rsidR="001E283F" w:rsidRPr="001E283F" w14:paraId="3E6C7B00" w14:textId="77777777" w:rsidTr="00342A82">
        <w:tc>
          <w:tcPr>
            <w:tcW w:w="714" w:type="pct"/>
            <w:shd w:val="clear" w:color="auto" w:fill="FFFFFF"/>
            <w:vAlign w:val="center"/>
          </w:tcPr>
          <w:p w14:paraId="08AC8FA4" w14:textId="57A806F7" w:rsidR="0076003C" w:rsidRPr="001E283F" w:rsidRDefault="001E283F" w:rsidP="004A1AE6">
            <w:pPr>
              <w:pStyle w:val="CETBodytext"/>
              <w:ind w:right="-1"/>
              <w:jc w:val="center"/>
              <w:rPr>
                <w:sz w:val="16"/>
                <w:szCs w:val="16"/>
                <w:lang w:val="en-GB"/>
              </w:rPr>
            </w:pPr>
            <w:r w:rsidRPr="001E283F">
              <w:rPr>
                <w:sz w:val="16"/>
                <w:szCs w:val="16"/>
                <w:lang w:val="en-GB"/>
              </w:rPr>
              <w:t>10</w:t>
            </w:r>
          </w:p>
        </w:tc>
        <w:tc>
          <w:tcPr>
            <w:tcW w:w="714" w:type="pct"/>
            <w:tcBorders>
              <w:top w:val="nil"/>
              <w:left w:val="nil"/>
              <w:bottom w:val="nil"/>
              <w:right w:val="nil"/>
            </w:tcBorders>
            <w:shd w:val="clear" w:color="auto" w:fill="auto"/>
            <w:vAlign w:val="bottom"/>
          </w:tcPr>
          <w:p w14:paraId="5F0F4D29" w14:textId="12E8B5FD" w:rsidR="0076003C" w:rsidRPr="001E283F" w:rsidRDefault="007056EA" w:rsidP="004A1AE6">
            <w:pPr>
              <w:pStyle w:val="CETBodytext"/>
              <w:ind w:right="-1"/>
              <w:jc w:val="center"/>
              <w:rPr>
                <w:sz w:val="16"/>
                <w:szCs w:val="16"/>
              </w:rPr>
            </w:pPr>
            <w:r w:rsidRPr="001E283F">
              <w:rPr>
                <w:sz w:val="16"/>
                <w:szCs w:val="16"/>
              </w:rPr>
              <w:t>3.</w:t>
            </w:r>
            <w:r w:rsidR="00F92D74">
              <w:rPr>
                <w:sz w:val="16"/>
                <w:szCs w:val="16"/>
              </w:rPr>
              <w:t>94</w:t>
            </w:r>
            <w:r w:rsidRPr="001E283F">
              <w:rPr>
                <w:sz w:val="16"/>
                <w:szCs w:val="16"/>
              </w:rPr>
              <w:t>E-06</w:t>
            </w:r>
          </w:p>
        </w:tc>
        <w:tc>
          <w:tcPr>
            <w:tcW w:w="714" w:type="pct"/>
            <w:tcBorders>
              <w:top w:val="nil"/>
              <w:left w:val="nil"/>
              <w:bottom w:val="nil"/>
              <w:right w:val="nil"/>
            </w:tcBorders>
            <w:shd w:val="clear" w:color="auto" w:fill="auto"/>
            <w:vAlign w:val="bottom"/>
          </w:tcPr>
          <w:p w14:paraId="690FFBC7" w14:textId="49FDE154" w:rsidR="0076003C" w:rsidRPr="001E283F" w:rsidRDefault="00C519C5" w:rsidP="004A1AE6">
            <w:pPr>
              <w:pStyle w:val="CETBodytext"/>
              <w:ind w:right="-1"/>
              <w:jc w:val="center"/>
              <w:rPr>
                <w:sz w:val="16"/>
                <w:szCs w:val="16"/>
              </w:rPr>
            </w:pPr>
            <w:r>
              <w:rPr>
                <w:sz w:val="16"/>
                <w:szCs w:val="16"/>
              </w:rPr>
              <w:t>1.03</w:t>
            </w:r>
            <w:r w:rsidR="0099620C" w:rsidRPr="001E283F">
              <w:rPr>
                <w:sz w:val="16"/>
                <w:szCs w:val="16"/>
              </w:rPr>
              <w:t>E-0</w:t>
            </w:r>
            <w:r>
              <w:rPr>
                <w:sz w:val="16"/>
                <w:szCs w:val="16"/>
              </w:rPr>
              <w:t>6</w:t>
            </w:r>
          </w:p>
        </w:tc>
        <w:tc>
          <w:tcPr>
            <w:tcW w:w="715" w:type="pct"/>
            <w:tcBorders>
              <w:top w:val="nil"/>
              <w:left w:val="nil"/>
              <w:bottom w:val="nil"/>
              <w:right w:val="nil"/>
            </w:tcBorders>
            <w:shd w:val="clear" w:color="auto" w:fill="auto"/>
            <w:vAlign w:val="bottom"/>
          </w:tcPr>
          <w:p w14:paraId="253AF1FD" w14:textId="3ABFC243" w:rsidR="0076003C" w:rsidRPr="001E283F" w:rsidRDefault="00C519C5" w:rsidP="004A1AE6">
            <w:pPr>
              <w:pStyle w:val="CETBodytext"/>
              <w:ind w:right="-1"/>
              <w:jc w:val="center"/>
              <w:rPr>
                <w:sz w:val="16"/>
                <w:szCs w:val="16"/>
              </w:rPr>
            </w:pPr>
            <w:r>
              <w:rPr>
                <w:sz w:val="16"/>
                <w:szCs w:val="16"/>
              </w:rPr>
              <w:t>2.77</w:t>
            </w:r>
            <w:r w:rsidR="0099620C" w:rsidRPr="001E283F">
              <w:rPr>
                <w:sz w:val="16"/>
                <w:szCs w:val="16"/>
              </w:rPr>
              <w:t>E-06</w:t>
            </w:r>
          </w:p>
        </w:tc>
        <w:tc>
          <w:tcPr>
            <w:tcW w:w="714" w:type="pct"/>
            <w:tcBorders>
              <w:top w:val="nil"/>
              <w:left w:val="nil"/>
              <w:bottom w:val="nil"/>
              <w:right w:val="nil"/>
            </w:tcBorders>
            <w:shd w:val="clear" w:color="auto" w:fill="auto"/>
            <w:vAlign w:val="bottom"/>
          </w:tcPr>
          <w:p w14:paraId="61623194" w14:textId="5B9DAA67" w:rsidR="0076003C" w:rsidRPr="001E283F" w:rsidRDefault="00C519C5" w:rsidP="004A1AE6">
            <w:pPr>
              <w:pStyle w:val="CETBodytext"/>
              <w:ind w:right="-1"/>
              <w:jc w:val="center"/>
              <w:rPr>
                <w:sz w:val="16"/>
                <w:szCs w:val="16"/>
              </w:rPr>
            </w:pPr>
            <w:r>
              <w:rPr>
                <w:sz w:val="16"/>
                <w:szCs w:val="16"/>
              </w:rPr>
              <w:t>1.39</w:t>
            </w:r>
            <w:r w:rsidR="0099620C" w:rsidRPr="001E283F">
              <w:rPr>
                <w:sz w:val="16"/>
                <w:szCs w:val="16"/>
              </w:rPr>
              <w:t>E-06</w:t>
            </w:r>
          </w:p>
        </w:tc>
        <w:tc>
          <w:tcPr>
            <w:tcW w:w="714" w:type="pct"/>
            <w:tcBorders>
              <w:top w:val="nil"/>
              <w:left w:val="nil"/>
              <w:bottom w:val="nil"/>
              <w:right w:val="nil"/>
            </w:tcBorders>
            <w:shd w:val="clear" w:color="auto" w:fill="auto"/>
            <w:vAlign w:val="bottom"/>
          </w:tcPr>
          <w:p w14:paraId="0F14DD3A" w14:textId="7FA497D1" w:rsidR="0076003C" w:rsidRPr="001E283F" w:rsidRDefault="00C519C5" w:rsidP="004A1AE6">
            <w:pPr>
              <w:pStyle w:val="CETBodytext"/>
              <w:ind w:right="-1"/>
              <w:jc w:val="center"/>
              <w:rPr>
                <w:sz w:val="16"/>
                <w:szCs w:val="16"/>
              </w:rPr>
            </w:pPr>
            <w:r>
              <w:rPr>
                <w:sz w:val="16"/>
                <w:szCs w:val="16"/>
              </w:rPr>
              <w:t>6.14</w:t>
            </w:r>
            <w:r w:rsidR="0099620C" w:rsidRPr="001E283F">
              <w:rPr>
                <w:sz w:val="16"/>
                <w:szCs w:val="16"/>
              </w:rPr>
              <w:t>E-07</w:t>
            </w:r>
          </w:p>
        </w:tc>
        <w:tc>
          <w:tcPr>
            <w:tcW w:w="715" w:type="pct"/>
            <w:tcBorders>
              <w:top w:val="nil"/>
              <w:left w:val="nil"/>
              <w:bottom w:val="nil"/>
              <w:right w:val="nil"/>
            </w:tcBorders>
            <w:shd w:val="clear" w:color="auto" w:fill="auto"/>
            <w:vAlign w:val="bottom"/>
          </w:tcPr>
          <w:p w14:paraId="2E77A11C" w14:textId="24472158" w:rsidR="0076003C" w:rsidRPr="001E283F" w:rsidRDefault="00C519C5" w:rsidP="004A1AE6">
            <w:pPr>
              <w:pStyle w:val="CETBodytext"/>
              <w:ind w:right="-1"/>
              <w:jc w:val="center"/>
              <w:rPr>
                <w:sz w:val="16"/>
                <w:szCs w:val="16"/>
              </w:rPr>
            </w:pPr>
            <w:r>
              <w:rPr>
                <w:sz w:val="16"/>
                <w:szCs w:val="16"/>
              </w:rPr>
              <w:t>3.89</w:t>
            </w:r>
            <w:r w:rsidR="00D81E02" w:rsidRPr="001E283F">
              <w:rPr>
                <w:sz w:val="16"/>
                <w:szCs w:val="16"/>
              </w:rPr>
              <w:t>E-07</w:t>
            </w:r>
          </w:p>
        </w:tc>
      </w:tr>
      <w:tr w:rsidR="001E283F" w:rsidRPr="001E283F" w14:paraId="407BEC4E" w14:textId="77777777" w:rsidTr="004B437C">
        <w:tc>
          <w:tcPr>
            <w:tcW w:w="714" w:type="pct"/>
            <w:shd w:val="clear" w:color="auto" w:fill="FFFFFF"/>
            <w:vAlign w:val="center"/>
          </w:tcPr>
          <w:p w14:paraId="3587978D" w14:textId="3E2F4DCA" w:rsidR="0076003C" w:rsidRPr="001E283F" w:rsidRDefault="001E283F" w:rsidP="004A1AE6">
            <w:pPr>
              <w:pStyle w:val="CETBodytext"/>
              <w:ind w:right="-1"/>
              <w:jc w:val="center"/>
              <w:rPr>
                <w:sz w:val="16"/>
                <w:szCs w:val="16"/>
                <w:lang w:val="en-GB"/>
              </w:rPr>
            </w:pPr>
            <w:r w:rsidRPr="001E283F">
              <w:rPr>
                <w:sz w:val="16"/>
                <w:szCs w:val="16"/>
                <w:lang w:val="en-GB"/>
              </w:rPr>
              <w:t>50</w:t>
            </w:r>
          </w:p>
        </w:tc>
        <w:tc>
          <w:tcPr>
            <w:tcW w:w="714" w:type="pct"/>
            <w:shd w:val="clear" w:color="auto" w:fill="FFFFFF"/>
            <w:vAlign w:val="center"/>
          </w:tcPr>
          <w:p w14:paraId="2DCDD47D" w14:textId="4C8AD79B" w:rsidR="0076003C" w:rsidRPr="001E283F" w:rsidRDefault="003810B9" w:rsidP="004A1AE6">
            <w:pPr>
              <w:pStyle w:val="CETBodytext"/>
              <w:ind w:right="-1"/>
              <w:jc w:val="center"/>
              <w:rPr>
                <w:rFonts w:cs="Arial"/>
                <w:sz w:val="16"/>
                <w:szCs w:val="16"/>
                <w:lang w:val="en-GB"/>
              </w:rPr>
            </w:pPr>
            <w:r w:rsidRPr="001E283F">
              <w:rPr>
                <w:rFonts w:cs="Arial"/>
                <w:sz w:val="16"/>
                <w:szCs w:val="16"/>
                <w:lang w:val="en-GB"/>
              </w:rPr>
              <w:t>4.</w:t>
            </w:r>
            <w:r w:rsidR="002A226E">
              <w:rPr>
                <w:rFonts w:cs="Arial"/>
                <w:sz w:val="16"/>
                <w:szCs w:val="16"/>
                <w:lang w:val="en-GB"/>
              </w:rPr>
              <w:t>97</w:t>
            </w:r>
            <w:r w:rsidRPr="001E283F">
              <w:rPr>
                <w:rFonts w:cs="Arial"/>
                <w:sz w:val="16"/>
                <w:szCs w:val="16"/>
                <w:lang w:val="en-GB"/>
              </w:rPr>
              <w:t>E-09</w:t>
            </w:r>
          </w:p>
        </w:tc>
        <w:tc>
          <w:tcPr>
            <w:tcW w:w="714" w:type="pct"/>
            <w:shd w:val="clear" w:color="auto" w:fill="FFFFFF"/>
            <w:vAlign w:val="center"/>
          </w:tcPr>
          <w:p w14:paraId="4C5D9833" w14:textId="0880D10E" w:rsidR="0076003C" w:rsidRPr="001E283F" w:rsidRDefault="003B2D46" w:rsidP="004A1AE6">
            <w:pPr>
              <w:pStyle w:val="CETBodytext"/>
              <w:ind w:right="-1"/>
              <w:jc w:val="center"/>
              <w:rPr>
                <w:rFonts w:cs="Arial"/>
                <w:sz w:val="16"/>
                <w:szCs w:val="16"/>
                <w:lang w:val="en-GB"/>
              </w:rPr>
            </w:pPr>
            <w:r>
              <w:rPr>
                <w:rFonts w:cs="Arial"/>
                <w:sz w:val="16"/>
                <w:szCs w:val="16"/>
                <w:lang w:val="en-GB"/>
              </w:rPr>
              <w:t>1.07</w:t>
            </w:r>
            <w:r w:rsidR="00C64C5C" w:rsidRPr="001E283F">
              <w:rPr>
                <w:rFonts w:cs="Arial"/>
                <w:sz w:val="16"/>
                <w:szCs w:val="16"/>
                <w:lang w:val="en-GB"/>
              </w:rPr>
              <w:t>E-</w:t>
            </w:r>
            <w:r>
              <w:rPr>
                <w:rFonts w:cs="Arial"/>
                <w:sz w:val="16"/>
                <w:szCs w:val="16"/>
                <w:lang w:val="en-GB"/>
              </w:rPr>
              <w:t>09</w:t>
            </w:r>
          </w:p>
        </w:tc>
        <w:tc>
          <w:tcPr>
            <w:tcW w:w="715" w:type="pct"/>
            <w:shd w:val="clear" w:color="auto" w:fill="FFFFFF"/>
            <w:vAlign w:val="center"/>
          </w:tcPr>
          <w:p w14:paraId="3DA4BFBC" w14:textId="3A5E6689" w:rsidR="0076003C" w:rsidRPr="001E283F" w:rsidRDefault="003B2D46" w:rsidP="004A1AE6">
            <w:pPr>
              <w:pStyle w:val="CETBodytext"/>
              <w:ind w:right="-1"/>
              <w:jc w:val="center"/>
              <w:rPr>
                <w:rFonts w:cs="Arial"/>
                <w:sz w:val="16"/>
                <w:szCs w:val="16"/>
                <w:lang w:val="en-GB"/>
              </w:rPr>
            </w:pPr>
            <w:r>
              <w:rPr>
                <w:rFonts w:cs="Arial"/>
                <w:sz w:val="16"/>
                <w:szCs w:val="16"/>
                <w:lang w:val="en-GB"/>
              </w:rPr>
              <w:t>4.96</w:t>
            </w:r>
            <w:r w:rsidR="00C64C5C" w:rsidRPr="001E283F">
              <w:rPr>
                <w:rFonts w:cs="Arial"/>
                <w:sz w:val="16"/>
                <w:szCs w:val="16"/>
                <w:lang w:val="en-GB"/>
              </w:rPr>
              <w:t>E-0</w:t>
            </w:r>
            <w:r>
              <w:rPr>
                <w:rFonts w:cs="Arial"/>
                <w:sz w:val="16"/>
                <w:szCs w:val="16"/>
                <w:lang w:val="en-GB"/>
              </w:rPr>
              <w:t>9</w:t>
            </w:r>
          </w:p>
        </w:tc>
        <w:tc>
          <w:tcPr>
            <w:tcW w:w="714" w:type="pct"/>
            <w:shd w:val="clear" w:color="auto" w:fill="FFFFFF"/>
            <w:vAlign w:val="center"/>
          </w:tcPr>
          <w:p w14:paraId="745C55A7" w14:textId="3E9886BE" w:rsidR="0076003C" w:rsidRPr="001E283F" w:rsidRDefault="003B2D46" w:rsidP="004A1AE6">
            <w:pPr>
              <w:pStyle w:val="CETBodytext"/>
              <w:ind w:right="-1"/>
              <w:jc w:val="center"/>
              <w:rPr>
                <w:rFonts w:cs="Arial"/>
                <w:sz w:val="16"/>
                <w:szCs w:val="16"/>
                <w:lang w:val="en-GB"/>
              </w:rPr>
            </w:pPr>
            <w:r>
              <w:rPr>
                <w:rFonts w:cs="Arial"/>
                <w:sz w:val="16"/>
                <w:szCs w:val="16"/>
                <w:lang w:val="en-GB"/>
              </w:rPr>
              <w:t>1.61</w:t>
            </w:r>
            <w:r w:rsidR="00C64C5C" w:rsidRPr="001E283F">
              <w:rPr>
                <w:rFonts w:cs="Arial"/>
                <w:sz w:val="16"/>
                <w:szCs w:val="16"/>
                <w:lang w:val="en-GB"/>
              </w:rPr>
              <w:t>E-09</w:t>
            </w:r>
          </w:p>
        </w:tc>
        <w:tc>
          <w:tcPr>
            <w:tcW w:w="714" w:type="pct"/>
            <w:shd w:val="clear" w:color="auto" w:fill="FFFFFF"/>
            <w:vAlign w:val="center"/>
          </w:tcPr>
          <w:p w14:paraId="154ED704" w14:textId="6067714D" w:rsidR="0076003C" w:rsidRPr="001E283F" w:rsidRDefault="003B2D46" w:rsidP="004A1AE6">
            <w:pPr>
              <w:pStyle w:val="CETBodytext"/>
              <w:ind w:right="-1"/>
              <w:jc w:val="center"/>
              <w:rPr>
                <w:rFonts w:cs="Arial"/>
                <w:sz w:val="16"/>
                <w:szCs w:val="16"/>
                <w:lang w:val="en-GB"/>
              </w:rPr>
            </w:pPr>
            <w:r>
              <w:rPr>
                <w:rFonts w:cs="Arial"/>
                <w:sz w:val="16"/>
                <w:szCs w:val="16"/>
                <w:lang w:val="en-GB"/>
              </w:rPr>
              <w:t>5.68</w:t>
            </w:r>
            <w:r w:rsidR="00C64C5C" w:rsidRPr="001E283F">
              <w:rPr>
                <w:rFonts w:cs="Arial"/>
                <w:sz w:val="16"/>
                <w:szCs w:val="16"/>
                <w:lang w:val="en-GB"/>
              </w:rPr>
              <w:t>E-10</w:t>
            </w:r>
          </w:p>
        </w:tc>
        <w:tc>
          <w:tcPr>
            <w:tcW w:w="715" w:type="pct"/>
            <w:shd w:val="clear" w:color="auto" w:fill="FFFFFF"/>
            <w:vAlign w:val="center"/>
          </w:tcPr>
          <w:p w14:paraId="0C9B64EF" w14:textId="0D7133E6" w:rsidR="0076003C" w:rsidRPr="001E283F" w:rsidRDefault="0033104C" w:rsidP="004A1AE6">
            <w:pPr>
              <w:pStyle w:val="CETBodytext"/>
              <w:ind w:right="-1"/>
              <w:jc w:val="center"/>
              <w:rPr>
                <w:rFonts w:cs="Arial"/>
                <w:sz w:val="16"/>
                <w:szCs w:val="16"/>
                <w:lang w:val="en-GB"/>
              </w:rPr>
            </w:pPr>
            <w:r>
              <w:rPr>
                <w:rFonts w:cs="Arial"/>
                <w:sz w:val="16"/>
                <w:szCs w:val="16"/>
                <w:lang w:val="en-GB"/>
              </w:rPr>
              <w:t>3.59</w:t>
            </w:r>
            <w:r w:rsidR="004C0405" w:rsidRPr="001E283F">
              <w:rPr>
                <w:rFonts w:cs="Arial"/>
                <w:sz w:val="16"/>
                <w:szCs w:val="16"/>
                <w:lang w:val="en-GB"/>
              </w:rPr>
              <w:t>E-10</w:t>
            </w:r>
          </w:p>
        </w:tc>
      </w:tr>
      <w:tr w:rsidR="001E283F" w:rsidRPr="001E283F" w14:paraId="4AE4B825" w14:textId="77777777" w:rsidTr="004B437C">
        <w:tc>
          <w:tcPr>
            <w:tcW w:w="714" w:type="pct"/>
            <w:shd w:val="clear" w:color="auto" w:fill="FFFFFF"/>
            <w:vAlign w:val="center"/>
          </w:tcPr>
          <w:p w14:paraId="575DDAC3" w14:textId="7EA42880" w:rsidR="0076003C" w:rsidRPr="001E283F" w:rsidRDefault="001E283F" w:rsidP="004A1AE6">
            <w:pPr>
              <w:pStyle w:val="CETBodytext"/>
              <w:ind w:right="-1"/>
              <w:jc w:val="center"/>
              <w:rPr>
                <w:sz w:val="16"/>
                <w:szCs w:val="16"/>
                <w:lang w:val="en-GB"/>
              </w:rPr>
            </w:pPr>
            <w:r w:rsidRPr="001E283F">
              <w:rPr>
                <w:sz w:val="16"/>
                <w:szCs w:val="16"/>
                <w:lang w:val="en-GB"/>
              </w:rPr>
              <w:t>90</w:t>
            </w:r>
          </w:p>
        </w:tc>
        <w:tc>
          <w:tcPr>
            <w:tcW w:w="714" w:type="pct"/>
            <w:shd w:val="clear" w:color="auto" w:fill="FFFFFF"/>
            <w:vAlign w:val="center"/>
          </w:tcPr>
          <w:p w14:paraId="469E3D69" w14:textId="2042EAAC" w:rsidR="0076003C" w:rsidRPr="001E283F" w:rsidRDefault="00DE67E0" w:rsidP="004A1AE6">
            <w:pPr>
              <w:pStyle w:val="CETBodytext"/>
              <w:ind w:right="-1"/>
              <w:jc w:val="center"/>
              <w:rPr>
                <w:rFonts w:cs="Arial"/>
                <w:sz w:val="16"/>
                <w:szCs w:val="16"/>
                <w:lang w:val="en-GB"/>
              </w:rPr>
            </w:pPr>
            <w:r>
              <w:rPr>
                <w:rFonts w:cs="Arial"/>
                <w:sz w:val="16"/>
                <w:szCs w:val="16"/>
                <w:lang w:val="en-GB"/>
              </w:rPr>
              <w:t>6.03</w:t>
            </w:r>
            <w:r w:rsidR="005248B3" w:rsidRPr="001E283F">
              <w:rPr>
                <w:rFonts w:cs="Arial"/>
                <w:sz w:val="16"/>
                <w:szCs w:val="16"/>
                <w:lang w:val="en-GB"/>
              </w:rPr>
              <w:t>E-10</w:t>
            </w:r>
          </w:p>
        </w:tc>
        <w:tc>
          <w:tcPr>
            <w:tcW w:w="714" w:type="pct"/>
            <w:shd w:val="clear" w:color="auto" w:fill="FFFFFF"/>
            <w:vAlign w:val="center"/>
          </w:tcPr>
          <w:p w14:paraId="3FA6C56D" w14:textId="5DC8EEB2" w:rsidR="0076003C" w:rsidRPr="001E283F" w:rsidRDefault="00AB24F8" w:rsidP="004A1AE6">
            <w:pPr>
              <w:pStyle w:val="CETBodytext"/>
              <w:ind w:right="-1"/>
              <w:jc w:val="center"/>
              <w:rPr>
                <w:rFonts w:cs="Arial"/>
                <w:sz w:val="16"/>
                <w:szCs w:val="16"/>
                <w:lang w:val="en-GB"/>
              </w:rPr>
            </w:pPr>
            <w:r w:rsidRPr="001E283F">
              <w:rPr>
                <w:rFonts w:cs="Arial"/>
                <w:sz w:val="16"/>
                <w:szCs w:val="16"/>
                <w:lang w:val="en-GB"/>
              </w:rPr>
              <w:t>1.</w:t>
            </w:r>
            <w:r w:rsidR="00364387">
              <w:rPr>
                <w:rFonts w:cs="Arial"/>
                <w:sz w:val="16"/>
                <w:szCs w:val="16"/>
                <w:lang w:val="en-GB"/>
              </w:rPr>
              <w:t>37</w:t>
            </w:r>
            <w:r w:rsidRPr="001E283F">
              <w:rPr>
                <w:rFonts w:cs="Arial"/>
                <w:sz w:val="16"/>
                <w:szCs w:val="16"/>
                <w:lang w:val="en-GB"/>
              </w:rPr>
              <w:t>E-10</w:t>
            </w:r>
          </w:p>
        </w:tc>
        <w:tc>
          <w:tcPr>
            <w:tcW w:w="715" w:type="pct"/>
            <w:shd w:val="clear" w:color="auto" w:fill="FFFFFF"/>
            <w:vAlign w:val="center"/>
          </w:tcPr>
          <w:p w14:paraId="7BF0D018" w14:textId="652657FE" w:rsidR="0076003C" w:rsidRPr="001E283F" w:rsidRDefault="00364387" w:rsidP="004A1AE6">
            <w:pPr>
              <w:pStyle w:val="CETBodytext"/>
              <w:ind w:right="-1"/>
              <w:jc w:val="center"/>
              <w:rPr>
                <w:rFonts w:cs="Arial"/>
                <w:sz w:val="16"/>
                <w:szCs w:val="16"/>
                <w:lang w:val="en-GB"/>
              </w:rPr>
            </w:pPr>
            <w:r>
              <w:rPr>
                <w:rFonts w:cs="Arial"/>
                <w:sz w:val="16"/>
                <w:szCs w:val="16"/>
                <w:lang w:val="en-GB"/>
              </w:rPr>
              <w:t>4.54</w:t>
            </w:r>
            <w:r w:rsidR="00AB24F8" w:rsidRPr="001E283F">
              <w:rPr>
                <w:rFonts w:cs="Arial"/>
                <w:sz w:val="16"/>
                <w:szCs w:val="16"/>
                <w:lang w:val="en-GB"/>
              </w:rPr>
              <w:t>E-10</w:t>
            </w:r>
          </w:p>
        </w:tc>
        <w:tc>
          <w:tcPr>
            <w:tcW w:w="714" w:type="pct"/>
            <w:shd w:val="clear" w:color="auto" w:fill="FFFFFF"/>
            <w:vAlign w:val="center"/>
          </w:tcPr>
          <w:p w14:paraId="606C1F54" w14:textId="335C45C0" w:rsidR="0076003C" w:rsidRPr="001E283F" w:rsidRDefault="00364387" w:rsidP="004A1AE6">
            <w:pPr>
              <w:pStyle w:val="CETBodytext"/>
              <w:ind w:right="-1"/>
              <w:jc w:val="center"/>
              <w:rPr>
                <w:rFonts w:cs="Arial"/>
                <w:sz w:val="16"/>
                <w:szCs w:val="16"/>
                <w:lang w:val="en-GB"/>
              </w:rPr>
            </w:pPr>
            <w:r>
              <w:rPr>
                <w:rFonts w:cs="Arial"/>
                <w:sz w:val="16"/>
                <w:szCs w:val="16"/>
                <w:lang w:val="en-GB"/>
              </w:rPr>
              <w:t>2.22</w:t>
            </w:r>
            <w:r w:rsidR="00AB24F8" w:rsidRPr="001E283F">
              <w:rPr>
                <w:rFonts w:cs="Arial"/>
                <w:sz w:val="16"/>
                <w:szCs w:val="16"/>
                <w:lang w:val="en-GB"/>
              </w:rPr>
              <w:t>E-10</w:t>
            </w:r>
          </w:p>
        </w:tc>
        <w:tc>
          <w:tcPr>
            <w:tcW w:w="714" w:type="pct"/>
            <w:shd w:val="clear" w:color="auto" w:fill="FFFFFF"/>
            <w:vAlign w:val="center"/>
          </w:tcPr>
          <w:p w14:paraId="2EFAC809" w14:textId="6BEAD7B4" w:rsidR="0076003C" w:rsidRPr="001E283F" w:rsidRDefault="00364387" w:rsidP="004A1AE6">
            <w:pPr>
              <w:pStyle w:val="CETBodytext"/>
              <w:ind w:right="-1"/>
              <w:jc w:val="center"/>
              <w:rPr>
                <w:rFonts w:cs="Arial"/>
                <w:sz w:val="16"/>
                <w:szCs w:val="16"/>
                <w:lang w:val="en-GB"/>
              </w:rPr>
            </w:pPr>
            <w:r>
              <w:rPr>
                <w:rFonts w:cs="Arial"/>
                <w:sz w:val="16"/>
                <w:szCs w:val="16"/>
                <w:lang w:val="en-GB"/>
              </w:rPr>
              <w:t>7.24</w:t>
            </w:r>
            <w:r w:rsidR="00AB24F8" w:rsidRPr="001E283F">
              <w:rPr>
                <w:rFonts w:cs="Arial"/>
                <w:sz w:val="16"/>
                <w:szCs w:val="16"/>
                <w:lang w:val="en-GB"/>
              </w:rPr>
              <w:t>E-11</w:t>
            </w:r>
          </w:p>
        </w:tc>
        <w:tc>
          <w:tcPr>
            <w:tcW w:w="715" w:type="pct"/>
            <w:shd w:val="clear" w:color="auto" w:fill="FFFFFF"/>
            <w:vAlign w:val="center"/>
          </w:tcPr>
          <w:p w14:paraId="65D8D809" w14:textId="15276EA5" w:rsidR="0076003C" w:rsidRPr="001E283F" w:rsidRDefault="00364387" w:rsidP="004A1AE6">
            <w:pPr>
              <w:pStyle w:val="CETBodytext"/>
              <w:ind w:right="-1"/>
              <w:jc w:val="center"/>
              <w:rPr>
                <w:rFonts w:cs="Arial"/>
                <w:sz w:val="16"/>
                <w:szCs w:val="16"/>
                <w:lang w:val="en-GB"/>
              </w:rPr>
            </w:pPr>
            <w:r>
              <w:rPr>
                <w:rFonts w:cs="Arial"/>
                <w:sz w:val="16"/>
                <w:szCs w:val="16"/>
                <w:lang w:val="en-GB"/>
              </w:rPr>
              <w:t>4.42</w:t>
            </w:r>
            <w:r w:rsidR="00AB24F8" w:rsidRPr="001E283F">
              <w:rPr>
                <w:rFonts w:cs="Arial"/>
                <w:sz w:val="16"/>
                <w:szCs w:val="16"/>
                <w:lang w:val="en-GB"/>
              </w:rPr>
              <w:t>E-11</w:t>
            </w:r>
          </w:p>
        </w:tc>
      </w:tr>
    </w:tbl>
    <w:p w14:paraId="629FA245" w14:textId="25AD812A" w:rsidR="00E92254" w:rsidRDefault="00E92254" w:rsidP="00B45C03">
      <w:pPr>
        <w:pStyle w:val="CETTabletitle"/>
        <w:spacing w:before="120"/>
      </w:pPr>
      <w:bookmarkStart w:id="6" w:name="_Ref164163958"/>
      <w:r>
        <w:t xml:space="preserve">Table </w:t>
      </w:r>
      <w:r>
        <w:fldChar w:fldCharType="begin"/>
      </w:r>
      <w:r>
        <w:instrText xml:space="preserve"> SEQ Table \* ARABIC </w:instrText>
      </w:r>
      <w:r>
        <w:fldChar w:fldCharType="separate"/>
      </w:r>
      <w:r w:rsidR="00F1294D">
        <w:rPr>
          <w:noProof/>
        </w:rPr>
        <w:t>3</w:t>
      </w:r>
      <w:r>
        <w:fldChar w:fldCharType="end"/>
      </w:r>
      <w:bookmarkEnd w:id="6"/>
      <w:r>
        <w:t xml:space="preserve">: </w:t>
      </w:r>
      <w:r w:rsidR="000125EE">
        <w:t xml:space="preserve">Probability of failure of exactly k tanks given the failure at least one </w:t>
      </w:r>
      <w:r w:rsidR="00802B5C">
        <w:t>for the three filling levels.</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254"/>
        <w:gridCol w:w="1254"/>
        <w:gridCol w:w="1255"/>
        <w:gridCol w:w="1257"/>
        <w:gridCol w:w="1255"/>
        <w:gridCol w:w="1255"/>
        <w:gridCol w:w="1257"/>
      </w:tblGrid>
      <w:tr w:rsidR="00FB2BBD" w:rsidRPr="00CA4E94" w14:paraId="3806CBF2" w14:textId="77777777" w:rsidTr="00E06172">
        <w:tc>
          <w:tcPr>
            <w:tcW w:w="714" w:type="pct"/>
            <w:tcBorders>
              <w:top w:val="single" w:sz="12" w:space="0" w:color="008000"/>
              <w:bottom w:val="single" w:sz="6" w:space="0" w:color="008000"/>
            </w:tcBorders>
            <w:shd w:val="clear" w:color="auto" w:fill="FFFFFF"/>
            <w:vAlign w:val="center"/>
          </w:tcPr>
          <w:p w14:paraId="299B49E4" w14:textId="77777777" w:rsidR="00FB2BBD" w:rsidRPr="00CA4E94" w:rsidRDefault="00FB2BBD" w:rsidP="00E06172">
            <w:pPr>
              <w:pStyle w:val="CETBodytext"/>
              <w:ind w:right="-1"/>
              <w:jc w:val="left"/>
              <w:rPr>
                <w:rFonts w:cs="Arial"/>
                <w:sz w:val="16"/>
                <w:szCs w:val="16"/>
                <w:lang w:val="en-GB"/>
              </w:rPr>
            </w:pPr>
            <m:oMathPara>
              <m:oMath>
                <m:r>
                  <m:rPr>
                    <m:sty m:val="p"/>
                  </m:rPr>
                  <w:rPr>
                    <w:rFonts w:ascii="Cambria Math" w:hAnsi="Cambria Math" w:cs="Arial"/>
                    <w:sz w:val="16"/>
                    <w:szCs w:val="16"/>
                    <w:lang w:val="en-GB"/>
                  </w:rPr>
                  <m:t>Ψ</m:t>
                </m:r>
              </m:oMath>
            </m:oMathPara>
          </w:p>
        </w:tc>
        <w:tc>
          <w:tcPr>
            <w:tcW w:w="4286" w:type="pct"/>
            <w:gridSpan w:val="6"/>
            <w:tcBorders>
              <w:top w:val="single" w:sz="12" w:space="0" w:color="008000"/>
              <w:bottom w:val="single" w:sz="6" w:space="0" w:color="008000"/>
            </w:tcBorders>
            <w:shd w:val="clear" w:color="auto" w:fill="FFFFFF"/>
            <w:vAlign w:val="center"/>
          </w:tcPr>
          <w:p w14:paraId="456E6ADF" w14:textId="55C69020" w:rsidR="00FB2BBD" w:rsidRPr="00CA4E94" w:rsidRDefault="00FB2BBD" w:rsidP="00E06172">
            <w:pPr>
              <w:pStyle w:val="CETBodytext"/>
              <w:ind w:right="-1"/>
              <w:jc w:val="left"/>
              <w:rPr>
                <w:rFonts w:cs="Arial"/>
                <w:sz w:val="16"/>
                <w:szCs w:val="16"/>
                <w:lang w:val="en-GB"/>
              </w:rPr>
            </w:pPr>
            <m:oMathPara>
              <m:oMath>
                <m:r>
                  <w:rPr>
                    <w:rFonts w:ascii="Cambria Math" w:hAnsi="Cambria Math" w:cs="Arial"/>
                    <w:sz w:val="16"/>
                    <w:szCs w:val="16"/>
                    <w:lang w:val="en-GB"/>
                  </w:rPr>
                  <m:t>P</m:t>
                </m:r>
                <m:d>
                  <m:dPr>
                    <m:begChr m:val="["/>
                    <m:endChr m:val="]"/>
                    <m:ctrlPr>
                      <w:rPr>
                        <w:rFonts w:ascii="Cambria Math" w:hAnsi="Cambria Math" w:cs="Arial"/>
                        <w:i/>
                        <w:sz w:val="16"/>
                        <w:szCs w:val="16"/>
                        <w:lang w:val="en-GB"/>
                      </w:rPr>
                    </m:ctrlPr>
                  </m:dPr>
                  <m:e>
                    <m:r>
                      <w:rPr>
                        <w:rFonts w:ascii="Cambria Math" w:hAnsi="Cambria Math" w:cs="Arial"/>
                        <w:sz w:val="16"/>
                        <w:szCs w:val="16"/>
                        <w:lang w:val="en-GB"/>
                      </w:rPr>
                      <m:t>F=k|F≥1</m:t>
                    </m:r>
                  </m:e>
                </m:d>
              </m:oMath>
            </m:oMathPara>
          </w:p>
        </w:tc>
      </w:tr>
      <w:tr w:rsidR="00FB2BBD" w:rsidRPr="00CA4E94" w14:paraId="2AF310B0" w14:textId="77777777" w:rsidTr="00E06172">
        <w:tc>
          <w:tcPr>
            <w:tcW w:w="714" w:type="pct"/>
            <w:tcBorders>
              <w:top w:val="single" w:sz="12" w:space="0" w:color="008000"/>
              <w:bottom w:val="single" w:sz="6" w:space="0" w:color="008000"/>
            </w:tcBorders>
            <w:shd w:val="clear" w:color="auto" w:fill="FFFFFF"/>
            <w:vAlign w:val="center"/>
          </w:tcPr>
          <w:p w14:paraId="77CAE212" w14:textId="77777777" w:rsidR="00FB2BBD" w:rsidRPr="00CA4E94" w:rsidRDefault="00FB2BBD" w:rsidP="00E06172">
            <w:pPr>
              <w:pStyle w:val="CETBodytext"/>
              <w:ind w:right="-1"/>
              <w:jc w:val="left"/>
              <w:rPr>
                <w:rFonts w:cs="Arial"/>
                <w:sz w:val="16"/>
                <w:szCs w:val="16"/>
                <w:lang w:val="en-GB"/>
              </w:rPr>
            </w:pPr>
            <m:oMathPara>
              <m:oMath>
                <m:r>
                  <w:rPr>
                    <w:rFonts w:ascii="Cambria Math" w:hAnsi="Cambria Math" w:cs="Arial"/>
                    <w:sz w:val="16"/>
                    <w:szCs w:val="16"/>
                    <w:lang w:val="en-GB"/>
                  </w:rPr>
                  <m:t>[%]</m:t>
                </m:r>
              </m:oMath>
            </m:oMathPara>
          </w:p>
        </w:tc>
        <w:tc>
          <w:tcPr>
            <w:tcW w:w="714" w:type="pct"/>
            <w:tcBorders>
              <w:top w:val="single" w:sz="12" w:space="0" w:color="008000"/>
              <w:bottom w:val="single" w:sz="6" w:space="0" w:color="008000"/>
            </w:tcBorders>
            <w:shd w:val="clear" w:color="auto" w:fill="FFFFFF"/>
            <w:vAlign w:val="center"/>
          </w:tcPr>
          <w:p w14:paraId="3D4FC09A" w14:textId="750EE9BA" w:rsidR="00FB2BBD" w:rsidRPr="002F323A" w:rsidRDefault="00FB2BBD" w:rsidP="00E06172">
            <w:pPr>
              <w:pStyle w:val="CETBodytext"/>
              <w:ind w:right="-1"/>
              <w:jc w:val="left"/>
              <w:rPr>
                <w:rFonts w:cs="Arial"/>
                <w:sz w:val="16"/>
                <w:szCs w:val="16"/>
                <w:lang w:val="en-GB"/>
              </w:rPr>
            </w:pPr>
            <m:oMathPara>
              <m:oMath>
                <m:r>
                  <w:rPr>
                    <w:rFonts w:ascii="Cambria Math" w:hAnsi="Cambria Math" w:cs="Arial"/>
                    <w:sz w:val="16"/>
                    <w:szCs w:val="16"/>
                    <w:lang w:val="en-GB"/>
                  </w:rPr>
                  <m:t>k=1</m:t>
                </m:r>
              </m:oMath>
            </m:oMathPara>
          </w:p>
        </w:tc>
        <w:tc>
          <w:tcPr>
            <w:tcW w:w="714" w:type="pct"/>
            <w:tcBorders>
              <w:top w:val="single" w:sz="12" w:space="0" w:color="008000"/>
              <w:bottom w:val="single" w:sz="6" w:space="0" w:color="008000"/>
            </w:tcBorders>
            <w:shd w:val="clear" w:color="auto" w:fill="FFFFFF"/>
            <w:vAlign w:val="center"/>
          </w:tcPr>
          <w:p w14:paraId="379CBBB9" w14:textId="24A91359" w:rsidR="00FB2BBD" w:rsidRPr="002F323A" w:rsidRDefault="00FB2BBD" w:rsidP="00E06172">
            <w:pPr>
              <w:pStyle w:val="CETBodytext"/>
              <w:ind w:right="-1"/>
              <w:jc w:val="left"/>
              <w:rPr>
                <w:rFonts w:cs="Arial"/>
                <w:sz w:val="16"/>
                <w:szCs w:val="16"/>
                <w:lang w:val="en-GB"/>
              </w:rPr>
            </w:pPr>
            <m:oMathPara>
              <m:oMath>
                <m:r>
                  <w:rPr>
                    <w:rFonts w:ascii="Cambria Math" w:hAnsi="Cambria Math" w:cs="Arial"/>
                    <w:sz w:val="16"/>
                    <w:szCs w:val="16"/>
                    <w:lang w:val="en-GB"/>
                  </w:rPr>
                  <m:t>k=2</m:t>
                </m:r>
              </m:oMath>
            </m:oMathPara>
          </w:p>
        </w:tc>
        <w:tc>
          <w:tcPr>
            <w:tcW w:w="715" w:type="pct"/>
            <w:tcBorders>
              <w:top w:val="single" w:sz="12" w:space="0" w:color="008000"/>
              <w:bottom w:val="single" w:sz="6" w:space="0" w:color="008000"/>
            </w:tcBorders>
            <w:shd w:val="clear" w:color="auto" w:fill="FFFFFF"/>
            <w:vAlign w:val="center"/>
          </w:tcPr>
          <w:p w14:paraId="12DA71A4" w14:textId="5F1D0DA9" w:rsidR="00FB2BBD" w:rsidRPr="002F323A" w:rsidRDefault="00FB2BBD" w:rsidP="00E06172">
            <w:pPr>
              <w:pStyle w:val="CETBodytext"/>
              <w:ind w:right="-1"/>
              <w:jc w:val="left"/>
              <w:rPr>
                <w:rFonts w:cs="Arial"/>
                <w:sz w:val="16"/>
                <w:szCs w:val="16"/>
                <w:lang w:val="en-GB"/>
              </w:rPr>
            </w:pPr>
            <m:oMathPara>
              <m:oMath>
                <m:r>
                  <w:rPr>
                    <w:rFonts w:ascii="Cambria Math" w:hAnsi="Cambria Math" w:cs="Arial"/>
                    <w:sz w:val="16"/>
                    <w:szCs w:val="16"/>
                    <w:lang w:val="en-GB"/>
                  </w:rPr>
                  <m:t>k=3</m:t>
                </m:r>
              </m:oMath>
            </m:oMathPara>
          </w:p>
        </w:tc>
        <w:tc>
          <w:tcPr>
            <w:tcW w:w="714" w:type="pct"/>
            <w:tcBorders>
              <w:top w:val="single" w:sz="12" w:space="0" w:color="008000"/>
              <w:bottom w:val="single" w:sz="6" w:space="0" w:color="008000"/>
            </w:tcBorders>
            <w:shd w:val="clear" w:color="auto" w:fill="FFFFFF"/>
            <w:vAlign w:val="center"/>
          </w:tcPr>
          <w:p w14:paraId="6146545A" w14:textId="105CA6E8" w:rsidR="00FB2BBD" w:rsidRPr="002F323A" w:rsidRDefault="00FB2BBD" w:rsidP="00E06172">
            <w:pPr>
              <w:pStyle w:val="CETBodytext"/>
              <w:ind w:right="-1"/>
              <w:jc w:val="left"/>
              <w:rPr>
                <w:rFonts w:cs="Arial"/>
                <w:sz w:val="16"/>
                <w:szCs w:val="16"/>
                <w:lang w:val="en-GB"/>
              </w:rPr>
            </w:pPr>
            <m:oMathPara>
              <m:oMath>
                <m:r>
                  <w:rPr>
                    <w:rFonts w:ascii="Cambria Math" w:hAnsi="Cambria Math" w:cs="Arial"/>
                    <w:sz w:val="16"/>
                    <w:szCs w:val="16"/>
                    <w:lang w:val="en-GB"/>
                  </w:rPr>
                  <m:t>k=4</m:t>
                </m:r>
              </m:oMath>
            </m:oMathPara>
          </w:p>
        </w:tc>
        <w:tc>
          <w:tcPr>
            <w:tcW w:w="714" w:type="pct"/>
            <w:tcBorders>
              <w:top w:val="single" w:sz="12" w:space="0" w:color="008000"/>
              <w:bottom w:val="single" w:sz="6" w:space="0" w:color="008000"/>
            </w:tcBorders>
            <w:shd w:val="clear" w:color="auto" w:fill="FFFFFF"/>
            <w:vAlign w:val="center"/>
          </w:tcPr>
          <w:p w14:paraId="621EEE3D" w14:textId="5C5AC6E9" w:rsidR="00FB2BBD" w:rsidRPr="002F323A" w:rsidRDefault="00FB2BBD" w:rsidP="00E06172">
            <w:pPr>
              <w:pStyle w:val="CETBodytext"/>
              <w:ind w:right="-1"/>
              <w:jc w:val="left"/>
              <w:rPr>
                <w:rFonts w:cs="Arial"/>
                <w:sz w:val="16"/>
                <w:szCs w:val="16"/>
                <w:lang w:val="en-GB"/>
              </w:rPr>
            </w:pPr>
            <m:oMathPara>
              <m:oMath>
                <m:r>
                  <w:rPr>
                    <w:rFonts w:ascii="Cambria Math" w:hAnsi="Cambria Math" w:cs="Arial"/>
                    <w:sz w:val="16"/>
                    <w:szCs w:val="16"/>
                    <w:lang w:val="en-GB"/>
                  </w:rPr>
                  <m:t>k=5</m:t>
                </m:r>
              </m:oMath>
            </m:oMathPara>
          </w:p>
        </w:tc>
        <w:tc>
          <w:tcPr>
            <w:tcW w:w="715" w:type="pct"/>
            <w:tcBorders>
              <w:top w:val="single" w:sz="12" w:space="0" w:color="008000"/>
              <w:bottom w:val="single" w:sz="6" w:space="0" w:color="008000"/>
            </w:tcBorders>
            <w:shd w:val="clear" w:color="auto" w:fill="FFFFFF"/>
            <w:vAlign w:val="center"/>
          </w:tcPr>
          <w:p w14:paraId="57A6896D" w14:textId="1A471B25" w:rsidR="00FB2BBD" w:rsidRPr="002F323A" w:rsidRDefault="00FB2BBD" w:rsidP="00E06172">
            <w:pPr>
              <w:pStyle w:val="CETBodytext"/>
              <w:ind w:right="-1"/>
              <w:jc w:val="left"/>
              <w:rPr>
                <w:rFonts w:cs="Arial"/>
                <w:sz w:val="16"/>
                <w:szCs w:val="16"/>
                <w:lang w:val="en-GB"/>
              </w:rPr>
            </w:pPr>
            <m:oMathPara>
              <m:oMath>
                <m:r>
                  <w:rPr>
                    <w:rFonts w:ascii="Cambria Math" w:hAnsi="Cambria Math" w:cs="Arial"/>
                    <w:sz w:val="16"/>
                    <w:szCs w:val="16"/>
                    <w:lang w:val="en-GB"/>
                  </w:rPr>
                  <m:t>k=6</m:t>
                </m:r>
              </m:oMath>
            </m:oMathPara>
          </w:p>
        </w:tc>
      </w:tr>
      <w:tr w:rsidR="00FB2BBD" w:rsidRPr="001E283F" w14:paraId="4919D289" w14:textId="77777777" w:rsidTr="00E06172">
        <w:tc>
          <w:tcPr>
            <w:tcW w:w="714" w:type="pct"/>
            <w:shd w:val="clear" w:color="auto" w:fill="FFFFFF"/>
            <w:vAlign w:val="center"/>
          </w:tcPr>
          <w:p w14:paraId="49D3ED9A" w14:textId="77777777" w:rsidR="00FB2BBD" w:rsidRPr="001E283F" w:rsidRDefault="00FB2BBD" w:rsidP="004A1AE6">
            <w:pPr>
              <w:pStyle w:val="CETBodytext"/>
              <w:ind w:right="-1"/>
              <w:jc w:val="center"/>
              <w:rPr>
                <w:sz w:val="16"/>
                <w:szCs w:val="16"/>
                <w:lang w:val="en-GB"/>
              </w:rPr>
            </w:pPr>
            <w:r w:rsidRPr="001E283F">
              <w:rPr>
                <w:sz w:val="16"/>
                <w:szCs w:val="16"/>
                <w:lang w:val="en-GB"/>
              </w:rPr>
              <w:t>10</w:t>
            </w:r>
          </w:p>
        </w:tc>
        <w:tc>
          <w:tcPr>
            <w:tcW w:w="714" w:type="pct"/>
            <w:tcBorders>
              <w:top w:val="nil"/>
              <w:left w:val="nil"/>
              <w:bottom w:val="nil"/>
              <w:right w:val="nil"/>
            </w:tcBorders>
            <w:shd w:val="clear" w:color="auto" w:fill="auto"/>
          </w:tcPr>
          <w:p w14:paraId="624F1997" w14:textId="3BF94A0F" w:rsidR="00FB2BBD" w:rsidRPr="001E283F" w:rsidRDefault="00FB2BBD" w:rsidP="004A1AE6">
            <w:pPr>
              <w:pStyle w:val="CETBodytext"/>
              <w:ind w:right="-1"/>
              <w:jc w:val="center"/>
              <w:rPr>
                <w:sz w:val="16"/>
                <w:szCs w:val="16"/>
              </w:rPr>
            </w:pPr>
            <w:r w:rsidRPr="00527E4A">
              <w:rPr>
                <w:rFonts w:cs="Arial"/>
                <w:sz w:val="16"/>
                <w:szCs w:val="16"/>
                <w:lang w:val="en-GB"/>
              </w:rPr>
              <w:t>0.8</w:t>
            </w:r>
            <w:r w:rsidR="00374E7B">
              <w:rPr>
                <w:rFonts w:cs="Arial"/>
                <w:sz w:val="16"/>
                <w:szCs w:val="16"/>
                <w:lang w:val="en-GB"/>
              </w:rPr>
              <w:t>7</w:t>
            </w:r>
          </w:p>
        </w:tc>
        <w:tc>
          <w:tcPr>
            <w:tcW w:w="714" w:type="pct"/>
            <w:tcBorders>
              <w:top w:val="nil"/>
              <w:left w:val="nil"/>
              <w:bottom w:val="nil"/>
              <w:right w:val="nil"/>
            </w:tcBorders>
            <w:shd w:val="clear" w:color="auto" w:fill="auto"/>
          </w:tcPr>
          <w:p w14:paraId="0F959E3C" w14:textId="77E8E323" w:rsidR="00FB2BBD" w:rsidRPr="001E283F" w:rsidRDefault="00FB2BBD" w:rsidP="004A1AE6">
            <w:pPr>
              <w:pStyle w:val="CETBodytext"/>
              <w:ind w:right="-1"/>
              <w:jc w:val="center"/>
              <w:rPr>
                <w:sz w:val="16"/>
                <w:szCs w:val="16"/>
              </w:rPr>
            </w:pPr>
            <w:r w:rsidRPr="00527E4A">
              <w:rPr>
                <w:rFonts w:cs="Arial"/>
                <w:sz w:val="16"/>
                <w:szCs w:val="16"/>
                <w:lang w:val="en-GB"/>
              </w:rPr>
              <w:t>0.1</w:t>
            </w:r>
            <w:r w:rsidR="00CB356F">
              <w:rPr>
                <w:rFonts w:cs="Arial"/>
                <w:sz w:val="16"/>
                <w:szCs w:val="16"/>
                <w:lang w:val="en-GB"/>
              </w:rPr>
              <w:t>2</w:t>
            </w:r>
          </w:p>
        </w:tc>
        <w:tc>
          <w:tcPr>
            <w:tcW w:w="715" w:type="pct"/>
            <w:tcBorders>
              <w:top w:val="nil"/>
              <w:left w:val="nil"/>
              <w:bottom w:val="nil"/>
              <w:right w:val="nil"/>
            </w:tcBorders>
            <w:shd w:val="clear" w:color="auto" w:fill="auto"/>
          </w:tcPr>
          <w:p w14:paraId="79E4183E" w14:textId="3BFA8D84" w:rsidR="00FB2BBD" w:rsidRPr="001E283F" w:rsidRDefault="00374E7B" w:rsidP="004A1AE6">
            <w:pPr>
              <w:pStyle w:val="CETBodytext"/>
              <w:ind w:right="-1"/>
              <w:jc w:val="center"/>
              <w:rPr>
                <w:sz w:val="16"/>
                <w:szCs w:val="16"/>
              </w:rPr>
            </w:pPr>
            <w:r>
              <w:rPr>
                <w:rFonts w:cs="Arial"/>
                <w:sz w:val="16"/>
                <w:szCs w:val="16"/>
                <w:lang w:val="en-GB"/>
              </w:rPr>
              <w:t>8.31</w:t>
            </w:r>
            <w:r w:rsidR="00FB2BBD">
              <w:rPr>
                <w:rFonts w:cs="Arial"/>
                <w:sz w:val="16"/>
                <w:szCs w:val="16"/>
                <w:lang w:val="en-GB"/>
              </w:rPr>
              <w:t>E-0</w:t>
            </w:r>
            <w:r>
              <w:rPr>
                <w:rFonts w:cs="Arial"/>
                <w:sz w:val="16"/>
                <w:szCs w:val="16"/>
                <w:lang w:val="en-GB"/>
              </w:rPr>
              <w:t>3</w:t>
            </w:r>
          </w:p>
        </w:tc>
        <w:tc>
          <w:tcPr>
            <w:tcW w:w="714" w:type="pct"/>
            <w:tcBorders>
              <w:top w:val="nil"/>
              <w:left w:val="nil"/>
              <w:bottom w:val="nil"/>
              <w:right w:val="nil"/>
            </w:tcBorders>
            <w:shd w:val="clear" w:color="auto" w:fill="auto"/>
          </w:tcPr>
          <w:p w14:paraId="3E83086C" w14:textId="3DDDF71C" w:rsidR="00FB2BBD" w:rsidRPr="001E283F" w:rsidRDefault="00EF1436" w:rsidP="004A1AE6">
            <w:pPr>
              <w:pStyle w:val="CETBodytext"/>
              <w:ind w:right="-1"/>
              <w:jc w:val="center"/>
              <w:rPr>
                <w:sz w:val="16"/>
                <w:szCs w:val="16"/>
              </w:rPr>
            </w:pPr>
            <w:r>
              <w:rPr>
                <w:rFonts w:cs="Arial"/>
                <w:sz w:val="16"/>
                <w:szCs w:val="16"/>
                <w:lang w:val="en-GB"/>
              </w:rPr>
              <w:t>3.24</w:t>
            </w:r>
            <w:r w:rsidR="00FB2BBD">
              <w:rPr>
                <w:rFonts w:cs="Arial"/>
                <w:sz w:val="16"/>
                <w:szCs w:val="16"/>
                <w:lang w:val="en-GB"/>
              </w:rPr>
              <w:t>E-04</w:t>
            </w:r>
          </w:p>
        </w:tc>
        <w:tc>
          <w:tcPr>
            <w:tcW w:w="714" w:type="pct"/>
            <w:tcBorders>
              <w:top w:val="nil"/>
              <w:left w:val="nil"/>
              <w:bottom w:val="nil"/>
              <w:right w:val="nil"/>
            </w:tcBorders>
            <w:shd w:val="clear" w:color="auto" w:fill="auto"/>
            <w:vAlign w:val="bottom"/>
          </w:tcPr>
          <w:p w14:paraId="43E6E17D" w14:textId="75BC1B24" w:rsidR="00FB2BBD" w:rsidRPr="001E283F" w:rsidRDefault="00EF1436" w:rsidP="004A1AE6">
            <w:pPr>
              <w:pStyle w:val="CETBodytext"/>
              <w:ind w:right="-1"/>
              <w:jc w:val="center"/>
              <w:rPr>
                <w:sz w:val="16"/>
                <w:szCs w:val="16"/>
              </w:rPr>
            </w:pPr>
            <w:r>
              <w:rPr>
                <w:rFonts w:cs="Arial"/>
                <w:sz w:val="16"/>
                <w:szCs w:val="16"/>
                <w:lang w:val="en-GB"/>
              </w:rPr>
              <w:t>6.64</w:t>
            </w:r>
            <w:r w:rsidR="00FB2BBD" w:rsidRPr="00527E4A">
              <w:rPr>
                <w:rFonts w:cs="Arial"/>
                <w:sz w:val="16"/>
                <w:szCs w:val="16"/>
                <w:lang w:val="en-GB"/>
              </w:rPr>
              <w:t>E-0</w:t>
            </w:r>
            <w:r>
              <w:rPr>
                <w:rFonts w:cs="Arial"/>
                <w:sz w:val="16"/>
                <w:szCs w:val="16"/>
                <w:lang w:val="en-GB"/>
              </w:rPr>
              <w:t>6</w:t>
            </w:r>
          </w:p>
        </w:tc>
        <w:tc>
          <w:tcPr>
            <w:tcW w:w="715" w:type="pct"/>
            <w:tcBorders>
              <w:top w:val="nil"/>
              <w:left w:val="nil"/>
              <w:bottom w:val="nil"/>
              <w:right w:val="nil"/>
            </w:tcBorders>
            <w:shd w:val="clear" w:color="auto" w:fill="auto"/>
            <w:vAlign w:val="bottom"/>
          </w:tcPr>
          <w:p w14:paraId="0B65527A" w14:textId="218B91DD" w:rsidR="00FB2BBD" w:rsidRPr="001E283F" w:rsidRDefault="00EF1436" w:rsidP="004A1AE6">
            <w:pPr>
              <w:pStyle w:val="CETBodytext"/>
              <w:ind w:right="-1"/>
              <w:jc w:val="center"/>
              <w:rPr>
                <w:sz w:val="16"/>
                <w:szCs w:val="16"/>
              </w:rPr>
            </w:pPr>
            <w:r>
              <w:rPr>
                <w:rFonts w:cs="Arial"/>
                <w:sz w:val="16"/>
                <w:szCs w:val="16"/>
                <w:lang w:val="en-GB"/>
              </w:rPr>
              <w:t>5.57</w:t>
            </w:r>
            <w:r w:rsidR="00FB2BBD" w:rsidRPr="00527E4A">
              <w:rPr>
                <w:rFonts w:cs="Arial"/>
                <w:sz w:val="16"/>
                <w:szCs w:val="16"/>
                <w:lang w:val="en-GB"/>
              </w:rPr>
              <w:t>E-0</w:t>
            </w:r>
            <w:r>
              <w:rPr>
                <w:rFonts w:cs="Arial"/>
                <w:sz w:val="16"/>
                <w:szCs w:val="16"/>
                <w:lang w:val="en-GB"/>
              </w:rPr>
              <w:t>8</w:t>
            </w:r>
          </w:p>
        </w:tc>
      </w:tr>
      <w:tr w:rsidR="00FB2BBD" w:rsidRPr="001E283F" w14:paraId="14272643" w14:textId="77777777" w:rsidTr="00E06172">
        <w:tc>
          <w:tcPr>
            <w:tcW w:w="714" w:type="pct"/>
            <w:shd w:val="clear" w:color="auto" w:fill="FFFFFF"/>
            <w:vAlign w:val="center"/>
          </w:tcPr>
          <w:p w14:paraId="7EAE9ECB" w14:textId="77777777" w:rsidR="00FB2BBD" w:rsidRPr="001E283F" w:rsidRDefault="00FB2BBD" w:rsidP="004A1AE6">
            <w:pPr>
              <w:pStyle w:val="CETBodytext"/>
              <w:ind w:right="-1"/>
              <w:jc w:val="center"/>
              <w:rPr>
                <w:sz w:val="16"/>
                <w:szCs w:val="16"/>
                <w:lang w:val="en-GB"/>
              </w:rPr>
            </w:pPr>
            <w:r w:rsidRPr="001E283F">
              <w:rPr>
                <w:sz w:val="16"/>
                <w:szCs w:val="16"/>
                <w:lang w:val="en-GB"/>
              </w:rPr>
              <w:t>50</w:t>
            </w:r>
          </w:p>
        </w:tc>
        <w:tc>
          <w:tcPr>
            <w:tcW w:w="714" w:type="pct"/>
            <w:shd w:val="clear" w:color="auto" w:fill="FFFFFF"/>
            <w:vAlign w:val="center"/>
          </w:tcPr>
          <w:p w14:paraId="0C0EC776" w14:textId="66F1367C" w:rsidR="00FB2BBD" w:rsidRPr="001E283F" w:rsidRDefault="00FB2BBD" w:rsidP="004A1AE6">
            <w:pPr>
              <w:pStyle w:val="CETBodytext"/>
              <w:ind w:right="-1"/>
              <w:jc w:val="center"/>
              <w:rPr>
                <w:rFonts w:cs="Arial"/>
                <w:sz w:val="16"/>
                <w:szCs w:val="16"/>
                <w:lang w:val="en-GB"/>
              </w:rPr>
            </w:pPr>
            <w:r>
              <w:rPr>
                <w:rFonts w:cs="Arial"/>
                <w:sz w:val="16"/>
                <w:szCs w:val="16"/>
                <w:lang w:val="en-GB"/>
              </w:rPr>
              <w:t>0.99</w:t>
            </w:r>
          </w:p>
        </w:tc>
        <w:tc>
          <w:tcPr>
            <w:tcW w:w="714" w:type="pct"/>
            <w:shd w:val="clear" w:color="auto" w:fill="FFFFFF"/>
          </w:tcPr>
          <w:p w14:paraId="2E06BB22" w14:textId="5D8DFC61" w:rsidR="00FB2BBD" w:rsidRPr="001E283F" w:rsidRDefault="00497EC1" w:rsidP="004A1AE6">
            <w:pPr>
              <w:pStyle w:val="CETBodytext"/>
              <w:ind w:right="-1"/>
              <w:jc w:val="center"/>
              <w:rPr>
                <w:rFonts w:cs="Arial"/>
                <w:sz w:val="16"/>
                <w:szCs w:val="16"/>
                <w:lang w:val="en-GB"/>
              </w:rPr>
            </w:pPr>
            <w:r>
              <w:rPr>
                <w:rFonts w:cs="Arial"/>
                <w:sz w:val="16"/>
                <w:szCs w:val="16"/>
                <w:lang w:val="en-GB"/>
              </w:rPr>
              <w:t>1.51</w:t>
            </w:r>
            <w:r w:rsidR="00FB2BBD">
              <w:rPr>
                <w:rFonts w:cs="Arial"/>
                <w:sz w:val="16"/>
                <w:szCs w:val="16"/>
                <w:lang w:val="en-GB"/>
              </w:rPr>
              <w:t>E-04</w:t>
            </w:r>
          </w:p>
        </w:tc>
        <w:tc>
          <w:tcPr>
            <w:tcW w:w="715" w:type="pct"/>
            <w:shd w:val="clear" w:color="auto" w:fill="FFFFFF"/>
          </w:tcPr>
          <w:p w14:paraId="5345C2D8" w14:textId="2AC0CF9C" w:rsidR="00FB2BBD" w:rsidRPr="001E283F" w:rsidRDefault="00AF288D" w:rsidP="004A1AE6">
            <w:pPr>
              <w:pStyle w:val="CETBodytext"/>
              <w:ind w:right="-1"/>
              <w:jc w:val="center"/>
              <w:rPr>
                <w:rFonts w:cs="Arial"/>
                <w:sz w:val="16"/>
                <w:szCs w:val="16"/>
                <w:lang w:val="en-GB"/>
              </w:rPr>
            </w:pPr>
            <w:r>
              <w:rPr>
                <w:rFonts w:cs="Arial"/>
                <w:sz w:val="16"/>
                <w:szCs w:val="16"/>
                <w:lang w:val="en-GB"/>
              </w:rPr>
              <w:t>1.16</w:t>
            </w:r>
            <w:r w:rsidR="00FB2BBD">
              <w:rPr>
                <w:rFonts w:cs="Arial"/>
                <w:sz w:val="16"/>
                <w:szCs w:val="16"/>
                <w:lang w:val="en-GB"/>
              </w:rPr>
              <w:t>E</w:t>
            </w:r>
            <w:r w:rsidR="00FB2BBD" w:rsidRPr="00F20E27">
              <w:rPr>
                <w:rFonts w:cs="Arial"/>
                <w:sz w:val="16"/>
                <w:szCs w:val="16"/>
                <w:lang w:val="en-GB"/>
              </w:rPr>
              <w:t>-08</w:t>
            </w:r>
          </w:p>
        </w:tc>
        <w:tc>
          <w:tcPr>
            <w:tcW w:w="714" w:type="pct"/>
            <w:shd w:val="clear" w:color="auto" w:fill="FFFFFF"/>
          </w:tcPr>
          <w:p w14:paraId="3650BADA" w14:textId="325C57FC" w:rsidR="00FB2BBD" w:rsidRPr="001E283F" w:rsidRDefault="00AF288D" w:rsidP="004A1AE6">
            <w:pPr>
              <w:pStyle w:val="CETBodytext"/>
              <w:ind w:right="-1"/>
              <w:jc w:val="center"/>
              <w:rPr>
                <w:rFonts w:cs="Arial"/>
                <w:sz w:val="16"/>
                <w:szCs w:val="16"/>
                <w:lang w:val="en-GB"/>
              </w:rPr>
            </w:pPr>
            <w:r>
              <w:rPr>
                <w:rFonts w:cs="Arial"/>
                <w:sz w:val="16"/>
                <w:szCs w:val="16"/>
                <w:lang w:val="en-GB"/>
              </w:rPr>
              <w:t>4.85</w:t>
            </w:r>
            <w:r w:rsidR="00FB2BBD">
              <w:rPr>
                <w:rFonts w:cs="Arial"/>
                <w:sz w:val="16"/>
                <w:szCs w:val="16"/>
                <w:lang w:val="en-GB"/>
              </w:rPr>
              <w:t>E</w:t>
            </w:r>
            <w:r w:rsidR="00FB2BBD" w:rsidRPr="00F20E27">
              <w:rPr>
                <w:rFonts w:cs="Arial"/>
                <w:sz w:val="16"/>
                <w:szCs w:val="16"/>
                <w:lang w:val="en-GB"/>
              </w:rPr>
              <w:t>-1</w:t>
            </w:r>
            <w:r>
              <w:rPr>
                <w:rFonts w:cs="Arial"/>
                <w:sz w:val="16"/>
                <w:szCs w:val="16"/>
                <w:lang w:val="en-GB"/>
              </w:rPr>
              <w:t>3</w:t>
            </w:r>
          </w:p>
        </w:tc>
        <w:tc>
          <w:tcPr>
            <w:tcW w:w="714" w:type="pct"/>
            <w:shd w:val="clear" w:color="auto" w:fill="FFFFFF"/>
          </w:tcPr>
          <w:p w14:paraId="521D03A1" w14:textId="44F4F531" w:rsidR="00FB2BBD" w:rsidRPr="001E283F" w:rsidRDefault="00AF288D" w:rsidP="004A1AE6">
            <w:pPr>
              <w:pStyle w:val="CETBodytext"/>
              <w:ind w:right="-1"/>
              <w:jc w:val="center"/>
              <w:rPr>
                <w:rFonts w:cs="Arial"/>
                <w:sz w:val="16"/>
                <w:szCs w:val="16"/>
                <w:lang w:val="en-GB"/>
              </w:rPr>
            </w:pPr>
            <w:r>
              <w:rPr>
                <w:rFonts w:cs="Arial"/>
                <w:sz w:val="16"/>
                <w:szCs w:val="16"/>
                <w:lang w:val="en-GB"/>
              </w:rPr>
              <w:t>1.04</w:t>
            </w:r>
            <w:r w:rsidR="00FB2BBD">
              <w:rPr>
                <w:rFonts w:cs="Arial"/>
                <w:sz w:val="16"/>
                <w:szCs w:val="16"/>
                <w:lang w:val="en-GB"/>
              </w:rPr>
              <w:t>E</w:t>
            </w:r>
            <w:r w:rsidR="00FB2BBD" w:rsidRPr="00F20E27">
              <w:rPr>
                <w:rFonts w:cs="Arial"/>
                <w:sz w:val="16"/>
                <w:szCs w:val="16"/>
                <w:lang w:val="en-GB"/>
              </w:rPr>
              <w:t>-17</w:t>
            </w:r>
          </w:p>
        </w:tc>
        <w:tc>
          <w:tcPr>
            <w:tcW w:w="715" w:type="pct"/>
            <w:shd w:val="clear" w:color="auto" w:fill="FFFFFF"/>
          </w:tcPr>
          <w:p w14:paraId="3E210770" w14:textId="25CD518B" w:rsidR="00FB2BBD" w:rsidRPr="001E283F" w:rsidRDefault="00AF288D" w:rsidP="004A1AE6">
            <w:pPr>
              <w:pStyle w:val="CETBodytext"/>
              <w:ind w:right="-1"/>
              <w:jc w:val="center"/>
              <w:rPr>
                <w:rFonts w:cs="Arial"/>
                <w:sz w:val="16"/>
                <w:szCs w:val="16"/>
                <w:lang w:val="en-GB"/>
              </w:rPr>
            </w:pPr>
            <w:r>
              <w:rPr>
                <w:rFonts w:cs="Arial"/>
                <w:sz w:val="16"/>
                <w:szCs w:val="16"/>
                <w:lang w:val="en-GB"/>
              </w:rPr>
              <w:t>9.12</w:t>
            </w:r>
            <w:r w:rsidR="00FB2BBD">
              <w:rPr>
                <w:rFonts w:cs="Arial"/>
                <w:sz w:val="16"/>
                <w:szCs w:val="16"/>
                <w:lang w:val="en-GB"/>
              </w:rPr>
              <w:t>E</w:t>
            </w:r>
            <w:r w:rsidR="00FB2BBD" w:rsidRPr="00F20E27">
              <w:rPr>
                <w:rFonts w:cs="Arial"/>
                <w:sz w:val="16"/>
                <w:szCs w:val="16"/>
                <w:lang w:val="en-GB"/>
              </w:rPr>
              <w:t>-2</w:t>
            </w:r>
            <w:r>
              <w:rPr>
                <w:rFonts w:cs="Arial"/>
                <w:sz w:val="16"/>
                <w:szCs w:val="16"/>
                <w:lang w:val="en-GB"/>
              </w:rPr>
              <w:t>3</w:t>
            </w:r>
          </w:p>
        </w:tc>
      </w:tr>
      <w:tr w:rsidR="00FB2BBD" w:rsidRPr="001E283F" w14:paraId="0FB3463D" w14:textId="77777777" w:rsidTr="00E06172">
        <w:tc>
          <w:tcPr>
            <w:tcW w:w="714" w:type="pct"/>
            <w:shd w:val="clear" w:color="auto" w:fill="FFFFFF"/>
            <w:vAlign w:val="center"/>
          </w:tcPr>
          <w:p w14:paraId="3CF39243" w14:textId="77777777" w:rsidR="00FB2BBD" w:rsidRPr="001E283F" w:rsidRDefault="00FB2BBD" w:rsidP="004A1AE6">
            <w:pPr>
              <w:pStyle w:val="CETBodytext"/>
              <w:ind w:right="-1"/>
              <w:jc w:val="center"/>
              <w:rPr>
                <w:sz w:val="16"/>
                <w:szCs w:val="16"/>
                <w:lang w:val="en-GB"/>
              </w:rPr>
            </w:pPr>
            <w:r w:rsidRPr="001E283F">
              <w:rPr>
                <w:sz w:val="16"/>
                <w:szCs w:val="16"/>
                <w:lang w:val="en-GB"/>
              </w:rPr>
              <w:t>90</w:t>
            </w:r>
          </w:p>
        </w:tc>
        <w:tc>
          <w:tcPr>
            <w:tcW w:w="714" w:type="pct"/>
            <w:shd w:val="clear" w:color="auto" w:fill="FFFFFF"/>
            <w:vAlign w:val="center"/>
          </w:tcPr>
          <w:p w14:paraId="673ED779" w14:textId="282A09BD" w:rsidR="00FB2BBD" w:rsidRPr="001E283F" w:rsidRDefault="00FB2BBD" w:rsidP="004A1AE6">
            <w:pPr>
              <w:pStyle w:val="CETBodytext"/>
              <w:ind w:right="-1"/>
              <w:jc w:val="center"/>
              <w:rPr>
                <w:rFonts w:cs="Arial"/>
                <w:sz w:val="16"/>
                <w:szCs w:val="16"/>
                <w:lang w:val="en-GB"/>
              </w:rPr>
            </w:pPr>
            <w:r>
              <w:rPr>
                <w:rFonts w:cs="Arial"/>
                <w:sz w:val="16"/>
                <w:szCs w:val="16"/>
                <w:lang w:val="en-GB"/>
              </w:rPr>
              <w:t>0.99</w:t>
            </w:r>
          </w:p>
        </w:tc>
        <w:tc>
          <w:tcPr>
            <w:tcW w:w="714" w:type="pct"/>
            <w:shd w:val="clear" w:color="auto" w:fill="FFFFFF"/>
            <w:vAlign w:val="center"/>
          </w:tcPr>
          <w:p w14:paraId="70DD3391" w14:textId="2B58C383" w:rsidR="00FB2BBD" w:rsidRPr="001E283F" w:rsidRDefault="005F31F7" w:rsidP="004A1AE6">
            <w:pPr>
              <w:pStyle w:val="CETBodytext"/>
              <w:ind w:right="-1"/>
              <w:jc w:val="center"/>
              <w:rPr>
                <w:rFonts w:cs="Arial"/>
                <w:sz w:val="16"/>
                <w:szCs w:val="16"/>
                <w:lang w:val="en-GB"/>
              </w:rPr>
            </w:pPr>
            <w:r>
              <w:rPr>
                <w:rFonts w:cs="Arial"/>
                <w:sz w:val="16"/>
                <w:szCs w:val="16"/>
                <w:lang w:val="en-GB"/>
              </w:rPr>
              <w:t>1.79</w:t>
            </w:r>
            <w:r w:rsidR="00FB2BBD">
              <w:rPr>
                <w:rFonts w:cs="Arial"/>
                <w:sz w:val="16"/>
                <w:szCs w:val="16"/>
                <w:lang w:val="en-GB"/>
              </w:rPr>
              <w:t>E</w:t>
            </w:r>
            <w:r w:rsidR="00FB2BBD" w:rsidRPr="009A511D">
              <w:rPr>
                <w:rFonts w:cs="Arial"/>
                <w:sz w:val="16"/>
                <w:szCs w:val="16"/>
                <w:lang w:val="en-GB"/>
              </w:rPr>
              <w:t>-05</w:t>
            </w:r>
          </w:p>
        </w:tc>
        <w:tc>
          <w:tcPr>
            <w:tcW w:w="715" w:type="pct"/>
            <w:shd w:val="clear" w:color="auto" w:fill="FFFFFF"/>
          </w:tcPr>
          <w:p w14:paraId="7110301E" w14:textId="0CB55A80" w:rsidR="00FB2BBD" w:rsidRPr="001E283F" w:rsidRDefault="00790F05" w:rsidP="004A1AE6">
            <w:pPr>
              <w:pStyle w:val="CETBodytext"/>
              <w:ind w:right="-1"/>
              <w:jc w:val="center"/>
              <w:rPr>
                <w:rFonts w:cs="Arial"/>
                <w:sz w:val="16"/>
                <w:szCs w:val="16"/>
                <w:lang w:val="en-GB"/>
              </w:rPr>
            </w:pPr>
            <w:r>
              <w:rPr>
                <w:rFonts w:cs="Arial"/>
                <w:sz w:val="16"/>
                <w:szCs w:val="16"/>
                <w:lang w:val="en-GB"/>
              </w:rPr>
              <w:t>1.67</w:t>
            </w:r>
            <w:r w:rsidR="00FB2BBD">
              <w:rPr>
                <w:rFonts w:cs="Arial"/>
                <w:sz w:val="16"/>
                <w:szCs w:val="16"/>
                <w:lang w:val="en-GB"/>
              </w:rPr>
              <w:t>E</w:t>
            </w:r>
            <w:r w:rsidR="00FB2BBD" w:rsidRPr="009A511D">
              <w:rPr>
                <w:rFonts w:cs="Arial"/>
                <w:sz w:val="16"/>
                <w:szCs w:val="16"/>
                <w:lang w:val="en-GB"/>
              </w:rPr>
              <w:t>-10</w:t>
            </w:r>
          </w:p>
        </w:tc>
        <w:tc>
          <w:tcPr>
            <w:tcW w:w="714" w:type="pct"/>
            <w:shd w:val="clear" w:color="auto" w:fill="FFFFFF"/>
          </w:tcPr>
          <w:p w14:paraId="1512E537" w14:textId="2EA4F991" w:rsidR="00FB2BBD" w:rsidRPr="001E283F" w:rsidRDefault="00790F05" w:rsidP="004A1AE6">
            <w:pPr>
              <w:pStyle w:val="CETBodytext"/>
              <w:ind w:right="-1"/>
              <w:jc w:val="center"/>
              <w:rPr>
                <w:rFonts w:cs="Arial"/>
                <w:sz w:val="16"/>
                <w:szCs w:val="16"/>
                <w:lang w:val="en-GB"/>
              </w:rPr>
            </w:pPr>
            <w:r>
              <w:rPr>
                <w:rFonts w:cs="Arial"/>
                <w:sz w:val="16"/>
                <w:szCs w:val="16"/>
                <w:lang w:val="en-GB"/>
              </w:rPr>
              <w:t>8.53</w:t>
            </w:r>
            <w:r w:rsidR="00FB2BBD">
              <w:rPr>
                <w:rFonts w:cs="Arial"/>
                <w:sz w:val="16"/>
                <w:szCs w:val="16"/>
                <w:lang w:val="en-GB"/>
              </w:rPr>
              <w:t>E</w:t>
            </w:r>
            <w:r w:rsidR="00FB2BBD" w:rsidRPr="009A511D">
              <w:rPr>
                <w:rFonts w:cs="Arial"/>
                <w:sz w:val="16"/>
                <w:szCs w:val="16"/>
                <w:lang w:val="en-GB"/>
              </w:rPr>
              <w:t>-1</w:t>
            </w:r>
            <w:r>
              <w:rPr>
                <w:rFonts w:cs="Arial"/>
                <w:sz w:val="16"/>
                <w:szCs w:val="16"/>
                <w:lang w:val="en-GB"/>
              </w:rPr>
              <w:t>6</w:t>
            </w:r>
          </w:p>
        </w:tc>
        <w:tc>
          <w:tcPr>
            <w:tcW w:w="714" w:type="pct"/>
            <w:shd w:val="clear" w:color="auto" w:fill="FFFFFF"/>
          </w:tcPr>
          <w:p w14:paraId="10F01B44" w14:textId="1705AB14" w:rsidR="00FB2BBD" w:rsidRPr="001E283F" w:rsidRDefault="00790F05" w:rsidP="004A1AE6">
            <w:pPr>
              <w:pStyle w:val="CETBodytext"/>
              <w:ind w:right="-1"/>
              <w:jc w:val="center"/>
              <w:rPr>
                <w:rFonts w:cs="Arial"/>
                <w:sz w:val="16"/>
                <w:szCs w:val="16"/>
                <w:lang w:val="en-GB"/>
              </w:rPr>
            </w:pPr>
            <w:r>
              <w:rPr>
                <w:rFonts w:cs="Arial"/>
                <w:sz w:val="16"/>
                <w:szCs w:val="16"/>
                <w:lang w:val="en-GB"/>
              </w:rPr>
              <w:t>2.27</w:t>
            </w:r>
            <w:r w:rsidR="00FB2BBD">
              <w:rPr>
                <w:rFonts w:cs="Arial"/>
                <w:sz w:val="16"/>
                <w:szCs w:val="16"/>
                <w:lang w:val="en-GB"/>
              </w:rPr>
              <w:t>E</w:t>
            </w:r>
            <w:r w:rsidR="00FB2BBD" w:rsidRPr="009A511D">
              <w:rPr>
                <w:rFonts w:cs="Arial"/>
                <w:sz w:val="16"/>
                <w:szCs w:val="16"/>
                <w:lang w:val="en-GB"/>
              </w:rPr>
              <w:t>-21</w:t>
            </w:r>
          </w:p>
        </w:tc>
        <w:tc>
          <w:tcPr>
            <w:tcW w:w="715" w:type="pct"/>
            <w:shd w:val="clear" w:color="auto" w:fill="FFFFFF"/>
          </w:tcPr>
          <w:p w14:paraId="6652C097" w14:textId="4BF2E147" w:rsidR="00FB2BBD" w:rsidRPr="001E283F" w:rsidRDefault="00790F05" w:rsidP="004A1AE6">
            <w:pPr>
              <w:pStyle w:val="CETBodytext"/>
              <w:ind w:right="-1"/>
              <w:jc w:val="center"/>
              <w:rPr>
                <w:rFonts w:cs="Arial"/>
                <w:sz w:val="16"/>
                <w:szCs w:val="16"/>
                <w:lang w:val="en-GB"/>
              </w:rPr>
            </w:pPr>
            <w:r>
              <w:rPr>
                <w:rFonts w:cs="Arial"/>
                <w:sz w:val="16"/>
                <w:szCs w:val="16"/>
                <w:lang w:val="en-GB"/>
              </w:rPr>
              <w:t>2.45</w:t>
            </w:r>
            <w:r w:rsidR="00FB2BBD">
              <w:rPr>
                <w:rFonts w:cs="Arial"/>
                <w:sz w:val="16"/>
                <w:szCs w:val="16"/>
                <w:lang w:val="en-GB"/>
              </w:rPr>
              <w:t>E</w:t>
            </w:r>
            <w:r w:rsidR="00FB2BBD" w:rsidRPr="009A511D">
              <w:rPr>
                <w:rFonts w:cs="Arial"/>
                <w:sz w:val="16"/>
                <w:szCs w:val="16"/>
                <w:lang w:val="en-GB"/>
              </w:rPr>
              <w:t>-27</w:t>
            </w:r>
          </w:p>
        </w:tc>
      </w:tr>
    </w:tbl>
    <w:p w14:paraId="54256E62" w14:textId="77777777" w:rsidR="009077A6" w:rsidRDefault="009077A6" w:rsidP="00600535">
      <w:pPr>
        <w:pStyle w:val="CETBodytext"/>
        <w:rPr>
          <w:lang w:val="en-GB"/>
        </w:rPr>
      </w:pPr>
    </w:p>
    <w:p w14:paraId="10DB37FB" w14:textId="2406B62B" w:rsidR="000557B9" w:rsidRDefault="000557B9" w:rsidP="000557B9">
      <w:pPr>
        <w:pStyle w:val="CETBodytext"/>
        <w:rPr>
          <w:lang w:val="en-GB"/>
        </w:rPr>
      </w:pPr>
      <w:r>
        <w:rPr>
          <w:lang w:val="en-GB"/>
        </w:rPr>
        <w:t xml:space="preserve">The fragility and the hazard curves are integrated to derive the structural failure rate of each tank and the values are reported in </w:t>
      </w:r>
      <w:r>
        <w:rPr>
          <w:lang w:val="en-GB"/>
        </w:rPr>
        <w:fldChar w:fldCharType="begin"/>
      </w:r>
      <w:r>
        <w:rPr>
          <w:lang w:val="en-GB"/>
        </w:rPr>
        <w:instrText xml:space="preserve"> REF _Ref164163953 \h </w:instrText>
      </w:r>
      <w:r>
        <w:rPr>
          <w:lang w:val="en-GB"/>
        </w:rPr>
      </w:r>
      <w:r>
        <w:rPr>
          <w:lang w:val="en-GB"/>
        </w:rPr>
        <w:fldChar w:fldCharType="separate"/>
      </w:r>
      <w:r w:rsidR="00F1294D">
        <w:t xml:space="preserve">Table </w:t>
      </w:r>
      <w:r w:rsidR="00F1294D">
        <w:rPr>
          <w:noProof/>
        </w:rPr>
        <w:t>2</w:t>
      </w:r>
      <w:r>
        <w:rPr>
          <w:lang w:val="en-GB"/>
        </w:rPr>
        <w:fldChar w:fldCharType="end"/>
      </w:r>
      <w:r>
        <w:rPr>
          <w:lang w:val="en-GB"/>
        </w:rPr>
        <w:t xml:space="preserve">. </w:t>
      </w:r>
      <w:r w:rsidRPr="00251A50">
        <w:rPr>
          <w:lang w:val="en-GB"/>
        </w:rPr>
        <w:t>As expected</w:t>
      </w:r>
      <w:r>
        <w:rPr>
          <w:lang w:val="en-GB"/>
        </w:rPr>
        <w:t xml:space="preserve"> from the fragility models</w:t>
      </w:r>
      <w:r w:rsidRPr="00251A50">
        <w:rPr>
          <w:lang w:val="en-GB"/>
        </w:rPr>
        <w:t xml:space="preserve">, failure rates in </w:t>
      </w:r>
      <w:r w:rsidRPr="00251A50">
        <w:rPr>
          <w:lang w:val="en-GB"/>
        </w:rPr>
        <w:fldChar w:fldCharType="begin"/>
      </w:r>
      <w:r w:rsidRPr="00251A50">
        <w:rPr>
          <w:lang w:val="en-GB"/>
        </w:rPr>
        <w:instrText xml:space="preserve"> REF _Ref164163953 \h  \* MERGEFORMAT </w:instrText>
      </w:r>
      <w:r w:rsidRPr="00251A50">
        <w:rPr>
          <w:lang w:val="en-GB"/>
        </w:rPr>
      </w:r>
      <w:r w:rsidRPr="00251A50">
        <w:rPr>
          <w:lang w:val="en-GB"/>
        </w:rPr>
        <w:fldChar w:fldCharType="separate"/>
      </w:r>
      <w:r w:rsidR="00F1294D">
        <w:t>Table 2</w:t>
      </w:r>
      <w:r w:rsidRPr="00251A50">
        <w:rPr>
          <w:lang w:val="en-GB"/>
        </w:rPr>
        <w:fldChar w:fldCharType="end"/>
      </w:r>
      <w:r w:rsidRPr="00251A50">
        <w:rPr>
          <w:lang w:val="en-GB"/>
        </w:rPr>
        <w:t xml:space="preserve"> are higher for near-empty tanks</w:t>
      </w:r>
      <w:r>
        <w:rPr>
          <w:lang w:val="en-GB"/>
        </w:rPr>
        <w:t xml:space="preserve">. For the consequence analysis, all rates of </w:t>
      </w:r>
      <m:oMath>
        <m:r>
          <w:rPr>
            <w:rFonts w:ascii="Cambria Math" w:hAnsi="Cambria Math"/>
            <w:lang w:val="en-GB"/>
          </w:rPr>
          <m:t>k</m:t>
        </m:r>
      </m:oMath>
      <w:r>
        <w:rPr>
          <w:lang w:val="en-GB"/>
        </w:rPr>
        <w:t xml:space="preserve"> simultaneous tank failures are considered, with </w:t>
      </w:r>
      <m:oMath>
        <m:r>
          <w:rPr>
            <w:rFonts w:ascii="Cambria Math" w:hAnsi="Cambria Math"/>
            <w:lang w:val="en-GB"/>
          </w:rPr>
          <m:t>k</m:t>
        </m:r>
      </m:oMath>
      <w:r>
        <w:rPr>
          <w:lang w:val="en-GB"/>
        </w:rPr>
        <w:t xml:space="preserve"> spanning </w:t>
      </w:r>
      <w:r>
        <w:rPr>
          <w:lang w:val="en-GB"/>
        </w:rPr>
        <w:lastRenderedPageBreak/>
        <w:t xml:space="preserve">all values from </w:t>
      </w:r>
      <m:oMath>
        <m:r>
          <w:rPr>
            <w:rFonts w:ascii="Cambria Math" w:hAnsi="Cambria Math"/>
            <w:lang w:val="en-GB"/>
          </w:rPr>
          <m:t>1</m:t>
        </m:r>
      </m:oMath>
      <w:r>
        <w:rPr>
          <w:lang w:val="en-GB"/>
        </w:rPr>
        <w:t xml:space="preserve"> to </w:t>
      </w:r>
      <w:r w:rsidR="0008228D">
        <w:rPr>
          <w:lang w:val="en-GB"/>
        </w:rPr>
        <w:t>6</w:t>
      </w:r>
      <w:r>
        <w:rPr>
          <w:lang w:val="en-GB"/>
        </w:rPr>
        <w:t xml:space="preserve">. In </w:t>
      </w:r>
      <w:r>
        <w:rPr>
          <w:lang w:val="en-GB"/>
        </w:rPr>
        <w:fldChar w:fldCharType="begin"/>
      </w:r>
      <w:r>
        <w:rPr>
          <w:lang w:val="en-GB"/>
        </w:rPr>
        <w:instrText xml:space="preserve"> REF _Ref164163958 \h </w:instrText>
      </w:r>
      <w:r>
        <w:rPr>
          <w:lang w:val="en-GB"/>
        </w:rPr>
      </w:r>
      <w:r>
        <w:rPr>
          <w:lang w:val="en-GB"/>
        </w:rPr>
        <w:fldChar w:fldCharType="separate"/>
      </w:r>
      <w:r w:rsidR="00F1294D">
        <w:t xml:space="preserve">Table </w:t>
      </w:r>
      <w:r w:rsidR="00F1294D">
        <w:rPr>
          <w:noProof/>
        </w:rPr>
        <w:t>3</w:t>
      </w:r>
      <w:r>
        <w:rPr>
          <w:lang w:val="en-GB"/>
        </w:rPr>
        <w:fldChar w:fldCharType="end"/>
      </w:r>
      <w:r>
        <w:rPr>
          <w:lang w:val="en-GB"/>
        </w:rPr>
        <w:t xml:space="preserve"> a more parsimonious version of that result is shown, that is the probability of observing exactly </w:t>
      </w:r>
      <m:oMath>
        <m:r>
          <w:rPr>
            <w:rFonts w:ascii="Cambria Math" w:hAnsi="Cambria Math"/>
            <w:lang w:val="en-GB"/>
          </w:rPr>
          <m:t>k</m:t>
        </m:r>
      </m:oMath>
      <w:r>
        <w:rPr>
          <w:lang w:val="en-GB"/>
        </w:rPr>
        <w:t xml:space="preserve"> failed tanks given that the tsunami event has caused at least one failure, </w:t>
      </w:r>
      <m:oMath>
        <m:r>
          <w:rPr>
            <w:rFonts w:ascii="Cambria Math" w:hAnsi="Cambria Math" w:cs="Arial"/>
            <w:szCs w:val="18"/>
            <w:lang w:val="en-GB"/>
          </w:rPr>
          <m:t>P</m:t>
        </m:r>
        <m:d>
          <m:dPr>
            <m:begChr m:val="["/>
            <m:endChr m:val="]"/>
            <m:ctrlPr>
              <w:rPr>
                <w:rFonts w:ascii="Cambria Math" w:hAnsi="Cambria Math" w:cs="Arial"/>
                <w:i/>
                <w:szCs w:val="18"/>
                <w:lang w:val="en-GB"/>
              </w:rPr>
            </m:ctrlPr>
          </m:dPr>
          <m:e>
            <m:r>
              <w:rPr>
                <w:rFonts w:ascii="Cambria Math" w:hAnsi="Cambria Math" w:cs="Arial"/>
                <w:szCs w:val="18"/>
                <w:lang w:val="en-GB"/>
              </w:rPr>
              <m:t>F=k|F≥1</m:t>
            </m:r>
          </m:e>
        </m:d>
      </m:oMath>
      <w:r>
        <w:rPr>
          <w:lang w:val="en-GB"/>
        </w:rPr>
        <w:t>. From the values reported in the table, it appears that the probability of observing the simultaneous failure of more units than one, given that the tsunami has caused</w:t>
      </w:r>
      <w:r w:rsidR="004B49AB">
        <w:rPr>
          <w:lang w:val="en-GB"/>
        </w:rPr>
        <w:t xml:space="preserve"> at least one</w:t>
      </w:r>
      <w:r>
        <w:rPr>
          <w:lang w:val="en-GB"/>
        </w:rPr>
        <w:t xml:space="preserve"> failure has occurred, ranges from an order of </w:t>
      </w:r>
      <m:oMath>
        <m:sSup>
          <m:sSupPr>
            <m:ctrlPr>
              <w:rPr>
                <w:rFonts w:ascii="Cambria Math" w:hAnsi="Cambria Math"/>
                <w:i/>
                <w:lang w:val="en-GB"/>
              </w:rPr>
            </m:ctrlPr>
          </m:sSupPr>
          <m:e>
            <m:r>
              <w:rPr>
                <w:rFonts w:ascii="Cambria Math" w:hAnsi="Cambria Math"/>
                <w:lang w:val="en-GB"/>
              </w:rPr>
              <m:t>1</m:t>
            </m:r>
            <m:r>
              <w:rPr>
                <w:rFonts w:ascii="Cambria Math" w:eastAsia="MS Mincho" w:hAnsi="Cambria Math"/>
                <w:lang w:val="en-GB" w:eastAsia="ja-JP"/>
              </w:rPr>
              <m:t>0</m:t>
            </m:r>
          </m:e>
          <m:sup>
            <m:r>
              <w:rPr>
                <w:rFonts w:ascii="Cambria Math" w:hAnsi="Cambria Math"/>
                <w:lang w:val="en-GB"/>
              </w:rPr>
              <m:t>-</m:t>
            </m:r>
            <m:r>
              <w:rPr>
                <w:rFonts w:ascii="Cambria Math" w:eastAsia="MS Mincho" w:hAnsi="Cambria Math"/>
                <w:lang w:val="en-GB" w:eastAsia="ja-JP"/>
              </w:rPr>
              <m:t>1</m:t>
            </m:r>
          </m:sup>
        </m:sSup>
      </m:oMath>
      <w:r>
        <w:rPr>
          <w:rFonts w:eastAsia="MS Mincho" w:hint="eastAsia"/>
          <w:lang w:val="en-GB" w:eastAsia="ja-JP"/>
        </w:rPr>
        <w:t xml:space="preserve"> </w:t>
      </w:r>
      <w:r>
        <w:rPr>
          <w:lang w:val="en-GB"/>
        </w:rPr>
        <w:t xml:space="preserve">up to </w:t>
      </w:r>
      <m:oMath>
        <m:sSup>
          <m:sSupPr>
            <m:ctrlPr>
              <w:rPr>
                <w:rFonts w:ascii="Cambria Math" w:hAnsi="Cambria Math"/>
                <w:i/>
                <w:lang w:val="en-GB"/>
              </w:rPr>
            </m:ctrlPr>
          </m:sSupPr>
          <m:e>
            <m:r>
              <w:rPr>
                <w:rFonts w:ascii="Cambria Math" w:hAnsi="Cambria Math"/>
                <w:lang w:val="en-GB"/>
              </w:rPr>
              <m:t>10</m:t>
            </m:r>
          </m:e>
          <m:sup>
            <m:r>
              <w:rPr>
                <w:rFonts w:ascii="Cambria Math" w:hAnsi="Cambria Math"/>
                <w:lang w:val="en-GB"/>
              </w:rPr>
              <m:t>-8</m:t>
            </m:r>
          </m:sup>
        </m:sSup>
      </m:oMath>
      <w:r>
        <w:rPr>
          <w:lang w:val="en-GB"/>
        </w:rPr>
        <w:t xml:space="preserve"> for 10% filling level, depending on the number of failures.</w:t>
      </w:r>
    </w:p>
    <w:p w14:paraId="59DAD5EB" w14:textId="228A3861" w:rsidR="00D865AE" w:rsidRDefault="009F0A0A" w:rsidP="008E4A27">
      <w:pPr>
        <w:pStyle w:val="CETBodytext"/>
        <w:spacing w:after="240"/>
        <w:rPr>
          <w:lang w:val="en-GB"/>
        </w:rPr>
      </w:pPr>
      <w:r>
        <w:rPr>
          <w:lang w:val="en-GB"/>
        </w:rPr>
        <w:t xml:space="preserve">The rates obtained considering the simultaneous failures are then used </w:t>
      </w:r>
      <w:r w:rsidR="00C118A2">
        <w:rPr>
          <w:lang w:val="en-GB"/>
        </w:rPr>
        <w:t xml:space="preserve">together with the </w:t>
      </w:r>
      <w:r w:rsidR="002D0720">
        <w:rPr>
          <w:lang w:val="en-GB"/>
        </w:rPr>
        <w:t>consequences assessment results to provide risk figures</w:t>
      </w:r>
      <w:r>
        <w:rPr>
          <w:lang w:val="en-GB"/>
        </w:rPr>
        <w:t xml:space="preserve">. </w:t>
      </w:r>
      <w:r w:rsidR="00FF003E">
        <w:fldChar w:fldCharType="begin"/>
      </w:r>
      <w:r w:rsidR="00FF003E">
        <w:rPr>
          <w:lang w:val="en-GB"/>
        </w:rPr>
        <w:instrText xml:space="preserve"> REF _Ref170293779 \h </w:instrText>
      </w:r>
      <w:r w:rsidR="00FF003E">
        <w:fldChar w:fldCharType="separate"/>
      </w:r>
      <w:r w:rsidR="00F1294D">
        <w:t xml:space="preserve">Figure </w:t>
      </w:r>
      <w:r w:rsidR="00F1294D">
        <w:rPr>
          <w:noProof/>
        </w:rPr>
        <w:t>3</w:t>
      </w:r>
      <w:r w:rsidR="00FF003E">
        <w:fldChar w:fldCharType="end"/>
      </w:r>
      <w:r w:rsidR="00FF003E">
        <w:t xml:space="preserve"> </w:t>
      </w:r>
      <w:r>
        <w:t xml:space="preserve">illustrates the </w:t>
      </w:r>
      <w:r w:rsidR="52D1DFB9">
        <w:t>local specific</w:t>
      </w:r>
      <w:r>
        <w:t xml:space="preserve"> IR maps considering the tsunami impact on the </w:t>
      </w:r>
      <w:r w:rsidR="00037E6C">
        <w:t xml:space="preserve">case-study </w:t>
      </w:r>
      <w:r>
        <w:t xml:space="preserve">tank </w:t>
      </w:r>
      <w:r w:rsidR="00ED1C79">
        <w:t>facility</w:t>
      </w:r>
      <w:r>
        <w:t xml:space="preserve">. The calculation is performed considering all tanks </w:t>
      </w:r>
      <w:r w:rsidR="001A0FE2">
        <w:t>simultaneously</w:t>
      </w:r>
      <w:r w:rsidR="000972F1">
        <w:t xml:space="preserve"> found </w:t>
      </w:r>
      <w:r w:rsidR="00ED1C79">
        <w:t>in</w:t>
      </w:r>
      <w:r>
        <w:t xml:space="preserve"> </w:t>
      </w:r>
      <w:r w:rsidR="000972F1">
        <w:t xml:space="preserve">one of </w:t>
      </w:r>
      <w:r>
        <w:t xml:space="preserve">three filling levels: 10% (panel a), 50% (panel b), and 90% (panel c). The contour lines </w:t>
      </w:r>
      <w:r w:rsidR="005D75AF">
        <w:t xml:space="preserve">indicate </w:t>
      </w:r>
      <w:r>
        <w:t>that</w:t>
      </w:r>
      <w:r w:rsidR="005D75AF">
        <w:t xml:space="preserve"> </w:t>
      </w:r>
      <w:r w:rsidR="008B71F5">
        <w:t xml:space="preserve">by </w:t>
      </w:r>
      <w:r>
        <w:t xml:space="preserve">increasing the filling level, the </w:t>
      </w:r>
      <w:r w:rsidR="007F384B">
        <w:t xml:space="preserve">IR </w:t>
      </w:r>
      <w:r w:rsidR="004B49AB">
        <w:t xml:space="preserve">due to tsunami hazard </w:t>
      </w:r>
      <w:r>
        <w:t xml:space="preserve">decreases. This effect is </w:t>
      </w:r>
      <w:r w:rsidR="000972F1">
        <w:t>especially</w:t>
      </w:r>
      <w:r w:rsidR="00C401C3">
        <w:t xml:space="preserve"> pron</w:t>
      </w:r>
      <w:r w:rsidR="008859D9">
        <w:t>o</w:t>
      </w:r>
      <w:r w:rsidR="00C401C3">
        <w:t>unc</w:t>
      </w:r>
      <w:r w:rsidR="008859D9">
        <w:t>ed</w:t>
      </w:r>
      <w:r w:rsidR="00C401C3">
        <w:t xml:space="preserve"> </w:t>
      </w:r>
      <w:r w:rsidR="008859D9">
        <w:t xml:space="preserve">between </w:t>
      </w:r>
      <w:r w:rsidR="000972F1">
        <w:t>filling levels</w:t>
      </w:r>
      <w:r w:rsidR="008859D9">
        <w:t xml:space="preserve"> </w:t>
      </w:r>
      <w:r w:rsidR="000972F1">
        <w:t xml:space="preserve">of </w:t>
      </w:r>
      <w:r>
        <w:t xml:space="preserve">10% to 50%, where the </w:t>
      </w:r>
      <w:r w:rsidR="008B71F5">
        <w:t xml:space="preserve">maximum </w:t>
      </w:r>
      <w:r w:rsidR="007F384B">
        <w:t xml:space="preserve">individual risk </w:t>
      </w:r>
      <w:r>
        <w:t>decrease</w:t>
      </w:r>
      <w:r w:rsidR="008B71F5">
        <w:t>s</w:t>
      </w:r>
      <w:r>
        <w:t xml:space="preserve"> </w:t>
      </w:r>
      <w:r w:rsidR="000972F1">
        <w:t>by</w:t>
      </w:r>
      <w:r>
        <w:t xml:space="preserve"> three orders of magnitude. </w:t>
      </w:r>
      <w:r w:rsidR="00FD7583" w:rsidRPr="00FD7583">
        <w:rPr>
          <w:lang w:val="en-GB"/>
        </w:rPr>
        <w:t xml:space="preserve">This </w:t>
      </w:r>
      <w:r w:rsidR="00C522FB">
        <w:rPr>
          <w:lang w:val="en-GB"/>
        </w:rPr>
        <w:t>trend somehow reflects the one related to the failure rates of tank</w:t>
      </w:r>
      <w:r w:rsidR="005F2886">
        <w:rPr>
          <w:lang w:val="en-GB"/>
        </w:rPr>
        <w:t>s</w:t>
      </w:r>
      <w:r w:rsidR="005B1586">
        <w:rPr>
          <w:lang w:val="en-GB"/>
        </w:rPr>
        <w:t xml:space="preserve">, strongly influenced by the filling level. On the contrary, consequences are less affected by the reduction of the </w:t>
      </w:r>
      <w:r w:rsidR="00427769">
        <w:rPr>
          <w:lang w:val="en-GB"/>
        </w:rPr>
        <w:t>content, since</w:t>
      </w:r>
      <w:r w:rsidR="00BC3B87">
        <w:rPr>
          <w:lang w:val="en-GB"/>
        </w:rPr>
        <w:t xml:space="preserve"> the </w:t>
      </w:r>
      <w:r w:rsidR="00FD7583" w:rsidRPr="00FD7583">
        <w:rPr>
          <w:lang w:val="en-GB"/>
        </w:rPr>
        <w:t xml:space="preserve">liquid loss </w:t>
      </w:r>
      <w:r w:rsidR="00F05883">
        <w:rPr>
          <w:lang w:val="en-GB"/>
        </w:rPr>
        <w:t>covers</w:t>
      </w:r>
      <w:r w:rsidR="00DF6238">
        <w:rPr>
          <w:lang w:val="en-GB"/>
        </w:rPr>
        <w:t xml:space="preserve"> </w:t>
      </w:r>
      <w:r w:rsidR="00FD7583" w:rsidRPr="00FD7583">
        <w:rPr>
          <w:lang w:val="en-GB"/>
        </w:rPr>
        <w:t xml:space="preserve">the </w:t>
      </w:r>
      <w:r w:rsidR="00DF6238">
        <w:rPr>
          <w:lang w:val="en-GB"/>
        </w:rPr>
        <w:t xml:space="preserve">entire </w:t>
      </w:r>
      <w:r w:rsidR="00FD7583" w:rsidRPr="00FD7583">
        <w:rPr>
          <w:lang w:val="en-GB"/>
        </w:rPr>
        <w:t>catch basin</w:t>
      </w:r>
      <w:r w:rsidR="00427769">
        <w:rPr>
          <w:lang w:val="en-GB"/>
        </w:rPr>
        <w:t xml:space="preserve"> </w:t>
      </w:r>
      <w:r w:rsidR="00427769" w:rsidRPr="00FD7583">
        <w:rPr>
          <w:lang w:val="en-GB"/>
        </w:rPr>
        <w:t xml:space="preserve">even </w:t>
      </w:r>
      <w:r w:rsidR="00427769">
        <w:rPr>
          <w:lang w:val="en-GB"/>
        </w:rPr>
        <w:t>with smaller filling levels</w:t>
      </w:r>
      <w:r w:rsidR="00865A2F">
        <w:rPr>
          <w:lang w:val="en-GB"/>
        </w:rPr>
        <w:t xml:space="preserve">, leading to similar </w:t>
      </w:r>
      <w:r w:rsidR="00C86EC7">
        <w:rPr>
          <w:lang w:val="en-GB"/>
        </w:rPr>
        <w:t xml:space="preserve">consequences </w:t>
      </w:r>
      <w:r w:rsidR="002A7254">
        <w:rPr>
          <w:lang w:val="en-GB"/>
        </w:rPr>
        <w:t xml:space="preserve">arising from </w:t>
      </w:r>
      <w:r w:rsidR="00C86EC7">
        <w:rPr>
          <w:lang w:val="en-GB"/>
        </w:rPr>
        <w:t>pool</w:t>
      </w:r>
      <w:r w:rsidR="00D62165">
        <w:rPr>
          <w:lang w:val="en-GB"/>
        </w:rPr>
        <w:t xml:space="preserve"> </w:t>
      </w:r>
      <w:r w:rsidR="00C86EC7">
        <w:rPr>
          <w:lang w:val="en-GB"/>
        </w:rPr>
        <w:t>fire</w:t>
      </w:r>
      <w:r w:rsidR="00FD7583" w:rsidRPr="00FD7583">
        <w:rPr>
          <w:lang w:val="en-GB"/>
        </w:rPr>
        <w:t>.</w:t>
      </w:r>
      <w:r w:rsidR="000F48D3">
        <w:rPr>
          <w:lang w:val="en-GB"/>
        </w:rPr>
        <w:t xml:space="preserve"> </w:t>
      </w:r>
      <w:r w:rsidR="00865A2F">
        <w:rPr>
          <w:lang w:val="en-GB"/>
        </w:rPr>
        <w:t xml:space="preserve">Noteworthy, </w:t>
      </w:r>
      <w:r w:rsidR="00D62165">
        <w:rPr>
          <w:lang w:val="en-GB"/>
        </w:rPr>
        <w:t xml:space="preserve">the duration of the pool fire </w:t>
      </w:r>
      <w:r w:rsidR="005F2886" w:rsidRPr="005F2886">
        <w:rPr>
          <w:lang w:val="en-GB"/>
        </w:rPr>
        <w:t>increases considerably as the filling level increases</w:t>
      </w:r>
      <w:r w:rsidR="00FC60DF" w:rsidRPr="00FC60DF">
        <w:rPr>
          <w:lang w:val="en-GB"/>
        </w:rPr>
        <w:t xml:space="preserve">, but in all cases considered it is well above </w:t>
      </w:r>
      <w:r w:rsidR="00FC3F24">
        <w:rPr>
          <w:lang w:val="en-GB"/>
        </w:rPr>
        <w:t>twenty</w:t>
      </w:r>
      <w:r w:rsidR="00FC60DF" w:rsidRPr="00FC60DF">
        <w:rPr>
          <w:lang w:val="en-GB"/>
        </w:rPr>
        <w:t xml:space="preserve"> seconds</w:t>
      </w:r>
      <w:r w:rsidR="00FC3F24">
        <w:rPr>
          <w:lang w:val="en-GB"/>
        </w:rPr>
        <w:t>, which are</w:t>
      </w:r>
      <w:r w:rsidR="00FC60DF" w:rsidRPr="00FC60DF">
        <w:rPr>
          <w:lang w:val="en-GB"/>
        </w:rPr>
        <w:t xml:space="preserve"> considered in the </w:t>
      </w:r>
      <w:r w:rsidR="000002AC">
        <w:rPr>
          <w:lang w:val="en-GB"/>
        </w:rPr>
        <w:t>p</w:t>
      </w:r>
      <w:r w:rsidR="000002AC" w:rsidRPr="00FC60DF">
        <w:rPr>
          <w:lang w:val="en-GB"/>
        </w:rPr>
        <w:t>robit</w:t>
      </w:r>
      <w:r w:rsidR="00FC60DF" w:rsidRPr="00FC60DF">
        <w:rPr>
          <w:lang w:val="en-GB"/>
        </w:rPr>
        <w:t xml:space="preserve"> </w:t>
      </w:r>
      <w:r w:rsidR="00E7140F">
        <w:rPr>
          <w:lang w:val="en-GB"/>
        </w:rPr>
        <w:t xml:space="preserve">function </w:t>
      </w:r>
      <w:r w:rsidR="00FC60DF" w:rsidRPr="00FC60DF">
        <w:rPr>
          <w:lang w:val="en-GB"/>
        </w:rPr>
        <w:t xml:space="preserve">for calculating the </w:t>
      </w:r>
      <w:r w:rsidR="00E7140F">
        <w:rPr>
          <w:lang w:val="en-GB"/>
        </w:rPr>
        <w:t xml:space="preserve">death </w:t>
      </w:r>
      <w:r w:rsidR="00FC60DF" w:rsidRPr="00FC60DF">
        <w:rPr>
          <w:lang w:val="en-GB"/>
        </w:rPr>
        <w:t>probability</w:t>
      </w:r>
      <w:r w:rsidR="000557B9">
        <w:rPr>
          <w:lang w:val="en-GB"/>
        </w:rPr>
        <w:t xml:space="preserve"> (</w:t>
      </w:r>
      <w:r w:rsidR="000557B9" w:rsidRPr="000557B9">
        <w:t>Van Den Bosh CJH</w:t>
      </w:r>
      <w:r w:rsidR="000557B9">
        <w:t>, 1992)</w:t>
      </w:r>
      <w:r w:rsidR="00E7140F">
        <w:rPr>
          <w:lang w:val="en-GB"/>
        </w:rPr>
        <w:t xml:space="preserve">. </w:t>
      </w:r>
    </w:p>
    <w:p w14:paraId="4CE11B68" w14:textId="0238E7EB" w:rsidR="009F0A0A" w:rsidRDefault="2E143765" w:rsidP="00C52ADC">
      <w:pPr>
        <w:pStyle w:val="CETBodytext"/>
        <w:jc w:val="left"/>
      </w:pPr>
      <w:r>
        <w:rPr>
          <w:noProof/>
        </w:rPr>
        <w:drawing>
          <wp:inline distT="0" distB="0" distL="0" distR="0" wp14:anchorId="724D18D6" wp14:editId="7697E4BF">
            <wp:extent cx="5424755" cy="2166200"/>
            <wp:effectExtent l="0" t="0" r="0" b="5715"/>
            <wp:docPr id="1034736078" name="Picture 1034736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425370" cy="2166446"/>
                    </a:xfrm>
                    <a:prstGeom prst="rect">
                      <a:avLst/>
                    </a:prstGeom>
                  </pic:spPr>
                </pic:pic>
              </a:graphicData>
            </a:graphic>
          </wp:inline>
        </w:drawing>
      </w:r>
    </w:p>
    <w:p w14:paraId="72E5558C" w14:textId="7DBEC2F5" w:rsidR="009F0A0A" w:rsidRDefault="009F0A0A" w:rsidP="00B45C03">
      <w:pPr>
        <w:pStyle w:val="CETCaption"/>
        <w:spacing w:before="120" w:after="120"/>
      </w:pPr>
      <w:bookmarkStart w:id="7" w:name="_Ref170293779"/>
      <w:r>
        <w:t xml:space="preserve">Figure </w:t>
      </w:r>
      <w:r>
        <w:fldChar w:fldCharType="begin"/>
      </w:r>
      <w:r>
        <w:instrText xml:space="preserve"> SEQ Figure \* ARABIC </w:instrText>
      </w:r>
      <w:r>
        <w:fldChar w:fldCharType="separate"/>
      </w:r>
      <w:r w:rsidR="00F1294D">
        <w:rPr>
          <w:noProof/>
        </w:rPr>
        <w:t>3</w:t>
      </w:r>
      <w:r>
        <w:fldChar w:fldCharType="end"/>
      </w:r>
      <w:bookmarkEnd w:id="7"/>
      <w:r>
        <w:t>: Local</w:t>
      </w:r>
      <w:r w:rsidR="07DB9394">
        <w:t xml:space="preserve"> specific map</w:t>
      </w:r>
      <w:r w:rsidR="00AA5DC2">
        <w:t>s</w:t>
      </w:r>
      <w:r w:rsidR="07DB9394">
        <w:t xml:space="preserve"> of</w:t>
      </w:r>
      <w:r>
        <w:t xml:space="preserve"> Individual </w:t>
      </w:r>
      <w:r w:rsidR="00ED1C79">
        <w:t>R</w:t>
      </w:r>
      <w:r>
        <w:t>isk considering different filling level</w:t>
      </w:r>
      <w:r w:rsidR="00D865AE">
        <w:t>s</w:t>
      </w:r>
      <w:r>
        <w:t xml:space="preserve"> in the tanks. a) 10%. b) 50%. c) 90%.</w:t>
      </w:r>
    </w:p>
    <w:p w14:paraId="377D7BB2" w14:textId="15E2F255" w:rsidR="008E4A27" w:rsidRPr="00D974FC" w:rsidRDefault="6157E914" w:rsidP="00C52ADC">
      <w:pPr>
        <w:pStyle w:val="CETBodytext"/>
        <w:jc w:val="left"/>
      </w:pPr>
      <w:r>
        <w:rPr>
          <w:noProof/>
        </w:rPr>
        <w:drawing>
          <wp:inline distT="0" distB="0" distL="0" distR="0" wp14:anchorId="284BEF35" wp14:editId="7C7DE767">
            <wp:extent cx="4270948" cy="1928986"/>
            <wp:effectExtent l="0" t="0" r="0" b="1905"/>
            <wp:docPr id="1601445235" name="Picture 160144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270948" cy="1928986"/>
                    </a:xfrm>
                    <a:prstGeom prst="rect">
                      <a:avLst/>
                    </a:prstGeom>
                  </pic:spPr>
                </pic:pic>
              </a:graphicData>
            </a:graphic>
          </wp:inline>
        </w:drawing>
      </w:r>
    </w:p>
    <w:p w14:paraId="63FF38B9" w14:textId="2D317FB5" w:rsidR="008E4A27" w:rsidRDefault="008E4A27" w:rsidP="00B45C03">
      <w:pPr>
        <w:pStyle w:val="CETCaption"/>
        <w:spacing w:before="120" w:after="120"/>
      </w:pPr>
      <w:bookmarkStart w:id="8" w:name="_Ref170296806"/>
      <w:r>
        <w:t xml:space="preserve">Figure </w:t>
      </w:r>
      <w:r>
        <w:fldChar w:fldCharType="begin"/>
      </w:r>
      <w:r>
        <w:instrText xml:space="preserve"> SEQ Figure \* ARABIC </w:instrText>
      </w:r>
      <w:r>
        <w:fldChar w:fldCharType="separate"/>
      </w:r>
      <w:r w:rsidR="00F1294D">
        <w:rPr>
          <w:noProof/>
        </w:rPr>
        <w:t>4</w:t>
      </w:r>
      <w:r>
        <w:fldChar w:fldCharType="end"/>
      </w:r>
      <w:bookmarkEnd w:id="8"/>
      <w:r>
        <w:t xml:space="preserve">: (a) </w:t>
      </w:r>
      <w:r w:rsidR="008127BA">
        <w:t>Risk</w:t>
      </w:r>
      <w:r>
        <w:t xml:space="preserve"> index calculated for the three filling levels considered in the analysis. (b) Societal risk expressed in terms of cumulative frequency vs </w:t>
      </w:r>
      <w:r w:rsidR="00883BC5" w:rsidRPr="007D6528">
        <w:t>number</w:t>
      </w:r>
      <w:r>
        <w:t xml:space="preserve"> of fatalities calculated for conventional </w:t>
      </w:r>
      <w:r w:rsidR="007D6528" w:rsidRPr="007D6528">
        <w:t>activities.</w:t>
      </w:r>
    </w:p>
    <w:p w14:paraId="630FC3DC" w14:textId="2B82BA37" w:rsidR="009F0A0A" w:rsidRDefault="00DF1034" w:rsidP="001E1B38">
      <w:pPr>
        <w:pStyle w:val="CETBodytext"/>
        <w:rPr>
          <w:lang w:val="en-GB"/>
        </w:rPr>
      </w:pPr>
      <w:r>
        <w:rPr>
          <w:lang w:val="en-GB"/>
        </w:rPr>
        <w:fldChar w:fldCharType="begin"/>
      </w:r>
      <w:r>
        <w:rPr>
          <w:lang w:val="en-GB"/>
        </w:rPr>
        <w:instrText xml:space="preserve"> REF _Ref170296806 \h </w:instrText>
      </w:r>
      <w:r>
        <w:rPr>
          <w:lang w:val="en-GB"/>
        </w:rPr>
      </w:r>
      <w:r>
        <w:rPr>
          <w:lang w:val="en-GB"/>
        </w:rPr>
        <w:fldChar w:fldCharType="separate"/>
      </w:r>
      <w:r w:rsidR="00F1294D">
        <w:t xml:space="preserve">Figure </w:t>
      </w:r>
      <w:r w:rsidR="00F1294D">
        <w:rPr>
          <w:noProof/>
        </w:rPr>
        <w:t>4</w:t>
      </w:r>
      <w:r>
        <w:rPr>
          <w:lang w:val="en-GB"/>
        </w:rPr>
        <w:fldChar w:fldCharType="end"/>
      </w:r>
      <w:r w:rsidR="009F0A0A">
        <w:rPr>
          <w:lang w:val="en-GB"/>
        </w:rPr>
        <w:t xml:space="preserve"> shows</w:t>
      </w:r>
      <w:r w:rsidR="000F214C">
        <w:rPr>
          <w:lang w:val="en-GB"/>
        </w:rPr>
        <w:t xml:space="preserve"> </w:t>
      </w:r>
      <w:r w:rsidR="009F0A0A">
        <w:rPr>
          <w:lang w:val="en-GB"/>
        </w:rPr>
        <w:t xml:space="preserve">the </w:t>
      </w:r>
      <w:r w:rsidR="0050222E">
        <w:rPr>
          <w:lang w:val="en-GB"/>
        </w:rPr>
        <w:t xml:space="preserve">societal risk </w:t>
      </w:r>
      <w:r w:rsidR="009F0A0A">
        <w:rPr>
          <w:lang w:val="en-GB"/>
        </w:rPr>
        <w:t>outcomes. Panel a) illustrates the values of the risk ind</w:t>
      </w:r>
      <w:r w:rsidR="00167A1E">
        <w:rPr>
          <w:lang w:val="en-GB"/>
        </w:rPr>
        <w:t>ices</w:t>
      </w:r>
      <w:r w:rsidR="009F0A0A">
        <w:rPr>
          <w:lang w:val="en-GB"/>
        </w:rPr>
        <w:t>, PLL and EV, for the three filling levels considering accident scenarios triggered by tsunami action. The order of magnitude of both ind</w:t>
      </w:r>
      <w:r w:rsidR="006C0EA9">
        <w:rPr>
          <w:lang w:val="en-GB"/>
        </w:rPr>
        <w:t>ice</w:t>
      </w:r>
      <w:r w:rsidR="009F0A0A">
        <w:rPr>
          <w:lang w:val="en-GB"/>
        </w:rPr>
        <w:t xml:space="preserve">s decreases </w:t>
      </w:r>
      <w:r w:rsidR="00711EAB">
        <w:rPr>
          <w:lang w:val="en-GB"/>
        </w:rPr>
        <w:t>with</w:t>
      </w:r>
      <w:r w:rsidR="009F0A0A">
        <w:rPr>
          <w:lang w:val="en-GB"/>
        </w:rPr>
        <w:t xml:space="preserve"> increasing </w:t>
      </w:r>
      <w:r w:rsidR="00711EAB">
        <w:rPr>
          <w:lang w:val="en-GB"/>
        </w:rPr>
        <w:t>tank</w:t>
      </w:r>
      <w:r w:rsidR="009F0A0A">
        <w:rPr>
          <w:lang w:val="en-GB"/>
        </w:rPr>
        <w:t xml:space="preserve"> filling levels</w:t>
      </w:r>
      <w:r w:rsidR="000F214C">
        <w:rPr>
          <w:lang w:val="en-GB"/>
        </w:rPr>
        <w:t xml:space="preserve">, confirming the trend discussed </w:t>
      </w:r>
      <w:r w:rsidR="00C938BD">
        <w:rPr>
          <w:lang w:val="en-GB"/>
        </w:rPr>
        <w:t>previously</w:t>
      </w:r>
      <w:r w:rsidR="009F0A0A">
        <w:rPr>
          <w:lang w:val="en-GB"/>
        </w:rPr>
        <w:t xml:space="preserve">. Panel b) compares the F/N curves considering the conventional risk (red curve) and </w:t>
      </w:r>
      <w:r w:rsidR="008F2BB2" w:rsidRPr="008F2BB2">
        <w:rPr>
          <w:lang w:val="en-GB"/>
        </w:rPr>
        <w:t xml:space="preserve">conventional risk </w:t>
      </w:r>
      <w:r w:rsidR="00E266B5">
        <w:rPr>
          <w:lang w:val="en-GB"/>
        </w:rPr>
        <w:t>adding the contribution of the</w:t>
      </w:r>
      <w:r w:rsidR="008F2BB2" w:rsidRPr="008F2BB2">
        <w:rPr>
          <w:lang w:val="en-GB"/>
        </w:rPr>
        <w:t xml:space="preserve"> tsunami risk</w:t>
      </w:r>
      <w:r w:rsidR="009F0A0A">
        <w:rPr>
          <w:lang w:val="en-GB"/>
        </w:rPr>
        <w:t xml:space="preserve"> (blue curve). </w:t>
      </w:r>
      <w:r w:rsidR="0008149A" w:rsidRPr="0008149A">
        <w:rPr>
          <w:lang w:val="en-GB"/>
        </w:rPr>
        <w:t xml:space="preserve">Conventional risk refers to the potential hazards associated with typical activities and </w:t>
      </w:r>
      <w:r w:rsidR="00C219E9">
        <w:rPr>
          <w:lang w:val="en-GB"/>
        </w:rPr>
        <w:t>internal failures</w:t>
      </w:r>
      <w:r w:rsidR="0008149A">
        <w:rPr>
          <w:lang w:val="en-GB"/>
        </w:rPr>
        <w:t xml:space="preserve">. </w:t>
      </w:r>
      <w:r w:rsidR="009F0A0A">
        <w:rPr>
          <w:lang w:val="en-GB"/>
        </w:rPr>
        <w:t xml:space="preserve">The calculation of the tsunami risk is carried out considering the tanks with </w:t>
      </w:r>
      <w:r w:rsidR="009F0A0A">
        <w:rPr>
          <w:lang w:val="en-GB"/>
        </w:rPr>
        <w:lastRenderedPageBreak/>
        <w:t xml:space="preserve">a uniform distribution of </w:t>
      </w:r>
      <w:r w:rsidR="00C219E9">
        <w:rPr>
          <w:lang w:val="en-GB"/>
        </w:rPr>
        <w:t xml:space="preserve">the three </w:t>
      </w:r>
      <w:r w:rsidR="009F0A0A">
        <w:rPr>
          <w:lang w:val="en-GB"/>
        </w:rPr>
        <w:t>filling level</w:t>
      </w:r>
      <w:r w:rsidR="00C219E9">
        <w:rPr>
          <w:lang w:val="en-GB"/>
        </w:rPr>
        <w:t>s included in the study</w:t>
      </w:r>
      <w:r w:rsidR="009F0A0A">
        <w:rPr>
          <w:lang w:val="en-GB"/>
        </w:rPr>
        <w:t xml:space="preserve">. The comparison between </w:t>
      </w:r>
      <w:r w:rsidR="00562DA4">
        <w:rPr>
          <w:lang w:val="en-GB"/>
        </w:rPr>
        <w:t xml:space="preserve">the red and blue </w:t>
      </w:r>
      <w:r w:rsidR="009F0A0A">
        <w:rPr>
          <w:lang w:val="en-GB"/>
        </w:rPr>
        <w:t xml:space="preserve">curve </w:t>
      </w:r>
      <w:r w:rsidR="002648C0">
        <w:rPr>
          <w:lang w:val="en-GB"/>
        </w:rPr>
        <w:t xml:space="preserve">reveals </w:t>
      </w:r>
      <w:r w:rsidR="009F0A0A">
        <w:rPr>
          <w:lang w:val="en-GB"/>
        </w:rPr>
        <w:t>that</w:t>
      </w:r>
      <w:r w:rsidR="002648C0">
        <w:rPr>
          <w:lang w:val="en-GB"/>
        </w:rPr>
        <w:t xml:space="preserve"> </w:t>
      </w:r>
      <w:r w:rsidR="009F0A0A">
        <w:rPr>
          <w:lang w:val="en-GB"/>
        </w:rPr>
        <w:t xml:space="preserve">up to </w:t>
      </w:r>
      <w:r w:rsidR="007D6528">
        <w:rPr>
          <w:lang w:val="en-GB"/>
        </w:rPr>
        <w:t>twenty</w:t>
      </w:r>
      <w:r w:rsidR="00C219E9">
        <w:rPr>
          <w:lang w:val="en-GB"/>
        </w:rPr>
        <w:t xml:space="preserve"> fatalities</w:t>
      </w:r>
      <w:r w:rsidR="009F0A0A">
        <w:rPr>
          <w:lang w:val="en-GB"/>
        </w:rPr>
        <w:t xml:space="preserve">, the </w:t>
      </w:r>
      <w:r w:rsidR="00AE6338">
        <w:rPr>
          <w:lang w:val="en-GB"/>
        </w:rPr>
        <w:t xml:space="preserve">tsunami risk </w:t>
      </w:r>
      <w:r w:rsidR="00915BE4">
        <w:rPr>
          <w:lang w:val="en-GB"/>
        </w:rPr>
        <w:t>has</w:t>
      </w:r>
      <w:r w:rsidR="00AE6338">
        <w:rPr>
          <w:lang w:val="en-GB"/>
        </w:rPr>
        <w:t xml:space="preserve"> a negligible impact</w:t>
      </w:r>
      <w:r w:rsidR="00915BE4">
        <w:rPr>
          <w:lang w:val="en-GB"/>
        </w:rPr>
        <w:t xml:space="preserve">, </w:t>
      </w:r>
      <w:r w:rsidR="00711EAB">
        <w:rPr>
          <w:lang w:val="en-GB"/>
        </w:rPr>
        <w:t>yet beyond</w:t>
      </w:r>
      <w:r w:rsidR="000C7973">
        <w:rPr>
          <w:lang w:val="en-GB"/>
        </w:rPr>
        <w:t xml:space="preserve"> this value,</w:t>
      </w:r>
      <w:r w:rsidR="00E577D4">
        <w:rPr>
          <w:lang w:val="en-GB"/>
        </w:rPr>
        <w:t xml:space="preserve"> </w:t>
      </w:r>
      <w:r w:rsidR="003064FC">
        <w:rPr>
          <w:lang w:val="en-GB"/>
        </w:rPr>
        <w:t xml:space="preserve">tsunami </w:t>
      </w:r>
      <w:r w:rsidR="00E577D4">
        <w:rPr>
          <w:lang w:val="en-GB"/>
        </w:rPr>
        <w:t xml:space="preserve">significantly increases the potential for fatalities. </w:t>
      </w:r>
      <w:r w:rsidR="00285F08">
        <w:rPr>
          <w:lang w:val="en-GB"/>
        </w:rPr>
        <w:t xml:space="preserve">In fact, </w:t>
      </w:r>
      <w:r w:rsidR="00F46D7C">
        <w:rPr>
          <w:lang w:val="en-GB"/>
        </w:rPr>
        <w:t xml:space="preserve">conventional </w:t>
      </w:r>
      <w:r w:rsidR="0067550D">
        <w:rPr>
          <w:lang w:val="en-GB"/>
        </w:rPr>
        <w:t xml:space="preserve">causes </w:t>
      </w:r>
      <w:r w:rsidR="00CA25E7">
        <w:rPr>
          <w:lang w:val="en-GB"/>
        </w:rPr>
        <w:t xml:space="preserve">of accidents lead to </w:t>
      </w:r>
      <w:r w:rsidR="0067550D">
        <w:rPr>
          <w:lang w:val="en-GB"/>
        </w:rPr>
        <w:t xml:space="preserve">a maximum of </w:t>
      </w:r>
      <w:r w:rsidR="00DE41F6">
        <w:rPr>
          <w:lang w:val="en-GB"/>
        </w:rPr>
        <w:t xml:space="preserve">about </w:t>
      </w:r>
      <w:r w:rsidR="009E0E9A">
        <w:rPr>
          <w:lang w:val="en-GB"/>
        </w:rPr>
        <w:t>thirty-five</w:t>
      </w:r>
      <w:r w:rsidR="0067550D">
        <w:rPr>
          <w:lang w:val="en-GB"/>
        </w:rPr>
        <w:t xml:space="preserve"> fatalities</w:t>
      </w:r>
      <w:r w:rsidR="00DE41F6">
        <w:rPr>
          <w:lang w:val="en-GB"/>
        </w:rPr>
        <w:t xml:space="preserve">, while </w:t>
      </w:r>
      <w:r w:rsidR="002B3E4B">
        <w:rPr>
          <w:lang w:val="en-GB"/>
        </w:rPr>
        <w:t xml:space="preserve">the </w:t>
      </w:r>
      <w:r w:rsidR="005B33B9">
        <w:rPr>
          <w:lang w:val="en-GB"/>
        </w:rPr>
        <w:t xml:space="preserve">addition of </w:t>
      </w:r>
      <w:r w:rsidR="002B3E4B">
        <w:rPr>
          <w:lang w:val="en-GB"/>
        </w:rPr>
        <w:t xml:space="preserve">tsunami </w:t>
      </w:r>
      <w:r w:rsidR="005B33B9">
        <w:rPr>
          <w:lang w:val="en-GB"/>
        </w:rPr>
        <w:t xml:space="preserve">risk </w:t>
      </w:r>
      <w:r w:rsidR="007E6A5F">
        <w:rPr>
          <w:lang w:val="en-GB"/>
        </w:rPr>
        <w:t xml:space="preserve">may cause </w:t>
      </w:r>
      <w:r w:rsidR="007475B9">
        <w:rPr>
          <w:lang w:val="en-GB"/>
        </w:rPr>
        <w:t>a</w:t>
      </w:r>
      <w:r w:rsidR="0008212A">
        <w:rPr>
          <w:lang w:val="en-GB"/>
        </w:rPr>
        <w:t xml:space="preserve"> death </w:t>
      </w:r>
      <w:r w:rsidR="00C57F5E">
        <w:rPr>
          <w:lang w:val="en-GB"/>
        </w:rPr>
        <w:t xml:space="preserve">toll of </w:t>
      </w:r>
      <w:r w:rsidR="007475B9">
        <w:rPr>
          <w:lang w:val="en-GB"/>
        </w:rPr>
        <w:t xml:space="preserve">about </w:t>
      </w:r>
      <w:r w:rsidR="009E0E9A">
        <w:rPr>
          <w:lang w:val="en-GB"/>
        </w:rPr>
        <w:t>one-hundred</w:t>
      </w:r>
      <w:r w:rsidR="00640FF8">
        <w:rPr>
          <w:lang w:val="en-GB"/>
        </w:rPr>
        <w:t xml:space="preserve"> due to the possible multiple simultaneous failures </w:t>
      </w:r>
      <w:r w:rsidR="005162BE">
        <w:rPr>
          <w:lang w:val="en-GB"/>
        </w:rPr>
        <w:t>of tanks</w:t>
      </w:r>
      <w:r w:rsidR="00C57F5E">
        <w:rPr>
          <w:lang w:val="en-GB"/>
        </w:rPr>
        <w:t>.</w:t>
      </w:r>
    </w:p>
    <w:p w14:paraId="674C69DF" w14:textId="77777777" w:rsidR="00FF003E" w:rsidRPr="00B57B36" w:rsidRDefault="00FF003E" w:rsidP="001E1B38">
      <w:pPr>
        <w:pStyle w:val="CETHeading1"/>
        <w:spacing w:before="0"/>
        <w:rPr>
          <w:lang w:val="en-GB"/>
        </w:rPr>
      </w:pPr>
      <w:r w:rsidRPr="00B57B36">
        <w:rPr>
          <w:lang w:val="en-GB"/>
        </w:rPr>
        <w:t>Conclusions</w:t>
      </w:r>
    </w:p>
    <w:p w14:paraId="6847AF22" w14:textId="046D2ED5" w:rsidR="00E110F9" w:rsidRPr="00BA7A67" w:rsidRDefault="009848D1" w:rsidP="00E110F9">
      <w:pPr>
        <w:pStyle w:val="CETBodytext"/>
        <w:rPr>
          <w:lang w:val="en-GB"/>
        </w:rPr>
      </w:pPr>
      <w:r w:rsidRPr="009848D1">
        <w:rPr>
          <w:lang w:val="en-GB"/>
        </w:rPr>
        <w:t xml:space="preserve">This </w:t>
      </w:r>
      <w:r>
        <w:rPr>
          <w:lang w:val="en-GB"/>
        </w:rPr>
        <w:t>paper</w:t>
      </w:r>
      <w:r w:rsidRPr="009848D1">
        <w:rPr>
          <w:lang w:val="en-GB"/>
        </w:rPr>
        <w:t xml:space="preserve"> </w:t>
      </w:r>
      <w:r w:rsidR="00E06172">
        <w:rPr>
          <w:lang w:val="en-GB"/>
        </w:rPr>
        <w:t>presented</w:t>
      </w:r>
      <w:r w:rsidR="00E06172" w:rsidRPr="009848D1">
        <w:rPr>
          <w:lang w:val="en-GB"/>
        </w:rPr>
        <w:t xml:space="preserve"> </w:t>
      </w:r>
      <w:r w:rsidRPr="009848D1">
        <w:rPr>
          <w:lang w:val="en-GB"/>
        </w:rPr>
        <w:t>a comprehensive QRA analysis</w:t>
      </w:r>
      <w:r w:rsidR="00AF732B">
        <w:rPr>
          <w:lang w:val="en-GB"/>
        </w:rPr>
        <w:t xml:space="preserve"> for a petrochemical plant of anchored atmospheric storage tanks </w:t>
      </w:r>
      <w:r w:rsidR="00BB7E6C">
        <w:rPr>
          <w:lang w:val="en-GB"/>
        </w:rPr>
        <w:t xml:space="preserve">under tsunami action, in </w:t>
      </w:r>
      <w:r w:rsidR="00E01E10">
        <w:rPr>
          <w:lang w:val="en-GB"/>
        </w:rPr>
        <w:t>s</w:t>
      </w:r>
      <w:r w:rsidR="00BB7E6C">
        <w:rPr>
          <w:lang w:val="en-GB"/>
        </w:rPr>
        <w:t>outhern Italy</w:t>
      </w:r>
      <w:r w:rsidR="00F54A27">
        <w:rPr>
          <w:lang w:val="en-GB"/>
        </w:rPr>
        <w:t xml:space="preserve">, </w:t>
      </w:r>
      <w:r w:rsidR="00291042">
        <w:rPr>
          <w:lang w:val="en-GB"/>
        </w:rPr>
        <w:t>examining their behaviour for</w:t>
      </w:r>
      <w:r w:rsidR="00F54A27">
        <w:rPr>
          <w:lang w:val="en-GB"/>
        </w:rPr>
        <w:t xml:space="preserve"> three filling levels</w:t>
      </w:r>
      <w:r w:rsidR="00BB7E6C">
        <w:rPr>
          <w:lang w:val="en-GB"/>
        </w:rPr>
        <w:t xml:space="preserve">. </w:t>
      </w:r>
      <w:r w:rsidR="00751E8D">
        <w:rPr>
          <w:lang w:val="en-GB"/>
        </w:rPr>
        <w:t xml:space="preserve">The key </w:t>
      </w:r>
      <w:r w:rsidR="0043168A">
        <w:rPr>
          <w:lang w:val="en-GB"/>
        </w:rPr>
        <w:t xml:space="preserve">results </w:t>
      </w:r>
      <w:r w:rsidR="007E5C81">
        <w:rPr>
          <w:lang w:val="en-GB"/>
        </w:rPr>
        <w:t xml:space="preserve">of the analysis </w:t>
      </w:r>
      <w:r w:rsidR="0043168A">
        <w:rPr>
          <w:lang w:val="en-GB"/>
        </w:rPr>
        <w:t xml:space="preserve">are that the </w:t>
      </w:r>
      <w:r w:rsidR="00F95E80">
        <w:rPr>
          <w:lang w:val="en-GB"/>
        </w:rPr>
        <w:t>tanks</w:t>
      </w:r>
      <w:r w:rsidR="0043168A">
        <w:rPr>
          <w:lang w:val="en-GB"/>
        </w:rPr>
        <w:t xml:space="preserve"> are</w:t>
      </w:r>
      <w:r w:rsidR="00F95E80">
        <w:rPr>
          <w:lang w:val="en-GB"/>
        </w:rPr>
        <w:t xml:space="preserve"> mo</w:t>
      </w:r>
      <w:r w:rsidR="0043168A">
        <w:rPr>
          <w:lang w:val="en-GB"/>
        </w:rPr>
        <w:t>re</w:t>
      </w:r>
      <w:r w:rsidR="00F95E80">
        <w:rPr>
          <w:lang w:val="en-GB"/>
        </w:rPr>
        <w:t xml:space="preserve"> vulnerable </w:t>
      </w:r>
      <w:r w:rsidR="00291042">
        <w:rPr>
          <w:lang w:val="en-GB"/>
        </w:rPr>
        <w:t>for</w:t>
      </w:r>
      <w:r w:rsidR="00F95E80">
        <w:rPr>
          <w:lang w:val="en-GB"/>
        </w:rPr>
        <w:t xml:space="preserve"> l</w:t>
      </w:r>
      <w:r w:rsidR="00291042">
        <w:rPr>
          <w:lang w:val="en-GB"/>
        </w:rPr>
        <w:t>o</w:t>
      </w:r>
      <w:r w:rsidR="00F95E80">
        <w:rPr>
          <w:lang w:val="en-GB"/>
        </w:rPr>
        <w:t>w filling levels</w:t>
      </w:r>
      <w:r w:rsidR="00291042">
        <w:rPr>
          <w:lang w:val="en-GB"/>
        </w:rPr>
        <w:t xml:space="preserve">; </w:t>
      </w:r>
      <w:r w:rsidR="00BB42BC">
        <w:rPr>
          <w:lang w:val="en-GB"/>
        </w:rPr>
        <w:t xml:space="preserve">and </w:t>
      </w:r>
      <w:r w:rsidR="00291042">
        <w:rPr>
          <w:lang w:val="en-GB"/>
        </w:rPr>
        <w:t>that t</w:t>
      </w:r>
      <w:r w:rsidR="00A3179B">
        <w:rPr>
          <w:lang w:val="en-GB"/>
        </w:rPr>
        <w:t xml:space="preserve">he </w:t>
      </w:r>
      <w:r w:rsidR="00C5060E">
        <w:rPr>
          <w:lang w:val="en-GB"/>
        </w:rPr>
        <w:t xml:space="preserve">values of </w:t>
      </w:r>
      <w:r w:rsidR="00B90432">
        <w:rPr>
          <w:lang w:val="en-GB"/>
        </w:rPr>
        <w:t>structural failure rate</w:t>
      </w:r>
      <w:r w:rsidR="00C5060E">
        <w:rPr>
          <w:lang w:val="en-GB"/>
        </w:rPr>
        <w:t>s</w:t>
      </w:r>
      <w:r w:rsidR="00B90432">
        <w:rPr>
          <w:lang w:val="en-GB"/>
        </w:rPr>
        <w:t xml:space="preserve"> are strongly </w:t>
      </w:r>
      <w:r w:rsidR="00C5060E">
        <w:rPr>
          <w:lang w:val="en-GB"/>
        </w:rPr>
        <w:t>influenced by the hazard</w:t>
      </w:r>
      <w:r w:rsidR="00DE18D7">
        <w:rPr>
          <w:lang w:val="en-GB"/>
        </w:rPr>
        <w:t xml:space="preserve"> at the site</w:t>
      </w:r>
      <w:r w:rsidR="00BB42BC">
        <w:rPr>
          <w:lang w:val="en-GB"/>
        </w:rPr>
        <w:t>.</w:t>
      </w:r>
      <w:r w:rsidR="004044AF">
        <w:rPr>
          <w:lang w:val="en-GB"/>
        </w:rPr>
        <w:t xml:space="preserve"> </w:t>
      </w:r>
      <w:r w:rsidR="00D23926" w:rsidRPr="00D23926">
        <w:rPr>
          <w:lang w:val="en-GB"/>
        </w:rPr>
        <w:t xml:space="preserve">While this case study is </w:t>
      </w:r>
      <w:r w:rsidR="00A85059">
        <w:rPr>
          <w:lang w:val="en-GB"/>
        </w:rPr>
        <w:t>based on</w:t>
      </w:r>
      <w:r w:rsidR="00B43972">
        <w:rPr>
          <w:lang w:val="en-GB"/>
        </w:rPr>
        <w:t xml:space="preserve"> </w:t>
      </w:r>
      <w:r w:rsidR="00D23926" w:rsidRPr="00D23926">
        <w:rPr>
          <w:lang w:val="en-GB"/>
        </w:rPr>
        <w:t>an actual petrochemical facility</w:t>
      </w:r>
      <w:r w:rsidR="00B43972">
        <w:rPr>
          <w:lang w:val="en-GB"/>
        </w:rPr>
        <w:t xml:space="preserve"> at that location</w:t>
      </w:r>
      <w:r w:rsidR="00D23926" w:rsidRPr="00D23926">
        <w:rPr>
          <w:lang w:val="en-GB"/>
        </w:rPr>
        <w:t>, a limited number of tanks was considered, to maintain the computational burden of QRA manageable. Therefore, these results are useful in a comparative sense, rather than for considerations of risk acceptability for the entire facility</w:t>
      </w:r>
      <w:r w:rsidR="00D23926">
        <w:rPr>
          <w:lang w:val="en-GB"/>
        </w:rPr>
        <w:t xml:space="preserve">. </w:t>
      </w:r>
      <w:r w:rsidR="007E6A5F">
        <w:rPr>
          <w:lang w:val="en-GB"/>
        </w:rPr>
        <w:t>In fact, the</w:t>
      </w:r>
      <w:r w:rsidR="007E6A5F" w:rsidRPr="00F830FF">
        <w:rPr>
          <w:lang w:val="en-GB"/>
        </w:rPr>
        <w:t xml:space="preserve"> </w:t>
      </w:r>
      <w:r w:rsidR="00F830FF" w:rsidRPr="00F830FF">
        <w:rPr>
          <w:lang w:val="en-GB"/>
        </w:rPr>
        <w:t>QRA results show that</w:t>
      </w:r>
      <w:r w:rsidR="002F7534">
        <w:rPr>
          <w:lang w:val="en-GB"/>
        </w:rPr>
        <w:t>, for this site,</w:t>
      </w:r>
      <w:r w:rsidR="00F830FF" w:rsidRPr="00F830FF">
        <w:rPr>
          <w:lang w:val="en-GB"/>
        </w:rPr>
        <w:t xml:space="preserve"> tsunami </w:t>
      </w:r>
      <w:r w:rsidR="000C4380">
        <w:rPr>
          <w:lang w:val="en-GB"/>
        </w:rPr>
        <w:t xml:space="preserve">hazard </w:t>
      </w:r>
      <w:r w:rsidR="00F830FF" w:rsidRPr="00F830FF">
        <w:rPr>
          <w:lang w:val="en-GB"/>
        </w:rPr>
        <w:t xml:space="preserve">is </w:t>
      </w:r>
      <w:r w:rsidR="00F830FF">
        <w:rPr>
          <w:lang w:val="en-GB"/>
        </w:rPr>
        <w:t xml:space="preserve">a </w:t>
      </w:r>
      <w:r w:rsidR="009E0E9A">
        <w:rPr>
          <w:lang w:val="en-GB"/>
        </w:rPr>
        <w:t xml:space="preserve">non-negligible </w:t>
      </w:r>
      <w:r w:rsidR="00F830FF" w:rsidRPr="00F830FF">
        <w:rPr>
          <w:lang w:val="en-GB"/>
        </w:rPr>
        <w:t xml:space="preserve">source of risk </w:t>
      </w:r>
      <w:r w:rsidR="009E0E9A">
        <w:rPr>
          <w:lang w:val="en-GB"/>
        </w:rPr>
        <w:t>if compared to the conventional activities risk</w:t>
      </w:r>
      <w:r w:rsidR="00F830FF" w:rsidRPr="00F830FF">
        <w:rPr>
          <w:lang w:val="en-GB"/>
        </w:rPr>
        <w:t>.</w:t>
      </w:r>
      <w:r w:rsidR="00B64E26">
        <w:rPr>
          <w:lang w:val="en-GB"/>
        </w:rPr>
        <w:t xml:space="preserve"> </w:t>
      </w:r>
    </w:p>
    <w:p w14:paraId="459D05E6" w14:textId="13AE768D" w:rsidR="00600535" w:rsidRPr="00B57B36" w:rsidRDefault="00600535" w:rsidP="00E110F9">
      <w:pPr>
        <w:pStyle w:val="CETAcknowledgementstitle"/>
        <w:spacing w:before="0" w:after="0"/>
      </w:pPr>
      <w:r w:rsidRPr="00B57B36">
        <w:t>Acknowledgments</w:t>
      </w:r>
    </w:p>
    <w:p w14:paraId="65684D3B" w14:textId="6D67B1C3" w:rsidR="00912391" w:rsidRPr="005C656E" w:rsidRDefault="00147B5C" w:rsidP="00E110F9">
      <w:pPr>
        <w:pStyle w:val="CETBodytext"/>
        <w:rPr>
          <w:lang w:val="en-GB"/>
        </w:rPr>
      </w:pPr>
      <w:r w:rsidRPr="00147B5C">
        <w:t xml:space="preserve">The study presented was developed within the </w:t>
      </w:r>
      <w:r w:rsidRPr="008046B6">
        <w:t xml:space="preserve">RETURN “Multi-risk science for resilient communities under a changing climate” </w:t>
      </w:r>
      <w:r w:rsidRPr="00147B5C">
        <w:t>(</w:t>
      </w:r>
      <w:r w:rsidR="00ED06AB" w:rsidRPr="00ED06AB">
        <w:rPr>
          <w:lang w:val="en-GB"/>
        </w:rPr>
        <w:t>National Recovery and Resilience Plan</w:t>
      </w:r>
      <w:r w:rsidR="00ED06AB">
        <w:rPr>
          <w:lang w:val="en-GB"/>
        </w:rPr>
        <w:t>-NRPP</w:t>
      </w:r>
      <w:r w:rsidRPr="00147B5C">
        <w:t xml:space="preserve">, Mission 4, Component 2, Investment 1.3 – D.D. n.341 15/3/2022, PE0000005); PRIN 2017 </w:t>
      </w:r>
      <w:r w:rsidRPr="00147B5C">
        <w:rPr>
          <w:i/>
          <w:iCs/>
        </w:rPr>
        <w:t xml:space="preserve">Assessment of Cascading Events triggered by the Interaction of Natural Hazards and Technological Scenarios involving the release of Hazardous Substances </w:t>
      </w:r>
      <w:r w:rsidRPr="00147B5C">
        <w:t>funded by the Italian Ministry of Universities and Research</w:t>
      </w:r>
      <w:r w:rsidR="00501823">
        <w:t>;</w:t>
      </w:r>
      <w:r w:rsidR="00ED06AB">
        <w:t xml:space="preserve"> </w:t>
      </w:r>
      <w:r w:rsidR="00501823" w:rsidRPr="00501823">
        <w:rPr>
          <w:lang w:val="en-GB"/>
        </w:rPr>
        <w:t>and within the activities</w:t>
      </w:r>
      <w:r w:rsidR="00501823">
        <w:rPr>
          <w:lang w:val="en-GB"/>
        </w:rPr>
        <w:t xml:space="preserve"> with </w:t>
      </w:r>
      <w:proofErr w:type="spellStart"/>
      <w:r w:rsidR="00FB723C" w:rsidRPr="00FB723C">
        <w:t>ReLUIS</w:t>
      </w:r>
      <w:proofErr w:type="spellEnd"/>
      <w:r w:rsidR="00FB723C" w:rsidRPr="00FB723C">
        <w:t xml:space="preserve">-DPC (Rete di </w:t>
      </w:r>
      <w:proofErr w:type="spellStart"/>
      <w:r w:rsidR="00FB723C" w:rsidRPr="00FB723C">
        <w:t>Laboratori</w:t>
      </w:r>
      <w:proofErr w:type="spellEnd"/>
      <w:r w:rsidR="00FB723C" w:rsidRPr="00FB723C">
        <w:t xml:space="preserve"> </w:t>
      </w:r>
      <w:proofErr w:type="spellStart"/>
      <w:r w:rsidR="00FB723C" w:rsidRPr="00FB723C">
        <w:t>d</w:t>
      </w:r>
      <w:r w:rsidR="00FB723C" w:rsidRPr="00FB723C">
        <w:rPr>
          <w:rFonts w:hint="eastAsia"/>
        </w:rPr>
        <w:t>’</w:t>
      </w:r>
      <w:r w:rsidR="00FB723C" w:rsidRPr="00FB723C">
        <w:t>Ingegneria</w:t>
      </w:r>
      <w:proofErr w:type="spellEnd"/>
      <w:r w:rsidR="00FB723C" w:rsidRPr="00FB723C">
        <w:t xml:space="preserve"> </w:t>
      </w:r>
      <w:proofErr w:type="spellStart"/>
      <w:r w:rsidR="00FB723C" w:rsidRPr="00FB723C">
        <w:t>Sismica</w:t>
      </w:r>
      <w:r w:rsidR="000E1306">
        <w:t>-</w:t>
      </w:r>
      <w:r w:rsidR="00FB723C" w:rsidRPr="00FB723C">
        <w:t>Dipartimento</w:t>
      </w:r>
      <w:proofErr w:type="spellEnd"/>
      <w:r w:rsidR="00FB723C" w:rsidRPr="00FB723C">
        <w:t xml:space="preserve"> di </w:t>
      </w:r>
      <w:proofErr w:type="spellStart"/>
      <w:r w:rsidR="00FB723C" w:rsidRPr="00FB723C">
        <w:t>Protezione</w:t>
      </w:r>
      <w:proofErr w:type="spellEnd"/>
      <w:r w:rsidR="00FB723C" w:rsidRPr="00FB723C">
        <w:t xml:space="preserve"> Civile) 2022</w:t>
      </w:r>
      <w:r w:rsidR="00FB723C" w:rsidRPr="00FB723C">
        <w:rPr>
          <w:rFonts w:hint="eastAsia"/>
        </w:rPr>
        <w:t>−</w:t>
      </w:r>
      <w:r w:rsidR="00FB723C" w:rsidRPr="00FB723C">
        <w:t>2024 research</w:t>
      </w:r>
      <w:r w:rsidR="00FB723C" w:rsidRPr="00501823">
        <w:t xml:space="preserve"> </w:t>
      </w:r>
      <w:r w:rsidR="00FB723C" w:rsidRPr="00501823">
        <w:rPr>
          <w:lang w:val="en-GB"/>
        </w:rPr>
        <w:t>agreement, funded by the Italian Department of Civil Protection.</w:t>
      </w:r>
    </w:p>
    <w:p w14:paraId="4F1327F8" w14:textId="77777777" w:rsidR="00600535" w:rsidRPr="00B57B36" w:rsidRDefault="00600535" w:rsidP="003309C7">
      <w:pPr>
        <w:pStyle w:val="CETReference"/>
        <w:spacing w:before="0"/>
      </w:pPr>
      <w:r w:rsidRPr="00B57B36">
        <w:t>References</w:t>
      </w:r>
    </w:p>
    <w:p w14:paraId="77CB562D" w14:textId="5489516A" w:rsidR="00170FA5" w:rsidRDefault="00B95CAA" w:rsidP="00416C43">
      <w:pPr>
        <w:pStyle w:val="CETReferencetext"/>
      </w:pPr>
      <w:r>
        <w:t xml:space="preserve">Antonioni G., </w:t>
      </w:r>
      <w:proofErr w:type="spellStart"/>
      <w:r w:rsidR="00061869">
        <w:t>Bonvicini</w:t>
      </w:r>
      <w:proofErr w:type="spellEnd"/>
      <w:r w:rsidR="00061869">
        <w:t xml:space="preserve"> S., </w:t>
      </w:r>
      <w:r w:rsidR="00FD2F88">
        <w:t xml:space="preserve">Spadoni G., </w:t>
      </w:r>
      <w:proofErr w:type="spellStart"/>
      <w:r w:rsidR="00D05026">
        <w:t>Cozzani</w:t>
      </w:r>
      <w:proofErr w:type="spellEnd"/>
      <w:r w:rsidR="00D05026">
        <w:t xml:space="preserve"> V., </w:t>
      </w:r>
      <w:r w:rsidR="000E63DA">
        <w:t xml:space="preserve">2009, </w:t>
      </w:r>
      <w:r w:rsidR="00C73F0D">
        <w:t xml:space="preserve">Development of a framework </w:t>
      </w:r>
      <w:r w:rsidR="009D3A95">
        <w:t xml:space="preserve">for </w:t>
      </w:r>
      <w:r w:rsidR="00860402">
        <w:t xml:space="preserve">the risk </w:t>
      </w:r>
      <w:r w:rsidR="005E48E9">
        <w:t xml:space="preserve">assessment </w:t>
      </w:r>
      <w:r w:rsidR="008203C8">
        <w:t>of NaTech</w:t>
      </w:r>
      <w:r w:rsidR="00F62510">
        <w:t xml:space="preserve"> accidental </w:t>
      </w:r>
      <w:r w:rsidR="00C61196">
        <w:t xml:space="preserve">events, </w:t>
      </w:r>
      <w:r w:rsidR="002E0394">
        <w:t xml:space="preserve">Reliability </w:t>
      </w:r>
      <w:r w:rsidR="00E72F11">
        <w:t>Engineering</w:t>
      </w:r>
      <w:r w:rsidR="006866BC">
        <w:t xml:space="preserve"> &amp; System </w:t>
      </w:r>
      <w:r w:rsidR="00B77BE4">
        <w:t xml:space="preserve">Safety, </w:t>
      </w:r>
      <w:r w:rsidR="006275A8">
        <w:t xml:space="preserve">94 </w:t>
      </w:r>
      <w:r w:rsidR="00B422A3">
        <w:t xml:space="preserve">(9), </w:t>
      </w:r>
      <w:r w:rsidR="008B07F2">
        <w:t>1442-</w:t>
      </w:r>
      <w:r w:rsidR="00916743">
        <w:t>1450.</w:t>
      </w:r>
    </w:p>
    <w:p w14:paraId="160EC728" w14:textId="5B80D07E" w:rsidR="00416C43" w:rsidRDefault="00416C43" w:rsidP="00416C43">
      <w:pPr>
        <w:pStyle w:val="CETReferencetext"/>
      </w:pPr>
      <w:r w:rsidRPr="00CE565E">
        <w:t>Bakalis</w:t>
      </w:r>
      <w:r>
        <w:t xml:space="preserve"> K.</w:t>
      </w:r>
      <w:r w:rsidRPr="00CE565E">
        <w:t xml:space="preserve">, </w:t>
      </w:r>
      <w:proofErr w:type="spellStart"/>
      <w:r w:rsidRPr="00CE565E">
        <w:t>Vamvatsikos</w:t>
      </w:r>
      <w:proofErr w:type="spellEnd"/>
      <w:r>
        <w:t xml:space="preserve"> D.</w:t>
      </w:r>
      <w:r w:rsidRPr="00CE565E">
        <w:t xml:space="preserve">, </w:t>
      </w:r>
      <w:proofErr w:type="spellStart"/>
      <w:r w:rsidRPr="00CE565E">
        <w:t>Fragiadakis</w:t>
      </w:r>
      <w:proofErr w:type="spellEnd"/>
      <w:r>
        <w:t xml:space="preserve"> M., </w:t>
      </w:r>
      <w:r w:rsidRPr="00CE565E">
        <w:t>2017</w:t>
      </w:r>
      <w:r>
        <w:t xml:space="preserve">, </w:t>
      </w:r>
      <w:r w:rsidRPr="00CE565E">
        <w:t>Seismic risk assessment of liquid storage tanks via nonlinear surrogate model</w:t>
      </w:r>
      <w:r>
        <w:t xml:space="preserve">, </w:t>
      </w:r>
      <w:r w:rsidRPr="004C657A">
        <w:t>Earthquake Eng</w:t>
      </w:r>
      <w:r>
        <w:t>ineering</w:t>
      </w:r>
      <w:r w:rsidRPr="004C657A">
        <w:t xml:space="preserve"> Struct</w:t>
      </w:r>
      <w:r>
        <w:t>ural</w:t>
      </w:r>
      <w:r w:rsidRPr="004C657A">
        <w:t xml:space="preserve"> Dyn</w:t>
      </w:r>
      <w:r>
        <w:t>amics, 46, 2851-2868.</w:t>
      </w:r>
    </w:p>
    <w:p w14:paraId="62529FE2" w14:textId="095BC46C" w:rsidR="00474474" w:rsidRPr="008046B6" w:rsidRDefault="00474474" w:rsidP="00D0766B">
      <w:pPr>
        <w:pStyle w:val="CETReferencetext"/>
        <w:rPr>
          <w:lang w:val="it-IT"/>
        </w:rPr>
      </w:pPr>
      <w:r w:rsidRPr="008046B6">
        <w:rPr>
          <w:lang w:val="it-IT"/>
        </w:rPr>
        <w:t>Cozzani V</w:t>
      </w:r>
      <w:r w:rsidR="00C73712" w:rsidRPr="008046B6">
        <w:rPr>
          <w:lang w:val="it-IT"/>
        </w:rPr>
        <w:t>.</w:t>
      </w:r>
      <w:r w:rsidRPr="008046B6">
        <w:rPr>
          <w:lang w:val="it-IT"/>
        </w:rPr>
        <w:t>, Antonioni G</w:t>
      </w:r>
      <w:r w:rsidR="00C73712" w:rsidRPr="008046B6">
        <w:rPr>
          <w:lang w:val="it-IT"/>
        </w:rPr>
        <w:t>.</w:t>
      </w:r>
      <w:r w:rsidRPr="008046B6">
        <w:rPr>
          <w:lang w:val="it-IT"/>
        </w:rPr>
        <w:t>, Landucci G</w:t>
      </w:r>
      <w:r w:rsidR="00C73712" w:rsidRPr="008046B6">
        <w:rPr>
          <w:lang w:val="it-IT"/>
        </w:rPr>
        <w:t>.</w:t>
      </w:r>
      <w:r w:rsidRPr="008046B6">
        <w:rPr>
          <w:lang w:val="it-IT"/>
        </w:rPr>
        <w:t>,</w:t>
      </w:r>
      <w:r w:rsidR="00513BC9" w:rsidRPr="008046B6">
        <w:rPr>
          <w:lang w:val="it-IT"/>
        </w:rPr>
        <w:t xml:space="preserve"> Tugnoli A., </w:t>
      </w:r>
      <w:r w:rsidR="007D6723" w:rsidRPr="008046B6">
        <w:rPr>
          <w:lang w:val="it-IT"/>
        </w:rPr>
        <w:t>Bonvicini S., Spadoni G.,</w:t>
      </w:r>
      <w:r w:rsidRPr="008046B6">
        <w:rPr>
          <w:lang w:val="it-IT"/>
        </w:rPr>
        <w:t xml:space="preserve"> </w:t>
      </w:r>
      <w:r w:rsidR="007D6723" w:rsidRPr="008046B6">
        <w:rPr>
          <w:lang w:val="it-IT"/>
        </w:rPr>
        <w:t>2014,</w:t>
      </w:r>
      <w:r w:rsidRPr="008046B6">
        <w:rPr>
          <w:lang w:val="it-IT"/>
        </w:rPr>
        <w:t xml:space="preserve"> Quantitative </w:t>
      </w:r>
      <w:proofErr w:type="spellStart"/>
      <w:r w:rsidRPr="008046B6">
        <w:rPr>
          <w:lang w:val="it-IT"/>
        </w:rPr>
        <w:t>assessment</w:t>
      </w:r>
      <w:proofErr w:type="spellEnd"/>
      <w:r w:rsidRPr="008046B6">
        <w:rPr>
          <w:lang w:val="it-IT"/>
        </w:rPr>
        <w:t xml:space="preserve"> of domino and NaTech </w:t>
      </w:r>
      <w:proofErr w:type="spellStart"/>
      <w:r w:rsidRPr="008046B6">
        <w:rPr>
          <w:lang w:val="it-IT"/>
        </w:rPr>
        <w:t>scenarios</w:t>
      </w:r>
      <w:proofErr w:type="spellEnd"/>
      <w:r w:rsidRPr="008046B6">
        <w:rPr>
          <w:lang w:val="it-IT"/>
        </w:rPr>
        <w:t xml:space="preserve"> in </w:t>
      </w:r>
      <w:proofErr w:type="spellStart"/>
      <w:r w:rsidRPr="008046B6">
        <w:rPr>
          <w:lang w:val="it-IT"/>
        </w:rPr>
        <w:t>complex</w:t>
      </w:r>
      <w:proofErr w:type="spellEnd"/>
      <w:r w:rsidRPr="008046B6">
        <w:rPr>
          <w:lang w:val="it-IT"/>
        </w:rPr>
        <w:t xml:space="preserve"> industrial </w:t>
      </w:r>
      <w:proofErr w:type="spellStart"/>
      <w:r w:rsidRPr="008046B6">
        <w:rPr>
          <w:lang w:val="it-IT"/>
        </w:rPr>
        <w:t>areas</w:t>
      </w:r>
      <w:proofErr w:type="spellEnd"/>
      <w:r w:rsidR="003C5564" w:rsidRPr="008046B6">
        <w:rPr>
          <w:lang w:val="it-IT"/>
        </w:rPr>
        <w:t xml:space="preserve">, J Loss </w:t>
      </w:r>
      <w:proofErr w:type="spellStart"/>
      <w:r w:rsidR="003C5564" w:rsidRPr="008046B6">
        <w:rPr>
          <w:lang w:val="it-IT"/>
        </w:rPr>
        <w:t>Prev</w:t>
      </w:r>
      <w:proofErr w:type="spellEnd"/>
      <w:r w:rsidR="003C5564" w:rsidRPr="008046B6">
        <w:rPr>
          <w:lang w:val="it-IT"/>
        </w:rPr>
        <w:t xml:space="preserve"> </w:t>
      </w:r>
      <w:proofErr w:type="spellStart"/>
      <w:r w:rsidR="003C5564" w:rsidRPr="008046B6">
        <w:rPr>
          <w:lang w:val="it-IT"/>
        </w:rPr>
        <w:t>Process</w:t>
      </w:r>
      <w:proofErr w:type="spellEnd"/>
      <w:r w:rsidR="003C5564" w:rsidRPr="008046B6">
        <w:rPr>
          <w:lang w:val="it-IT"/>
        </w:rPr>
        <w:t xml:space="preserve"> </w:t>
      </w:r>
      <w:proofErr w:type="spellStart"/>
      <w:r w:rsidR="003C5564" w:rsidRPr="008046B6">
        <w:rPr>
          <w:lang w:val="it-IT"/>
        </w:rPr>
        <w:t>Ind</w:t>
      </w:r>
      <w:proofErr w:type="spellEnd"/>
      <w:r w:rsidR="0057045A" w:rsidRPr="008046B6">
        <w:rPr>
          <w:lang w:val="it-IT"/>
        </w:rPr>
        <w:t>, 28, 10-22.</w:t>
      </w:r>
      <w:r w:rsidRPr="008046B6">
        <w:rPr>
          <w:lang w:val="it-IT"/>
        </w:rPr>
        <w:t xml:space="preserve"> </w:t>
      </w:r>
    </w:p>
    <w:p w14:paraId="76E0BF3D" w14:textId="00219799" w:rsidR="00416C43" w:rsidRPr="00752F7F" w:rsidRDefault="00416C43" w:rsidP="00416C43">
      <w:pPr>
        <w:pStyle w:val="CETReferencetext"/>
        <w:rPr>
          <w:rFonts w:eastAsia="MyriadPro-Regular"/>
        </w:rPr>
      </w:pPr>
      <w:r>
        <w:rPr>
          <w:rFonts w:eastAsia="MyriadPro-Regular"/>
        </w:rPr>
        <w:t>L</w:t>
      </w:r>
      <w:r w:rsidRPr="00C03D53">
        <w:t>anducci</w:t>
      </w:r>
      <w:r>
        <w:t xml:space="preserve"> G.</w:t>
      </w:r>
      <w:r w:rsidRPr="00C03D53">
        <w:t>, Antonioni</w:t>
      </w:r>
      <w:r>
        <w:t xml:space="preserve"> G.</w:t>
      </w:r>
      <w:r w:rsidRPr="00C03D53">
        <w:t xml:space="preserve">, </w:t>
      </w:r>
      <w:proofErr w:type="spellStart"/>
      <w:r w:rsidRPr="00C03D53">
        <w:t>Tugnoli</w:t>
      </w:r>
      <w:proofErr w:type="spellEnd"/>
      <w:r>
        <w:t xml:space="preserve"> A.</w:t>
      </w:r>
      <w:r w:rsidRPr="00C03D53">
        <w:t xml:space="preserve">, </w:t>
      </w:r>
      <w:proofErr w:type="spellStart"/>
      <w:r w:rsidRPr="00C03D53">
        <w:t>Cozzani</w:t>
      </w:r>
      <w:proofErr w:type="spellEnd"/>
      <w:r>
        <w:t xml:space="preserve"> V., </w:t>
      </w:r>
      <w:r w:rsidRPr="00C03D53">
        <w:t>2012</w:t>
      </w:r>
      <w:r>
        <w:t xml:space="preserve">, </w:t>
      </w:r>
      <w:r w:rsidRPr="00C03D53">
        <w:t>Release of hazardous substances in flood events</w:t>
      </w:r>
      <w:r>
        <w:t>:</w:t>
      </w:r>
      <w:r w:rsidRPr="00C03D53">
        <w:t xml:space="preserve"> Damage model for atmospheric storage tanks</w:t>
      </w:r>
      <w:r>
        <w:t>, 106, 200-216.</w:t>
      </w:r>
    </w:p>
    <w:p w14:paraId="56B6F9A4" w14:textId="296E9188" w:rsidR="000D419B" w:rsidRDefault="000D419B" w:rsidP="00D0766B">
      <w:pPr>
        <w:pStyle w:val="CETReferencetext"/>
        <w:rPr>
          <w:rFonts w:eastAsia="MyriadPro-Regular"/>
        </w:rPr>
      </w:pPr>
      <w:r>
        <w:rPr>
          <w:rFonts w:eastAsia="MyriadPro-Regular"/>
        </w:rPr>
        <w:t>Lees F., 2012, Lees’ Loss Prevention in the process industries: Hazard identification, assessment and control</w:t>
      </w:r>
      <w:r w:rsidR="00CB0687">
        <w:rPr>
          <w:rFonts w:eastAsia="MyriadPro-Regular"/>
        </w:rPr>
        <w:t>, Department of Chemical Engineering, Texas A&amp;M University, Texas, USA.</w:t>
      </w:r>
    </w:p>
    <w:p w14:paraId="2B0B3F7A" w14:textId="77777777" w:rsidR="000557B9" w:rsidRDefault="000557B9" w:rsidP="000557B9">
      <w:pPr>
        <w:pStyle w:val="CETReferencetext"/>
      </w:pPr>
      <w:r>
        <w:t xml:space="preserve">Mesa-Gomez A., Casal J., Munoz F., 2020, </w:t>
      </w:r>
      <w:r w:rsidRPr="000557B9">
        <w:t xml:space="preserve">Risk analysis in </w:t>
      </w:r>
      <w:proofErr w:type="spellStart"/>
      <w:r w:rsidRPr="000557B9">
        <w:t>Natech</w:t>
      </w:r>
      <w:proofErr w:type="spellEnd"/>
      <w:r w:rsidRPr="000557B9">
        <w:t xml:space="preserve"> events: State of the art</w:t>
      </w:r>
      <w:r>
        <w:t>,</w:t>
      </w:r>
      <w:r w:rsidRPr="000557B9">
        <w:t xml:space="preserve"> Journal of Loss Prevention in the Process Industries</w:t>
      </w:r>
      <w:r>
        <w:t>, 64, 1040</w:t>
      </w:r>
    </w:p>
    <w:p w14:paraId="06CCE36F" w14:textId="77777777" w:rsidR="00086138" w:rsidRPr="00086138" w:rsidRDefault="00086138" w:rsidP="00086138">
      <w:pPr>
        <w:pStyle w:val="CETReferencetext"/>
      </w:pPr>
      <w:proofErr w:type="spellStart"/>
      <w:r w:rsidRPr="00086138">
        <w:t>Misuri</w:t>
      </w:r>
      <w:proofErr w:type="spellEnd"/>
      <w:r w:rsidRPr="00086138">
        <w:t xml:space="preserve"> A., Ricci F., </w:t>
      </w:r>
      <w:proofErr w:type="spellStart"/>
      <w:r w:rsidRPr="00086138">
        <w:t>Sorichetti</w:t>
      </w:r>
      <w:proofErr w:type="spellEnd"/>
      <w:r w:rsidRPr="00086138">
        <w:t xml:space="preserve"> R., </w:t>
      </w:r>
      <w:proofErr w:type="spellStart"/>
      <w:r w:rsidRPr="00086138">
        <w:t>Cozzani</w:t>
      </w:r>
      <w:proofErr w:type="spellEnd"/>
      <w:r w:rsidRPr="00086138">
        <w:t xml:space="preserve"> V., 2023, The Effect of Safety Barrier Degradation on the Severity of Primary NaTech Scenarios, Reliability Engineering and System Safety, 235, 1-16.</w:t>
      </w:r>
    </w:p>
    <w:p w14:paraId="7A74D6E3" w14:textId="13A4FC14" w:rsidR="00086138" w:rsidRPr="00086138" w:rsidRDefault="00086138" w:rsidP="00086138">
      <w:pPr>
        <w:pStyle w:val="CETReferencetext"/>
      </w:pPr>
      <w:r w:rsidRPr="00086138">
        <w:t xml:space="preserve">Ricci F., </w:t>
      </w:r>
      <w:proofErr w:type="spellStart"/>
      <w:r w:rsidRPr="00086138">
        <w:t>Misuri</w:t>
      </w:r>
      <w:proofErr w:type="spellEnd"/>
      <w:r w:rsidRPr="00086138">
        <w:t xml:space="preserve"> A., Scarponi G. E., </w:t>
      </w:r>
      <w:proofErr w:type="spellStart"/>
      <w:r w:rsidRPr="00086138">
        <w:t>Cozzani</w:t>
      </w:r>
      <w:proofErr w:type="spellEnd"/>
      <w:r w:rsidRPr="00086138">
        <w:t xml:space="preserve"> V., </w:t>
      </w:r>
      <w:proofErr w:type="spellStart"/>
      <w:r w:rsidRPr="00086138">
        <w:t>Demichela</w:t>
      </w:r>
      <w:proofErr w:type="spellEnd"/>
      <w:r w:rsidRPr="00086138">
        <w:t xml:space="preserve"> M., 2024, Vulnerability Assessment of Industrial Sites to Interface Fires and Wildfires, Reliability Engineering and System Safety, 243,1-16.</w:t>
      </w:r>
    </w:p>
    <w:p w14:paraId="49301565" w14:textId="29F2A926" w:rsidR="000557B9" w:rsidRPr="00086138" w:rsidRDefault="000557B9" w:rsidP="00086138">
      <w:pPr>
        <w:pStyle w:val="CETReferencetext"/>
      </w:pPr>
      <w:r w:rsidRPr="000557B9">
        <w:t>Ricci</w:t>
      </w:r>
      <w:r>
        <w:t xml:space="preserve"> F.</w:t>
      </w:r>
      <w:r w:rsidRPr="000557B9">
        <w:t>, Moreno</w:t>
      </w:r>
      <w:r>
        <w:t xml:space="preserve"> V. M.</w:t>
      </w:r>
      <w:r w:rsidRPr="000557B9">
        <w:t xml:space="preserve">, </w:t>
      </w:r>
      <w:proofErr w:type="spellStart"/>
      <w:r w:rsidRPr="000557B9">
        <w:t>Cozzani</w:t>
      </w:r>
      <w:proofErr w:type="spellEnd"/>
      <w:r>
        <w:t xml:space="preserve"> V., 2021, </w:t>
      </w:r>
      <w:r w:rsidRPr="000557B9">
        <w:t xml:space="preserve">A comprehensive analysis of the occurrence of </w:t>
      </w:r>
      <w:proofErr w:type="spellStart"/>
      <w:r w:rsidRPr="000557B9">
        <w:t>Natech</w:t>
      </w:r>
      <w:proofErr w:type="spellEnd"/>
      <w:r w:rsidRPr="000557B9">
        <w:t xml:space="preserve"> events in</w:t>
      </w:r>
      <w:r>
        <w:t xml:space="preserve"> the process industry, </w:t>
      </w:r>
      <w:r w:rsidRPr="000557B9">
        <w:t>Process Safety and Environmental Protection</w:t>
      </w:r>
      <w:r>
        <w:t>, 147, 703-713.</w:t>
      </w:r>
    </w:p>
    <w:p w14:paraId="18FD74AD" w14:textId="664424A9" w:rsidR="00416C43" w:rsidRDefault="00416C43" w:rsidP="00416C43">
      <w:pPr>
        <w:pStyle w:val="CETReferencetext"/>
      </w:pPr>
      <w:r w:rsidRPr="00E2215F">
        <w:t>Salzano</w:t>
      </w:r>
      <w:r>
        <w:t xml:space="preserve"> E.</w:t>
      </w:r>
      <w:r w:rsidRPr="00E2215F">
        <w:t>, Iervolino</w:t>
      </w:r>
      <w:r>
        <w:t xml:space="preserve"> I.</w:t>
      </w:r>
      <w:r w:rsidRPr="00E2215F">
        <w:t xml:space="preserve">, </w:t>
      </w:r>
      <w:proofErr w:type="spellStart"/>
      <w:r w:rsidRPr="00E2215F">
        <w:t>Fabbrocino</w:t>
      </w:r>
      <w:proofErr w:type="spellEnd"/>
      <w:r>
        <w:t xml:space="preserve"> G., </w:t>
      </w:r>
      <w:r w:rsidRPr="00E2215F">
        <w:t>2003</w:t>
      </w:r>
      <w:r>
        <w:t xml:space="preserve">, </w:t>
      </w:r>
      <w:r w:rsidRPr="00E2215F">
        <w:t>Seismic</w:t>
      </w:r>
      <w:r>
        <w:t xml:space="preserve"> </w:t>
      </w:r>
      <w:r w:rsidRPr="00E2215F">
        <w:t>risk</w:t>
      </w:r>
      <w:r>
        <w:t xml:space="preserve"> </w:t>
      </w:r>
      <w:r w:rsidRPr="00E2215F">
        <w:t>of</w:t>
      </w:r>
      <w:r>
        <w:t xml:space="preserve"> </w:t>
      </w:r>
      <w:r w:rsidRPr="00E2215F">
        <w:t>atmospheric</w:t>
      </w:r>
      <w:r>
        <w:t xml:space="preserve"> </w:t>
      </w:r>
      <w:r w:rsidRPr="00E2215F">
        <w:t>storage</w:t>
      </w:r>
      <w:r>
        <w:t xml:space="preserve"> </w:t>
      </w:r>
      <w:r w:rsidRPr="00E2215F">
        <w:t>tanks</w:t>
      </w:r>
      <w:r>
        <w:t xml:space="preserve"> </w:t>
      </w:r>
      <w:r w:rsidRPr="00E2215F">
        <w:t>in</w:t>
      </w:r>
      <w:r>
        <w:t xml:space="preserve"> </w:t>
      </w:r>
      <w:r w:rsidRPr="00E2215F">
        <w:t>the</w:t>
      </w:r>
      <w:r>
        <w:t xml:space="preserve"> framework of quantitative risk analysis, Journal of Loss Prevention in the Process Industries, 16, 430-409. </w:t>
      </w:r>
    </w:p>
    <w:p w14:paraId="776CBE28" w14:textId="77777777" w:rsidR="000557B9" w:rsidRDefault="000557B9" w:rsidP="00752F7F">
      <w:pPr>
        <w:pStyle w:val="CETReferencetext"/>
      </w:pPr>
      <w:r w:rsidRPr="006C6D39">
        <w:t>Suarez-Paba M</w:t>
      </w:r>
      <w:r>
        <w:t>.</w:t>
      </w:r>
      <w:r w:rsidRPr="006C6D39">
        <w:t xml:space="preserve"> C</w:t>
      </w:r>
      <w:r>
        <w:t>.</w:t>
      </w:r>
      <w:r w:rsidRPr="006C6D39">
        <w:t xml:space="preserve">, </w:t>
      </w:r>
      <w:proofErr w:type="spellStart"/>
      <w:r w:rsidRPr="006C6D39">
        <w:t>Perreur</w:t>
      </w:r>
      <w:proofErr w:type="spellEnd"/>
      <w:r w:rsidRPr="006C6D39">
        <w:t xml:space="preserve"> M</w:t>
      </w:r>
      <w:r>
        <w:t>.</w:t>
      </w:r>
      <w:r w:rsidRPr="006C6D39">
        <w:t>, Munoz F</w:t>
      </w:r>
      <w:r>
        <w:t>.</w:t>
      </w:r>
      <w:r w:rsidRPr="006C6D39">
        <w:t>, Cruz A</w:t>
      </w:r>
      <w:r>
        <w:t>.</w:t>
      </w:r>
      <w:r w:rsidRPr="006C6D39">
        <w:t xml:space="preserve"> M</w:t>
      </w:r>
      <w:r>
        <w:t xml:space="preserve">., 2019, </w:t>
      </w:r>
      <w:r w:rsidRPr="006C6D39">
        <w:t xml:space="preserve">Systematic literature review and qualitative meta-analysis of </w:t>
      </w:r>
      <w:proofErr w:type="spellStart"/>
      <w:r w:rsidRPr="006C6D39">
        <w:t>Natech</w:t>
      </w:r>
      <w:proofErr w:type="spellEnd"/>
      <w:r>
        <w:t xml:space="preserve"> </w:t>
      </w:r>
      <w:r w:rsidRPr="006C6D39">
        <w:t>research in the past four decades</w:t>
      </w:r>
      <w:r>
        <w:t xml:space="preserve">, </w:t>
      </w:r>
      <w:r w:rsidRPr="006C6D39">
        <w:t>Safety Science</w:t>
      </w:r>
      <w:r>
        <w:t>, 116, 58-77.</w:t>
      </w:r>
    </w:p>
    <w:p w14:paraId="1523B5C4" w14:textId="77777777" w:rsidR="00734CB2" w:rsidRPr="00086138" w:rsidRDefault="00734CB2" w:rsidP="00734CB2">
      <w:pPr>
        <w:pStyle w:val="CETReferencetext"/>
      </w:pPr>
      <w:proofErr w:type="spellStart"/>
      <w:r w:rsidRPr="00086138">
        <w:t>Uijt</w:t>
      </w:r>
      <w:proofErr w:type="spellEnd"/>
      <w:r w:rsidRPr="00086138">
        <w:t xml:space="preserve"> de Haag PAM, Ale BJM. Guidelines for Quantitative Risk Assessment (Purple book). The Hague (NL): Committee for the Prevention of Disasters; 2005.</w:t>
      </w:r>
    </w:p>
    <w:p w14:paraId="5A86742E" w14:textId="6A851065" w:rsidR="000557B9" w:rsidRDefault="000557B9" w:rsidP="000557B9">
      <w:pPr>
        <w:pStyle w:val="CETReferencetext"/>
      </w:pPr>
      <w:r w:rsidRPr="000557B9">
        <w:t>Van Den Bosh CJH</w:t>
      </w:r>
      <w:r>
        <w:t xml:space="preserve">, 1992, </w:t>
      </w:r>
      <w:r w:rsidRPr="000557B9">
        <w:t>Methods for the Determination of Possible Damage to People and Objects Resulting from Releases of Hazardous Materials (Green Book). The Hague (NL): Committee for the Prevention of Disasters.</w:t>
      </w:r>
    </w:p>
    <w:p w14:paraId="3546916B" w14:textId="41F6AD01" w:rsidR="00086138" w:rsidRPr="00086138" w:rsidRDefault="00086138" w:rsidP="00086138">
      <w:pPr>
        <w:pStyle w:val="CETReferencetext"/>
      </w:pPr>
      <w:r w:rsidRPr="00086138">
        <w:t>Van Den Bosh CJHJH,</w:t>
      </w:r>
      <w:r w:rsidR="000557B9">
        <w:t xml:space="preserve"> 2005,</w:t>
      </w:r>
      <w:r w:rsidRPr="00086138">
        <w:t xml:space="preserve"> </w:t>
      </w:r>
      <w:proofErr w:type="spellStart"/>
      <w:r w:rsidRPr="00086138">
        <w:t>Weterings</w:t>
      </w:r>
      <w:proofErr w:type="spellEnd"/>
      <w:r w:rsidRPr="00086138">
        <w:t xml:space="preserve"> RAPM. Methods for the calculation of physical effects due to releases of hazardous materials (liquids and gases) (Yellow Book) third. The Hague (NL): Committee for the Prevention of Disasters.</w:t>
      </w:r>
    </w:p>
    <w:p w14:paraId="49AB4197" w14:textId="7314C87A" w:rsidR="00500254" w:rsidRDefault="00500254" w:rsidP="00D0766B">
      <w:pPr>
        <w:pStyle w:val="CETReferencetext"/>
        <w:rPr>
          <w:rFonts w:eastAsia="MyriadPro-Regular"/>
        </w:rPr>
      </w:pPr>
      <w:r>
        <w:rPr>
          <w:rFonts w:eastAsia="MyriadPro-Regular"/>
        </w:rPr>
        <w:t xml:space="preserve">Vitale A., 2024, Earthquake and tsunami multi-hazard risk analysis of a petrochemical plant, PhD Thesis, </w:t>
      </w:r>
      <w:r w:rsidR="007C0114">
        <w:rPr>
          <w:rFonts w:eastAsia="MyriadPro-Regular"/>
        </w:rPr>
        <w:t xml:space="preserve">Tutors: Iervolino I., </w:t>
      </w:r>
      <w:proofErr w:type="spellStart"/>
      <w:r w:rsidR="007C0114">
        <w:rPr>
          <w:rFonts w:eastAsia="MyriadPro-Regular"/>
        </w:rPr>
        <w:t>Baltzopoulos</w:t>
      </w:r>
      <w:proofErr w:type="spellEnd"/>
      <w:r w:rsidR="007C0114">
        <w:rPr>
          <w:rFonts w:eastAsia="MyriadPro-Regular"/>
        </w:rPr>
        <w:t xml:space="preserve"> G., Cito P., </w:t>
      </w:r>
      <w:r>
        <w:rPr>
          <w:rFonts w:eastAsia="MyriadPro-Regular"/>
        </w:rPr>
        <w:t>University of Naples Federico II, Naples, IT.</w:t>
      </w:r>
    </w:p>
    <w:p w14:paraId="6AAA23B4" w14:textId="5EEB53BD" w:rsidR="000557B9" w:rsidRDefault="00575E91" w:rsidP="00651ACF">
      <w:pPr>
        <w:pStyle w:val="CETReferencetext"/>
      </w:pPr>
      <w:r>
        <w:rPr>
          <w:rFonts w:eastAsia="MyriadPro-Regular"/>
        </w:rPr>
        <w:t xml:space="preserve">Volpe M., </w:t>
      </w:r>
      <w:proofErr w:type="spellStart"/>
      <w:r>
        <w:rPr>
          <w:rFonts w:eastAsia="MyriadPro-Regular"/>
        </w:rPr>
        <w:t>Lorito</w:t>
      </w:r>
      <w:proofErr w:type="spellEnd"/>
      <w:r>
        <w:rPr>
          <w:rFonts w:eastAsia="MyriadPro-Regular"/>
        </w:rPr>
        <w:t xml:space="preserve"> S., Selva J., Tonini R., Romano F., and Brizuela B., </w:t>
      </w:r>
      <w:r w:rsidR="00582BD2">
        <w:rPr>
          <w:rFonts w:eastAsia="MyriadPro-Regular"/>
        </w:rPr>
        <w:t xml:space="preserve">2019, </w:t>
      </w:r>
      <w:r w:rsidR="00651ACF" w:rsidRPr="00651ACF">
        <w:t>From regional to local SPTHA: efficient computation</w:t>
      </w:r>
      <w:r w:rsidR="00D12E59">
        <w:t xml:space="preserve"> </w:t>
      </w:r>
      <w:r w:rsidR="00651ACF" w:rsidRPr="00651ACF">
        <w:t>of probabilistic tsunami inundation maps</w:t>
      </w:r>
      <w:r w:rsidR="00D12E59">
        <w:t xml:space="preserve"> </w:t>
      </w:r>
      <w:r w:rsidR="00651ACF" w:rsidRPr="00651ACF">
        <w:t>addressing near-field sources</w:t>
      </w:r>
      <w:r w:rsidR="00D12E59">
        <w:t>, Natural hazards and Earth System Sciences, 19, 455-469.</w:t>
      </w:r>
    </w:p>
    <w:sectPr w:rsidR="000557B9" w:rsidSect="00314CF5">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572043" w14:textId="77777777" w:rsidR="002A1FDF" w:rsidRDefault="002A1FDF" w:rsidP="004F5E36">
      <w:r>
        <w:separator/>
      </w:r>
    </w:p>
  </w:endnote>
  <w:endnote w:type="continuationSeparator" w:id="0">
    <w:p w14:paraId="6A5C2BE0" w14:textId="77777777" w:rsidR="002A1FDF" w:rsidRDefault="002A1FDF" w:rsidP="004F5E36">
      <w:r>
        <w:continuationSeparator/>
      </w:r>
    </w:p>
  </w:endnote>
  <w:endnote w:type="continuationNotice" w:id="1">
    <w:p w14:paraId="06999BFC" w14:textId="77777777" w:rsidR="002A1FDF" w:rsidRDefault="002A1FD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yriadPro-Regular">
    <w:altName w:val="Yu Gothic"/>
    <w:charset w:val="80"/>
    <w:family w:val="auto"/>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D31D2C" w14:textId="77777777" w:rsidR="002A1FDF" w:rsidRDefault="002A1FDF" w:rsidP="004F5E36">
      <w:r>
        <w:separator/>
      </w:r>
    </w:p>
  </w:footnote>
  <w:footnote w:type="continuationSeparator" w:id="0">
    <w:p w14:paraId="3A6331D4" w14:textId="77777777" w:rsidR="002A1FDF" w:rsidRDefault="002A1FDF" w:rsidP="004F5E36">
      <w:r>
        <w:continuationSeparator/>
      </w:r>
    </w:p>
  </w:footnote>
  <w:footnote w:type="continuationNotice" w:id="1">
    <w:p w14:paraId="3A3375C2" w14:textId="77777777" w:rsidR="002A1FDF" w:rsidRDefault="002A1FDF">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84789522"/>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27452EF5"/>
    <w:multiLevelType w:val="hybridMultilevel"/>
    <w:tmpl w:val="5E182D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0D5382F"/>
    <w:multiLevelType w:val="hybridMultilevel"/>
    <w:tmpl w:val="5A82A4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0"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6F585F44"/>
    <w:multiLevelType w:val="multilevel"/>
    <w:tmpl w:val="567899A6"/>
    <w:lvl w:ilvl="0">
      <w:start w:val="1"/>
      <w:numFmt w:val="upperRoman"/>
      <w:lvlText w:val="Articolo %1."/>
      <w:lvlJc w:val="left"/>
      <w:pPr>
        <w:ind w:left="0" w:firstLine="0"/>
      </w:pPr>
      <w:rPr>
        <w:rFonts w:hint="default"/>
      </w:rPr>
    </w:lvl>
    <w:lvl w:ilvl="1">
      <w:start w:val="1"/>
      <w:numFmt w:val="decimalZero"/>
      <w:isLgl/>
      <w:lvlText w:val="Sezione %1.%2"/>
      <w:lvlJc w:val="left"/>
      <w:pPr>
        <w:ind w:left="0" w:firstLine="0"/>
      </w:pPr>
      <w:rPr>
        <w:rFonts w:hint="default"/>
      </w:rPr>
    </w:lvl>
    <w:lvl w:ilvl="2">
      <w:start w:val="1"/>
      <w:numFmt w:val="decimal"/>
      <w:lvlText w:val="(%3)"/>
      <w:lvlJc w:val="left"/>
      <w:pPr>
        <w:ind w:left="0" w:firstLine="0"/>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4" w15:restartNumberingAfterBreak="0">
    <w:nsid w:val="72DE0D17"/>
    <w:multiLevelType w:val="hybridMultilevel"/>
    <w:tmpl w:val="272882AC"/>
    <w:lvl w:ilvl="0" w:tplc="EFFC35F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97224859">
    <w:abstractNumId w:val="10"/>
  </w:num>
  <w:num w:numId="2" w16cid:durableId="257325843">
    <w:abstractNumId w:val="8"/>
  </w:num>
  <w:num w:numId="3" w16cid:durableId="948658915">
    <w:abstractNumId w:val="3"/>
  </w:num>
  <w:num w:numId="4" w16cid:durableId="126288405">
    <w:abstractNumId w:val="2"/>
  </w:num>
  <w:num w:numId="5" w16cid:durableId="1684239937">
    <w:abstractNumId w:val="1"/>
  </w:num>
  <w:num w:numId="6" w16cid:durableId="15080542">
    <w:abstractNumId w:val="0"/>
  </w:num>
  <w:num w:numId="7" w16cid:durableId="1978028680">
    <w:abstractNumId w:val="9"/>
  </w:num>
  <w:num w:numId="8" w16cid:durableId="1452284740">
    <w:abstractNumId w:val="7"/>
  </w:num>
  <w:num w:numId="9" w16cid:durableId="1832790797">
    <w:abstractNumId w:val="6"/>
  </w:num>
  <w:num w:numId="10" w16cid:durableId="713624967">
    <w:abstractNumId w:val="5"/>
  </w:num>
  <w:num w:numId="11" w16cid:durableId="1065225711">
    <w:abstractNumId w:val="4"/>
  </w:num>
  <w:num w:numId="12" w16cid:durableId="2129856449">
    <w:abstractNumId w:val="19"/>
  </w:num>
  <w:num w:numId="13" w16cid:durableId="679890921">
    <w:abstractNumId w:val="13"/>
  </w:num>
  <w:num w:numId="14" w16cid:durableId="1474059098">
    <w:abstractNumId w:val="20"/>
  </w:num>
  <w:num w:numId="15" w16cid:durableId="1492676170">
    <w:abstractNumId w:val="22"/>
  </w:num>
  <w:num w:numId="16" w16cid:durableId="1473061005">
    <w:abstractNumId w:val="21"/>
  </w:num>
  <w:num w:numId="17" w16cid:durableId="352651200">
    <w:abstractNumId w:val="12"/>
  </w:num>
  <w:num w:numId="18" w16cid:durableId="258410309">
    <w:abstractNumId w:val="13"/>
    <w:lvlOverride w:ilvl="0">
      <w:startOverride w:val="1"/>
    </w:lvlOverride>
  </w:num>
  <w:num w:numId="19" w16cid:durableId="508175015">
    <w:abstractNumId w:val="18"/>
  </w:num>
  <w:num w:numId="20" w16cid:durableId="1796439135">
    <w:abstractNumId w:val="16"/>
  </w:num>
  <w:num w:numId="21" w16cid:durableId="643042225">
    <w:abstractNumId w:val="15"/>
  </w:num>
  <w:num w:numId="22" w16cid:durableId="1819568818">
    <w:abstractNumId w:val="14"/>
  </w:num>
  <w:num w:numId="23" w16cid:durableId="1836413389">
    <w:abstractNumId w:val="17"/>
  </w:num>
  <w:num w:numId="24" w16cid:durableId="2017413350">
    <w:abstractNumId w:val="24"/>
  </w:num>
  <w:num w:numId="25" w16cid:durableId="313530300">
    <w:abstractNumId w:val="11"/>
  </w:num>
  <w:num w:numId="26" w16cid:durableId="128130337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TI0NzezsDA3M7MwMTJW0lEKTi0uzszPAykwNKwFACte/oUtAAAA"/>
  </w:docVars>
  <w:rsids>
    <w:rsidRoot w:val="000E414A"/>
    <w:rsid w:val="000002AC"/>
    <w:rsid w:val="000003CB"/>
    <w:rsid w:val="0000063D"/>
    <w:rsid w:val="00000A60"/>
    <w:rsid w:val="000027C0"/>
    <w:rsid w:val="000034EB"/>
    <w:rsid w:val="0000352F"/>
    <w:rsid w:val="000052FB"/>
    <w:rsid w:val="00005D9B"/>
    <w:rsid w:val="00006196"/>
    <w:rsid w:val="00007801"/>
    <w:rsid w:val="00010CFD"/>
    <w:rsid w:val="0001102F"/>
    <w:rsid w:val="0001119F"/>
    <w:rsid w:val="000117CB"/>
    <w:rsid w:val="000125EE"/>
    <w:rsid w:val="00013695"/>
    <w:rsid w:val="00013E64"/>
    <w:rsid w:val="000159B8"/>
    <w:rsid w:val="000163EC"/>
    <w:rsid w:val="00017983"/>
    <w:rsid w:val="000179C7"/>
    <w:rsid w:val="00017F80"/>
    <w:rsid w:val="00022C33"/>
    <w:rsid w:val="000234DA"/>
    <w:rsid w:val="000235CA"/>
    <w:rsid w:val="0003148D"/>
    <w:rsid w:val="00031EEC"/>
    <w:rsid w:val="00035F3E"/>
    <w:rsid w:val="0003715F"/>
    <w:rsid w:val="00037464"/>
    <w:rsid w:val="00037E6C"/>
    <w:rsid w:val="00040CA0"/>
    <w:rsid w:val="00041FE2"/>
    <w:rsid w:val="000440EC"/>
    <w:rsid w:val="00045143"/>
    <w:rsid w:val="00045C5C"/>
    <w:rsid w:val="0004644E"/>
    <w:rsid w:val="0004661F"/>
    <w:rsid w:val="00047711"/>
    <w:rsid w:val="00050131"/>
    <w:rsid w:val="000501D9"/>
    <w:rsid w:val="00051566"/>
    <w:rsid w:val="0005232A"/>
    <w:rsid w:val="00054A96"/>
    <w:rsid w:val="000557A0"/>
    <w:rsid w:val="000557B9"/>
    <w:rsid w:val="00057C99"/>
    <w:rsid w:val="00060EBA"/>
    <w:rsid w:val="00061869"/>
    <w:rsid w:val="00062A9A"/>
    <w:rsid w:val="00065058"/>
    <w:rsid w:val="000654D1"/>
    <w:rsid w:val="0006621A"/>
    <w:rsid w:val="00066E5F"/>
    <w:rsid w:val="0007290C"/>
    <w:rsid w:val="00073088"/>
    <w:rsid w:val="000730A1"/>
    <w:rsid w:val="0007417D"/>
    <w:rsid w:val="000761A9"/>
    <w:rsid w:val="00077D56"/>
    <w:rsid w:val="0008149A"/>
    <w:rsid w:val="0008212A"/>
    <w:rsid w:val="0008228D"/>
    <w:rsid w:val="00082EC1"/>
    <w:rsid w:val="00083A06"/>
    <w:rsid w:val="00086138"/>
    <w:rsid w:val="00086603"/>
    <w:rsid w:val="00086C39"/>
    <w:rsid w:val="00087831"/>
    <w:rsid w:val="0009092F"/>
    <w:rsid w:val="00090A91"/>
    <w:rsid w:val="000948BF"/>
    <w:rsid w:val="000955E6"/>
    <w:rsid w:val="00095819"/>
    <w:rsid w:val="000958A7"/>
    <w:rsid w:val="000972F1"/>
    <w:rsid w:val="0009791D"/>
    <w:rsid w:val="000A03B2"/>
    <w:rsid w:val="000A106F"/>
    <w:rsid w:val="000A1089"/>
    <w:rsid w:val="000A379B"/>
    <w:rsid w:val="000A422B"/>
    <w:rsid w:val="000A5D7B"/>
    <w:rsid w:val="000A7C75"/>
    <w:rsid w:val="000B0EF2"/>
    <w:rsid w:val="000B0F34"/>
    <w:rsid w:val="000B21F7"/>
    <w:rsid w:val="000B25FE"/>
    <w:rsid w:val="000B341B"/>
    <w:rsid w:val="000B47B4"/>
    <w:rsid w:val="000B6FA2"/>
    <w:rsid w:val="000B7BAE"/>
    <w:rsid w:val="000B7CA1"/>
    <w:rsid w:val="000C092B"/>
    <w:rsid w:val="000C1057"/>
    <w:rsid w:val="000C1363"/>
    <w:rsid w:val="000C30BF"/>
    <w:rsid w:val="000C36FE"/>
    <w:rsid w:val="000C3B7C"/>
    <w:rsid w:val="000C3F5B"/>
    <w:rsid w:val="000C431A"/>
    <w:rsid w:val="000C4380"/>
    <w:rsid w:val="000C4EBF"/>
    <w:rsid w:val="000C61EC"/>
    <w:rsid w:val="000C721E"/>
    <w:rsid w:val="000C7973"/>
    <w:rsid w:val="000C7F37"/>
    <w:rsid w:val="000D0268"/>
    <w:rsid w:val="000D0B8E"/>
    <w:rsid w:val="000D2B83"/>
    <w:rsid w:val="000D34BE"/>
    <w:rsid w:val="000D3727"/>
    <w:rsid w:val="000D419B"/>
    <w:rsid w:val="000D4ABA"/>
    <w:rsid w:val="000D5B32"/>
    <w:rsid w:val="000D5C7C"/>
    <w:rsid w:val="000D655F"/>
    <w:rsid w:val="000D73E2"/>
    <w:rsid w:val="000D7F2C"/>
    <w:rsid w:val="000E102F"/>
    <w:rsid w:val="000E1306"/>
    <w:rsid w:val="000E21C8"/>
    <w:rsid w:val="000E33C4"/>
    <w:rsid w:val="000E36F1"/>
    <w:rsid w:val="000E3A73"/>
    <w:rsid w:val="000E414A"/>
    <w:rsid w:val="000E4238"/>
    <w:rsid w:val="000E63DA"/>
    <w:rsid w:val="000E6991"/>
    <w:rsid w:val="000E74D1"/>
    <w:rsid w:val="000E77F7"/>
    <w:rsid w:val="000F093C"/>
    <w:rsid w:val="000F214C"/>
    <w:rsid w:val="000F48D3"/>
    <w:rsid w:val="000F5A08"/>
    <w:rsid w:val="000F65DA"/>
    <w:rsid w:val="000F787B"/>
    <w:rsid w:val="001006E2"/>
    <w:rsid w:val="00101DD1"/>
    <w:rsid w:val="00102C63"/>
    <w:rsid w:val="00106B28"/>
    <w:rsid w:val="00107891"/>
    <w:rsid w:val="001109D5"/>
    <w:rsid w:val="00110A10"/>
    <w:rsid w:val="00110BC2"/>
    <w:rsid w:val="0011459A"/>
    <w:rsid w:val="0012021B"/>
    <w:rsid w:val="001203AD"/>
    <w:rsid w:val="0012091F"/>
    <w:rsid w:val="00122511"/>
    <w:rsid w:val="001235EF"/>
    <w:rsid w:val="001236D1"/>
    <w:rsid w:val="0012481D"/>
    <w:rsid w:val="001257FA"/>
    <w:rsid w:val="00126BC2"/>
    <w:rsid w:val="001279CE"/>
    <w:rsid w:val="00130333"/>
    <w:rsid w:val="001307DD"/>
    <w:rsid w:val="001308B6"/>
    <w:rsid w:val="0013121F"/>
    <w:rsid w:val="00131FE6"/>
    <w:rsid w:val="0013263F"/>
    <w:rsid w:val="00132C2C"/>
    <w:rsid w:val="001331DF"/>
    <w:rsid w:val="00133DCD"/>
    <w:rsid w:val="00134DE4"/>
    <w:rsid w:val="00137A67"/>
    <w:rsid w:val="0014034D"/>
    <w:rsid w:val="0014136A"/>
    <w:rsid w:val="001416F4"/>
    <w:rsid w:val="00142224"/>
    <w:rsid w:val="00142638"/>
    <w:rsid w:val="00142720"/>
    <w:rsid w:val="001433DB"/>
    <w:rsid w:val="00144D16"/>
    <w:rsid w:val="00144E73"/>
    <w:rsid w:val="00144F42"/>
    <w:rsid w:val="001452B1"/>
    <w:rsid w:val="001462C5"/>
    <w:rsid w:val="0014642D"/>
    <w:rsid w:val="001467FD"/>
    <w:rsid w:val="00147B5C"/>
    <w:rsid w:val="00147E32"/>
    <w:rsid w:val="00147F6B"/>
    <w:rsid w:val="00150652"/>
    <w:rsid w:val="00150E59"/>
    <w:rsid w:val="0015143E"/>
    <w:rsid w:val="001526C2"/>
    <w:rsid w:val="00152DE3"/>
    <w:rsid w:val="00154DD9"/>
    <w:rsid w:val="00155343"/>
    <w:rsid w:val="00156BCF"/>
    <w:rsid w:val="00160A72"/>
    <w:rsid w:val="001618AC"/>
    <w:rsid w:val="00161C85"/>
    <w:rsid w:val="00161E1B"/>
    <w:rsid w:val="00162C18"/>
    <w:rsid w:val="00163641"/>
    <w:rsid w:val="0016413F"/>
    <w:rsid w:val="0016421E"/>
    <w:rsid w:val="00164479"/>
    <w:rsid w:val="00164B91"/>
    <w:rsid w:val="00164CF9"/>
    <w:rsid w:val="00165805"/>
    <w:rsid w:val="00165A63"/>
    <w:rsid w:val="001667A6"/>
    <w:rsid w:val="00167A1E"/>
    <w:rsid w:val="00170000"/>
    <w:rsid w:val="00170FA5"/>
    <w:rsid w:val="001718E5"/>
    <w:rsid w:val="001723EB"/>
    <w:rsid w:val="00175556"/>
    <w:rsid w:val="00176F55"/>
    <w:rsid w:val="00177B4F"/>
    <w:rsid w:val="00180602"/>
    <w:rsid w:val="00182AE2"/>
    <w:rsid w:val="00182F78"/>
    <w:rsid w:val="001834DF"/>
    <w:rsid w:val="00183723"/>
    <w:rsid w:val="00183DF9"/>
    <w:rsid w:val="00184AD6"/>
    <w:rsid w:val="001851D0"/>
    <w:rsid w:val="0018585C"/>
    <w:rsid w:val="0018663E"/>
    <w:rsid w:val="00187078"/>
    <w:rsid w:val="00191C7B"/>
    <w:rsid w:val="0019375A"/>
    <w:rsid w:val="00193940"/>
    <w:rsid w:val="00194C84"/>
    <w:rsid w:val="00195A46"/>
    <w:rsid w:val="0019645B"/>
    <w:rsid w:val="001A0FE2"/>
    <w:rsid w:val="001A441C"/>
    <w:rsid w:val="001A4AF7"/>
    <w:rsid w:val="001A4B04"/>
    <w:rsid w:val="001A4C34"/>
    <w:rsid w:val="001A5465"/>
    <w:rsid w:val="001A7B40"/>
    <w:rsid w:val="001B0349"/>
    <w:rsid w:val="001B1E93"/>
    <w:rsid w:val="001B330E"/>
    <w:rsid w:val="001B3B2A"/>
    <w:rsid w:val="001B3CBA"/>
    <w:rsid w:val="001B4611"/>
    <w:rsid w:val="001B65C1"/>
    <w:rsid w:val="001B6B1E"/>
    <w:rsid w:val="001B6D42"/>
    <w:rsid w:val="001B7555"/>
    <w:rsid w:val="001C04D1"/>
    <w:rsid w:val="001C0845"/>
    <w:rsid w:val="001C11D5"/>
    <w:rsid w:val="001C1214"/>
    <w:rsid w:val="001C21E7"/>
    <w:rsid w:val="001C2A6A"/>
    <w:rsid w:val="001C4525"/>
    <w:rsid w:val="001C5302"/>
    <w:rsid w:val="001C5AFA"/>
    <w:rsid w:val="001C684B"/>
    <w:rsid w:val="001C6FF8"/>
    <w:rsid w:val="001C7C37"/>
    <w:rsid w:val="001D0CFB"/>
    <w:rsid w:val="001D32A3"/>
    <w:rsid w:val="001D3612"/>
    <w:rsid w:val="001D53FC"/>
    <w:rsid w:val="001D6ACF"/>
    <w:rsid w:val="001E1B38"/>
    <w:rsid w:val="001E283F"/>
    <w:rsid w:val="001E4017"/>
    <w:rsid w:val="001E4B71"/>
    <w:rsid w:val="001E7B75"/>
    <w:rsid w:val="001F1931"/>
    <w:rsid w:val="001F1C3B"/>
    <w:rsid w:val="001F280C"/>
    <w:rsid w:val="001F3F49"/>
    <w:rsid w:val="001F42A5"/>
    <w:rsid w:val="001F4CF1"/>
    <w:rsid w:val="001F6F69"/>
    <w:rsid w:val="001F7AFB"/>
    <w:rsid w:val="001F7B9D"/>
    <w:rsid w:val="00201C93"/>
    <w:rsid w:val="00202FF9"/>
    <w:rsid w:val="00206054"/>
    <w:rsid w:val="002068AD"/>
    <w:rsid w:val="002074EF"/>
    <w:rsid w:val="002108BD"/>
    <w:rsid w:val="0021092F"/>
    <w:rsid w:val="00211EA7"/>
    <w:rsid w:val="00214215"/>
    <w:rsid w:val="002174CD"/>
    <w:rsid w:val="0022021A"/>
    <w:rsid w:val="00220C15"/>
    <w:rsid w:val="002224B4"/>
    <w:rsid w:val="002229BE"/>
    <w:rsid w:val="002237AB"/>
    <w:rsid w:val="002237FE"/>
    <w:rsid w:val="00223D07"/>
    <w:rsid w:val="00224447"/>
    <w:rsid w:val="002245A7"/>
    <w:rsid w:val="0022514A"/>
    <w:rsid w:val="0022722A"/>
    <w:rsid w:val="0022753D"/>
    <w:rsid w:val="002278B4"/>
    <w:rsid w:val="0023070E"/>
    <w:rsid w:val="0023109D"/>
    <w:rsid w:val="002328D5"/>
    <w:rsid w:val="00234A71"/>
    <w:rsid w:val="0023527F"/>
    <w:rsid w:val="00237B52"/>
    <w:rsid w:val="00240FAE"/>
    <w:rsid w:val="002429BD"/>
    <w:rsid w:val="002447EF"/>
    <w:rsid w:val="00245BA9"/>
    <w:rsid w:val="0024658C"/>
    <w:rsid w:val="00246F14"/>
    <w:rsid w:val="002508B4"/>
    <w:rsid w:val="00251278"/>
    <w:rsid w:val="00251370"/>
    <w:rsid w:val="00251550"/>
    <w:rsid w:val="00251A50"/>
    <w:rsid w:val="00251AF7"/>
    <w:rsid w:val="00251B91"/>
    <w:rsid w:val="00252B04"/>
    <w:rsid w:val="002556EB"/>
    <w:rsid w:val="00255709"/>
    <w:rsid w:val="00255900"/>
    <w:rsid w:val="00256BED"/>
    <w:rsid w:val="00256CC4"/>
    <w:rsid w:val="00263B05"/>
    <w:rsid w:val="0026438B"/>
    <w:rsid w:val="002644C8"/>
    <w:rsid w:val="002648C0"/>
    <w:rsid w:val="0026574F"/>
    <w:rsid w:val="00266941"/>
    <w:rsid w:val="00266BA4"/>
    <w:rsid w:val="00270C86"/>
    <w:rsid w:val="00271A9A"/>
    <w:rsid w:val="0027221A"/>
    <w:rsid w:val="00272FF7"/>
    <w:rsid w:val="00273B38"/>
    <w:rsid w:val="00273B3A"/>
    <w:rsid w:val="00275153"/>
    <w:rsid w:val="00275B61"/>
    <w:rsid w:val="00280FAF"/>
    <w:rsid w:val="0028148A"/>
    <w:rsid w:val="0028250D"/>
    <w:rsid w:val="00282656"/>
    <w:rsid w:val="002829A9"/>
    <w:rsid w:val="00282A90"/>
    <w:rsid w:val="002849FB"/>
    <w:rsid w:val="00285F08"/>
    <w:rsid w:val="00291042"/>
    <w:rsid w:val="00291723"/>
    <w:rsid w:val="00293011"/>
    <w:rsid w:val="002944F5"/>
    <w:rsid w:val="002953F4"/>
    <w:rsid w:val="00296B83"/>
    <w:rsid w:val="002A1FDF"/>
    <w:rsid w:val="002A226E"/>
    <w:rsid w:val="002A2C42"/>
    <w:rsid w:val="002A4442"/>
    <w:rsid w:val="002A49BD"/>
    <w:rsid w:val="002A4A94"/>
    <w:rsid w:val="002A5530"/>
    <w:rsid w:val="002A7254"/>
    <w:rsid w:val="002B2BC8"/>
    <w:rsid w:val="002B3E4B"/>
    <w:rsid w:val="002B4015"/>
    <w:rsid w:val="002B78CE"/>
    <w:rsid w:val="002C02A5"/>
    <w:rsid w:val="002C02BC"/>
    <w:rsid w:val="002C289E"/>
    <w:rsid w:val="002C2FB6"/>
    <w:rsid w:val="002C30CD"/>
    <w:rsid w:val="002C3609"/>
    <w:rsid w:val="002C39B0"/>
    <w:rsid w:val="002C69B2"/>
    <w:rsid w:val="002D0720"/>
    <w:rsid w:val="002D08F8"/>
    <w:rsid w:val="002D1657"/>
    <w:rsid w:val="002D20D5"/>
    <w:rsid w:val="002D2C85"/>
    <w:rsid w:val="002D35D8"/>
    <w:rsid w:val="002D588E"/>
    <w:rsid w:val="002D6B09"/>
    <w:rsid w:val="002E0154"/>
    <w:rsid w:val="002E0394"/>
    <w:rsid w:val="002E0DAA"/>
    <w:rsid w:val="002E1182"/>
    <w:rsid w:val="002E5FA7"/>
    <w:rsid w:val="002F0069"/>
    <w:rsid w:val="002F3309"/>
    <w:rsid w:val="002F4D73"/>
    <w:rsid w:val="002F7534"/>
    <w:rsid w:val="002F76FB"/>
    <w:rsid w:val="002F7CC9"/>
    <w:rsid w:val="003006C1"/>
    <w:rsid w:val="003008CE"/>
    <w:rsid w:val="00300965"/>
    <w:rsid w:val="003009B7"/>
    <w:rsid w:val="00300E56"/>
    <w:rsid w:val="0030189C"/>
    <w:rsid w:val="00302367"/>
    <w:rsid w:val="00302A8B"/>
    <w:rsid w:val="00303C36"/>
    <w:rsid w:val="0030469C"/>
    <w:rsid w:val="003056A1"/>
    <w:rsid w:val="00305DF7"/>
    <w:rsid w:val="0030641B"/>
    <w:rsid w:val="003064FC"/>
    <w:rsid w:val="00307809"/>
    <w:rsid w:val="00310009"/>
    <w:rsid w:val="0031071C"/>
    <w:rsid w:val="003128CC"/>
    <w:rsid w:val="00312992"/>
    <w:rsid w:val="00314AC2"/>
    <w:rsid w:val="00314CF5"/>
    <w:rsid w:val="003166E4"/>
    <w:rsid w:val="00316B8A"/>
    <w:rsid w:val="00317D5D"/>
    <w:rsid w:val="00320086"/>
    <w:rsid w:val="00321CA6"/>
    <w:rsid w:val="00322C27"/>
    <w:rsid w:val="00323763"/>
    <w:rsid w:val="003244E9"/>
    <w:rsid w:val="003254A5"/>
    <w:rsid w:val="00326CDC"/>
    <w:rsid w:val="0032702B"/>
    <w:rsid w:val="00327CB7"/>
    <w:rsid w:val="003309C7"/>
    <w:rsid w:val="0033104C"/>
    <w:rsid w:val="003336B4"/>
    <w:rsid w:val="003346B7"/>
    <w:rsid w:val="00334C09"/>
    <w:rsid w:val="0033675E"/>
    <w:rsid w:val="00337549"/>
    <w:rsid w:val="0033770F"/>
    <w:rsid w:val="003409A1"/>
    <w:rsid w:val="00340E0A"/>
    <w:rsid w:val="00341FDC"/>
    <w:rsid w:val="00342778"/>
    <w:rsid w:val="00342785"/>
    <w:rsid w:val="00342A82"/>
    <w:rsid w:val="00351BA1"/>
    <w:rsid w:val="0035457E"/>
    <w:rsid w:val="00354679"/>
    <w:rsid w:val="00354D6E"/>
    <w:rsid w:val="003553F2"/>
    <w:rsid w:val="00355F77"/>
    <w:rsid w:val="00356930"/>
    <w:rsid w:val="0035706A"/>
    <w:rsid w:val="003608DB"/>
    <w:rsid w:val="00360B4E"/>
    <w:rsid w:val="00360EA0"/>
    <w:rsid w:val="00361815"/>
    <w:rsid w:val="00364387"/>
    <w:rsid w:val="003644CE"/>
    <w:rsid w:val="00370CEA"/>
    <w:rsid w:val="003723D4"/>
    <w:rsid w:val="0037447A"/>
    <w:rsid w:val="00374E7B"/>
    <w:rsid w:val="00375A08"/>
    <w:rsid w:val="0037630A"/>
    <w:rsid w:val="00377DD3"/>
    <w:rsid w:val="003810B9"/>
    <w:rsid w:val="0038167D"/>
    <w:rsid w:val="00381905"/>
    <w:rsid w:val="0038233D"/>
    <w:rsid w:val="00382542"/>
    <w:rsid w:val="00383285"/>
    <w:rsid w:val="00384CC8"/>
    <w:rsid w:val="00384E32"/>
    <w:rsid w:val="0038628C"/>
    <w:rsid w:val="003871FD"/>
    <w:rsid w:val="00387849"/>
    <w:rsid w:val="00387F05"/>
    <w:rsid w:val="0039131F"/>
    <w:rsid w:val="00393553"/>
    <w:rsid w:val="00393A42"/>
    <w:rsid w:val="003943BF"/>
    <w:rsid w:val="003948C1"/>
    <w:rsid w:val="00396DB4"/>
    <w:rsid w:val="003A0B4E"/>
    <w:rsid w:val="003A1E30"/>
    <w:rsid w:val="003A2829"/>
    <w:rsid w:val="003A38D5"/>
    <w:rsid w:val="003A5CE8"/>
    <w:rsid w:val="003A64CD"/>
    <w:rsid w:val="003A7D1C"/>
    <w:rsid w:val="003B0DE6"/>
    <w:rsid w:val="003B2D46"/>
    <w:rsid w:val="003B304B"/>
    <w:rsid w:val="003B3146"/>
    <w:rsid w:val="003B43CC"/>
    <w:rsid w:val="003B43D3"/>
    <w:rsid w:val="003B4E0D"/>
    <w:rsid w:val="003B7A18"/>
    <w:rsid w:val="003C0F52"/>
    <w:rsid w:val="003C261B"/>
    <w:rsid w:val="003C3970"/>
    <w:rsid w:val="003C4A09"/>
    <w:rsid w:val="003C5564"/>
    <w:rsid w:val="003D451A"/>
    <w:rsid w:val="003D6FDF"/>
    <w:rsid w:val="003D7B15"/>
    <w:rsid w:val="003E10C5"/>
    <w:rsid w:val="003E3552"/>
    <w:rsid w:val="003E38CE"/>
    <w:rsid w:val="003E7BAD"/>
    <w:rsid w:val="003E7EFC"/>
    <w:rsid w:val="003E7FCA"/>
    <w:rsid w:val="003F000C"/>
    <w:rsid w:val="003F015E"/>
    <w:rsid w:val="003F4997"/>
    <w:rsid w:val="003F49A0"/>
    <w:rsid w:val="00400414"/>
    <w:rsid w:val="00402327"/>
    <w:rsid w:val="00402799"/>
    <w:rsid w:val="00402922"/>
    <w:rsid w:val="004044AF"/>
    <w:rsid w:val="00404845"/>
    <w:rsid w:val="00405FD2"/>
    <w:rsid w:val="00410741"/>
    <w:rsid w:val="00412641"/>
    <w:rsid w:val="00412F79"/>
    <w:rsid w:val="00413983"/>
    <w:rsid w:val="0041398F"/>
    <w:rsid w:val="0041446B"/>
    <w:rsid w:val="00414CDB"/>
    <w:rsid w:val="0041519A"/>
    <w:rsid w:val="00416C43"/>
    <w:rsid w:val="00417D0A"/>
    <w:rsid w:val="00420841"/>
    <w:rsid w:val="00420B3F"/>
    <w:rsid w:val="00420D20"/>
    <w:rsid w:val="0042163A"/>
    <w:rsid w:val="00423A70"/>
    <w:rsid w:val="004243AB"/>
    <w:rsid w:val="00424611"/>
    <w:rsid w:val="0042582A"/>
    <w:rsid w:val="00425DB8"/>
    <w:rsid w:val="00427769"/>
    <w:rsid w:val="0043168A"/>
    <w:rsid w:val="00431D4B"/>
    <w:rsid w:val="00431E1C"/>
    <w:rsid w:val="004345F7"/>
    <w:rsid w:val="00434D49"/>
    <w:rsid w:val="00436D5F"/>
    <w:rsid w:val="004374CC"/>
    <w:rsid w:val="00437B70"/>
    <w:rsid w:val="00441EAF"/>
    <w:rsid w:val="0044212F"/>
    <w:rsid w:val="00442BF8"/>
    <w:rsid w:val="0044329C"/>
    <w:rsid w:val="004467FC"/>
    <w:rsid w:val="00447BF1"/>
    <w:rsid w:val="00447E94"/>
    <w:rsid w:val="00450A80"/>
    <w:rsid w:val="00451025"/>
    <w:rsid w:val="00452A13"/>
    <w:rsid w:val="004534B6"/>
    <w:rsid w:val="00453E24"/>
    <w:rsid w:val="004549FE"/>
    <w:rsid w:val="004562E0"/>
    <w:rsid w:val="00457324"/>
    <w:rsid w:val="00457456"/>
    <w:rsid w:val="004577FE"/>
    <w:rsid w:val="00457B9C"/>
    <w:rsid w:val="004614EE"/>
    <w:rsid w:val="0046164A"/>
    <w:rsid w:val="004628D2"/>
    <w:rsid w:val="00462949"/>
    <w:rsid w:val="00462DCD"/>
    <w:rsid w:val="00463801"/>
    <w:rsid w:val="004645D9"/>
    <w:rsid w:val="004648AD"/>
    <w:rsid w:val="00465B76"/>
    <w:rsid w:val="00465E34"/>
    <w:rsid w:val="00466509"/>
    <w:rsid w:val="004703A9"/>
    <w:rsid w:val="0047192F"/>
    <w:rsid w:val="00471E5B"/>
    <w:rsid w:val="00472667"/>
    <w:rsid w:val="00472E9F"/>
    <w:rsid w:val="004734C7"/>
    <w:rsid w:val="004738A6"/>
    <w:rsid w:val="00474474"/>
    <w:rsid w:val="00474735"/>
    <w:rsid w:val="004752C5"/>
    <w:rsid w:val="004758DB"/>
    <w:rsid w:val="004760DE"/>
    <w:rsid w:val="004763D7"/>
    <w:rsid w:val="00476A53"/>
    <w:rsid w:val="0047713A"/>
    <w:rsid w:val="00477904"/>
    <w:rsid w:val="0048060F"/>
    <w:rsid w:val="00480D45"/>
    <w:rsid w:val="0048279F"/>
    <w:rsid w:val="0048417A"/>
    <w:rsid w:val="00484818"/>
    <w:rsid w:val="00485A16"/>
    <w:rsid w:val="00487449"/>
    <w:rsid w:val="00490471"/>
    <w:rsid w:val="004910F7"/>
    <w:rsid w:val="00492232"/>
    <w:rsid w:val="004922B4"/>
    <w:rsid w:val="00492D3D"/>
    <w:rsid w:val="00493138"/>
    <w:rsid w:val="004944BE"/>
    <w:rsid w:val="004974C5"/>
    <w:rsid w:val="00497779"/>
    <w:rsid w:val="00497BAC"/>
    <w:rsid w:val="00497EC1"/>
    <w:rsid w:val="004A004E"/>
    <w:rsid w:val="004A031A"/>
    <w:rsid w:val="004A144D"/>
    <w:rsid w:val="004A1AE6"/>
    <w:rsid w:val="004A24CF"/>
    <w:rsid w:val="004A4E23"/>
    <w:rsid w:val="004B1475"/>
    <w:rsid w:val="004B19E8"/>
    <w:rsid w:val="004B437C"/>
    <w:rsid w:val="004B49AB"/>
    <w:rsid w:val="004B5152"/>
    <w:rsid w:val="004B578E"/>
    <w:rsid w:val="004B57E6"/>
    <w:rsid w:val="004B7AE7"/>
    <w:rsid w:val="004C0405"/>
    <w:rsid w:val="004C1011"/>
    <w:rsid w:val="004C17FB"/>
    <w:rsid w:val="004C3015"/>
    <w:rsid w:val="004C36E1"/>
    <w:rsid w:val="004C3D1D"/>
    <w:rsid w:val="004C4A2D"/>
    <w:rsid w:val="004C657A"/>
    <w:rsid w:val="004C7913"/>
    <w:rsid w:val="004D1A56"/>
    <w:rsid w:val="004D1E5C"/>
    <w:rsid w:val="004D24CE"/>
    <w:rsid w:val="004D40A2"/>
    <w:rsid w:val="004D46DB"/>
    <w:rsid w:val="004D5C63"/>
    <w:rsid w:val="004D7D87"/>
    <w:rsid w:val="004E1C71"/>
    <w:rsid w:val="004E20BA"/>
    <w:rsid w:val="004E4DD6"/>
    <w:rsid w:val="004E5078"/>
    <w:rsid w:val="004F05A3"/>
    <w:rsid w:val="004F2758"/>
    <w:rsid w:val="004F2B43"/>
    <w:rsid w:val="004F3C3D"/>
    <w:rsid w:val="004F3D33"/>
    <w:rsid w:val="004F5E36"/>
    <w:rsid w:val="00500254"/>
    <w:rsid w:val="00501047"/>
    <w:rsid w:val="00501823"/>
    <w:rsid w:val="0050222E"/>
    <w:rsid w:val="00502F0C"/>
    <w:rsid w:val="005030B5"/>
    <w:rsid w:val="005030F7"/>
    <w:rsid w:val="0050349E"/>
    <w:rsid w:val="00503A38"/>
    <w:rsid w:val="005048D8"/>
    <w:rsid w:val="00504CE5"/>
    <w:rsid w:val="00505C1F"/>
    <w:rsid w:val="00505D13"/>
    <w:rsid w:val="00505DD5"/>
    <w:rsid w:val="00506CA5"/>
    <w:rsid w:val="005073C4"/>
    <w:rsid w:val="00507B47"/>
    <w:rsid w:val="00507BEF"/>
    <w:rsid w:val="00507CC9"/>
    <w:rsid w:val="00507D43"/>
    <w:rsid w:val="00510D84"/>
    <w:rsid w:val="005119A5"/>
    <w:rsid w:val="005126A9"/>
    <w:rsid w:val="00512AE1"/>
    <w:rsid w:val="00513212"/>
    <w:rsid w:val="00513346"/>
    <w:rsid w:val="0051389F"/>
    <w:rsid w:val="00513BC9"/>
    <w:rsid w:val="005152BF"/>
    <w:rsid w:val="00516242"/>
    <w:rsid w:val="005162BE"/>
    <w:rsid w:val="005170ED"/>
    <w:rsid w:val="00517108"/>
    <w:rsid w:val="005173FA"/>
    <w:rsid w:val="00517862"/>
    <w:rsid w:val="00517B37"/>
    <w:rsid w:val="00522E23"/>
    <w:rsid w:val="0052312E"/>
    <w:rsid w:val="00524645"/>
    <w:rsid w:val="005248B3"/>
    <w:rsid w:val="005257B9"/>
    <w:rsid w:val="00526284"/>
    <w:rsid w:val="0052747E"/>
    <w:rsid w:val="005278B7"/>
    <w:rsid w:val="00527E4A"/>
    <w:rsid w:val="00530B37"/>
    <w:rsid w:val="005310A1"/>
    <w:rsid w:val="005310CA"/>
    <w:rsid w:val="00531555"/>
    <w:rsid w:val="00532016"/>
    <w:rsid w:val="00532CDD"/>
    <w:rsid w:val="00532D3E"/>
    <w:rsid w:val="00533976"/>
    <w:rsid w:val="00533CB4"/>
    <w:rsid w:val="00533DBD"/>
    <w:rsid w:val="005346C8"/>
    <w:rsid w:val="00535F12"/>
    <w:rsid w:val="0053643C"/>
    <w:rsid w:val="00536EF6"/>
    <w:rsid w:val="0053731C"/>
    <w:rsid w:val="005378C9"/>
    <w:rsid w:val="00537C81"/>
    <w:rsid w:val="005416E9"/>
    <w:rsid w:val="00541A68"/>
    <w:rsid w:val="00542409"/>
    <w:rsid w:val="005425BB"/>
    <w:rsid w:val="005425D6"/>
    <w:rsid w:val="005428B6"/>
    <w:rsid w:val="00543582"/>
    <w:rsid w:val="00543E7D"/>
    <w:rsid w:val="00547A68"/>
    <w:rsid w:val="005502E5"/>
    <w:rsid w:val="00550809"/>
    <w:rsid w:val="005531C9"/>
    <w:rsid w:val="00553A82"/>
    <w:rsid w:val="0055657A"/>
    <w:rsid w:val="005576DE"/>
    <w:rsid w:val="0055774E"/>
    <w:rsid w:val="00557916"/>
    <w:rsid w:val="00557F4B"/>
    <w:rsid w:val="00560A29"/>
    <w:rsid w:val="00560C36"/>
    <w:rsid w:val="0056115D"/>
    <w:rsid w:val="00561665"/>
    <w:rsid w:val="00562149"/>
    <w:rsid w:val="00562514"/>
    <w:rsid w:val="00562DA4"/>
    <w:rsid w:val="0056429E"/>
    <w:rsid w:val="0056504D"/>
    <w:rsid w:val="0057026F"/>
    <w:rsid w:val="0057045A"/>
    <w:rsid w:val="00570604"/>
    <w:rsid w:val="00570694"/>
    <w:rsid w:val="005709B2"/>
    <w:rsid w:val="00570C43"/>
    <w:rsid w:val="0057175E"/>
    <w:rsid w:val="005726DE"/>
    <w:rsid w:val="0057306A"/>
    <w:rsid w:val="00575C88"/>
    <w:rsid w:val="00575E91"/>
    <w:rsid w:val="00576A86"/>
    <w:rsid w:val="005775B4"/>
    <w:rsid w:val="00580F06"/>
    <w:rsid w:val="005827AC"/>
    <w:rsid w:val="00582BD2"/>
    <w:rsid w:val="00582E5D"/>
    <w:rsid w:val="00583F58"/>
    <w:rsid w:val="005853FE"/>
    <w:rsid w:val="00591744"/>
    <w:rsid w:val="00591AB5"/>
    <w:rsid w:val="00591ABA"/>
    <w:rsid w:val="00591FBE"/>
    <w:rsid w:val="0059290E"/>
    <w:rsid w:val="0059305B"/>
    <w:rsid w:val="00595E1D"/>
    <w:rsid w:val="005A1BD5"/>
    <w:rsid w:val="005A2564"/>
    <w:rsid w:val="005A3290"/>
    <w:rsid w:val="005A39E7"/>
    <w:rsid w:val="005A46CE"/>
    <w:rsid w:val="005A4E25"/>
    <w:rsid w:val="005A5272"/>
    <w:rsid w:val="005A6821"/>
    <w:rsid w:val="005A7698"/>
    <w:rsid w:val="005A7F50"/>
    <w:rsid w:val="005B00D3"/>
    <w:rsid w:val="005B1586"/>
    <w:rsid w:val="005B2110"/>
    <w:rsid w:val="005B286E"/>
    <w:rsid w:val="005B29E7"/>
    <w:rsid w:val="005B33B9"/>
    <w:rsid w:val="005B445B"/>
    <w:rsid w:val="005B4D5E"/>
    <w:rsid w:val="005B4D7A"/>
    <w:rsid w:val="005B61E6"/>
    <w:rsid w:val="005B6DDA"/>
    <w:rsid w:val="005B7332"/>
    <w:rsid w:val="005B77BA"/>
    <w:rsid w:val="005B7927"/>
    <w:rsid w:val="005C00E1"/>
    <w:rsid w:val="005C0D3A"/>
    <w:rsid w:val="005C656E"/>
    <w:rsid w:val="005C75D9"/>
    <w:rsid w:val="005C77E1"/>
    <w:rsid w:val="005D15F5"/>
    <w:rsid w:val="005D3160"/>
    <w:rsid w:val="005D32EC"/>
    <w:rsid w:val="005D34AC"/>
    <w:rsid w:val="005D5E0A"/>
    <w:rsid w:val="005D668A"/>
    <w:rsid w:val="005D6A2F"/>
    <w:rsid w:val="005D75AF"/>
    <w:rsid w:val="005D7744"/>
    <w:rsid w:val="005E042E"/>
    <w:rsid w:val="005E19AA"/>
    <w:rsid w:val="005E1A82"/>
    <w:rsid w:val="005E3B44"/>
    <w:rsid w:val="005E3B51"/>
    <w:rsid w:val="005E3E96"/>
    <w:rsid w:val="005E48E9"/>
    <w:rsid w:val="005E55D1"/>
    <w:rsid w:val="005E5E06"/>
    <w:rsid w:val="005E6DCA"/>
    <w:rsid w:val="005E794C"/>
    <w:rsid w:val="005F011D"/>
    <w:rsid w:val="005F0A28"/>
    <w:rsid w:val="005F0E5E"/>
    <w:rsid w:val="005F2886"/>
    <w:rsid w:val="005F2E37"/>
    <w:rsid w:val="005F31F7"/>
    <w:rsid w:val="005F3770"/>
    <w:rsid w:val="005F4661"/>
    <w:rsid w:val="005F5018"/>
    <w:rsid w:val="005F5A24"/>
    <w:rsid w:val="005F6B2A"/>
    <w:rsid w:val="005F7997"/>
    <w:rsid w:val="00600153"/>
    <w:rsid w:val="00600535"/>
    <w:rsid w:val="00600D7B"/>
    <w:rsid w:val="00601B30"/>
    <w:rsid w:val="00602E0C"/>
    <w:rsid w:val="00602E4C"/>
    <w:rsid w:val="0060480D"/>
    <w:rsid w:val="006061F1"/>
    <w:rsid w:val="00606F8A"/>
    <w:rsid w:val="00607617"/>
    <w:rsid w:val="0061088E"/>
    <w:rsid w:val="00610B9E"/>
    <w:rsid w:val="00610CD6"/>
    <w:rsid w:val="00611CB5"/>
    <w:rsid w:val="00612BF6"/>
    <w:rsid w:val="00612D63"/>
    <w:rsid w:val="00614F45"/>
    <w:rsid w:val="006150B9"/>
    <w:rsid w:val="006150BE"/>
    <w:rsid w:val="00615425"/>
    <w:rsid w:val="00616513"/>
    <w:rsid w:val="00616A4A"/>
    <w:rsid w:val="00616BA1"/>
    <w:rsid w:val="00616ECE"/>
    <w:rsid w:val="00620DEE"/>
    <w:rsid w:val="00621F92"/>
    <w:rsid w:val="0062280A"/>
    <w:rsid w:val="00624633"/>
    <w:rsid w:val="00625639"/>
    <w:rsid w:val="006274F3"/>
    <w:rsid w:val="006275A8"/>
    <w:rsid w:val="00627A5E"/>
    <w:rsid w:val="00627DE0"/>
    <w:rsid w:val="006307F8"/>
    <w:rsid w:val="00630C5D"/>
    <w:rsid w:val="00630C60"/>
    <w:rsid w:val="00630F14"/>
    <w:rsid w:val="00631B33"/>
    <w:rsid w:val="0063294E"/>
    <w:rsid w:val="00632CDE"/>
    <w:rsid w:val="006331EC"/>
    <w:rsid w:val="006338D3"/>
    <w:rsid w:val="00634036"/>
    <w:rsid w:val="00634390"/>
    <w:rsid w:val="00637702"/>
    <w:rsid w:val="006406F8"/>
    <w:rsid w:val="00640F1E"/>
    <w:rsid w:val="00640FF8"/>
    <w:rsid w:val="00641837"/>
    <w:rsid w:val="0064184D"/>
    <w:rsid w:val="00641B3B"/>
    <w:rsid w:val="006422CC"/>
    <w:rsid w:val="006425F3"/>
    <w:rsid w:val="006426FA"/>
    <w:rsid w:val="00642FBB"/>
    <w:rsid w:val="006444A1"/>
    <w:rsid w:val="00645879"/>
    <w:rsid w:val="006463C1"/>
    <w:rsid w:val="00646416"/>
    <w:rsid w:val="0064663D"/>
    <w:rsid w:val="00646A48"/>
    <w:rsid w:val="006518FD"/>
    <w:rsid w:val="00651ACF"/>
    <w:rsid w:val="00653A53"/>
    <w:rsid w:val="00654512"/>
    <w:rsid w:val="0065490E"/>
    <w:rsid w:val="0065563F"/>
    <w:rsid w:val="00657B27"/>
    <w:rsid w:val="006601FD"/>
    <w:rsid w:val="00660E3E"/>
    <w:rsid w:val="00661099"/>
    <w:rsid w:val="0066151F"/>
    <w:rsid w:val="00662BE6"/>
    <w:rsid w:val="00662E74"/>
    <w:rsid w:val="00664252"/>
    <w:rsid w:val="00665323"/>
    <w:rsid w:val="00670307"/>
    <w:rsid w:val="006716A9"/>
    <w:rsid w:val="00671920"/>
    <w:rsid w:val="0067277D"/>
    <w:rsid w:val="00674786"/>
    <w:rsid w:val="0067550D"/>
    <w:rsid w:val="0067561D"/>
    <w:rsid w:val="00675AE8"/>
    <w:rsid w:val="00676985"/>
    <w:rsid w:val="006770F9"/>
    <w:rsid w:val="006778C9"/>
    <w:rsid w:val="00677FBF"/>
    <w:rsid w:val="0068017A"/>
    <w:rsid w:val="00680C23"/>
    <w:rsid w:val="00682464"/>
    <w:rsid w:val="00682698"/>
    <w:rsid w:val="00684A02"/>
    <w:rsid w:val="0068636A"/>
    <w:rsid w:val="006866BC"/>
    <w:rsid w:val="006867B4"/>
    <w:rsid w:val="006903B8"/>
    <w:rsid w:val="0069041A"/>
    <w:rsid w:val="00692E31"/>
    <w:rsid w:val="00693076"/>
    <w:rsid w:val="00693766"/>
    <w:rsid w:val="00693CE1"/>
    <w:rsid w:val="0069472A"/>
    <w:rsid w:val="00695181"/>
    <w:rsid w:val="00696780"/>
    <w:rsid w:val="00696E45"/>
    <w:rsid w:val="006A0665"/>
    <w:rsid w:val="006A0E06"/>
    <w:rsid w:val="006A3281"/>
    <w:rsid w:val="006A34C0"/>
    <w:rsid w:val="006A3BD6"/>
    <w:rsid w:val="006A4C14"/>
    <w:rsid w:val="006A6ADC"/>
    <w:rsid w:val="006A7E1A"/>
    <w:rsid w:val="006B0423"/>
    <w:rsid w:val="006B272A"/>
    <w:rsid w:val="006B3A3E"/>
    <w:rsid w:val="006B4888"/>
    <w:rsid w:val="006B6564"/>
    <w:rsid w:val="006C0EA9"/>
    <w:rsid w:val="006C1476"/>
    <w:rsid w:val="006C1D9D"/>
    <w:rsid w:val="006C1DD9"/>
    <w:rsid w:val="006C2D57"/>
    <w:rsid w:val="006C2E45"/>
    <w:rsid w:val="006C359C"/>
    <w:rsid w:val="006C4A5E"/>
    <w:rsid w:val="006C5579"/>
    <w:rsid w:val="006C6D39"/>
    <w:rsid w:val="006C7EC0"/>
    <w:rsid w:val="006D0F73"/>
    <w:rsid w:val="006D2FE6"/>
    <w:rsid w:val="006D4F98"/>
    <w:rsid w:val="006D564A"/>
    <w:rsid w:val="006D5C75"/>
    <w:rsid w:val="006D6170"/>
    <w:rsid w:val="006D6A0F"/>
    <w:rsid w:val="006D6E8B"/>
    <w:rsid w:val="006D723C"/>
    <w:rsid w:val="006E0D57"/>
    <w:rsid w:val="006E0DB7"/>
    <w:rsid w:val="006E2C0B"/>
    <w:rsid w:val="006E415A"/>
    <w:rsid w:val="006E50AD"/>
    <w:rsid w:val="006E5649"/>
    <w:rsid w:val="006E6A8E"/>
    <w:rsid w:val="006E6B79"/>
    <w:rsid w:val="006E721B"/>
    <w:rsid w:val="006E737D"/>
    <w:rsid w:val="006E7685"/>
    <w:rsid w:val="006F2705"/>
    <w:rsid w:val="006F3A1D"/>
    <w:rsid w:val="006F3F62"/>
    <w:rsid w:val="006F493A"/>
    <w:rsid w:val="006F4DE3"/>
    <w:rsid w:val="006F6DF1"/>
    <w:rsid w:val="00700C47"/>
    <w:rsid w:val="007023A1"/>
    <w:rsid w:val="00702A47"/>
    <w:rsid w:val="00702B3F"/>
    <w:rsid w:val="00705246"/>
    <w:rsid w:val="007056EA"/>
    <w:rsid w:val="00705E7B"/>
    <w:rsid w:val="00706DBB"/>
    <w:rsid w:val="007100BC"/>
    <w:rsid w:val="00710A52"/>
    <w:rsid w:val="00711EAB"/>
    <w:rsid w:val="00713973"/>
    <w:rsid w:val="00713C94"/>
    <w:rsid w:val="0071530B"/>
    <w:rsid w:val="00715782"/>
    <w:rsid w:val="00716D18"/>
    <w:rsid w:val="00720A24"/>
    <w:rsid w:val="00720C75"/>
    <w:rsid w:val="00723341"/>
    <w:rsid w:val="007246FF"/>
    <w:rsid w:val="00725097"/>
    <w:rsid w:val="007266DD"/>
    <w:rsid w:val="00731FB5"/>
    <w:rsid w:val="007322E6"/>
    <w:rsid w:val="00732386"/>
    <w:rsid w:val="00733076"/>
    <w:rsid w:val="00734CB2"/>
    <w:rsid w:val="0073514D"/>
    <w:rsid w:val="00737B8F"/>
    <w:rsid w:val="00741C76"/>
    <w:rsid w:val="007447F3"/>
    <w:rsid w:val="0074510E"/>
    <w:rsid w:val="007458D7"/>
    <w:rsid w:val="007463E6"/>
    <w:rsid w:val="00746541"/>
    <w:rsid w:val="00746B08"/>
    <w:rsid w:val="00746F8F"/>
    <w:rsid w:val="007474F7"/>
    <w:rsid w:val="007475B9"/>
    <w:rsid w:val="00751362"/>
    <w:rsid w:val="0075161F"/>
    <w:rsid w:val="00751E8D"/>
    <w:rsid w:val="00752F7F"/>
    <w:rsid w:val="0075499F"/>
    <w:rsid w:val="00755033"/>
    <w:rsid w:val="00755A53"/>
    <w:rsid w:val="00757E22"/>
    <w:rsid w:val="0076003C"/>
    <w:rsid w:val="00760EAE"/>
    <w:rsid w:val="0076500F"/>
    <w:rsid w:val="0076589D"/>
    <w:rsid w:val="00765B84"/>
    <w:rsid w:val="007661C8"/>
    <w:rsid w:val="00766555"/>
    <w:rsid w:val="0077098D"/>
    <w:rsid w:val="0077373D"/>
    <w:rsid w:val="00773FD9"/>
    <w:rsid w:val="00776441"/>
    <w:rsid w:val="007775FF"/>
    <w:rsid w:val="00777EB3"/>
    <w:rsid w:val="0078091A"/>
    <w:rsid w:val="00781288"/>
    <w:rsid w:val="0078174A"/>
    <w:rsid w:val="00781851"/>
    <w:rsid w:val="00781DBA"/>
    <w:rsid w:val="0078474A"/>
    <w:rsid w:val="007861B9"/>
    <w:rsid w:val="00787BDE"/>
    <w:rsid w:val="00790F05"/>
    <w:rsid w:val="00791588"/>
    <w:rsid w:val="007931FA"/>
    <w:rsid w:val="00795EAF"/>
    <w:rsid w:val="007A098C"/>
    <w:rsid w:val="007A299C"/>
    <w:rsid w:val="007A368B"/>
    <w:rsid w:val="007A4861"/>
    <w:rsid w:val="007A4924"/>
    <w:rsid w:val="007A7A2C"/>
    <w:rsid w:val="007A7BBA"/>
    <w:rsid w:val="007A7F82"/>
    <w:rsid w:val="007B0C50"/>
    <w:rsid w:val="007B3C94"/>
    <w:rsid w:val="007B3F29"/>
    <w:rsid w:val="007B48F9"/>
    <w:rsid w:val="007B5208"/>
    <w:rsid w:val="007B7602"/>
    <w:rsid w:val="007B7789"/>
    <w:rsid w:val="007C0114"/>
    <w:rsid w:val="007C1A43"/>
    <w:rsid w:val="007C1C47"/>
    <w:rsid w:val="007C2370"/>
    <w:rsid w:val="007C2EA5"/>
    <w:rsid w:val="007C34DD"/>
    <w:rsid w:val="007C6250"/>
    <w:rsid w:val="007C6729"/>
    <w:rsid w:val="007C6A3A"/>
    <w:rsid w:val="007C79FF"/>
    <w:rsid w:val="007C7E76"/>
    <w:rsid w:val="007C7FAB"/>
    <w:rsid w:val="007D3A16"/>
    <w:rsid w:val="007D4C84"/>
    <w:rsid w:val="007D577B"/>
    <w:rsid w:val="007D6528"/>
    <w:rsid w:val="007D6723"/>
    <w:rsid w:val="007D74F7"/>
    <w:rsid w:val="007E13E7"/>
    <w:rsid w:val="007E1E40"/>
    <w:rsid w:val="007E2F05"/>
    <w:rsid w:val="007E42C9"/>
    <w:rsid w:val="007E433D"/>
    <w:rsid w:val="007E43FE"/>
    <w:rsid w:val="007E5C81"/>
    <w:rsid w:val="007E618C"/>
    <w:rsid w:val="007E6A5F"/>
    <w:rsid w:val="007E7CB1"/>
    <w:rsid w:val="007E7F6B"/>
    <w:rsid w:val="007F278B"/>
    <w:rsid w:val="007F384B"/>
    <w:rsid w:val="007F3AD2"/>
    <w:rsid w:val="007F4578"/>
    <w:rsid w:val="007F47EA"/>
    <w:rsid w:val="007F5CB6"/>
    <w:rsid w:val="007F62F5"/>
    <w:rsid w:val="0080013E"/>
    <w:rsid w:val="00800628"/>
    <w:rsid w:val="00802B5C"/>
    <w:rsid w:val="008046B6"/>
    <w:rsid w:val="0080495B"/>
    <w:rsid w:val="00806310"/>
    <w:rsid w:val="0080663C"/>
    <w:rsid w:val="0081018C"/>
    <w:rsid w:val="008107A5"/>
    <w:rsid w:val="00811B4E"/>
    <w:rsid w:val="008127BA"/>
    <w:rsid w:val="00813288"/>
    <w:rsid w:val="00813420"/>
    <w:rsid w:val="008141A6"/>
    <w:rsid w:val="008148A5"/>
    <w:rsid w:val="00814BB9"/>
    <w:rsid w:val="008168FC"/>
    <w:rsid w:val="008203C8"/>
    <w:rsid w:val="00820E71"/>
    <w:rsid w:val="00821374"/>
    <w:rsid w:val="0082181C"/>
    <w:rsid w:val="00823337"/>
    <w:rsid w:val="00824334"/>
    <w:rsid w:val="0082545C"/>
    <w:rsid w:val="00825DD9"/>
    <w:rsid w:val="00826B75"/>
    <w:rsid w:val="0082716B"/>
    <w:rsid w:val="00830996"/>
    <w:rsid w:val="00832861"/>
    <w:rsid w:val="00832C0C"/>
    <w:rsid w:val="008332DE"/>
    <w:rsid w:val="00833518"/>
    <w:rsid w:val="008345F1"/>
    <w:rsid w:val="00836FB4"/>
    <w:rsid w:val="008372A2"/>
    <w:rsid w:val="00837A0D"/>
    <w:rsid w:val="008400AC"/>
    <w:rsid w:val="00840700"/>
    <w:rsid w:val="00840FEA"/>
    <w:rsid w:val="008412EE"/>
    <w:rsid w:val="0084184E"/>
    <w:rsid w:val="008420C0"/>
    <w:rsid w:val="00842105"/>
    <w:rsid w:val="0084245A"/>
    <w:rsid w:val="00842C7A"/>
    <w:rsid w:val="0084353D"/>
    <w:rsid w:val="008436DF"/>
    <w:rsid w:val="00843DCB"/>
    <w:rsid w:val="008461B8"/>
    <w:rsid w:val="008500A6"/>
    <w:rsid w:val="00850CE3"/>
    <w:rsid w:val="00852585"/>
    <w:rsid w:val="0085268A"/>
    <w:rsid w:val="00852784"/>
    <w:rsid w:val="00852B9D"/>
    <w:rsid w:val="00854EDD"/>
    <w:rsid w:val="008563A5"/>
    <w:rsid w:val="00856B14"/>
    <w:rsid w:val="00860402"/>
    <w:rsid w:val="00860569"/>
    <w:rsid w:val="00860AAB"/>
    <w:rsid w:val="00860FE8"/>
    <w:rsid w:val="00861110"/>
    <w:rsid w:val="0086231A"/>
    <w:rsid w:val="008623CA"/>
    <w:rsid w:val="00863505"/>
    <w:rsid w:val="0086385A"/>
    <w:rsid w:val="00865A2F"/>
    <w:rsid w:val="00865B07"/>
    <w:rsid w:val="008667EA"/>
    <w:rsid w:val="00871E11"/>
    <w:rsid w:val="00873FAE"/>
    <w:rsid w:val="0087455D"/>
    <w:rsid w:val="00875AA1"/>
    <w:rsid w:val="00875E0A"/>
    <w:rsid w:val="0087637F"/>
    <w:rsid w:val="008770F7"/>
    <w:rsid w:val="008778CF"/>
    <w:rsid w:val="00877CA5"/>
    <w:rsid w:val="008824D2"/>
    <w:rsid w:val="00882654"/>
    <w:rsid w:val="008830E2"/>
    <w:rsid w:val="00883BC5"/>
    <w:rsid w:val="0088574E"/>
    <w:rsid w:val="00885988"/>
    <w:rsid w:val="008859D9"/>
    <w:rsid w:val="00886365"/>
    <w:rsid w:val="00886955"/>
    <w:rsid w:val="00886A35"/>
    <w:rsid w:val="00890C70"/>
    <w:rsid w:val="0089115C"/>
    <w:rsid w:val="00891960"/>
    <w:rsid w:val="00892AD5"/>
    <w:rsid w:val="00892B45"/>
    <w:rsid w:val="008930A6"/>
    <w:rsid w:val="008946AB"/>
    <w:rsid w:val="00895D89"/>
    <w:rsid w:val="008971B2"/>
    <w:rsid w:val="00897F4C"/>
    <w:rsid w:val="008A0A52"/>
    <w:rsid w:val="008A0C79"/>
    <w:rsid w:val="008A1512"/>
    <w:rsid w:val="008A1E5B"/>
    <w:rsid w:val="008A297D"/>
    <w:rsid w:val="008A3EBA"/>
    <w:rsid w:val="008A4CF8"/>
    <w:rsid w:val="008A5428"/>
    <w:rsid w:val="008A5800"/>
    <w:rsid w:val="008B0415"/>
    <w:rsid w:val="008B07F2"/>
    <w:rsid w:val="008B1D4F"/>
    <w:rsid w:val="008B298E"/>
    <w:rsid w:val="008B303B"/>
    <w:rsid w:val="008B4CC3"/>
    <w:rsid w:val="008B58B9"/>
    <w:rsid w:val="008B5936"/>
    <w:rsid w:val="008B71F5"/>
    <w:rsid w:val="008C0EA6"/>
    <w:rsid w:val="008C10CB"/>
    <w:rsid w:val="008C11C1"/>
    <w:rsid w:val="008C177B"/>
    <w:rsid w:val="008C1C10"/>
    <w:rsid w:val="008C4D2D"/>
    <w:rsid w:val="008C5CD9"/>
    <w:rsid w:val="008C6935"/>
    <w:rsid w:val="008D32B9"/>
    <w:rsid w:val="008D41C9"/>
    <w:rsid w:val="008D433B"/>
    <w:rsid w:val="008D4533"/>
    <w:rsid w:val="008D560F"/>
    <w:rsid w:val="008D6CA9"/>
    <w:rsid w:val="008D7D67"/>
    <w:rsid w:val="008E4A27"/>
    <w:rsid w:val="008E566E"/>
    <w:rsid w:val="008E7623"/>
    <w:rsid w:val="008E7BF9"/>
    <w:rsid w:val="008F09D0"/>
    <w:rsid w:val="008F1549"/>
    <w:rsid w:val="008F15E8"/>
    <w:rsid w:val="008F2BB2"/>
    <w:rsid w:val="008F34A5"/>
    <w:rsid w:val="008F39DA"/>
    <w:rsid w:val="008F3CD2"/>
    <w:rsid w:val="008F4A8E"/>
    <w:rsid w:val="008F657D"/>
    <w:rsid w:val="008F688F"/>
    <w:rsid w:val="008F7DC2"/>
    <w:rsid w:val="009005E4"/>
    <w:rsid w:val="0090161A"/>
    <w:rsid w:val="00901EB6"/>
    <w:rsid w:val="0090282C"/>
    <w:rsid w:val="00902F22"/>
    <w:rsid w:val="00903D8F"/>
    <w:rsid w:val="00904C62"/>
    <w:rsid w:val="00905B16"/>
    <w:rsid w:val="00905E00"/>
    <w:rsid w:val="00906B60"/>
    <w:rsid w:val="009077A6"/>
    <w:rsid w:val="0090790C"/>
    <w:rsid w:val="0091190D"/>
    <w:rsid w:val="0091211C"/>
    <w:rsid w:val="00912391"/>
    <w:rsid w:val="00914C02"/>
    <w:rsid w:val="0091503E"/>
    <w:rsid w:val="00915BE4"/>
    <w:rsid w:val="00916424"/>
    <w:rsid w:val="00916743"/>
    <w:rsid w:val="009218E2"/>
    <w:rsid w:val="00922BA8"/>
    <w:rsid w:val="0092393F"/>
    <w:rsid w:val="009244F4"/>
    <w:rsid w:val="00924DAC"/>
    <w:rsid w:val="00925164"/>
    <w:rsid w:val="00927058"/>
    <w:rsid w:val="00927DE2"/>
    <w:rsid w:val="00927FD1"/>
    <w:rsid w:val="00930B08"/>
    <w:rsid w:val="00930C58"/>
    <w:rsid w:val="00932076"/>
    <w:rsid w:val="0093599B"/>
    <w:rsid w:val="00935DA1"/>
    <w:rsid w:val="00936FFE"/>
    <w:rsid w:val="00937E9F"/>
    <w:rsid w:val="009405CD"/>
    <w:rsid w:val="00941D8E"/>
    <w:rsid w:val="00942750"/>
    <w:rsid w:val="009450CE"/>
    <w:rsid w:val="00947179"/>
    <w:rsid w:val="00947E2B"/>
    <w:rsid w:val="0095164B"/>
    <w:rsid w:val="00954090"/>
    <w:rsid w:val="00954730"/>
    <w:rsid w:val="009547BC"/>
    <w:rsid w:val="00954A07"/>
    <w:rsid w:val="009573E7"/>
    <w:rsid w:val="00960935"/>
    <w:rsid w:val="00961B3D"/>
    <w:rsid w:val="00962CFE"/>
    <w:rsid w:val="00963E05"/>
    <w:rsid w:val="00964941"/>
    <w:rsid w:val="00965118"/>
    <w:rsid w:val="009655D8"/>
    <w:rsid w:val="009668B1"/>
    <w:rsid w:val="0096695C"/>
    <w:rsid w:val="00966FCA"/>
    <w:rsid w:val="00967843"/>
    <w:rsid w:val="00967C9C"/>
    <w:rsid w:val="00967D4D"/>
    <w:rsid w:val="00967D54"/>
    <w:rsid w:val="00971028"/>
    <w:rsid w:val="00971D18"/>
    <w:rsid w:val="00972FA4"/>
    <w:rsid w:val="00973238"/>
    <w:rsid w:val="009742FC"/>
    <w:rsid w:val="00974B96"/>
    <w:rsid w:val="00977AB9"/>
    <w:rsid w:val="00977E82"/>
    <w:rsid w:val="00977EFC"/>
    <w:rsid w:val="009802A6"/>
    <w:rsid w:val="009809C0"/>
    <w:rsid w:val="00981379"/>
    <w:rsid w:val="00981571"/>
    <w:rsid w:val="00982B2D"/>
    <w:rsid w:val="00983CD9"/>
    <w:rsid w:val="009848D1"/>
    <w:rsid w:val="00984EDC"/>
    <w:rsid w:val="00986919"/>
    <w:rsid w:val="00987640"/>
    <w:rsid w:val="00987CA7"/>
    <w:rsid w:val="00987FA8"/>
    <w:rsid w:val="00990645"/>
    <w:rsid w:val="009908A4"/>
    <w:rsid w:val="00990981"/>
    <w:rsid w:val="00990A1B"/>
    <w:rsid w:val="00990D49"/>
    <w:rsid w:val="00993B84"/>
    <w:rsid w:val="0099620C"/>
    <w:rsid w:val="00996483"/>
    <w:rsid w:val="00996F5A"/>
    <w:rsid w:val="0099793E"/>
    <w:rsid w:val="00997F03"/>
    <w:rsid w:val="009A3387"/>
    <w:rsid w:val="009A3D64"/>
    <w:rsid w:val="009A4FC0"/>
    <w:rsid w:val="009A511D"/>
    <w:rsid w:val="009A57F9"/>
    <w:rsid w:val="009A5EEF"/>
    <w:rsid w:val="009A6F66"/>
    <w:rsid w:val="009A7417"/>
    <w:rsid w:val="009A7D4C"/>
    <w:rsid w:val="009B041A"/>
    <w:rsid w:val="009B171E"/>
    <w:rsid w:val="009B1CFE"/>
    <w:rsid w:val="009B3A29"/>
    <w:rsid w:val="009B3F8D"/>
    <w:rsid w:val="009B6102"/>
    <w:rsid w:val="009B6CBD"/>
    <w:rsid w:val="009C1999"/>
    <w:rsid w:val="009C27B5"/>
    <w:rsid w:val="009C3787"/>
    <w:rsid w:val="009C37C3"/>
    <w:rsid w:val="009C7C86"/>
    <w:rsid w:val="009C7CF4"/>
    <w:rsid w:val="009D23D3"/>
    <w:rsid w:val="009D2FF7"/>
    <w:rsid w:val="009D3A95"/>
    <w:rsid w:val="009D4D4D"/>
    <w:rsid w:val="009D50F0"/>
    <w:rsid w:val="009D7EFD"/>
    <w:rsid w:val="009E0770"/>
    <w:rsid w:val="009E0E9A"/>
    <w:rsid w:val="009E1B6E"/>
    <w:rsid w:val="009E1E65"/>
    <w:rsid w:val="009E22AB"/>
    <w:rsid w:val="009E3D4F"/>
    <w:rsid w:val="009E47F6"/>
    <w:rsid w:val="009E575B"/>
    <w:rsid w:val="009E6DD2"/>
    <w:rsid w:val="009E783E"/>
    <w:rsid w:val="009E7849"/>
    <w:rsid w:val="009E7884"/>
    <w:rsid w:val="009E788A"/>
    <w:rsid w:val="009E7960"/>
    <w:rsid w:val="009F086C"/>
    <w:rsid w:val="009F0A0A"/>
    <w:rsid w:val="009F0E08"/>
    <w:rsid w:val="009F0F57"/>
    <w:rsid w:val="009F158A"/>
    <w:rsid w:val="009F1780"/>
    <w:rsid w:val="009F297F"/>
    <w:rsid w:val="009F4EBA"/>
    <w:rsid w:val="009F6470"/>
    <w:rsid w:val="009F6988"/>
    <w:rsid w:val="009F6BFD"/>
    <w:rsid w:val="009F6C15"/>
    <w:rsid w:val="009F7577"/>
    <w:rsid w:val="00A00381"/>
    <w:rsid w:val="00A01ED2"/>
    <w:rsid w:val="00A05F7E"/>
    <w:rsid w:val="00A13314"/>
    <w:rsid w:val="00A13DEE"/>
    <w:rsid w:val="00A13F56"/>
    <w:rsid w:val="00A14B78"/>
    <w:rsid w:val="00A16A61"/>
    <w:rsid w:val="00A1763D"/>
    <w:rsid w:val="00A17C19"/>
    <w:rsid w:val="00A17CEC"/>
    <w:rsid w:val="00A206DC"/>
    <w:rsid w:val="00A209C3"/>
    <w:rsid w:val="00A21DF8"/>
    <w:rsid w:val="00A22D24"/>
    <w:rsid w:val="00A22E6E"/>
    <w:rsid w:val="00A24C1D"/>
    <w:rsid w:val="00A26707"/>
    <w:rsid w:val="00A26FB1"/>
    <w:rsid w:val="00A27EF0"/>
    <w:rsid w:val="00A3120F"/>
    <w:rsid w:val="00A3179B"/>
    <w:rsid w:val="00A31A34"/>
    <w:rsid w:val="00A322C8"/>
    <w:rsid w:val="00A32A61"/>
    <w:rsid w:val="00A37202"/>
    <w:rsid w:val="00A40D25"/>
    <w:rsid w:val="00A42361"/>
    <w:rsid w:val="00A445F7"/>
    <w:rsid w:val="00A44D0B"/>
    <w:rsid w:val="00A46FAA"/>
    <w:rsid w:val="00A50B20"/>
    <w:rsid w:val="00A51390"/>
    <w:rsid w:val="00A51584"/>
    <w:rsid w:val="00A52506"/>
    <w:rsid w:val="00A5335C"/>
    <w:rsid w:val="00A53747"/>
    <w:rsid w:val="00A54E61"/>
    <w:rsid w:val="00A57612"/>
    <w:rsid w:val="00A6062E"/>
    <w:rsid w:val="00A60D10"/>
    <w:rsid w:val="00A60D13"/>
    <w:rsid w:val="00A6518D"/>
    <w:rsid w:val="00A67259"/>
    <w:rsid w:val="00A70916"/>
    <w:rsid w:val="00A72025"/>
    <w:rsid w:val="00A72745"/>
    <w:rsid w:val="00A75383"/>
    <w:rsid w:val="00A75FC9"/>
    <w:rsid w:val="00A76EFC"/>
    <w:rsid w:val="00A8071C"/>
    <w:rsid w:val="00A817D8"/>
    <w:rsid w:val="00A81A94"/>
    <w:rsid w:val="00A83560"/>
    <w:rsid w:val="00A84B4E"/>
    <w:rsid w:val="00A85059"/>
    <w:rsid w:val="00A8522D"/>
    <w:rsid w:val="00A86624"/>
    <w:rsid w:val="00A86D2C"/>
    <w:rsid w:val="00A8706A"/>
    <w:rsid w:val="00A902E6"/>
    <w:rsid w:val="00A91010"/>
    <w:rsid w:val="00A92A1C"/>
    <w:rsid w:val="00A92B0F"/>
    <w:rsid w:val="00A943F5"/>
    <w:rsid w:val="00A94E4B"/>
    <w:rsid w:val="00A95E4B"/>
    <w:rsid w:val="00A97562"/>
    <w:rsid w:val="00A97F29"/>
    <w:rsid w:val="00AA00E4"/>
    <w:rsid w:val="00AA04ED"/>
    <w:rsid w:val="00AA0FF0"/>
    <w:rsid w:val="00AA182B"/>
    <w:rsid w:val="00AA4B53"/>
    <w:rsid w:val="00AA5DC2"/>
    <w:rsid w:val="00AA6E38"/>
    <w:rsid w:val="00AA702E"/>
    <w:rsid w:val="00AA78E4"/>
    <w:rsid w:val="00AA7E57"/>
    <w:rsid w:val="00AB0964"/>
    <w:rsid w:val="00AB12FA"/>
    <w:rsid w:val="00AB1651"/>
    <w:rsid w:val="00AB24F8"/>
    <w:rsid w:val="00AB251F"/>
    <w:rsid w:val="00AB5011"/>
    <w:rsid w:val="00AB5F71"/>
    <w:rsid w:val="00AB616B"/>
    <w:rsid w:val="00AB6B16"/>
    <w:rsid w:val="00AB7309"/>
    <w:rsid w:val="00AC21D4"/>
    <w:rsid w:val="00AC223A"/>
    <w:rsid w:val="00AC329E"/>
    <w:rsid w:val="00AC40F3"/>
    <w:rsid w:val="00AC618F"/>
    <w:rsid w:val="00AC63BA"/>
    <w:rsid w:val="00AC7368"/>
    <w:rsid w:val="00AD01A5"/>
    <w:rsid w:val="00AD0E2D"/>
    <w:rsid w:val="00AD112E"/>
    <w:rsid w:val="00AD16B9"/>
    <w:rsid w:val="00AD1853"/>
    <w:rsid w:val="00AD2753"/>
    <w:rsid w:val="00AD550B"/>
    <w:rsid w:val="00AD65B3"/>
    <w:rsid w:val="00AD73A4"/>
    <w:rsid w:val="00AE0F5A"/>
    <w:rsid w:val="00AE1107"/>
    <w:rsid w:val="00AE2526"/>
    <w:rsid w:val="00AE2A6D"/>
    <w:rsid w:val="00AE36C9"/>
    <w:rsid w:val="00AE36EB"/>
    <w:rsid w:val="00AE377D"/>
    <w:rsid w:val="00AE388B"/>
    <w:rsid w:val="00AE5C39"/>
    <w:rsid w:val="00AE6338"/>
    <w:rsid w:val="00AE70E3"/>
    <w:rsid w:val="00AE795F"/>
    <w:rsid w:val="00AE7BB8"/>
    <w:rsid w:val="00AF0EBA"/>
    <w:rsid w:val="00AF17E4"/>
    <w:rsid w:val="00AF288D"/>
    <w:rsid w:val="00AF28C4"/>
    <w:rsid w:val="00AF2E6D"/>
    <w:rsid w:val="00AF4DEE"/>
    <w:rsid w:val="00AF732B"/>
    <w:rsid w:val="00AF741D"/>
    <w:rsid w:val="00AF7BBF"/>
    <w:rsid w:val="00AF7D7F"/>
    <w:rsid w:val="00B0014B"/>
    <w:rsid w:val="00B010F4"/>
    <w:rsid w:val="00B026FD"/>
    <w:rsid w:val="00B02C8A"/>
    <w:rsid w:val="00B030EA"/>
    <w:rsid w:val="00B0450F"/>
    <w:rsid w:val="00B067B4"/>
    <w:rsid w:val="00B06946"/>
    <w:rsid w:val="00B07D8C"/>
    <w:rsid w:val="00B1141A"/>
    <w:rsid w:val="00B11520"/>
    <w:rsid w:val="00B1311A"/>
    <w:rsid w:val="00B13EEA"/>
    <w:rsid w:val="00B14FDB"/>
    <w:rsid w:val="00B150DB"/>
    <w:rsid w:val="00B17D5A"/>
    <w:rsid w:val="00B17FBD"/>
    <w:rsid w:val="00B17FC3"/>
    <w:rsid w:val="00B20114"/>
    <w:rsid w:val="00B208B8"/>
    <w:rsid w:val="00B21A74"/>
    <w:rsid w:val="00B23C58"/>
    <w:rsid w:val="00B2515C"/>
    <w:rsid w:val="00B25670"/>
    <w:rsid w:val="00B26FE5"/>
    <w:rsid w:val="00B2782B"/>
    <w:rsid w:val="00B315A6"/>
    <w:rsid w:val="00B31813"/>
    <w:rsid w:val="00B3269A"/>
    <w:rsid w:val="00B33365"/>
    <w:rsid w:val="00B33694"/>
    <w:rsid w:val="00B35445"/>
    <w:rsid w:val="00B3592F"/>
    <w:rsid w:val="00B35B0A"/>
    <w:rsid w:val="00B36987"/>
    <w:rsid w:val="00B37139"/>
    <w:rsid w:val="00B3755B"/>
    <w:rsid w:val="00B379FC"/>
    <w:rsid w:val="00B37E13"/>
    <w:rsid w:val="00B37F66"/>
    <w:rsid w:val="00B4100B"/>
    <w:rsid w:val="00B41D09"/>
    <w:rsid w:val="00B422A3"/>
    <w:rsid w:val="00B42B02"/>
    <w:rsid w:val="00B433C5"/>
    <w:rsid w:val="00B43972"/>
    <w:rsid w:val="00B45C03"/>
    <w:rsid w:val="00B46D06"/>
    <w:rsid w:val="00B50384"/>
    <w:rsid w:val="00B50D6F"/>
    <w:rsid w:val="00B51707"/>
    <w:rsid w:val="00B51864"/>
    <w:rsid w:val="00B51911"/>
    <w:rsid w:val="00B53537"/>
    <w:rsid w:val="00B559AE"/>
    <w:rsid w:val="00B561A4"/>
    <w:rsid w:val="00B57B36"/>
    <w:rsid w:val="00B57E6F"/>
    <w:rsid w:val="00B601B9"/>
    <w:rsid w:val="00B605F0"/>
    <w:rsid w:val="00B61252"/>
    <w:rsid w:val="00B622C1"/>
    <w:rsid w:val="00B64E26"/>
    <w:rsid w:val="00B64ED9"/>
    <w:rsid w:val="00B6510A"/>
    <w:rsid w:val="00B653B6"/>
    <w:rsid w:val="00B65958"/>
    <w:rsid w:val="00B665F9"/>
    <w:rsid w:val="00B66CFF"/>
    <w:rsid w:val="00B678C9"/>
    <w:rsid w:val="00B678F5"/>
    <w:rsid w:val="00B720AF"/>
    <w:rsid w:val="00B720CE"/>
    <w:rsid w:val="00B72A85"/>
    <w:rsid w:val="00B72BBE"/>
    <w:rsid w:val="00B74C89"/>
    <w:rsid w:val="00B74EAF"/>
    <w:rsid w:val="00B77BE4"/>
    <w:rsid w:val="00B806AF"/>
    <w:rsid w:val="00B8431F"/>
    <w:rsid w:val="00B85516"/>
    <w:rsid w:val="00B857AA"/>
    <w:rsid w:val="00B85EC9"/>
    <w:rsid w:val="00B8686D"/>
    <w:rsid w:val="00B90432"/>
    <w:rsid w:val="00B90C06"/>
    <w:rsid w:val="00B91A87"/>
    <w:rsid w:val="00B93F69"/>
    <w:rsid w:val="00B94BD7"/>
    <w:rsid w:val="00B9588B"/>
    <w:rsid w:val="00B95CAA"/>
    <w:rsid w:val="00B95DF9"/>
    <w:rsid w:val="00B967EF"/>
    <w:rsid w:val="00B968D3"/>
    <w:rsid w:val="00BA004D"/>
    <w:rsid w:val="00BA367D"/>
    <w:rsid w:val="00BA5604"/>
    <w:rsid w:val="00BA61CF"/>
    <w:rsid w:val="00BA74D1"/>
    <w:rsid w:val="00BA7A67"/>
    <w:rsid w:val="00BB1DDC"/>
    <w:rsid w:val="00BB2189"/>
    <w:rsid w:val="00BB42BC"/>
    <w:rsid w:val="00BB58A6"/>
    <w:rsid w:val="00BB785C"/>
    <w:rsid w:val="00BB7E6C"/>
    <w:rsid w:val="00BC137B"/>
    <w:rsid w:val="00BC30C9"/>
    <w:rsid w:val="00BC3AA5"/>
    <w:rsid w:val="00BC3B87"/>
    <w:rsid w:val="00BC62CB"/>
    <w:rsid w:val="00BC7A9A"/>
    <w:rsid w:val="00BD077D"/>
    <w:rsid w:val="00BD1D8F"/>
    <w:rsid w:val="00BD346E"/>
    <w:rsid w:val="00BD4292"/>
    <w:rsid w:val="00BD477F"/>
    <w:rsid w:val="00BD4E8C"/>
    <w:rsid w:val="00BD60B0"/>
    <w:rsid w:val="00BD74D2"/>
    <w:rsid w:val="00BD772A"/>
    <w:rsid w:val="00BE08AC"/>
    <w:rsid w:val="00BE23F2"/>
    <w:rsid w:val="00BE380B"/>
    <w:rsid w:val="00BE3E58"/>
    <w:rsid w:val="00BE5AE6"/>
    <w:rsid w:val="00BE645A"/>
    <w:rsid w:val="00BE69A4"/>
    <w:rsid w:val="00BE7D4C"/>
    <w:rsid w:val="00BF105C"/>
    <w:rsid w:val="00BF502A"/>
    <w:rsid w:val="00BF5AB2"/>
    <w:rsid w:val="00BF5C5E"/>
    <w:rsid w:val="00BF5C7C"/>
    <w:rsid w:val="00C01616"/>
    <w:rsid w:val="00C0162B"/>
    <w:rsid w:val="00C01DC3"/>
    <w:rsid w:val="00C02DCF"/>
    <w:rsid w:val="00C0398C"/>
    <w:rsid w:val="00C03B79"/>
    <w:rsid w:val="00C03D53"/>
    <w:rsid w:val="00C03FBE"/>
    <w:rsid w:val="00C0427E"/>
    <w:rsid w:val="00C068ED"/>
    <w:rsid w:val="00C10698"/>
    <w:rsid w:val="00C11653"/>
    <w:rsid w:val="00C118A2"/>
    <w:rsid w:val="00C122FC"/>
    <w:rsid w:val="00C14DF6"/>
    <w:rsid w:val="00C14F74"/>
    <w:rsid w:val="00C16721"/>
    <w:rsid w:val="00C173EA"/>
    <w:rsid w:val="00C219E9"/>
    <w:rsid w:val="00C22E0C"/>
    <w:rsid w:val="00C23589"/>
    <w:rsid w:val="00C2499A"/>
    <w:rsid w:val="00C3057D"/>
    <w:rsid w:val="00C32F3C"/>
    <w:rsid w:val="00C34193"/>
    <w:rsid w:val="00C345B1"/>
    <w:rsid w:val="00C34C31"/>
    <w:rsid w:val="00C35503"/>
    <w:rsid w:val="00C35640"/>
    <w:rsid w:val="00C3698C"/>
    <w:rsid w:val="00C3699B"/>
    <w:rsid w:val="00C37C48"/>
    <w:rsid w:val="00C40142"/>
    <w:rsid w:val="00C401C3"/>
    <w:rsid w:val="00C42E11"/>
    <w:rsid w:val="00C43A68"/>
    <w:rsid w:val="00C446EE"/>
    <w:rsid w:val="00C46260"/>
    <w:rsid w:val="00C47A8E"/>
    <w:rsid w:val="00C502AF"/>
    <w:rsid w:val="00C5060E"/>
    <w:rsid w:val="00C508A9"/>
    <w:rsid w:val="00C519C5"/>
    <w:rsid w:val="00C522FB"/>
    <w:rsid w:val="00C52ADC"/>
    <w:rsid w:val="00C52C3C"/>
    <w:rsid w:val="00C52C73"/>
    <w:rsid w:val="00C53B04"/>
    <w:rsid w:val="00C53C10"/>
    <w:rsid w:val="00C557AF"/>
    <w:rsid w:val="00C56340"/>
    <w:rsid w:val="00C56700"/>
    <w:rsid w:val="00C57182"/>
    <w:rsid w:val="00C57863"/>
    <w:rsid w:val="00C57D52"/>
    <w:rsid w:val="00C57F5E"/>
    <w:rsid w:val="00C61196"/>
    <w:rsid w:val="00C6211F"/>
    <w:rsid w:val="00C62D5E"/>
    <w:rsid w:val="00C63E32"/>
    <w:rsid w:val="00C63FF9"/>
    <w:rsid w:val="00C64022"/>
    <w:rsid w:val="00C64A66"/>
    <w:rsid w:val="00C64AD2"/>
    <w:rsid w:val="00C64C5C"/>
    <w:rsid w:val="00C653B5"/>
    <w:rsid w:val="00C653E3"/>
    <w:rsid w:val="00C655FD"/>
    <w:rsid w:val="00C663DB"/>
    <w:rsid w:val="00C6740E"/>
    <w:rsid w:val="00C6779F"/>
    <w:rsid w:val="00C677ED"/>
    <w:rsid w:val="00C67B61"/>
    <w:rsid w:val="00C73712"/>
    <w:rsid w:val="00C73F0D"/>
    <w:rsid w:val="00C752F1"/>
    <w:rsid w:val="00C75407"/>
    <w:rsid w:val="00C75BD0"/>
    <w:rsid w:val="00C76FEC"/>
    <w:rsid w:val="00C8253F"/>
    <w:rsid w:val="00C84359"/>
    <w:rsid w:val="00C860C0"/>
    <w:rsid w:val="00C86EC7"/>
    <w:rsid w:val="00C870A8"/>
    <w:rsid w:val="00C91260"/>
    <w:rsid w:val="00C916B2"/>
    <w:rsid w:val="00C931FD"/>
    <w:rsid w:val="00C934AD"/>
    <w:rsid w:val="00C938BD"/>
    <w:rsid w:val="00C94434"/>
    <w:rsid w:val="00C94A4F"/>
    <w:rsid w:val="00C955DB"/>
    <w:rsid w:val="00C96392"/>
    <w:rsid w:val="00CA09D6"/>
    <w:rsid w:val="00CA0BDF"/>
    <w:rsid w:val="00CA0D75"/>
    <w:rsid w:val="00CA1C95"/>
    <w:rsid w:val="00CA2070"/>
    <w:rsid w:val="00CA2385"/>
    <w:rsid w:val="00CA25E7"/>
    <w:rsid w:val="00CA4E94"/>
    <w:rsid w:val="00CA4F95"/>
    <w:rsid w:val="00CA5A9C"/>
    <w:rsid w:val="00CA5B35"/>
    <w:rsid w:val="00CA64F5"/>
    <w:rsid w:val="00CB0687"/>
    <w:rsid w:val="00CB0BD1"/>
    <w:rsid w:val="00CB356F"/>
    <w:rsid w:val="00CB445E"/>
    <w:rsid w:val="00CB56CA"/>
    <w:rsid w:val="00CB64EE"/>
    <w:rsid w:val="00CB659C"/>
    <w:rsid w:val="00CB7652"/>
    <w:rsid w:val="00CC035C"/>
    <w:rsid w:val="00CC0647"/>
    <w:rsid w:val="00CC09A3"/>
    <w:rsid w:val="00CC100E"/>
    <w:rsid w:val="00CC1276"/>
    <w:rsid w:val="00CC3471"/>
    <w:rsid w:val="00CC4C20"/>
    <w:rsid w:val="00CC7D81"/>
    <w:rsid w:val="00CD3100"/>
    <w:rsid w:val="00CD3517"/>
    <w:rsid w:val="00CD3A0D"/>
    <w:rsid w:val="00CD58C0"/>
    <w:rsid w:val="00CD5FE2"/>
    <w:rsid w:val="00CD6051"/>
    <w:rsid w:val="00CD62C4"/>
    <w:rsid w:val="00CD738C"/>
    <w:rsid w:val="00CD7BF3"/>
    <w:rsid w:val="00CE24D1"/>
    <w:rsid w:val="00CE282A"/>
    <w:rsid w:val="00CE38E6"/>
    <w:rsid w:val="00CE46E7"/>
    <w:rsid w:val="00CE474B"/>
    <w:rsid w:val="00CE565E"/>
    <w:rsid w:val="00CE5F3F"/>
    <w:rsid w:val="00CE63ED"/>
    <w:rsid w:val="00CE74E1"/>
    <w:rsid w:val="00CE7C68"/>
    <w:rsid w:val="00CF0102"/>
    <w:rsid w:val="00CF350E"/>
    <w:rsid w:val="00CF44DD"/>
    <w:rsid w:val="00CF5816"/>
    <w:rsid w:val="00CF6777"/>
    <w:rsid w:val="00D0230E"/>
    <w:rsid w:val="00D026B1"/>
    <w:rsid w:val="00D02B4C"/>
    <w:rsid w:val="00D040C4"/>
    <w:rsid w:val="00D04368"/>
    <w:rsid w:val="00D05026"/>
    <w:rsid w:val="00D0615E"/>
    <w:rsid w:val="00D0766B"/>
    <w:rsid w:val="00D07896"/>
    <w:rsid w:val="00D07F96"/>
    <w:rsid w:val="00D10666"/>
    <w:rsid w:val="00D10E54"/>
    <w:rsid w:val="00D11A6C"/>
    <w:rsid w:val="00D12667"/>
    <w:rsid w:val="00D12E59"/>
    <w:rsid w:val="00D13429"/>
    <w:rsid w:val="00D138B0"/>
    <w:rsid w:val="00D13D59"/>
    <w:rsid w:val="00D162B8"/>
    <w:rsid w:val="00D2033F"/>
    <w:rsid w:val="00D206AD"/>
    <w:rsid w:val="00D20CFA"/>
    <w:rsid w:val="00D20FE6"/>
    <w:rsid w:val="00D21450"/>
    <w:rsid w:val="00D23926"/>
    <w:rsid w:val="00D23943"/>
    <w:rsid w:val="00D24BBF"/>
    <w:rsid w:val="00D2622C"/>
    <w:rsid w:val="00D27DB3"/>
    <w:rsid w:val="00D3105C"/>
    <w:rsid w:val="00D319B6"/>
    <w:rsid w:val="00D31B15"/>
    <w:rsid w:val="00D31B6C"/>
    <w:rsid w:val="00D3438C"/>
    <w:rsid w:val="00D36CE4"/>
    <w:rsid w:val="00D370D2"/>
    <w:rsid w:val="00D41E5B"/>
    <w:rsid w:val="00D42921"/>
    <w:rsid w:val="00D4316B"/>
    <w:rsid w:val="00D4446F"/>
    <w:rsid w:val="00D45715"/>
    <w:rsid w:val="00D45F17"/>
    <w:rsid w:val="00D46B7E"/>
    <w:rsid w:val="00D471BF"/>
    <w:rsid w:val="00D51A0A"/>
    <w:rsid w:val="00D51F43"/>
    <w:rsid w:val="00D53754"/>
    <w:rsid w:val="00D53D27"/>
    <w:rsid w:val="00D56181"/>
    <w:rsid w:val="00D56377"/>
    <w:rsid w:val="00D56980"/>
    <w:rsid w:val="00D57C84"/>
    <w:rsid w:val="00D6057D"/>
    <w:rsid w:val="00D62128"/>
    <w:rsid w:val="00D62165"/>
    <w:rsid w:val="00D62267"/>
    <w:rsid w:val="00D62283"/>
    <w:rsid w:val="00D629C4"/>
    <w:rsid w:val="00D644CC"/>
    <w:rsid w:val="00D656AB"/>
    <w:rsid w:val="00D660D0"/>
    <w:rsid w:val="00D66CF2"/>
    <w:rsid w:val="00D7232C"/>
    <w:rsid w:val="00D752CE"/>
    <w:rsid w:val="00D7563E"/>
    <w:rsid w:val="00D7582C"/>
    <w:rsid w:val="00D75FC8"/>
    <w:rsid w:val="00D76D5A"/>
    <w:rsid w:val="00D80683"/>
    <w:rsid w:val="00D81E02"/>
    <w:rsid w:val="00D823C7"/>
    <w:rsid w:val="00D83082"/>
    <w:rsid w:val="00D834C3"/>
    <w:rsid w:val="00D836C5"/>
    <w:rsid w:val="00D83DF5"/>
    <w:rsid w:val="00D84576"/>
    <w:rsid w:val="00D84704"/>
    <w:rsid w:val="00D8519F"/>
    <w:rsid w:val="00D865AE"/>
    <w:rsid w:val="00D86C0A"/>
    <w:rsid w:val="00D86E9D"/>
    <w:rsid w:val="00D9056B"/>
    <w:rsid w:val="00D91CBF"/>
    <w:rsid w:val="00D91FBB"/>
    <w:rsid w:val="00D926E3"/>
    <w:rsid w:val="00D938B5"/>
    <w:rsid w:val="00D9419F"/>
    <w:rsid w:val="00D95F95"/>
    <w:rsid w:val="00D9685A"/>
    <w:rsid w:val="00D9692E"/>
    <w:rsid w:val="00D96C38"/>
    <w:rsid w:val="00D972D3"/>
    <w:rsid w:val="00D974FC"/>
    <w:rsid w:val="00DA0A91"/>
    <w:rsid w:val="00DA11E0"/>
    <w:rsid w:val="00DA1399"/>
    <w:rsid w:val="00DA24C6"/>
    <w:rsid w:val="00DA276B"/>
    <w:rsid w:val="00DA3198"/>
    <w:rsid w:val="00DA4CF3"/>
    <w:rsid w:val="00DA4D7B"/>
    <w:rsid w:val="00DA5A3E"/>
    <w:rsid w:val="00DA6C6A"/>
    <w:rsid w:val="00DA79C2"/>
    <w:rsid w:val="00DB08C6"/>
    <w:rsid w:val="00DB09EF"/>
    <w:rsid w:val="00DB2FC6"/>
    <w:rsid w:val="00DB3213"/>
    <w:rsid w:val="00DB35C4"/>
    <w:rsid w:val="00DB4016"/>
    <w:rsid w:val="00DB6341"/>
    <w:rsid w:val="00DB72BC"/>
    <w:rsid w:val="00DC0CAA"/>
    <w:rsid w:val="00DC1462"/>
    <w:rsid w:val="00DC1909"/>
    <w:rsid w:val="00DC21A7"/>
    <w:rsid w:val="00DC2A61"/>
    <w:rsid w:val="00DC4217"/>
    <w:rsid w:val="00DC4AF7"/>
    <w:rsid w:val="00DC5508"/>
    <w:rsid w:val="00DC6F10"/>
    <w:rsid w:val="00DD053C"/>
    <w:rsid w:val="00DD177B"/>
    <w:rsid w:val="00DD35F9"/>
    <w:rsid w:val="00DD49CA"/>
    <w:rsid w:val="00DD4E0D"/>
    <w:rsid w:val="00DD5D67"/>
    <w:rsid w:val="00DD6500"/>
    <w:rsid w:val="00DE0321"/>
    <w:rsid w:val="00DE18D7"/>
    <w:rsid w:val="00DE264A"/>
    <w:rsid w:val="00DE3A91"/>
    <w:rsid w:val="00DE41F6"/>
    <w:rsid w:val="00DE4852"/>
    <w:rsid w:val="00DE5863"/>
    <w:rsid w:val="00DE5ACD"/>
    <w:rsid w:val="00DE67E0"/>
    <w:rsid w:val="00DE7776"/>
    <w:rsid w:val="00DE7D20"/>
    <w:rsid w:val="00DF0AA9"/>
    <w:rsid w:val="00DF1034"/>
    <w:rsid w:val="00DF18BA"/>
    <w:rsid w:val="00DF2413"/>
    <w:rsid w:val="00DF2BEE"/>
    <w:rsid w:val="00DF3967"/>
    <w:rsid w:val="00DF3CE5"/>
    <w:rsid w:val="00DF4DD3"/>
    <w:rsid w:val="00DF4F01"/>
    <w:rsid w:val="00DF5072"/>
    <w:rsid w:val="00DF6238"/>
    <w:rsid w:val="00E003B3"/>
    <w:rsid w:val="00E00B60"/>
    <w:rsid w:val="00E00DB6"/>
    <w:rsid w:val="00E00DC5"/>
    <w:rsid w:val="00E00E3B"/>
    <w:rsid w:val="00E012EE"/>
    <w:rsid w:val="00E01A24"/>
    <w:rsid w:val="00E01D20"/>
    <w:rsid w:val="00E01E10"/>
    <w:rsid w:val="00E02D18"/>
    <w:rsid w:val="00E03ED2"/>
    <w:rsid w:val="00E041E7"/>
    <w:rsid w:val="00E04640"/>
    <w:rsid w:val="00E05E4B"/>
    <w:rsid w:val="00E06172"/>
    <w:rsid w:val="00E064C9"/>
    <w:rsid w:val="00E074BA"/>
    <w:rsid w:val="00E07F63"/>
    <w:rsid w:val="00E10C02"/>
    <w:rsid w:val="00E110F9"/>
    <w:rsid w:val="00E11916"/>
    <w:rsid w:val="00E128A4"/>
    <w:rsid w:val="00E13C90"/>
    <w:rsid w:val="00E16241"/>
    <w:rsid w:val="00E17170"/>
    <w:rsid w:val="00E2006A"/>
    <w:rsid w:val="00E20A25"/>
    <w:rsid w:val="00E216DE"/>
    <w:rsid w:val="00E2212F"/>
    <w:rsid w:val="00E2215F"/>
    <w:rsid w:val="00E22646"/>
    <w:rsid w:val="00E226FB"/>
    <w:rsid w:val="00E22F62"/>
    <w:rsid w:val="00E23CA1"/>
    <w:rsid w:val="00E23E20"/>
    <w:rsid w:val="00E24775"/>
    <w:rsid w:val="00E266B5"/>
    <w:rsid w:val="00E26C2E"/>
    <w:rsid w:val="00E26DBA"/>
    <w:rsid w:val="00E2718C"/>
    <w:rsid w:val="00E33516"/>
    <w:rsid w:val="00E33673"/>
    <w:rsid w:val="00E33932"/>
    <w:rsid w:val="00E35001"/>
    <w:rsid w:val="00E3569D"/>
    <w:rsid w:val="00E35868"/>
    <w:rsid w:val="00E35A83"/>
    <w:rsid w:val="00E35FA1"/>
    <w:rsid w:val="00E36C35"/>
    <w:rsid w:val="00E409A8"/>
    <w:rsid w:val="00E40E9A"/>
    <w:rsid w:val="00E44A26"/>
    <w:rsid w:val="00E451D2"/>
    <w:rsid w:val="00E4572A"/>
    <w:rsid w:val="00E45EE2"/>
    <w:rsid w:val="00E50A84"/>
    <w:rsid w:val="00E50C12"/>
    <w:rsid w:val="00E51BEB"/>
    <w:rsid w:val="00E53DE6"/>
    <w:rsid w:val="00E54E4A"/>
    <w:rsid w:val="00E551F7"/>
    <w:rsid w:val="00E55C1E"/>
    <w:rsid w:val="00E566DC"/>
    <w:rsid w:val="00E56FCB"/>
    <w:rsid w:val="00E577D4"/>
    <w:rsid w:val="00E57968"/>
    <w:rsid w:val="00E61D48"/>
    <w:rsid w:val="00E6243A"/>
    <w:rsid w:val="00E62A19"/>
    <w:rsid w:val="00E642C8"/>
    <w:rsid w:val="00E64739"/>
    <w:rsid w:val="00E652B6"/>
    <w:rsid w:val="00E65B91"/>
    <w:rsid w:val="00E6686C"/>
    <w:rsid w:val="00E6746F"/>
    <w:rsid w:val="00E67755"/>
    <w:rsid w:val="00E70DE7"/>
    <w:rsid w:val="00E7140F"/>
    <w:rsid w:val="00E71D33"/>
    <w:rsid w:val="00E7209D"/>
    <w:rsid w:val="00E7270A"/>
    <w:rsid w:val="00E72EAD"/>
    <w:rsid w:val="00E72F11"/>
    <w:rsid w:val="00E7564A"/>
    <w:rsid w:val="00E761C1"/>
    <w:rsid w:val="00E76EDD"/>
    <w:rsid w:val="00E77223"/>
    <w:rsid w:val="00E77A90"/>
    <w:rsid w:val="00E80319"/>
    <w:rsid w:val="00E8042A"/>
    <w:rsid w:val="00E80E10"/>
    <w:rsid w:val="00E81845"/>
    <w:rsid w:val="00E81ACD"/>
    <w:rsid w:val="00E82005"/>
    <w:rsid w:val="00E823BF"/>
    <w:rsid w:val="00E84EFD"/>
    <w:rsid w:val="00E8528B"/>
    <w:rsid w:val="00E85B94"/>
    <w:rsid w:val="00E85CAF"/>
    <w:rsid w:val="00E85CE3"/>
    <w:rsid w:val="00E87598"/>
    <w:rsid w:val="00E8778A"/>
    <w:rsid w:val="00E87BB7"/>
    <w:rsid w:val="00E90EF0"/>
    <w:rsid w:val="00E92254"/>
    <w:rsid w:val="00E95F50"/>
    <w:rsid w:val="00E978D0"/>
    <w:rsid w:val="00EA0F83"/>
    <w:rsid w:val="00EA166C"/>
    <w:rsid w:val="00EA4613"/>
    <w:rsid w:val="00EA674A"/>
    <w:rsid w:val="00EA7766"/>
    <w:rsid w:val="00EA7F91"/>
    <w:rsid w:val="00EB005C"/>
    <w:rsid w:val="00EB1523"/>
    <w:rsid w:val="00EB38BF"/>
    <w:rsid w:val="00EB3BCD"/>
    <w:rsid w:val="00EB4BCB"/>
    <w:rsid w:val="00EB6DD4"/>
    <w:rsid w:val="00EB748A"/>
    <w:rsid w:val="00EC0E49"/>
    <w:rsid w:val="00EC0F2F"/>
    <w:rsid w:val="00EC101F"/>
    <w:rsid w:val="00EC102F"/>
    <w:rsid w:val="00EC17AE"/>
    <w:rsid w:val="00EC1D9F"/>
    <w:rsid w:val="00EC1F30"/>
    <w:rsid w:val="00EC528A"/>
    <w:rsid w:val="00EC5330"/>
    <w:rsid w:val="00EC6603"/>
    <w:rsid w:val="00EC6F8F"/>
    <w:rsid w:val="00ED06AB"/>
    <w:rsid w:val="00ED1838"/>
    <w:rsid w:val="00ED1C79"/>
    <w:rsid w:val="00ED2D88"/>
    <w:rsid w:val="00ED36FE"/>
    <w:rsid w:val="00ED3B96"/>
    <w:rsid w:val="00ED5BCD"/>
    <w:rsid w:val="00EE0131"/>
    <w:rsid w:val="00EE17B0"/>
    <w:rsid w:val="00EE36D9"/>
    <w:rsid w:val="00EE48C0"/>
    <w:rsid w:val="00EE57B6"/>
    <w:rsid w:val="00EE57DA"/>
    <w:rsid w:val="00EE7B92"/>
    <w:rsid w:val="00EF06D9"/>
    <w:rsid w:val="00EF1436"/>
    <w:rsid w:val="00EF498E"/>
    <w:rsid w:val="00EF6D55"/>
    <w:rsid w:val="00EF7C26"/>
    <w:rsid w:val="00EF7C4E"/>
    <w:rsid w:val="00F00769"/>
    <w:rsid w:val="00F01072"/>
    <w:rsid w:val="00F01716"/>
    <w:rsid w:val="00F022B6"/>
    <w:rsid w:val="00F05883"/>
    <w:rsid w:val="00F06757"/>
    <w:rsid w:val="00F07805"/>
    <w:rsid w:val="00F07C58"/>
    <w:rsid w:val="00F10471"/>
    <w:rsid w:val="00F10D9D"/>
    <w:rsid w:val="00F128EE"/>
    <w:rsid w:val="00F1294D"/>
    <w:rsid w:val="00F12E95"/>
    <w:rsid w:val="00F12F9A"/>
    <w:rsid w:val="00F14ABE"/>
    <w:rsid w:val="00F1585E"/>
    <w:rsid w:val="00F16C6A"/>
    <w:rsid w:val="00F20740"/>
    <w:rsid w:val="00F20E27"/>
    <w:rsid w:val="00F21B65"/>
    <w:rsid w:val="00F22BBF"/>
    <w:rsid w:val="00F2315A"/>
    <w:rsid w:val="00F2476E"/>
    <w:rsid w:val="00F24ED2"/>
    <w:rsid w:val="00F2686D"/>
    <w:rsid w:val="00F2725D"/>
    <w:rsid w:val="00F279BD"/>
    <w:rsid w:val="00F279F4"/>
    <w:rsid w:val="00F30760"/>
    <w:rsid w:val="00F30C64"/>
    <w:rsid w:val="00F31688"/>
    <w:rsid w:val="00F31B12"/>
    <w:rsid w:val="00F328AE"/>
    <w:rsid w:val="00F32BA2"/>
    <w:rsid w:val="00F32CDB"/>
    <w:rsid w:val="00F36BF3"/>
    <w:rsid w:val="00F36C6F"/>
    <w:rsid w:val="00F374FF"/>
    <w:rsid w:val="00F40BD3"/>
    <w:rsid w:val="00F42CDB"/>
    <w:rsid w:val="00F436B2"/>
    <w:rsid w:val="00F43B3E"/>
    <w:rsid w:val="00F44662"/>
    <w:rsid w:val="00F45556"/>
    <w:rsid w:val="00F4558A"/>
    <w:rsid w:val="00F46D7C"/>
    <w:rsid w:val="00F50172"/>
    <w:rsid w:val="00F50CAC"/>
    <w:rsid w:val="00F52716"/>
    <w:rsid w:val="00F53C48"/>
    <w:rsid w:val="00F54442"/>
    <w:rsid w:val="00F54A27"/>
    <w:rsid w:val="00F565FE"/>
    <w:rsid w:val="00F5761D"/>
    <w:rsid w:val="00F60BC0"/>
    <w:rsid w:val="00F62510"/>
    <w:rsid w:val="00F63A70"/>
    <w:rsid w:val="00F64247"/>
    <w:rsid w:val="00F6427A"/>
    <w:rsid w:val="00F6482B"/>
    <w:rsid w:val="00F64DA5"/>
    <w:rsid w:val="00F6567E"/>
    <w:rsid w:val="00F6661E"/>
    <w:rsid w:val="00F667DF"/>
    <w:rsid w:val="00F66837"/>
    <w:rsid w:val="00F66B87"/>
    <w:rsid w:val="00F66CD1"/>
    <w:rsid w:val="00F67285"/>
    <w:rsid w:val="00F70894"/>
    <w:rsid w:val="00F70D33"/>
    <w:rsid w:val="00F70F3A"/>
    <w:rsid w:val="00F716C0"/>
    <w:rsid w:val="00F724E9"/>
    <w:rsid w:val="00F73452"/>
    <w:rsid w:val="00F737E5"/>
    <w:rsid w:val="00F74EFE"/>
    <w:rsid w:val="00F7534E"/>
    <w:rsid w:val="00F80F2E"/>
    <w:rsid w:val="00F815FC"/>
    <w:rsid w:val="00F82A62"/>
    <w:rsid w:val="00F82FD3"/>
    <w:rsid w:val="00F830FF"/>
    <w:rsid w:val="00F83C54"/>
    <w:rsid w:val="00F83F24"/>
    <w:rsid w:val="00F841C0"/>
    <w:rsid w:val="00F85C10"/>
    <w:rsid w:val="00F8618A"/>
    <w:rsid w:val="00F86471"/>
    <w:rsid w:val="00F86CA5"/>
    <w:rsid w:val="00F87661"/>
    <w:rsid w:val="00F904CF"/>
    <w:rsid w:val="00F91162"/>
    <w:rsid w:val="00F91210"/>
    <w:rsid w:val="00F913DA"/>
    <w:rsid w:val="00F92CE0"/>
    <w:rsid w:val="00F92D74"/>
    <w:rsid w:val="00F945E3"/>
    <w:rsid w:val="00F9463E"/>
    <w:rsid w:val="00F95E80"/>
    <w:rsid w:val="00F97924"/>
    <w:rsid w:val="00F97C3D"/>
    <w:rsid w:val="00F97D9E"/>
    <w:rsid w:val="00FA0F00"/>
    <w:rsid w:val="00FA1C20"/>
    <w:rsid w:val="00FA21D0"/>
    <w:rsid w:val="00FA3E90"/>
    <w:rsid w:val="00FA46E1"/>
    <w:rsid w:val="00FA4C85"/>
    <w:rsid w:val="00FA5D73"/>
    <w:rsid w:val="00FA5F5F"/>
    <w:rsid w:val="00FA7587"/>
    <w:rsid w:val="00FA7BE4"/>
    <w:rsid w:val="00FA7F15"/>
    <w:rsid w:val="00FB0039"/>
    <w:rsid w:val="00FB0273"/>
    <w:rsid w:val="00FB2970"/>
    <w:rsid w:val="00FB2BBD"/>
    <w:rsid w:val="00FB67B7"/>
    <w:rsid w:val="00FB6C75"/>
    <w:rsid w:val="00FB723C"/>
    <w:rsid w:val="00FB730C"/>
    <w:rsid w:val="00FC0459"/>
    <w:rsid w:val="00FC05CB"/>
    <w:rsid w:val="00FC2695"/>
    <w:rsid w:val="00FC3BAD"/>
    <w:rsid w:val="00FC3E03"/>
    <w:rsid w:val="00FC3F24"/>
    <w:rsid w:val="00FC3FC1"/>
    <w:rsid w:val="00FC41C2"/>
    <w:rsid w:val="00FC51E0"/>
    <w:rsid w:val="00FC5937"/>
    <w:rsid w:val="00FC60DF"/>
    <w:rsid w:val="00FC6AF2"/>
    <w:rsid w:val="00FD08D3"/>
    <w:rsid w:val="00FD2F88"/>
    <w:rsid w:val="00FD3B39"/>
    <w:rsid w:val="00FD3DDF"/>
    <w:rsid w:val="00FD5028"/>
    <w:rsid w:val="00FD5206"/>
    <w:rsid w:val="00FD5DA2"/>
    <w:rsid w:val="00FD6165"/>
    <w:rsid w:val="00FD7583"/>
    <w:rsid w:val="00FE1E48"/>
    <w:rsid w:val="00FE2A09"/>
    <w:rsid w:val="00FE2C1C"/>
    <w:rsid w:val="00FE44A9"/>
    <w:rsid w:val="00FE51BE"/>
    <w:rsid w:val="00FF003E"/>
    <w:rsid w:val="00FF33EB"/>
    <w:rsid w:val="00FF509C"/>
    <w:rsid w:val="00FF63E4"/>
    <w:rsid w:val="01739F18"/>
    <w:rsid w:val="03F4E755"/>
    <w:rsid w:val="05421C09"/>
    <w:rsid w:val="07DB9394"/>
    <w:rsid w:val="0A7266B2"/>
    <w:rsid w:val="0A9AA8A0"/>
    <w:rsid w:val="0D50D384"/>
    <w:rsid w:val="0DE71C4F"/>
    <w:rsid w:val="0DE87D59"/>
    <w:rsid w:val="0FA72D58"/>
    <w:rsid w:val="185F1D21"/>
    <w:rsid w:val="1AB46F85"/>
    <w:rsid w:val="1CA56B42"/>
    <w:rsid w:val="1F3F4AF9"/>
    <w:rsid w:val="1FA796C7"/>
    <w:rsid w:val="202C770C"/>
    <w:rsid w:val="257000EE"/>
    <w:rsid w:val="27346328"/>
    <w:rsid w:val="28E3677E"/>
    <w:rsid w:val="2A9EA164"/>
    <w:rsid w:val="2BAC4730"/>
    <w:rsid w:val="2BB39B5B"/>
    <w:rsid w:val="2D8DD3E8"/>
    <w:rsid w:val="2E143765"/>
    <w:rsid w:val="30151D75"/>
    <w:rsid w:val="31960C7E"/>
    <w:rsid w:val="333A8EB2"/>
    <w:rsid w:val="35F799D1"/>
    <w:rsid w:val="38C2C8A1"/>
    <w:rsid w:val="3A3C59BC"/>
    <w:rsid w:val="3C2CCF4F"/>
    <w:rsid w:val="3C8383F8"/>
    <w:rsid w:val="3ED8D0B9"/>
    <w:rsid w:val="467DB089"/>
    <w:rsid w:val="46B1A795"/>
    <w:rsid w:val="486F7F44"/>
    <w:rsid w:val="497E948D"/>
    <w:rsid w:val="4AA7C5E3"/>
    <w:rsid w:val="4BB6C030"/>
    <w:rsid w:val="4E895166"/>
    <w:rsid w:val="52431FD5"/>
    <w:rsid w:val="52483063"/>
    <w:rsid w:val="52D1DFB9"/>
    <w:rsid w:val="58FA5A6A"/>
    <w:rsid w:val="5F7F6100"/>
    <w:rsid w:val="6157E914"/>
    <w:rsid w:val="627306C8"/>
    <w:rsid w:val="639F1B7C"/>
    <w:rsid w:val="652726C1"/>
    <w:rsid w:val="658F5FD9"/>
    <w:rsid w:val="665249E8"/>
    <w:rsid w:val="6B4812BF"/>
    <w:rsid w:val="6CA783A4"/>
    <w:rsid w:val="754F649A"/>
    <w:rsid w:val="794E80B4"/>
    <w:rsid w:val="7BE4B580"/>
    <w:rsid w:val="7C5554A2"/>
    <w:rsid w:val="7DA505DC"/>
    <w:rsid w:val="7E7BA3B2"/>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8535B318-A145-4972-801E-D61EE73508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MS Mincho"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256BED"/>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503A38"/>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503A38"/>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3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styleId="Menzionenonrisolta">
    <w:name w:val="Unresolved Mention"/>
    <w:basedOn w:val="Carpredefinitoparagrafo"/>
    <w:uiPriority w:val="99"/>
    <w:semiHidden/>
    <w:unhideWhenUsed/>
    <w:rsid w:val="00202FF9"/>
    <w:rPr>
      <w:color w:val="605E5C"/>
      <w:shd w:val="clear" w:color="auto" w:fill="E1DFDD"/>
    </w:rPr>
  </w:style>
  <w:style w:type="paragraph" w:customStyle="1" w:styleId="APPTablebody">
    <w:name w:val="APP Table body"/>
    <w:basedOn w:val="Normale"/>
    <w:link w:val="APPTablebodyChar"/>
    <w:qFormat/>
    <w:rsid w:val="00436D5F"/>
    <w:pPr>
      <w:tabs>
        <w:tab w:val="clear" w:pos="7100"/>
      </w:tabs>
      <w:spacing w:line="240" w:lineRule="auto"/>
      <w:jc w:val="left"/>
    </w:pPr>
    <w:rPr>
      <w:rFonts w:ascii="Times New Roman" w:eastAsiaTheme="minorHAnsi" w:hAnsi="Times New Roman" w:cstheme="minorBidi"/>
      <w:sz w:val="16"/>
      <w:szCs w:val="22"/>
    </w:rPr>
  </w:style>
  <w:style w:type="character" w:customStyle="1" w:styleId="APPTablebodyChar">
    <w:name w:val="APP Table body Char"/>
    <w:basedOn w:val="Carpredefinitoparagrafo"/>
    <w:link w:val="APPTablebody"/>
    <w:rsid w:val="00436D5F"/>
    <w:rPr>
      <w:rFonts w:ascii="Times New Roman" w:hAnsi="Times New Roman"/>
      <w:sz w:val="16"/>
      <w:lang w:val="en-GB"/>
    </w:rPr>
  </w:style>
  <w:style w:type="paragraph" w:customStyle="1" w:styleId="APPTableTitle">
    <w:name w:val="APP Table Title"/>
    <w:basedOn w:val="APPTablebody"/>
    <w:link w:val="APPTableTitleChar"/>
    <w:qFormat/>
    <w:rsid w:val="00436D5F"/>
    <w:pPr>
      <w:spacing w:before="60" w:after="60"/>
    </w:pPr>
    <w:rPr>
      <w:rFonts w:eastAsia="MS Mincho"/>
      <w:b/>
    </w:rPr>
  </w:style>
  <w:style w:type="character" w:customStyle="1" w:styleId="APPTableTitleChar">
    <w:name w:val="APP Table Title Char"/>
    <w:basedOn w:val="APPTablebodyChar"/>
    <w:link w:val="APPTableTitle"/>
    <w:rsid w:val="00436D5F"/>
    <w:rPr>
      <w:rFonts w:ascii="Times New Roman" w:eastAsia="MS Mincho" w:hAnsi="Times New Roman"/>
      <w:b/>
      <w:sz w:val="16"/>
      <w:lang w:val="en-GB"/>
    </w:rPr>
  </w:style>
  <w:style w:type="character" w:styleId="Testosegnaposto">
    <w:name w:val="Placeholder Text"/>
    <w:basedOn w:val="Carpredefinitoparagrafo"/>
    <w:uiPriority w:val="99"/>
    <w:semiHidden/>
    <w:rsid w:val="006463C1"/>
    <w:rPr>
      <w:color w:val="666666"/>
    </w:rPr>
  </w:style>
  <w:style w:type="paragraph" w:styleId="Revisione">
    <w:name w:val="Revision"/>
    <w:hidden/>
    <w:uiPriority w:val="99"/>
    <w:semiHidden/>
    <w:rsid w:val="004C36E1"/>
    <w:pPr>
      <w:spacing w:after="0" w:line="240" w:lineRule="auto"/>
    </w:pPr>
    <w:rPr>
      <w:rFonts w:ascii="Arial" w:eastAsia="Times New Roman" w:hAnsi="Arial" w:cs="Times New Roman"/>
      <w:sz w:val="18"/>
      <w:szCs w:val="20"/>
      <w:lang w:val="en-GB"/>
    </w:rPr>
  </w:style>
  <w:style w:type="character" w:styleId="Collegamentovisitato">
    <w:name w:val="FollowedHyperlink"/>
    <w:basedOn w:val="Carpredefinitoparagrafo"/>
    <w:uiPriority w:val="99"/>
    <w:semiHidden/>
    <w:unhideWhenUsed/>
    <w:rsid w:val="0008613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5316312">
      <w:bodyDiv w:val="1"/>
      <w:marLeft w:val="0"/>
      <w:marRight w:val="0"/>
      <w:marTop w:val="0"/>
      <w:marBottom w:val="0"/>
      <w:divBdr>
        <w:top w:val="none" w:sz="0" w:space="0" w:color="auto"/>
        <w:left w:val="none" w:sz="0" w:space="0" w:color="auto"/>
        <w:bottom w:val="none" w:sz="0" w:space="0" w:color="auto"/>
        <w:right w:val="none" w:sz="0" w:space="0" w:color="auto"/>
      </w:divBdr>
    </w:div>
    <w:div w:id="141849215">
      <w:bodyDiv w:val="1"/>
      <w:marLeft w:val="0"/>
      <w:marRight w:val="0"/>
      <w:marTop w:val="0"/>
      <w:marBottom w:val="0"/>
      <w:divBdr>
        <w:top w:val="none" w:sz="0" w:space="0" w:color="auto"/>
        <w:left w:val="none" w:sz="0" w:space="0" w:color="auto"/>
        <w:bottom w:val="none" w:sz="0" w:space="0" w:color="auto"/>
        <w:right w:val="none" w:sz="0" w:space="0" w:color="auto"/>
      </w:divBdr>
    </w:div>
    <w:div w:id="232666748">
      <w:bodyDiv w:val="1"/>
      <w:marLeft w:val="0"/>
      <w:marRight w:val="0"/>
      <w:marTop w:val="0"/>
      <w:marBottom w:val="0"/>
      <w:divBdr>
        <w:top w:val="none" w:sz="0" w:space="0" w:color="auto"/>
        <w:left w:val="none" w:sz="0" w:space="0" w:color="auto"/>
        <w:bottom w:val="none" w:sz="0" w:space="0" w:color="auto"/>
        <w:right w:val="none" w:sz="0" w:space="0" w:color="auto"/>
      </w:divBdr>
    </w:div>
    <w:div w:id="415397432">
      <w:bodyDiv w:val="1"/>
      <w:marLeft w:val="0"/>
      <w:marRight w:val="0"/>
      <w:marTop w:val="0"/>
      <w:marBottom w:val="0"/>
      <w:divBdr>
        <w:top w:val="none" w:sz="0" w:space="0" w:color="auto"/>
        <w:left w:val="none" w:sz="0" w:space="0" w:color="auto"/>
        <w:bottom w:val="none" w:sz="0" w:space="0" w:color="auto"/>
        <w:right w:val="none" w:sz="0" w:space="0" w:color="auto"/>
      </w:divBdr>
    </w:div>
    <w:div w:id="575018749">
      <w:bodyDiv w:val="1"/>
      <w:marLeft w:val="0"/>
      <w:marRight w:val="0"/>
      <w:marTop w:val="0"/>
      <w:marBottom w:val="0"/>
      <w:divBdr>
        <w:top w:val="none" w:sz="0" w:space="0" w:color="auto"/>
        <w:left w:val="none" w:sz="0" w:space="0" w:color="auto"/>
        <w:bottom w:val="none" w:sz="0" w:space="0" w:color="auto"/>
        <w:right w:val="none" w:sz="0" w:space="0" w:color="auto"/>
      </w:divBdr>
    </w:div>
    <w:div w:id="595794511">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023934">
      <w:bodyDiv w:val="1"/>
      <w:marLeft w:val="0"/>
      <w:marRight w:val="0"/>
      <w:marTop w:val="0"/>
      <w:marBottom w:val="0"/>
      <w:divBdr>
        <w:top w:val="none" w:sz="0" w:space="0" w:color="auto"/>
        <w:left w:val="none" w:sz="0" w:space="0" w:color="auto"/>
        <w:bottom w:val="none" w:sz="0" w:space="0" w:color="auto"/>
        <w:right w:val="none" w:sz="0" w:space="0" w:color="auto"/>
      </w:divBdr>
    </w:div>
    <w:div w:id="1201169510">
      <w:bodyDiv w:val="1"/>
      <w:marLeft w:val="0"/>
      <w:marRight w:val="0"/>
      <w:marTop w:val="0"/>
      <w:marBottom w:val="0"/>
      <w:divBdr>
        <w:top w:val="none" w:sz="0" w:space="0" w:color="auto"/>
        <w:left w:val="none" w:sz="0" w:space="0" w:color="auto"/>
        <w:bottom w:val="none" w:sz="0" w:space="0" w:color="auto"/>
        <w:right w:val="none" w:sz="0" w:space="0" w:color="auto"/>
      </w:divBdr>
    </w:div>
    <w:div w:id="1332026567">
      <w:bodyDiv w:val="1"/>
      <w:marLeft w:val="0"/>
      <w:marRight w:val="0"/>
      <w:marTop w:val="0"/>
      <w:marBottom w:val="0"/>
      <w:divBdr>
        <w:top w:val="none" w:sz="0" w:space="0" w:color="auto"/>
        <w:left w:val="none" w:sz="0" w:space="0" w:color="auto"/>
        <w:bottom w:val="none" w:sz="0" w:space="0" w:color="auto"/>
        <w:right w:val="none" w:sz="0" w:space="0" w:color="auto"/>
      </w:divBdr>
    </w:div>
    <w:div w:id="1343823002">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58461491">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675897">
      <w:bodyDiv w:val="1"/>
      <w:marLeft w:val="0"/>
      <w:marRight w:val="0"/>
      <w:marTop w:val="0"/>
      <w:marBottom w:val="0"/>
      <w:divBdr>
        <w:top w:val="none" w:sz="0" w:space="0" w:color="auto"/>
        <w:left w:val="none" w:sz="0" w:space="0" w:color="auto"/>
        <w:bottom w:val="none" w:sz="0" w:space="0" w:color="auto"/>
        <w:right w:val="none" w:sz="0" w:space="0" w:color="auto"/>
      </w:divBdr>
    </w:div>
    <w:div w:id="2065905919">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antonio.vitale5@unina.it"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300F71-191D-47BC-A8C1-3D0E845105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7329</TotalTime>
  <Pages>1</Pages>
  <Words>3661</Words>
  <Characters>20874</Characters>
  <Application>Microsoft Office Word</Application>
  <DocSecurity>0</DocSecurity>
  <Lines>173</Lines>
  <Paragraphs>48</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24487</CharactersWithSpaces>
  <SharedDoc>false</SharedDoc>
  <HLinks>
    <vt:vector size="6" baseType="variant">
      <vt:variant>
        <vt:i4>3735567</vt:i4>
      </vt:variant>
      <vt:variant>
        <vt:i4>0</vt:i4>
      </vt:variant>
      <vt:variant>
        <vt:i4>0</vt:i4>
      </vt:variant>
      <vt:variant>
        <vt:i4>5</vt:i4>
      </vt:variant>
      <vt:variant>
        <vt:lpwstr>mailto:antonio.vitale5@unina.it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raffaella</dc:creator>
  <cp:keywords/>
  <cp:lastModifiedBy>ANTONIO VITALE</cp:lastModifiedBy>
  <cp:revision>1264</cp:revision>
  <cp:lastPrinted>2024-07-26T10:44:00Z</cp:lastPrinted>
  <dcterms:created xsi:type="dcterms:W3CDTF">2024-04-04T23:05:00Z</dcterms:created>
  <dcterms:modified xsi:type="dcterms:W3CDTF">2024-07-26T10:45:00Z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MSIP_Label_2ad0b24d-6422-44b0-b3de-abb3a9e8c81a_Enabled">
    <vt:lpwstr>true</vt:lpwstr>
  </property>
  <property fmtid="{D5CDD505-2E9C-101B-9397-08002B2CF9AE}" pid="5" name="MSIP_Label_2ad0b24d-6422-44b0-b3de-abb3a9e8c81a_SetDate">
    <vt:lpwstr>2024-04-03T11:05:48Z</vt:lpwstr>
  </property>
  <property fmtid="{D5CDD505-2E9C-101B-9397-08002B2CF9AE}" pid="6" name="MSIP_Label_2ad0b24d-6422-44b0-b3de-abb3a9e8c81a_Method">
    <vt:lpwstr>Standard</vt:lpwstr>
  </property>
  <property fmtid="{D5CDD505-2E9C-101B-9397-08002B2CF9AE}" pid="7" name="MSIP_Label_2ad0b24d-6422-44b0-b3de-abb3a9e8c81a_Name">
    <vt:lpwstr>defa4170-0d19-0005-0004-bc88714345d2</vt:lpwstr>
  </property>
  <property fmtid="{D5CDD505-2E9C-101B-9397-08002B2CF9AE}" pid="8" name="MSIP_Label_2ad0b24d-6422-44b0-b3de-abb3a9e8c81a_SiteId">
    <vt:lpwstr>2fcfe26a-bb62-46b0-b1e3-28f9da0c45fd</vt:lpwstr>
  </property>
  <property fmtid="{D5CDD505-2E9C-101B-9397-08002B2CF9AE}" pid="9" name="MSIP_Label_2ad0b24d-6422-44b0-b3de-abb3a9e8c81a_ActionId">
    <vt:lpwstr>b44917d4-0dc2-410c-ae36-a28ee186cf7a</vt:lpwstr>
  </property>
  <property fmtid="{D5CDD505-2E9C-101B-9397-08002B2CF9AE}" pid="10" name="MSIP_Label_2ad0b24d-6422-44b0-b3de-abb3a9e8c81a_ContentBits">
    <vt:lpwstr>0</vt:lpwstr>
  </property>
</Properties>
</file>