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517AE2">
          <w:type w:val="continuous"/>
          <w:pgSz w:w="11906" w:h="16838" w:code="9"/>
          <w:pgMar w:top="1701" w:right="1418" w:bottom="1701" w:left="1701" w:header="1701" w:footer="0" w:gutter="0"/>
          <w:cols w:space="708"/>
          <w:titlePg/>
          <w:docGrid w:linePitch="360"/>
        </w:sectPr>
      </w:pPr>
    </w:p>
    <w:p w14:paraId="2E667253" w14:textId="607B2A6B" w:rsidR="00E978D0" w:rsidRPr="00665323" w:rsidRDefault="00E044A9" w:rsidP="00955EC9">
      <w:pPr>
        <w:pStyle w:val="CETTitle"/>
      </w:pPr>
      <w:r w:rsidRPr="00E044A9">
        <w:t xml:space="preserve">A </w:t>
      </w:r>
      <w:r w:rsidR="00AC331D">
        <w:t>S</w:t>
      </w:r>
      <w:r w:rsidRPr="00E044A9">
        <w:t>imple and</w:t>
      </w:r>
      <w:r w:rsidR="00FB0B67">
        <w:t xml:space="preserve"> Inherent </w:t>
      </w:r>
      <w:r w:rsidR="00AC331D">
        <w:t>S</w:t>
      </w:r>
      <w:r w:rsidRPr="00E044A9">
        <w:t xml:space="preserve">afe </w:t>
      </w:r>
      <w:proofErr w:type="spellStart"/>
      <w:r w:rsidR="00AC331D">
        <w:t>M</w:t>
      </w:r>
      <w:r w:rsidRPr="00E044A9">
        <w:t>echanosynthesis</w:t>
      </w:r>
      <w:proofErr w:type="spellEnd"/>
      <w:r w:rsidRPr="00E044A9">
        <w:t xml:space="preserve"> </w:t>
      </w:r>
      <w:r w:rsidR="00AC331D">
        <w:t>M</w:t>
      </w:r>
      <w:r w:rsidRPr="00E044A9">
        <w:t xml:space="preserve">ethod for </w:t>
      </w:r>
      <w:r w:rsidR="00AC331D">
        <w:t>P</w:t>
      </w:r>
      <w:r w:rsidRPr="00E044A9">
        <w:t xml:space="preserve">roducing </w:t>
      </w:r>
      <w:r w:rsidR="00AC331D">
        <w:t>T</w:t>
      </w:r>
      <w:r w:rsidRPr="00E044A9">
        <w:t xml:space="preserve">in </w:t>
      </w:r>
      <w:r w:rsidR="00AC331D">
        <w:t>M</w:t>
      </w:r>
      <w:r w:rsidRPr="00E044A9">
        <w:t xml:space="preserve">etal </w:t>
      </w:r>
      <w:r w:rsidR="00AC331D">
        <w:t>N</w:t>
      </w:r>
      <w:r w:rsidRPr="00E044A9">
        <w:t>anopartic</w:t>
      </w:r>
      <w:r>
        <w:t xml:space="preserve">les </w:t>
      </w:r>
      <w:r w:rsidR="00AC331D">
        <w:t>D</w:t>
      </w:r>
      <w:r>
        <w:t>ispersion</w:t>
      </w:r>
      <w:r w:rsidR="00FB0B67">
        <w:t>s</w:t>
      </w:r>
      <w:r>
        <w:t xml:space="preserve"> </w:t>
      </w:r>
    </w:p>
    <w:p w14:paraId="0488FED2" w14:textId="2812FA28" w:rsidR="00B57E6F" w:rsidRPr="00AC331D" w:rsidRDefault="00E044A9" w:rsidP="00B57E6F">
      <w:pPr>
        <w:pStyle w:val="CETAuthors"/>
        <w:rPr>
          <w:lang w:val="it-IT"/>
        </w:rPr>
      </w:pPr>
      <w:r w:rsidRPr="00AC331D">
        <w:rPr>
          <w:lang w:val="it-IT"/>
        </w:rPr>
        <w:t>A</w:t>
      </w:r>
      <w:r w:rsidR="00C86ADC">
        <w:rPr>
          <w:lang w:val="it-IT"/>
        </w:rPr>
        <w:t xml:space="preserve">ndrea </w:t>
      </w:r>
      <w:r w:rsidRPr="00AC331D">
        <w:rPr>
          <w:lang w:val="it-IT"/>
        </w:rPr>
        <w:t>P. Reverberi</w:t>
      </w:r>
      <w:r w:rsidRPr="00AC331D">
        <w:rPr>
          <w:vertAlign w:val="superscript"/>
          <w:lang w:val="it-IT"/>
        </w:rPr>
        <w:t>a*</w:t>
      </w:r>
      <w:r w:rsidRPr="00AC331D">
        <w:rPr>
          <w:lang w:val="it-IT"/>
        </w:rPr>
        <w:t>, M</w:t>
      </w:r>
      <w:r w:rsidR="00C86ADC">
        <w:rPr>
          <w:lang w:val="it-IT"/>
        </w:rPr>
        <w:t>arco</w:t>
      </w:r>
      <w:r w:rsidRPr="00AC331D">
        <w:rPr>
          <w:lang w:val="it-IT"/>
        </w:rPr>
        <w:t xml:space="preserve"> Vocciante</w:t>
      </w:r>
      <w:r w:rsidRPr="00AC331D">
        <w:rPr>
          <w:vertAlign w:val="superscript"/>
          <w:lang w:val="it-IT"/>
        </w:rPr>
        <w:t>a</w:t>
      </w:r>
      <w:r w:rsidRPr="00AC331D">
        <w:rPr>
          <w:lang w:val="it-IT"/>
        </w:rPr>
        <w:t>, M</w:t>
      </w:r>
      <w:r w:rsidR="00C86ADC">
        <w:rPr>
          <w:lang w:val="it-IT"/>
        </w:rPr>
        <w:t>arco</w:t>
      </w:r>
      <w:r w:rsidRPr="00AC331D">
        <w:rPr>
          <w:lang w:val="it-IT"/>
        </w:rPr>
        <w:t xml:space="preserve"> Salerno</w:t>
      </w:r>
      <w:r w:rsidRPr="00AC331D">
        <w:rPr>
          <w:vertAlign w:val="superscript"/>
          <w:lang w:val="it-IT"/>
        </w:rPr>
        <w:t>b</w:t>
      </w:r>
      <w:r w:rsidRPr="00AC331D">
        <w:rPr>
          <w:lang w:val="it-IT"/>
        </w:rPr>
        <w:t>, O</w:t>
      </w:r>
      <w:r w:rsidR="00C86ADC">
        <w:rPr>
          <w:lang w:val="it-IT"/>
        </w:rPr>
        <w:t>mar</w:t>
      </w:r>
      <w:r w:rsidRPr="00AC331D">
        <w:rPr>
          <w:lang w:val="it-IT"/>
        </w:rPr>
        <w:t xml:space="preserve"> Soda</w:t>
      </w:r>
      <w:r w:rsidRPr="00AC331D">
        <w:rPr>
          <w:vertAlign w:val="superscript"/>
          <w:lang w:val="it-IT"/>
        </w:rPr>
        <w:t>a</w:t>
      </w:r>
      <w:r w:rsidRPr="00AC331D">
        <w:rPr>
          <w:lang w:val="it-IT"/>
        </w:rPr>
        <w:t xml:space="preserve">, </w:t>
      </w:r>
      <w:r w:rsidR="00C86ADC">
        <w:rPr>
          <w:lang w:val="it-IT"/>
        </w:rPr>
        <w:t xml:space="preserve">              </w:t>
      </w:r>
      <w:r w:rsidRPr="00AC331D">
        <w:rPr>
          <w:lang w:val="it-IT"/>
        </w:rPr>
        <w:t>B</w:t>
      </w:r>
      <w:r w:rsidR="00C86ADC">
        <w:rPr>
          <w:lang w:val="it-IT"/>
        </w:rPr>
        <w:t>runo</w:t>
      </w:r>
      <w:r w:rsidRPr="00AC331D">
        <w:rPr>
          <w:lang w:val="it-IT"/>
        </w:rPr>
        <w:t xml:space="preserve"> Fabiano</w:t>
      </w:r>
      <w:r w:rsidRPr="00AC331D">
        <w:rPr>
          <w:vertAlign w:val="superscript"/>
          <w:lang w:val="it-IT"/>
        </w:rPr>
        <w:t>c</w:t>
      </w:r>
    </w:p>
    <w:p w14:paraId="6B2D21B3" w14:textId="3E0F2E85" w:rsidR="00B57E6F" w:rsidRPr="00B57B36" w:rsidRDefault="00B57E6F" w:rsidP="00B57E6F">
      <w:pPr>
        <w:pStyle w:val="CETAddress"/>
      </w:pPr>
      <w:r w:rsidRPr="00B57B36">
        <w:rPr>
          <w:vertAlign w:val="superscript"/>
        </w:rPr>
        <w:t>a</w:t>
      </w:r>
      <w:r w:rsidRPr="00B57B36">
        <w:t xml:space="preserve"> </w:t>
      </w:r>
      <w:r w:rsidR="00CC2B03" w:rsidRPr="00CC2B03">
        <w:t>DCCI</w:t>
      </w:r>
      <w:r w:rsidR="00CC2B03">
        <w:t xml:space="preserve"> – </w:t>
      </w:r>
      <w:r w:rsidR="00CC2B03" w:rsidRPr="00CC2B03">
        <w:t>Department of Chemistry and Industrial Chemistry, Genoa University, via Dodecaneso 31, 16146, Geno</w:t>
      </w:r>
      <w:r w:rsidR="003C1C36">
        <w:t>v</w:t>
      </w:r>
      <w:r w:rsidR="00CC2B03" w:rsidRPr="00CC2B03">
        <w:t>a, Italy</w:t>
      </w:r>
    </w:p>
    <w:p w14:paraId="326EFD81" w14:textId="77777777" w:rsidR="00CC2B03" w:rsidRDefault="00B57E6F" w:rsidP="00B57E6F">
      <w:pPr>
        <w:pStyle w:val="CETAddress"/>
      </w:pPr>
      <w:r w:rsidRPr="00B57B36">
        <w:rPr>
          <w:vertAlign w:val="superscript"/>
        </w:rPr>
        <w:t>b</w:t>
      </w:r>
      <w:r w:rsidR="00CC2B03">
        <w:rPr>
          <w:vertAlign w:val="superscript"/>
        </w:rPr>
        <w:t xml:space="preserve"> </w:t>
      </w:r>
      <w:r w:rsidR="00CC2B03">
        <w:t>DIFI – Department of Physics, Genoa University, via Dodecaneso 33, 16146 Genova, Italy</w:t>
      </w:r>
    </w:p>
    <w:p w14:paraId="29D9D63F" w14:textId="677867AD" w:rsidR="00CC2B03" w:rsidRDefault="00CC2B03" w:rsidP="00CC2B03">
      <w:pPr>
        <w:pStyle w:val="CETAddress"/>
      </w:pPr>
      <w:r>
        <w:rPr>
          <w:vertAlign w:val="superscript"/>
        </w:rPr>
        <w:t xml:space="preserve">c </w:t>
      </w:r>
      <w:r>
        <w:t xml:space="preserve">DICCA – </w:t>
      </w:r>
      <w:r w:rsidRPr="00CC2B03">
        <w:t>Department of Civil, Chemical and Environmental Engineering, Polytechnic School, Geno</w:t>
      </w:r>
      <w:r w:rsidR="003C1C36">
        <w:t>v</w:t>
      </w:r>
      <w:r w:rsidRPr="00CC2B03">
        <w:t xml:space="preserve">a University, via Opera </w:t>
      </w:r>
      <w:r w:rsidR="00397BA9">
        <w:t xml:space="preserve">   </w:t>
      </w:r>
      <w:r w:rsidRPr="00CC2B03">
        <w:t>Pia 15, 16145, Geno</w:t>
      </w:r>
      <w:r w:rsidR="003C1C36">
        <w:t>v</w:t>
      </w:r>
      <w:r w:rsidRPr="00CC2B03">
        <w:t>a, Italy</w:t>
      </w:r>
    </w:p>
    <w:p w14:paraId="73F1267A" w14:textId="00FAD084" w:rsidR="00B57E6F" w:rsidRPr="00B57B36" w:rsidRDefault="00397BA9" w:rsidP="00B57E6F">
      <w:pPr>
        <w:pStyle w:val="CETemail"/>
      </w:pPr>
      <w:r>
        <w:t>reverb@dichep.unige.it</w:t>
      </w:r>
    </w:p>
    <w:p w14:paraId="6893AF25" w14:textId="67849891" w:rsidR="00600535" w:rsidRPr="00B57B36" w:rsidRDefault="008942FF" w:rsidP="00600535">
      <w:pPr>
        <w:pStyle w:val="CETBodytext"/>
        <w:rPr>
          <w:lang w:val="en-GB"/>
        </w:rPr>
      </w:pPr>
      <w:r>
        <w:rPr>
          <w:lang w:val="en-GB"/>
        </w:rPr>
        <w:t>A</w:t>
      </w:r>
      <w:r w:rsidRPr="008942FF">
        <w:rPr>
          <w:lang w:val="en-GB"/>
        </w:rPr>
        <w:t xml:space="preserve"> method for the synthesis of Sn </w:t>
      </w:r>
      <w:r w:rsidR="00295AB2">
        <w:rPr>
          <w:lang w:val="en-GB"/>
        </w:rPr>
        <w:t>nanoparticles (</w:t>
      </w:r>
      <w:r w:rsidRPr="008942FF">
        <w:rPr>
          <w:lang w:val="en-GB"/>
        </w:rPr>
        <w:t>NPs</w:t>
      </w:r>
      <w:r w:rsidR="00295AB2">
        <w:rPr>
          <w:lang w:val="en-GB"/>
        </w:rPr>
        <w:t>)</w:t>
      </w:r>
      <w:r w:rsidRPr="008942FF">
        <w:rPr>
          <w:lang w:val="en-GB"/>
        </w:rPr>
        <w:t xml:space="preserve"> is presented, whose technique is based on a </w:t>
      </w:r>
      <w:proofErr w:type="spellStart"/>
      <w:r w:rsidRPr="008942FF">
        <w:rPr>
          <w:lang w:val="en-GB"/>
        </w:rPr>
        <w:t>reagentless</w:t>
      </w:r>
      <w:proofErr w:type="spellEnd"/>
      <w:r w:rsidRPr="008942FF">
        <w:rPr>
          <w:lang w:val="en-GB"/>
        </w:rPr>
        <w:t xml:space="preserve"> comminution process, where bulky Sn metal undergoes a surface abrasion</w:t>
      </w:r>
      <w:r w:rsidR="00295AB2">
        <w:rPr>
          <w:lang w:val="en-GB"/>
        </w:rPr>
        <w:t xml:space="preserve"> </w:t>
      </w:r>
      <w:r w:rsidRPr="008942FF">
        <w:rPr>
          <w:lang w:val="en-GB"/>
        </w:rPr>
        <w:t>with release of zerovalent meta</w:t>
      </w:r>
      <w:r>
        <w:rPr>
          <w:lang w:val="en-GB"/>
        </w:rPr>
        <w:t>l NPs produced by metal-ceramic</w:t>
      </w:r>
      <w:r w:rsidRPr="008942FF">
        <w:rPr>
          <w:lang w:val="en-GB"/>
        </w:rPr>
        <w:t xml:space="preserve"> balls collisions in a liquid medium embedding and dispersing the as-formed NPs. Two different techniques have been adopted and compared, according to the geometry of the pristine bul</w:t>
      </w:r>
      <w:r w:rsidR="00E0697A">
        <w:rPr>
          <w:lang w:val="en-GB"/>
        </w:rPr>
        <w:t xml:space="preserve">ky metal. In a former case, a </w:t>
      </w:r>
      <w:r w:rsidRPr="008942FF">
        <w:rPr>
          <w:lang w:val="en-GB"/>
        </w:rPr>
        <w:t>Sn metal precursor is shaped in foil form covering the surface of a magnet</w:t>
      </w:r>
      <w:r>
        <w:rPr>
          <w:lang w:val="en-GB"/>
        </w:rPr>
        <w:t>ic stirring device, keeping abrading</w:t>
      </w:r>
      <w:r w:rsidRPr="008942FF">
        <w:rPr>
          <w:lang w:val="en-GB"/>
        </w:rPr>
        <w:t xml:space="preserve"> spheres in agitation in a liquid phase. In a latter case, the metal precursor, in form of spheres, is kept in agitation in a liquid phase together with the abrading balls, whose hits and friction with the Sn spheres lead to the formation of the corresponding NPs. </w:t>
      </w:r>
      <w:r w:rsidR="00E86056">
        <w:rPr>
          <w:lang w:val="en-GB"/>
        </w:rPr>
        <w:t>Three</w:t>
      </w:r>
      <w:r>
        <w:rPr>
          <w:lang w:val="en-GB"/>
        </w:rPr>
        <w:t xml:space="preserve"> different </w:t>
      </w:r>
      <w:r w:rsidRPr="008942FF">
        <w:rPr>
          <w:lang w:val="en-GB"/>
        </w:rPr>
        <w:t xml:space="preserve">capping agents, </w:t>
      </w:r>
      <w:r>
        <w:rPr>
          <w:lang w:val="en-GB"/>
        </w:rPr>
        <w:t xml:space="preserve">one of </w:t>
      </w:r>
      <w:r w:rsidR="00295AB2">
        <w:rPr>
          <w:lang w:val="en-GB"/>
        </w:rPr>
        <w:t xml:space="preserve">which </w:t>
      </w:r>
      <w:r>
        <w:rPr>
          <w:lang w:val="en-GB"/>
        </w:rPr>
        <w:t xml:space="preserve">of natural origin, </w:t>
      </w:r>
      <w:r w:rsidRPr="008942FF">
        <w:rPr>
          <w:lang w:val="en-GB"/>
        </w:rPr>
        <w:t xml:space="preserve">have been dissolved in the liquid phase to </w:t>
      </w:r>
      <w:r w:rsidR="00295AB2">
        <w:rPr>
          <w:lang w:val="en-GB"/>
        </w:rPr>
        <w:t>prevent</w:t>
      </w:r>
      <w:r w:rsidRPr="008942FF">
        <w:rPr>
          <w:lang w:val="en-GB"/>
        </w:rPr>
        <w:t xml:space="preserve"> NPs aggregation, with positive effects in long-term stabilization. The particles have been characterized for shape and diameter by dynamic light scattering (DLS) and </w:t>
      </w:r>
      <w:r>
        <w:rPr>
          <w:lang w:val="en-GB"/>
        </w:rPr>
        <w:t>transmission electron m</w:t>
      </w:r>
      <w:r w:rsidRPr="008942FF">
        <w:rPr>
          <w:lang w:val="en-GB"/>
        </w:rPr>
        <w:t>icroscopy (</w:t>
      </w:r>
      <w:r>
        <w:rPr>
          <w:lang w:val="en-GB"/>
        </w:rPr>
        <w:t>TEM</w:t>
      </w:r>
      <w:r w:rsidR="00EB3763">
        <w:rPr>
          <w:lang w:val="en-GB"/>
        </w:rPr>
        <w:t>)</w:t>
      </w:r>
      <w:r w:rsidRPr="008942FF">
        <w:rPr>
          <w:lang w:val="en-GB"/>
        </w:rPr>
        <w:t xml:space="preserve">. The technique here proposed may represent a promising method, in line with the paradigms of inherent safety, for the synthesis of stable Sn NPs dispersions as a valid alternative to Ag NPs in pharmacology and other biomedical applications. </w:t>
      </w:r>
    </w:p>
    <w:p w14:paraId="476B2F2E" w14:textId="77777777" w:rsidR="00600535" w:rsidRPr="00B57B36" w:rsidRDefault="00600535" w:rsidP="00600535">
      <w:pPr>
        <w:pStyle w:val="CETHeading1"/>
        <w:rPr>
          <w:lang w:val="en-GB"/>
        </w:rPr>
      </w:pPr>
      <w:r w:rsidRPr="00B57B36">
        <w:rPr>
          <w:lang w:val="en-GB"/>
        </w:rPr>
        <w:t>Introduction</w:t>
      </w:r>
    </w:p>
    <w:p w14:paraId="44462C66" w14:textId="1BA1CDE8" w:rsidR="002C0430" w:rsidRDefault="004F6845" w:rsidP="00600535">
      <w:pPr>
        <w:pStyle w:val="CETBodytext"/>
        <w:rPr>
          <w:lang w:val="en-GB"/>
        </w:rPr>
      </w:pPr>
      <w:r>
        <w:rPr>
          <w:lang w:val="en-GB"/>
        </w:rPr>
        <w:t xml:space="preserve">Nanotechnology has currently achieved a leading role in many areas of </w:t>
      </w:r>
      <w:proofErr w:type="spellStart"/>
      <w:r>
        <w:rPr>
          <w:lang w:val="en-GB"/>
        </w:rPr>
        <w:t>everyday’s</w:t>
      </w:r>
      <w:proofErr w:type="spellEnd"/>
      <w:r>
        <w:rPr>
          <w:lang w:val="en-GB"/>
        </w:rPr>
        <w:t xml:space="preserve"> life</w:t>
      </w:r>
      <w:r w:rsidR="0052674C">
        <w:rPr>
          <w:lang w:val="en-GB"/>
        </w:rPr>
        <w:t>. As a first rough classification of nanostructured m</w:t>
      </w:r>
      <w:r w:rsidR="00295AB2">
        <w:rPr>
          <w:lang w:val="en-GB"/>
        </w:rPr>
        <w:t>aterials, they can be split</w:t>
      </w:r>
      <w:r w:rsidR="0052674C">
        <w:rPr>
          <w:lang w:val="en-GB"/>
        </w:rPr>
        <w:t xml:space="preserve"> in</w:t>
      </w:r>
      <w:r w:rsidR="003C1C36">
        <w:rPr>
          <w:lang w:val="en-GB"/>
        </w:rPr>
        <w:t>to</w:t>
      </w:r>
      <w:r w:rsidR="0052674C">
        <w:rPr>
          <w:lang w:val="en-GB"/>
        </w:rPr>
        <w:t xml:space="preserve"> organic or inorganic compounds. The f</w:t>
      </w:r>
      <w:r w:rsidR="002E2ACB">
        <w:rPr>
          <w:lang w:val="en-GB"/>
        </w:rPr>
        <w:t>ormer</w:t>
      </w:r>
      <w:r w:rsidR="00D6248A">
        <w:rPr>
          <w:lang w:val="en-GB"/>
        </w:rPr>
        <w:t>, like nano</w:t>
      </w:r>
      <w:r w:rsidR="00BF7E58">
        <w:rPr>
          <w:lang w:val="en-GB"/>
        </w:rPr>
        <w:t xml:space="preserve">-enhanced sorbents, </w:t>
      </w:r>
      <w:r w:rsidR="002E2ACB">
        <w:rPr>
          <w:lang w:val="en-GB"/>
        </w:rPr>
        <w:t xml:space="preserve">have found extended uses in </w:t>
      </w:r>
      <w:r w:rsidR="00D6248A">
        <w:rPr>
          <w:lang w:val="en-GB"/>
        </w:rPr>
        <w:t xml:space="preserve">nano-bioremediation carried out by </w:t>
      </w:r>
      <w:r w:rsidR="00733AA4">
        <w:rPr>
          <w:lang w:val="en-GB"/>
        </w:rPr>
        <w:t>biochar and other carbonaceous substances</w:t>
      </w:r>
      <w:r w:rsidR="00CA0691">
        <w:rPr>
          <w:lang w:val="en-GB"/>
        </w:rPr>
        <w:t>, often of pyrol</w:t>
      </w:r>
      <w:r w:rsidR="001205B9">
        <w:rPr>
          <w:lang w:val="en-GB"/>
        </w:rPr>
        <w:t>ytic origin (</w:t>
      </w:r>
      <w:proofErr w:type="spellStart"/>
      <w:r w:rsidR="001205B9" w:rsidRPr="00865498">
        <w:rPr>
          <w:lang w:val="en-GB"/>
        </w:rPr>
        <w:t>Chiarioni</w:t>
      </w:r>
      <w:proofErr w:type="spellEnd"/>
      <w:r w:rsidR="001205B9" w:rsidRPr="00865498">
        <w:rPr>
          <w:lang w:val="en-GB"/>
        </w:rPr>
        <w:t xml:space="preserve"> et al., 2006</w:t>
      </w:r>
      <w:r w:rsidR="001205B9">
        <w:rPr>
          <w:lang w:val="en-GB"/>
        </w:rPr>
        <w:t>),</w:t>
      </w:r>
      <w:r w:rsidR="00733AA4">
        <w:rPr>
          <w:lang w:val="en-GB"/>
        </w:rPr>
        <w:t xml:space="preserve"> for water and soil decontamination</w:t>
      </w:r>
      <w:r w:rsidR="0022485D">
        <w:rPr>
          <w:lang w:val="en-GB"/>
        </w:rPr>
        <w:t xml:space="preserve"> (</w:t>
      </w:r>
      <w:r w:rsidR="0022485D" w:rsidRPr="00865498">
        <w:rPr>
          <w:lang w:val="en-GB"/>
        </w:rPr>
        <w:t>Rajput et al., 2024</w:t>
      </w:r>
      <w:r w:rsidR="0022485D">
        <w:rPr>
          <w:lang w:val="en-GB"/>
        </w:rPr>
        <w:t xml:space="preserve">). </w:t>
      </w:r>
      <w:r w:rsidR="006466A2">
        <w:rPr>
          <w:lang w:val="en-GB"/>
        </w:rPr>
        <w:t>Biopolymers like chitosan (</w:t>
      </w:r>
      <w:r w:rsidR="006466A2" w:rsidRPr="00865498">
        <w:rPr>
          <w:lang w:val="en-GB"/>
        </w:rPr>
        <w:t>Oliveira Silva et al., 2021</w:t>
      </w:r>
      <w:r w:rsidR="006466A2">
        <w:rPr>
          <w:lang w:val="en-GB"/>
        </w:rPr>
        <w:t xml:space="preserve">) are a very versatile ingredient for the manufacturing of nanocomposites particularly useful in chemisorption of pollutants </w:t>
      </w:r>
      <w:r w:rsidR="00501957">
        <w:rPr>
          <w:lang w:val="en-GB"/>
        </w:rPr>
        <w:t xml:space="preserve">of various origin </w:t>
      </w:r>
      <w:r w:rsidR="006466A2">
        <w:rPr>
          <w:lang w:val="en-GB"/>
        </w:rPr>
        <w:t>(</w:t>
      </w:r>
      <w:r w:rsidR="006466A2" w:rsidRPr="00865498">
        <w:rPr>
          <w:lang w:val="en-GB"/>
        </w:rPr>
        <w:t xml:space="preserve">Petrelli </w:t>
      </w:r>
      <w:r w:rsidR="00501957" w:rsidRPr="00865498">
        <w:rPr>
          <w:lang w:val="en-GB"/>
        </w:rPr>
        <w:t>et al., 2020</w:t>
      </w:r>
      <w:r w:rsidR="00501957">
        <w:rPr>
          <w:lang w:val="en-GB"/>
        </w:rPr>
        <w:t>)</w:t>
      </w:r>
      <w:r w:rsidR="00AC331D">
        <w:rPr>
          <w:lang w:val="en-GB"/>
        </w:rPr>
        <w:t>.</w:t>
      </w:r>
      <w:r w:rsidR="006466A2">
        <w:rPr>
          <w:lang w:val="en-GB"/>
        </w:rPr>
        <w:t xml:space="preserve"> </w:t>
      </w:r>
      <w:r w:rsidR="00157FA9">
        <w:rPr>
          <w:lang w:val="en-GB"/>
        </w:rPr>
        <w:t xml:space="preserve">Organic semiconducting nanoparticles (NPs) represent one of the most recent challenges for the realization of photovoltaic panels of </w:t>
      </w:r>
      <w:r w:rsidR="0091265D">
        <w:rPr>
          <w:lang w:val="en-GB"/>
        </w:rPr>
        <w:t xml:space="preserve">the </w:t>
      </w:r>
      <w:r w:rsidR="00157FA9">
        <w:rPr>
          <w:lang w:val="en-GB"/>
        </w:rPr>
        <w:t>last generation (</w:t>
      </w:r>
      <w:r w:rsidR="00157FA9" w:rsidRPr="00865498">
        <w:rPr>
          <w:lang w:val="en-GB"/>
        </w:rPr>
        <w:t>Zhang et al., 2023</w:t>
      </w:r>
      <w:r w:rsidR="00157FA9">
        <w:rPr>
          <w:lang w:val="en-GB"/>
        </w:rPr>
        <w:t>)</w:t>
      </w:r>
      <w:r w:rsidR="00102DA6">
        <w:rPr>
          <w:lang w:val="en-GB"/>
        </w:rPr>
        <w:t xml:space="preserve">, </w:t>
      </w:r>
      <w:r w:rsidR="0091265D">
        <w:rPr>
          <w:lang w:val="en-GB"/>
        </w:rPr>
        <w:t>well relevant to</w:t>
      </w:r>
      <w:r w:rsidR="00293C41">
        <w:rPr>
          <w:lang w:val="en-GB"/>
        </w:rPr>
        <w:t xml:space="preserve"> t</w:t>
      </w:r>
      <w:r w:rsidR="00293C41" w:rsidRPr="00293C41">
        <w:rPr>
          <w:lang w:val="en-GB"/>
        </w:rPr>
        <w:t>he energy transition</w:t>
      </w:r>
      <w:r w:rsidR="0091265D">
        <w:rPr>
          <w:lang w:val="en-GB"/>
        </w:rPr>
        <w:t xml:space="preserve"> issue,</w:t>
      </w:r>
      <w:r w:rsidR="00293C41" w:rsidRPr="00293C41">
        <w:rPr>
          <w:lang w:val="en-GB"/>
        </w:rPr>
        <w:t xml:space="preserve"> </w:t>
      </w:r>
      <w:r w:rsidR="00293C41">
        <w:rPr>
          <w:lang w:val="en-GB"/>
        </w:rPr>
        <w:t xml:space="preserve">which is </w:t>
      </w:r>
      <w:r w:rsidR="00293C41" w:rsidRPr="00293C41">
        <w:rPr>
          <w:lang w:val="en-GB"/>
        </w:rPr>
        <w:t>bring</w:t>
      </w:r>
      <w:r w:rsidR="00293C41">
        <w:rPr>
          <w:lang w:val="en-GB"/>
        </w:rPr>
        <w:t>ing</w:t>
      </w:r>
      <w:r w:rsidR="00293C41" w:rsidRPr="00293C41">
        <w:rPr>
          <w:lang w:val="en-GB"/>
        </w:rPr>
        <w:t xml:space="preserve"> </w:t>
      </w:r>
      <w:r w:rsidR="00293C41">
        <w:rPr>
          <w:lang w:val="en-GB"/>
        </w:rPr>
        <w:t>notable</w:t>
      </w:r>
      <w:r w:rsidR="00293C41" w:rsidRPr="00293C41">
        <w:rPr>
          <w:lang w:val="en-GB"/>
        </w:rPr>
        <w:t xml:space="preserve"> changes</w:t>
      </w:r>
      <w:r w:rsidR="00293C41">
        <w:rPr>
          <w:lang w:val="en-GB"/>
        </w:rPr>
        <w:t xml:space="preserve"> and safety implications</w:t>
      </w:r>
      <w:r w:rsidR="00293C41" w:rsidRPr="00293C41">
        <w:rPr>
          <w:lang w:val="en-GB"/>
        </w:rPr>
        <w:t xml:space="preserve"> in design concepts, materials, equipment, and process operation</w:t>
      </w:r>
      <w:r w:rsidR="00293C41">
        <w:rPr>
          <w:lang w:val="en-GB"/>
        </w:rPr>
        <w:t xml:space="preserve"> (Pasman et al., 2024)</w:t>
      </w:r>
      <w:r w:rsidR="00157FA9">
        <w:rPr>
          <w:lang w:val="en-GB"/>
        </w:rPr>
        <w:t xml:space="preserve">. </w:t>
      </w:r>
      <w:r w:rsidR="0001007B">
        <w:rPr>
          <w:lang w:val="en-GB"/>
        </w:rPr>
        <w:t xml:space="preserve">In phototherapeutics, organic NPs have proven to </w:t>
      </w:r>
      <w:r w:rsidR="00554217">
        <w:rPr>
          <w:lang w:val="en-GB"/>
        </w:rPr>
        <w:t xml:space="preserve">be a </w:t>
      </w:r>
      <w:r w:rsidR="007241B1">
        <w:rPr>
          <w:lang w:val="en-GB"/>
        </w:rPr>
        <w:t>promising</w:t>
      </w:r>
      <w:r w:rsidR="00554217">
        <w:rPr>
          <w:lang w:val="en-GB"/>
        </w:rPr>
        <w:t xml:space="preserve"> instrument in cancer therapy, owing to a satisfactory non-invasiveness combined with a limited number of side effects (</w:t>
      </w:r>
      <w:r w:rsidR="00554217" w:rsidRPr="00865498">
        <w:rPr>
          <w:lang w:val="en-GB"/>
        </w:rPr>
        <w:t>Xie et al., 2023</w:t>
      </w:r>
      <w:r w:rsidR="00554217">
        <w:rPr>
          <w:lang w:val="en-GB"/>
        </w:rPr>
        <w:t xml:space="preserve">). </w:t>
      </w:r>
      <w:r w:rsidR="009A2FCB">
        <w:rPr>
          <w:lang w:val="en-GB"/>
        </w:rPr>
        <w:t xml:space="preserve">Inorganic NPs </w:t>
      </w:r>
      <w:r w:rsidR="003C2117">
        <w:rPr>
          <w:lang w:val="en-GB"/>
        </w:rPr>
        <w:t xml:space="preserve">represent a </w:t>
      </w:r>
      <w:r w:rsidR="00FF2F77">
        <w:rPr>
          <w:lang w:val="en-GB"/>
        </w:rPr>
        <w:t xml:space="preserve">numerically </w:t>
      </w:r>
      <w:r w:rsidR="003C2117">
        <w:rPr>
          <w:lang w:val="en-GB"/>
        </w:rPr>
        <w:t>more extended subset</w:t>
      </w:r>
      <w:r w:rsidR="0032653A">
        <w:rPr>
          <w:lang w:val="en-GB"/>
        </w:rPr>
        <w:t xml:space="preserve"> </w:t>
      </w:r>
      <w:r w:rsidR="0032653A" w:rsidRPr="00865498">
        <w:rPr>
          <w:lang w:val="en-GB"/>
        </w:rPr>
        <w:t>(Li et al., 2024</w:t>
      </w:r>
      <w:r w:rsidR="0032653A">
        <w:rPr>
          <w:lang w:val="en-GB"/>
        </w:rPr>
        <w:t>)</w:t>
      </w:r>
      <w:r w:rsidR="00FF2F77">
        <w:rPr>
          <w:lang w:val="en-GB"/>
        </w:rPr>
        <w:t>, probab</w:t>
      </w:r>
      <w:r w:rsidR="009A2FCB">
        <w:rPr>
          <w:lang w:val="en-GB"/>
        </w:rPr>
        <w:t xml:space="preserve">ly owing to a wider variety of techniques </w:t>
      </w:r>
      <w:r w:rsidR="009A2FCB" w:rsidRPr="009A2FCB">
        <w:rPr>
          <w:lang w:val="en-GB"/>
        </w:rPr>
        <w:t>developed over the past decades of experimental research</w:t>
      </w:r>
      <w:r w:rsidR="00790E40">
        <w:rPr>
          <w:lang w:val="en-GB"/>
        </w:rPr>
        <w:t xml:space="preserve"> (</w:t>
      </w:r>
      <w:r w:rsidR="00BE6FF5" w:rsidRPr="00865498">
        <w:rPr>
          <w:lang w:val="en-GB"/>
        </w:rPr>
        <w:t>Banis</w:t>
      </w:r>
      <w:r w:rsidR="00BE6FF5">
        <w:rPr>
          <w:lang w:val="en-GB"/>
        </w:rPr>
        <w:t xml:space="preserve"> </w:t>
      </w:r>
      <w:r w:rsidR="00534848" w:rsidRPr="00865498">
        <w:rPr>
          <w:lang w:val="en-GB"/>
        </w:rPr>
        <w:t>et al., 2017</w:t>
      </w:r>
      <w:r w:rsidR="00790E40">
        <w:rPr>
          <w:lang w:val="en-GB"/>
        </w:rPr>
        <w:t>)</w:t>
      </w:r>
      <w:r w:rsidR="00AC331D">
        <w:rPr>
          <w:lang w:val="en-GB"/>
        </w:rPr>
        <w:t xml:space="preserve">. </w:t>
      </w:r>
      <w:r w:rsidR="005106AE">
        <w:rPr>
          <w:lang w:val="en-GB"/>
        </w:rPr>
        <w:t xml:space="preserve">Wanting </w:t>
      </w:r>
      <w:r w:rsidR="009A2FCB" w:rsidRPr="009A2FCB">
        <w:rPr>
          <w:lang w:val="en-GB"/>
        </w:rPr>
        <w:t xml:space="preserve">to create a subdivision </w:t>
      </w:r>
      <w:proofErr w:type="gramStart"/>
      <w:r w:rsidR="009A2FCB" w:rsidRPr="009A2FCB">
        <w:rPr>
          <w:lang w:val="en-GB"/>
        </w:rPr>
        <w:t>on the</w:t>
      </w:r>
      <w:r w:rsidR="00383FF2">
        <w:rPr>
          <w:lang w:val="en-GB"/>
        </w:rPr>
        <w:t xml:space="preserve"> basis of</w:t>
      </w:r>
      <w:proofErr w:type="gramEnd"/>
      <w:r w:rsidR="00383FF2">
        <w:rPr>
          <w:lang w:val="en-GB"/>
        </w:rPr>
        <w:t xml:space="preserve"> composition instead on</w:t>
      </w:r>
      <w:r w:rsidR="009A2FCB" w:rsidRPr="009A2FCB">
        <w:rPr>
          <w:lang w:val="en-GB"/>
        </w:rPr>
        <w:t xml:space="preserve"> synthesis methods, one can group them into two basic categories, i.e. into</w:t>
      </w:r>
      <w:r w:rsidR="001937D1">
        <w:rPr>
          <w:lang w:val="en-GB"/>
        </w:rPr>
        <w:t xml:space="preserve"> multi-compositional and zero-valent NPs.</w:t>
      </w:r>
      <w:r w:rsidR="001205B9">
        <w:rPr>
          <w:lang w:val="en-GB"/>
        </w:rPr>
        <w:t xml:space="preserve"> </w:t>
      </w:r>
      <w:r w:rsidR="007D0EA5">
        <w:rPr>
          <w:lang w:val="en-GB"/>
        </w:rPr>
        <w:t xml:space="preserve">They offer </w:t>
      </w:r>
      <w:proofErr w:type="gramStart"/>
      <w:r w:rsidR="007D0EA5">
        <w:rPr>
          <w:lang w:val="en-GB"/>
        </w:rPr>
        <w:t>absolutely innovative</w:t>
      </w:r>
      <w:proofErr w:type="gramEnd"/>
      <w:r w:rsidR="007D0EA5">
        <w:rPr>
          <w:lang w:val="en-GB"/>
        </w:rPr>
        <w:t xml:space="preserve"> physicochemical properties, including an atypical diffusivity of tracer molecular species</w:t>
      </w:r>
      <w:r w:rsidR="007241B1">
        <w:rPr>
          <w:lang w:val="en-GB"/>
        </w:rPr>
        <w:t xml:space="preserve"> in their structure</w:t>
      </w:r>
      <w:r w:rsidR="007D0EA5">
        <w:rPr>
          <w:lang w:val="en-GB"/>
        </w:rPr>
        <w:t>, often requiring an ad-hoc mathematical formalism in performing a correct data regression (</w:t>
      </w:r>
      <w:proofErr w:type="spellStart"/>
      <w:r w:rsidR="007D0EA5" w:rsidRPr="00865498">
        <w:rPr>
          <w:lang w:val="en-GB"/>
        </w:rPr>
        <w:t>Vocciante</w:t>
      </w:r>
      <w:proofErr w:type="spellEnd"/>
      <w:r w:rsidR="007D0EA5" w:rsidRPr="00865498">
        <w:rPr>
          <w:lang w:val="en-GB"/>
        </w:rPr>
        <w:t xml:space="preserve"> et al., 2016</w:t>
      </w:r>
      <w:r w:rsidR="007D0EA5">
        <w:rPr>
          <w:lang w:val="en-GB"/>
        </w:rPr>
        <w:t>)</w:t>
      </w:r>
      <w:r w:rsidR="007241B1">
        <w:rPr>
          <w:lang w:val="en-GB"/>
        </w:rPr>
        <w:t>.</w:t>
      </w:r>
      <w:r w:rsidR="007D0EA5">
        <w:rPr>
          <w:lang w:val="en-GB"/>
        </w:rPr>
        <w:t xml:space="preserve"> </w:t>
      </w:r>
      <w:r w:rsidR="00383FF2">
        <w:rPr>
          <w:lang w:val="en-GB"/>
        </w:rPr>
        <w:t>In the former case, n</w:t>
      </w:r>
      <w:r w:rsidR="001205B9">
        <w:rPr>
          <w:lang w:val="en-GB"/>
        </w:rPr>
        <w:t xml:space="preserve">anostructured thermostable </w:t>
      </w:r>
      <w:r w:rsidR="003B52D5">
        <w:rPr>
          <w:lang w:val="en-GB"/>
        </w:rPr>
        <w:t xml:space="preserve">oxides like </w:t>
      </w:r>
      <w:r w:rsidR="00383FF2">
        <w:rPr>
          <w:lang w:val="en-GB"/>
        </w:rPr>
        <w:t>Al</w:t>
      </w:r>
      <w:r w:rsidR="00383FF2" w:rsidRPr="00383FF2">
        <w:rPr>
          <w:vertAlign w:val="subscript"/>
          <w:lang w:val="en-GB"/>
        </w:rPr>
        <w:t>2</w:t>
      </w:r>
      <w:r w:rsidR="00383FF2">
        <w:rPr>
          <w:lang w:val="en-GB"/>
        </w:rPr>
        <w:t>O</w:t>
      </w:r>
      <w:r w:rsidR="00383FF2" w:rsidRPr="00383FF2">
        <w:rPr>
          <w:vertAlign w:val="subscript"/>
          <w:lang w:val="en-GB"/>
        </w:rPr>
        <w:t>3</w:t>
      </w:r>
      <w:r w:rsidR="00383FF2">
        <w:rPr>
          <w:lang w:val="en-GB"/>
        </w:rPr>
        <w:t xml:space="preserve"> (</w:t>
      </w:r>
      <w:r w:rsidR="003B59D1" w:rsidRPr="00865498">
        <w:rPr>
          <w:lang w:val="en-GB"/>
        </w:rPr>
        <w:t>Gevorkyan et al, 2017</w:t>
      </w:r>
      <w:r w:rsidR="00383FF2">
        <w:rPr>
          <w:lang w:val="en-GB"/>
        </w:rPr>
        <w:t>) and ZrO</w:t>
      </w:r>
      <w:r w:rsidR="00383FF2" w:rsidRPr="00383FF2">
        <w:rPr>
          <w:vertAlign w:val="subscript"/>
          <w:lang w:val="en-GB"/>
        </w:rPr>
        <w:t>2</w:t>
      </w:r>
      <w:r w:rsidR="00383FF2">
        <w:rPr>
          <w:lang w:val="en-GB"/>
        </w:rPr>
        <w:t xml:space="preserve"> (</w:t>
      </w:r>
      <w:proofErr w:type="spellStart"/>
      <w:r w:rsidR="003B52D5" w:rsidRPr="00865498">
        <w:rPr>
          <w:lang w:val="en-GB"/>
        </w:rPr>
        <w:t>Korableva</w:t>
      </w:r>
      <w:proofErr w:type="spellEnd"/>
      <w:r w:rsidR="003B52D5" w:rsidRPr="00865498">
        <w:rPr>
          <w:lang w:val="en-GB"/>
        </w:rPr>
        <w:t xml:space="preserve"> et al., 2021</w:t>
      </w:r>
      <w:r w:rsidR="00383FF2">
        <w:rPr>
          <w:lang w:val="en-GB"/>
        </w:rPr>
        <w:t>)</w:t>
      </w:r>
      <w:r w:rsidR="001205B9">
        <w:rPr>
          <w:lang w:val="en-GB"/>
        </w:rPr>
        <w:t xml:space="preserve"> have been employed </w:t>
      </w:r>
      <w:r w:rsidR="001205B9">
        <w:rPr>
          <w:lang w:val="en-GB"/>
        </w:rPr>
        <w:lastRenderedPageBreak/>
        <w:t>as refractory materials</w:t>
      </w:r>
      <w:r w:rsidR="00501957">
        <w:rPr>
          <w:lang w:val="en-GB"/>
        </w:rPr>
        <w:t>, often prepared by thermolysis of precursors in flames or by sol-gel met</w:t>
      </w:r>
      <w:r w:rsidR="00383FF2">
        <w:rPr>
          <w:lang w:val="en-GB"/>
        </w:rPr>
        <w:t>hods. TiO</w:t>
      </w:r>
      <w:r w:rsidR="00383FF2" w:rsidRPr="00736C2F">
        <w:rPr>
          <w:vertAlign w:val="subscript"/>
          <w:lang w:val="en-GB"/>
        </w:rPr>
        <w:t>2</w:t>
      </w:r>
      <w:r w:rsidR="00383FF2">
        <w:rPr>
          <w:lang w:val="en-GB"/>
        </w:rPr>
        <w:t xml:space="preserve"> NPs proved</w:t>
      </w:r>
      <w:r w:rsidR="00501957">
        <w:rPr>
          <w:lang w:val="en-GB"/>
        </w:rPr>
        <w:t xml:space="preserve"> to be very useful for photocataly</w:t>
      </w:r>
      <w:r w:rsidR="00383FF2">
        <w:rPr>
          <w:lang w:val="en-GB"/>
        </w:rPr>
        <w:t>tic dissociation of pollutants e</w:t>
      </w:r>
      <w:r w:rsidR="005A41FB">
        <w:rPr>
          <w:lang w:val="en-GB"/>
        </w:rPr>
        <w:t>m</w:t>
      </w:r>
      <w:r w:rsidR="00383FF2">
        <w:rPr>
          <w:lang w:val="en-GB"/>
        </w:rPr>
        <w:t xml:space="preserve">bedded both in liquid and in gaseous phase. A very rich </w:t>
      </w:r>
      <w:r w:rsidR="00AC331D">
        <w:rPr>
          <w:lang w:val="en-GB"/>
        </w:rPr>
        <w:t>literature</w:t>
      </w:r>
      <w:r w:rsidR="00383FF2">
        <w:rPr>
          <w:lang w:val="en-GB"/>
        </w:rPr>
        <w:t xml:space="preserve"> is nowadays focused on how to make TiO</w:t>
      </w:r>
      <w:r w:rsidR="00383FF2" w:rsidRPr="00F83B4D">
        <w:rPr>
          <w:vertAlign w:val="subscript"/>
          <w:lang w:val="en-GB"/>
        </w:rPr>
        <w:t>2</w:t>
      </w:r>
      <w:r w:rsidR="00383FF2">
        <w:rPr>
          <w:lang w:val="en-GB"/>
        </w:rPr>
        <w:t xml:space="preserve"> </w:t>
      </w:r>
      <w:r w:rsidR="00790E40">
        <w:rPr>
          <w:lang w:val="en-GB"/>
        </w:rPr>
        <w:t xml:space="preserve">NPs </w:t>
      </w:r>
      <w:r w:rsidR="00383FF2">
        <w:rPr>
          <w:lang w:val="en-GB"/>
        </w:rPr>
        <w:t>capable of being activated by visible light in place of ultrav</w:t>
      </w:r>
      <w:r w:rsidR="00736C2F">
        <w:rPr>
          <w:lang w:val="en-GB"/>
        </w:rPr>
        <w:t>iolet (UV) radiation</w:t>
      </w:r>
      <w:r w:rsidR="00A76A9F">
        <w:rPr>
          <w:lang w:val="en-GB"/>
        </w:rPr>
        <w:t xml:space="preserve"> (</w:t>
      </w:r>
      <w:r w:rsidR="00A76A9F" w:rsidRPr="00865498">
        <w:rPr>
          <w:lang w:val="en-GB"/>
        </w:rPr>
        <w:t>Rashid et al., 2024</w:t>
      </w:r>
      <w:r w:rsidR="00A76A9F">
        <w:rPr>
          <w:lang w:val="en-GB"/>
        </w:rPr>
        <w:t>)</w:t>
      </w:r>
      <w:r w:rsidR="00736C2F">
        <w:rPr>
          <w:lang w:val="en-GB"/>
        </w:rPr>
        <w:t>, with obvi</w:t>
      </w:r>
      <w:r w:rsidR="00383FF2">
        <w:rPr>
          <w:lang w:val="en-GB"/>
        </w:rPr>
        <w:t>o</w:t>
      </w:r>
      <w:r w:rsidR="00736C2F">
        <w:rPr>
          <w:lang w:val="en-GB"/>
        </w:rPr>
        <w:t>u</w:t>
      </w:r>
      <w:r w:rsidR="00383FF2">
        <w:rPr>
          <w:lang w:val="en-GB"/>
        </w:rPr>
        <w:t>s advantages in costs and in plant simplification.</w:t>
      </w:r>
      <w:r w:rsidR="004B60FD">
        <w:rPr>
          <w:lang w:val="en-GB"/>
        </w:rPr>
        <w:t xml:space="preserve"> Transition metal</w:t>
      </w:r>
      <w:r w:rsidR="005106AE">
        <w:rPr>
          <w:lang w:val="en-GB"/>
        </w:rPr>
        <w:t xml:space="preserve"> oxide NPs, li</w:t>
      </w:r>
      <w:r w:rsidR="007241B1">
        <w:rPr>
          <w:lang w:val="en-GB"/>
        </w:rPr>
        <w:t xml:space="preserve">ke </w:t>
      </w:r>
      <w:proofErr w:type="spellStart"/>
      <w:r w:rsidR="007241B1">
        <w:rPr>
          <w:lang w:val="en-GB"/>
        </w:rPr>
        <w:t>ZnO</w:t>
      </w:r>
      <w:proofErr w:type="spellEnd"/>
      <w:r w:rsidR="007241B1">
        <w:rPr>
          <w:lang w:val="en-GB"/>
        </w:rPr>
        <w:t xml:space="preserve"> NPs, </w:t>
      </w:r>
      <w:r w:rsidR="008A2CC3">
        <w:rPr>
          <w:lang w:val="en-GB"/>
        </w:rPr>
        <w:t>are a cor</w:t>
      </w:r>
      <w:r w:rsidR="004B60FD">
        <w:rPr>
          <w:lang w:val="en-GB"/>
        </w:rPr>
        <w:t xml:space="preserve">nerstone as sorbents in the abatements of pollutants </w:t>
      </w:r>
      <w:r w:rsidR="00E82B06">
        <w:rPr>
          <w:lang w:val="en-GB"/>
        </w:rPr>
        <w:t>in anionic form (</w:t>
      </w:r>
      <w:proofErr w:type="spellStart"/>
      <w:r w:rsidR="00E82B06" w:rsidRPr="00865498">
        <w:rPr>
          <w:lang w:val="en-GB"/>
        </w:rPr>
        <w:t>Igwegbe</w:t>
      </w:r>
      <w:proofErr w:type="spellEnd"/>
      <w:r w:rsidR="00E82B06" w:rsidRPr="00865498">
        <w:rPr>
          <w:lang w:val="en-GB"/>
        </w:rPr>
        <w:t xml:space="preserve"> et al., 2019</w:t>
      </w:r>
      <w:r w:rsidR="00E82B06">
        <w:rPr>
          <w:lang w:val="en-GB"/>
        </w:rPr>
        <w:t xml:space="preserve">) or </w:t>
      </w:r>
      <w:r w:rsidR="006C3E81">
        <w:rPr>
          <w:lang w:val="en-GB"/>
        </w:rPr>
        <w:t xml:space="preserve">even as </w:t>
      </w:r>
      <w:proofErr w:type="spellStart"/>
      <w:r w:rsidR="006C3E81">
        <w:rPr>
          <w:lang w:val="en-GB"/>
        </w:rPr>
        <w:t>phytostimulating</w:t>
      </w:r>
      <w:proofErr w:type="spellEnd"/>
      <w:r w:rsidR="006C3E81">
        <w:rPr>
          <w:lang w:val="en-GB"/>
        </w:rPr>
        <w:t xml:space="preserve"> agents improving seed germination in modern agriculture </w:t>
      </w:r>
      <w:r w:rsidR="00464172">
        <w:rPr>
          <w:lang w:val="en-GB"/>
        </w:rPr>
        <w:t>(</w:t>
      </w:r>
      <w:r w:rsidR="00464172" w:rsidRPr="00865498">
        <w:rPr>
          <w:lang w:val="en-GB"/>
        </w:rPr>
        <w:t>Sanchez-Perez et al., 2023</w:t>
      </w:r>
      <w:r w:rsidR="00464172">
        <w:rPr>
          <w:lang w:val="en-GB"/>
        </w:rPr>
        <w:t>).</w:t>
      </w:r>
      <w:r w:rsidR="00293C41">
        <w:rPr>
          <w:lang w:val="en-GB"/>
        </w:rPr>
        <w:t xml:space="preserve"> </w:t>
      </w:r>
      <w:r w:rsidR="00F83B4D">
        <w:rPr>
          <w:lang w:val="en-GB"/>
        </w:rPr>
        <w:t xml:space="preserve">Likewise, zerovalent metal NPs are </w:t>
      </w:r>
      <w:r w:rsidR="008A2CC3">
        <w:rPr>
          <w:lang w:val="en-GB"/>
        </w:rPr>
        <w:t xml:space="preserve">in the hotspot </w:t>
      </w:r>
      <w:r w:rsidR="00F83B4D">
        <w:rPr>
          <w:lang w:val="en-GB"/>
        </w:rPr>
        <w:t xml:space="preserve">owing to their </w:t>
      </w:r>
      <w:r w:rsidR="00F83B4D" w:rsidRPr="00F83B4D">
        <w:rPr>
          <w:lang w:val="en-GB"/>
        </w:rPr>
        <w:t xml:space="preserve">fields of application spanning </w:t>
      </w:r>
      <w:r w:rsidR="00F83B4D">
        <w:rPr>
          <w:lang w:val="en-GB"/>
        </w:rPr>
        <w:t xml:space="preserve">over </w:t>
      </w:r>
      <w:r w:rsidR="00F83B4D" w:rsidRPr="00F83B4D">
        <w:rPr>
          <w:lang w:val="en-GB"/>
        </w:rPr>
        <w:t>seemingly disparate disciplines</w:t>
      </w:r>
      <w:r w:rsidR="00E04C30">
        <w:rPr>
          <w:lang w:val="en-GB"/>
        </w:rPr>
        <w:t xml:space="preserve"> (</w:t>
      </w:r>
      <w:r w:rsidR="00E04C30" w:rsidRPr="00865498">
        <w:rPr>
          <w:lang w:val="en-GB"/>
        </w:rPr>
        <w:t>El-Naggar et al., 2024</w:t>
      </w:r>
      <w:r w:rsidR="00E04C30">
        <w:rPr>
          <w:lang w:val="en-GB"/>
        </w:rPr>
        <w:t>)</w:t>
      </w:r>
      <w:r w:rsidR="00F83B4D">
        <w:rPr>
          <w:lang w:val="en-GB"/>
        </w:rPr>
        <w:t xml:space="preserve">. </w:t>
      </w:r>
      <w:r w:rsidR="002D7C61">
        <w:rPr>
          <w:lang w:val="en-GB"/>
        </w:rPr>
        <w:t>While noble metal NPs dispersions attracted a great attention in past and recent literature</w:t>
      </w:r>
      <w:r w:rsidR="001B48A2">
        <w:rPr>
          <w:lang w:val="en-GB"/>
        </w:rPr>
        <w:t xml:space="preserve"> (</w:t>
      </w:r>
      <w:r w:rsidR="001B48A2" w:rsidRPr="00865498">
        <w:rPr>
          <w:lang w:val="en-GB"/>
        </w:rPr>
        <w:t>Reverberi et al., 2020</w:t>
      </w:r>
      <w:r w:rsidR="001B48A2">
        <w:rPr>
          <w:lang w:val="en-GB"/>
        </w:rPr>
        <w:t>)</w:t>
      </w:r>
      <w:r w:rsidR="002D7C61">
        <w:rPr>
          <w:lang w:val="en-GB"/>
        </w:rPr>
        <w:t xml:space="preserve">, </w:t>
      </w:r>
      <w:r w:rsidR="002D7C61" w:rsidRPr="002D7C61">
        <w:rPr>
          <w:lang w:val="en-GB"/>
        </w:rPr>
        <w:t>the same cannot be said for more electropositive elements, probably due to the greater inherent instability of the relevant NPs</w:t>
      </w:r>
      <w:r w:rsidR="001B48A2">
        <w:rPr>
          <w:lang w:val="en-GB"/>
        </w:rPr>
        <w:t xml:space="preserve"> towards oxidation</w:t>
      </w:r>
      <w:r w:rsidR="002D7C61">
        <w:rPr>
          <w:lang w:val="en-GB"/>
        </w:rPr>
        <w:t xml:space="preserve">, but there are important exceptions. </w:t>
      </w:r>
      <w:r w:rsidR="00603B46" w:rsidRPr="00C963CE">
        <w:rPr>
          <w:lang w:val="en-GB"/>
        </w:rPr>
        <w:t>Patel and Sharma (2023)</w:t>
      </w:r>
      <w:r w:rsidR="00603B46">
        <w:rPr>
          <w:lang w:val="en-GB"/>
        </w:rPr>
        <w:t xml:space="preserve"> success</w:t>
      </w:r>
      <w:r w:rsidR="00F83B4D">
        <w:rPr>
          <w:lang w:val="en-GB"/>
        </w:rPr>
        <w:t xml:space="preserve">fully utilized </w:t>
      </w:r>
      <w:r w:rsidR="00603B46">
        <w:rPr>
          <w:lang w:val="en-GB"/>
        </w:rPr>
        <w:t>metal Cu NPs, obtained by a standard redox technique, for the photocatalytic abatement of anionic and cationic dyes in aqueous medium.</w:t>
      </w:r>
      <w:r w:rsidR="002D7C61">
        <w:rPr>
          <w:lang w:val="en-GB"/>
        </w:rPr>
        <w:t xml:space="preserve"> </w:t>
      </w:r>
      <w:r w:rsidR="00603B46">
        <w:rPr>
          <w:lang w:val="en-GB"/>
        </w:rPr>
        <w:t>It was speculated that hydroxyl and superoxide radicals were the most</w:t>
      </w:r>
      <w:r w:rsidR="002D7C61">
        <w:rPr>
          <w:lang w:val="en-GB"/>
        </w:rPr>
        <w:t xml:space="preserve"> active agents carrying out water purification.  </w:t>
      </w:r>
      <w:r w:rsidR="001B48A2">
        <w:rPr>
          <w:lang w:val="en-GB"/>
        </w:rPr>
        <w:t xml:space="preserve">Staying </w:t>
      </w:r>
      <w:proofErr w:type="gramStart"/>
      <w:r w:rsidR="001B48A2">
        <w:rPr>
          <w:lang w:val="en-GB"/>
        </w:rPr>
        <w:t>on the subject of Cu</w:t>
      </w:r>
      <w:proofErr w:type="gramEnd"/>
      <w:r w:rsidR="001B48A2">
        <w:rPr>
          <w:lang w:val="en-GB"/>
        </w:rPr>
        <w:t xml:space="preserve"> NPs, </w:t>
      </w:r>
      <w:proofErr w:type="spellStart"/>
      <w:r w:rsidR="00B56F39" w:rsidRPr="00865498">
        <w:rPr>
          <w:lang w:val="en-GB"/>
        </w:rPr>
        <w:t>Maruda</w:t>
      </w:r>
      <w:proofErr w:type="spellEnd"/>
      <w:r w:rsidR="00F92519" w:rsidRPr="00865498">
        <w:rPr>
          <w:lang w:val="en-GB"/>
        </w:rPr>
        <w:t xml:space="preserve"> et al, </w:t>
      </w:r>
      <w:r w:rsidR="001B48A2" w:rsidRPr="00865498">
        <w:rPr>
          <w:lang w:val="en-GB"/>
        </w:rPr>
        <w:t>(</w:t>
      </w:r>
      <w:r w:rsidR="00F92519" w:rsidRPr="00865498">
        <w:rPr>
          <w:lang w:val="en-GB"/>
        </w:rPr>
        <w:t>2023</w:t>
      </w:r>
      <w:r w:rsidR="00F92519">
        <w:rPr>
          <w:lang w:val="en-GB"/>
        </w:rPr>
        <w:t xml:space="preserve">) </w:t>
      </w:r>
      <w:r w:rsidR="007D0C31">
        <w:rPr>
          <w:lang w:val="en-GB"/>
        </w:rPr>
        <w:t xml:space="preserve">observed that </w:t>
      </w:r>
      <w:r w:rsidR="00F84AD5" w:rsidRPr="00F84AD5">
        <w:rPr>
          <w:lang w:val="en-GB"/>
        </w:rPr>
        <w:t>the diam</w:t>
      </w:r>
      <w:r w:rsidR="00A47A12">
        <w:rPr>
          <w:lang w:val="en-GB"/>
        </w:rPr>
        <w:t xml:space="preserve">eter of the dispersed NPs </w:t>
      </w:r>
      <w:r w:rsidR="00F84AD5" w:rsidRPr="00F84AD5">
        <w:rPr>
          <w:lang w:val="en-GB"/>
        </w:rPr>
        <w:t>has a strong influence on the tribological characteristics of the fluid</w:t>
      </w:r>
      <w:r w:rsidR="00F84AD5">
        <w:rPr>
          <w:lang w:val="en-GB"/>
        </w:rPr>
        <w:t xml:space="preserve"> and the roughness of friction surfaces.</w:t>
      </w:r>
      <w:r w:rsidR="00293C41">
        <w:rPr>
          <w:lang w:val="en-GB"/>
        </w:rPr>
        <w:t xml:space="preserve"> </w:t>
      </w:r>
      <w:r w:rsidR="00F84AD5">
        <w:rPr>
          <w:lang w:val="en-GB"/>
        </w:rPr>
        <w:t xml:space="preserve">Intriguingly, in the family of </w:t>
      </w:r>
      <w:r w:rsidR="00AC1B4E">
        <w:rPr>
          <w:lang w:val="en-GB"/>
        </w:rPr>
        <w:t xml:space="preserve">NPs made of </w:t>
      </w:r>
      <w:r w:rsidR="00F84AD5">
        <w:rPr>
          <w:lang w:val="en-GB"/>
        </w:rPr>
        <w:t>non-noble elements, the attention of the scientific community is not uniformly distribu</w:t>
      </w:r>
      <w:r w:rsidR="00AC1B4E">
        <w:rPr>
          <w:lang w:val="en-GB"/>
        </w:rPr>
        <w:t xml:space="preserve">ted. Specifically, tin metal NPs seem to </w:t>
      </w:r>
      <w:r w:rsidR="00833198">
        <w:rPr>
          <w:lang w:val="en-GB"/>
        </w:rPr>
        <w:t>strengthen</w:t>
      </w:r>
      <w:r w:rsidR="00AC1B4E">
        <w:rPr>
          <w:lang w:val="en-GB"/>
        </w:rPr>
        <w:t xml:space="preserve"> this conjecture, as the scientific works focused on their synthesis are somewhat limited in number, despite the</w:t>
      </w:r>
      <w:r w:rsidR="005106AE">
        <w:rPr>
          <w:lang w:val="en-GB"/>
        </w:rPr>
        <w:t xml:space="preserve">ir importance </w:t>
      </w:r>
      <w:r w:rsidR="00AC1B4E">
        <w:rPr>
          <w:lang w:val="en-GB"/>
        </w:rPr>
        <w:t xml:space="preserve">in </w:t>
      </w:r>
      <w:r w:rsidR="00534848">
        <w:rPr>
          <w:lang w:val="en-GB"/>
        </w:rPr>
        <w:t xml:space="preserve">thermal </w:t>
      </w:r>
      <w:r w:rsidR="00F83759">
        <w:rPr>
          <w:lang w:val="en-GB"/>
        </w:rPr>
        <w:t>energy storage systems (</w:t>
      </w:r>
      <w:r w:rsidR="00534848" w:rsidRPr="00865498">
        <w:rPr>
          <w:lang w:val="en-GB"/>
        </w:rPr>
        <w:t>Bhandari et al., 2015</w:t>
      </w:r>
      <w:r w:rsidR="00A75E24">
        <w:rPr>
          <w:lang w:val="en-GB"/>
        </w:rPr>
        <w:t xml:space="preserve">). Their preparation </w:t>
      </w:r>
      <w:r w:rsidR="005106AE">
        <w:rPr>
          <w:lang w:val="en-GB"/>
        </w:rPr>
        <w:t>is</w:t>
      </w:r>
      <w:r w:rsidR="00A75E24">
        <w:rPr>
          <w:lang w:val="en-GB"/>
        </w:rPr>
        <w:t xml:space="preserve"> usually based on wet chemical methods, where a precursor based on Sn soluble salts undergoes a chemical reduction, in the presence of suitable capping agents, leading to the formation of </w:t>
      </w:r>
      <w:proofErr w:type="spellStart"/>
      <w:r w:rsidR="00A75E24">
        <w:rPr>
          <w:lang w:val="en-GB"/>
        </w:rPr>
        <w:t>zeropositive</w:t>
      </w:r>
      <w:proofErr w:type="spellEnd"/>
      <w:r w:rsidR="00A75E24">
        <w:rPr>
          <w:lang w:val="en-GB"/>
        </w:rPr>
        <w:t xml:space="preserve"> Sn NPs (</w:t>
      </w:r>
      <w:proofErr w:type="spellStart"/>
      <w:r w:rsidR="00A75E24" w:rsidRPr="00865498">
        <w:rPr>
          <w:lang w:val="en-GB"/>
        </w:rPr>
        <w:t>Thacharon</w:t>
      </w:r>
      <w:proofErr w:type="spellEnd"/>
      <w:r w:rsidR="00A75E24" w:rsidRPr="00865498">
        <w:rPr>
          <w:lang w:val="en-GB"/>
        </w:rPr>
        <w:t xml:space="preserve"> et al., 2022</w:t>
      </w:r>
      <w:r w:rsidR="00A75E24">
        <w:rPr>
          <w:lang w:val="en-GB"/>
        </w:rPr>
        <w:t>)</w:t>
      </w:r>
      <w:r w:rsidR="002C0430">
        <w:rPr>
          <w:lang w:val="en-GB"/>
        </w:rPr>
        <w:t>. In th</w:t>
      </w:r>
      <w:r w:rsidR="00715C42">
        <w:rPr>
          <w:lang w:val="en-GB"/>
        </w:rPr>
        <w:t>is</w:t>
      </w:r>
      <w:r w:rsidR="002C0430">
        <w:rPr>
          <w:lang w:val="en-GB"/>
        </w:rPr>
        <w:t xml:space="preserve"> paper, a green, top-</w:t>
      </w:r>
      <w:proofErr w:type="gramStart"/>
      <w:r w:rsidR="002C0430">
        <w:rPr>
          <w:lang w:val="en-GB"/>
        </w:rPr>
        <w:t>down</w:t>
      </w:r>
      <w:proofErr w:type="gramEnd"/>
      <w:r w:rsidR="002C0430">
        <w:rPr>
          <w:lang w:val="en-GB"/>
        </w:rPr>
        <w:t xml:space="preserve"> and safety-sound method for the production of Sn NPs is proposed, using a precursor made of bulky Sn and a tribological process in aqueous medium. The paper is structured as follows. In Section 2, materials and methods are described, with particular </w:t>
      </w:r>
      <w:r w:rsidR="005106AE">
        <w:rPr>
          <w:lang w:val="en-GB"/>
        </w:rPr>
        <w:t xml:space="preserve">attention </w:t>
      </w:r>
      <w:r w:rsidR="002C0430">
        <w:rPr>
          <w:lang w:val="en-GB"/>
        </w:rPr>
        <w:t xml:space="preserve">to the </w:t>
      </w:r>
      <w:proofErr w:type="spellStart"/>
      <w:r w:rsidR="002C0430">
        <w:rPr>
          <w:lang w:val="en-GB"/>
        </w:rPr>
        <w:t>mechanosynthesis</w:t>
      </w:r>
      <w:proofErr w:type="spellEnd"/>
      <w:r w:rsidR="002C0430">
        <w:rPr>
          <w:lang w:val="en-GB"/>
        </w:rPr>
        <w:t xml:space="preserve"> device. In Section 3, the as-obtained NPs are characterized in shape. Finally, in Section 4, the conclusion</w:t>
      </w:r>
      <w:r w:rsidR="005106AE">
        <w:rPr>
          <w:lang w:val="en-GB"/>
        </w:rPr>
        <w:t>s</w:t>
      </w:r>
      <w:r w:rsidR="002C0430">
        <w:rPr>
          <w:lang w:val="en-GB"/>
        </w:rPr>
        <w:t xml:space="preserve"> are drawn in view of a possible scale-up of the process here described.</w:t>
      </w:r>
    </w:p>
    <w:p w14:paraId="5741900F" w14:textId="6DBE8614" w:rsidR="00453E24" w:rsidRDefault="00A47A12" w:rsidP="00453E24">
      <w:pPr>
        <w:pStyle w:val="CETHeading1"/>
      </w:pPr>
      <w:r>
        <w:t>Experimental setup</w:t>
      </w:r>
    </w:p>
    <w:p w14:paraId="0636B784" w14:textId="2F9E4B1E" w:rsidR="00453E24" w:rsidRDefault="00A47A12" w:rsidP="00453E24">
      <w:pPr>
        <w:pStyle w:val="CETheadingx"/>
      </w:pPr>
      <w:r>
        <w:t>Materials and methods</w:t>
      </w:r>
    </w:p>
    <w:p w14:paraId="6CF4122F" w14:textId="7B9643C0" w:rsidR="00EE60B3" w:rsidRDefault="00EE60B3" w:rsidP="00453E24">
      <w:pPr>
        <w:pStyle w:val="CETBodytext"/>
      </w:pPr>
      <w:r>
        <w:t xml:space="preserve">Sn metal flakes </w:t>
      </w:r>
      <w:r w:rsidR="00843323">
        <w:t xml:space="preserve">(Sn, 99.9%, American Elements, Los Angeles, USA), </w:t>
      </w:r>
      <w:r>
        <w:t>yttria-zirconia spheres (</w:t>
      </w:r>
      <w:r w:rsidR="00A673F9">
        <w:t xml:space="preserve">YSZ, </w:t>
      </w:r>
      <w:r>
        <w:t>ZrO</w:t>
      </w:r>
      <w:r w:rsidRPr="00EE60B3">
        <w:rPr>
          <w:vertAlign w:val="subscript"/>
        </w:rPr>
        <w:t>2</w:t>
      </w:r>
      <w:r>
        <w:t xml:space="preserve"> 95% / Y</w:t>
      </w:r>
      <w:r w:rsidRPr="00EE60B3">
        <w:rPr>
          <w:vertAlign w:val="subscript"/>
        </w:rPr>
        <w:t>2</w:t>
      </w:r>
      <w:r>
        <w:t>O</w:t>
      </w:r>
      <w:r w:rsidRPr="00EE60B3">
        <w:rPr>
          <w:vertAlign w:val="subscript"/>
        </w:rPr>
        <w:t>3</w:t>
      </w:r>
      <w:r>
        <w:t xml:space="preserve"> 5%, 4mm diameter, </w:t>
      </w:r>
      <w:proofErr w:type="spellStart"/>
      <w:r>
        <w:t>Pingxiang</w:t>
      </w:r>
      <w:proofErr w:type="spellEnd"/>
      <w:r>
        <w:t xml:space="preserve">, Jiangxi, China) </w:t>
      </w:r>
      <w:r w:rsidR="00843323">
        <w:t xml:space="preserve">polyvinyl </w:t>
      </w:r>
      <w:proofErr w:type="spellStart"/>
      <w:r w:rsidR="00843323">
        <w:t>pyrrolydone</w:t>
      </w:r>
      <w:proofErr w:type="spellEnd"/>
      <w:r w:rsidR="00843323">
        <w:t xml:space="preserve"> (PVP, (C</w:t>
      </w:r>
      <w:r w:rsidR="00843323" w:rsidRPr="002E719C">
        <w:rPr>
          <w:vertAlign w:val="subscript"/>
        </w:rPr>
        <w:t>6</w:t>
      </w:r>
      <w:r w:rsidR="00843323">
        <w:t>H</w:t>
      </w:r>
      <w:r w:rsidR="00843323" w:rsidRPr="002E719C">
        <w:rPr>
          <w:vertAlign w:val="subscript"/>
        </w:rPr>
        <w:t>9</w:t>
      </w:r>
      <w:r w:rsidR="00843323">
        <w:t>NO)</w:t>
      </w:r>
      <w:r w:rsidR="00843323" w:rsidRPr="002E719C">
        <w:rPr>
          <w:vertAlign w:val="subscript"/>
        </w:rPr>
        <w:t>x</w:t>
      </w:r>
      <w:r w:rsidR="00843323">
        <w:t xml:space="preserve">, 40kDa, 99%, La </w:t>
      </w:r>
      <w:proofErr w:type="spellStart"/>
      <w:r w:rsidR="00843323">
        <w:t>Farmochimica</w:t>
      </w:r>
      <w:proofErr w:type="spellEnd"/>
      <w:r w:rsidR="00843323">
        <w:t>,</w:t>
      </w:r>
      <w:r w:rsidR="00AC331D">
        <w:t xml:space="preserve"> </w:t>
      </w:r>
      <w:r w:rsidR="00843323">
        <w:t>Genova, Italy)</w:t>
      </w:r>
      <w:r w:rsidR="002E719C">
        <w:t>, saponin</w:t>
      </w:r>
      <w:r w:rsidR="00F227DC">
        <w:t xml:space="preserve"> (SA, </w:t>
      </w:r>
      <w:r w:rsidR="006E4779" w:rsidRPr="006E4779">
        <w:t>8-25%, Sigma-Aldrich, Milano,</w:t>
      </w:r>
      <w:r w:rsidR="002E14E6">
        <w:t xml:space="preserve"> </w:t>
      </w:r>
      <w:r w:rsidR="006E4779" w:rsidRPr="006E4779">
        <w:t>Italy)</w:t>
      </w:r>
      <w:r w:rsidR="006E4779">
        <w:t xml:space="preserve"> </w:t>
      </w:r>
      <w:r w:rsidR="00E86056">
        <w:t xml:space="preserve">and </w:t>
      </w:r>
      <w:proofErr w:type="spellStart"/>
      <w:r w:rsidR="00E86056">
        <w:t>myristyl</w:t>
      </w:r>
      <w:proofErr w:type="spellEnd"/>
      <w:r w:rsidR="00E86056">
        <w:t xml:space="preserve"> trimethyl</w:t>
      </w:r>
      <w:r w:rsidR="002E14E6">
        <w:t>ammonium bromide (MTAB, C</w:t>
      </w:r>
      <w:r w:rsidR="002E14E6" w:rsidRPr="002E14E6">
        <w:rPr>
          <w:vertAlign w:val="subscript"/>
        </w:rPr>
        <w:t>17</w:t>
      </w:r>
      <w:r w:rsidR="002E14E6">
        <w:t>H</w:t>
      </w:r>
      <w:r w:rsidR="002E14E6" w:rsidRPr="002E14E6">
        <w:rPr>
          <w:vertAlign w:val="subscript"/>
        </w:rPr>
        <w:t>38</w:t>
      </w:r>
      <w:r w:rsidR="002E14E6">
        <w:t>NBr, 99%, Sigma Aldrich, Milano, Italy)</w:t>
      </w:r>
      <w:r w:rsidR="00E86056">
        <w:t xml:space="preserve"> </w:t>
      </w:r>
      <w:r w:rsidR="006E4779">
        <w:t xml:space="preserve">were used as purchased. </w:t>
      </w:r>
      <w:r>
        <w:t>Deionized water was used in all experimental tests, which were carried out at room temperature.</w:t>
      </w:r>
    </w:p>
    <w:p w14:paraId="7C2B0064" w14:textId="63A14C1A" w:rsidR="00453E24" w:rsidRDefault="005106AE" w:rsidP="00453E24">
      <w:pPr>
        <w:pStyle w:val="CETBodytext"/>
      </w:pPr>
      <w:r>
        <w:t xml:space="preserve">Tin flaxes underwent </w:t>
      </w:r>
      <w:r w:rsidR="00EE60B3">
        <w:t>fusion in a ceramic crucible and were further converted in</w:t>
      </w:r>
      <w:r>
        <w:t>to</w:t>
      </w:r>
      <w:r w:rsidR="00EE60B3">
        <w:t xml:space="preserve"> a </w:t>
      </w:r>
      <w:r w:rsidR="00833198">
        <w:t>spheroidal</w:t>
      </w:r>
      <w:r w:rsidR="00EE60B3">
        <w:t xml:space="preserve"> shape </w:t>
      </w:r>
      <w:r w:rsidR="00CA1884">
        <w:t xml:space="preserve">of 4 mm diameter </w:t>
      </w:r>
      <w:proofErr w:type="gramStart"/>
      <w:r w:rsidR="00EE60B3">
        <w:t>in order to</w:t>
      </w:r>
      <w:proofErr w:type="gramEnd"/>
      <w:r w:rsidR="00EE60B3">
        <w:t xml:space="preserve"> make them suitable to be comminuted in </w:t>
      </w:r>
      <w:r w:rsidR="00EB3763">
        <w:t>a</w:t>
      </w:r>
      <w:r w:rsidR="00CA1884">
        <w:t xml:space="preserve"> custom</w:t>
      </w:r>
      <w:r>
        <w:t>-</w:t>
      </w:r>
      <w:r w:rsidR="00CA1884">
        <w:t xml:space="preserve">made miller which will be described in </w:t>
      </w:r>
      <w:r>
        <w:t xml:space="preserve">the following </w:t>
      </w:r>
      <w:r w:rsidR="00CA1884">
        <w:t>section</w:t>
      </w:r>
      <w:r>
        <w:t xml:space="preserve">. </w:t>
      </w:r>
      <w:r w:rsidR="00CA1884">
        <w:t>Separately,</w:t>
      </w:r>
      <w:r w:rsidR="00CA1884" w:rsidRPr="00CA1884">
        <w:t xml:space="preserve"> a fraction of tin was cast into a </w:t>
      </w:r>
      <w:proofErr w:type="spellStart"/>
      <w:r w:rsidR="00CA1884" w:rsidRPr="00CA1884">
        <w:t>mould</w:t>
      </w:r>
      <w:proofErr w:type="spellEnd"/>
      <w:r w:rsidR="00CA1884" w:rsidRPr="00CA1884">
        <w:t xml:space="preserve"> and suitably </w:t>
      </w:r>
      <w:r w:rsidR="00EB3763">
        <w:t>laminated in</w:t>
      </w:r>
      <w:r w:rsidR="00CA1884" w:rsidRPr="00CA1884">
        <w:t xml:space="preserve"> foil </w:t>
      </w:r>
      <w:r w:rsidR="00EB3763">
        <w:t xml:space="preserve">with a </w:t>
      </w:r>
      <w:r w:rsidR="00CA1884" w:rsidRPr="00CA1884">
        <w:t xml:space="preserve">thickness of approximately 0.5 mm </w:t>
      </w:r>
      <w:r w:rsidR="00831AB5">
        <w:t>through stretching-</w:t>
      </w:r>
      <w:r w:rsidR="00F227DC">
        <w:t xml:space="preserve">compression </w:t>
      </w:r>
      <w:r w:rsidR="00EB3763">
        <w:t xml:space="preserve">and subsequently shaped </w:t>
      </w:r>
      <w:r w:rsidR="00CA1884" w:rsidRPr="00CA1884">
        <w:t>to cover the magnetic st</w:t>
      </w:r>
      <w:r w:rsidR="00CA1884">
        <w:t xml:space="preserve">irrer </w:t>
      </w:r>
      <w:r w:rsidR="00A673F9">
        <w:t xml:space="preserve">as described in section 2.2. </w:t>
      </w:r>
    </w:p>
    <w:p w14:paraId="41B188BB" w14:textId="1E664C7A" w:rsidR="00CA1884" w:rsidRDefault="00CA1884" w:rsidP="00453E24">
      <w:pPr>
        <w:pStyle w:val="CETBodytext"/>
      </w:pPr>
      <w:r>
        <w:t xml:space="preserve">The particle characterization for diameter has been carried out by </w:t>
      </w:r>
      <w:r w:rsidR="00495383">
        <w:t>dynamic light s</w:t>
      </w:r>
      <w:r w:rsidR="00386310">
        <w:t>cattering (</w:t>
      </w:r>
      <w:r w:rsidR="00386310" w:rsidRPr="008F7FAF">
        <w:t xml:space="preserve">DLS, </w:t>
      </w:r>
      <w:proofErr w:type="spellStart"/>
      <w:r w:rsidR="00495383">
        <w:t>Zetasizer</w:t>
      </w:r>
      <w:proofErr w:type="spellEnd"/>
      <w:r w:rsidR="00495383">
        <w:t xml:space="preserve"> Nano</w:t>
      </w:r>
      <w:r w:rsidR="008F7FAF" w:rsidRPr="008F7FAF">
        <w:t xml:space="preserve">, Malvern </w:t>
      </w:r>
      <w:proofErr w:type="spellStart"/>
      <w:r w:rsidR="008F7FAF" w:rsidRPr="008F7FAF">
        <w:t>Panalytical</w:t>
      </w:r>
      <w:proofErr w:type="spellEnd"/>
      <w:r w:rsidR="008F7FAF" w:rsidRPr="008F7FAF">
        <w:t xml:space="preserve">, </w:t>
      </w:r>
      <w:r w:rsidR="008F7FAF">
        <w:t>Malvern, UK</w:t>
      </w:r>
      <w:r w:rsidR="00386310">
        <w:t xml:space="preserve">), using a </w:t>
      </w:r>
      <w:r w:rsidR="00495383">
        <w:t xml:space="preserve">disposable polystyrene </w:t>
      </w:r>
      <w:r w:rsidR="00386310">
        <w:t xml:space="preserve">cuvette holding </w:t>
      </w:r>
      <w:r w:rsidR="00495383">
        <w:t>1.</w:t>
      </w:r>
      <w:r w:rsidR="00386310">
        <w:t>3 cm</w:t>
      </w:r>
      <w:r w:rsidR="00386310" w:rsidRPr="00386310">
        <w:rPr>
          <w:vertAlign w:val="superscript"/>
        </w:rPr>
        <w:t>3</w:t>
      </w:r>
      <w:r w:rsidR="00386310">
        <w:t xml:space="preserve"> of liquid for each sampling. Particle shape and </w:t>
      </w:r>
      <w:r w:rsidR="00495383">
        <w:t>composition were determined by transmission electron m</w:t>
      </w:r>
      <w:r w:rsidR="00386310">
        <w:t>icroscopy (</w:t>
      </w:r>
      <w:r w:rsidR="00386310" w:rsidRPr="008F7FAF">
        <w:t xml:space="preserve">TEM, </w:t>
      </w:r>
      <w:r w:rsidR="00C02A13">
        <w:t>JEOL 2100 Plus, A</w:t>
      </w:r>
      <w:r w:rsidR="008F7FAF" w:rsidRPr="008F7FAF">
        <w:t>kishima, Japan</w:t>
      </w:r>
      <w:r w:rsidR="00386310">
        <w:t xml:space="preserve">), by collecting </w:t>
      </w:r>
      <w:r w:rsidR="00C02A13">
        <w:t xml:space="preserve">20 </w:t>
      </w:r>
      <w:r w:rsidR="00C02A13">
        <w:sym w:font="Symbol" w:char="F06D"/>
      </w:r>
      <w:r w:rsidR="00C02A13">
        <w:t xml:space="preserve">L of </w:t>
      </w:r>
      <w:r w:rsidR="00386310">
        <w:t xml:space="preserve">liquid embedding the suspended particles on a </w:t>
      </w:r>
      <w:r w:rsidR="00831AB5">
        <w:t xml:space="preserve">3 mm </w:t>
      </w:r>
      <w:r w:rsidR="00C02A13">
        <w:t>copper la</w:t>
      </w:r>
      <w:r w:rsidR="00831AB5">
        <w:t>c</w:t>
      </w:r>
      <w:r w:rsidR="00C02A13">
        <w:t>ey grid. This aliquot was allowed to stand for 24 h under vacuum to ca</w:t>
      </w:r>
      <w:r w:rsidR="00831AB5">
        <w:t xml:space="preserve">rry out </w:t>
      </w:r>
      <w:r w:rsidR="00C02A13">
        <w:t>solvent evaporation</w:t>
      </w:r>
      <w:r w:rsidR="00831AB5">
        <w:t>. T</w:t>
      </w:r>
      <w:r w:rsidR="00C02A13">
        <w:t xml:space="preserve">he </w:t>
      </w:r>
      <w:r w:rsidR="00AC331D">
        <w:t>as obtained</w:t>
      </w:r>
      <w:r w:rsidR="00C02A13">
        <w:t xml:space="preserve"> so</w:t>
      </w:r>
      <w:r w:rsidR="00495383">
        <w:t>lid residue was graphitized by physical vapor d</w:t>
      </w:r>
      <w:r w:rsidR="00C02A13">
        <w:t>eposition (PVD) and finally s</w:t>
      </w:r>
      <w:r w:rsidR="00831AB5">
        <w:t xml:space="preserve">canned by a 200 kV electron beam, using a maximum current of 105 </w:t>
      </w:r>
      <w:r w:rsidR="00831AB5">
        <w:sym w:font="Symbol" w:char="F06D"/>
      </w:r>
      <w:r w:rsidR="00495383">
        <w:t>A.</w:t>
      </w:r>
      <w:r w:rsidR="00831AB5">
        <w:t xml:space="preserve"> </w:t>
      </w:r>
      <w:r w:rsidR="00386310">
        <w:t xml:space="preserve">   </w:t>
      </w:r>
    </w:p>
    <w:p w14:paraId="18BAFA6F" w14:textId="1EDA1CA5" w:rsidR="00453E24" w:rsidRPr="00B57B36" w:rsidRDefault="00A47A12" w:rsidP="00453E24">
      <w:pPr>
        <w:pStyle w:val="CETheadingx"/>
      </w:pPr>
      <w:r>
        <w:t xml:space="preserve">The </w:t>
      </w:r>
      <w:proofErr w:type="spellStart"/>
      <w:r>
        <w:t>mechanosynthesis</w:t>
      </w:r>
      <w:proofErr w:type="spellEnd"/>
      <w:r>
        <w:t xml:space="preserve"> technique</w:t>
      </w:r>
    </w:p>
    <w:p w14:paraId="5436D977" w14:textId="2954703A" w:rsidR="00453E24" w:rsidRDefault="00386310" w:rsidP="00453E24">
      <w:pPr>
        <w:pStyle w:val="CETBodytext"/>
      </w:pPr>
      <w:r>
        <w:t xml:space="preserve">Tin particles were obtained according to two different experimental </w:t>
      </w:r>
      <w:proofErr w:type="spellStart"/>
      <w:r>
        <w:t>mechanosynthesis</w:t>
      </w:r>
      <w:proofErr w:type="spellEnd"/>
      <w:r>
        <w:t xml:space="preserve"> techniques, </w:t>
      </w:r>
      <w:r w:rsidR="0085734A">
        <w:t xml:space="preserve">which will be here defined as jacket </w:t>
      </w:r>
      <w:r w:rsidR="003C26F8">
        <w:t xml:space="preserve">method (JM) </w:t>
      </w:r>
      <w:r w:rsidR="007B79B0">
        <w:t>and ball</w:t>
      </w:r>
      <w:r w:rsidR="003C26F8">
        <w:t xml:space="preserve"> </w:t>
      </w:r>
      <w:r w:rsidR="0085734A">
        <w:t>method</w:t>
      </w:r>
      <w:r w:rsidR="003C26F8">
        <w:t xml:space="preserve"> (BM)</w:t>
      </w:r>
      <w:r w:rsidR="0085734A">
        <w:t xml:space="preserve">. Both methods were carried out using the same vessel, namely a round-bottom glass tube of </w:t>
      </w:r>
      <w:r w:rsidR="00F227DC">
        <w:t>34 mm outer diameter in which 10 cm</w:t>
      </w:r>
      <w:r w:rsidR="00F227DC" w:rsidRPr="003C26F8">
        <w:rPr>
          <w:vertAlign w:val="superscript"/>
        </w:rPr>
        <w:t>3</w:t>
      </w:r>
      <w:r w:rsidR="00F227DC">
        <w:t xml:space="preserve"> of water containing a selected capping agent were dropped for each experiment. </w:t>
      </w:r>
      <w:r w:rsidR="00EB28E6">
        <w:t xml:space="preserve">The stirring element is a </w:t>
      </w:r>
      <w:r w:rsidR="00495383">
        <w:t xml:space="preserve">polytetrafluoroethylene </w:t>
      </w:r>
      <w:r w:rsidR="00EB28E6">
        <w:t>(PTFE) bar with a length of 30 mm and a diameter of 6 mm, having a magnetic core. The capping age</w:t>
      </w:r>
      <w:r w:rsidR="00F227DC">
        <w:t xml:space="preserve">nt concentrations were 5% </w:t>
      </w:r>
      <w:r w:rsidR="00F30926">
        <w:t>for PVP and 3% for MTAB</w:t>
      </w:r>
      <w:r w:rsidR="00F227DC">
        <w:t xml:space="preserve"> and SA, respectively</w:t>
      </w:r>
      <w:r w:rsidR="007B79B0">
        <w:t xml:space="preserve">, and </w:t>
      </w:r>
      <w:r w:rsidR="003C26F8">
        <w:t xml:space="preserve">they were </w:t>
      </w:r>
      <w:r w:rsidR="007B79B0">
        <w:t xml:space="preserve">never </w:t>
      </w:r>
      <w:proofErr w:type="gramStart"/>
      <w:r w:rsidR="007B79B0">
        <w:t>mixed</w:t>
      </w:r>
      <w:r w:rsidR="003C26F8">
        <w:t xml:space="preserve"> together</w:t>
      </w:r>
      <w:proofErr w:type="gramEnd"/>
      <w:r w:rsidR="00F227DC">
        <w:t xml:space="preserve">. </w:t>
      </w:r>
      <w:r w:rsidR="00593BF0">
        <w:t xml:space="preserve">The two methods differ </w:t>
      </w:r>
      <w:r w:rsidR="00F227DC">
        <w:t>from one another according to the following points:</w:t>
      </w:r>
    </w:p>
    <w:p w14:paraId="2C92248D" w14:textId="72709F3B" w:rsidR="00F227DC" w:rsidRDefault="00F227DC" w:rsidP="00A673F9">
      <w:pPr>
        <w:pStyle w:val="CETBodytext"/>
        <w:numPr>
          <w:ilvl w:val="0"/>
          <w:numId w:val="23"/>
        </w:numPr>
      </w:pPr>
      <w:r>
        <w:t xml:space="preserve">In the </w:t>
      </w:r>
      <w:r w:rsidR="00495383">
        <w:t>JM</w:t>
      </w:r>
      <w:r>
        <w:t xml:space="preserve">, the stirring element </w:t>
      </w:r>
      <w:r w:rsidR="00A673F9">
        <w:t xml:space="preserve">is coated by a Sn metal plate. It is surrounded by 70 YSZ balls, </w:t>
      </w:r>
      <w:r w:rsidR="00A673F9" w:rsidRPr="00A673F9">
        <w:t>which are agitated thanks to the drag imposed by the rotating motion of the magnet</w:t>
      </w:r>
      <w:r w:rsidR="007B79B0">
        <w:t xml:space="preserve">. </w:t>
      </w:r>
      <w:r w:rsidR="00104055">
        <w:t xml:space="preserve">The Sn metal coating </w:t>
      </w:r>
      <w:r w:rsidR="00104055">
        <w:lastRenderedPageBreak/>
        <w:t xml:space="preserve">acts as a sacrificial precursor subject to comminution by hits and abrasion exerted by the surrounding ceramic balls. </w:t>
      </w:r>
      <w:r w:rsidR="007B79B0">
        <w:t xml:space="preserve">All these components are wetted by the </w:t>
      </w:r>
      <w:proofErr w:type="gramStart"/>
      <w:r w:rsidR="007B79B0">
        <w:t>aforementioned liquid</w:t>
      </w:r>
      <w:proofErr w:type="gramEnd"/>
      <w:r w:rsidR="00104055">
        <w:t xml:space="preserve"> volume, where a capping agent has been previously dissolved</w:t>
      </w:r>
      <w:r w:rsidR="007B79B0">
        <w:t>.</w:t>
      </w:r>
    </w:p>
    <w:p w14:paraId="161695B2" w14:textId="170FD27D" w:rsidR="007B79B0" w:rsidRDefault="007B79B0" w:rsidP="007B79B0">
      <w:pPr>
        <w:pStyle w:val="CETBodytext"/>
        <w:numPr>
          <w:ilvl w:val="0"/>
          <w:numId w:val="23"/>
        </w:numPr>
      </w:pPr>
      <w:r>
        <w:t xml:space="preserve">In the </w:t>
      </w:r>
      <w:r w:rsidR="00495383">
        <w:t>BM</w:t>
      </w:r>
      <w:r>
        <w:t xml:space="preserve">, the stirring element is </w:t>
      </w:r>
      <w:proofErr w:type="gramStart"/>
      <w:r>
        <w:t>uncoated</w:t>
      </w:r>
      <w:proofErr w:type="gramEnd"/>
      <w:r>
        <w:t xml:space="preserve"> and it is surrounded by 70 YSZ balls together with 10 Sn balls. All of them, including the liquid volume, </w:t>
      </w:r>
      <w:r w:rsidRPr="007B79B0">
        <w:t>are dragged along by the motion of the agitating element.</w:t>
      </w:r>
    </w:p>
    <w:p w14:paraId="2415F54B" w14:textId="5CC677C4" w:rsidR="007B79B0" w:rsidRDefault="007B79B0" w:rsidP="007B79B0">
      <w:pPr>
        <w:pStyle w:val="CETBodytext"/>
      </w:pPr>
      <w:r>
        <w:t xml:space="preserve">Essentially, </w:t>
      </w:r>
      <w:r w:rsidR="00736CA9">
        <w:t xml:space="preserve">in both cases, </w:t>
      </w:r>
      <w:r>
        <w:t xml:space="preserve">the metal NPs </w:t>
      </w:r>
      <w:r w:rsidR="00593BF0">
        <w:t xml:space="preserve">are formed by </w:t>
      </w:r>
      <w:r w:rsidR="00593BF0" w:rsidRPr="00593BF0">
        <w:t>impact and friction produced by the presence</w:t>
      </w:r>
      <w:r w:rsidR="003C26F8">
        <w:t xml:space="preserve"> of the cerami</w:t>
      </w:r>
      <w:r w:rsidR="00F30926">
        <w:t>c spheres, colliding against a</w:t>
      </w:r>
      <w:r w:rsidR="003C26F8">
        <w:t xml:space="preserve"> tin foil in</w:t>
      </w:r>
      <w:r w:rsidR="00593BF0">
        <w:t xml:space="preserve"> J</w:t>
      </w:r>
      <w:r w:rsidR="003C26F8">
        <w:t>M</w:t>
      </w:r>
      <w:r w:rsidR="00593BF0" w:rsidRPr="00593BF0">
        <w:t xml:space="preserve"> and </w:t>
      </w:r>
      <w:r w:rsidR="00F30926">
        <w:t>against</w:t>
      </w:r>
      <w:r w:rsidR="003C26F8">
        <w:t xml:space="preserve"> tin spheres in </w:t>
      </w:r>
      <w:r w:rsidR="00593BF0">
        <w:t>B</w:t>
      </w:r>
      <w:r w:rsidR="003C26F8">
        <w:t>M</w:t>
      </w:r>
      <w:r w:rsidR="00593BF0" w:rsidRPr="00593BF0">
        <w:t>.</w:t>
      </w:r>
      <w:r w:rsidR="00593BF0">
        <w:t xml:space="preserve"> F</w:t>
      </w:r>
      <w:r w:rsidR="00593BF0" w:rsidRPr="00593BF0">
        <w:t>igure 1 gives a visual representation of what has just been described.</w:t>
      </w:r>
    </w:p>
    <w:p w14:paraId="5B2B3598" w14:textId="77777777" w:rsidR="00104055" w:rsidRDefault="00104055" w:rsidP="007B79B0">
      <w:pPr>
        <w:pStyle w:val="CETBodytext"/>
      </w:pPr>
    </w:p>
    <w:p w14:paraId="23B3F145" w14:textId="70FD0AEA" w:rsidR="00104055" w:rsidRDefault="00104055" w:rsidP="00833198">
      <w:pPr>
        <w:pStyle w:val="CETBodytext"/>
        <w:jc w:val="left"/>
      </w:pPr>
      <w:r>
        <w:rPr>
          <w:noProof/>
          <w:lang w:val="it-IT" w:eastAsia="it-IT"/>
        </w:rPr>
        <w:drawing>
          <wp:inline distT="0" distB="0" distL="0" distR="0" wp14:anchorId="3698A619" wp14:editId="73F2E03D">
            <wp:extent cx="3429000" cy="1933575"/>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76" name="Immagine 7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933575"/>
                    </a:xfrm>
                    <a:prstGeom prst="rect">
                      <a:avLst/>
                    </a:prstGeom>
                    <a:noFill/>
                  </pic:spPr>
                </pic:pic>
              </a:graphicData>
            </a:graphic>
          </wp:inline>
        </w:drawing>
      </w:r>
    </w:p>
    <w:p w14:paraId="2CE61E36" w14:textId="7DA42E40" w:rsidR="00104055" w:rsidRDefault="00104055" w:rsidP="00104055">
      <w:pPr>
        <w:pStyle w:val="CETCaption"/>
      </w:pPr>
      <w:r w:rsidRPr="00BD077D">
        <w:rPr>
          <w:rStyle w:val="CETCaptionCarattere"/>
          <w:i/>
        </w:rPr>
        <w:t xml:space="preserve">Figure 1: </w:t>
      </w:r>
      <w:r>
        <w:rPr>
          <w:rStyle w:val="CETCaptionCarattere"/>
          <w:i/>
        </w:rPr>
        <w:t xml:space="preserve">(a): Scheme of the JM </w:t>
      </w:r>
      <w:proofErr w:type="spellStart"/>
      <w:r>
        <w:rPr>
          <w:rStyle w:val="CETCaptionCarattere"/>
          <w:i/>
        </w:rPr>
        <w:t>mechanosynthesis</w:t>
      </w:r>
      <w:proofErr w:type="spellEnd"/>
      <w:r>
        <w:rPr>
          <w:rStyle w:val="CETCaptionCarattere"/>
          <w:i/>
        </w:rPr>
        <w:t xml:space="preserve"> apparatus.</w:t>
      </w:r>
      <w:r w:rsidR="00B74DC5">
        <w:rPr>
          <w:rStyle w:val="CETCaptionCarattere"/>
          <w:i/>
        </w:rPr>
        <w:t xml:space="preserve"> A</w:t>
      </w:r>
      <w:r>
        <w:rPr>
          <w:rStyle w:val="CETCaptionCarattere"/>
          <w:i/>
        </w:rPr>
        <w:t xml:space="preserve"> black skew PTFE </w:t>
      </w:r>
      <w:r w:rsidR="00736CA9">
        <w:rPr>
          <w:rStyle w:val="CETCaptionCarattere"/>
          <w:i/>
        </w:rPr>
        <w:t xml:space="preserve">stirring </w:t>
      </w:r>
      <w:r>
        <w:rPr>
          <w:rStyle w:val="CETCaptionCarattere"/>
          <w:i/>
        </w:rPr>
        <w:t xml:space="preserve">bar is covered by a Sn metal </w:t>
      </w:r>
      <w:r w:rsidR="005E13CA">
        <w:rPr>
          <w:rStyle w:val="CETCaptionCarattere"/>
          <w:i/>
        </w:rPr>
        <w:t xml:space="preserve">sleeve, acting as a </w:t>
      </w:r>
      <w:r w:rsidR="00F36A43">
        <w:rPr>
          <w:rStyle w:val="CETCaptionCarattere"/>
          <w:i/>
        </w:rPr>
        <w:t xml:space="preserve">metal </w:t>
      </w:r>
      <w:r w:rsidR="005E13CA">
        <w:rPr>
          <w:rStyle w:val="CETCaptionCarattere"/>
          <w:i/>
        </w:rPr>
        <w:t xml:space="preserve">precursor. (b): </w:t>
      </w:r>
      <w:r>
        <w:rPr>
          <w:rStyle w:val="CETCaptionCarattere"/>
          <w:i/>
        </w:rPr>
        <w:t xml:space="preserve">Scheme of the BM </w:t>
      </w:r>
      <w:proofErr w:type="spellStart"/>
      <w:r>
        <w:rPr>
          <w:rStyle w:val="CETCaptionCarattere"/>
          <w:i/>
        </w:rPr>
        <w:t>mechanosynthesis</w:t>
      </w:r>
      <w:proofErr w:type="spellEnd"/>
      <w:r>
        <w:rPr>
          <w:rStyle w:val="CETCaptionCarattere"/>
          <w:i/>
        </w:rPr>
        <w:t xml:space="preserve"> apparatus.</w:t>
      </w:r>
      <w:r w:rsidR="00B74DC5">
        <w:rPr>
          <w:rStyle w:val="CETCaptionCarattere"/>
          <w:i/>
        </w:rPr>
        <w:t xml:space="preserve"> A</w:t>
      </w:r>
      <w:r w:rsidR="005E13CA">
        <w:rPr>
          <w:rStyle w:val="CETCaptionCarattere"/>
          <w:i/>
        </w:rPr>
        <w:t xml:space="preserve"> PTFE stirring bar is </w:t>
      </w:r>
      <w:r w:rsidR="00B74DC5">
        <w:rPr>
          <w:rStyle w:val="CETCaptionCarattere"/>
          <w:i/>
        </w:rPr>
        <w:t xml:space="preserve">left uncoated </w:t>
      </w:r>
      <w:r w:rsidR="005E13CA">
        <w:rPr>
          <w:rStyle w:val="CETCaptionCarattere"/>
          <w:i/>
        </w:rPr>
        <w:t xml:space="preserve">and </w:t>
      </w:r>
      <w:r w:rsidR="00B74DC5">
        <w:rPr>
          <w:rStyle w:val="CETCaptionCarattere"/>
          <w:i/>
        </w:rPr>
        <w:t>some</w:t>
      </w:r>
      <w:r w:rsidR="005E13CA">
        <w:rPr>
          <w:rStyle w:val="CETCaptionCarattere"/>
          <w:i/>
        </w:rPr>
        <w:t xml:space="preserve"> Sn metal spheres act as a </w:t>
      </w:r>
      <w:r w:rsidR="00F36A43">
        <w:rPr>
          <w:rStyle w:val="CETCaptionCarattere"/>
          <w:i/>
        </w:rPr>
        <w:t xml:space="preserve">metal </w:t>
      </w:r>
      <w:r w:rsidR="005E13CA">
        <w:rPr>
          <w:rStyle w:val="CETCaptionCarattere"/>
          <w:i/>
        </w:rPr>
        <w:t>precursor.</w:t>
      </w:r>
      <w:r w:rsidRPr="00BD077D">
        <w:t xml:space="preserve"> </w:t>
      </w:r>
    </w:p>
    <w:p w14:paraId="30915D6C" w14:textId="1696C660" w:rsidR="008C6FC0" w:rsidRDefault="008C6FC0" w:rsidP="002B036A">
      <w:pPr>
        <w:pStyle w:val="CETBodytext"/>
      </w:pPr>
      <w:r>
        <w:t xml:space="preserve">In the present experimental campaign, some precautions have been adopted to </w:t>
      </w:r>
      <w:r w:rsidR="00495383">
        <w:t>prevent</w:t>
      </w:r>
      <w:r>
        <w:t xml:space="preserve"> a surface oxidatio</w:t>
      </w:r>
      <w:r w:rsidR="00B74DC5">
        <w:t>n of Sn NPs, according to the following operations:</w:t>
      </w:r>
    </w:p>
    <w:p w14:paraId="2A112005" w14:textId="62D2FD04" w:rsidR="00DC53C2" w:rsidRDefault="00DC53C2" w:rsidP="00DC53C2">
      <w:pPr>
        <w:pStyle w:val="CETBodytext"/>
        <w:numPr>
          <w:ilvl w:val="0"/>
          <w:numId w:val="23"/>
        </w:numPr>
      </w:pPr>
      <w:r>
        <w:t>The liquid holdup (deionized water)</w:t>
      </w:r>
      <w:r w:rsidR="002E14E6">
        <w:t xml:space="preserve"> has been bubbled with argon for 30 min before adding the capping agents. Such operation could not be carried out after their dissolution, as </w:t>
      </w:r>
      <w:r w:rsidR="00AC331D">
        <w:t>these capping agents</w:t>
      </w:r>
      <w:r w:rsidR="002E14E6">
        <w:t xml:space="preserve"> are </w:t>
      </w:r>
      <w:r>
        <w:t xml:space="preserve">powerful surfactants, which </w:t>
      </w:r>
      <w:r w:rsidRPr="00DC53C2">
        <w:t xml:space="preserve">would have resulted in </w:t>
      </w:r>
      <w:r>
        <w:t xml:space="preserve">a considerable </w:t>
      </w:r>
      <w:r w:rsidRPr="00DC53C2">
        <w:t>production</w:t>
      </w:r>
      <w:r w:rsidR="00F30926">
        <w:t xml:space="preserve"> of foam</w:t>
      </w:r>
      <w:r>
        <w:t>.</w:t>
      </w:r>
    </w:p>
    <w:p w14:paraId="2C17EDAE" w14:textId="5F4A1EE9" w:rsidR="00B74DC5" w:rsidRDefault="00DC53C2" w:rsidP="00DC53C2">
      <w:pPr>
        <w:pStyle w:val="CETBodytext"/>
        <w:numPr>
          <w:ilvl w:val="0"/>
          <w:numId w:val="23"/>
        </w:numPr>
      </w:pPr>
      <w:r>
        <w:t>The vessel</w:t>
      </w:r>
      <w:r w:rsidR="00325294">
        <w:t xml:space="preserve"> was</w:t>
      </w:r>
      <w:r w:rsidRPr="00DC53C2">
        <w:t xml:space="preserve"> fitted with a sealing cap</w:t>
      </w:r>
      <w:r w:rsidR="00325294">
        <w:t xml:space="preserve">, </w:t>
      </w:r>
      <w:r w:rsidR="004F22BD">
        <w:t>provided with</w:t>
      </w:r>
      <w:r w:rsidRPr="00DC53C2">
        <w:t xml:space="preserve"> an inlet and outlet duct to allow a continuous flow of inert gas.</w:t>
      </w:r>
      <w:r w:rsidR="002E14E6">
        <w:t xml:space="preserve"> </w:t>
      </w:r>
    </w:p>
    <w:p w14:paraId="4B40661F" w14:textId="0EE00B04" w:rsidR="00FC4C43" w:rsidRPr="00BD077D" w:rsidRDefault="00FC4C43" w:rsidP="00FC4C43">
      <w:pPr>
        <w:pStyle w:val="CETBodytext"/>
      </w:pPr>
      <w:r>
        <w:t>In all experimental tests, the comminution process l</w:t>
      </w:r>
      <w:r w:rsidR="00F36A43">
        <w:t xml:space="preserve">asted 3h. </w:t>
      </w:r>
      <w:r w:rsidR="0052131F">
        <w:t>The as-prepared NPs</w:t>
      </w:r>
      <w:r w:rsidR="00F36A43">
        <w:t>,</w:t>
      </w:r>
      <w:r w:rsidR="0052131F">
        <w:t xml:space="preserve"> collected in the supernatant after</w:t>
      </w:r>
      <w:r w:rsidR="00F36A43">
        <w:t xml:space="preserve"> settling for </w:t>
      </w:r>
      <w:r w:rsidR="0052131F">
        <w:t>24h</w:t>
      </w:r>
      <w:r w:rsidR="00F36A43">
        <w:t xml:space="preserve">, </w:t>
      </w:r>
      <w:r w:rsidR="0052131F">
        <w:t xml:space="preserve">were further characterized as described in the following </w:t>
      </w:r>
      <w:r w:rsidR="00AC331D">
        <w:t>s</w:t>
      </w:r>
      <w:r w:rsidR="0052131F">
        <w:t xml:space="preserve">ection. </w:t>
      </w:r>
    </w:p>
    <w:p w14:paraId="677EBFF0" w14:textId="017B08F2" w:rsidR="00600535" w:rsidRPr="00B57B36" w:rsidRDefault="003436CB" w:rsidP="00600535">
      <w:pPr>
        <w:pStyle w:val="CETHeading1"/>
        <w:tabs>
          <w:tab w:val="clear" w:pos="360"/>
          <w:tab w:val="right" w:pos="7100"/>
        </w:tabs>
        <w:jc w:val="both"/>
        <w:rPr>
          <w:lang w:val="en-GB"/>
        </w:rPr>
      </w:pPr>
      <w:r>
        <w:rPr>
          <w:lang w:val="en-GB"/>
        </w:rPr>
        <w:t>Results and discussion</w:t>
      </w:r>
    </w:p>
    <w:p w14:paraId="387D0579" w14:textId="39526CED" w:rsidR="00736CA9" w:rsidRDefault="008942FF" w:rsidP="002B036A">
      <w:pPr>
        <w:pStyle w:val="CETBodytext"/>
      </w:pPr>
      <w:r>
        <w:t xml:space="preserve">In the present work, </w:t>
      </w:r>
      <w:r w:rsidR="004D0978">
        <w:t xml:space="preserve">the JM technique represents </w:t>
      </w:r>
      <w:r>
        <w:t>a v</w:t>
      </w:r>
      <w:r w:rsidR="004D0978">
        <w:t>ariant of a comminution scheme</w:t>
      </w:r>
      <w:r>
        <w:t xml:space="preserve"> adopted in previ</w:t>
      </w:r>
      <w:r w:rsidR="004D0978">
        <w:t>ou</w:t>
      </w:r>
      <w:r>
        <w:t>s studies</w:t>
      </w:r>
      <w:r w:rsidR="004D0978">
        <w:t xml:space="preserve"> (</w:t>
      </w:r>
      <w:r w:rsidR="004D0978" w:rsidRPr="00865498">
        <w:t>Reverberi et al., 2020</w:t>
      </w:r>
      <w:r w:rsidR="004D0978">
        <w:t xml:space="preserve">). For this reason, a comparison between JM and BM methods has been intentionally proposed, </w:t>
      </w:r>
      <w:proofErr w:type="gramStart"/>
      <w:r w:rsidR="004D0978">
        <w:t>in order to</w:t>
      </w:r>
      <w:proofErr w:type="gramEnd"/>
      <w:r w:rsidR="004D0978">
        <w:t xml:space="preserve"> better understand the physicochemical processes underlying the different mechanical techniques. </w:t>
      </w:r>
      <w:r w:rsidR="003C26F8">
        <w:t>Irrespect</w:t>
      </w:r>
      <w:r w:rsidR="00495383">
        <w:t>ive of the mechanical details, these</w:t>
      </w:r>
      <w:r w:rsidR="004D0978">
        <w:t xml:space="preserve"> schemes belong to the </w:t>
      </w:r>
      <w:r w:rsidR="00AC331D">
        <w:t>well-known</w:t>
      </w:r>
      <w:r w:rsidR="005E13CA">
        <w:t xml:space="preserve"> </w:t>
      </w:r>
      <w:proofErr w:type="gramStart"/>
      <w:r w:rsidR="005E13CA">
        <w:t>top down</w:t>
      </w:r>
      <w:proofErr w:type="gramEnd"/>
      <w:r w:rsidR="005E13CA">
        <w:t xml:space="preserve"> methods for inorganic </w:t>
      </w:r>
      <w:r w:rsidR="004D0978">
        <w:t xml:space="preserve">NPs synthesis, representing </w:t>
      </w:r>
      <w:r w:rsidR="009828F0">
        <w:t>a green alternative to the conventional bottom-up m</w:t>
      </w:r>
      <w:r w:rsidR="005E13CA">
        <w:t xml:space="preserve">ethods. </w:t>
      </w:r>
      <w:r w:rsidR="00736CA9">
        <w:t xml:space="preserve">In fact, the latter are subject to </w:t>
      </w:r>
      <w:r w:rsidR="00833198">
        <w:t>several</w:t>
      </w:r>
      <w:r w:rsidR="00736CA9">
        <w:t xml:space="preserve"> constraints that may have negative consequences on the environment for the reasons</w:t>
      </w:r>
      <w:r w:rsidR="00833198">
        <w:t xml:space="preserve"> outlined in the following</w:t>
      </w:r>
      <w:r w:rsidR="00736CA9">
        <w:t>:</w:t>
      </w:r>
    </w:p>
    <w:p w14:paraId="29FC82D4" w14:textId="77777777" w:rsidR="00E57788" w:rsidRDefault="00736CA9" w:rsidP="00736CA9">
      <w:pPr>
        <w:pStyle w:val="CETListbullets"/>
        <w:numPr>
          <w:ilvl w:val="0"/>
          <w:numId w:val="23"/>
        </w:numPr>
      </w:pPr>
      <w:r>
        <w:t>Bottom-up methods</w:t>
      </w:r>
      <w:r w:rsidR="005E13CA">
        <w:t xml:space="preserve"> for metal NPs synthesis</w:t>
      </w:r>
      <w:r>
        <w:t xml:space="preserve"> generally require </w:t>
      </w:r>
      <w:r w:rsidR="005E13CA">
        <w:t>the presence of precursors in ionic form</w:t>
      </w:r>
      <w:r w:rsidR="00E57788">
        <w:t xml:space="preserve">. This amounts to saying that soluble salts of cations are subject to a chemical transformation (thermolysis, reduction, </w:t>
      </w:r>
      <w:proofErr w:type="gramStart"/>
      <w:r w:rsidR="00E57788">
        <w:t>electrolysis</w:t>
      </w:r>
      <w:proofErr w:type="gramEnd"/>
      <w:r w:rsidR="00E57788">
        <w:t xml:space="preserve"> and others) leading to the formation of zerovalent elements in atomic state, with further aggregation in primary particles. When redox processes are adopted, reducing agents are required, and their environmental soundness is often questionable depending on their chemical characteristics. Additionally, reducing agents may have a variable strength as electron donors, and this pose a crucial drawback whose main consequence is discussed in the following point.</w:t>
      </w:r>
    </w:p>
    <w:p w14:paraId="3E901769" w14:textId="538C6452" w:rsidR="00736CA9" w:rsidRDefault="00E57788" w:rsidP="00CE4582">
      <w:pPr>
        <w:pStyle w:val="CETListbullets"/>
        <w:numPr>
          <w:ilvl w:val="0"/>
          <w:numId w:val="23"/>
        </w:numPr>
      </w:pPr>
      <w:r>
        <w:t xml:space="preserve">In case of </w:t>
      </w:r>
      <w:r w:rsidR="00CE4582">
        <w:t xml:space="preserve">zerovalent metal </w:t>
      </w:r>
      <w:proofErr w:type="spellStart"/>
      <w:r>
        <w:t>nanosynthesis</w:t>
      </w:r>
      <w:proofErr w:type="spellEnd"/>
      <w:r>
        <w:t xml:space="preserve"> driven by redox processes where weak electron donors are employed, the reduction yield may be quite low, leaving a considerable fraction of </w:t>
      </w:r>
      <w:r w:rsidR="00CE4582">
        <w:t xml:space="preserve">unreacted </w:t>
      </w:r>
      <w:r w:rsidR="00CE4582">
        <w:lastRenderedPageBreak/>
        <w:t>precursor, which represent a potential environmental threat owing to its content in noxious cations. T</w:t>
      </w:r>
      <w:r w:rsidR="00CE4582" w:rsidRPr="00CE4582">
        <w:t xml:space="preserve">his phenomenon is </w:t>
      </w:r>
      <w:r w:rsidR="00495383">
        <w:t xml:space="preserve">especially </w:t>
      </w:r>
      <w:r w:rsidR="00CE4582" w:rsidRPr="00CE4582">
        <w:t>pronounced the more electropositive the precursor cations are</w:t>
      </w:r>
      <w:r w:rsidR="00CE4582">
        <w:t xml:space="preserve">. </w:t>
      </w:r>
      <w:r>
        <w:t xml:space="preserve">  </w:t>
      </w:r>
    </w:p>
    <w:p w14:paraId="3799D02A" w14:textId="7AF5C03A" w:rsidR="00F30926" w:rsidRDefault="00CE4582" w:rsidP="00B830B6">
      <w:pPr>
        <w:pStyle w:val="CETListbullets"/>
        <w:ind w:left="0" w:firstLine="0"/>
      </w:pPr>
      <w:r>
        <w:t xml:space="preserve">The </w:t>
      </w:r>
      <w:proofErr w:type="gramStart"/>
      <w:r>
        <w:t>aforementioned points</w:t>
      </w:r>
      <w:proofErr w:type="gramEnd"/>
      <w:r>
        <w:t xml:space="preserve"> </w:t>
      </w:r>
      <w:r w:rsidRPr="00CE4582">
        <w:t>can be an incentive for the use of</w:t>
      </w:r>
      <w:r w:rsidR="00495383">
        <w:t xml:space="preserve"> top-down methods as those</w:t>
      </w:r>
      <w:r>
        <w:t xml:space="preserve"> adopted in the present study, </w:t>
      </w:r>
      <w:r w:rsidR="00495383">
        <w:t>but it should be noted that these</w:t>
      </w:r>
      <w:r>
        <w:t xml:space="preserve"> </w:t>
      </w:r>
      <w:r w:rsidR="00833198">
        <w:t>techniques</w:t>
      </w:r>
      <w:r>
        <w:t xml:space="preserve"> are often affected by a serious drawback consisting in a dramatically large distribution of NPs diameters. </w:t>
      </w:r>
    </w:p>
    <w:p w14:paraId="0A7CA188" w14:textId="3E82C3D9" w:rsidR="0052131F" w:rsidRDefault="00F30926" w:rsidP="00715C42">
      <w:pPr>
        <w:pStyle w:val="CETListbullets"/>
        <w:ind w:left="0" w:firstLine="0"/>
      </w:pPr>
      <w:r>
        <w:t xml:space="preserve">The first experimental tests have been carried out using PVP as capping agent. Surprisingly, both in JM and in BM mode, PVP proved to be almost completely </w:t>
      </w:r>
      <w:r w:rsidR="00FC4C43">
        <w:t>inefficient in terms of NPs production. Namely, only a lustrous metallic dispersion of microparticles was produced, which settled completely after</w:t>
      </w:r>
      <w:r w:rsidR="00D443F5">
        <w:t xml:space="preserve"> 6h, </w:t>
      </w:r>
      <w:r w:rsidR="00D443F5" w:rsidRPr="00D443F5">
        <w:t>leaving a</w:t>
      </w:r>
      <w:r w:rsidR="00ED4175">
        <w:t xml:space="preserve"> clear and</w:t>
      </w:r>
      <w:r w:rsidR="00495383">
        <w:t xml:space="preserve"> essentially NPs</w:t>
      </w:r>
      <w:r w:rsidR="00D443F5" w:rsidRPr="00D443F5">
        <w:t>-free solution from DLS analysis</w:t>
      </w:r>
      <w:r w:rsidR="00ED5BA0">
        <w:t>. This outcome</w:t>
      </w:r>
      <w:r w:rsidR="00ED4175">
        <w:t xml:space="preserve"> is somew</w:t>
      </w:r>
      <w:r w:rsidR="00ED5BA0">
        <w:t>hat atypical when PVP is used for</w:t>
      </w:r>
      <w:r w:rsidR="00ED4175">
        <w:t xml:space="preserve"> </w:t>
      </w:r>
      <w:r w:rsidR="00660622">
        <w:t xml:space="preserve">Sn </w:t>
      </w:r>
      <w:r w:rsidR="00ED4175">
        <w:t>metal NPs synthesis</w:t>
      </w:r>
      <w:r w:rsidR="00325294">
        <w:t xml:space="preserve"> in standard redox bottom up-processes</w:t>
      </w:r>
      <w:r w:rsidR="00660622">
        <w:t xml:space="preserve">. In fact, </w:t>
      </w:r>
      <w:r w:rsidR="00660622" w:rsidRPr="00865498">
        <w:t>Shirai et al. (2016)</w:t>
      </w:r>
      <w:r w:rsidR="00660622">
        <w:t xml:space="preserve"> obtained stable Sn NPs </w:t>
      </w:r>
      <w:r w:rsidR="00ED5BA0">
        <w:t xml:space="preserve">to be used in conductive inks by </w:t>
      </w:r>
      <w:r w:rsidR="00660622">
        <w:t>reducing Sn acetate</w:t>
      </w:r>
      <w:r w:rsidR="00ED5BA0">
        <w:t xml:space="preserve"> with</w:t>
      </w:r>
      <w:r w:rsidR="00660622">
        <w:t xml:space="preserve"> NaBH</w:t>
      </w:r>
      <w:r w:rsidR="00660622" w:rsidRPr="00660622">
        <w:rPr>
          <w:vertAlign w:val="subscript"/>
        </w:rPr>
        <w:t>4</w:t>
      </w:r>
      <w:r w:rsidR="00660622">
        <w:t xml:space="preserve"> </w:t>
      </w:r>
      <w:r w:rsidR="00ED5BA0">
        <w:t xml:space="preserve">at 160 °C </w:t>
      </w:r>
      <w:r w:rsidR="00325294">
        <w:t xml:space="preserve">adopting </w:t>
      </w:r>
      <w:r w:rsidR="00660622">
        <w:t xml:space="preserve">PVP as </w:t>
      </w:r>
      <w:r w:rsidR="00325294">
        <w:t xml:space="preserve">a </w:t>
      </w:r>
      <w:r w:rsidR="00660622">
        <w:t>capping agent. Furthermore, PVP p</w:t>
      </w:r>
      <w:r w:rsidR="00ED4175">
        <w:t xml:space="preserve">roved to be highly efficient </w:t>
      </w:r>
      <w:r w:rsidR="00903445">
        <w:t xml:space="preserve">as stabilizer </w:t>
      </w:r>
      <w:r w:rsidR="00ED4175">
        <w:t>in many different cases</w:t>
      </w:r>
      <w:r w:rsidR="000E0584">
        <w:t xml:space="preserve"> concerning </w:t>
      </w:r>
      <w:r w:rsidR="00903445">
        <w:t xml:space="preserve">zerovalent metals like </w:t>
      </w:r>
      <w:r w:rsidR="000E0584">
        <w:t xml:space="preserve">Cu </w:t>
      </w:r>
      <w:r w:rsidR="00903445">
        <w:t xml:space="preserve">NPs </w:t>
      </w:r>
      <w:r w:rsidR="000E0584">
        <w:t>(</w:t>
      </w:r>
      <w:r w:rsidR="000E0584" w:rsidRPr="00865498">
        <w:t>Lu et al., 2023)</w:t>
      </w:r>
      <w:r w:rsidR="000E0584">
        <w:t xml:space="preserve"> and Ag NPs (</w:t>
      </w:r>
      <w:r w:rsidR="000E0584" w:rsidRPr="00865498">
        <w:t>Arjun et al., 2022</w:t>
      </w:r>
      <w:r w:rsidR="000E0584">
        <w:t xml:space="preserve">). </w:t>
      </w:r>
      <w:r w:rsidR="00ED5BA0">
        <w:t xml:space="preserve">Admittedly, in the present </w:t>
      </w:r>
      <w:r w:rsidR="00325294">
        <w:t xml:space="preserve">study, the affinity of nanosized Sn towards PVP is strongly conditioned by a pristine adsorption of the capping agent at the surface of the bulky metal precursor, a fact totally </w:t>
      </w:r>
      <w:proofErr w:type="gramStart"/>
      <w:r w:rsidR="00325294">
        <w:t>absent</w:t>
      </w:r>
      <w:proofErr w:type="gramEnd"/>
      <w:r w:rsidR="00325294">
        <w:t xml:space="preserve"> in a bottom-up redox process.</w:t>
      </w:r>
      <w:r w:rsidR="00715C42">
        <w:t xml:space="preserve"> </w:t>
      </w:r>
      <w:r w:rsidR="00AC331D">
        <w:t>On these grounds</w:t>
      </w:r>
      <w:r w:rsidR="0052131F">
        <w:t xml:space="preserve">, only the experimental data concerning the other two capping agents will be presented and </w:t>
      </w:r>
      <w:r w:rsidR="00AC331D">
        <w:t xml:space="preserve">thoroughly </w:t>
      </w:r>
      <w:r w:rsidR="0052131F">
        <w:t>discussed in the remainder of this paper.</w:t>
      </w:r>
    </w:p>
    <w:p w14:paraId="1A88B925" w14:textId="7A900098" w:rsidR="00B50DA3" w:rsidRPr="00B57B36" w:rsidRDefault="009828F0" w:rsidP="00600535">
      <w:pPr>
        <w:pStyle w:val="CETBodytext"/>
        <w:rPr>
          <w:lang w:val="en-GB"/>
        </w:rPr>
      </w:pPr>
      <w:r>
        <w:rPr>
          <w:lang w:val="en-GB"/>
        </w:rPr>
        <w:t xml:space="preserve">In Figure 2, the particle diameter distribution function has been plotted for the </w:t>
      </w:r>
      <w:r w:rsidR="003C26F8">
        <w:rPr>
          <w:lang w:val="en-GB"/>
        </w:rPr>
        <w:t xml:space="preserve">four different cases, namely for </w:t>
      </w:r>
      <w:r w:rsidR="00305543">
        <w:rPr>
          <w:lang w:val="en-GB"/>
        </w:rPr>
        <w:t>BM and J</w:t>
      </w:r>
      <w:r w:rsidR="004941DF">
        <w:rPr>
          <w:lang w:val="en-GB"/>
        </w:rPr>
        <w:t>M, using two diff</w:t>
      </w:r>
      <w:r w:rsidR="00305543">
        <w:rPr>
          <w:lang w:val="en-GB"/>
        </w:rPr>
        <w:t>erent capping agents, namely MTAB</w:t>
      </w:r>
      <w:r w:rsidR="004941DF">
        <w:rPr>
          <w:lang w:val="en-GB"/>
        </w:rPr>
        <w:t xml:space="preserve"> and SA, for each comminution technique. Speci</w:t>
      </w:r>
      <w:r w:rsidR="00305543">
        <w:rPr>
          <w:lang w:val="en-GB"/>
        </w:rPr>
        <w:t xml:space="preserve">fically, </w:t>
      </w:r>
      <w:r w:rsidR="004F4066">
        <w:rPr>
          <w:lang w:val="en-GB"/>
        </w:rPr>
        <w:t xml:space="preserve">the </w:t>
      </w:r>
      <w:r w:rsidR="00305543">
        <w:rPr>
          <w:lang w:val="en-GB"/>
        </w:rPr>
        <w:t>upper panels refer to B</w:t>
      </w:r>
      <w:r w:rsidR="004941DF">
        <w:rPr>
          <w:lang w:val="en-GB"/>
        </w:rPr>
        <w:t xml:space="preserve">M, while </w:t>
      </w:r>
      <w:r w:rsidR="004F4066">
        <w:rPr>
          <w:lang w:val="en-GB"/>
        </w:rPr>
        <w:t xml:space="preserve">the </w:t>
      </w:r>
      <w:r w:rsidR="004941DF">
        <w:rPr>
          <w:lang w:val="en-GB"/>
        </w:rPr>
        <w:t xml:space="preserve">lower </w:t>
      </w:r>
      <w:r w:rsidR="004F4066">
        <w:rPr>
          <w:lang w:val="en-GB"/>
        </w:rPr>
        <w:t xml:space="preserve">ones </w:t>
      </w:r>
      <w:r w:rsidR="004941DF">
        <w:rPr>
          <w:lang w:val="en-GB"/>
        </w:rPr>
        <w:t>refer t</w:t>
      </w:r>
      <w:r w:rsidR="00305543">
        <w:rPr>
          <w:lang w:val="en-GB"/>
        </w:rPr>
        <w:t>o J</w:t>
      </w:r>
      <w:r w:rsidR="00E16763">
        <w:rPr>
          <w:lang w:val="en-GB"/>
        </w:rPr>
        <w:t xml:space="preserve">M. It can be observed that SA has superior performances with respect to MTAB, despite the cationic character of the latter. </w:t>
      </w:r>
      <w:proofErr w:type="gramStart"/>
      <w:r w:rsidR="00E16763">
        <w:rPr>
          <w:lang w:val="en-GB"/>
        </w:rPr>
        <w:t xml:space="preserve">In particular, </w:t>
      </w:r>
      <w:r w:rsidR="006F6E09">
        <w:rPr>
          <w:lang w:val="en-GB"/>
        </w:rPr>
        <w:t>Sn NPs</w:t>
      </w:r>
      <w:proofErr w:type="gramEnd"/>
      <w:r w:rsidR="006F6E09">
        <w:rPr>
          <w:lang w:val="en-GB"/>
        </w:rPr>
        <w:t xml:space="preserve"> stabilized with</w:t>
      </w:r>
      <w:r w:rsidR="00E16763">
        <w:rPr>
          <w:lang w:val="en-GB"/>
        </w:rPr>
        <w:t xml:space="preserve"> SA have an average diameter of 18 and 35 nm in case of BM and JM method, respectively. </w:t>
      </w:r>
      <w:r w:rsidR="00DB5F45">
        <w:rPr>
          <w:lang w:val="en-GB"/>
        </w:rPr>
        <w:t xml:space="preserve">In </w:t>
      </w:r>
      <w:r w:rsidR="004F4066">
        <w:rPr>
          <w:lang w:val="en-GB"/>
        </w:rPr>
        <w:t xml:space="preserve">the </w:t>
      </w:r>
      <w:r w:rsidR="00DB5F45">
        <w:rPr>
          <w:lang w:val="en-GB"/>
        </w:rPr>
        <w:t xml:space="preserve">case of </w:t>
      </w:r>
      <w:r w:rsidR="00E16763">
        <w:rPr>
          <w:lang w:val="en-GB"/>
        </w:rPr>
        <w:t xml:space="preserve">Sn </w:t>
      </w:r>
      <w:r w:rsidR="00B50DA3">
        <w:rPr>
          <w:lang w:val="en-GB"/>
        </w:rPr>
        <w:t xml:space="preserve">particles </w:t>
      </w:r>
      <w:r w:rsidR="006F6E09">
        <w:rPr>
          <w:lang w:val="en-GB"/>
        </w:rPr>
        <w:t xml:space="preserve">stabilized </w:t>
      </w:r>
      <w:r w:rsidR="00E16763">
        <w:rPr>
          <w:lang w:val="en-GB"/>
        </w:rPr>
        <w:t xml:space="preserve">with MTAB, the results have </w:t>
      </w:r>
      <w:r w:rsidR="00DB5F45">
        <w:rPr>
          <w:lang w:val="en-GB"/>
        </w:rPr>
        <w:t xml:space="preserve">a reversed </w:t>
      </w:r>
      <w:proofErr w:type="gramStart"/>
      <w:r w:rsidR="00E16763">
        <w:rPr>
          <w:lang w:val="en-GB"/>
        </w:rPr>
        <w:t>trend</w:t>
      </w:r>
      <w:proofErr w:type="gramEnd"/>
      <w:r w:rsidR="00DB5F45">
        <w:rPr>
          <w:lang w:val="en-GB"/>
        </w:rPr>
        <w:t xml:space="preserve"> and </w:t>
      </w:r>
      <w:r w:rsidR="00E16763">
        <w:rPr>
          <w:lang w:val="en-GB"/>
        </w:rPr>
        <w:t>the corresponding NPs diameters are shifted towards h</w:t>
      </w:r>
      <w:r w:rsidR="00B50DA3">
        <w:rPr>
          <w:lang w:val="en-GB"/>
        </w:rPr>
        <w:t>igher values</w:t>
      </w:r>
      <w:r w:rsidR="00E16763">
        <w:rPr>
          <w:lang w:val="en-GB"/>
        </w:rPr>
        <w:t xml:space="preserve">. Namely, </w:t>
      </w:r>
      <w:r w:rsidR="00B50DA3">
        <w:rPr>
          <w:lang w:val="en-GB"/>
        </w:rPr>
        <w:t xml:space="preserve">according to the </w:t>
      </w:r>
      <w:r w:rsidR="00AC331D">
        <w:rPr>
          <w:lang w:val="en-GB"/>
        </w:rPr>
        <w:t>well-known</w:t>
      </w:r>
      <w:r w:rsidR="00B50DA3">
        <w:rPr>
          <w:lang w:val="en-GB"/>
        </w:rPr>
        <w:t xml:space="preserve"> size classification adopted by physicists, Sn </w:t>
      </w:r>
      <w:r w:rsidR="006F6E09">
        <w:rPr>
          <w:lang w:val="en-GB"/>
        </w:rPr>
        <w:t xml:space="preserve">NPs </w:t>
      </w:r>
      <w:r w:rsidR="00B50DA3">
        <w:rPr>
          <w:lang w:val="en-GB"/>
        </w:rPr>
        <w:t xml:space="preserve">of </w:t>
      </w:r>
      <w:r w:rsidR="006F6E09">
        <w:rPr>
          <w:lang w:val="en-GB"/>
        </w:rPr>
        <w:t xml:space="preserve">88 </w:t>
      </w:r>
      <w:r w:rsidR="00B50DA3">
        <w:rPr>
          <w:lang w:val="en-GB"/>
        </w:rPr>
        <w:t>nm average diameter</w:t>
      </w:r>
      <w:r w:rsidR="00DB5F45">
        <w:rPr>
          <w:lang w:val="en-GB"/>
        </w:rPr>
        <w:t xml:space="preserve"> have been obtained </w:t>
      </w:r>
      <w:r w:rsidR="004F4066">
        <w:rPr>
          <w:lang w:val="en-GB"/>
        </w:rPr>
        <w:t xml:space="preserve">when using </w:t>
      </w:r>
      <w:r w:rsidR="00DB5F45">
        <w:rPr>
          <w:lang w:val="en-GB"/>
        </w:rPr>
        <w:t>J</w:t>
      </w:r>
      <w:r w:rsidR="00B50DA3">
        <w:rPr>
          <w:lang w:val="en-GB"/>
        </w:rPr>
        <w:t xml:space="preserve">M, while </w:t>
      </w:r>
      <w:r w:rsidR="006F6E09">
        <w:rPr>
          <w:lang w:val="en-GB"/>
        </w:rPr>
        <w:t xml:space="preserve">only </w:t>
      </w:r>
      <w:r w:rsidR="00B50DA3">
        <w:rPr>
          <w:lang w:val="en-GB"/>
        </w:rPr>
        <w:t xml:space="preserve">Sn </w:t>
      </w:r>
      <w:r w:rsidR="006F6E09">
        <w:rPr>
          <w:lang w:val="en-GB"/>
        </w:rPr>
        <w:t>microparticles of 110</w:t>
      </w:r>
      <w:r w:rsidR="00B50DA3">
        <w:rPr>
          <w:lang w:val="en-GB"/>
        </w:rPr>
        <w:t xml:space="preserve"> nm average diameter are synthesized </w:t>
      </w:r>
      <w:r w:rsidR="004F4066">
        <w:rPr>
          <w:lang w:val="en-GB"/>
        </w:rPr>
        <w:t xml:space="preserve">when </w:t>
      </w:r>
      <w:r w:rsidR="00DB5F45">
        <w:rPr>
          <w:lang w:val="en-GB"/>
        </w:rPr>
        <w:t>using B</w:t>
      </w:r>
      <w:r w:rsidR="006F6E09">
        <w:rPr>
          <w:lang w:val="en-GB"/>
        </w:rPr>
        <w:t>M.</w:t>
      </w:r>
      <w:r w:rsidR="00EE1AAD">
        <w:rPr>
          <w:lang w:val="en-GB"/>
        </w:rPr>
        <w:t xml:space="preserve"> </w:t>
      </w:r>
      <w:r w:rsidR="00B50DA3">
        <w:rPr>
          <w:lang w:val="en-GB"/>
        </w:rPr>
        <w:t xml:space="preserve">These results clearly show that a natural capping agent like saponin may lead to </w:t>
      </w:r>
      <w:r w:rsidR="006F6E09">
        <w:rPr>
          <w:lang w:val="en-GB"/>
        </w:rPr>
        <w:t xml:space="preserve">a </w:t>
      </w:r>
      <w:r w:rsidR="00B50DA3">
        <w:rPr>
          <w:lang w:val="en-GB"/>
        </w:rPr>
        <w:t xml:space="preserve">more </w:t>
      </w:r>
      <w:r w:rsidR="006F6E09">
        <w:rPr>
          <w:lang w:val="en-GB"/>
        </w:rPr>
        <w:t>valuable product whenever the t</w:t>
      </w:r>
      <w:r w:rsidR="00F80A9C">
        <w:rPr>
          <w:lang w:val="en-GB"/>
        </w:rPr>
        <w:t>arget is a</w:t>
      </w:r>
      <w:r w:rsidR="00E04C30">
        <w:rPr>
          <w:lang w:val="en-GB"/>
        </w:rPr>
        <w:t xml:space="preserve"> size minimization. Essentially</w:t>
      </w:r>
      <w:r w:rsidR="006F6E09">
        <w:rPr>
          <w:lang w:val="en-GB"/>
        </w:rPr>
        <w:t>, the advantages related to the use of this capping agent are twofold, namely an environmental soundness and a better product in technical terms</w:t>
      </w:r>
      <w:r w:rsidR="00715C42">
        <w:rPr>
          <w:lang w:val="en-GB"/>
        </w:rPr>
        <w:t xml:space="preserve">, well in line with </w:t>
      </w:r>
      <w:r w:rsidR="00EE1AAD">
        <w:rPr>
          <w:lang w:val="en-GB"/>
        </w:rPr>
        <w:t>the</w:t>
      </w:r>
      <w:r w:rsidR="00715C42">
        <w:rPr>
          <w:lang w:val="en-GB"/>
        </w:rPr>
        <w:t xml:space="preserve"> recent </w:t>
      </w:r>
      <w:r w:rsidR="00EE1AAD">
        <w:rPr>
          <w:lang w:val="en-GB"/>
        </w:rPr>
        <w:t xml:space="preserve">research </w:t>
      </w:r>
      <w:r w:rsidR="00715C42">
        <w:rPr>
          <w:lang w:val="en-GB"/>
        </w:rPr>
        <w:t xml:space="preserve">shift towards green and inherently safer nanoparticles </w:t>
      </w:r>
      <w:r w:rsidR="00EE1AAD">
        <w:rPr>
          <w:lang w:val="en-GB"/>
        </w:rPr>
        <w:t>synthesis (Reverberi et al., 2018).</w:t>
      </w:r>
    </w:p>
    <w:p w14:paraId="4F238318" w14:textId="12CFFA1A" w:rsidR="005340CD" w:rsidRDefault="00AC331D" w:rsidP="00AC331D">
      <w:pPr>
        <w:pStyle w:val="CETBodytext"/>
        <w:jc w:val="left"/>
        <w:rPr>
          <w:lang w:val="en-GB"/>
        </w:rPr>
      </w:pPr>
      <w:r>
        <w:rPr>
          <w:lang w:val="en-GB"/>
        </w:rPr>
        <w:object w:dxaOrig="9576" w:dyaOrig="6648" w14:anchorId="7003D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88.75pt" o:ole="">
            <v:imagedata r:id="rId11" o:title=""/>
          </v:shape>
          <o:OLEObject Type="Embed" ProgID="PBrush" ShapeID="_x0000_i1025" DrawAspect="Content" ObjectID="_1775978083" r:id="rId12"/>
        </w:object>
      </w:r>
    </w:p>
    <w:p w14:paraId="2A2AC629" w14:textId="77777777" w:rsidR="004941DF" w:rsidRDefault="004941DF" w:rsidP="00B830B6">
      <w:pPr>
        <w:pStyle w:val="CETBodytext"/>
        <w:rPr>
          <w:lang w:val="en-GB"/>
        </w:rPr>
      </w:pPr>
    </w:p>
    <w:p w14:paraId="50262139" w14:textId="6AEAC790" w:rsidR="004941DF" w:rsidRDefault="00206D47" w:rsidP="00B830B6">
      <w:pPr>
        <w:pStyle w:val="CETBodytext"/>
        <w:rPr>
          <w:rStyle w:val="CETCaptionCarattere"/>
        </w:rPr>
      </w:pPr>
      <w:r>
        <w:rPr>
          <w:rStyle w:val="CETCaptionCarattere"/>
        </w:rPr>
        <w:t>Figure 2</w:t>
      </w:r>
      <w:r w:rsidRPr="00BD077D">
        <w:rPr>
          <w:rStyle w:val="CETCaptionCarattere"/>
        </w:rPr>
        <w:t xml:space="preserve">: </w:t>
      </w:r>
      <w:r w:rsidR="00305543">
        <w:rPr>
          <w:rStyle w:val="CETCaptionCarattere"/>
        </w:rPr>
        <w:t>(a): Upper-left plot: B</w:t>
      </w:r>
      <w:r w:rsidR="00AC4B83">
        <w:rPr>
          <w:rStyle w:val="CETCaptionCarattere"/>
        </w:rPr>
        <w:t xml:space="preserve">M with </w:t>
      </w:r>
      <w:r w:rsidR="003661E1">
        <w:rPr>
          <w:rStyle w:val="CETCaptionCarattere"/>
        </w:rPr>
        <w:t>SA</w:t>
      </w:r>
      <w:r w:rsidR="00305543">
        <w:rPr>
          <w:rStyle w:val="CETCaptionCarattere"/>
        </w:rPr>
        <w:t>; (b): Upper-right plot: B</w:t>
      </w:r>
      <w:r w:rsidR="00AC4B83">
        <w:rPr>
          <w:rStyle w:val="CETCaptionCarattere"/>
        </w:rPr>
        <w:t>M with</w:t>
      </w:r>
      <w:r>
        <w:rPr>
          <w:rStyle w:val="CETCaptionCarattere"/>
        </w:rPr>
        <w:t xml:space="preserve"> </w:t>
      </w:r>
      <w:r w:rsidR="003661E1">
        <w:rPr>
          <w:rStyle w:val="CETCaptionCarattere"/>
        </w:rPr>
        <w:t>M</w:t>
      </w:r>
      <w:r w:rsidR="00305543">
        <w:rPr>
          <w:rStyle w:val="CETCaptionCarattere"/>
        </w:rPr>
        <w:t>TAB; (c): Lower-left plot: J</w:t>
      </w:r>
      <w:r w:rsidR="003661E1">
        <w:rPr>
          <w:rStyle w:val="CETCaptionCarattere"/>
        </w:rPr>
        <w:t>M with</w:t>
      </w:r>
      <w:r>
        <w:rPr>
          <w:rStyle w:val="CETCaptionCarattere"/>
        </w:rPr>
        <w:t xml:space="preserve"> </w:t>
      </w:r>
      <w:r w:rsidR="003661E1">
        <w:rPr>
          <w:rStyle w:val="CETCaptionCarattere"/>
        </w:rPr>
        <w:t>SA</w:t>
      </w:r>
      <w:r w:rsidR="00305543">
        <w:rPr>
          <w:rStyle w:val="CETCaptionCarattere"/>
        </w:rPr>
        <w:t>; (d): Lower-right plot: J</w:t>
      </w:r>
      <w:r w:rsidR="003661E1">
        <w:rPr>
          <w:rStyle w:val="CETCaptionCarattere"/>
        </w:rPr>
        <w:t>M with MTAB</w:t>
      </w:r>
      <w:r>
        <w:rPr>
          <w:rStyle w:val="CETCaptionCarattere"/>
        </w:rPr>
        <w:t xml:space="preserve">. </w:t>
      </w:r>
    </w:p>
    <w:p w14:paraId="7CBD091C" w14:textId="0AA37FE7" w:rsidR="00E93AD4" w:rsidRPr="005340CD" w:rsidRDefault="005340CD" w:rsidP="00F66E24">
      <w:pPr>
        <w:pStyle w:val="CETTabletitle"/>
      </w:pPr>
      <w:r w:rsidRPr="00B57B36">
        <w:lastRenderedPageBreak/>
        <w:t xml:space="preserve">Table 1: </w:t>
      </w:r>
      <w:r>
        <w:t xml:space="preserve">Statistical data of Sn particle diameter distribution function according to the </w:t>
      </w:r>
      <w:proofErr w:type="spellStart"/>
      <w:r>
        <w:t>mechanosynthesis</w:t>
      </w:r>
      <w:proofErr w:type="spellEnd"/>
      <w:r>
        <w:t xml:space="preserve"> method and the choice of capping agent.</w:t>
      </w:r>
    </w:p>
    <w:tbl>
      <w:tblPr>
        <w:tblpPr w:leftFromText="141" w:rightFromText="141" w:vertAnchor="text" w:horzAnchor="margin" w:tblpY="111"/>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049"/>
        <w:gridCol w:w="2054"/>
        <w:gridCol w:w="1471"/>
        <w:gridCol w:w="31"/>
        <w:gridCol w:w="1651"/>
      </w:tblGrid>
      <w:tr w:rsidR="00C174B4" w:rsidRPr="00B57B36" w14:paraId="3FEA289B" w14:textId="77777777" w:rsidTr="00C174B4">
        <w:trPr>
          <w:trHeight w:val="242"/>
        </w:trPr>
        <w:tc>
          <w:tcPr>
            <w:tcW w:w="3049" w:type="dxa"/>
            <w:tcBorders>
              <w:top w:val="single" w:sz="12" w:space="0" w:color="008000"/>
              <w:bottom w:val="single" w:sz="6" w:space="0" w:color="008000"/>
            </w:tcBorders>
            <w:shd w:val="clear" w:color="auto" w:fill="FFFFFF"/>
          </w:tcPr>
          <w:p w14:paraId="676F7ADA" w14:textId="77777777" w:rsidR="00C174B4" w:rsidRPr="00B57B36" w:rsidRDefault="00C174B4" w:rsidP="00C174B4">
            <w:pPr>
              <w:pStyle w:val="CETBodytext"/>
              <w:rPr>
                <w:lang w:val="en-GB"/>
              </w:rPr>
            </w:pPr>
            <w:r>
              <w:rPr>
                <w:lang w:val="en-GB"/>
              </w:rPr>
              <w:t>Method / capping agent</w:t>
            </w:r>
          </w:p>
        </w:tc>
        <w:tc>
          <w:tcPr>
            <w:tcW w:w="2054" w:type="dxa"/>
            <w:tcBorders>
              <w:top w:val="single" w:sz="12" w:space="0" w:color="008000"/>
              <w:bottom w:val="single" w:sz="6" w:space="0" w:color="008000"/>
            </w:tcBorders>
            <w:shd w:val="clear" w:color="auto" w:fill="FFFFFF"/>
          </w:tcPr>
          <w:p w14:paraId="3AC8DF80" w14:textId="77777777" w:rsidR="00C174B4" w:rsidRDefault="00C174B4" w:rsidP="00C174B4">
            <w:pPr>
              <w:pStyle w:val="CETBodytext"/>
              <w:rPr>
                <w:lang w:val="en-GB"/>
              </w:rPr>
            </w:pPr>
            <w:r>
              <w:rPr>
                <w:lang w:val="en-GB"/>
              </w:rPr>
              <w:t xml:space="preserve">  Average </w:t>
            </w:r>
          </w:p>
          <w:p w14:paraId="47331754" w14:textId="77777777" w:rsidR="00C174B4" w:rsidRPr="00B57B36" w:rsidRDefault="00C174B4" w:rsidP="00C174B4">
            <w:pPr>
              <w:pStyle w:val="CETBodytext"/>
              <w:rPr>
                <w:lang w:val="en-GB"/>
              </w:rPr>
            </w:pPr>
            <w:r>
              <w:rPr>
                <w:lang w:val="en-GB"/>
              </w:rPr>
              <w:t>Diameter (nm)</w:t>
            </w:r>
          </w:p>
        </w:tc>
        <w:tc>
          <w:tcPr>
            <w:tcW w:w="1471" w:type="dxa"/>
            <w:tcBorders>
              <w:top w:val="single" w:sz="12" w:space="0" w:color="008000"/>
              <w:bottom w:val="single" w:sz="6" w:space="0" w:color="008000"/>
            </w:tcBorders>
            <w:shd w:val="clear" w:color="auto" w:fill="FFFFFF"/>
          </w:tcPr>
          <w:p w14:paraId="0E12C597" w14:textId="77777777" w:rsidR="00C174B4" w:rsidRDefault="00C174B4" w:rsidP="00C174B4">
            <w:pPr>
              <w:pStyle w:val="CETBodytext"/>
              <w:jc w:val="left"/>
              <w:rPr>
                <w:lang w:val="en-GB"/>
              </w:rPr>
            </w:pPr>
            <w:r>
              <w:rPr>
                <w:lang w:val="en-GB"/>
              </w:rPr>
              <w:t xml:space="preserve">     Peak</w:t>
            </w:r>
          </w:p>
          <w:p w14:paraId="0132DDB1" w14:textId="77777777" w:rsidR="00C174B4" w:rsidRPr="00B57B36" w:rsidRDefault="00C174B4" w:rsidP="00C174B4">
            <w:pPr>
              <w:pStyle w:val="CETBodytext"/>
              <w:jc w:val="left"/>
              <w:rPr>
                <w:lang w:val="en-GB"/>
              </w:rPr>
            </w:pPr>
            <w:r>
              <w:rPr>
                <w:lang w:val="en-GB"/>
              </w:rPr>
              <w:t>diameter (nm)</w:t>
            </w:r>
          </w:p>
        </w:tc>
        <w:tc>
          <w:tcPr>
            <w:tcW w:w="31" w:type="dxa"/>
            <w:tcBorders>
              <w:top w:val="single" w:sz="12" w:space="0" w:color="008000"/>
              <w:bottom w:val="single" w:sz="6" w:space="0" w:color="008000"/>
            </w:tcBorders>
            <w:shd w:val="clear" w:color="auto" w:fill="FFFFFF"/>
          </w:tcPr>
          <w:p w14:paraId="176F8CBF" w14:textId="77777777" w:rsidR="00C174B4" w:rsidRPr="00B57B36" w:rsidRDefault="00C174B4" w:rsidP="00C174B4">
            <w:pPr>
              <w:pStyle w:val="CETBodytext"/>
              <w:ind w:right="-1"/>
              <w:rPr>
                <w:rFonts w:cs="Arial"/>
                <w:szCs w:val="18"/>
                <w:lang w:val="en-GB"/>
              </w:rPr>
            </w:pPr>
          </w:p>
        </w:tc>
        <w:tc>
          <w:tcPr>
            <w:tcW w:w="1651" w:type="dxa"/>
            <w:tcBorders>
              <w:top w:val="single" w:sz="12" w:space="0" w:color="008000"/>
              <w:bottom w:val="single" w:sz="6" w:space="0" w:color="008000"/>
            </w:tcBorders>
            <w:shd w:val="clear" w:color="auto" w:fill="FFFFFF"/>
          </w:tcPr>
          <w:p w14:paraId="2D772CC4" w14:textId="77777777" w:rsidR="00C174B4" w:rsidRDefault="00C174B4" w:rsidP="00C174B4">
            <w:pPr>
              <w:pStyle w:val="CETBodytext"/>
              <w:ind w:right="-1"/>
              <w:jc w:val="center"/>
              <w:rPr>
                <w:rFonts w:cs="Arial"/>
                <w:szCs w:val="18"/>
                <w:lang w:val="en-GB"/>
              </w:rPr>
            </w:pPr>
            <w:r>
              <w:rPr>
                <w:rFonts w:cs="Arial"/>
                <w:szCs w:val="18"/>
                <w:lang w:val="en-GB"/>
              </w:rPr>
              <w:t>Standard</w:t>
            </w:r>
          </w:p>
          <w:p w14:paraId="4FFD3514" w14:textId="77777777" w:rsidR="00C174B4" w:rsidRPr="00B57B36" w:rsidRDefault="00C174B4" w:rsidP="00C174B4">
            <w:pPr>
              <w:pStyle w:val="CETBodytext"/>
              <w:ind w:right="-1"/>
              <w:jc w:val="center"/>
              <w:rPr>
                <w:rFonts w:cs="Arial"/>
                <w:szCs w:val="18"/>
                <w:lang w:val="en-GB"/>
              </w:rPr>
            </w:pPr>
            <w:r>
              <w:rPr>
                <w:rFonts w:cs="Arial"/>
                <w:szCs w:val="18"/>
                <w:lang w:val="en-GB"/>
              </w:rPr>
              <w:t>Deviation (nm)</w:t>
            </w:r>
          </w:p>
        </w:tc>
      </w:tr>
      <w:tr w:rsidR="00C174B4" w:rsidRPr="00B57B36" w14:paraId="5F4EE439" w14:textId="77777777" w:rsidTr="00C174B4">
        <w:trPr>
          <w:trHeight w:val="232"/>
        </w:trPr>
        <w:tc>
          <w:tcPr>
            <w:tcW w:w="3049" w:type="dxa"/>
            <w:shd w:val="clear" w:color="auto" w:fill="FFFFFF"/>
          </w:tcPr>
          <w:p w14:paraId="1524867F" w14:textId="77777777" w:rsidR="00C174B4" w:rsidRPr="00B57B36" w:rsidRDefault="00C174B4" w:rsidP="00C174B4">
            <w:pPr>
              <w:pStyle w:val="CETBodytext"/>
              <w:rPr>
                <w:lang w:val="en-GB"/>
              </w:rPr>
            </w:pPr>
            <w:r>
              <w:rPr>
                <w:lang w:val="en-GB"/>
              </w:rPr>
              <w:t>BM / SA</w:t>
            </w:r>
          </w:p>
        </w:tc>
        <w:tc>
          <w:tcPr>
            <w:tcW w:w="2054" w:type="dxa"/>
            <w:shd w:val="clear" w:color="auto" w:fill="FFFFFF"/>
          </w:tcPr>
          <w:p w14:paraId="354874DA" w14:textId="77777777" w:rsidR="00C174B4" w:rsidRPr="00B57B36" w:rsidRDefault="00C174B4" w:rsidP="00C174B4">
            <w:pPr>
              <w:pStyle w:val="CETBodytext"/>
              <w:jc w:val="left"/>
              <w:rPr>
                <w:lang w:val="en-GB"/>
              </w:rPr>
            </w:pPr>
            <w:r>
              <w:rPr>
                <w:lang w:val="en-GB"/>
              </w:rPr>
              <w:t xml:space="preserve">      18 </w:t>
            </w:r>
          </w:p>
        </w:tc>
        <w:tc>
          <w:tcPr>
            <w:tcW w:w="1471" w:type="dxa"/>
            <w:shd w:val="clear" w:color="auto" w:fill="FFFFFF"/>
          </w:tcPr>
          <w:p w14:paraId="37B7AA4F" w14:textId="77777777" w:rsidR="00C174B4" w:rsidRPr="00B57B36" w:rsidRDefault="00C174B4" w:rsidP="00C174B4">
            <w:pPr>
              <w:pStyle w:val="CETBodytext"/>
              <w:jc w:val="left"/>
              <w:rPr>
                <w:lang w:val="en-GB"/>
              </w:rPr>
            </w:pPr>
            <w:r>
              <w:rPr>
                <w:lang w:val="en-GB"/>
              </w:rPr>
              <w:t xml:space="preserve">   </w:t>
            </w:r>
            <w:proofErr w:type="gramStart"/>
            <w:r>
              <w:rPr>
                <w:lang w:val="en-GB"/>
              </w:rPr>
              <w:t>5 ;</w:t>
            </w:r>
            <w:proofErr w:type="gramEnd"/>
            <w:r>
              <w:rPr>
                <w:lang w:val="en-GB"/>
              </w:rPr>
              <w:t xml:space="preserve"> 10</w:t>
            </w:r>
          </w:p>
        </w:tc>
        <w:tc>
          <w:tcPr>
            <w:tcW w:w="31" w:type="dxa"/>
            <w:shd w:val="clear" w:color="auto" w:fill="FFFFFF"/>
          </w:tcPr>
          <w:p w14:paraId="1C0D6DBF" w14:textId="77777777" w:rsidR="00C174B4" w:rsidRPr="00B57B36" w:rsidRDefault="00C174B4" w:rsidP="00C174B4">
            <w:pPr>
              <w:pStyle w:val="CETBodytext"/>
              <w:ind w:right="-1"/>
              <w:jc w:val="left"/>
              <w:rPr>
                <w:rFonts w:cs="Arial"/>
                <w:szCs w:val="18"/>
                <w:lang w:val="en-GB"/>
              </w:rPr>
            </w:pPr>
          </w:p>
        </w:tc>
        <w:tc>
          <w:tcPr>
            <w:tcW w:w="1651" w:type="dxa"/>
            <w:shd w:val="clear" w:color="auto" w:fill="FFFFFF"/>
          </w:tcPr>
          <w:p w14:paraId="4A37F215" w14:textId="4A12E008" w:rsidR="00C174B4" w:rsidRPr="00B57B36" w:rsidRDefault="00C174B4" w:rsidP="00C174B4">
            <w:pPr>
              <w:pStyle w:val="CETBodytext"/>
              <w:ind w:right="-1"/>
              <w:jc w:val="left"/>
              <w:rPr>
                <w:rFonts w:cs="Arial"/>
                <w:szCs w:val="18"/>
                <w:lang w:val="en-GB"/>
              </w:rPr>
            </w:pPr>
            <w:r>
              <w:rPr>
                <w:rFonts w:cs="Arial"/>
                <w:szCs w:val="18"/>
                <w:lang w:val="en-GB"/>
              </w:rPr>
              <w:t xml:space="preserve">         </w:t>
            </w:r>
            <w:r w:rsidR="004F4066">
              <w:rPr>
                <w:rFonts w:cs="Arial"/>
                <w:szCs w:val="18"/>
                <w:lang w:val="en-GB"/>
              </w:rPr>
              <w:t xml:space="preserve"> </w:t>
            </w:r>
            <w:r>
              <w:rPr>
                <w:rFonts w:cs="Arial"/>
                <w:szCs w:val="18"/>
                <w:lang w:val="en-GB"/>
              </w:rPr>
              <w:t xml:space="preserve"> </w:t>
            </w:r>
            <w:proofErr w:type="gramStart"/>
            <w:r>
              <w:rPr>
                <w:rFonts w:cs="Arial"/>
                <w:szCs w:val="18"/>
                <w:lang w:val="en-GB"/>
              </w:rPr>
              <w:t>2 ;</w:t>
            </w:r>
            <w:proofErr w:type="gramEnd"/>
            <w:r>
              <w:rPr>
                <w:rFonts w:cs="Arial"/>
                <w:szCs w:val="18"/>
                <w:lang w:val="en-GB"/>
              </w:rPr>
              <w:t xml:space="preserve"> 3</w:t>
            </w:r>
          </w:p>
        </w:tc>
      </w:tr>
      <w:tr w:rsidR="00C174B4" w:rsidRPr="00B57B36" w14:paraId="5F3128BB" w14:textId="77777777" w:rsidTr="00C174B4">
        <w:trPr>
          <w:trHeight w:val="242"/>
        </w:trPr>
        <w:tc>
          <w:tcPr>
            <w:tcW w:w="3049" w:type="dxa"/>
            <w:shd w:val="clear" w:color="auto" w:fill="FFFFFF"/>
          </w:tcPr>
          <w:p w14:paraId="70963B51" w14:textId="77777777" w:rsidR="00C174B4" w:rsidRPr="00B57B36" w:rsidRDefault="00C174B4" w:rsidP="00C174B4">
            <w:pPr>
              <w:pStyle w:val="CETBodytext"/>
              <w:ind w:right="-1"/>
              <w:rPr>
                <w:rFonts w:cs="Arial"/>
                <w:szCs w:val="18"/>
                <w:lang w:val="en-GB"/>
              </w:rPr>
            </w:pPr>
            <w:r>
              <w:rPr>
                <w:rFonts w:cs="Arial"/>
                <w:szCs w:val="18"/>
                <w:lang w:val="en-GB"/>
              </w:rPr>
              <w:t>BM / MTAB</w:t>
            </w:r>
          </w:p>
        </w:tc>
        <w:tc>
          <w:tcPr>
            <w:tcW w:w="2054" w:type="dxa"/>
            <w:shd w:val="clear" w:color="auto" w:fill="FFFFFF"/>
          </w:tcPr>
          <w:p w14:paraId="4E6E7FBF" w14:textId="79D1B209" w:rsidR="00C174B4" w:rsidRPr="00B57B36" w:rsidRDefault="00456946" w:rsidP="00DB5F45">
            <w:pPr>
              <w:pStyle w:val="CETBodytext"/>
              <w:ind w:right="-1"/>
              <w:rPr>
                <w:rFonts w:cs="Arial"/>
                <w:szCs w:val="18"/>
                <w:lang w:val="en-GB"/>
              </w:rPr>
            </w:pPr>
            <w:r>
              <w:rPr>
                <w:rFonts w:cs="Arial"/>
                <w:szCs w:val="18"/>
                <w:lang w:val="en-GB"/>
              </w:rPr>
              <w:t xml:space="preserve">    </w:t>
            </w:r>
            <w:r w:rsidR="00DB5F45">
              <w:rPr>
                <w:rFonts w:cs="Arial"/>
                <w:szCs w:val="18"/>
                <w:lang w:val="en-GB"/>
              </w:rPr>
              <w:t>110</w:t>
            </w:r>
          </w:p>
        </w:tc>
        <w:tc>
          <w:tcPr>
            <w:tcW w:w="1471" w:type="dxa"/>
            <w:shd w:val="clear" w:color="auto" w:fill="FFFFFF"/>
          </w:tcPr>
          <w:p w14:paraId="00279CD4" w14:textId="77777777" w:rsidR="00C174B4" w:rsidRPr="00B57B36" w:rsidRDefault="00C174B4" w:rsidP="00C174B4">
            <w:pPr>
              <w:pStyle w:val="CETBodytext"/>
              <w:ind w:right="-1"/>
              <w:rPr>
                <w:rFonts w:cs="Arial"/>
                <w:szCs w:val="18"/>
                <w:lang w:val="en-GB"/>
              </w:rPr>
            </w:pPr>
            <w:r>
              <w:rPr>
                <w:rFonts w:cs="Arial"/>
                <w:szCs w:val="18"/>
                <w:lang w:val="en-GB"/>
              </w:rPr>
              <w:t xml:space="preserve">       61</w:t>
            </w:r>
          </w:p>
        </w:tc>
        <w:tc>
          <w:tcPr>
            <w:tcW w:w="31" w:type="dxa"/>
            <w:shd w:val="clear" w:color="auto" w:fill="FFFFFF"/>
          </w:tcPr>
          <w:p w14:paraId="0AB82DB6" w14:textId="77777777" w:rsidR="00C174B4" w:rsidRPr="00B57B36" w:rsidRDefault="00C174B4" w:rsidP="00C174B4">
            <w:pPr>
              <w:pStyle w:val="CETBodytext"/>
              <w:ind w:right="-1"/>
              <w:rPr>
                <w:rFonts w:cs="Arial"/>
                <w:szCs w:val="18"/>
                <w:lang w:val="en-GB"/>
              </w:rPr>
            </w:pPr>
          </w:p>
        </w:tc>
        <w:tc>
          <w:tcPr>
            <w:tcW w:w="1651" w:type="dxa"/>
            <w:shd w:val="clear" w:color="auto" w:fill="FFFFFF"/>
          </w:tcPr>
          <w:p w14:paraId="56BE578A" w14:textId="44618D35" w:rsidR="00C174B4" w:rsidRPr="00B57B36" w:rsidRDefault="00C174B4" w:rsidP="00C174B4">
            <w:pPr>
              <w:pStyle w:val="CETBodytext"/>
              <w:ind w:right="-1"/>
              <w:rPr>
                <w:rFonts w:cs="Arial"/>
                <w:szCs w:val="18"/>
                <w:lang w:val="en-GB"/>
              </w:rPr>
            </w:pPr>
            <w:r>
              <w:rPr>
                <w:rFonts w:cs="Arial"/>
                <w:szCs w:val="18"/>
                <w:lang w:val="en-GB"/>
              </w:rPr>
              <w:t xml:space="preserve">             30</w:t>
            </w:r>
          </w:p>
        </w:tc>
      </w:tr>
      <w:tr w:rsidR="00C174B4" w:rsidRPr="00B57B36" w14:paraId="2AFAA7CB" w14:textId="77777777" w:rsidTr="00C174B4">
        <w:trPr>
          <w:trHeight w:val="242"/>
        </w:trPr>
        <w:tc>
          <w:tcPr>
            <w:tcW w:w="3049" w:type="dxa"/>
            <w:shd w:val="clear" w:color="auto" w:fill="FFFFFF"/>
          </w:tcPr>
          <w:p w14:paraId="7BF47628" w14:textId="77777777" w:rsidR="00C174B4" w:rsidRPr="00B57B36" w:rsidRDefault="00C174B4" w:rsidP="00C174B4">
            <w:pPr>
              <w:pStyle w:val="CETBodytext"/>
              <w:ind w:right="-1"/>
              <w:rPr>
                <w:lang w:val="en-GB"/>
              </w:rPr>
            </w:pPr>
            <w:r>
              <w:rPr>
                <w:lang w:val="en-GB"/>
              </w:rPr>
              <w:t>JM / SA</w:t>
            </w:r>
          </w:p>
        </w:tc>
        <w:tc>
          <w:tcPr>
            <w:tcW w:w="2054" w:type="dxa"/>
            <w:shd w:val="clear" w:color="auto" w:fill="FFFFFF"/>
          </w:tcPr>
          <w:p w14:paraId="6C65CFC5" w14:textId="77777777" w:rsidR="00C174B4" w:rsidRPr="00B57B36" w:rsidRDefault="00C174B4" w:rsidP="00C174B4">
            <w:pPr>
              <w:pStyle w:val="CETBodytext"/>
              <w:ind w:right="-1"/>
              <w:rPr>
                <w:rFonts w:cs="Arial"/>
                <w:szCs w:val="18"/>
                <w:lang w:val="en-GB"/>
              </w:rPr>
            </w:pPr>
            <w:r>
              <w:rPr>
                <w:rFonts w:cs="Arial"/>
                <w:szCs w:val="18"/>
                <w:lang w:val="en-GB"/>
              </w:rPr>
              <w:t xml:space="preserve">      35</w:t>
            </w:r>
          </w:p>
        </w:tc>
        <w:tc>
          <w:tcPr>
            <w:tcW w:w="1471" w:type="dxa"/>
            <w:shd w:val="clear" w:color="auto" w:fill="FFFFFF"/>
          </w:tcPr>
          <w:p w14:paraId="18E0A07F" w14:textId="77777777" w:rsidR="00C174B4" w:rsidRPr="00B57B36" w:rsidRDefault="00C174B4" w:rsidP="00C174B4">
            <w:pPr>
              <w:pStyle w:val="CETBodytext"/>
              <w:ind w:right="-1"/>
              <w:rPr>
                <w:rFonts w:cs="Arial"/>
                <w:szCs w:val="18"/>
                <w:lang w:val="en-GB"/>
              </w:rPr>
            </w:pPr>
            <w:r>
              <w:rPr>
                <w:rFonts w:cs="Arial"/>
                <w:szCs w:val="18"/>
                <w:lang w:val="en-GB"/>
              </w:rPr>
              <w:t xml:space="preserve">       28</w:t>
            </w:r>
          </w:p>
        </w:tc>
        <w:tc>
          <w:tcPr>
            <w:tcW w:w="31" w:type="dxa"/>
            <w:shd w:val="clear" w:color="auto" w:fill="FFFFFF"/>
          </w:tcPr>
          <w:p w14:paraId="7C79D936" w14:textId="77777777" w:rsidR="00C174B4" w:rsidRPr="00B57B36" w:rsidRDefault="00C174B4" w:rsidP="00C174B4">
            <w:pPr>
              <w:pStyle w:val="CETBodytext"/>
              <w:ind w:right="-1"/>
              <w:rPr>
                <w:rFonts w:cs="Arial"/>
                <w:szCs w:val="18"/>
                <w:lang w:val="en-GB"/>
              </w:rPr>
            </w:pPr>
          </w:p>
        </w:tc>
        <w:tc>
          <w:tcPr>
            <w:tcW w:w="1651" w:type="dxa"/>
            <w:shd w:val="clear" w:color="auto" w:fill="FFFFFF"/>
          </w:tcPr>
          <w:p w14:paraId="698EEBD8" w14:textId="6D72F268" w:rsidR="00C174B4" w:rsidRPr="00B57B36" w:rsidRDefault="00C174B4" w:rsidP="00C174B4">
            <w:pPr>
              <w:pStyle w:val="CETBodytext"/>
              <w:ind w:right="-1"/>
              <w:rPr>
                <w:rFonts w:cs="Arial"/>
                <w:szCs w:val="18"/>
                <w:lang w:val="en-GB"/>
              </w:rPr>
            </w:pPr>
            <w:r>
              <w:rPr>
                <w:rFonts w:cs="Arial"/>
                <w:szCs w:val="18"/>
                <w:lang w:val="en-GB"/>
              </w:rPr>
              <w:t xml:space="preserve">               9</w:t>
            </w:r>
          </w:p>
        </w:tc>
      </w:tr>
      <w:tr w:rsidR="00C174B4" w:rsidRPr="00B57B36" w14:paraId="52687125" w14:textId="77777777" w:rsidTr="00C174B4">
        <w:trPr>
          <w:trHeight w:val="242"/>
        </w:trPr>
        <w:tc>
          <w:tcPr>
            <w:tcW w:w="3049" w:type="dxa"/>
            <w:shd w:val="clear" w:color="auto" w:fill="FFFFFF"/>
          </w:tcPr>
          <w:p w14:paraId="6D03E6EB" w14:textId="77777777" w:rsidR="00C174B4" w:rsidRPr="00B57B36" w:rsidRDefault="00C174B4" w:rsidP="00C174B4">
            <w:pPr>
              <w:pStyle w:val="CETBodytext"/>
              <w:ind w:right="-1"/>
              <w:rPr>
                <w:lang w:val="en-GB"/>
              </w:rPr>
            </w:pPr>
            <w:r>
              <w:rPr>
                <w:lang w:val="en-GB"/>
              </w:rPr>
              <w:t>JM / MTAB</w:t>
            </w:r>
          </w:p>
        </w:tc>
        <w:tc>
          <w:tcPr>
            <w:tcW w:w="2054" w:type="dxa"/>
            <w:shd w:val="clear" w:color="auto" w:fill="FFFFFF"/>
          </w:tcPr>
          <w:p w14:paraId="49BEACD9" w14:textId="759735D8" w:rsidR="00C174B4" w:rsidRPr="00B57B36" w:rsidRDefault="00456946" w:rsidP="00456946">
            <w:pPr>
              <w:pStyle w:val="CETBodytext"/>
              <w:ind w:right="-1"/>
              <w:rPr>
                <w:rFonts w:cs="Arial"/>
                <w:szCs w:val="18"/>
                <w:lang w:val="en-GB"/>
              </w:rPr>
            </w:pPr>
            <w:r>
              <w:rPr>
                <w:rFonts w:cs="Arial"/>
                <w:szCs w:val="18"/>
                <w:lang w:val="en-GB"/>
              </w:rPr>
              <w:t xml:space="preserve">    </w:t>
            </w:r>
            <w:r w:rsidR="00DB5F45">
              <w:rPr>
                <w:rFonts w:cs="Arial"/>
                <w:szCs w:val="18"/>
                <w:lang w:val="en-GB"/>
              </w:rPr>
              <w:t xml:space="preserve">  88</w:t>
            </w:r>
          </w:p>
        </w:tc>
        <w:tc>
          <w:tcPr>
            <w:tcW w:w="1471" w:type="dxa"/>
            <w:shd w:val="clear" w:color="auto" w:fill="FFFFFF"/>
          </w:tcPr>
          <w:p w14:paraId="32F9D4D4" w14:textId="77777777" w:rsidR="00C174B4" w:rsidRPr="00B57B36" w:rsidRDefault="00C174B4" w:rsidP="00C174B4">
            <w:pPr>
              <w:pStyle w:val="CETBodytext"/>
              <w:ind w:right="-1"/>
              <w:rPr>
                <w:rFonts w:cs="Arial"/>
                <w:szCs w:val="18"/>
                <w:lang w:val="en-GB"/>
              </w:rPr>
            </w:pPr>
            <w:r>
              <w:rPr>
                <w:rFonts w:cs="Arial"/>
                <w:szCs w:val="18"/>
                <w:lang w:val="en-GB"/>
              </w:rPr>
              <w:t xml:space="preserve">       82</w:t>
            </w:r>
          </w:p>
        </w:tc>
        <w:tc>
          <w:tcPr>
            <w:tcW w:w="31" w:type="dxa"/>
            <w:shd w:val="clear" w:color="auto" w:fill="FFFFFF"/>
          </w:tcPr>
          <w:p w14:paraId="3566943F" w14:textId="77777777" w:rsidR="00C174B4" w:rsidRPr="00B57B36" w:rsidRDefault="00C174B4" w:rsidP="00C174B4">
            <w:pPr>
              <w:pStyle w:val="CETBodytext"/>
              <w:ind w:right="-1"/>
              <w:rPr>
                <w:rFonts w:cs="Arial"/>
                <w:szCs w:val="18"/>
                <w:lang w:val="en-GB"/>
              </w:rPr>
            </w:pPr>
          </w:p>
        </w:tc>
        <w:tc>
          <w:tcPr>
            <w:tcW w:w="1651" w:type="dxa"/>
            <w:shd w:val="clear" w:color="auto" w:fill="FFFFFF"/>
          </w:tcPr>
          <w:p w14:paraId="3B51F673" w14:textId="0C26DDAD" w:rsidR="00C174B4" w:rsidRPr="00B57B36" w:rsidRDefault="00C174B4" w:rsidP="00C174B4">
            <w:pPr>
              <w:pStyle w:val="CETBodytext"/>
              <w:ind w:right="-1"/>
              <w:rPr>
                <w:rFonts w:cs="Arial"/>
                <w:szCs w:val="18"/>
                <w:lang w:val="en-GB"/>
              </w:rPr>
            </w:pPr>
            <w:r>
              <w:rPr>
                <w:rFonts w:cs="Arial"/>
                <w:szCs w:val="18"/>
                <w:lang w:val="en-GB"/>
              </w:rPr>
              <w:t xml:space="preserve">             40</w:t>
            </w:r>
          </w:p>
        </w:tc>
      </w:tr>
    </w:tbl>
    <w:p w14:paraId="683BD7F5" w14:textId="77777777" w:rsidR="004E7D3A" w:rsidRDefault="004E7D3A" w:rsidP="00600535">
      <w:pPr>
        <w:pStyle w:val="CETTabletitle"/>
      </w:pPr>
    </w:p>
    <w:p w14:paraId="5AD8C9E3" w14:textId="77777777" w:rsidR="004E7D3A" w:rsidRDefault="004E7D3A" w:rsidP="00600535">
      <w:pPr>
        <w:pStyle w:val="CETTabletitle"/>
      </w:pPr>
    </w:p>
    <w:p w14:paraId="49C5FB48" w14:textId="77777777" w:rsidR="004E7D3A" w:rsidRDefault="004E7D3A" w:rsidP="00600535">
      <w:pPr>
        <w:pStyle w:val="CETTabletitle"/>
      </w:pPr>
    </w:p>
    <w:p w14:paraId="4B45CFA0" w14:textId="77777777" w:rsidR="004E7D3A" w:rsidRDefault="004E7D3A" w:rsidP="00600535">
      <w:pPr>
        <w:pStyle w:val="CETTabletitle"/>
      </w:pPr>
    </w:p>
    <w:p w14:paraId="671130D5" w14:textId="54363920" w:rsidR="0070389E" w:rsidRDefault="0070389E" w:rsidP="002B036A">
      <w:pPr>
        <w:pStyle w:val="CETBodytext"/>
      </w:pPr>
      <w:r>
        <w:t>In Fig</w:t>
      </w:r>
      <w:r w:rsidR="004F4066">
        <w:t>ure</w:t>
      </w:r>
      <w:r>
        <w:t xml:space="preserve"> 3, a TEM image of Sn NPs taken from a BM/SA sample has been reported. </w:t>
      </w:r>
      <w:r w:rsidR="0028144D">
        <w:t>A</w:t>
      </w:r>
      <w:r>
        <w:t xml:space="preserve"> cluster of agglomerated </w:t>
      </w:r>
      <w:r w:rsidR="004F4066">
        <w:t>particles is clearly observable</w:t>
      </w:r>
      <w:r>
        <w:t xml:space="preserve">, together with a widespread dispersion of primary particles. The </w:t>
      </w:r>
      <w:r w:rsidR="0028144D">
        <w:t xml:space="preserve">grey </w:t>
      </w:r>
      <w:r>
        <w:t>curves surrounding the NP</w:t>
      </w:r>
      <w:r w:rsidR="00DB5F45">
        <w:t>s are due to the presence of a</w:t>
      </w:r>
      <w:r>
        <w:t xml:space="preserve"> </w:t>
      </w:r>
      <w:r w:rsidR="00E0697A">
        <w:t xml:space="preserve">specific </w:t>
      </w:r>
      <w:r>
        <w:t xml:space="preserve">capping agent, leaving a solid residue of organic composition during evaporation of the solvent.  </w:t>
      </w:r>
      <w:r w:rsidR="002B036A">
        <w:t xml:space="preserve"> </w:t>
      </w:r>
    </w:p>
    <w:p w14:paraId="198B5571" w14:textId="77777777" w:rsidR="0070389E" w:rsidRDefault="0070389E" w:rsidP="002B036A">
      <w:pPr>
        <w:pStyle w:val="CETBodytext"/>
      </w:pPr>
    </w:p>
    <w:p w14:paraId="11597F69" w14:textId="2F38075D" w:rsidR="0070389E" w:rsidRDefault="0070389E" w:rsidP="00AC331D">
      <w:pPr>
        <w:pStyle w:val="CETBodytext"/>
        <w:jc w:val="left"/>
      </w:pPr>
      <w:r>
        <w:rPr>
          <w:noProof/>
          <w:lang w:val="it-IT" w:eastAsia="it-IT"/>
        </w:rPr>
        <w:drawing>
          <wp:inline distT="0" distB="0" distL="0" distR="0" wp14:anchorId="12542BFF" wp14:editId="486AC0B0">
            <wp:extent cx="3274000" cy="224790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1428" cy="2246134"/>
                    </a:xfrm>
                    <a:prstGeom prst="rect">
                      <a:avLst/>
                    </a:prstGeom>
                    <a:noFill/>
                  </pic:spPr>
                </pic:pic>
              </a:graphicData>
            </a:graphic>
          </wp:inline>
        </w:drawing>
      </w:r>
    </w:p>
    <w:p w14:paraId="31798AD4" w14:textId="77777777" w:rsidR="0070389E" w:rsidRDefault="0070389E" w:rsidP="002B036A">
      <w:pPr>
        <w:pStyle w:val="CETBodytext"/>
      </w:pPr>
    </w:p>
    <w:p w14:paraId="73BFC772" w14:textId="13D396C7" w:rsidR="0070389E" w:rsidRDefault="0070389E" w:rsidP="002B036A">
      <w:pPr>
        <w:pStyle w:val="CETBodytext"/>
      </w:pPr>
      <w:r>
        <w:rPr>
          <w:rStyle w:val="CETCaptionCarattere"/>
        </w:rPr>
        <w:t>Figure 3</w:t>
      </w:r>
      <w:r w:rsidRPr="00BD077D">
        <w:rPr>
          <w:rStyle w:val="CETCaptionCarattere"/>
        </w:rPr>
        <w:t xml:space="preserve">: </w:t>
      </w:r>
      <w:r w:rsidR="0028144D">
        <w:rPr>
          <w:rStyle w:val="CETCaptionCarattere"/>
        </w:rPr>
        <w:t>TEM image of Sn NPS obtained by jacketed Sn mi</w:t>
      </w:r>
      <w:r w:rsidR="004F4066">
        <w:rPr>
          <w:rStyle w:val="CETCaptionCarattere"/>
        </w:rPr>
        <w:t>lling in the presence of SA</w:t>
      </w:r>
      <w:r w:rsidR="0028144D">
        <w:rPr>
          <w:rStyle w:val="CETCaptionCarattere"/>
        </w:rPr>
        <w:t xml:space="preserve"> as capping agent.</w:t>
      </w:r>
    </w:p>
    <w:p w14:paraId="68D26B83" w14:textId="77777777" w:rsidR="00600535" w:rsidRPr="00B57B36" w:rsidRDefault="00600535" w:rsidP="00600535">
      <w:pPr>
        <w:pStyle w:val="CETHeading1"/>
        <w:rPr>
          <w:lang w:val="en-GB"/>
        </w:rPr>
      </w:pPr>
      <w:r w:rsidRPr="00B57B36">
        <w:rPr>
          <w:lang w:val="en-GB"/>
        </w:rPr>
        <w:t>Conclusions</w:t>
      </w:r>
    </w:p>
    <w:p w14:paraId="230FEB65" w14:textId="56AC1A91" w:rsidR="00AC331D" w:rsidRDefault="00600535" w:rsidP="00600535">
      <w:pPr>
        <w:pStyle w:val="CETBodytext"/>
        <w:rPr>
          <w:lang w:val="en-GB"/>
        </w:rPr>
      </w:pPr>
      <w:r w:rsidRPr="00B57B36">
        <w:rPr>
          <w:lang w:val="en-GB"/>
        </w:rPr>
        <w:t>I</w:t>
      </w:r>
      <w:r w:rsidR="004941DF">
        <w:rPr>
          <w:lang w:val="en-GB"/>
        </w:rPr>
        <w:t>n this study, two comminution technique</w:t>
      </w:r>
      <w:r w:rsidR="0052131F">
        <w:rPr>
          <w:lang w:val="en-GB"/>
        </w:rPr>
        <w:t>s</w:t>
      </w:r>
      <w:r w:rsidR="004941DF">
        <w:rPr>
          <w:lang w:val="en-GB"/>
        </w:rPr>
        <w:t xml:space="preserve">, based </w:t>
      </w:r>
      <w:r w:rsidR="004F4066">
        <w:rPr>
          <w:lang w:val="en-GB"/>
        </w:rPr>
        <w:t>on</w:t>
      </w:r>
      <w:r w:rsidR="0052131F">
        <w:rPr>
          <w:lang w:val="en-GB"/>
        </w:rPr>
        <w:t xml:space="preserve"> different me</w:t>
      </w:r>
      <w:r w:rsidR="004941DF">
        <w:rPr>
          <w:lang w:val="en-GB"/>
        </w:rPr>
        <w:t xml:space="preserve">chanical schemes, have been proposed </w:t>
      </w:r>
      <w:r w:rsidR="0052131F">
        <w:rPr>
          <w:lang w:val="en-GB"/>
        </w:rPr>
        <w:t>for the synthesis of Sn NPs. Three</w:t>
      </w:r>
      <w:r w:rsidR="004941DF">
        <w:rPr>
          <w:lang w:val="en-GB"/>
        </w:rPr>
        <w:t xml:space="preserve"> different types of surfactants have been a</w:t>
      </w:r>
      <w:r w:rsidR="0052131F">
        <w:rPr>
          <w:lang w:val="en-GB"/>
        </w:rPr>
        <w:t xml:space="preserve">dopted, </w:t>
      </w:r>
      <w:proofErr w:type="gramStart"/>
      <w:r w:rsidR="0052131F">
        <w:rPr>
          <w:lang w:val="en-GB"/>
        </w:rPr>
        <w:t>in order to</w:t>
      </w:r>
      <w:proofErr w:type="gramEnd"/>
      <w:r w:rsidR="0052131F">
        <w:rPr>
          <w:lang w:val="en-GB"/>
        </w:rPr>
        <w:t xml:space="preserve"> investigate </w:t>
      </w:r>
      <w:r w:rsidR="004941DF">
        <w:rPr>
          <w:lang w:val="en-GB"/>
        </w:rPr>
        <w:t xml:space="preserve">the combined effect of a </w:t>
      </w:r>
      <w:proofErr w:type="spellStart"/>
      <w:r w:rsidR="004941DF">
        <w:rPr>
          <w:lang w:val="en-GB"/>
        </w:rPr>
        <w:t>mechanosynthesis</w:t>
      </w:r>
      <w:proofErr w:type="spellEnd"/>
      <w:r w:rsidR="004941DF">
        <w:rPr>
          <w:lang w:val="en-GB"/>
        </w:rPr>
        <w:t xml:space="preserve"> scheme with the effectiveness of a natural and artificial capping agent. </w:t>
      </w:r>
    </w:p>
    <w:p w14:paraId="6B736956" w14:textId="28A02749" w:rsidR="00600535" w:rsidRDefault="004941DF" w:rsidP="00600535">
      <w:pPr>
        <w:pStyle w:val="CETBodytext"/>
        <w:rPr>
          <w:lang w:val="en-GB"/>
        </w:rPr>
      </w:pPr>
      <w:r>
        <w:rPr>
          <w:lang w:val="en-GB"/>
        </w:rPr>
        <w:t>T</w:t>
      </w:r>
      <w:r w:rsidR="00662C22">
        <w:rPr>
          <w:lang w:val="en-GB"/>
        </w:rPr>
        <w:t>he conclusions can be summarize</w:t>
      </w:r>
      <w:r>
        <w:rPr>
          <w:lang w:val="en-GB"/>
        </w:rPr>
        <w:t>d in the following points:</w:t>
      </w:r>
      <w:r w:rsidR="001D0CFB" w:rsidRPr="001D0CFB">
        <w:rPr>
          <w:lang w:val="en-GB"/>
        </w:rPr>
        <w:t xml:space="preserve"> </w:t>
      </w:r>
    </w:p>
    <w:p w14:paraId="26238184" w14:textId="6E7B0636" w:rsidR="00C174B4" w:rsidRPr="0028144D" w:rsidRDefault="0028144D" w:rsidP="00C174B4">
      <w:pPr>
        <w:pStyle w:val="CETBodytext"/>
        <w:numPr>
          <w:ilvl w:val="0"/>
          <w:numId w:val="23"/>
        </w:numPr>
        <w:rPr>
          <w:lang w:val="en-GB"/>
        </w:rPr>
      </w:pPr>
      <w:r w:rsidRPr="0028144D">
        <w:rPr>
          <w:lang w:val="en-GB"/>
        </w:rPr>
        <w:t xml:space="preserve">Both top-down </w:t>
      </w:r>
      <w:proofErr w:type="spellStart"/>
      <w:r w:rsidRPr="0028144D">
        <w:rPr>
          <w:lang w:val="en-GB"/>
        </w:rPr>
        <w:t>mechanosynthesis</w:t>
      </w:r>
      <w:proofErr w:type="spellEnd"/>
      <w:r w:rsidRPr="0028144D">
        <w:rPr>
          <w:lang w:val="en-GB"/>
        </w:rPr>
        <w:t xml:space="preserve"> methods here adopted proved to be efficient in Sn NPs </w:t>
      </w:r>
      <w:r w:rsidR="00662C22">
        <w:rPr>
          <w:lang w:val="en-GB"/>
        </w:rPr>
        <w:t>formation</w:t>
      </w:r>
      <w:r w:rsidRPr="0028144D">
        <w:rPr>
          <w:lang w:val="en-GB"/>
        </w:rPr>
        <w:t>.</w:t>
      </w:r>
    </w:p>
    <w:p w14:paraId="513EDB21" w14:textId="40B2603A" w:rsidR="0028144D" w:rsidRDefault="0028144D" w:rsidP="0028144D">
      <w:pPr>
        <w:pStyle w:val="CETBodytext"/>
        <w:numPr>
          <w:ilvl w:val="0"/>
          <w:numId w:val="23"/>
        </w:numPr>
        <w:rPr>
          <w:lang w:val="en-GB"/>
        </w:rPr>
      </w:pPr>
      <w:r>
        <w:rPr>
          <w:lang w:val="en-GB"/>
        </w:rPr>
        <w:t>Saponin and MTAB were active in damping agglomeration, while PVP was totally useless.</w:t>
      </w:r>
    </w:p>
    <w:p w14:paraId="133D2B77" w14:textId="211FA3CE" w:rsidR="00C174B4" w:rsidRDefault="0028144D" w:rsidP="00C174B4">
      <w:pPr>
        <w:pStyle w:val="CETBodytext"/>
        <w:numPr>
          <w:ilvl w:val="0"/>
          <w:numId w:val="23"/>
        </w:numPr>
        <w:rPr>
          <w:lang w:val="en-GB"/>
        </w:rPr>
      </w:pPr>
      <w:r>
        <w:rPr>
          <w:lang w:val="en-GB"/>
        </w:rPr>
        <w:t xml:space="preserve">The present method may represent a valid alternative to </w:t>
      </w:r>
      <w:r w:rsidR="00E0697A">
        <w:rPr>
          <w:lang w:val="en-GB"/>
        </w:rPr>
        <w:t>stan</w:t>
      </w:r>
      <w:r w:rsidR="00662C22">
        <w:rPr>
          <w:lang w:val="en-GB"/>
        </w:rPr>
        <w:t>dard bottom-up schemes</w:t>
      </w:r>
      <w:r w:rsidR="00E0697A">
        <w:rPr>
          <w:lang w:val="en-GB"/>
        </w:rPr>
        <w:t xml:space="preserve"> in metal NPs synthesis.</w:t>
      </w:r>
    </w:p>
    <w:p w14:paraId="42410420" w14:textId="3403BEBB" w:rsidR="00C174B4" w:rsidRDefault="00C174B4" w:rsidP="00C174B4">
      <w:pPr>
        <w:pStyle w:val="CETBodytext"/>
        <w:rPr>
          <w:lang w:val="en-GB"/>
        </w:rPr>
      </w:pPr>
      <w:r>
        <w:rPr>
          <w:lang w:val="en-GB"/>
        </w:rPr>
        <w:t xml:space="preserve">A future development of the present study will be focused on </w:t>
      </w:r>
      <w:r w:rsidR="00AC331D">
        <w:rPr>
          <w:lang w:val="en-GB"/>
        </w:rPr>
        <w:t>the</w:t>
      </w:r>
      <w:r>
        <w:rPr>
          <w:lang w:val="en-GB"/>
        </w:rPr>
        <w:t xml:space="preserve"> realization of a similar process at a larger scale, </w:t>
      </w:r>
      <w:r w:rsidR="00E0697A" w:rsidRPr="00E0697A">
        <w:rPr>
          <w:lang w:val="en-GB"/>
        </w:rPr>
        <w:t>within the limits imposed by a reduced scalability of a</w:t>
      </w:r>
      <w:r w:rsidR="00E0697A">
        <w:rPr>
          <w:lang w:val="en-GB"/>
        </w:rPr>
        <w:t xml:space="preserve"> stirring</w:t>
      </w:r>
      <w:r w:rsidR="00E0697A" w:rsidRPr="00E0697A">
        <w:rPr>
          <w:lang w:val="en-GB"/>
        </w:rPr>
        <w:t xml:space="preserve"> magnetic field</w:t>
      </w:r>
      <w:r w:rsidR="00E0697A">
        <w:rPr>
          <w:lang w:val="en-GB"/>
        </w:rPr>
        <w:t>.</w:t>
      </w:r>
      <w:r>
        <w:rPr>
          <w:lang w:val="en-GB"/>
        </w:rPr>
        <w:t xml:space="preserve">  </w:t>
      </w:r>
    </w:p>
    <w:p w14:paraId="4F1327F8" w14:textId="77777777" w:rsidR="00600535" w:rsidRPr="00B57B36" w:rsidRDefault="00600535" w:rsidP="00600535">
      <w:pPr>
        <w:pStyle w:val="CETReference"/>
      </w:pPr>
      <w:r w:rsidRPr="00B57B36">
        <w:t>References</w:t>
      </w:r>
    </w:p>
    <w:p w14:paraId="54C521B8" w14:textId="384A0F08" w:rsidR="00903445" w:rsidRDefault="00903445" w:rsidP="00903445">
      <w:pPr>
        <w:pStyle w:val="CETReferencetext"/>
      </w:pPr>
      <w:r>
        <w:t xml:space="preserve">Arjun P.N.J, Sankar, B., Shankar K.V., Kulkarni, N.V., </w:t>
      </w:r>
      <w:proofErr w:type="spellStart"/>
      <w:r w:rsidRPr="00903445">
        <w:t>Sivasankaran</w:t>
      </w:r>
      <w:proofErr w:type="spellEnd"/>
      <w:r>
        <w:t xml:space="preserve"> S., Shankar B., 2022, Silver and silver nanoparticles for the potential treatment of COVID-19: A review, Coatings</w:t>
      </w:r>
      <w:r w:rsidRPr="00903445">
        <w:t xml:space="preserve"> 12, 1679.</w:t>
      </w:r>
    </w:p>
    <w:p w14:paraId="27463FA5" w14:textId="5CD2A57C" w:rsidR="00BE6FF5" w:rsidRDefault="00BE6FF5" w:rsidP="00BE6FF5">
      <w:pPr>
        <w:pStyle w:val="CETReferencetext"/>
      </w:pPr>
      <w:r>
        <w:t xml:space="preserve">Banis G., </w:t>
      </w:r>
      <w:proofErr w:type="spellStart"/>
      <w:r>
        <w:t>Koulia</w:t>
      </w:r>
      <w:proofErr w:type="spellEnd"/>
      <w:r>
        <w:t xml:space="preserve"> M.E., Ferraro A., Molino A., </w:t>
      </w:r>
      <w:proofErr w:type="spellStart"/>
      <w:r>
        <w:t>Karatzad</w:t>
      </w:r>
      <w:proofErr w:type="spellEnd"/>
      <w:r>
        <w:t xml:space="preserve"> D., Chianese S., </w:t>
      </w:r>
      <w:proofErr w:type="spellStart"/>
      <w:r>
        <w:t>Musmarra</w:t>
      </w:r>
      <w:proofErr w:type="spellEnd"/>
      <w:r>
        <w:t xml:space="preserve"> D., </w:t>
      </w:r>
      <w:proofErr w:type="spellStart"/>
      <w:r>
        <w:t>Hristoforou</w:t>
      </w:r>
      <w:proofErr w:type="spellEnd"/>
      <w:r>
        <w:t xml:space="preserve"> E., 2017, An innovative application of super-paramagnetic iron oxide nanoparticles for magnetic separation, Chemical Engineering Transactions 60, 85-90.</w:t>
      </w:r>
    </w:p>
    <w:p w14:paraId="23741C81" w14:textId="7B9A15A2" w:rsidR="00534848" w:rsidRDefault="00534848" w:rsidP="00BE6FF5">
      <w:pPr>
        <w:pStyle w:val="CETReferencetext"/>
      </w:pPr>
      <w:r>
        <w:t xml:space="preserve">Bhandari R., Anderson R.M., Stauffer S., Dylla A.G., Henkelman G., Stevenson K.J., Crooks R.M., 2015, </w:t>
      </w:r>
      <w:proofErr w:type="spellStart"/>
      <w:r>
        <w:t>Electrochemcal</w:t>
      </w:r>
      <w:proofErr w:type="spellEnd"/>
      <w:r>
        <w:t xml:space="preserve"> activity of dendrimer-stabilized tin nanoparticles </w:t>
      </w:r>
      <w:r w:rsidR="00823F12">
        <w:t>for lithium alloying reactions, Langmuir 31, 6570-6576.</w:t>
      </w:r>
    </w:p>
    <w:p w14:paraId="578CC618" w14:textId="3D42ADE1" w:rsidR="00733AA4" w:rsidRDefault="001205B9" w:rsidP="00600535">
      <w:pPr>
        <w:pStyle w:val="CETReferencetext"/>
      </w:pPr>
      <w:proofErr w:type="spellStart"/>
      <w:r>
        <w:lastRenderedPageBreak/>
        <w:t>Chiarioni</w:t>
      </w:r>
      <w:proofErr w:type="spellEnd"/>
      <w:r>
        <w:t xml:space="preserve"> A., Reverberi A.P., Fabiano B., </w:t>
      </w:r>
      <w:proofErr w:type="spellStart"/>
      <w:r>
        <w:t>Dovì</w:t>
      </w:r>
      <w:proofErr w:type="spellEnd"/>
      <w:r>
        <w:t xml:space="preserve"> V.G., 2006, </w:t>
      </w:r>
      <w:r w:rsidRPr="001205B9">
        <w:t>An improved model of an ASR pyrolysis reactor for energy recovery</w:t>
      </w:r>
      <w:r>
        <w:t xml:space="preserve">, </w:t>
      </w:r>
      <w:r w:rsidRPr="001205B9">
        <w:t>Energy</w:t>
      </w:r>
      <w:r>
        <w:t xml:space="preserve"> </w:t>
      </w:r>
      <w:r w:rsidRPr="001205B9">
        <w:t xml:space="preserve">31, 2460 </w:t>
      </w:r>
      <w:r>
        <w:t>–</w:t>
      </w:r>
      <w:r w:rsidRPr="001205B9">
        <w:t xml:space="preserve"> 2468</w:t>
      </w:r>
      <w:r>
        <w:t>.</w:t>
      </w:r>
    </w:p>
    <w:p w14:paraId="6DE53890" w14:textId="2320291C" w:rsidR="00E04C30" w:rsidRDefault="00E04C30" w:rsidP="00E04C30">
      <w:pPr>
        <w:pStyle w:val="CETReferencetext"/>
      </w:pPr>
      <w:r>
        <w:t>El</w:t>
      </w:r>
      <w:r>
        <w:rPr>
          <w:rFonts w:ascii="Cambria Math" w:hAnsi="Cambria Math" w:cs="Cambria Math"/>
        </w:rPr>
        <w:t>‑</w:t>
      </w:r>
      <w:r>
        <w:t>Naggar N.</w:t>
      </w:r>
      <w:r w:rsidR="008775A0">
        <w:t>E.-A.</w:t>
      </w:r>
      <w:r>
        <w:t>, El</w:t>
      </w:r>
      <w:r>
        <w:rPr>
          <w:rFonts w:ascii="Cambria Math" w:hAnsi="Cambria Math" w:cs="Cambria Math"/>
        </w:rPr>
        <w:t>‑</w:t>
      </w:r>
      <w:r>
        <w:t xml:space="preserve">Sawah A.A., </w:t>
      </w:r>
      <w:proofErr w:type="spellStart"/>
      <w:r>
        <w:t>Elmansy</w:t>
      </w:r>
      <w:proofErr w:type="spellEnd"/>
      <w:r>
        <w:t xml:space="preserve"> M.F., </w:t>
      </w:r>
      <w:proofErr w:type="spellStart"/>
      <w:r>
        <w:t>Elmessiry</w:t>
      </w:r>
      <w:proofErr w:type="spellEnd"/>
      <w:r>
        <w:t xml:space="preserve"> O.T., El</w:t>
      </w:r>
      <w:r>
        <w:rPr>
          <w:rFonts w:ascii="Cambria Math" w:hAnsi="Cambria Math" w:cs="Cambria Math"/>
        </w:rPr>
        <w:t>‑</w:t>
      </w:r>
      <w:r>
        <w:t>Saidy M.E., El</w:t>
      </w:r>
      <w:r>
        <w:rPr>
          <w:rFonts w:ascii="Cambria Math" w:hAnsi="Cambria Math" w:cs="Cambria Math"/>
        </w:rPr>
        <w:t>‑</w:t>
      </w:r>
      <w:proofErr w:type="spellStart"/>
      <w:r>
        <w:t>Sherbeny</w:t>
      </w:r>
      <w:proofErr w:type="spellEnd"/>
      <w:r>
        <w:t xml:space="preserve"> M.K.,   Sarhan M.T., </w:t>
      </w:r>
      <w:proofErr w:type="spellStart"/>
      <w:r>
        <w:t>Elhefnawy</w:t>
      </w:r>
      <w:proofErr w:type="spellEnd"/>
      <w:r>
        <w:t xml:space="preserve"> A.A., Dalal S.R., 2024, Process optimization for gold nanoparticles biosynthesis by Streptomyces </w:t>
      </w:r>
      <w:proofErr w:type="spellStart"/>
      <w:r>
        <w:t>albogriseolus</w:t>
      </w:r>
      <w:proofErr w:type="spellEnd"/>
      <w:r>
        <w:t xml:space="preserve"> using artificial neural network, characterization and antitumor activities, Scientific Reports 14, 4581.</w:t>
      </w:r>
    </w:p>
    <w:p w14:paraId="0C578C69" w14:textId="20EB5C71" w:rsidR="003B59D1" w:rsidRDefault="003B59D1" w:rsidP="003B59D1">
      <w:pPr>
        <w:pStyle w:val="CETReferencetext"/>
      </w:pPr>
      <w:r>
        <w:t xml:space="preserve">Gevorkyan E., </w:t>
      </w:r>
      <w:proofErr w:type="spellStart"/>
      <w:r>
        <w:t>Lavrynenko</w:t>
      </w:r>
      <w:proofErr w:type="spellEnd"/>
      <w:r>
        <w:t xml:space="preserve"> S., Rucki M., </w:t>
      </w:r>
      <w:proofErr w:type="spellStart"/>
      <w:r>
        <w:t>Siemiatkowski</w:t>
      </w:r>
      <w:proofErr w:type="spellEnd"/>
      <w:r>
        <w:t xml:space="preserve"> Z., </w:t>
      </w:r>
      <w:proofErr w:type="spellStart"/>
      <w:r>
        <w:t>Kislitsa</w:t>
      </w:r>
      <w:proofErr w:type="spellEnd"/>
      <w:r>
        <w:t xml:space="preserve"> M., 2017, </w:t>
      </w:r>
      <w:r w:rsidRPr="003B59D1">
        <w:t>Ceramic cutting tools out of nanostructured refractory compounds</w:t>
      </w:r>
      <w:r>
        <w:t>, International Journal of Refractory Metals &amp; Hard Materials, 68,</w:t>
      </w:r>
      <w:r w:rsidRPr="003B59D1">
        <w:t>142–144</w:t>
      </w:r>
      <w:r>
        <w:t>.</w:t>
      </w:r>
    </w:p>
    <w:p w14:paraId="2A19AE8C" w14:textId="77777777" w:rsidR="00E82B06" w:rsidRDefault="00E82B06" w:rsidP="00E82B06">
      <w:pPr>
        <w:pStyle w:val="CETReferencetext"/>
      </w:pPr>
      <w:proofErr w:type="spellStart"/>
      <w:r>
        <w:t>Igwegbe</w:t>
      </w:r>
      <w:proofErr w:type="spellEnd"/>
      <w:r>
        <w:t xml:space="preserve"> C.A., </w:t>
      </w:r>
      <w:proofErr w:type="spellStart"/>
      <w:r>
        <w:t>Rahdar</w:t>
      </w:r>
      <w:proofErr w:type="spellEnd"/>
      <w:r>
        <w:t xml:space="preserve"> S., </w:t>
      </w:r>
      <w:proofErr w:type="spellStart"/>
      <w:r>
        <w:t>Rahdar</w:t>
      </w:r>
      <w:proofErr w:type="spellEnd"/>
      <w:r>
        <w:t xml:space="preserve"> A., </w:t>
      </w:r>
      <w:proofErr w:type="spellStart"/>
      <w:r>
        <w:t>Mahvi</w:t>
      </w:r>
      <w:proofErr w:type="spellEnd"/>
      <w:r>
        <w:t xml:space="preserve"> A.H., Ahmadi S., Banach A.M., 2019, Removal of fluoride from aqueous solution by nickel oxide nanoparticles: equilibrium and kinetic studies, </w:t>
      </w:r>
      <w:r w:rsidRPr="00342596">
        <w:t>Fluoride 52</w:t>
      </w:r>
      <w:r>
        <w:t xml:space="preserve">, </w:t>
      </w:r>
      <w:r w:rsidRPr="00342596">
        <w:t>569-579</w:t>
      </w:r>
      <w:r>
        <w:t>.</w:t>
      </w:r>
    </w:p>
    <w:p w14:paraId="66386E4F" w14:textId="0CD9890D" w:rsidR="003B52D5" w:rsidRDefault="003B52D5" w:rsidP="003B59D1">
      <w:pPr>
        <w:pStyle w:val="CETReferencetext"/>
      </w:pPr>
      <w:proofErr w:type="spellStart"/>
      <w:r>
        <w:t>Korableva</w:t>
      </w:r>
      <w:proofErr w:type="spellEnd"/>
      <w:r w:rsidRPr="003B52D5">
        <w:t xml:space="preserve"> E</w:t>
      </w:r>
      <w:r>
        <w:t>.</w:t>
      </w:r>
      <w:r w:rsidRPr="003B52D5">
        <w:t>A</w:t>
      </w:r>
      <w:r>
        <w:t xml:space="preserve">., </w:t>
      </w:r>
      <w:proofErr w:type="spellStart"/>
      <w:r>
        <w:t>Anashkina</w:t>
      </w:r>
      <w:proofErr w:type="spellEnd"/>
      <w:r w:rsidRPr="003B52D5">
        <w:t xml:space="preserve"> </w:t>
      </w:r>
      <w:r w:rsidR="008F5BDC">
        <w:t>A.</w:t>
      </w:r>
      <w:r w:rsidRPr="003B52D5">
        <w:t>A</w:t>
      </w:r>
      <w:r>
        <w:t xml:space="preserve">., </w:t>
      </w:r>
      <w:proofErr w:type="spellStart"/>
      <w:r>
        <w:t>Lemeshev</w:t>
      </w:r>
      <w:proofErr w:type="spellEnd"/>
      <w:r w:rsidRPr="003B52D5">
        <w:t xml:space="preserve"> D</w:t>
      </w:r>
      <w:r>
        <w:t>.</w:t>
      </w:r>
      <w:r w:rsidRPr="003B52D5">
        <w:t>O</w:t>
      </w:r>
      <w:r>
        <w:t>., Zhukov</w:t>
      </w:r>
      <w:r w:rsidRPr="003B52D5">
        <w:t xml:space="preserve"> </w:t>
      </w:r>
      <w:proofErr w:type="spellStart"/>
      <w:r w:rsidRPr="003B52D5">
        <w:t>D</w:t>
      </w:r>
      <w:r>
        <w:t>.Y</w:t>
      </w:r>
      <w:r w:rsidR="008F5BDC">
        <w:t>u</w:t>
      </w:r>
      <w:proofErr w:type="spellEnd"/>
      <w:r>
        <w:t xml:space="preserve">., 2021, </w:t>
      </w:r>
      <w:r w:rsidRPr="003B52D5">
        <w:t>Development of ZrO</w:t>
      </w:r>
      <w:r w:rsidRPr="003B52D5">
        <w:rPr>
          <w:vertAlign w:val="subscript"/>
        </w:rPr>
        <w:t>2</w:t>
      </w:r>
      <w:r w:rsidRPr="003B52D5">
        <w:t>-based refractory ceramic nanostructured materials f</w:t>
      </w:r>
      <w:r w:rsidR="008F5BDC">
        <w:t>or high-temperature applications, Russian Journal of Non-Ferrous Metals, 10</w:t>
      </w:r>
      <w:r w:rsidR="008F5BDC" w:rsidRPr="008F5BDC">
        <w:t>, 13-20</w:t>
      </w:r>
      <w:r w:rsidR="008F5BDC">
        <w:t>.</w:t>
      </w:r>
    </w:p>
    <w:p w14:paraId="14C90073" w14:textId="463B5DF9" w:rsidR="00790E40" w:rsidRDefault="00790E40" w:rsidP="00790E40">
      <w:pPr>
        <w:pStyle w:val="CETReferencetext"/>
      </w:pPr>
      <w:r>
        <w:t xml:space="preserve">Li Q., Lin L., Zhang C., Zhang H., Ma Y., Qian H., Chen X.-L., Wang X., 2024, The progression of inorganic nanoparticles and natural products for inflammatory bowel disease, </w:t>
      </w:r>
      <w:r w:rsidRPr="00790E40">
        <w:t>Jou</w:t>
      </w:r>
      <w:r>
        <w:t>rnal of Nanobiotechnology,</w:t>
      </w:r>
      <w:r w:rsidRPr="00790E40">
        <w:t xml:space="preserve"> 22</w:t>
      </w:r>
      <w:r>
        <w:t>, 1</w:t>
      </w:r>
      <w:r w:rsidRPr="00790E40">
        <w:t>7</w:t>
      </w:r>
      <w:r>
        <w:t>.</w:t>
      </w:r>
    </w:p>
    <w:p w14:paraId="0BA978E1" w14:textId="50AE7C9F" w:rsidR="00B17CE7" w:rsidRDefault="00B17CE7" w:rsidP="000E0584">
      <w:pPr>
        <w:pStyle w:val="CETReferencetext"/>
      </w:pPr>
      <w:r>
        <w:t>Lu R., Hao W., Kong L., Zhao K., Bai H., Liu</w:t>
      </w:r>
      <w:r w:rsidR="000E0584">
        <w:t xml:space="preserve"> Z., 2023, A simple method for the synthesis of copper nanoparticles from metastable intermediates, RSC Advances </w:t>
      </w:r>
      <w:r w:rsidR="000E0584" w:rsidRPr="000E0584">
        <w:t>13, 14361–14369</w:t>
      </w:r>
      <w:r w:rsidR="000E0584">
        <w:t>.</w:t>
      </w:r>
    </w:p>
    <w:p w14:paraId="2F44712D" w14:textId="3B5017B7" w:rsidR="005604BE" w:rsidRDefault="006A103F" w:rsidP="00F92519">
      <w:pPr>
        <w:pStyle w:val="CETReferencetext"/>
      </w:pPr>
      <w:proofErr w:type="spellStart"/>
      <w:r>
        <w:t>Maruda</w:t>
      </w:r>
      <w:proofErr w:type="spellEnd"/>
      <w:r>
        <w:t xml:space="preserve"> R.W., </w:t>
      </w:r>
      <w:proofErr w:type="spellStart"/>
      <w:r>
        <w:t>Arkusz</w:t>
      </w:r>
      <w:proofErr w:type="spellEnd"/>
      <w:r>
        <w:t xml:space="preserve"> K., </w:t>
      </w:r>
      <w:proofErr w:type="spellStart"/>
      <w:r>
        <w:t>Szczotkarz</w:t>
      </w:r>
      <w:proofErr w:type="spellEnd"/>
      <w:r>
        <w:t xml:space="preserve"> N., Wojciechowski S., </w:t>
      </w:r>
      <w:proofErr w:type="spellStart"/>
      <w:r>
        <w:t>Niesłony</w:t>
      </w:r>
      <w:proofErr w:type="spellEnd"/>
      <w:r>
        <w:t xml:space="preserve"> P., </w:t>
      </w:r>
      <w:proofErr w:type="spellStart"/>
      <w:r w:rsidR="00F92519">
        <w:t>Kr</w:t>
      </w:r>
      <w:r w:rsidR="00F92519">
        <w:rPr>
          <w:rFonts w:cs="Arial"/>
        </w:rPr>
        <w:t>ó</w:t>
      </w:r>
      <w:r>
        <w:t>lczyk</w:t>
      </w:r>
      <w:proofErr w:type="spellEnd"/>
      <w:r w:rsidR="00F92519">
        <w:t xml:space="preserve"> G.M., 2023, Analysis of size and concentration of nanoparticles contained in cutting fluid during turning of 316L steel in minimum quantity lubrication conditions, </w:t>
      </w:r>
      <w:r w:rsidR="00F92519" w:rsidRPr="00F92519">
        <w:t>Journal of Manufacturing Processes 87</w:t>
      </w:r>
      <w:r w:rsidR="00F92519">
        <w:t xml:space="preserve">, </w:t>
      </w:r>
      <w:r w:rsidR="00F92519" w:rsidRPr="00F92519">
        <w:t>106–122</w:t>
      </w:r>
      <w:r w:rsidR="00F92519">
        <w:t>.</w:t>
      </w:r>
    </w:p>
    <w:p w14:paraId="1C4C5F5F" w14:textId="580D4794" w:rsidR="006466A2" w:rsidRDefault="006466A2" w:rsidP="006466A2">
      <w:pPr>
        <w:pStyle w:val="CETReferencetext"/>
      </w:pPr>
      <w:r>
        <w:t xml:space="preserve">Oliveira Silva A., Sousa Cunha R., </w:t>
      </w:r>
      <w:proofErr w:type="spellStart"/>
      <w:r>
        <w:t>Hotza</w:t>
      </w:r>
      <w:proofErr w:type="spellEnd"/>
      <w:r>
        <w:t xml:space="preserve"> D., Machado R.A.F., 2021, Chitosan as a matrix of nanocomposites: A review on nanostructures, processes, properties, and applications, </w:t>
      </w:r>
      <w:r w:rsidRPr="006466A2">
        <w:t>Carbohydrate Polymers 272</w:t>
      </w:r>
      <w:r w:rsidR="00501957">
        <w:t xml:space="preserve">, </w:t>
      </w:r>
      <w:r w:rsidRPr="006466A2">
        <w:t>118472</w:t>
      </w:r>
      <w:r w:rsidR="00501957">
        <w:t>.</w:t>
      </w:r>
    </w:p>
    <w:p w14:paraId="37B66220" w14:textId="77777777" w:rsidR="0091482F" w:rsidRDefault="00BB0911" w:rsidP="0091482F">
      <w:pPr>
        <w:pStyle w:val="CETReferencetext"/>
      </w:pPr>
      <w:r>
        <w:t xml:space="preserve">Patel S.S., Sharma R.K., 2023, Facile fabrication of Pluronic-mediated copper nanoparticles using microwave techniques and their application as the photocatalysts for various organic dyes degradation, </w:t>
      </w:r>
      <w:r w:rsidRPr="00BB0911">
        <w:t>Materials Today Communications 37</w:t>
      </w:r>
      <w:r>
        <w:t xml:space="preserve">, </w:t>
      </w:r>
      <w:r w:rsidRPr="00BB0911">
        <w:t>106990</w:t>
      </w:r>
      <w:r>
        <w:t>.</w:t>
      </w:r>
      <w:r w:rsidR="0091482F">
        <w:t xml:space="preserve"> </w:t>
      </w:r>
    </w:p>
    <w:p w14:paraId="3FB09F1C" w14:textId="21AFF1FB" w:rsidR="00BB0911" w:rsidRDefault="0091482F" w:rsidP="0091482F">
      <w:pPr>
        <w:pStyle w:val="CETReferencetext"/>
      </w:pPr>
      <w:r>
        <w:t>Pasman H, Sripaul E, Khan F,</w:t>
      </w:r>
      <w:r>
        <w:t xml:space="preserve"> </w:t>
      </w:r>
      <w:r>
        <w:t>Fabiano B.</w:t>
      </w:r>
      <w:r>
        <w:t>, 2024,</w:t>
      </w:r>
      <w:r>
        <w:t xml:space="preserve"> Energy transition technology comes with new</w:t>
      </w:r>
      <w:r>
        <w:t xml:space="preserve"> </w:t>
      </w:r>
      <w:r>
        <w:t>process safety challenges and risks—What does it mean?</w:t>
      </w:r>
      <w:r>
        <w:t xml:space="preserve"> </w:t>
      </w:r>
      <w:r>
        <w:t>Process Saf</w:t>
      </w:r>
      <w:r>
        <w:t>ety</w:t>
      </w:r>
      <w:r>
        <w:t xml:space="preserve"> Prog</w:t>
      </w:r>
      <w:r>
        <w:t xml:space="preserve">ress, </w:t>
      </w:r>
      <w:r>
        <w:t>1</w:t>
      </w:r>
      <w:r>
        <w:rPr>
          <w:rFonts w:ascii="Cambria Math" w:hAnsi="Cambria Math" w:cs="Cambria Math"/>
        </w:rPr>
        <w:t>‐</w:t>
      </w:r>
      <w:r>
        <w:t>5</w:t>
      </w:r>
      <w:r>
        <w:t>.</w:t>
      </w:r>
    </w:p>
    <w:p w14:paraId="63BBEA7B" w14:textId="0844AA21" w:rsidR="00501957" w:rsidRPr="00B57B36" w:rsidRDefault="00501957" w:rsidP="00501957">
      <w:pPr>
        <w:pStyle w:val="CETReferencetext"/>
      </w:pPr>
      <w:r>
        <w:t xml:space="preserve">Petrelli L., Ferro S., Reverberi A.P., </w:t>
      </w:r>
      <w:proofErr w:type="spellStart"/>
      <w:r>
        <w:t>Vocciante</w:t>
      </w:r>
      <w:proofErr w:type="spellEnd"/>
      <w:r>
        <w:t xml:space="preserve"> M., 2020, Removal and recovery of heavy metals from tannery sludge subjected to plasma pyro-gasification process, </w:t>
      </w:r>
      <w:r w:rsidRPr="00501957">
        <w:t>Journal of Cleaner Production 273</w:t>
      </w:r>
      <w:r>
        <w:t xml:space="preserve">, </w:t>
      </w:r>
      <w:r w:rsidRPr="00501957">
        <w:t>123166</w:t>
      </w:r>
      <w:r>
        <w:t>.</w:t>
      </w:r>
    </w:p>
    <w:p w14:paraId="08EC5CCE" w14:textId="1E0D4C73" w:rsidR="00600535" w:rsidRDefault="00BF7E58" w:rsidP="00BF7E58">
      <w:pPr>
        <w:pStyle w:val="CETReferencetext"/>
      </w:pPr>
      <w:r>
        <w:t xml:space="preserve">Rajput P., Kumar P., Priya A.K., Kumari S., </w:t>
      </w:r>
      <w:proofErr w:type="spellStart"/>
      <w:r>
        <w:t>Roghie</w:t>
      </w:r>
      <w:proofErr w:type="spellEnd"/>
      <w:r>
        <w:t xml:space="preserve"> S., </w:t>
      </w:r>
      <w:proofErr w:type="spellStart"/>
      <w:r>
        <w:t>Shiade</w:t>
      </w:r>
      <w:proofErr w:type="spellEnd"/>
      <w:r>
        <w:t xml:space="preserve"> G., Rajput V.D., Fathi A., Prad</w:t>
      </w:r>
      <w:r w:rsidR="00733AA4">
        <w:t>h</w:t>
      </w:r>
      <w:r>
        <w:t xml:space="preserve">an A., Sarfraz R., </w:t>
      </w:r>
      <w:proofErr w:type="spellStart"/>
      <w:r>
        <w:t>Sushkova</w:t>
      </w:r>
      <w:proofErr w:type="spellEnd"/>
      <w:r>
        <w:t xml:space="preserve"> S., </w:t>
      </w:r>
      <w:proofErr w:type="spellStart"/>
      <w:r>
        <w:t>Mandzhieva</w:t>
      </w:r>
      <w:proofErr w:type="spellEnd"/>
      <w:r>
        <w:t xml:space="preserve"> S., </w:t>
      </w:r>
      <w:proofErr w:type="spellStart"/>
      <w:r>
        <w:t>Minkina</w:t>
      </w:r>
      <w:proofErr w:type="spellEnd"/>
      <w:r>
        <w:t xml:space="preserve"> T., Soldatov A., Wong M.H., Rensing C.</w:t>
      </w:r>
      <w:r w:rsidR="00733AA4">
        <w:t>, 2024</w:t>
      </w:r>
      <w:r>
        <w:t>, Nanomaterials and biochar mediated remediation of</w:t>
      </w:r>
      <w:r w:rsidR="00733AA4">
        <w:t xml:space="preserve"> </w:t>
      </w:r>
      <w:r>
        <w:t>emerging contaminants</w:t>
      </w:r>
      <w:r w:rsidR="00733AA4">
        <w:t xml:space="preserve">, </w:t>
      </w:r>
      <w:r w:rsidR="00EE1AAD" w:rsidRPr="00EE1AAD">
        <w:t xml:space="preserve">Sci. Total Environ. </w:t>
      </w:r>
      <w:r w:rsidR="00733AA4">
        <w:t xml:space="preserve">916, </w:t>
      </w:r>
      <w:r w:rsidR="00733AA4" w:rsidRPr="00733AA4">
        <w:t>170064</w:t>
      </w:r>
      <w:r w:rsidR="00733AA4">
        <w:t>.</w:t>
      </w:r>
    </w:p>
    <w:p w14:paraId="3C823669" w14:textId="0829952B" w:rsidR="005A41FB" w:rsidRDefault="005A41FB" w:rsidP="00A76A9F">
      <w:pPr>
        <w:pStyle w:val="CETReferencetext"/>
      </w:pPr>
      <w:r>
        <w:t>Rashid R., Shafiq I., Gilani</w:t>
      </w:r>
      <w:r w:rsidR="00A76A9F">
        <w:t xml:space="preserve"> M.R.H.S., </w:t>
      </w:r>
      <w:r>
        <w:t>Maaz</w:t>
      </w:r>
      <w:r w:rsidR="00A76A9F">
        <w:t xml:space="preserve"> M., </w:t>
      </w:r>
      <w:r>
        <w:t>Akhter</w:t>
      </w:r>
      <w:r w:rsidR="00A76A9F">
        <w:t xml:space="preserve"> P., </w:t>
      </w:r>
      <w:r>
        <w:t>Hussain</w:t>
      </w:r>
      <w:r w:rsidR="00A76A9F">
        <w:t xml:space="preserve"> M., </w:t>
      </w:r>
      <w:r>
        <w:t>Jeong</w:t>
      </w:r>
      <w:r w:rsidR="00A76A9F">
        <w:t xml:space="preserve"> K.-E., </w:t>
      </w:r>
      <w:r>
        <w:t>Kwon</w:t>
      </w:r>
      <w:r w:rsidR="00A76A9F">
        <w:t xml:space="preserve"> E.E., </w:t>
      </w:r>
      <w:r>
        <w:t xml:space="preserve">Bae </w:t>
      </w:r>
      <w:r w:rsidR="00A76A9F">
        <w:t>S.</w:t>
      </w:r>
      <w:r>
        <w:t xml:space="preserve">, Park </w:t>
      </w:r>
      <w:r w:rsidR="00A76A9F">
        <w:t>Y.-K., 2024, Advancements in TiO</w:t>
      </w:r>
      <w:r w:rsidR="00A76A9F" w:rsidRPr="00A76A9F">
        <w:rPr>
          <w:vertAlign w:val="subscript"/>
        </w:rPr>
        <w:t>2</w:t>
      </w:r>
      <w:r w:rsidR="00A76A9F">
        <w:t xml:space="preserve">-based photocatalysis for environmental remediation: Strategies for enhancing visible-light-driven activity, </w:t>
      </w:r>
      <w:r w:rsidR="00A76A9F" w:rsidRPr="00A76A9F">
        <w:t>Chemosphere 349</w:t>
      </w:r>
      <w:r w:rsidR="00A76A9F">
        <w:t xml:space="preserve">, </w:t>
      </w:r>
      <w:r w:rsidR="00A76A9F" w:rsidRPr="00A76A9F">
        <w:t>140703</w:t>
      </w:r>
      <w:r w:rsidR="00A76A9F">
        <w:t>.</w:t>
      </w:r>
    </w:p>
    <w:p w14:paraId="39E617A4" w14:textId="29D69D9D" w:rsidR="001B48A2" w:rsidRDefault="001B48A2" w:rsidP="00A76A9F">
      <w:pPr>
        <w:pStyle w:val="CETReferencetext"/>
      </w:pPr>
      <w:r>
        <w:t>Reverberi A</w:t>
      </w:r>
      <w:r w:rsidR="008A2CC3">
        <w:t xml:space="preserve">.P., </w:t>
      </w:r>
      <w:proofErr w:type="spellStart"/>
      <w:r>
        <w:t>Vocciante</w:t>
      </w:r>
      <w:proofErr w:type="spellEnd"/>
      <w:r w:rsidR="008A2CC3">
        <w:t xml:space="preserve"> M., </w:t>
      </w:r>
      <w:r w:rsidR="00281B34">
        <w:t xml:space="preserve">Salerno M., Ferretti M., Fabiano B., 2020, </w:t>
      </w:r>
      <w:r w:rsidR="00281B34" w:rsidRPr="00281B34">
        <w:t>Green synthesis of silver nanoparticles by low-energy wet bead milling of metal spheres</w:t>
      </w:r>
      <w:r w:rsidR="00281B34">
        <w:t xml:space="preserve">, Materials </w:t>
      </w:r>
      <w:r w:rsidR="008A2CC3">
        <w:t>13, 63.</w:t>
      </w:r>
    </w:p>
    <w:p w14:paraId="042E49AA" w14:textId="5C483F10" w:rsidR="00EE1AAD" w:rsidRDefault="00EE1AAD" w:rsidP="00EE1AAD">
      <w:pPr>
        <w:pStyle w:val="CETReferencetext"/>
      </w:pPr>
      <w:r w:rsidRPr="00EE1AAD">
        <w:rPr>
          <w:lang w:val="en-US"/>
        </w:rPr>
        <w:t xml:space="preserve">Reverberi A.P., </w:t>
      </w:r>
      <w:proofErr w:type="spellStart"/>
      <w:r w:rsidRPr="00EE1AAD">
        <w:rPr>
          <w:lang w:val="en-US"/>
        </w:rPr>
        <w:t>Varbanov</w:t>
      </w:r>
      <w:proofErr w:type="spellEnd"/>
      <w:r w:rsidRPr="00EE1AAD">
        <w:rPr>
          <w:lang w:val="en-US"/>
        </w:rPr>
        <w:t xml:space="preserve"> P.S., </w:t>
      </w:r>
      <w:proofErr w:type="spellStart"/>
      <w:r>
        <w:t>Lauciello</w:t>
      </w:r>
      <w:proofErr w:type="spellEnd"/>
      <w:r>
        <w:t xml:space="preserve"> S., Salerno M., Fabiano B., 2018, An eco-friendly process for zerovalent bismuth nanoparticles synthesis. Journal of Cleaner Production 198, 37-45.</w:t>
      </w:r>
    </w:p>
    <w:p w14:paraId="25EEE45A" w14:textId="39E647FF" w:rsidR="00464172" w:rsidRDefault="00464172" w:rsidP="00464172">
      <w:pPr>
        <w:pStyle w:val="CETReferencetext"/>
      </w:pPr>
      <w:r>
        <w:t>Sánchez-Pérez D.M., Flores-Loyola E., Márquez-Guerrero S.Y., Galindo-Guzman M., Marszalek J.E., 2023, Green synthesis and characterization of zinc oxide nanoparticles using Larrea tridentata extract and their impact on the in-vitro germination and seedling growth of Capsicum annuum, Sustainability</w:t>
      </w:r>
      <w:r w:rsidRPr="00464172">
        <w:t>, 15, 3080.</w:t>
      </w:r>
    </w:p>
    <w:p w14:paraId="5E19BE23" w14:textId="139616FF" w:rsidR="00660622" w:rsidRDefault="00660622" w:rsidP="00ED5BA0">
      <w:pPr>
        <w:pStyle w:val="CETReferencetext"/>
      </w:pPr>
      <w:r>
        <w:t xml:space="preserve">Shirai H., </w:t>
      </w:r>
      <w:r w:rsidR="00ED5BA0">
        <w:t xml:space="preserve">Nguyen M.T., Ishida Y., Yonezawa T., 2016, A new approach for additive-free room temperature sintering of conductive patterns using polymer-stabilized Sn nanoparticles, </w:t>
      </w:r>
      <w:r w:rsidR="004F22BD" w:rsidRPr="004F22BD">
        <w:t>Journal of Materials Chemistry C</w:t>
      </w:r>
      <w:r w:rsidR="004F22BD">
        <w:t xml:space="preserve"> 4, 2228-2234.</w:t>
      </w:r>
    </w:p>
    <w:p w14:paraId="747EEC8F" w14:textId="77777777" w:rsidR="002C0430" w:rsidRDefault="002C0430" w:rsidP="002C0430">
      <w:pPr>
        <w:pStyle w:val="CETReferencetext"/>
      </w:pPr>
      <w:proofErr w:type="spellStart"/>
      <w:r>
        <w:t>Thacharon</w:t>
      </w:r>
      <w:proofErr w:type="spellEnd"/>
      <w:r>
        <w:t xml:space="preserve"> A., Jang W.-S., Kim J., Kang J., Kim Y.-M., Kim S.W., 2022, Non-oxidized bare metal nanoparticles in air: A rational approach for large-scale synthesis via wet chemical process, Advanced Science 9, 2201756.</w:t>
      </w:r>
    </w:p>
    <w:p w14:paraId="451E17C7" w14:textId="4945A34F" w:rsidR="007D0EA5" w:rsidRDefault="005A41FB" w:rsidP="00BF7E58">
      <w:pPr>
        <w:pStyle w:val="CETReferencetext"/>
      </w:pPr>
      <w:proofErr w:type="spellStart"/>
      <w:r>
        <w:t>Vocciante</w:t>
      </w:r>
      <w:proofErr w:type="spellEnd"/>
      <w:r>
        <w:t xml:space="preserve"> M., Reverberi A.P., </w:t>
      </w:r>
      <w:proofErr w:type="spellStart"/>
      <w:r>
        <w:t>Dovì</w:t>
      </w:r>
      <w:proofErr w:type="spellEnd"/>
      <w:r>
        <w:t xml:space="preserve"> V.G., 2016, </w:t>
      </w:r>
      <w:r w:rsidRPr="005A41FB">
        <w:t>Approximate solution of the inverse Richards' problem</w:t>
      </w:r>
      <w:r>
        <w:t xml:space="preserve">, </w:t>
      </w:r>
      <w:r w:rsidRPr="005A41FB">
        <w:t>Applied Mathematical Modelling</w:t>
      </w:r>
      <w:r>
        <w:t xml:space="preserve"> </w:t>
      </w:r>
      <w:r w:rsidRPr="005A41FB">
        <w:t xml:space="preserve">40, 5364 </w:t>
      </w:r>
      <w:r>
        <w:t>–</w:t>
      </w:r>
      <w:r w:rsidRPr="005A41FB">
        <w:t xml:space="preserve"> 5376</w:t>
      </w:r>
      <w:r>
        <w:t>.</w:t>
      </w:r>
    </w:p>
    <w:p w14:paraId="06105AD4" w14:textId="13211196" w:rsidR="003F473F" w:rsidRPr="006B4888" w:rsidRDefault="003F473F" w:rsidP="003F473F">
      <w:pPr>
        <w:pStyle w:val="CETReferencetext"/>
      </w:pPr>
      <w:r>
        <w:t xml:space="preserve">Xie Q., </w:t>
      </w:r>
      <w:r w:rsidRPr="003F473F">
        <w:t>Tang</w:t>
      </w:r>
      <w:r>
        <w:t xml:space="preserve"> J., </w:t>
      </w:r>
      <w:r w:rsidRPr="003F473F">
        <w:t>Guo</w:t>
      </w:r>
      <w:r>
        <w:t xml:space="preserve"> S., </w:t>
      </w:r>
      <w:r w:rsidRPr="003F473F">
        <w:t>Zhao</w:t>
      </w:r>
      <w:r>
        <w:t xml:space="preserve"> Q., </w:t>
      </w:r>
      <w:r w:rsidRPr="003F473F">
        <w:t>Li</w:t>
      </w:r>
      <w:r>
        <w:t xml:space="preserve"> S., 2023, Recent progress of preparation strategies in organic</w:t>
      </w:r>
      <w:r w:rsidR="00501957">
        <w:t xml:space="preserve"> </w:t>
      </w:r>
      <w:r>
        <w:t>nanoparticles for cancer phototherapeutics, Molecules</w:t>
      </w:r>
      <w:r w:rsidRPr="003F473F">
        <w:t>, 28, 6038.</w:t>
      </w:r>
    </w:p>
    <w:p w14:paraId="2ED6BBFE" w14:textId="75E2ECDE" w:rsidR="00E50436" w:rsidRDefault="00157FA9" w:rsidP="0070389E">
      <w:pPr>
        <w:pStyle w:val="CETReferencetext"/>
      </w:pPr>
      <w:r>
        <w:t>Zhang S., Zhang H., Yang S., Zhang X., Li S., Huang L., Jing Y., Xiao L., Zhang</w:t>
      </w:r>
      <w:r w:rsidR="0001007B">
        <w:t xml:space="preserve"> Y., </w:t>
      </w:r>
      <w:r>
        <w:t>Han</w:t>
      </w:r>
      <w:r w:rsidR="0001007B">
        <w:t xml:space="preserve"> B., </w:t>
      </w:r>
      <w:r>
        <w:t>Kang</w:t>
      </w:r>
      <w:r w:rsidR="0001007B">
        <w:t xml:space="preserve"> J.-J.,</w:t>
      </w:r>
      <w:r>
        <w:t xml:space="preserve"> Zhou</w:t>
      </w:r>
      <w:r w:rsidR="0001007B">
        <w:t xml:space="preserve"> H., </w:t>
      </w:r>
      <w:r>
        <w:t>2</w:t>
      </w:r>
      <w:r w:rsidR="0001007B">
        <w:t xml:space="preserve">022, Synthesis and application of green solvent dispersed organic semiconducting nanoparticles, Nano Research, 16, </w:t>
      </w:r>
      <w:r w:rsidR="0001007B" w:rsidRPr="0001007B">
        <w:t>13419−13433</w:t>
      </w:r>
      <w:r w:rsidR="0001007B">
        <w:t>.</w:t>
      </w:r>
    </w:p>
    <w:sectPr w:rsidR="00E50436" w:rsidSect="00517AE2">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D5C31" w14:textId="77777777" w:rsidR="00517AE2" w:rsidRDefault="00517AE2" w:rsidP="004F5E36">
      <w:r>
        <w:separator/>
      </w:r>
    </w:p>
  </w:endnote>
  <w:endnote w:type="continuationSeparator" w:id="0">
    <w:p w14:paraId="641D1221" w14:textId="77777777" w:rsidR="00517AE2" w:rsidRDefault="00517AE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68F87" w14:textId="77777777" w:rsidR="00517AE2" w:rsidRDefault="00517AE2" w:rsidP="004F5E36">
      <w:r>
        <w:separator/>
      </w:r>
    </w:p>
  </w:footnote>
  <w:footnote w:type="continuationSeparator" w:id="0">
    <w:p w14:paraId="4FBFC68F" w14:textId="77777777" w:rsidR="00517AE2" w:rsidRDefault="00517AE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737444"/>
    <w:multiLevelType w:val="hybridMultilevel"/>
    <w:tmpl w:val="511609AA"/>
    <w:lvl w:ilvl="0" w:tplc="BFA80B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6030116">
    <w:abstractNumId w:val="10"/>
  </w:num>
  <w:num w:numId="2" w16cid:durableId="514150152">
    <w:abstractNumId w:val="8"/>
  </w:num>
  <w:num w:numId="3" w16cid:durableId="1140076701">
    <w:abstractNumId w:val="3"/>
  </w:num>
  <w:num w:numId="4" w16cid:durableId="1616711573">
    <w:abstractNumId w:val="2"/>
  </w:num>
  <w:num w:numId="5" w16cid:durableId="138768780">
    <w:abstractNumId w:val="1"/>
  </w:num>
  <w:num w:numId="6" w16cid:durableId="2024285629">
    <w:abstractNumId w:val="0"/>
  </w:num>
  <w:num w:numId="7" w16cid:durableId="1504203501">
    <w:abstractNumId w:val="9"/>
  </w:num>
  <w:num w:numId="8" w16cid:durableId="1694384032">
    <w:abstractNumId w:val="7"/>
  </w:num>
  <w:num w:numId="9" w16cid:durableId="1685789466">
    <w:abstractNumId w:val="6"/>
  </w:num>
  <w:num w:numId="10" w16cid:durableId="2117216695">
    <w:abstractNumId w:val="5"/>
  </w:num>
  <w:num w:numId="11" w16cid:durableId="904680012">
    <w:abstractNumId w:val="4"/>
  </w:num>
  <w:num w:numId="12" w16cid:durableId="886642237">
    <w:abstractNumId w:val="18"/>
  </w:num>
  <w:num w:numId="13" w16cid:durableId="94983085">
    <w:abstractNumId w:val="13"/>
  </w:num>
  <w:num w:numId="14" w16cid:durableId="1233662375">
    <w:abstractNumId w:val="19"/>
  </w:num>
  <w:num w:numId="15" w16cid:durableId="1947805452">
    <w:abstractNumId w:val="21"/>
  </w:num>
  <w:num w:numId="16" w16cid:durableId="1558592787">
    <w:abstractNumId w:val="20"/>
  </w:num>
  <w:num w:numId="17" w16cid:durableId="1114398526">
    <w:abstractNumId w:val="11"/>
  </w:num>
  <w:num w:numId="18" w16cid:durableId="776950554">
    <w:abstractNumId w:val="13"/>
    <w:lvlOverride w:ilvl="0">
      <w:startOverride w:val="1"/>
    </w:lvlOverride>
  </w:num>
  <w:num w:numId="19" w16cid:durableId="1634363590">
    <w:abstractNumId w:val="17"/>
  </w:num>
  <w:num w:numId="20" w16cid:durableId="1119178224">
    <w:abstractNumId w:val="16"/>
  </w:num>
  <w:num w:numId="21" w16cid:durableId="179665869">
    <w:abstractNumId w:val="15"/>
  </w:num>
  <w:num w:numId="22" w16cid:durableId="452675343">
    <w:abstractNumId w:val="14"/>
  </w:num>
  <w:num w:numId="23" w16cid:durableId="14335550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07B"/>
    <w:rsid w:val="000117CB"/>
    <w:rsid w:val="0003148D"/>
    <w:rsid w:val="00031EEC"/>
    <w:rsid w:val="00051566"/>
    <w:rsid w:val="00062A9A"/>
    <w:rsid w:val="00065058"/>
    <w:rsid w:val="00086C39"/>
    <w:rsid w:val="000A03B2"/>
    <w:rsid w:val="000D0268"/>
    <w:rsid w:val="000D34BE"/>
    <w:rsid w:val="000E0584"/>
    <w:rsid w:val="000E102F"/>
    <w:rsid w:val="000E36F1"/>
    <w:rsid w:val="000E3A73"/>
    <w:rsid w:val="000E414A"/>
    <w:rsid w:val="000F093C"/>
    <w:rsid w:val="000F787B"/>
    <w:rsid w:val="00102DA6"/>
    <w:rsid w:val="00104055"/>
    <w:rsid w:val="00106B28"/>
    <w:rsid w:val="001205B9"/>
    <w:rsid w:val="0012091F"/>
    <w:rsid w:val="00126BC2"/>
    <w:rsid w:val="001308B6"/>
    <w:rsid w:val="0013121F"/>
    <w:rsid w:val="00131FE6"/>
    <w:rsid w:val="0013263F"/>
    <w:rsid w:val="001331DF"/>
    <w:rsid w:val="00134DE4"/>
    <w:rsid w:val="0014034D"/>
    <w:rsid w:val="00144D16"/>
    <w:rsid w:val="00150E59"/>
    <w:rsid w:val="00152DE3"/>
    <w:rsid w:val="00157FA9"/>
    <w:rsid w:val="00164CF9"/>
    <w:rsid w:val="001667A6"/>
    <w:rsid w:val="00177DA9"/>
    <w:rsid w:val="00184AD6"/>
    <w:rsid w:val="001937D1"/>
    <w:rsid w:val="001A488B"/>
    <w:rsid w:val="001A4AF7"/>
    <w:rsid w:val="001B0349"/>
    <w:rsid w:val="001B1E93"/>
    <w:rsid w:val="001B48A2"/>
    <w:rsid w:val="001B65C1"/>
    <w:rsid w:val="001C684B"/>
    <w:rsid w:val="001D0CFB"/>
    <w:rsid w:val="001D53FC"/>
    <w:rsid w:val="001F42A5"/>
    <w:rsid w:val="001F7B9D"/>
    <w:rsid w:val="00201C93"/>
    <w:rsid w:val="00206D47"/>
    <w:rsid w:val="002224B4"/>
    <w:rsid w:val="0022485D"/>
    <w:rsid w:val="002447EF"/>
    <w:rsid w:val="00251550"/>
    <w:rsid w:val="00263B05"/>
    <w:rsid w:val="0027221A"/>
    <w:rsid w:val="00275B61"/>
    <w:rsid w:val="00280FAF"/>
    <w:rsid w:val="0028144D"/>
    <w:rsid w:val="00281B34"/>
    <w:rsid w:val="00282656"/>
    <w:rsid w:val="00293C41"/>
    <w:rsid w:val="00295AB2"/>
    <w:rsid w:val="00296B83"/>
    <w:rsid w:val="002B036A"/>
    <w:rsid w:val="002B4015"/>
    <w:rsid w:val="002B78CE"/>
    <w:rsid w:val="002C0430"/>
    <w:rsid w:val="002C2FB6"/>
    <w:rsid w:val="002D7C61"/>
    <w:rsid w:val="002E14E6"/>
    <w:rsid w:val="002E2ACB"/>
    <w:rsid w:val="002E5FA7"/>
    <w:rsid w:val="002E719C"/>
    <w:rsid w:val="002F3309"/>
    <w:rsid w:val="003008CE"/>
    <w:rsid w:val="003009B7"/>
    <w:rsid w:val="00300E56"/>
    <w:rsid w:val="0030469C"/>
    <w:rsid w:val="00305543"/>
    <w:rsid w:val="00321CA6"/>
    <w:rsid w:val="00323763"/>
    <w:rsid w:val="00325294"/>
    <w:rsid w:val="0032653A"/>
    <w:rsid w:val="00334C09"/>
    <w:rsid w:val="00342596"/>
    <w:rsid w:val="003436CB"/>
    <w:rsid w:val="003661E1"/>
    <w:rsid w:val="003723D4"/>
    <w:rsid w:val="00381905"/>
    <w:rsid w:val="00383FF2"/>
    <w:rsid w:val="00384CC8"/>
    <w:rsid w:val="00386310"/>
    <w:rsid w:val="003871FD"/>
    <w:rsid w:val="00397BA9"/>
    <w:rsid w:val="003A1E30"/>
    <w:rsid w:val="003A2829"/>
    <w:rsid w:val="003A7D1C"/>
    <w:rsid w:val="003B304B"/>
    <w:rsid w:val="003B3146"/>
    <w:rsid w:val="003B52D5"/>
    <w:rsid w:val="003B59D1"/>
    <w:rsid w:val="003C1C36"/>
    <w:rsid w:val="003C2117"/>
    <w:rsid w:val="003C26F8"/>
    <w:rsid w:val="003F015E"/>
    <w:rsid w:val="003F473F"/>
    <w:rsid w:val="00400414"/>
    <w:rsid w:val="0041446B"/>
    <w:rsid w:val="004367CC"/>
    <w:rsid w:val="0044329C"/>
    <w:rsid w:val="00453E24"/>
    <w:rsid w:val="00456946"/>
    <w:rsid w:val="00457456"/>
    <w:rsid w:val="004577FE"/>
    <w:rsid w:val="00457B9C"/>
    <w:rsid w:val="0046164A"/>
    <w:rsid w:val="004628D2"/>
    <w:rsid w:val="00462DCD"/>
    <w:rsid w:val="00464172"/>
    <w:rsid w:val="004648AD"/>
    <w:rsid w:val="004703A9"/>
    <w:rsid w:val="004760DE"/>
    <w:rsid w:val="004763D7"/>
    <w:rsid w:val="004941DF"/>
    <w:rsid w:val="00495383"/>
    <w:rsid w:val="004A004E"/>
    <w:rsid w:val="004A24CF"/>
    <w:rsid w:val="004B2B2B"/>
    <w:rsid w:val="004B60FD"/>
    <w:rsid w:val="004C3D1D"/>
    <w:rsid w:val="004C7913"/>
    <w:rsid w:val="004D0978"/>
    <w:rsid w:val="004E40EC"/>
    <w:rsid w:val="004E4DD6"/>
    <w:rsid w:val="004E7D3A"/>
    <w:rsid w:val="004F22BD"/>
    <w:rsid w:val="004F4066"/>
    <w:rsid w:val="004F5E36"/>
    <w:rsid w:val="004F6845"/>
    <w:rsid w:val="00501957"/>
    <w:rsid w:val="00507B47"/>
    <w:rsid w:val="00507BEF"/>
    <w:rsid w:val="00507BF7"/>
    <w:rsid w:val="00507CC9"/>
    <w:rsid w:val="005106AE"/>
    <w:rsid w:val="005111B6"/>
    <w:rsid w:val="005119A5"/>
    <w:rsid w:val="00517AE2"/>
    <w:rsid w:val="0052131F"/>
    <w:rsid w:val="00523959"/>
    <w:rsid w:val="0052674C"/>
    <w:rsid w:val="005278B7"/>
    <w:rsid w:val="00532016"/>
    <w:rsid w:val="005340CD"/>
    <w:rsid w:val="005346C8"/>
    <w:rsid w:val="00534848"/>
    <w:rsid w:val="00543E7D"/>
    <w:rsid w:val="00547A68"/>
    <w:rsid w:val="005531C9"/>
    <w:rsid w:val="00554217"/>
    <w:rsid w:val="005604BE"/>
    <w:rsid w:val="00570C43"/>
    <w:rsid w:val="00571F0B"/>
    <w:rsid w:val="00593BF0"/>
    <w:rsid w:val="005A41FB"/>
    <w:rsid w:val="005B2110"/>
    <w:rsid w:val="005B61E6"/>
    <w:rsid w:val="005C77E1"/>
    <w:rsid w:val="005D668A"/>
    <w:rsid w:val="005D6A2F"/>
    <w:rsid w:val="005E13CA"/>
    <w:rsid w:val="005E1A82"/>
    <w:rsid w:val="005E794C"/>
    <w:rsid w:val="005F0A28"/>
    <w:rsid w:val="005F0E5E"/>
    <w:rsid w:val="005F4661"/>
    <w:rsid w:val="00600535"/>
    <w:rsid w:val="00603B46"/>
    <w:rsid w:val="00610CD6"/>
    <w:rsid w:val="00620DEE"/>
    <w:rsid w:val="00621F92"/>
    <w:rsid w:val="0062280A"/>
    <w:rsid w:val="00625639"/>
    <w:rsid w:val="00631B33"/>
    <w:rsid w:val="0063254D"/>
    <w:rsid w:val="0064184D"/>
    <w:rsid w:val="006422CC"/>
    <w:rsid w:val="006466A2"/>
    <w:rsid w:val="00660622"/>
    <w:rsid w:val="00660E3E"/>
    <w:rsid w:val="00662C22"/>
    <w:rsid w:val="00662E74"/>
    <w:rsid w:val="00665323"/>
    <w:rsid w:val="00680C23"/>
    <w:rsid w:val="00683230"/>
    <w:rsid w:val="00693766"/>
    <w:rsid w:val="006A103F"/>
    <w:rsid w:val="006A3281"/>
    <w:rsid w:val="006B4888"/>
    <w:rsid w:val="006C2E45"/>
    <w:rsid w:val="006C359C"/>
    <w:rsid w:val="006C3E81"/>
    <w:rsid w:val="006C5579"/>
    <w:rsid w:val="006D6E8B"/>
    <w:rsid w:val="006E4779"/>
    <w:rsid w:val="006E737D"/>
    <w:rsid w:val="006F6E09"/>
    <w:rsid w:val="0070389E"/>
    <w:rsid w:val="00713973"/>
    <w:rsid w:val="00715C42"/>
    <w:rsid w:val="00720A24"/>
    <w:rsid w:val="007241B1"/>
    <w:rsid w:val="00732386"/>
    <w:rsid w:val="00733AA4"/>
    <w:rsid w:val="0073514D"/>
    <w:rsid w:val="00736C2F"/>
    <w:rsid w:val="00736CA9"/>
    <w:rsid w:val="00742B02"/>
    <w:rsid w:val="007447F3"/>
    <w:rsid w:val="00750730"/>
    <w:rsid w:val="0075499F"/>
    <w:rsid w:val="007661C8"/>
    <w:rsid w:val="0077098D"/>
    <w:rsid w:val="00790E40"/>
    <w:rsid w:val="007931FA"/>
    <w:rsid w:val="007A4861"/>
    <w:rsid w:val="007A7BBA"/>
    <w:rsid w:val="007B0C50"/>
    <w:rsid w:val="007B3FC9"/>
    <w:rsid w:val="007B48F9"/>
    <w:rsid w:val="007B79B0"/>
    <w:rsid w:val="007C1A43"/>
    <w:rsid w:val="007D0C31"/>
    <w:rsid w:val="007D0EA5"/>
    <w:rsid w:val="0080013E"/>
    <w:rsid w:val="008003C5"/>
    <w:rsid w:val="008131B8"/>
    <w:rsid w:val="00813288"/>
    <w:rsid w:val="008168FC"/>
    <w:rsid w:val="00823F12"/>
    <w:rsid w:val="00825DD9"/>
    <w:rsid w:val="00830996"/>
    <w:rsid w:val="00831AB5"/>
    <w:rsid w:val="00833198"/>
    <w:rsid w:val="008345F1"/>
    <w:rsid w:val="00843323"/>
    <w:rsid w:val="0085734A"/>
    <w:rsid w:val="00865498"/>
    <w:rsid w:val="00865B07"/>
    <w:rsid w:val="008667EA"/>
    <w:rsid w:val="0087637F"/>
    <w:rsid w:val="008775A0"/>
    <w:rsid w:val="00892AD5"/>
    <w:rsid w:val="008942FF"/>
    <w:rsid w:val="008A1512"/>
    <w:rsid w:val="008A2CC3"/>
    <w:rsid w:val="008C6FC0"/>
    <w:rsid w:val="008D32B9"/>
    <w:rsid w:val="008D433B"/>
    <w:rsid w:val="008E566E"/>
    <w:rsid w:val="008F5BDC"/>
    <w:rsid w:val="008F7FAF"/>
    <w:rsid w:val="0090161A"/>
    <w:rsid w:val="00901EB6"/>
    <w:rsid w:val="00903445"/>
    <w:rsid w:val="00904C62"/>
    <w:rsid w:val="0091265D"/>
    <w:rsid w:val="0091482F"/>
    <w:rsid w:val="00922BA8"/>
    <w:rsid w:val="00924DAC"/>
    <w:rsid w:val="00927058"/>
    <w:rsid w:val="00942750"/>
    <w:rsid w:val="009450CE"/>
    <w:rsid w:val="0094532A"/>
    <w:rsid w:val="00947179"/>
    <w:rsid w:val="0095164B"/>
    <w:rsid w:val="00952AF2"/>
    <w:rsid w:val="00954090"/>
    <w:rsid w:val="00955EC9"/>
    <w:rsid w:val="009573E7"/>
    <w:rsid w:val="00963E05"/>
    <w:rsid w:val="00967843"/>
    <w:rsid w:val="00967D54"/>
    <w:rsid w:val="00971028"/>
    <w:rsid w:val="009828F0"/>
    <w:rsid w:val="00993B84"/>
    <w:rsid w:val="00996483"/>
    <w:rsid w:val="00996F5A"/>
    <w:rsid w:val="009A2FCB"/>
    <w:rsid w:val="009B041A"/>
    <w:rsid w:val="009C37C3"/>
    <w:rsid w:val="009C7C86"/>
    <w:rsid w:val="009D2FF7"/>
    <w:rsid w:val="009E7884"/>
    <w:rsid w:val="009E788A"/>
    <w:rsid w:val="009F0E08"/>
    <w:rsid w:val="00A10165"/>
    <w:rsid w:val="00A13339"/>
    <w:rsid w:val="00A1763D"/>
    <w:rsid w:val="00A17CEC"/>
    <w:rsid w:val="00A27EF0"/>
    <w:rsid w:val="00A42361"/>
    <w:rsid w:val="00A47A12"/>
    <w:rsid w:val="00A50B20"/>
    <w:rsid w:val="00A51390"/>
    <w:rsid w:val="00A60D13"/>
    <w:rsid w:val="00A673F9"/>
    <w:rsid w:val="00A72745"/>
    <w:rsid w:val="00A75E24"/>
    <w:rsid w:val="00A76A9F"/>
    <w:rsid w:val="00A76EFC"/>
    <w:rsid w:val="00A91010"/>
    <w:rsid w:val="00A97F29"/>
    <w:rsid w:val="00AA702E"/>
    <w:rsid w:val="00AB0964"/>
    <w:rsid w:val="00AB3861"/>
    <w:rsid w:val="00AB5011"/>
    <w:rsid w:val="00AC0A79"/>
    <w:rsid w:val="00AC1B4E"/>
    <w:rsid w:val="00AC331D"/>
    <w:rsid w:val="00AC4B83"/>
    <w:rsid w:val="00AC7368"/>
    <w:rsid w:val="00AD16B9"/>
    <w:rsid w:val="00AE377D"/>
    <w:rsid w:val="00AF0EBA"/>
    <w:rsid w:val="00B02C8A"/>
    <w:rsid w:val="00B17CE7"/>
    <w:rsid w:val="00B17FBD"/>
    <w:rsid w:val="00B315A6"/>
    <w:rsid w:val="00B31813"/>
    <w:rsid w:val="00B33365"/>
    <w:rsid w:val="00B50DA3"/>
    <w:rsid w:val="00B56F39"/>
    <w:rsid w:val="00B57B36"/>
    <w:rsid w:val="00B57E6F"/>
    <w:rsid w:val="00B74DC5"/>
    <w:rsid w:val="00B830B6"/>
    <w:rsid w:val="00B8686D"/>
    <w:rsid w:val="00B93F69"/>
    <w:rsid w:val="00BB0911"/>
    <w:rsid w:val="00BB1DDC"/>
    <w:rsid w:val="00BC30C9"/>
    <w:rsid w:val="00BD077D"/>
    <w:rsid w:val="00BE3E58"/>
    <w:rsid w:val="00BE6FF5"/>
    <w:rsid w:val="00BF7E58"/>
    <w:rsid w:val="00C01616"/>
    <w:rsid w:val="00C0162B"/>
    <w:rsid w:val="00C02A13"/>
    <w:rsid w:val="00C05408"/>
    <w:rsid w:val="00C068ED"/>
    <w:rsid w:val="00C174B4"/>
    <w:rsid w:val="00C22E0C"/>
    <w:rsid w:val="00C345B1"/>
    <w:rsid w:val="00C40142"/>
    <w:rsid w:val="00C52C3C"/>
    <w:rsid w:val="00C57182"/>
    <w:rsid w:val="00C57863"/>
    <w:rsid w:val="00C655FD"/>
    <w:rsid w:val="00C75407"/>
    <w:rsid w:val="00C86ADC"/>
    <w:rsid w:val="00C870A8"/>
    <w:rsid w:val="00C94434"/>
    <w:rsid w:val="00C9588D"/>
    <w:rsid w:val="00C963CE"/>
    <w:rsid w:val="00CA0691"/>
    <w:rsid w:val="00CA0D75"/>
    <w:rsid w:val="00CA1884"/>
    <w:rsid w:val="00CA1C95"/>
    <w:rsid w:val="00CA5A9C"/>
    <w:rsid w:val="00CC2B03"/>
    <w:rsid w:val="00CC4C20"/>
    <w:rsid w:val="00CD0987"/>
    <w:rsid w:val="00CD3517"/>
    <w:rsid w:val="00CD5FE2"/>
    <w:rsid w:val="00CE4582"/>
    <w:rsid w:val="00CE7C68"/>
    <w:rsid w:val="00D02B4C"/>
    <w:rsid w:val="00D040C4"/>
    <w:rsid w:val="00D443F5"/>
    <w:rsid w:val="00D46B7E"/>
    <w:rsid w:val="00D57C84"/>
    <w:rsid w:val="00D6057D"/>
    <w:rsid w:val="00D6248A"/>
    <w:rsid w:val="00D836C5"/>
    <w:rsid w:val="00D84576"/>
    <w:rsid w:val="00D87E7A"/>
    <w:rsid w:val="00D94950"/>
    <w:rsid w:val="00DA1399"/>
    <w:rsid w:val="00DA24C6"/>
    <w:rsid w:val="00DA4D7B"/>
    <w:rsid w:val="00DB5F45"/>
    <w:rsid w:val="00DC53C2"/>
    <w:rsid w:val="00DE264A"/>
    <w:rsid w:val="00DE57D6"/>
    <w:rsid w:val="00DF2EB4"/>
    <w:rsid w:val="00DF5072"/>
    <w:rsid w:val="00E02D18"/>
    <w:rsid w:val="00E041E7"/>
    <w:rsid w:val="00E044A9"/>
    <w:rsid w:val="00E04C30"/>
    <w:rsid w:val="00E0697A"/>
    <w:rsid w:val="00E16763"/>
    <w:rsid w:val="00E23CA1"/>
    <w:rsid w:val="00E409A8"/>
    <w:rsid w:val="00E50436"/>
    <w:rsid w:val="00E50C12"/>
    <w:rsid w:val="00E57788"/>
    <w:rsid w:val="00E6561A"/>
    <w:rsid w:val="00E65B91"/>
    <w:rsid w:val="00E7209D"/>
    <w:rsid w:val="00E72EAD"/>
    <w:rsid w:val="00E77223"/>
    <w:rsid w:val="00E82B06"/>
    <w:rsid w:val="00E8528B"/>
    <w:rsid w:val="00E85B94"/>
    <w:rsid w:val="00E86056"/>
    <w:rsid w:val="00E93AD4"/>
    <w:rsid w:val="00E94902"/>
    <w:rsid w:val="00E978D0"/>
    <w:rsid w:val="00EA4613"/>
    <w:rsid w:val="00EA7F91"/>
    <w:rsid w:val="00EB1523"/>
    <w:rsid w:val="00EB28E6"/>
    <w:rsid w:val="00EB3763"/>
    <w:rsid w:val="00EC0E49"/>
    <w:rsid w:val="00EC101F"/>
    <w:rsid w:val="00EC1D9F"/>
    <w:rsid w:val="00ED4175"/>
    <w:rsid w:val="00ED5BA0"/>
    <w:rsid w:val="00EE0131"/>
    <w:rsid w:val="00EE17B0"/>
    <w:rsid w:val="00EE1AAD"/>
    <w:rsid w:val="00EE60B3"/>
    <w:rsid w:val="00EF06D9"/>
    <w:rsid w:val="00F227DC"/>
    <w:rsid w:val="00F30926"/>
    <w:rsid w:val="00F30C64"/>
    <w:rsid w:val="00F32BA2"/>
    <w:rsid w:val="00F32CDB"/>
    <w:rsid w:val="00F36A43"/>
    <w:rsid w:val="00F565FE"/>
    <w:rsid w:val="00F63A70"/>
    <w:rsid w:val="00F66E24"/>
    <w:rsid w:val="00F7534E"/>
    <w:rsid w:val="00F80A9C"/>
    <w:rsid w:val="00F83759"/>
    <w:rsid w:val="00F83B4D"/>
    <w:rsid w:val="00F84AD5"/>
    <w:rsid w:val="00F92519"/>
    <w:rsid w:val="00FA21D0"/>
    <w:rsid w:val="00FA5F5F"/>
    <w:rsid w:val="00FB0B67"/>
    <w:rsid w:val="00FB730C"/>
    <w:rsid w:val="00FC2695"/>
    <w:rsid w:val="00FC3E03"/>
    <w:rsid w:val="00FC3FC1"/>
    <w:rsid w:val="00FC4C43"/>
    <w:rsid w:val="00FF2F7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B3F048E5-2D3A-485E-9B46-9A957D02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C15E-310F-47E3-9E4E-5ADAF3A7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3549</Words>
  <Characters>20232</Characters>
  <Application>Microsoft Office Word</Application>
  <DocSecurity>0</DocSecurity>
  <Lines>168</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Bruno Fabiano</cp:lastModifiedBy>
  <cp:revision>4</cp:revision>
  <cp:lastPrinted>2015-05-12T18:31:00Z</cp:lastPrinted>
  <dcterms:created xsi:type="dcterms:W3CDTF">2024-04-30T00:46:00Z</dcterms:created>
  <dcterms:modified xsi:type="dcterms:W3CDTF">2024-04-30T08:28:00Z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