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8BD1662"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825DD9">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825DD9">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825DD9" w:rsidRDefault="00300E56" w:rsidP="00B57E6F">
            <w:pPr>
              <w:ind w:left="-107"/>
              <w:outlineLvl w:val="2"/>
              <w:rPr>
                <w:rFonts w:ascii="Tahoma" w:hAnsi="Tahoma" w:cs="Tahoma"/>
                <w:bCs/>
                <w:color w:val="000000"/>
                <w:sz w:val="14"/>
                <w:szCs w:val="14"/>
                <w:lang w:val="it-IT" w:eastAsia="it-IT"/>
              </w:rPr>
            </w:pPr>
            <w:r w:rsidRPr="00825DD9">
              <w:rPr>
                <w:rFonts w:ascii="Tahoma" w:hAnsi="Tahoma" w:cs="Tahoma"/>
                <w:iCs/>
                <w:color w:val="333333"/>
                <w:sz w:val="14"/>
                <w:szCs w:val="14"/>
                <w:lang w:val="it-IT" w:eastAsia="it-IT"/>
              </w:rPr>
              <w:t>Guest Editors:</w:t>
            </w:r>
            <w:r w:rsidR="00904C62" w:rsidRPr="00825DD9">
              <w:rPr>
                <w:rFonts w:ascii="Tahoma" w:hAnsi="Tahoma" w:cs="Tahoma"/>
                <w:iCs/>
                <w:color w:val="333333"/>
                <w:sz w:val="14"/>
                <w:szCs w:val="14"/>
                <w:lang w:val="it-IT" w:eastAsia="it-IT"/>
              </w:rPr>
              <w:t xml:space="preserve"> </w:t>
            </w:r>
            <w:r w:rsidR="00B57E6F" w:rsidRPr="00825DD9">
              <w:rPr>
                <w:rFonts w:ascii="Tahoma" w:hAnsi="Tahoma" w:cs="Tahoma"/>
                <w:color w:val="000000"/>
                <w:sz w:val="14"/>
                <w:szCs w:val="14"/>
                <w:shd w:val="clear" w:color="auto" w:fill="FFFFFF"/>
                <w:lang w:val="it-IT"/>
              </w:rPr>
              <w:t xml:space="preserve">Valerio Cozzani, </w:t>
            </w:r>
            <w:r w:rsidR="001331DF" w:rsidRPr="00825DD9">
              <w:rPr>
                <w:rFonts w:ascii="Tahoma" w:hAnsi="Tahoma" w:cs="Tahoma"/>
                <w:color w:val="000000"/>
                <w:sz w:val="14"/>
                <w:szCs w:val="14"/>
                <w:shd w:val="clear" w:color="auto" w:fill="FFFFFF"/>
                <w:lang w:val="it-IT"/>
              </w:rPr>
              <w:t>Bruno Fabiano</w:t>
            </w:r>
            <w:r w:rsidR="00B57E6F" w:rsidRPr="00825DD9">
              <w:rPr>
                <w:rFonts w:ascii="Tahoma" w:hAnsi="Tahoma" w:cs="Tahoma"/>
                <w:color w:val="000000"/>
                <w:sz w:val="14"/>
                <w:szCs w:val="14"/>
                <w:shd w:val="clear" w:color="auto" w:fill="FFFFFF"/>
                <w:lang w:val="it-IT"/>
              </w:rPr>
              <w:t xml:space="preserve">, </w:t>
            </w:r>
            <w:proofErr w:type="spellStart"/>
            <w:r w:rsidR="00B57E6F" w:rsidRPr="00825DD9">
              <w:rPr>
                <w:rFonts w:ascii="Tahoma" w:hAnsi="Tahoma" w:cs="Tahoma"/>
                <w:bCs/>
                <w:color w:val="000000"/>
                <w:sz w:val="14"/>
                <w:szCs w:val="14"/>
                <w:lang w:val="it-IT" w:eastAsia="it-IT"/>
              </w:rPr>
              <w:t>Genserik</w:t>
            </w:r>
            <w:proofErr w:type="spellEnd"/>
            <w:r w:rsidR="00B57E6F" w:rsidRPr="00825DD9">
              <w:rPr>
                <w:rFonts w:ascii="Tahoma" w:hAnsi="Tahoma" w:cs="Tahoma"/>
                <w:bCs/>
                <w:color w:val="000000"/>
                <w:sz w:val="14"/>
                <w:szCs w:val="14"/>
                <w:lang w:val="it-IT" w:eastAsia="it-IT"/>
              </w:rPr>
              <w:t xml:space="preserve"> </w:t>
            </w:r>
            <w:proofErr w:type="spellStart"/>
            <w:r w:rsidR="00B57E6F" w:rsidRPr="00825DD9">
              <w:rPr>
                <w:rFonts w:ascii="Tahoma" w:hAnsi="Tahoma" w:cs="Tahoma"/>
                <w:bCs/>
                <w:color w:val="000000"/>
                <w:sz w:val="14"/>
                <w:szCs w:val="14"/>
                <w:lang w:val="it-IT" w:eastAsia="it-IT"/>
              </w:rPr>
              <w:t>Reniers</w:t>
            </w:r>
            <w:proofErr w:type="spellEnd"/>
          </w:p>
          <w:p w14:paraId="1B0F1814" w14:textId="7E8B8C7E"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825DD9">
              <w:rPr>
                <w:rFonts w:ascii="Tahoma" w:hAnsi="Tahoma" w:cs="Tahoma"/>
                <w:iCs/>
                <w:color w:val="333333"/>
                <w:sz w:val="14"/>
                <w:szCs w:val="14"/>
                <w:lang w:eastAsia="it-IT"/>
              </w:rPr>
              <w:t>4</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25DD9" w:rsidRPr="00825DD9">
              <w:rPr>
                <w:rFonts w:ascii="Tahoma" w:hAnsi="Tahoma" w:cs="Tahoma"/>
                <w:sz w:val="14"/>
                <w:szCs w:val="14"/>
                <w:lang w:eastAsia="it-IT"/>
              </w:rPr>
              <w:t>979-12-81206-11-3</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400832C" w14:textId="6720A01F" w:rsidR="006D68DE" w:rsidRDefault="006D68DE" w:rsidP="00B57E6F">
      <w:pPr>
        <w:pStyle w:val="CETAuthors"/>
        <w:rPr>
          <w:noProof w:val="0"/>
          <w:sz w:val="32"/>
        </w:rPr>
      </w:pPr>
      <w:r w:rsidRPr="006D68DE">
        <w:rPr>
          <w:noProof w:val="0"/>
          <w:sz w:val="32"/>
        </w:rPr>
        <w:t>The Product Restricted Substances List of ANFAO: an example of innovative document for the risk governance and safety management of eyewear</w:t>
      </w:r>
      <w:r w:rsidR="00AA7C75">
        <w:rPr>
          <w:noProof w:val="0"/>
          <w:sz w:val="32"/>
        </w:rPr>
        <w:t xml:space="preserve"> </w:t>
      </w:r>
    </w:p>
    <w:p w14:paraId="1DEB6F69" w14:textId="77777777" w:rsidR="006D68DE" w:rsidRPr="00C32C92" w:rsidRDefault="006D68DE" w:rsidP="006D68DE">
      <w:pPr>
        <w:pStyle w:val="CETAuthors"/>
      </w:pPr>
      <w:r w:rsidRPr="00C32C92">
        <w:t>Marco Calvi</w:t>
      </w:r>
      <w:r w:rsidRPr="00C32C92">
        <w:rPr>
          <w:vertAlign w:val="superscript"/>
        </w:rPr>
        <w:t>*</w:t>
      </w:r>
      <w:r w:rsidRPr="00C32C92">
        <w:t>, Giuseppe Da Cortà</w:t>
      </w:r>
    </w:p>
    <w:p w14:paraId="6C1DCBC2" w14:textId="77777777" w:rsidR="006D68DE" w:rsidRDefault="006D68DE" w:rsidP="006D68DE">
      <w:pPr>
        <w:pStyle w:val="CETAddress"/>
      </w:pPr>
      <w:r w:rsidRPr="002D53AC">
        <w:t>Certottica S.c.r.l. – Italian Institute of Certification of Optical Products, Villanova Industrial Area, 32013 Longarone, Italy</w:t>
      </w:r>
    </w:p>
    <w:p w14:paraId="4E1ECFA8" w14:textId="46306DFF" w:rsidR="006D68DE" w:rsidRPr="00B57B36" w:rsidRDefault="006D68DE" w:rsidP="006D68DE">
      <w:pPr>
        <w:pStyle w:val="CETAddress"/>
      </w:pPr>
      <w:r w:rsidRPr="00C32C92">
        <w:rPr>
          <w:vertAlign w:val="superscript"/>
        </w:rPr>
        <w:t>*</w:t>
      </w:r>
      <w:r>
        <w:rPr>
          <w:vertAlign w:val="superscript"/>
        </w:rPr>
        <w:t xml:space="preserve"> </w:t>
      </w:r>
      <w:r>
        <w:t>marco.calvi@certottica.it</w:t>
      </w:r>
    </w:p>
    <w:p w14:paraId="525C9E44" w14:textId="77777777" w:rsidR="006D68DE" w:rsidRDefault="006D68DE" w:rsidP="00600535">
      <w:pPr>
        <w:pStyle w:val="CETBodytext"/>
        <w:rPr>
          <w:lang w:val="en-GB"/>
        </w:rPr>
      </w:pPr>
    </w:p>
    <w:p w14:paraId="1FF6F2BE" w14:textId="77777777" w:rsidR="008A34C8" w:rsidRPr="00C32C92" w:rsidRDefault="008A34C8" w:rsidP="008A34C8">
      <w:pPr>
        <w:pStyle w:val="Default"/>
        <w:numPr>
          <w:ilvl w:val="0"/>
          <w:numId w:val="1"/>
        </w:numPr>
        <w:jc w:val="both"/>
        <w:rPr>
          <w:rFonts w:ascii="Arial" w:hAnsi="Arial" w:cs="Arial"/>
          <w:sz w:val="18"/>
          <w:szCs w:val="18"/>
          <w:lang w:val="en-GB"/>
        </w:rPr>
      </w:pPr>
      <w:r w:rsidRPr="00C32C92">
        <w:rPr>
          <w:rFonts w:ascii="Arial" w:hAnsi="Arial" w:cs="Arial"/>
          <w:sz w:val="18"/>
          <w:szCs w:val="18"/>
          <w:lang w:val="en-GB"/>
        </w:rPr>
        <w:t>On 30 December 2006, the REACH regulation was published in the Official Journal</w:t>
      </w:r>
      <w:r>
        <w:rPr>
          <w:rFonts w:ascii="Arial" w:hAnsi="Arial" w:cs="Arial"/>
          <w:sz w:val="18"/>
          <w:szCs w:val="18"/>
          <w:lang w:val="en-GB"/>
        </w:rPr>
        <w:t xml:space="preserve"> and i</w:t>
      </w:r>
      <w:r w:rsidRPr="00C32C92">
        <w:rPr>
          <w:rFonts w:ascii="Arial" w:hAnsi="Arial" w:cs="Arial"/>
          <w:sz w:val="18"/>
          <w:szCs w:val="18"/>
          <w:lang w:val="en-GB"/>
        </w:rPr>
        <w:t xml:space="preserve">t came immediately into force in the </w:t>
      </w:r>
      <w:r>
        <w:rPr>
          <w:rFonts w:ascii="Arial" w:hAnsi="Arial" w:cs="Arial"/>
          <w:sz w:val="18"/>
          <w:szCs w:val="18"/>
          <w:lang w:val="en-GB"/>
        </w:rPr>
        <w:t>EU</w:t>
      </w:r>
      <w:r w:rsidRPr="00C32C92">
        <w:rPr>
          <w:rFonts w:ascii="Arial" w:hAnsi="Arial" w:cs="Arial"/>
          <w:sz w:val="18"/>
          <w:szCs w:val="18"/>
          <w:lang w:val="en-GB"/>
        </w:rPr>
        <w:t xml:space="preserve"> member states plus Norway, Iceland and Liechtenstein, which adopt it</w:t>
      </w:r>
      <w:r>
        <w:rPr>
          <w:rFonts w:ascii="Arial" w:hAnsi="Arial" w:cs="Arial"/>
          <w:sz w:val="18"/>
          <w:szCs w:val="18"/>
          <w:lang w:val="en-GB"/>
        </w:rPr>
        <w:t xml:space="preserve">. </w:t>
      </w:r>
      <w:r w:rsidRPr="00C32C92">
        <w:rPr>
          <w:rFonts w:ascii="Arial" w:hAnsi="Arial" w:cs="Arial"/>
          <w:sz w:val="18"/>
          <w:szCs w:val="18"/>
          <w:lang w:val="en-GB"/>
        </w:rPr>
        <w:t>Compared to the past legislation on the subject, the novelty introduced is the reversal of the burden of proof, i.e. the industry will guarantee that its goods that produces and merchandises are not harmful</w:t>
      </w:r>
      <w:r>
        <w:rPr>
          <w:rFonts w:ascii="Arial" w:hAnsi="Arial" w:cs="Arial"/>
          <w:sz w:val="18"/>
          <w:szCs w:val="18"/>
          <w:lang w:val="en-GB"/>
        </w:rPr>
        <w:t xml:space="preserve"> for the environment and </w:t>
      </w:r>
      <w:r w:rsidRPr="00B74D35">
        <w:rPr>
          <w:rFonts w:ascii="Arial" w:hAnsi="Arial" w:cs="Arial"/>
          <w:i/>
          <w:iCs/>
          <w:sz w:val="18"/>
          <w:szCs w:val="18"/>
          <w:lang w:val="en-GB"/>
        </w:rPr>
        <w:t xml:space="preserve">human </w:t>
      </w:r>
      <w:r>
        <w:rPr>
          <w:rFonts w:ascii="Arial" w:hAnsi="Arial" w:cs="Arial"/>
          <w:sz w:val="18"/>
          <w:szCs w:val="18"/>
          <w:lang w:val="en-GB"/>
        </w:rPr>
        <w:t>health</w:t>
      </w:r>
      <w:r w:rsidRPr="00C32C92">
        <w:rPr>
          <w:rFonts w:ascii="Arial" w:hAnsi="Arial" w:cs="Arial"/>
          <w:sz w:val="18"/>
          <w:szCs w:val="18"/>
          <w:lang w:val="en-GB"/>
        </w:rPr>
        <w:t xml:space="preserve"> Manufacturers, importers and users are obliged to manufacture, use or place on the market substances that do not cause harm to health or environment, regulating the substance throughout its life cycle, and even in product</w:t>
      </w:r>
      <w:r>
        <w:rPr>
          <w:rFonts w:ascii="Arial" w:hAnsi="Arial" w:cs="Arial"/>
          <w:sz w:val="18"/>
          <w:szCs w:val="18"/>
          <w:lang w:val="en-GB"/>
        </w:rPr>
        <w:t>s in which they are present</w:t>
      </w:r>
      <w:r w:rsidRPr="00C32C92">
        <w:rPr>
          <w:rFonts w:ascii="Arial" w:hAnsi="Arial" w:cs="Arial"/>
          <w:sz w:val="18"/>
          <w:szCs w:val="18"/>
          <w:lang w:val="en-GB"/>
        </w:rPr>
        <w:t>. The regulation also establishes the European Chemistry Agency, whose mission is to secure the use and circulation of chemicals in Europe</w:t>
      </w:r>
      <w:r>
        <w:rPr>
          <w:rFonts w:ascii="Arial" w:hAnsi="Arial" w:cs="Arial"/>
          <w:sz w:val="18"/>
          <w:szCs w:val="18"/>
          <w:lang w:val="en-GB"/>
        </w:rPr>
        <w:t xml:space="preserve">. </w:t>
      </w:r>
      <w:r w:rsidRPr="00C32C92">
        <w:rPr>
          <w:rFonts w:ascii="Arial" w:hAnsi="Arial" w:cs="Arial"/>
          <w:sz w:val="18"/>
          <w:szCs w:val="18"/>
          <w:lang w:val="en-GB"/>
        </w:rPr>
        <w:t xml:space="preserve">This change in scenario has created serious troubles </w:t>
      </w:r>
      <w:r>
        <w:rPr>
          <w:rFonts w:ascii="Arial" w:hAnsi="Arial" w:cs="Arial"/>
          <w:sz w:val="18"/>
          <w:szCs w:val="18"/>
          <w:lang w:val="en-GB"/>
        </w:rPr>
        <w:t>in the</w:t>
      </w:r>
      <w:r w:rsidRPr="00C32C92">
        <w:rPr>
          <w:rFonts w:ascii="Arial" w:hAnsi="Arial" w:cs="Arial"/>
          <w:sz w:val="18"/>
          <w:szCs w:val="18"/>
          <w:lang w:val="en-GB"/>
        </w:rPr>
        <w:t xml:space="preserve"> conformity assigning to products. In order to deal with this situation and to support members in the chemical safety assessment process, the </w:t>
      </w:r>
      <w:proofErr w:type="spellStart"/>
      <w:r w:rsidRPr="00C32C92">
        <w:rPr>
          <w:rFonts w:ascii="Arial" w:hAnsi="Arial" w:cs="Arial"/>
          <w:i/>
          <w:iCs/>
          <w:sz w:val="18"/>
          <w:szCs w:val="18"/>
          <w:lang w:val="en-GB"/>
        </w:rPr>
        <w:t>Associazione</w:t>
      </w:r>
      <w:proofErr w:type="spellEnd"/>
      <w:r w:rsidRPr="00C32C92">
        <w:rPr>
          <w:rFonts w:ascii="Arial" w:hAnsi="Arial" w:cs="Arial"/>
          <w:i/>
          <w:iCs/>
          <w:sz w:val="18"/>
          <w:szCs w:val="18"/>
          <w:lang w:val="en-GB"/>
        </w:rPr>
        <w:t xml:space="preserve"> Nazionale </w:t>
      </w:r>
      <w:proofErr w:type="spellStart"/>
      <w:r w:rsidRPr="00C32C92">
        <w:rPr>
          <w:rFonts w:ascii="Arial" w:hAnsi="Arial" w:cs="Arial"/>
          <w:i/>
          <w:iCs/>
          <w:sz w:val="18"/>
          <w:szCs w:val="18"/>
          <w:lang w:val="en-GB"/>
        </w:rPr>
        <w:t>Fabbricanti</w:t>
      </w:r>
      <w:proofErr w:type="spellEnd"/>
      <w:r w:rsidRPr="00C32C92">
        <w:rPr>
          <w:rFonts w:ascii="Arial" w:hAnsi="Arial" w:cs="Arial"/>
          <w:i/>
          <w:iCs/>
          <w:sz w:val="18"/>
          <w:szCs w:val="18"/>
          <w:lang w:val="en-GB"/>
        </w:rPr>
        <w:t xml:space="preserve"> </w:t>
      </w:r>
      <w:proofErr w:type="spellStart"/>
      <w:r w:rsidRPr="00C32C92">
        <w:rPr>
          <w:rFonts w:ascii="Arial" w:hAnsi="Arial" w:cs="Arial"/>
          <w:i/>
          <w:iCs/>
          <w:sz w:val="18"/>
          <w:szCs w:val="18"/>
          <w:lang w:val="en-GB"/>
        </w:rPr>
        <w:t>Articoli</w:t>
      </w:r>
      <w:proofErr w:type="spellEnd"/>
      <w:r w:rsidRPr="00C32C92">
        <w:rPr>
          <w:rFonts w:ascii="Arial" w:hAnsi="Arial" w:cs="Arial"/>
          <w:i/>
          <w:iCs/>
          <w:sz w:val="18"/>
          <w:szCs w:val="18"/>
          <w:lang w:val="en-GB"/>
        </w:rPr>
        <w:t xml:space="preserve"> </w:t>
      </w:r>
      <w:proofErr w:type="spellStart"/>
      <w:r w:rsidRPr="00C32C92">
        <w:rPr>
          <w:rFonts w:ascii="Arial" w:hAnsi="Arial" w:cs="Arial"/>
          <w:i/>
          <w:iCs/>
          <w:sz w:val="18"/>
          <w:szCs w:val="18"/>
          <w:lang w:val="en-GB"/>
        </w:rPr>
        <w:t>Ottici</w:t>
      </w:r>
      <w:proofErr w:type="spellEnd"/>
      <w:r w:rsidRPr="00C32C92">
        <w:rPr>
          <w:rFonts w:ascii="Arial" w:hAnsi="Arial" w:cs="Arial"/>
          <w:sz w:val="18"/>
          <w:szCs w:val="18"/>
          <w:lang w:val="en-GB"/>
        </w:rPr>
        <w:t>*, through its Technical Committee, in 2010 prepared a list of materials used by glass</w:t>
      </w:r>
      <w:r>
        <w:rPr>
          <w:rFonts w:ascii="Arial" w:hAnsi="Arial" w:cs="Arial"/>
          <w:sz w:val="18"/>
          <w:szCs w:val="18"/>
          <w:lang w:val="en-GB"/>
        </w:rPr>
        <w:t xml:space="preserve">es, lenses and cases </w:t>
      </w:r>
      <w:r w:rsidRPr="00C32C92">
        <w:rPr>
          <w:rFonts w:ascii="Arial" w:hAnsi="Arial" w:cs="Arial"/>
          <w:sz w:val="18"/>
          <w:szCs w:val="18"/>
          <w:lang w:val="en-GB"/>
        </w:rPr>
        <w:t>manufacturers matching substances and their risk level.</w:t>
      </w:r>
      <w:r>
        <w:rPr>
          <w:rFonts w:ascii="Arial" w:hAnsi="Arial" w:cs="Arial"/>
          <w:sz w:val="18"/>
          <w:szCs w:val="18"/>
          <w:lang w:val="en-GB"/>
        </w:rPr>
        <w:t xml:space="preserve"> </w:t>
      </w:r>
      <w:r w:rsidRPr="00C32C92">
        <w:rPr>
          <w:rFonts w:ascii="Arial" w:hAnsi="Arial" w:cs="Arial"/>
          <w:sz w:val="18"/>
          <w:szCs w:val="18"/>
          <w:lang w:val="en-GB"/>
        </w:rPr>
        <w:t xml:space="preserve">Therefore an </w:t>
      </w:r>
      <w:r w:rsidRPr="00C32C92">
        <w:rPr>
          <w:rFonts w:ascii="Arial" w:hAnsi="Arial" w:cs="Arial"/>
          <w:i/>
          <w:iCs/>
          <w:sz w:val="18"/>
          <w:szCs w:val="18"/>
          <w:lang w:val="en-GB"/>
        </w:rPr>
        <w:t xml:space="preserve">ad hoc </w:t>
      </w:r>
      <w:r w:rsidRPr="00C32C92">
        <w:rPr>
          <w:rFonts w:ascii="Arial" w:hAnsi="Arial" w:cs="Arial"/>
          <w:sz w:val="18"/>
          <w:szCs w:val="18"/>
          <w:lang w:val="en-GB"/>
        </w:rPr>
        <w:t xml:space="preserve">Product Restricted Substance List has been </w:t>
      </w:r>
      <w:r>
        <w:rPr>
          <w:rFonts w:ascii="Arial" w:hAnsi="Arial" w:cs="Arial"/>
          <w:sz w:val="18"/>
          <w:szCs w:val="18"/>
          <w:lang w:val="en-GB"/>
        </w:rPr>
        <w:t>developed</w:t>
      </w:r>
      <w:r w:rsidRPr="00C32C92">
        <w:rPr>
          <w:rFonts w:ascii="Arial" w:hAnsi="Arial" w:cs="Arial"/>
          <w:sz w:val="18"/>
          <w:szCs w:val="18"/>
          <w:lang w:val="en-GB"/>
        </w:rPr>
        <w:t xml:space="preserve"> to define specific Market Limits with their related test methods, that take into account the main international regulation</w:t>
      </w:r>
      <w:r>
        <w:rPr>
          <w:rFonts w:ascii="Arial" w:hAnsi="Arial" w:cs="Arial"/>
          <w:sz w:val="18"/>
          <w:szCs w:val="18"/>
          <w:lang w:val="en-GB"/>
        </w:rPr>
        <w:t xml:space="preserve">s. The document has been divided into two documents, </w:t>
      </w:r>
      <w:r w:rsidRPr="00E631D0">
        <w:rPr>
          <w:rFonts w:ascii="Arial" w:hAnsi="Arial" w:cs="Arial"/>
          <w:sz w:val="18"/>
          <w:szCs w:val="18"/>
          <w:lang w:val="en-GB"/>
        </w:rPr>
        <w:t>one for spectacles and lenses</w:t>
      </w:r>
      <w:r>
        <w:rPr>
          <w:rFonts w:ascii="Arial" w:hAnsi="Arial" w:cs="Arial"/>
          <w:sz w:val="18"/>
          <w:szCs w:val="18"/>
          <w:lang w:val="en-GB"/>
        </w:rPr>
        <w:t>,</w:t>
      </w:r>
      <w:r w:rsidRPr="00E631D0">
        <w:rPr>
          <w:rFonts w:ascii="Arial" w:hAnsi="Arial" w:cs="Arial"/>
          <w:sz w:val="18"/>
          <w:szCs w:val="18"/>
          <w:lang w:val="en-GB"/>
        </w:rPr>
        <w:t xml:space="preserve"> and one for cases</w:t>
      </w:r>
      <w:r>
        <w:rPr>
          <w:rFonts w:ascii="Arial" w:hAnsi="Arial" w:cs="Arial"/>
          <w:sz w:val="18"/>
          <w:szCs w:val="18"/>
          <w:lang w:val="en-GB"/>
        </w:rPr>
        <w:t xml:space="preserve">. </w:t>
      </w:r>
    </w:p>
    <w:p w14:paraId="294BEAFF" w14:textId="77777777" w:rsidR="00880D18" w:rsidRDefault="00880D18" w:rsidP="00880D18">
      <w:pPr>
        <w:pStyle w:val="CETBodytext"/>
        <w:rPr>
          <w:sz w:val="16"/>
          <w:szCs w:val="16"/>
          <w:lang w:val="en-GB"/>
        </w:rPr>
      </w:pPr>
    </w:p>
    <w:p w14:paraId="0CF180C3" w14:textId="0CFB8C8E" w:rsidR="008A34C8" w:rsidRPr="00030A2B" w:rsidRDefault="008A34C8" w:rsidP="00880D18">
      <w:pPr>
        <w:pStyle w:val="CETBodytext"/>
        <w:rPr>
          <w:sz w:val="16"/>
          <w:szCs w:val="16"/>
          <w:lang w:val="en-GB"/>
        </w:rPr>
      </w:pPr>
      <w:r w:rsidRPr="00030A2B">
        <w:rPr>
          <w:sz w:val="16"/>
          <w:szCs w:val="16"/>
          <w:lang w:val="en-GB"/>
        </w:rPr>
        <w:t xml:space="preserve">* Italian National Association of Optical Goods Manufacturers </w:t>
      </w:r>
    </w:p>
    <w:p w14:paraId="476B2F2E" w14:textId="0E5FB4F1" w:rsidR="00600535" w:rsidRPr="00B57B36" w:rsidRDefault="00600535" w:rsidP="00600535">
      <w:pPr>
        <w:pStyle w:val="CETHeading1"/>
        <w:rPr>
          <w:lang w:val="en-GB"/>
        </w:rPr>
      </w:pPr>
      <w:r w:rsidRPr="00B57B36">
        <w:rPr>
          <w:lang w:val="en-GB"/>
        </w:rPr>
        <w:t>Introduction</w:t>
      </w:r>
      <w:r w:rsidR="00AA7C75">
        <w:rPr>
          <w:lang w:val="en-GB"/>
        </w:rPr>
        <w:t xml:space="preserve"> </w:t>
      </w:r>
    </w:p>
    <w:p w14:paraId="4B12B3EE" w14:textId="5A7AE121" w:rsidR="008A34C8" w:rsidRPr="00DF7F9A" w:rsidRDefault="008A34C8" w:rsidP="008A34C8">
      <w:pPr>
        <w:pStyle w:val="CETBodytext"/>
        <w:rPr>
          <w:lang w:val="en-GB"/>
        </w:rPr>
      </w:pPr>
      <w:r w:rsidRPr="008A34C8">
        <w:rPr>
          <w:lang w:val="en-GB"/>
        </w:rPr>
        <w:t xml:space="preserve">Chemicals are essential for our daily life and our economy, but they have to be managed safely in order to </w:t>
      </w:r>
      <w:r w:rsidRPr="00DF7F9A">
        <w:rPr>
          <w:lang w:val="en-GB"/>
        </w:rPr>
        <w:t>protect human health and the environment. For this reason and with the aim to monitor their circulation within the entire European Economic Area (EEA), which includes European member states, plus Iceland, Liechtenstein and Norway (Eurostat), on 30 December 2006, the REACH regulation (Registration, Evaluation, Authorization, and Restriction of Chemicals</w:t>
      </w:r>
      <w:r w:rsidR="00A60E93" w:rsidRPr="00DF7F9A">
        <w:rPr>
          <w:lang w:val="en-GB"/>
        </w:rPr>
        <w:t>, EC No 1907/2006</w:t>
      </w:r>
      <w:r w:rsidRPr="00DF7F9A">
        <w:rPr>
          <w:lang w:val="en-GB"/>
        </w:rPr>
        <w:t>) (</w:t>
      </w:r>
      <w:proofErr w:type="spellStart"/>
      <w:r w:rsidR="00BC55C6" w:rsidRPr="00DF7F9A">
        <w:rPr>
          <w:lang w:val="en-GB"/>
        </w:rPr>
        <w:t>Schwirn</w:t>
      </w:r>
      <w:proofErr w:type="spellEnd"/>
      <w:r w:rsidR="00BC55C6" w:rsidRPr="00DF7F9A">
        <w:rPr>
          <w:lang w:val="en-GB"/>
        </w:rPr>
        <w:t xml:space="preserve"> et al, 2020; Bergkamp, 2013</w:t>
      </w:r>
      <w:r w:rsidRPr="00DF7F9A">
        <w:rPr>
          <w:lang w:val="en-GB"/>
        </w:rPr>
        <w:t>) was published in the Official Journal. Since it is a Regulation, it came immediately into force in the EEA members, becoming a standard for companies regardless of their position in the supply chain and the products they manufacture, import, export, supply or use.</w:t>
      </w:r>
    </w:p>
    <w:p w14:paraId="481C2EE4" w14:textId="70B166BC" w:rsidR="008A34C8" w:rsidRPr="00DF7F9A" w:rsidRDefault="008A34C8" w:rsidP="008A34C8">
      <w:pPr>
        <w:pStyle w:val="CETBodytext"/>
        <w:rPr>
          <w:lang w:val="en-GB"/>
        </w:rPr>
      </w:pPr>
      <w:r w:rsidRPr="00DF7F9A">
        <w:rPr>
          <w:lang w:val="en-GB"/>
        </w:rPr>
        <w:t xml:space="preserve">Compared to the past legislation on the subject, the novelty introduced by REACH is the reversal of the burden of proof, i.e. the industry will guarantee that its goods that produces and merchandises are not harmful. Manufacturers, importers and users are obliged to manufacture, use or place on the market substances that do not cause harm to human health or environment, regulating the substance throughout its life cycle, and even in the final </w:t>
      </w:r>
      <w:r w:rsidR="00AA7C75" w:rsidRPr="00DF7F9A">
        <w:rPr>
          <w:lang w:val="en-GB"/>
        </w:rPr>
        <w:t>product. The</w:t>
      </w:r>
      <w:r w:rsidRPr="00DF7F9A">
        <w:rPr>
          <w:lang w:val="en-GB"/>
        </w:rPr>
        <w:t xml:space="preserve"> regulation also establishes the European Chemistry Agency (ECHA)</w:t>
      </w:r>
      <w:r w:rsidR="00A60E93" w:rsidRPr="00DF7F9A">
        <w:rPr>
          <w:lang w:val="en-GB"/>
        </w:rPr>
        <w:t xml:space="preserve"> (Bertolin, 2023)</w:t>
      </w:r>
      <w:r w:rsidRPr="00DF7F9A">
        <w:rPr>
          <w:lang w:val="en-GB"/>
        </w:rPr>
        <w:t xml:space="preserve">, whose mission is to secure the use and circulation of chemicals in European countries by promoting a safe and sustainable use of chemicals in order to protect and improve the quality of human life and environment. According to REACH, manufacturers, importers and downstream users must: be familiar with chemicals used in the various parts of the assembled article; verify the obligations of the substances contained in the article; be compliant with any requested restrictions or authorisations. The registration process is required for all chemicals manufactured or imported into the European borders, and it is expected to be a collaborative process among companies, which will generate a dossier containing data on physicochemical characteristics, as well as </w:t>
      </w:r>
      <w:r w:rsidRPr="00DF7F9A">
        <w:rPr>
          <w:lang w:val="en-GB"/>
        </w:rPr>
        <w:lastRenderedPageBreak/>
        <w:t>toxicological and ecotoxicological properties (</w:t>
      </w:r>
      <w:r w:rsidR="003329DB" w:rsidRPr="00DF7F9A">
        <w:rPr>
          <w:lang w:val="en-GB"/>
        </w:rPr>
        <w:t xml:space="preserve">García-Fernández, 2020; </w:t>
      </w:r>
      <w:proofErr w:type="spellStart"/>
      <w:r w:rsidR="003329DB" w:rsidRPr="00DF7F9A">
        <w:rPr>
          <w:lang w:val="en-GB"/>
        </w:rPr>
        <w:t>Biedenkopf</w:t>
      </w:r>
      <w:proofErr w:type="spellEnd"/>
      <w:r w:rsidR="003329DB" w:rsidRPr="00DF7F9A">
        <w:rPr>
          <w:lang w:val="en-GB"/>
        </w:rPr>
        <w:t>, 2020</w:t>
      </w:r>
      <w:r w:rsidRPr="00DF7F9A">
        <w:rPr>
          <w:lang w:val="en-GB"/>
        </w:rPr>
        <w:t>). This change in scenario, combined with globalisation, has created serious troubles in terms of assigning conformity to products. REACH has impacted on companies across many sectors. In order to deal with this situation and to support members in the chemical safety assessment process, the Italian Association of Optical Goods Manufacturers (ANFAO) through its Technical Committee, in 2010 listed materials used by spectacles, lenses and cases manufacturers matching substances and their risk level.</w:t>
      </w:r>
    </w:p>
    <w:p w14:paraId="7C3FB32C" w14:textId="18E715ED" w:rsidR="008A34C8" w:rsidRDefault="008A34C8" w:rsidP="008A34C8">
      <w:pPr>
        <w:pStyle w:val="CETBodytext"/>
        <w:rPr>
          <w:lang w:val="en-GB"/>
        </w:rPr>
      </w:pPr>
      <w:r w:rsidRPr="00DF7F9A">
        <w:rPr>
          <w:lang w:val="en-GB"/>
        </w:rPr>
        <w:t>Eyewear is a very complex item, since it consists of several parts and materials assembled together</w:t>
      </w:r>
      <w:r w:rsidR="002A517A" w:rsidRPr="00DF7F9A">
        <w:rPr>
          <w:lang w:val="en-GB"/>
        </w:rPr>
        <w:t xml:space="preserve"> (Tian and Bal, 2023)</w:t>
      </w:r>
      <w:r w:rsidRPr="00DF7F9A">
        <w:rPr>
          <w:lang w:val="en-GB"/>
        </w:rPr>
        <w:t>, often made by different suppliers by means different production process; moreover, it is an object in direct and prolonged contact with the skin. Eyewear is part of the fashion world and the Italian industry plays a</w:t>
      </w:r>
      <w:r w:rsidRPr="008A34C8">
        <w:rPr>
          <w:lang w:val="en-GB"/>
        </w:rPr>
        <w:t xml:space="preserve"> leading role in international trade.</w:t>
      </w:r>
    </w:p>
    <w:p w14:paraId="5EC7C478" w14:textId="77777777" w:rsidR="008A34C8" w:rsidRPr="008A34C8" w:rsidRDefault="008A34C8" w:rsidP="008A34C8">
      <w:pPr>
        <w:pStyle w:val="CETBodytext"/>
        <w:rPr>
          <w:lang w:val="en-GB"/>
        </w:rPr>
      </w:pPr>
    </w:p>
    <w:p w14:paraId="32C990BA" w14:textId="02DD4D95" w:rsidR="008A34C8" w:rsidRPr="008A34C8" w:rsidRDefault="008A34C8" w:rsidP="008A34C8">
      <w:pPr>
        <w:pStyle w:val="CETBodytext"/>
        <w:rPr>
          <w:lang w:val="en-GB"/>
        </w:rPr>
      </w:pPr>
      <w:r>
        <w:rPr>
          <w:noProof/>
          <w:lang w:val="en-GB"/>
        </w:rPr>
        <w:drawing>
          <wp:inline distT="0" distB="0" distL="0" distR="0" wp14:anchorId="7EFBAA50" wp14:editId="7876DBDB">
            <wp:extent cx="4102735" cy="2158365"/>
            <wp:effectExtent l="0" t="0" r="0" b="0"/>
            <wp:docPr id="90418349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2735" cy="2158365"/>
                    </a:xfrm>
                    <a:prstGeom prst="rect">
                      <a:avLst/>
                    </a:prstGeom>
                    <a:noFill/>
                  </pic:spPr>
                </pic:pic>
              </a:graphicData>
            </a:graphic>
          </wp:inline>
        </w:drawing>
      </w:r>
    </w:p>
    <w:p w14:paraId="79C1FF37" w14:textId="643D0F2F" w:rsidR="008A34C8" w:rsidRPr="00BF525F" w:rsidRDefault="008A34C8" w:rsidP="008A34C8">
      <w:pPr>
        <w:pStyle w:val="CETBodytext"/>
        <w:rPr>
          <w:i/>
          <w:iCs/>
          <w:lang w:val="en-GB"/>
        </w:rPr>
      </w:pPr>
      <w:r w:rsidRPr="00BF525F">
        <w:rPr>
          <w:i/>
          <w:iCs/>
          <w:lang w:val="en-GB"/>
        </w:rPr>
        <w:t>Figure 1: Picture that shows the complexity of a spectacle. In the picture, the main components are indicated.</w:t>
      </w:r>
    </w:p>
    <w:p w14:paraId="2268E468" w14:textId="77777777" w:rsidR="008A34C8" w:rsidRPr="008A34C8" w:rsidRDefault="008A34C8" w:rsidP="008A34C8">
      <w:pPr>
        <w:pStyle w:val="CETBodytext"/>
        <w:rPr>
          <w:lang w:val="en-GB"/>
        </w:rPr>
      </w:pPr>
    </w:p>
    <w:p w14:paraId="3B5796D1" w14:textId="4756E9C0" w:rsidR="008A34C8" w:rsidRPr="008A34C8" w:rsidRDefault="008A34C8" w:rsidP="008A34C8">
      <w:pPr>
        <w:pStyle w:val="CETBodytext"/>
        <w:rPr>
          <w:lang w:val="en-GB"/>
        </w:rPr>
      </w:pPr>
      <w:r w:rsidRPr="008A34C8">
        <w:rPr>
          <w:lang w:val="en-GB"/>
        </w:rPr>
        <w:t>Big brands, whose main business are textiles and leather goods, frequently apply limits concerning substances taken from other sectors, to the eyewear products. Hence, the licensees are requested to subscribe commitments that put them in a situation in which they must comply with limits that are not related to spectacles, lenses or cases. For these reasons, an ad hoc Product Restricted Substance List has been drafted by ANFAO to define specific Market Limits with their related test methods, that take into account the main international regulations, in order to: not to be forced to follow parameters and limits from other sectors; simplify the work of eyewear companies; simplify relationship with customers and suppliers; increase the safety of consumers and employees; define an ad hoc and a sector-specific document.</w:t>
      </w:r>
      <w:r>
        <w:rPr>
          <w:lang w:val="en-GB"/>
        </w:rPr>
        <w:t xml:space="preserve"> </w:t>
      </w:r>
      <w:r w:rsidRPr="008A34C8">
        <w:rPr>
          <w:lang w:val="en-GB"/>
        </w:rPr>
        <w:t>The PRSL has been divided into two documents: one for spectacles and sunlenses and one for cases, and it is constantly updated and revised.</w:t>
      </w:r>
    </w:p>
    <w:p w14:paraId="254E6215" w14:textId="77777777" w:rsidR="008A34C8" w:rsidRPr="00FA5F5F" w:rsidRDefault="008A34C8" w:rsidP="00600535">
      <w:pPr>
        <w:pStyle w:val="CETBodytext"/>
        <w:rPr>
          <w:lang w:val="en-GB"/>
        </w:rPr>
      </w:pPr>
    </w:p>
    <w:p w14:paraId="546D4B8D" w14:textId="77777777" w:rsidR="008A34C8" w:rsidRDefault="008A34C8" w:rsidP="008A34C8">
      <w:pPr>
        <w:pStyle w:val="CETHeading1"/>
        <w:rPr>
          <w:lang w:val="en-GB"/>
        </w:rPr>
      </w:pPr>
      <w:r w:rsidRPr="008A34C8">
        <w:rPr>
          <w:lang w:val="en-GB"/>
        </w:rPr>
        <w:t>Materials and methods</w:t>
      </w:r>
    </w:p>
    <w:p w14:paraId="02173952" w14:textId="2E558BAC" w:rsidR="008A34C8" w:rsidRDefault="008A34C8" w:rsidP="008A34C8">
      <w:pPr>
        <w:pStyle w:val="CETBodytext"/>
        <w:rPr>
          <w:lang w:val="en-GB"/>
        </w:rPr>
      </w:pPr>
      <w:r w:rsidRPr="008A34C8">
        <w:rPr>
          <w:lang w:val="en-GB"/>
        </w:rPr>
        <w:t>In this PRSL are listed the Hazardous Chemicals to be monitored with reference to the materials in which there is a reasonable chance of finding them. This section summarises the employed procedures for the development of the Product Restricted Substance List (PRSL) of the Italian Association of Optical Goods Manufacturers. (ANFAO).</w:t>
      </w:r>
    </w:p>
    <w:p w14:paraId="27364FCD" w14:textId="76AF24A5" w:rsidR="008A34C8" w:rsidRDefault="008A34C8" w:rsidP="008A34C8">
      <w:pPr>
        <w:pStyle w:val="CETheadingx"/>
      </w:pPr>
      <w:r w:rsidRPr="00B57B36">
        <w:t>P</w:t>
      </w:r>
      <w:r>
        <w:t>rocedure</w:t>
      </w:r>
    </w:p>
    <w:p w14:paraId="221F47DF" w14:textId="34EA3812" w:rsidR="008A34C8" w:rsidRPr="008A34C8" w:rsidRDefault="008A34C8" w:rsidP="008A34C8">
      <w:pPr>
        <w:pStyle w:val="CETBodytext"/>
        <w:rPr>
          <w:lang w:val="en-GB"/>
        </w:rPr>
      </w:pPr>
      <w:r w:rsidRPr="008A34C8">
        <w:rPr>
          <w:lang w:val="en-GB"/>
        </w:rPr>
        <w:t xml:space="preserve">In order to develop the PRSL, the first step has been the definition of </w:t>
      </w:r>
      <w:r w:rsidR="003937E8">
        <w:rPr>
          <w:lang w:val="en-GB"/>
        </w:rPr>
        <w:t>the</w:t>
      </w:r>
      <w:r w:rsidRPr="008A34C8">
        <w:rPr>
          <w:lang w:val="en-GB"/>
        </w:rPr>
        <w:t xml:space="preserve"> list of materials used in the eyewear sector, specifically for spectacles, lenses and cases materials. This was possible by means the realization of a survey with the companies registered in the Technical Committees of ANFAO (TCA).</w:t>
      </w:r>
      <w:r>
        <w:rPr>
          <w:lang w:val="en-GB"/>
        </w:rPr>
        <w:t xml:space="preserve"> </w:t>
      </w:r>
      <w:r w:rsidRPr="008A34C8">
        <w:rPr>
          <w:lang w:val="en-GB"/>
        </w:rPr>
        <w:t>Then, the research on state-of-the-art on chemical formulation of the materials listed before, was carried out with the support of the eyewear companies involved. These companies also provided Technical Data Sheets (TDSs) and Material Safety Data Sheets (MSDSs) for the transmission of technical or safety-related information about substances and mixtures used in a specific material or product. Once defined the list of materials used in the eyewear sector (for spectacles, lenses and cases materials) and the related substances and mixtures, researchers collected the results of laboratory’s analysis made by accredited labs on the selected materials, in order to evaluate the presence of substances of concerns.</w:t>
      </w:r>
    </w:p>
    <w:p w14:paraId="70C1AF4C" w14:textId="59407B41" w:rsidR="008A34C8" w:rsidRPr="008A34C8" w:rsidRDefault="008A34C8" w:rsidP="008A34C8">
      <w:pPr>
        <w:pStyle w:val="CETBodytext"/>
        <w:rPr>
          <w:lang w:val="en-GB"/>
        </w:rPr>
      </w:pPr>
      <w:r w:rsidRPr="008A34C8">
        <w:rPr>
          <w:lang w:val="en-GB"/>
        </w:rPr>
        <w:t xml:space="preserve">For the definition of the Market Limits (MLs) of restricting substances of very high concern, related to the listed materials, an ad hoc study was conducted on the main international regulations for the chemicals to be taken </w:t>
      </w:r>
      <w:r w:rsidRPr="008A34C8">
        <w:rPr>
          <w:lang w:val="en-GB"/>
        </w:rPr>
        <w:lastRenderedPageBreak/>
        <w:t xml:space="preserve">into account. In this case, the following regulations were identified: Europe: General Product Safety Directive (GPSD), REACH (Registration, Evaluation, Authorization, and Restriction of Chemicals), Restriction of the use of certain Hazardous Substances (RoHS), AGEC, a French act of law against waste and for a circular economy; China: China national standards, also called as </w:t>
      </w:r>
      <w:proofErr w:type="spellStart"/>
      <w:r w:rsidRPr="00E541A2">
        <w:rPr>
          <w:i/>
          <w:iCs/>
          <w:lang w:val="en-GB"/>
        </w:rPr>
        <w:t>Guobiao</w:t>
      </w:r>
      <w:proofErr w:type="spellEnd"/>
      <w:r w:rsidRPr="008A34C8">
        <w:rPr>
          <w:lang w:val="en-GB"/>
        </w:rPr>
        <w:t xml:space="preserve"> Standards (GB); Turkey: Turkish regulation for produced and imported chemicals (KKDIK); USA: the Consumer Product Safety Commission (CPSC), The Consumer Product Safety Improvement Act (CPSIA), Proposition 65; South Korea:  KC Certification; Saudi Arabia: Saudi Product Safety Programme (SALEEM). Furthermore, the restricted substances </w:t>
      </w:r>
      <w:proofErr w:type="gramStart"/>
      <w:r w:rsidRPr="008A34C8">
        <w:rPr>
          <w:lang w:val="en-GB"/>
        </w:rPr>
        <w:t>lists</w:t>
      </w:r>
      <w:proofErr w:type="gramEnd"/>
      <w:r w:rsidRPr="008A34C8">
        <w:rPr>
          <w:lang w:val="en-GB"/>
        </w:rPr>
        <w:t xml:space="preserve"> of the most important fashion retailers and brands were taken into account for the establishing of the limits of the ANFAO’s PRSL. For each substance, a table has been created showing the MLs for each considered country or standard or regulation.</w:t>
      </w:r>
      <w:r>
        <w:rPr>
          <w:lang w:val="en-GB"/>
        </w:rPr>
        <w:t xml:space="preserve"> </w:t>
      </w:r>
      <w:r w:rsidRPr="008A34C8">
        <w:rPr>
          <w:lang w:val="en-GB"/>
        </w:rPr>
        <w:t xml:space="preserve">Following, thanks to the scientific support of a dermatologist member of the scientific Board on Allergens of the Technical Committee of ANFAO, a medical investigation that associates skin reactions to the selected substances was performed. A thorough analytic report of data of the scientific literature relevant to single substances or group of chemicals potentially implied in the eyewear production cycle has been performed, based mostly upon PubMed and PubChem citations for biomedical literature from MEDLINE, and on the paper of Walsh et al. (2006), focused on materials and allergens within spectacle frames.  </w:t>
      </w:r>
    </w:p>
    <w:p w14:paraId="782321F8" w14:textId="33C62300" w:rsidR="008A34C8" w:rsidRDefault="008A34C8" w:rsidP="008A34C8">
      <w:pPr>
        <w:pStyle w:val="CETHeading1"/>
        <w:rPr>
          <w:lang w:val="en-GB"/>
        </w:rPr>
      </w:pPr>
      <w:r w:rsidRPr="008A34C8">
        <w:rPr>
          <w:lang w:val="en-GB"/>
        </w:rPr>
        <w:t>Results and Discussion</w:t>
      </w:r>
      <w:r w:rsidR="00AA7C75">
        <w:rPr>
          <w:lang w:val="en-GB"/>
        </w:rPr>
        <w:t xml:space="preserve"> </w:t>
      </w:r>
    </w:p>
    <w:p w14:paraId="1B574938" w14:textId="77777777" w:rsidR="008A34C8" w:rsidRPr="008A34C8" w:rsidRDefault="008A34C8" w:rsidP="008A34C8">
      <w:pPr>
        <w:pStyle w:val="CETBodytext"/>
        <w:rPr>
          <w:lang w:val="en-GB"/>
        </w:rPr>
      </w:pPr>
      <w:r w:rsidRPr="008A34C8">
        <w:rPr>
          <w:lang w:val="en-GB"/>
        </w:rPr>
        <w:t xml:space="preserve">The Product Restricted Substance List (PRSL) has been developed by the Italian Association of Optical Goods Manufacturers (ANFAO) to establish specific limits of hazardous chemicals in eyewear sector in order to offer a reliable guideline for the product compliance to the main global regulation and the restricted substances lists of the most important fashion retailers and brands. </w:t>
      </w:r>
    </w:p>
    <w:p w14:paraId="53CEE40E" w14:textId="5098F43F" w:rsidR="00593B39" w:rsidRPr="00DF7F9A" w:rsidRDefault="008A34C8" w:rsidP="00DC1AB8">
      <w:pPr>
        <w:pStyle w:val="CETBodytext"/>
        <w:rPr>
          <w:lang w:val="en-GB"/>
        </w:rPr>
      </w:pPr>
      <w:r w:rsidRPr="008A34C8">
        <w:rPr>
          <w:lang w:val="en-GB"/>
        </w:rPr>
        <w:t xml:space="preserve">The researchers defined a double document, one for spectacles and sunlenses, and one for cases, and it is divided into four main sections. The first one is titled “General” and gives principles and definitions used within the document; The second one is titled “General safety requirements of chemicals” and it has been structured in tabular form, easy to understand. </w:t>
      </w:r>
      <w:r w:rsidRPr="00DF7F9A">
        <w:rPr>
          <w:lang w:val="en-GB"/>
        </w:rPr>
        <w:t>The table includes the materials used in eyewear sector for spectacle, lenses and glass cases manufacturing, grouped in categories identified by Key Codes for a rapid consultation on the “PRSL Match Table”. In this section is possible to define, once identified the material and the product use, a risk assessment for the hazardous chemicals in order to set all the control and monitoring activities along the supply chain. For this purpose, the steps to follow for the consultation are: I) identification of the material (Table of Materials), II) assignment of Risk Code (Risk Code and Match Table), III) evaluation of chemicals (Risk Code and Match Table), and IV) control/monitoring/testing. Due to similar features of some manufacturing material, some of them have been grouped in macro-</w:t>
      </w:r>
      <w:r w:rsidR="00593B39" w:rsidRPr="00DF7F9A">
        <w:rPr>
          <w:lang w:val="en-GB"/>
        </w:rPr>
        <w:t xml:space="preserve">categories, i.e.: for Spectacles - Metal alloys, Polymers (Plastics), Varnishes/Inks, Textile, Leather, Others; for Sunlenses - </w:t>
      </w:r>
      <w:r w:rsidR="00DC1AB8" w:rsidRPr="00DF7F9A">
        <w:rPr>
          <w:lang w:val="en-GB"/>
        </w:rPr>
        <w:t xml:space="preserve">Polymers (Plastics), Primer for Hard Coatings, Functional coatings, In-Mass dyes, Tinting dyes, Various tinting method, Polarizing Wafer/Film, Auxiliaries, Vacuum Applications; Cases – Metals, Polymers (Plastics), Textile, Leather, Others. </w:t>
      </w:r>
    </w:p>
    <w:p w14:paraId="20237DC6" w14:textId="04DAAA96" w:rsidR="006C4242" w:rsidRPr="00DF7F9A" w:rsidRDefault="006C4242" w:rsidP="00593B39">
      <w:pPr>
        <w:pStyle w:val="CETBodytext"/>
        <w:rPr>
          <w:lang w:val="en-GB"/>
        </w:rPr>
      </w:pPr>
      <w:r w:rsidRPr="00DF7F9A">
        <w:rPr>
          <w:lang w:val="en-GB"/>
        </w:rPr>
        <w:t>The third section is titled “</w:t>
      </w:r>
      <w:bookmarkStart w:id="0" w:name="_Hlk163050575"/>
      <w:r w:rsidRPr="00DF7F9A">
        <w:rPr>
          <w:lang w:val="en-GB"/>
        </w:rPr>
        <w:t>Restricted substances</w:t>
      </w:r>
      <w:bookmarkEnd w:id="0"/>
      <w:r w:rsidRPr="00DF7F9A">
        <w:rPr>
          <w:lang w:val="en-GB"/>
        </w:rPr>
        <w:t>, limits and methods” and it lists the ANFAO requirements (limits) for the most important markets, test methods and various information for each restricted substance</w:t>
      </w:r>
      <w:r w:rsidR="00C24ED0" w:rsidRPr="00DF7F9A">
        <w:rPr>
          <w:lang w:val="en-GB"/>
        </w:rPr>
        <w:t xml:space="preserve"> (Table </w:t>
      </w:r>
      <w:r w:rsidR="00567604" w:rsidRPr="00DF7F9A">
        <w:rPr>
          <w:lang w:val="en-GB"/>
        </w:rPr>
        <w:t>1</w:t>
      </w:r>
      <w:r w:rsidR="0032661B" w:rsidRPr="00DF7F9A">
        <w:rPr>
          <w:lang w:val="en-GB"/>
        </w:rPr>
        <w:t xml:space="preserve"> and Table 2</w:t>
      </w:r>
      <w:r w:rsidR="00C24ED0" w:rsidRPr="00DF7F9A">
        <w:rPr>
          <w:lang w:val="en-GB"/>
        </w:rPr>
        <w:t>)</w:t>
      </w:r>
      <w:r w:rsidR="00771CD7" w:rsidRPr="00DF7F9A">
        <w:rPr>
          <w:lang w:val="en-GB"/>
        </w:rPr>
        <w:t>.</w:t>
      </w:r>
      <w:r w:rsidRPr="00DF7F9A">
        <w:rPr>
          <w:lang w:val="en-GB"/>
        </w:rPr>
        <w:t xml:space="preserve"> The Market Limit is based on the cautionary and restrictive requirements of the most important PRSL’s of various luxury brands and non-governmental authorities. If the substance is not regulated, but has a “Market Limit”,</w:t>
      </w:r>
      <w:r w:rsidR="00ED3817" w:rsidRPr="00DF7F9A">
        <w:rPr>
          <w:lang w:val="en-GB"/>
        </w:rPr>
        <w:t xml:space="preserve"> </w:t>
      </w:r>
      <w:r w:rsidRPr="00DF7F9A">
        <w:rPr>
          <w:lang w:val="en-GB"/>
        </w:rPr>
        <w:t>is considered as a part of a voluntary requirement. Materials are listed according to macro- categories: Metal Components, Plastic Components, Textile, Leather, Sunlenses. The same limits have been applied both for eyewear and cases. Within this section, data are reported that summarise: the CAS number (a numerical identifier that uniquely identifies a chemical) of the substance, the test method to be used based on international standards</w:t>
      </w:r>
      <w:r w:rsidR="00BB428F" w:rsidRPr="00DF7F9A">
        <w:rPr>
          <w:lang w:val="en-GB"/>
        </w:rPr>
        <w:t xml:space="preserve">. </w:t>
      </w:r>
    </w:p>
    <w:p w14:paraId="28B97F14" w14:textId="378AA04D" w:rsidR="00C24ED0" w:rsidRPr="0040368C" w:rsidRDefault="0032661B" w:rsidP="00122668">
      <w:pPr>
        <w:pStyle w:val="CETBodytext"/>
        <w:rPr>
          <w:i/>
          <w:iCs/>
          <w:lang w:val="en-GB"/>
        </w:rPr>
      </w:pPr>
      <w:r w:rsidRPr="00DF7F9A">
        <w:rPr>
          <w:lang w:val="en-GB"/>
        </w:rPr>
        <w:t xml:space="preserve">On Table 1 and Table 2, a comparison between the PRSL of ANFAO (ANFAO) and the </w:t>
      </w:r>
      <w:bookmarkStart w:id="1" w:name="_Hlk164151084"/>
      <w:r w:rsidRPr="00DF7F9A">
        <w:rPr>
          <w:lang w:val="en-GB"/>
        </w:rPr>
        <w:t xml:space="preserve">PRSL of an International brand </w:t>
      </w:r>
      <w:bookmarkEnd w:id="1"/>
      <w:r w:rsidRPr="00DF7F9A">
        <w:rPr>
          <w:lang w:val="en-GB"/>
        </w:rPr>
        <w:t xml:space="preserve">(Brand X) has been reported in order to </w:t>
      </w:r>
      <w:r w:rsidR="00122668" w:rsidRPr="00DF7F9A">
        <w:rPr>
          <w:lang w:val="en-GB"/>
        </w:rPr>
        <w:t>highlight</w:t>
      </w:r>
      <w:r w:rsidRPr="00DF7F9A">
        <w:rPr>
          <w:lang w:val="en-GB"/>
        </w:rPr>
        <w:t xml:space="preserve"> the differences</w:t>
      </w:r>
      <w:r w:rsidR="00122668" w:rsidRPr="00DF7F9A">
        <w:rPr>
          <w:lang w:val="en-GB"/>
        </w:rPr>
        <w:t>. In the first one (ANFAO), the limits of the considered elements are reported based on ANFAO requirements</w:t>
      </w:r>
      <w:r w:rsidRPr="00DF7F9A">
        <w:rPr>
          <w:lang w:val="en-GB"/>
        </w:rPr>
        <w:t xml:space="preserve"> </w:t>
      </w:r>
      <w:r w:rsidR="00122668" w:rsidRPr="00DF7F9A">
        <w:rPr>
          <w:lang w:val="en-GB"/>
        </w:rPr>
        <w:t xml:space="preserve">(fixed by the Technical Committee) and international markets and they were defined just for the eyewear materials, while in the second one (Brand X), </w:t>
      </w:r>
      <w:r w:rsidR="00FD0199" w:rsidRPr="00DF7F9A">
        <w:rPr>
          <w:lang w:val="en-GB"/>
        </w:rPr>
        <w:t xml:space="preserve">a list of limits are reported considering all the categories of products managed by the brand (Fashion, Leather Goods and Watches, etc.), without a focus on spectacles and sunlenses. </w:t>
      </w:r>
      <w:r w:rsidR="000A3E8C" w:rsidRPr="00DF7F9A">
        <w:rPr>
          <w:lang w:val="en-GB"/>
        </w:rPr>
        <w:t xml:space="preserve">This comparison </w:t>
      </w:r>
      <w:r w:rsidR="0040368C" w:rsidRPr="00DF7F9A">
        <w:rPr>
          <w:lang w:val="en-GB"/>
        </w:rPr>
        <w:t>provides</w:t>
      </w:r>
      <w:r w:rsidR="000A3E8C" w:rsidRPr="00DF7F9A">
        <w:rPr>
          <w:lang w:val="en-GB"/>
        </w:rPr>
        <w:t xml:space="preserve"> valuable insights into the strengths of the PRSL of ANFAO, or rather a document has been developed </w:t>
      </w:r>
      <w:r w:rsidR="000A3E8C" w:rsidRPr="00DF7F9A">
        <w:rPr>
          <w:i/>
          <w:iCs/>
          <w:lang w:val="en-GB"/>
        </w:rPr>
        <w:t xml:space="preserve">ad hoc </w:t>
      </w:r>
      <w:r w:rsidR="000A3E8C" w:rsidRPr="00DF7F9A">
        <w:rPr>
          <w:lang w:val="en-GB"/>
        </w:rPr>
        <w:t>for a specific industrial sector</w:t>
      </w:r>
      <w:r w:rsidR="000A3E8C" w:rsidRPr="00DF7F9A">
        <w:rPr>
          <w:i/>
          <w:iCs/>
          <w:lang w:val="en-GB"/>
        </w:rPr>
        <w:t xml:space="preserve"> </w:t>
      </w:r>
      <w:r w:rsidR="0040368C" w:rsidRPr="00DF7F9A">
        <w:rPr>
          <w:lang w:val="en-GB"/>
        </w:rPr>
        <w:t xml:space="preserve">which accounts </w:t>
      </w:r>
      <w:r w:rsidR="000A3E8C" w:rsidRPr="00DF7F9A">
        <w:rPr>
          <w:lang w:val="en-GB"/>
        </w:rPr>
        <w:t>of different regulatory frameworks</w:t>
      </w:r>
      <w:r w:rsidR="0040368C" w:rsidRPr="00DF7F9A">
        <w:rPr>
          <w:lang w:val="en-GB"/>
        </w:rPr>
        <w:t xml:space="preserve"> on the basis of the materials and components of the eyewear sector.</w:t>
      </w:r>
      <w:r w:rsidR="00C24ED0" w:rsidRPr="0040368C">
        <w:rPr>
          <w:i/>
          <w:iCs/>
          <w:lang w:val="en-GB"/>
        </w:rPr>
        <w:t xml:space="preserve">  </w:t>
      </w:r>
    </w:p>
    <w:p w14:paraId="235812FE" w14:textId="77777777" w:rsidR="000A3E8C" w:rsidRDefault="000A3E8C" w:rsidP="00122668">
      <w:pPr>
        <w:pStyle w:val="CETBodytext"/>
        <w:rPr>
          <w:i/>
          <w:iCs/>
          <w:lang w:val="en-GB"/>
        </w:rPr>
      </w:pPr>
    </w:p>
    <w:p w14:paraId="7D3192A7" w14:textId="77777777" w:rsidR="000A3E8C" w:rsidRDefault="000A3E8C" w:rsidP="00122668">
      <w:pPr>
        <w:pStyle w:val="CETBodytext"/>
        <w:rPr>
          <w:i/>
          <w:iCs/>
          <w:lang w:val="en-GB"/>
        </w:rPr>
      </w:pPr>
    </w:p>
    <w:p w14:paraId="7A69FAE5" w14:textId="77777777" w:rsidR="000A3E8C" w:rsidRDefault="000A3E8C" w:rsidP="00122668">
      <w:pPr>
        <w:pStyle w:val="CETBodytext"/>
        <w:rPr>
          <w:i/>
          <w:iCs/>
          <w:lang w:val="en-GB"/>
        </w:rPr>
      </w:pPr>
    </w:p>
    <w:p w14:paraId="570A722D" w14:textId="77777777" w:rsidR="000A3E8C" w:rsidRDefault="000A3E8C" w:rsidP="00122668">
      <w:pPr>
        <w:pStyle w:val="CETBodytext"/>
        <w:rPr>
          <w:i/>
          <w:iCs/>
          <w:lang w:val="en-GB"/>
        </w:rPr>
      </w:pPr>
    </w:p>
    <w:p w14:paraId="0CC4D53F" w14:textId="5B0ECBAE" w:rsidR="00C46C9C" w:rsidRDefault="00C46C9C" w:rsidP="00C46C9C">
      <w:pPr>
        <w:pStyle w:val="Didascalia"/>
        <w:keepNext/>
        <w:rPr>
          <w:b w:val="0"/>
          <w:bCs w:val="0"/>
          <w:i/>
          <w:color w:val="auto"/>
          <w:szCs w:val="20"/>
        </w:rPr>
      </w:pPr>
      <w:r w:rsidRPr="00EC385F">
        <w:rPr>
          <w:b w:val="0"/>
          <w:bCs w:val="0"/>
          <w:i/>
          <w:color w:val="auto"/>
          <w:szCs w:val="20"/>
        </w:rPr>
        <w:lastRenderedPageBreak/>
        <w:t xml:space="preserve">Table </w:t>
      </w:r>
      <w:r w:rsidRPr="00EC385F">
        <w:rPr>
          <w:b w:val="0"/>
          <w:bCs w:val="0"/>
          <w:i/>
          <w:color w:val="auto"/>
          <w:szCs w:val="20"/>
        </w:rPr>
        <w:fldChar w:fldCharType="begin"/>
      </w:r>
      <w:r w:rsidRPr="00EC385F">
        <w:rPr>
          <w:b w:val="0"/>
          <w:bCs w:val="0"/>
          <w:i/>
          <w:color w:val="auto"/>
          <w:szCs w:val="20"/>
        </w:rPr>
        <w:instrText xml:space="preserve"> SEQ Table \* ARABIC </w:instrText>
      </w:r>
      <w:r w:rsidRPr="00EC385F">
        <w:rPr>
          <w:b w:val="0"/>
          <w:bCs w:val="0"/>
          <w:i/>
          <w:color w:val="auto"/>
          <w:szCs w:val="20"/>
        </w:rPr>
        <w:fldChar w:fldCharType="separate"/>
      </w:r>
      <w:r w:rsidR="00B77012">
        <w:rPr>
          <w:b w:val="0"/>
          <w:bCs w:val="0"/>
          <w:i/>
          <w:noProof/>
          <w:color w:val="auto"/>
          <w:szCs w:val="20"/>
        </w:rPr>
        <w:t>1</w:t>
      </w:r>
      <w:r w:rsidRPr="00EC385F">
        <w:rPr>
          <w:b w:val="0"/>
          <w:bCs w:val="0"/>
          <w:i/>
          <w:color w:val="auto"/>
          <w:szCs w:val="20"/>
        </w:rPr>
        <w:fldChar w:fldCharType="end"/>
      </w:r>
      <w:r w:rsidRPr="00EC385F">
        <w:rPr>
          <w:b w:val="0"/>
          <w:bCs w:val="0"/>
          <w:i/>
          <w:color w:val="auto"/>
          <w:szCs w:val="20"/>
        </w:rPr>
        <w:t>:</w:t>
      </w:r>
      <w:r w:rsidR="009040A8">
        <w:rPr>
          <w:b w:val="0"/>
          <w:bCs w:val="0"/>
          <w:i/>
          <w:color w:val="auto"/>
          <w:szCs w:val="20"/>
        </w:rPr>
        <w:t xml:space="preserve"> </w:t>
      </w:r>
      <w:bookmarkStart w:id="2" w:name="_Hlk164150699"/>
      <w:r w:rsidRPr="00EC385F">
        <w:rPr>
          <w:b w:val="0"/>
          <w:bCs w:val="0"/>
          <w:i/>
          <w:color w:val="auto"/>
          <w:szCs w:val="20"/>
        </w:rPr>
        <w:t xml:space="preserve">Restricted substances </w:t>
      </w:r>
      <w:bookmarkStart w:id="3" w:name="_Hlk163139088"/>
      <w:r w:rsidRPr="00EC385F">
        <w:rPr>
          <w:b w:val="0"/>
          <w:bCs w:val="0"/>
          <w:i/>
          <w:color w:val="auto"/>
          <w:szCs w:val="20"/>
        </w:rPr>
        <w:t>table</w:t>
      </w:r>
      <w:r w:rsidR="00FD0199" w:rsidRPr="00FD0199">
        <w:rPr>
          <w:b w:val="0"/>
          <w:bCs w:val="0"/>
          <w:i/>
          <w:color w:val="auto"/>
          <w:szCs w:val="20"/>
        </w:rPr>
        <w:t xml:space="preserve"> </w:t>
      </w:r>
      <w:r w:rsidR="00B77012">
        <w:rPr>
          <w:b w:val="0"/>
          <w:bCs w:val="0"/>
          <w:i/>
          <w:color w:val="auto"/>
          <w:szCs w:val="20"/>
        </w:rPr>
        <w:t>for</w:t>
      </w:r>
      <w:r w:rsidR="00FD0199" w:rsidRPr="00FD0199">
        <w:rPr>
          <w:b w:val="0"/>
          <w:bCs w:val="0"/>
          <w:i/>
          <w:color w:val="auto"/>
          <w:szCs w:val="20"/>
        </w:rPr>
        <w:t xml:space="preserve"> spectacles and sunlenses</w:t>
      </w:r>
      <w:bookmarkEnd w:id="3"/>
      <w:r w:rsidRPr="00EC385F">
        <w:rPr>
          <w:b w:val="0"/>
          <w:bCs w:val="0"/>
          <w:i/>
          <w:color w:val="auto"/>
          <w:szCs w:val="20"/>
        </w:rPr>
        <w:t xml:space="preserve">. In this case, the detail for “METAL COMPONENTS” </w:t>
      </w:r>
      <w:r w:rsidR="00D25744">
        <w:rPr>
          <w:b w:val="0"/>
          <w:bCs w:val="0"/>
          <w:i/>
          <w:color w:val="auto"/>
          <w:szCs w:val="20"/>
        </w:rPr>
        <w:t xml:space="preserve">(Heavy Metals, Total content) </w:t>
      </w:r>
      <w:r w:rsidRPr="00EC385F">
        <w:rPr>
          <w:b w:val="0"/>
          <w:bCs w:val="0"/>
          <w:i/>
          <w:color w:val="auto"/>
          <w:szCs w:val="20"/>
        </w:rPr>
        <w:t>has been reported as an illustrative example in order to show the methods and limits of ANFAO and</w:t>
      </w:r>
      <w:r w:rsidR="00D25744">
        <w:rPr>
          <w:b w:val="0"/>
          <w:bCs w:val="0"/>
          <w:i/>
          <w:color w:val="auto"/>
          <w:szCs w:val="20"/>
        </w:rPr>
        <w:t xml:space="preserve"> the comparison with </w:t>
      </w:r>
      <w:r w:rsidR="00B77012">
        <w:rPr>
          <w:b w:val="0"/>
          <w:bCs w:val="0"/>
          <w:i/>
          <w:color w:val="auto"/>
          <w:szCs w:val="20"/>
        </w:rPr>
        <w:t xml:space="preserve">limitations imposed by European Union and North American countries. </w:t>
      </w:r>
      <w:r w:rsidR="00567604">
        <w:rPr>
          <w:b w:val="0"/>
          <w:bCs w:val="0"/>
          <w:i/>
          <w:color w:val="auto"/>
          <w:szCs w:val="20"/>
        </w:rPr>
        <w:t>The table shows the limits for three elements: Lead, Cadmium and Mercury.</w:t>
      </w:r>
      <w:bookmarkEnd w:id="2"/>
    </w:p>
    <w:p w14:paraId="520119A8" w14:textId="77777777" w:rsidR="00183179" w:rsidRPr="00183179" w:rsidRDefault="00183179" w:rsidP="00183179"/>
    <w:tbl>
      <w:tblPr>
        <w:tblW w:w="6900" w:type="dxa"/>
        <w:tblCellMar>
          <w:left w:w="70" w:type="dxa"/>
          <w:right w:w="70" w:type="dxa"/>
        </w:tblCellMar>
        <w:tblLook w:val="04A0" w:firstRow="1" w:lastRow="0" w:firstColumn="1" w:lastColumn="0" w:noHBand="0" w:noVBand="1"/>
      </w:tblPr>
      <w:tblGrid>
        <w:gridCol w:w="820"/>
        <w:gridCol w:w="1090"/>
        <w:gridCol w:w="1530"/>
        <w:gridCol w:w="1000"/>
        <w:gridCol w:w="1220"/>
        <w:gridCol w:w="1240"/>
      </w:tblGrid>
      <w:tr w:rsidR="00B77012" w:rsidRPr="00B77012" w14:paraId="6F89EEA9" w14:textId="77777777" w:rsidTr="00B77012">
        <w:trPr>
          <w:trHeight w:val="315"/>
        </w:trPr>
        <w:tc>
          <w:tcPr>
            <w:tcW w:w="6900" w:type="dxa"/>
            <w:gridSpan w:val="6"/>
            <w:tcBorders>
              <w:top w:val="single" w:sz="12" w:space="0" w:color="00B050"/>
              <w:left w:val="nil"/>
              <w:bottom w:val="single" w:sz="4" w:space="0" w:color="00B050"/>
              <w:right w:val="nil"/>
            </w:tcBorders>
            <w:shd w:val="clear" w:color="auto" w:fill="auto"/>
            <w:noWrap/>
            <w:vAlign w:val="center"/>
            <w:hideMark/>
          </w:tcPr>
          <w:p w14:paraId="3D39DAC1" w14:textId="77777777" w:rsidR="00B77012" w:rsidRPr="00B77012" w:rsidRDefault="00B77012" w:rsidP="00B77012">
            <w:pPr>
              <w:tabs>
                <w:tab w:val="clear" w:pos="7100"/>
              </w:tabs>
              <w:spacing w:line="240" w:lineRule="auto"/>
              <w:jc w:val="left"/>
              <w:rPr>
                <w:rFonts w:ascii="Calibri" w:hAnsi="Calibri" w:cs="Calibri"/>
                <w:color w:val="000000"/>
                <w:sz w:val="22"/>
                <w:szCs w:val="22"/>
                <w:lang w:val="it-IT" w:eastAsia="it-IT"/>
              </w:rPr>
            </w:pPr>
            <w:r w:rsidRPr="00B77012">
              <w:rPr>
                <w:rFonts w:ascii="Calibri" w:hAnsi="Calibri" w:cs="Calibri"/>
                <w:color w:val="000000"/>
                <w:sz w:val="22"/>
                <w:szCs w:val="22"/>
                <w:lang w:val="it-IT" w:eastAsia="it-IT"/>
              </w:rPr>
              <w:t xml:space="preserve">ANFAO </w:t>
            </w:r>
          </w:p>
        </w:tc>
      </w:tr>
      <w:tr w:rsidR="00B77012" w:rsidRPr="00B77012" w14:paraId="1E281529" w14:textId="77777777" w:rsidTr="00B77012">
        <w:trPr>
          <w:trHeight w:val="300"/>
        </w:trPr>
        <w:tc>
          <w:tcPr>
            <w:tcW w:w="6900" w:type="dxa"/>
            <w:gridSpan w:val="6"/>
            <w:tcBorders>
              <w:top w:val="single" w:sz="4" w:space="0" w:color="00B050"/>
              <w:left w:val="nil"/>
              <w:bottom w:val="single" w:sz="4" w:space="0" w:color="00B050"/>
              <w:right w:val="single" w:sz="4" w:space="0" w:color="00B050"/>
            </w:tcBorders>
            <w:shd w:val="clear" w:color="auto" w:fill="auto"/>
            <w:vAlign w:val="center"/>
            <w:hideMark/>
          </w:tcPr>
          <w:p w14:paraId="1995AD5A" w14:textId="77777777" w:rsidR="00B77012" w:rsidRPr="00B77012" w:rsidRDefault="00B77012" w:rsidP="00B77012">
            <w:pPr>
              <w:tabs>
                <w:tab w:val="clear" w:pos="7100"/>
              </w:tabs>
              <w:spacing w:line="240" w:lineRule="auto"/>
              <w:jc w:val="left"/>
              <w:rPr>
                <w:rFonts w:cs="Arial"/>
                <w:color w:val="000000"/>
                <w:sz w:val="14"/>
                <w:szCs w:val="14"/>
                <w:lang w:val="it-IT" w:eastAsia="it-IT"/>
              </w:rPr>
            </w:pPr>
            <w:r w:rsidRPr="00B77012">
              <w:rPr>
                <w:rFonts w:cs="Arial"/>
                <w:color w:val="000000"/>
                <w:sz w:val="14"/>
                <w:szCs w:val="14"/>
                <w:lang w:val="it-IT" w:eastAsia="it-IT"/>
              </w:rPr>
              <w:t>METAL COMPONENTS</w:t>
            </w:r>
          </w:p>
        </w:tc>
      </w:tr>
      <w:tr w:rsidR="00B77012" w:rsidRPr="00B77012" w14:paraId="31DF6AEE" w14:textId="77777777" w:rsidTr="00B77012">
        <w:trPr>
          <w:trHeight w:val="300"/>
        </w:trPr>
        <w:tc>
          <w:tcPr>
            <w:tcW w:w="6900" w:type="dxa"/>
            <w:gridSpan w:val="6"/>
            <w:tcBorders>
              <w:top w:val="single" w:sz="4" w:space="0" w:color="00B050"/>
              <w:left w:val="nil"/>
              <w:bottom w:val="single" w:sz="4" w:space="0" w:color="00B050"/>
              <w:right w:val="single" w:sz="4" w:space="0" w:color="00B050"/>
            </w:tcBorders>
            <w:shd w:val="clear" w:color="auto" w:fill="auto"/>
            <w:vAlign w:val="center"/>
            <w:hideMark/>
          </w:tcPr>
          <w:p w14:paraId="02C099F8" w14:textId="77777777" w:rsidR="00B77012" w:rsidRPr="00B77012" w:rsidRDefault="00B77012" w:rsidP="00B77012">
            <w:pPr>
              <w:tabs>
                <w:tab w:val="clear" w:pos="7100"/>
              </w:tabs>
              <w:spacing w:line="240" w:lineRule="auto"/>
              <w:jc w:val="left"/>
              <w:rPr>
                <w:rFonts w:cs="Arial"/>
                <w:color w:val="000000"/>
                <w:sz w:val="14"/>
                <w:szCs w:val="14"/>
                <w:lang w:val="it-IT" w:eastAsia="it-IT"/>
              </w:rPr>
            </w:pPr>
            <w:r w:rsidRPr="00B77012">
              <w:rPr>
                <w:rFonts w:cs="Arial"/>
                <w:color w:val="000000"/>
                <w:sz w:val="14"/>
                <w:szCs w:val="14"/>
                <w:lang w:val="it-IT" w:eastAsia="it-IT"/>
              </w:rPr>
              <w:t>Heavy Metals (TOTAL CONTENT)</w:t>
            </w:r>
          </w:p>
        </w:tc>
      </w:tr>
      <w:tr w:rsidR="00B77012" w:rsidRPr="00B77012" w14:paraId="7B02F780" w14:textId="77777777" w:rsidTr="00183179">
        <w:trPr>
          <w:trHeight w:val="360"/>
        </w:trPr>
        <w:tc>
          <w:tcPr>
            <w:tcW w:w="820" w:type="dxa"/>
            <w:tcBorders>
              <w:top w:val="nil"/>
              <w:left w:val="nil"/>
              <w:bottom w:val="single" w:sz="4" w:space="0" w:color="00B050"/>
              <w:right w:val="single" w:sz="4" w:space="0" w:color="00B050"/>
            </w:tcBorders>
            <w:shd w:val="clear" w:color="auto" w:fill="auto"/>
            <w:vAlign w:val="center"/>
            <w:hideMark/>
          </w:tcPr>
          <w:p w14:paraId="6315E9E7" w14:textId="77777777" w:rsidR="00B77012" w:rsidRPr="00B77012" w:rsidRDefault="00B77012" w:rsidP="00B77012">
            <w:pPr>
              <w:tabs>
                <w:tab w:val="clear" w:pos="7100"/>
              </w:tabs>
              <w:spacing w:line="240" w:lineRule="auto"/>
              <w:jc w:val="left"/>
              <w:rPr>
                <w:rFonts w:cs="Arial"/>
                <w:color w:val="000000"/>
                <w:sz w:val="14"/>
                <w:szCs w:val="14"/>
                <w:lang w:val="it-IT" w:eastAsia="it-IT"/>
              </w:rPr>
            </w:pPr>
            <w:r w:rsidRPr="00B77012">
              <w:rPr>
                <w:rFonts w:cs="Arial"/>
                <w:color w:val="000000"/>
                <w:sz w:val="14"/>
                <w:szCs w:val="14"/>
                <w:lang w:val="it-IT" w:eastAsia="it-IT"/>
              </w:rPr>
              <w:t>CAS</w:t>
            </w:r>
          </w:p>
        </w:tc>
        <w:tc>
          <w:tcPr>
            <w:tcW w:w="1090" w:type="dxa"/>
            <w:tcBorders>
              <w:top w:val="nil"/>
              <w:left w:val="nil"/>
              <w:bottom w:val="single" w:sz="4" w:space="0" w:color="00B050"/>
              <w:right w:val="single" w:sz="4" w:space="0" w:color="00B050"/>
            </w:tcBorders>
            <w:shd w:val="clear" w:color="auto" w:fill="auto"/>
            <w:vAlign w:val="center"/>
            <w:hideMark/>
          </w:tcPr>
          <w:p w14:paraId="5ABB31A9" w14:textId="77777777" w:rsidR="00B77012" w:rsidRPr="00B77012" w:rsidRDefault="00B77012" w:rsidP="00B77012">
            <w:pPr>
              <w:tabs>
                <w:tab w:val="clear" w:pos="7100"/>
              </w:tabs>
              <w:spacing w:line="240" w:lineRule="auto"/>
              <w:jc w:val="left"/>
              <w:rPr>
                <w:rFonts w:cs="Arial"/>
                <w:color w:val="000000"/>
                <w:sz w:val="14"/>
                <w:szCs w:val="14"/>
                <w:lang w:val="it-IT" w:eastAsia="it-IT"/>
              </w:rPr>
            </w:pPr>
            <w:r w:rsidRPr="00B77012">
              <w:rPr>
                <w:rFonts w:cs="Arial"/>
                <w:color w:val="000000"/>
                <w:sz w:val="14"/>
                <w:szCs w:val="14"/>
                <w:lang w:val="it-IT" w:eastAsia="it-IT"/>
              </w:rPr>
              <w:t>SUBSTANCES</w:t>
            </w:r>
          </w:p>
        </w:tc>
        <w:tc>
          <w:tcPr>
            <w:tcW w:w="1530" w:type="dxa"/>
            <w:tcBorders>
              <w:top w:val="nil"/>
              <w:left w:val="nil"/>
              <w:bottom w:val="single" w:sz="4" w:space="0" w:color="00B050"/>
              <w:right w:val="single" w:sz="4" w:space="0" w:color="00B050"/>
            </w:tcBorders>
            <w:shd w:val="clear" w:color="auto" w:fill="auto"/>
            <w:vAlign w:val="center"/>
            <w:hideMark/>
          </w:tcPr>
          <w:p w14:paraId="5A6D0C11" w14:textId="77777777" w:rsidR="00B77012" w:rsidRPr="00B77012" w:rsidRDefault="00B77012" w:rsidP="00B77012">
            <w:pPr>
              <w:tabs>
                <w:tab w:val="clear" w:pos="7100"/>
              </w:tabs>
              <w:spacing w:line="240" w:lineRule="auto"/>
              <w:jc w:val="left"/>
              <w:rPr>
                <w:rFonts w:cs="Arial"/>
                <w:color w:val="000000"/>
                <w:sz w:val="14"/>
                <w:szCs w:val="14"/>
                <w:lang w:val="it-IT" w:eastAsia="it-IT"/>
              </w:rPr>
            </w:pPr>
            <w:r w:rsidRPr="00B77012">
              <w:rPr>
                <w:rFonts w:cs="Arial"/>
                <w:color w:val="000000"/>
                <w:sz w:val="14"/>
                <w:szCs w:val="14"/>
                <w:lang w:val="it-IT" w:eastAsia="it-IT"/>
              </w:rPr>
              <w:t>METHOD</w:t>
            </w:r>
          </w:p>
        </w:tc>
        <w:tc>
          <w:tcPr>
            <w:tcW w:w="1000" w:type="dxa"/>
            <w:tcBorders>
              <w:top w:val="nil"/>
              <w:left w:val="nil"/>
              <w:bottom w:val="single" w:sz="4" w:space="0" w:color="00B050"/>
              <w:right w:val="single" w:sz="4" w:space="0" w:color="00B050"/>
            </w:tcBorders>
            <w:shd w:val="clear" w:color="auto" w:fill="auto"/>
            <w:vAlign w:val="center"/>
            <w:hideMark/>
          </w:tcPr>
          <w:p w14:paraId="2474C2B1" w14:textId="77777777" w:rsidR="00B77012" w:rsidRPr="00B77012" w:rsidRDefault="00B77012" w:rsidP="00B77012">
            <w:pPr>
              <w:tabs>
                <w:tab w:val="clear" w:pos="7100"/>
              </w:tabs>
              <w:spacing w:line="240" w:lineRule="auto"/>
              <w:jc w:val="left"/>
              <w:rPr>
                <w:rFonts w:cs="Arial"/>
                <w:color w:val="000000"/>
                <w:sz w:val="14"/>
                <w:szCs w:val="14"/>
                <w:lang w:eastAsia="it-IT"/>
              </w:rPr>
            </w:pPr>
            <w:r w:rsidRPr="00B77012">
              <w:rPr>
                <w:rFonts w:cs="Arial"/>
                <w:color w:val="000000"/>
                <w:sz w:val="14"/>
                <w:szCs w:val="14"/>
                <w:lang w:eastAsia="it-IT"/>
              </w:rPr>
              <w:t>ANFAO LIMIT (mg/kg) ppm</w:t>
            </w:r>
          </w:p>
        </w:tc>
        <w:tc>
          <w:tcPr>
            <w:tcW w:w="1220" w:type="dxa"/>
            <w:tcBorders>
              <w:top w:val="nil"/>
              <w:left w:val="nil"/>
              <w:bottom w:val="single" w:sz="4" w:space="0" w:color="00B050"/>
              <w:right w:val="single" w:sz="4" w:space="0" w:color="00B050"/>
            </w:tcBorders>
            <w:shd w:val="clear" w:color="auto" w:fill="auto"/>
            <w:vAlign w:val="center"/>
            <w:hideMark/>
          </w:tcPr>
          <w:p w14:paraId="2E5DC3F6" w14:textId="77777777" w:rsidR="00B77012" w:rsidRPr="00B77012" w:rsidRDefault="00B77012" w:rsidP="00B77012">
            <w:pPr>
              <w:tabs>
                <w:tab w:val="clear" w:pos="7100"/>
              </w:tabs>
              <w:spacing w:line="240" w:lineRule="auto"/>
              <w:jc w:val="left"/>
              <w:rPr>
                <w:rFonts w:cs="Arial"/>
                <w:color w:val="000000"/>
                <w:sz w:val="14"/>
                <w:szCs w:val="14"/>
                <w:lang w:val="it-IT" w:eastAsia="it-IT"/>
              </w:rPr>
            </w:pPr>
            <w:proofErr w:type="spellStart"/>
            <w:r w:rsidRPr="00B77012">
              <w:rPr>
                <w:rFonts w:cs="Arial"/>
                <w:color w:val="000000"/>
                <w:sz w:val="14"/>
                <w:szCs w:val="14"/>
                <w:lang w:val="it-IT" w:eastAsia="it-IT"/>
              </w:rPr>
              <w:t>European</w:t>
            </w:r>
            <w:proofErr w:type="spellEnd"/>
            <w:r w:rsidRPr="00B77012">
              <w:rPr>
                <w:rFonts w:cs="Arial"/>
                <w:color w:val="000000"/>
                <w:sz w:val="14"/>
                <w:szCs w:val="14"/>
                <w:lang w:val="it-IT" w:eastAsia="it-IT"/>
              </w:rPr>
              <w:t xml:space="preserve"> Union</w:t>
            </w:r>
          </w:p>
        </w:tc>
        <w:tc>
          <w:tcPr>
            <w:tcW w:w="1240" w:type="dxa"/>
            <w:tcBorders>
              <w:top w:val="nil"/>
              <w:left w:val="nil"/>
              <w:bottom w:val="single" w:sz="4" w:space="0" w:color="00B050"/>
              <w:right w:val="nil"/>
            </w:tcBorders>
            <w:shd w:val="clear" w:color="auto" w:fill="auto"/>
            <w:vAlign w:val="center"/>
            <w:hideMark/>
          </w:tcPr>
          <w:p w14:paraId="5E338F07" w14:textId="77777777" w:rsidR="00B77012" w:rsidRPr="00B77012" w:rsidRDefault="00B77012" w:rsidP="00B77012">
            <w:pPr>
              <w:tabs>
                <w:tab w:val="clear" w:pos="7100"/>
              </w:tabs>
              <w:spacing w:line="240" w:lineRule="auto"/>
              <w:jc w:val="left"/>
              <w:rPr>
                <w:rFonts w:cs="Arial"/>
                <w:color w:val="000000"/>
                <w:sz w:val="14"/>
                <w:szCs w:val="14"/>
                <w:lang w:val="it-IT" w:eastAsia="it-IT"/>
              </w:rPr>
            </w:pPr>
            <w:r w:rsidRPr="00B77012">
              <w:rPr>
                <w:rFonts w:cs="Arial"/>
                <w:color w:val="000000"/>
                <w:sz w:val="14"/>
                <w:szCs w:val="14"/>
                <w:lang w:val="it-IT" w:eastAsia="it-IT"/>
              </w:rPr>
              <w:t>North American Countries</w:t>
            </w:r>
          </w:p>
        </w:tc>
      </w:tr>
      <w:tr w:rsidR="00B77012" w:rsidRPr="00B77012" w14:paraId="13DECB89" w14:textId="77777777" w:rsidTr="00183179">
        <w:trPr>
          <w:trHeight w:val="300"/>
        </w:trPr>
        <w:tc>
          <w:tcPr>
            <w:tcW w:w="820" w:type="dxa"/>
            <w:vMerge w:val="restart"/>
            <w:tcBorders>
              <w:top w:val="nil"/>
              <w:left w:val="nil"/>
              <w:bottom w:val="single" w:sz="4" w:space="0" w:color="00B050"/>
              <w:right w:val="single" w:sz="4" w:space="0" w:color="00B050"/>
            </w:tcBorders>
            <w:shd w:val="clear" w:color="auto" w:fill="auto"/>
            <w:vAlign w:val="center"/>
            <w:hideMark/>
          </w:tcPr>
          <w:p w14:paraId="3BDDE249" w14:textId="77777777" w:rsidR="00B77012" w:rsidRPr="00B77012" w:rsidRDefault="00B77012" w:rsidP="00B77012">
            <w:pPr>
              <w:tabs>
                <w:tab w:val="clear" w:pos="7100"/>
              </w:tabs>
              <w:spacing w:line="240" w:lineRule="auto"/>
              <w:jc w:val="left"/>
              <w:rPr>
                <w:rFonts w:cs="Arial"/>
                <w:color w:val="000000"/>
                <w:sz w:val="14"/>
                <w:szCs w:val="14"/>
                <w:lang w:val="it-IT" w:eastAsia="it-IT"/>
              </w:rPr>
            </w:pPr>
            <w:r w:rsidRPr="00B77012">
              <w:rPr>
                <w:rFonts w:cs="Arial"/>
                <w:color w:val="000000"/>
                <w:sz w:val="14"/>
                <w:szCs w:val="14"/>
                <w:lang w:val="it-IT" w:eastAsia="it-IT"/>
              </w:rPr>
              <w:t>7439-92-1</w:t>
            </w:r>
          </w:p>
        </w:tc>
        <w:tc>
          <w:tcPr>
            <w:tcW w:w="1090" w:type="dxa"/>
            <w:vMerge w:val="restart"/>
            <w:tcBorders>
              <w:top w:val="nil"/>
              <w:left w:val="single" w:sz="4" w:space="0" w:color="00B050"/>
              <w:bottom w:val="single" w:sz="4" w:space="0" w:color="00B050"/>
              <w:right w:val="single" w:sz="4" w:space="0" w:color="00B050"/>
            </w:tcBorders>
            <w:shd w:val="clear" w:color="auto" w:fill="auto"/>
            <w:vAlign w:val="center"/>
            <w:hideMark/>
          </w:tcPr>
          <w:p w14:paraId="4A3EDCDE" w14:textId="77777777" w:rsidR="00B77012" w:rsidRPr="00B77012" w:rsidRDefault="00B77012" w:rsidP="00B77012">
            <w:pPr>
              <w:tabs>
                <w:tab w:val="clear" w:pos="7100"/>
              </w:tabs>
              <w:spacing w:line="240" w:lineRule="auto"/>
              <w:jc w:val="left"/>
              <w:rPr>
                <w:rFonts w:cs="Arial"/>
                <w:color w:val="000000"/>
                <w:sz w:val="14"/>
                <w:szCs w:val="14"/>
                <w:lang w:val="it-IT" w:eastAsia="it-IT"/>
              </w:rPr>
            </w:pPr>
            <w:r w:rsidRPr="00B77012">
              <w:rPr>
                <w:rFonts w:cs="Arial"/>
                <w:color w:val="000000"/>
                <w:sz w:val="14"/>
                <w:szCs w:val="14"/>
                <w:lang w:val="it-IT" w:eastAsia="it-IT"/>
              </w:rPr>
              <w:t>Lead</w:t>
            </w:r>
          </w:p>
        </w:tc>
        <w:tc>
          <w:tcPr>
            <w:tcW w:w="1530" w:type="dxa"/>
            <w:vMerge w:val="restart"/>
            <w:tcBorders>
              <w:top w:val="nil"/>
              <w:left w:val="single" w:sz="4" w:space="0" w:color="00B050"/>
              <w:bottom w:val="single" w:sz="4" w:space="0" w:color="00B050"/>
              <w:right w:val="single" w:sz="4" w:space="0" w:color="00B050"/>
            </w:tcBorders>
            <w:shd w:val="clear" w:color="auto" w:fill="auto"/>
            <w:vAlign w:val="center"/>
            <w:hideMark/>
          </w:tcPr>
          <w:p w14:paraId="68ABFC06" w14:textId="77777777" w:rsidR="00B77012" w:rsidRPr="00B77012" w:rsidRDefault="00B77012" w:rsidP="00B77012">
            <w:pPr>
              <w:tabs>
                <w:tab w:val="clear" w:pos="7100"/>
              </w:tabs>
              <w:spacing w:line="240" w:lineRule="auto"/>
              <w:jc w:val="left"/>
              <w:rPr>
                <w:rFonts w:cs="Arial"/>
                <w:color w:val="000000"/>
                <w:sz w:val="14"/>
                <w:szCs w:val="14"/>
                <w:lang w:val="it-IT" w:eastAsia="it-IT"/>
              </w:rPr>
            </w:pPr>
            <w:r w:rsidRPr="00B77012">
              <w:rPr>
                <w:rFonts w:cs="Arial"/>
                <w:color w:val="000000"/>
                <w:sz w:val="14"/>
                <w:szCs w:val="14"/>
                <w:lang w:val="it-IT" w:eastAsia="it-IT"/>
              </w:rPr>
              <w:t>CPSC-CHE1001-08.3</w:t>
            </w:r>
          </w:p>
        </w:tc>
        <w:tc>
          <w:tcPr>
            <w:tcW w:w="1000" w:type="dxa"/>
            <w:tcBorders>
              <w:top w:val="nil"/>
              <w:left w:val="nil"/>
              <w:bottom w:val="single" w:sz="4" w:space="0" w:color="00B050"/>
              <w:right w:val="single" w:sz="4" w:space="0" w:color="00B050"/>
            </w:tcBorders>
            <w:shd w:val="clear" w:color="auto" w:fill="auto"/>
            <w:vAlign w:val="center"/>
            <w:hideMark/>
          </w:tcPr>
          <w:p w14:paraId="28F0680B" w14:textId="77777777" w:rsidR="00B77012" w:rsidRPr="00B77012" w:rsidRDefault="00B77012" w:rsidP="00B77012">
            <w:pPr>
              <w:tabs>
                <w:tab w:val="clear" w:pos="7100"/>
              </w:tabs>
              <w:spacing w:line="240" w:lineRule="auto"/>
              <w:jc w:val="left"/>
              <w:rPr>
                <w:rFonts w:cs="Arial"/>
                <w:color w:val="000000"/>
                <w:sz w:val="14"/>
                <w:szCs w:val="14"/>
                <w:lang w:val="it-IT" w:eastAsia="it-IT"/>
              </w:rPr>
            </w:pPr>
            <w:proofErr w:type="spellStart"/>
            <w:r w:rsidRPr="00B77012">
              <w:rPr>
                <w:rFonts w:cs="Arial"/>
                <w:color w:val="000000"/>
                <w:sz w:val="14"/>
                <w:szCs w:val="14"/>
                <w:lang w:val="it-IT" w:eastAsia="it-IT"/>
              </w:rPr>
              <w:t>Adult</w:t>
            </w:r>
            <w:proofErr w:type="spellEnd"/>
            <w:r w:rsidRPr="00B77012">
              <w:rPr>
                <w:rFonts w:cs="Arial"/>
                <w:color w:val="000000"/>
                <w:sz w:val="14"/>
                <w:szCs w:val="14"/>
                <w:lang w:val="it-IT" w:eastAsia="it-IT"/>
              </w:rPr>
              <w:t xml:space="preserve"> &lt;150</w:t>
            </w:r>
          </w:p>
        </w:tc>
        <w:tc>
          <w:tcPr>
            <w:tcW w:w="1220" w:type="dxa"/>
            <w:tcBorders>
              <w:top w:val="nil"/>
              <w:left w:val="nil"/>
              <w:bottom w:val="single" w:sz="4" w:space="0" w:color="00B050"/>
              <w:right w:val="single" w:sz="4" w:space="0" w:color="00B050"/>
            </w:tcBorders>
            <w:shd w:val="clear" w:color="auto" w:fill="auto"/>
            <w:vAlign w:val="center"/>
            <w:hideMark/>
          </w:tcPr>
          <w:p w14:paraId="29D43D1F" w14:textId="77777777" w:rsidR="00B77012" w:rsidRPr="00B77012" w:rsidRDefault="00B77012" w:rsidP="00B77012">
            <w:pPr>
              <w:tabs>
                <w:tab w:val="clear" w:pos="7100"/>
              </w:tabs>
              <w:spacing w:line="240" w:lineRule="auto"/>
              <w:jc w:val="left"/>
              <w:rPr>
                <w:rFonts w:cs="Arial"/>
                <w:color w:val="000000"/>
                <w:sz w:val="14"/>
                <w:szCs w:val="14"/>
                <w:lang w:val="it-IT" w:eastAsia="it-IT"/>
              </w:rPr>
            </w:pPr>
            <w:r w:rsidRPr="00B77012">
              <w:rPr>
                <w:rFonts w:cs="Arial"/>
                <w:color w:val="000000"/>
                <w:sz w:val="14"/>
                <w:szCs w:val="14"/>
                <w:lang w:val="it-IT" w:eastAsia="it-IT"/>
              </w:rPr>
              <w:t>≤ 0.05% by weight</w:t>
            </w:r>
          </w:p>
        </w:tc>
        <w:tc>
          <w:tcPr>
            <w:tcW w:w="1240" w:type="dxa"/>
            <w:vMerge w:val="restart"/>
            <w:tcBorders>
              <w:top w:val="nil"/>
              <w:left w:val="single" w:sz="4" w:space="0" w:color="00B050"/>
              <w:bottom w:val="single" w:sz="4" w:space="0" w:color="00B050"/>
              <w:right w:val="nil"/>
            </w:tcBorders>
            <w:shd w:val="clear" w:color="auto" w:fill="auto"/>
            <w:vAlign w:val="center"/>
            <w:hideMark/>
          </w:tcPr>
          <w:p w14:paraId="4E39A0E8" w14:textId="77777777" w:rsidR="00B77012" w:rsidRPr="00B77012" w:rsidRDefault="00B77012" w:rsidP="00B77012">
            <w:pPr>
              <w:tabs>
                <w:tab w:val="clear" w:pos="7100"/>
              </w:tabs>
              <w:spacing w:line="240" w:lineRule="auto"/>
              <w:jc w:val="left"/>
              <w:rPr>
                <w:rFonts w:cs="Arial"/>
                <w:color w:val="000000"/>
                <w:sz w:val="14"/>
                <w:szCs w:val="14"/>
                <w:lang w:val="it-IT" w:eastAsia="it-IT"/>
              </w:rPr>
            </w:pPr>
            <w:r w:rsidRPr="00B77012">
              <w:rPr>
                <w:rFonts w:cs="Arial"/>
                <w:color w:val="000000"/>
                <w:sz w:val="14"/>
                <w:szCs w:val="14"/>
                <w:lang w:val="it-IT" w:eastAsia="it-IT"/>
              </w:rPr>
              <w:t xml:space="preserve">                                                                                                                                                                                                                                                                                                                                                                                                                                                                                                                                                                                                                                                                </w:t>
            </w:r>
          </w:p>
        </w:tc>
      </w:tr>
      <w:tr w:rsidR="00B77012" w:rsidRPr="00B77012" w14:paraId="3DA39063" w14:textId="77777777" w:rsidTr="00183179">
        <w:trPr>
          <w:trHeight w:val="300"/>
        </w:trPr>
        <w:tc>
          <w:tcPr>
            <w:tcW w:w="820" w:type="dxa"/>
            <w:vMerge/>
            <w:tcBorders>
              <w:top w:val="nil"/>
              <w:left w:val="nil"/>
              <w:bottom w:val="single" w:sz="4" w:space="0" w:color="00B050"/>
              <w:right w:val="single" w:sz="4" w:space="0" w:color="00B050"/>
            </w:tcBorders>
            <w:vAlign w:val="center"/>
            <w:hideMark/>
          </w:tcPr>
          <w:p w14:paraId="653305C8" w14:textId="77777777" w:rsidR="00B77012" w:rsidRPr="00B77012" w:rsidRDefault="00B77012" w:rsidP="00B77012">
            <w:pPr>
              <w:tabs>
                <w:tab w:val="clear" w:pos="7100"/>
              </w:tabs>
              <w:spacing w:line="240" w:lineRule="auto"/>
              <w:jc w:val="left"/>
              <w:rPr>
                <w:rFonts w:cs="Arial"/>
                <w:color w:val="000000"/>
                <w:sz w:val="14"/>
                <w:szCs w:val="14"/>
                <w:lang w:val="it-IT" w:eastAsia="it-IT"/>
              </w:rPr>
            </w:pPr>
          </w:p>
        </w:tc>
        <w:tc>
          <w:tcPr>
            <w:tcW w:w="1090" w:type="dxa"/>
            <w:vMerge/>
            <w:tcBorders>
              <w:top w:val="nil"/>
              <w:left w:val="single" w:sz="4" w:space="0" w:color="00B050"/>
              <w:bottom w:val="single" w:sz="4" w:space="0" w:color="00B050"/>
              <w:right w:val="single" w:sz="4" w:space="0" w:color="00B050"/>
            </w:tcBorders>
            <w:vAlign w:val="center"/>
            <w:hideMark/>
          </w:tcPr>
          <w:p w14:paraId="7171C0A4" w14:textId="77777777" w:rsidR="00B77012" w:rsidRPr="00B77012" w:rsidRDefault="00B77012" w:rsidP="00B77012">
            <w:pPr>
              <w:tabs>
                <w:tab w:val="clear" w:pos="7100"/>
              </w:tabs>
              <w:spacing w:line="240" w:lineRule="auto"/>
              <w:jc w:val="left"/>
              <w:rPr>
                <w:rFonts w:cs="Arial"/>
                <w:color w:val="000000"/>
                <w:sz w:val="14"/>
                <w:szCs w:val="14"/>
                <w:lang w:val="it-IT" w:eastAsia="it-IT"/>
              </w:rPr>
            </w:pPr>
          </w:p>
        </w:tc>
        <w:tc>
          <w:tcPr>
            <w:tcW w:w="1530" w:type="dxa"/>
            <w:vMerge/>
            <w:tcBorders>
              <w:top w:val="nil"/>
              <w:left w:val="single" w:sz="4" w:space="0" w:color="00B050"/>
              <w:bottom w:val="single" w:sz="4" w:space="0" w:color="00B050"/>
              <w:right w:val="single" w:sz="4" w:space="0" w:color="00B050"/>
            </w:tcBorders>
            <w:vAlign w:val="center"/>
            <w:hideMark/>
          </w:tcPr>
          <w:p w14:paraId="33F83E80" w14:textId="77777777" w:rsidR="00B77012" w:rsidRPr="00B77012" w:rsidRDefault="00B77012" w:rsidP="00B77012">
            <w:pPr>
              <w:tabs>
                <w:tab w:val="clear" w:pos="7100"/>
              </w:tabs>
              <w:spacing w:line="240" w:lineRule="auto"/>
              <w:jc w:val="left"/>
              <w:rPr>
                <w:rFonts w:cs="Arial"/>
                <w:color w:val="000000"/>
                <w:sz w:val="14"/>
                <w:szCs w:val="14"/>
                <w:lang w:val="it-IT" w:eastAsia="it-IT"/>
              </w:rPr>
            </w:pPr>
          </w:p>
        </w:tc>
        <w:tc>
          <w:tcPr>
            <w:tcW w:w="1000" w:type="dxa"/>
            <w:tcBorders>
              <w:top w:val="nil"/>
              <w:left w:val="nil"/>
              <w:bottom w:val="single" w:sz="4" w:space="0" w:color="00B050"/>
              <w:right w:val="single" w:sz="4" w:space="0" w:color="00B050"/>
            </w:tcBorders>
            <w:shd w:val="clear" w:color="auto" w:fill="auto"/>
            <w:vAlign w:val="center"/>
            <w:hideMark/>
          </w:tcPr>
          <w:p w14:paraId="55829621" w14:textId="77777777" w:rsidR="00B77012" w:rsidRPr="00B77012" w:rsidRDefault="00B77012" w:rsidP="00B77012">
            <w:pPr>
              <w:tabs>
                <w:tab w:val="clear" w:pos="7100"/>
              </w:tabs>
              <w:spacing w:line="240" w:lineRule="auto"/>
              <w:jc w:val="left"/>
              <w:rPr>
                <w:rFonts w:cs="Arial"/>
                <w:color w:val="000000"/>
                <w:sz w:val="14"/>
                <w:szCs w:val="14"/>
                <w:lang w:val="it-IT" w:eastAsia="it-IT"/>
              </w:rPr>
            </w:pPr>
            <w:r w:rsidRPr="00B77012">
              <w:rPr>
                <w:rFonts w:cs="Arial"/>
                <w:color w:val="000000"/>
                <w:sz w:val="14"/>
                <w:szCs w:val="14"/>
                <w:lang w:val="it-IT" w:eastAsia="it-IT"/>
              </w:rPr>
              <w:t>Child &lt;100</w:t>
            </w:r>
          </w:p>
        </w:tc>
        <w:tc>
          <w:tcPr>
            <w:tcW w:w="1220" w:type="dxa"/>
            <w:tcBorders>
              <w:top w:val="nil"/>
              <w:left w:val="nil"/>
              <w:bottom w:val="single" w:sz="4" w:space="0" w:color="00B050"/>
              <w:right w:val="single" w:sz="4" w:space="0" w:color="00B050"/>
            </w:tcBorders>
            <w:shd w:val="clear" w:color="auto" w:fill="auto"/>
            <w:vAlign w:val="center"/>
            <w:hideMark/>
          </w:tcPr>
          <w:p w14:paraId="0DC663D5" w14:textId="77777777" w:rsidR="00B77012" w:rsidRPr="00B77012" w:rsidRDefault="00B77012" w:rsidP="00B77012">
            <w:pPr>
              <w:tabs>
                <w:tab w:val="clear" w:pos="7100"/>
              </w:tabs>
              <w:spacing w:line="240" w:lineRule="auto"/>
              <w:jc w:val="left"/>
              <w:rPr>
                <w:rFonts w:cs="Arial"/>
                <w:color w:val="000000"/>
                <w:sz w:val="14"/>
                <w:szCs w:val="14"/>
                <w:lang w:val="it-IT" w:eastAsia="it-IT"/>
              </w:rPr>
            </w:pPr>
            <w:r w:rsidRPr="00B77012">
              <w:rPr>
                <w:rFonts w:cs="Arial"/>
                <w:color w:val="000000"/>
                <w:sz w:val="14"/>
                <w:szCs w:val="14"/>
                <w:lang w:val="it-IT" w:eastAsia="it-IT"/>
              </w:rPr>
              <w:t>≤ 500 ppm</w:t>
            </w:r>
          </w:p>
        </w:tc>
        <w:tc>
          <w:tcPr>
            <w:tcW w:w="1240" w:type="dxa"/>
            <w:vMerge/>
            <w:tcBorders>
              <w:top w:val="nil"/>
              <w:left w:val="single" w:sz="4" w:space="0" w:color="00B050"/>
              <w:bottom w:val="single" w:sz="4" w:space="0" w:color="00B050"/>
              <w:right w:val="nil"/>
            </w:tcBorders>
            <w:vAlign w:val="center"/>
            <w:hideMark/>
          </w:tcPr>
          <w:p w14:paraId="0EF08ED1" w14:textId="77777777" w:rsidR="00B77012" w:rsidRPr="00B77012" w:rsidRDefault="00B77012" w:rsidP="00B77012">
            <w:pPr>
              <w:tabs>
                <w:tab w:val="clear" w:pos="7100"/>
              </w:tabs>
              <w:spacing w:line="240" w:lineRule="auto"/>
              <w:jc w:val="left"/>
              <w:rPr>
                <w:rFonts w:cs="Arial"/>
                <w:color w:val="000000"/>
                <w:sz w:val="14"/>
                <w:szCs w:val="14"/>
                <w:lang w:val="it-IT" w:eastAsia="it-IT"/>
              </w:rPr>
            </w:pPr>
          </w:p>
        </w:tc>
      </w:tr>
      <w:tr w:rsidR="00B77012" w:rsidRPr="00B77012" w14:paraId="7DD06A28" w14:textId="77777777" w:rsidTr="00183179">
        <w:trPr>
          <w:trHeight w:val="360"/>
        </w:trPr>
        <w:tc>
          <w:tcPr>
            <w:tcW w:w="820" w:type="dxa"/>
            <w:vMerge w:val="restart"/>
            <w:tcBorders>
              <w:top w:val="nil"/>
              <w:left w:val="nil"/>
              <w:bottom w:val="single" w:sz="4" w:space="0" w:color="00B050"/>
              <w:right w:val="single" w:sz="4" w:space="0" w:color="00B050"/>
            </w:tcBorders>
            <w:shd w:val="clear" w:color="auto" w:fill="auto"/>
            <w:vAlign w:val="center"/>
            <w:hideMark/>
          </w:tcPr>
          <w:p w14:paraId="46E7031A" w14:textId="77777777" w:rsidR="00B77012" w:rsidRPr="00B77012" w:rsidRDefault="00B77012" w:rsidP="00B77012">
            <w:pPr>
              <w:tabs>
                <w:tab w:val="clear" w:pos="7100"/>
              </w:tabs>
              <w:spacing w:line="240" w:lineRule="auto"/>
              <w:jc w:val="left"/>
              <w:rPr>
                <w:rFonts w:cs="Arial"/>
                <w:color w:val="000000"/>
                <w:sz w:val="14"/>
                <w:szCs w:val="14"/>
                <w:lang w:val="it-IT" w:eastAsia="it-IT"/>
              </w:rPr>
            </w:pPr>
            <w:r w:rsidRPr="00B77012">
              <w:rPr>
                <w:rFonts w:cs="Arial"/>
                <w:color w:val="000000"/>
                <w:sz w:val="14"/>
                <w:szCs w:val="14"/>
                <w:lang w:val="it-IT" w:eastAsia="it-IT"/>
              </w:rPr>
              <w:t>7440-43-9</w:t>
            </w:r>
          </w:p>
        </w:tc>
        <w:tc>
          <w:tcPr>
            <w:tcW w:w="1090" w:type="dxa"/>
            <w:vMerge w:val="restart"/>
            <w:tcBorders>
              <w:top w:val="nil"/>
              <w:left w:val="single" w:sz="4" w:space="0" w:color="00B050"/>
              <w:bottom w:val="single" w:sz="4" w:space="0" w:color="00B050"/>
              <w:right w:val="single" w:sz="4" w:space="0" w:color="00B050"/>
            </w:tcBorders>
            <w:shd w:val="clear" w:color="auto" w:fill="auto"/>
            <w:vAlign w:val="center"/>
            <w:hideMark/>
          </w:tcPr>
          <w:p w14:paraId="276ECDD2" w14:textId="77777777" w:rsidR="00B77012" w:rsidRPr="00B77012" w:rsidRDefault="00B77012" w:rsidP="00B77012">
            <w:pPr>
              <w:tabs>
                <w:tab w:val="clear" w:pos="7100"/>
              </w:tabs>
              <w:spacing w:line="240" w:lineRule="auto"/>
              <w:jc w:val="left"/>
              <w:rPr>
                <w:rFonts w:cs="Arial"/>
                <w:color w:val="000000"/>
                <w:sz w:val="14"/>
                <w:szCs w:val="14"/>
                <w:lang w:val="it-IT" w:eastAsia="it-IT"/>
              </w:rPr>
            </w:pPr>
            <w:proofErr w:type="spellStart"/>
            <w:r w:rsidRPr="00B77012">
              <w:rPr>
                <w:rFonts w:cs="Arial"/>
                <w:color w:val="000000"/>
                <w:sz w:val="14"/>
                <w:szCs w:val="14"/>
                <w:lang w:val="it-IT" w:eastAsia="it-IT"/>
              </w:rPr>
              <w:t>Cadmium</w:t>
            </w:r>
            <w:proofErr w:type="spellEnd"/>
          </w:p>
        </w:tc>
        <w:tc>
          <w:tcPr>
            <w:tcW w:w="1530" w:type="dxa"/>
            <w:vMerge w:val="restart"/>
            <w:tcBorders>
              <w:top w:val="nil"/>
              <w:left w:val="single" w:sz="4" w:space="0" w:color="00B050"/>
              <w:bottom w:val="single" w:sz="4" w:space="0" w:color="00B050"/>
              <w:right w:val="single" w:sz="4" w:space="0" w:color="00B050"/>
            </w:tcBorders>
            <w:shd w:val="clear" w:color="auto" w:fill="auto"/>
            <w:vAlign w:val="center"/>
            <w:hideMark/>
          </w:tcPr>
          <w:p w14:paraId="60DAAECE" w14:textId="77777777" w:rsidR="00B77012" w:rsidRPr="00B77012" w:rsidRDefault="00B77012" w:rsidP="00B77012">
            <w:pPr>
              <w:tabs>
                <w:tab w:val="clear" w:pos="7100"/>
              </w:tabs>
              <w:spacing w:line="240" w:lineRule="auto"/>
              <w:jc w:val="left"/>
              <w:rPr>
                <w:rFonts w:cs="Arial"/>
                <w:color w:val="000000"/>
                <w:sz w:val="14"/>
                <w:szCs w:val="14"/>
                <w:lang w:val="it-IT" w:eastAsia="it-IT"/>
              </w:rPr>
            </w:pPr>
            <w:r w:rsidRPr="00B77012">
              <w:rPr>
                <w:rFonts w:cs="Arial"/>
                <w:color w:val="000000"/>
                <w:sz w:val="14"/>
                <w:szCs w:val="14"/>
                <w:lang w:val="it-IT" w:eastAsia="it-IT"/>
              </w:rPr>
              <w:t>CPSC-CH-E1001-08.3</w:t>
            </w:r>
          </w:p>
        </w:tc>
        <w:tc>
          <w:tcPr>
            <w:tcW w:w="1000" w:type="dxa"/>
            <w:tcBorders>
              <w:top w:val="nil"/>
              <w:left w:val="nil"/>
              <w:bottom w:val="single" w:sz="4" w:space="0" w:color="00B050"/>
              <w:right w:val="single" w:sz="4" w:space="0" w:color="00B050"/>
            </w:tcBorders>
            <w:shd w:val="clear" w:color="auto" w:fill="auto"/>
            <w:vAlign w:val="center"/>
            <w:hideMark/>
          </w:tcPr>
          <w:p w14:paraId="4070F38C" w14:textId="77777777" w:rsidR="00B77012" w:rsidRPr="00B77012" w:rsidRDefault="00B77012" w:rsidP="00B77012">
            <w:pPr>
              <w:tabs>
                <w:tab w:val="clear" w:pos="7100"/>
              </w:tabs>
              <w:spacing w:line="240" w:lineRule="auto"/>
              <w:jc w:val="left"/>
              <w:rPr>
                <w:rFonts w:cs="Arial"/>
                <w:color w:val="000000"/>
                <w:sz w:val="14"/>
                <w:szCs w:val="14"/>
                <w:lang w:val="it-IT" w:eastAsia="it-IT"/>
              </w:rPr>
            </w:pPr>
            <w:proofErr w:type="spellStart"/>
            <w:r w:rsidRPr="00B77012">
              <w:rPr>
                <w:rFonts w:cs="Arial"/>
                <w:color w:val="000000"/>
                <w:sz w:val="14"/>
                <w:szCs w:val="14"/>
                <w:lang w:val="it-IT" w:eastAsia="it-IT"/>
              </w:rPr>
              <w:t>Adult</w:t>
            </w:r>
            <w:proofErr w:type="spellEnd"/>
            <w:r w:rsidRPr="00B77012">
              <w:rPr>
                <w:rFonts w:cs="Arial"/>
                <w:color w:val="000000"/>
                <w:sz w:val="14"/>
                <w:szCs w:val="14"/>
                <w:lang w:val="it-IT" w:eastAsia="it-IT"/>
              </w:rPr>
              <w:t xml:space="preserve"> &lt;100</w:t>
            </w:r>
          </w:p>
        </w:tc>
        <w:tc>
          <w:tcPr>
            <w:tcW w:w="1220" w:type="dxa"/>
            <w:tcBorders>
              <w:top w:val="nil"/>
              <w:left w:val="nil"/>
              <w:bottom w:val="single" w:sz="4" w:space="0" w:color="00B050"/>
              <w:right w:val="single" w:sz="4" w:space="0" w:color="00B050"/>
            </w:tcBorders>
            <w:shd w:val="clear" w:color="auto" w:fill="auto"/>
            <w:vAlign w:val="center"/>
            <w:hideMark/>
          </w:tcPr>
          <w:p w14:paraId="483C0C1D" w14:textId="77777777" w:rsidR="00B77012" w:rsidRPr="00B77012" w:rsidRDefault="00B77012" w:rsidP="00B77012">
            <w:pPr>
              <w:tabs>
                <w:tab w:val="clear" w:pos="7100"/>
              </w:tabs>
              <w:spacing w:line="240" w:lineRule="auto"/>
              <w:jc w:val="left"/>
              <w:rPr>
                <w:rFonts w:cs="Arial"/>
                <w:color w:val="000000"/>
                <w:sz w:val="14"/>
                <w:szCs w:val="14"/>
                <w:lang w:val="it-IT" w:eastAsia="it-IT"/>
              </w:rPr>
            </w:pPr>
            <w:r w:rsidRPr="00B77012">
              <w:rPr>
                <w:rFonts w:cs="Arial"/>
                <w:color w:val="000000"/>
                <w:sz w:val="14"/>
                <w:szCs w:val="14"/>
                <w:lang w:val="it-IT" w:eastAsia="it-IT"/>
              </w:rPr>
              <w:t>≤ 0.01% by weight</w:t>
            </w:r>
          </w:p>
        </w:tc>
        <w:tc>
          <w:tcPr>
            <w:tcW w:w="1240" w:type="dxa"/>
            <w:tcBorders>
              <w:top w:val="nil"/>
              <w:left w:val="nil"/>
              <w:bottom w:val="single" w:sz="4" w:space="0" w:color="00B050"/>
              <w:right w:val="nil"/>
            </w:tcBorders>
            <w:shd w:val="clear" w:color="auto" w:fill="auto"/>
            <w:vAlign w:val="center"/>
            <w:hideMark/>
          </w:tcPr>
          <w:p w14:paraId="42A98E99" w14:textId="77777777" w:rsidR="00B77012" w:rsidRPr="00B77012" w:rsidRDefault="00B77012" w:rsidP="00B77012">
            <w:pPr>
              <w:tabs>
                <w:tab w:val="clear" w:pos="7100"/>
              </w:tabs>
              <w:spacing w:line="240" w:lineRule="auto"/>
              <w:jc w:val="left"/>
              <w:rPr>
                <w:rFonts w:cs="Arial"/>
                <w:color w:val="000000"/>
                <w:sz w:val="14"/>
                <w:szCs w:val="14"/>
                <w:lang w:val="it-IT" w:eastAsia="it-IT"/>
              </w:rPr>
            </w:pPr>
            <w:proofErr w:type="spellStart"/>
            <w:r w:rsidRPr="00B77012">
              <w:rPr>
                <w:rFonts w:cs="Arial"/>
                <w:color w:val="000000"/>
                <w:sz w:val="14"/>
                <w:szCs w:val="14"/>
                <w:lang w:val="it-IT" w:eastAsia="it-IT"/>
              </w:rPr>
              <w:t>Only</w:t>
            </w:r>
            <w:proofErr w:type="spellEnd"/>
            <w:r w:rsidRPr="00B77012">
              <w:rPr>
                <w:rFonts w:cs="Arial"/>
                <w:color w:val="000000"/>
                <w:sz w:val="14"/>
                <w:szCs w:val="14"/>
                <w:lang w:val="it-IT" w:eastAsia="it-IT"/>
              </w:rPr>
              <w:t xml:space="preserve"> </w:t>
            </w:r>
            <w:proofErr w:type="spellStart"/>
            <w:r w:rsidRPr="00B77012">
              <w:rPr>
                <w:rFonts w:cs="Arial"/>
                <w:color w:val="000000"/>
                <w:sz w:val="14"/>
                <w:szCs w:val="14"/>
                <w:lang w:val="it-IT" w:eastAsia="it-IT"/>
              </w:rPr>
              <w:t>children</w:t>
            </w:r>
            <w:proofErr w:type="spellEnd"/>
            <w:r w:rsidRPr="00B77012">
              <w:rPr>
                <w:rFonts w:cs="Arial"/>
                <w:color w:val="000000"/>
                <w:sz w:val="14"/>
                <w:szCs w:val="14"/>
                <w:lang w:val="it-IT" w:eastAsia="it-IT"/>
              </w:rPr>
              <w:t xml:space="preserve"> </w:t>
            </w:r>
            <w:proofErr w:type="spellStart"/>
            <w:r w:rsidRPr="00B77012">
              <w:rPr>
                <w:rFonts w:cs="Arial"/>
                <w:color w:val="000000"/>
                <w:sz w:val="14"/>
                <w:szCs w:val="14"/>
                <w:lang w:val="it-IT" w:eastAsia="it-IT"/>
              </w:rPr>
              <w:t>requirements</w:t>
            </w:r>
            <w:proofErr w:type="spellEnd"/>
          </w:p>
        </w:tc>
      </w:tr>
      <w:tr w:rsidR="00B77012" w:rsidRPr="00B77012" w14:paraId="59DDA099" w14:textId="77777777" w:rsidTr="00183179">
        <w:trPr>
          <w:trHeight w:val="300"/>
        </w:trPr>
        <w:tc>
          <w:tcPr>
            <w:tcW w:w="820" w:type="dxa"/>
            <w:vMerge/>
            <w:tcBorders>
              <w:top w:val="nil"/>
              <w:left w:val="nil"/>
              <w:bottom w:val="single" w:sz="4" w:space="0" w:color="00B050"/>
              <w:right w:val="single" w:sz="4" w:space="0" w:color="00B050"/>
            </w:tcBorders>
            <w:vAlign w:val="center"/>
            <w:hideMark/>
          </w:tcPr>
          <w:p w14:paraId="3F8573EC" w14:textId="77777777" w:rsidR="00B77012" w:rsidRPr="00B77012" w:rsidRDefault="00B77012" w:rsidP="00B77012">
            <w:pPr>
              <w:tabs>
                <w:tab w:val="clear" w:pos="7100"/>
              </w:tabs>
              <w:spacing w:line="240" w:lineRule="auto"/>
              <w:jc w:val="left"/>
              <w:rPr>
                <w:rFonts w:cs="Arial"/>
                <w:color w:val="000000"/>
                <w:sz w:val="14"/>
                <w:szCs w:val="14"/>
                <w:lang w:val="it-IT" w:eastAsia="it-IT"/>
              </w:rPr>
            </w:pPr>
          </w:p>
        </w:tc>
        <w:tc>
          <w:tcPr>
            <w:tcW w:w="1090" w:type="dxa"/>
            <w:vMerge/>
            <w:tcBorders>
              <w:top w:val="nil"/>
              <w:left w:val="single" w:sz="4" w:space="0" w:color="00B050"/>
              <w:bottom w:val="single" w:sz="4" w:space="0" w:color="00B050"/>
              <w:right w:val="single" w:sz="4" w:space="0" w:color="00B050"/>
            </w:tcBorders>
            <w:vAlign w:val="center"/>
            <w:hideMark/>
          </w:tcPr>
          <w:p w14:paraId="7DBCF414" w14:textId="77777777" w:rsidR="00B77012" w:rsidRPr="00B77012" w:rsidRDefault="00B77012" w:rsidP="00B77012">
            <w:pPr>
              <w:tabs>
                <w:tab w:val="clear" w:pos="7100"/>
              </w:tabs>
              <w:spacing w:line="240" w:lineRule="auto"/>
              <w:jc w:val="left"/>
              <w:rPr>
                <w:rFonts w:cs="Arial"/>
                <w:color w:val="000000"/>
                <w:sz w:val="14"/>
                <w:szCs w:val="14"/>
                <w:lang w:val="it-IT" w:eastAsia="it-IT"/>
              </w:rPr>
            </w:pPr>
          </w:p>
        </w:tc>
        <w:tc>
          <w:tcPr>
            <w:tcW w:w="1530" w:type="dxa"/>
            <w:vMerge/>
            <w:tcBorders>
              <w:top w:val="nil"/>
              <w:left w:val="single" w:sz="4" w:space="0" w:color="00B050"/>
              <w:bottom w:val="single" w:sz="4" w:space="0" w:color="00B050"/>
              <w:right w:val="single" w:sz="4" w:space="0" w:color="00B050"/>
            </w:tcBorders>
            <w:vAlign w:val="center"/>
            <w:hideMark/>
          </w:tcPr>
          <w:p w14:paraId="54ECB12E" w14:textId="77777777" w:rsidR="00B77012" w:rsidRPr="00B77012" w:rsidRDefault="00B77012" w:rsidP="00B77012">
            <w:pPr>
              <w:tabs>
                <w:tab w:val="clear" w:pos="7100"/>
              </w:tabs>
              <w:spacing w:line="240" w:lineRule="auto"/>
              <w:jc w:val="left"/>
              <w:rPr>
                <w:rFonts w:cs="Arial"/>
                <w:color w:val="000000"/>
                <w:sz w:val="14"/>
                <w:szCs w:val="14"/>
                <w:lang w:val="it-IT" w:eastAsia="it-IT"/>
              </w:rPr>
            </w:pPr>
          </w:p>
        </w:tc>
        <w:tc>
          <w:tcPr>
            <w:tcW w:w="1000" w:type="dxa"/>
            <w:tcBorders>
              <w:top w:val="nil"/>
              <w:left w:val="nil"/>
              <w:bottom w:val="single" w:sz="4" w:space="0" w:color="00B050"/>
              <w:right w:val="single" w:sz="4" w:space="0" w:color="00B050"/>
            </w:tcBorders>
            <w:shd w:val="clear" w:color="auto" w:fill="auto"/>
            <w:vAlign w:val="center"/>
            <w:hideMark/>
          </w:tcPr>
          <w:p w14:paraId="17560CC0" w14:textId="77777777" w:rsidR="00B77012" w:rsidRPr="00B77012" w:rsidRDefault="00B77012" w:rsidP="00B77012">
            <w:pPr>
              <w:tabs>
                <w:tab w:val="clear" w:pos="7100"/>
              </w:tabs>
              <w:spacing w:line="240" w:lineRule="auto"/>
              <w:jc w:val="left"/>
              <w:rPr>
                <w:rFonts w:cs="Arial"/>
                <w:color w:val="000000"/>
                <w:sz w:val="14"/>
                <w:szCs w:val="14"/>
                <w:lang w:val="it-IT" w:eastAsia="it-IT"/>
              </w:rPr>
            </w:pPr>
            <w:r w:rsidRPr="00B77012">
              <w:rPr>
                <w:rFonts w:cs="Arial"/>
                <w:color w:val="000000"/>
                <w:sz w:val="14"/>
                <w:szCs w:val="14"/>
                <w:lang w:val="it-IT" w:eastAsia="it-IT"/>
              </w:rPr>
              <w:t>Child &lt;100</w:t>
            </w:r>
          </w:p>
        </w:tc>
        <w:tc>
          <w:tcPr>
            <w:tcW w:w="1220" w:type="dxa"/>
            <w:tcBorders>
              <w:top w:val="nil"/>
              <w:left w:val="nil"/>
              <w:bottom w:val="single" w:sz="4" w:space="0" w:color="00B050"/>
              <w:right w:val="single" w:sz="4" w:space="0" w:color="00B050"/>
            </w:tcBorders>
            <w:shd w:val="clear" w:color="auto" w:fill="auto"/>
            <w:vAlign w:val="center"/>
            <w:hideMark/>
          </w:tcPr>
          <w:p w14:paraId="5B33EFD3" w14:textId="77777777" w:rsidR="00B77012" w:rsidRPr="00B77012" w:rsidRDefault="00B77012" w:rsidP="00B77012">
            <w:pPr>
              <w:tabs>
                <w:tab w:val="clear" w:pos="7100"/>
              </w:tabs>
              <w:spacing w:line="240" w:lineRule="auto"/>
              <w:jc w:val="left"/>
              <w:rPr>
                <w:rFonts w:cs="Arial"/>
                <w:color w:val="000000"/>
                <w:sz w:val="14"/>
                <w:szCs w:val="14"/>
                <w:lang w:val="it-IT" w:eastAsia="it-IT"/>
              </w:rPr>
            </w:pPr>
            <w:r w:rsidRPr="00B77012">
              <w:rPr>
                <w:rFonts w:cs="Arial"/>
                <w:color w:val="000000"/>
                <w:sz w:val="14"/>
                <w:szCs w:val="14"/>
                <w:lang w:val="it-IT" w:eastAsia="it-IT"/>
              </w:rPr>
              <w:t>≤ 100 ppm</w:t>
            </w:r>
          </w:p>
        </w:tc>
        <w:tc>
          <w:tcPr>
            <w:tcW w:w="1240" w:type="dxa"/>
            <w:tcBorders>
              <w:top w:val="nil"/>
              <w:left w:val="nil"/>
              <w:bottom w:val="single" w:sz="4" w:space="0" w:color="00B050"/>
              <w:right w:val="nil"/>
            </w:tcBorders>
            <w:shd w:val="clear" w:color="auto" w:fill="auto"/>
            <w:vAlign w:val="center"/>
            <w:hideMark/>
          </w:tcPr>
          <w:p w14:paraId="728455D4" w14:textId="77777777" w:rsidR="00B77012" w:rsidRPr="00B77012" w:rsidRDefault="00B77012" w:rsidP="00B77012">
            <w:pPr>
              <w:tabs>
                <w:tab w:val="clear" w:pos="7100"/>
              </w:tabs>
              <w:spacing w:line="240" w:lineRule="auto"/>
              <w:jc w:val="left"/>
              <w:rPr>
                <w:rFonts w:cs="Arial"/>
                <w:color w:val="000000"/>
                <w:sz w:val="14"/>
                <w:szCs w:val="14"/>
                <w:lang w:val="it-IT" w:eastAsia="it-IT"/>
              </w:rPr>
            </w:pPr>
            <w:r w:rsidRPr="00B77012">
              <w:rPr>
                <w:rFonts w:cs="Arial"/>
                <w:color w:val="000000"/>
                <w:sz w:val="14"/>
                <w:szCs w:val="14"/>
                <w:lang w:val="it-IT" w:eastAsia="it-IT"/>
              </w:rPr>
              <w:t> </w:t>
            </w:r>
          </w:p>
        </w:tc>
      </w:tr>
      <w:tr w:rsidR="00B77012" w:rsidRPr="00B77012" w14:paraId="35D26EC5" w14:textId="77777777" w:rsidTr="00183179">
        <w:trPr>
          <w:trHeight w:val="315"/>
        </w:trPr>
        <w:tc>
          <w:tcPr>
            <w:tcW w:w="820" w:type="dxa"/>
            <w:tcBorders>
              <w:top w:val="nil"/>
              <w:left w:val="nil"/>
              <w:bottom w:val="single" w:sz="12" w:space="0" w:color="00B050"/>
              <w:right w:val="single" w:sz="4" w:space="0" w:color="00B050"/>
            </w:tcBorders>
            <w:shd w:val="clear" w:color="auto" w:fill="auto"/>
            <w:vAlign w:val="center"/>
            <w:hideMark/>
          </w:tcPr>
          <w:p w14:paraId="2666EDB8" w14:textId="77777777" w:rsidR="00B77012" w:rsidRPr="00B77012" w:rsidRDefault="00B77012" w:rsidP="00B77012">
            <w:pPr>
              <w:tabs>
                <w:tab w:val="clear" w:pos="7100"/>
              </w:tabs>
              <w:spacing w:line="240" w:lineRule="auto"/>
              <w:jc w:val="left"/>
              <w:rPr>
                <w:rFonts w:cs="Arial"/>
                <w:color w:val="000000"/>
                <w:sz w:val="14"/>
                <w:szCs w:val="14"/>
                <w:lang w:val="it-IT" w:eastAsia="it-IT"/>
              </w:rPr>
            </w:pPr>
            <w:r w:rsidRPr="00B77012">
              <w:rPr>
                <w:rFonts w:cs="Arial"/>
                <w:color w:val="000000"/>
                <w:sz w:val="14"/>
                <w:szCs w:val="14"/>
                <w:lang w:val="it-IT" w:eastAsia="it-IT"/>
              </w:rPr>
              <w:t>7439-97-6</w:t>
            </w:r>
          </w:p>
        </w:tc>
        <w:tc>
          <w:tcPr>
            <w:tcW w:w="1090" w:type="dxa"/>
            <w:tcBorders>
              <w:top w:val="nil"/>
              <w:left w:val="nil"/>
              <w:bottom w:val="single" w:sz="12" w:space="0" w:color="00B050"/>
              <w:right w:val="single" w:sz="4" w:space="0" w:color="00B050"/>
            </w:tcBorders>
            <w:shd w:val="clear" w:color="auto" w:fill="auto"/>
            <w:vAlign w:val="center"/>
            <w:hideMark/>
          </w:tcPr>
          <w:p w14:paraId="55BA610B" w14:textId="77777777" w:rsidR="00B77012" w:rsidRPr="00B77012" w:rsidRDefault="00B77012" w:rsidP="00B77012">
            <w:pPr>
              <w:tabs>
                <w:tab w:val="clear" w:pos="7100"/>
              </w:tabs>
              <w:spacing w:line="240" w:lineRule="auto"/>
              <w:jc w:val="left"/>
              <w:rPr>
                <w:rFonts w:cs="Arial"/>
                <w:color w:val="000000"/>
                <w:sz w:val="14"/>
                <w:szCs w:val="14"/>
                <w:lang w:val="it-IT" w:eastAsia="it-IT"/>
              </w:rPr>
            </w:pPr>
            <w:r w:rsidRPr="00B77012">
              <w:rPr>
                <w:rFonts w:cs="Arial"/>
                <w:color w:val="000000"/>
                <w:sz w:val="14"/>
                <w:szCs w:val="14"/>
                <w:lang w:val="it-IT" w:eastAsia="it-IT"/>
              </w:rPr>
              <w:t>Mercury</w:t>
            </w:r>
          </w:p>
        </w:tc>
        <w:tc>
          <w:tcPr>
            <w:tcW w:w="1530" w:type="dxa"/>
            <w:tcBorders>
              <w:top w:val="nil"/>
              <w:left w:val="nil"/>
              <w:bottom w:val="single" w:sz="12" w:space="0" w:color="00B050"/>
              <w:right w:val="single" w:sz="4" w:space="0" w:color="00B050"/>
            </w:tcBorders>
            <w:shd w:val="clear" w:color="auto" w:fill="auto"/>
            <w:vAlign w:val="center"/>
            <w:hideMark/>
          </w:tcPr>
          <w:p w14:paraId="6A29BB7C" w14:textId="77777777" w:rsidR="00B77012" w:rsidRPr="00B77012" w:rsidRDefault="00B77012" w:rsidP="00B77012">
            <w:pPr>
              <w:tabs>
                <w:tab w:val="clear" w:pos="7100"/>
              </w:tabs>
              <w:spacing w:line="240" w:lineRule="auto"/>
              <w:jc w:val="left"/>
              <w:rPr>
                <w:rFonts w:cs="Arial"/>
                <w:color w:val="000000"/>
                <w:sz w:val="14"/>
                <w:szCs w:val="14"/>
                <w:lang w:val="it-IT" w:eastAsia="it-IT"/>
              </w:rPr>
            </w:pPr>
            <w:r w:rsidRPr="00B77012">
              <w:rPr>
                <w:rFonts w:cs="Arial"/>
                <w:color w:val="000000"/>
                <w:sz w:val="14"/>
                <w:szCs w:val="14"/>
                <w:lang w:val="it-IT" w:eastAsia="it-IT"/>
              </w:rPr>
              <w:t>CPSC-CH-E1001-08.3</w:t>
            </w:r>
          </w:p>
        </w:tc>
        <w:tc>
          <w:tcPr>
            <w:tcW w:w="1000" w:type="dxa"/>
            <w:tcBorders>
              <w:top w:val="nil"/>
              <w:left w:val="nil"/>
              <w:bottom w:val="single" w:sz="12" w:space="0" w:color="00B050"/>
              <w:right w:val="single" w:sz="4" w:space="0" w:color="00B050"/>
            </w:tcBorders>
            <w:shd w:val="clear" w:color="auto" w:fill="auto"/>
            <w:vAlign w:val="center"/>
            <w:hideMark/>
          </w:tcPr>
          <w:p w14:paraId="5E0A71BE" w14:textId="77777777" w:rsidR="00B77012" w:rsidRPr="00B77012" w:rsidRDefault="00B77012" w:rsidP="00B77012">
            <w:pPr>
              <w:tabs>
                <w:tab w:val="clear" w:pos="7100"/>
              </w:tabs>
              <w:spacing w:line="240" w:lineRule="auto"/>
              <w:jc w:val="left"/>
              <w:rPr>
                <w:rFonts w:cs="Arial"/>
                <w:color w:val="000000"/>
                <w:sz w:val="14"/>
                <w:szCs w:val="14"/>
                <w:lang w:val="it-IT" w:eastAsia="it-IT"/>
              </w:rPr>
            </w:pPr>
            <w:r w:rsidRPr="00B77012">
              <w:rPr>
                <w:rFonts w:cs="Arial"/>
                <w:color w:val="000000"/>
                <w:sz w:val="14"/>
                <w:szCs w:val="14"/>
                <w:lang w:val="it-IT" w:eastAsia="it-IT"/>
              </w:rPr>
              <w:t>&lt;1</w:t>
            </w:r>
          </w:p>
        </w:tc>
        <w:tc>
          <w:tcPr>
            <w:tcW w:w="1220" w:type="dxa"/>
            <w:tcBorders>
              <w:top w:val="nil"/>
              <w:left w:val="nil"/>
              <w:bottom w:val="single" w:sz="12" w:space="0" w:color="00B050"/>
              <w:right w:val="single" w:sz="4" w:space="0" w:color="00B050"/>
            </w:tcBorders>
            <w:shd w:val="clear" w:color="auto" w:fill="auto"/>
            <w:vAlign w:val="center"/>
            <w:hideMark/>
          </w:tcPr>
          <w:p w14:paraId="51BA5CDD" w14:textId="77777777" w:rsidR="00B77012" w:rsidRPr="00B77012" w:rsidRDefault="00B77012" w:rsidP="00B77012">
            <w:pPr>
              <w:tabs>
                <w:tab w:val="clear" w:pos="7100"/>
              </w:tabs>
              <w:spacing w:line="240" w:lineRule="auto"/>
              <w:jc w:val="left"/>
              <w:rPr>
                <w:rFonts w:cs="Arial"/>
                <w:color w:val="000000"/>
                <w:sz w:val="14"/>
                <w:szCs w:val="14"/>
                <w:lang w:val="it-IT" w:eastAsia="it-IT"/>
              </w:rPr>
            </w:pPr>
            <w:r w:rsidRPr="00B77012">
              <w:rPr>
                <w:rFonts w:cs="Arial"/>
                <w:color w:val="000000"/>
                <w:sz w:val="14"/>
                <w:szCs w:val="14"/>
                <w:lang w:val="it-IT" w:eastAsia="it-IT"/>
              </w:rPr>
              <w:t>≤ 0.01% by weight</w:t>
            </w:r>
          </w:p>
        </w:tc>
        <w:tc>
          <w:tcPr>
            <w:tcW w:w="1240" w:type="dxa"/>
            <w:tcBorders>
              <w:top w:val="nil"/>
              <w:left w:val="nil"/>
              <w:bottom w:val="single" w:sz="12" w:space="0" w:color="00B050"/>
              <w:right w:val="nil"/>
            </w:tcBorders>
            <w:shd w:val="clear" w:color="auto" w:fill="auto"/>
            <w:vAlign w:val="center"/>
            <w:hideMark/>
          </w:tcPr>
          <w:p w14:paraId="75897821" w14:textId="77777777" w:rsidR="00B77012" w:rsidRPr="00B77012" w:rsidRDefault="00B77012" w:rsidP="00B77012">
            <w:pPr>
              <w:tabs>
                <w:tab w:val="clear" w:pos="7100"/>
              </w:tabs>
              <w:spacing w:line="240" w:lineRule="auto"/>
              <w:jc w:val="left"/>
              <w:rPr>
                <w:rFonts w:cs="Arial"/>
                <w:color w:val="000000"/>
                <w:sz w:val="14"/>
                <w:szCs w:val="14"/>
                <w:lang w:val="it-IT" w:eastAsia="it-IT"/>
              </w:rPr>
            </w:pPr>
            <w:r w:rsidRPr="00B77012">
              <w:rPr>
                <w:rFonts w:cs="Arial"/>
                <w:color w:val="000000"/>
                <w:sz w:val="14"/>
                <w:szCs w:val="14"/>
                <w:lang w:val="it-IT" w:eastAsia="it-IT"/>
              </w:rPr>
              <w:t>≤ 0.01% by weight</w:t>
            </w:r>
          </w:p>
        </w:tc>
      </w:tr>
    </w:tbl>
    <w:p w14:paraId="7295FB0F" w14:textId="77777777" w:rsidR="00C24ED0" w:rsidRDefault="00C24ED0" w:rsidP="00C24ED0">
      <w:pPr>
        <w:pStyle w:val="CETBodytext"/>
        <w:rPr>
          <w:lang w:val="en-GB"/>
        </w:rPr>
      </w:pPr>
    </w:p>
    <w:p w14:paraId="477D4C21" w14:textId="46C09F99" w:rsidR="00B77012" w:rsidRDefault="00B77012" w:rsidP="00B77012">
      <w:pPr>
        <w:pStyle w:val="CETBodytext"/>
        <w:rPr>
          <w:i/>
          <w:lang w:val="en-GB"/>
        </w:rPr>
      </w:pPr>
      <w:r w:rsidRPr="00B77012">
        <w:rPr>
          <w:i/>
          <w:lang w:val="en-GB"/>
        </w:rPr>
        <w:t xml:space="preserve">Table </w:t>
      </w:r>
      <w:r w:rsidRPr="00B77012">
        <w:rPr>
          <w:i/>
          <w:lang w:val="en-GB"/>
        </w:rPr>
        <w:fldChar w:fldCharType="begin"/>
      </w:r>
      <w:r w:rsidRPr="00B77012">
        <w:rPr>
          <w:i/>
          <w:lang w:val="en-GB"/>
        </w:rPr>
        <w:instrText xml:space="preserve"> SEQ Table \* ARABIC </w:instrText>
      </w:r>
      <w:r w:rsidRPr="00B77012">
        <w:rPr>
          <w:i/>
          <w:lang w:val="en-GB"/>
        </w:rPr>
        <w:fldChar w:fldCharType="separate"/>
      </w:r>
      <w:r w:rsidRPr="00B77012">
        <w:rPr>
          <w:i/>
          <w:lang w:val="en-GB"/>
        </w:rPr>
        <w:t>2</w:t>
      </w:r>
      <w:r w:rsidRPr="00B77012">
        <w:rPr>
          <w:i/>
          <w:lang w:val="en-GB"/>
        </w:rPr>
        <w:fldChar w:fldCharType="end"/>
      </w:r>
      <w:r w:rsidRPr="00B77012">
        <w:rPr>
          <w:i/>
          <w:lang w:val="en-GB"/>
        </w:rPr>
        <w:t xml:space="preserve">: Restricted substances table for spectacles and sunlenses. In this case, the detail for “METAL COMPONENTS” (Heavy Metals, Total content) has been reported as an illustrative example in order to </w:t>
      </w:r>
      <w:r w:rsidR="00183179">
        <w:rPr>
          <w:i/>
          <w:lang w:val="en-GB"/>
        </w:rPr>
        <w:t xml:space="preserve">compare </w:t>
      </w:r>
      <w:r w:rsidRPr="00B77012">
        <w:rPr>
          <w:i/>
          <w:lang w:val="en-GB"/>
        </w:rPr>
        <w:t xml:space="preserve">ANFAO </w:t>
      </w:r>
      <w:r w:rsidR="00183179">
        <w:rPr>
          <w:i/>
          <w:lang w:val="en-GB"/>
        </w:rPr>
        <w:t xml:space="preserve">limits </w:t>
      </w:r>
      <w:r w:rsidRPr="00B77012">
        <w:rPr>
          <w:i/>
          <w:lang w:val="en-GB"/>
        </w:rPr>
        <w:t xml:space="preserve">and </w:t>
      </w:r>
      <w:r w:rsidR="00183179">
        <w:rPr>
          <w:i/>
          <w:lang w:val="en-GB"/>
        </w:rPr>
        <w:t xml:space="preserve">those reported in a </w:t>
      </w:r>
      <w:r w:rsidR="00183179" w:rsidRPr="00183179">
        <w:rPr>
          <w:i/>
          <w:lang w:val="en-GB"/>
        </w:rPr>
        <w:t>PRSL of an International brand</w:t>
      </w:r>
      <w:r w:rsidR="00183179">
        <w:rPr>
          <w:i/>
          <w:lang w:val="en-GB"/>
        </w:rPr>
        <w:t xml:space="preserve"> (Brand X). </w:t>
      </w:r>
      <w:r w:rsidRPr="00B77012">
        <w:rPr>
          <w:i/>
          <w:lang w:val="en-GB"/>
        </w:rPr>
        <w:t>The table shows the limits for three elements: Lead</w:t>
      </w:r>
      <w:r w:rsidR="004A6E0C">
        <w:rPr>
          <w:i/>
          <w:lang w:val="en-GB"/>
        </w:rPr>
        <w:t xml:space="preserve"> (Pb)</w:t>
      </w:r>
      <w:r w:rsidRPr="00B77012">
        <w:rPr>
          <w:i/>
          <w:lang w:val="en-GB"/>
        </w:rPr>
        <w:t>, Cadmium</w:t>
      </w:r>
      <w:r w:rsidR="004A6E0C">
        <w:rPr>
          <w:i/>
          <w:lang w:val="en-GB"/>
        </w:rPr>
        <w:t xml:space="preserve"> (Cd)</w:t>
      </w:r>
      <w:r w:rsidRPr="00B77012">
        <w:rPr>
          <w:i/>
          <w:lang w:val="en-GB"/>
        </w:rPr>
        <w:t xml:space="preserve"> and Mercury</w:t>
      </w:r>
      <w:r w:rsidR="004A6E0C">
        <w:rPr>
          <w:i/>
          <w:lang w:val="en-GB"/>
        </w:rPr>
        <w:t xml:space="preserve"> (Hg)</w:t>
      </w:r>
      <w:r w:rsidRPr="00B77012">
        <w:rPr>
          <w:i/>
          <w:lang w:val="en-GB"/>
        </w:rPr>
        <w:t>.</w:t>
      </w:r>
    </w:p>
    <w:p w14:paraId="4BB79E37" w14:textId="77777777" w:rsidR="00183179" w:rsidRPr="00B77012" w:rsidRDefault="00183179" w:rsidP="00B77012">
      <w:pPr>
        <w:pStyle w:val="CETBodytext"/>
        <w:rPr>
          <w:i/>
          <w:lang w:val="en-GB"/>
        </w:rPr>
      </w:pPr>
    </w:p>
    <w:tbl>
      <w:tblPr>
        <w:tblW w:w="7938" w:type="dxa"/>
        <w:tblCellMar>
          <w:left w:w="70" w:type="dxa"/>
          <w:right w:w="70" w:type="dxa"/>
        </w:tblCellMar>
        <w:tblLook w:val="04A0" w:firstRow="1" w:lastRow="0" w:firstColumn="1" w:lastColumn="0" w:noHBand="0" w:noVBand="1"/>
      </w:tblPr>
      <w:tblGrid>
        <w:gridCol w:w="1090"/>
        <w:gridCol w:w="873"/>
        <w:gridCol w:w="877"/>
        <w:gridCol w:w="958"/>
        <w:gridCol w:w="1518"/>
        <w:gridCol w:w="2622"/>
      </w:tblGrid>
      <w:tr w:rsidR="00183179" w:rsidRPr="00183179" w14:paraId="122D23FC" w14:textId="77777777" w:rsidTr="00183179">
        <w:trPr>
          <w:trHeight w:val="300"/>
        </w:trPr>
        <w:tc>
          <w:tcPr>
            <w:tcW w:w="7938" w:type="dxa"/>
            <w:gridSpan w:val="6"/>
            <w:tcBorders>
              <w:top w:val="single" w:sz="4" w:space="0" w:color="00B050"/>
              <w:left w:val="nil"/>
              <w:bottom w:val="single" w:sz="4" w:space="0" w:color="00B050"/>
              <w:right w:val="single" w:sz="4" w:space="0" w:color="00B050"/>
            </w:tcBorders>
            <w:shd w:val="clear" w:color="auto" w:fill="auto"/>
            <w:vAlign w:val="center"/>
            <w:hideMark/>
          </w:tcPr>
          <w:p w14:paraId="185BBB4C" w14:textId="77777777" w:rsidR="00183179" w:rsidRPr="00183179" w:rsidRDefault="00183179" w:rsidP="00183179">
            <w:pPr>
              <w:tabs>
                <w:tab w:val="clear" w:pos="7100"/>
              </w:tabs>
              <w:spacing w:line="240" w:lineRule="auto"/>
              <w:jc w:val="left"/>
              <w:rPr>
                <w:rFonts w:cs="Arial"/>
                <w:color w:val="000000"/>
                <w:sz w:val="14"/>
                <w:szCs w:val="14"/>
                <w:lang w:val="it-IT" w:eastAsia="it-IT"/>
              </w:rPr>
            </w:pPr>
            <w:r w:rsidRPr="00183179">
              <w:rPr>
                <w:rFonts w:cs="Arial"/>
                <w:color w:val="000000"/>
                <w:sz w:val="14"/>
                <w:szCs w:val="14"/>
                <w:lang w:val="it-IT" w:eastAsia="it-IT"/>
              </w:rPr>
              <w:t>METAL COMPONENTS</w:t>
            </w:r>
          </w:p>
        </w:tc>
      </w:tr>
      <w:tr w:rsidR="00183179" w:rsidRPr="00183179" w14:paraId="30D59C86" w14:textId="77777777" w:rsidTr="00183179">
        <w:trPr>
          <w:trHeight w:val="300"/>
        </w:trPr>
        <w:tc>
          <w:tcPr>
            <w:tcW w:w="7938" w:type="dxa"/>
            <w:gridSpan w:val="6"/>
            <w:tcBorders>
              <w:top w:val="single" w:sz="4" w:space="0" w:color="00B050"/>
              <w:left w:val="nil"/>
              <w:bottom w:val="single" w:sz="4" w:space="0" w:color="00B050"/>
              <w:right w:val="single" w:sz="4" w:space="0" w:color="00B050"/>
            </w:tcBorders>
            <w:shd w:val="clear" w:color="auto" w:fill="auto"/>
            <w:vAlign w:val="center"/>
            <w:hideMark/>
          </w:tcPr>
          <w:p w14:paraId="68CA3810" w14:textId="77777777" w:rsidR="00183179" w:rsidRPr="00183179" w:rsidRDefault="00183179" w:rsidP="00183179">
            <w:pPr>
              <w:tabs>
                <w:tab w:val="clear" w:pos="7100"/>
              </w:tabs>
              <w:spacing w:line="240" w:lineRule="auto"/>
              <w:jc w:val="left"/>
              <w:rPr>
                <w:rFonts w:cs="Arial"/>
                <w:color w:val="000000"/>
                <w:sz w:val="14"/>
                <w:szCs w:val="14"/>
                <w:lang w:val="it-IT" w:eastAsia="it-IT"/>
              </w:rPr>
            </w:pPr>
            <w:r w:rsidRPr="00183179">
              <w:rPr>
                <w:rFonts w:cs="Arial"/>
                <w:color w:val="000000"/>
                <w:sz w:val="14"/>
                <w:szCs w:val="14"/>
                <w:lang w:val="it-IT" w:eastAsia="it-IT"/>
              </w:rPr>
              <w:t>Heavy Metals (TOTAL CONTENT)</w:t>
            </w:r>
          </w:p>
        </w:tc>
      </w:tr>
      <w:tr w:rsidR="00183179" w:rsidRPr="00183179" w14:paraId="19EE5199" w14:textId="77777777" w:rsidTr="00183179">
        <w:trPr>
          <w:trHeight w:val="735"/>
        </w:trPr>
        <w:tc>
          <w:tcPr>
            <w:tcW w:w="1090" w:type="dxa"/>
            <w:tcBorders>
              <w:top w:val="nil"/>
              <w:left w:val="single" w:sz="4" w:space="0" w:color="00B050"/>
              <w:bottom w:val="single" w:sz="4" w:space="0" w:color="00B050"/>
              <w:right w:val="single" w:sz="4" w:space="0" w:color="00B050"/>
            </w:tcBorders>
            <w:shd w:val="clear" w:color="auto" w:fill="auto"/>
            <w:vAlign w:val="center"/>
            <w:hideMark/>
          </w:tcPr>
          <w:p w14:paraId="0DE28AF0" w14:textId="77777777" w:rsidR="00183179" w:rsidRPr="00183179" w:rsidRDefault="00183179" w:rsidP="00183179">
            <w:pPr>
              <w:tabs>
                <w:tab w:val="clear" w:pos="7100"/>
              </w:tabs>
              <w:spacing w:line="240" w:lineRule="auto"/>
              <w:jc w:val="left"/>
              <w:rPr>
                <w:rFonts w:cs="Arial"/>
                <w:color w:val="000000"/>
                <w:sz w:val="14"/>
                <w:szCs w:val="14"/>
                <w:lang w:val="it-IT" w:eastAsia="it-IT"/>
              </w:rPr>
            </w:pPr>
            <w:r w:rsidRPr="00183179">
              <w:rPr>
                <w:rFonts w:cs="Arial"/>
                <w:color w:val="000000"/>
                <w:sz w:val="14"/>
                <w:szCs w:val="14"/>
                <w:lang w:val="it-IT" w:eastAsia="it-IT"/>
              </w:rPr>
              <w:t>SUBSTANCES</w:t>
            </w:r>
          </w:p>
        </w:tc>
        <w:tc>
          <w:tcPr>
            <w:tcW w:w="873" w:type="dxa"/>
            <w:tcBorders>
              <w:top w:val="nil"/>
              <w:left w:val="nil"/>
              <w:bottom w:val="single" w:sz="4" w:space="0" w:color="00B050"/>
              <w:right w:val="single" w:sz="4" w:space="0" w:color="00B050"/>
            </w:tcBorders>
            <w:shd w:val="clear" w:color="auto" w:fill="auto"/>
            <w:vAlign w:val="center"/>
            <w:hideMark/>
          </w:tcPr>
          <w:p w14:paraId="46F8CCE3" w14:textId="77777777" w:rsidR="00183179" w:rsidRPr="00183179" w:rsidRDefault="00183179" w:rsidP="00183179">
            <w:pPr>
              <w:tabs>
                <w:tab w:val="clear" w:pos="7100"/>
              </w:tabs>
              <w:spacing w:line="240" w:lineRule="auto"/>
              <w:jc w:val="left"/>
              <w:rPr>
                <w:rFonts w:cs="Arial"/>
                <w:color w:val="000000"/>
                <w:sz w:val="14"/>
                <w:szCs w:val="14"/>
                <w:lang w:eastAsia="it-IT"/>
              </w:rPr>
            </w:pPr>
            <w:r w:rsidRPr="00183179">
              <w:rPr>
                <w:rFonts w:cs="Arial"/>
                <w:color w:val="000000"/>
                <w:sz w:val="14"/>
                <w:szCs w:val="14"/>
                <w:lang w:eastAsia="it-IT"/>
              </w:rPr>
              <w:t>ANFAO LIMIT (mg/kg) ppm</w:t>
            </w:r>
          </w:p>
        </w:tc>
        <w:tc>
          <w:tcPr>
            <w:tcW w:w="877" w:type="dxa"/>
            <w:tcBorders>
              <w:top w:val="nil"/>
              <w:left w:val="nil"/>
              <w:bottom w:val="single" w:sz="4" w:space="0" w:color="00B050"/>
              <w:right w:val="single" w:sz="4" w:space="0" w:color="00B050"/>
            </w:tcBorders>
            <w:shd w:val="clear" w:color="auto" w:fill="auto"/>
            <w:vAlign w:val="center"/>
            <w:hideMark/>
          </w:tcPr>
          <w:p w14:paraId="51D9070A" w14:textId="77777777" w:rsidR="00183179" w:rsidRPr="00183179" w:rsidRDefault="00183179" w:rsidP="00183179">
            <w:pPr>
              <w:tabs>
                <w:tab w:val="clear" w:pos="7100"/>
              </w:tabs>
              <w:spacing w:line="240" w:lineRule="auto"/>
              <w:jc w:val="left"/>
              <w:rPr>
                <w:rFonts w:cs="Arial"/>
                <w:color w:val="000000"/>
                <w:sz w:val="14"/>
                <w:szCs w:val="14"/>
                <w:lang w:val="it-IT" w:eastAsia="it-IT"/>
              </w:rPr>
            </w:pPr>
            <w:proofErr w:type="spellStart"/>
            <w:r w:rsidRPr="00183179">
              <w:rPr>
                <w:rFonts w:cs="Arial"/>
                <w:color w:val="000000"/>
                <w:sz w:val="14"/>
                <w:szCs w:val="14"/>
                <w:lang w:val="it-IT" w:eastAsia="it-IT"/>
              </w:rPr>
              <w:t>European</w:t>
            </w:r>
            <w:proofErr w:type="spellEnd"/>
            <w:r w:rsidRPr="00183179">
              <w:rPr>
                <w:rFonts w:cs="Arial"/>
                <w:color w:val="000000"/>
                <w:sz w:val="14"/>
                <w:szCs w:val="14"/>
                <w:lang w:val="it-IT" w:eastAsia="it-IT"/>
              </w:rPr>
              <w:t xml:space="preserve"> Union</w:t>
            </w:r>
          </w:p>
        </w:tc>
        <w:tc>
          <w:tcPr>
            <w:tcW w:w="958" w:type="dxa"/>
            <w:tcBorders>
              <w:top w:val="nil"/>
              <w:left w:val="nil"/>
              <w:bottom w:val="single" w:sz="4" w:space="0" w:color="00B050"/>
              <w:right w:val="nil"/>
            </w:tcBorders>
            <w:shd w:val="clear" w:color="auto" w:fill="auto"/>
            <w:vAlign w:val="center"/>
            <w:hideMark/>
          </w:tcPr>
          <w:p w14:paraId="0DEFFE07" w14:textId="77777777" w:rsidR="00183179" w:rsidRPr="00183179" w:rsidRDefault="00183179" w:rsidP="00183179">
            <w:pPr>
              <w:tabs>
                <w:tab w:val="clear" w:pos="7100"/>
              </w:tabs>
              <w:spacing w:line="240" w:lineRule="auto"/>
              <w:jc w:val="left"/>
              <w:rPr>
                <w:rFonts w:cs="Arial"/>
                <w:color w:val="000000"/>
                <w:sz w:val="14"/>
                <w:szCs w:val="14"/>
                <w:lang w:val="it-IT" w:eastAsia="it-IT"/>
              </w:rPr>
            </w:pPr>
            <w:r w:rsidRPr="00183179">
              <w:rPr>
                <w:rFonts w:cs="Arial"/>
                <w:color w:val="000000"/>
                <w:sz w:val="14"/>
                <w:szCs w:val="14"/>
                <w:lang w:val="it-IT" w:eastAsia="it-IT"/>
              </w:rPr>
              <w:t>North American Countries</w:t>
            </w:r>
          </w:p>
        </w:tc>
        <w:tc>
          <w:tcPr>
            <w:tcW w:w="4140" w:type="dxa"/>
            <w:gridSpan w:val="2"/>
            <w:tcBorders>
              <w:top w:val="single" w:sz="12" w:space="0" w:color="00B050"/>
              <w:left w:val="nil"/>
              <w:bottom w:val="single" w:sz="4" w:space="0" w:color="00B050"/>
              <w:right w:val="single" w:sz="4" w:space="0" w:color="00B050"/>
            </w:tcBorders>
            <w:shd w:val="clear" w:color="auto" w:fill="auto"/>
            <w:vAlign w:val="center"/>
            <w:hideMark/>
          </w:tcPr>
          <w:p w14:paraId="4AF0FB87" w14:textId="77777777" w:rsidR="00183179" w:rsidRPr="00183179" w:rsidRDefault="00183179" w:rsidP="00183179">
            <w:pPr>
              <w:tabs>
                <w:tab w:val="clear" w:pos="7100"/>
              </w:tabs>
              <w:spacing w:line="240" w:lineRule="auto"/>
              <w:jc w:val="left"/>
              <w:rPr>
                <w:rFonts w:cs="Arial"/>
                <w:b/>
                <w:bCs/>
                <w:color w:val="000000"/>
                <w:sz w:val="14"/>
                <w:szCs w:val="14"/>
                <w:lang w:val="it-IT" w:eastAsia="it-IT"/>
              </w:rPr>
            </w:pPr>
            <w:r w:rsidRPr="00183179">
              <w:rPr>
                <w:rFonts w:cs="Arial"/>
                <w:b/>
                <w:bCs/>
                <w:color w:val="000000"/>
                <w:sz w:val="14"/>
                <w:szCs w:val="14"/>
                <w:lang w:val="it-IT" w:eastAsia="it-IT"/>
              </w:rPr>
              <w:t>Brand X</w:t>
            </w:r>
          </w:p>
        </w:tc>
      </w:tr>
      <w:tr w:rsidR="00183179" w:rsidRPr="00183179" w14:paraId="11C50F7A" w14:textId="77777777" w:rsidTr="00183179">
        <w:trPr>
          <w:trHeight w:val="360"/>
        </w:trPr>
        <w:tc>
          <w:tcPr>
            <w:tcW w:w="1090" w:type="dxa"/>
            <w:vMerge w:val="restart"/>
            <w:tcBorders>
              <w:top w:val="nil"/>
              <w:left w:val="single" w:sz="4" w:space="0" w:color="00B050"/>
              <w:bottom w:val="single" w:sz="4" w:space="0" w:color="00B050"/>
              <w:right w:val="single" w:sz="4" w:space="0" w:color="00B050"/>
            </w:tcBorders>
            <w:shd w:val="clear" w:color="auto" w:fill="auto"/>
            <w:vAlign w:val="center"/>
            <w:hideMark/>
          </w:tcPr>
          <w:p w14:paraId="66BD0F1B" w14:textId="77777777" w:rsidR="00183179" w:rsidRPr="00183179" w:rsidRDefault="00183179" w:rsidP="00183179">
            <w:pPr>
              <w:tabs>
                <w:tab w:val="clear" w:pos="7100"/>
              </w:tabs>
              <w:spacing w:line="240" w:lineRule="auto"/>
              <w:jc w:val="left"/>
              <w:rPr>
                <w:rFonts w:cs="Arial"/>
                <w:color w:val="000000"/>
                <w:sz w:val="14"/>
                <w:szCs w:val="14"/>
                <w:lang w:val="it-IT" w:eastAsia="it-IT"/>
              </w:rPr>
            </w:pPr>
            <w:r w:rsidRPr="00183179">
              <w:rPr>
                <w:rFonts w:cs="Arial"/>
                <w:color w:val="000000"/>
                <w:sz w:val="14"/>
                <w:szCs w:val="14"/>
                <w:lang w:val="it-IT" w:eastAsia="it-IT"/>
              </w:rPr>
              <w:t>Pb</w:t>
            </w:r>
          </w:p>
        </w:tc>
        <w:tc>
          <w:tcPr>
            <w:tcW w:w="873" w:type="dxa"/>
            <w:tcBorders>
              <w:top w:val="nil"/>
              <w:left w:val="nil"/>
              <w:bottom w:val="single" w:sz="4" w:space="0" w:color="00B050"/>
              <w:right w:val="single" w:sz="4" w:space="0" w:color="00B050"/>
            </w:tcBorders>
            <w:shd w:val="clear" w:color="auto" w:fill="auto"/>
            <w:vAlign w:val="center"/>
            <w:hideMark/>
          </w:tcPr>
          <w:p w14:paraId="7DF9654F" w14:textId="77777777" w:rsidR="00183179" w:rsidRPr="00183179" w:rsidRDefault="00183179" w:rsidP="00183179">
            <w:pPr>
              <w:tabs>
                <w:tab w:val="clear" w:pos="7100"/>
              </w:tabs>
              <w:spacing w:line="240" w:lineRule="auto"/>
              <w:jc w:val="left"/>
              <w:rPr>
                <w:rFonts w:cs="Arial"/>
                <w:color w:val="000000"/>
                <w:sz w:val="14"/>
                <w:szCs w:val="14"/>
                <w:lang w:val="it-IT" w:eastAsia="it-IT"/>
              </w:rPr>
            </w:pPr>
            <w:proofErr w:type="spellStart"/>
            <w:r w:rsidRPr="00183179">
              <w:rPr>
                <w:rFonts w:cs="Arial"/>
                <w:color w:val="000000"/>
                <w:sz w:val="14"/>
                <w:szCs w:val="14"/>
                <w:lang w:val="it-IT" w:eastAsia="it-IT"/>
              </w:rPr>
              <w:t>Adult</w:t>
            </w:r>
            <w:proofErr w:type="spellEnd"/>
            <w:r w:rsidRPr="00183179">
              <w:rPr>
                <w:rFonts w:cs="Arial"/>
                <w:color w:val="000000"/>
                <w:sz w:val="14"/>
                <w:szCs w:val="14"/>
                <w:lang w:val="it-IT" w:eastAsia="it-IT"/>
              </w:rPr>
              <w:t xml:space="preserve"> &lt;150</w:t>
            </w:r>
          </w:p>
        </w:tc>
        <w:tc>
          <w:tcPr>
            <w:tcW w:w="877" w:type="dxa"/>
            <w:tcBorders>
              <w:top w:val="nil"/>
              <w:left w:val="nil"/>
              <w:bottom w:val="single" w:sz="4" w:space="0" w:color="00B050"/>
              <w:right w:val="single" w:sz="4" w:space="0" w:color="00B050"/>
            </w:tcBorders>
            <w:shd w:val="clear" w:color="auto" w:fill="auto"/>
            <w:vAlign w:val="center"/>
            <w:hideMark/>
          </w:tcPr>
          <w:p w14:paraId="63B0741E" w14:textId="77777777" w:rsidR="00183179" w:rsidRPr="00183179" w:rsidRDefault="00183179" w:rsidP="00183179">
            <w:pPr>
              <w:tabs>
                <w:tab w:val="clear" w:pos="7100"/>
              </w:tabs>
              <w:spacing w:line="240" w:lineRule="auto"/>
              <w:jc w:val="left"/>
              <w:rPr>
                <w:rFonts w:cs="Arial"/>
                <w:color w:val="000000"/>
                <w:sz w:val="14"/>
                <w:szCs w:val="14"/>
                <w:lang w:val="it-IT" w:eastAsia="it-IT"/>
              </w:rPr>
            </w:pPr>
            <w:r w:rsidRPr="00183179">
              <w:rPr>
                <w:rFonts w:cs="Arial"/>
                <w:color w:val="000000"/>
                <w:sz w:val="14"/>
                <w:szCs w:val="14"/>
                <w:lang w:val="it-IT" w:eastAsia="it-IT"/>
              </w:rPr>
              <w:t>≤ 0.05% by weight</w:t>
            </w:r>
          </w:p>
        </w:tc>
        <w:tc>
          <w:tcPr>
            <w:tcW w:w="958" w:type="dxa"/>
            <w:vMerge w:val="restart"/>
            <w:tcBorders>
              <w:top w:val="nil"/>
              <w:left w:val="single" w:sz="4" w:space="0" w:color="00B050"/>
              <w:bottom w:val="single" w:sz="4" w:space="0" w:color="00B050"/>
              <w:right w:val="nil"/>
            </w:tcBorders>
            <w:shd w:val="clear" w:color="auto" w:fill="auto"/>
            <w:vAlign w:val="center"/>
            <w:hideMark/>
          </w:tcPr>
          <w:p w14:paraId="03639CD0" w14:textId="77777777" w:rsidR="00183179" w:rsidRPr="00183179" w:rsidRDefault="00183179" w:rsidP="00183179">
            <w:pPr>
              <w:tabs>
                <w:tab w:val="clear" w:pos="7100"/>
              </w:tabs>
              <w:spacing w:line="240" w:lineRule="auto"/>
              <w:jc w:val="left"/>
              <w:rPr>
                <w:rFonts w:cs="Arial"/>
                <w:color w:val="000000"/>
                <w:sz w:val="14"/>
                <w:szCs w:val="14"/>
                <w:lang w:val="it-IT" w:eastAsia="it-IT"/>
              </w:rPr>
            </w:pPr>
            <w:r w:rsidRPr="00183179">
              <w:rPr>
                <w:rFonts w:cs="Arial"/>
                <w:color w:val="000000"/>
                <w:sz w:val="14"/>
                <w:szCs w:val="14"/>
                <w:lang w:val="it-IT" w:eastAsia="it-IT"/>
              </w:rPr>
              <w:t xml:space="preserve">                                                                                                                                                                                                                                                                                                                                                                                                                                                                                                                                                                                                                                                                </w:t>
            </w:r>
          </w:p>
        </w:tc>
        <w:tc>
          <w:tcPr>
            <w:tcW w:w="4140" w:type="dxa"/>
            <w:gridSpan w:val="2"/>
            <w:tcBorders>
              <w:top w:val="single" w:sz="4" w:space="0" w:color="00B050"/>
              <w:left w:val="nil"/>
              <w:bottom w:val="single" w:sz="4" w:space="0" w:color="00B050"/>
              <w:right w:val="single" w:sz="4" w:space="0" w:color="00B050"/>
            </w:tcBorders>
            <w:shd w:val="clear" w:color="auto" w:fill="auto"/>
            <w:vAlign w:val="center"/>
            <w:hideMark/>
          </w:tcPr>
          <w:p w14:paraId="1F8378FC" w14:textId="77777777" w:rsidR="00183179" w:rsidRPr="00183179" w:rsidRDefault="00183179" w:rsidP="00183179">
            <w:pPr>
              <w:tabs>
                <w:tab w:val="clear" w:pos="7100"/>
              </w:tabs>
              <w:spacing w:line="240" w:lineRule="auto"/>
              <w:jc w:val="left"/>
              <w:rPr>
                <w:rFonts w:cs="Arial"/>
                <w:color w:val="000000"/>
                <w:sz w:val="14"/>
                <w:szCs w:val="14"/>
                <w:lang w:eastAsia="it-IT"/>
              </w:rPr>
            </w:pPr>
            <w:r w:rsidRPr="00183179">
              <w:rPr>
                <w:rFonts w:cs="Arial"/>
                <w:color w:val="000000"/>
                <w:sz w:val="14"/>
                <w:szCs w:val="14"/>
                <w:lang w:eastAsia="it-IT"/>
              </w:rPr>
              <w:t>Substrate:</w:t>
            </w:r>
            <w:r w:rsidRPr="00183179">
              <w:rPr>
                <w:rFonts w:cs="Arial"/>
                <w:color w:val="000000"/>
                <w:sz w:val="14"/>
                <w:szCs w:val="14"/>
                <w:lang w:eastAsia="it-IT"/>
              </w:rPr>
              <w:br/>
              <w:t>Strictest law: USA</w:t>
            </w:r>
            <w:r w:rsidRPr="00183179">
              <w:rPr>
                <w:rFonts w:cs="Arial"/>
                <w:color w:val="000000"/>
                <w:sz w:val="14"/>
                <w:szCs w:val="14"/>
                <w:lang w:eastAsia="it-IT"/>
              </w:rPr>
              <w:br/>
              <w:t xml:space="preserve">RTW and Fancy </w:t>
            </w:r>
            <w:proofErr w:type="spellStart"/>
            <w:r w:rsidRPr="00183179">
              <w:rPr>
                <w:rFonts w:cs="Arial"/>
                <w:color w:val="000000"/>
                <w:sz w:val="14"/>
                <w:szCs w:val="14"/>
                <w:lang w:eastAsia="it-IT"/>
              </w:rPr>
              <w:t>Jewelry</w:t>
            </w:r>
            <w:proofErr w:type="spellEnd"/>
            <w:r w:rsidRPr="00183179">
              <w:rPr>
                <w:rFonts w:cs="Arial"/>
                <w:color w:val="000000"/>
                <w:sz w:val="14"/>
                <w:szCs w:val="14"/>
                <w:lang w:eastAsia="it-IT"/>
              </w:rPr>
              <w:t xml:space="preserve"> (&lt;200 ppm) </w:t>
            </w:r>
            <w:r w:rsidRPr="00183179">
              <w:rPr>
                <w:rFonts w:cs="Arial"/>
                <w:color w:val="000000"/>
                <w:sz w:val="14"/>
                <w:szCs w:val="14"/>
                <w:lang w:eastAsia="it-IT"/>
              </w:rPr>
              <w:br/>
              <w:t>All other product categories (&lt;300ppm)</w:t>
            </w:r>
            <w:r w:rsidRPr="00183179">
              <w:rPr>
                <w:rFonts w:cs="Arial"/>
                <w:color w:val="000000"/>
                <w:sz w:val="14"/>
                <w:szCs w:val="14"/>
                <w:lang w:eastAsia="it-IT"/>
              </w:rPr>
              <w:br/>
              <w:t>However, for REACH: &lt; 500 ppm for all categories</w:t>
            </w:r>
            <w:r w:rsidRPr="00183179">
              <w:rPr>
                <w:rFonts w:cs="Arial"/>
                <w:color w:val="000000"/>
                <w:sz w:val="14"/>
                <w:szCs w:val="14"/>
                <w:lang w:eastAsia="it-IT"/>
              </w:rPr>
              <w:br/>
              <w:t>Surface coating (only for US Market: &lt;90 mg/kg</w:t>
            </w:r>
          </w:p>
        </w:tc>
      </w:tr>
      <w:tr w:rsidR="00183179" w:rsidRPr="00183179" w14:paraId="7CE0E0C1" w14:textId="77777777" w:rsidTr="00183179">
        <w:trPr>
          <w:trHeight w:val="1365"/>
        </w:trPr>
        <w:tc>
          <w:tcPr>
            <w:tcW w:w="1090" w:type="dxa"/>
            <w:vMerge/>
            <w:tcBorders>
              <w:top w:val="nil"/>
              <w:left w:val="single" w:sz="4" w:space="0" w:color="00B050"/>
              <w:bottom w:val="single" w:sz="4" w:space="0" w:color="00B050"/>
              <w:right w:val="single" w:sz="4" w:space="0" w:color="00B050"/>
            </w:tcBorders>
            <w:vAlign w:val="center"/>
            <w:hideMark/>
          </w:tcPr>
          <w:p w14:paraId="4FEF6A13" w14:textId="77777777" w:rsidR="00183179" w:rsidRPr="00183179" w:rsidRDefault="00183179" w:rsidP="00183179">
            <w:pPr>
              <w:tabs>
                <w:tab w:val="clear" w:pos="7100"/>
              </w:tabs>
              <w:spacing w:line="240" w:lineRule="auto"/>
              <w:jc w:val="left"/>
              <w:rPr>
                <w:rFonts w:cs="Arial"/>
                <w:color w:val="000000"/>
                <w:sz w:val="14"/>
                <w:szCs w:val="14"/>
                <w:lang w:eastAsia="it-IT"/>
              </w:rPr>
            </w:pPr>
          </w:p>
        </w:tc>
        <w:tc>
          <w:tcPr>
            <w:tcW w:w="873" w:type="dxa"/>
            <w:tcBorders>
              <w:top w:val="nil"/>
              <w:left w:val="nil"/>
              <w:bottom w:val="single" w:sz="4" w:space="0" w:color="00B050"/>
              <w:right w:val="single" w:sz="4" w:space="0" w:color="00B050"/>
            </w:tcBorders>
            <w:shd w:val="clear" w:color="auto" w:fill="auto"/>
            <w:vAlign w:val="center"/>
            <w:hideMark/>
          </w:tcPr>
          <w:p w14:paraId="2EC541EE" w14:textId="77777777" w:rsidR="00183179" w:rsidRPr="00183179" w:rsidRDefault="00183179" w:rsidP="00183179">
            <w:pPr>
              <w:tabs>
                <w:tab w:val="clear" w:pos="7100"/>
              </w:tabs>
              <w:spacing w:line="240" w:lineRule="auto"/>
              <w:jc w:val="left"/>
              <w:rPr>
                <w:rFonts w:cs="Arial"/>
                <w:color w:val="000000"/>
                <w:sz w:val="14"/>
                <w:szCs w:val="14"/>
                <w:lang w:val="it-IT" w:eastAsia="it-IT"/>
              </w:rPr>
            </w:pPr>
            <w:r w:rsidRPr="00183179">
              <w:rPr>
                <w:rFonts w:cs="Arial"/>
                <w:color w:val="000000"/>
                <w:sz w:val="14"/>
                <w:szCs w:val="14"/>
                <w:lang w:val="it-IT" w:eastAsia="it-IT"/>
              </w:rPr>
              <w:t>Child &lt;100</w:t>
            </w:r>
          </w:p>
        </w:tc>
        <w:tc>
          <w:tcPr>
            <w:tcW w:w="877" w:type="dxa"/>
            <w:tcBorders>
              <w:top w:val="nil"/>
              <w:left w:val="nil"/>
              <w:bottom w:val="single" w:sz="4" w:space="0" w:color="00B050"/>
              <w:right w:val="single" w:sz="4" w:space="0" w:color="00B050"/>
            </w:tcBorders>
            <w:shd w:val="clear" w:color="auto" w:fill="auto"/>
            <w:vAlign w:val="center"/>
            <w:hideMark/>
          </w:tcPr>
          <w:p w14:paraId="607F17EF" w14:textId="77777777" w:rsidR="00183179" w:rsidRPr="00183179" w:rsidRDefault="00183179" w:rsidP="00183179">
            <w:pPr>
              <w:tabs>
                <w:tab w:val="clear" w:pos="7100"/>
              </w:tabs>
              <w:spacing w:line="240" w:lineRule="auto"/>
              <w:jc w:val="left"/>
              <w:rPr>
                <w:rFonts w:cs="Arial"/>
                <w:color w:val="000000"/>
                <w:sz w:val="14"/>
                <w:szCs w:val="14"/>
                <w:lang w:val="it-IT" w:eastAsia="it-IT"/>
              </w:rPr>
            </w:pPr>
            <w:r w:rsidRPr="00183179">
              <w:rPr>
                <w:rFonts w:cs="Arial"/>
                <w:color w:val="000000"/>
                <w:sz w:val="14"/>
                <w:szCs w:val="14"/>
                <w:lang w:val="it-IT" w:eastAsia="it-IT"/>
              </w:rPr>
              <w:t>≤ 500 ppm</w:t>
            </w:r>
          </w:p>
        </w:tc>
        <w:tc>
          <w:tcPr>
            <w:tcW w:w="958" w:type="dxa"/>
            <w:vMerge/>
            <w:tcBorders>
              <w:top w:val="nil"/>
              <w:left w:val="single" w:sz="4" w:space="0" w:color="00B050"/>
              <w:bottom w:val="single" w:sz="4" w:space="0" w:color="00B050"/>
              <w:right w:val="nil"/>
            </w:tcBorders>
            <w:vAlign w:val="center"/>
            <w:hideMark/>
          </w:tcPr>
          <w:p w14:paraId="06C608D0" w14:textId="77777777" w:rsidR="00183179" w:rsidRPr="00183179" w:rsidRDefault="00183179" w:rsidP="00183179">
            <w:pPr>
              <w:tabs>
                <w:tab w:val="clear" w:pos="7100"/>
              </w:tabs>
              <w:spacing w:line="240" w:lineRule="auto"/>
              <w:jc w:val="left"/>
              <w:rPr>
                <w:rFonts w:cs="Arial"/>
                <w:color w:val="000000"/>
                <w:sz w:val="14"/>
                <w:szCs w:val="14"/>
                <w:lang w:val="it-IT" w:eastAsia="it-IT"/>
              </w:rPr>
            </w:pPr>
          </w:p>
        </w:tc>
        <w:tc>
          <w:tcPr>
            <w:tcW w:w="4140" w:type="dxa"/>
            <w:gridSpan w:val="2"/>
            <w:tcBorders>
              <w:top w:val="single" w:sz="4" w:space="0" w:color="00B050"/>
              <w:left w:val="nil"/>
              <w:bottom w:val="single" w:sz="4" w:space="0" w:color="00B050"/>
              <w:right w:val="single" w:sz="4" w:space="0" w:color="00B050"/>
            </w:tcBorders>
            <w:shd w:val="clear" w:color="auto" w:fill="auto"/>
            <w:vAlign w:val="center"/>
            <w:hideMark/>
          </w:tcPr>
          <w:p w14:paraId="764CD6FF" w14:textId="77777777" w:rsidR="00183179" w:rsidRPr="00183179" w:rsidRDefault="00183179" w:rsidP="00183179">
            <w:pPr>
              <w:tabs>
                <w:tab w:val="clear" w:pos="7100"/>
              </w:tabs>
              <w:spacing w:line="240" w:lineRule="auto"/>
              <w:jc w:val="left"/>
              <w:rPr>
                <w:rFonts w:cs="Arial"/>
                <w:color w:val="000000"/>
                <w:sz w:val="14"/>
                <w:szCs w:val="14"/>
                <w:lang w:eastAsia="it-IT"/>
              </w:rPr>
            </w:pPr>
            <w:r w:rsidRPr="00183179">
              <w:rPr>
                <w:rFonts w:cs="Arial"/>
                <w:color w:val="000000"/>
                <w:sz w:val="14"/>
                <w:szCs w:val="14"/>
                <w:lang w:eastAsia="it-IT"/>
              </w:rPr>
              <w:t>Substrate:</w:t>
            </w:r>
            <w:r w:rsidRPr="00183179">
              <w:rPr>
                <w:rFonts w:cs="Arial"/>
                <w:color w:val="000000"/>
                <w:sz w:val="14"/>
                <w:szCs w:val="14"/>
                <w:lang w:eastAsia="it-IT"/>
              </w:rPr>
              <w:br/>
              <w:t>Strictest law: USA</w:t>
            </w:r>
            <w:r w:rsidRPr="00183179">
              <w:rPr>
                <w:rFonts w:cs="Arial"/>
                <w:color w:val="000000"/>
                <w:sz w:val="14"/>
                <w:szCs w:val="14"/>
                <w:lang w:eastAsia="it-IT"/>
              </w:rPr>
              <w:br/>
              <w:t>&lt;40 mg/kg</w:t>
            </w:r>
            <w:r w:rsidRPr="00183179">
              <w:rPr>
                <w:rFonts w:cs="Arial"/>
                <w:color w:val="000000"/>
                <w:sz w:val="14"/>
                <w:szCs w:val="14"/>
                <w:lang w:eastAsia="it-IT"/>
              </w:rPr>
              <w:br/>
              <w:t>Surface coating</w:t>
            </w:r>
            <w:r w:rsidRPr="00183179">
              <w:rPr>
                <w:rFonts w:cs="Arial"/>
                <w:color w:val="000000"/>
                <w:sz w:val="14"/>
                <w:szCs w:val="14"/>
                <w:lang w:eastAsia="it-IT"/>
              </w:rPr>
              <w:br/>
              <w:t>Strictest law: USA</w:t>
            </w:r>
            <w:r w:rsidRPr="00183179">
              <w:rPr>
                <w:rFonts w:cs="Arial"/>
                <w:color w:val="000000"/>
                <w:sz w:val="14"/>
                <w:szCs w:val="14"/>
                <w:lang w:eastAsia="it-IT"/>
              </w:rPr>
              <w:br/>
              <w:t>&lt;40 mg/kg USA</w:t>
            </w:r>
            <w:r w:rsidRPr="00183179">
              <w:rPr>
                <w:rFonts w:cs="Arial"/>
                <w:color w:val="000000"/>
                <w:sz w:val="14"/>
                <w:szCs w:val="14"/>
                <w:lang w:eastAsia="it-IT"/>
              </w:rPr>
              <w:br/>
              <w:t>However, for REACH: &lt; 500 ppm for all categories</w:t>
            </w:r>
          </w:p>
        </w:tc>
      </w:tr>
      <w:tr w:rsidR="00183179" w:rsidRPr="00183179" w14:paraId="21BA9220" w14:textId="77777777" w:rsidTr="00183179">
        <w:trPr>
          <w:trHeight w:val="810"/>
        </w:trPr>
        <w:tc>
          <w:tcPr>
            <w:tcW w:w="1090" w:type="dxa"/>
            <w:vMerge w:val="restart"/>
            <w:tcBorders>
              <w:top w:val="nil"/>
              <w:left w:val="single" w:sz="4" w:space="0" w:color="00B050"/>
              <w:bottom w:val="single" w:sz="4" w:space="0" w:color="00B050"/>
              <w:right w:val="single" w:sz="4" w:space="0" w:color="00B050"/>
            </w:tcBorders>
            <w:shd w:val="clear" w:color="auto" w:fill="auto"/>
            <w:vAlign w:val="center"/>
            <w:hideMark/>
          </w:tcPr>
          <w:p w14:paraId="5A1B5083" w14:textId="77777777" w:rsidR="00183179" w:rsidRPr="00183179" w:rsidRDefault="00183179" w:rsidP="00183179">
            <w:pPr>
              <w:tabs>
                <w:tab w:val="clear" w:pos="7100"/>
              </w:tabs>
              <w:spacing w:line="240" w:lineRule="auto"/>
              <w:jc w:val="left"/>
              <w:rPr>
                <w:rFonts w:cs="Arial"/>
                <w:color w:val="000000"/>
                <w:sz w:val="14"/>
                <w:szCs w:val="14"/>
                <w:lang w:val="it-IT" w:eastAsia="it-IT"/>
              </w:rPr>
            </w:pPr>
            <w:proofErr w:type="spellStart"/>
            <w:r w:rsidRPr="00183179">
              <w:rPr>
                <w:rFonts w:cs="Arial"/>
                <w:color w:val="000000"/>
                <w:sz w:val="14"/>
                <w:szCs w:val="14"/>
                <w:lang w:val="it-IT" w:eastAsia="it-IT"/>
              </w:rPr>
              <w:t>Cd</w:t>
            </w:r>
            <w:proofErr w:type="spellEnd"/>
          </w:p>
        </w:tc>
        <w:tc>
          <w:tcPr>
            <w:tcW w:w="873" w:type="dxa"/>
            <w:tcBorders>
              <w:top w:val="nil"/>
              <w:left w:val="nil"/>
              <w:bottom w:val="single" w:sz="4" w:space="0" w:color="00B050"/>
              <w:right w:val="single" w:sz="4" w:space="0" w:color="00B050"/>
            </w:tcBorders>
            <w:shd w:val="clear" w:color="auto" w:fill="auto"/>
            <w:vAlign w:val="center"/>
            <w:hideMark/>
          </w:tcPr>
          <w:p w14:paraId="64EC89EE" w14:textId="77777777" w:rsidR="00183179" w:rsidRPr="00183179" w:rsidRDefault="00183179" w:rsidP="00183179">
            <w:pPr>
              <w:tabs>
                <w:tab w:val="clear" w:pos="7100"/>
              </w:tabs>
              <w:spacing w:line="240" w:lineRule="auto"/>
              <w:jc w:val="left"/>
              <w:rPr>
                <w:rFonts w:cs="Arial"/>
                <w:color w:val="000000"/>
                <w:sz w:val="14"/>
                <w:szCs w:val="14"/>
                <w:lang w:val="it-IT" w:eastAsia="it-IT"/>
              </w:rPr>
            </w:pPr>
            <w:proofErr w:type="spellStart"/>
            <w:r w:rsidRPr="00183179">
              <w:rPr>
                <w:rFonts w:cs="Arial"/>
                <w:color w:val="000000"/>
                <w:sz w:val="14"/>
                <w:szCs w:val="14"/>
                <w:lang w:val="it-IT" w:eastAsia="it-IT"/>
              </w:rPr>
              <w:t>Adult</w:t>
            </w:r>
            <w:proofErr w:type="spellEnd"/>
            <w:r w:rsidRPr="00183179">
              <w:rPr>
                <w:rFonts w:cs="Arial"/>
                <w:color w:val="000000"/>
                <w:sz w:val="14"/>
                <w:szCs w:val="14"/>
                <w:lang w:val="it-IT" w:eastAsia="it-IT"/>
              </w:rPr>
              <w:t xml:space="preserve"> &lt;100</w:t>
            </w:r>
          </w:p>
        </w:tc>
        <w:tc>
          <w:tcPr>
            <w:tcW w:w="877" w:type="dxa"/>
            <w:tcBorders>
              <w:top w:val="nil"/>
              <w:left w:val="nil"/>
              <w:bottom w:val="single" w:sz="4" w:space="0" w:color="00B050"/>
              <w:right w:val="single" w:sz="4" w:space="0" w:color="00B050"/>
            </w:tcBorders>
            <w:shd w:val="clear" w:color="auto" w:fill="auto"/>
            <w:vAlign w:val="center"/>
            <w:hideMark/>
          </w:tcPr>
          <w:p w14:paraId="61744F38" w14:textId="77777777" w:rsidR="00183179" w:rsidRPr="00183179" w:rsidRDefault="00183179" w:rsidP="00183179">
            <w:pPr>
              <w:tabs>
                <w:tab w:val="clear" w:pos="7100"/>
              </w:tabs>
              <w:spacing w:line="240" w:lineRule="auto"/>
              <w:jc w:val="left"/>
              <w:rPr>
                <w:rFonts w:cs="Arial"/>
                <w:color w:val="000000"/>
                <w:sz w:val="14"/>
                <w:szCs w:val="14"/>
                <w:lang w:val="it-IT" w:eastAsia="it-IT"/>
              </w:rPr>
            </w:pPr>
            <w:r w:rsidRPr="00183179">
              <w:rPr>
                <w:rFonts w:cs="Arial"/>
                <w:color w:val="000000"/>
                <w:sz w:val="14"/>
                <w:szCs w:val="14"/>
                <w:lang w:val="it-IT" w:eastAsia="it-IT"/>
              </w:rPr>
              <w:t>≤ 0.01% by weight</w:t>
            </w:r>
          </w:p>
        </w:tc>
        <w:tc>
          <w:tcPr>
            <w:tcW w:w="958" w:type="dxa"/>
            <w:tcBorders>
              <w:top w:val="nil"/>
              <w:left w:val="nil"/>
              <w:bottom w:val="single" w:sz="4" w:space="0" w:color="00B050"/>
              <w:right w:val="nil"/>
            </w:tcBorders>
            <w:shd w:val="clear" w:color="auto" w:fill="auto"/>
            <w:vAlign w:val="center"/>
            <w:hideMark/>
          </w:tcPr>
          <w:p w14:paraId="460FF66D" w14:textId="77777777" w:rsidR="00183179" w:rsidRPr="00183179" w:rsidRDefault="00183179" w:rsidP="00183179">
            <w:pPr>
              <w:tabs>
                <w:tab w:val="clear" w:pos="7100"/>
              </w:tabs>
              <w:spacing w:line="240" w:lineRule="auto"/>
              <w:jc w:val="left"/>
              <w:rPr>
                <w:rFonts w:cs="Arial"/>
                <w:color w:val="000000"/>
                <w:sz w:val="14"/>
                <w:szCs w:val="14"/>
                <w:lang w:val="it-IT" w:eastAsia="it-IT"/>
              </w:rPr>
            </w:pPr>
            <w:proofErr w:type="spellStart"/>
            <w:r w:rsidRPr="00183179">
              <w:rPr>
                <w:rFonts w:cs="Arial"/>
                <w:color w:val="000000"/>
                <w:sz w:val="14"/>
                <w:szCs w:val="14"/>
                <w:lang w:val="it-IT" w:eastAsia="it-IT"/>
              </w:rPr>
              <w:t>Only</w:t>
            </w:r>
            <w:proofErr w:type="spellEnd"/>
            <w:r w:rsidRPr="00183179">
              <w:rPr>
                <w:rFonts w:cs="Arial"/>
                <w:color w:val="000000"/>
                <w:sz w:val="14"/>
                <w:szCs w:val="14"/>
                <w:lang w:val="it-IT" w:eastAsia="it-IT"/>
              </w:rPr>
              <w:t xml:space="preserve"> </w:t>
            </w:r>
            <w:proofErr w:type="spellStart"/>
            <w:r w:rsidRPr="00183179">
              <w:rPr>
                <w:rFonts w:cs="Arial"/>
                <w:color w:val="000000"/>
                <w:sz w:val="14"/>
                <w:szCs w:val="14"/>
                <w:lang w:val="it-IT" w:eastAsia="it-IT"/>
              </w:rPr>
              <w:t>children</w:t>
            </w:r>
            <w:proofErr w:type="spellEnd"/>
            <w:r w:rsidRPr="00183179">
              <w:rPr>
                <w:rFonts w:cs="Arial"/>
                <w:color w:val="000000"/>
                <w:sz w:val="14"/>
                <w:szCs w:val="14"/>
                <w:lang w:val="it-IT" w:eastAsia="it-IT"/>
              </w:rPr>
              <w:t xml:space="preserve"> </w:t>
            </w:r>
            <w:proofErr w:type="spellStart"/>
            <w:r w:rsidRPr="00183179">
              <w:rPr>
                <w:rFonts w:cs="Arial"/>
                <w:color w:val="000000"/>
                <w:sz w:val="14"/>
                <w:szCs w:val="14"/>
                <w:lang w:val="it-IT" w:eastAsia="it-IT"/>
              </w:rPr>
              <w:t>requirements</w:t>
            </w:r>
            <w:proofErr w:type="spellEnd"/>
          </w:p>
        </w:tc>
        <w:tc>
          <w:tcPr>
            <w:tcW w:w="4140" w:type="dxa"/>
            <w:gridSpan w:val="2"/>
            <w:tcBorders>
              <w:top w:val="single" w:sz="4" w:space="0" w:color="00B050"/>
              <w:left w:val="nil"/>
              <w:bottom w:val="single" w:sz="4" w:space="0" w:color="00B050"/>
              <w:right w:val="single" w:sz="4" w:space="0" w:color="00B050"/>
            </w:tcBorders>
            <w:shd w:val="clear" w:color="auto" w:fill="auto"/>
            <w:vAlign w:val="center"/>
            <w:hideMark/>
          </w:tcPr>
          <w:p w14:paraId="6D6DA0B1" w14:textId="77777777" w:rsidR="00183179" w:rsidRPr="00183179" w:rsidRDefault="00183179" w:rsidP="00183179">
            <w:pPr>
              <w:tabs>
                <w:tab w:val="clear" w:pos="7100"/>
              </w:tabs>
              <w:spacing w:line="240" w:lineRule="auto"/>
              <w:jc w:val="left"/>
              <w:rPr>
                <w:rFonts w:ascii="Calibri Light" w:hAnsi="Calibri Light" w:cs="Calibri Light"/>
                <w:color w:val="000000"/>
                <w:sz w:val="14"/>
                <w:szCs w:val="14"/>
                <w:lang w:eastAsia="it-IT"/>
              </w:rPr>
            </w:pPr>
            <w:r w:rsidRPr="00183179">
              <w:rPr>
                <w:rFonts w:ascii="Calibri Light" w:hAnsi="Calibri Light" w:cs="Calibri Light"/>
                <w:color w:val="000000"/>
                <w:sz w:val="14"/>
                <w:szCs w:val="14"/>
                <w:lang w:eastAsia="it-IT"/>
              </w:rPr>
              <w:t>substrate &lt;100 mg/kg US</w:t>
            </w:r>
            <w:r w:rsidRPr="00183179">
              <w:rPr>
                <w:rFonts w:ascii="Calibri Light" w:hAnsi="Calibri Light" w:cs="Calibri Light"/>
                <w:color w:val="000000"/>
                <w:sz w:val="14"/>
                <w:szCs w:val="14"/>
                <w:lang w:eastAsia="it-IT"/>
              </w:rPr>
              <w:br/>
              <w:t>REACH: &lt;100 ppm (only for plastic polymers, copolymers and paints)</w:t>
            </w:r>
          </w:p>
        </w:tc>
      </w:tr>
      <w:tr w:rsidR="00183179" w:rsidRPr="00183179" w14:paraId="6DB533BC" w14:textId="77777777" w:rsidTr="00183179">
        <w:trPr>
          <w:trHeight w:val="300"/>
        </w:trPr>
        <w:tc>
          <w:tcPr>
            <w:tcW w:w="1090" w:type="dxa"/>
            <w:vMerge/>
            <w:tcBorders>
              <w:top w:val="nil"/>
              <w:left w:val="single" w:sz="4" w:space="0" w:color="00B050"/>
              <w:bottom w:val="single" w:sz="4" w:space="0" w:color="00B050"/>
              <w:right w:val="single" w:sz="4" w:space="0" w:color="00B050"/>
            </w:tcBorders>
            <w:vAlign w:val="center"/>
            <w:hideMark/>
          </w:tcPr>
          <w:p w14:paraId="0D8497CA" w14:textId="77777777" w:rsidR="00183179" w:rsidRPr="00183179" w:rsidRDefault="00183179" w:rsidP="00183179">
            <w:pPr>
              <w:tabs>
                <w:tab w:val="clear" w:pos="7100"/>
              </w:tabs>
              <w:spacing w:line="240" w:lineRule="auto"/>
              <w:jc w:val="left"/>
              <w:rPr>
                <w:rFonts w:cs="Arial"/>
                <w:color w:val="000000"/>
                <w:sz w:val="14"/>
                <w:szCs w:val="14"/>
                <w:lang w:eastAsia="it-IT"/>
              </w:rPr>
            </w:pPr>
          </w:p>
        </w:tc>
        <w:tc>
          <w:tcPr>
            <w:tcW w:w="873" w:type="dxa"/>
            <w:tcBorders>
              <w:top w:val="nil"/>
              <w:left w:val="nil"/>
              <w:bottom w:val="single" w:sz="4" w:space="0" w:color="00B050"/>
              <w:right w:val="single" w:sz="4" w:space="0" w:color="00B050"/>
            </w:tcBorders>
            <w:shd w:val="clear" w:color="auto" w:fill="auto"/>
            <w:vAlign w:val="center"/>
            <w:hideMark/>
          </w:tcPr>
          <w:p w14:paraId="32BFE2C5" w14:textId="77777777" w:rsidR="00183179" w:rsidRPr="00183179" w:rsidRDefault="00183179" w:rsidP="00183179">
            <w:pPr>
              <w:tabs>
                <w:tab w:val="clear" w:pos="7100"/>
              </w:tabs>
              <w:spacing w:line="240" w:lineRule="auto"/>
              <w:jc w:val="left"/>
              <w:rPr>
                <w:rFonts w:cs="Arial"/>
                <w:color w:val="000000"/>
                <w:sz w:val="14"/>
                <w:szCs w:val="14"/>
                <w:lang w:val="it-IT" w:eastAsia="it-IT"/>
              </w:rPr>
            </w:pPr>
            <w:r w:rsidRPr="00183179">
              <w:rPr>
                <w:rFonts w:cs="Arial"/>
                <w:color w:val="000000"/>
                <w:sz w:val="14"/>
                <w:szCs w:val="14"/>
                <w:lang w:val="it-IT" w:eastAsia="it-IT"/>
              </w:rPr>
              <w:t>Child &lt;100</w:t>
            </w:r>
          </w:p>
        </w:tc>
        <w:tc>
          <w:tcPr>
            <w:tcW w:w="877" w:type="dxa"/>
            <w:tcBorders>
              <w:top w:val="nil"/>
              <w:left w:val="nil"/>
              <w:bottom w:val="single" w:sz="4" w:space="0" w:color="00B050"/>
              <w:right w:val="single" w:sz="4" w:space="0" w:color="00B050"/>
            </w:tcBorders>
            <w:shd w:val="clear" w:color="auto" w:fill="auto"/>
            <w:vAlign w:val="center"/>
            <w:hideMark/>
          </w:tcPr>
          <w:p w14:paraId="066B76DD" w14:textId="77777777" w:rsidR="00183179" w:rsidRPr="00183179" w:rsidRDefault="00183179" w:rsidP="00183179">
            <w:pPr>
              <w:tabs>
                <w:tab w:val="clear" w:pos="7100"/>
              </w:tabs>
              <w:spacing w:line="240" w:lineRule="auto"/>
              <w:jc w:val="left"/>
              <w:rPr>
                <w:rFonts w:cs="Arial"/>
                <w:color w:val="000000"/>
                <w:sz w:val="14"/>
                <w:szCs w:val="14"/>
                <w:lang w:val="it-IT" w:eastAsia="it-IT"/>
              </w:rPr>
            </w:pPr>
            <w:r w:rsidRPr="00183179">
              <w:rPr>
                <w:rFonts w:cs="Arial"/>
                <w:color w:val="000000"/>
                <w:sz w:val="14"/>
                <w:szCs w:val="14"/>
                <w:lang w:val="it-IT" w:eastAsia="it-IT"/>
              </w:rPr>
              <w:t>≤ 100 ppm</w:t>
            </w:r>
          </w:p>
        </w:tc>
        <w:tc>
          <w:tcPr>
            <w:tcW w:w="958" w:type="dxa"/>
            <w:tcBorders>
              <w:top w:val="nil"/>
              <w:left w:val="nil"/>
              <w:bottom w:val="single" w:sz="4" w:space="0" w:color="00B050"/>
              <w:right w:val="nil"/>
            </w:tcBorders>
            <w:shd w:val="clear" w:color="auto" w:fill="auto"/>
            <w:vAlign w:val="center"/>
            <w:hideMark/>
          </w:tcPr>
          <w:p w14:paraId="63BBA0D9" w14:textId="77777777" w:rsidR="00183179" w:rsidRPr="00183179" w:rsidRDefault="00183179" w:rsidP="00183179">
            <w:pPr>
              <w:tabs>
                <w:tab w:val="clear" w:pos="7100"/>
              </w:tabs>
              <w:spacing w:line="240" w:lineRule="auto"/>
              <w:jc w:val="left"/>
              <w:rPr>
                <w:rFonts w:cs="Arial"/>
                <w:color w:val="000000"/>
                <w:sz w:val="14"/>
                <w:szCs w:val="14"/>
                <w:lang w:val="it-IT" w:eastAsia="it-IT"/>
              </w:rPr>
            </w:pPr>
            <w:r w:rsidRPr="00183179">
              <w:rPr>
                <w:rFonts w:cs="Arial"/>
                <w:color w:val="000000"/>
                <w:sz w:val="14"/>
                <w:szCs w:val="14"/>
                <w:lang w:val="it-IT" w:eastAsia="it-IT"/>
              </w:rPr>
              <w:t> </w:t>
            </w:r>
          </w:p>
        </w:tc>
        <w:tc>
          <w:tcPr>
            <w:tcW w:w="4140" w:type="dxa"/>
            <w:gridSpan w:val="2"/>
            <w:tcBorders>
              <w:top w:val="single" w:sz="4" w:space="0" w:color="00B050"/>
              <w:left w:val="nil"/>
              <w:bottom w:val="single" w:sz="4" w:space="0" w:color="00B050"/>
              <w:right w:val="single" w:sz="4" w:space="0" w:color="00B050"/>
            </w:tcBorders>
            <w:shd w:val="clear" w:color="auto" w:fill="auto"/>
            <w:vAlign w:val="center"/>
            <w:hideMark/>
          </w:tcPr>
          <w:p w14:paraId="30169740" w14:textId="77777777" w:rsidR="00183179" w:rsidRPr="00183179" w:rsidRDefault="00183179" w:rsidP="00183179">
            <w:pPr>
              <w:tabs>
                <w:tab w:val="clear" w:pos="7100"/>
              </w:tabs>
              <w:spacing w:line="240" w:lineRule="auto"/>
              <w:jc w:val="left"/>
              <w:rPr>
                <w:rFonts w:ascii="Calibri Light" w:hAnsi="Calibri Light" w:cs="Calibri Light"/>
                <w:color w:val="000000"/>
                <w:sz w:val="14"/>
                <w:szCs w:val="14"/>
                <w:lang w:val="it-IT" w:eastAsia="it-IT"/>
              </w:rPr>
            </w:pPr>
            <w:r w:rsidRPr="00183179">
              <w:rPr>
                <w:rFonts w:ascii="Calibri Light" w:hAnsi="Calibri Light" w:cs="Calibri Light"/>
                <w:color w:val="000000"/>
                <w:sz w:val="14"/>
                <w:szCs w:val="14"/>
                <w:lang w:val="it-IT" w:eastAsia="it-IT"/>
              </w:rPr>
              <w:t xml:space="preserve"> &lt;75 mg/kg</w:t>
            </w:r>
          </w:p>
        </w:tc>
      </w:tr>
      <w:tr w:rsidR="00183179" w:rsidRPr="00183179" w14:paraId="044A3F32" w14:textId="77777777" w:rsidTr="00183179">
        <w:trPr>
          <w:trHeight w:val="495"/>
        </w:trPr>
        <w:tc>
          <w:tcPr>
            <w:tcW w:w="1090" w:type="dxa"/>
            <w:tcBorders>
              <w:top w:val="nil"/>
              <w:left w:val="single" w:sz="4" w:space="0" w:color="00B050"/>
              <w:bottom w:val="single" w:sz="12" w:space="0" w:color="00B050"/>
              <w:right w:val="single" w:sz="4" w:space="0" w:color="00B050"/>
            </w:tcBorders>
            <w:shd w:val="clear" w:color="auto" w:fill="auto"/>
            <w:vAlign w:val="center"/>
            <w:hideMark/>
          </w:tcPr>
          <w:p w14:paraId="5B8EAA0F" w14:textId="77777777" w:rsidR="00183179" w:rsidRPr="00183179" w:rsidRDefault="00183179" w:rsidP="00183179">
            <w:pPr>
              <w:tabs>
                <w:tab w:val="clear" w:pos="7100"/>
              </w:tabs>
              <w:spacing w:line="240" w:lineRule="auto"/>
              <w:jc w:val="left"/>
              <w:rPr>
                <w:rFonts w:cs="Arial"/>
                <w:color w:val="000000"/>
                <w:sz w:val="14"/>
                <w:szCs w:val="14"/>
                <w:lang w:val="it-IT" w:eastAsia="it-IT"/>
              </w:rPr>
            </w:pPr>
            <w:r w:rsidRPr="00183179">
              <w:rPr>
                <w:rFonts w:cs="Arial"/>
                <w:color w:val="000000"/>
                <w:sz w:val="14"/>
                <w:szCs w:val="14"/>
                <w:lang w:val="it-IT" w:eastAsia="it-IT"/>
              </w:rPr>
              <w:t>Hg</w:t>
            </w:r>
          </w:p>
        </w:tc>
        <w:tc>
          <w:tcPr>
            <w:tcW w:w="873" w:type="dxa"/>
            <w:tcBorders>
              <w:top w:val="nil"/>
              <w:left w:val="nil"/>
              <w:bottom w:val="single" w:sz="12" w:space="0" w:color="00B050"/>
              <w:right w:val="single" w:sz="4" w:space="0" w:color="00B050"/>
            </w:tcBorders>
            <w:shd w:val="clear" w:color="auto" w:fill="auto"/>
            <w:vAlign w:val="center"/>
            <w:hideMark/>
          </w:tcPr>
          <w:p w14:paraId="0B1ED78C" w14:textId="77777777" w:rsidR="00183179" w:rsidRPr="00183179" w:rsidRDefault="00183179" w:rsidP="00183179">
            <w:pPr>
              <w:tabs>
                <w:tab w:val="clear" w:pos="7100"/>
              </w:tabs>
              <w:spacing w:line="240" w:lineRule="auto"/>
              <w:jc w:val="left"/>
              <w:rPr>
                <w:rFonts w:cs="Arial"/>
                <w:color w:val="000000"/>
                <w:sz w:val="14"/>
                <w:szCs w:val="14"/>
                <w:lang w:val="it-IT" w:eastAsia="it-IT"/>
              </w:rPr>
            </w:pPr>
            <w:r w:rsidRPr="00183179">
              <w:rPr>
                <w:rFonts w:cs="Arial"/>
                <w:color w:val="000000"/>
                <w:sz w:val="14"/>
                <w:szCs w:val="14"/>
                <w:lang w:val="it-IT" w:eastAsia="it-IT"/>
              </w:rPr>
              <w:t>&lt;1</w:t>
            </w:r>
          </w:p>
        </w:tc>
        <w:tc>
          <w:tcPr>
            <w:tcW w:w="877" w:type="dxa"/>
            <w:tcBorders>
              <w:top w:val="nil"/>
              <w:left w:val="nil"/>
              <w:bottom w:val="single" w:sz="12" w:space="0" w:color="00B050"/>
              <w:right w:val="single" w:sz="4" w:space="0" w:color="00B050"/>
            </w:tcBorders>
            <w:shd w:val="clear" w:color="auto" w:fill="auto"/>
            <w:vAlign w:val="center"/>
            <w:hideMark/>
          </w:tcPr>
          <w:p w14:paraId="393FBE06" w14:textId="77777777" w:rsidR="00183179" w:rsidRPr="00183179" w:rsidRDefault="00183179" w:rsidP="00183179">
            <w:pPr>
              <w:tabs>
                <w:tab w:val="clear" w:pos="7100"/>
              </w:tabs>
              <w:spacing w:line="240" w:lineRule="auto"/>
              <w:jc w:val="left"/>
              <w:rPr>
                <w:rFonts w:cs="Arial"/>
                <w:color w:val="000000"/>
                <w:sz w:val="14"/>
                <w:szCs w:val="14"/>
                <w:lang w:val="it-IT" w:eastAsia="it-IT"/>
              </w:rPr>
            </w:pPr>
            <w:r w:rsidRPr="00183179">
              <w:rPr>
                <w:rFonts w:cs="Arial"/>
                <w:color w:val="000000"/>
                <w:sz w:val="14"/>
                <w:szCs w:val="14"/>
                <w:lang w:val="it-IT" w:eastAsia="it-IT"/>
              </w:rPr>
              <w:t>≤ 0.01% by weight</w:t>
            </w:r>
          </w:p>
        </w:tc>
        <w:tc>
          <w:tcPr>
            <w:tcW w:w="958" w:type="dxa"/>
            <w:tcBorders>
              <w:top w:val="nil"/>
              <w:left w:val="nil"/>
              <w:bottom w:val="single" w:sz="12" w:space="0" w:color="00B050"/>
              <w:right w:val="nil"/>
            </w:tcBorders>
            <w:shd w:val="clear" w:color="auto" w:fill="auto"/>
            <w:vAlign w:val="center"/>
            <w:hideMark/>
          </w:tcPr>
          <w:p w14:paraId="5D69AD71" w14:textId="77777777" w:rsidR="00183179" w:rsidRPr="00183179" w:rsidRDefault="00183179" w:rsidP="00183179">
            <w:pPr>
              <w:tabs>
                <w:tab w:val="clear" w:pos="7100"/>
              </w:tabs>
              <w:spacing w:line="240" w:lineRule="auto"/>
              <w:jc w:val="left"/>
              <w:rPr>
                <w:rFonts w:cs="Arial"/>
                <w:color w:val="000000"/>
                <w:sz w:val="14"/>
                <w:szCs w:val="14"/>
                <w:lang w:val="it-IT" w:eastAsia="it-IT"/>
              </w:rPr>
            </w:pPr>
            <w:r w:rsidRPr="00183179">
              <w:rPr>
                <w:rFonts w:cs="Arial"/>
                <w:color w:val="000000"/>
                <w:sz w:val="14"/>
                <w:szCs w:val="14"/>
                <w:lang w:val="it-IT" w:eastAsia="it-IT"/>
              </w:rPr>
              <w:t>≤ 0.01% by weight</w:t>
            </w:r>
          </w:p>
        </w:tc>
        <w:tc>
          <w:tcPr>
            <w:tcW w:w="1518" w:type="dxa"/>
            <w:tcBorders>
              <w:top w:val="nil"/>
              <w:left w:val="nil"/>
              <w:bottom w:val="single" w:sz="12" w:space="0" w:color="00B050"/>
              <w:right w:val="single" w:sz="4" w:space="0" w:color="00B050"/>
            </w:tcBorders>
            <w:shd w:val="clear" w:color="auto" w:fill="auto"/>
            <w:vAlign w:val="center"/>
            <w:hideMark/>
          </w:tcPr>
          <w:p w14:paraId="3A2FA9E8" w14:textId="77777777" w:rsidR="00183179" w:rsidRPr="00183179" w:rsidRDefault="00183179" w:rsidP="00183179">
            <w:pPr>
              <w:tabs>
                <w:tab w:val="clear" w:pos="7100"/>
              </w:tabs>
              <w:spacing w:line="240" w:lineRule="auto"/>
              <w:jc w:val="left"/>
              <w:rPr>
                <w:rFonts w:ascii="Calibri Light" w:hAnsi="Calibri Light" w:cs="Calibri Light"/>
                <w:color w:val="000000"/>
                <w:sz w:val="14"/>
                <w:szCs w:val="14"/>
                <w:lang w:val="it-IT" w:eastAsia="it-IT"/>
              </w:rPr>
            </w:pPr>
            <w:r w:rsidRPr="00183179">
              <w:rPr>
                <w:rFonts w:ascii="Calibri Light" w:hAnsi="Calibri Light" w:cs="Calibri Light"/>
                <w:color w:val="000000"/>
                <w:sz w:val="14"/>
                <w:szCs w:val="14"/>
                <w:lang w:val="it-IT" w:eastAsia="it-IT"/>
              </w:rPr>
              <w:t xml:space="preserve">metal </w:t>
            </w:r>
            <w:proofErr w:type="spellStart"/>
            <w:r w:rsidRPr="00183179">
              <w:rPr>
                <w:rFonts w:ascii="Calibri Light" w:hAnsi="Calibri Light" w:cs="Calibri Light"/>
                <w:color w:val="000000"/>
                <w:sz w:val="14"/>
                <w:szCs w:val="14"/>
                <w:lang w:val="it-IT" w:eastAsia="it-IT"/>
              </w:rPr>
              <w:t>substrate</w:t>
            </w:r>
            <w:proofErr w:type="spellEnd"/>
            <w:r w:rsidRPr="00183179">
              <w:rPr>
                <w:rFonts w:ascii="Calibri Light" w:hAnsi="Calibri Light" w:cs="Calibri Light"/>
                <w:color w:val="000000"/>
                <w:sz w:val="14"/>
                <w:szCs w:val="14"/>
                <w:lang w:val="it-IT" w:eastAsia="it-IT"/>
              </w:rPr>
              <w:t xml:space="preserve"> &lt;1000 mg/kg</w:t>
            </w:r>
          </w:p>
        </w:tc>
        <w:tc>
          <w:tcPr>
            <w:tcW w:w="2622" w:type="dxa"/>
            <w:tcBorders>
              <w:top w:val="nil"/>
              <w:left w:val="nil"/>
              <w:bottom w:val="single" w:sz="12" w:space="0" w:color="00B050"/>
              <w:right w:val="nil"/>
            </w:tcBorders>
            <w:shd w:val="clear" w:color="auto" w:fill="auto"/>
            <w:vAlign w:val="center"/>
            <w:hideMark/>
          </w:tcPr>
          <w:p w14:paraId="51960BA9" w14:textId="77777777" w:rsidR="00183179" w:rsidRPr="00183179" w:rsidRDefault="00183179" w:rsidP="00183179">
            <w:pPr>
              <w:tabs>
                <w:tab w:val="clear" w:pos="7100"/>
              </w:tabs>
              <w:spacing w:line="240" w:lineRule="auto"/>
              <w:jc w:val="left"/>
              <w:rPr>
                <w:rFonts w:ascii="Calibri Light" w:hAnsi="Calibri Light" w:cs="Calibri Light"/>
                <w:color w:val="000000"/>
                <w:sz w:val="14"/>
                <w:szCs w:val="14"/>
                <w:lang w:val="it-IT" w:eastAsia="it-IT"/>
              </w:rPr>
            </w:pPr>
            <w:r w:rsidRPr="00183179">
              <w:rPr>
                <w:rFonts w:ascii="Calibri Light" w:hAnsi="Calibri Light" w:cs="Calibri Light"/>
                <w:color w:val="000000"/>
                <w:sz w:val="14"/>
                <w:szCs w:val="14"/>
                <w:lang w:val="it-IT" w:eastAsia="it-IT"/>
              </w:rPr>
              <w:t>&lt;1 mg/kg</w:t>
            </w:r>
          </w:p>
        </w:tc>
      </w:tr>
    </w:tbl>
    <w:p w14:paraId="43407D6F" w14:textId="77777777" w:rsidR="00B77012" w:rsidRDefault="00B77012" w:rsidP="00C24ED0">
      <w:pPr>
        <w:pStyle w:val="CETBodytext"/>
        <w:rPr>
          <w:lang w:val="en-GB"/>
        </w:rPr>
      </w:pPr>
    </w:p>
    <w:p w14:paraId="4CDB06DC" w14:textId="6AFFD2D3" w:rsidR="00BB428F" w:rsidRDefault="0040368C" w:rsidP="00BB428F">
      <w:pPr>
        <w:pStyle w:val="CETBodytext"/>
        <w:rPr>
          <w:lang w:val="en-GB"/>
        </w:rPr>
      </w:pPr>
      <w:r w:rsidRPr="00DF7F9A">
        <w:rPr>
          <w:lang w:val="en-GB"/>
        </w:rPr>
        <w:t>Furthermore, w</w:t>
      </w:r>
      <w:r w:rsidR="00BB428F" w:rsidRPr="00DF7F9A">
        <w:rPr>
          <w:lang w:val="en-GB"/>
        </w:rPr>
        <w:t xml:space="preserve">ithin the third section, </w:t>
      </w:r>
      <w:r w:rsidR="0032661B" w:rsidRPr="00DF7F9A">
        <w:rPr>
          <w:lang w:val="en-GB"/>
        </w:rPr>
        <w:t xml:space="preserve">there is a part that </w:t>
      </w:r>
      <w:r w:rsidR="00BB428F" w:rsidRPr="00DF7F9A">
        <w:rPr>
          <w:lang w:val="en-GB"/>
        </w:rPr>
        <w:t>resume where there is a requirement for the substance</w:t>
      </w:r>
      <w:r w:rsidR="0032661B" w:rsidRPr="00DF7F9A">
        <w:rPr>
          <w:lang w:val="en-GB"/>
        </w:rPr>
        <w:t xml:space="preserve"> based on the material/matrix considered</w:t>
      </w:r>
      <w:r w:rsidR="00BB428F" w:rsidRPr="00DF7F9A">
        <w:rPr>
          <w:lang w:val="en-GB"/>
        </w:rPr>
        <w:t>, as reported in Table 3.</w:t>
      </w:r>
      <w:r w:rsidR="00BB428F">
        <w:rPr>
          <w:lang w:val="en-GB"/>
        </w:rPr>
        <w:t xml:space="preserve"> </w:t>
      </w:r>
    </w:p>
    <w:p w14:paraId="7654B3D0" w14:textId="77777777" w:rsidR="00183179" w:rsidRDefault="00183179" w:rsidP="00BB428F">
      <w:pPr>
        <w:pStyle w:val="CETBodytext"/>
        <w:rPr>
          <w:lang w:val="en-GB"/>
        </w:rPr>
      </w:pPr>
    </w:p>
    <w:p w14:paraId="046ACFF6" w14:textId="77777777" w:rsidR="00183179" w:rsidRDefault="00183179" w:rsidP="00BB428F">
      <w:pPr>
        <w:pStyle w:val="CETBodytext"/>
        <w:rPr>
          <w:lang w:val="en-GB"/>
        </w:rPr>
      </w:pPr>
    </w:p>
    <w:p w14:paraId="185B4861" w14:textId="77777777" w:rsidR="00183179" w:rsidRDefault="00183179" w:rsidP="00BB428F">
      <w:pPr>
        <w:pStyle w:val="CETBodytext"/>
        <w:rPr>
          <w:lang w:val="en-GB"/>
        </w:rPr>
      </w:pPr>
    </w:p>
    <w:p w14:paraId="675EA66B" w14:textId="77777777" w:rsidR="00183179" w:rsidRDefault="00183179" w:rsidP="00BB428F">
      <w:pPr>
        <w:pStyle w:val="CETBodytext"/>
        <w:rPr>
          <w:lang w:val="en-GB"/>
        </w:rPr>
      </w:pPr>
    </w:p>
    <w:p w14:paraId="24B8FFA3" w14:textId="77777777" w:rsidR="00183179" w:rsidRDefault="00183179" w:rsidP="00771CD7">
      <w:pPr>
        <w:pStyle w:val="Didascalia"/>
        <w:keepNext/>
        <w:rPr>
          <w:b w:val="0"/>
          <w:bCs w:val="0"/>
          <w:i/>
          <w:color w:val="auto"/>
          <w:szCs w:val="20"/>
        </w:rPr>
      </w:pPr>
    </w:p>
    <w:p w14:paraId="6C26488D" w14:textId="6AADB300" w:rsidR="00771CD7" w:rsidRDefault="00771CD7" w:rsidP="00771CD7">
      <w:pPr>
        <w:pStyle w:val="Didascalia"/>
        <w:keepNext/>
        <w:rPr>
          <w:b w:val="0"/>
          <w:bCs w:val="0"/>
          <w:i/>
          <w:color w:val="auto"/>
          <w:szCs w:val="20"/>
        </w:rPr>
      </w:pPr>
      <w:r w:rsidRPr="00771CD7">
        <w:rPr>
          <w:b w:val="0"/>
          <w:bCs w:val="0"/>
          <w:i/>
          <w:color w:val="auto"/>
          <w:szCs w:val="20"/>
        </w:rPr>
        <w:t xml:space="preserve">Table </w:t>
      </w:r>
      <w:r w:rsidRPr="00771CD7">
        <w:rPr>
          <w:b w:val="0"/>
          <w:bCs w:val="0"/>
          <w:i/>
          <w:color w:val="auto"/>
          <w:szCs w:val="20"/>
        </w:rPr>
        <w:fldChar w:fldCharType="begin"/>
      </w:r>
      <w:r w:rsidRPr="00771CD7">
        <w:rPr>
          <w:b w:val="0"/>
          <w:bCs w:val="0"/>
          <w:i/>
          <w:color w:val="auto"/>
          <w:szCs w:val="20"/>
        </w:rPr>
        <w:instrText xml:space="preserve"> SEQ Table \* ARABIC </w:instrText>
      </w:r>
      <w:r w:rsidRPr="00771CD7">
        <w:rPr>
          <w:b w:val="0"/>
          <w:bCs w:val="0"/>
          <w:i/>
          <w:color w:val="auto"/>
          <w:szCs w:val="20"/>
        </w:rPr>
        <w:fldChar w:fldCharType="separate"/>
      </w:r>
      <w:r w:rsidR="00B77012">
        <w:rPr>
          <w:b w:val="0"/>
          <w:bCs w:val="0"/>
          <w:i/>
          <w:noProof/>
          <w:color w:val="auto"/>
          <w:szCs w:val="20"/>
        </w:rPr>
        <w:t>3</w:t>
      </w:r>
      <w:r w:rsidRPr="00771CD7">
        <w:rPr>
          <w:b w:val="0"/>
          <w:bCs w:val="0"/>
          <w:i/>
          <w:color w:val="auto"/>
          <w:szCs w:val="20"/>
        </w:rPr>
        <w:fldChar w:fldCharType="end"/>
      </w:r>
      <w:r w:rsidRPr="00771CD7">
        <w:rPr>
          <w:b w:val="0"/>
          <w:bCs w:val="0"/>
          <w:i/>
          <w:color w:val="auto"/>
          <w:szCs w:val="20"/>
        </w:rPr>
        <w:t>:</w:t>
      </w:r>
      <w:r>
        <w:rPr>
          <w:b w:val="0"/>
          <w:bCs w:val="0"/>
          <w:i/>
          <w:color w:val="auto"/>
          <w:szCs w:val="20"/>
        </w:rPr>
        <w:t xml:space="preserve"> </w:t>
      </w:r>
      <w:r w:rsidR="00B577BD">
        <w:rPr>
          <w:b w:val="0"/>
          <w:bCs w:val="0"/>
          <w:i/>
          <w:color w:val="auto"/>
          <w:szCs w:val="20"/>
        </w:rPr>
        <w:t>An extract of the</w:t>
      </w:r>
      <w:r w:rsidR="00B577BD" w:rsidRPr="00B577BD">
        <w:rPr>
          <w:b w:val="0"/>
          <w:bCs w:val="0"/>
          <w:i/>
          <w:color w:val="auto"/>
          <w:szCs w:val="20"/>
        </w:rPr>
        <w:t xml:space="preserve"> table </w:t>
      </w:r>
      <w:r w:rsidR="00B577BD">
        <w:rPr>
          <w:b w:val="0"/>
          <w:bCs w:val="0"/>
          <w:i/>
          <w:color w:val="auto"/>
          <w:szCs w:val="20"/>
        </w:rPr>
        <w:t xml:space="preserve">of PRSL’s ANFAO </w:t>
      </w:r>
      <w:r w:rsidR="00B577BD" w:rsidRPr="00B577BD">
        <w:rPr>
          <w:b w:val="0"/>
          <w:bCs w:val="0"/>
          <w:i/>
          <w:color w:val="auto"/>
          <w:szCs w:val="20"/>
        </w:rPr>
        <w:t>to resume where there is a requirement</w:t>
      </w:r>
      <w:r w:rsidR="00B577BD">
        <w:rPr>
          <w:b w:val="0"/>
          <w:bCs w:val="0"/>
          <w:i/>
          <w:color w:val="auto"/>
          <w:szCs w:val="20"/>
        </w:rPr>
        <w:t xml:space="preserve"> (geographical area, country)</w:t>
      </w:r>
      <w:r w:rsidR="00B577BD" w:rsidRPr="00B577BD">
        <w:rPr>
          <w:b w:val="0"/>
          <w:bCs w:val="0"/>
          <w:i/>
          <w:color w:val="auto"/>
          <w:szCs w:val="20"/>
        </w:rPr>
        <w:t xml:space="preserve"> for a substance of the PRSL reporting, divided for each category of macro-material</w:t>
      </w:r>
      <w:r w:rsidR="00B577BD">
        <w:rPr>
          <w:b w:val="0"/>
          <w:bCs w:val="0"/>
          <w:i/>
          <w:color w:val="auto"/>
          <w:szCs w:val="20"/>
        </w:rPr>
        <w:t>. The table reports the information for three elements: Lead (Pb), Cadmium (Cd) and Mercury (Hg).</w:t>
      </w:r>
    </w:p>
    <w:p w14:paraId="4EE09628" w14:textId="77777777" w:rsidR="00183179" w:rsidRPr="00183179" w:rsidRDefault="00183179" w:rsidP="00183179"/>
    <w:tbl>
      <w:tblPr>
        <w:tblW w:w="5000" w:type="pct"/>
        <w:tblCellMar>
          <w:left w:w="70" w:type="dxa"/>
          <w:right w:w="70" w:type="dxa"/>
        </w:tblCellMar>
        <w:tblLook w:val="04A0" w:firstRow="1" w:lastRow="0" w:firstColumn="1" w:lastColumn="0" w:noHBand="0" w:noVBand="1"/>
      </w:tblPr>
      <w:tblGrid>
        <w:gridCol w:w="335"/>
        <w:gridCol w:w="349"/>
        <w:gridCol w:w="664"/>
        <w:gridCol w:w="664"/>
        <w:gridCol w:w="664"/>
        <w:gridCol w:w="664"/>
        <w:gridCol w:w="663"/>
        <w:gridCol w:w="663"/>
        <w:gridCol w:w="663"/>
        <w:gridCol w:w="663"/>
        <w:gridCol w:w="663"/>
        <w:gridCol w:w="663"/>
        <w:gridCol w:w="663"/>
        <w:gridCol w:w="663"/>
        <w:gridCol w:w="143"/>
      </w:tblGrid>
      <w:tr w:rsidR="00771CD7" w:rsidRPr="00771CD7" w14:paraId="66F44614" w14:textId="77777777" w:rsidTr="00771CD7">
        <w:trPr>
          <w:gridAfter w:val="1"/>
          <w:wAfter w:w="81" w:type="pct"/>
          <w:trHeight w:val="315"/>
        </w:trPr>
        <w:tc>
          <w:tcPr>
            <w:tcW w:w="389" w:type="pct"/>
            <w:gridSpan w:val="2"/>
            <w:vMerge w:val="restart"/>
            <w:tcBorders>
              <w:top w:val="single" w:sz="12" w:space="0" w:color="00B050"/>
              <w:left w:val="nil"/>
              <w:bottom w:val="single" w:sz="4" w:space="0" w:color="00B050"/>
              <w:right w:val="single" w:sz="4" w:space="0" w:color="00B050"/>
            </w:tcBorders>
            <w:shd w:val="clear" w:color="auto" w:fill="auto"/>
            <w:vAlign w:val="center"/>
            <w:hideMark/>
          </w:tcPr>
          <w:p w14:paraId="16728396" w14:textId="77777777" w:rsidR="00771CD7" w:rsidRPr="00771CD7" w:rsidRDefault="00771CD7" w:rsidP="00771CD7">
            <w:pPr>
              <w:tabs>
                <w:tab w:val="clear" w:pos="7100"/>
              </w:tabs>
              <w:spacing w:line="240" w:lineRule="auto"/>
              <w:jc w:val="center"/>
              <w:rPr>
                <w:rFonts w:cs="Arial"/>
                <w:sz w:val="14"/>
                <w:szCs w:val="14"/>
                <w:lang w:val="it-IT" w:eastAsia="it-IT"/>
              </w:rPr>
            </w:pPr>
            <w:proofErr w:type="spellStart"/>
            <w:r w:rsidRPr="00771CD7">
              <w:rPr>
                <w:rFonts w:cs="Arial"/>
                <w:sz w:val="14"/>
                <w:szCs w:val="14"/>
                <w:lang w:val="it-IT" w:eastAsia="it-IT"/>
              </w:rPr>
              <w:t>Substance</w:t>
            </w:r>
            <w:proofErr w:type="spellEnd"/>
          </w:p>
        </w:tc>
        <w:tc>
          <w:tcPr>
            <w:tcW w:w="378" w:type="pct"/>
            <w:tcBorders>
              <w:top w:val="single" w:sz="12" w:space="0" w:color="00B050"/>
              <w:left w:val="nil"/>
              <w:bottom w:val="single" w:sz="4" w:space="0" w:color="00B050"/>
              <w:right w:val="single" w:sz="4" w:space="0" w:color="00B050"/>
            </w:tcBorders>
            <w:shd w:val="clear" w:color="auto" w:fill="auto"/>
            <w:vAlign w:val="center"/>
            <w:hideMark/>
          </w:tcPr>
          <w:p w14:paraId="422ED54D" w14:textId="77777777" w:rsidR="00771CD7" w:rsidRPr="00771CD7" w:rsidRDefault="00771CD7" w:rsidP="00771CD7">
            <w:pPr>
              <w:tabs>
                <w:tab w:val="clear" w:pos="7100"/>
              </w:tabs>
              <w:spacing w:line="240" w:lineRule="auto"/>
              <w:jc w:val="center"/>
              <w:rPr>
                <w:rFonts w:cs="Arial"/>
                <w:sz w:val="14"/>
                <w:szCs w:val="14"/>
                <w:lang w:val="it-IT" w:eastAsia="it-IT"/>
              </w:rPr>
            </w:pPr>
            <w:r w:rsidRPr="00771CD7">
              <w:rPr>
                <w:rFonts w:cs="Arial"/>
                <w:sz w:val="14"/>
                <w:szCs w:val="14"/>
                <w:lang w:val="it-IT" w:eastAsia="it-IT"/>
              </w:rPr>
              <w:t>Metals</w:t>
            </w:r>
          </w:p>
        </w:tc>
        <w:tc>
          <w:tcPr>
            <w:tcW w:w="1133" w:type="pct"/>
            <w:gridSpan w:val="3"/>
            <w:tcBorders>
              <w:top w:val="single" w:sz="12" w:space="0" w:color="00B050"/>
              <w:left w:val="nil"/>
              <w:bottom w:val="single" w:sz="4" w:space="0" w:color="00B050"/>
              <w:right w:val="single" w:sz="4" w:space="0" w:color="00B050"/>
            </w:tcBorders>
            <w:shd w:val="clear" w:color="auto" w:fill="auto"/>
            <w:vAlign w:val="center"/>
            <w:hideMark/>
          </w:tcPr>
          <w:p w14:paraId="19B9D393" w14:textId="77777777" w:rsidR="00771CD7" w:rsidRPr="00771CD7" w:rsidRDefault="00771CD7" w:rsidP="00771CD7">
            <w:pPr>
              <w:tabs>
                <w:tab w:val="clear" w:pos="7100"/>
              </w:tabs>
              <w:spacing w:line="240" w:lineRule="auto"/>
              <w:jc w:val="center"/>
              <w:rPr>
                <w:rFonts w:cs="Arial"/>
                <w:sz w:val="14"/>
                <w:szCs w:val="14"/>
                <w:lang w:val="it-IT" w:eastAsia="it-IT"/>
              </w:rPr>
            </w:pPr>
            <w:proofErr w:type="spellStart"/>
            <w:r w:rsidRPr="00771CD7">
              <w:rPr>
                <w:rFonts w:cs="Arial"/>
                <w:sz w:val="14"/>
                <w:szCs w:val="14"/>
                <w:lang w:val="it-IT" w:eastAsia="it-IT"/>
              </w:rPr>
              <w:t>Polymers</w:t>
            </w:r>
            <w:proofErr w:type="spellEnd"/>
          </w:p>
        </w:tc>
        <w:tc>
          <w:tcPr>
            <w:tcW w:w="377" w:type="pct"/>
            <w:tcBorders>
              <w:top w:val="single" w:sz="12" w:space="0" w:color="00B050"/>
              <w:left w:val="nil"/>
              <w:bottom w:val="single" w:sz="4" w:space="0" w:color="00B050"/>
              <w:right w:val="single" w:sz="4" w:space="0" w:color="00B050"/>
            </w:tcBorders>
            <w:shd w:val="clear" w:color="auto" w:fill="auto"/>
            <w:vAlign w:val="center"/>
            <w:hideMark/>
          </w:tcPr>
          <w:p w14:paraId="08F677C3" w14:textId="77777777" w:rsidR="00771CD7" w:rsidRPr="00771CD7" w:rsidRDefault="00771CD7" w:rsidP="00771CD7">
            <w:pPr>
              <w:tabs>
                <w:tab w:val="clear" w:pos="7100"/>
              </w:tabs>
              <w:spacing w:line="240" w:lineRule="auto"/>
              <w:jc w:val="center"/>
              <w:rPr>
                <w:rFonts w:cs="Arial"/>
                <w:sz w:val="14"/>
                <w:szCs w:val="14"/>
                <w:lang w:val="it-IT" w:eastAsia="it-IT"/>
              </w:rPr>
            </w:pPr>
            <w:proofErr w:type="spellStart"/>
            <w:r w:rsidRPr="00771CD7">
              <w:rPr>
                <w:rFonts w:cs="Arial"/>
                <w:sz w:val="14"/>
                <w:szCs w:val="14"/>
                <w:lang w:val="it-IT" w:eastAsia="it-IT"/>
              </w:rPr>
              <w:t>Inks</w:t>
            </w:r>
            <w:proofErr w:type="spellEnd"/>
          </w:p>
        </w:tc>
        <w:tc>
          <w:tcPr>
            <w:tcW w:w="1132" w:type="pct"/>
            <w:gridSpan w:val="3"/>
            <w:tcBorders>
              <w:top w:val="single" w:sz="12" w:space="0" w:color="00B050"/>
              <w:left w:val="nil"/>
              <w:bottom w:val="single" w:sz="4" w:space="0" w:color="00B050"/>
              <w:right w:val="single" w:sz="4" w:space="0" w:color="00B050"/>
            </w:tcBorders>
            <w:shd w:val="clear" w:color="auto" w:fill="auto"/>
            <w:vAlign w:val="center"/>
            <w:hideMark/>
          </w:tcPr>
          <w:p w14:paraId="725D20A5" w14:textId="77777777" w:rsidR="00771CD7" w:rsidRPr="00771CD7" w:rsidRDefault="00771CD7" w:rsidP="00771CD7">
            <w:pPr>
              <w:tabs>
                <w:tab w:val="clear" w:pos="7100"/>
              </w:tabs>
              <w:spacing w:line="240" w:lineRule="auto"/>
              <w:jc w:val="center"/>
              <w:rPr>
                <w:rFonts w:cs="Arial"/>
                <w:sz w:val="14"/>
                <w:szCs w:val="14"/>
                <w:lang w:val="it-IT" w:eastAsia="it-IT"/>
              </w:rPr>
            </w:pPr>
            <w:proofErr w:type="spellStart"/>
            <w:r w:rsidRPr="00771CD7">
              <w:rPr>
                <w:rFonts w:cs="Arial"/>
                <w:sz w:val="14"/>
                <w:szCs w:val="14"/>
                <w:lang w:val="it-IT" w:eastAsia="it-IT"/>
              </w:rPr>
              <w:t>Textile</w:t>
            </w:r>
            <w:proofErr w:type="spellEnd"/>
          </w:p>
        </w:tc>
        <w:tc>
          <w:tcPr>
            <w:tcW w:w="1132" w:type="pct"/>
            <w:gridSpan w:val="3"/>
            <w:tcBorders>
              <w:top w:val="single" w:sz="12" w:space="0" w:color="00B050"/>
              <w:left w:val="nil"/>
              <w:bottom w:val="single" w:sz="4" w:space="0" w:color="00B050"/>
              <w:right w:val="single" w:sz="4" w:space="0" w:color="00B050"/>
            </w:tcBorders>
            <w:shd w:val="clear" w:color="auto" w:fill="auto"/>
            <w:vAlign w:val="center"/>
            <w:hideMark/>
          </w:tcPr>
          <w:p w14:paraId="79BA4B9B" w14:textId="77777777" w:rsidR="00771CD7" w:rsidRPr="00771CD7" w:rsidRDefault="00771CD7" w:rsidP="00771CD7">
            <w:pPr>
              <w:tabs>
                <w:tab w:val="clear" w:pos="7100"/>
              </w:tabs>
              <w:spacing w:line="240" w:lineRule="auto"/>
              <w:jc w:val="center"/>
              <w:rPr>
                <w:rFonts w:cs="Arial"/>
                <w:sz w:val="14"/>
                <w:szCs w:val="14"/>
                <w:lang w:val="it-IT" w:eastAsia="it-IT"/>
              </w:rPr>
            </w:pPr>
            <w:r w:rsidRPr="00771CD7">
              <w:rPr>
                <w:rFonts w:cs="Arial"/>
                <w:sz w:val="14"/>
                <w:szCs w:val="14"/>
                <w:lang w:val="it-IT" w:eastAsia="it-IT"/>
              </w:rPr>
              <w:t>Leather</w:t>
            </w:r>
          </w:p>
        </w:tc>
        <w:tc>
          <w:tcPr>
            <w:tcW w:w="377" w:type="pct"/>
            <w:tcBorders>
              <w:top w:val="single" w:sz="12" w:space="0" w:color="00B050"/>
              <w:left w:val="nil"/>
              <w:bottom w:val="single" w:sz="4" w:space="0" w:color="00B050"/>
              <w:right w:val="nil"/>
            </w:tcBorders>
            <w:shd w:val="clear" w:color="auto" w:fill="auto"/>
            <w:vAlign w:val="center"/>
            <w:hideMark/>
          </w:tcPr>
          <w:p w14:paraId="7AF36846" w14:textId="77777777" w:rsidR="00771CD7" w:rsidRPr="00771CD7" w:rsidRDefault="00771CD7" w:rsidP="00771CD7">
            <w:pPr>
              <w:tabs>
                <w:tab w:val="clear" w:pos="7100"/>
              </w:tabs>
              <w:spacing w:line="240" w:lineRule="auto"/>
              <w:jc w:val="center"/>
              <w:rPr>
                <w:rFonts w:cs="Arial"/>
                <w:sz w:val="14"/>
                <w:szCs w:val="14"/>
                <w:lang w:val="it-IT" w:eastAsia="it-IT"/>
              </w:rPr>
            </w:pPr>
            <w:proofErr w:type="spellStart"/>
            <w:r w:rsidRPr="00771CD7">
              <w:rPr>
                <w:rFonts w:cs="Arial"/>
                <w:sz w:val="14"/>
                <w:szCs w:val="14"/>
                <w:lang w:val="it-IT" w:eastAsia="it-IT"/>
              </w:rPr>
              <w:t>Lense</w:t>
            </w:r>
            <w:proofErr w:type="spellEnd"/>
          </w:p>
        </w:tc>
      </w:tr>
      <w:tr w:rsidR="00771CD7" w:rsidRPr="00771CD7" w14:paraId="14681EE9" w14:textId="77777777" w:rsidTr="00771CD7">
        <w:trPr>
          <w:gridAfter w:val="1"/>
          <w:wAfter w:w="81" w:type="pct"/>
          <w:trHeight w:val="690"/>
        </w:trPr>
        <w:tc>
          <w:tcPr>
            <w:tcW w:w="389" w:type="pct"/>
            <w:gridSpan w:val="2"/>
            <w:vMerge/>
            <w:tcBorders>
              <w:top w:val="single" w:sz="12" w:space="0" w:color="00B050"/>
              <w:left w:val="nil"/>
              <w:bottom w:val="single" w:sz="4" w:space="0" w:color="00B050"/>
              <w:right w:val="single" w:sz="4" w:space="0" w:color="00B050"/>
            </w:tcBorders>
            <w:vAlign w:val="center"/>
            <w:hideMark/>
          </w:tcPr>
          <w:p w14:paraId="443168D3" w14:textId="77777777" w:rsidR="00771CD7" w:rsidRPr="00771CD7" w:rsidRDefault="00771CD7" w:rsidP="00771CD7">
            <w:pPr>
              <w:tabs>
                <w:tab w:val="clear" w:pos="7100"/>
              </w:tabs>
              <w:spacing w:line="240" w:lineRule="auto"/>
              <w:jc w:val="left"/>
              <w:rPr>
                <w:rFonts w:cs="Arial"/>
                <w:sz w:val="14"/>
                <w:szCs w:val="14"/>
                <w:lang w:val="it-IT" w:eastAsia="it-IT"/>
              </w:rPr>
            </w:pPr>
          </w:p>
        </w:tc>
        <w:tc>
          <w:tcPr>
            <w:tcW w:w="378" w:type="pct"/>
            <w:tcBorders>
              <w:top w:val="nil"/>
              <w:left w:val="nil"/>
              <w:bottom w:val="single" w:sz="4" w:space="0" w:color="00B050"/>
              <w:right w:val="single" w:sz="4" w:space="0" w:color="00B050"/>
            </w:tcBorders>
            <w:shd w:val="clear" w:color="auto" w:fill="auto"/>
            <w:textDirection w:val="btLr"/>
            <w:vAlign w:val="center"/>
            <w:hideMark/>
          </w:tcPr>
          <w:p w14:paraId="368F2E49" w14:textId="77777777" w:rsidR="00771CD7" w:rsidRPr="00771CD7" w:rsidRDefault="00771CD7" w:rsidP="00771CD7">
            <w:pPr>
              <w:tabs>
                <w:tab w:val="clear" w:pos="7100"/>
              </w:tabs>
              <w:spacing w:line="240" w:lineRule="auto"/>
              <w:rPr>
                <w:rFonts w:cs="Arial"/>
                <w:sz w:val="14"/>
                <w:szCs w:val="14"/>
                <w:lang w:val="it-IT" w:eastAsia="it-IT"/>
              </w:rPr>
            </w:pPr>
            <w:r w:rsidRPr="00771CD7">
              <w:rPr>
                <w:rFonts w:cs="Arial"/>
                <w:sz w:val="14"/>
                <w:szCs w:val="14"/>
                <w:lang w:val="it-IT" w:eastAsia="it-IT"/>
              </w:rPr>
              <w:t>Metal Components</w:t>
            </w:r>
          </w:p>
        </w:tc>
        <w:tc>
          <w:tcPr>
            <w:tcW w:w="378" w:type="pct"/>
            <w:tcBorders>
              <w:top w:val="nil"/>
              <w:left w:val="nil"/>
              <w:bottom w:val="single" w:sz="4" w:space="0" w:color="00B050"/>
              <w:right w:val="single" w:sz="4" w:space="0" w:color="00B050"/>
            </w:tcBorders>
            <w:shd w:val="clear" w:color="auto" w:fill="auto"/>
            <w:textDirection w:val="btLr"/>
            <w:vAlign w:val="center"/>
            <w:hideMark/>
          </w:tcPr>
          <w:p w14:paraId="2DEF72DF" w14:textId="77777777" w:rsidR="00771CD7" w:rsidRPr="00771CD7" w:rsidRDefault="00771CD7" w:rsidP="00771CD7">
            <w:pPr>
              <w:tabs>
                <w:tab w:val="clear" w:pos="7100"/>
              </w:tabs>
              <w:spacing w:line="240" w:lineRule="auto"/>
              <w:rPr>
                <w:rFonts w:cs="Arial"/>
                <w:sz w:val="14"/>
                <w:szCs w:val="14"/>
                <w:lang w:val="it-IT" w:eastAsia="it-IT"/>
              </w:rPr>
            </w:pPr>
            <w:r w:rsidRPr="00771CD7">
              <w:rPr>
                <w:rFonts w:cs="Arial"/>
                <w:sz w:val="14"/>
                <w:szCs w:val="14"/>
                <w:lang w:val="it-IT" w:eastAsia="it-IT"/>
              </w:rPr>
              <w:t>Plastic Components</w:t>
            </w:r>
          </w:p>
        </w:tc>
        <w:tc>
          <w:tcPr>
            <w:tcW w:w="378" w:type="pct"/>
            <w:tcBorders>
              <w:top w:val="nil"/>
              <w:left w:val="nil"/>
              <w:bottom w:val="single" w:sz="4" w:space="0" w:color="00B050"/>
              <w:right w:val="single" w:sz="4" w:space="0" w:color="00B050"/>
            </w:tcBorders>
            <w:shd w:val="clear" w:color="auto" w:fill="auto"/>
            <w:textDirection w:val="btLr"/>
            <w:vAlign w:val="center"/>
            <w:hideMark/>
          </w:tcPr>
          <w:p w14:paraId="5616B25F" w14:textId="77777777" w:rsidR="00771CD7" w:rsidRPr="00771CD7" w:rsidRDefault="00771CD7" w:rsidP="00771CD7">
            <w:pPr>
              <w:tabs>
                <w:tab w:val="clear" w:pos="7100"/>
              </w:tabs>
              <w:spacing w:line="240" w:lineRule="auto"/>
              <w:rPr>
                <w:rFonts w:cs="Arial"/>
                <w:sz w:val="14"/>
                <w:szCs w:val="14"/>
                <w:lang w:val="it-IT" w:eastAsia="it-IT"/>
              </w:rPr>
            </w:pPr>
            <w:r w:rsidRPr="00771CD7">
              <w:rPr>
                <w:rFonts w:cs="Arial"/>
                <w:sz w:val="14"/>
                <w:szCs w:val="14"/>
                <w:lang w:val="it-IT" w:eastAsia="it-IT"/>
              </w:rPr>
              <w:t>Rubber, PU</w:t>
            </w:r>
          </w:p>
        </w:tc>
        <w:tc>
          <w:tcPr>
            <w:tcW w:w="378" w:type="pct"/>
            <w:tcBorders>
              <w:top w:val="nil"/>
              <w:left w:val="nil"/>
              <w:bottom w:val="single" w:sz="4" w:space="0" w:color="00B050"/>
              <w:right w:val="single" w:sz="4" w:space="0" w:color="00B050"/>
            </w:tcBorders>
            <w:shd w:val="clear" w:color="auto" w:fill="auto"/>
            <w:textDirection w:val="btLr"/>
            <w:vAlign w:val="center"/>
            <w:hideMark/>
          </w:tcPr>
          <w:p w14:paraId="3FC5CCCA" w14:textId="77777777" w:rsidR="00771CD7" w:rsidRPr="00771CD7" w:rsidRDefault="00771CD7" w:rsidP="00771CD7">
            <w:pPr>
              <w:tabs>
                <w:tab w:val="clear" w:pos="7100"/>
              </w:tabs>
              <w:spacing w:line="240" w:lineRule="auto"/>
              <w:rPr>
                <w:rFonts w:cs="Arial"/>
                <w:sz w:val="14"/>
                <w:szCs w:val="14"/>
                <w:lang w:val="it-IT" w:eastAsia="it-IT"/>
              </w:rPr>
            </w:pPr>
            <w:r w:rsidRPr="00771CD7">
              <w:rPr>
                <w:rFonts w:cs="Arial"/>
                <w:sz w:val="14"/>
                <w:szCs w:val="14"/>
                <w:lang w:val="it-IT" w:eastAsia="it-IT"/>
              </w:rPr>
              <w:t>PVC</w:t>
            </w:r>
          </w:p>
        </w:tc>
        <w:tc>
          <w:tcPr>
            <w:tcW w:w="377" w:type="pct"/>
            <w:tcBorders>
              <w:top w:val="nil"/>
              <w:left w:val="nil"/>
              <w:bottom w:val="single" w:sz="4" w:space="0" w:color="00B050"/>
              <w:right w:val="single" w:sz="4" w:space="0" w:color="00B050"/>
            </w:tcBorders>
            <w:shd w:val="clear" w:color="auto" w:fill="auto"/>
            <w:textDirection w:val="btLr"/>
            <w:vAlign w:val="center"/>
            <w:hideMark/>
          </w:tcPr>
          <w:p w14:paraId="224E38E7" w14:textId="77777777" w:rsidR="00771CD7" w:rsidRPr="00771CD7" w:rsidRDefault="00771CD7" w:rsidP="00771CD7">
            <w:pPr>
              <w:tabs>
                <w:tab w:val="clear" w:pos="7100"/>
              </w:tabs>
              <w:spacing w:line="240" w:lineRule="auto"/>
              <w:rPr>
                <w:rFonts w:cs="Arial"/>
                <w:sz w:val="14"/>
                <w:szCs w:val="14"/>
                <w:lang w:val="it-IT" w:eastAsia="it-IT"/>
              </w:rPr>
            </w:pPr>
            <w:proofErr w:type="spellStart"/>
            <w:r w:rsidRPr="00771CD7">
              <w:rPr>
                <w:rFonts w:cs="Arial"/>
                <w:sz w:val="14"/>
                <w:szCs w:val="14"/>
                <w:lang w:val="it-IT" w:eastAsia="it-IT"/>
              </w:rPr>
              <w:t>Varnishes</w:t>
            </w:r>
            <w:proofErr w:type="spellEnd"/>
          </w:p>
        </w:tc>
        <w:tc>
          <w:tcPr>
            <w:tcW w:w="377" w:type="pct"/>
            <w:tcBorders>
              <w:top w:val="nil"/>
              <w:left w:val="nil"/>
              <w:bottom w:val="single" w:sz="4" w:space="0" w:color="00B050"/>
              <w:right w:val="single" w:sz="4" w:space="0" w:color="00B050"/>
            </w:tcBorders>
            <w:shd w:val="clear" w:color="auto" w:fill="auto"/>
            <w:textDirection w:val="btLr"/>
            <w:vAlign w:val="center"/>
            <w:hideMark/>
          </w:tcPr>
          <w:p w14:paraId="2DE9AF64" w14:textId="77777777" w:rsidR="00771CD7" w:rsidRPr="00771CD7" w:rsidRDefault="00771CD7" w:rsidP="00771CD7">
            <w:pPr>
              <w:tabs>
                <w:tab w:val="clear" w:pos="7100"/>
              </w:tabs>
              <w:spacing w:line="240" w:lineRule="auto"/>
              <w:rPr>
                <w:rFonts w:cs="Arial"/>
                <w:sz w:val="14"/>
                <w:szCs w:val="14"/>
                <w:lang w:val="it-IT" w:eastAsia="it-IT"/>
              </w:rPr>
            </w:pPr>
            <w:proofErr w:type="spellStart"/>
            <w:r w:rsidRPr="00771CD7">
              <w:rPr>
                <w:rFonts w:cs="Arial"/>
                <w:sz w:val="14"/>
                <w:szCs w:val="14"/>
                <w:lang w:val="it-IT" w:eastAsia="it-IT"/>
              </w:rPr>
              <w:t>Textile</w:t>
            </w:r>
            <w:proofErr w:type="spellEnd"/>
          </w:p>
        </w:tc>
        <w:tc>
          <w:tcPr>
            <w:tcW w:w="377" w:type="pct"/>
            <w:tcBorders>
              <w:top w:val="nil"/>
              <w:left w:val="nil"/>
              <w:bottom w:val="single" w:sz="4" w:space="0" w:color="00B050"/>
              <w:right w:val="single" w:sz="4" w:space="0" w:color="00B050"/>
            </w:tcBorders>
            <w:shd w:val="clear" w:color="auto" w:fill="auto"/>
            <w:textDirection w:val="btLr"/>
            <w:vAlign w:val="center"/>
            <w:hideMark/>
          </w:tcPr>
          <w:p w14:paraId="78FA4F04" w14:textId="77777777" w:rsidR="00771CD7" w:rsidRPr="00771CD7" w:rsidRDefault="00771CD7" w:rsidP="00771CD7">
            <w:pPr>
              <w:tabs>
                <w:tab w:val="clear" w:pos="7100"/>
              </w:tabs>
              <w:spacing w:line="240" w:lineRule="auto"/>
              <w:rPr>
                <w:rFonts w:cs="Arial"/>
                <w:sz w:val="14"/>
                <w:szCs w:val="14"/>
                <w:lang w:val="it-IT" w:eastAsia="it-IT"/>
              </w:rPr>
            </w:pPr>
            <w:proofErr w:type="spellStart"/>
            <w:r w:rsidRPr="00771CD7">
              <w:rPr>
                <w:rFonts w:cs="Arial"/>
                <w:sz w:val="14"/>
                <w:szCs w:val="14"/>
                <w:lang w:val="it-IT" w:eastAsia="it-IT"/>
              </w:rPr>
              <w:t>Coated</w:t>
            </w:r>
            <w:proofErr w:type="spellEnd"/>
            <w:r w:rsidRPr="00771CD7">
              <w:rPr>
                <w:rFonts w:cs="Arial"/>
                <w:sz w:val="14"/>
                <w:szCs w:val="14"/>
                <w:lang w:val="it-IT" w:eastAsia="it-IT"/>
              </w:rPr>
              <w:t xml:space="preserve"> </w:t>
            </w:r>
            <w:proofErr w:type="spellStart"/>
            <w:r w:rsidRPr="00771CD7">
              <w:rPr>
                <w:rFonts w:cs="Arial"/>
                <w:sz w:val="14"/>
                <w:szCs w:val="14"/>
                <w:lang w:val="it-IT" w:eastAsia="it-IT"/>
              </w:rPr>
              <w:t>Textile</w:t>
            </w:r>
            <w:proofErr w:type="spellEnd"/>
          </w:p>
        </w:tc>
        <w:tc>
          <w:tcPr>
            <w:tcW w:w="377" w:type="pct"/>
            <w:tcBorders>
              <w:top w:val="nil"/>
              <w:left w:val="nil"/>
              <w:bottom w:val="single" w:sz="4" w:space="0" w:color="00B050"/>
              <w:right w:val="single" w:sz="4" w:space="0" w:color="00B050"/>
            </w:tcBorders>
            <w:shd w:val="clear" w:color="auto" w:fill="auto"/>
            <w:textDirection w:val="btLr"/>
            <w:vAlign w:val="center"/>
            <w:hideMark/>
          </w:tcPr>
          <w:p w14:paraId="35B6356E" w14:textId="77777777" w:rsidR="00771CD7" w:rsidRPr="00771CD7" w:rsidRDefault="00771CD7" w:rsidP="00771CD7">
            <w:pPr>
              <w:tabs>
                <w:tab w:val="clear" w:pos="7100"/>
              </w:tabs>
              <w:spacing w:line="240" w:lineRule="auto"/>
              <w:rPr>
                <w:rFonts w:cs="Arial"/>
                <w:sz w:val="14"/>
                <w:szCs w:val="14"/>
                <w:lang w:val="it-IT" w:eastAsia="it-IT"/>
              </w:rPr>
            </w:pPr>
            <w:proofErr w:type="spellStart"/>
            <w:r w:rsidRPr="00771CD7">
              <w:rPr>
                <w:rFonts w:cs="Arial"/>
                <w:sz w:val="14"/>
                <w:szCs w:val="14"/>
                <w:lang w:val="it-IT" w:eastAsia="it-IT"/>
              </w:rPr>
              <w:t>Textiles</w:t>
            </w:r>
            <w:proofErr w:type="spellEnd"/>
            <w:r w:rsidRPr="00771CD7">
              <w:rPr>
                <w:rFonts w:cs="Arial"/>
                <w:sz w:val="14"/>
                <w:szCs w:val="14"/>
                <w:lang w:val="it-IT" w:eastAsia="it-IT"/>
              </w:rPr>
              <w:t xml:space="preserve">   Anti-</w:t>
            </w:r>
            <w:proofErr w:type="spellStart"/>
            <w:r w:rsidRPr="00771CD7">
              <w:rPr>
                <w:rFonts w:cs="Arial"/>
                <w:sz w:val="14"/>
                <w:szCs w:val="14"/>
                <w:lang w:val="it-IT" w:eastAsia="it-IT"/>
              </w:rPr>
              <w:t>Rain</w:t>
            </w:r>
            <w:proofErr w:type="spellEnd"/>
          </w:p>
        </w:tc>
        <w:tc>
          <w:tcPr>
            <w:tcW w:w="377" w:type="pct"/>
            <w:tcBorders>
              <w:top w:val="nil"/>
              <w:left w:val="nil"/>
              <w:bottom w:val="single" w:sz="4" w:space="0" w:color="00B050"/>
              <w:right w:val="single" w:sz="4" w:space="0" w:color="00B050"/>
            </w:tcBorders>
            <w:shd w:val="clear" w:color="auto" w:fill="auto"/>
            <w:textDirection w:val="btLr"/>
            <w:vAlign w:val="center"/>
            <w:hideMark/>
          </w:tcPr>
          <w:p w14:paraId="2A2C82DF" w14:textId="77777777" w:rsidR="00771CD7" w:rsidRPr="00771CD7" w:rsidRDefault="00771CD7" w:rsidP="00771CD7">
            <w:pPr>
              <w:tabs>
                <w:tab w:val="clear" w:pos="7100"/>
              </w:tabs>
              <w:spacing w:line="240" w:lineRule="auto"/>
              <w:rPr>
                <w:rFonts w:cs="Arial"/>
                <w:sz w:val="14"/>
                <w:szCs w:val="14"/>
                <w:lang w:val="it-IT" w:eastAsia="it-IT"/>
              </w:rPr>
            </w:pPr>
            <w:r w:rsidRPr="00771CD7">
              <w:rPr>
                <w:rFonts w:cs="Arial"/>
                <w:sz w:val="14"/>
                <w:szCs w:val="14"/>
                <w:lang w:val="it-IT" w:eastAsia="it-IT"/>
              </w:rPr>
              <w:t>Natural leather</w:t>
            </w:r>
          </w:p>
        </w:tc>
        <w:tc>
          <w:tcPr>
            <w:tcW w:w="377" w:type="pct"/>
            <w:tcBorders>
              <w:top w:val="nil"/>
              <w:left w:val="nil"/>
              <w:bottom w:val="single" w:sz="4" w:space="0" w:color="00B050"/>
              <w:right w:val="single" w:sz="4" w:space="0" w:color="00B050"/>
            </w:tcBorders>
            <w:shd w:val="clear" w:color="auto" w:fill="auto"/>
            <w:textDirection w:val="btLr"/>
            <w:vAlign w:val="center"/>
            <w:hideMark/>
          </w:tcPr>
          <w:p w14:paraId="08A56A8D" w14:textId="77777777" w:rsidR="00771CD7" w:rsidRPr="00771CD7" w:rsidRDefault="00771CD7" w:rsidP="00771CD7">
            <w:pPr>
              <w:tabs>
                <w:tab w:val="clear" w:pos="7100"/>
              </w:tabs>
              <w:spacing w:line="240" w:lineRule="auto"/>
              <w:rPr>
                <w:rFonts w:cs="Arial"/>
                <w:sz w:val="14"/>
                <w:szCs w:val="14"/>
                <w:lang w:val="it-IT" w:eastAsia="it-IT"/>
              </w:rPr>
            </w:pPr>
            <w:proofErr w:type="spellStart"/>
            <w:r w:rsidRPr="00771CD7">
              <w:rPr>
                <w:rFonts w:cs="Arial"/>
                <w:sz w:val="14"/>
                <w:szCs w:val="14"/>
                <w:lang w:val="it-IT" w:eastAsia="it-IT"/>
              </w:rPr>
              <w:t>Coated</w:t>
            </w:r>
            <w:proofErr w:type="spellEnd"/>
            <w:r w:rsidRPr="00771CD7">
              <w:rPr>
                <w:rFonts w:cs="Arial"/>
                <w:sz w:val="14"/>
                <w:szCs w:val="14"/>
                <w:lang w:val="it-IT" w:eastAsia="it-IT"/>
              </w:rPr>
              <w:t xml:space="preserve"> leather</w:t>
            </w:r>
          </w:p>
        </w:tc>
        <w:tc>
          <w:tcPr>
            <w:tcW w:w="377" w:type="pct"/>
            <w:tcBorders>
              <w:top w:val="nil"/>
              <w:left w:val="nil"/>
              <w:bottom w:val="single" w:sz="4" w:space="0" w:color="00B050"/>
              <w:right w:val="single" w:sz="4" w:space="0" w:color="00B050"/>
            </w:tcBorders>
            <w:shd w:val="clear" w:color="auto" w:fill="auto"/>
            <w:textDirection w:val="btLr"/>
            <w:vAlign w:val="center"/>
            <w:hideMark/>
          </w:tcPr>
          <w:p w14:paraId="4CF545EA" w14:textId="77777777" w:rsidR="00771CD7" w:rsidRPr="00771CD7" w:rsidRDefault="00771CD7" w:rsidP="00771CD7">
            <w:pPr>
              <w:tabs>
                <w:tab w:val="clear" w:pos="7100"/>
              </w:tabs>
              <w:spacing w:line="240" w:lineRule="auto"/>
              <w:rPr>
                <w:rFonts w:cs="Arial"/>
                <w:sz w:val="14"/>
                <w:szCs w:val="14"/>
                <w:lang w:val="it-IT" w:eastAsia="it-IT"/>
              </w:rPr>
            </w:pPr>
            <w:r w:rsidRPr="00771CD7">
              <w:rPr>
                <w:rFonts w:cs="Arial"/>
                <w:sz w:val="14"/>
                <w:szCs w:val="14"/>
                <w:lang w:val="it-IT" w:eastAsia="it-IT"/>
              </w:rPr>
              <w:t>Leather   Anti-</w:t>
            </w:r>
            <w:proofErr w:type="spellStart"/>
            <w:r w:rsidRPr="00771CD7">
              <w:rPr>
                <w:rFonts w:cs="Arial"/>
                <w:sz w:val="14"/>
                <w:szCs w:val="14"/>
                <w:lang w:val="it-IT" w:eastAsia="it-IT"/>
              </w:rPr>
              <w:t>Rain</w:t>
            </w:r>
            <w:proofErr w:type="spellEnd"/>
          </w:p>
        </w:tc>
        <w:tc>
          <w:tcPr>
            <w:tcW w:w="377" w:type="pct"/>
            <w:tcBorders>
              <w:top w:val="nil"/>
              <w:left w:val="nil"/>
              <w:bottom w:val="single" w:sz="4" w:space="0" w:color="00B050"/>
              <w:right w:val="nil"/>
            </w:tcBorders>
            <w:shd w:val="clear" w:color="auto" w:fill="auto"/>
            <w:textDirection w:val="btLr"/>
            <w:vAlign w:val="center"/>
            <w:hideMark/>
          </w:tcPr>
          <w:p w14:paraId="7887FFAA" w14:textId="77777777" w:rsidR="00771CD7" w:rsidRPr="00771CD7" w:rsidRDefault="00771CD7" w:rsidP="00771CD7">
            <w:pPr>
              <w:tabs>
                <w:tab w:val="clear" w:pos="7100"/>
              </w:tabs>
              <w:spacing w:line="240" w:lineRule="auto"/>
              <w:rPr>
                <w:rFonts w:cs="Arial"/>
                <w:sz w:val="14"/>
                <w:szCs w:val="14"/>
                <w:lang w:val="it-IT" w:eastAsia="it-IT"/>
              </w:rPr>
            </w:pPr>
            <w:proofErr w:type="spellStart"/>
            <w:r w:rsidRPr="00771CD7">
              <w:rPr>
                <w:rFonts w:cs="Arial"/>
                <w:sz w:val="14"/>
                <w:szCs w:val="14"/>
                <w:lang w:val="it-IT" w:eastAsia="it-IT"/>
              </w:rPr>
              <w:t>Lenses</w:t>
            </w:r>
            <w:proofErr w:type="spellEnd"/>
          </w:p>
        </w:tc>
      </w:tr>
      <w:tr w:rsidR="00771CD7" w:rsidRPr="00771CD7" w14:paraId="31528DFE" w14:textId="77777777" w:rsidTr="00771CD7">
        <w:trPr>
          <w:gridAfter w:val="1"/>
          <w:wAfter w:w="81" w:type="pct"/>
          <w:trHeight w:val="480"/>
        </w:trPr>
        <w:tc>
          <w:tcPr>
            <w:tcW w:w="191" w:type="pct"/>
            <w:tcBorders>
              <w:top w:val="nil"/>
              <w:left w:val="nil"/>
              <w:bottom w:val="single" w:sz="4" w:space="0" w:color="00B050"/>
              <w:right w:val="single" w:sz="4" w:space="0" w:color="00B050"/>
            </w:tcBorders>
            <w:shd w:val="clear" w:color="auto" w:fill="auto"/>
            <w:vAlign w:val="center"/>
            <w:hideMark/>
          </w:tcPr>
          <w:p w14:paraId="797697C0" w14:textId="2C95B349" w:rsidR="00771CD7" w:rsidRPr="00771CD7" w:rsidRDefault="00771CD7" w:rsidP="00771CD7">
            <w:pPr>
              <w:tabs>
                <w:tab w:val="clear" w:pos="7100"/>
              </w:tabs>
              <w:spacing w:line="240" w:lineRule="auto"/>
              <w:jc w:val="center"/>
              <w:rPr>
                <w:rFonts w:cs="Arial"/>
                <w:sz w:val="14"/>
                <w:szCs w:val="14"/>
                <w:lang w:val="it-IT" w:eastAsia="it-IT"/>
              </w:rPr>
            </w:pPr>
            <w:r>
              <w:rPr>
                <w:rFonts w:cs="Arial"/>
                <w:sz w:val="14"/>
                <w:szCs w:val="14"/>
                <w:lang w:val="it-IT" w:eastAsia="it-IT"/>
              </w:rPr>
              <w:t>K</w:t>
            </w:r>
            <w:r w:rsidRPr="00771CD7">
              <w:rPr>
                <w:rFonts w:cs="Arial"/>
                <w:sz w:val="14"/>
                <w:szCs w:val="14"/>
                <w:lang w:val="it-IT" w:eastAsia="it-IT"/>
              </w:rPr>
              <w:t>ey Code</w:t>
            </w:r>
          </w:p>
        </w:tc>
        <w:tc>
          <w:tcPr>
            <w:tcW w:w="199" w:type="pct"/>
            <w:tcBorders>
              <w:top w:val="nil"/>
              <w:left w:val="nil"/>
              <w:bottom w:val="single" w:sz="4" w:space="0" w:color="00B050"/>
              <w:right w:val="single" w:sz="4" w:space="0" w:color="00B050"/>
            </w:tcBorders>
            <w:shd w:val="clear" w:color="auto" w:fill="auto"/>
            <w:vAlign w:val="center"/>
            <w:hideMark/>
          </w:tcPr>
          <w:p w14:paraId="55A8890D" w14:textId="77777777" w:rsidR="00771CD7" w:rsidRPr="00771CD7" w:rsidRDefault="00771CD7" w:rsidP="00771CD7">
            <w:pPr>
              <w:tabs>
                <w:tab w:val="clear" w:pos="7100"/>
              </w:tabs>
              <w:spacing w:line="240" w:lineRule="auto"/>
              <w:jc w:val="center"/>
              <w:rPr>
                <w:rFonts w:cs="Arial"/>
                <w:b/>
                <w:bCs/>
                <w:sz w:val="14"/>
                <w:szCs w:val="14"/>
                <w:lang w:val="it-IT" w:eastAsia="it-IT"/>
              </w:rPr>
            </w:pPr>
            <w:r w:rsidRPr="00771CD7">
              <w:rPr>
                <w:rFonts w:cs="Arial"/>
                <w:b/>
                <w:bCs/>
                <w:sz w:val="14"/>
                <w:szCs w:val="14"/>
                <w:lang w:val="it-IT" w:eastAsia="it-IT"/>
              </w:rPr>
              <w:t>CAS</w:t>
            </w:r>
          </w:p>
        </w:tc>
        <w:tc>
          <w:tcPr>
            <w:tcW w:w="378" w:type="pct"/>
            <w:tcBorders>
              <w:top w:val="nil"/>
              <w:left w:val="nil"/>
              <w:bottom w:val="single" w:sz="4" w:space="0" w:color="00B050"/>
              <w:right w:val="single" w:sz="4" w:space="0" w:color="00B050"/>
            </w:tcBorders>
            <w:shd w:val="clear" w:color="auto" w:fill="auto"/>
            <w:textDirection w:val="btLr"/>
            <w:vAlign w:val="center"/>
            <w:hideMark/>
          </w:tcPr>
          <w:p w14:paraId="3D9E8B91" w14:textId="77777777" w:rsidR="00771CD7" w:rsidRPr="00771CD7" w:rsidRDefault="00771CD7" w:rsidP="00771CD7">
            <w:pPr>
              <w:tabs>
                <w:tab w:val="clear" w:pos="7100"/>
              </w:tabs>
              <w:spacing w:line="240" w:lineRule="auto"/>
              <w:rPr>
                <w:rFonts w:cs="Arial"/>
                <w:sz w:val="14"/>
                <w:szCs w:val="14"/>
                <w:lang w:val="it-IT" w:eastAsia="it-IT"/>
              </w:rPr>
            </w:pPr>
            <w:r w:rsidRPr="00771CD7">
              <w:rPr>
                <w:rFonts w:cs="Arial"/>
                <w:sz w:val="14"/>
                <w:szCs w:val="14"/>
                <w:lang w:val="it-IT" w:eastAsia="it-IT"/>
              </w:rPr>
              <w:t>MET</w:t>
            </w:r>
          </w:p>
        </w:tc>
        <w:tc>
          <w:tcPr>
            <w:tcW w:w="378" w:type="pct"/>
            <w:tcBorders>
              <w:top w:val="nil"/>
              <w:left w:val="nil"/>
              <w:bottom w:val="single" w:sz="4" w:space="0" w:color="00B050"/>
              <w:right w:val="single" w:sz="4" w:space="0" w:color="00B050"/>
            </w:tcBorders>
            <w:shd w:val="clear" w:color="auto" w:fill="auto"/>
            <w:textDirection w:val="btLr"/>
            <w:vAlign w:val="center"/>
            <w:hideMark/>
          </w:tcPr>
          <w:p w14:paraId="065D1D56" w14:textId="77777777" w:rsidR="00771CD7" w:rsidRPr="00771CD7" w:rsidRDefault="00771CD7" w:rsidP="00771CD7">
            <w:pPr>
              <w:tabs>
                <w:tab w:val="clear" w:pos="7100"/>
              </w:tabs>
              <w:spacing w:line="240" w:lineRule="auto"/>
              <w:rPr>
                <w:rFonts w:cs="Arial"/>
                <w:sz w:val="14"/>
                <w:szCs w:val="14"/>
                <w:lang w:val="it-IT" w:eastAsia="it-IT"/>
              </w:rPr>
            </w:pPr>
            <w:r w:rsidRPr="00771CD7">
              <w:rPr>
                <w:rFonts w:cs="Arial"/>
                <w:sz w:val="14"/>
                <w:szCs w:val="14"/>
                <w:lang w:val="it-IT" w:eastAsia="it-IT"/>
              </w:rPr>
              <w:t>PLAS</w:t>
            </w:r>
          </w:p>
        </w:tc>
        <w:tc>
          <w:tcPr>
            <w:tcW w:w="378" w:type="pct"/>
            <w:tcBorders>
              <w:top w:val="nil"/>
              <w:left w:val="nil"/>
              <w:bottom w:val="single" w:sz="4" w:space="0" w:color="00B050"/>
              <w:right w:val="single" w:sz="4" w:space="0" w:color="00B050"/>
            </w:tcBorders>
            <w:shd w:val="clear" w:color="auto" w:fill="auto"/>
            <w:textDirection w:val="btLr"/>
            <w:vAlign w:val="center"/>
            <w:hideMark/>
          </w:tcPr>
          <w:p w14:paraId="3D3B0FAF" w14:textId="77777777" w:rsidR="00771CD7" w:rsidRPr="00771CD7" w:rsidRDefault="00771CD7" w:rsidP="00771CD7">
            <w:pPr>
              <w:tabs>
                <w:tab w:val="clear" w:pos="7100"/>
              </w:tabs>
              <w:spacing w:line="240" w:lineRule="auto"/>
              <w:rPr>
                <w:rFonts w:cs="Arial"/>
                <w:sz w:val="14"/>
                <w:szCs w:val="14"/>
                <w:lang w:val="it-IT" w:eastAsia="it-IT"/>
              </w:rPr>
            </w:pPr>
            <w:r w:rsidRPr="00771CD7">
              <w:rPr>
                <w:rFonts w:cs="Arial"/>
                <w:sz w:val="14"/>
                <w:szCs w:val="14"/>
                <w:lang w:val="it-IT" w:eastAsia="it-IT"/>
              </w:rPr>
              <w:t>RUB</w:t>
            </w:r>
          </w:p>
        </w:tc>
        <w:tc>
          <w:tcPr>
            <w:tcW w:w="378" w:type="pct"/>
            <w:tcBorders>
              <w:top w:val="nil"/>
              <w:left w:val="nil"/>
              <w:bottom w:val="single" w:sz="4" w:space="0" w:color="00B050"/>
              <w:right w:val="single" w:sz="4" w:space="0" w:color="00B050"/>
            </w:tcBorders>
            <w:shd w:val="clear" w:color="auto" w:fill="auto"/>
            <w:textDirection w:val="btLr"/>
            <w:vAlign w:val="center"/>
            <w:hideMark/>
          </w:tcPr>
          <w:p w14:paraId="1DD58332" w14:textId="77777777" w:rsidR="00771CD7" w:rsidRPr="00771CD7" w:rsidRDefault="00771CD7" w:rsidP="00771CD7">
            <w:pPr>
              <w:tabs>
                <w:tab w:val="clear" w:pos="7100"/>
              </w:tabs>
              <w:spacing w:line="240" w:lineRule="auto"/>
              <w:rPr>
                <w:rFonts w:cs="Arial"/>
                <w:sz w:val="14"/>
                <w:szCs w:val="14"/>
                <w:lang w:val="it-IT" w:eastAsia="it-IT"/>
              </w:rPr>
            </w:pPr>
            <w:r w:rsidRPr="00771CD7">
              <w:rPr>
                <w:rFonts w:cs="Arial"/>
                <w:sz w:val="14"/>
                <w:szCs w:val="14"/>
                <w:lang w:val="it-IT" w:eastAsia="it-IT"/>
              </w:rPr>
              <w:t>PVC</w:t>
            </w:r>
          </w:p>
        </w:tc>
        <w:tc>
          <w:tcPr>
            <w:tcW w:w="377" w:type="pct"/>
            <w:tcBorders>
              <w:top w:val="nil"/>
              <w:left w:val="nil"/>
              <w:bottom w:val="single" w:sz="4" w:space="0" w:color="00B050"/>
              <w:right w:val="single" w:sz="4" w:space="0" w:color="00B050"/>
            </w:tcBorders>
            <w:shd w:val="clear" w:color="auto" w:fill="auto"/>
            <w:textDirection w:val="btLr"/>
            <w:vAlign w:val="center"/>
            <w:hideMark/>
          </w:tcPr>
          <w:p w14:paraId="2316C7BE" w14:textId="77777777" w:rsidR="00771CD7" w:rsidRPr="00771CD7" w:rsidRDefault="00771CD7" w:rsidP="00771CD7">
            <w:pPr>
              <w:tabs>
                <w:tab w:val="clear" w:pos="7100"/>
              </w:tabs>
              <w:spacing w:line="240" w:lineRule="auto"/>
              <w:rPr>
                <w:rFonts w:cs="Arial"/>
                <w:sz w:val="14"/>
                <w:szCs w:val="14"/>
                <w:lang w:val="it-IT" w:eastAsia="it-IT"/>
              </w:rPr>
            </w:pPr>
            <w:r w:rsidRPr="00771CD7">
              <w:rPr>
                <w:rFonts w:cs="Arial"/>
                <w:sz w:val="14"/>
                <w:szCs w:val="14"/>
                <w:lang w:val="it-IT" w:eastAsia="it-IT"/>
              </w:rPr>
              <w:t>PLAS</w:t>
            </w:r>
          </w:p>
        </w:tc>
        <w:tc>
          <w:tcPr>
            <w:tcW w:w="377" w:type="pct"/>
            <w:tcBorders>
              <w:top w:val="nil"/>
              <w:left w:val="nil"/>
              <w:bottom w:val="single" w:sz="4" w:space="0" w:color="00B050"/>
              <w:right w:val="single" w:sz="4" w:space="0" w:color="00B050"/>
            </w:tcBorders>
            <w:shd w:val="clear" w:color="auto" w:fill="auto"/>
            <w:textDirection w:val="btLr"/>
            <w:vAlign w:val="center"/>
            <w:hideMark/>
          </w:tcPr>
          <w:p w14:paraId="3BF98ECD" w14:textId="77777777" w:rsidR="00771CD7" w:rsidRPr="00771CD7" w:rsidRDefault="00771CD7" w:rsidP="00771CD7">
            <w:pPr>
              <w:tabs>
                <w:tab w:val="clear" w:pos="7100"/>
              </w:tabs>
              <w:spacing w:line="240" w:lineRule="auto"/>
              <w:rPr>
                <w:rFonts w:cs="Arial"/>
                <w:sz w:val="14"/>
                <w:szCs w:val="14"/>
                <w:lang w:val="it-IT" w:eastAsia="it-IT"/>
              </w:rPr>
            </w:pPr>
            <w:r w:rsidRPr="00771CD7">
              <w:rPr>
                <w:rFonts w:cs="Arial"/>
                <w:sz w:val="14"/>
                <w:szCs w:val="14"/>
                <w:lang w:val="it-IT" w:eastAsia="it-IT"/>
              </w:rPr>
              <w:t>T&amp;L</w:t>
            </w:r>
          </w:p>
        </w:tc>
        <w:tc>
          <w:tcPr>
            <w:tcW w:w="377" w:type="pct"/>
            <w:tcBorders>
              <w:top w:val="nil"/>
              <w:left w:val="nil"/>
              <w:bottom w:val="single" w:sz="4" w:space="0" w:color="00B050"/>
              <w:right w:val="single" w:sz="4" w:space="0" w:color="00B050"/>
            </w:tcBorders>
            <w:shd w:val="clear" w:color="auto" w:fill="auto"/>
            <w:textDirection w:val="btLr"/>
            <w:vAlign w:val="center"/>
            <w:hideMark/>
          </w:tcPr>
          <w:p w14:paraId="6FE832F3" w14:textId="77777777" w:rsidR="00771CD7" w:rsidRPr="00771CD7" w:rsidRDefault="00771CD7" w:rsidP="00771CD7">
            <w:pPr>
              <w:tabs>
                <w:tab w:val="clear" w:pos="7100"/>
              </w:tabs>
              <w:spacing w:line="240" w:lineRule="auto"/>
              <w:rPr>
                <w:rFonts w:cs="Arial"/>
                <w:sz w:val="14"/>
                <w:szCs w:val="14"/>
                <w:lang w:val="it-IT" w:eastAsia="it-IT"/>
              </w:rPr>
            </w:pPr>
            <w:r w:rsidRPr="00771CD7">
              <w:rPr>
                <w:rFonts w:cs="Arial"/>
                <w:sz w:val="14"/>
                <w:szCs w:val="14"/>
                <w:lang w:val="it-IT" w:eastAsia="it-IT"/>
              </w:rPr>
              <w:t>T&amp;L</w:t>
            </w:r>
          </w:p>
        </w:tc>
        <w:tc>
          <w:tcPr>
            <w:tcW w:w="377" w:type="pct"/>
            <w:tcBorders>
              <w:top w:val="nil"/>
              <w:left w:val="nil"/>
              <w:bottom w:val="single" w:sz="4" w:space="0" w:color="00B050"/>
              <w:right w:val="single" w:sz="4" w:space="0" w:color="00B050"/>
            </w:tcBorders>
            <w:shd w:val="clear" w:color="auto" w:fill="auto"/>
            <w:textDirection w:val="btLr"/>
            <w:vAlign w:val="center"/>
            <w:hideMark/>
          </w:tcPr>
          <w:p w14:paraId="39F7845F" w14:textId="77777777" w:rsidR="00771CD7" w:rsidRPr="00771CD7" w:rsidRDefault="00771CD7" w:rsidP="00771CD7">
            <w:pPr>
              <w:tabs>
                <w:tab w:val="clear" w:pos="7100"/>
              </w:tabs>
              <w:spacing w:line="240" w:lineRule="auto"/>
              <w:rPr>
                <w:rFonts w:cs="Arial"/>
                <w:sz w:val="14"/>
                <w:szCs w:val="14"/>
                <w:lang w:val="it-IT" w:eastAsia="it-IT"/>
              </w:rPr>
            </w:pPr>
            <w:r w:rsidRPr="00771CD7">
              <w:rPr>
                <w:rFonts w:cs="Arial"/>
                <w:sz w:val="14"/>
                <w:szCs w:val="14"/>
                <w:lang w:val="it-IT" w:eastAsia="it-IT"/>
              </w:rPr>
              <w:t>T&amp;L</w:t>
            </w:r>
          </w:p>
        </w:tc>
        <w:tc>
          <w:tcPr>
            <w:tcW w:w="377" w:type="pct"/>
            <w:tcBorders>
              <w:top w:val="nil"/>
              <w:left w:val="nil"/>
              <w:bottom w:val="single" w:sz="4" w:space="0" w:color="00B050"/>
              <w:right w:val="single" w:sz="4" w:space="0" w:color="00B050"/>
            </w:tcBorders>
            <w:shd w:val="clear" w:color="auto" w:fill="auto"/>
            <w:textDirection w:val="btLr"/>
            <w:vAlign w:val="center"/>
            <w:hideMark/>
          </w:tcPr>
          <w:p w14:paraId="679E0029" w14:textId="77777777" w:rsidR="00771CD7" w:rsidRPr="00771CD7" w:rsidRDefault="00771CD7" w:rsidP="00771CD7">
            <w:pPr>
              <w:tabs>
                <w:tab w:val="clear" w:pos="7100"/>
              </w:tabs>
              <w:spacing w:line="240" w:lineRule="auto"/>
              <w:rPr>
                <w:rFonts w:cs="Arial"/>
                <w:sz w:val="14"/>
                <w:szCs w:val="14"/>
                <w:lang w:val="it-IT" w:eastAsia="it-IT"/>
              </w:rPr>
            </w:pPr>
            <w:r w:rsidRPr="00771CD7">
              <w:rPr>
                <w:rFonts w:cs="Arial"/>
                <w:sz w:val="14"/>
                <w:szCs w:val="14"/>
                <w:lang w:val="it-IT" w:eastAsia="it-IT"/>
              </w:rPr>
              <w:t>T&amp;L</w:t>
            </w:r>
          </w:p>
        </w:tc>
        <w:tc>
          <w:tcPr>
            <w:tcW w:w="377" w:type="pct"/>
            <w:tcBorders>
              <w:top w:val="nil"/>
              <w:left w:val="nil"/>
              <w:bottom w:val="single" w:sz="4" w:space="0" w:color="00B050"/>
              <w:right w:val="single" w:sz="4" w:space="0" w:color="00B050"/>
            </w:tcBorders>
            <w:shd w:val="clear" w:color="auto" w:fill="auto"/>
            <w:textDirection w:val="btLr"/>
            <w:vAlign w:val="center"/>
            <w:hideMark/>
          </w:tcPr>
          <w:p w14:paraId="337901F5" w14:textId="77777777" w:rsidR="00771CD7" w:rsidRPr="00771CD7" w:rsidRDefault="00771CD7" w:rsidP="00771CD7">
            <w:pPr>
              <w:tabs>
                <w:tab w:val="clear" w:pos="7100"/>
              </w:tabs>
              <w:spacing w:line="240" w:lineRule="auto"/>
              <w:rPr>
                <w:rFonts w:cs="Arial"/>
                <w:sz w:val="14"/>
                <w:szCs w:val="14"/>
                <w:lang w:val="it-IT" w:eastAsia="it-IT"/>
              </w:rPr>
            </w:pPr>
            <w:r w:rsidRPr="00771CD7">
              <w:rPr>
                <w:rFonts w:cs="Arial"/>
                <w:sz w:val="14"/>
                <w:szCs w:val="14"/>
                <w:lang w:val="it-IT" w:eastAsia="it-IT"/>
              </w:rPr>
              <w:t>T&amp;L</w:t>
            </w:r>
          </w:p>
        </w:tc>
        <w:tc>
          <w:tcPr>
            <w:tcW w:w="377" w:type="pct"/>
            <w:tcBorders>
              <w:top w:val="nil"/>
              <w:left w:val="nil"/>
              <w:bottom w:val="single" w:sz="4" w:space="0" w:color="00B050"/>
              <w:right w:val="single" w:sz="4" w:space="0" w:color="00B050"/>
            </w:tcBorders>
            <w:shd w:val="clear" w:color="auto" w:fill="auto"/>
            <w:textDirection w:val="btLr"/>
            <w:vAlign w:val="center"/>
            <w:hideMark/>
          </w:tcPr>
          <w:p w14:paraId="444CDE68" w14:textId="77777777" w:rsidR="00771CD7" w:rsidRPr="00771CD7" w:rsidRDefault="00771CD7" w:rsidP="00771CD7">
            <w:pPr>
              <w:tabs>
                <w:tab w:val="clear" w:pos="7100"/>
              </w:tabs>
              <w:spacing w:line="240" w:lineRule="auto"/>
              <w:rPr>
                <w:rFonts w:cs="Arial"/>
                <w:sz w:val="14"/>
                <w:szCs w:val="14"/>
                <w:lang w:val="it-IT" w:eastAsia="it-IT"/>
              </w:rPr>
            </w:pPr>
            <w:r w:rsidRPr="00771CD7">
              <w:rPr>
                <w:rFonts w:cs="Arial"/>
                <w:sz w:val="14"/>
                <w:szCs w:val="14"/>
                <w:lang w:val="it-IT" w:eastAsia="it-IT"/>
              </w:rPr>
              <w:t>T&amp;L</w:t>
            </w:r>
          </w:p>
        </w:tc>
        <w:tc>
          <w:tcPr>
            <w:tcW w:w="377" w:type="pct"/>
            <w:tcBorders>
              <w:top w:val="nil"/>
              <w:left w:val="nil"/>
              <w:bottom w:val="single" w:sz="4" w:space="0" w:color="00B050"/>
              <w:right w:val="nil"/>
            </w:tcBorders>
            <w:shd w:val="clear" w:color="auto" w:fill="auto"/>
            <w:textDirection w:val="btLr"/>
            <w:vAlign w:val="center"/>
            <w:hideMark/>
          </w:tcPr>
          <w:p w14:paraId="53FD23C8" w14:textId="77777777" w:rsidR="00771CD7" w:rsidRPr="00771CD7" w:rsidRDefault="00771CD7" w:rsidP="00771CD7">
            <w:pPr>
              <w:tabs>
                <w:tab w:val="clear" w:pos="7100"/>
              </w:tabs>
              <w:spacing w:line="240" w:lineRule="auto"/>
              <w:rPr>
                <w:rFonts w:cs="Arial"/>
                <w:sz w:val="14"/>
                <w:szCs w:val="14"/>
                <w:lang w:val="it-IT" w:eastAsia="it-IT"/>
              </w:rPr>
            </w:pPr>
            <w:r w:rsidRPr="00771CD7">
              <w:rPr>
                <w:rFonts w:cs="Arial"/>
                <w:sz w:val="14"/>
                <w:szCs w:val="14"/>
                <w:lang w:val="it-IT" w:eastAsia="it-IT"/>
              </w:rPr>
              <w:t>LENS</w:t>
            </w:r>
          </w:p>
        </w:tc>
      </w:tr>
      <w:tr w:rsidR="00771CD7" w:rsidRPr="00771CD7" w14:paraId="6AB368BD" w14:textId="77777777" w:rsidTr="00771CD7">
        <w:trPr>
          <w:gridAfter w:val="1"/>
          <w:wAfter w:w="81" w:type="pct"/>
          <w:trHeight w:val="464"/>
        </w:trPr>
        <w:tc>
          <w:tcPr>
            <w:tcW w:w="191" w:type="pct"/>
            <w:vMerge w:val="restart"/>
            <w:tcBorders>
              <w:top w:val="nil"/>
              <w:left w:val="nil"/>
              <w:bottom w:val="single" w:sz="4" w:space="0" w:color="00B050"/>
              <w:right w:val="single" w:sz="4" w:space="0" w:color="00B050"/>
            </w:tcBorders>
            <w:shd w:val="clear" w:color="auto" w:fill="auto"/>
            <w:vAlign w:val="center"/>
            <w:hideMark/>
          </w:tcPr>
          <w:p w14:paraId="471E170D" w14:textId="60D6A433" w:rsidR="00771CD7" w:rsidRPr="00771CD7" w:rsidRDefault="00771CD7" w:rsidP="00771CD7">
            <w:pPr>
              <w:tabs>
                <w:tab w:val="clear" w:pos="7100"/>
              </w:tabs>
              <w:spacing w:line="240" w:lineRule="auto"/>
              <w:jc w:val="center"/>
              <w:rPr>
                <w:rFonts w:cs="Arial"/>
                <w:sz w:val="14"/>
                <w:szCs w:val="14"/>
                <w:lang w:val="it-IT" w:eastAsia="it-IT"/>
              </w:rPr>
            </w:pPr>
            <w:r>
              <w:rPr>
                <w:rFonts w:cs="Arial"/>
                <w:sz w:val="14"/>
                <w:szCs w:val="14"/>
                <w:lang w:val="it-IT" w:eastAsia="it-IT"/>
              </w:rPr>
              <w:t>Pb</w:t>
            </w:r>
          </w:p>
        </w:tc>
        <w:tc>
          <w:tcPr>
            <w:tcW w:w="199" w:type="pct"/>
            <w:vMerge w:val="restart"/>
            <w:tcBorders>
              <w:top w:val="nil"/>
              <w:left w:val="single" w:sz="4" w:space="0" w:color="00B050"/>
              <w:bottom w:val="single" w:sz="4" w:space="0" w:color="00B050"/>
              <w:right w:val="single" w:sz="4" w:space="0" w:color="00B050"/>
            </w:tcBorders>
            <w:shd w:val="clear" w:color="auto" w:fill="auto"/>
            <w:vAlign w:val="center"/>
            <w:hideMark/>
          </w:tcPr>
          <w:p w14:paraId="68671607" w14:textId="77777777" w:rsidR="00771CD7" w:rsidRPr="00771CD7" w:rsidRDefault="00771CD7" w:rsidP="00771CD7">
            <w:pPr>
              <w:tabs>
                <w:tab w:val="clear" w:pos="7100"/>
              </w:tabs>
              <w:spacing w:line="240" w:lineRule="auto"/>
              <w:rPr>
                <w:rFonts w:cs="Arial"/>
                <w:sz w:val="14"/>
                <w:szCs w:val="14"/>
                <w:lang w:val="it-IT" w:eastAsia="it-IT"/>
              </w:rPr>
            </w:pPr>
            <w:r w:rsidRPr="00771CD7">
              <w:rPr>
                <w:rFonts w:cs="Arial"/>
                <w:sz w:val="14"/>
                <w:szCs w:val="14"/>
                <w:lang w:val="it-IT" w:eastAsia="it-IT"/>
              </w:rPr>
              <w:t>7439-92-1</w:t>
            </w:r>
          </w:p>
        </w:tc>
        <w:tc>
          <w:tcPr>
            <w:tcW w:w="378" w:type="pct"/>
            <w:vMerge w:val="restart"/>
            <w:tcBorders>
              <w:top w:val="nil"/>
              <w:left w:val="single" w:sz="4" w:space="0" w:color="00B050"/>
              <w:bottom w:val="single" w:sz="4" w:space="0" w:color="00B050"/>
              <w:right w:val="single" w:sz="4" w:space="0" w:color="00B050"/>
            </w:tcBorders>
            <w:shd w:val="clear" w:color="auto" w:fill="auto"/>
            <w:vAlign w:val="center"/>
            <w:hideMark/>
          </w:tcPr>
          <w:p w14:paraId="55C4EF3F" w14:textId="77777777" w:rsidR="00771CD7" w:rsidRPr="00771CD7" w:rsidRDefault="00771CD7" w:rsidP="00771CD7">
            <w:pPr>
              <w:tabs>
                <w:tab w:val="clear" w:pos="7100"/>
              </w:tabs>
              <w:spacing w:line="240" w:lineRule="auto"/>
              <w:jc w:val="center"/>
              <w:rPr>
                <w:rFonts w:cs="Arial"/>
                <w:sz w:val="14"/>
                <w:szCs w:val="14"/>
                <w:lang w:val="it-IT" w:eastAsia="it-IT"/>
              </w:rPr>
            </w:pPr>
            <w:r w:rsidRPr="00771CD7">
              <w:rPr>
                <w:rFonts w:cs="Arial"/>
                <w:sz w:val="14"/>
                <w:szCs w:val="14"/>
                <w:lang w:val="it-IT" w:eastAsia="it-IT"/>
              </w:rPr>
              <w:t>EU/US/CHINA</w:t>
            </w:r>
          </w:p>
        </w:tc>
        <w:tc>
          <w:tcPr>
            <w:tcW w:w="378" w:type="pct"/>
            <w:vMerge w:val="restart"/>
            <w:tcBorders>
              <w:top w:val="nil"/>
              <w:left w:val="single" w:sz="4" w:space="0" w:color="00B050"/>
              <w:bottom w:val="single" w:sz="4" w:space="0" w:color="00B050"/>
              <w:right w:val="single" w:sz="4" w:space="0" w:color="00B050"/>
            </w:tcBorders>
            <w:shd w:val="clear" w:color="auto" w:fill="auto"/>
            <w:vAlign w:val="center"/>
            <w:hideMark/>
          </w:tcPr>
          <w:p w14:paraId="7F1B2285" w14:textId="77777777" w:rsidR="00771CD7" w:rsidRPr="00771CD7" w:rsidRDefault="00771CD7" w:rsidP="00771CD7">
            <w:pPr>
              <w:tabs>
                <w:tab w:val="clear" w:pos="7100"/>
              </w:tabs>
              <w:spacing w:line="240" w:lineRule="auto"/>
              <w:jc w:val="center"/>
              <w:rPr>
                <w:rFonts w:cs="Arial"/>
                <w:sz w:val="14"/>
                <w:szCs w:val="14"/>
                <w:lang w:val="it-IT" w:eastAsia="it-IT"/>
              </w:rPr>
            </w:pPr>
            <w:r w:rsidRPr="00771CD7">
              <w:rPr>
                <w:rFonts w:cs="Arial"/>
                <w:sz w:val="14"/>
                <w:szCs w:val="14"/>
                <w:lang w:val="it-IT" w:eastAsia="it-IT"/>
              </w:rPr>
              <w:t>EU/US/CHINA</w:t>
            </w:r>
          </w:p>
        </w:tc>
        <w:tc>
          <w:tcPr>
            <w:tcW w:w="378" w:type="pct"/>
            <w:vMerge w:val="restart"/>
            <w:tcBorders>
              <w:top w:val="nil"/>
              <w:left w:val="single" w:sz="4" w:space="0" w:color="00B050"/>
              <w:bottom w:val="single" w:sz="4" w:space="0" w:color="00B050"/>
              <w:right w:val="single" w:sz="4" w:space="0" w:color="00B050"/>
            </w:tcBorders>
            <w:shd w:val="clear" w:color="auto" w:fill="auto"/>
            <w:vAlign w:val="center"/>
            <w:hideMark/>
          </w:tcPr>
          <w:p w14:paraId="4F0831F7" w14:textId="77777777" w:rsidR="00771CD7" w:rsidRPr="00771CD7" w:rsidRDefault="00771CD7" w:rsidP="00771CD7">
            <w:pPr>
              <w:tabs>
                <w:tab w:val="clear" w:pos="7100"/>
              </w:tabs>
              <w:spacing w:line="240" w:lineRule="auto"/>
              <w:jc w:val="center"/>
              <w:rPr>
                <w:rFonts w:cs="Arial"/>
                <w:sz w:val="14"/>
                <w:szCs w:val="14"/>
                <w:lang w:val="it-IT" w:eastAsia="it-IT"/>
              </w:rPr>
            </w:pPr>
            <w:r w:rsidRPr="00771CD7">
              <w:rPr>
                <w:rFonts w:cs="Arial"/>
                <w:sz w:val="14"/>
                <w:szCs w:val="14"/>
                <w:lang w:val="it-IT" w:eastAsia="it-IT"/>
              </w:rPr>
              <w:t>EU/US/CHINA</w:t>
            </w:r>
          </w:p>
        </w:tc>
        <w:tc>
          <w:tcPr>
            <w:tcW w:w="378" w:type="pct"/>
            <w:vMerge w:val="restart"/>
            <w:tcBorders>
              <w:top w:val="nil"/>
              <w:left w:val="single" w:sz="4" w:space="0" w:color="00B050"/>
              <w:bottom w:val="single" w:sz="4" w:space="0" w:color="00B050"/>
              <w:right w:val="single" w:sz="4" w:space="0" w:color="00B050"/>
            </w:tcBorders>
            <w:shd w:val="clear" w:color="auto" w:fill="auto"/>
            <w:vAlign w:val="center"/>
            <w:hideMark/>
          </w:tcPr>
          <w:p w14:paraId="0871AF12" w14:textId="77777777" w:rsidR="00771CD7" w:rsidRPr="00771CD7" w:rsidRDefault="00771CD7" w:rsidP="00771CD7">
            <w:pPr>
              <w:tabs>
                <w:tab w:val="clear" w:pos="7100"/>
              </w:tabs>
              <w:spacing w:line="240" w:lineRule="auto"/>
              <w:jc w:val="center"/>
              <w:rPr>
                <w:rFonts w:cs="Arial"/>
                <w:sz w:val="14"/>
                <w:szCs w:val="14"/>
                <w:lang w:val="it-IT" w:eastAsia="it-IT"/>
              </w:rPr>
            </w:pPr>
            <w:r w:rsidRPr="00771CD7">
              <w:rPr>
                <w:rFonts w:cs="Arial"/>
                <w:sz w:val="14"/>
                <w:szCs w:val="14"/>
                <w:lang w:val="it-IT" w:eastAsia="it-IT"/>
              </w:rPr>
              <w:t>EU/US/CHINA</w:t>
            </w:r>
          </w:p>
        </w:tc>
        <w:tc>
          <w:tcPr>
            <w:tcW w:w="377" w:type="pct"/>
            <w:vMerge w:val="restart"/>
            <w:tcBorders>
              <w:top w:val="nil"/>
              <w:left w:val="single" w:sz="4" w:space="0" w:color="00B050"/>
              <w:bottom w:val="single" w:sz="4" w:space="0" w:color="00B050"/>
              <w:right w:val="single" w:sz="4" w:space="0" w:color="00B050"/>
            </w:tcBorders>
            <w:shd w:val="clear" w:color="auto" w:fill="auto"/>
            <w:vAlign w:val="center"/>
            <w:hideMark/>
          </w:tcPr>
          <w:p w14:paraId="0C55ECF4" w14:textId="77777777" w:rsidR="00771CD7" w:rsidRPr="00771CD7" w:rsidRDefault="00771CD7" w:rsidP="00771CD7">
            <w:pPr>
              <w:tabs>
                <w:tab w:val="clear" w:pos="7100"/>
              </w:tabs>
              <w:spacing w:line="240" w:lineRule="auto"/>
              <w:jc w:val="center"/>
              <w:rPr>
                <w:rFonts w:cs="Arial"/>
                <w:sz w:val="14"/>
                <w:szCs w:val="14"/>
                <w:lang w:val="it-IT" w:eastAsia="it-IT"/>
              </w:rPr>
            </w:pPr>
            <w:r w:rsidRPr="00771CD7">
              <w:rPr>
                <w:rFonts w:cs="Arial"/>
                <w:sz w:val="14"/>
                <w:szCs w:val="14"/>
                <w:lang w:val="it-IT" w:eastAsia="it-IT"/>
              </w:rPr>
              <w:t>EU/US/CHINA</w:t>
            </w:r>
          </w:p>
        </w:tc>
        <w:tc>
          <w:tcPr>
            <w:tcW w:w="377" w:type="pct"/>
            <w:vMerge w:val="restart"/>
            <w:tcBorders>
              <w:top w:val="nil"/>
              <w:left w:val="single" w:sz="4" w:space="0" w:color="00B050"/>
              <w:bottom w:val="single" w:sz="4" w:space="0" w:color="00B050"/>
              <w:right w:val="single" w:sz="4" w:space="0" w:color="00B050"/>
            </w:tcBorders>
            <w:shd w:val="clear" w:color="auto" w:fill="auto"/>
            <w:vAlign w:val="center"/>
            <w:hideMark/>
          </w:tcPr>
          <w:p w14:paraId="577014F2" w14:textId="77777777" w:rsidR="00771CD7" w:rsidRPr="00771CD7" w:rsidRDefault="00771CD7" w:rsidP="00771CD7">
            <w:pPr>
              <w:tabs>
                <w:tab w:val="clear" w:pos="7100"/>
              </w:tabs>
              <w:spacing w:line="240" w:lineRule="auto"/>
              <w:jc w:val="center"/>
              <w:rPr>
                <w:rFonts w:cs="Arial"/>
                <w:sz w:val="14"/>
                <w:szCs w:val="14"/>
                <w:lang w:val="it-IT" w:eastAsia="it-IT"/>
              </w:rPr>
            </w:pPr>
            <w:r w:rsidRPr="00771CD7">
              <w:rPr>
                <w:rFonts w:cs="Arial"/>
                <w:sz w:val="14"/>
                <w:szCs w:val="14"/>
                <w:lang w:val="it-IT" w:eastAsia="it-IT"/>
              </w:rPr>
              <w:t>EU/US/CHINA</w:t>
            </w:r>
          </w:p>
        </w:tc>
        <w:tc>
          <w:tcPr>
            <w:tcW w:w="377" w:type="pct"/>
            <w:vMerge w:val="restart"/>
            <w:tcBorders>
              <w:top w:val="nil"/>
              <w:left w:val="single" w:sz="4" w:space="0" w:color="00B050"/>
              <w:bottom w:val="single" w:sz="4" w:space="0" w:color="00B050"/>
              <w:right w:val="single" w:sz="4" w:space="0" w:color="00B050"/>
            </w:tcBorders>
            <w:shd w:val="clear" w:color="auto" w:fill="auto"/>
            <w:vAlign w:val="center"/>
            <w:hideMark/>
          </w:tcPr>
          <w:p w14:paraId="01E06C9F" w14:textId="77777777" w:rsidR="00771CD7" w:rsidRPr="00771CD7" w:rsidRDefault="00771CD7" w:rsidP="00771CD7">
            <w:pPr>
              <w:tabs>
                <w:tab w:val="clear" w:pos="7100"/>
              </w:tabs>
              <w:spacing w:line="240" w:lineRule="auto"/>
              <w:jc w:val="center"/>
              <w:rPr>
                <w:rFonts w:cs="Arial"/>
                <w:sz w:val="14"/>
                <w:szCs w:val="14"/>
                <w:lang w:val="it-IT" w:eastAsia="it-IT"/>
              </w:rPr>
            </w:pPr>
            <w:r w:rsidRPr="00771CD7">
              <w:rPr>
                <w:rFonts w:cs="Arial"/>
                <w:sz w:val="14"/>
                <w:szCs w:val="14"/>
                <w:lang w:val="it-IT" w:eastAsia="it-IT"/>
              </w:rPr>
              <w:t>EU/US/CHINA</w:t>
            </w:r>
          </w:p>
        </w:tc>
        <w:tc>
          <w:tcPr>
            <w:tcW w:w="377" w:type="pct"/>
            <w:vMerge w:val="restart"/>
            <w:tcBorders>
              <w:top w:val="nil"/>
              <w:left w:val="single" w:sz="4" w:space="0" w:color="00B050"/>
              <w:bottom w:val="single" w:sz="4" w:space="0" w:color="00B050"/>
              <w:right w:val="single" w:sz="4" w:space="0" w:color="00B050"/>
            </w:tcBorders>
            <w:shd w:val="clear" w:color="auto" w:fill="auto"/>
            <w:vAlign w:val="center"/>
            <w:hideMark/>
          </w:tcPr>
          <w:p w14:paraId="19B3C809" w14:textId="77777777" w:rsidR="00771CD7" w:rsidRPr="00771CD7" w:rsidRDefault="00771CD7" w:rsidP="00771CD7">
            <w:pPr>
              <w:tabs>
                <w:tab w:val="clear" w:pos="7100"/>
              </w:tabs>
              <w:spacing w:line="240" w:lineRule="auto"/>
              <w:jc w:val="center"/>
              <w:rPr>
                <w:rFonts w:cs="Arial"/>
                <w:sz w:val="14"/>
                <w:szCs w:val="14"/>
                <w:lang w:val="it-IT" w:eastAsia="it-IT"/>
              </w:rPr>
            </w:pPr>
            <w:r w:rsidRPr="00771CD7">
              <w:rPr>
                <w:rFonts w:cs="Arial"/>
                <w:sz w:val="14"/>
                <w:szCs w:val="14"/>
                <w:lang w:val="it-IT" w:eastAsia="it-IT"/>
              </w:rPr>
              <w:t>EU/US/CHINA</w:t>
            </w:r>
          </w:p>
        </w:tc>
        <w:tc>
          <w:tcPr>
            <w:tcW w:w="377" w:type="pct"/>
            <w:vMerge w:val="restart"/>
            <w:tcBorders>
              <w:top w:val="nil"/>
              <w:left w:val="single" w:sz="4" w:space="0" w:color="00B050"/>
              <w:bottom w:val="single" w:sz="4" w:space="0" w:color="00B050"/>
              <w:right w:val="single" w:sz="4" w:space="0" w:color="00B050"/>
            </w:tcBorders>
            <w:shd w:val="clear" w:color="auto" w:fill="auto"/>
            <w:vAlign w:val="center"/>
            <w:hideMark/>
          </w:tcPr>
          <w:p w14:paraId="210DC48F" w14:textId="77777777" w:rsidR="00771CD7" w:rsidRPr="00771CD7" w:rsidRDefault="00771CD7" w:rsidP="00771CD7">
            <w:pPr>
              <w:tabs>
                <w:tab w:val="clear" w:pos="7100"/>
              </w:tabs>
              <w:spacing w:line="240" w:lineRule="auto"/>
              <w:jc w:val="center"/>
              <w:rPr>
                <w:rFonts w:cs="Arial"/>
                <w:sz w:val="14"/>
                <w:szCs w:val="14"/>
                <w:lang w:val="it-IT" w:eastAsia="it-IT"/>
              </w:rPr>
            </w:pPr>
            <w:r w:rsidRPr="00771CD7">
              <w:rPr>
                <w:rFonts w:cs="Arial"/>
                <w:sz w:val="14"/>
                <w:szCs w:val="14"/>
                <w:lang w:val="it-IT" w:eastAsia="it-IT"/>
              </w:rPr>
              <w:t>EU/US/CHINA</w:t>
            </w:r>
          </w:p>
        </w:tc>
        <w:tc>
          <w:tcPr>
            <w:tcW w:w="377" w:type="pct"/>
            <w:vMerge w:val="restart"/>
            <w:tcBorders>
              <w:top w:val="nil"/>
              <w:left w:val="single" w:sz="4" w:space="0" w:color="00B050"/>
              <w:bottom w:val="single" w:sz="4" w:space="0" w:color="00B050"/>
              <w:right w:val="single" w:sz="4" w:space="0" w:color="00B050"/>
            </w:tcBorders>
            <w:shd w:val="clear" w:color="auto" w:fill="auto"/>
            <w:vAlign w:val="center"/>
            <w:hideMark/>
          </w:tcPr>
          <w:p w14:paraId="283A70C7" w14:textId="77777777" w:rsidR="00771CD7" w:rsidRPr="00771CD7" w:rsidRDefault="00771CD7" w:rsidP="00771CD7">
            <w:pPr>
              <w:tabs>
                <w:tab w:val="clear" w:pos="7100"/>
              </w:tabs>
              <w:spacing w:line="240" w:lineRule="auto"/>
              <w:jc w:val="center"/>
              <w:rPr>
                <w:rFonts w:cs="Arial"/>
                <w:sz w:val="14"/>
                <w:szCs w:val="14"/>
                <w:lang w:val="it-IT" w:eastAsia="it-IT"/>
              </w:rPr>
            </w:pPr>
            <w:r w:rsidRPr="00771CD7">
              <w:rPr>
                <w:rFonts w:cs="Arial"/>
                <w:sz w:val="14"/>
                <w:szCs w:val="14"/>
                <w:lang w:val="it-IT" w:eastAsia="it-IT"/>
              </w:rPr>
              <w:t>EU/US/CHINA</w:t>
            </w:r>
          </w:p>
        </w:tc>
        <w:tc>
          <w:tcPr>
            <w:tcW w:w="377" w:type="pct"/>
            <w:vMerge w:val="restart"/>
            <w:tcBorders>
              <w:top w:val="nil"/>
              <w:left w:val="single" w:sz="4" w:space="0" w:color="00B050"/>
              <w:bottom w:val="single" w:sz="4" w:space="0" w:color="00B050"/>
              <w:right w:val="single" w:sz="4" w:space="0" w:color="00B050"/>
            </w:tcBorders>
            <w:shd w:val="clear" w:color="auto" w:fill="auto"/>
            <w:vAlign w:val="center"/>
            <w:hideMark/>
          </w:tcPr>
          <w:p w14:paraId="65053910" w14:textId="77777777" w:rsidR="00771CD7" w:rsidRPr="00771CD7" w:rsidRDefault="00771CD7" w:rsidP="00771CD7">
            <w:pPr>
              <w:tabs>
                <w:tab w:val="clear" w:pos="7100"/>
              </w:tabs>
              <w:spacing w:line="240" w:lineRule="auto"/>
              <w:jc w:val="center"/>
              <w:rPr>
                <w:rFonts w:cs="Arial"/>
                <w:sz w:val="14"/>
                <w:szCs w:val="14"/>
                <w:lang w:val="it-IT" w:eastAsia="it-IT"/>
              </w:rPr>
            </w:pPr>
            <w:r w:rsidRPr="00771CD7">
              <w:rPr>
                <w:rFonts w:cs="Arial"/>
                <w:sz w:val="14"/>
                <w:szCs w:val="14"/>
                <w:lang w:val="it-IT" w:eastAsia="it-IT"/>
              </w:rPr>
              <w:t>EU/US/CHINA</w:t>
            </w:r>
          </w:p>
        </w:tc>
        <w:tc>
          <w:tcPr>
            <w:tcW w:w="377" w:type="pct"/>
            <w:vMerge w:val="restart"/>
            <w:tcBorders>
              <w:top w:val="nil"/>
              <w:left w:val="single" w:sz="4" w:space="0" w:color="00B050"/>
              <w:bottom w:val="single" w:sz="4" w:space="0" w:color="00B050"/>
              <w:right w:val="nil"/>
            </w:tcBorders>
            <w:shd w:val="clear" w:color="auto" w:fill="auto"/>
            <w:vAlign w:val="center"/>
            <w:hideMark/>
          </w:tcPr>
          <w:p w14:paraId="146B128D" w14:textId="77777777" w:rsidR="00771CD7" w:rsidRPr="00771CD7" w:rsidRDefault="00771CD7" w:rsidP="00771CD7">
            <w:pPr>
              <w:tabs>
                <w:tab w:val="clear" w:pos="7100"/>
              </w:tabs>
              <w:spacing w:line="240" w:lineRule="auto"/>
              <w:jc w:val="center"/>
              <w:rPr>
                <w:rFonts w:cs="Arial"/>
                <w:sz w:val="14"/>
                <w:szCs w:val="14"/>
                <w:lang w:val="it-IT" w:eastAsia="it-IT"/>
              </w:rPr>
            </w:pPr>
            <w:r w:rsidRPr="00771CD7">
              <w:rPr>
                <w:rFonts w:cs="Arial"/>
                <w:sz w:val="14"/>
                <w:szCs w:val="14"/>
                <w:lang w:val="it-IT" w:eastAsia="it-IT"/>
              </w:rPr>
              <w:t>EU/US/CHINA</w:t>
            </w:r>
          </w:p>
        </w:tc>
      </w:tr>
      <w:tr w:rsidR="00771CD7" w:rsidRPr="00771CD7" w14:paraId="4DE2981F" w14:textId="77777777" w:rsidTr="00771CD7">
        <w:trPr>
          <w:trHeight w:val="300"/>
        </w:trPr>
        <w:tc>
          <w:tcPr>
            <w:tcW w:w="191" w:type="pct"/>
            <w:vMerge/>
            <w:tcBorders>
              <w:top w:val="nil"/>
              <w:left w:val="nil"/>
              <w:bottom w:val="single" w:sz="4" w:space="0" w:color="00B050"/>
              <w:right w:val="single" w:sz="4" w:space="0" w:color="00B050"/>
            </w:tcBorders>
            <w:vAlign w:val="center"/>
            <w:hideMark/>
          </w:tcPr>
          <w:p w14:paraId="7FC5F95E" w14:textId="77777777" w:rsidR="00771CD7" w:rsidRPr="00771CD7" w:rsidRDefault="00771CD7" w:rsidP="00771CD7">
            <w:pPr>
              <w:tabs>
                <w:tab w:val="clear" w:pos="7100"/>
              </w:tabs>
              <w:spacing w:line="240" w:lineRule="auto"/>
              <w:jc w:val="left"/>
              <w:rPr>
                <w:rFonts w:cs="Arial"/>
                <w:sz w:val="14"/>
                <w:szCs w:val="14"/>
                <w:lang w:val="it-IT" w:eastAsia="it-IT"/>
              </w:rPr>
            </w:pPr>
          </w:p>
        </w:tc>
        <w:tc>
          <w:tcPr>
            <w:tcW w:w="199" w:type="pct"/>
            <w:vMerge/>
            <w:tcBorders>
              <w:top w:val="nil"/>
              <w:left w:val="single" w:sz="4" w:space="0" w:color="00B050"/>
              <w:bottom w:val="single" w:sz="4" w:space="0" w:color="00B050"/>
              <w:right w:val="single" w:sz="4" w:space="0" w:color="00B050"/>
            </w:tcBorders>
            <w:vAlign w:val="center"/>
            <w:hideMark/>
          </w:tcPr>
          <w:p w14:paraId="68FC7BC3" w14:textId="77777777" w:rsidR="00771CD7" w:rsidRPr="00771CD7" w:rsidRDefault="00771CD7" w:rsidP="00771CD7">
            <w:pPr>
              <w:tabs>
                <w:tab w:val="clear" w:pos="7100"/>
              </w:tabs>
              <w:spacing w:line="240" w:lineRule="auto"/>
              <w:jc w:val="left"/>
              <w:rPr>
                <w:rFonts w:cs="Arial"/>
                <w:sz w:val="14"/>
                <w:szCs w:val="14"/>
                <w:lang w:val="it-IT" w:eastAsia="it-IT"/>
              </w:rPr>
            </w:pPr>
          </w:p>
        </w:tc>
        <w:tc>
          <w:tcPr>
            <w:tcW w:w="378" w:type="pct"/>
            <w:vMerge/>
            <w:tcBorders>
              <w:top w:val="nil"/>
              <w:left w:val="single" w:sz="4" w:space="0" w:color="00B050"/>
              <w:bottom w:val="single" w:sz="4" w:space="0" w:color="00B050"/>
              <w:right w:val="single" w:sz="4" w:space="0" w:color="00B050"/>
            </w:tcBorders>
            <w:vAlign w:val="center"/>
            <w:hideMark/>
          </w:tcPr>
          <w:p w14:paraId="3924E858" w14:textId="77777777" w:rsidR="00771CD7" w:rsidRPr="00771CD7" w:rsidRDefault="00771CD7" w:rsidP="00771CD7">
            <w:pPr>
              <w:tabs>
                <w:tab w:val="clear" w:pos="7100"/>
              </w:tabs>
              <w:spacing w:line="240" w:lineRule="auto"/>
              <w:jc w:val="left"/>
              <w:rPr>
                <w:rFonts w:cs="Arial"/>
                <w:sz w:val="14"/>
                <w:szCs w:val="14"/>
                <w:lang w:val="it-IT" w:eastAsia="it-IT"/>
              </w:rPr>
            </w:pPr>
          </w:p>
        </w:tc>
        <w:tc>
          <w:tcPr>
            <w:tcW w:w="378" w:type="pct"/>
            <w:vMerge/>
            <w:tcBorders>
              <w:top w:val="nil"/>
              <w:left w:val="single" w:sz="4" w:space="0" w:color="00B050"/>
              <w:bottom w:val="single" w:sz="4" w:space="0" w:color="00B050"/>
              <w:right w:val="single" w:sz="4" w:space="0" w:color="00B050"/>
            </w:tcBorders>
            <w:vAlign w:val="center"/>
            <w:hideMark/>
          </w:tcPr>
          <w:p w14:paraId="57F23F26" w14:textId="77777777" w:rsidR="00771CD7" w:rsidRPr="00771CD7" w:rsidRDefault="00771CD7" w:rsidP="00771CD7">
            <w:pPr>
              <w:tabs>
                <w:tab w:val="clear" w:pos="7100"/>
              </w:tabs>
              <w:spacing w:line="240" w:lineRule="auto"/>
              <w:jc w:val="left"/>
              <w:rPr>
                <w:rFonts w:cs="Arial"/>
                <w:sz w:val="14"/>
                <w:szCs w:val="14"/>
                <w:lang w:val="it-IT" w:eastAsia="it-IT"/>
              </w:rPr>
            </w:pPr>
          </w:p>
        </w:tc>
        <w:tc>
          <w:tcPr>
            <w:tcW w:w="378" w:type="pct"/>
            <w:vMerge/>
            <w:tcBorders>
              <w:top w:val="nil"/>
              <w:left w:val="single" w:sz="4" w:space="0" w:color="00B050"/>
              <w:bottom w:val="single" w:sz="4" w:space="0" w:color="00B050"/>
              <w:right w:val="single" w:sz="4" w:space="0" w:color="00B050"/>
            </w:tcBorders>
            <w:vAlign w:val="center"/>
            <w:hideMark/>
          </w:tcPr>
          <w:p w14:paraId="036D8414" w14:textId="77777777" w:rsidR="00771CD7" w:rsidRPr="00771CD7" w:rsidRDefault="00771CD7" w:rsidP="00771CD7">
            <w:pPr>
              <w:tabs>
                <w:tab w:val="clear" w:pos="7100"/>
              </w:tabs>
              <w:spacing w:line="240" w:lineRule="auto"/>
              <w:jc w:val="left"/>
              <w:rPr>
                <w:rFonts w:cs="Arial"/>
                <w:sz w:val="14"/>
                <w:szCs w:val="14"/>
                <w:lang w:val="it-IT" w:eastAsia="it-IT"/>
              </w:rPr>
            </w:pPr>
          </w:p>
        </w:tc>
        <w:tc>
          <w:tcPr>
            <w:tcW w:w="378" w:type="pct"/>
            <w:vMerge/>
            <w:tcBorders>
              <w:top w:val="nil"/>
              <w:left w:val="single" w:sz="4" w:space="0" w:color="00B050"/>
              <w:bottom w:val="single" w:sz="4" w:space="0" w:color="00B050"/>
              <w:right w:val="single" w:sz="4" w:space="0" w:color="00B050"/>
            </w:tcBorders>
            <w:vAlign w:val="center"/>
            <w:hideMark/>
          </w:tcPr>
          <w:p w14:paraId="1B709CA1" w14:textId="77777777" w:rsidR="00771CD7" w:rsidRPr="00771CD7" w:rsidRDefault="00771CD7" w:rsidP="00771CD7">
            <w:pPr>
              <w:tabs>
                <w:tab w:val="clear" w:pos="7100"/>
              </w:tabs>
              <w:spacing w:line="240" w:lineRule="auto"/>
              <w:jc w:val="left"/>
              <w:rPr>
                <w:rFonts w:cs="Arial"/>
                <w:sz w:val="14"/>
                <w:szCs w:val="14"/>
                <w:lang w:val="it-IT" w:eastAsia="it-IT"/>
              </w:rPr>
            </w:pPr>
          </w:p>
        </w:tc>
        <w:tc>
          <w:tcPr>
            <w:tcW w:w="377" w:type="pct"/>
            <w:vMerge/>
            <w:tcBorders>
              <w:top w:val="nil"/>
              <w:left w:val="single" w:sz="4" w:space="0" w:color="00B050"/>
              <w:bottom w:val="single" w:sz="4" w:space="0" w:color="00B050"/>
              <w:right w:val="single" w:sz="4" w:space="0" w:color="00B050"/>
            </w:tcBorders>
            <w:vAlign w:val="center"/>
            <w:hideMark/>
          </w:tcPr>
          <w:p w14:paraId="4A358A27" w14:textId="77777777" w:rsidR="00771CD7" w:rsidRPr="00771CD7" w:rsidRDefault="00771CD7" w:rsidP="00771CD7">
            <w:pPr>
              <w:tabs>
                <w:tab w:val="clear" w:pos="7100"/>
              </w:tabs>
              <w:spacing w:line="240" w:lineRule="auto"/>
              <w:jc w:val="left"/>
              <w:rPr>
                <w:rFonts w:cs="Arial"/>
                <w:sz w:val="14"/>
                <w:szCs w:val="14"/>
                <w:lang w:val="it-IT" w:eastAsia="it-IT"/>
              </w:rPr>
            </w:pPr>
          </w:p>
        </w:tc>
        <w:tc>
          <w:tcPr>
            <w:tcW w:w="377" w:type="pct"/>
            <w:vMerge/>
            <w:tcBorders>
              <w:top w:val="nil"/>
              <w:left w:val="single" w:sz="4" w:space="0" w:color="00B050"/>
              <w:bottom w:val="single" w:sz="4" w:space="0" w:color="00B050"/>
              <w:right w:val="single" w:sz="4" w:space="0" w:color="00B050"/>
            </w:tcBorders>
            <w:vAlign w:val="center"/>
            <w:hideMark/>
          </w:tcPr>
          <w:p w14:paraId="0301E6D1" w14:textId="77777777" w:rsidR="00771CD7" w:rsidRPr="00771CD7" w:rsidRDefault="00771CD7" w:rsidP="00771CD7">
            <w:pPr>
              <w:tabs>
                <w:tab w:val="clear" w:pos="7100"/>
              </w:tabs>
              <w:spacing w:line="240" w:lineRule="auto"/>
              <w:jc w:val="left"/>
              <w:rPr>
                <w:rFonts w:cs="Arial"/>
                <w:sz w:val="14"/>
                <w:szCs w:val="14"/>
                <w:lang w:val="it-IT" w:eastAsia="it-IT"/>
              </w:rPr>
            </w:pPr>
          </w:p>
        </w:tc>
        <w:tc>
          <w:tcPr>
            <w:tcW w:w="377" w:type="pct"/>
            <w:vMerge/>
            <w:tcBorders>
              <w:top w:val="nil"/>
              <w:left w:val="single" w:sz="4" w:space="0" w:color="00B050"/>
              <w:bottom w:val="single" w:sz="4" w:space="0" w:color="00B050"/>
              <w:right w:val="single" w:sz="4" w:space="0" w:color="00B050"/>
            </w:tcBorders>
            <w:vAlign w:val="center"/>
            <w:hideMark/>
          </w:tcPr>
          <w:p w14:paraId="7B00A1EF" w14:textId="77777777" w:rsidR="00771CD7" w:rsidRPr="00771CD7" w:rsidRDefault="00771CD7" w:rsidP="00771CD7">
            <w:pPr>
              <w:tabs>
                <w:tab w:val="clear" w:pos="7100"/>
              </w:tabs>
              <w:spacing w:line="240" w:lineRule="auto"/>
              <w:jc w:val="left"/>
              <w:rPr>
                <w:rFonts w:cs="Arial"/>
                <w:sz w:val="14"/>
                <w:szCs w:val="14"/>
                <w:lang w:val="it-IT" w:eastAsia="it-IT"/>
              </w:rPr>
            </w:pPr>
          </w:p>
        </w:tc>
        <w:tc>
          <w:tcPr>
            <w:tcW w:w="377" w:type="pct"/>
            <w:vMerge/>
            <w:tcBorders>
              <w:top w:val="nil"/>
              <w:left w:val="single" w:sz="4" w:space="0" w:color="00B050"/>
              <w:bottom w:val="single" w:sz="4" w:space="0" w:color="00B050"/>
              <w:right w:val="single" w:sz="4" w:space="0" w:color="00B050"/>
            </w:tcBorders>
            <w:vAlign w:val="center"/>
            <w:hideMark/>
          </w:tcPr>
          <w:p w14:paraId="62514F00" w14:textId="77777777" w:rsidR="00771CD7" w:rsidRPr="00771CD7" w:rsidRDefault="00771CD7" w:rsidP="00771CD7">
            <w:pPr>
              <w:tabs>
                <w:tab w:val="clear" w:pos="7100"/>
              </w:tabs>
              <w:spacing w:line="240" w:lineRule="auto"/>
              <w:jc w:val="left"/>
              <w:rPr>
                <w:rFonts w:cs="Arial"/>
                <w:sz w:val="14"/>
                <w:szCs w:val="14"/>
                <w:lang w:val="it-IT" w:eastAsia="it-IT"/>
              </w:rPr>
            </w:pPr>
          </w:p>
        </w:tc>
        <w:tc>
          <w:tcPr>
            <w:tcW w:w="377" w:type="pct"/>
            <w:vMerge/>
            <w:tcBorders>
              <w:top w:val="nil"/>
              <w:left w:val="single" w:sz="4" w:space="0" w:color="00B050"/>
              <w:bottom w:val="single" w:sz="4" w:space="0" w:color="00B050"/>
              <w:right w:val="single" w:sz="4" w:space="0" w:color="00B050"/>
            </w:tcBorders>
            <w:vAlign w:val="center"/>
            <w:hideMark/>
          </w:tcPr>
          <w:p w14:paraId="6450A99C" w14:textId="77777777" w:rsidR="00771CD7" w:rsidRPr="00771CD7" w:rsidRDefault="00771CD7" w:rsidP="00771CD7">
            <w:pPr>
              <w:tabs>
                <w:tab w:val="clear" w:pos="7100"/>
              </w:tabs>
              <w:spacing w:line="240" w:lineRule="auto"/>
              <w:jc w:val="left"/>
              <w:rPr>
                <w:rFonts w:cs="Arial"/>
                <w:sz w:val="14"/>
                <w:szCs w:val="14"/>
                <w:lang w:val="it-IT" w:eastAsia="it-IT"/>
              </w:rPr>
            </w:pPr>
          </w:p>
        </w:tc>
        <w:tc>
          <w:tcPr>
            <w:tcW w:w="377" w:type="pct"/>
            <w:vMerge/>
            <w:tcBorders>
              <w:top w:val="nil"/>
              <w:left w:val="single" w:sz="4" w:space="0" w:color="00B050"/>
              <w:bottom w:val="single" w:sz="4" w:space="0" w:color="00B050"/>
              <w:right w:val="single" w:sz="4" w:space="0" w:color="00B050"/>
            </w:tcBorders>
            <w:vAlign w:val="center"/>
            <w:hideMark/>
          </w:tcPr>
          <w:p w14:paraId="0587B41F" w14:textId="77777777" w:rsidR="00771CD7" w:rsidRPr="00771CD7" w:rsidRDefault="00771CD7" w:rsidP="00771CD7">
            <w:pPr>
              <w:tabs>
                <w:tab w:val="clear" w:pos="7100"/>
              </w:tabs>
              <w:spacing w:line="240" w:lineRule="auto"/>
              <w:jc w:val="left"/>
              <w:rPr>
                <w:rFonts w:cs="Arial"/>
                <w:sz w:val="14"/>
                <w:szCs w:val="14"/>
                <w:lang w:val="it-IT" w:eastAsia="it-IT"/>
              </w:rPr>
            </w:pPr>
          </w:p>
        </w:tc>
        <w:tc>
          <w:tcPr>
            <w:tcW w:w="377" w:type="pct"/>
            <w:vMerge/>
            <w:tcBorders>
              <w:top w:val="nil"/>
              <w:left w:val="single" w:sz="4" w:space="0" w:color="00B050"/>
              <w:bottom w:val="single" w:sz="4" w:space="0" w:color="00B050"/>
              <w:right w:val="single" w:sz="4" w:space="0" w:color="00B050"/>
            </w:tcBorders>
            <w:vAlign w:val="center"/>
            <w:hideMark/>
          </w:tcPr>
          <w:p w14:paraId="4215B2B3" w14:textId="77777777" w:rsidR="00771CD7" w:rsidRPr="00771CD7" w:rsidRDefault="00771CD7" w:rsidP="00771CD7">
            <w:pPr>
              <w:tabs>
                <w:tab w:val="clear" w:pos="7100"/>
              </w:tabs>
              <w:spacing w:line="240" w:lineRule="auto"/>
              <w:jc w:val="left"/>
              <w:rPr>
                <w:rFonts w:cs="Arial"/>
                <w:sz w:val="14"/>
                <w:szCs w:val="14"/>
                <w:lang w:val="it-IT" w:eastAsia="it-IT"/>
              </w:rPr>
            </w:pPr>
          </w:p>
        </w:tc>
        <w:tc>
          <w:tcPr>
            <w:tcW w:w="377" w:type="pct"/>
            <w:vMerge/>
            <w:tcBorders>
              <w:top w:val="nil"/>
              <w:left w:val="single" w:sz="4" w:space="0" w:color="00B050"/>
              <w:bottom w:val="single" w:sz="4" w:space="0" w:color="00B050"/>
              <w:right w:val="nil"/>
            </w:tcBorders>
            <w:vAlign w:val="center"/>
            <w:hideMark/>
          </w:tcPr>
          <w:p w14:paraId="557541A9" w14:textId="77777777" w:rsidR="00771CD7" w:rsidRPr="00771CD7" w:rsidRDefault="00771CD7" w:rsidP="00771CD7">
            <w:pPr>
              <w:tabs>
                <w:tab w:val="clear" w:pos="7100"/>
              </w:tabs>
              <w:spacing w:line="240" w:lineRule="auto"/>
              <w:jc w:val="left"/>
              <w:rPr>
                <w:rFonts w:cs="Arial"/>
                <w:sz w:val="14"/>
                <w:szCs w:val="14"/>
                <w:lang w:val="it-IT" w:eastAsia="it-IT"/>
              </w:rPr>
            </w:pPr>
          </w:p>
        </w:tc>
        <w:tc>
          <w:tcPr>
            <w:tcW w:w="81" w:type="pct"/>
            <w:tcBorders>
              <w:top w:val="nil"/>
              <w:left w:val="nil"/>
              <w:bottom w:val="nil"/>
              <w:right w:val="nil"/>
            </w:tcBorders>
            <w:shd w:val="clear" w:color="auto" w:fill="auto"/>
            <w:noWrap/>
            <w:vAlign w:val="bottom"/>
            <w:hideMark/>
          </w:tcPr>
          <w:p w14:paraId="0E64D8EC" w14:textId="77777777" w:rsidR="00771CD7" w:rsidRPr="00771CD7" w:rsidRDefault="00771CD7" w:rsidP="00771CD7">
            <w:pPr>
              <w:tabs>
                <w:tab w:val="clear" w:pos="7100"/>
              </w:tabs>
              <w:spacing w:line="240" w:lineRule="auto"/>
              <w:jc w:val="center"/>
              <w:rPr>
                <w:rFonts w:cs="Arial"/>
                <w:sz w:val="14"/>
                <w:szCs w:val="14"/>
                <w:lang w:val="it-IT" w:eastAsia="it-IT"/>
              </w:rPr>
            </w:pPr>
          </w:p>
        </w:tc>
      </w:tr>
      <w:tr w:rsidR="00771CD7" w:rsidRPr="00771CD7" w14:paraId="4F52969E" w14:textId="77777777" w:rsidTr="00771CD7">
        <w:trPr>
          <w:trHeight w:val="300"/>
        </w:trPr>
        <w:tc>
          <w:tcPr>
            <w:tcW w:w="191" w:type="pct"/>
            <w:vMerge w:val="restart"/>
            <w:tcBorders>
              <w:top w:val="nil"/>
              <w:left w:val="nil"/>
              <w:bottom w:val="single" w:sz="4" w:space="0" w:color="00B050"/>
              <w:right w:val="single" w:sz="4" w:space="0" w:color="00B050"/>
            </w:tcBorders>
            <w:shd w:val="clear" w:color="auto" w:fill="auto"/>
            <w:vAlign w:val="center"/>
            <w:hideMark/>
          </w:tcPr>
          <w:p w14:paraId="08F2B48F" w14:textId="2AF41644" w:rsidR="00771CD7" w:rsidRPr="00771CD7" w:rsidRDefault="00771CD7" w:rsidP="00771CD7">
            <w:pPr>
              <w:tabs>
                <w:tab w:val="clear" w:pos="7100"/>
              </w:tabs>
              <w:spacing w:line="240" w:lineRule="auto"/>
              <w:jc w:val="center"/>
              <w:rPr>
                <w:rFonts w:cs="Arial"/>
                <w:sz w:val="14"/>
                <w:szCs w:val="14"/>
                <w:lang w:val="it-IT" w:eastAsia="it-IT"/>
              </w:rPr>
            </w:pPr>
            <w:proofErr w:type="spellStart"/>
            <w:r>
              <w:rPr>
                <w:rFonts w:cs="Arial"/>
                <w:sz w:val="14"/>
                <w:szCs w:val="14"/>
                <w:lang w:val="it-IT" w:eastAsia="it-IT"/>
              </w:rPr>
              <w:t>Cd</w:t>
            </w:r>
            <w:proofErr w:type="spellEnd"/>
          </w:p>
        </w:tc>
        <w:tc>
          <w:tcPr>
            <w:tcW w:w="199" w:type="pct"/>
            <w:vMerge w:val="restart"/>
            <w:tcBorders>
              <w:top w:val="nil"/>
              <w:left w:val="single" w:sz="4" w:space="0" w:color="00B050"/>
              <w:bottom w:val="single" w:sz="4" w:space="0" w:color="00B050"/>
              <w:right w:val="single" w:sz="4" w:space="0" w:color="00B050"/>
            </w:tcBorders>
            <w:shd w:val="clear" w:color="auto" w:fill="auto"/>
            <w:vAlign w:val="center"/>
            <w:hideMark/>
          </w:tcPr>
          <w:p w14:paraId="62057683" w14:textId="77777777" w:rsidR="00771CD7" w:rsidRPr="00771CD7" w:rsidRDefault="00771CD7" w:rsidP="00771CD7">
            <w:pPr>
              <w:tabs>
                <w:tab w:val="clear" w:pos="7100"/>
              </w:tabs>
              <w:spacing w:line="240" w:lineRule="auto"/>
              <w:rPr>
                <w:rFonts w:cs="Arial"/>
                <w:sz w:val="14"/>
                <w:szCs w:val="14"/>
                <w:lang w:val="it-IT" w:eastAsia="it-IT"/>
              </w:rPr>
            </w:pPr>
            <w:r w:rsidRPr="00771CD7">
              <w:rPr>
                <w:rFonts w:cs="Arial"/>
                <w:sz w:val="14"/>
                <w:szCs w:val="14"/>
                <w:lang w:val="it-IT" w:eastAsia="it-IT"/>
              </w:rPr>
              <w:t>7440-43-9</w:t>
            </w:r>
          </w:p>
        </w:tc>
        <w:tc>
          <w:tcPr>
            <w:tcW w:w="378" w:type="pct"/>
            <w:vMerge w:val="restart"/>
            <w:tcBorders>
              <w:top w:val="nil"/>
              <w:left w:val="single" w:sz="4" w:space="0" w:color="00B050"/>
              <w:bottom w:val="single" w:sz="4" w:space="0" w:color="00B050"/>
              <w:right w:val="single" w:sz="4" w:space="0" w:color="00B050"/>
            </w:tcBorders>
            <w:shd w:val="clear" w:color="auto" w:fill="auto"/>
            <w:vAlign w:val="center"/>
            <w:hideMark/>
          </w:tcPr>
          <w:p w14:paraId="06A07202" w14:textId="77777777" w:rsidR="00771CD7" w:rsidRPr="00771CD7" w:rsidRDefault="00771CD7" w:rsidP="00771CD7">
            <w:pPr>
              <w:tabs>
                <w:tab w:val="clear" w:pos="7100"/>
              </w:tabs>
              <w:spacing w:line="240" w:lineRule="auto"/>
              <w:jc w:val="center"/>
              <w:rPr>
                <w:rFonts w:cs="Arial"/>
                <w:sz w:val="14"/>
                <w:szCs w:val="14"/>
                <w:lang w:val="it-IT" w:eastAsia="it-IT"/>
              </w:rPr>
            </w:pPr>
            <w:r w:rsidRPr="00771CD7">
              <w:rPr>
                <w:rFonts w:cs="Arial"/>
                <w:sz w:val="14"/>
                <w:szCs w:val="14"/>
                <w:lang w:val="it-IT" w:eastAsia="it-IT"/>
              </w:rPr>
              <w:t>EU/US/CHINA</w:t>
            </w:r>
          </w:p>
        </w:tc>
        <w:tc>
          <w:tcPr>
            <w:tcW w:w="378" w:type="pct"/>
            <w:vMerge w:val="restart"/>
            <w:tcBorders>
              <w:top w:val="nil"/>
              <w:left w:val="single" w:sz="4" w:space="0" w:color="00B050"/>
              <w:bottom w:val="single" w:sz="4" w:space="0" w:color="00B050"/>
              <w:right w:val="single" w:sz="4" w:space="0" w:color="00B050"/>
            </w:tcBorders>
            <w:shd w:val="clear" w:color="auto" w:fill="auto"/>
            <w:vAlign w:val="center"/>
            <w:hideMark/>
          </w:tcPr>
          <w:p w14:paraId="54427837" w14:textId="77777777" w:rsidR="00771CD7" w:rsidRPr="00771CD7" w:rsidRDefault="00771CD7" w:rsidP="00771CD7">
            <w:pPr>
              <w:tabs>
                <w:tab w:val="clear" w:pos="7100"/>
              </w:tabs>
              <w:spacing w:line="240" w:lineRule="auto"/>
              <w:jc w:val="center"/>
              <w:rPr>
                <w:rFonts w:cs="Arial"/>
                <w:sz w:val="14"/>
                <w:szCs w:val="14"/>
                <w:lang w:val="it-IT" w:eastAsia="it-IT"/>
              </w:rPr>
            </w:pPr>
            <w:r w:rsidRPr="00771CD7">
              <w:rPr>
                <w:rFonts w:cs="Arial"/>
                <w:sz w:val="14"/>
                <w:szCs w:val="14"/>
                <w:lang w:val="it-IT" w:eastAsia="it-IT"/>
              </w:rPr>
              <w:t>EU/US/CHINA</w:t>
            </w:r>
          </w:p>
        </w:tc>
        <w:tc>
          <w:tcPr>
            <w:tcW w:w="378" w:type="pct"/>
            <w:vMerge w:val="restart"/>
            <w:tcBorders>
              <w:top w:val="nil"/>
              <w:left w:val="single" w:sz="4" w:space="0" w:color="00B050"/>
              <w:bottom w:val="single" w:sz="4" w:space="0" w:color="00B050"/>
              <w:right w:val="single" w:sz="4" w:space="0" w:color="00B050"/>
            </w:tcBorders>
            <w:shd w:val="clear" w:color="auto" w:fill="auto"/>
            <w:vAlign w:val="center"/>
            <w:hideMark/>
          </w:tcPr>
          <w:p w14:paraId="150AA662" w14:textId="77777777" w:rsidR="00771CD7" w:rsidRPr="00771CD7" w:rsidRDefault="00771CD7" w:rsidP="00771CD7">
            <w:pPr>
              <w:tabs>
                <w:tab w:val="clear" w:pos="7100"/>
              </w:tabs>
              <w:spacing w:line="240" w:lineRule="auto"/>
              <w:jc w:val="center"/>
              <w:rPr>
                <w:rFonts w:cs="Arial"/>
                <w:sz w:val="14"/>
                <w:szCs w:val="14"/>
                <w:lang w:val="it-IT" w:eastAsia="it-IT"/>
              </w:rPr>
            </w:pPr>
            <w:r w:rsidRPr="00771CD7">
              <w:rPr>
                <w:rFonts w:cs="Arial"/>
                <w:sz w:val="14"/>
                <w:szCs w:val="14"/>
                <w:lang w:val="it-IT" w:eastAsia="it-IT"/>
              </w:rPr>
              <w:t>EU/US/CHINA</w:t>
            </w:r>
          </w:p>
        </w:tc>
        <w:tc>
          <w:tcPr>
            <w:tcW w:w="378" w:type="pct"/>
            <w:vMerge w:val="restart"/>
            <w:tcBorders>
              <w:top w:val="nil"/>
              <w:left w:val="single" w:sz="4" w:space="0" w:color="00B050"/>
              <w:bottom w:val="single" w:sz="4" w:space="0" w:color="00B050"/>
              <w:right w:val="single" w:sz="4" w:space="0" w:color="00B050"/>
            </w:tcBorders>
            <w:shd w:val="clear" w:color="auto" w:fill="auto"/>
            <w:vAlign w:val="center"/>
            <w:hideMark/>
          </w:tcPr>
          <w:p w14:paraId="549DAD41" w14:textId="77777777" w:rsidR="00771CD7" w:rsidRPr="00771CD7" w:rsidRDefault="00771CD7" w:rsidP="00771CD7">
            <w:pPr>
              <w:tabs>
                <w:tab w:val="clear" w:pos="7100"/>
              </w:tabs>
              <w:spacing w:line="240" w:lineRule="auto"/>
              <w:jc w:val="center"/>
              <w:rPr>
                <w:rFonts w:cs="Arial"/>
                <w:sz w:val="14"/>
                <w:szCs w:val="14"/>
                <w:lang w:val="it-IT" w:eastAsia="it-IT"/>
              </w:rPr>
            </w:pPr>
            <w:r w:rsidRPr="00771CD7">
              <w:rPr>
                <w:rFonts w:cs="Arial"/>
                <w:sz w:val="14"/>
                <w:szCs w:val="14"/>
                <w:lang w:val="it-IT" w:eastAsia="it-IT"/>
              </w:rPr>
              <w:t>EU/US/CHINA</w:t>
            </w:r>
          </w:p>
        </w:tc>
        <w:tc>
          <w:tcPr>
            <w:tcW w:w="377" w:type="pct"/>
            <w:vMerge w:val="restart"/>
            <w:tcBorders>
              <w:top w:val="nil"/>
              <w:left w:val="single" w:sz="4" w:space="0" w:color="00B050"/>
              <w:bottom w:val="single" w:sz="4" w:space="0" w:color="00B050"/>
              <w:right w:val="single" w:sz="4" w:space="0" w:color="00B050"/>
            </w:tcBorders>
            <w:shd w:val="clear" w:color="auto" w:fill="auto"/>
            <w:vAlign w:val="center"/>
            <w:hideMark/>
          </w:tcPr>
          <w:p w14:paraId="400C8489" w14:textId="77777777" w:rsidR="00771CD7" w:rsidRPr="00771CD7" w:rsidRDefault="00771CD7" w:rsidP="00771CD7">
            <w:pPr>
              <w:tabs>
                <w:tab w:val="clear" w:pos="7100"/>
              </w:tabs>
              <w:spacing w:line="240" w:lineRule="auto"/>
              <w:jc w:val="center"/>
              <w:rPr>
                <w:rFonts w:cs="Arial"/>
                <w:sz w:val="14"/>
                <w:szCs w:val="14"/>
                <w:lang w:val="it-IT" w:eastAsia="it-IT"/>
              </w:rPr>
            </w:pPr>
            <w:r w:rsidRPr="00771CD7">
              <w:rPr>
                <w:rFonts w:cs="Arial"/>
                <w:sz w:val="14"/>
                <w:szCs w:val="14"/>
                <w:lang w:val="it-IT" w:eastAsia="it-IT"/>
              </w:rPr>
              <w:t>EU/US/CHINA</w:t>
            </w:r>
          </w:p>
        </w:tc>
        <w:tc>
          <w:tcPr>
            <w:tcW w:w="377" w:type="pct"/>
            <w:vMerge w:val="restart"/>
            <w:tcBorders>
              <w:top w:val="nil"/>
              <w:left w:val="single" w:sz="4" w:space="0" w:color="00B050"/>
              <w:bottom w:val="single" w:sz="4" w:space="0" w:color="00B050"/>
              <w:right w:val="single" w:sz="4" w:space="0" w:color="00B050"/>
            </w:tcBorders>
            <w:shd w:val="clear" w:color="auto" w:fill="auto"/>
            <w:vAlign w:val="center"/>
            <w:hideMark/>
          </w:tcPr>
          <w:p w14:paraId="3B454127" w14:textId="77777777" w:rsidR="00771CD7" w:rsidRPr="00771CD7" w:rsidRDefault="00771CD7" w:rsidP="00771CD7">
            <w:pPr>
              <w:tabs>
                <w:tab w:val="clear" w:pos="7100"/>
              </w:tabs>
              <w:spacing w:line="240" w:lineRule="auto"/>
              <w:jc w:val="center"/>
              <w:rPr>
                <w:rFonts w:cs="Arial"/>
                <w:sz w:val="14"/>
                <w:szCs w:val="14"/>
                <w:lang w:val="it-IT" w:eastAsia="it-IT"/>
              </w:rPr>
            </w:pPr>
            <w:r w:rsidRPr="00771CD7">
              <w:rPr>
                <w:rFonts w:cs="Arial"/>
                <w:sz w:val="14"/>
                <w:szCs w:val="14"/>
                <w:lang w:val="it-IT" w:eastAsia="it-IT"/>
              </w:rPr>
              <w:t>EU/US/CHINA</w:t>
            </w:r>
          </w:p>
        </w:tc>
        <w:tc>
          <w:tcPr>
            <w:tcW w:w="377" w:type="pct"/>
            <w:vMerge w:val="restart"/>
            <w:tcBorders>
              <w:top w:val="nil"/>
              <w:left w:val="single" w:sz="4" w:space="0" w:color="00B050"/>
              <w:bottom w:val="single" w:sz="4" w:space="0" w:color="00B050"/>
              <w:right w:val="single" w:sz="4" w:space="0" w:color="00B050"/>
            </w:tcBorders>
            <w:shd w:val="clear" w:color="auto" w:fill="auto"/>
            <w:vAlign w:val="center"/>
            <w:hideMark/>
          </w:tcPr>
          <w:p w14:paraId="6AE156A6" w14:textId="77777777" w:rsidR="00771CD7" w:rsidRPr="00771CD7" w:rsidRDefault="00771CD7" w:rsidP="00771CD7">
            <w:pPr>
              <w:tabs>
                <w:tab w:val="clear" w:pos="7100"/>
              </w:tabs>
              <w:spacing w:line="240" w:lineRule="auto"/>
              <w:jc w:val="center"/>
              <w:rPr>
                <w:rFonts w:cs="Arial"/>
                <w:sz w:val="14"/>
                <w:szCs w:val="14"/>
                <w:lang w:val="it-IT" w:eastAsia="it-IT"/>
              </w:rPr>
            </w:pPr>
            <w:r w:rsidRPr="00771CD7">
              <w:rPr>
                <w:rFonts w:cs="Arial"/>
                <w:sz w:val="14"/>
                <w:szCs w:val="14"/>
                <w:lang w:val="it-IT" w:eastAsia="it-IT"/>
              </w:rPr>
              <w:t>EU/US/CHINA</w:t>
            </w:r>
          </w:p>
        </w:tc>
        <w:tc>
          <w:tcPr>
            <w:tcW w:w="377" w:type="pct"/>
            <w:vMerge w:val="restart"/>
            <w:tcBorders>
              <w:top w:val="nil"/>
              <w:left w:val="single" w:sz="4" w:space="0" w:color="00B050"/>
              <w:bottom w:val="single" w:sz="4" w:space="0" w:color="00B050"/>
              <w:right w:val="single" w:sz="4" w:space="0" w:color="00B050"/>
            </w:tcBorders>
            <w:shd w:val="clear" w:color="auto" w:fill="auto"/>
            <w:vAlign w:val="center"/>
            <w:hideMark/>
          </w:tcPr>
          <w:p w14:paraId="61C60435" w14:textId="77777777" w:rsidR="00771CD7" w:rsidRPr="00771CD7" w:rsidRDefault="00771CD7" w:rsidP="00771CD7">
            <w:pPr>
              <w:tabs>
                <w:tab w:val="clear" w:pos="7100"/>
              </w:tabs>
              <w:spacing w:line="240" w:lineRule="auto"/>
              <w:jc w:val="center"/>
              <w:rPr>
                <w:rFonts w:cs="Arial"/>
                <w:sz w:val="14"/>
                <w:szCs w:val="14"/>
                <w:lang w:val="it-IT" w:eastAsia="it-IT"/>
              </w:rPr>
            </w:pPr>
            <w:r w:rsidRPr="00771CD7">
              <w:rPr>
                <w:rFonts w:cs="Arial"/>
                <w:sz w:val="14"/>
                <w:szCs w:val="14"/>
                <w:lang w:val="it-IT" w:eastAsia="it-IT"/>
              </w:rPr>
              <w:t>EU/US/CHINA</w:t>
            </w:r>
          </w:p>
        </w:tc>
        <w:tc>
          <w:tcPr>
            <w:tcW w:w="377" w:type="pct"/>
            <w:vMerge w:val="restart"/>
            <w:tcBorders>
              <w:top w:val="nil"/>
              <w:left w:val="single" w:sz="4" w:space="0" w:color="00B050"/>
              <w:bottom w:val="single" w:sz="4" w:space="0" w:color="00B050"/>
              <w:right w:val="single" w:sz="4" w:space="0" w:color="00B050"/>
            </w:tcBorders>
            <w:shd w:val="clear" w:color="auto" w:fill="auto"/>
            <w:vAlign w:val="center"/>
            <w:hideMark/>
          </w:tcPr>
          <w:p w14:paraId="049C404C" w14:textId="77777777" w:rsidR="00771CD7" w:rsidRPr="00771CD7" w:rsidRDefault="00771CD7" w:rsidP="00771CD7">
            <w:pPr>
              <w:tabs>
                <w:tab w:val="clear" w:pos="7100"/>
              </w:tabs>
              <w:spacing w:line="240" w:lineRule="auto"/>
              <w:jc w:val="center"/>
              <w:rPr>
                <w:rFonts w:cs="Arial"/>
                <w:sz w:val="14"/>
                <w:szCs w:val="14"/>
                <w:lang w:val="it-IT" w:eastAsia="it-IT"/>
              </w:rPr>
            </w:pPr>
            <w:r w:rsidRPr="00771CD7">
              <w:rPr>
                <w:rFonts w:cs="Arial"/>
                <w:sz w:val="14"/>
                <w:szCs w:val="14"/>
                <w:lang w:val="it-IT" w:eastAsia="it-IT"/>
              </w:rPr>
              <w:t>EU/US/CHINA</w:t>
            </w:r>
          </w:p>
        </w:tc>
        <w:tc>
          <w:tcPr>
            <w:tcW w:w="377" w:type="pct"/>
            <w:vMerge w:val="restart"/>
            <w:tcBorders>
              <w:top w:val="nil"/>
              <w:left w:val="single" w:sz="4" w:space="0" w:color="00B050"/>
              <w:bottom w:val="single" w:sz="4" w:space="0" w:color="00B050"/>
              <w:right w:val="single" w:sz="4" w:space="0" w:color="00B050"/>
            </w:tcBorders>
            <w:shd w:val="clear" w:color="auto" w:fill="auto"/>
            <w:vAlign w:val="center"/>
            <w:hideMark/>
          </w:tcPr>
          <w:p w14:paraId="795B4B51" w14:textId="77777777" w:rsidR="00771CD7" w:rsidRPr="00771CD7" w:rsidRDefault="00771CD7" w:rsidP="00771CD7">
            <w:pPr>
              <w:tabs>
                <w:tab w:val="clear" w:pos="7100"/>
              </w:tabs>
              <w:spacing w:line="240" w:lineRule="auto"/>
              <w:jc w:val="center"/>
              <w:rPr>
                <w:rFonts w:cs="Arial"/>
                <w:sz w:val="14"/>
                <w:szCs w:val="14"/>
                <w:lang w:val="it-IT" w:eastAsia="it-IT"/>
              </w:rPr>
            </w:pPr>
            <w:r w:rsidRPr="00771CD7">
              <w:rPr>
                <w:rFonts w:cs="Arial"/>
                <w:sz w:val="14"/>
                <w:szCs w:val="14"/>
                <w:lang w:val="it-IT" w:eastAsia="it-IT"/>
              </w:rPr>
              <w:t>EU/US/CHINA</w:t>
            </w:r>
          </w:p>
        </w:tc>
        <w:tc>
          <w:tcPr>
            <w:tcW w:w="377" w:type="pct"/>
            <w:vMerge w:val="restart"/>
            <w:tcBorders>
              <w:top w:val="nil"/>
              <w:left w:val="single" w:sz="4" w:space="0" w:color="00B050"/>
              <w:bottom w:val="single" w:sz="4" w:space="0" w:color="00B050"/>
              <w:right w:val="single" w:sz="4" w:space="0" w:color="00B050"/>
            </w:tcBorders>
            <w:shd w:val="clear" w:color="auto" w:fill="auto"/>
            <w:vAlign w:val="center"/>
            <w:hideMark/>
          </w:tcPr>
          <w:p w14:paraId="3E656CF8" w14:textId="77777777" w:rsidR="00771CD7" w:rsidRPr="00771CD7" w:rsidRDefault="00771CD7" w:rsidP="00771CD7">
            <w:pPr>
              <w:tabs>
                <w:tab w:val="clear" w:pos="7100"/>
              </w:tabs>
              <w:spacing w:line="240" w:lineRule="auto"/>
              <w:jc w:val="center"/>
              <w:rPr>
                <w:rFonts w:cs="Arial"/>
                <w:sz w:val="14"/>
                <w:szCs w:val="14"/>
                <w:lang w:val="it-IT" w:eastAsia="it-IT"/>
              </w:rPr>
            </w:pPr>
            <w:r w:rsidRPr="00771CD7">
              <w:rPr>
                <w:rFonts w:cs="Arial"/>
                <w:sz w:val="14"/>
                <w:szCs w:val="14"/>
                <w:lang w:val="it-IT" w:eastAsia="it-IT"/>
              </w:rPr>
              <w:t>EU/US/CHINA</w:t>
            </w:r>
          </w:p>
        </w:tc>
        <w:tc>
          <w:tcPr>
            <w:tcW w:w="377" w:type="pct"/>
            <w:vMerge w:val="restart"/>
            <w:tcBorders>
              <w:top w:val="nil"/>
              <w:left w:val="single" w:sz="4" w:space="0" w:color="00B050"/>
              <w:bottom w:val="single" w:sz="4" w:space="0" w:color="00B050"/>
              <w:right w:val="nil"/>
            </w:tcBorders>
            <w:shd w:val="clear" w:color="auto" w:fill="auto"/>
            <w:vAlign w:val="center"/>
            <w:hideMark/>
          </w:tcPr>
          <w:p w14:paraId="54123A63" w14:textId="77777777" w:rsidR="00771CD7" w:rsidRPr="00771CD7" w:rsidRDefault="00771CD7" w:rsidP="00771CD7">
            <w:pPr>
              <w:tabs>
                <w:tab w:val="clear" w:pos="7100"/>
              </w:tabs>
              <w:spacing w:line="240" w:lineRule="auto"/>
              <w:jc w:val="center"/>
              <w:rPr>
                <w:rFonts w:cs="Arial"/>
                <w:sz w:val="14"/>
                <w:szCs w:val="14"/>
                <w:lang w:val="it-IT" w:eastAsia="it-IT"/>
              </w:rPr>
            </w:pPr>
            <w:r w:rsidRPr="00771CD7">
              <w:rPr>
                <w:rFonts w:cs="Arial"/>
                <w:sz w:val="14"/>
                <w:szCs w:val="14"/>
                <w:lang w:val="it-IT" w:eastAsia="it-IT"/>
              </w:rPr>
              <w:t>EU/US/CHINA</w:t>
            </w:r>
          </w:p>
        </w:tc>
        <w:tc>
          <w:tcPr>
            <w:tcW w:w="81" w:type="pct"/>
            <w:vAlign w:val="center"/>
            <w:hideMark/>
          </w:tcPr>
          <w:p w14:paraId="5A56CF11" w14:textId="77777777" w:rsidR="00771CD7" w:rsidRPr="00771CD7" w:rsidRDefault="00771CD7" w:rsidP="00771CD7">
            <w:pPr>
              <w:tabs>
                <w:tab w:val="clear" w:pos="7100"/>
              </w:tabs>
              <w:spacing w:line="240" w:lineRule="auto"/>
              <w:jc w:val="left"/>
              <w:rPr>
                <w:rFonts w:ascii="Times New Roman" w:hAnsi="Times New Roman"/>
                <w:sz w:val="20"/>
                <w:lang w:val="it-IT" w:eastAsia="it-IT"/>
              </w:rPr>
            </w:pPr>
          </w:p>
        </w:tc>
      </w:tr>
      <w:tr w:rsidR="00771CD7" w:rsidRPr="00771CD7" w14:paraId="4F3BA236" w14:textId="77777777" w:rsidTr="00771CD7">
        <w:trPr>
          <w:trHeight w:val="300"/>
        </w:trPr>
        <w:tc>
          <w:tcPr>
            <w:tcW w:w="191" w:type="pct"/>
            <w:vMerge/>
            <w:tcBorders>
              <w:top w:val="nil"/>
              <w:left w:val="nil"/>
              <w:bottom w:val="single" w:sz="4" w:space="0" w:color="00B050"/>
              <w:right w:val="single" w:sz="4" w:space="0" w:color="00B050"/>
            </w:tcBorders>
            <w:vAlign w:val="center"/>
            <w:hideMark/>
          </w:tcPr>
          <w:p w14:paraId="2E690444" w14:textId="77777777" w:rsidR="00771CD7" w:rsidRPr="00771CD7" w:rsidRDefault="00771CD7" w:rsidP="00771CD7">
            <w:pPr>
              <w:tabs>
                <w:tab w:val="clear" w:pos="7100"/>
              </w:tabs>
              <w:spacing w:line="240" w:lineRule="auto"/>
              <w:jc w:val="left"/>
              <w:rPr>
                <w:rFonts w:cs="Arial"/>
                <w:sz w:val="14"/>
                <w:szCs w:val="14"/>
                <w:lang w:val="it-IT" w:eastAsia="it-IT"/>
              </w:rPr>
            </w:pPr>
          </w:p>
        </w:tc>
        <w:tc>
          <w:tcPr>
            <w:tcW w:w="199" w:type="pct"/>
            <w:vMerge/>
            <w:tcBorders>
              <w:top w:val="nil"/>
              <w:left w:val="single" w:sz="4" w:space="0" w:color="00B050"/>
              <w:bottom w:val="single" w:sz="4" w:space="0" w:color="00B050"/>
              <w:right w:val="single" w:sz="4" w:space="0" w:color="00B050"/>
            </w:tcBorders>
            <w:vAlign w:val="center"/>
            <w:hideMark/>
          </w:tcPr>
          <w:p w14:paraId="0DD56884" w14:textId="77777777" w:rsidR="00771CD7" w:rsidRPr="00771CD7" w:rsidRDefault="00771CD7" w:rsidP="00771CD7">
            <w:pPr>
              <w:tabs>
                <w:tab w:val="clear" w:pos="7100"/>
              </w:tabs>
              <w:spacing w:line="240" w:lineRule="auto"/>
              <w:jc w:val="left"/>
              <w:rPr>
                <w:rFonts w:cs="Arial"/>
                <w:sz w:val="14"/>
                <w:szCs w:val="14"/>
                <w:lang w:val="it-IT" w:eastAsia="it-IT"/>
              </w:rPr>
            </w:pPr>
          </w:p>
        </w:tc>
        <w:tc>
          <w:tcPr>
            <w:tcW w:w="378" w:type="pct"/>
            <w:vMerge/>
            <w:tcBorders>
              <w:top w:val="nil"/>
              <w:left w:val="single" w:sz="4" w:space="0" w:color="00B050"/>
              <w:bottom w:val="single" w:sz="4" w:space="0" w:color="00B050"/>
              <w:right w:val="single" w:sz="4" w:space="0" w:color="00B050"/>
            </w:tcBorders>
            <w:vAlign w:val="center"/>
            <w:hideMark/>
          </w:tcPr>
          <w:p w14:paraId="4F175230" w14:textId="77777777" w:rsidR="00771CD7" w:rsidRPr="00771CD7" w:rsidRDefault="00771CD7" w:rsidP="00771CD7">
            <w:pPr>
              <w:tabs>
                <w:tab w:val="clear" w:pos="7100"/>
              </w:tabs>
              <w:spacing w:line="240" w:lineRule="auto"/>
              <w:jc w:val="left"/>
              <w:rPr>
                <w:rFonts w:cs="Arial"/>
                <w:sz w:val="14"/>
                <w:szCs w:val="14"/>
                <w:lang w:val="it-IT" w:eastAsia="it-IT"/>
              </w:rPr>
            </w:pPr>
          </w:p>
        </w:tc>
        <w:tc>
          <w:tcPr>
            <w:tcW w:w="378" w:type="pct"/>
            <w:vMerge/>
            <w:tcBorders>
              <w:top w:val="nil"/>
              <w:left w:val="single" w:sz="4" w:space="0" w:color="00B050"/>
              <w:bottom w:val="single" w:sz="4" w:space="0" w:color="00B050"/>
              <w:right w:val="single" w:sz="4" w:space="0" w:color="00B050"/>
            </w:tcBorders>
            <w:vAlign w:val="center"/>
            <w:hideMark/>
          </w:tcPr>
          <w:p w14:paraId="4CB8EB28" w14:textId="77777777" w:rsidR="00771CD7" w:rsidRPr="00771CD7" w:rsidRDefault="00771CD7" w:rsidP="00771CD7">
            <w:pPr>
              <w:tabs>
                <w:tab w:val="clear" w:pos="7100"/>
              </w:tabs>
              <w:spacing w:line="240" w:lineRule="auto"/>
              <w:jc w:val="left"/>
              <w:rPr>
                <w:rFonts w:cs="Arial"/>
                <w:sz w:val="14"/>
                <w:szCs w:val="14"/>
                <w:lang w:val="it-IT" w:eastAsia="it-IT"/>
              </w:rPr>
            </w:pPr>
          </w:p>
        </w:tc>
        <w:tc>
          <w:tcPr>
            <w:tcW w:w="378" w:type="pct"/>
            <w:vMerge/>
            <w:tcBorders>
              <w:top w:val="nil"/>
              <w:left w:val="single" w:sz="4" w:space="0" w:color="00B050"/>
              <w:bottom w:val="single" w:sz="4" w:space="0" w:color="00B050"/>
              <w:right w:val="single" w:sz="4" w:space="0" w:color="00B050"/>
            </w:tcBorders>
            <w:vAlign w:val="center"/>
            <w:hideMark/>
          </w:tcPr>
          <w:p w14:paraId="6D2230B3" w14:textId="77777777" w:rsidR="00771CD7" w:rsidRPr="00771CD7" w:rsidRDefault="00771CD7" w:rsidP="00771CD7">
            <w:pPr>
              <w:tabs>
                <w:tab w:val="clear" w:pos="7100"/>
              </w:tabs>
              <w:spacing w:line="240" w:lineRule="auto"/>
              <w:jc w:val="left"/>
              <w:rPr>
                <w:rFonts w:cs="Arial"/>
                <w:sz w:val="14"/>
                <w:szCs w:val="14"/>
                <w:lang w:val="it-IT" w:eastAsia="it-IT"/>
              </w:rPr>
            </w:pPr>
          </w:p>
        </w:tc>
        <w:tc>
          <w:tcPr>
            <w:tcW w:w="378" w:type="pct"/>
            <w:vMerge/>
            <w:tcBorders>
              <w:top w:val="nil"/>
              <w:left w:val="single" w:sz="4" w:space="0" w:color="00B050"/>
              <w:bottom w:val="single" w:sz="4" w:space="0" w:color="00B050"/>
              <w:right w:val="single" w:sz="4" w:space="0" w:color="00B050"/>
            </w:tcBorders>
            <w:vAlign w:val="center"/>
            <w:hideMark/>
          </w:tcPr>
          <w:p w14:paraId="53B334B1" w14:textId="77777777" w:rsidR="00771CD7" w:rsidRPr="00771CD7" w:rsidRDefault="00771CD7" w:rsidP="00771CD7">
            <w:pPr>
              <w:tabs>
                <w:tab w:val="clear" w:pos="7100"/>
              </w:tabs>
              <w:spacing w:line="240" w:lineRule="auto"/>
              <w:jc w:val="left"/>
              <w:rPr>
                <w:rFonts w:cs="Arial"/>
                <w:sz w:val="14"/>
                <w:szCs w:val="14"/>
                <w:lang w:val="it-IT" w:eastAsia="it-IT"/>
              </w:rPr>
            </w:pPr>
          </w:p>
        </w:tc>
        <w:tc>
          <w:tcPr>
            <w:tcW w:w="377" w:type="pct"/>
            <w:vMerge/>
            <w:tcBorders>
              <w:top w:val="nil"/>
              <w:left w:val="single" w:sz="4" w:space="0" w:color="00B050"/>
              <w:bottom w:val="single" w:sz="4" w:space="0" w:color="00B050"/>
              <w:right w:val="single" w:sz="4" w:space="0" w:color="00B050"/>
            </w:tcBorders>
            <w:vAlign w:val="center"/>
            <w:hideMark/>
          </w:tcPr>
          <w:p w14:paraId="1CF95946" w14:textId="77777777" w:rsidR="00771CD7" w:rsidRPr="00771CD7" w:rsidRDefault="00771CD7" w:rsidP="00771CD7">
            <w:pPr>
              <w:tabs>
                <w:tab w:val="clear" w:pos="7100"/>
              </w:tabs>
              <w:spacing w:line="240" w:lineRule="auto"/>
              <w:jc w:val="left"/>
              <w:rPr>
                <w:rFonts w:cs="Arial"/>
                <w:sz w:val="14"/>
                <w:szCs w:val="14"/>
                <w:lang w:val="it-IT" w:eastAsia="it-IT"/>
              </w:rPr>
            </w:pPr>
          </w:p>
        </w:tc>
        <w:tc>
          <w:tcPr>
            <w:tcW w:w="377" w:type="pct"/>
            <w:vMerge/>
            <w:tcBorders>
              <w:top w:val="nil"/>
              <w:left w:val="single" w:sz="4" w:space="0" w:color="00B050"/>
              <w:bottom w:val="single" w:sz="4" w:space="0" w:color="00B050"/>
              <w:right w:val="single" w:sz="4" w:space="0" w:color="00B050"/>
            </w:tcBorders>
            <w:vAlign w:val="center"/>
            <w:hideMark/>
          </w:tcPr>
          <w:p w14:paraId="24E28648" w14:textId="77777777" w:rsidR="00771CD7" w:rsidRPr="00771CD7" w:rsidRDefault="00771CD7" w:rsidP="00771CD7">
            <w:pPr>
              <w:tabs>
                <w:tab w:val="clear" w:pos="7100"/>
              </w:tabs>
              <w:spacing w:line="240" w:lineRule="auto"/>
              <w:jc w:val="left"/>
              <w:rPr>
                <w:rFonts w:cs="Arial"/>
                <w:sz w:val="14"/>
                <w:szCs w:val="14"/>
                <w:lang w:val="it-IT" w:eastAsia="it-IT"/>
              </w:rPr>
            </w:pPr>
          </w:p>
        </w:tc>
        <w:tc>
          <w:tcPr>
            <w:tcW w:w="377" w:type="pct"/>
            <w:vMerge/>
            <w:tcBorders>
              <w:top w:val="nil"/>
              <w:left w:val="single" w:sz="4" w:space="0" w:color="00B050"/>
              <w:bottom w:val="single" w:sz="4" w:space="0" w:color="00B050"/>
              <w:right w:val="single" w:sz="4" w:space="0" w:color="00B050"/>
            </w:tcBorders>
            <w:vAlign w:val="center"/>
            <w:hideMark/>
          </w:tcPr>
          <w:p w14:paraId="2146464F" w14:textId="77777777" w:rsidR="00771CD7" w:rsidRPr="00771CD7" w:rsidRDefault="00771CD7" w:rsidP="00771CD7">
            <w:pPr>
              <w:tabs>
                <w:tab w:val="clear" w:pos="7100"/>
              </w:tabs>
              <w:spacing w:line="240" w:lineRule="auto"/>
              <w:jc w:val="left"/>
              <w:rPr>
                <w:rFonts w:cs="Arial"/>
                <w:sz w:val="14"/>
                <w:szCs w:val="14"/>
                <w:lang w:val="it-IT" w:eastAsia="it-IT"/>
              </w:rPr>
            </w:pPr>
          </w:p>
        </w:tc>
        <w:tc>
          <w:tcPr>
            <w:tcW w:w="377" w:type="pct"/>
            <w:vMerge/>
            <w:tcBorders>
              <w:top w:val="nil"/>
              <w:left w:val="single" w:sz="4" w:space="0" w:color="00B050"/>
              <w:bottom w:val="single" w:sz="4" w:space="0" w:color="00B050"/>
              <w:right w:val="single" w:sz="4" w:space="0" w:color="00B050"/>
            </w:tcBorders>
            <w:vAlign w:val="center"/>
            <w:hideMark/>
          </w:tcPr>
          <w:p w14:paraId="2004097C" w14:textId="77777777" w:rsidR="00771CD7" w:rsidRPr="00771CD7" w:rsidRDefault="00771CD7" w:rsidP="00771CD7">
            <w:pPr>
              <w:tabs>
                <w:tab w:val="clear" w:pos="7100"/>
              </w:tabs>
              <w:spacing w:line="240" w:lineRule="auto"/>
              <w:jc w:val="left"/>
              <w:rPr>
                <w:rFonts w:cs="Arial"/>
                <w:sz w:val="14"/>
                <w:szCs w:val="14"/>
                <w:lang w:val="it-IT" w:eastAsia="it-IT"/>
              </w:rPr>
            </w:pPr>
          </w:p>
        </w:tc>
        <w:tc>
          <w:tcPr>
            <w:tcW w:w="377" w:type="pct"/>
            <w:vMerge/>
            <w:tcBorders>
              <w:top w:val="nil"/>
              <w:left w:val="single" w:sz="4" w:space="0" w:color="00B050"/>
              <w:bottom w:val="single" w:sz="4" w:space="0" w:color="00B050"/>
              <w:right w:val="single" w:sz="4" w:space="0" w:color="00B050"/>
            </w:tcBorders>
            <w:vAlign w:val="center"/>
            <w:hideMark/>
          </w:tcPr>
          <w:p w14:paraId="55ECAA25" w14:textId="77777777" w:rsidR="00771CD7" w:rsidRPr="00771CD7" w:rsidRDefault="00771CD7" w:rsidP="00771CD7">
            <w:pPr>
              <w:tabs>
                <w:tab w:val="clear" w:pos="7100"/>
              </w:tabs>
              <w:spacing w:line="240" w:lineRule="auto"/>
              <w:jc w:val="left"/>
              <w:rPr>
                <w:rFonts w:cs="Arial"/>
                <w:sz w:val="14"/>
                <w:szCs w:val="14"/>
                <w:lang w:val="it-IT" w:eastAsia="it-IT"/>
              </w:rPr>
            </w:pPr>
          </w:p>
        </w:tc>
        <w:tc>
          <w:tcPr>
            <w:tcW w:w="377" w:type="pct"/>
            <w:vMerge/>
            <w:tcBorders>
              <w:top w:val="nil"/>
              <w:left w:val="single" w:sz="4" w:space="0" w:color="00B050"/>
              <w:bottom w:val="single" w:sz="4" w:space="0" w:color="00B050"/>
              <w:right w:val="single" w:sz="4" w:space="0" w:color="00B050"/>
            </w:tcBorders>
            <w:vAlign w:val="center"/>
            <w:hideMark/>
          </w:tcPr>
          <w:p w14:paraId="73482DF2" w14:textId="77777777" w:rsidR="00771CD7" w:rsidRPr="00771CD7" w:rsidRDefault="00771CD7" w:rsidP="00771CD7">
            <w:pPr>
              <w:tabs>
                <w:tab w:val="clear" w:pos="7100"/>
              </w:tabs>
              <w:spacing w:line="240" w:lineRule="auto"/>
              <w:jc w:val="left"/>
              <w:rPr>
                <w:rFonts w:cs="Arial"/>
                <w:sz w:val="14"/>
                <w:szCs w:val="14"/>
                <w:lang w:val="it-IT" w:eastAsia="it-IT"/>
              </w:rPr>
            </w:pPr>
          </w:p>
        </w:tc>
        <w:tc>
          <w:tcPr>
            <w:tcW w:w="377" w:type="pct"/>
            <w:vMerge/>
            <w:tcBorders>
              <w:top w:val="nil"/>
              <w:left w:val="single" w:sz="4" w:space="0" w:color="00B050"/>
              <w:bottom w:val="single" w:sz="4" w:space="0" w:color="00B050"/>
              <w:right w:val="single" w:sz="4" w:space="0" w:color="00B050"/>
            </w:tcBorders>
            <w:vAlign w:val="center"/>
            <w:hideMark/>
          </w:tcPr>
          <w:p w14:paraId="33179B52" w14:textId="77777777" w:rsidR="00771CD7" w:rsidRPr="00771CD7" w:rsidRDefault="00771CD7" w:rsidP="00771CD7">
            <w:pPr>
              <w:tabs>
                <w:tab w:val="clear" w:pos="7100"/>
              </w:tabs>
              <w:spacing w:line="240" w:lineRule="auto"/>
              <w:jc w:val="left"/>
              <w:rPr>
                <w:rFonts w:cs="Arial"/>
                <w:sz w:val="14"/>
                <w:szCs w:val="14"/>
                <w:lang w:val="it-IT" w:eastAsia="it-IT"/>
              </w:rPr>
            </w:pPr>
          </w:p>
        </w:tc>
        <w:tc>
          <w:tcPr>
            <w:tcW w:w="377" w:type="pct"/>
            <w:vMerge/>
            <w:tcBorders>
              <w:top w:val="nil"/>
              <w:left w:val="single" w:sz="4" w:space="0" w:color="00B050"/>
              <w:bottom w:val="single" w:sz="4" w:space="0" w:color="00B050"/>
              <w:right w:val="nil"/>
            </w:tcBorders>
            <w:vAlign w:val="center"/>
            <w:hideMark/>
          </w:tcPr>
          <w:p w14:paraId="2BAE5CC0" w14:textId="77777777" w:rsidR="00771CD7" w:rsidRPr="00771CD7" w:rsidRDefault="00771CD7" w:rsidP="00771CD7">
            <w:pPr>
              <w:tabs>
                <w:tab w:val="clear" w:pos="7100"/>
              </w:tabs>
              <w:spacing w:line="240" w:lineRule="auto"/>
              <w:jc w:val="left"/>
              <w:rPr>
                <w:rFonts w:cs="Arial"/>
                <w:sz w:val="14"/>
                <w:szCs w:val="14"/>
                <w:lang w:val="it-IT" w:eastAsia="it-IT"/>
              </w:rPr>
            </w:pPr>
          </w:p>
        </w:tc>
        <w:tc>
          <w:tcPr>
            <w:tcW w:w="81" w:type="pct"/>
            <w:tcBorders>
              <w:top w:val="nil"/>
              <w:left w:val="nil"/>
              <w:bottom w:val="nil"/>
              <w:right w:val="nil"/>
            </w:tcBorders>
            <w:shd w:val="clear" w:color="auto" w:fill="auto"/>
            <w:noWrap/>
            <w:vAlign w:val="bottom"/>
            <w:hideMark/>
          </w:tcPr>
          <w:p w14:paraId="5B2901EC" w14:textId="77777777" w:rsidR="00771CD7" w:rsidRPr="00771CD7" w:rsidRDefault="00771CD7" w:rsidP="00771CD7">
            <w:pPr>
              <w:tabs>
                <w:tab w:val="clear" w:pos="7100"/>
              </w:tabs>
              <w:spacing w:line="240" w:lineRule="auto"/>
              <w:jc w:val="center"/>
              <w:rPr>
                <w:rFonts w:cs="Arial"/>
                <w:sz w:val="14"/>
                <w:szCs w:val="14"/>
                <w:lang w:val="it-IT" w:eastAsia="it-IT"/>
              </w:rPr>
            </w:pPr>
          </w:p>
        </w:tc>
      </w:tr>
      <w:tr w:rsidR="00771CD7" w:rsidRPr="00771CD7" w14:paraId="06139E08" w14:textId="77777777" w:rsidTr="00771CD7">
        <w:trPr>
          <w:trHeight w:val="315"/>
        </w:trPr>
        <w:tc>
          <w:tcPr>
            <w:tcW w:w="191" w:type="pct"/>
            <w:tcBorders>
              <w:top w:val="nil"/>
              <w:left w:val="nil"/>
              <w:bottom w:val="single" w:sz="12" w:space="0" w:color="00B050"/>
              <w:right w:val="single" w:sz="4" w:space="0" w:color="00B050"/>
            </w:tcBorders>
            <w:shd w:val="clear" w:color="auto" w:fill="auto"/>
            <w:vAlign w:val="center"/>
            <w:hideMark/>
          </w:tcPr>
          <w:p w14:paraId="3DCAC58A" w14:textId="793CC5F7" w:rsidR="00771CD7" w:rsidRPr="00771CD7" w:rsidRDefault="00771CD7" w:rsidP="00771CD7">
            <w:pPr>
              <w:tabs>
                <w:tab w:val="clear" w:pos="7100"/>
              </w:tabs>
              <w:spacing w:line="240" w:lineRule="auto"/>
              <w:jc w:val="center"/>
              <w:rPr>
                <w:rFonts w:cs="Arial"/>
                <w:sz w:val="14"/>
                <w:szCs w:val="14"/>
                <w:lang w:val="it-IT" w:eastAsia="it-IT"/>
              </w:rPr>
            </w:pPr>
            <w:r>
              <w:rPr>
                <w:rFonts w:cs="Arial"/>
                <w:sz w:val="14"/>
                <w:szCs w:val="14"/>
                <w:lang w:val="it-IT" w:eastAsia="it-IT"/>
              </w:rPr>
              <w:t>Hg</w:t>
            </w:r>
          </w:p>
        </w:tc>
        <w:tc>
          <w:tcPr>
            <w:tcW w:w="199" w:type="pct"/>
            <w:tcBorders>
              <w:top w:val="nil"/>
              <w:left w:val="nil"/>
              <w:bottom w:val="single" w:sz="12" w:space="0" w:color="00B050"/>
              <w:right w:val="single" w:sz="4" w:space="0" w:color="00B050"/>
            </w:tcBorders>
            <w:shd w:val="clear" w:color="auto" w:fill="auto"/>
            <w:vAlign w:val="center"/>
            <w:hideMark/>
          </w:tcPr>
          <w:p w14:paraId="27090365" w14:textId="77777777" w:rsidR="00771CD7" w:rsidRPr="00771CD7" w:rsidRDefault="00771CD7" w:rsidP="00771CD7">
            <w:pPr>
              <w:tabs>
                <w:tab w:val="clear" w:pos="7100"/>
              </w:tabs>
              <w:spacing w:line="240" w:lineRule="auto"/>
              <w:rPr>
                <w:rFonts w:cs="Arial"/>
                <w:sz w:val="14"/>
                <w:szCs w:val="14"/>
                <w:lang w:val="it-IT" w:eastAsia="it-IT"/>
              </w:rPr>
            </w:pPr>
            <w:r w:rsidRPr="00771CD7">
              <w:rPr>
                <w:rFonts w:cs="Arial"/>
                <w:sz w:val="14"/>
                <w:szCs w:val="14"/>
                <w:lang w:val="it-IT" w:eastAsia="it-IT"/>
              </w:rPr>
              <w:t>7439-97-6</w:t>
            </w:r>
          </w:p>
        </w:tc>
        <w:tc>
          <w:tcPr>
            <w:tcW w:w="378" w:type="pct"/>
            <w:tcBorders>
              <w:top w:val="nil"/>
              <w:left w:val="nil"/>
              <w:bottom w:val="single" w:sz="12" w:space="0" w:color="00B050"/>
              <w:right w:val="single" w:sz="4" w:space="0" w:color="00B050"/>
            </w:tcBorders>
            <w:shd w:val="clear" w:color="auto" w:fill="auto"/>
            <w:vAlign w:val="center"/>
            <w:hideMark/>
          </w:tcPr>
          <w:p w14:paraId="1FD3FF61" w14:textId="77777777" w:rsidR="00771CD7" w:rsidRPr="00771CD7" w:rsidRDefault="00771CD7" w:rsidP="00771CD7">
            <w:pPr>
              <w:tabs>
                <w:tab w:val="clear" w:pos="7100"/>
              </w:tabs>
              <w:spacing w:line="240" w:lineRule="auto"/>
              <w:jc w:val="center"/>
              <w:rPr>
                <w:rFonts w:cs="Arial"/>
                <w:sz w:val="14"/>
                <w:szCs w:val="14"/>
                <w:lang w:val="it-IT" w:eastAsia="it-IT"/>
              </w:rPr>
            </w:pPr>
            <w:r w:rsidRPr="00771CD7">
              <w:rPr>
                <w:rFonts w:cs="Arial"/>
                <w:sz w:val="14"/>
                <w:szCs w:val="14"/>
                <w:lang w:val="it-IT" w:eastAsia="it-IT"/>
              </w:rPr>
              <w:t>EU</w:t>
            </w:r>
          </w:p>
        </w:tc>
        <w:tc>
          <w:tcPr>
            <w:tcW w:w="378" w:type="pct"/>
            <w:tcBorders>
              <w:top w:val="nil"/>
              <w:left w:val="nil"/>
              <w:bottom w:val="single" w:sz="12" w:space="0" w:color="00B050"/>
              <w:right w:val="single" w:sz="4" w:space="0" w:color="00B050"/>
            </w:tcBorders>
            <w:shd w:val="clear" w:color="auto" w:fill="auto"/>
            <w:vAlign w:val="center"/>
            <w:hideMark/>
          </w:tcPr>
          <w:p w14:paraId="22F8DCDE" w14:textId="77777777" w:rsidR="00771CD7" w:rsidRPr="00771CD7" w:rsidRDefault="00771CD7" w:rsidP="00771CD7">
            <w:pPr>
              <w:tabs>
                <w:tab w:val="clear" w:pos="7100"/>
              </w:tabs>
              <w:spacing w:line="240" w:lineRule="auto"/>
              <w:jc w:val="center"/>
              <w:rPr>
                <w:rFonts w:cs="Arial"/>
                <w:sz w:val="14"/>
                <w:szCs w:val="14"/>
                <w:lang w:val="it-IT" w:eastAsia="it-IT"/>
              </w:rPr>
            </w:pPr>
            <w:r w:rsidRPr="00771CD7">
              <w:rPr>
                <w:rFonts w:cs="Arial"/>
                <w:sz w:val="14"/>
                <w:szCs w:val="14"/>
                <w:lang w:val="it-IT" w:eastAsia="it-IT"/>
              </w:rPr>
              <w:t>EU</w:t>
            </w:r>
          </w:p>
        </w:tc>
        <w:tc>
          <w:tcPr>
            <w:tcW w:w="378" w:type="pct"/>
            <w:tcBorders>
              <w:top w:val="nil"/>
              <w:left w:val="nil"/>
              <w:bottom w:val="single" w:sz="12" w:space="0" w:color="00B050"/>
              <w:right w:val="single" w:sz="4" w:space="0" w:color="00B050"/>
            </w:tcBorders>
            <w:shd w:val="clear" w:color="auto" w:fill="auto"/>
            <w:vAlign w:val="center"/>
            <w:hideMark/>
          </w:tcPr>
          <w:p w14:paraId="403E0611" w14:textId="77777777" w:rsidR="00771CD7" w:rsidRPr="00771CD7" w:rsidRDefault="00771CD7" w:rsidP="00771CD7">
            <w:pPr>
              <w:tabs>
                <w:tab w:val="clear" w:pos="7100"/>
              </w:tabs>
              <w:spacing w:line="240" w:lineRule="auto"/>
              <w:jc w:val="center"/>
              <w:rPr>
                <w:rFonts w:cs="Arial"/>
                <w:sz w:val="14"/>
                <w:szCs w:val="14"/>
                <w:lang w:val="it-IT" w:eastAsia="it-IT"/>
              </w:rPr>
            </w:pPr>
            <w:r w:rsidRPr="00771CD7">
              <w:rPr>
                <w:rFonts w:cs="Arial"/>
                <w:sz w:val="14"/>
                <w:szCs w:val="14"/>
                <w:lang w:val="it-IT" w:eastAsia="it-IT"/>
              </w:rPr>
              <w:t>EU</w:t>
            </w:r>
          </w:p>
        </w:tc>
        <w:tc>
          <w:tcPr>
            <w:tcW w:w="378" w:type="pct"/>
            <w:tcBorders>
              <w:top w:val="nil"/>
              <w:left w:val="nil"/>
              <w:bottom w:val="single" w:sz="12" w:space="0" w:color="00B050"/>
              <w:right w:val="single" w:sz="4" w:space="0" w:color="00B050"/>
            </w:tcBorders>
            <w:shd w:val="clear" w:color="auto" w:fill="auto"/>
            <w:vAlign w:val="center"/>
            <w:hideMark/>
          </w:tcPr>
          <w:p w14:paraId="267B96B7" w14:textId="77777777" w:rsidR="00771CD7" w:rsidRPr="00771CD7" w:rsidRDefault="00771CD7" w:rsidP="00771CD7">
            <w:pPr>
              <w:tabs>
                <w:tab w:val="clear" w:pos="7100"/>
              </w:tabs>
              <w:spacing w:line="240" w:lineRule="auto"/>
              <w:jc w:val="center"/>
              <w:rPr>
                <w:rFonts w:cs="Arial"/>
                <w:sz w:val="14"/>
                <w:szCs w:val="14"/>
                <w:lang w:val="it-IT" w:eastAsia="it-IT"/>
              </w:rPr>
            </w:pPr>
            <w:r w:rsidRPr="00771CD7">
              <w:rPr>
                <w:rFonts w:cs="Arial"/>
                <w:sz w:val="14"/>
                <w:szCs w:val="14"/>
                <w:lang w:val="it-IT" w:eastAsia="it-IT"/>
              </w:rPr>
              <w:t>EU</w:t>
            </w:r>
          </w:p>
        </w:tc>
        <w:tc>
          <w:tcPr>
            <w:tcW w:w="377" w:type="pct"/>
            <w:tcBorders>
              <w:top w:val="nil"/>
              <w:left w:val="nil"/>
              <w:bottom w:val="single" w:sz="12" w:space="0" w:color="00B050"/>
              <w:right w:val="single" w:sz="4" w:space="0" w:color="00B050"/>
            </w:tcBorders>
            <w:shd w:val="clear" w:color="auto" w:fill="auto"/>
            <w:vAlign w:val="center"/>
            <w:hideMark/>
          </w:tcPr>
          <w:p w14:paraId="6E51AA77" w14:textId="77777777" w:rsidR="00771CD7" w:rsidRPr="00771CD7" w:rsidRDefault="00771CD7" w:rsidP="00771CD7">
            <w:pPr>
              <w:tabs>
                <w:tab w:val="clear" w:pos="7100"/>
              </w:tabs>
              <w:spacing w:line="240" w:lineRule="auto"/>
              <w:jc w:val="center"/>
              <w:rPr>
                <w:rFonts w:cs="Arial"/>
                <w:sz w:val="14"/>
                <w:szCs w:val="14"/>
                <w:lang w:val="it-IT" w:eastAsia="it-IT"/>
              </w:rPr>
            </w:pPr>
            <w:r w:rsidRPr="00771CD7">
              <w:rPr>
                <w:rFonts w:cs="Arial"/>
                <w:sz w:val="14"/>
                <w:szCs w:val="14"/>
                <w:lang w:val="it-IT" w:eastAsia="it-IT"/>
              </w:rPr>
              <w:t>EU</w:t>
            </w:r>
          </w:p>
        </w:tc>
        <w:tc>
          <w:tcPr>
            <w:tcW w:w="377" w:type="pct"/>
            <w:tcBorders>
              <w:top w:val="nil"/>
              <w:left w:val="nil"/>
              <w:bottom w:val="single" w:sz="12" w:space="0" w:color="00B050"/>
              <w:right w:val="single" w:sz="4" w:space="0" w:color="00B050"/>
            </w:tcBorders>
            <w:shd w:val="clear" w:color="auto" w:fill="auto"/>
            <w:vAlign w:val="center"/>
            <w:hideMark/>
          </w:tcPr>
          <w:p w14:paraId="4E059C14" w14:textId="77777777" w:rsidR="00771CD7" w:rsidRPr="00771CD7" w:rsidRDefault="00771CD7" w:rsidP="00771CD7">
            <w:pPr>
              <w:tabs>
                <w:tab w:val="clear" w:pos="7100"/>
              </w:tabs>
              <w:spacing w:line="240" w:lineRule="auto"/>
              <w:jc w:val="center"/>
              <w:rPr>
                <w:rFonts w:cs="Arial"/>
                <w:sz w:val="14"/>
                <w:szCs w:val="14"/>
                <w:lang w:val="it-IT" w:eastAsia="it-IT"/>
              </w:rPr>
            </w:pPr>
            <w:r w:rsidRPr="00771CD7">
              <w:rPr>
                <w:rFonts w:cs="Arial"/>
                <w:sz w:val="14"/>
                <w:szCs w:val="14"/>
                <w:lang w:val="it-IT" w:eastAsia="it-IT"/>
              </w:rPr>
              <w:t>EU</w:t>
            </w:r>
          </w:p>
        </w:tc>
        <w:tc>
          <w:tcPr>
            <w:tcW w:w="377" w:type="pct"/>
            <w:tcBorders>
              <w:top w:val="nil"/>
              <w:left w:val="nil"/>
              <w:bottom w:val="single" w:sz="12" w:space="0" w:color="00B050"/>
              <w:right w:val="single" w:sz="4" w:space="0" w:color="00B050"/>
            </w:tcBorders>
            <w:shd w:val="clear" w:color="auto" w:fill="auto"/>
            <w:vAlign w:val="center"/>
            <w:hideMark/>
          </w:tcPr>
          <w:p w14:paraId="4841870D" w14:textId="77777777" w:rsidR="00771CD7" w:rsidRPr="00771CD7" w:rsidRDefault="00771CD7" w:rsidP="00771CD7">
            <w:pPr>
              <w:tabs>
                <w:tab w:val="clear" w:pos="7100"/>
              </w:tabs>
              <w:spacing w:line="240" w:lineRule="auto"/>
              <w:jc w:val="center"/>
              <w:rPr>
                <w:rFonts w:cs="Arial"/>
                <w:sz w:val="14"/>
                <w:szCs w:val="14"/>
                <w:lang w:val="it-IT" w:eastAsia="it-IT"/>
              </w:rPr>
            </w:pPr>
            <w:r w:rsidRPr="00771CD7">
              <w:rPr>
                <w:rFonts w:cs="Arial"/>
                <w:sz w:val="14"/>
                <w:szCs w:val="14"/>
                <w:lang w:val="it-IT" w:eastAsia="it-IT"/>
              </w:rPr>
              <w:t>EU</w:t>
            </w:r>
          </w:p>
        </w:tc>
        <w:tc>
          <w:tcPr>
            <w:tcW w:w="377" w:type="pct"/>
            <w:tcBorders>
              <w:top w:val="nil"/>
              <w:left w:val="nil"/>
              <w:bottom w:val="single" w:sz="12" w:space="0" w:color="00B050"/>
              <w:right w:val="single" w:sz="4" w:space="0" w:color="00B050"/>
            </w:tcBorders>
            <w:shd w:val="clear" w:color="auto" w:fill="auto"/>
            <w:vAlign w:val="center"/>
            <w:hideMark/>
          </w:tcPr>
          <w:p w14:paraId="14E6EB1F" w14:textId="77777777" w:rsidR="00771CD7" w:rsidRPr="00771CD7" w:rsidRDefault="00771CD7" w:rsidP="00771CD7">
            <w:pPr>
              <w:tabs>
                <w:tab w:val="clear" w:pos="7100"/>
              </w:tabs>
              <w:spacing w:line="240" w:lineRule="auto"/>
              <w:jc w:val="center"/>
              <w:rPr>
                <w:rFonts w:cs="Arial"/>
                <w:sz w:val="14"/>
                <w:szCs w:val="14"/>
                <w:lang w:val="it-IT" w:eastAsia="it-IT"/>
              </w:rPr>
            </w:pPr>
            <w:r w:rsidRPr="00771CD7">
              <w:rPr>
                <w:rFonts w:cs="Arial"/>
                <w:sz w:val="14"/>
                <w:szCs w:val="14"/>
                <w:lang w:val="it-IT" w:eastAsia="it-IT"/>
              </w:rPr>
              <w:t>EU</w:t>
            </w:r>
          </w:p>
        </w:tc>
        <w:tc>
          <w:tcPr>
            <w:tcW w:w="377" w:type="pct"/>
            <w:tcBorders>
              <w:top w:val="nil"/>
              <w:left w:val="nil"/>
              <w:bottom w:val="single" w:sz="12" w:space="0" w:color="00B050"/>
              <w:right w:val="single" w:sz="4" w:space="0" w:color="00B050"/>
            </w:tcBorders>
            <w:shd w:val="clear" w:color="auto" w:fill="auto"/>
            <w:vAlign w:val="center"/>
            <w:hideMark/>
          </w:tcPr>
          <w:p w14:paraId="79D6BF3A" w14:textId="77777777" w:rsidR="00771CD7" w:rsidRPr="00771CD7" w:rsidRDefault="00771CD7" w:rsidP="00771CD7">
            <w:pPr>
              <w:tabs>
                <w:tab w:val="clear" w:pos="7100"/>
              </w:tabs>
              <w:spacing w:line="240" w:lineRule="auto"/>
              <w:jc w:val="center"/>
              <w:rPr>
                <w:rFonts w:cs="Arial"/>
                <w:sz w:val="14"/>
                <w:szCs w:val="14"/>
                <w:lang w:val="it-IT" w:eastAsia="it-IT"/>
              </w:rPr>
            </w:pPr>
            <w:r w:rsidRPr="00771CD7">
              <w:rPr>
                <w:rFonts w:cs="Arial"/>
                <w:sz w:val="14"/>
                <w:szCs w:val="14"/>
                <w:lang w:val="it-IT" w:eastAsia="it-IT"/>
              </w:rPr>
              <w:t>EU</w:t>
            </w:r>
          </w:p>
        </w:tc>
        <w:tc>
          <w:tcPr>
            <w:tcW w:w="377" w:type="pct"/>
            <w:tcBorders>
              <w:top w:val="nil"/>
              <w:left w:val="nil"/>
              <w:bottom w:val="single" w:sz="12" w:space="0" w:color="00B050"/>
              <w:right w:val="single" w:sz="4" w:space="0" w:color="00B050"/>
            </w:tcBorders>
            <w:shd w:val="clear" w:color="auto" w:fill="auto"/>
            <w:vAlign w:val="center"/>
            <w:hideMark/>
          </w:tcPr>
          <w:p w14:paraId="3E731266" w14:textId="77777777" w:rsidR="00771CD7" w:rsidRPr="00771CD7" w:rsidRDefault="00771CD7" w:rsidP="00771CD7">
            <w:pPr>
              <w:tabs>
                <w:tab w:val="clear" w:pos="7100"/>
              </w:tabs>
              <w:spacing w:line="240" w:lineRule="auto"/>
              <w:jc w:val="center"/>
              <w:rPr>
                <w:rFonts w:cs="Arial"/>
                <w:sz w:val="14"/>
                <w:szCs w:val="14"/>
                <w:lang w:val="it-IT" w:eastAsia="it-IT"/>
              </w:rPr>
            </w:pPr>
            <w:r w:rsidRPr="00771CD7">
              <w:rPr>
                <w:rFonts w:cs="Arial"/>
                <w:sz w:val="14"/>
                <w:szCs w:val="14"/>
                <w:lang w:val="it-IT" w:eastAsia="it-IT"/>
              </w:rPr>
              <w:t>EU</w:t>
            </w:r>
          </w:p>
        </w:tc>
        <w:tc>
          <w:tcPr>
            <w:tcW w:w="377" w:type="pct"/>
            <w:tcBorders>
              <w:top w:val="nil"/>
              <w:left w:val="nil"/>
              <w:bottom w:val="single" w:sz="12" w:space="0" w:color="00B050"/>
              <w:right w:val="single" w:sz="4" w:space="0" w:color="00B050"/>
            </w:tcBorders>
            <w:shd w:val="clear" w:color="auto" w:fill="auto"/>
            <w:vAlign w:val="center"/>
            <w:hideMark/>
          </w:tcPr>
          <w:p w14:paraId="5F95B67C" w14:textId="77777777" w:rsidR="00771CD7" w:rsidRPr="00771CD7" w:rsidRDefault="00771CD7" w:rsidP="00771CD7">
            <w:pPr>
              <w:tabs>
                <w:tab w:val="clear" w:pos="7100"/>
              </w:tabs>
              <w:spacing w:line="240" w:lineRule="auto"/>
              <w:jc w:val="center"/>
              <w:rPr>
                <w:rFonts w:cs="Arial"/>
                <w:sz w:val="14"/>
                <w:szCs w:val="14"/>
                <w:lang w:val="it-IT" w:eastAsia="it-IT"/>
              </w:rPr>
            </w:pPr>
            <w:r w:rsidRPr="00771CD7">
              <w:rPr>
                <w:rFonts w:cs="Arial"/>
                <w:sz w:val="14"/>
                <w:szCs w:val="14"/>
                <w:lang w:val="it-IT" w:eastAsia="it-IT"/>
              </w:rPr>
              <w:t>EU</w:t>
            </w:r>
          </w:p>
        </w:tc>
        <w:tc>
          <w:tcPr>
            <w:tcW w:w="377" w:type="pct"/>
            <w:tcBorders>
              <w:top w:val="nil"/>
              <w:left w:val="nil"/>
              <w:bottom w:val="single" w:sz="12" w:space="0" w:color="00B050"/>
              <w:right w:val="nil"/>
            </w:tcBorders>
            <w:shd w:val="clear" w:color="auto" w:fill="auto"/>
            <w:vAlign w:val="center"/>
            <w:hideMark/>
          </w:tcPr>
          <w:p w14:paraId="0D868E50" w14:textId="77777777" w:rsidR="00771CD7" w:rsidRPr="00771CD7" w:rsidRDefault="00771CD7" w:rsidP="00771CD7">
            <w:pPr>
              <w:tabs>
                <w:tab w:val="clear" w:pos="7100"/>
              </w:tabs>
              <w:spacing w:line="240" w:lineRule="auto"/>
              <w:jc w:val="center"/>
              <w:rPr>
                <w:rFonts w:cs="Arial"/>
                <w:sz w:val="14"/>
                <w:szCs w:val="14"/>
                <w:lang w:val="it-IT" w:eastAsia="it-IT"/>
              </w:rPr>
            </w:pPr>
            <w:r w:rsidRPr="00771CD7">
              <w:rPr>
                <w:rFonts w:cs="Arial"/>
                <w:sz w:val="14"/>
                <w:szCs w:val="14"/>
                <w:lang w:val="it-IT" w:eastAsia="it-IT"/>
              </w:rPr>
              <w:t>EU</w:t>
            </w:r>
          </w:p>
        </w:tc>
        <w:tc>
          <w:tcPr>
            <w:tcW w:w="81" w:type="pct"/>
            <w:vAlign w:val="center"/>
            <w:hideMark/>
          </w:tcPr>
          <w:p w14:paraId="7E0E4FAD" w14:textId="77777777" w:rsidR="00771CD7" w:rsidRPr="00771CD7" w:rsidRDefault="00771CD7" w:rsidP="00771CD7">
            <w:pPr>
              <w:tabs>
                <w:tab w:val="clear" w:pos="7100"/>
              </w:tabs>
              <w:spacing w:line="240" w:lineRule="auto"/>
              <w:jc w:val="left"/>
              <w:rPr>
                <w:rFonts w:ascii="Times New Roman" w:hAnsi="Times New Roman"/>
                <w:sz w:val="20"/>
                <w:lang w:val="it-IT" w:eastAsia="it-IT"/>
              </w:rPr>
            </w:pPr>
          </w:p>
        </w:tc>
      </w:tr>
    </w:tbl>
    <w:p w14:paraId="3B22AD70" w14:textId="77777777" w:rsidR="00771CD7" w:rsidRDefault="00771CD7" w:rsidP="006C4242">
      <w:pPr>
        <w:pStyle w:val="CETBodytext"/>
        <w:rPr>
          <w:lang w:val="en-GB"/>
        </w:rPr>
      </w:pPr>
    </w:p>
    <w:p w14:paraId="0C9CC676" w14:textId="682C2440" w:rsidR="006C4242" w:rsidRDefault="006C4242" w:rsidP="006C4242">
      <w:pPr>
        <w:pStyle w:val="CETBodytext"/>
        <w:rPr>
          <w:lang w:val="en-GB"/>
        </w:rPr>
      </w:pPr>
      <w:r w:rsidRPr="006C4242">
        <w:rPr>
          <w:lang w:val="en-GB"/>
        </w:rPr>
        <w:t>In the section four are reported the regulated chemicals for the main countries. Substances, which are grouped in the following categories: Heavy Metals, Alkyl-Phenols &amp; Alkyl-Phenols Ethoxylates (APs &amp; APEOs), Azo Dyes, Allergenics &amp; Carcinogenic Dyes, Bisphenols, Chlorinated Paraffins, Chlorinated Phenols and Orto-</w:t>
      </w:r>
      <w:proofErr w:type="spellStart"/>
      <w:r w:rsidRPr="006C4242">
        <w:rPr>
          <w:lang w:val="en-GB"/>
        </w:rPr>
        <w:t>Phenylphenols</w:t>
      </w:r>
      <w:proofErr w:type="spellEnd"/>
      <w:r w:rsidRPr="006C4242">
        <w:rPr>
          <w:lang w:val="en-GB"/>
        </w:rPr>
        <w:t>, Chlorinated Carriers (</w:t>
      </w:r>
      <w:proofErr w:type="spellStart"/>
      <w:r w:rsidRPr="006C4242">
        <w:rPr>
          <w:lang w:val="en-GB"/>
        </w:rPr>
        <w:t>Chlorobenezes</w:t>
      </w:r>
      <w:proofErr w:type="spellEnd"/>
      <w:r w:rsidRPr="006C4242">
        <w:rPr>
          <w:lang w:val="en-GB"/>
        </w:rPr>
        <w:t xml:space="preserve"> and </w:t>
      </w:r>
      <w:proofErr w:type="spellStart"/>
      <w:r w:rsidRPr="006C4242">
        <w:rPr>
          <w:lang w:val="en-GB"/>
        </w:rPr>
        <w:t>Chlorotoluenes</w:t>
      </w:r>
      <w:proofErr w:type="spellEnd"/>
      <w:r w:rsidRPr="006C4242">
        <w:rPr>
          <w:lang w:val="en-GB"/>
        </w:rPr>
        <w:t xml:space="preserve">), Biocides &amp; Preserving Agents, Formaldehyde, Nitrosamines, Organotin Compounds, Perfluorinated &amp; Polyfluorinated Chemicals (PFCs), Phthalates, </w:t>
      </w:r>
      <w:proofErr w:type="spellStart"/>
      <w:r w:rsidRPr="006C4242">
        <w:rPr>
          <w:lang w:val="en-GB"/>
        </w:rPr>
        <w:t>Policyclic</w:t>
      </w:r>
      <w:proofErr w:type="spellEnd"/>
      <w:r w:rsidRPr="006C4242">
        <w:rPr>
          <w:lang w:val="en-GB"/>
        </w:rPr>
        <w:t xml:space="preserve"> Aromatic Hydrocarbons, Quinoline, Solvent Residuals, UV Stabilizers, Volatile Organic Compounds (VOCs) and Chlorinated Solvents (CSs).</w:t>
      </w:r>
    </w:p>
    <w:p w14:paraId="5EFE0437" w14:textId="77777777" w:rsidR="00C24ED0" w:rsidRDefault="00C24ED0" w:rsidP="006C4242">
      <w:pPr>
        <w:pStyle w:val="CETBodytext"/>
        <w:rPr>
          <w:lang w:val="en-GB"/>
        </w:rPr>
      </w:pPr>
    </w:p>
    <w:p w14:paraId="1206D810" w14:textId="5BDDB29F" w:rsidR="006C4242" w:rsidRPr="00DF7F9A" w:rsidRDefault="006C4242" w:rsidP="00C24E28">
      <w:pPr>
        <w:pStyle w:val="CETBodytext"/>
        <w:rPr>
          <w:lang w:val="en-GB"/>
        </w:rPr>
      </w:pPr>
      <w:r w:rsidRPr="006C4242">
        <w:rPr>
          <w:lang w:val="en-GB"/>
        </w:rPr>
        <w:t xml:space="preserve">PRSL of ANFAO includes an annex titled </w:t>
      </w:r>
      <w:r w:rsidRPr="002B5F73">
        <w:rPr>
          <w:lang w:val="en-GB"/>
        </w:rPr>
        <w:t>“Annex 11 - Guidance</w:t>
      </w:r>
      <w:r w:rsidRPr="006C4242">
        <w:rPr>
          <w:lang w:val="en-GB"/>
        </w:rPr>
        <w:t xml:space="preserve"> for end-user </w:t>
      </w:r>
      <w:bookmarkStart w:id="4" w:name="_Hlk163047851"/>
      <w:r w:rsidRPr="006C4242">
        <w:rPr>
          <w:lang w:val="en-GB"/>
        </w:rPr>
        <w:t xml:space="preserve">risk analysis of contact dermatitis (irritative or allergic) with finished spectacle frames”. </w:t>
      </w:r>
      <w:bookmarkEnd w:id="4"/>
      <w:r w:rsidRPr="006C4242">
        <w:rPr>
          <w:lang w:val="en-GB"/>
        </w:rPr>
        <w:t>The Annex 11 of PRSL has been designed in 2010, based on a project of the scientific board on allergens of ANFAO Technical Committee, in order to provide the eyewear manufacturers a straightforward tool to access medical information relevant their own production cycles. The information to provide are to be specifically related to potential irritative or allergic issues reported in the scientific literature, with single substances or group of chemical molecules contained in the eyeglasses frame in contact with the customer’s skin at the very end of the production process. Gradually this process has been extended to the eyeglass’s envelopes. The Annex 11 has been written and is reviewed on a yearly basis by a dermatologist, member of the scientific Board on Allergens of the Technical Committee of ANFAO, in the eyewear production cycle: moreover, the list of relevant substances is continuously integrated based on the inputs offered by the manufacturers, consistent with the development of their industrial processes. The document implements two parts: 1) a thorough analytic report of data of the scientific literature relevant to single substances or group of chemicals potentially implied in the eyewear production cycle, based upon PubMed and PubChem citations for biomedical literature from MEDLINE and the respective publisher websites; 2) a tailored “</w:t>
      </w:r>
      <w:r w:rsidRPr="00DF7F9A">
        <w:rPr>
          <w:lang w:val="en-GB"/>
        </w:rPr>
        <w:t>risk assessment tool” offering the eyewear manufacturers an analog scale of evaluation of the potential statistical risk of an irritative contact dermatitis and of allergic contact dermatitis, caused by a given substance or family of chemicals, based on codes H315 (causes skin irritation) and H317 (may cause an allergic skin reaction) respectively, as provided by ECHA.</w:t>
      </w:r>
      <w:r w:rsidR="00ED3817" w:rsidRPr="00DF7F9A">
        <w:rPr>
          <w:lang w:val="en-GB"/>
        </w:rPr>
        <w:t xml:space="preserve"> </w:t>
      </w:r>
    </w:p>
    <w:p w14:paraId="5F4F438B" w14:textId="71C4BBD9" w:rsidR="00C24E28" w:rsidRPr="00DF7F9A" w:rsidRDefault="006928BD" w:rsidP="00C24E28">
      <w:pPr>
        <w:pStyle w:val="CETBodytext"/>
        <w:rPr>
          <w:lang w:val="en-GB"/>
        </w:rPr>
      </w:pPr>
      <w:r w:rsidRPr="00DF7F9A">
        <w:rPr>
          <w:lang w:val="en-GB"/>
        </w:rPr>
        <w:t>In addition</w:t>
      </w:r>
      <w:r w:rsidR="005F712F" w:rsidRPr="00DF7F9A">
        <w:rPr>
          <w:lang w:val="en-GB"/>
        </w:rPr>
        <w:t xml:space="preserve">, the Annex 11 is a useful tool also for monitoring the post-market surveillance to assess any complaints or reports received from users, as defined by the </w:t>
      </w:r>
      <w:r w:rsidR="00477C57" w:rsidRPr="00DF7F9A">
        <w:rPr>
          <w:lang w:val="en-GB"/>
        </w:rPr>
        <w:t xml:space="preserve">European </w:t>
      </w:r>
      <w:r w:rsidR="005F712F" w:rsidRPr="00DF7F9A">
        <w:rPr>
          <w:lang w:val="en-GB"/>
        </w:rPr>
        <w:t xml:space="preserve">Medical Device Regulation 2017/745. </w:t>
      </w:r>
    </w:p>
    <w:p w14:paraId="68D26B83" w14:textId="632DA097" w:rsidR="00600535" w:rsidRPr="00DF7F9A" w:rsidRDefault="00600535" w:rsidP="00600535">
      <w:pPr>
        <w:pStyle w:val="CETHeading1"/>
        <w:rPr>
          <w:lang w:val="en-GB"/>
        </w:rPr>
      </w:pPr>
      <w:r w:rsidRPr="00DF7F9A">
        <w:rPr>
          <w:lang w:val="en-GB"/>
        </w:rPr>
        <w:t>Conclusions</w:t>
      </w:r>
    </w:p>
    <w:p w14:paraId="110599DE" w14:textId="026EDF4F" w:rsidR="006C4242" w:rsidRDefault="006C4242" w:rsidP="007347EA">
      <w:r w:rsidRPr="00DF7F9A">
        <w:t xml:space="preserve">The </w:t>
      </w:r>
      <w:proofErr w:type="spellStart"/>
      <w:r w:rsidRPr="00DF7F9A">
        <w:rPr>
          <w:i/>
          <w:iCs/>
        </w:rPr>
        <w:t>Associazione</w:t>
      </w:r>
      <w:proofErr w:type="spellEnd"/>
      <w:r w:rsidRPr="00DF7F9A">
        <w:rPr>
          <w:i/>
          <w:iCs/>
        </w:rPr>
        <w:t xml:space="preserve"> Nazionale </w:t>
      </w:r>
      <w:proofErr w:type="spellStart"/>
      <w:r w:rsidRPr="00DF7F9A">
        <w:rPr>
          <w:i/>
          <w:iCs/>
        </w:rPr>
        <w:t>Fabbricanti</w:t>
      </w:r>
      <w:proofErr w:type="spellEnd"/>
      <w:r w:rsidRPr="00DF7F9A">
        <w:rPr>
          <w:i/>
          <w:iCs/>
        </w:rPr>
        <w:t xml:space="preserve"> </w:t>
      </w:r>
      <w:proofErr w:type="spellStart"/>
      <w:r w:rsidRPr="00DF7F9A">
        <w:rPr>
          <w:i/>
          <w:iCs/>
        </w:rPr>
        <w:t>Articoli</w:t>
      </w:r>
      <w:proofErr w:type="spellEnd"/>
      <w:r w:rsidRPr="00DF7F9A">
        <w:rPr>
          <w:i/>
          <w:iCs/>
        </w:rPr>
        <w:t xml:space="preserve"> </w:t>
      </w:r>
      <w:proofErr w:type="spellStart"/>
      <w:r w:rsidRPr="00DF7F9A">
        <w:rPr>
          <w:i/>
          <w:iCs/>
        </w:rPr>
        <w:t>Ottici</w:t>
      </w:r>
      <w:proofErr w:type="spellEnd"/>
      <w:r w:rsidRPr="00DF7F9A">
        <w:t xml:space="preserve"> (ANFAO), through its Technical Committee, has developed a list of materials used by frames, lenses and cases manufacturers matching substances and their risk level, to comply European and international regulations. Therefore an </w:t>
      </w:r>
      <w:r w:rsidRPr="00DF7F9A">
        <w:rPr>
          <w:i/>
          <w:iCs/>
        </w:rPr>
        <w:t>ad hoc</w:t>
      </w:r>
      <w:r w:rsidRPr="00DF7F9A">
        <w:t xml:space="preserve"> Product Restricted Substance List (PRSL) has been drafted to establish specific Market Limits for each considered substance</w:t>
      </w:r>
      <w:r w:rsidRPr="006C4242">
        <w:t xml:space="preserve"> with its related test methods, that take into account the main international regulations and the restricted substances lists of the most important fashion retailers and brands. So, eyewear companies are not forced to follow parameters and </w:t>
      </w:r>
      <w:r w:rsidRPr="006C4242">
        <w:lastRenderedPageBreak/>
        <w:t xml:space="preserve">limits from other sectors, the relationship between customers and suppliers is simplified, potential dermatological problems </w:t>
      </w:r>
      <w:r w:rsidRPr="00DF7F9A">
        <w:t xml:space="preserve">are prevented, safety of consumers and employees of the whole eyewear sector will be increased. The PRSL </w:t>
      </w:r>
      <w:r w:rsidR="00204048" w:rsidRPr="00DF7F9A">
        <w:t xml:space="preserve">of ANFAO </w:t>
      </w:r>
      <w:r w:rsidRPr="00DF7F9A">
        <w:t xml:space="preserve">has been divided into two documents, one for spectacles and lenses, and one for cases. The PRSL is </w:t>
      </w:r>
      <w:r w:rsidR="00204048" w:rsidRPr="00DF7F9A">
        <w:t xml:space="preserve">annually </w:t>
      </w:r>
      <w:r w:rsidRPr="00DF7F9A">
        <w:t>revised in order to be compliant with the evolving international regulations</w:t>
      </w:r>
      <w:r w:rsidR="007347EA" w:rsidRPr="00DF7F9A">
        <w:t xml:space="preserve"> and to be in line with irritative or allergi</w:t>
      </w:r>
      <w:r w:rsidR="007347EA" w:rsidRPr="006C4242">
        <w:t>c issues reported in the scientific literature</w:t>
      </w:r>
      <w:r w:rsidR="007347EA">
        <w:t xml:space="preserve">. </w:t>
      </w:r>
      <w:r w:rsidRPr="006C4242">
        <w:t xml:space="preserve">This innovative document is unique and can be used as an example for others industrial sectors. </w:t>
      </w:r>
    </w:p>
    <w:p w14:paraId="3BD94CA5" w14:textId="77777777" w:rsidR="007347EA" w:rsidRDefault="007347EA" w:rsidP="007347EA"/>
    <w:p w14:paraId="280BB7F9" w14:textId="77777777" w:rsidR="007347EA" w:rsidRDefault="007347EA" w:rsidP="007347EA">
      <w:pPr>
        <w:rPr>
          <w:b/>
        </w:rPr>
      </w:pPr>
    </w:p>
    <w:p w14:paraId="459D05E6" w14:textId="77777777" w:rsidR="00600535" w:rsidRPr="00B57B36" w:rsidRDefault="00600535" w:rsidP="00183179">
      <w:pPr>
        <w:pStyle w:val="CETAcknowledgementstitle"/>
        <w:spacing w:before="120"/>
      </w:pPr>
      <w:r w:rsidRPr="00B57B36">
        <w:t>Acknowledgments</w:t>
      </w:r>
    </w:p>
    <w:p w14:paraId="20F0943E" w14:textId="6AAAD668" w:rsidR="006C4242" w:rsidRDefault="006C4242" w:rsidP="00183179">
      <w:pPr>
        <w:pStyle w:val="CETReference"/>
        <w:spacing w:before="120"/>
        <w:jc w:val="both"/>
        <w:rPr>
          <w:b w:val="0"/>
        </w:rPr>
      </w:pPr>
      <w:bookmarkStart w:id="5" w:name="_Hlk158815884"/>
      <w:r w:rsidRPr="006C4242">
        <w:rPr>
          <w:b w:val="0"/>
        </w:rPr>
        <w:t xml:space="preserve">The authors are grateful to the Technical Committee of ANFAO, to eyewear companies, to Intertek Italia and to </w:t>
      </w:r>
      <w:proofErr w:type="spellStart"/>
      <w:r w:rsidRPr="006C4242">
        <w:rPr>
          <w:b w:val="0"/>
        </w:rPr>
        <w:t>Dr.</w:t>
      </w:r>
      <w:proofErr w:type="spellEnd"/>
      <w:r w:rsidRPr="006C4242">
        <w:rPr>
          <w:b w:val="0"/>
        </w:rPr>
        <w:t xml:space="preserve"> Marco Dal Canton, </w:t>
      </w:r>
      <w:r w:rsidR="007748D6" w:rsidRPr="007748D6">
        <w:rPr>
          <w:b w:val="0"/>
        </w:rPr>
        <w:t>Surgeon Specialist in Dermatology and Venerology</w:t>
      </w:r>
      <w:r w:rsidRPr="006C4242">
        <w:rPr>
          <w:b w:val="0"/>
        </w:rPr>
        <w:t xml:space="preserve"> and ANFAO Technical Committee- Board on Allergens, that have been contributed to the definition and maintaining of the PRSL of ANFAO</w:t>
      </w:r>
      <w:bookmarkEnd w:id="5"/>
      <w:r w:rsidRPr="006C4242">
        <w:rPr>
          <w:b w:val="0"/>
        </w:rPr>
        <w:t xml:space="preserve">. </w:t>
      </w:r>
    </w:p>
    <w:p w14:paraId="1CEBDFE8" w14:textId="77777777" w:rsidR="006C4242" w:rsidRDefault="006C4242" w:rsidP="00600535">
      <w:pPr>
        <w:pStyle w:val="CETReference"/>
        <w:rPr>
          <w:b w:val="0"/>
        </w:rPr>
      </w:pPr>
    </w:p>
    <w:p w14:paraId="4F1327F8" w14:textId="4873C8D1" w:rsidR="00600535" w:rsidRPr="00B57B36" w:rsidRDefault="00600535" w:rsidP="00600535">
      <w:pPr>
        <w:pStyle w:val="CETReference"/>
      </w:pPr>
      <w:r w:rsidRPr="00B57B36">
        <w:t>References</w:t>
      </w:r>
    </w:p>
    <w:p w14:paraId="190A20E1" w14:textId="2A9C354A" w:rsidR="00BC55C6" w:rsidRPr="00DF7F9A" w:rsidRDefault="00BC55C6" w:rsidP="00896126">
      <w:pPr>
        <w:pStyle w:val="CETReferencetext"/>
      </w:pPr>
      <w:r w:rsidRPr="00DF7F9A">
        <w:t>Bergkamp, Lucas, ed. The European Union REACH regulation for chemicals: Law and practice. OUP Oxford, 2013.</w:t>
      </w:r>
    </w:p>
    <w:p w14:paraId="15A216B0" w14:textId="77777777" w:rsidR="003329DB" w:rsidRPr="00DF7F9A" w:rsidRDefault="003329DB" w:rsidP="003329DB">
      <w:pPr>
        <w:pStyle w:val="CETReferencetext"/>
      </w:pPr>
      <w:proofErr w:type="spellStart"/>
      <w:r w:rsidRPr="00DF7F9A">
        <w:t>Biedenkopf</w:t>
      </w:r>
      <w:proofErr w:type="spellEnd"/>
      <w:r w:rsidRPr="00DF7F9A">
        <w:t>, Katja. "EU chemicals regulation: A systematic approach to tackling complexity." EU Environmental Governance. Routledge, 2020. 149-164.</w:t>
      </w:r>
    </w:p>
    <w:p w14:paraId="7744890A" w14:textId="21E44C90" w:rsidR="00A60E93" w:rsidRPr="00DF7F9A" w:rsidRDefault="00A60E93" w:rsidP="00896126">
      <w:pPr>
        <w:pStyle w:val="CETReferencetext"/>
      </w:pPr>
      <w:r w:rsidRPr="00DF7F9A">
        <w:t>Silvia, Bertolin. "EAERE and the European Chemicals Agency, 2023 Background information European Chemical Agency (ECHA)." (2023).</w:t>
      </w:r>
    </w:p>
    <w:p w14:paraId="34BFB907" w14:textId="5CAAA1B2" w:rsidR="00896126" w:rsidRPr="00DF7F9A" w:rsidRDefault="00896126" w:rsidP="00896126">
      <w:pPr>
        <w:pStyle w:val="CETReferencetext"/>
      </w:pPr>
      <w:r w:rsidRPr="00DF7F9A">
        <w:t>CPSC. US Consumer Product Safety Commission. URL. www.cpsc.gov/Regulations-Laws--Standards. Accessed February 2024.</w:t>
      </w:r>
    </w:p>
    <w:p w14:paraId="3A2A09B3" w14:textId="77777777" w:rsidR="00896126" w:rsidRPr="00DF7F9A" w:rsidRDefault="00896126" w:rsidP="00896126">
      <w:pPr>
        <w:pStyle w:val="CETReferencetext"/>
      </w:pPr>
      <w:r w:rsidRPr="00DF7F9A">
        <w:t xml:space="preserve">CPSIA. The Consumer Product Safety Improvement Act (CPSIA). </w:t>
      </w:r>
      <w:r w:rsidRPr="00DF7F9A">
        <w:rPr>
          <w:lang w:val="pl-PL"/>
        </w:rPr>
        <w:t xml:space="preserve">URL. www.cpsc.gov/Regulations-Laws--Standards/Statutes/The-Consumer-Product-Safety-Improvement-Act. </w:t>
      </w:r>
      <w:r w:rsidRPr="00DF7F9A">
        <w:t>Accessed February 2024.</w:t>
      </w:r>
    </w:p>
    <w:p w14:paraId="79C2EECB" w14:textId="77777777" w:rsidR="00896126" w:rsidRPr="00DF7F9A" w:rsidRDefault="00896126" w:rsidP="00896126">
      <w:pPr>
        <w:pStyle w:val="CETReferencetext"/>
      </w:pPr>
      <w:r w:rsidRPr="00DF7F9A">
        <w:t>ECHA. EUROPEAN CHEMICAL AGENCY. URL. echa.europa.eu/about-us. Accessed February 2024.</w:t>
      </w:r>
    </w:p>
    <w:p w14:paraId="464FC89F" w14:textId="77777777" w:rsidR="00896126" w:rsidRPr="00DF7F9A" w:rsidRDefault="00896126" w:rsidP="00896126">
      <w:pPr>
        <w:pStyle w:val="CETReferencetext"/>
      </w:pPr>
      <w:r w:rsidRPr="00DF7F9A">
        <w:t>Eurostat. Glossary: European Economic Area (EEA). URL. ec.europa.eu/eurostat/statistics-explained/index.php?title=</w:t>
      </w:r>
      <w:proofErr w:type="gramStart"/>
      <w:r w:rsidRPr="00DF7F9A">
        <w:t>Glossary:European</w:t>
      </w:r>
      <w:proofErr w:type="gramEnd"/>
      <w:r w:rsidRPr="00DF7F9A">
        <w:t xml:space="preserve">_Economic_Area_(EEA). Accessed February 2024. </w:t>
      </w:r>
    </w:p>
    <w:p w14:paraId="5B6A1910" w14:textId="57924081" w:rsidR="003329DB" w:rsidRPr="00DF7F9A" w:rsidRDefault="003329DB" w:rsidP="00896126">
      <w:pPr>
        <w:pStyle w:val="CETReferencetext"/>
      </w:pPr>
      <w:r w:rsidRPr="00DF7F9A">
        <w:t>García-Fernández, Antonio Juan. "Ecotoxicological risk assessment in the context of different EU regulations." Ecotoxicological QSARs (2020): 3-25.</w:t>
      </w:r>
    </w:p>
    <w:p w14:paraId="7DD064BC" w14:textId="613578D9" w:rsidR="00896126" w:rsidRPr="00DF7F9A" w:rsidRDefault="00896126" w:rsidP="00896126">
      <w:pPr>
        <w:pStyle w:val="CETReferencetext"/>
      </w:pPr>
      <w:r w:rsidRPr="00DF7F9A">
        <w:t>GB. Chinese national standards. www.gbstandards.org/. Accessed February 2024.</w:t>
      </w:r>
    </w:p>
    <w:p w14:paraId="3EB56C7E" w14:textId="77777777" w:rsidR="00896126" w:rsidRPr="00DF7F9A" w:rsidRDefault="00896126" w:rsidP="00896126">
      <w:pPr>
        <w:pStyle w:val="CETReferencetext"/>
      </w:pPr>
      <w:r w:rsidRPr="00DF7F9A">
        <w:t>GPSR. General Product Safety Regulation. URL. commission.europa.eu/business-economy-euro/product-safety-and-requirements/product-safety/general-product-safety-regulation_en Accessed February 2024.</w:t>
      </w:r>
    </w:p>
    <w:p w14:paraId="511002B3" w14:textId="77777777" w:rsidR="00896126" w:rsidRPr="00DF7F9A" w:rsidRDefault="00896126" w:rsidP="00896126">
      <w:pPr>
        <w:pStyle w:val="CETReferencetext"/>
      </w:pPr>
      <w:r w:rsidRPr="00DF7F9A">
        <w:t xml:space="preserve">KC Certification. Product certification compliance, Korean safety regulations. </w:t>
      </w:r>
      <w:r w:rsidRPr="00DF7F9A">
        <w:rPr>
          <w:lang w:val="pl-PL"/>
        </w:rPr>
        <w:t xml:space="preserve">URL. www.korea-certification.com/en/kc/what-is-kc-certification/ . </w:t>
      </w:r>
      <w:r w:rsidRPr="00DF7F9A">
        <w:t>Accessed February 2024.</w:t>
      </w:r>
    </w:p>
    <w:p w14:paraId="6E448090" w14:textId="77777777" w:rsidR="00896126" w:rsidRPr="00DF7F9A" w:rsidRDefault="00896126" w:rsidP="00896126">
      <w:pPr>
        <w:pStyle w:val="CETReferencetext"/>
      </w:pPr>
      <w:r w:rsidRPr="00DF7F9A">
        <w:t>MEDLINE. URL.www.nlm.nih.gov/</w:t>
      </w:r>
      <w:proofErr w:type="spellStart"/>
      <w:r w:rsidRPr="00DF7F9A">
        <w:t>medline</w:t>
      </w:r>
      <w:proofErr w:type="spellEnd"/>
      <w:r w:rsidRPr="00DF7F9A">
        <w:t>/medline_home.html. Accessed February 2024.</w:t>
      </w:r>
    </w:p>
    <w:p w14:paraId="550517F6" w14:textId="77777777" w:rsidR="00896126" w:rsidRPr="00DF7F9A" w:rsidRDefault="00896126" w:rsidP="00896126">
      <w:pPr>
        <w:pStyle w:val="CETReferencetext"/>
      </w:pPr>
      <w:r w:rsidRPr="00DF7F9A">
        <w:t xml:space="preserve">Proposition 65. oehha.ca.gov/proposition-65/about-proposition-65. Accessed February 2024. </w:t>
      </w:r>
    </w:p>
    <w:p w14:paraId="3F7517C0" w14:textId="77777777" w:rsidR="00896126" w:rsidRPr="00DF7F9A" w:rsidRDefault="00896126" w:rsidP="00896126">
      <w:pPr>
        <w:pStyle w:val="CETReferencetext"/>
      </w:pPr>
      <w:r w:rsidRPr="00DF7F9A">
        <w:t>PubChem. URL. https://pubchem.ncbi.nlm.nih.gov/. Accessed February 2024</w:t>
      </w:r>
    </w:p>
    <w:p w14:paraId="0A1D035C" w14:textId="77777777" w:rsidR="00896126" w:rsidRPr="00DF7F9A" w:rsidRDefault="00896126" w:rsidP="00896126">
      <w:pPr>
        <w:pStyle w:val="CETReferencetext"/>
      </w:pPr>
      <w:r w:rsidRPr="00DF7F9A">
        <w:t>PubMed. URL. https://pubmed.ncbi.nlm.nih.gov/about/. Accessed February 2024</w:t>
      </w:r>
    </w:p>
    <w:p w14:paraId="7B6E2DA3" w14:textId="77777777" w:rsidR="00896126" w:rsidRPr="00DF7F9A" w:rsidRDefault="00896126" w:rsidP="00896126">
      <w:pPr>
        <w:pStyle w:val="CETReferencetext"/>
      </w:pPr>
      <w:r w:rsidRPr="00DF7F9A">
        <w:t>RoHS. Restriction of the use of certain hazardous substances (RoHS) URL. single-market-economy.ec.europa.eu/single-market/european-standards/harmonised-standards/restriction-use-certain-hazardous-substances-rohs_en Accessed February 2024.</w:t>
      </w:r>
    </w:p>
    <w:p w14:paraId="4CD9C046" w14:textId="77777777" w:rsidR="00896126" w:rsidRPr="00DF7F9A" w:rsidRDefault="00896126" w:rsidP="00896126">
      <w:pPr>
        <w:pStyle w:val="CETReferencetext"/>
      </w:pPr>
      <w:r w:rsidRPr="00DF7F9A">
        <w:t xml:space="preserve">SALEEM. The Saudi Product Safety Programme. </w:t>
      </w:r>
    </w:p>
    <w:p w14:paraId="31306F0A" w14:textId="478FC2C0" w:rsidR="00BC55C6" w:rsidRPr="00DF7F9A" w:rsidRDefault="00BC55C6" w:rsidP="00896126">
      <w:pPr>
        <w:pStyle w:val="CETReferencetext"/>
      </w:pPr>
      <w:proofErr w:type="spellStart"/>
      <w:r w:rsidRPr="00DF7F9A">
        <w:t>Schwirn</w:t>
      </w:r>
      <w:proofErr w:type="spellEnd"/>
      <w:r w:rsidRPr="00DF7F9A">
        <w:t xml:space="preserve">, K., Voelker, D., </w:t>
      </w:r>
      <w:proofErr w:type="spellStart"/>
      <w:r w:rsidRPr="00DF7F9A">
        <w:t>Galert</w:t>
      </w:r>
      <w:proofErr w:type="spellEnd"/>
      <w:r w:rsidRPr="00DF7F9A">
        <w:t>, W., Quik, J., &amp; Tietjen, L. (2020). Environmental risk assessment of nanomaterials in the light of new obligations under the REACH regulation: which challenges remain and how to approach them? Integrated Environmental Assessment and Management, 16(5), 706-717.</w:t>
      </w:r>
    </w:p>
    <w:p w14:paraId="58B21339" w14:textId="53384809" w:rsidR="00896126" w:rsidRPr="00DF7F9A" w:rsidRDefault="00896126" w:rsidP="00896126">
      <w:pPr>
        <w:pStyle w:val="CETReferencetext"/>
      </w:pPr>
      <w:r w:rsidRPr="00DF7F9A">
        <w:t>Williams, E. S., Panko, J., &amp; Paustenbach, D. J. (2009). The European Union’s REACH regulation: a review of its history and requirements. Critical reviews in toxicology, 39(7), 553-575.</w:t>
      </w:r>
    </w:p>
    <w:p w14:paraId="42984AB9" w14:textId="77777777" w:rsidR="00896126" w:rsidRPr="00DF7F9A" w:rsidRDefault="00896126" w:rsidP="00896126">
      <w:pPr>
        <w:pStyle w:val="CETReferencetext"/>
      </w:pPr>
      <w:r w:rsidRPr="00DF7F9A">
        <w:t>The European Union Medical Device Regulation. Regulation (EU) 2017/745 (EU MDR). URL. eumdr.com/. Accessed February 2024.</w:t>
      </w:r>
    </w:p>
    <w:p w14:paraId="65CA3362" w14:textId="43AC347C" w:rsidR="002A517A" w:rsidRPr="00DF7F9A" w:rsidRDefault="002A517A" w:rsidP="00896126">
      <w:pPr>
        <w:pStyle w:val="CETReferencetext"/>
      </w:pPr>
      <w:r w:rsidRPr="00DF7F9A">
        <w:t xml:space="preserve">Tian, </w:t>
      </w:r>
      <w:proofErr w:type="spellStart"/>
      <w:r w:rsidRPr="00DF7F9A">
        <w:t>Yuanqing</w:t>
      </w:r>
      <w:proofErr w:type="spellEnd"/>
      <w:r w:rsidRPr="00DF7F9A">
        <w:t xml:space="preserve">, and Roger Ball. "Parametric design for custom-fit eyewear frames." </w:t>
      </w:r>
      <w:proofErr w:type="spellStart"/>
      <w:r w:rsidRPr="00DF7F9A">
        <w:t>Heliyon</w:t>
      </w:r>
      <w:proofErr w:type="spellEnd"/>
      <w:r w:rsidRPr="00DF7F9A">
        <w:t xml:space="preserve"> 9.9 (2023).</w:t>
      </w:r>
    </w:p>
    <w:p w14:paraId="19C4FC68" w14:textId="4B5E75F0" w:rsidR="004628D2" w:rsidRDefault="00896126" w:rsidP="009A5E31">
      <w:pPr>
        <w:pStyle w:val="CETReferencetext"/>
      </w:pPr>
      <w:r w:rsidRPr="00DF7F9A">
        <w:t>Walsh, Glyn, and S. Mark Wilkinson. "Materials and allergens within spectacle frames: a review." Contact Dermatitis 55.3 (2006): 130-139.</w:t>
      </w:r>
    </w:p>
    <w:sectPr w:rsidR="004628D2" w:rsidSect="00303B68">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6A5F5" w14:textId="77777777" w:rsidR="00106B28" w:rsidRDefault="00106B28" w:rsidP="004F5E36">
      <w:r>
        <w:separator/>
      </w:r>
    </w:p>
  </w:endnote>
  <w:endnote w:type="continuationSeparator" w:id="0">
    <w:p w14:paraId="730A5055" w14:textId="77777777" w:rsidR="00106B28" w:rsidRDefault="00106B2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FAF75" w14:textId="77777777" w:rsidR="00106B28" w:rsidRDefault="00106B28" w:rsidP="004F5E36">
      <w:r>
        <w:separator/>
      </w:r>
    </w:p>
  </w:footnote>
  <w:footnote w:type="continuationSeparator" w:id="0">
    <w:p w14:paraId="7DD71754" w14:textId="77777777" w:rsidR="00106B28" w:rsidRDefault="00106B28"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ED06CD"/>
    <w:multiLevelType w:val="hybridMultilevel"/>
    <w:tmpl w:val="406A755E"/>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30305860">
    <w:abstractNumId w:val="10"/>
  </w:num>
  <w:num w:numId="2" w16cid:durableId="1939479859">
    <w:abstractNumId w:val="8"/>
  </w:num>
  <w:num w:numId="3" w16cid:durableId="976295760">
    <w:abstractNumId w:val="3"/>
  </w:num>
  <w:num w:numId="4" w16cid:durableId="23678545">
    <w:abstractNumId w:val="2"/>
  </w:num>
  <w:num w:numId="5" w16cid:durableId="1901554720">
    <w:abstractNumId w:val="1"/>
  </w:num>
  <w:num w:numId="6" w16cid:durableId="1979601308">
    <w:abstractNumId w:val="0"/>
  </w:num>
  <w:num w:numId="7" w16cid:durableId="1215388478">
    <w:abstractNumId w:val="9"/>
  </w:num>
  <w:num w:numId="8" w16cid:durableId="759717833">
    <w:abstractNumId w:val="7"/>
  </w:num>
  <w:num w:numId="9" w16cid:durableId="815683955">
    <w:abstractNumId w:val="6"/>
  </w:num>
  <w:num w:numId="10" w16cid:durableId="1066416165">
    <w:abstractNumId w:val="5"/>
  </w:num>
  <w:num w:numId="11" w16cid:durableId="438722583">
    <w:abstractNumId w:val="4"/>
  </w:num>
  <w:num w:numId="12" w16cid:durableId="733702629">
    <w:abstractNumId w:val="18"/>
  </w:num>
  <w:num w:numId="13" w16cid:durableId="1573659240">
    <w:abstractNumId w:val="12"/>
  </w:num>
  <w:num w:numId="14" w16cid:durableId="2092192635">
    <w:abstractNumId w:val="19"/>
  </w:num>
  <w:num w:numId="15" w16cid:durableId="1115637783">
    <w:abstractNumId w:val="21"/>
  </w:num>
  <w:num w:numId="16" w16cid:durableId="635987207">
    <w:abstractNumId w:val="20"/>
  </w:num>
  <w:num w:numId="17" w16cid:durableId="1476411020">
    <w:abstractNumId w:val="11"/>
  </w:num>
  <w:num w:numId="18" w16cid:durableId="2106877164">
    <w:abstractNumId w:val="12"/>
    <w:lvlOverride w:ilvl="0">
      <w:startOverride w:val="1"/>
    </w:lvlOverride>
  </w:num>
  <w:num w:numId="19" w16cid:durableId="1650403514">
    <w:abstractNumId w:val="16"/>
  </w:num>
  <w:num w:numId="20" w16cid:durableId="536504040">
    <w:abstractNumId w:val="15"/>
  </w:num>
  <w:num w:numId="21" w16cid:durableId="518815501">
    <w:abstractNumId w:val="14"/>
  </w:num>
  <w:num w:numId="22" w16cid:durableId="299530822">
    <w:abstractNumId w:val="13"/>
  </w:num>
  <w:num w:numId="23" w16cid:durableId="4194500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8E4"/>
    <w:rsid w:val="000117CB"/>
    <w:rsid w:val="0003148D"/>
    <w:rsid w:val="00031EEC"/>
    <w:rsid w:val="00051566"/>
    <w:rsid w:val="00062A9A"/>
    <w:rsid w:val="00065058"/>
    <w:rsid w:val="00082042"/>
    <w:rsid w:val="00086C39"/>
    <w:rsid w:val="000A03B2"/>
    <w:rsid w:val="000A3E8C"/>
    <w:rsid w:val="000A7114"/>
    <w:rsid w:val="000D0268"/>
    <w:rsid w:val="000D34BE"/>
    <w:rsid w:val="000E102F"/>
    <w:rsid w:val="000E36F1"/>
    <w:rsid w:val="000E3A73"/>
    <w:rsid w:val="000E414A"/>
    <w:rsid w:val="000F093C"/>
    <w:rsid w:val="000F46EB"/>
    <w:rsid w:val="000F787B"/>
    <w:rsid w:val="00106B28"/>
    <w:rsid w:val="0012091F"/>
    <w:rsid w:val="00122668"/>
    <w:rsid w:val="00126BC2"/>
    <w:rsid w:val="001308B6"/>
    <w:rsid w:val="0013121F"/>
    <w:rsid w:val="00131FE6"/>
    <w:rsid w:val="0013263F"/>
    <w:rsid w:val="001331DF"/>
    <w:rsid w:val="00134DE4"/>
    <w:rsid w:val="0014034D"/>
    <w:rsid w:val="00144D16"/>
    <w:rsid w:val="00150E59"/>
    <w:rsid w:val="00152DE3"/>
    <w:rsid w:val="00164CF9"/>
    <w:rsid w:val="001667A6"/>
    <w:rsid w:val="00183179"/>
    <w:rsid w:val="00184AD6"/>
    <w:rsid w:val="001A4AF7"/>
    <w:rsid w:val="001B0349"/>
    <w:rsid w:val="001B1E93"/>
    <w:rsid w:val="001B65C1"/>
    <w:rsid w:val="001C684B"/>
    <w:rsid w:val="001D0CFB"/>
    <w:rsid w:val="001D53FC"/>
    <w:rsid w:val="001E5794"/>
    <w:rsid w:val="001F42A5"/>
    <w:rsid w:val="001F7B9D"/>
    <w:rsid w:val="00201C93"/>
    <w:rsid w:val="00204048"/>
    <w:rsid w:val="002224B4"/>
    <w:rsid w:val="00225997"/>
    <w:rsid w:val="002447EF"/>
    <w:rsid w:val="00251550"/>
    <w:rsid w:val="00263B05"/>
    <w:rsid w:val="0027221A"/>
    <w:rsid w:val="00275B61"/>
    <w:rsid w:val="00280FAF"/>
    <w:rsid w:val="00282656"/>
    <w:rsid w:val="00296B83"/>
    <w:rsid w:val="002A517A"/>
    <w:rsid w:val="002B4015"/>
    <w:rsid w:val="002B5F73"/>
    <w:rsid w:val="002B78CE"/>
    <w:rsid w:val="002C2FB6"/>
    <w:rsid w:val="002E39E9"/>
    <w:rsid w:val="002E5FA7"/>
    <w:rsid w:val="002F3309"/>
    <w:rsid w:val="002F6C77"/>
    <w:rsid w:val="003008CE"/>
    <w:rsid w:val="003009B7"/>
    <w:rsid w:val="00300E56"/>
    <w:rsid w:val="00303B68"/>
    <w:rsid w:val="0030469C"/>
    <w:rsid w:val="00306F00"/>
    <w:rsid w:val="00321CA6"/>
    <w:rsid w:val="00323763"/>
    <w:rsid w:val="0032661B"/>
    <w:rsid w:val="003329DB"/>
    <w:rsid w:val="00334C09"/>
    <w:rsid w:val="003723D4"/>
    <w:rsid w:val="00381905"/>
    <w:rsid w:val="00384CC8"/>
    <w:rsid w:val="003871FD"/>
    <w:rsid w:val="003937E8"/>
    <w:rsid w:val="003A1E30"/>
    <w:rsid w:val="003A2829"/>
    <w:rsid w:val="003A7D1C"/>
    <w:rsid w:val="003B304B"/>
    <w:rsid w:val="003B3146"/>
    <w:rsid w:val="003F015E"/>
    <w:rsid w:val="00400414"/>
    <w:rsid w:val="0040368C"/>
    <w:rsid w:val="0041446B"/>
    <w:rsid w:val="004272CB"/>
    <w:rsid w:val="0044329C"/>
    <w:rsid w:val="00453E24"/>
    <w:rsid w:val="00457456"/>
    <w:rsid w:val="004577FE"/>
    <w:rsid w:val="00457B9C"/>
    <w:rsid w:val="0046164A"/>
    <w:rsid w:val="004628D2"/>
    <w:rsid w:val="00462DCD"/>
    <w:rsid w:val="004648AD"/>
    <w:rsid w:val="004703A9"/>
    <w:rsid w:val="004760DE"/>
    <w:rsid w:val="004763D7"/>
    <w:rsid w:val="00477C57"/>
    <w:rsid w:val="004A004E"/>
    <w:rsid w:val="004A24CF"/>
    <w:rsid w:val="004A6E0C"/>
    <w:rsid w:val="004C3D1D"/>
    <w:rsid w:val="004C7913"/>
    <w:rsid w:val="004E4DD6"/>
    <w:rsid w:val="004F5E36"/>
    <w:rsid w:val="00507B47"/>
    <w:rsid w:val="00507BEF"/>
    <w:rsid w:val="00507CC9"/>
    <w:rsid w:val="005119A5"/>
    <w:rsid w:val="005278B7"/>
    <w:rsid w:val="00532016"/>
    <w:rsid w:val="005346C8"/>
    <w:rsid w:val="00543E7D"/>
    <w:rsid w:val="00547A68"/>
    <w:rsid w:val="005531C9"/>
    <w:rsid w:val="00554F10"/>
    <w:rsid w:val="00567604"/>
    <w:rsid w:val="00570C43"/>
    <w:rsid w:val="00582ED3"/>
    <w:rsid w:val="00593B39"/>
    <w:rsid w:val="005B2110"/>
    <w:rsid w:val="005B4959"/>
    <w:rsid w:val="005B61E6"/>
    <w:rsid w:val="005C6BA7"/>
    <w:rsid w:val="005C77E1"/>
    <w:rsid w:val="005D668A"/>
    <w:rsid w:val="005D6A2F"/>
    <w:rsid w:val="005E1A82"/>
    <w:rsid w:val="005E794C"/>
    <w:rsid w:val="005F0A28"/>
    <w:rsid w:val="005F0E5E"/>
    <w:rsid w:val="005F4661"/>
    <w:rsid w:val="005F712F"/>
    <w:rsid w:val="00600535"/>
    <w:rsid w:val="00610CD6"/>
    <w:rsid w:val="00620DEE"/>
    <w:rsid w:val="00621F92"/>
    <w:rsid w:val="0062280A"/>
    <w:rsid w:val="00625639"/>
    <w:rsid w:val="00631B33"/>
    <w:rsid w:val="0064184D"/>
    <w:rsid w:val="006422CC"/>
    <w:rsid w:val="006464A6"/>
    <w:rsid w:val="00660E3E"/>
    <w:rsid w:val="00662E74"/>
    <w:rsid w:val="00665323"/>
    <w:rsid w:val="00680C23"/>
    <w:rsid w:val="006928BD"/>
    <w:rsid w:val="00693766"/>
    <w:rsid w:val="006A3281"/>
    <w:rsid w:val="006B4888"/>
    <w:rsid w:val="006C2E45"/>
    <w:rsid w:val="006C359C"/>
    <w:rsid w:val="006C4242"/>
    <w:rsid w:val="006C5579"/>
    <w:rsid w:val="006D68DE"/>
    <w:rsid w:val="006D6E8B"/>
    <w:rsid w:val="006E737D"/>
    <w:rsid w:val="00713973"/>
    <w:rsid w:val="00713E76"/>
    <w:rsid w:val="00720A24"/>
    <w:rsid w:val="00732386"/>
    <w:rsid w:val="007347EA"/>
    <w:rsid w:val="0073514D"/>
    <w:rsid w:val="007447F3"/>
    <w:rsid w:val="0074786A"/>
    <w:rsid w:val="0075499F"/>
    <w:rsid w:val="007661C8"/>
    <w:rsid w:val="0077098D"/>
    <w:rsid w:val="00771CD7"/>
    <w:rsid w:val="007748D6"/>
    <w:rsid w:val="007931FA"/>
    <w:rsid w:val="007A4861"/>
    <w:rsid w:val="007A7BBA"/>
    <w:rsid w:val="007B0C50"/>
    <w:rsid w:val="007B48F9"/>
    <w:rsid w:val="007C1A43"/>
    <w:rsid w:val="0080013E"/>
    <w:rsid w:val="00813288"/>
    <w:rsid w:val="008168FC"/>
    <w:rsid w:val="00825DD9"/>
    <w:rsid w:val="00830996"/>
    <w:rsid w:val="008345F1"/>
    <w:rsid w:val="00865B07"/>
    <w:rsid w:val="008667EA"/>
    <w:rsid w:val="0087637F"/>
    <w:rsid w:val="00880D18"/>
    <w:rsid w:val="00892AD5"/>
    <w:rsid w:val="00896126"/>
    <w:rsid w:val="008A1512"/>
    <w:rsid w:val="008A34C8"/>
    <w:rsid w:val="008D32B9"/>
    <w:rsid w:val="008D433B"/>
    <w:rsid w:val="008E566E"/>
    <w:rsid w:val="0090161A"/>
    <w:rsid w:val="00901EB6"/>
    <w:rsid w:val="009040A8"/>
    <w:rsid w:val="00904C62"/>
    <w:rsid w:val="00905460"/>
    <w:rsid w:val="00922BA8"/>
    <w:rsid w:val="00924DAC"/>
    <w:rsid w:val="00927058"/>
    <w:rsid w:val="00942750"/>
    <w:rsid w:val="009450CE"/>
    <w:rsid w:val="00947179"/>
    <w:rsid w:val="0095164B"/>
    <w:rsid w:val="00954090"/>
    <w:rsid w:val="009573E7"/>
    <w:rsid w:val="00963E05"/>
    <w:rsid w:val="00967843"/>
    <w:rsid w:val="00967D54"/>
    <w:rsid w:val="00971028"/>
    <w:rsid w:val="009871F9"/>
    <w:rsid w:val="00993B84"/>
    <w:rsid w:val="00996483"/>
    <w:rsid w:val="00996F5A"/>
    <w:rsid w:val="009A5E31"/>
    <w:rsid w:val="009B041A"/>
    <w:rsid w:val="009C37C3"/>
    <w:rsid w:val="009C7C86"/>
    <w:rsid w:val="009D2FF7"/>
    <w:rsid w:val="009E7884"/>
    <w:rsid w:val="009E788A"/>
    <w:rsid w:val="009F0E08"/>
    <w:rsid w:val="00A1763D"/>
    <w:rsid w:val="00A17CEC"/>
    <w:rsid w:val="00A27EF0"/>
    <w:rsid w:val="00A42361"/>
    <w:rsid w:val="00A50B20"/>
    <w:rsid w:val="00A51390"/>
    <w:rsid w:val="00A55BAC"/>
    <w:rsid w:val="00A60D13"/>
    <w:rsid w:val="00A60E93"/>
    <w:rsid w:val="00A671CA"/>
    <w:rsid w:val="00A72745"/>
    <w:rsid w:val="00A76EFC"/>
    <w:rsid w:val="00A91010"/>
    <w:rsid w:val="00A97F29"/>
    <w:rsid w:val="00AA702E"/>
    <w:rsid w:val="00AA7C75"/>
    <w:rsid w:val="00AB0964"/>
    <w:rsid w:val="00AB3DDD"/>
    <w:rsid w:val="00AB5011"/>
    <w:rsid w:val="00AC7368"/>
    <w:rsid w:val="00AD16B9"/>
    <w:rsid w:val="00AE377D"/>
    <w:rsid w:val="00AF0EBA"/>
    <w:rsid w:val="00B02C8A"/>
    <w:rsid w:val="00B16082"/>
    <w:rsid w:val="00B17FBD"/>
    <w:rsid w:val="00B315A6"/>
    <w:rsid w:val="00B31813"/>
    <w:rsid w:val="00B33365"/>
    <w:rsid w:val="00B577BD"/>
    <w:rsid w:val="00B57B36"/>
    <w:rsid w:val="00B57E6F"/>
    <w:rsid w:val="00B77012"/>
    <w:rsid w:val="00B8686D"/>
    <w:rsid w:val="00B93F69"/>
    <w:rsid w:val="00BB1DDC"/>
    <w:rsid w:val="00BB428F"/>
    <w:rsid w:val="00BC30C9"/>
    <w:rsid w:val="00BC55C6"/>
    <w:rsid w:val="00BD077D"/>
    <w:rsid w:val="00BE3E58"/>
    <w:rsid w:val="00BF525F"/>
    <w:rsid w:val="00C01616"/>
    <w:rsid w:val="00C0162B"/>
    <w:rsid w:val="00C068ED"/>
    <w:rsid w:val="00C22E0C"/>
    <w:rsid w:val="00C24E28"/>
    <w:rsid w:val="00C24ED0"/>
    <w:rsid w:val="00C345B1"/>
    <w:rsid w:val="00C40142"/>
    <w:rsid w:val="00C46C9C"/>
    <w:rsid w:val="00C52C3C"/>
    <w:rsid w:val="00C57182"/>
    <w:rsid w:val="00C57863"/>
    <w:rsid w:val="00C655FD"/>
    <w:rsid w:val="00C75407"/>
    <w:rsid w:val="00C7794F"/>
    <w:rsid w:val="00C870A8"/>
    <w:rsid w:val="00C875AE"/>
    <w:rsid w:val="00C94434"/>
    <w:rsid w:val="00C94B67"/>
    <w:rsid w:val="00CA0D75"/>
    <w:rsid w:val="00CA1C95"/>
    <w:rsid w:val="00CA5A9C"/>
    <w:rsid w:val="00CC4C20"/>
    <w:rsid w:val="00CD3517"/>
    <w:rsid w:val="00CD5FE2"/>
    <w:rsid w:val="00CE7C68"/>
    <w:rsid w:val="00D02B4C"/>
    <w:rsid w:val="00D040C4"/>
    <w:rsid w:val="00D23D95"/>
    <w:rsid w:val="00D25744"/>
    <w:rsid w:val="00D46B7E"/>
    <w:rsid w:val="00D55A1B"/>
    <w:rsid w:val="00D57C84"/>
    <w:rsid w:val="00D6057D"/>
    <w:rsid w:val="00D836C5"/>
    <w:rsid w:val="00D84576"/>
    <w:rsid w:val="00DA1399"/>
    <w:rsid w:val="00DA24C6"/>
    <w:rsid w:val="00DA4D7B"/>
    <w:rsid w:val="00DC1AB8"/>
    <w:rsid w:val="00DE131B"/>
    <w:rsid w:val="00DE264A"/>
    <w:rsid w:val="00DF5072"/>
    <w:rsid w:val="00DF7F9A"/>
    <w:rsid w:val="00E02D18"/>
    <w:rsid w:val="00E041E7"/>
    <w:rsid w:val="00E23CA1"/>
    <w:rsid w:val="00E409A8"/>
    <w:rsid w:val="00E50C12"/>
    <w:rsid w:val="00E541A2"/>
    <w:rsid w:val="00E65B91"/>
    <w:rsid w:val="00E7209D"/>
    <w:rsid w:val="00E72EAD"/>
    <w:rsid w:val="00E77223"/>
    <w:rsid w:val="00E8528B"/>
    <w:rsid w:val="00E85B94"/>
    <w:rsid w:val="00E978D0"/>
    <w:rsid w:val="00EA4613"/>
    <w:rsid w:val="00EA7F91"/>
    <w:rsid w:val="00EB1523"/>
    <w:rsid w:val="00EC0E49"/>
    <w:rsid w:val="00EC101F"/>
    <w:rsid w:val="00EC1D9F"/>
    <w:rsid w:val="00EC385F"/>
    <w:rsid w:val="00ED3817"/>
    <w:rsid w:val="00EE0131"/>
    <w:rsid w:val="00EE17B0"/>
    <w:rsid w:val="00EF06D9"/>
    <w:rsid w:val="00F00041"/>
    <w:rsid w:val="00F30C64"/>
    <w:rsid w:val="00F32BA2"/>
    <w:rsid w:val="00F32CDB"/>
    <w:rsid w:val="00F565FE"/>
    <w:rsid w:val="00F63A70"/>
    <w:rsid w:val="00F7534E"/>
    <w:rsid w:val="00FA21D0"/>
    <w:rsid w:val="00FA5F5F"/>
    <w:rsid w:val="00FB730C"/>
    <w:rsid w:val="00FC2695"/>
    <w:rsid w:val="00FC3E03"/>
    <w:rsid w:val="00FC3FC1"/>
    <w:rsid w:val="00FD019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paragraph" w:customStyle="1" w:styleId="Default">
    <w:name w:val="Default"/>
    <w:rsid w:val="008A34C8"/>
    <w:pPr>
      <w:autoSpaceDE w:val="0"/>
      <w:autoSpaceDN w:val="0"/>
      <w:adjustRightInd w:val="0"/>
      <w:spacing w:after="0" w:line="240" w:lineRule="auto"/>
    </w:pPr>
    <w:rPr>
      <w:rFonts w:ascii="Times New Roman" w:hAnsi="Times New Roman" w:cs="Times New Roman"/>
      <w:color w:val="000000"/>
      <w:sz w:val="24"/>
      <w:szCs w:val="24"/>
    </w:rPr>
  </w:style>
  <w:style w:type="paragraph" w:styleId="Revisione">
    <w:name w:val="Revision"/>
    <w:hidden/>
    <w:uiPriority w:val="99"/>
    <w:semiHidden/>
    <w:rsid w:val="00AA7C75"/>
    <w:pPr>
      <w:spacing w:after="0" w:line="240" w:lineRule="auto"/>
    </w:pPr>
    <w:rPr>
      <w:rFonts w:ascii="Arial" w:eastAsia="Times New Roman" w:hAnsi="Arial" w:cs="Times New Roman"/>
      <w:sz w:val="18"/>
      <w:szCs w:val="20"/>
      <w:lang w:val="en-GB"/>
    </w:rPr>
  </w:style>
  <w:style w:type="character" w:styleId="Numeroriga">
    <w:name w:val="line number"/>
    <w:basedOn w:val="Carpredefinitoparagrafo"/>
    <w:uiPriority w:val="99"/>
    <w:semiHidden/>
    <w:unhideWhenUsed/>
    <w:rsid w:val="00BC5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15522">
      <w:bodyDiv w:val="1"/>
      <w:marLeft w:val="0"/>
      <w:marRight w:val="0"/>
      <w:marTop w:val="0"/>
      <w:marBottom w:val="0"/>
      <w:divBdr>
        <w:top w:val="none" w:sz="0" w:space="0" w:color="auto"/>
        <w:left w:val="none" w:sz="0" w:space="0" w:color="auto"/>
        <w:bottom w:val="none" w:sz="0" w:space="0" w:color="auto"/>
        <w:right w:val="none" w:sz="0" w:space="0" w:color="auto"/>
      </w:divBdr>
    </w:div>
    <w:div w:id="274143926">
      <w:bodyDiv w:val="1"/>
      <w:marLeft w:val="0"/>
      <w:marRight w:val="0"/>
      <w:marTop w:val="0"/>
      <w:marBottom w:val="0"/>
      <w:divBdr>
        <w:top w:val="none" w:sz="0" w:space="0" w:color="auto"/>
        <w:left w:val="none" w:sz="0" w:space="0" w:color="auto"/>
        <w:bottom w:val="none" w:sz="0" w:space="0" w:color="auto"/>
        <w:right w:val="none" w:sz="0" w:space="0" w:color="auto"/>
      </w:divBdr>
    </w:div>
    <w:div w:id="280263343">
      <w:bodyDiv w:val="1"/>
      <w:marLeft w:val="0"/>
      <w:marRight w:val="0"/>
      <w:marTop w:val="0"/>
      <w:marBottom w:val="0"/>
      <w:divBdr>
        <w:top w:val="none" w:sz="0" w:space="0" w:color="auto"/>
        <w:left w:val="none" w:sz="0" w:space="0" w:color="auto"/>
        <w:bottom w:val="none" w:sz="0" w:space="0" w:color="auto"/>
        <w:right w:val="none" w:sz="0" w:space="0" w:color="auto"/>
      </w:divBdr>
    </w:div>
    <w:div w:id="503127086">
      <w:bodyDiv w:val="1"/>
      <w:marLeft w:val="0"/>
      <w:marRight w:val="0"/>
      <w:marTop w:val="0"/>
      <w:marBottom w:val="0"/>
      <w:divBdr>
        <w:top w:val="none" w:sz="0" w:space="0" w:color="auto"/>
        <w:left w:val="none" w:sz="0" w:space="0" w:color="auto"/>
        <w:bottom w:val="none" w:sz="0" w:space="0" w:color="auto"/>
        <w:right w:val="none" w:sz="0" w:space="0" w:color="auto"/>
      </w:divBdr>
    </w:div>
    <w:div w:id="514349680">
      <w:bodyDiv w:val="1"/>
      <w:marLeft w:val="0"/>
      <w:marRight w:val="0"/>
      <w:marTop w:val="0"/>
      <w:marBottom w:val="0"/>
      <w:divBdr>
        <w:top w:val="none" w:sz="0" w:space="0" w:color="auto"/>
        <w:left w:val="none" w:sz="0" w:space="0" w:color="auto"/>
        <w:bottom w:val="none" w:sz="0" w:space="0" w:color="auto"/>
        <w:right w:val="none" w:sz="0" w:space="0" w:color="auto"/>
      </w:divBdr>
    </w:div>
    <w:div w:id="572204113">
      <w:bodyDiv w:val="1"/>
      <w:marLeft w:val="0"/>
      <w:marRight w:val="0"/>
      <w:marTop w:val="0"/>
      <w:marBottom w:val="0"/>
      <w:divBdr>
        <w:top w:val="none" w:sz="0" w:space="0" w:color="auto"/>
        <w:left w:val="none" w:sz="0" w:space="0" w:color="auto"/>
        <w:bottom w:val="none" w:sz="0" w:space="0" w:color="auto"/>
        <w:right w:val="none" w:sz="0" w:space="0" w:color="auto"/>
      </w:divBdr>
    </w:div>
    <w:div w:id="641890987">
      <w:bodyDiv w:val="1"/>
      <w:marLeft w:val="0"/>
      <w:marRight w:val="0"/>
      <w:marTop w:val="0"/>
      <w:marBottom w:val="0"/>
      <w:divBdr>
        <w:top w:val="none" w:sz="0" w:space="0" w:color="auto"/>
        <w:left w:val="none" w:sz="0" w:space="0" w:color="auto"/>
        <w:bottom w:val="none" w:sz="0" w:space="0" w:color="auto"/>
        <w:right w:val="none" w:sz="0" w:space="0" w:color="auto"/>
      </w:divBdr>
    </w:div>
    <w:div w:id="746537425">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1385">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9005">
      <w:bodyDiv w:val="1"/>
      <w:marLeft w:val="0"/>
      <w:marRight w:val="0"/>
      <w:marTop w:val="0"/>
      <w:marBottom w:val="0"/>
      <w:divBdr>
        <w:top w:val="none" w:sz="0" w:space="0" w:color="auto"/>
        <w:left w:val="none" w:sz="0" w:space="0" w:color="auto"/>
        <w:bottom w:val="none" w:sz="0" w:space="0" w:color="auto"/>
        <w:right w:val="none" w:sz="0" w:space="0" w:color="auto"/>
      </w:divBdr>
    </w:div>
    <w:div w:id="1280992168">
      <w:bodyDiv w:val="1"/>
      <w:marLeft w:val="0"/>
      <w:marRight w:val="0"/>
      <w:marTop w:val="0"/>
      <w:marBottom w:val="0"/>
      <w:divBdr>
        <w:top w:val="none" w:sz="0" w:space="0" w:color="auto"/>
        <w:left w:val="none" w:sz="0" w:space="0" w:color="auto"/>
        <w:bottom w:val="none" w:sz="0" w:space="0" w:color="auto"/>
        <w:right w:val="none" w:sz="0" w:space="0" w:color="auto"/>
      </w:divBdr>
    </w:div>
    <w:div w:id="1312060414">
      <w:bodyDiv w:val="1"/>
      <w:marLeft w:val="0"/>
      <w:marRight w:val="0"/>
      <w:marTop w:val="0"/>
      <w:marBottom w:val="0"/>
      <w:divBdr>
        <w:top w:val="none" w:sz="0" w:space="0" w:color="auto"/>
        <w:left w:val="none" w:sz="0" w:space="0" w:color="auto"/>
        <w:bottom w:val="none" w:sz="0" w:space="0" w:color="auto"/>
        <w:right w:val="none" w:sz="0" w:space="0" w:color="auto"/>
      </w:divBdr>
    </w:div>
    <w:div w:id="1392388562">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2699808">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29584054">
      <w:bodyDiv w:val="1"/>
      <w:marLeft w:val="0"/>
      <w:marRight w:val="0"/>
      <w:marTop w:val="0"/>
      <w:marBottom w:val="0"/>
      <w:divBdr>
        <w:top w:val="none" w:sz="0" w:space="0" w:color="auto"/>
        <w:left w:val="none" w:sz="0" w:space="0" w:color="auto"/>
        <w:bottom w:val="none" w:sz="0" w:space="0" w:color="auto"/>
        <w:right w:val="none" w:sz="0" w:space="0" w:color="auto"/>
      </w:divBdr>
    </w:div>
    <w:div w:id="1640379112">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63416">
      <w:bodyDiv w:val="1"/>
      <w:marLeft w:val="0"/>
      <w:marRight w:val="0"/>
      <w:marTop w:val="0"/>
      <w:marBottom w:val="0"/>
      <w:divBdr>
        <w:top w:val="none" w:sz="0" w:space="0" w:color="auto"/>
        <w:left w:val="none" w:sz="0" w:space="0" w:color="auto"/>
        <w:bottom w:val="none" w:sz="0" w:space="0" w:color="auto"/>
        <w:right w:val="none" w:sz="0" w:space="0" w:color="auto"/>
      </w:divBdr>
    </w:div>
    <w:div w:id="1911309440">
      <w:bodyDiv w:val="1"/>
      <w:marLeft w:val="0"/>
      <w:marRight w:val="0"/>
      <w:marTop w:val="0"/>
      <w:marBottom w:val="0"/>
      <w:divBdr>
        <w:top w:val="none" w:sz="0" w:space="0" w:color="auto"/>
        <w:left w:val="none" w:sz="0" w:space="0" w:color="auto"/>
        <w:bottom w:val="none" w:sz="0" w:space="0" w:color="auto"/>
        <w:right w:val="none" w:sz="0" w:space="0" w:color="auto"/>
      </w:divBdr>
    </w:div>
    <w:div w:id="1944873428">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6</Pages>
  <Words>3772</Words>
  <Characters>21504</Characters>
  <Application>Microsoft Office Word</Application>
  <DocSecurity>0</DocSecurity>
  <Lines>179</Lines>
  <Paragraphs>50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marco.calvi</cp:lastModifiedBy>
  <cp:revision>53</cp:revision>
  <cp:lastPrinted>2024-04-02T14:12:00Z</cp:lastPrinted>
  <dcterms:created xsi:type="dcterms:W3CDTF">2024-02-14T11:08:00Z</dcterms:created>
  <dcterms:modified xsi:type="dcterms:W3CDTF">2024-04-16T07:58:00Z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