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83F3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83F3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83F34">
        <w:trPr>
          <w:trHeight w:val="68"/>
          <w:jc w:val="center"/>
        </w:trPr>
        <w:tc>
          <w:tcPr>
            <w:tcW w:w="8782"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6007A76" w14:textId="4A33223A" w:rsidR="00883F34" w:rsidRPr="00883F34" w:rsidRDefault="00883F34" w:rsidP="00883F34">
      <w:pPr>
        <w:pStyle w:val="CETTitle"/>
      </w:pPr>
      <w:bookmarkStart w:id="0" w:name="_Hlk163057946"/>
      <w:r w:rsidRPr="00883F34">
        <w:t>Modelling Fire Response of Cryogenic Liquid Hydrogen Tanks Equipped with Multilayer Insulation (MLI) Systems</w:t>
      </w:r>
      <w:bookmarkEnd w:id="0"/>
    </w:p>
    <w:p w14:paraId="0488FED2" w14:textId="722BCE92" w:rsidR="00B57E6F" w:rsidRPr="00B57B36" w:rsidRDefault="004E7E55" w:rsidP="00B57E6F">
      <w:pPr>
        <w:pStyle w:val="CETAuthors"/>
      </w:pPr>
      <w:r w:rsidRPr="004E7E55">
        <w:t>Davide Camplese</w:t>
      </w:r>
      <w:r w:rsidRPr="004E7E55">
        <w:rPr>
          <w:vertAlign w:val="superscript"/>
        </w:rPr>
        <w:t>a,*</w:t>
      </w:r>
      <w:r w:rsidRPr="004E7E55">
        <w:t>, Giordano Emrys Scarponi</w:t>
      </w:r>
      <w:r w:rsidRPr="004E7E55">
        <w:rPr>
          <w:vertAlign w:val="superscript"/>
        </w:rPr>
        <w:t>a</w:t>
      </w:r>
      <w:r w:rsidRPr="004E7E55">
        <w:t>, Robert Eberwein</w:t>
      </w:r>
      <w:r w:rsidRPr="004E7E55">
        <w:rPr>
          <w:vertAlign w:val="superscript"/>
        </w:rPr>
        <w:t>b</w:t>
      </w:r>
      <w:r w:rsidRPr="004E7E55">
        <w:t>, Aliasghar Hajharir</w:t>
      </w:r>
      <w:r>
        <w:rPr>
          <w:vertAlign w:val="superscript"/>
        </w:rPr>
        <w:t>b</w:t>
      </w:r>
      <w:r w:rsidRPr="004E7E55">
        <w:t>, Frank Otremba</w:t>
      </w:r>
      <w:r w:rsidRPr="004E7E55">
        <w:rPr>
          <w:vertAlign w:val="superscript"/>
        </w:rPr>
        <w:t>b</w:t>
      </w:r>
      <w:r w:rsidRPr="004E7E55">
        <w:t>, Valerio Cozzani</w:t>
      </w:r>
      <w:r w:rsidRPr="004E7E55">
        <w:rPr>
          <w:vertAlign w:val="superscript"/>
        </w:rPr>
        <w:t>a</w:t>
      </w:r>
    </w:p>
    <w:p w14:paraId="08FE1955" w14:textId="06A82292" w:rsidR="004E7E55" w:rsidRPr="008D70B8" w:rsidRDefault="004E7E55" w:rsidP="004E7E55">
      <w:pPr>
        <w:pStyle w:val="CETAddress"/>
        <w:rPr>
          <w:lang w:val="it-IT"/>
        </w:rPr>
      </w:pPr>
      <w:r w:rsidRPr="008D70B8">
        <w:rPr>
          <w:vertAlign w:val="superscript"/>
          <w:lang w:val="it-IT"/>
        </w:rPr>
        <w:t>a</w:t>
      </w:r>
      <w:r w:rsidRPr="008D70B8">
        <w:rPr>
          <w:lang w:val="it-IT"/>
        </w:rPr>
        <w:t xml:space="preserve">Alma Mater Studiorum - Università di Bologna, Dipartimento di Ingegneria </w:t>
      </w:r>
      <w:r w:rsidR="004F7B84">
        <w:rPr>
          <w:lang w:val="it-IT"/>
        </w:rPr>
        <w:t>Civile, Chimica, Ambientale e dei Materiali</w:t>
      </w:r>
      <w:r w:rsidRPr="008D70B8">
        <w:rPr>
          <w:lang w:val="it-IT"/>
        </w:rPr>
        <w:t xml:space="preserve">, via Terracini 28, 40131 Bologna, Italy </w:t>
      </w:r>
    </w:p>
    <w:p w14:paraId="3264F16A" w14:textId="77777777" w:rsidR="004E7E55" w:rsidRDefault="004E7E55" w:rsidP="004E7E55">
      <w:pPr>
        <w:pStyle w:val="CETAddress"/>
        <w:rPr>
          <w:lang w:val="de-DE"/>
        </w:rPr>
      </w:pPr>
      <w:r>
        <w:rPr>
          <w:vertAlign w:val="superscript"/>
          <w:lang w:val="de-DE"/>
        </w:rPr>
        <w:t>b</w:t>
      </w:r>
      <w:r w:rsidRPr="00B20B08">
        <w:rPr>
          <w:lang w:val="de-DE"/>
        </w:rPr>
        <w:t>Bundesanstalt für Materialforschung und -prüfung (BAM), Berlin</w:t>
      </w:r>
    </w:p>
    <w:p w14:paraId="73F1267A" w14:textId="6E034612" w:rsidR="00B57E6F" w:rsidRDefault="004E7E55" w:rsidP="00B57E6F">
      <w:pPr>
        <w:pStyle w:val="CETemail"/>
      </w:pPr>
      <w:r w:rsidRPr="00AE6EB4">
        <w:t>davide.camplese@unibo.it</w:t>
      </w:r>
    </w:p>
    <w:p w14:paraId="3260BC5A" w14:textId="79BBAB42" w:rsidR="004E7E55" w:rsidRPr="004E7E55" w:rsidRDefault="00DE6220" w:rsidP="004E7E55">
      <w:pPr>
        <w:pStyle w:val="CETBodytext"/>
      </w:pPr>
      <w:r>
        <w:t>In the context of</w:t>
      </w:r>
      <w:r w:rsidRPr="00DE6220">
        <w:t xml:space="preserve"> the growing global interest in hydrogen-based green energy</w:t>
      </w:r>
      <w:r>
        <w:t>, c</w:t>
      </w:r>
      <w:r w:rsidRPr="00DE6220">
        <w:t>ryogenic tanks equipped with multi-layer insulation (MLI) are emerging as a leading solution for storing hydrogen in vehicles</w:t>
      </w:r>
      <w:r>
        <w:t xml:space="preserve">. </w:t>
      </w:r>
      <w:r w:rsidR="008D70B8">
        <w:t>T</w:t>
      </w:r>
      <w:r>
        <w:t xml:space="preserve">he integrity of these systems might be threatened during fire exposure. This can trigger the degradation of the MLI materials and induce rapid pressurization of the tank with a high risk of catastrophic failure. In this work, a novel lumped model to simulate the thermal response of MLI-equipped cryogenic liquid hydrogen tanks </w:t>
      </w:r>
      <w:r w:rsidR="00507DD7">
        <w:t xml:space="preserve">is </w:t>
      </w:r>
      <w:r>
        <w:t xml:space="preserve">presented. </w:t>
      </w:r>
      <w:r>
        <w:rPr>
          <w:rFonts w:cs="Arial"/>
          <w:szCs w:val="24"/>
          <w:lang w:val="en-GB"/>
        </w:rPr>
        <w:t>The model integrates the accurate database “Coolprop” for hydrogen thermodynamic properties and sub-models for detailed simulation of MLI degradation, provid</w:t>
      </w:r>
      <w:r w:rsidR="00394766">
        <w:rPr>
          <w:rFonts w:cs="Arial"/>
          <w:szCs w:val="24"/>
          <w:lang w:val="en-GB"/>
        </w:rPr>
        <w:t>ing</w:t>
      </w:r>
      <w:r>
        <w:rPr>
          <w:rFonts w:cs="Arial"/>
          <w:szCs w:val="24"/>
          <w:lang w:val="en-GB"/>
        </w:rPr>
        <w:t xml:space="preserve"> a realistic simulation of the experimental data obtained under </w:t>
      </w:r>
      <w:r w:rsidR="00394766">
        <w:rPr>
          <w:rFonts w:cs="Arial"/>
          <w:szCs w:val="24"/>
          <w:lang w:val="en-GB"/>
        </w:rPr>
        <w:t xml:space="preserve">normal operating </w:t>
      </w:r>
      <w:r>
        <w:rPr>
          <w:rFonts w:cs="Arial"/>
          <w:szCs w:val="24"/>
          <w:lang w:val="en-GB"/>
        </w:rPr>
        <w:t xml:space="preserve">conditions. </w:t>
      </w:r>
      <w:r w:rsidR="000C0A8F">
        <w:rPr>
          <w:rFonts w:cs="Arial"/>
          <w:szCs w:val="24"/>
          <w:lang w:val="en-GB"/>
        </w:rPr>
        <w:t>The</w:t>
      </w:r>
      <w:r>
        <w:rPr>
          <w:rFonts w:cs="Arial"/>
          <w:szCs w:val="24"/>
          <w:lang w:val="en-GB"/>
        </w:rPr>
        <w:t xml:space="preserve"> </w:t>
      </w:r>
      <w:r w:rsidR="00B70960">
        <w:rPr>
          <w:rFonts w:cs="Arial"/>
          <w:szCs w:val="24"/>
          <w:lang w:val="en-GB"/>
        </w:rPr>
        <w:t xml:space="preserve">application of the </w:t>
      </w:r>
      <w:r>
        <w:rPr>
          <w:rFonts w:cs="Arial"/>
          <w:szCs w:val="24"/>
          <w:lang w:val="en-GB"/>
        </w:rPr>
        <w:t xml:space="preserve">model to several case studies </w:t>
      </w:r>
      <w:r w:rsidR="00CC6797">
        <w:rPr>
          <w:rFonts w:cs="Arial"/>
          <w:szCs w:val="24"/>
          <w:lang w:val="en-GB"/>
        </w:rPr>
        <w:t xml:space="preserve">considering </w:t>
      </w:r>
      <w:r>
        <w:rPr>
          <w:rFonts w:cs="Arial"/>
          <w:szCs w:val="24"/>
          <w:lang w:val="en-GB"/>
        </w:rPr>
        <w:t>different numbers of MLI layers and tank geometries</w:t>
      </w:r>
      <w:r w:rsidR="000C0A8F">
        <w:rPr>
          <w:rFonts w:cs="Arial"/>
          <w:szCs w:val="24"/>
          <w:lang w:val="en-GB"/>
        </w:rPr>
        <w:t xml:space="preserve"> demonstrates</w:t>
      </w:r>
      <w:r w:rsidR="00CC6797">
        <w:rPr>
          <w:rFonts w:cs="Arial"/>
          <w:szCs w:val="24"/>
          <w:lang w:val="en-GB"/>
        </w:rPr>
        <w:t xml:space="preserve"> that </w:t>
      </w:r>
      <w:r w:rsidR="000C0A8F">
        <w:rPr>
          <w:rFonts w:cs="Arial"/>
          <w:szCs w:val="24"/>
          <w:lang w:val="en-GB"/>
        </w:rPr>
        <w:t xml:space="preserve">aluminum-based MLI </w:t>
      </w:r>
      <w:r w:rsidR="00CC6797">
        <w:rPr>
          <w:rFonts w:cs="Arial"/>
          <w:szCs w:val="24"/>
          <w:lang w:val="en-GB"/>
        </w:rPr>
        <w:t>offer</w:t>
      </w:r>
      <w:r w:rsidR="00217C59">
        <w:rPr>
          <w:rFonts w:cs="Arial"/>
          <w:szCs w:val="24"/>
          <w:lang w:val="en-GB"/>
        </w:rPr>
        <w:t>s</w:t>
      </w:r>
      <w:r w:rsidR="00CC6797">
        <w:rPr>
          <w:rFonts w:cs="Arial"/>
          <w:szCs w:val="24"/>
          <w:lang w:val="en-GB"/>
        </w:rPr>
        <w:t xml:space="preserve"> scarce protection </w:t>
      </w:r>
      <w:r w:rsidR="000C0A8F">
        <w:rPr>
          <w:rFonts w:cs="Arial"/>
          <w:szCs w:val="24"/>
          <w:lang w:val="en-GB"/>
        </w:rPr>
        <w:t xml:space="preserve">in case of exposure to </w:t>
      </w:r>
      <w:r w:rsidR="00CC6797">
        <w:rPr>
          <w:rFonts w:cs="Arial"/>
          <w:szCs w:val="24"/>
          <w:lang w:val="en-GB"/>
        </w:rPr>
        <w:t xml:space="preserve">a </w:t>
      </w:r>
      <w:r w:rsidR="000C0A8F">
        <w:rPr>
          <w:rFonts w:cs="Arial"/>
          <w:szCs w:val="24"/>
          <w:lang w:val="en-GB"/>
        </w:rPr>
        <w:t>hydrocarbon poolfire</w:t>
      </w:r>
      <w:r w:rsidR="00CC6797">
        <w:rPr>
          <w:rFonts w:cs="Arial"/>
          <w:szCs w:val="24"/>
          <w:lang w:val="en-GB"/>
        </w:rPr>
        <w:t>.</w:t>
      </w:r>
    </w:p>
    <w:p w14:paraId="476B2F2E" w14:textId="2D82516E" w:rsidR="00600535" w:rsidRDefault="00600535" w:rsidP="00600535">
      <w:pPr>
        <w:pStyle w:val="CETHeading1"/>
        <w:rPr>
          <w:lang w:val="en-GB"/>
        </w:rPr>
      </w:pPr>
      <w:r w:rsidRPr="00B57B36">
        <w:rPr>
          <w:lang w:val="en-GB"/>
        </w:rPr>
        <w:t>Introduction</w:t>
      </w:r>
    </w:p>
    <w:p w14:paraId="72D844D1" w14:textId="76D0824F" w:rsidR="0065222F" w:rsidRDefault="004E7E55" w:rsidP="004E7E55">
      <w:pPr>
        <w:pStyle w:val="CETBodytext"/>
      </w:pPr>
      <w:r>
        <w:t>Moving toward more sustainable energy sources, hydrogen has emerged as a highly promising alternative to traditional fuels</w:t>
      </w:r>
      <w:r w:rsidR="00DE6220" w:rsidRPr="00DE6220">
        <w:t xml:space="preserve"> </w:t>
      </w:r>
      <w:r w:rsidR="00DE6220">
        <w:t>due to its reduced environmental footprint</w:t>
      </w:r>
      <w:r w:rsidR="001F475B">
        <w:t xml:space="preserve"> </w:t>
      </w:r>
      <w:r w:rsidR="001F475B" w:rsidRPr="001F475B">
        <w:rPr>
          <w:noProof/>
        </w:rPr>
        <w:t>(Preuster et al., 2017)</w:t>
      </w:r>
      <w:r w:rsidR="00DE6220">
        <w:t>.</w:t>
      </w:r>
      <w:r>
        <w:t xml:space="preserve"> The storage of hydrogen as a liquid (LH</w:t>
      </w:r>
      <w:r w:rsidRPr="001F475B">
        <w:rPr>
          <w:vertAlign w:val="subscript"/>
        </w:rPr>
        <w:t>2</w:t>
      </w:r>
      <w:r>
        <w:t>) within cryogenic tanks equipped with multilayer insulation (MLI) stands out as an effective solution for hydrogen-powered vehicles, ensuring high volumetric energy density</w:t>
      </w:r>
      <w:r w:rsidR="001F475B">
        <w:t xml:space="preserve"> </w:t>
      </w:r>
      <w:r w:rsidR="001F475B" w:rsidRPr="001F475B">
        <w:rPr>
          <w:noProof/>
        </w:rPr>
        <w:t>(Kunze and Kircher, 2012)</w:t>
      </w:r>
      <w:r>
        <w:t>.</w:t>
      </w:r>
      <w:r w:rsidR="0065222F">
        <w:t xml:space="preserve"> MLI systems consist of multiple layers of low-emissivity material</w:t>
      </w:r>
      <w:r w:rsidR="00C94FB2">
        <w:t xml:space="preserve">, </w:t>
      </w:r>
      <w:r w:rsidR="0065222F">
        <w:t xml:space="preserve">radiative layers, interleaved with high-free volume spacers. These are housed within the double-walled shell of the vessel, operating </w:t>
      </w:r>
      <w:r w:rsidR="00C94FB2">
        <w:t>in</w:t>
      </w:r>
      <w:r w:rsidR="0065222F">
        <w:t xml:space="preserve"> high-vacuum conditions.</w:t>
      </w:r>
      <w:r w:rsidR="00EB3602">
        <w:t xml:space="preserve"> </w:t>
      </w:r>
      <w:r w:rsidR="00D77748">
        <w:t xml:space="preserve">MLI </w:t>
      </w:r>
      <w:r w:rsidR="00EB3602">
        <w:t xml:space="preserve">minimizes heat leakage into the vessel with a thinner thickness if compared to other insulation materials </w:t>
      </w:r>
      <w:r w:rsidR="00EB3602" w:rsidRPr="0065222F">
        <w:rPr>
          <w:noProof/>
        </w:rPr>
        <w:t>(Edward and Filip, 2018)</w:t>
      </w:r>
      <w:r w:rsidR="00EB3602">
        <w:t>.</w:t>
      </w:r>
    </w:p>
    <w:p w14:paraId="30400834" w14:textId="06631F8A" w:rsidR="001F475B" w:rsidRDefault="00144685" w:rsidP="004E7E55">
      <w:pPr>
        <w:pStyle w:val="CETBodytext"/>
      </w:pPr>
      <w:r>
        <w:rPr>
          <w:szCs w:val="24"/>
        </w:rPr>
        <w:t>Besides</w:t>
      </w:r>
      <w:r w:rsidRPr="00545438">
        <w:rPr>
          <w:szCs w:val="24"/>
        </w:rPr>
        <w:t xml:space="preserve"> the advantages associated with the widespread deployment of LH</w:t>
      </w:r>
      <w:r w:rsidRPr="00545438">
        <w:rPr>
          <w:szCs w:val="24"/>
          <w:vertAlign w:val="subscript"/>
        </w:rPr>
        <w:t>2</w:t>
      </w:r>
      <w:r w:rsidRPr="00545438">
        <w:rPr>
          <w:szCs w:val="24"/>
        </w:rPr>
        <w:t xml:space="preserve"> new technologies, there are also significant hazards to consider due to the high flammability </w:t>
      </w:r>
      <w:r>
        <w:rPr>
          <w:szCs w:val="24"/>
        </w:rPr>
        <w:t>of hydrogen.</w:t>
      </w:r>
      <w:r>
        <w:t xml:space="preserve"> A</w:t>
      </w:r>
      <w:r w:rsidR="004E7E55">
        <w:t>n accidental loss of integrity of these types of vessels could result in extremely dangerous phenomena</w:t>
      </w:r>
      <w:r w:rsidR="001F475B">
        <w:t>, such as BLEVEs (Boiling Liquid Expanding Vapor Explosion) and fireballs</w:t>
      </w:r>
      <w:r w:rsidR="008E1BE0">
        <w:t xml:space="preserve"> </w:t>
      </w:r>
      <w:r w:rsidR="008E1BE0" w:rsidRPr="008E1BE0">
        <w:rPr>
          <w:noProof/>
        </w:rPr>
        <w:t>(van Wingerden et al., 2022)</w:t>
      </w:r>
      <w:r w:rsidR="004E7E55">
        <w:t>. This situation may occur as a consequence of exposure to external heat sources, such as fires triggered by road accidents. Despite the super-insulating properties of MLI, the results of fire</w:t>
      </w:r>
      <w:r w:rsidR="00A82C29">
        <w:t xml:space="preserve"> exposure</w:t>
      </w:r>
      <w:r w:rsidR="004E7E55">
        <w:t xml:space="preserve"> tests</w:t>
      </w:r>
      <w:r w:rsidR="00A82C29">
        <w:t xml:space="preserve"> </w:t>
      </w:r>
      <w:r w:rsidR="004E7E55">
        <w:t xml:space="preserve">suggest that these materials </w:t>
      </w:r>
      <w:r>
        <w:t xml:space="preserve">may </w:t>
      </w:r>
      <w:r w:rsidR="004E7E55">
        <w:t>undergo severe degradation at high temperatures</w:t>
      </w:r>
      <w:r>
        <w:t xml:space="preserve"> </w:t>
      </w:r>
      <w:r w:rsidRPr="00A82C29">
        <w:rPr>
          <w:noProof/>
        </w:rPr>
        <w:t>(Eberwein et al., 2023)</w:t>
      </w:r>
      <w:r w:rsidR="004E7E55">
        <w:t>, leaving the tank almost unprotected from the fire heat flux and leading to failure in a relatively short time</w:t>
      </w:r>
      <w:r w:rsidR="001F475B">
        <w:t xml:space="preserve"> </w:t>
      </w:r>
      <w:r w:rsidR="001F475B" w:rsidRPr="001F475B">
        <w:rPr>
          <w:noProof/>
        </w:rPr>
        <w:t>(Pehr, 1996)</w:t>
      </w:r>
      <w:r w:rsidR="004E7E55">
        <w:t>.</w:t>
      </w:r>
    </w:p>
    <w:p w14:paraId="391F5D36" w14:textId="31821913" w:rsidR="00144685" w:rsidRDefault="004E7E55" w:rsidP="004E7E55">
      <w:pPr>
        <w:pStyle w:val="CETBodytext"/>
      </w:pPr>
      <w:r>
        <w:t xml:space="preserve">In this framework, the availability of models able to simulate </w:t>
      </w:r>
      <w:r w:rsidR="00144685">
        <w:t xml:space="preserve">cryogenic hydrogen </w:t>
      </w:r>
      <w:r>
        <w:t>tank</w:t>
      </w:r>
      <w:r w:rsidR="001F475B">
        <w:t xml:space="preserve"> response</w:t>
      </w:r>
      <w:r>
        <w:t xml:space="preserve"> is crucial to ensure a safe design and support emergency response planning.</w:t>
      </w:r>
      <w:r w:rsidR="00BA56A3">
        <w:t xml:space="preserve"> </w:t>
      </w:r>
      <w:r w:rsidR="00144685">
        <w:t xml:space="preserve">Recently, several CFD and lumped models were developed for this purpose. For instance, </w:t>
      </w:r>
      <w:r w:rsidR="00144685" w:rsidRPr="00144685">
        <w:rPr>
          <w:noProof/>
        </w:rPr>
        <w:t>Scarponi et al.</w:t>
      </w:r>
      <w:r w:rsidR="00144685">
        <w:rPr>
          <w:noProof/>
        </w:rPr>
        <w:t xml:space="preserve"> (</w:t>
      </w:r>
      <w:r w:rsidR="00144685" w:rsidRPr="00144685">
        <w:rPr>
          <w:noProof/>
        </w:rPr>
        <w:t>2016)</w:t>
      </w:r>
      <w:r w:rsidR="008E1BE0">
        <w:t xml:space="preserve"> </w:t>
      </w:r>
      <w:r w:rsidR="00144685" w:rsidRPr="00DC3BAA">
        <w:rPr>
          <w:szCs w:val="24"/>
        </w:rPr>
        <w:t xml:space="preserve">proposed </w:t>
      </w:r>
      <w:r w:rsidR="008E1BE0">
        <w:rPr>
          <w:szCs w:val="24"/>
        </w:rPr>
        <w:t xml:space="preserve">a </w:t>
      </w:r>
      <w:r w:rsidR="00144685" w:rsidRPr="00DC3BAA">
        <w:rPr>
          <w:szCs w:val="24"/>
        </w:rPr>
        <w:t>lumped approach to simulate the pressure build-up and temperature behavior of</w:t>
      </w:r>
      <w:r w:rsidR="00144685">
        <w:rPr>
          <w:szCs w:val="24"/>
        </w:rPr>
        <w:t xml:space="preserve"> liquefied natural gas (</w:t>
      </w:r>
      <w:r w:rsidR="00144685" w:rsidRPr="00DC3BAA">
        <w:rPr>
          <w:szCs w:val="24"/>
        </w:rPr>
        <w:t>LNG</w:t>
      </w:r>
      <w:r w:rsidR="00144685">
        <w:rPr>
          <w:szCs w:val="24"/>
        </w:rPr>
        <w:t>)</w:t>
      </w:r>
      <w:r w:rsidR="00144685" w:rsidRPr="00DC3BAA">
        <w:rPr>
          <w:szCs w:val="24"/>
        </w:rPr>
        <w:t xml:space="preserve"> </w:t>
      </w:r>
      <w:r w:rsidR="00B3689E">
        <w:rPr>
          <w:szCs w:val="24"/>
        </w:rPr>
        <w:t>tanks</w:t>
      </w:r>
      <w:r w:rsidR="00144685" w:rsidRPr="00DC3BAA">
        <w:rPr>
          <w:szCs w:val="24"/>
        </w:rPr>
        <w:t xml:space="preserve"> under fire attack</w:t>
      </w:r>
      <w:r w:rsidR="00144685">
        <w:rPr>
          <w:szCs w:val="24"/>
        </w:rPr>
        <w:t>.</w:t>
      </w:r>
      <w:r w:rsidR="00144685">
        <w:t xml:space="preserve"> </w:t>
      </w:r>
      <w:r w:rsidR="00144685" w:rsidRPr="00144685">
        <w:rPr>
          <w:noProof/>
        </w:rPr>
        <w:t xml:space="preserve">Ustolin et al. </w:t>
      </w:r>
      <w:r w:rsidR="00144685">
        <w:rPr>
          <w:noProof/>
        </w:rPr>
        <w:t>(</w:t>
      </w:r>
      <w:r w:rsidR="00144685" w:rsidRPr="00144685">
        <w:rPr>
          <w:noProof/>
        </w:rPr>
        <w:t>2022</w:t>
      </w:r>
      <w:r w:rsidR="00144685">
        <w:t>) successfully implemented a CFD simulation of an MLI-equipped LH</w:t>
      </w:r>
      <w:r w:rsidR="00144685" w:rsidRPr="00144685">
        <w:rPr>
          <w:vertAlign w:val="subscript"/>
        </w:rPr>
        <w:t>2</w:t>
      </w:r>
      <w:r w:rsidR="00144685">
        <w:t xml:space="preserve"> tank engulfed in fire. In both models, good agreements with experimental data were only possible by</w:t>
      </w:r>
      <w:r w:rsidR="00AC2C55">
        <w:t xml:space="preserve"> setting</w:t>
      </w:r>
      <w:r w:rsidR="00144685">
        <w:t xml:space="preserve"> the</w:t>
      </w:r>
      <w:r w:rsidR="00AC2C55">
        <w:t xml:space="preserve"> </w:t>
      </w:r>
      <w:r w:rsidR="00144685">
        <w:t>insulation equivalent thermal conductivit</w:t>
      </w:r>
      <w:r w:rsidR="00AC2C55">
        <w:t xml:space="preserve">y to higher values than those measured at normal operating conditions. However, the instant of time </w:t>
      </w:r>
      <w:r w:rsidR="00AC2C55">
        <w:lastRenderedPageBreak/>
        <w:t>at which the value of thermal conductivity shall be augmented was empirically determined</w:t>
      </w:r>
      <w:r w:rsidR="009D4F60">
        <w:t xml:space="preserve"> for the specific case</w:t>
      </w:r>
      <w:r w:rsidR="00AC2C55">
        <w:t xml:space="preserve">. Therefore, this approach can not be extended </w:t>
      </w:r>
      <w:r w:rsidR="00144685" w:rsidRPr="00144685">
        <w:t xml:space="preserve">to different MLIs, </w:t>
      </w:r>
      <w:r w:rsidR="00144685">
        <w:t>tank</w:t>
      </w:r>
      <w:r w:rsidR="00144685" w:rsidRPr="00144685">
        <w:t xml:space="preserve"> geometries</w:t>
      </w:r>
      <w:r w:rsidR="0065222F">
        <w:t>,</w:t>
      </w:r>
      <w:r w:rsidR="00144685" w:rsidRPr="00144685">
        <w:t xml:space="preserve"> and fire scenarios.</w:t>
      </w:r>
    </w:p>
    <w:p w14:paraId="4191C160" w14:textId="39174E6B" w:rsidR="004E7E55" w:rsidRPr="004E7E55" w:rsidRDefault="00AC2C55" w:rsidP="004E7E55">
      <w:pPr>
        <w:pStyle w:val="CETBodytext"/>
      </w:pPr>
      <w:r>
        <w:t>Th</w:t>
      </w:r>
      <w:r w:rsidR="0085055B">
        <w:t>e present</w:t>
      </w:r>
      <w:r>
        <w:t xml:space="preserve"> </w:t>
      </w:r>
      <w:r w:rsidR="004E7E55">
        <w:t xml:space="preserve">study introduces a novel lumped model to simulate the </w:t>
      </w:r>
      <w:r w:rsidR="00C160DB">
        <w:t>pressure build-up</w:t>
      </w:r>
      <w:r w:rsidR="004E7E55">
        <w:t xml:space="preserve"> of MLI-insulated</w:t>
      </w:r>
      <w:r w:rsidR="00C160DB">
        <w:t xml:space="preserve"> cryogenic</w:t>
      </w:r>
      <w:r w:rsidR="004E7E55">
        <w:t xml:space="preserve"> LH</w:t>
      </w:r>
      <w:r w:rsidR="004E7E55" w:rsidRPr="00A82C29">
        <w:rPr>
          <w:vertAlign w:val="subscript"/>
        </w:rPr>
        <w:t>2</w:t>
      </w:r>
      <w:r w:rsidR="004E7E55">
        <w:t xml:space="preserve"> tanks in fire scenarios</w:t>
      </w:r>
      <w:r w:rsidR="00DE6220">
        <w:t xml:space="preserve"> considering the MLI degradation at high temperatures</w:t>
      </w:r>
      <w:r w:rsidR="00F63174">
        <w:t xml:space="preserve"> to overcome existing limitations</w:t>
      </w:r>
      <w:r w:rsidR="00DE6220">
        <w:t xml:space="preserve">. </w:t>
      </w:r>
      <w:r w:rsidR="004E7E55">
        <w:t>The model integrates the accurate database “Coolprop”</w:t>
      </w:r>
      <w:r w:rsidR="00C94FB2">
        <w:t xml:space="preserve"> </w:t>
      </w:r>
      <w:r w:rsidR="00C94FB2" w:rsidRPr="00C94FB2">
        <w:rPr>
          <w:noProof/>
        </w:rPr>
        <w:t>(Bell et al., 2014)</w:t>
      </w:r>
      <w:r w:rsidR="001B1F91">
        <w:t xml:space="preserve"> </w:t>
      </w:r>
      <w:r w:rsidR="004E7E55">
        <w:t xml:space="preserve">for hydrogen thermodynamic properties and </w:t>
      </w:r>
      <w:r w:rsidR="001B1F91">
        <w:t>the sub-model</w:t>
      </w:r>
      <w:r w:rsidR="004E7E55">
        <w:t xml:space="preserve"> </w:t>
      </w:r>
      <w:r w:rsidR="00FB14A2">
        <w:t>propos</w:t>
      </w:r>
      <w:r w:rsidR="001B1F91">
        <w:t xml:space="preserve">ed by </w:t>
      </w:r>
      <w:r w:rsidR="001B1F91" w:rsidRPr="001B1F91">
        <w:rPr>
          <w:noProof/>
        </w:rPr>
        <w:t xml:space="preserve">Camplese et al. </w:t>
      </w:r>
      <w:r w:rsidR="001B1F91">
        <w:rPr>
          <w:noProof/>
        </w:rPr>
        <w:t>(</w:t>
      </w:r>
      <w:r w:rsidR="001B1F91" w:rsidRPr="001B1F91">
        <w:rPr>
          <w:noProof/>
        </w:rPr>
        <w:t>2023)</w:t>
      </w:r>
      <w:r w:rsidR="001B1F91">
        <w:t xml:space="preserve"> for </w:t>
      </w:r>
      <w:r w:rsidR="004E7E55">
        <w:t xml:space="preserve">detailed simulation of </w:t>
      </w:r>
      <w:r w:rsidR="00A82C29">
        <w:t xml:space="preserve">aluminum-based </w:t>
      </w:r>
      <w:r w:rsidR="004E7E55">
        <w:t>MLI</w:t>
      </w:r>
      <w:r w:rsidR="001B1F91">
        <w:t xml:space="preserve"> degradation</w:t>
      </w:r>
      <w:r w:rsidR="004E7E55">
        <w:t>.</w:t>
      </w:r>
      <w:r w:rsidR="001B1F91">
        <w:t xml:space="preserve"> The effectiveness of the model in simulating the pressurization of </w:t>
      </w:r>
      <w:r w:rsidR="00DE6220">
        <w:t>such tanks</w:t>
      </w:r>
      <w:r w:rsidR="001B1F91">
        <w:t xml:space="preserve"> is demonstrated </w:t>
      </w:r>
      <w:r w:rsidR="00854D5A">
        <w:t>in non-fire conditions</w:t>
      </w:r>
      <w:r w:rsidR="001B1F91">
        <w:t xml:space="preserve"> by comparison with experimental results. The</w:t>
      </w:r>
      <w:r>
        <w:t>n, several case studies were defined to assess the impact of</w:t>
      </w:r>
      <w:r w:rsidR="001B1F91">
        <w:t xml:space="preserve"> MLI characteristics</w:t>
      </w:r>
      <w:r w:rsidR="00E80D41">
        <w:t xml:space="preserve"> and tank geometry</w:t>
      </w:r>
      <w:r w:rsidR="001B1F91">
        <w:t xml:space="preserve"> on </w:t>
      </w:r>
      <w:r>
        <w:t xml:space="preserve">the pressurization time </w:t>
      </w:r>
      <w:r w:rsidR="00E80D41">
        <w:t>under hydrocarbon poolfire exposure</w:t>
      </w:r>
      <w:r>
        <w:t xml:space="preserve">. </w:t>
      </w:r>
      <w:r w:rsidR="004E7E55">
        <w:t xml:space="preserve">The results provide valuable information to support the safe design of </w:t>
      </w:r>
      <w:r>
        <w:t xml:space="preserve">MLI-equipped </w:t>
      </w:r>
      <w:r w:rsidR="004E7E55">
        <w:t>LH</w:t>
      </w:r>
      <w:r w:rsidR="004E7E55" w:rsidRPr="00AC2C55">
        <w:rPr>
          <w:vertAlign w:val="subscript"/>
        </w:rPr>
        <w:t>2</w:t>
      </w:r>
      <w:r w:rsidR="004E7E55">
        <w:t xml:space="preserve"> cryogenic tanks and emergency management in case of fire accidents</w:t>
      </w:r>
      <w:r>
        <w:t>.</w:t>
      </w:r>
    </w:p>
    <w:p w14:paraId="2204839B" w14:textId="42B252F4" w:rsidR="00B1489E" w:rsidRDefault="00B1489E" w:rsidP="00453E24">
      <w:pPr>
        <w:pStyle w:val="CETHeading1"/>
      </w:pPr>
      <w:r>
        <w:t>Methodology</w:t>
      </w:r>
    </w:p>
    <w:p w14:paraId="4E254497" w14:textId="4F4B09FE" w:rsidR="00062277" w:rsidRPr="00062277" w:rsidRDefault="00062277" w:rsidP="00062277">
      <w:pPr>
        <w:pStyle w:val="CETBodytext"/>
      </w:pPr>
      <w:r>
        <w:t>The methodology proposed to predict the pressurization of cryogenic LH</w:t>
      </w:r>
      <w:r w:rsidRPr="00062277">
        <w:rPr>
          <w:vertAlign w:val="subscript"/>
        </w:rPr>
        <w:t>2</w:t>
      </w:r>
      <w:r>
        <w:t xml:space="preserve"> tanks engulfed in fires was divided in</w:t>
      </w:r>
      <w:r w:rsidR="000C53E9">
        <w:t>to</w:t>
      </w:r>
      <w:r w:rsidR="008314CF">
        <w:t xml:space="preserve"> two</w:t>
      </w:r>
      <w:r>
        <w:t xml:space="preserve"> stages. The first one (Section 2.1) is devoted to the model definition. The second one (Section 2.2) describes the experimental test used as a reference to assess the model reliability. Section 2.3 defines the case studies considered to assess the tank response under fire conditions</w:t>
      </w:r>
      <w:r w:rsidR="008314CF">
        <w:t xml:space="preserve"> applying the developed model</w:t>
      </w:r>
      <w:r>
        <w:t>.</w:t>
      </w:r>
    </w:p>
    <w:p w14:paraId="22F2F2FC" w14:textId="0A432421" w:rsidR="000E7068" w:rsidRPr="000E7068" w:rsidRDefault="000E7068" w:rsidP="000E7068">
      <w:pPr>
        <w:pStyle w:val="CETheadingx"/>
      </w:pPr>
      <w:bookmarkStart w:id="1" w:name="_Ref159405551"/>
      <w:r>
        <w:t xml:space="preserve">Model </w:t>
      </w:r>
      <w:r w:rsidR="008E1BE0">
        <w:t>d</w:t>
      </w:r>
      <w:r>
        <w:t>escription</w:t>
      </w:r>
      <w:bookmarkEnd w:id="1"/>
    </w:p>
    <w:p w14:paraId="19957B2E" w14:textId="1A3C2CB4" w:rsidR="00747FC7" w:rsidRDefault="00C160DB" w:rsidP="00C160DB">
      <w:pPr>
        <w:pStyle w:val="CETBodytext"/>
      </w:pPr>
      <w:r>
        <w:t xml:space="preserve">The lumped model proposed for the determination of </w:t>
      </w:r>
      <w:r w:rsidR="00747FC7">
        <w:t>the pressurization rate</w:t>
      </w:r>
      <w:r>
        <w:t xml:space="preserve"> of MLI-equipped cryogenic liquefied hydrogen tanks</w:t>
      </w:r>
      <w:r w:rsidR="00747FC7">
        <w:t xml:space="preserve"> engulfed in fire</w:t>
      </w:r>
      <w:r>
        <w:t xml:space="preserve"> is based on</w:t>
      </w:r>
      <w:r w:rsidR="00747FC7">
        <w:t xml:space="preserve"> a</w:t>
      </w:r>
      <w:r>
        <w:t xml:space="preserve"> thermal nodes approach. The tank domain is divided into N+2 nodes as shown in Figure </w:t>
      </w:r>
      <w:r>
        <w:rPr>
          <w:noProof/>
        </w:rPr>
        <w:t>1</w:t>
      </w:r>
      <w:r>
        <w:t>: one</w:t>
      </w:r>
      <w:r w:rsidR="00747FC7">
        <w:t xml:space="preserve"> node</w:t>
      </w:r>
      <w:r>
        <w:t xml:space="preserve"> for the fluid domain, </w:t>
      </w:r>
      <w:r w:rsidRPr="007A056D">
        <w:rPr>
          <w:i/>
        </w:rPr>
        <w:t>F</w:t>
      </w:r>
      <w:r>
        <w:t xml:space="preserve">, one for the tank external shell, </w:t>
      </w:r>
      <w:r w:rsidRPr="007A056D">
        <w:rPr>
          <w:i/>
        </w:rPr>
        <w:t>S</w:t>
      </w:r>
      <w:r w:rsidRPr="007A056D">
        <w:rPr>
          <w:i/>
          <w:vertAlign w:val="subscript"/>
        </w:rPr>
        <w:t>e</w:t>
      </w:r>
      <w:r>
        <w:t>, and one for each radiative layer of the MLI</w:t>
      </w:r>
      <w:r w:rsidR="007A056D">
        <w:t xml:space="preserve">, </w:t>
      </w:r>
      <w:r w:rsidR="007A056D" w:rsidRPr="007A056D">
        <w:rPr>
          <w:i/>
        </w:rPr>
        <w:t>1</w:t>
      </w:r>
      <w:r w:rsidR="007A056D">
        <w:t xml:space="preserve"> to </w:t>
      </w:r>
      <w:r w:rsidR="007A056D" w:rsidRPr="007A056D">
        <w:rPr>
          <w:i/>
        </w:rPr>
        <w:t>N</w:t>
      </w:r>
      <w:r>
        <w:t xml:space="preserve">. </w:t>
      </w:r>
      <w:r w:rsidR="00747FC7">
        <w:t xml:space="preserve">A transient thermal heat balance is written for each node and reported in Table </w:t>
      </w:r>
      <w:r w:rsidR="00747FC7">
        <w:rPr>
          <w:noProof/>
        </w:rPr>
        <w:t>1</w:t>
      </w:r>
      <w:r w:rsidR="007A056D">
        <w:t xml:space="preserve"> together with the other model equations</w:t>
      </w:r>
      <w:r w:rsidR="00747FC7">
        <w:t>.</w:t>
      </w:r>
    </w:p>
    <w:p w14:paraId="7DE3C38A" w14:textId="19748B66" w:rsidR="00DE6220" w:rsidRDefault="00C160DB" w:rsidP="00DE6220">
      <w:pPr>
        <w:pStyle w:val="CETBodytext"/>
      </w:pPr>
      <w:r>
        <w:t>The heat balance</w:t>
      </w:r>
      <w:r w:rsidR="00747FC7">
        <w:t xml:space="preserve"> for the tank lading</w:t>
      </w:r>
      <w:r>
        <w:t xml:space="preserve"> </w:t>
      </w:r>
      <w:r w:rsidR="00747FC7">
        <w:t>is solved</w:t>
      </w:r>
      <w:r w:rsidR="00701785">
        <w:t xml:space="preserve"> with Eq(1)</w:t>
      </w:r>
      <w:r>
        <w:t xml:space="preserve"> </w:t>
      </w:r>
      <w:r w:rsidR="00701785">
        <w:t xml:space="preserve">by </w:t>
      </w:r>
      <w:r>
        <w:t xml:space="preserve">assuming </w:t>
      </w:r>
      <w:r w:rsidR="00D644E2">
        <w:t>thermod</w:t>
      </w:r>
      <w:r w:rsidR="002C05E4">
        <w:t>y</w:t>
      </w:r>
      <w:r w:rsidR="00D644E2">
        <w:t xml:space="preserve">namic </w:t>
      </w:r>
      <w:r>
        <w:t xml:space="preserve">equilibrium between liquid and gaseous </w:t>
      </w:r>
      <w:r w:rsidR="00747FC7">
        <w:t xml:space="preserve">hydrogen </w:t>
      </w:r>
      <w:r>
        <w:t>phases</w:t>
      </w:r>
      <w:r w:rsidR="00F22772">
        <w:t xml:space="preserve"> (they </w:t>
      </w:r>
      <w:r w:rsidR="00747FC7">
        <w:t>share the same temperature</w:t>
      </w:r>
      <w:r w:rsidR="00BC03B4">
        <w:t xml:space="preserve">, </w:t>
      </w:r>
      <w:r w:rsidR="00BC03B4" w:rsidRPr="00BC03B4">
        <w:rPr>
          <w:i/>
        </w:rPr>
        <w:t>T</w:t>
      </w:r>
      <w:r w:rsidR="00BC03B4" w:rsidRPr="00BC03B4">
        <w:rPr>
          <w:i/>
          <w:vertAlign w:val="subscript"/>
        </w:rPr>
        <w:t>F</w:t>
      </w:r>
      <w:r w:rsidR="00F22772">
        <w:t>).</w:t>
      </w:r>
      <w:r w:rsidR="00747FC7">
        <w:t xml:space="preserve"> </w:t>
      </w:r>
      <w:r w:rsidR="00747FC7" w:rsidRPr="00854D5A">
        <w:t>This single-zone approach avoids both the definition and quantification of the heat transfer mechanisms at the liquid-vapor interface, for which a</w:t>
      </w:r>
      <w:r w:rsidR="0091037A">
        <w:t xml:space="preserve"> reliable</w:t>
      </w:r>
      <w:r w:rsidR="00747FC7" w:rsidRPr="00854D5A">
        <w:t xml:space="preserve"> correlation is still lacking in the literature. </w:t>
      </w:r>
      <w:r w:rsidR="00747FC7">
        <w:t xml:space="preserve">The focus of the study is to predict the pressurization rate before the activation of any pressure relief system. Therefore, the tank </w:t>
      </w:r>
      <w:r w:rsidR="0065222F">
        <w:t xml:space="preserve">system </w:t>
      </w:r>
      <w:r w:rsidR="00747FC7">
        <w:t>is considered closed to mass exchanges and the total mass balance is not solved.</w:t>
      </w:r>
      <w:r w:rsidR="00747FC7" w:rsidRPr="00747FC7">
        <w:t xml:space="preserve"> </w:t>
      </w:r>
      <w:r w:rsidR="00747FC7">
        <w:t>Once the internal energy of the system is obtained from the heat balance, the “Coolprop” database</w:t>
      </w:r>
      <w:r w:rsidR="00C94FB2">
        <w:t xml:space="preserve"> </w:t>
      </w:r>
      <w:r w:rsidR="00C94FB2" w:rsidRPr="00C94FB2">
        <w:rPr>
          <w:noProof/>
        </w:rPr>
        <w:t>(Bell et al., 2014)</w:t>
      </w:r>
      <w:r w:rsidR="00747FC7" w:rsidRPr="00747FC7">
        <w:rPr>
          <w:color w:val="000000" w:themeColor="text1"/>
        </w:rPr>
        <w:t xml:space="preserve"> </w:t>
      </w:r>
      <w:r w:rsidR="00747FC7">
        <w:t xml:space="preserve">is used at each timestep to estimate the physical properties of the liquid and gaseous hydrogen phases </w:t>
      </w:r>
      <w:r w:rsidR="00DC21E7">
        <w:t>and then</w:t>
      </w:r>
      <w:r w:rsidR="00747FC7">
        <w:t xml:space="preserve"> the system pressure.</w:t>
      </w:r>
    </w:p>
    <w:p w14:paraId="6EE72FEF" w14:textId="752D3759" w:rsidR="00183748" w:rsidRDefault="00183748" w:rsidP="00183748">
      <w:pPr>
        <w:pStyle w:val="CETBodytext"/>
        <w:spacing w:after="240"/>
      </w:pPr>
      <w:r>
        <w:t xml:space="preserve">The novelty of the present model </w:t>
      </w:r>
      <w:r w:rsidR="00A24309">
        <w:t xml:space="preserve">lies </w:t>
      </w:r>
      <w:r w:rsidR="003D42ED">
        <w:t>in the</w:t>
      </w:r>
      <w:r>
        <w:t xml:space="preserve"> </w:t>
      </w:r>
      <w:r w:rsidR="00A24309">
        <w:t>acc</w:t>
      </w:r>
      <w:r w:rsidR="00217C59">
        <w:t>u</w:t>
      </w:r>
      <w:r w:rsidR="00A24309">
        <w:t xml:space="preserve">rate representation of the </w:t>
      </w:r>
      <w:r>
        <w:t xml:space="preserve">heat transfer through the MLI </w:t>
      </w:r>
      <w:r w:rsidRPr="00747FC7">
        <w:t xml:space="preserve">both </w:t>
      </w:r>
      <w:r w:rsidR="00A24309">
        <w:t xml:space="preserve">in </w:t>
      </w:r>
      <w:r w:rsidRPr="00747FC7">
        <w:t xml:space="preserve">normal operating and </w:t>
      </w:r>
      <w:r w:rsidR="005F02B6">
        <w:t xml:space="preserve">in </w:t>
      </w:r>
      <w:r w:rsidRPr="00747FC7">
        <w:t>fire-induced degradation</w:t>
      </w:r>
      <w:r>
        <w:t xml:space="preserve"> conditions. In </w:t>
      </w:r>
      <w:r w:rsidR="00291832">
        <w:t>Eq(</w:t>
      </w:r>
      <w:r>
        <w:t>1</w:t>
      </w:r>
      <w:r w:rsidR="00291832">
        <w:t>)</w:t>
      </w:r>
      <w:r>
        <w:t>, A</w:t>
      </w:r>
      <w:r w:rsidRPr="00DC21E7">
        <w:rPr>
          <w:vertAlign w:val="subscript"/>
        </w:rPr>
        <w:t>s</w:t>
      </w:r>
      <w:r>
        <w:t xml:space="preserve"> represents the inner shell surface and </w:t>
      </w:r>
      <w:r w:rsidRPr="00BC03B4">
        <w:rPr>
          <w:i/>
        </w:rPr>
        <w:t>q</w:t>
      </w:r>
      <w:r w:rsidRPr="00BA56A3">
        <w:rPr>
          <w:i/>
          <w:vertAlign w:val="subscript"/>
        </w:rPr>
        <w:t>S</w:t>
      </w:r>
      <w:r>
        <w:t xml:space="preserve"> </w:t>
      </w:r>
      <w:r w:rsidR="00A834BC">
        <w:t xml:space="preserve">is </w:t>
      </w:r>
      <w:r>
        <w:t xml:space="preserve">the heat flux </w:t>
      </w:r>
      <w:r w:rsidR="001037BE">
        <w:t xml:space="preserve">to the </w:t>
      </w:r>
      <w:r w:rsidR="00DD5410">
        <w:t>inner tank</w:t>
      </w:r>
      <w:r w:rsidR="00050B25">
        <w:t xml:space="preserve">. The last one is computed as the heat flux coming from the innermost MLI layer (i.e., node </w:t>
      </w:r>
      <w:r w:rsidR="00050B25" w:rsidRPr="00050B25">
        <w:rPr>
          <w:i/>
        </w:rPr>
        <w:t>1</w:t>
      </w:r>
      <w:r w:rsidR="00050B25">
        <w:t xml:space="preserve">) or from the external shell surface (i.e., node </w:t>
      </w:r>
      <w:r w:rsidR="00050B25" w:rsidRPr="00050B25">
        <w:rPr>
          <w:i/>
        </w:rPr>
        <w:t>S</w:t>
      </w:r>
      <w:r w:rsidR="00050B25" w:rsidRPr="00050B25">
        <w:rPr>
          <w:i/>
          <w:vertAlign w:val="subscript"/>
        </w:rPr>
        <w:t>e</w:t>
      </w:r>
      <w:r w:rsidR="00050B25">
        <w:t xml:space="preserve">) if the MLI is completely degraded. </w:t>
      </w:r>
      <w:r>
        <w:t>If the characteristic dimension of the vessel</w:t>
      </w:r>
      <w:r w:rsidR="00050B25">
        <w:t xml:space="preserve"> </w:t>
      </w:r>
      <w:r>
        <w:t>significantly exceeds the gap between the two vessel shells and homogeneous fire boundary conditions are present on the tank surface, the heat transfer occurs only in the direction normal to the surface of the MLI layer, resulting in a one-dimensional approach. Eq</w:t>
      </w:r>
      <w:r w:rsidR="00291832">
        <w:t>.s(2)</w:t>
      </w:r>
      <w:r>
        <w:t xml:space="preserve"> to </w:t>
      </w:r>
      <w:r w:rsidR="00291832">
        <w:t>(4)</w:t>
      </w:r>
      <w:r>
        <w:t xml:space="preserve"> express the thermal balances for all the N nodes of the MLI. T</w:t>
      </w:r>
      <w:r w:rsidRPr="00747FC7">
        <w:t xml:space="preserve">he heat flux </w:t>
      </w:r>
      <w:r w:rsidR="000C2977">
        <w:t xml:space="preserve">from </w:t>
      </w:r>
      <w:r w:rsidR="000C2977" w:rsidRPr="00747FC7">
        <w:t xml:space="preserve">the i-th radiative layer to the (i-1)-th </w:t>
      </w:r>
      <w:r w:rsidRPr="00747FC7">
        <w:t>is</w:t>
      </w:r>
      <w:r w:rsidR="000C2977">
        <w:t xml:space="preserve"> </w:t>
      </w:r>
      <w:r>
        <w:t>a modified version of the</w:t>
      </w:r>
      <w:r w:rsidRPr="00747FC7">
        <w:t xml:space="preserve"> </w:t>
      </w:r>
      <w:r w:rsidRPr="00A37CC3">
        <w:rPr>
          <w:noProof/>
        </w:rPr>
        <w:t xml:space="preserve">McIntosh </w:t>
      </w:r>
      <w:r>
        <w:rPr>
          <w:noProof/>
        </w:rPr>
        <w:t>(</w:t>
      </w:r>
      <w:r w:rsidRPr="00A37CC3">
        <w:rPr>
          <w:noProof/>
        </w:rPr>
        <w:t>1994)</w:t>
      </w:r>
      <w:r w:rsidRPr="00747FC7">
        <w:t xml:space="preserve"> classical "layer by layer" mod</w:t>
      </w:r>
      <w:r>
        <w:t xml:space="preserve">el to </w:t>
      </w:r>
      <w:r w:rsidR="00050B25">
        <w:t>account for vacuum loss cases.</w:t>
      </w:r>
    </w:p>
    <w:p w14:paraId="2187EB5A" w14:textId="1016D0DB" w:rsidR="004E7E55" w:rsidRDefault="00183748" w:rsidP="004E7E55">
      <w:pPr>
        <w:pStyle w:val="CETBodytext"/>
        <w:keepNext/>
      </w:pPr>
      <w:r w:rsidRPr="00183748">
        <w:rPr>
          <w:noProof/>
        </w:rPr>
        <w:drawing>
          <wp:inline distT="0" distB="0" distL="0" distR="0" wp14:anchorId="40E2AA4B" wp14:editId="0A363BA9">
            <wp:extent cx="5549532" cy="19704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t="-488" b="-1317"/>
                    <a:stretch/>
                  </pic:blipFill>
                  <pic:spPr bwMode="auto">
                    <a:xfrm>
                      <a:off x="0" y="0"/>
                      <a:ext cx="5600618" cy="1988615"/>
                    </a:xfrm>
                    <a:prstGeom prst="rect">
                      <a:avLst/>
                    </a:prstGeom>
                    <a:noFill/>
                    <a:ln>
                      <a:noFill/>
                    </a:ln>
                    <a:extLst>
                      <a:ext uri="{53640926-AAD7-44D8-BBD7-CCE9431645EC}">
                        <a14:shadowObscured xmlns:a14="http://schemas.microsoft.com/office/drawing/2010/main"/>
                      </a:ext>
                    </a:extLst>
                  </pic:spPr>
                </pic:pic>
              </a:graphicData>
            </a:graphic>
          </wp:inline>
        </w:drawing>
      </w:r>
    </w:p>
    <w:p w14:paraId="24E5D118" w14:textId="454B4417" w:rsidR="004E7E55" w:rsidRDefault="004E7E55" w:rsidP="00050B25">
      <w:pPr>
        <w:pStyle w:val="CETCaption"/>
        <w:spacing w:before="120" w:after="120"/>
      </w:pPr>
      <w:bookmarkStart w:id="2" w:name="_Ref158822115"/>
      <w:r w:rsidRPr="007C1629">
        <w:t>Figure 1</w:t>
      </w:r>
      <w:bookmarkEnd w:id="2"/>
      <w:r w:rsidRPr="007C1629">
        <w:t>. Schematic representation of the thermal node discretization. L = liquid, Se = external shell, rl = radiative layer. Nodes 1 to N refer to the MLI radiative layers</w:t>
      </w:r>
      <w:r w:rsidR="00C160DB" w:rsidRPr="007C1629">
        <w:t>.</w:t>
      </w:r>
    </w:p>
    <w:p w14:paraId="114B38B1" w14:textId="27522B3B" w:rsidR="00B22129" w:rsidRPr="005C72A8" w:rsidRDefault="00B22129" w:rsidP="005C72A8">
      <w:pPr>
        <w:pStyle w:val="CETTabletitle"/>
      </w:pPr>
      <w:bookmarkStart w:id="3" w:name="_Ref158883166"/>
      <w:r w:rsidRPr="005C72A8">
        <w:lastRenderedPageBreak/>
        <w:t>Table 1</w:t>
      </w:r>
      <w:bookmarkEnd w:id="3"/>
      <w:r w:rsidRPr="005C72A8">
        <w:t>. Set of the equation used in the MLI-equipped cryogenic LH</w:t>
      </w:r>
      <w:r w:rsidRPr="00D03276">
        <w:rPr>
          <w:vertAlign w:val="subscript"/>
        </w:rPr>
        <w:t>2</w:t>
      </w:r>
      <w:r w:rsidRPr="005C72A8">
        <w:t xml:space="preserve"> tank model.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5"/>
        <w:gridCol w:w="731"/>
        <w:gridCol w:w="7047"/>
        <w:gridCol w:w="564"/>
      </w:tblGrid>
      <w:tr w:rsidR="00B22129" w:rsidRPr="00854D5A" w14:paraId="2FAF9CBD" w14:textId="77777777" w:rsidTr="00F13609">
        <w:tc>
          <w:tcPr>
            <w:tcW w:w="253" w:type="pct"/>
            <w:tcBorders>
              <w:top w:val="single" w:sz="12" w:space="0" w:color="008000"/>
              <w:bottom w:val="single" w:sz="6" w:space="0" w:color="008000"/>
            </w:tcBorders>
            <w:shd w:val="clear" w:color="auto" w:fill="FFFFFF"/>
            <w:vAlign w:val="center"/>
          </w:tcPr>
          <w:p w14:paraId="0DCA9EE4" w14:textId="77777777" w:rsidR="00B22129" w:rsidRPr="00854D5A" w:rsidRDefault="00B22129" w:rsidP="00F13609">
            <w:pPr>
              <w:jc w:val="center"/>
            </w:pPr>
            <w:bookmarkStart w:id="4" w:name="_Hlk158984175"/>
            <w:r w:rsidRPr="00854D5A">
              <w:t>Node</w:t>
            </w:r>
          </w:p>
        </w:tc>
        <w:tc>
          <w:tcPr>
            <w:tcW w:w="416" w:type="pct"/>
            <w:tcBorders>
              <w:top w:val="single" w:sz="12" w:space="0" w:color="008000"/>
              <w:bottom w:val="single" w:sz="6" w:space="0" w:color="008000"/>
            </w:tcBorders>
            <w:shd w:val="clear" w:color="auto" w:fill="FFFFFF"/>
            <w:vAlign w:val="center"/>
          </w:tcPr>
          <w:p w14:paraId="313E5A56" w14:textId="77777777" w:rsidR="00B22129" w:rsidRPr="00854D5A" w:rsidRDefault="00B22129" w:rsidP="00F13609">
            <w:pPr>
              <w:jc w:val="center"/>
            </w:pPr>
            <w:r w:rsidRPr="00854D5A">
              <w:t>Variable</w:t>
            </w:r>
          </w:p>
        </w:tc>
        <w:tc>
          <w:tcPr>
            <w:tcW w:w="4010" w:type="pct"/>
            <w:tcBorders>
              <w:top w:val="single" w:sz="12" w:space="0" w:color="008000"/>
              <w:bottom w:val="single" w:sz="6" w:space="0" w:color="008000"/>
            </w:tcBorders>
            <w:shd w:val="clear" w:color="auto" w:fill="FFFFFF"/>
            <w:vAlign w:val="center"/>
          </w:tcPr>
          <w:p w14:paraId="401C4FFC" w14:textId="77777777" w:rsidR="00B22129" w:rsidRPr="00854D5A" w:rsidRDefault="00B22129" w:rsidP="00F13609">
            <w:pPr>
              <w:jc w:val="center"/>
            </w:pPr>
            <w:r w:rsidRPr="00854D5A">
              <w:t>Equation</w:t>
            </w:r>
          </w:p>
        </w:tc>
        <w:tc>
          <w:tcPr>
            <w:tcW w:w="321" w:type="pct"/>
            <w:tcBorders>
              <w:top w:val="single" w:sz="12" w:space="0" w:color="008000"/>
              <w:bottom w:val="single" w:sz="6" w:space="0" w:color="008000"/>
            </w:tcBorders>
            <w:shd w:val="clear" w:color="auto" w:fill="FFFFFF"/>
            <w:vAlign w:val="center"/>
          </w:tcPr>
          <w:p w14:paraId="19355FF9" w14:textId="77777777" w:rsidR="00B22129" w:rsidRPr="00854D5A" w:rsidRDefault="00B22129" w:rsidP="00F13609">
            <w:pPr>
              <w:ind w:right="-1"/>
              <w:jc w:val="center"/>
            </w:pPr>
            <w:r w:rsidRPr="00854D5A">
              <w:t>Eq. N°</w:t>
            </w:r>
          </w:p>
        </w:tc>
      </w:tr>
      <w:tr w:rsidR="00B22129" w:rsidRPr="00854D5A" w14:paraId="1BA3720B" w14:textId="77777777" w:rsidTr="001B6E85">
        <w:trPr>
          <w:trHeight w:val="454"/>
        </w:trPr>
        <w:tc>
          <w:tcPr>
            <w:tcW w:w="253" w:type="pct"/>
            <w:tcBorders>
              <w:top w:val="nil"/>
              <w:bottom w:val="nil"/>
            </w:tcBorders>
            <w:shd w:val="clear" w:color="auto" w:fill="FFFFFF"/>
            <w:vAlign w:val="center"/>
          </w:tcPr>
          <w:p w14:paraId="7F1CCADC" w14:textId="77777777" w:rsidR="00B22129" w:rsidRPr="00854D5A" w:rsidRDefault="00B22129" w:rsidP="00F13609">
            <w:pPr>
              <w:ind w:right="-1"/>
              <w:jc w:val="center"/>
              <w:rPr>
                <w:rFonts w:cs="Arial"/>
                <w:i/>
                <w:szCs w:val="18"/>
              </w:rPr>
            </w:pPr>
            <w:r w:rsidRPr="00854D5A">
              <w:rPr>
                <w:rFonts w:cs="Arial"/>
                <w:i/>
                <w:szCs w:val="18"/>
              </w:rPr>
              <w:t>F</w:t>
            </w:r>
          </w:p>
        </w:tc>
        <w:tc>
          <w:tcPr>
            <w:tcW w:w="416" w:type="pct"/>
            <w:tcBorders>
              <w:top w:val="nil"/>
              <w:bottom w:val="nil"/>
            </w:tcBorders>
            <w:shd w:val="clear" w:color="auto" w:fill="FFFFFF"/>
            <w:vAlign w:val="center"/>
          </w:tcPr>
          <w:p w14:paraId="0E9F4FB6" w14:textId="77777777" w:rsidR="00B22129" w:rsidRPr="00854D5A" w:rsidRDefault="00B22129" w:rsidP="00F13609">
            <w:pPr>
              <w:ind w:right="-1"/>
              <w:jc w:val="center"/>
              <w:rPr>
                <w:i/>
              </w:rPr>
            </w:pPr>
            <w:r w:rsidRPr="00854D5A">
              <w:rPr>
                <w:i/>
              </w:rPr>
              <w:t>U</w:t>
            </w:r>
            <w:r w:rsidRPr="00854D5A">
              <w:rPr>
                <w:i/>
                <w:vertAlign w:val="subscript"/>
              </w:rPr>
              <w:t>F</w:t>
            </w:r>
          </w:p>
        </w:tc>
        <w:tc>
          <w:tcPr>
            <w:tcW w:w="4010" w:type="pct"/>
            <w:tcBorders>
              <w:top w:val="nil"/>
              <w:bottom w:val="nil"/>
            </w:tcBorders>
            <w:shd w:val="clear" w:color="auto" w:fill="FFFFFF"/>
            <w:vAlign w:val="center"/>
          </w:tcPr>
          <w:p w14:paraId="10C1C147" w14:textId="77777777" w:rsidR="00B22129" w:rsidRPr="00854D5A" w:rsidRDefault="00010C97" w:rsidP="00F13609">
            <w:pPr>
              <w:jc w:val="left"/>
              <w:rPr>
                <w:i/>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U</m:t>
                        </m:r>
                      </m:e>
                      <m:sub>
                        <m:r>
                          <w:rPr>
                            <w:rFonts w:ascii="Cambria Math" w:hAnsi="Cambria Math"/>
                          </w:rPr>
                          <m:t>F</m:t>
                        </m:r>
                      </m:sub>
                    </m:sSub>
                  </m:num>
                  <m:den>
                    <m:r>
                      <w:rPr>
                        <w:rFonts w:ascii="Cambria Math" w:hAnsi="Cambria Math"/>
                      </w:rPr>
                      <m:t>dt</m:t>
                    </m:r>
                  </m:den>
                </m:f>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A</m:t>
                    </m:r>
                  </m:e>
                  <m:sub>
                    <m:r>
                      <w:rPr>
                        <w:rFonts w:ascii="Cambria Math" w:hAnsi="Cambria Math"/>
                      </w:rPr>
                      <m:t>S</m:t>
                    </m:r>
                  </m:sub>
                </m:sSub>
              </m:oMath>
            </m:oMathPara>
          </w:p>
        </w:tc>
        <w:tc>
          <w:tcPr>
            <w:tcW w:w="321" w:type="pct"/>
            <w:tcBorders>
              <w:top w:val="nil"/>
              <w:bottom w:val="nil"/>
            </w:tcBorders>
            <w:shd w:val="clear" w:color="auto" w:fill="FFFFFF"/>
            <w:vAlign w:val="center"/>
          </w:tcPr>
          <w:p w14:paraId="74207132" w14:textId="77777777" w:rsidR="00B22129" w:rsidRPr="00854D5A" w:rsidRDefault="00B22129" w:rsidP="00F13609">
            <w:pPr>
              <w:ind w:right="-1"/>
              <w:jc w:val="center"/>
              <w:rPr>
                <w:rFonts w:cs="Arial"/>
                <w:szCs w:val="18"/>
              </w:rPr>
            </w:pPr>
            <w:r>
              <w:rPr>
                <w:rFonts w:cs="Arial"/>
                <w:szCs w:val="18"/>
              </w:rPr>
              <w:t>(1)</w:t>
            </w:r>
          </w:p>
        </w:tc>
      </w:tr>
      <w:tr w:rsidR="00B22129" w:rsidRPr="00854D5A" w14:paraId="15A063F8" w14:textId="77777777" w:rsidTr="00F13609">
        <w:tc>
          <w:tcPr>
            <w:tcW w:w="253" w:type="pct"/>
            <w:tcBorders>
              <w:top w:val="nil"/>
              <w:bottom w:val="nil"/>
            </w:tcBorders>
            <w:shd w:val="clear" w:color="auto" w:fill="FFFFFF"/>
            <w:vAlign w:val="center"/>
          </w:tcPr>
          <w:p w14:paraId="685AD29B" w14:textId="77777777" w:rsidR="00B22129" w:rsidRPr="00854D5A" w:rsidRDefault="00B22129" w:rsidP="00F13609">
            <w:pPr>
              <w:ind w:right="-1"/>
              <w:jc w:val="center"/>
              <w:rPr>
                <w:rFonts w:cs="Arial"/>
                <w:i/>
                <w:szCs w:val="18"/>
              </w:rPr>
            </w:pPr>
            <w:r w:rsidRPr="00854D5A">
              <w:rPr>
                <w:rFonts w:cs="Arial"/>
                <w:i/>
                <w:szCs w:val="18"/>
              </w:rPr>
              <w:t>1</w:t>
            </w:r>
          </w:p>
        </w:tc>
        <w:tc>
          <w:tcPr>
            <w:tcW w:w="416" w:type="pct"/>
            <w:tcBorders>
              <w:top w:val="nil"/>
              <w:bottom w:val="nil"/>
            </w:tcBorders>
            <w:shd w:val="clear" w:color="auto" w:fill="FFFFFF"/>
            <w:vAlign w:val="center"/>
          </w:tcPr>
          <w:p w14:paraId="7F4E7080" w14:textId="77777777" w:rsidR="00B22129" w:rsidRPr="00854D5A" w:rsidRDefault="00B22129" w:rsidP="00F13609">
            <w:pPr>
              <w:ind w:right="-1"/>
              <w:jc w:val="center"/>
              <w:rPr>
                <w:i/>
              </w:rPr>
            </w:pPr>
            <w:r w:rsidRPr="00854D5A">
              <w:rPr>
                <w:i/>
              </w:rPr>
              <w:t>T</w:t>
            </w:r>
            <w:r w:rsidRPr="00854D5A">
              <w:rPr>
                <w:i/>
                <w:vertAlign w:val="subscript"/>
              </w:rPr>
              <w:t>1</w:t>
            </w:r>
          </w:p>
        </w:tc>
        <w:tc>
          <w:tcPr>
            <w:tcW w:w="4010" w:type="pct"/>
            <w:tcBorders>
              <w:top w:val="nil"/>
              <w:bottom w:val="nil"/>
            </w:tcBorders>
            <w:shd w:val="clear" w:color="auto" w:fill="FFFFFF"/>
            <w:vAlign w:val="center"/>
          </w:tcPr>
          <w:p w14:paraId="7F3EE9CA" w14:textId="77777777" w:rsidR="00B22129" w:rsidRPr="00854D5A" w:rsidRDefault="00010C97" w:rsidP="00F13609">
            <w:pPr>
              <w:jc w:val="left"/>
              <w:rPr>
                <w:rFonts w:ascii="Cambria Math" w:hAnsi="Cambria Math"/>
                <w:i/>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δ</m:t>
                        </m:r>
                      </m:e>
                      <m:sub>
                        <m:r>
                          <w:rPr>
                            <w:rFonts w:ascii="Cambria Math" w:hAnsi="Cambria Math"/>
                          </w:rPr>
                          <m:t>rl</m:t>
                        </m:r>
                      </m:sub>
                    </m:sSub>
                    <m:r>
                      <w:rPr>
                        <w:rFonts w:ascii="Cambria Math" w:hAnsi="Cambria Math"/>
                      </w:rPr>
                      <m:t>ρ</m:t>
                    </m:r>
                  </m:e>
                  <m:sub>
                    <m:r>
                      <w:rPr>
                        <w:rFonts w:ascii="Cambria Math" w:hAnsi="Cambria Math"/>
                      </w:rPr>
                      <m:t>rl</m:t>
                    </m:r>
                  </m:sub>
                </m:sSub>
                <m:sSub>
                  <m:sSubPr>
                    <m:ctrlPr>
                      <w:rPr>
                        <w:rFonts w:ascii="Cambria Math" w:hAnsi="Cambria Math"/>
                      </w:rPr>
                    </m:ctrlPr>
                  </m:sSubPr>
                  <m:e>
                    <m:r>
                      <w:rPr>
                        <w:rFonts w:ascii="Cambria Math" w:hAnsi="Cambria Math"/>
                      </w:rPr>
                      <m:t>c</m:t>
                    </m:r>
                  </m:e>
                  <m:sub>
                    <m:r>
                      <w:rPr>
                        <w:rFonts w:ascii="Cambria Math" w:hAnsi="Cambria Math"/>
                      </w:rPr>
                      <m:t>p_rl</m:t>
                    </m:r>
                  </m:sub>
                </m:sSub>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num>
                  <m:den>
                    <m:r>
                      <w:rPr>
                        <w:rFonts w:ascii="Cambria Math" w:hAnsi="Cambria Math"/>
                      </w:rPr>
                      <m:t>dt</m:t>
                    </m:r>
                  </m:den>
                </m:f>
                <m:r>
                  <m:rPr>
                    <m:sty m:val="p"/>
                  </m:rPr>
                  <w:rPr>
                    <w:rFonts w:ascii="Cambria Math" w:hAnsi="Cambria Math"/>
                  </w:rPr>
                  <m:t xml:space="preserve">= </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rl,2</m:t>
                    </m:r>
                  </m:sub>
                </m:sSub>
                <m:r>
                  <m:rPr>
                    <m:sty m:val="p"/>
                  </m:rPr>
                  <w:rPr>
                    <w:rFonts w:ascii="Cambria Math" w:hAnsi="Cambria Math"/>
                  </w:rPr>
                  <m:t xml:space="preserve">- </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rl,1</m:t>
                    </m:r>
                  </m:sub>
                </m:sSub>
              </m:oMath>
            </m:oMathPara>
          </w:p>
        </w:tc>
        <w:tc>
          <w:tcPr>
            <w:tcW w:w="321" w:type="pct"/>
            <w:tcBorders>
              <w:top w:val="nil"/>
              <w:bottom w:val="nil"/>
            </w:tcBorders>
            <w:shd w:val="clear" w:color="auto" w:fill="FFFFFF"/>
            <w:vAlign w:val="center"/>
          </w:tcPr>
          <w:p w14:paraId="2B9BDE00" w14:textId="77777777" w:rsidR="00B22129" w:rsidRPr="00854D5A" w:rsidRDefault="00B22129" w:rsidP="00F13609">
            <w:pPr>
              <w:ind w:right="-1"/>
              <w:jc w:val="center"/>
              <w:rPr>
                <w:rFonts w:cs="Arial"/>
                <w:szCs w:val="18"/>
              </w:rPr>
            </w:pPr>
            <w:r w:rsidRPr="00854D5A">
              <w:rPr>
                <w:rFonts w:cs="Arial"/>
                <w:szCs w:val="18"/>
              </w:rPr>
              <w:t>(</w:t>
            </w:r>
            <w:r>
              <w:rPr>
                <w:rFonts w:cs="Arial"/>
                <w:szCs w:val="18"/>
              </w:rPr>
              <w:t>2</w:t>
            </w:r>
            <w:r w:rsidRPr="00854D5A">
              <w:rPr>
                <w:rFonts w:cs="Arial"/>
                <w:szCs w:val="18"/>
              </w:rPr>
              <w:t>)</w:t>
            </w:r>
          </w:p>
        </w:tc>
      </w:tr>
      <w:tr w:rsidR="00B22129" w:rsidRPr="00854D5A" w14:paraId="075CF9DB" w14:textId="77777777" w:rsidTr="00F13609">
        <w:tc>
          <w:tcPr>
            <w:tcW w:w="253" w:type="pct"/>
            <w:tcBorders>
              <w:top w:val="nil"/>
              <w:bottom w:val="nil"/>
            </w:tcBorders>
            <w:shd w:val="clear" w:color="auto" w:fill="FFFFFF"/>
            <w:vAlign w:val="center"/>
          </w:tcPr>
          <w:p w14:paraId="4527DCE3" w14:textId="77777777" w:rsidR="00B22129" w:rsidRPr="00854D5A" w:rsidRDefault="00B22129" w:rsidP="00F13609">
            <w:pPr>
              <w:ind w:right="-1"/>
              <w:jc w:val="center"/>
              <w:rPr>
                <w:rFonts w:cs="Arial"/>
                <w:i/>
                <w:szCs w:val="18"/>
              </w:rPr>
            </w:pPr>
            <w:r w:rsidRPr="00854D5A">
              <w:rPr>
                <w:rFonts w:cs="Arial"/>
                <w:i/>
                <w:szCs w:val="18"/>
              </w:rPr>
              <w:t>i</w:t>
            </w:r>
          </w:p>
        </w:tc>
        <w:tc>
          <w:tcPr>
            <w:tcW w:w="416" w:type="pct"/>
            <w:tcBorders>
              <w:top w:val="nil"/>
              <w:bottom w:val="nil"/>
            </w:tcBorders>
            <w:shd w:val="clear" w:color="auto" w:fill="FFFFFF"/>
            <w:vAlign w:val="center"/>
          </w:tcPr>
          <w:p w14:paraId="2551C85C" w14:textId="77777777" w:rsidR="00B22129" w:rsidRPr="00854D5A" w:rsidRDefault="00B22129" w:rsidP="00F13609">
            <w:pPr>
              <w:ind w:right="-1"/>
              <w:jc w:val="center"/>
              <w:rPr>
                <w:rFonts w:cs="Arial"/>
                <w:i/>
              </w:rPr>
            </w:pPr>
            <w:r w:rsidRPr="00854D5A">
              <w:rPr>
                <w:i/>
              </w:rPr>
              <w:t>T</w:t>
            </w:r>
            <w:r w:rsidRPr="00854D5A">
              <w:rPr>
                <w:i/>
                <w:vertAlign w:val="subscript"/>
              </w:rPr>
              <w:t>i</w:t>
            </w:r>
          </w:p>
        </w:tc>
        <w:tc>
          <w:tcPr>
            <w:tcW w:w="4010" w:type="pct"/>
            <w:tcBorders>
              <w:top w:val="nil"/>
              <w:bottom w:val="nil"/>
            </w:tcBorders>
            <w:shd w:val="clear" w:color="auto" w:fill="FFFFFF"/>
            <w:vAlign w:val="center"/>
          </w:tcPr>
          <w:p w14:paraId="4D80275F" w14:textId="77777777" w:rsidR="00B22129" w:rsidRPr="00854D5A" w:rsidRDefault="00010C97" w:rsidP="00F13609">
            <w:pPr>
              <w:jc w:val="left"/>
              <w:rPr>
                <w:i/>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δ</m:t>
                        </m:r>
                      </m:e>
                      <m:sub>
                        <m:r>
                          <w:rPr>
                            <w:rFonts w:ascii="Cambria Math" w:hAnsi="Cambria Math"/>
                          </w:rPr>
                          <m:t>rl</m:t>
                        </m:r>
                      </m:sub>
                    </m:sSub>
                    <m:r>
                      <w:rPr>
                        <w:rFonts w:ascii="Cambria Math" w:hAnsi="Cambria Math"/>
                      </w:rPr>
                      <m:t>ρ</m:t>
                    </m:r>
                  </m:e>
                  <m:sub>
                    <m:r>
                      <w:rPr>
                        <w:rFonts w:ascii="Cambria Math" w:hAnsi="Cambria Math"/>
                      </w:rPr>
                      <m:t>rl</m:t>
                    </m:r>
                  </m:sub>
                </m:sSub>
                <m:sSub>
                  <m:sSubPr>
                    <m:ctrlPr>
                      <w:rPr>
                        <w:rFonts w:ascii="Cambria Math" w:hAnsi="Cambria Math"/>
                      </w:rPr>
                    </m:ctrlPr>
                  </m:sSubPr>
                  <m:e>
                    <m:r>
                      <w:rPr>
                        <w:rFonts w:ascii="Cambria Math" w:hAnsi="Cambria Math"/>
                      </w:rPr>
                      <m:t>c</m:t>
                    </m:r>
                  </m:e>
                  <m:sub>
                    <m:r>
                      <w:rPr>
                        <w:rFonts w:ascii="Cambria Math" w:hAnsi="Cambria Math"/>
                      </w:rPr>
                      <m:t>p_rl</m:t>
                    </m:r>
                  </m:sub>
                </m:sSub>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T</m:t>
                        </m:r>
                      </m:e>
                      <m:sub>
                        <m:r>
                          <w:rPr>
                            <w:rFonts w:ascii="Cambria Math" w:hAnsi="Cambria Math"/>
                          </w:rPr>
                          <m:t>i</m:t>
                        </m:r>
                      </m:sub>
                    </m:sSub>
                  </m:num>
                  <m:den>
                    <m:r>
                      <w:rPr>
                        <w:rFonts w:ascii="Cambria Math" w:hAnsi="Cambria Math"/>
                      </w:rPr>
                      <m:t>dt</m:t>
                    </m:r>
                  </m:den>
                </m:f>
                <m:r>
                  <m:rPr>
                    <m:sty m:val="p"/>
                  </m:rPr>
                  <w:rPr>
                    <w:rFonts w:ascii="Cambria Math" w:hAnsi="Cambria Math"/>
                  </w:rPr>
                  <m:t xml:space="preserve">= </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rl,i+1</m:t>
                    </m:r>
                  </m:sub>
                </m:sSub>
                <m:r>
                  <m:rPr>
                    <m:sty m:val="p"/>
                  </m:rPr>
                  <w:rPr>
                    <w:rFonts w:ascii="Cambria Math" w:hAnsi="Cambria Math"/>
                  </w:rPr>
                  <m:t xml:space="preserve">- </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rl,i</m:t>
                    </m:r>
                  </m:sub>
                </m:sSub>
                <m:r>
                  <m:rPr>
                    <m:sty m:val="p"/>
                  </m:rPr>
                  <w:rPr>
                    <w:rFonts w:ascii="Cambria Math" w:hAnsi="Cambria Math"/>
                  </w:rPr>
                  <m:t xml:space="preserve"> </m:t>
                </m:r>
              </m:oMath>
            </m:oMathPara>
          </w:p>
        </w:tc>
        <w:tc>
          <w:tcPr>
            <w:tcW w:w="321" w:type="pct"/>
            <w:tcBorders>
              <w:top w:val="nil"/>
              <w:bottom w:val="nil"/>
            </w:tcBorders>
            <w:shd w:val="clear" w:color="auto" w:fill="FFFFFF"/>
            <w:vAlign w:val="center"/>
          </w:tcPr>
          <w:p w14:paraId="487338F5" w14:textId="77777777" w:rsidR="00B22129" w:rsidRPr="00854D5A" w:rsidRDefault="00B22129" w:rsidP="00F13609">
            <w:pPr>
              <w:ind w:right="-1"/>
              <w:jc w:val="center"/>
              <w:rPr>
                <w:rFonts w:cs="Arial"/>
                <w:szCs w:val="18"/>
              </w:rPr>
            </w:pPr>
            <w:r w:rsidRPr="00854D5A">
              <w:rPr>
                <w:rFonts w:cs="Arial"/>
                <w:szCs w:val="18"/>
              </w:rPr>
              <w:t>(</w:t>
            </w:r>
            <w:r>
              <w:rPr>
                <w:rFonts w:cs="Arial"/>
                <w:szCs w:val="18"/>
              </w:rPr>
              <w:t>3</w:t>
            </w:r>
            <w:r w:rsidRPr="00854D5A">
              <w:rPr>
                <w:rFonts w:cs="Arial"/>
                <w:szCs w:val="18"/>
              </w:rPr>
              <w:t>)</w:t>
            </w:r>
          </w:p>
        </w:tc>
      </w:tr>
      <w:tr w:rsidR="00B22129" w:rsidRPr="00854D5A" w14:paraId="36DE589B" w14:textId="77777777" w:rsidTr="00F13609">
        <w:tc>
          <w:tcPr>
            <w:tcW w:w="253" w:type="pct"/>
            <w:tcBorders>
              <w:top w:val="nil"/>
              <w:bottom w:val="nil"/>
            </w:tcBorders>
            <w:shd w:val="clear" w:color="auto" w:fill="FFFFFF"/>
            <w:vAlign w:val="center"/>
          </w:tcPr>
          <w:p w14:paraId="14E9FAC9" w14:textId="77777777" w:rsidR="00B22129" w:rsidRPr="00854D5A" w:rsidRDefault="00B22129" w:rsidP="00F13609">
            <w:pPr>
              <w:ind w:right="-1"/>
              <w:jc w:val="center"/>
              <w:rPr>
                <w:rFonts w:cs="Arial"/>
                <w:i/>
                <w:szCs w:val="18"/>
              </w:rPr>
            </w:pPr>
            <w:r w:rsidRPr="00854D5A">
              <w:rPr>
                <w:rFonts w:cs="Arial"/>
                <w:i/>
                <w:szCs w:val="18"/>
              </w:rPr>
              <w:t>N</w:t>
            </w:r>
          </w:p>
        </w:tc>
        <w:tc>
          <w:tcPr>
            <w:tcW w:w="416" w:type="pct"/>
            <w:tcBorders>
              <w:top w:val="nil"/>
              <w:bottom w:val="nil"/>
            </w:tcBorders>
            <w:shd w:val="clear" w:color="auto" w:fill="FFFFFF"/>
            <w:vAlign w:val="center"/>
          </w:tcPr>
          <w:p w14:paraId="6F46BBA5" w14:textId="77777777" w:rsidR="00B22129" w:rsidRPr="00854D5A" w:rsidRDefault="00B22129" w:rsidP="00F13609">
            <w:pPr>
              <w:ind w:right="-1"/>
              <w:jc w:val="center"/>
              <w:rPr>
                <w:i/>
              </w:rPr>
            </w:pPr>
            <w:r w:rsidRPr="00854D5A">
              <w:rPr>
                <w:i/>
              </w:rPr>
              <w:t>T</w:t>
            </w:r>
            <w:r w:rsidRPr="00854D5A">
              <w:rPr>
                <w:i/>
                <w:vertAlign w:val="subscript"/>
              </w:rPr>
              <w:t>N</w:t>
            </w:r>
          </w:p>
        </w:tc>
        <w:tc>
          <w:tcPr>
            <w:tcW w:w="4010" w:type="pct"/>
            <w:tcBorders>
              <w:top w:val="nil"/>
              <w:bottom w:val="nil"/>
            </w:tcBorders>
            <w:shd w:val="clear" w:color="auto" w:fill="FFFFFF"/>
            <w:vAlign w:val="center"/>
          </w:tcPr>
          <w:p w14:paraId="0799A5DA" w14:textId="70123D26" w:rsidR="00B22129" w:rsidRPr="00854D5A" w:rsidRDefault="00010C97" w:rsidP="00F13609">
            <w:pPr>
              <w:jc w:val="left"/>
              <w:rPr>
                <w:i/>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δ</m:t>
                        </m:r>
                      </m:e>
                      <m:sub>
                        <m:r>
                          <w:rPr>
                            <w:rFonts w:ascii="Cambria Math" w:hAnsi="Cambria Math"/>
                          </w:rPr>
                          <m:t>rl</m:t>
                        </m:r>
                      </m:sub>
                    </m:sSub>
                    <m:r>
                      <w:rPr>
                        <w:rFonts w:ascii="Cambria Math" w:hAnsi="Cambria Math"/>
                      </w:rPr>
                      <m:t>ρ</m:t>
                    </m:r>
                  </m:e>
                  <m:sub>
                    <m:r>
                      <w:rPr>
                        <w:rFonts w:ascii="Cambria Math" w:hAnsi="Cambria Math"/>
                      </w:rPr>
                      <m:t>rl</m:t>
                    </m:r>
                  </m:sub>
                </m:sSub>
                <m:sSub>
                  <m:sSubPr>
                    <m:ctrlPr>
                      <w:rPr>
                        <w:rFonts w:ascii="Cambria Math" w:hAnsi="Cambria Math"/>
                      </w:rPr>
                    </m:ctrlPr>
                  </m:sSubPr>
                  <m:e>
                    <m:r>
                      <w:rPr>
                        <w:rFonts w:ascii="Cambria Math" w:hAnsi="Cambria Math"/>
                      </w:rPr>
                      <m:t>c</m:t>
                    </m:r>
                  </m:e>
                  <m:sub>
                    <m:r>
                      <w:rPr>
                        <w:rFonts w:ascii="Cambria Math" w:hAnsi="Cambria Math"/>
                      </w:rPr>
                      <m:t>p_rl</m:t>
                    </m:r>
                  </m:sub>
                </m:sSub>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T</m:t>
                        </m:r>
                      </m:e>
                      <m:sub>
                        <m:r>
                          <w:rPr>
                            <w:rFonts w:ascii="Cambria Math" w:hAnsi="Cambria Math"/>
                          </w:rPr>
                          <m:t>N</m:t>
                        </m:r>
                      </m:sub>
                    </m:sSub>
                  </m:num>
                  <m:den>
                    <m:r>
                      <w:rPr>
                        <w:rFonts w:ascii="Cambria Math" w:hAnsi="Cambria Math"/>
                      </w:rPr>
                      <m:t>dt</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S</m:t>
                                    </m:r>
                                  </m:e>
                                  <m:sub>
                                    <m:r>
                                      <w:rPr>
                                        <w:rFonts w:ascii="Cambria Math" w:hAnsi="Cambria Math"/>
                                      </w:rPr>
                                      <m:t>e</m:t>
                                    </m:r>
                                  </m:sub>
                                </m:sSub>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ε</m:t>
                                </m:r>
                              </m:e>
                              <m:sub>
                                <m:r>
                                  <w:rPr>
                                    <w:rFonts w:ascii="Cambria Math" w:hAnsi="Cambria Math"/>
                                  </w:rPr>
                                  <m:t>N</m:t>
                                </m:r>
                              </m:sub>
                            </m:sSub>
                          </m:den>
                        </m:f>
                        <m:r>
                          <m:rPr>
                            <m:sty m:val="p"/>
                          </m:rPr>
                          <w:rPr>
                            <w:rFonts w:ascii="Cambria Math" w:hAnsi="Cambria Math"/>
                          </w:rPr>
                          <m:t>-1</m:t>
                        </m:r>
                      </m:e>
                    </m:d>
                  </m:den>
                </m:f>
                <m:r>
                  <m:rPr>
                    <m:sty m:val="p"/>
                  </m:rPr>
                  <w:rPr>
                    <w:rFonts w:ascii="Cambria Math" w:hAnsi="Cambria Math"/>
                  </w:rPr>
                  <m:t>σ</m:t>
                </m:r>
                <m:d>
                  <m:dPr>
                    <m:ctrlPr>
                      <w:rPr>
                        <w:rFonts w:ascii="Cambria Math" w:hAnsi="Cambria Math"/>
                      </w:rPr>
                    </m:ctrlPr>
                  </m:dPr>
                  <m:e>
                    <m:sSubSup>
                      <m:sSubSupPr>
                        <m:ctrlPr>
                          <w:rPr>
                            <w:rFonts w:ascii="Cambria Math" w:hAnsi="Cambria Math"/>
                          </w:rPr>
                        </m:ctrlPr>
                      </m:sSubSupPr>
                      <m:e>
                        <m: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e</m:t>
                            </m:r>
                          </m:sub>
                        </m:sSub>
                      </m:sub>
                      <m:sup>
                        <m:r>
                          <m:rPr>
                            <m:sty m:val="p"/>
                          </m:rPr>
                          <w:rPr>
                            <w:rFonts w:ascii="Cambria Math" w:hAnsi="Cambria Math"/>
                          </w:rPr>
                          <m:t>4</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N</m:t>
                        </m:r>
                      </m:sub>
                      <m:sup>
                        <m:r>
                          <m:rPr>
                            <m:sty m:val="p"/>
                          </m:rPr>
                          <w:rPr>
                            <w:rFonts w:ascii="Cambria Math" w:hAnsi="Cambria Math"/>
                          </w:rPr>
                          <m:t>4</m:t>
                        </m:r>
                      </m:sup>
                    </m:sSubSup>
                  </m:e>
                </m:d>
                <m:r>
                  <m:rPr>
                    <m:sty m:val="p"/>
                  </m:rPr>
                  <w:rPr>
                    <w:rFonts w:ascii="Cambria Math" w:hAnsi="Cambria Math"/>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g,Se</m:t>
                    </m:r>
                  </m:sub>
                </m:sSub>
                <m:r>
                  <m:rPr>
                    <m:sty m:val="p"/>
                  </m:rPr>
                  <w:rPr>
                    <w:rFonts w:ascii="Cambria Math" w:hAnsi="Cambria Math"/>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rl,N</m:t>
                    </m:r>
                  </m:sub>
                </m:sSub>
              </m:oMath>
            </m:oMathPara>
          </w:p>
        </w:tc>
        <w:tc>
          <w:tcPr>
            <w:tcW w:w="321" w:type="pct"/>
            <w:tcBorders>
              <w:top w:val="nil"/>
              <w:bottom w:val="nil"/>
            </w:tcBorders>
            <w:shd w:val="clear" w:color="auto" w:fill="FFFFFF"/>
            <w:vAlign w:val="center"/>
          </w:tcPr>
          <w:p w14:paraId="2C7C47E1" w14:textId="77777777" w:rsidR="00B22129" w:rsidRPr="00854D5A" w:rsidRDefault="00B22129" w:rsidP="00F13609">
            <w:pPr>
              <w:ind w:right="-1"/>
              <w:jc w:val="center"/>
              <w:rPr>
                <w:rFonts w:cs="Arial"/>
                <w:szCs w:val="18"/>
              </w:rPr>
            </w:pPr>
            <w:r w:rsidRPr="00854D5A">
              <w:rPr>
                <w:rFonts w:cs="Arial"/>
                <w:szCs w:val="18"/>
              </w:rPr>
              <w:t>(</w:t>
            </w:r>
            <w:r>
              <w:rPr>
                <w:rFonts w:cs="Arial"/>
                <w:szCs w:val="18"/>
              </w:rPr>
              <w:t>4</w:t>
            </w:r>
            <w:r w:rsidRPr="00854D5A">
              <w:rPr>
                <w:rFonts w:cs="Arial"/>
                <w:szCs w:val="18"/>
              </w:rPr>
              <w:t>)</w:t>
            </w:r>
          </w:p>
        </w:tc>
      </w:tr>
      <w:tr w:rsidR="00B22129" w:rsidRPr="00854D5A" w14:paraId="78A07FFA" w14:textId="77777777" w:rsidTr="00F13609">
        <w:tc>
          <w:tcPr>
            <w:tcW w:w="253" w:type="pct"/>
            <w:tcBorders>
              <w:top w:val="nil"/>
              <w:bottom w:val="nil"/>
            </w:tcBorders>
            <w:shd w:val="clear" w:color="auto" w:fill="FFFFFF"/>
            <w:vAlign w:val="center"/>
          </w:tcPr>
          <w:p w14:paraId="0AFA124C" w14:textId="77777777" w:rsidR="00B22129" w:rsidRPr="00854D5A" w:rsidRDefault="00B22129" w:rsidP="00F13609">
            <w:pPr>
              <w:ind w:right="-1"/>
              <w:jc w:val="center"/>
              <w:rPr>
                <w:rFonts w:cs="Arial"/>
                <w:i/>
                <w:szCs w:val="18"/>
              </w:rPr>
            </w:pPr>
            <w:r w:rsidRPr="00854D5A">
              <w:rPr>
                <w:rFonts w:cs="Arial"/>
                <w:i/>
                <w:szCs w:val="18"/>
              </w:rPr>
              <w:t>S</w:t>
            </w:r>
            <w:r w:rsidRPr="00854D5A">
              <w:rPr>
                <w:rFonts w:cs="Arial"/>
                <w:i/>
                <w:szCs w:val="18"/>
                <w:vertAlign w:val="subscript"/>
              </w:rPr>
              <w:t>e</w:t>
            </w:r>
          </w:p>
        </w:tc>
        <w:tc>
          <w:tcPr>
            <w:tcW w:w="416" w:type="pct"/>
            <w:tcBorders>
              <w:top w:val="nil"/>
              <w:bottom w:val="nil"/>
            </w:tcBorders>
            <w:shd w:val="clear" w:color="auto" w:fill="FFFFFF"/>
            <w:vAlign w:val="center"/>
          </w:tcPr>
          <w:p w14:paraId="369C94DF" w14:textId="77777777" w:rsidR="00B22129" w:rsidRPr="00854D5A" w:rsidRDefault="00B22129" w:rsidP="00F13609">
            <w:pPr>
              <w:ind w:right="-1"/>
              <w:jc w:val="center"/>
              <w:rPr>
                <w:i/>
              </w:rPr>
            </w:pPr>
            <w:r w:rsidRPr="00854D5A">
              <w:rPr>
                <w:i/>
              </w:rPr>
              <w:t>T</w:t>
            </w:r>
            <w:r w:rsidRPr="00854D5A">
              <w:rPr>
                <w:i/>
                <w:vertAlign w:val="subscript"/>
              </w:rPr>
              <w:t>Se</w:t>
            </w:r>
          </w:p>
        </w:tc>
        <w:tc>
          <w:tcPr>
            <w:tcW w:w="4010" w:type="pct"/>
            <w:tcBorders>
              <w:top w:val="nil"/>
              <w:bottom w:val="nil"/>
            </w:tcBorders>
            <w:shd w:val="clear" w:color="auto" w:fill="FFFFFF"/>
            <w:vAlign w:val="center"/>
          </w:tcPr>
          <w:p w14:paraId="30080FBF" w14:textId="1550C7A4" w:rsidR="00B22129" w:rsidRPr="00854D5A" w:rsidRDefault="00010C97" w:rsidP="00F13609">
            <w:pPr>
              <w:jc w:val="left"/>
              <w:rPr>
                <w:rFonts w:cs="Arial"/>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δ</m:t>
                        </m:r>
                      </m:e>
                      <m:sub>
                        <m:sSub>
                          <m:sSubPr>
                            <m:ctrlPr>
                              <w:rPr>
                                <w:rFonts w:ascii="Cambria Math" w:hAnsi="Cambria Math"/>
                              </w:rPr>
                            </m:ctrlPr>
                          </m:sSubPr>
                          <m:e>
                            <m:r>
                              <w:rPr>
                                <w:rFonts w:ascii="Cambria Math" w:hAnsi="Cambria Math"/>
                              </w:rPr>
                              <m:t>S</m:t>
                            </m:r>
                          </m:e>
                          <m:sub>
                            <m:r>
                              <w:rPr>
                                <w:rFonts w:ascii="Cambria Math" w:hAnsi="Cambria Math"/>
                              </w:rPr>
                              <m:t>e</m:t>
                            </m:r>
                          </m:sub>
                        </m:sSub>
                      </m:sub>
                    </m:sSub>
                    <m:r>
                      <w:rPr>
                        <w:rFonts w:ascii="Cambria Math" w:hAnsi="Cambria Math"/>
                      </w:rPr>
                      <m:t>ρ</m:t>
                    </m:r>
                  </m:e>
                  <m:sub>
                    <m:sSub>
                      <m:sSubPr>
                        <m:ctrlPr>
                          <w:rPr>
                            <w:rFonts w:ascii="Cambria Math" w:hAnsi="Cambria Math"/>
                          </w:rPr>
                        </m:ctrlPr>
                      </m:sSubPr>
                      <m:e>
                        <m:r>
                          <w:rPr>
                            <w:rFonts w:ascii="Cambria Math" w:hAnsi="Cambria Math"/>
                          </w:rPr>
                          <m:t>S</m:t>
                        </m:r>
                      </m:e>
                      <m:sub>
                        <m:r>
                          <w:rPr>
                            <w:rFonts w:ascii="Cambria Math" w:hAnsi="Cambria Math"/>
                          </w:rPr>
                          <m:t>e</m:t>
                        </m:r>
                      </m:sub>
                    </m:sSub>
                  </m:sub>
                </m:sSub>
                <m:sSub>
                  <m:sSubPr>
                    <m:ctrlPr>
                      <w:rPr>
                        <w:rFonts w:ascii="Cambria Math" w:hAnsi="Cambria Math"/>
                      </w:rPr>
                    </m:ctrlPr>
                  </m:sSubPr>
                  <m:e>
                    <m:r>
                      <w:rPr>
                        <w:rFonts w:ascii="Cambria Math" w:hAnsi="Cambria Math"/>
                      </w:rPr>
                      <m:t>c</m:t>
                    </m:r>
                  </m:e>
                  <m:sub>
                    <m:r>
                      <w:rPr>
                        <w:rFonts w:ascii="Cambria Math" w:hAnsi="Cambria Math"/>
                      </w:rPr>
                      <m:t>p_</m:t>
                    </m:r>
                    <m:sSub>
                      <m:sSubPr>
                        <m:ctrlPr>
                          <w:rPr>
                            <w:rFonts w:ascii="Cambria Math" w:hAnsi="Cambria Math"/>
                          </w:rPr>
                        </m:ctrlPr>
                      </m:sSubPr>
                      <m:e>
                        <m:r>
                          <w:rPr>
                            <w:rFonts w:ascii="Cambria Math" w:hAnsi="Cambria Math"/>
                          </w:rPr>
                          <m:t>S</m:t>
                        </m:r>
                      </m:e>
                      <m:sub>
                        <m:r>
                          <w:rPr>
                            <w:rFonts w:ascii="Cambria Math" w:hAnsi="Cambria Math"/>
                          </w:rPr>
                          <m:t>e</m:t>
                        </m:r>
                      </m:sub>
                    </m:sSub>
                  </m:sub>
                </m:sSub>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e</m:t>
                            </m:r>
                          </m:sub>
                        </m:sSub>
                      </m:sub>
                    </m:sSub>
                  </m:num>
                  <m:den>
                    <m:r>
                      <w:rPr>
                        <w:rFonts w:ascii="Cambria Math" w:hAnsi="Cambria Math"/>
                      </w:rPr>
                      <m:t>dt</m:t>
                    </m:r>
                  </m:den>
                </m:f>
                <m:r>
                  <m:rPr>
                    <m:sty m:val="p"/>
                  </m:rPr>
                  <w:rPr>
                    <w:rFonts w:ascii="Cambria Math" w:hAnsi="Cambria Math"/>
                  </w:rPr>
                  <m:t xml:space="preserve">= </m:t>
                </m:r>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S</m:t>
                        </m:r>
                      </m:e>
                      <m:sub>
                        <m:r>
                          <w:rPr>
                            <w:rFonts w:ascii="Cambria Math" w:hAnsi="Cambria Math"/>
                          </w:rPr>
                          <m:t>e</m:t>
                        </m:r>
                      </m:sub>
                    </m:sSub>
                  </m:sub>
                </m:sSub>
                <m:r>
                  <m:rPr>
                    <m:sty m:val="p"/>
                  </m:rPr>
                  <w:rPr>
                    <w:rFonts w:ascii="Cambria Math" w:hAnsi="Cambria Math"/>
                  </w:rPr>
                  <m:t>σ</m:t>
                </m:r>
                <m:d>
                  <m:dPr>
                    <m:ctrlPr>
                      <w:rPr>
                        <w:rFonts w:ascii="Cambria Math" w:hAnsi="Cambria Math"/>
                      </w:rPr>
                    </m:ctrlPr>
                  </m:dPr>
                  <m:e>
                    <m:sSubSup>
                      <m:sSubSupPr>
                        <m:ctrlPr>
                          <w:rPr>
                            <w:rFonts w:ascii="Cambria Math" w:hAnsi="Cambria Math"/>
                          </w:rPr>
                        </m:ctrlPr>
                      </m:sSubSupPr>
                      <m:e>
                        <m:r>
                          <w:rPr>
                            <w:rFonts w:ascii="Cambria Math" w:hAnsi="Cambria Math"/>
                          </w:rPr>
                          <m:t>T</m:t>
                        </m:r>
                      </m:e>
                      <m:sub>
                        <m:r>
                          <w:rPr>
                            <w:rFonts w:ascii="Cambria Math" w:hAnsi="Cambria Math"/>
                          </w:rPr>
                          <m:t>BB_fire</m:t>
                        </m:r>
                      </m:sub>
                      <m:sup>
                        <m:r>
                          <m:rPr>
                            <m:sty m:val="p"/>
                          </m:rPr>
                          <w:rPr>
                            <w:rFonts w:ascii="Cambria Math" w:hAnsi="Cambria Math"/>
                          </w:rPr>
                          <m:t>4</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e</m:t>
                            </m:r>
                          </m:sub>
                        </m:sSub>
                      </m:sub>
                      <m:sup>
                        <m:r>
                          <m:rPr>
                            <m:sty m:val="p"/>
                          </m:rPr>
                          <w:rPr>
                            <w:rFonts w:ascii="Cambria Math" w:hAnsi="Cambria Math"/>
                          </w:rPr>
                          <m:t>4</m:t>
                        </m:r>
                      </m:sup>
                    </m:sSubSup>
                  </m:e>
                </m:d>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ε</m:t>
                                </m:r>
                              </m:e>
                              <m:sub>
                                <m:sSub>
                                  <m:sSubPr>
                                    <m:ctrlPr>
                                      <w:rPr>
                                        <w:rFonts w:ascii="Cambria Math" w:hAnsi="Cambria Math"/>
                                      </w:rPr>
                                    </m:ctrlPr>
                                  </m:sSubPr>
                                  <m:e>
                                    <m:r>
                                      <w:rPr>
                                        <w:rFonts w:ascii="Cambria Math" w:hAnsi="Cambria Math"/>
                                      </w:rPr>
                                      <m:t>S</m:t>
                                    </m:r>
                                  </m:e>
                                  <m:sub>
                                    <m:r>
                                      <w:rPr>
                                        <w:rFonts w:ascii="Cambria Math" w:hAnsi="Cambria Math"/>
                                      </w:rPr>
                                      <m:t>e</m:t>
                                    </m:r>
                                  </m:sub>
                                </m:sSub>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ε</m:t>
                                </m:r>
                              </m:e>
                              <m:sub>
                                <m:r>
                                  <w:rPr>
                                    <w:rFonts w:ascii="Cambria Math" w:hAnsi="Cambria Math"/>
                                  </w:rPr>
                                  <m:t>N</m:t>
                                </m:r>
                              </m:sub>
                            </m:sSub>
                          </m:den>
                        </m:f>
                        <m:r>
                          <m:rPr>
                            <m:sty m:val="p"/>
                          </m:rPr>
                          <w:rPr>
                            <w:rFonts w:ascii="Cambria Math" w:hAnsi="Cambria Math"/>
                          </w:rPr>
                          <m:t>-1</m:t>
                        </m:r>
                      </m:e>
                    </m:d>
                  </m:den>
                </m:f>
                <m:r>
                  <m:rPr>
                    <m:sty m:val="p"/>
                  </m:rPr>
                  <w:rPr>
                    <w:rFonts w:ascii="Cambria Math" w:hAnsi="Cambria Math"/>
                  </w:rPr>
                  <m:t>σ</m:t>
                </m:r>
                <m:d>
                  <m:dPr>
                    <m:ctrlPr>
                      <w:rPr>
                        <w:rFonts w:ascii="Cambria Math" w:hAnsi="Cambria Math"/>
                      </w:rPr>
                    </m:ctrlPr>
                  </m:dPr>
                  <m:e>
                    <m:sSubSup>
                      <m:sSubSupPr>
                        <m:ctrlPr>
                          <w:rPr>
                            <w:rFonts w:ascii="Cambria Math" w:hAnsi="Cambria Math"/>
                          </w:rPr>
                        </m:ctrlPr>
                      </m:sSubSupPr>
                      <m:e>
                        <m:r>
                          <w:rPr>
                            <w:rFonts w:ascii="Cambria Math" w:hAnsi="Cambria Math"/>
                          </w:rPr>
                          <m:t>T</m:t>
                        </m:r>
                      </m:e>
                      <m:sub>
                        <m:sSub>
                          <m:sSubPr>
                            <m:ctrlPr>
                              <w:rPr>
                                <w:rFonts w:ascii="Cambria Math" w:hAnsi="Cambria Math"/>
                              </w:rPr>
                            </m:ctrlPr>
                          </m:sSubPr>
                          <m:e>
                            <m:r>
                              <w:rPr>
                                <w:rFonts w:ascii="Cambria Math" w:hAnsi="Cambria Math"/>
                              </w:rPr>
                              <m:t>S</m:t>
                            </m:r>
                          </m:e>
                          <m:sub>
                            <m:r>
                              <w:rPr>
                                <w:rFonts w:ascii="Cambria Math" w:hAnsi="Cambria Math"/>
                              </w:rPr>
                              <m:t>e</m:t>
                            </m:r>
                          </m:sub>
                        </m:sSub>
                      </m:sub>
                      <m:sup>
                        <m:r>
                          <m:rPr>
                            <m:sty m:val="p"/>
                          </m:rPr>
                          <w:rPr>
                            <w:rFonts w:ascii="Cambria Math" w:hAnsi="Cambria Math"/>
                          </w:rPr>
                          <m:t>4</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N</m:t>
                        </m:r>
                      </m:sub>
                      <m:sup>
                        <m:r>
                          <m:rPr>
                            <m:sty m:val="p"/>
                          </m:rPr>
                          <w:rPr>
                            <w:rFonts w:ascii="Cambria Math" w:hAnsi="Cambria Math"/>
                          </w:rPr>
                          <m:t>4</m:t>
                        </m:r>
                      </m:sup>
                    </m:sSubSup>
                  </m:e>
                </m:d>
                <m:r>
                  <w:rPr>
                    <w:rFonts w:ascii="Cambria Math" w:hAnsi="Cambria Math"/>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g,Se</m:t>
                    </m:r>
                  </m:sub>
                </m:sSub>
              </m:oMath>
            </m:oMathPara>
          </w:p>
        </w:tc>
        <w:tc>
          <w:tcPr>
            <w:tcW w:w="321" w:type="pct"/>
            <w:tcBorders>
              <w:top w:val="nil"/>
              <w:bottom w:val="nil"/>
            </w:tcBorders>
            <w:shd w:val="clear" w:color="auto" w:fill="FFFFFF"/>
            <w:vAlign w:val="center"/>
          </w:tcPr>
          <w:p w14:paraId="4050D8F8" w14:textId="45F5DFB0" w:rsidR="00A12DB8" w:rsidRPr="00854D5A" w:rsidRDefault="00B22129" w:rsidP="00A12DB8">
            <w:pPr>
              <w:ind w:right="-1"/>
              <w:jc w:val="center"/>
              <w:rPr>
                <w:rFonts w:cs="Arial"/>
                <w:szCs w:val="18"/>
              </w:rPr>
            </w:pPr>
            <w:r w:rsidRPr="00854D5A">
              <w:rPr>
                <w:rFonts w:cs="Arial"/>
                <w:szCs w:val="18"/>
              </w:rPr>
              <w:t>(</w:t>
            </w:r>
            <w:r>
              <w:rPr>
                <w:rFonts w:cs="Arial"/>
                <w:szCs w:val="18"/>
              </w:rPr>
              <w:t>5</w:t>
            </w:r>
            <w:r w:rsidRPr="00854D5A">
              <w:rPr>
                <w:rFonts w:cs="Arial"/>
                <w:szCs w:val="18"/>
              </w:rPr>
              <w:t>)</w:t>
            </w:r>
          </w:p>
        </w:tc>
      </w:tr>
      <w:tr w:rsidR="00A12DB8" w:rsidRPr="00854D5A" w14:paraId="4929D5B9" w14:textId="77777777" w:rsidTr="00F13609">
        <w:tc>
          <w:tcPr>
            <w:tcW w:w="253" w:type="pct"/>
            <w:tcBorders>
              <w:top w:val="nil"/>
              <w:bottom w:val="nil"/>
            </w:tcBorders>
            <w:shd w:val="clear" w:color="auto" w:fill="FFFFFF"/>
            <w:vAlign w:val="center"/>
          </w:tcPr>
          <w:p w14:paraId="3ECDC991" w14:textId="64F8E775" w:rsidR="00A12DB8" w:rsidRPr="00854D5A" w:rsidRDefault="00A12DB8" w:rsidP="00F13609">
            <w:pPr>
              <w:ind w:right="-1"/>
              <w:jc w:val="center"/>
              <w:rPr>
                <w:rFonts w:cs="Arial"/>
                <w:i/>
                <w:szCs w:val="18"/>
              </w:rPr>
            </w:pPr>
            <w:r>
              <w:rPr>
                <w:rFonts w:cs="Arial"/>
                <w:i/>
                <w:szCs w:val="18"/>
              </w:rPr>
              <w:t>-</w:t>
            </w:r>
          </w:p>
        </w:tc>
        <w:tc>
          <w:tcPr>
            <w:tcW w:w="416" w:type="pct"/>
            <w:tcBorders>
              <w:top w:val="nil"/>
              <w:bottom w:val="nil"/>
            </w:tcBorders>
            <w:shd w:val="clear" w:color="auto" w:fill="FFFFFF"/>
            <w:vAlign w:val="center"/>
          </w:tcPr>
          <w:p w14:paraId="77BA85CE" w14:textId="5982BDC5" w:rsidR="00A12DB8" w:rsidRPr="00854D5A" w:rsidRDefault="00010C97" w:rsidP="00F13609">
            <w:pPr>
              <w:ind w:right="-1"/>
              <w:jc w:val="center"/>
              <w:rPr>
                <w:i/>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rl,i</m:t>
                    </m:r>
                  </m:sub>
                </m:sSub>
              </m:oMath>
            </m:oMathPara>
          </w:p>
        </w:tc>
        <w:tc>
          <w:tcPr>
            <w:tcW w:w="4010" w:type="pct"/>
            <w:tcBorders>
              <w:top w:val="nil"/>
              <w:bottom w:val="nil"/>
            </w:tcBorders>
            <w:shd w:val="clear" w:color="auto" w:fill="FFFFFF"/>
            <w:vAlign w:val="center"/>
          </w:tcPr>
          <w:p w14:paraId="49AC30A3" w14:textId="3934FEA3" w:rsidR="00A12DB8" w:rsidRDefault="00010C97" w:rsidP="00F13609">
            <w:pPr>
              <w:jc w:val="left"/>
              <w:rPr>
                <w:i/>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rl,i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rad,i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s,cond,i</m:t>
                    </m:r>
                  </m:sub>
                </m:sSub>
                <m:r>
                  <w:rPr>
                    <w:rFonts w:ascii="Cambria Math" w:hAnsi="Cambria Math"/>
                    <w:szCs w:val="28"/>
                  </w:rPr>
                  <m:t>+</m:t>
                </m:r>
                <m:sSub>
                  <m:sSubPr>
                    <m:ctrlPr>
                      <w:rPr>
                        <w:rFonts w:ascii="Cambria Math" w:hAnsi="Cambria Math"/>
                        <w:i/>
                        <w:szCs w:val="28"/>
                      </w:rPr>
                    </m:ctrlPr>
                  </m:sSubPr>
                  <m:e>
                    <m:r>
                      <w:rPr>
                        <w:rFonts w:ascii="Cambria Math" w:hAnsi="Cambria Math"/>
                        <w:szCs w:val="28"/>
                      </w:rPr>
                      <m:t>q</m:t>
                    </m:r>
                  </m:e>
                  <m:sub>
                    <m:r>
                      <w:rPr>
                        <w:rFonts w:ascii="Cambria Math" w:hAnsi="Cambria Math"/>
                        <w:szCs w:val="28"/>
                      </w:rPr>
                      <m:t>g,i</m:t>
                    </m:r>
                  </m:sub>
                </m:sSub>
              </m:oMath>
            </m:oMathPara>
          </w:p>
        </w:tc>
        <w:tc>
          <w:tcPr>
            <w:tcW w:w="321" w:type="pct"/>
            <w:tcBorders>
              <w:top w:val="nil"/>
              <w:bottom w:val="nil"/>
            </w:tcBorders>
            <w:shd w:val="clear" w:color="auto" w:fill="FFFFFF"/>
            <w:vAlign w:val="center"/>
          </w:tcPr>
          <w:p w14:paraId="6DD2C058" w14:textId="073BF590" w:rsidR="00A12DB8" w:rsidRPr="00854D5A" w:rsidRDefault="00A12DB8" w:rsidP="00A12DB8">
            <w:pPr>
              <w:ind w:right="-1"/>
              <w:jc w:val="center"/>
              <w:rPr>
                <w:rFonts w:cs="Arial"/>
                <w:szCs w:val="18"/>
              </w:rPr>
            </w:pPr>
            <w:r>
              <w:rPr>
                <w:rFonts w:cs="Arial"/>
                <w:szCs w:val="18"/>
              </w:rPr>
              <w:t>(6)</w:t>
            </w:r>
          </w:p>
        </w:tc>
      </w:tr>
      <w:tr w:rsidR="00B22129" w:rsidRPr="00854D5A" w14:paraId="15FC11F5" w14:textId="77777777" w:rsidTr="00F13609">
        <w:tc>
          <w:tcPr>
            <w:tcW w:w="253" w:type="pct"/>
            <w:tcBorders>
              <w:top w:val="nil"/>
              <w:bottom w:val="nil"/>
            </w:tcBorders>
            <w:shd w:val="clear" w:color="auto" w:fill="FFFFFF"/>
            <w:vAlign w:val="center"/>
          </w:tcPr>
          <w:p w14:paraId="405A8A83" w14:textId="77777777" w:rsidR="00B22129" w:rsidRPr="00854D5A" w:rsidRDefault="00B22129" w:rsidP="00F13609">
            <w:pPr>
              <w:ind w:right="-1"/>
              <w:jc w:val="center"/>
              <w:rPr>
                <w:rFonts w:cs="Arial"/>
                <w:i/>
                <w:szCs w:val="18"/>
              </w:rPr>
            </w:pPr>
            <w:r w:rsidRPr="00854D5A">
              <w:rPr>
                <w:i/>
              </w:rPr>
              <w:t>-</w:t>
            </w:r>
          </w:p>
        </w:tc>
        <w:tc>
          <w:tcPr>
            <w:tcW w:w="416" w:type="pct"/>
            <w:tcBorders>
              <w:top w:val="nil"/>
              <w:bottom w:val="nil"/>
            </w:tcBorders>
            <w:shd w:val="clear" w:color="auto" w:fill="FFFFFF"/>
            <w:vAlign w:val="center"/>
          </w:tcPr>
          <w:p w14:paraId="6C80A49F" w14:textId="77777777" w:rsidR="00B22129" w:rsidRPr="00854D5A" w:rsidRDefault="00010C97" w:rsidP="00F13609">
            <w:pPr>
              <w:ind w:right="-1"/>
              <w:jc w:val="center"/>
              <w:rPr>
                <w:rFonts w:cs="Arial"/>
                <w:i/>
                <w:szCs w:val="18"/>
                <w:vertAlign w:val="subscript"/>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rad,i</m:t>
                    </m:r>
                  </m:sub>
                </m:sSub>
              </m:oMath>
            </m:oMathPara>
          </w:p>
        </w:tc>
        <w:tc>
          <w:tcPr>
            <w:tcW w:w="4010" w:type="pct"/>
            <w:tcBorders>
              <w:top w:val="nil"/>
              <w:bottom w:val="nil"/>
            </w:tcBorders>
            <w:shd w:val="clear" w:color="auto" w:fill="FFFFFF"/>
            <w:vAlign w:val="center"/>
          </w:tcPr>
          <w:p w14:paraId="1E384A38" w14:textId="77777777" w:rsidR="00B22129" w:rsidRPr="00854D5A" w:rsidRDefault="00010C97" w:rsidP="00F13609">
            <w:pPr>
              <w:jc w:val="left"/>
              <w:rPr>
                <w:rFonts w:cs="Arial"/>
                <w:szCs w:val="18"/>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rad,i</m:t>
                    </m:r>
                  </m:sub>
                </m:sSub>
                <m:r>
                  <w:rPr>
                    <w:rFonts w:ascii="Cambria Math" w:hAnsi="Cambria Math"/>
                    <w:szCs w:val="28"/>
                  </w:rPr>
                  <m:t>=</m:t>
                </m:r>
                <m:f>
                  <m:fPr>
                    <m:ctrlPr>
                      <w:rPr>
                        <w:rFonts w:ascii="Cambria Math" w:eastAsia="Calibri" w:hAnsi="Cambria Math"/>
                        <w:i/>
                        <w:szCs w:val="28"/>
                      </w:rPr>
                    </m:ctrlPr>
                  </m:fPr>
                  <m:num>
                    <m:r>
                      <w:rPr>
                        <w:rFonts w:ascii="Cambria Math" w:eastAsia="Calibri" w:hAnsi="Cambria Math"/>
                        <w:szCs w:val="28"/>
                      </w:rPr>
                      <m:t>σ</m:t>
                    </m:r>
                  </m:num>
                  <m:den>
                    <m:d>
                      <m:dPr>
                        <m:ctrlPr>
                          <w:rPr>
                            <w:rFonts w:ascii="Cambria Math" w:eastAsia="Calibri" w:hAnsi="Cambria Math"/>
                            <w:i/>
                            <w:szCs w:val="28"/>
                          </w:rPr>
                        </m:ctrlPr>
                      </m:dPr>
                      <m:e>
                        <m:f>
                          <m:fPr>
                            <m:ctrlPr>
                              <w:rPr>
                                <w:rFonts w:ascii="Cambria Math" w:eastAsia="Calibri" w:hAnsi="Cambria Math"/>
                                <w:i/>
                                <w:szCs w:val="28"/>
                              </w:rPr>
                            </m:ctrlPr>
                          </m:fPr>
                          <m:num>
                            <m:r>
                              <w:rPr>
                                <w:rFonts w:ascii="Cambria Math" w:eastAsia="Calibri" w:hAnsi="Cambria Math"/>
                                <w:szCs w:val="28"/>
                              </w:rPr>
                              <m:t>1</m:t>
                            </m:r>
                          </m:num>
                          <m:den>
                            <m:sSub>
                              <m:sSubPr>
                                <m:ctrlPr>
                                  <w:rPr>
                                    <w:rFonts w:ascii="Cambria Math" w:eastAsia="Calibri" w:hAnsi="Cambria Math"/>
                                    <w:i/>
                                    <w:szCs w:val="28"/>
                                  </w:rPr>
                                </m:ctrlPr>
                              </m:sSubPr>
                              <m:e>
                                <m:r>
                                  <w:rPr>
                                    <w:rFonts w:ascii="Cambria Math" w:eastAsia="Calibri" w:hAnsi="Cambria Math"/>
                                    <w:szCs w:val="28"/>
                                  </w:rPr>
                                  <m:t>ε</m:t>
                                </m:r>
                              </m:e>
                              <m:sub>
                                <m:r>
                                  <w:rPr>
                                    <w:rFonts w:ascii="Cambria Math" w:eastAsia="Calibri" w:hAnsi="Cambria Math"/>
                                    <w:szCs w:val="28"/>
                                  </w:rPr>
                                  <m:t>i</m:t>
                                </m:r>
                              </m:sub>
                            </m:sSub>
                          </m:den>
                        </m:f>
                        <m:r>
                          <w:rPr>
                            <w:rFonts w:ascii="Cambria Math" w:eastAsia="Calibri" w:hAnsi="Cambria Math"/>
                            <w:szCs w:val="28"/>
                          </w:rPr>
                          <m:t>+</m:t>
                        </m:r>
                        <m:f>
                          <m:fPr>
                            <m:ctrlPr>
                              <w:rPr>
                                <w:rFonts w:ascii="Cambria Math" w:eastAsia="Calibri" w:hAnsi="Cambria Math"/>
                                <w:i/>
                                <w:szCs w:val="28"/>
                              </w:rPr>
                            </m:ctrlPr>
                          </m:fPr>
                          <m:num>
                            <m:r>
                              <w:rPr>
                                <w:rFonts w:ascii="Cambria Math" w:eastAsia="Calibri" w:hAnsi="Cambria Math"/>
                                <w:szCs w:val="28"/>
                              </w:rPr>
                              <m:t>1</m:t>
                            </m:r>
                          </m:num>
                          <m:den>
                            <m:sSub>
                              <m:sSubPr>
                                <m:ctrlPr>
                                  <w:rPr>
                                    <w:rFonts w:ascii="Cambria Math" w:eastAsia="Calibri" w:hAnsi="Cambria Math"/>
                                    <w:i/>
                                    <w:szCs w:val="28"/>
                                  </w:rPr>
                                </m:ctrlPr>
                              </m:sSubPr>
                              <m:e>
                                <m:r>
                                  <w:rPr>
                                    <w:rFonts w:ascii="Cambria Math" w:eastAsia="Calibri" w:hAnsi="Cambria Math"/>
                                    <w:szCs w:val="28"/>
                                  </w:rPr>
                                  <m:t>ε</m:t>
                                </m:r>
                              </m:e>
                              <m:sub>
                                <m:r>
                                  <w:rPr>
                                    <w:rFonts w:ascii="Cambria Math" w:eastAsia="Calibri" w:hAnsi="Cambria Math"/>
                                    <w:szCs w:val="28"/>
                                  </w:rPr>
                                  <m:t>i-1</m:t>
                                </m:r>
                              </m:sub>
                            </m:sSub>
                          </m:den>
                        </m:f>
                        <m:r>
                          <w:rPr>
                            <w:rFonts w:ascii="Cambria Math" w:eastAsia="Calibri" w:hAnsi="Cambria Math"/>
                            <w:szCs w:val="28"/>
                          </w:rPr>
                          <m:t>-1</m:t>
                        </m:r>
                      </m:e>
                    </m:d>
                  </m:den>
                </m:f>
                <m:d>
                  <m:dPr>
                    <m:ctrlPr>
                      <w:rPr>
                        <w:rFonts w:ascii="Cambria Math" w:eastAsia="Calibri" w:hAnsi="Cambria Math"/>
                        <w:i/>
                        <w:szCs w:val="28"/>
                      </w:rPr>
                    </m:ctrlPr>
                  </m:dPr>
                  <m:e>
                    <m:sSubSup>
                      <m:sSubSupPr>
                        <m:ctrlPr>
                          <w:rPr>
                            <w:rFonts w:ascii="Cambria Math" w:eastAsia="Calibri" w:hAnsi="Cambria Math"/>
                            <w:i/>
                            <w:szCs w:val="28"/>
                          </w:rPr>
                        </m:ctrlPr>
                      </m:sSubSupPr>
                      <m:e>
                        <m:r>
                          <w:rPr>
                            <w:rFonts w:ascii="Cambria Math" w:eastAsia="Calibri" w:hAnsi="Cambria Math"/>
                            <w:szCs w:val="28"/>
                          </w:rPr>
                          <m:t>T</m:t>
                        </m:r>
                      </m:e>
                      <m:sub>
                        <m:r>
                          <w:rPr>
                            <w:rFonts w:ascii="Cambria Math" w:eastAsia="Calibri" w:hAnsi="Cambria Math"/>
                            <w:szCs w:val="28"/>
                          </w:rPr>
                          <m:t>i</m:t>
                        </m:r>
                      </m:sub>
                      <m:sup>
                        <m:r>
                          <w:rPr>
                            <w:rFonts w:ascii="Cambria Math" w:eastAsia="Calibri" w:hAnsi="Cambria Math"/>
                            <w:szCs w:val="28"/>
                          </w:rPr>
                          <m:t>4</m:t>
                        </m:r>
                      </m:sup>
                    </m:sSubSup>
                    <m:r>
                      <w:rPr>
                        <w:rFonts w:ascii="Cambria Math" w:eastAsia="Calibri" w:hAnsi="Cambria Math"/>
                        <w:szCs w:val="28"/>
                      </w:rPr>
                      <m:t>-</m:t>
                    </m:r>
                    <m:sSubSup>
                      <m:sSubSupPr>
                        <m:ctrlPr>
                          <w:rPr>
                            <w:rFonts w:ascii="Cambria Math" w:eastAsia="Calibri" w:hAnsi="Cambria Math"/>
                            <w:i/>
                            <w:szCs w:val="28"/>
                          </w:rPr>
                        </m:ctrlPr>
                      </m:sSubSupPr>
                      <m:e>
                        <m:r>
                          <w:rPr>
                            <w:rFonts w:ascii="Cambria Math" w:eastAsia="Calibri" w:hAnsi="Cambria Math"/>
                            <w:szCs w:val="28"/>
                          </w:rPr>
                          <m:t>T</m:t>
                        </m:r>
                      </m:e>
                      <m:sub>
                        <m:r>
                          <w:rPr>
                            <w:rFonts w:ascii="Cambria Math" w:eastAsia="Calibri" w:hAnsi="Cambria Math"/>
                            <w:szCs w:val="28"/>
                          </w:rPr>
                          <m:t>i-1</m:t>
                        </m:r>
                      </m:sub>
                      <m:sup>
                        <m:r>
                          <w:rPr>
                            <w:rFonts w:ascii="Cambria Math" w:eastAsia="Calibri" w:hAnsi="Cambria Math"/>
                            <w:szCs w:val="28"/>
                          </w:rPr>
                          <m:t>4</m:t>
                        </m:r>
                      </m:sup>
                    </m:sSubSup>
                  </m:e>
                </m:d>
              </m:oMath>
            </m:oMathPara>
          </w:p>
        </w:tc>
        <w:tc>
          <w:tcPr>
            <w:tcW w:w="321" w:type="pct"/>
            <w:tcBorders>
              <w:top w:val="nil"/>
              <w:bottom w:val="nil"/>
            </w:tcBorders>
            <w:shd w:val="clear" w:color="auto" w:fill="FFFFFF"/>
            <w:vAlign w:val="center"/>
          </w:tcPr>
          <w:p w14:paraId="708413E4" w14:textId="48D58DCC" w:rsidR="00B22129" w:rsidRPr="00854D5A" w:rsidRDefault="00B22129" w:rsidP="00F13609">
            <w:pPr>
              <w:ind w:right="-1"/>
              <w:jc w:val="center"/>
              <w:rPr>
                <w:rFonts w:cs="Arial"/>
                <w:szCs w:val="18"/>
              </w:rPr>
            </w:pPr>
            <w:r>
              <w:t>(</w:t>
            </w:r>
            <w:r w:rsidR="00A12DB8">
              <w:t>7</w:t>
            </w:r>
            <w:r>
              <w:t>)</w:t>
            </w:r>
          </w:p>
        </w:tc>
      </w:tr>
      <w:tr w:rsidR="00B22129" w:rsidRPr="00854D5A" w14:paraId="66B46A8A" w14:textId="77777777" w:rsidTr="00F13609">
        <w:tc>
          <w:tcPr>
            <w:tcW w:w="253" w:type="pct"/>
            <w:tcBorders>
              <w:top w:val="nil"/>
              <w:bottom w:val="nil"/>
            </w:tcBorders>
            <w:shd w:val="clear" w:color="auto" w:fill="FFFFFF"/>
            <w:vAlign w:val="center"/>
          </w:tcPr>
          <w:p w14:paraId="0249AEDD" w14:textId="77777777" w:rsidR="00B22129" w:rsidRPr="00854D5A" w:rsidRDefault="00B22129" w:rsidP="00F13609">
            <w:pPr>
              <w:ind w:right="-1"/>
              <w:jc w:val="center"/>
              <w:rPr>
                <w:i/>
              </w:rPr>
            </w:pPr>
            <w:r w:rsidRPr="00854D5A">
              <w:rPr>
                <w:i/>
              </w:rPr>
              <w:t>-</w:t>
            </w:r>
          </w:p>
        </w:tc>
        <w:tc>
          <w:tcPr>
            <w:tcW w:w="416" w:type="pct"/>
            <w:tcBorders>
              <w:top w:val="nil"/>
              <w:bottom w:val="nil"/>
            </w:tcBorders>
            <w:shd w:val="clear" w:color="auto" w:fill="FFFFFF"/>
            <w:vAlign w:val="center"/>
          </w:tcPr>
          <w:p w14:paraId="5FC5F301" w14:textId="77777777" w:rsidR="00B22129" w:rsidRPr="00854D5A" w:rsidRDefault="00010C97" w:rsidP="00F13609">
            <w:pPr>
              <w:ind w:right="-1"/>
              <w:jc w:val="center"/>
              <w:rPr>
                <w:i/>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s,cond,i</m:t>
                    </m:r>
                  </m:sub>
                </m:sSub>
              </m:oMath>
            </m:oMathPara>
          </w:p>
        </w:tc>
        <w:tc>
          <w:tcPr>
            <w:tcW w:w="4010" w:type="pct"/>
            <w:tcBorders>
              <w:top w:val="nil"/>
              <w:bottom w:val="nil"/>
            </w:tcBorders>
            <w:shd w:val="clear" w:color="auto" w:fill="FFFFFF"/>
            <w:vAlign w:val="center"/>
          </w:tcPr>
          <w:p w14:paraId="48085956" w14:textId="77777777" w:rsidR="00B22129" w:rsidRPr="00854D5A" w:rsidRDefault="00010C97" w:rsidP="00F13609">
            <w:pPr>
              <w:jc w:val="left"/>
              <w:rPr>
                <w:i/>
                <w:sz w:val="16"/>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s,cond,i</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C</m:t>
                        </m:r>
                      </m:e>
                      <m:sub>
                        <m:r>
                          <w:rPr>
                            <w:rFonts w:ascii="Cambria Math" w:hAnsi="Cambria Math"/>
                            <w:szCs w:val="28"/>
                          </w:rPr>
                          <m:t>2</m:t>
                        </m:r>
                      </m:sub>
                    </m:sSub>
                    <m:r>
                      <w:rPr>
                        <w:rFonts w:ascii="Cambria Math" w:hAnsi="Cambria Math"/>
                        <w:szCs w:val="28"/>
                      </w:rPr>
                      <m:t>f</m:t>
                    </m:r>
                    <m:sSub>
                      <m:sSubPr>
                        <m:ctrlPr>
                          <w:rPr>
                            <w:rFonts w:ascii="Cambria Math" w:hAnsi="Cambria Math"/>
                            <w:i/>
                            <w:szCs w:val="28"/>
                          </w:rPr>
                        </m:ctrlPr>
                      </m:sSubPr>
                      <m:e>
                        <m:r>
                          <w:rPr>
                            <w:rFonts w:ascii="Cambria Math" w:hAnsi="Cambria Math"/>
                            <w:szCs w:val="28"/>
                          </w:rPr>
                          <m:t>k</m:t>
                        </m:r>
                      </m:e>
                      <m:sub>
                        <m:r>
                          <w:rPr>
                            <w:rFonts w:ascii="Cambria Math" w:hAnsi="Cambria Math"/>
                            <w:szCs w:val="28"/>
                          </w:rPr>
                          <m:t>s</m:t>
                        </m:r>
                      </m:sub>
                    </m:sSub>
                  </m:num>
                  <m:den>
                    <m:sSub>
                      <m:sSubPr>
                        <m:ctrlPr>
                          <w:rPr>
                            <w:rFonts w:ascii="Cambria Math" w:hAnsi="Cambria Math"/>
                            <w:i/>
                            <w:szCs w:val="28"/>
                          </w:rPr>
                        </m:ctrlPr>
                      </m:sSubPr>
                      <m:e>
                        <m:r>
                          <w:rPr>
                            <w:rFonts w:ascii="Cambria Math" w:hAnsi="Cambria Math"/>
                            <w:szCs w:val="28"/>
                          </w:rPr>
                          <m:t>D</m:t>
                        </m:r>
                      </m:e>
                      <m:sub>
                        <m:r>
                          <w:rPr>
                            <w:rFonts w:ascii="Cambria Math" w:hAnsi="Cambria Math"/>
                            <w:szCs w:val="28"/>
                          </w:rPr>
                          <m:t>x</m:t>
                        </m:r>
                      </m:sub>
                    </m:sSub>
                  </m:den>
                </m:f>
                <m:d>
                  <m:dPr>
                    <m:ctrlPr>
                      <w:rPr>
                        <w:rFonts w:ascii="Cambria Math" w:eastAsia="Calibri" w:hAnsi="Cambria Math"/>
                        <w:i/>
                        <w:szCs w:val="28"/>
                      </w:rPr>
                    </m:ctrlPr>
                  </m:dPr>
                  <m:e>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m:t>
                        </m:r>
                      </m:sub>
                    </m:sSub>
                    <m:r>
                      <w:rPr>
                        <w:rFonts w:ascii="Cambria Math" w:eastAsia="Calibri" w:hAnsi="Cambria Math"/>
                        <w:szCs w:val="28"/>
                      </w:rPr>
                      <m:t>-</m:t>
                    </m:r>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i-1</m:t>
                        </m:r>
                      </m:sub>
                    </m:sSub>
                  </m:e>
                </m:d>
              </m:oMath>
            </m:oMathPara>
          </w:p>
        </w:tc>
        <w:tc>
          <w:tcPr>
            <w:tcW w:w="321" w:type="pct"/>
            <w:tcBorders>
              <w:top w:val="nil"/>
              <w:bottom w:val="nil"/>
            </w:tcBorders>
            <w:shd w:val="clear" w:color="auto" w:fill="FFFFFF"/>
            <w:vAlign w:val="center"/>
          </w:tcPr>
          <w:p w14:paraId="03581F46" w14:textId="78F6C06D" w:rsidR="00B22129" w:rsidRPr="00854D5A" w:rsidRDefault="00B22129" w:rsidP="00F13609">
            <w:pPr>
              <w:ind w:right="-1"/>
              <w:jc w:val="center"/>
            </w:pPr>
            <w:r>
              <w:t>(</w:t>
            </w:r>
            <w:r w:rsidR="00A12DB8">
              <w:t>8</w:t>
            </w:r>
            <w:r>
              <w:t>)</w:t>
            </w:r>
          </w:p>
        </w:tc>
      </w:tr>
      <w:tr w:rsidR="00731BDD" w:rsidRPr="00854D5A" w14:paraId="5AFC0066" w14:textId="77777777" w:rsidTr="00F13609">
        <w:tc>
          <w:tcPr>
            <w:tcW w:w="253" w:type="pct"/>
            <w:tcBorders>
              <w:top w:val="nil"/>
              <w:bottom w:val="nil"/>
            </w:tcBorders>
            <w:shd w:val="clear" w:color="auto" w:fill="FFFFFF"/>
            <w:vAlign w:val="center"/>
          </w:tcPr>
          <w:p w14:paraId="2ED1F54B" w14:textId="17713BEE" w:rsidR="00731BDD" w:rsidRPr="00854D5A" w:rsidRDefault="00731BDD" w:rsidP="00F13609">
            <w:pPr>
              <w:ind w:right="-1"/>
              <w:jc w:val="center"/>
              <w:rPr>
                <w:i/>
              </w:rPr>
            </w:pPr>
            <w:r>
              <w:rPr>
                <w:i/>
              </w:rPr>
              <w:t>-</w:t>
            </w:r>
          </w:p>
        </w:tc>
        <w:tc>
          <w:tcPr>
            <w:tcW w:w="416" w:type="pct"/>
            <w:tcBorders>
              <w:top w:val="nil"/>
              <w:bottom w:val="nil"/>
            </w:tcBorders>
            <w:shd w:val="clear" w:color="auto" w:fill="FFFFFF"/>
            <w:vAlign w:val="center"/>
          </w:tcPr>
          <w:p w14:paraId="47BC1CA8" w14:textId="1962E295" w:rsidR="00731BDD" w:rsidRDefault="00010C97" w:rsidP="00F13609">
            <w:pPr>
              <w:ind w:right="-1"/>
              <w:jc w:val="center"/>
              <w:rPr>
                <w:i/>
                <w:szCs w:val="28"/>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g,i</m:t>
                    </m:r>
                  </m:sub>
                </m:sSub>
              </m:oMath>
            </m:oMathPara>
          </w:p>
        </w:tc>
        <w:tc>
          <w:tcPr>
            <w:tcW w:w="4010" w:type="pct"/>
            <w:tcBorders>
              <w:top w:val="nil"/>
              <w:bottom w:val="nil"/>
            </w:tcBorders>
            <w:shd w:val="clear" w:color="auto" w:fill="FFFFFF"/>
            <w:vAlign w:val="center"/>
          </w:tcPr>
          <w:p w14:paraId="16A42DC7" w14:textId="37D1E6D9" w:rsidR="00731BDD" w:rsidRDefault="00010C97" w:rsidP="00F13609">
            <w:pPr>
              <w:jc w:val="center"/>
              <w:rPr>
                <w:i/>
                <w:szCs w:val="28"/>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g,i</m:t>
                    </m:r>
                  </m:sub>
                </m:sSub>
                <m:r>
                  <w:rPr>
                    <w:rFonts w:ascii="Cambria Math" w:hAnsi="Cambria Math"/>
                    <w:szCs w:val="28"/>
                  </w:rPr>
                  <m:t>=</m:t>
                </m:r>
                <m:d>
                  <m:dPr>
                    <m:begChr m:val="{"/>
                    <m:endChr m:val=""/>
                    <m:ctrlPr>
                      <w:rPr>
                        <w:rFonts w:ascii="Cambria Math" w:hAnsi="Cambria Math"/>
                        <w:i/>
                        <w:szCs w:val="28"/>
                      </w:rPr>
                    </m:ctrlPr>
                  </m:dPr>
                  <m:e>
                    <m:eqArr>
                      <m:eqArrPr>
                        <m:ctrlPr>
                          <w:rPr>
                            <w:rFonts w:ascii="Cambria Math" w:hAnsi="Cambria Math"/>
                            <w:i/>
                            <w:szCs w:val="28"/>
                          </w:rPr>
                        </m:ctrlPr>
                      </m:eqArrPr>
                      <m:e>
                        <m:sSub>
                          <m:sSubPr>
                            <m:ctrlPr>
                              <w:rPr>
                                <w:rFonts w:ascii="Cambria Math" w:hAnsi="Cambria Math"/>
                                <w:i/>
                                <w:szCs w:val="28"/>
                              </w:rPr>
                            </m:ctrlPr>
                          </m:sSubPr>
                          <m:e>
                            <m:r>
                              <w:rPr>
                                <w:rFonts w:ascii="Cambria Math" w:hAnsi="Cambria Math"/>
                                <w:szCs w:val="28"/>
                              </w:rPr>
                              <m:t>q</m:t>
                            </m:r>
                          </m:e>
                          <m:sub>
                            <m:r>
                              <w:rPr>
                                <w:rFonts w:ascii="Cambria Math" w:hAnsi="Cambria Math"/>
                                <w:szCs w:val="28"/>
                              </w:rPr>
                              <m:t>g,cond,i</m:t>
                            </m:r>
                          </m:sub>
                        </m:sSub>
                        <m:r>
                          <w:rPr>
                            <w:rFonts w:ascii="Cambria Math" w:hAnsi="Cambria Math"/>
                            <w:szCs w:val="28"/>
                          </w:rPr>
                          <m:t xml:space="preserve">   if Gr&lt;2860</m:t>
                        </m:r>
                      </m:e>
                      <m:e>
                        <m:sSub>
                          <m:sSubPr>
                            <m:ctrlPr>
                              <w:rPr>
                                <w:rFonts w:ascii="Cambria Math" w:hAnsi="Cambria Math"/>
                                <w:i/>
                                <w:szCs w:val="28"/>
                              </w:rPr>
                            </m:ctrlPr>
                          </m:sSubPr>
                          <m:e>
                            <m:r>
                              <w:rPr>
                                <w:rFonts w:ascii="Cambria Math" w:hAnsi="Cambria Math"/>
                                <w:szCs w:val="28"/>
                              </w:rPr>
                              <m:t>q</m:t>
                            </m:r>
                          </m:e>
                          <m:sub>
                            <m:r>
                              <w:rPr>
                                <w:rFonts w:ascii="Cambria Math" w:hAnsi="Cambria Math"/>
                                <w:szCs w:val="28"/>
                              </w:rPr>
                              <m:t>g,conv,i</m:t>
                            </m:r>
                          </m:sub>
                        </m:sSub>
                        <m:r>
                          <w:rPr>
                            <w:rFonts w:ascii="Cambria Math" w:hAnsi="Cambria Math"/>
                            <w:szCs w:val="28"/>
                          </w:rPr>
                          <m:t xml:space="preserve">   if Gr≥2860</m:t>
                        </m:r>
                      </m:e>
                    </m:eqArr>
                  </m:e>
                </m:d>
              </m:oMath>
            </m:oMathPara>
          </w:p>
        </w:tc>
        <w:tc>
          <w:tcPr>
            <w:tcW w:w="321" w:type="pct"/>
            <w:tcBorders>
              <w:top w:val="nil"/>
              <w:bottom w:val="nil"/>
            </w:tcBorders>
            <w:shd w:val="clear" w:color="auto" w:fill="FFFFFF"/>
            <w:vAlign w:val="center"/>
          </w:tcPr>
          <w:p w14:paraId="337CEF7B" w14:textId="357DE4C1" w:rsidR="00731BDD" w:rsidRDefault="00F13609" w:rsidP="00F13609">
            <w:pPr>
              <w:ind w:right="-1"/>
              <w:jc w:val="center"/>
            </w:pPr>
            <w:r>
              <w:t>(</w:t>
            </w:r>
            <w:r w:rsidR="00A12DB8">
              <w:t>9</w:t>
            </w:r>
            <w:r>
              <w:t>)</w:t>
            </w:r>
          </w:p>
        </w:tc>
      </w:tr>
      <w:tr w:rsidR="00B22129" w:rsidRPr="00854D5A" w14:paraId="4D4AF77B" w14:textId="77777777" w:rsidTr="00564CDE">
        <w:tc>
          <w:tcPr>
            <w:tcW w:w="253" w:type="pct"/>
            <w:tcBorders>
              <w:top w:val="nil"/>
              <w:bottom w:val="nil"/>
            </w:tcBorders>
            <w:shd w:val="clear" w:color="auto" w:fill="FFFFFF"/>
            <w:vAlign w:val="center"/>
          </w:tcPr>
          <w:p w14:paraId="32680D1F" w14:textId="77777777" w:rsidR="00B22129" w:rsidRPr="00854D5A" w:rsidRDefault="00B22129" w:rsidP="00F13609">
            <w:pPr>
              <w:ind w:right="-1"/>
              <w:jc w:val="center"/>
              <w:rPr>
                <w:i/>
              </w:rPr>
            </w:pPr>
            <w:r w:rsidRPr="00854D5A">
              <w:rPr>
                <w:rFonts w:cs="Arial"/>
                <w:szCs w:val="18"/>
              </w:rPr>
              <w:t>-</w:t>
            </w:r>
          </w:p>
        </w:tc>
        <w:tc>
          <w:tcPr>
            <w:tcW w:w="416" w:type="pct"/>
            <w:tcBorders>
              <w:top w:val="nil"/>
              <w:bottom w:val="nil"/>
            </w:tcBorders>
            <w:shd w:val="clear" w:color="auto" w:fill="FFFFFF"/>
            <w:vAlign w:val="center"/>
          </w:tcPr>
          <w:p w14:paraId="5CCC21B2" w14:textId="77777777" w:rsidR="00B22129" w:rsidRPr="00854D5A" w:rsidRDefault="00010C97" w:rsidP="00F13609">
            <w:pPr>
              <w:ind w:right="-1"/>
              <w:jc w:val="center"/>
              <w:rPr>
                <w:i/>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g,cond,i</m:t>
                    </m:r>
                  </m:sub>
                </m:sSub>
              </m:oMath>
            </m:oMathPara>
          </w:p>
        </w:tc>
        <w:tc>
          <w:tcPr>
            <w:tcW w:w="4010" w:type="pct"/>
            <w:tcBorders>
              <w:top w:val="nil"/>
              <w:bottom w:val="nil"/>
            </w:tcBorders>
            <w:shd w:val="clear" w:color="auto" w:fill="FFFFFF"/>
            <w:vAlign w:val="center"/>
          </w:tcPr>
          <w:p w14:paraId="1E3595CA" w14:textId="77777777" w:rsidR="00B22129" w:rsidRPr="00854D5A" w:rsidRDefault="00010C97" w:rsidP="00F13609">
            <w:pPr>
              <w:jc w:val="left"/>
              <w:rPr>
                <w:i/>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g,cond,i</m:t>
                    </m:r>
                  </m:sub>
                </m:sSub>
                <m:r>
                  <w:rPr>
                    <w:rFonts w:ascii="Cambria Math" w:hAnsi="Cambria Math"/>
                    <w:szCs w:val="28"/>
                  </w:rPr>
                  <m:t>=</m:t>
                </m:r>
                <m:sSup>
                  <m:sSupPr>
                    <m:ctrlPr>
                      <w:rPr>
                        <w:rFonts w:ascii="Cambria Math" w:hAnsi="Cambria Math"/>
                        <w:i/>
                        <w:szCs w:val="28"/>
                      </w:rPr>
                    </m:ctrlPr>
                  </m:sSupPr>
                  <m:e>
                    <m:d>
                      <m:dPr>
                        <m:begChr m:val="["/>
                        <m:endChr m:val="]"/>
                        <m:ctrlPr>
                          <w:rPr>
                            <w:rFonts w:ascii="Cambria Math" w:hAnsi="Cambria Math"/>
                            <w:i/>
                            <w:szCs w:val="28"/>
                          </w:rPr>
                        </m:ctrlPr>
                      </m:dPr>
                      <m:e>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D</m:t>
                                </m:r>
                              </m:e>
                              <m:sub>
                                <m:r>
                                  <w:rPr>
                                    <w:rFonts w:ascii="Cambria Math" w:hAnsi="Cambria Math"/>
                                    <w:szCs w:val="28"/>
                                  </w:rPr>
                                  <m:t>x</m:t>
                                </m:r>
                              </m:sub>
                            </m:sSub>
                          </m:num>
                          <m:den>
                            <m:sSub>
                              <m:sSubPr>
                                <m:ctrlPr>
                                  <w:rPr>
                                    <w:rFonts w:ascii="Cambria Math" w:hAnsi="Cambria Math"/>
                                    <w:i/>
                                    <w:szCs w:val="28"/>
                                  </w:rPr>
                                </m:ctrlPr>
                              </m:sSubPr>
                              <m:e>
                                <m:r>
                                  <w:rPr>
                                    <w:rFonts w:ascii="Cambria Math" w:hAnsi="Cambria Math"/>
                                    <w:szCs w:val="28"/>
                                  </w:rPr>
                                  <m:t>k</m:t>
                                </m:r>
                              </m:e>
                              <m:sub>
                                <m:r>
                                  <w:rPr>
                                    <w:rFonts w:ascii="Cambria Math" w:hAnsi="Cambria Math"/>
                                    <w:szCs w:val="28"/>
                                  </w:rPr>
                                  <m:t>g</m:t>
                                </m:r>
                              </m:sub>
                            </m:sSub>
                          </m:den>
                        </m:f>
                        <m:r>
                          <w:rPr>
                            <w:rFonts w:ascii="Cambria Math" w:hAnsi="Cambria Math"/>
                            <w:szCs w:val="28"/>
                          </w:rPr>
                          <m:t>+</m:t>
                        </m:r>
                        <m:f>
                          <m:fPr>
                            <m:ctrlPr>
                              <w:rPr>
                                <w:rFonts w:ascii="Cambria Math" w:hAnsi="Cambria Math"/>
                                <w:i/>
                                <w:szCs w:val="28"/>
                              </w:rPr>
                            </m:ctrlPr>
                          </m:fPr>
                          <m:num>
                            <m:r>
                              <w:rPr>
                                <w:rFonts w:ascii="Cambria Math" w:hAnsi="Cambria Math"/>
                                <w:szCs w:val="28"/>
                              </w:rPr>
                              <m:t>2-</m:t>
                            </m:r>
                            <w:bookmarkStart w:id="5" w:name="_Hlk146555425"/>
                            <m:r>
                              <w:rPr>
                                <w:rFonts w:ascii="Cambria Math" w:hAnsi="Cambria Math"/>
                                <w:szCs w:val="28"/>
                              </w:rPr>
                              <m:t>θ</m:t>
                            </m:r>
                            <w:bookmarkEnd w:id="5"/>
                          </m:num>
                          <m:den>
                            <m:r>
                              <w:rPr>
                                <w:rFonts w:ascii="Cambria Math" w:hAnsi="Cambria Math"/>
                                <w:szCs w:val="28"/>
                              </w:rPr>
                              <m:t>θ</m:t>
                            </m:r>
                          </m:den>
                        </m:f>
                        <m:r>
                          <w:rPr>
                            <w:rFonts w:ascii="Cambria Math" w:hAnsi="Cambria Math"/>
                            <w:szCs w:val="28"/>
                          </w:rPr>
                          <m:t>·</m:t>
                        </m:r>
                        <m:f>
                          <m:fPr>
                            <m:ctrlPr>
                              <w:rPr>
                                <w:rFonts w:ascii="Cambria Math" w:hAnsi="Cambria Math"/>
                                <w:i/>
                                <w:szCs w:val="28"/>
                              </w:rPr>
                            </m:ctrlPr>
                          </m:fPr>
                          <m:num>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πMT</m:t>
                                    </m:r>
                                  </m:num>
                                  <m:den>
                                    <m:r>
                                      <w:rPr>
                                        <w:rFonts w:ascii="Cambria Math" w:hAnsi="Cambria Math"/>
                                        <w:szCs w:val="28"/>
                                      </w:rPr>
                                      <m:t>2R</m:t>
                                    </m:r>
                                  </m:den>
                                </m:f>
                              </m:e>
                            </m:rad>
                          </m:num>
                          <m:den>
                            <m:d>
                              <m:dPr>
                                <m:ctrlPr>
                                  <w:rPr>
                                    <w:rFonts w:ascii="Cambria Math" w:hAnsi="Cambria Math"/>
                                    <w:i/>
                                    <w:szCs w:val="28"/>
                                  </w:rPr>
                                </m:ctrlPr>
                              </m:dPr>
                              <m:e>
                                <m:r>
                                  <w:rPr>
                                    <w:rFonts w:ascii="Cambria Math" w:hAnsi="Cambria Math"/>
                                    <w:szCs w:val="28"/>
                                  </w:rPr>
                                  <m:t>1+</m:t>
                                </m:r>
                                <m:f>
                                  <m:fPr>
                                    <m:ctrlPr>
                                      <w:rPr>
                                        <w:rFonts w:ascii="Cambria Math" w:hAnsi="Cambria Math"/>
                                        <w:i/>
                                        <w:szCs w:val="28"/>
                                      </w:rPr>
                                    </m:ctrlPr>
                                  </m:fPr>
                                  <m:num>
                                    <m:r>
                                      <w:rPr>
                                        <w:rFonts w:ascii="Cambria Math" w:hAnsi="Cambria Math"/>
                                        <w:szCs w:val="28"/>
                                      </w:rPr>
                                      <m:t>ζ</m:t>
                                    </m:r>
                                  </m:num>
                                  <m:den>
                                    <m:r>
                                      <w:rPr>
                                        <w:rFonts w:ascii="Cambria Math" w:hAnsi="Cambria Math"/>
                                        <w:szCs w:val="28"/>
                                      </w:rPr>
                                      <m:t>4</m:t>
                                    </m:r>
                                  </m:den>
                                </m:f>
                              </m:e>
                            </m:d>
                            <m:sSub>
                              <m:sSubPr>
                                <m:ctrlPr>
                                  <w:rPr>
                                    <w:rFonts w:ascii="Cambria Math" w:hAnsi="Cambria Math"/>
                                    <w:i/>
                                    <w:iCs/>
                                    <w:szCs w:val="28"/>
                                  </w:rPr>
                                </m:ctrlPr>
                              </m:sSubPr>
                              <m:e>
                                <m:r>
                                  <w:rPr>
                                    <w:rFonts w:ascii="Cambria Math" w:hAnsi="Cambria Math"/>
                                    <w:szCs w:val="28"/>
                                  </w:rPr>
                                  <m:t>P</m:t>
                                </m:r>
                              </m:e>
                              <m:sub>
                                <m:r>
                                  <w:rPr>
                                    <w:rFonts w:ascii="Cambria Math" w:hAnsi="Cambria Math"/>
                                    <w:szCs w:val="28"/>
                                  </w:rPr>
                                  <m:t>r</m:t>
                                </m:r>
                              </m:sub>
                            </m:sSub>
                          </m:den>
                        </m:f>
                      </m:e>
                    </m:d>
                  </m:e>
                  <m:sup>
                    <m:r>
                      <w:rPr>
                        <w:rFonts w:ascii="Cambria Math" w:hAnsi="Cambria Math"/>
                        <w:szCs w:val="28"/>
                      </w:rPr>
                      <m:t>-1</m:t>
                    </m:r>
                  </m:sup>
                </m:sSup>
                <m:d>
                  <m:dPr>
                    <m:ctrlPr>
                      <w:rPr>
                        <w:rFonts w:ascii="Cambria Math" w:eastAsia="Calibri" w:hAnsi="Cambria Math"/>
                        <w:i/>
                        <w:szCs w:val="28"/>
                      </w:rPr>
                    </m:ctrlPr>
                  </m:dPr>
                  <m:e>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m:t>
                        </m:r>
                      </m:sub>
                    </m:sSub>
                    <m:r>
                      <w:rPr>
                        <w:rFonts w:ascii="Cambria Math" w:eastAsia="Calibri" w:hAnsi="Cambria Math"/>
                        <w:szCs w:val="28"/>
                      </w:rPr>
                      <m:t>-</m:t>
                    </m:r>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i-1</m:t>
                        </m:r>
                      </m:sub>
                    </m:sSub>
                  </m:e>
                </m:d>
              </m:oMath>
            </m:oMathPara>
          </w:p>
        </w:tc>
        <w:tc>
          <w:tcPr>
            <w:tcW w:w="321" w:type="pct"/>
            <w:tcBorders>
              <w:top w:val="nil"/>
              <w:bottom w:val="nil"/>
            </w:tcBorders>
            <w:shd w:val="clear" w:color="auto" w:fill="FFFFFF"/>
            <w:vAlign w:val="center"/>
          </w:tcPr>
          <w:p w14:paraId="08C01DFC" w14:textId="6912F6B6" w:rsidR="00B22129" w:rsidRPr="00854D5A" w:rsidRDefault="00B22129" w:rsidP="00F13609">
            <w:pPr>
              <w:ind w:right="-1"/>
              <w:jc w:val="center"/>
            </w:pPr>
            <w:r w:rsidRPr="00854D5A">
              <w:rPr>
                <w:rFonts w:cs="Arial"/>
                <w:szCs w:val="18"/>
              </w:rPr>
              <w:t>(</w:t>
            </w:r>
            <w:r w:rsidR="00A12DB8">
              <w:rPr>
                <w:rFonts w:cs="Arial"/>
                <w:szCs w:val="18"/>
              </w:rPr>
              <w:t>10</w:t>
            </w:r>
            <w:r w:rsidRPr="00854D5A">
              <w:rPr>
                <w:rFonts w:cs="Arial"/>
                <w:szCs w:val="18"/>
              </w:rPr>
              <w:t>)</w:t>
            </w:r>
          </w:p>
        </w:tc>
      </w:tr>
      <w:tr w:rsidR="00B22129" w:rsidRPr="00854D5A" w14:paraId="4C5F56F7" w14:textId="77777777" w:rsidTr="00564CDE">
        <w:tc>
          <w:tcPr>
            <w:tcW w:w="253" w:type="pct"/>
            <w:tcBorders>
              <w:top w:val="nil"/>
              <w:bottom w:val="single" w:sz="12" w:space="0" w:color="008000"/>
            </w:tcBorders>
            <w:shd w:val="clear" w:color="auto" w:fill="FFFFFF"/>
            <w:vAlign w:val="center"/>
          </w:tcPr>
          <w:p w14:paraId="50050698" w14:textId="77777777" w:rsidR="00B22129" w:rsidRPr="00854D5A" w:rsidRDefault="00B22129" w:rsidP="00F13609">
            <w:pPr>
              <w:ind w:right="-1"/>
              <w:jc w:val="center"/>
              <w:rPr>
                <w:rFonts w:cs="Arial"/>
                <w:szCs w:val="18"/>
              </w:rPr>
            </w:pPr>
            <w:r w:rsidRPr="00854D5A">
              <w:rPr>
                <w:rFonts w:cs="Arial"/>
                <w:szCs w:val="18"/>
              </w:rPr>
              <w:t>-</w:t>
            </w:r>
          </w:p>
        </w:tc>
        <w:tc>
          <w:tcPr>
            <w:tcW w:w="416" w:type="pct"/>
            <w:tcBorders>
              <w:top w:val="nil"/>
              <w:bottom w:val="single" w:sz="12" w:space="0" w:color="008000"/>
            </w:tcBorders>
            <w:shd w:val="clear" w:color="auto" w:fill="FFFFFF"/>
            <w:vAlign w:val="center"/>
          </w:tcPr>
          <w:p w14:paraId="6BDAD80C" w14:textId="77777777" w:rsidR="00B22129" w:rsidRPr="00854D5A" w:rsidRDefault="00010C97" w:rsidP="00F13609">
            <w:pPr>
              <w:ind w:right="-1"/>
              <w:jc w:val="center"/>
              <w:rPr>
                <w:rFonts w:cs="Arial"/>
                <w:i/>
                <w:szCs w:val="18"/>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conv,i</m:t>
                    </m:r>
                  </m:sub>
                </m:sSub>
              </m:oMath>
            </m:oMathPara>
          </w:p>
        </w:tc>
        <w:tc>
          <w:tcPr>
            <w:tcW w:w="4010" w:type="pct"/>
            <w:tcBorders>
              <w:top w:val="nil"/>
              <w:bottom w:val="single" w:sz="12" w:space="0" w:color="008000"/>
            </w:tcBorders>
            <w:shd w:val="clear" w:color="auto" w:fill="FFFFFF"/>
            <w:vAlign w:val="center"/>
          </w:tcPr>
          <w:p w14:paraId="459F349A" w14:textId="431F8769" w:rsidR="00B22129" w:rsidRPr="00854D5A" w:rsidRDefault="00010C97" w:rsidP="00F13609">
            <w:pPr>
              <w:jc w:val="left"/>
              <w:rPr>
                <w:rFonts w:cs="Arial"/>
                <w:szCs w:val="18"/>
              </w:rPr>
            </w:pPr>
            <m:oMathPara>
              <m:oMath>
                <m:sSub>
                  <m:sSubPr>
                    <m:ctrlPr>
                      <w:rPr>
                        <w:rFonts w:ascii="Cambria Math" w:hAnsi="Cambria Math"/>
                        <w:i/>
                        <w:szCs w:val="28"/>
                      </w:rPr>
                    </m:ctrlPr>
                  </m:sSubPr>
                  <m:e>
                    <m:r>
                      <w:rPr>
                        <w:rFonts w:ascii="Cambria Math" w:hAnsi="Cambria Math"/>
                        <w:szCs w:val="28"/>
                      </w:rPr>
                      <m:t>q</m:t>
                    </m:r>
                  </m:e>
                  <m:sub>
                    <m:r>
                      <w:rPr>
                        <w:rFonts w:ascii="Cambria Math" w:hAnsi="Cambria Math"/>
                        <w:szCs w:val="28"/>
                      </w:rPr>
                      <m:t>g,conv,i</m:t>
                    </m:r>
                  </m:sub>
                </m:sSub>
                <m:r>
                  <w:rPr>
                    <w:rFonts w:ascii="Cambria Math" w:hAnsi="Cambria Math"/>
                    <w:szCs w:val="28"/>
                  </w:rPr>
                  <m:t>=Nu</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k</m:t>
                        </m:r>
                      </m:e>
                      <m:sub>
                        <m:r>
                          <w:rPr>
                            <w:rFonts w:ascii="Cambria Math" w:hAnsi="Cambria Math"/>
                            <w:szCs w:val="28"/>
                          </w:rPr>
                          <m:t>g</m:t>
                        </m:r>
                      </m:sub>
                    </m:sSub>
                  </m:num>
                  <m:den>
                    <m:sSub>
                      <m:sSubPr>
                        <m:ctrlPr>
                          <w:rPr>
                            <w:rFonts w:ascii="Cambria Math" w:hAnsi="Cambria Math"/>
                            <w:i/>
                            <w:szCs w:val="28"/>
                          </w:rPr>
                        </m:ctrlPr>
                      </m:sSubPr>
                      <m:e>
                        <m:r>
                          <w:rPr>
                            <w:rFonts w:ascii="Cambria Math" w:hAnsi="Cambria Math"/>
                            <w:szCs w:val="28"/>
                          </w:rPr>
                          <m:t>D</m:t>
                        </m:r>
                      </m:e>
                      <m:sub>
                        <m:r>
                          <w:rPr>
                            <w:rFonts w:ascii="Cambria Math" w:hAnsi="Cambria Math"/>
                            <w:szCs w:val="28"/>
                          </w:rPr>
                          <m:t>x</m:t>
                        </m:r>
                      </m:sub>
                    </m:sSub>
                  </m:den>
                </m:f>
                <m:d>
                  <m:dPr>
                    <m:ctrlPr>
                      <w:rPr>
                        <w:rFonts w:ascii="Cambria Math" w:eastAsia="Calibri" w:hAnsi="Cambria Math"/>
                        <w:i/>
                        <w:szCs w:val="28"/>
                      </w:rPr>
                    </m:ctrlPr>
                  </m:dPr>
                  <m:e>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m:t>
                        </m:r>
                      </m:sub>
                    </m:sSub>
                    <m:r>
                      <w:rPr>
                        <w:rFonts w:ascii="Cambria Math" w:eastAsia="Calibri" w:hAnsi="Cambria Math"/>
                        <w:szCs w:val="28"/>
                      </w:rPr>
                      <m:t>-</m:t>
                    </m:r>
                    <m:sSub>
                      <m:sSubPr>
                        <m:ctrlPr>
                          <w:rPr>
                            <w:rFonts w:ascii="Cambria Math" w:eastAsia="Calibri" w:hAnsi="Cambria Math"/>
                            <w:i/>
                            <w:szCs w:val="28"/>
                          </w:rPr>
                        </m:ctrlPr>
                      </m:sSubPr>
                      <m:e>
                        <m:r>
                          <w:rPr>
                            <w:rFonts w:ascii="Cambria Math" w:eastAsia="Calibri" w:hAnsi="Cambria Math"/>
                            <w:szCs w:val="28"/>
                          </w:rPr>
                          <m:t>T</m:t>
                        </m:r>
                      </m:e>
                      <m:sub>
                        <m:r>
                          <w:rPr>
                            <w:rFonts w:ascii="Cambria Math" w:eastAsia="Calibri" w:hAnsi="Cambria Math"/>
                            <w:szCs w:val="28"/>
                          </w:rPr>
                          <m:t>i-1</m:t>
                        </m:r>
                      </m:sub>
                    </m:sSub>
                  </m:e>
                </m:d>
              </m:oMath>
            </m:oMathPara>
          </w:p>
        </w:tc>
        <w:tc>
          <w:tcPr>
            <w:tcW w:w="321" w:type="pct"/>
            <w:tcBorders>
              <w:top w:val="nil"/>
              <w:bottom w:val="single" w:sz="12" w:space="0" w:color="008000"/>
            </w:tcBorders>
            <w:shd w:val="clear" w:color="auto" w:fill="FFFFFF"/>
            <w:vAlign w:val="center"/>
          </w:tcPr>
          <w:p w14:paraId="07B1D5AF" w14:textId="7AD983E4" w:rsidR="00B22129" w:rsidRPr="00854D5A" w:rsidRDefault="00B22129" w:rsidP="00F13609">
            <w:pPr>
              <w:ind w:right="-1"/>
              <w:jc w:val="center"/>
              <w:rPr>
                <w:rFonts w:cs="Arial"/>
                <w:szCs w:val="18"/>
              </w:rPr>
            </w:pPr>
            <w:r>
              <w:rPr>
                <w:rFonts w:cs="Arial"/>
                <w:szCs w:val="18"/>
              </w:rPr>
              <w:t>(</w:t>
            </w:r>
            <w:r w:rsidR="00F13609">
              <w:rPr>
                <w:rFonts w:cs="Arial"/>
                <w:szCs w:val="18"/>
              </w:rPr>
              <w:t>1</w:t>
            </w:r>
            <w:r w:rsidR="00A12DB8">
              <w:rPr>
                <w:rFonts w:cs="Arial"/>
                <w:szCs w:val="18"/>
              </w:rPr>
              <w:t>1</w:t>
            </w:r>
            <w:r>
              <w:rPr>
                <w:rFonts w:cs="Arial"/>
                <w:szCs w:val="18"/>
              </w:rPr>
              <w:t>)</w:t>
            </w:r>
          </w:p>
        </w:tc>
      </w:tr>
    </w:tbl>
    <w:bookmarkEnd w:id="4"/>
    <w:p w14:paraId="73DFDFAC" w14:textId="1D824274" w:rsidR="00854D5A" w:rsidRDefault="00564CDE" w:rsidP="000A07B8">
      <w:pPr>
        <w:pStyle w:val="CETBodytext"/>
        <w:spacing w:before="120"/>
      </w:pPr>
      <w:r w:rsidRPr="000C2977">
        <w:rPr>
          <w:color w:val="000000" w:themeColor="text1"/>
        </w:rPr>
        <w:t>This is calculated as the sum of three different heat transfer mechanisms (</w:t>
      </w:r>
      <w:r w:rsidR="000C2977" w:rsidRPr="00D967EC">
        <w:rPr>
          <w:i/>
        </w:rPr>
        <w:t>q</w:t>
      </w:r>
      <w:r w:rsidR="000C2977" w:rsidRPr="00D967EC">
        <w:rPr>
          <w:i/>
          <w:vertAlign w:val="subscript"/>
        </w:rPr>
        <w:t>,r</w:t>
      </w:r>
      <w:r w:rsidR="000C2977">
        <w:rPr>
          <w:i/>
          <w:vertAlign w:val="subscript"/>
        </w:rPr>
        <w:t>l</w:t>
      </w:r>
      <w:r w:rsidR="000C2977">
        <w:rPr>
          <w:color w:val="000000" w:themeColor="text1"/>
        </w:rPr>
        <w:t>,</w:t>
      </w:r>
      <w:r w:rsidR="000C2977" w:rsidRPr="000C2977">
        <w:rPr>
          <w:color w:val="000000" w:themeColor="text1"/>
        </w:rPr>
        <w:t xml:space="preserve"> </w:t>
      </w:r>
      <w:r w:rsidR="00291832">
        <w:rPr>
          <w:color w:val="000000" w:themeColor="text1"/>
        </w:rPr>
        <w:t>Eq(6)</w:t>
      </w:r>
      <w:r w:rsidRPr="000C2977">
        <w:rPr>
          <w:color w:val="000000" w:themeColor="text1"/>
        </w:rPr>
        <w:t xml:space="preserve">). </w:t>
      </w:r>
      <w:r>
        <w:t xml:space="preserve">The first one is the thermal </w:t>
      </w:r>
      <w:r w:rsidR="00A21A2F" w:rsidRPr="00747FC7">
        <w:t>radiation between each layer (</w:t>
      </w:r>
      <w:r w:rsidR="00A21A2F" w:rsidRPr="00D967EC">
        <w:rPr>
          <w:i/>
        </w:rPr>
        <w:t>q</w:t>
      </w:r>
      <w:r w:rsidR="00A21A2F" w:rsidRPr="00D967EC">
        <w:rPr>
          <w:i/>
          <w:vertAlign w:val="subscript"/>
        </w:rPr>
        <w:t>,rad</w:t>
      </w:r>
      <w:r w:rsidR="00A21A2F" w:rsidRPr="00747FC7">
        <w:t xml:space="preserve">, </w:t>
      </w:r>
      <w:r w:rsidR="00291832">
        <w:t>E</w:t>
      </w:r>
      <w:r w:rsidR="00A21A2F" w:rsidRPr="00747FC7">
        <w:t>q</w:t>
      </w:r>
      <w:r w:rsidR="00291832">
        <w:t>(7)</w:t>
      </w:r>
      <w:r w:rsidR="00A21A2F" w:rsidRPr="00747FC7">
        <w:t>)</w:t>
      </w:r>
      <w:r>
        <w:t xml:space="preserve">. The second one is the </w:t>
      </w:r>
      <w:r w:rsidR="00A21A2F" w:rsidRPr="00747FC7">
        <w:t>solid conduction through the spacer material (</w:t>
      </w:r>
      <w:r w:rsidR="00A21A2F" w:rsidRPr="00D967EC">
        <w:rPr>
          <w:i/>
        </w:rPr>
        <w:t>q</w:t>
      </w:r>
      <w:r w:rsidR="00A21A2F" w:rsidRPr="00D967EC">
        <w:rPr>
          <w:i/>
          <w:vertAlign w:val="subscript"/>
        </w:rPr>
        <w:t>s,cond</w:t>
      </w:r>
      <w:r w:rsidR="00A21A2F" w:rsidRPr="00747FC7">
        <w:t xml:space="preserve">, </w:t>
      </w:r>
      <w:r w:rsidR="00291832">
        <w:t>Eq(8)</w:t>
      </w:r>
      <w:r>
        <w:t>). The last mechanism is the heat transfer through gas</w:t>
      </w:r>
      <w:r w:rsidR="000C2977">
        <w:t xml:space="preserve"> </w:t>
      </w:r>
      <w:r w:rsidR="000C2977" w:rsidRPr="00747FC7">
        <w:t>(</w:t>
      </w:r>
      <w:r w:rsidR="000C2977" w:rsidRPr="00D967EC">
        <w:rPr>
          <w:i/>
        </w:rPr>
        <w:t>q</w:t>
      </w:r>
      <w:r w:rsidR="000C2977" w:rsidRPr="00D967EC">
        <w:rPr>
          <w:i/>
          <w:vertAlign w:val="subscript"/>
        </w:rPr>
        <w:t>g</w:t>
      </w:r>
      <w:r w:rsidR="000C2977">
        <w:t>,</w:t>
      </w:r>
      <w:r w:rsidR="000C2977" w:rsidRPr="00747FC7">
        <w:t xml:space="preserve"> </w:t>
      </w:r>
      <w:r w:rsidR="00291832">
        <w:t>Eq(</w:t>
      </w:r>
      <w:r w:rsidR="000C2977">
        <w:t>9</w:t>
      </w:r>
      <w:r w:rsidR="00291832">
        <w:t>)</w:t>
      </w:r>
      <w:r w:rsidR="000C2977" w:rsidRPr="00747FC7">
        <w:t>)</w:t>
      </w:r>
      <w:r>
        <w:t>. This is represented by gas conduction</w:t>
      </w:r>
      <w:r w:rsidR="000C2977">
        <w:t xml:space="preserve"> </w:t>
      </w:r>
      <w:r w:rsidR="000C2977" w:rsidRPr="00747FC7">
        <w:t>(</w:t>
      </w:r>
      <w:r w:rsidR="000C2977" w:rsidRPr="00D967EC">
        <w:rPr>
          <w:i/>
        </w:rPr>
        <w:t>q</w:t>
      </w:r>
      <w:r w:rsidR="000C2977" w:rsidRPr="00D967EC">
        <w:rPr>
          <w:i/>
          <w:vertAlign w:val="subscript"/>
        </w:rPr>
        <w:t>g</w:t>
      </w:r>
      <w:r w:rsidR="000C2977">
        <w:rPr>
          <w:i/>
          <w:vertAlign w:val="subscript"/>
        </w:rPr>
        <w:t>,cond</w:t>
      </w:r>
      <w:r w:rsidR="000C2977">
        <w:t>,</w:t>
      </w:r>
      <w:r w:rsidR="000C2977" w:rsidRPr="00747FC7">
        <w:t xml:space="preserve"> </w:t>
      </w:r>
      <w:r w:rsidR="00291832">
        <w:t>Eq(10)</w:t>
      </w:r>
      <w:r w:rsidR="000C2977" w:rsidRPr="00747FC7">
        <w:t>)</w:t>
      </w:r>
      <w:r w:rsidR="003F6AB1">
        <w:t>,</w:t>
      </w:r>
      <w:r w:rsidR="0034542A">
        <w:t xml:space="preserve"> expressed according to Sherman (1963)</w:t>
      </w:r>
      <w:r w:rsidR="003F6AB1">
        <w:t>,</w:t>
      </w:r>
      <w:r>
        <w:t xml:space="preserve"> when the Grashof number, </w:t>
      </w:r>
      <w:r w:rsidRPr="00564CDE">
        <w:rPr>
          <w:i/>
        </w:rPr>
        <w:t>Gr</w:t>
      </w:r>
      <w:r>
        <w:rPr>
          <w:i/>
        </w:rPr>
        <w:t>,</w:t>
      </w:r>
      <w:r>
        <w:t xml:space="preserve"> is lower than 2860 (Xie et al., 2010)</w:t>
      </w:r>
      <w:r w:rsidR="000C2977">
        <w:t>. Otherwise,</w:t>
      </w:r>
      <w:r>
        <w:t xml:space="preserve"> gas convection prevails</w:t>
      </w:r>
      <w:r w:rsidR="000C2977">
        <w:t xml:space="preserve"> (</w:t>
      </w:r>
      <w:r w:rsidR="000C2977" w:rsidRPr="00D967EC">
        <w:rPr>
          <w:i/>
        </w:rPr>
        <w:t>q</w:t>
      </w:r>
      <w:r w:rsidR="000C2977" w:rsidRPr="00D967EC">
        <w:rPr>
          <w:i/>
          <w:vertAlign w:val="subscript"/>
        </w:rPr>
        <w:t>g</w:t>
      </w:r>
      <w:r w:rsidR="000C2977">
        <w:rPr>
          <w:i/>
          <w:vertAlign w:val="subscript"/>
        </w:rPr>
        <w:t>,conv</w:t>
      </w:r>
      <w:r w:rsidR="000C2977">
        <w:t>,</w:t>
      </w:r>
      <w:r w:rsidR="000C2977" w:rsidRPr="00747FC7">
        <w:t xml:space="preserve"> </w:t>
      </w:r>
      <w:r w:rsidR="00291832">
        <w:t>Eq(11)</w:t>
      </w:r>
      <w:r w:rsidR="000C2977">
        <w:t xml:space="preserve">), which is calculated according to Xie et al. (2010). </w:t>
      </w:r>
      <w:r w:rsidR="00FB14A2">
        <w:t xml:space="preserve">All the N nodes share the same heat balance, except for the 1-st and the N-th ones. </w:t>
      </w:r>
      <w:r w:rsidR="00FB14A2" w:rsidRPr="00A37CC3">
        <w:t>In fact, these face the inner and outer shells, respectively</w:t>
      </w:r>
      <w:r w:rsidR="00FB14A2" w:rsidRPr="00747FC7">
        <w:t>.</w:t>
      </w:r>
      <w:r w:rsidR="00FB14A2">
        <w:t xml:space="preserve"> Since the 1-st radiative layer is separated from the inner shell of the vessel by a single spacer, the thermal balance in node 1 preserves the same form as those shown for the other layers, but </w:t>
      </w:r>
      <w:r w:rsidR="00291832">
        <w:t xml:space="preserve">Eq(2) </w:t>
      </w:r>
      <w:r w:rsidR="00FB14A2">
        <w:t xml:space="preserve">has to be modified </w:t>
      </w:r>
      <w:r w:rsidR="00124F37">
        <w:t>considering</w:t>
      </w:r>
      <w:r w:rsidR="00FB14A2">
        <w:t xml:space="preserve"> the emissivity of the inner shell surface material. On the contrary, a vacuum gap is present between the outer shell and the N-th radiative layer. Therefore, solid spacer conduction does not contribute to the overall heat flux entering the N-th node, </w:t>
      </w:r>
      <w:r w:rsidR="00FB14A2" w:rsidRPr="00D967EC">
        <w:rPr>
          <w:i/>
        </w:rPr>
        <w:t>q</w:t>
      </w:r>
      <w:r w:rsidR="00FB14A2" w:rsidRPr="00D967EC">
        <w:rPr>
          <w:i/>
          <w:vertAlign w:val="subscript"/>
        </w:rPr>
        <w:t>rl,N</w:t>
      </w:r>
      <w:r w:rsidR="00FB14A2">
        <w:t xml:space="preserve">, in </w:t>
      </w:r>
      <w:r w:rsidR="00291832">
        <w:t>Eq(4)</w:t>
      </w:r>
      <w:r w:rsidR="00FB14A2">
        <w:t>.</w:t>
      </w:r>
      <w:r w:rsidR="000A07B8">
        <w:t xml:space="preserve"> </w:t>
      </w:r>
      <w:r w:rsidR="00854D5A">
        <w:t xml:space="preserve">The high-temperature degradation of the MLI is simulated by assuming that each radiation layer is </w:t>
      </w:r>
      <w:r w:rsidR="00E80D41">
        <w:t xml:space="preserve">completely and instantaneously </w:t>
      </w:r>
      <w:r w:rsidR="00854D5A">
        <w:t>destroyed</w:t>
      </w:r>
      <w:r w:rsidR="00E80D41">
        <w:t xml:space="preserve"> once</w:t>
      </w:r>
      <w:r w:rsidR="00854D5A">
        <w:t xml:space="preserve"> its temperature reaches a specific degradation temperature, </w:t>
      </w:r>
      <w:r w:rsidR="00854D5A" w:rsidRPr="0000659C">
        <w:rPr>
          <w:i/>
        </w:rPr>
        <w:t>T</w:t>
      </w:r>
      <w:r w:rsidR="00854D5A" w:rsidRPr="0000659C">
        <w:rPr>
          <w:i/>
          <w:vertAlign w:val="subscript"/>
        </w:rPr>
        <w:t>deg</w:t>
      </w:r>
      <w:r w:rsidR="000A1998">
        <w:t>.</w:t>
      </w:r>
      <w:r w:rsidR="00854D5A">
        <w:t xml:space="preserve"> </w:t>
      </w:r>
      <w:r w:rsidR="00E80D41">
        <w:t>Then</w:t>
      </w:r>
      <w:r w:rsidR="00854D5A">
        <w:t xml:space="preserve">, </w:t>
      </w:r>
      <w:r w:rsidR="00E80D41">
        <w:t>the</w:t>
      </w:r>
      <w:r w:rsidR="00854D5A">
        <w:t xml:space="preserve"> layer is replaced by a vacuum gap of the same thickness</w:t>
      </w:r>
      <w:r w:rsidR="00E80D41">
        <w:t xml:space="preserve"> and o</w:t>
      </w:r>
      <w:r w:rsidR="00854D5A">
        <w:t>nly radiation, convection, and gas conduction are considered to exist between the first undamaged layer and the external shell. Further details on the degradation model are presented elsewhere (</w:t>
      </w:r>
      <w:r w:rsidR="00854D5A" w:rsidRPr="001B1F91">
        <w:rPr>
          <w:noProof/>
        </w:rPr>
        <w:t>Camplese et al. 2023)</w:t>
      </w:r>
      <w:r w:rsidR="00854D5A">
        <w:t>.</w:t>
      </w:r>
      <w:r w:rsidR="000A07B8">
        <w:t xml:space="preserve"> </w:t>
      </w:r>
      <w:r w:rsidR="00E80D41">
        <w:t xml:space="preserve">Finally, </w:t>
      </w:r>
      <w:r w:rsidR="00291832">
        <w:t xml:space="preserve">Eq(5) </w:t>
      </w:r>
      <w:r w:rsidR="006B04FE">
        <w:t xml:space="preserve">is </w:t>
      </w:r>
      <w:r w:rsidR="00E80D41">
        <w:t>used to solve t</w:t>
      </w:r>
      <w:r w:rsidR="00854D5A" w:rsidRPr="0000659C">
        <w:t>he</w:t>
      </w:r>
      <w:r w:rsidR="00E80D41">
        <w:t xml:space="preserve"> heat balance on the external shell node, </w:t>
      </w:r>
      <w:r w:rsidR="00E80D41" w:rsidRPr="00E80D41">
        <w:rPr>
          <w:i/>
        </w:rPr>
        <w:t>S</w:t>
      </w:r>
      <w:r w:rsidR="00E80D41" w:rsidRPr="00E80D41">
        <w:rPr>
          <w:i/>
          <w:vertAlign w:val="subscript"/>
        </w:rPr>
        <w:t>e</w:t>
      </w:r>
      <w:r w:rsidR="00E80D41">
        <w:t>, where the heat transfer from the fire is simulated by assuming</w:t>
      </w:r>
      <w:r w:rsidR="00854D5A" w:rsidRPr="0000659C">
        <w:t xml:space="preserve"> that the external wall is uniformly exposed to thermal radiation from a constant black body temperature (</w:t>
      </w:r>
      <w:r w:rsidR="00854D5A" w:rsidRPr="0000659C">
        <w:rPr>
          <w:i/>
        </w:rPr>
        <w:t>T</w:t>
      </w:r>
      <w:r w:rsidR="00854D5A" w:rsidRPr="0000659C">
        <w:rPr>
          <w:i/>
          <w:vertAlign w:val="subscript"/>
        </w:rPr>
        <w:t>BB_fire</w:t>
      </w:r>
      <w:r w:rsidR="00854D5A" w:rsidRPr="0000659C">
        <w:t>).</w:t>
      </w:r>
    </w:p>
    <w:p w14:paraId="6498EDC4" w14:textId="2AE70D3D" w:rsidR="00854D5A" w:rsidRPr="000E7068" w:rsidRDefault="000E7068" w:rsidP="000E7068">
      <w:pPr>
        <w:pStyle w:val="CETheadingx"/>
      </w:pPr>
      <w:bookmarkStart w:id="6" w:name="_Ref158976395"/>
      <w:bookmarkStart w:id="7" w:name="_Ref159349601"/>
      <w:r>
        <w:t>C</w:t>
      </w:r>
      <w:r w:rsidR="00854D5A" w:rsidRPr="000E7068">
        <w:t>omparison with experimental results</w:t>
      </w:r>
      <w:bookmarkEnd w:id="6"/>
      <w:bookmarkEnd w:id="7"/>
    </w:p>
    <w:p w14:paraId="58DEF8BF" w14:textId="15FC6C88" w:rsidR="00901BB3" w:rsidRDefault="00A0592A" w:rsidP="00810DA1">
      <w:pPr>
        <w:pStyle w:val="CETBodytext"/>
      </w:pPr>
      <w:r>
        <w:t>D</w:t>
      </w:r>
      <w:r w:rsidR="00854D5A">
        <w:t xml:space="preserve">etailed experimental </w:t>
      </w:r>
      <w:r>
        <w:t>data on</w:t>
      </w:r>
      <w:r w:rsidR="00854D5A">
        <w:t xml:space="preserve"> </w:t>
      </w:r>
      <w:r w:rsidR="00BF3470">
        <w:t xml:space="preserve">MLI-equipped </w:t>
      </w:r>
      <w:r w:rsidR="00854D5A">
        <w:t>LH</w:t>
      </w:r>
      <w:r w:rsidR="00854D5A" w:rsidRPr="00854D5A">
        <w:rPr>
          <w:vertAlign w:val="subscript"/>
        </w:rPr>
        <w:t>2</w:t>
      </w:r>
      <w:r w:rsidR="00854D5A">
        <w:t xml:space="preserve"> tanks exposed to fire are still lacking in the literature. For this reason, the model effectiveness in predicting the pressure build</w:t>
      </w:r>
      <w:r w:rsidR="00BA56A3">
        <w:t xml:space="preserve">-up </w:t>
      </w:r>
      <w:r w:rsidR="00854D5A">
        <w:t xml:space="preserve">of </w:t>
      </w:r>
      <w:r w:rsidR="00901BB3">
        <w:t>such</w:t>
      </w:r>
      <w:r w:rsidR="00854D5A">
        <w:t xml:space="preserve"> tanks was tested against the experimental results </w:t>
      </w:r>
      <w:r w:rsidR="00901BB3">
        <w:t>on</w:t>
      </w:r>
      <w:r w:rsidR="00854D5A">
        <w:t xml:space="preserve"> a liquid nitrogen</w:t>
      </w:r>
      <w:r w:rsidR="00BF3470">
        <w:t xml:space="preserve"> (LN</w:t>
      </w:r>
      <w:r w:rsidR="00BF3470" w:rsidRPr="00BF3470">
        <w:rPr>
          <w:vertAlign w:val="subscript"/>
        </w:rPr>
        <w:t>2</w:t>
      </w:r>
      <w:r w:rsidR="00BF3470">
        <w:t>)</w:t>
      </w:r>
      <w:r w:rsidR="00854D5A">
        <w:t xml:space="preserve"> tank</w:t>
      </w:r>
      <w:r w:rsidR="00C55297">
        <w:t xml:space="preserve"> in case of loss of vacuum </w:t>
      </w:r>
      <w:r w:rsidR="00802C7E">
        <w:t>within</w:t>
      </w:r>
      <w:r w:rsidR="00C55297">
        <w:t xml:space="preserve"> the MLI</w:t>
      </w:r>
      <w:r w:rsidR="00854D5A">
        <w:t xml:space="preserve"> </w:t>
      </w:r>
      <w:r w:rsidR="00C55297">
        <w:t>system</w:t>
      </w:r>
      <w:r w:rsidR="00BF3470">
        <w:t xml:space="preserve"> (</w:t>
      </w:r>
      <w:r w:rsidR="00BF3470" w:rsidRPr="004E7E55">
        <w:rPr>
          <w:noProof/>
        </w:rPr>
        <w:t>Xie et al.</w:t>
      </w:r>
      <w:r w:rsidR="00BF3470">
        <w:rPr>
          <w:noProof/>
        </w:rPr>
        <w:t xml:space="preserve">, </w:t>
      </w:r>
      <w:r w:rsidR="00BF3470" w:rsidRPr="004E7E55">
        <w:rPr>
          <w:noProof/>
        </w:rPr>
        <w:t>2012)</w:t>
      </w:r>
      <w:r w:rsidR="00854D5A">
        <w:t>. It is worth mentioning that this condition causes severe deterioration of the insulation performance and s</w:t>
      </w:r>
      <w:r w:rsidR="000476E4">
        <w:t>hould</w:t>
      </w:r>
      <w:r w:rsidR="00854D5A">
        <w:t xml:space="preserve"> be taken under consideration when dealing with </w:t>
      </w:r>
      <w:r w:rsidR="00C55297">
        <w:t xml:space="preserve">the </w:t>
      </w:r>
      <w:r w:rsidR="00854D5A">
        <w:t xml:space="preserve">safety aspects of </w:t>
      </w:r>
      <w:r w:rsidR="00BF3470" w:rsidRPr="00BF3470">
        <w:t>LH</w:t>
      </w:r>
      <w:r w:rsidR="00BF3470" w:rsidRPr="00BF3470">
        <w:rPr>
          <w:vertAlign w:val="subscript"/>
        </w:rPr>
        <w:t>2</w:t>
      </w:r>
      <w:r w:rsidR="00BF3470">
        <w:t xml:space="preserve"> </w:t>
      </w:r>
      <w:r w:rsidR="00854D5A" w:rsidRPr="00BF3470">
        <w:t>tanks</w:t>
      </w:r>
      <w:r w:rsidR="00854D5A">
        <w:t>.</w:t>
      </w:r>
      <w:r w:rsidR="00810DA1">
        <w:t xml:space="preserve"> </w:t>
      </w:r>
    </w:p>
    <w:p w14:paraId="57B079C3" w14:textId="3DC2E9DF" w:rsidR="00810DA1" w:rsidRDefault="00854D5A" w:rsidP="00810DA1">
      <w:pPr>
        <w:pStyle w:val="CETBodytext"/>
      </w:pPr>
      <w:r>
        <w:t xml:space="preserve">The </w:t>
      </w:r>
      <w:r w:rsidR="00BF3470">
        <w:t>LN</w:t>
      </w:r>
      <w:r w:rsidR="00BF3470" w:rsidRPr="00BF3470">
        <w:rPr>
          <w:vertAlign w:val="subscript"/>
        </w:rPr>
        <w:t>2</w:t>
      </w:r>
      <w:r w:rsidR="00BF3470">
        <w:t xml:space="preserve"> </w:t>
      </w:r>
      <w:r>
        <w:t>tank</w:t>
      </w:r>
      <w:r w:rsidR="000A0BB8">
        <w:t xml:space="preserve"> </w:t>
      </w:r>
      <w:r w:rsidR="00C55297">
        <w:t>geometries and the MLI system characteristics</w:t>
      </w:r>
      <w:r w:rsidR="00901BB3">
        <w:t xml:space="preserve"> of the case under investigation</w:t>
      </w:r>
      <w:r w:rsidR="00C55297">
        <w:t xml:space="preserve"> are listed elsewhere (</w:t>
      </w:r>
      <w:r w:rsidR="00C55297" w:rsidRPr="004E7E55">
        <w:rPr>
          <w:noProof/>
        </w:rPr>
        <w:t>Xie et al. 2012)</w:t>
      </w:r>
      <w:r w:rsidR="00C55297">
        <w:t>.</w:t>
      </w:r>
      <w:r w:rsidR="001B1FD9">
        <w:t xml:space="preserve"> </w:t>
      </w:r>
      <w:r w:rsidR="00C103FC">
        <w:t xml:space="preserve">The </w:t>
      </w:r>
      <w:r w:rsidR="000A0BB8">
        <w:t>50 %</w:t>
      </w:r>
      <w:r>
        <w:t xml:space="preserve"> </w:t>
      </w:r>
      <w:r w:rsidR="000A0BB8">
        <w:t xml:space="preserve">of the </w:t>
      </w:r>
      <w:r>
        <w:t xml:space="preserve">tank volume </w:t>
      </w:r>
      <w:r w:rsidR="009508A4">
        <w:t>was</w:t>
      </w:r>
      <w:r>
        <w:t xml:space="preserve"> </w:t>
      </w:r>
      <w:r w:rsidR="00901BB3">
        <w:t xml:space="preserve">initially </w:t>
      </w:r>
      <w:r>
        <w:t>filled with liquid nitrogen at atmospheric pressure in equilibrium with its vapor. At the starting point of the test,</w:t>
      </w:r>
      <w:r w:rsidR="00BF3470">
        <w:t xml:space="preserve"> the insulation system</w:t>
      </w:r>
      <w:r>
        <w:t xml:space="preserve"> </w:t>
      </w:r>
      <w:r w:rsidR="00810DA1">
        <w:t>was</w:t>
      </w:r>
      <w:r>
        <w:t xml:space="preserve"> </w:t>
      </w:r>
      <w:r w:rsidR="00BF3470">
        <w:t xml:space="preserve">abruptly </w:t>
      </w:r>
      <w:r>
        <w:t>filled with gaseous nitrogen</w:t>
      </w:r>
      <w:r w:rsidR="00BF3470">
        <w:t xml:space="preserve"> up to </w:t>
      </w:r>
      <w:r>
        <w:t xml:space="preserve">atmospheric </w:t>
      </w:r>
      <w:r w:rsidR="00BF3470">
        <w:t>pressure. Then,</w:t>
      </w:r>
      <w:r>
        <w:t xml:space="preserve"> </w:t>
      </w:r>
      <w:r w:rsidR="00C55297">
        <w:t>t</w:t>
      </w:r>
      <w:r>
        <w:t>he pressure build-up</w:t>
      </w:r>
      <w:r w:rsidR="00BF3470">
        <w:t xml:space="preserve"> inside the tank</w:t>
      </w:r>
      <w:r>
        <w:t xml:space="preserve"> </w:t>
      </w:r>
      <w:r w:rsidR="00810DA1">
        <w:t>was</w:t>
      </w:r>
      <w:r>
        <w:t xml:space="preserve"> measured.</w:t>
      </w:r>
    </w:p>
    <w:p w14:paraId="48A3CAB8" w14:textId="4C28E39A" w:rsidR="004E7E55" w:rsidRDefault="00BF3470" w:rsidP="00810DA1">
      <w:pPr>
        <w:pStyle w:val="CETheadingx"/>
      </w:pPr>
      <w:r>
        <w:lastRenderedPageBreak/>
        <w:t xml:space="preserve"> </w:t>
      </w:r>
      <w:bookmarkStart w:id="8" w:name="_Ref158985805"/>
      <w:r w:rsidR="004E7E55">
        <w:t>Case studies</w:t>
      </w:r>
      <w:bookmarkEnd w:id="8"/>
      <w:r w:rsidR="004E7E55">
        <w:t xml:space="preserve"> </w:t>
      </w:r>
    </w:p>
    <w:p w14:paraId="38BCF2F5" w14:textId="788EC898" w:rsidR="001B1FD9" w:rsidRDefault="00BF3470" w:rsidP="007D245C">
      <w:pPr>
        <w:pStyle w:val="CETBodytext"/>
      </w:pPr>
      <w:r>
        <w:t>The</w:t>
      </w:r>
      <w:r w:rsidR="00111BB8">
        <w:t xml:space="preserve"> </w:t>
      </w:r>
      <w:r>
        <w:t>modeling approach</w:t>
      </w:r>
      <w:r w:rsidR="00940D58">
        <w:t xml:space="preserve"> </w:t>
      </w:r>
      <w:r w:rsidR="00122B2E">
        <w:t>presented in Section</w:t>
      </w:r>
      <w:r w:rsidR="008314CF">
        <w:t>s</w:t>
      </w:r>
      <w:r w:rsidR="00122B2E">
        <w:t xml:space="preserve"> 2.1</w:t>
      </w:r>
      <w:r w:rsidR="008314CF">
        <w:t xml:space="preserve"> and 2.2</w:t>
      </w:r>
      <w:r w:rsidR="00217C59">
        <w:t xml:space="preserve"> </w:t>
      </w:r>
      <w:r>
        <w:t>was applied to</w:t>
      </w:r>
      <w:r w:rsidR="002E0D96">
        <w:t xml:space="preserve"> a set of case stud</w:t>
      </w:r>
      <w:r w:rsidR="002C05E4">
        <w:t>ies</w:t>
      </w:r>
      <w:r w:rsidR="002E0D96">
        <w:t xml:space="preserve"> </w:t>
      </w:r>
      <w:r w:rsidR="00323862">
        <w:t>to assess the impact of the volume of the tank and the</w:t>
      </w:r>
      <w:r w:rsidR="00340CDE">
        <w:t xml:space="preserve"> MLI configurations o</w:t>
      </w:r>
      <w:r>
        <w:t>n pressure build-up</w:t>
      </w:r>
      <w:r w:rsidR="00340CDE">
        <w:t xml:space="preserve"> during</w:t>
      </w:r>
      <w:r>
        <w:t xml:space="preserve"> fire </w:t>
      </w:r>
      <w:r w:rsidR="00323862">
        <w:t>exposure scenarios</w:t>
      </w:r>
      <w:r>
        <w:t>.</w:t>
      </w:r>
    </w:p>
    <w:p w14:paraId="3799C98B" w14:textId="04BBDC53" w:rsidR="007D245C" w:rsidRDefault="00BF3470" w:rsidP="007D245C">
      <w:pPr>
        <w:pStyle w:val="CETBodytext"/>
      </w:pPr>
      <w:r w:rsidRPr="007D245C">
        <w:t>Th</w:t>
      </w:r>
      <w:r w:rsidR="00340CDE" w:rsidRPr="007D245C">
        <w:t>re</w:t>
      </w:r>
      <w:r w:rsidRPr="007D245C">
        <w:t>e</w:t>
      </w:r>
      <w:r w:rsidR="00340CDE" w:rsidRPr="007D245C">
        <w:t xml:space="preserve"> different</w:t>
      </w:r>
      <w:r w:rsidRPr="007D245C">
        <w:t xml:space="preserve"> </w:t>
      </w:r>
      <w:r w:rsidR="00340CDE" w:rsidRPr="007D245C">
        <w:t xml:space="preserve">horizontal </w:t>
      </w:r>
      <w:r w:rsidRPr="007D245C">
        <w:t xml:space="preserve">tank </w:t>
      </w:r>
      <w:r w:rsidR="00340CDE" w:rsidRPr="007D245C">
        <w:t>geometries</w:t>
      </w:r>
      <w:r w:rsidR="00111BB8">
        <w:t xml:space="preserve">, </w:t>
      </w:r>
      <w:r w:rsidR="007D245C" w:rsidRPr="007D245C">
        <w:t>representative of</w:t>
      </w:r>
      <w:r w:rsidR="007157C8">
        <w:t xml:space="preserve"> the</w:t>
      </w:r>
      <w:r w:rsidR="007D245C" w:rsidRPr="007D245C">
        <w:t xml:space="preserve"> </w:t>
      </w:r>
      <w:r w:rsidR="007157C8" w:rsidRPr="007D245C">
        <w:t xml:space="preserve">most </w:t>
      </w:r>
      <w:r w:rsidR="00B669CD">
        <w:t xml:space="preserve">commonly </w:t>
      </w:r>
      <w:r w:rsidR="007157C8">
        <w:t xml:space="preserve">adopted sizes in </w:t>
      </w:r>
      <w:r w:rsidR="007D245C" w:rsidRPr="007D245C">
        <w:t>storage tanks used for cryogenic hydrogen-powered vehicles</w:t>
      </w:r>
      <w:r w:rsidR="00111BB8">
        <w:t>,</w:t>
      </w:r>
      <w:r w:rsidR="007D245C" w:rsidRPr="007D245C">
        <w:t xml:space="preserve"> </w:t>
      </w:r>
      <w:r w:rsidR="00340CDE" w:rsidRPr="007D245C">
        <w:t xml:space="preserve">were </w:t>
      </w:r>
      <w:r w:rsidRPr="007D245C">
        <w:t>considered</w:t>
      </w:r>
      <w:r w:rsidR="00340CDE" w:rsidRPr="007D245C">
        <w:t xml:space="preserve"> by fixing </w:t>
      </w:r>
      <w:r w:rsidR="007D245C" w:rsidRPr="007D245C">
        <w:t>a</w:t>
      </w:r>
      <w:r w:rsidR="00340CDE" w:rsidRPr="007D245C">
        <w:t xml:space="preserve"> length-to-diameter</w:t>
      </w:r>
      <w:r w:rsidR="0024024B" w:rsidRPr="007D245C">
        <w:t xml:space="preserve"> (</w:t>
      </w:r>
      <w:r w:rsidR="0024024B" w:rsidRPr="007D245C">
        <w:rPr>
          <w:i/>
        </w:rPr>
        <w:t>L</w:t>
      </w:r>
      <w:r w:rsidR="0024024B" w:rsidRPr="007D245C">
        <w:t>/</w:t>
      </w:r>
      <w:r w:rsidR="0024024B" w:rsidRPr="007D245C">
        <w:rPr>
          <w:i/>
        </w:rPr>
        <w:t>D</w:t>
      </w:r>
      <w:r w:rsidR="0024024B" w:rsidRPr="007D245C">
        <w:t>)</w:t>
      </w:r>
      <w:r w:rsidR="00340CDE" w:rsidRPr="007D245C">
        <w:t xml:space="preserve"> ratio </w:t>
      </w:r>
      <w:r w:rsidR="007D245C" w:rsidRPr="007D245C">
        <w:t xml:space="preserve">equal to </w:t>
      </w:r>
      <w:r w:rsidR="00340CDE" w:rsidRPr="007D245C">
        <w:t xml:space="preserve">2. </w:t>
      </w:r>
      <w:r w:rsidR="007D245C" w:rsidRPr="007D245C">
        <w:t xml:space="preserve">These are reported </w:t>
      </w:r>
      <w:r w:rsidR="00340CDE" w:rsidRPr="007D245C">
        <w:t xml:space="preserve">in </w:t>
      </w:r>
      <w:r w:rsidR="007D245C" w:rsidRPr="007D245C">
        <w:t xml:space="preserve">Table </w:t>
      </w:r>
      <w:r w:rsidR="007D245C" w:rsidRPr="007D245C">
        <w:rPr>
          <w:noProof/>
        </w:rPr>
        <w:t>3</w:t>
      </w:r>
      <w:r w:rsidR="007D245C" w:rsidRPr="007D245C">
        <w:rPr>
          <w:b/>
        </w:rPr>
        <w:t xml:space="preserve">, </w:t>
      </w:r>
      <w:r w:rsidR="007D245C" w:rsidRPr="007D245C">
        <w:t xml:space="preserve">where </w:t>
      </w:r>
      <w:r w:rsidR="0024024B" w:rsidRPr="007D245C">
        <w:rPr>
          <w:i/>
        </w:rPr>
        <w:t>A</w:t>
      </w:r>
      <w:r w:rsidR="0024024B" w:rsidRPr="007D245C">
        <w:rPr>
          <w:i/>
          <w:vertAlign w:val="subscript"/>
        </w:rPr>
        <w:t>s</w:t>
      </w:r>
      <w:r w:rsidR="00340CDE" w:rsidRPr="007D245C">
        <w:t xml:space="preserve"> </w:t>
      </w:r>
      <w:r w:rsidR="0024024B" w:rsidRPr="007D245C">
        <w:t xml:space="preserve">was calculated by assuming the tank as a cylinder with a length equal to </w:t>
      </w:r>
      <w:r w:rsidR="0024024B" w:rsidRPr="007D245C">
        <w:rPr>
          <w:i/>
        </w:rPr>
        <w:t>L</w:t>
      </w:r>
      <w:r w:rsidR="0024024B" w:rsidRPr="007D245C">
        <w:t xml:space="preserve"> and a diameter equal to </w:t>
      </w:r>
      <w:r w:rsidR="0024024B" w:rsidRPr="007D245C">
        <w:rPr>
          <w:i/>
        </w:rPr>
        <w:t>D</w:t>
      </w:r>
      <w:r w:rsidRPr="007D245C">
        <w:t>.</w:t>
      </w:r>
    </w:p>
    <w:p w14:paraId="33100F9B" w14:textId="7679E3EC" w:rsidR="007D245C" w:rsidRPr="007C1629" w:rsidRDefault="007D245C" w:rsidP="00883F34">
      <w:pPr>
        <w:pStyle w:val="CETTabletitle"/>
      </w:pPr>
      <w:bookmarkStart w:id="9" w:name="_Ref159257730"/>
      <w:r w:rsidRPr="007C1629">
        <w:t xml:space="preserve">Table </w:t>
      </w:r>
      <w:r w:rsidR="00B22129" w:rsidRPr="007C1629">
        <w:t>2</w:t>
      </w:r>
      <w:bookmarkEnd w:id="9"/>
      <w:r w:rsidRPr="007C1629">
        <w:t>. Tank geometries considered in the case studies.</w:t>
      </w:r>
    </w:p>
    <w:tbl>
      <w:tblPr>
        <w:tblW w:w="258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850"/>
        <w:gridCol w:w="850"/>
        <w:gridCol w:w="850"/>
        <w:gridCol w:w="850"/>
      </w:tblGrid>
      <w:tr w:rsidR="007D245C" w:rsidRPr="007A5F29" w14:paraId="4705C548" w14:textId="08DA8A5F" w:rsidTr="005C72A8">
        <w:tc>
          <w:tcPr>
            <w:tcW w:w="1251" w:type="pct"/>
            <w:tcBorders>
              <w:top w:val="single" w:sz="12" w:space="0" w:color="008000"/>
              <w:bottom w:val="single" w:sz="6" w:space="0" w:color="008000"/>
            </w:tcBorders>
            <w:shd w:val="clear" w:color="auto" w:fill="FFFFFF"/>
          </w:tcPr>
          <w:p w14:paraId="2016A407" w14:textId="77777777" w:rsidR="007D245C" w:rsidRPr="007A5F29" w:rsidRDefault="007D245C" w:rsidP="005C72A8">
            <w:pPr>
              <w:pStyle w:val="CETBodytext"/>
              <w:jc w:val="left"/>
              <w:rPr>
                <w:lang w:val="en-GB"/>
              </w:rPr>
            </w:pPr>
            <w:r>
              <w:rPr>
                <w:lang w:val="en-GB"/>
              </w:rPr>
              <w:t>Case study</w:t>
            </w:r>
          </w:p>
        </w:tc>
        <w:tc>
          <w:tcPr>
            <w:tcW w:w="937" w:type="pct"/>
            <w:tcBorders>
              <w:top w:val="single" w:sz="12" w:space="0" w:color="008000"/>
              <w:bottom w:val="single" w:sz="6" w:space="0" w:color="008000"/>
            </w:tcBorders>
            <w:shd w:val="clear" w:color="auto" w:fill="FFFFFF"/>
          </w:tcPr>
          <w:p w14:paraId="1F9F590B" w14:textId="50EF9FE8" w:rsidR="007D245C" w:rsidRPr="007D245C" w:rsidRDefault="007D245C" w:rsidP="005C72A8">
            <w:pPr>
              <w:pStyle w:val="CETBodytext"/>
              <w:jc w:val="left"/>
              <w:rPr>
                <w:i/>
                <w:lang w:val="en-GB"/>
              </w:rPr>
            </w:pPr>
            <w:r w:rsidRPr="007D245C">
              <w:rPr>
                <w:i/>
                <w:lang w:val="en-GB"/>
              </w:rPr>
              <w:t>L</w:t>
            </w:r>
            <w:r>
              <w:rPr>
                <w:i/>
                <w:lang w:val="en-GB"/>
              </w:rPr>
              <w:t xml:space="preserve"> (m)</w:t>
            </w:r>
          </w:p>
        </w:tc>
        <w:tc>
          <w:tcPr>
            <w:tcW w:w="937" w:type="pct"/>
            <w:tcBorders>
              <w:top w:val="single" w:sz="12" w:space="0" w:color="008000"/>
              <w:bottom w:val="single" w:sz="6" w:space="0" w:color="008000"/>
            </w:tcBorders>
            <w:shd w:val="clear" w:color="auto" w:fill="FFFFFF"/>
          </w:tcPr>
          <w:p w14:paraId="701DEC79" w14:textId="482891F1" w:rsidR="007D245C" w:rsidRPr="007D245C" w:rsidRDefault="007D245C" w:rsidP="005C72A8">
            <w:pPr>
              <w:pStyle w:val="CETBodytext"/>
              <w:ind w:right="-1"/>
              <w:jc w:val="left"/>
              <w:rPr>
                <w:rFonts w:cs="Arial"/>
                <w:i/>
                <w:szCs w:val="18"/>
                <w:lang w:val="en-GB"/>
              </w:rPr>
            </w:pPr>
            <w:r w:rsidRPr="007D245C">
              <w:rPr>
                <w:rFonts w:cs="Arial"/>
                <w:i/>
                <w:szCs w:val="18"/>
                <w:lang w:val="en-GB"/>
              </w:rPr>
              <w:t>D</w:t>
            </w:r>
            <w:r>
              <w:rPr>
                <w:rFonts w:cs="Arial"/>
                <w:i/>
                <w:szCs w:val="18"/>
                <w:lang w:val="en-GB"/>
              </w:rPr>
              <w:t xml:space="preserve"> (m)</w:t>
            </w:r>
          </w:p>
        </w:tc>
        <w:tc>
          <w:tcPr>
            <w:tcW w:w="937" w:type="pct"/>
            <w:tcBorders>
              <w:top w:val="single" w:sz="12" w:space="0" w:color="008000"/>
              <w:bottom w:val="single" w:sz="6" w:space="0" w:color="008000"/>
            </w:tcBorders>
            <w:shd w:val="clear" w:color="auto" w:fill="FFFFFF"/>
          </w:tcPr>
          <w:p w14:paraId="45370C1C" w14:textId="6ADC8441" w:rsidR="007D245C" w:rsidRPr="007D245C" w:rsidRDefault="007D245C" w:rsidP="005C72A8">
            <w:pPr>
              <w:pStyle w:val="CETBodytext"/>
              <w:ind w:right="-1"/>
              <w:jc w:val="left"/>
              <w:rPr>
                <w:rFonts w:cs="Arial"/>
                <w:i/>
                <w:szCs w:val="18"/>
                <w:lang w:val="en-GB"/>
              </w:rPr>
            </w:pPr>
            <w:r w:rsidRPr="007D245C">
              <w:rPr>
                <w:rFonts w:cs="Arial"/>
                <w:i/>
                <w:szCs w:val="18"/>
                <w:lang w:val="en-GB"/>
              </w:rPr>
              <w:t>V</w:t>
            </w:r>
            <w:r>
              <w:rPr>
                <w:rFonts w:cs="Arial"/>
                <w:i/>
                <w:szCs w:val="18"/>
                <w:lang w:val="en-GB"/>
              </w:rPr>
              <w:t xml:space="preserve"> (m</w:t>
            </w:r>
            <w:r w:rsidRPr="007D245C">
              <w:rPr>
                <w:rFonts w:cs="Arial"/>
                <w:i/>
                <w:szCs w:val="18"/>
                <w:vertAlign w:val="superscript"/>
                <w:lang w:val="en-GB"/>
              </w:rPr>
              <w:t>3</w:t>
            </w:r>
            <w:r>
              <w:rPr>
                <w:rFonts w:cs="Arial"/>
                <w:i/>
                <w:szCs w:val="18"/>
                <w:lang w:val="en-GB"/>
              </w:rPr>
              <w:t>)</w:t>
            </w:r>
          </w:p>
        </w:tc>
        <w:tc>
          <w:tcPr>
            <w:tcW w:w="937" w:type="pct"/>
            <w:tcBorders>
              <w:top w:val="single" w:sz="12" w:space="0" w:color="008000"/>
              <w:bottom w:val="single" w:sz="6" w:space="0" w:color="008000"/>
            </w:tcBorders>
            <w:shd w:val="clear" w:color="auto" w:fill="FFFFFF"/>
          </w:tcPr>
          <w:p w14:paraId="42FB1669" w14:textId="4D0572B1" w:rsidR="007D245C" w:rsidRPr="007D245C" w:rsidRDefault="007D245C" w:rsidP="005C72A8">
            <w:pPr>
              <w:pStyle w:val="CETBodytext"/>
              <w:ind w:right="-1"/>
              <w:jc w:val="left"/>
              <w:rPr>
                <w:rFonts w:cs="Arial"/>
                <w:i/>
                <w:szCs w:val="18"/>
                <w:lang w:val="en-GB"/>
              </w:rPr>
            </w:pPr>
            <w:r w:rsidRPr="007D245C">
              <w:rPr>
                <w:rFonts w:cs="Arial"/>
                <w:i/>
                <w:szCs w:val="18"/>
                <w:lang w:val="en-GB"/>
              </w:rPr>
              <w:t>A</w:t>
            </w:r>
            <w:r w:rsidRPr="007D245C">
              <w:rPr>
                <w:rFonts w:cs="Arial"/>
                <w:i/>
                <w:szCs w:val="18"/>
                <w:vertAlign w:val="subscript"/>
                <w:lang w:val="en-GB"/>
              </w:rPr>
              <w:t>s</w:t>
            </w:r>
            <w:r>
              <w:rPr>
                <w:rFonts w:cs="Arial"/>
                <w:i/>
                <w:szCs w:val="18"/>
                <w:vertAlign w:val="subscript"/>
                <w:lang w:val="en-GB"/>
              </w:rPr>
              <w:t xml:space="preserve"> </w:t>
            </w:r>
            <w:r>
              <w:rPr>
                <w:rFonts w:cs="Arial"/>
                <w:i/>
                <w:szCs w:val="18"/>
                <w:lang w:val="en-GB"/>
              </w:rPr>
              <w:t>(m</w:t>
            </w:r>
            <w:r w:rsidRPr="007D245C">
              <w:rPr>
                <w:rFonts w:cs="Arial"/>
                <w:i/>
                <w:szCs w:val="18"/>
                <w:vertAlign w:val="superscript"/>
                <w:lang w:val="en-GB"/>
              </w:rPr>
              <w:t>2</w:t>
            </w:r>
            <w:r>
              <w:rPr>
                <w:rFonts w:cs="Arial"/>
                <w:i/>
                <w:szCs w:val="18"/>
                <w:lang w:val="en-GB"/>
              </w:rPr>
              <w:t>)</w:t>
            </w:r>
          </w:p>
        </w:tc>
      </w:tr>
      <w:tr w:rsidR="007D245C" w:rsidRPr="007A5F29" w14:paraId="77D3AF56" w14:textId="3D3FB981" w:rsidTr="005C72A8">
        <w:tc>
          <w:tcPr>
            <w:tcW w:w="1251" w:type="pct"/>
            <w:shd w:val="clear" w:color="auto" w:fill="FFFFFF"/>
          </w:tcPr>
          <w:p w14:paraId="436E4794" w14:textId="77777777" w:rsidR="007D245C" w:rsidRPr="007A5F29" w:rsidRDefault="007D245C" w:rsidP="005C72A8">
            <w:pPr>
              <w:pStyle w:val="CETBodytext"/>
              <w:jc w:val="left"/>
              <w:rPr>
                <w:lang w:val="en-GB"/>
              </w:rPr>
            </w:pPr>
            <w:r>
              <w:rPr>
                <w:lang w:val="en-GB"/>
              </w:rPr>
              <w:t>CASE A</w:t>
            </w:r>
          </w:p>
        </w:tc>
        <w:tc>
          <w:tcPr>
            <w:tcW w:w="937" w:type="pct"/>
            <w:shd w:val="clear" w:color="auto" w:fill="FFFFFF"/>
          </w:tcPr>
          <w:p w14:paraId="78BCCC3C" w14:textId="5D8C3330" w:rsidR="007D245C" w:rsidRPr="007A5F29" w:rsidRDefault="007D245C" w:rsidP="005C72A8">
            <w:pPr>
              <w:pStyle w:val="CETBodytext"/>
              <w:jc w:val="left"/>
              <w:rPr>
                <w:lang w:val="en-GB"/>
              </w:rPr>
            </w:pPr>
            <w:r>
              <w:rPr>
                <w:lang w:val="en-GB"/>
              </w:rPr>
              <w:t>1</w:t>
            </w:r>
          </w:p>
        </w:tc>
        <w:tc>
          <w:tcPr>
            <w:tcW w:w="937" w:type="pct"/>
            <w:shd w:val="clear" w:color="auto" w:fill="FFFFFF"/>
          </w:tcPr>
          <w:p w14:paraId="14D62EF2" w14:textId="4F3D6871" w:rsidR="007D245C" w:rsidRPr="007A5F29" w:rsidRDefault="007D245C" w:rsidP="005C72A8">
            <w:pPr>
              <w:pStyle w:val="CETBodytext"/>
              <w:ind w:right="-1"/>
              <w:jc w:val="left"/>
              <w:rPr>
                <w:rFonts w:cs="Arial"/>
                <w:szCs w:val="18"/>
                <w:lang w:val="en-GB"/>
              </w:rPr>
            </w:pPr>
            <w:r>
              <w:rPr>
                <w:rFonts w:cs="Arial"/>
                <w:szCs w:val="18"/>
                <w:lang w:val="en-GB"/>
              </w:rPr>
              <w:t>0.5</w:t>
            </w:r>
          </w:p>
        </w:tc>
        <w:tc>
          <w:tcPr>
            <w:tcW w:w="937" w:type="pct"/>
            <w:shd w:val="clear" w:color="auto" w:fill="FFFFFF"/>
          </w:tcPr>
          <w:p w14:paraId="27A87F9B" w14:textId="6401C1D4" w:rsidR="007D245C" w:rsidRPr="007A5F29" w:rsidRDefault="007D245C" w:rsidP="005C72A8">
            <w:pPr>
              <w:pStyle w:val="CETBodytext"/>
              <w:ind w:right="-1"/>
              <w:jc w:val="left"/>
              <w:rPr>
                <w:rFonts w:cs="Arial"/>
                <w:szCs w:val="18"/>
                <w:lang w:val="en-GB"/>
              </w:rPr>
            </w:pPr>
            <w:r>
              <w:rPr>
                <w:rFonts w:cs="Arial"/>
                <w:szCs w:val="18"/>
                <w:lang w:val="en-GB"/>
              </w:rPr>
              <w:t>0.2</w:t>
            </w:r>
          </w:p>
        </w:tc>
        <w:tc>
          <w:tcPr>
            <w:tcW w:w="937" w:type="pct"/>
            <w:shd w:val="clear" w:color="auto" w:fill="FFFFFF"/>
          </w:tcPr>
          <w:p w14:paraId="50BC6C05" w14:textId="1BD258E9" w:rsidR="007D245C" w:rsidRPr="007A5F29" w:rsidRDefault="007D245C" w:rsidP="005C72A8">
            <w:pPr>
              <w:pStyle w:val="CETBodytext"/>
              <w:ind w:right="-1"/>
              <w:jc w:val="left"/>
              <w:rPr>
                <w:rFonts w:cs="Arial"/>
                <w:szCs w:val="18"/>
                <w:lang w:val="en-GB"/>
              </w:rPr>
            </w:pPr>
            <w:r>
              <w:rPr>
                <w:rFonts w:cs="Arial"/>
                <w:szCs w:val="18"/>
                <w:lang w:val="en-GB"/>
              </w:rPr>
              <w:t>2</w:t>
            </w:r>
          </w:p>
        </w:tc>
      </w:tr>
      <w:tr w:rsidR="007D245C" w:rsidRPr="009F5C32" w14:paraId="5803B639" w14:textId="233294A0" w:rsidTr="005C72A8">
        <w:tc>
          <w:tcPr>
            <w:tcW w:w="1251" w:type="pct"/>
            <w:shd w:val="clear" w:color="auto" w:fill="FFFFFF"/>
          </w:tcPr>
          <w:p w14:paraId="0EFA63A4" w14:textId="77777777" w:rsidR="007D245C" w:rsidRDefault="007D245C" w:rsidP="005C72A8">
            <w:pPr>
              <w:pStyle w:val="CETBodytext"/>
              <w:jc w:val="left"/>
              <w:rPr>
                <w:lang w:val="en-GB"/>
              </w:rPr>
            </w:pPr>
            <w:r>
              <w:rPr>
                <w:lang w:val="en-GB"/>
              </w:rPr>
              <w:t>CASE B</w:t>
            </w:r>
          </w:p>
        </w:tc>
        <w:tc>
          <w:tcPr>
            <w:tcW w:w="937" w:type="pct"/>
            <w:shd w:val="clear" w:color="auto" w:fill="FFFFFF"/>
          </w:tcPr>
          <w:p w14:paraId="36CD458C" w14:textId="74035B81" w:rsidR="007D245C" w:rsidRPr="009F5C32" w:rsidRDefault="007D245C" w:rsidP="005C72A8">
            <w:pPr>
              <w:pStyle w:val="CETBodytext"/>
              <w:jc w:val="left"/>
            </w:pPr>
            <w:r>
              <w:t>1.7</w:t>
            </w:r>
          </w:p>
        </w:tc>
        <w:tc>
          <w:tcPr>
            <w:tcW w:w="937" w:type="pct"/>
            <w:shd w:val="clear" w:color="auto" w:fill="FFFFFF"/>
          </w:tcPr>
          <w:p w14:paraId="09BDF8F0" w14:textId="37353DD2" w:rsidR="007D245C" w:rsidRPr="009F5C32" w:rsidRDefault="007D245C" w:rsidP="005C72A8">
            <w:pPr>
              <w:pStyle w:val="CETBodytext"/>
              <w:ind w:right="-1"/>
              <w:jc w:val="left"/>
              <w:rPr>
                <w:rFonts w:cs="Arial"/>
                <w:szCs w:val="18"/>
              </w:rPr>
            </w:pPr>
            <w:r>
              <w:rPr>
                <w:rFonts w:cs="Arial"/>
                <w:szCs w:val="18"/>
              </w:rPr>
              <w:t>0.85</w:t>
            </w:r>
          </w:p>
        </w:tc>
        <w:tc>
          <w:tcPr>
            <w:tcW w:w="937" w:type="pct"/>
            <w:shd w:val="clear" w:color="auto" w:fill="FFFFFF"/>
          </w:tcPr>
          <w:p w14:paraId="46BFC4F2" w14:textId="66F8B29C" w:rsidR="007D245C" w:rsidRPr="009F5C32" w:rsidRDefault="007D245C" w:rsidP="005C72A8">
            <w:pPr>
              <w:pStyle w:val="CETBodytext"/>
              <w:ind w:right="-1"/>
              <w:jc w:val="left"/>
              <w:rPr>
                <w:rFonts w:cs="Arial"/>
                <w:szCs w:val="18"/>
              </w:rPr>
            </w:pPr>
            <w:r>
              <w:rPr>
                <w:rFonts w:cs="Arial"/>
                <w:szCs w:val="18"/>
              </w:rPr>
              <w:t>1</w:t>
            </w:r>
          </w:p>
        </w:tc>
        <w:tc>
          <w:tcPr>
            <w:tcW w:w="937" w:type="pct"/>
            <w:shd w:val="clear" w:color="auto" w:fill="FFFFFF"/>
          </w:tcPr>
          <w:p w14:paraId="667C829C" w14:textId="774B5E7E" w:rsidR="007D245C" w:rsidRPr="009F5C32" w:rsidRDefault="007D245C" w:rsidP="005C72A8">
            <w:pPr>
              <w:pStyle w:val="CETBodytext"/>
              <w:ind w:right="-1"/>
              <w:jc w:val="left"/>
              <w:rPr>
                <w:rFonts w:cs="Arial"/>
                <w:szCs w:val="18"/>
              </w:rPr>
            </w:pPr>
            <w:r>
              <w:rPr>
                <w:rFonts w:cs="Arial"/>
                <w:szCs w:val="18"/>
              </w:rPr>
              <w:t>5.8</w:t>
            </w:r>
          </w:p>
        </w:tc>
      </w:tr>
      <w:tr w:rsidR="007D245C" w:rsidRPr="007A5F29" w14:paraId="2308A1EC" w14:textId="55F4E1A3" w:rsidTr="005C72A8">
        <w:tc>
          <w:tcPr>
            <w:tcW w:w="1251" w:type="pct"/>
            <w:shd w:val="clear" w:color="auto" w:fill="FFFFFF"/>
          </w:tcPr>
          <w:p w14:paraId="21729AE6" w14:textId="77777777" w:rsidR="007D245C" w:rsidRDefault="007D245C" w:rsidP="005C72A8">
            <w:pPr>
              <w:pStyle w:val="CETBodytext"/>
              <w:jc w:val="left"/>
              <w:rPr>
                <w:lang w:val="en-GB"/>
              </w:rPr>
            </w:pPr>
            <w:r>
              <w:rPr>
                <w:lang w:val="en-GB"/>
              </w:rPr>
              <w:t>CASE C</w:t>
            </w:r>
          </w:p>
        </w:tc>
        <w:tc>
          <w:tcPr>
            <w:tcW w:w="937" w:type="pct"/>
            <w:shd w:val="clear" w:color="auto" w:fill="FFFFFF"/>
          </w:tcPr>
          <w:p w14:paraId="44AD3C80" w14:textId="6C33C95B" w:rsidR="007D245C" w:rsidRPr="009F5C32" w:rsidRDefault="007D245C" w:rsidP="005C72A8">
            <w:pPr>
              <w:pStyle w:val="CETBodytext"/>
              <w:jc w:val="left"/>
            </w:pPr>
            <w:r>
              <w:t>2.5</w:t>
            </w:r>
          </w:p>
        </w:tc>
        <w:tc>
          <w:tcPr>
            <w:tcW w:w="937" w:type="pct"/>
            <w:shd w:val="clear" w:color="auto" w:fill="FFFFFF"/>
          </w:tcPr>
          <w:p w14:paraId="4CACFA3C" w14:textId="5590D2AA" w:rsidR="007D245C" w:rsidRPr="007A5F29" w:rsidRDefault="007D245C" w:rsidP="005C72A8">
            <w:pPr>
              <w:pStyle w:val="CETBodytext"/>
              <w:ind w:right="-1"/>
              <w:jc w:val="left"/>
              <w:rPr>
                <w:rFonts w:cs="Arial"/>
                <w:szCs w:val="18"/>
                <w:lang w:val="en-GB"/>
              </w:rPr>
            </w:pPr>
            <w:r>
              <w:rPr>
                <w:rFonts w:cs="Arial"/>
                <w:szCs w:val="18"/>
                <w:lang w:val="en-GB"/>
              </w:rPr>
              <w:t>1.25</w:t>
            </w:r>
          </w:p>
        </w:tc>
        <w:tc>
          <w:tcPr>
            <w:tcW w:w="937" w:type="pct"/>
            <w:shd w:val="clear" w:color="auto" w:fill="FFFFFF"/>
          </w:tcPr>
          <w:p w14:paraId="309AE3AC" w14:textId="6DE8ECD3" w:rsidR="007D245C" w:rsidRPr="007A5F29" w:rsidRDefault="007D245C" w:rsidP="005C72A8">
            <w:pPr>
              <w:pStyle w:val="CETBodytext"/>
              <w:ind w:right="-1"/>
              <w:jc w:val="left"/>
              <w:rPr>
                <w:rFonts w:cs="Arial"/>
                <w:szCs w:val="18"/>
                <w:lang w:val="en-GB"/>
              </w:rPr>
            </w:pPr>
            <w:r>
              <w:rPr>
                <w:rFonts w:cs="Arial"/>
                <w:szCs w:val="18"/>
                <w:lang w:val="en-GB"/>
              </w:rPr>
              <w:t>3</w:t>
            </w:r>
          </w:p>
        </w:tc>
        <w:tc>
          <w:tcPr>
            <w:tcW w:w="937" w:type="pct"/>
            <w:shd w:val="clear" w:color="auto" w:fill="FFFFFF"/>
          </w:tcPr>
          <w:p w14:paraId="2E80FC30" w14:textId="21EAF1B4" w:rsidR="007D245C" w:rsidRPr="007A5F29" w:rsidRDefault="007D245C" w:rsidP="005C72A8">
            <w:pPr>
              <w:pStyle w:val="CETBodytext"/>
              <w:ind w:right="-1"/>
              <w:jc w:val="left"/>
              <w:rPr>
                <w:rFonts w:cs="Arial"/>
                <w:szCs w:val="18"/>
                <w:lang w:val="en-GB"/>
              </w:rPr>
            </w:pPr>
            <w:r>
              <w:rPr>
                <w:rFonts w:cs="Arial"/>
                <w:szCs w:val="18"/>
                <w:lang w:val="en-GB"/>
              </w:rPr>
              <w:t>12</w:t>
            </w:r>
          </w:p>
        </w:tc>
      </w:tr>
    </w:tbl>
    <w:p w14:paraId="68F32298" w14:textId="1A46FB3B" w:rsidR="00626CBD" w:rsidRPr="0089366B" w:rsidRDefault="0024024B" w:rsidP="007D245C">
      <w:pPr>
        <w:pStyle w:val="CETBodytext"/>
        <w:spacing w:before="120"/>
      </w:pPr>
      <w:r>
        <w:t>In each case,</w:t>
      </w:r>
      <w:r w:rsidR="00BF3470">
        <w:t xml:space="preserve"> 50% of the tank </w:t>
      </w:r>
      <w:r w:rsidR="00940D58">
        <w:t>was</w:t>
      </w:r>
      <w:r w:rsidR="00BF3470">
        <w:t xml:space="preserve"> filled with liquid hydrogen at ambient pressure and saturation conditions</w:t>
      </w:r>
      <w:r w:rsidR="0043048F">
        <w:t xml:space="preserve">. </w:t>
      </w:r>
      <w:r w:rsidR="00BF3470">
        <w:t xml:space="preserve">The </w:t>
      </w:r>
      <w:r w:rsidR="0089366B">
        <w:t xml:space="preserve">external shell material </w:t>
      </w:r>
      <w:r w:rsidR="00940D58">
        <w:t>was</w:t>
      </w:r>
      <w:r w:rsidR="0089366B">
        <w:t xml:space="preserve"> AISI 304, while AISI 316L </w:t>
      </w:r>
      <w:r w:rsidR="00940D58">
        <w:t>was</w:t>
      </w:r>
      <w:r w:rsidR="0089366B">
        <w:t xml:space="preserve"> chosen for the internal shell. The </w:t>
      </w:r>
      <w:r w:rsidR="00BF3470">
        <w:t xml:space="preserve">thicknesses </w:t>
      </w:r>
      <w:r w:rsidR="00940D58">
        <w:t>were</w:t>
      </w:r>
      <w:r w:rsidR="00BF3470">
        <w:t xml:space="preserve"> 0.003 m and 0.002 m, respectively.</w:t>
      </w:r>
      <w:r w:rsidR="0089366B">
        <w:t xml:space="preserve"> </w:t>
      </w:r>
      <w:r w:rsidR="00BF3470">
        <w:t>The tank</w:t>
      </w:r>
      <w:r w:rsidR="007D245C">
        <w:t>s</w:t>
      </w:r>
      <w:r w:rsidR="00BF3470">
        <w:t xml:space="preserve"> feature</w:t>
      </w:r>
      <w:r w:rsidR="00940D58">
        <w:t>d</w:t>
      </w:r>
      <w:r w:rsidR="00BF3470">
        <w:t xml:space="preserve"> a typical commercial uniform-density MLI composed of pure aluminum radiative layers and glass fiber fleece spacers. </w:t>
      </w:r>
      <w:r w:rsidR="00085264" w:rsidRPr="00085264">
        <w:t xml:space="preserve">The vacuum </w:t>
      </w:r>
      <w:r w:rsidR="00085264">
        <w:t xml:space="preserve">gap </w:t>
      </w:r>
      <w:r w:rsidR="00085264" w:rsidRPr="00085264">
        <w:t>ha</w:t>
      </w:r>
      <w:r w:rsidR="00940D58">
        <w:t>d</w:t>
      </w:r>
      <w:r w:rsidR="00085264" w:rsidRPr="00085264">
        <w:t xml:space="preserve"> a thickness of 0.03 m and the residual gas inside </w:t>
      </w:r>
      <w:r w:rsidR="00940D58">
        <w:t>was</w:t>
      </w:r>
      <w:r w:rsidR="00085264" w:rsidRPr="00085264">
        <w:t xml:space="preserve"> air.</w:t>
      </w:r>
      <w:r w:rsidR="00085264">
        <w:t xml:space="preserve"> </w:t>
      </w:r>
      <w:r w:rsidR="00BF3470">
        <w:t xml:space="preserve">All the other data needed to close the model set of equations for the specific MLI considered are listed in </w:t>
      </w:r>
      <w:r w:rsidR="00B22129">
        <w:t xml:space="preserve">Table </w:t>
      </w:r>
      <w:r w:rsidR="00B22129">
        <w:rPr>
          <w:noProof/>
        </w:rPr>
        <w:t>3</w:t>
      </w:r>
      <w:r w:rsidR="00BF3470">
        <w:t xml:space="preserve">. </w:t>
      </w:r>
    </w:p>
    <w:p w14:paraId="7EFB743E" w14:textId="7166DA5F" w:rsidR="004E7E55" w:rsidRPr="007C1629" w:rsidRDefault="004E7E55" w:rsidP="00883F34">
      <w:pPr>
        <w:pStyle w:val="CETTabletitle"/>
      </w:pPr>
      <w:bookmarkStart w:id="10" w:name="_Ref158977407"/>
      <w:r w:rsidRPr="007C1629">
        <w:t xml:space="preserve">Table </w:t>
      </w:r>
      <w:r w:rsidR="00B22129" w:rsidRPr="007C1629">
        <w:t>3</w:t>
      </w:r>
      <w:bookmarkEnd w:id="10"/>
      <w:r w:rsidRPr="007C1629">
        <w:t>. MLI geometrical and material properties.</w:t>
      </w:r>
    </w:p>
    <w:tbl>
      <w:tblPr>
        <w:tblW w:w="0" w:type="auto"/>
        <w:tblBorders>
          <w:top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810"/>
        <w:gridCol w:w="1134"/>
        <w:gridCol w:w="1437"/>
        <w:gridCol w:w="21"/>
        <w:gridCol w:w="1417"/>
      </w:tblGrid>
      <w:tr w:rsidR="004E7E55" w:rsidRPr="004F3E67" w14:paraId="2EBEAA80" w14:textId="77777777" w:rsidTr="00F13609">
        <w:tc>
          <w:tcPr>
            <w:tcW w:w="1985" w:type="dxa"/>
            <w:tcBorders>
              <w:top w:val="single" w:sz="12" w:space="0" w:color="008000"/>
              <w:bottom w:val="single" w:sz="6" w:space="0" w:color="008000"/>
            </w:tcBorders>
            <w:shd w:val="clear" w:color="auto" w:fill="FFFFFF"/>
            <w:vAlign w:val="center"/>
          </w:tcPr>
          <w:p w14:paraId="23BC22FD" w14:textId="77777777" w:rsidR="004E7E55" w:rsidRPr="004F3E67" w:rsidRDefault="004E7E55" w:rsidP="004E7E55">
            <w:r w:rsidRPr="004F3E67">
              <w:rPr>
                <w:lang w:val="en-US"/>
              </w:rPr>
              <w:t>Property</w:t>
            </w:r>
          </w:p>
        </w:tc>
        <w:tc>
          <w:tcPr>
            <w:tcW w:w="810" w:type="dxa"/>
            <w:tcBorders>
              <w:top w:val="single" w:sz="12" w:space="0" w:color="008000"/>
              <w:bottom w:val="single" w:sz="6" w:space="0" w:color="008000"/>
            </w:tcBorders>
            <w:shd w:val="clear" w:color="auto" w:fill="FFFFFF"/>
            <w:vAlign w:val="center"/>
          </w:tcPr>
          <w:p w14:paraId="039702EE" w14:textId="77777777" w:rsidR="004E7E55" w:rsidRPr="004F3E67" w:rsidRDefault="004E7E55" w:rsidP="004E7E55">
            <w:r w:rsidRPr="004F3E67">
              <w:rPr>
                <w:lang w:val="en-US"/>
              </w:rPr>
              <w:t>Symbol</w:t>
            </w:r>
          </w:p>
        </w:tc>
        <w:tc>
          <w:tcPr>
            <w:tcW w:w="1134" w:type="dxa"/>
            <w:tcBorders>
              <w:top w:val="single" w:sz="12" w:space="0" w:color="008000"/>
              <w:bottom w:val="single" w:sz="6" w:space="0" w:color="008000"/>
            </w:tcBorders>
            <w:shd w:val="clear" w:color="auto" w:fill="FFFFFF"/>
            <w:vAlign w:val="center"/>
          </w:tcPr>
          <w:p w14:paraId="53580EB8" w14:textId="77777777" w:rsidR="004E7E55" w:rsidRPr="004F3E67" w:rsidRDefault="004E7E55" w:rsidP="004E7E55">
            <w:r w:rsidRPr="004F3E67">
              <w:rPr>
                <w:lang w:val="en-US"/>
              </w:rPr>
              <w:t>Unit</w:t>
            </w:r>
          </w:p>
        </w:tc>
        <w:tc>
          <w:tcPr>
            <w:tcW w:w="1458" w:type="dxa"/>
            <w:gridSpan w:val="2"/>
            <w:tcBorders>
              <w:top w:val="single" w:sz="12" w:space="0" w:color="008000"/>
              <w:bottom w:val="single" w:sz="6" w:space="0" w:color="008000"/>
            </w:tcBorders>
            <w:shd w:val="clear" w:color="auto" w:fill="FFFFFF"/>
            <w:vAlign w:val="center"/>
          </w:tcPr>
          <w:p w14:paraId="743993C3" w14:textId="77777777" w:rsidR="004E7E55" w:rsidRPr="004F3E67" w:rsidRDefault="004E7E55" w:rsidP="004E7E55">
            <w:pPr>
              <w:ind w:right="-1"/>
              <w:rPr>
                <w:rFonts w:cs="Arial"/>
                <w:szCs w:val="18"/>
              </w:rPr>
            </w:pPr>
            <w:r w:rsidRPr="004F3E67">
              <w:rPr>
                <w:lang w:val="en-US"/>
              </w:rPr>
              <w:t>Radiative layer</w:t>
            </w:r>
          </w:p>
        </w:tc>
        <w:tc>
          <w:tcPr>
            <w:tcW w:w="1417" w:type="dxa"/>
            <w:tcBorders>
              <w:top w:val="single" w:sz="12" w:space="0" w:color="008000"/>
              <w:bottom w:val="single" w:sz="6" w:space="0" w:color="008000"/>
            </w:tcBorders>
            <w:shd w:val="clear" w:color="auto" w:fill="FFFFFF"/>
            <w:vAlign w:val="center"/>
          </w:tcPr>
          <w:p w14:paraId="5FE6A7C2" w14:textId="77777777" w:rsidR="004E7E55" w:rsidRPr="004F3E67" w:rsidRDefault="004E7E55" w:rsidP="004E7E55">
            <w:pPr>
              <w:ind w:right="-1"/>
              <w:rPr>
                <w:rFonts w:cs="Arial"/>
                <w:szCs w:val="18"/>
              </w:rPr>
            </w:pPr>
            <w:r w:rsidRPr="004F3E67">
              <w:rPr>
                <w:lang w:val="en-US"/>
              </w:rPr>
              <w:t>Spacer</w:t>
            </w:r>
          </w:p>
        </w:tc>
      </w:tr>
      <w:tr w:rsidR="004E7E55" w:rsidRPr="004F3E67" w14:paraId="5744CF07" w14:textId="77777777" w:rsidTr="00F13609">
        <w:tc>
          <w:tcPr>
            <w:tcW w:w="1985" w:type="dxa"/>
            <w:tcBorders>
              <w:top w:val="single" w:sz="6" w:space="0" w:color="008000"/>
            </w:tcBorders>
            <w:shd w:val="clear" w:color="auto" w:fill="FFFFFF"/>
            <w:vAlign w:val="center"/>
          </w:tcPr>
          <w:p w14:paraId="639FAEFD" w14:textId="77777777" w:rsidR="004E7E55" w:rsidRPr="004F3E67" w:rsidRDefault="004E7E55" w:rsidP="004E7E55">
            <w:r w:rsidRPr="004F3E67">
              <w:rPr>
                <w:lang w:val="en-US"/>
              </w:rPr>
              <w:t>Material</w:t>
            </w:r>
          </w:p>
        </w:tc>
        <w:tc>
          <w:tcPr>
            <w:tcW w:w="810" w:type="dxa"/>
            <w:tcBorders>
              <w:top w:val="single" w:sz="6" w:space="0" w:color="008000"/>
            </w:tcBorders>
            <w:shd w:val="clear" w:color="auto" w:fill="FFFFFF"/>
            <w:vAlign w:val="center"/>
          </w:tcPr>
          <w:p w14:paraId="00090C7C" w14:textId="77777777" w:rsidR="004E7E55" w:rsidRPr="004F3E67" w:rsidRDefault="004E7E55" w:rsidP="004E7E55">
            <w:r w:rsidRPr="004F3E67">
              <w:rPr>
                <w:lang w:val="en-US"/>
              </w:rPr>
              <w:t>-</w:t>
            </w:r>
          </w:p>
        </w:tc>
        <w:tc>
          <w:tcPr>
            <w:tcW w:w="1134" w:type="dxa"/>
            <w:tcBorders>
              <w:top w:val="single" w:sz="6" w:space="0" w:color="008000"/>
            </w:tcBorders>
            <w:shd w:val="clear" w:color="auto" w:fill="FFFFFF"/>
            <w:vAlign w:val="center"/>
          </w:tcPr>
          <w:p w14:paraId="7630AC16" w14:textId="77777777" w:rsidR="004E7E55" w:rsidRPr="004F3E67" w:rsidRDefault="004E7E55" w:rsidP="004E7E55">
            <w:r w:rsidRPr="004F3E67">
              <w:rPr>
                <w:lang w:val="en-US"/>
              </w:rPr>
              <w:t>-</w:t>
            </w:r>
          </w:p>
        </w:tc>
        <w:tc>
          <w:tcPr>
            <w:tcW w:w="1458" w:type="dxa"/>
            <w:gridSpan w:val="2"/>
            <w:tcBorders>
              <w:top w:val="single" w:sz="6" w:space="0" w:color="008000"/>
            </w:tcBorders>
            <w:shd w:val="clear" w:color="auto" w:fill="FFFFFF"/>
            <w:vAlign w:val="center"/>
          </w:tcPr>
          <w:p w14:paraId="4446CD4B" w14:textId="77777777" w:rsidR="004E7E55" w:rsidRPr="004F3E67" w:rsidRDefault="004E7E55" w:rsidP="004E7E55">
            <w:pPr>
              <w:ind w:right="-1"/>
              <w:rPr>
                <w:rFonts w:cs="Arial"/>
                <w:szCs w:val="18"/>
              </w:rPr>
            </w:pPr>
            <w:r w:rsidRPr="004F3E67">
              <w:rPr>
                <w:lang w:val="en-US"/>
              </w:rPr>
              <w:t>Aluminum</w:t>
            </w:r>
          </w:p>
        </w:tc>
        <w:tc>
          <w:tcPr>
            <w:tcW w:w="1417" w:type="dxa"/>
            <w:tcBorders>
              <w:top w:val="single" w:sz="6" w:space="0" w:color="008000"/>
            </w:tcBorders>
            <w:shd w:val="clear" w:color="auto" w:fill="FFFFFF"/>
            <w:vAlign w:val="center"/>
          </w:tcPr>
          <w:p w14:paraId="6B3E7CC0" w14:textId="77777777" w:rsidR="004E7E55" w:rsidRPr="004F3E67" w:rsidRDefault="004E7E55" w:rsidP="004E7E55">
            <w:pPr>
              <w:ind w:right="-1"/>
              <w:rPr>
                <w:rFonts w:cs="Arial"/>
                <w:szCs w:val="18"/>
              </w:rPr>
            </w:pPr>
            <w:r w:rsidRPr="004F3E67">
              <w:rPr>
                <w:lang w:val="en-US"/>
              </w:rPr>
              <w:t>Glass fiber fleece</w:t>
            </w:r>
          </w:p>
        </w:tc>
      </w:tr>
      <w:tr w:rsidR="004E7E55" w:rsidRPr="004F3E67" w14:paraId="5FBC830C" w14:textId="77777777" w:rsidTr="00F13609">
        <w:tc>
          <w:tcPr>
            <w:tcW w:w="1985" w:type="dxa"/>
            <w:shd w:val="clear" w:color="auto" w:fill="FFFFFF"/>
            <w:vAlign w:val="center"/>
          </w:tcPr>
          <w:p w14:paraId="05C7345C" w14:textId="77777777" w:rsidR="004E7E55" w:rsidRPr="004F3E67" w:rsidRDefault="004E7E55" w:rsidP="004E7E55">
            <w:pPr>
              <w:ind w:right="-1"/>
              <w:rPr>
                <w:lang w:val="en-US"/>
              </w:rPr>
            </w:pPr>
            <w:r w:rsidRPr="004F3E67">
              <w:rPr>
                <w:lang w:val="en-US"/>
              </w:rPr>
              <w:t>Thickness</w:t>
            </w:r>
          </w:p>
        </w:tc>
        <w:tc>
          <w:tcPr>
            <w:tcW w:w="810" w:type="dxa"/>
            <w:shd w:val="clear" w:color="auto" w:fill="FFFFFF"/>
            <w:vAlign w:val="center"/>
          </w:tcPr>
          <w:p w14:paraId="463067B7" w14:textId="77777777" w:rsidR="004E7E55" w:rsidRPr="004F3E67" w:rsidRDefault="004E7E55" w:rsidP="004E7E55">
            <w:pPr>
              <w:ind w:right="-1"/>
              <w:rPr>
                <w:i/>
                <w:lang w:val="en-US"/>
              </w:rPr>
            </w:pPr>
            <w:r w:rsidRPr="004F3E67">
              <w:rPr>
                <w:rFonts w:cs="Arial"/>
                <w:i/>
                <w:lang w:val="en-US"/>
              </w:rPr>
              <w:t>δ</w:t>
            </w:r>
            <w:r w:rsidRPr="004F3E67">
              <w:rPr>
                <w:rFonts w:cs="Arial"/>
                <w:i/>
                <w:vertAlign w:val="subscript"/>
                <w:lang w:val="en-US"/>
              </w:rPr>
              <w:t>rl</w:t>
            </w:r>
            <w:r w:rsidRPr="004F3E67">
              <w:rPr>
                <w:rFonts w:cs="Arial"/>
                <w:i/>
                <w:lang w:val="en-US"/>
              </w:rPr>
              <w:t>/D</w:t>
            </w:r>
            <w:r w:rsidRPr="004F3E67">
              <w:rPr>
                <w:rFonts w:cs="Arial"/>
                <w:i/>
                <w:vertAlign w:val="subscript"/>
                <w:lang w:val="en-US"/>
              </w:rPr>
              <w:t>x</w:t>
            </w:r>
          </w:p>
        </w:tc>
        <w:tc>
          <w:tcPr>
            <w:tcW w:w="1134" w:type="dxa"/>
            <w:shd w:val="clear" w:color="auto" w:fill="FFFFFF"/>
            <w:vAlign w:val="center"/>
          </w:tcPr>
          <w:p w14:paraId="4A07BD75" w14:textId="77777777" w:rsidR="004E7E55" w:rsidRPr="004F3E67" w:rsidRDefault="004E7E55" w:rsidP="004E7E55">
            <w:pPr>
              <w:ind w:right="-1"/>
              <w:rPr>
                <w:lang w:val="en-US"/>
              </w:rPr>
            </w:pPr>
            <w:r w:rsidRPr="004F3E67">
              <w:rPr>
                <w:lang w:val="en-US"/>
              </w:rPr>
              <w:t>m</w:t>
            </w:r>
          </w:p>
        </w:tc>
        <w:tc>
          <w:tcPr>
            <w:tcW w:w="1458" w:type="dxa"/>
            <w:gridSpan w:val="2"/>
            <w:shd w:val="clear" w:color="auto" w:fill="FFFFFF"/>
            <w:vAlign w:val="center"/>
          </w:tcPr>
          <w:p w14:paraId="25FC1383" w14:textId="21C3B44B" w:rsidR="004E7E55" w:rsidRPr="004F3E67" w:rsidRDefault="001B5464" w:rsidP="004E7E55">
            <w:pPr>
              <w:ind w:right="-1"/>
              <w:rPr>
                <w:vertAlign w:val="superscript"/>
                <w:lang w:val="en-US"/>
              </w:rPr>
            </w:pPr>
            <w:r w:rsidRPr="004F3E67">
              <w:rPr>
                <w:rFonts w:eastAsia="SimSun"/>
                <w:lang w:val="en-US"/>
              </w:rPr>
              <w:t>6</w:t>
            </w:r>
            <w:r w:rsidR="004E7E55" w:rsidRPr="004F3E67">
              <w:rPr>
                <w:rFonts w:eastAsia="SimSun"/>
                <w:lang w:val="en-US"/>
              </w:rPr>
              <w:t>·10</w:t>
            </w:r>
            <w:r w:rsidR="004E7E55" w:rsidRPr="004F3E67">
              <w:rPr>
                <w:rFonts w:eastAsia="SimSun"/>
                <w:vertAlign w:val="superscript"/>
                <w:lang w:val="en-US"/>
              </w:rPr>
              <w:t>-6</w:t>
            </w:r>
          </w:p>
        </w:tc>
        <w:tc>
          <w:tcPr>
            <w:tcW w:w="1417" w:type="dxa"/>
            <w:shd w:val="clear" w:color="auto" w:fill="FFFFFF"/>
            <w:vAlign w:val="center"/>
          </w:tcPr>
          <w:p w14:paraId="5285528B" w14:textId="676C5971" w:rsidR="004E7E55" w:rsidRPr="004F3E67" w:rsidRDefault="001B5464" w:rsidP="004E7E55">
            <w:pPr>
              <w:ind w:right="-1"/>
              <w:rPr>
                <w:lang w:val="en-US"/>
              </w:rPr>
            </w:pPr>
            <w:r w:rsidRPr="004F3E67">
              <w:rPr>
                <w:lang w:val="en-US"/>
              </w:rPr>
              <w:t>2.44</w:t>
            </w:r>
            <w:r w:rsidR="004E7E55" w:rsidRPr="004F3E67">
              <w:rPr>
                <w:rFonts w:eastAsia="SimSun"/>
                <w:lang w:val="en-US"/>
              </w:rPr>
              <w:t>·10</w:t>
            </w:r>
            <w:r w:rsidR="004E7E55" w:rsidRPr="004F3E67">
              <w:rPr>
                <w:rFonts w:eastAsia="SimSun"/>
                <w:vertAlign w:val="superscript"/>
                <w:lang w:val="en-US"/>
              </w:rPr>
              <w:t>-4</w:t>
            </w:r>
          </w:p>
        </w:tc>
      </w:tr>
      <w:tr w:rsidR="004E7E55" w:rsidRPr="004F3E67" w14:paraId="74460A3B" w14:textId="77777777" w:rsidTr="00F13609">
        <w:tc>
          <w:tcPr>
            <w:tcW w:w="1985" w:type="dxa"/>
            <w:shd w:val="clear" w:color="auto" w:fill="FFFFFF"/>
            <w:vAlign w:val="center"/>
          </w:tcPr>
          <w:p w14:paraId="5DFC5A6B" w14:textId="77777777" w:rsidR="004E7E55" w:rsidRPr="004F3E67" w:rsidRDefault="004E7E55" w:rsidP="004E7E55">
            <w:pPr>
              <w:ind w:right="-1"/>
              <w:rPr>
                <w:rFonts w:cs="Arial"/>
                <w:szCs w:val="18"/>
              </w:rPr>
            </w:pPr>
            <w:r w:rsidRPr="004F3E67">
              <w:rPr>
                <w:lang w:val="en-US"/>
              </w:rPr>
              <w:t>Density</w:t>
            </w:r>
          </w:p>
        </w:tc>
        <w:tc>
          <w:tcPr>
            <w:tcW w:w="810" w:type="dxa"/>
            <w:shd w:val="clear" w:color="auto" w:fill="FFFFFF"/>
            <w:vAlign w:val="center"/>
          </w:tcPr>
          <w:p w14:paraId="3525ACC3" w14:textId="77777777" w:rsidR="004E7E55" w:rsidRPr="004F3E67" w:rsidRDefault="004E7E55" w:rsidP="004E7E55">
            <w:pPr>
              <w:ind w:right="-1"/>
              <w:rPr>
                <w:rFonts w:cs="Arial"/>
                <w:i/>
                <w:szCs w:val="18"/>
              </w:rPr>
            </w:pPr>
            <w:r w:rsidRPr="004F3E67">
              <w:rPr>
                <w:i/>
                <w:lang w:val="en-US"/>
              </w:rPr>
              <w:t>ρ</w:t>
            </w:r>
          </w:p>
        </w:tc>
        <w:tc>
          <w:tcPr>
            <w:tcW w:w="1134" w:type="dxa"/>
            <w:shd w:val="clear" w:color="auto" w:fill="FFFFFF"/>
            <w:vAlign w:val="center"/>
          </w:tcPr>
          <w:p w14:paraId="01619248" w14:textId="77777777" w:rsidR="004E7E55" w:rsidRPr="004F3E67" w:rsidRDefault="004E7E55" w:rsidP="004E7E55">
            <w:pPr>
              <w:ind w:right="-1"/>
              <w:rPr>
                <w:rFonts w:cs="Arial"/>
                <w:szCs w:val="18"/>
              </w:rPr>
            </w:pPr>
            <w:r w:rsidRPr="004F3E67">
              <w:rPr>
                <w:lang w:val="en-US"/>
              </w:rPr>
              <w:t>kg/m</w:t>
            </w:r>
            <w:r w:rsidRPr="004F3E67">
              <w:rPr>
                <w:vertAlign w:val="superscript"/>
                <w:lang w:val="en-US"/>
              </w:rPr>
              <w:t>3</w:t>
            </w:r>
          </w:p>
        </w:tc>
        <w:tc>
          <w:tcPr>
            <w:tcW w:w="1458" w:type="dxa"/>
            <w:gridSpan w:val="2"/>
            <w:shd w:val="clear" w:color="auto" w:fill="FFFFFF"/>
            <w:vAlign w:val="center"/>
          </w:tcPr>
          <w:p w14:paraId="173574AE" w14:textId="77777777" w:rsidR="004E7E55" w:rsidRPr="004F3E67" w:rsidRDefault="004E7E55" w:rsidP="004E7E55">
            <w:pPr>
              <w:ind w:right="-1"/>
              <w:rPr>
                <w:rFonts w:cs="Arial"/>
                <w:szCs w:val="18"/>
              </w:rPr>
            </w:pPr>
            <w:r w:rsidRPr="004F3E67">
              <w:rPr>
                <w:lang w:val="en-US"/>
              </w:rPr>
              <w:t>2700</w:t>
            </w:r>
          </w:p>
        </w:tc>
        <w:tc>
          <w:tcPr>
            <w:tcW w:w="1417" w:type="dxa"/>
            <w:shd w:val="clear" w:color="auto" w:fill="FFFFFF"/>
            <w:vAlign w:val="center"/>
          </w:tcPr>
          <w:p w14:paraId="78C9E43E" w14:textId="77777777" w:rsidR="004E7E55" w:rsidRPr="004F3E67" w:rsidRDefault="004E7E55" w:rsidP="004E7E55">
            <w:pPr>
              <w:ind w:right="-1"/>
              <w:rPr>
                <w:rFonts w:cs="Arial"/>
                <w:szCs w:val="18"/>
              </w:rPr>
            </w:pPr>
            <w:r w:rsidRPr="004F3E67">
              <w:rPr>
                <w:lang w:val="en-US"/>
              </w:rPr>
              <w:t>2500*</w:t>
            </w:r>
          </w:p>
        </w:tc>
      </w:tr>
      <w:tr w:rsidR="004E7E55" w:rsidRPr="004F3E67" w14:paraId="5A6DD6FD" w14:textId="77777777" w:rsidTr="00F13609">
        <w:tc>
          <w:tcPr>
            <w:tcW w:w="1985" w:type="dxa"/>
            <w:shd w:val="clear" w:color="auto" w:fill="FFFFFF"/>
            <w:vAlign w:val="center"/>
          </w:tcPr>
          <w:p w14:paraId="3E036AA7" w14:textId="77777777" w:rsidR="004E7E55" w:rsidRPr="004F3E67" w:rsidRDefault="004E7E55" w:rsidP="004E7E55">
            <w:pPr>
              <w:ind w:right="-1"/>
              <w:rPr>
                <w:lang w:val="en-US"/>
              </w:rPr>
            </w:pPr>
            <w:r w:rsidRPr="004F3E67">
              <w:rPr>
                <w:lang w:val="en-US"/>
              </w:rPr>
              <w:t>Thermal Conductivity</w:t>
            </w:r>
          </w:p>
        </w:tc>
        <w:tc>
          <w:tcPr>
            <w:tcW w:w="810" w:type="dxa"/>
            <w:shd w:val="clear" w:color="auto" w:fill="FFFFFF"/>
            <w:vAlign w:val="center"/>
          </w:tcPr>
          <w:p w14:paraId="241F4DD4" w14:textId="77777777" w:rsidR="004E7E55" w:rsidRPr="004F3E67" w:rsidRDefault="004E7E55" w:rsidP="004E7E55">
            <w:pPr>
              <w:ind w:right="-1"/>
              <w:rPr>
                <w:i/>
                <w:lang w:val="en-US"/>
              </w:rPr>
            </w:pPr>
            <w:r w:rsidRPr="004F3E67">
              <w:rPr>
                <w:i/>
                <w:lang w:val="en-US"/>
              </w:rPr>
              <w:t>k</w:t>
            </w:r>
          </w:p>
        </w:tc>
        <w:tc>
          <w:tcPr>
            <w:tcW w:w="1134" w:type="dxa"/>
            <w:shd w:val="clear" w:color="auto" w:fill="FFFFFF"/>
            <w:vAlign w:val="center"/>
          </w:tcPr>
          <w:p w14:paraId="5FF98A97" w14:textId="77777777" w:rsidR="004E7E55" w:rsidRPr="004F3E67" w:rsidRDefault="004E7E55" w:rsidP="004E7E55">
            <w:pPr>
              <w:ind w:right="-1"/>
              <w:rPr>
                <w:lang w:val="en-US"/>
              </w:rPr>
            </w:pPr>
            <w:r w:rsidRPr="004F3E67">
              <w:rPr>
                <w:lang w:val="en-US"/>
              </w:rPr>
              <w:t>W/(m·K)</w:t>
            </w:r>
          </w:p>
        </w:tc>
        <w:tc>
          <w:tcPr>
            <w:tcW w:w="1458" w:type="dxa"/>
            <w:gridSpan w:val="2"/>
            <w:shd w:val="clear" w:color="auto" w:fill="FFFFFF"/>
            <w:vAlign w:val="center"/>
          </w:tcPr>
          <w:p w14:paraId="0346B520" w14:textId="77777777" w:rsidR="004E7E55" w:rsidRPr="004F3E67" w:rsidRDefault="004E7E55" w:rsidP="004E7E55">
            <w:pPr>
              <w:ind w:right="-1"/>
              <w:rPr>
                <w:lang w:val="en-US"/>
              </w:rPr>
            </w:pPr>
            <w:r w:rsidRPr="004F3E67">
              <w:rPr>
                <w:lang w:val="en-US"/>
              </w:rPr>
              <w:t>250</w:t>
            </w:r>
          </w:p>
        </w:tc>
        <w:tc>
          <w:tcPr>
            <w:tcW w:w="1417" w:type="dxa"/>
            <w:shd w:val="clear" w:color="auto" w:fill="FFFFFF"/>
            <w:vAlign w:val="center"/>
          </w:tcPr>
          <w:p w14:paraId="4A9F402D" w14:textId="77777777" w:rsidR="004E7E55" w:rsidRPr="004F3E67" w:rsidRDefault="004E7E55" w:rsidP="004E7E55">
            <w:pPr>
              <w:ind w:right="-1"/>
              <w:rPr>
                <w:lang w:val="en-US"/>
              </w:rPr>
            </w:pPr>
            <w:r w:rsidRPr="004F3E67">
              <w:rPr>
                <w:lang w:val="en-US"/>
              </w:rPr>
              <w:t>0.8*</w:t>
            </w:r>
          </w:p>
        </w:tc>
      </w:tr>
      <w:tr w:rsidR="004E7E55" w:rsidRPr="004F3E67" w14:paraId="727A5EBC" w14:textId="77777777" w:rsidTr="00F13609">
        <w:tc>
          <w:tcPr>
            <w:tcW w:w="1985" w:type="dxa"/>
            <w:shd w:val="clear" w:color="auto" w:fill="FFFFFF"/>
            <w:vAlign w:val="center"/>
          </w:tcPr>
          <w:p w14:paraId="42DD942F" w14:textId="77777777" w:rsidR="004E7E55" w:rsidRPr="004F3E67" w:rsidRDefault="004E7E55" w:rsidP="004E7E55">
            <w:pPr>
              <w:ind w:right="-1"/>
              <w:rPr>
                <w:lang w:val="en-US"/>
              </w:rPr>
            </w:pPr>
            <w:r w:rsidRPr="004F3E67">
              <w:rPr>
                <w:lang w:val="en-US"/>
              </w:rPr>
              <w:t>Heat capacity</w:t>
            </w:r>
          </w:p>
        </w:tc>
        <w:tc>
          <w:tcPr>
            <w:tcW w:w="810" w:type="dxa"/>
            <w:shd w:val="clear" w:color="auto" w:fill="FFFFFF"/>
            <w:vAlign w:val="center"/>
          </w:tcPr>
          <w:p w14:paraId="498A949B" w14:textId="77777777" w:rsidR="004E7E55" w:rsidRPr="004F3E67" w:rsidRDefault="004E7E55" w:rsidP="004E7E55">
            <w:pPr>
              <w:ind w:right="-1"/>
              <w:rPr>
                <w:i/>
                <w:lang w:val="en-US"/>
              </w:rPr>
            </w:pPr>
            <w:r w:rsidRPr="004F3E67">
              <w:rPr>
                <w:i/>
                <w:lang w:val="en-US"/>
              </w:rPr>
              <w:t>c</w:t>
            </w:r>
            <w:r w:rsidRPr="004F3E67">
              <w:rPr>
                <w:i/>
                <w:vertAlign w:val="subscript"/>
                <w:lang w:val="en-US"/>
              </w:rPr>
              <w:t>p</w:t>
            </w:r>
          </w:p>
        </w:tc>
        <w:tc>
          <w:tcPr>
            <w:tcW w:w="1134" w:type="dxa"/>
            <w:shd w:val="clear" w:color="auto" w:fill="FFFFFF"/>
            <w:vAlign w:val="center"/>
          </w:tcPr>
          <w:p w14:paraId="6473EDBA" w14:textId="77777777" w:rsidR="004E7E55" w:rsidRPr="004F3E67" w:rsidRDefault="004E7E55" w:rsidP="004E7E55">
            <w:pPr>
              <w:ind w:right="-1"/>
              <w:rPr>
                <w:lang w:val="en-US"/>
              </w:rPr>
            </w:pPr>
            <w:r w:rsidRPr="004F3E67">
              <w:rPr>
                <w:lang w:val="en-US"/>
              </w:rPr>
              <w:t>J/(kg·K)</w:t>
            </w:r>
          </w:p>
        </w:tc>
        <w:tc>
          <w:tcPr>
            <w:tcW w:w="1458" w:type="dxa"/>
            <w:gridSpan w:val="2"/>
            <w:shd w:val="clear" w:color="auto" w:fill="FFFFFF"/>
            <w:vAlign w:val="center"/>
          </w:tcPr>
          <w:p w14:paraId="4E73D63B" w14:textId="77777777" w:rsidR="004E7E55" w:rsidRPr="004F3E67" w:rsidRDefault="004E7E55" w:rsidP="004E7E55">
            <w:pPr>
              <w:ind w:right="-1"/>
              <w:rPr>
                <w:lang w:val="en-US"/>
              </w:rPr>
            </w:pPr>
            <w:r w:rsidRPr="004F3E67">
              <w:rPr>
                <w:lang w:val="en-US"/>
              </w:rPr>
              <w:t>900</w:t>
            </w:r>
          </w:p>
        </w:tc>
        <w:tc>
          <w:tcPr>
            <w:tcW w:w="1417" w:type="dxa"/>
            <w:shd w:val="clear" w:color="auto" w:fill="FFFFFF"/>
            <w:vAlign w:val="center"/>
          </w:tcPr>
          <w:p w14:paraId="4CEE7138" w14:textId="77777777" w:rsidR="004E7E55" w:rsidRPr="004F3E67" w:rsidRDefault="004E7E55" w:rsidP="004E7E55">
            <w:pPr>
              <w:ind w:right="-1"/>
              <w:rPr>
                <w:lang w:val="en-US"/>
              </w:rPr>
            </w:pPr>
            <w:r w:rsidRPr="004F3E67">
              <w:rPr>
                <w:lang w:val="en-US"/>
              </w:rPr>
              <w:t>-</w:t>
            </w:r>
          </w:p>
        </w:tc>
      </w:tr>
      <w:tr w:rsidR="004E7E55" w:rsidRPr="004F3E67" w14:paraId="199B234D" w14:textId="77777777" w:rsidTr="00F13609">
        <w:tc>
          <w:tcPr>
            <w:tcW w:w="1985" w:type="dxa"/>
            <w:tcBorders>
              <w:bottom w:val="nil"/>
            </w:tcBorders>
            <w:shd w:val="clear" w:color="auto" w:fill="FFFFFF"/>
            <w:vAlign w:val="center"/>
          </w:tcPr>
          <w:p w14:paraId="5B9159FE" w14:textId="77777777" w:rsidR="004E7E55" w:rsidRPr="004F3E67" w:rsidRDefault="004E7E55" w:rsidP="004E7E55">
            <w:pPr>
              <w:ind w:right="-1"/>
              <w:rPr>
                <w:lang w:val="en-US"/>
              </w:rPr>
            </w:pPr>
            <w:r w:rsidRPr="004F3E67">
              <w:rPr>
                <w:lang w:val="en-US"/>
              </w:rPr>
              <w:t>Relative density</w:t>
            </w:r>
          </w:p>
        </w:tc>
        <w:tc>
          <w:tcPr>
            <w:tcW w:w="810" w:type="dxa"/>
            <w:tcBorders>
              <w:bottom w:val="nil"/>
            </w:tcBorders>
            <w:shd w:val="clear" w:color="auto" w:fill="FFFFFF"/>
            <w:vAlign w:val="center"/>
          </w:tcPr>
          <w:p w14:paraId="72363D50" w14:textId="77777777" w:rsidR="004E7E55" w:rsidRPr="004F3E67" w:rsidRDefault="004E7E55" w:rsidP="004E7E55">
            <w:pPr>
              <w:ind w:right="-1"/>
              <w:rPr>
                <w:i/>
                <w:lang w:val="en-US"/>
              </w:rPr>
            </w:pPr>
            <w:r w:rsidRPr="004F3E67">
              <w:rPr>
                <w:i/>
                <w:lang w:val="en-US"/>
              </w:rPr>
              <w:t>f</w:t>
            </w:r>
          </w:p>
        </w:tc>
        <w:tc>
          <w:tcPr>
            <w:tcW w:w="1134" w:type="dxa"/>
            <w:tcBorders>
              <w:bottom w:val="nil"/>
            </w:tcBorders>
            <w:shd w:val="clear" w:color="auto" w:fill="FFFFFF"/>
            <w:vAlign w:val="center"/>
          </w:tcPr>
          <w:p w14:paraId="25DB1050" w14:textId="77777777" w:rsidR="004E7E55" w:rsidRPr="004F3E67" w:rsidRDefault="004E7E55" w:rsidP="004E7E55">
            <w:pPr>
              <w:ind w:right="-1"/>
              <w:rPr>
                <w:lang w:val="en-US"/>
              </w:rPr>
            </w:pPr>
            <w:r w:rsidRPr="004F3E67">
              <w:rPr>
                <w:lang w:val="en-US"/>
              </w:rPr>
              <w:t>-</w:t>
            </w:r>
          </w:p>
        </w:tc>
        <w:tc>
          <w:tcPr>
            <w:tcW w:w="1458" w:type="dxa"/>
            <w:gridSpan w:val="2"/>
            <w:tcBorders>
              <w:bottom w:val="nil"/>
            </w:tcBorders>
            <w:shd w:val="clear" w:color="auto" w:fill="FFFFFF"/>
            <w:vAlign w:val="center"/>
          </w:tcPr>
          <w:p w14:paraId="600D966A" w14:textId="77777777" w:rsidR="004E7E55" w:rsidRPr="004F3E67" w:rsidRDefault="004E7E55" w:rsidP="004E7E55">
            <w:pPr>
              <w:ind w:right="-1"/>
              <w:rPr>
                <w:lang w:val="en-US"/>
              </w:rPr>
            </w:pPr>
            <w:r w:rsidRPr="004F3E67">
              <w:rPr>
                <w:lang w:val="en-US"/>
              </w:rPr>
              <w:t>-</w:t>
            </w:r>
          </w:p>
        </w:tc>
        <w:tc>
          <w:tcPr>
            <w:tcW w:w="1417" w:type="dxa"/>
            <w:tcBorders>
              <w:bottom w:val="nil"/>
            </w:tcBorders>
            <w:shd w:val="clear" w:color="auto" w:fill="FFFFFF"/>
            <w:vAlign w:val="center"/>
          </w:tcPr>
          <w:p w14:paraId="04505A0C" w14:textId="0552D87C" w:rsidR="004E7E55" w:rsidRPr="004F3E67" w:rsidRDefault="004E7E55" w:rsidP="004E7E55">
            <w:pPr>
              <w:ind w:right="-1"/>
              <w:rPr>
                <w:lang w:val="en-US"/>
              </w:rPr>
            </w:pPr>
            <w:r w:rsidRPr="004F3E67">
              <w:rPr>
                <w:lang w:val="en-US"/>
              </w:rPr>
              <w:t>0.01</w:t>
            </w:r>
          </w:p>
        </w:tc>
      </w:tr>
      <w:tr w:rsidR="004E7E55" w:rsidRPr="004F3E67" w14:paraId="6E397861" w14:textId="77777777" w:rsidTr="00F13609">
        <w:tc>
          <w:tcPr>
            <w:tcW w:w="1985" w:type="dxa"/>
            <w:tcBorders>
              <w:top w:val="nil"/>
              <w:bottom w:val="nil"/>
            </w:tcBorders>
            <w:shd w:val="clear" w:color="auto" w:fill="FFFFFF"/>
            <w:vAlign w:val="center"/>
          </w:tcPr>
          <w:p w14:paraId="6FA60980" w14:textId="77777777" w:rsidR="004E7E55" w:rsidRPr="004F3E67" w:rsidRDefault="004E7E55" w:rsidP="004E7E55">
            <w:pPr>
              <w:ind w:right="-1"/>
              <w:rPr>
                <w:lang w:val="en-US"/>
              </w:rPr>
            </w:pPr>
            <w:r w:rsidRPr="004F3E67">
              <w:rPr>
                <w:lang w:val="en-US"/>
              </w:rPr>
              <w:t>Emissivity</w:t>
            </w:r>
          </w:p>
        </w:tc>
        <w:tc>
          <w:tcPr>
            <w:tcW w:w="810" w:type="dxa"/>
            <w:tcBorders>
              <w:top w:val="nil"/>
              <w:bottom w:val="nil"/>
            </w:tcBorders>
            <w:shd w:val="clear" w:color="auto" w:fill="FFFFFF"/>
            <w:vAlign w:val="center"/>
          </w:tcPr>
          <w:p w14:paraId="4FC76D1C" w14:textId="77777777" w:rsidR="004E7E55" w:rsidRPr="004F3E67" w:rsidRDefault="004E7E55" w:rsidP="004E7E55">
            <w:pPr>
              <w:ind w:right="-1"/>
              <w:rPr>
                <w:i/>
                <w:lang w:val="en-US"/>
              </w:rPr>
            </w:pPr>
            <w:r w:rsidRPr="004F3E67">
              <w:rPr>
                <w:i/>
                <w:lang w:val="en-US"/>
              </w:rPr>
              <w:t>ε</w:t>
            </w:r>
          </w:p>
        </w:tc>
        <w:tc>
          <w:tcPr>
            <w:tcW w:w="1134" w:type="dxa"/>
            <w:tcBorders>
              <w:top w:val="nil"/>
              <w:bottom w:val="nil"/>
            </w:tcBorders>
            <w:shd w:val="clear" w:color="auto" w:fill="FFFFFF"/>
            <w:vAlign w:val="center"/>
          </w:tcPr>
          <w:p w14:paraId="30B19D85" w14:textId="77777777" w:rsidR="004E7E55" w:rsidRPr="004F3E67" w:rsidRDefault="004E7E55" w:rsidP="004E7E55">
            <w:pPr>
              <w:ind w:right="-1"/>
              <w:rPr>
                <w:lang w:val="en-US"/>
              </w:rPr>
            </w:pPr>
            <w:r w:rsidRPr="004F3E67">
              <w:rPr>
                <w:lang w:val="en-US"/>
              </w:rPr>
              <w:t>-</w:t>
            </w:r>
          </w:p>
        </w:tc>
        <w:tc>
          <w:tcPr>
            <w:tcW w:w="1458" w:type="dxa"/>
            <w:gridSpan w:val="2"/>
            <w:tcBorders>
              <w:top w:val="nil"/>
              <w:bottom w:val="nil"/>
            </w:tcBorders>
            <w:shd w:val="clear" w:color="auto" w:fill="FFFFFF"/>
            <w:vAlign w:val="center"/>
          </w:tcPr>
          <w:p w14:paraId="28F4C2B2" w14:textId="31FF5599" w:rsidR="004E7E55" w:rsidRPr="004F3E67" w:rsidRDefault="004E7E55" w:rsidP="004E7E55">
            <w:pPr>
              <w:ind w:right="-1"/>
              <w:rPr>
                <w:lang w:val="en-US"/>
              </w:rPr>
            </w:pPr>
            <w:r w:rsidRPr="004F3E67">
              <w:rPr>
                <w:lang w:val="en-US"/>
              </w:rPr>
              <w:t>0.0</w:t>
            </w:r>
            <w:r w:rsidR="000A1998">
              <w:rPr>
                <w:lang w:val="en-US"/>
              </w:rPr>
              <w:t>4</w:t>
            </w:r>
          </w:p>
        </w:tc>
        <w:tc>
          <w:tcPr>
            <w:tcW w:w="1417" w:type="dxa"/>
            <w:tcBorders>
              <w:top w:val="nil"/>
              <w:bottom w:val="nil"/>
            </w:tcBorders>
            <w:shd w:val="clear" w:color="auto" w:fill="FFFFFF"/>
            <w:vAlign w:val="center"/>
          </w:tcPr>
          <w:p w14:paraId="50DDF62A" w14:textId="77777777" w:rsidR="004E7E55" w:rsidRPr="004F3E67" w:rsidRDefault="004E7E55" w:rsidP="004E7E55">
            <w:pPr>
              <w:ind w:right="-1"/>
              <w:rPr>
                <w:lang w:val="en-US"/>
              </w:rPr>
            </w:pPr>
            <w:r w:rsidRPr="004F3E67">
              <w:rPr>
                <w:lang w:val="en-US"/>
              </w:rPr>
              <w:t>-</w:t>
            </w:r>
          </w:p>
        </w:tc>
      </w:tr>
      <w:tr w:rsidR="004E7E55" w:rsidRPr="004F3E67" w14:paraId="77FBA6F7" w14:textId="77777777" w:rsidTr="00F13609">
        <w:tc>
          <w:tcPr>
            <w:tcW w:w="1985" w:type="dxa"/>
            <w:tcBorders>
              <w:top w:val="nil"/>
              <w:bottom w:val="nil"/>
            </w:tcBorders>
            <w:shd w:val="clear" w:color="auto" w:fill="FFFFFF"/>
            <w:vAlign w:val="center"/>
          </w:tcPr>
          <w:p w14:paraId="2DCC1A40" w14:textId="77777777" w:rsidR="004E7E55" w:rsidRPr="004F3E67" w:rsidRDefault="004E7E55" w:rsidP="004E7E55">
            <w:pPr>
              <w:ind w:right="-1"/>
              <w:rPr>
                <w:lang w:val="en-US"/>
              </w:rPr>
            </w:pPr>
            <w:r w:rsidRPr="004F3E67">
              <w:rPr>
                <w:lang w:val="en-US"/>
              </w:rPr>
              <w:t>Spacer empirical factor</w:t>
            </w:r>
          </w:p>
        </w:tc>
        <w:tc>
          <w:tcPr>
            <w:tcW w:w="810" w:type="dxa"/>
            <w:tcBorders>
              <w:top w:val="nil"/>
              <w:bottom w:val="nil"/>
            </w:tcBorders>
            <w:shd w:val="clear" w:color="auto" w:fill="FFFFFF"/>
            <w:vAlign w:val="center"/>
          </w:tcPr>
          <w:p w14:paraId="0A17CA37" w14:textId="77777777" w:rsidR="004E7E55" w:rsidRPr="004F3E67" w:rsidRDefault="004E7E55" w:rsidP="004E7E55">
            <w:pPr>
              <w:ind w:right="-1"/>
              <w:rPr>
                <w:i/>
                <w:lang w:val="en-US"/>
              </w:rPr>
            </w:pPr>
            <w:r w:rsidRPr="004F3E67">
              <w:rPr>
                <w:i/>
                <w:lang w:val="en-US"/>
              </w:rPr>
              <w:t>C</w:t>
            </w:r>
            <w:r w:rsidRPr="004F3E67">
              <w:rPr>
                <w:i/>
                <w:vertAlign w:val="subscript"/>
                <w:lang w:val="en-US"/>
              </w:rPr>
              <w:t>2</w:t>
            </w:r>
          </w:p>
        </w:tc>
        <w:tc>
          <w:tcPr>
            <w:tcW w:w="1134" w:type="dxa"/>
            <w:tcBorders>
              <w:top w:val="nil"/>
              <w:bottom w:val="nil"/>
            </w:tcBorders>
            <w:shd w:val="clear" w:color="auto" w:fill="FFFFFF"/>
            <w:vAlign w:val="center"/>
          </w:tcPr>
          <w:p w14:paraId="4DB565F7" w14:textId="77777777" w:rsidR="004E7E55" w:rsidRPr="004F3E67" w:rsidRDefault="004E7E55" w:rsidP="004E7E55">
            <w:pPr>
              <w:ind w:right="-1"/>
              <w:rPr>
                <w:lang w:val="en-US"/>
              </w:rPr>
            </w:pPr>
            <w:r w:rsidRPr="004F3E67">
              <w:rPr>
                <w:lang w:val="en-US"/>
              </w:rPr>
              <w:t>-</w:t>
            </w:r>
          </w:p>
        </w:tc>
        <w:tc>
          <w:tcPr>
            <w:tcW w:w="1458" w:type="dxa"/>
            <w:gridSpan w:val="2"/>
            <w:tcBorders>
              <w:top w:val="nil"/>
              <w:bottom w:val="nil"/>
            </w:tcBorders>
            <w:shd w:val="clear" w:color="auto" w:fill="FFFFFF"/>
            <w:vAlign w:val="center"/>
          </w:tcPr>
          <w:p w14:paraId="4315813B" w14:textId="77777777" w:rsidR="004E7E55" w:rsidRPr="004F3E67" w:rsidRDefault="004E7E55" w:rsidP="004E7E55">
            <w:pPr>
              <w:ind w:right="-1"/>
              <w:rPr>
                <w:lang w:val="en-US"/>
              </w:rPr>
            </w:pPr>
            <w:r w:rsidRPr="004F3E67">
              <w:rPr>
                <w:lang w:val="en-US"/>
              </w:rPr>
              <w:t>-</w:t>
            </w:r>
          </w:p>
        </w:tc>
        <w:tc>
          <w:tcPr>
            <w:tcW w:w="1417" w:type="dxa"/>
            <w:tcBorders>
              <w:top w:val="nil"/>
              <w:bottom w:val="nil"/>
            </w:tcBorders>
            <w:shd w:val="clear" w:color="auto" w:fill="FFFFFF"/>
            <w:vAlign w:val="center"/>
          </w:tcPr>
          <w:p w14:paraId="2B0B9FBC" w14:textId="77777777" w:rsidR="004E7E55" w:rsidRPr="004F3E67" w:rsidRDefault="004E7E55" w:rsidP="004E7E55">
            <w:pPr>
              <w:ind w:right="-1"/>
              <w:rPr>
                <w:lang w:val="en-US"/>
              </w:rPr>
            </w:pPr>
            <w:r w:rsidRPr="004F3E67">
              <w:rPr>
                <w:lang w:val="en-US"/>
              </w:rPr>
              <w:t>0.0025</w:t>
            </w:r>
          </w:p>
        </w:tc>
      </w:tr>
      <w:tr w:rsidR="004E7E55" w:rsidRPr="004F3E67" w14:paraId="0266518E" w14:textId="77777777" w:rsidTr="004F3E67">
        <w:tc>
          <w:tcPr>
            <w:tcW w:w="1985" w:type="dxa"/>
            <w:tcBorders>
              <w:top w:val="nil"/>
              <w:bottom w:val="nil"/>
            </w:tcBorders>
            <w:shd w:val="clear" w:color="auto" w:fill="FFFFFF"/>
            <w:vAlign w:val="center"/>
          </w:tcPr>
          <w:p w14:paraId="0C41505D" w14:textId="77777777" w:rsidR="004E7E55" w:rsidRPr="004F3E67" w:rsidRDefault="004E7E55" w:rsidP="004E7E55">
            <w:pPr>
              <w:ind w:right="-1"/>
              <w:rPr>
                <w:lang w:val="en-US"/>
              </w:rPr>
            </w:pPr>
            <w:r w:rsidRPr="004F3E67">
              <w:rPr>
                <w:lang w:val="en-US"/>
              </w:rPr>
              <w:t>Residual gas pressure</w:t>
            </w:r>
          </w:p>
        </w:tc>
        <w:tc>
          <w:tcPr>
            <w:tcW w:w="810" w:type="dxa"/>
            <w:tcBorders>
              <w:top w:val="nil"/>
              <w:bottom w:val="nil"/>
            </w:tcBorders>
            <w:shd w:val="clear" w:color="auto" w:fill="FFFFFF"/>
            <w:vAlign w:val="center"/>
          </w:tcPr>
          <w:p w14:paraId="40B4B25D" w14:textId="77777777" w:rsidR="004E7E55" w:rsidRPr="004F3E67" w:rsidRDefault="004E7E55" w:rsidP="004E7E55">
            <w:pPr>
              <w:ind w:right="-1"/>
              <w:rPr>
                <w:i/>
                <w:lang w:val="en-US"/>
              </w:rPr>
            </w:pPr>
            <w:r w:rsidRPr="004F3E67">
              <w:rPr>
                <w:i/>
                <w:lang w:val="en-US"/>
              </w:rPr>
              <w:t>P</w:t>
            </w:r>
            <w:r w:rsidRPr="004F3E67">
              <w:rPr>
                <w:i/>
                <w:vertAlign w:val="subscript"/>
                <w:lang w:val="en-US"/>
              </w:rPr>
              <w:t>r</w:t>
            </w:r>
          </w:p>
        </w:tc>
        <w:tc>
          <w:tcPr>
            <w:tcW w:w="1134" w:type="dxa"/>
            <w:tcBorders>
              <w:top w:val="nil"/>
              <w:bottom w:val="nil"/>
            </w:tcBorders>
            <w:shd w:val="clear" w:color="auto" w:fill="FFFFFF"/>
            <w:vAlign w:val="center"/>
          </w:tcPr>
          <w:p w14:paraId="6F2B6490" w14:textId="77777777" w:rsidR="004E7E55" w:rsidRPr="004F3E67" w:rsidRDefault="004E7E55" w:rsidP="004E7E55">
            <w:pPr>
              <w:ind w:right="-1"/>
              <w:rPr>
                <w:lang w:val="en-US"/>
              </w:rPr>
            </w:pPr>
            <w:r w:rsidRPr="004F3E67">
              <w:rPr>
                <w:lang w:val="en-US"/>
              </w:rPr>
              <w:t>Pa</w:t>
            </w:r>
          </w:p>
        </w:tc>
        <w:tc>
          <w:tcPr>
            <w:tcW w:w="2875" w:type="dxa"/>
            <w:gridSpan w:val="3"/>
            <w:tcBorders>
              <w:top w:val="nil"/>
              <w:bottom w:val="nil"/>
            </w:tcBorders>
            <w:shd w:val="clear" w:color="auto" w:fill="FFFFFF"/>
            <w:vAlign w:val="center"/>
          </w:tcPr>
          <w:p w14:paraId="6EBDCCCA" w14:textId="2C9129EF" w:rsidR="004E7E55" w:rsidRPr="004F3E67" w:rsidRDefault="004E7E55" w:rsidP="004E7E55">
            <w:pPr>
              <w:ind w:right="-1"/>
              <w:rPr>
                <w:lang w:val="en-US"/>
              </w:rPr>
            </w:pPr>
            <w:r w:rsidRPr="004F3E67">
              <w:rPr>
                <w:lang w:val="en-US"/>
              </w:rPr>
              <w:t xml:space="preserve">                     1</w:t>
            </w:r>
            <w:r w:rsidRPr="004F3E67">
              <w:rPr>
                <w:rFonts w:eastAsia="SimSun"/>
                <w:lang w:val="en-US"/>
              </w:rPr>
              <w:t>·10</w:t>
            </w:r>
            <w:r w:rsidRPr="004F3E67">
              <w:rPr>
                <w:rFonts w:eastAsia="SimSun"/>
                <w:vertAlign w:val="superscript"/>
                <w:lang w:val="en-US"/>
              </w:rPr>
              <w:t>-</w:t>
            </w:r>
            <w:r w:rsidR="004F3E67" w:rsidRPr="004F3E67">
              <w:rPr>
                <w:rFonts w:eastAsia="SimSun"/>
                <w:vertAlign w:val="superscript"/>
                <w:lang w:val="en-US"/>
              </w:rPr>
              <w:t>3</w:t>
            </w:r>
          </w:p>
        </w:tc>
      </w:tr>
      <w:tr w:rsidR="004F3E67" w:rsidRPr="004F3E67" w14:paraId="46AEE8AF" w14:textId="77777777" w:rsidTr="004F3E67">
        <w:tc>
          <w:tcPr>
            <w:tcW w:w="1985" w:type="dxa"/>
            <w:tcBorders>
              <w:top w:val="nil"/>
              <w:bottom w:val="single" w:sz="6" w:space="0" w:color="008000"/>
            </w:tcBorders>
            <w:shd w:val="clear" w:color="auto" w:fill="FFFFFF"/>
            <w:vAlign w:val="center"/>
          </w:tcPr>
          <w:p w14:paraId="1FC487E0" w14:textId="11F60B56" w:rsidR="004F3E67" w:rsidRPr="004F3E67" w:rsidRDefault="004F3E67" w:rsidP="004E7E55">
            <w:pPr>
              <w:ind w:right="-1"/>
              <w:rPr>
                <w:lang w:val="en-US"/>
              </w:rPr>
            </w:pPr>
            <w:r w:rsidRPr="004F3E67">
              <w:rPr>
                <w:lang w:val="en-US"/>
              </w:rPr>
              <w:t>Layers number</w:t>
            </w:r>
          </w:p>
        </w:tc>
        <w:tc>
          <w:tcPr>
            <w:tcW w:w="810" w:type="dxa"/>
            <w:tcBorders>
              <w:top w:val="nil"/>
              <w:bottom w:val="single" w:sz="6" w:space="0" w:color="008000"/>
            </w:tcBorders>
            <w:shd w:val="clear" w:color="auto" w:fill="FFFFFF"/>
            <w:vAlign w:val="center"/>
          </w:tcPr>
          <w:p w14:paraId="519D60C9" w14:textId="271D93C6" w:rsidR="004F3E67" w:rsidRPr="004F3E67" w:rsidRDefault="004F3E67" w:rsidP="004E7E55">
            <w:pPr>
              <w:ind w:right="-1"/>
              <w:rPr>
                <w:i/>
                <w:lang w:val="en-US"/>
              </w:rPr>
            </w:pPr>
            <w:r w:rsidRPr="004F3E67">
              <w:rPr>
                <w:i/>
                <w:lang w:val="en-US"/>
              </w:rPr>
              <w:t>N</w:t>
            </w:r>
          </w:p>
        </w:tc>
        <w:tc>
          <w:tcPr>
            <w:tcW w:w="1134" w:type="dxa"/>
            <w:tcBorders>
              <w:top w:val="nil"/>
              <w:bottom w:val="single" w:sz="6" w:space="0" w:color="008000"/>
            </w:tcBorders>
            <w:shd w:val="clear" w:color="auto" w:fill="FFFFFF"/>
            <w:vAlign w:val="center"/>
          </w:tcPr>
          <w:p w14:paraId="1D96D2A4" w14:textId="34BAC8E1" w:rsidR="004F3E67" w:rsidRPr="004F3E67" w:rsidRDefault="004F3E67" w:rsidP="004E7E55">
            <w:pPr>
              <w:ind w:right="-1"/>
              <w:rPr>
                <w:lang w:val="en-US"/>
              </w:rPr>
            </w:pPr>
            <w:r w:rsidRPr="004F3E67">
              <w:rPr>
                <w:lang w:val="en-US"/>
              </w:rPr>
              <w:t>-</w:t>
            </w:r>
          </w:p>
        </w:tc>
        <w:tc>
          <w:tcPr>
            <w:tcW w:w="1437" w:type="dxa"/>
            <w:tcBorders>
              <w:top w:val="nil"/>
              <w:bottom w:val="single" w:sz="6" w:space="0" w:color="008000"/>
            </w:tcBorders>
            <w:shd w:val="clear" w:color="auto" w:fill="FFFFFF"/>
            <w:vAlign w:val="center"/>
          </w:tcPr>
          <w:p w14:paraId="7E347BB6" w14:textId="77777777" w:rsidR="004F3E67" w:rsidRPr="004F3E67" w:rsidRDefault="004F3E67" w:rsidP="004E7E55">
            <w:pPr>
              <w:ind w:right="-1"/>
              <w:rPr>
                <w:lang w:val="en-US"/>
              </w:rPr>
            </w:pPr>
            <w:r w:rsidRPr="004F3E67">
              <w:rPr>
                <w:lang w:val="en-US"/>
              </w:rPr>
              <w:t xml:space="preserve">20 - 80 </w:t>
            </w:r>
          </w:p>
        </w:tc>
        <w:tc>
          <w:tcPr>
            <w:tcW w:w="1438" w:type="dxa"/>
            <w:gridSpan w:val="2"/>
            <w:tcBorders>
              <w:top w:val="nil"/>
              <w:bottom w:val="single" w:sz="6" w:space="0" w:color="008000"/>
            </w:tcBorders>
            <w:shd w:val="clear" w:color="auto" w:fill="FFFFFF"/>
            <w:vAlign w:val="center"/>
          </w:tcPr>
          <w:p w14:paraId="3E1BAC54" w14:textId="113A1784" w:rsidR="004F3E67" w:rsidRPr="004F3E67" w:rsidRDefault="004F3E67" w:rsidP="004E7E55">
            <w:pPr>
              <w:ind w:right="-1"/>
              <w:rPr>
                <w:lang w:val="en-US"/>
              </w:rPr>
            </w:pPr>
            <w:r w:rsidRPr="004F3E67">
              <w:rPr>
                <w:lang w:val="en-US"/>
              </w:rPr>
              <w:t>20 - 80</w:t>
            </w:r>
          </w:p>
        </w:tc>
      </w:tr>
      <w:tr w:rsidR="004E7E55" w:rsidRPr="004F3E67" w14:paraId="5C5344EB" w14:textId="77777777" w:rsidTr="00F13609">
        <w:tc>
          <w:tcPr>
            <w:tcW w:w="6804" w:type="dxa"/>
            <w:gridSpan w:val="6"/>
            <w:tcBorders>
              <w:top w:val="single" w:sz="6" w:space="0" w:color="008000"/>
              <w:bottom w:val="single" w:sz="12" w:space="0" w:color="008000"/>
            </w:tcBorders>
            <w:shd w:val="clear" w:color="auto" w:fill="FFFFFF"/>
            <w:vAlign w:val="center"/>
          </w:tcPr>
          <w:p w14:paraId="2A5364EB" w14:textId="77777777" w:rsidR="004E7E55" w:rsidRPr="004F3E67" w:rsidRDefault="004E7E55" w:rsidP="004E7E55">
            <w:pPr>
              <w:ind w:right="-1"/>
              <w:rPr>
                <w:lang w:val="en-US"/>
              </w:rPr>
            </w:pPr>
            <w:r w:rsidRPr="004F3E67">
              <w:rPr>
                <w:lang w:val="en-US"/>
              </w:rPr>
              <w:t>*solid material properties</w:t>
            </w:r>
          </w:p>
        </w:tc>
      </w:tr>
    </w:tbl>
    <w:p w14:paraId="296524ED" w14:textId="5DD1F411" w:rsidR="00F63174" w:rsidRDefault="0089366B" w:rsidP="004F7148">
      <w:pPr>
        <w:pStyle w:val="CETBodytext"/>
        <w:spacing w:before="120"/>
      </w:pPr>
      <w:r>
        <w:t>Each simulation run share</w:t>
      </w:r>
      <w:r w:rsidR="00940D58">
        <w:t>d</w:t>
      </w:r>
      <w:r>
        <w:t xml:space="preserve"> the same MLI parameters, except for the number of layers</w:t>
      </w:r>
      <w:r w:rsidR="00AE1BF9">
        <w:t xml:space="preserve"> (</w:t>
      </w:r>
      <w:r w:rsidRPr="00626CBD">
        <w:rPr>
          <w:i/>
        </w:rPr>
        <w:t>N</w:t>
      </w:r>
      <w:r w:rsidR="00AE1BF9">
        <w:rPr>
          <w:i/>
        </w:rPr>
        <w:t>)</w:t>
      </w:r>
      <w:r>
        <w:t xml:space="preserve">. This </w:t>
      </w:r>
      <w:r w:rsidR="00940D58">
        <w:t>was</w:t>
      </w:r>
      <w:r>
        <w:t xml:space="preserve"> varied between 20 and 80, </w:t>
      </w:r>
      <w:r w:rsidR="00FB2896">
        <w:t xml:space="preserve">covering the most common </w:t>
      </w:r>
      <w:r>
        <w:t>commercial applications.</w:t>
      </w:r>
      <w:r w:rsidR="004F7148">
        <w:t xml:space="preserve"> </w:t>
      </w:r>
      <w:r w:rsidR="000A1998">
        <w:t xml:space="preserve">According to previous works </w:t>
      </w:r>
      <w:r w:rsidR="000A1998" w:rsidRPr="000A1998">
        <w:rPr>
          <w:noProof/>
        </w:rPr>
        <w:t>(Camplese et al., 2023)</w:t>
      </w:r>
      <w:r w:rsidR="000A1998">
        <w:t>, t</w:t>
      </w:r>
      <w:r w:rsidR="00626CBD">
        <w:t>he degradation temperature (</w:t>
      </w:r>
      <w:r w:rsidR="00626CBD" w:rsidRPr="00122492">
        <w:rPr>
          <w:i/>
        </w:rPr>
        <w:t>T</w:t>
      </w:r>
      <w:r w:rsidR="00626CBD" w:rsidRPr="00122492">
        <w:rPr>
          <w:i/>
          <w:vertAlign w:val="subscript"/>
        </w:rPr>
        <w:t>deg</w:t>
      </w:r>
      <w:r w:rsidR="00626CBD">
        <w:t xml:space="preserve">) </w:t>
      </w:r>
      <w:r w:rsidR="008F1995">
        <w:t>was</w:t>
      </w:r>
      <w:r w:rsidR="00626CBD">
        <w:t xml:space="preserve"> set to 660 °C, which is the melting point temperature of the aluminum. A full engulfing hydrocarbon pool fire </w:t>
      </w:r>
      <w:r w:rsidR="008F1995">
        <w:t>was</w:t>
      </w:r>
      <w:r w:rsidR="00626CBD">
        <w:t xml:space="preserve"> selected as</w:t>
      </w:r>
      <w:r w:rsidR="00085264">
        <w:t xml:space="preserve"> </w:t>
      </w:r>
      <w:r w:rsidR="00626CBD">
        <w:t>fire scenario</w:t>
      </w:r>
      <w:r w:rsidR="007A6053">
        <w:t xml:space="preserve">, defined according to </w:t>
      </w:r>
      <w:r w:rsidR="00626CBD">
        <w:t>the guidelines proposed by</w:t>
      </w:r>
      <w:r w:rsidR="001B5464">
        <w:t xml:space="preserve"> </w:t>
      </w:r>
      <w:r w:rsidR="001B5464" w:rsidRPr="001B5464">
        <w:rPr>
          <w:noProof/>
        </w:rPr>
        <w:t xml:space="preserve">Birk Albrecht et al. </w:t>
      </w:r>
      <w:r w:rsidR="001B5464">
        <w:rPr>
          <w:noProof/>
        </w:rPr>
        <w:t>(</w:t>
      </w:r>
      <w:r w:rsidR="001B5464" w:rsidRPr="001B5464">
        <w:rPr>
          <w:noProof/>
        </w:rPr>
        <w:t>2016)</w:t>
      </w:r>
      <w:r w:rsidR="007A6053">
        <w:t>:</w:t>
      </w:r>
      <w:r w:rsidR="00626CBD">
        <w:t xml:space="preserve"> the </w:t>
      </w:r>
      <w:r w:rsidR="00626CBD" w:rsidRPr="00122492">
        <w:rPr>
          <w:i/>
        </w:rPr>
        <w:t>T</w:t>
      </w:r>
      <w:r w:rsidR="00626CBD" w:rsidRPr="00122492">
        <w:rPr>
          <w:i/>
          <w:vertAlign w:val="subscript"/>
        </w:rPr>
        <w:t>BB_fire</w:t>
      </w:r>
      <w:r w:rsidR="00626CBD" w:rsidDel="00C0033B">
        <w:t xml:space="preserve"> </w:t>
      </w:r>
      <w:r w:rsidR="008F1995">
        <w:t>was</w:t>
      </w:r>
      <w:r w:rsidR="00626CBD">
        <w:t xml:space="preserve"> set to 871 °C. </w:t>
      </w:r>
      <w:r w:rsidR="00E80D41" w:rsidRPr="00E80D41">
        <w:t xml:space="preserve">A timestep of 0.1 s </w:t>
      </w:r>
      <w:r w:rsidR="008F1995">
        <w:t>was</w:t>
      </w:r>
      <w:r w:rsidR="00E80D41" w:rsidRPr="00E80D41">
        <w:t xml:space="preserve"> selected for all cases. </w:t>
      </w:r>
      <w:r w:rsidR="00E80D41">
        <w:t>T</w:t>
      </w:r>
      <w:r w:rsidR="00626CBD">
        <w:t xml:space="preserve">he initial temperature profile in each node </w:t>
      </w:r>
      <w:r w:rsidR="008F1995">
        <w:t>corresponds to</w:t>
      </w:r>
      <w:r w:rsidR="00626CBD">
        <w:t xml:space="preserve"> the </w:t>
      </w:r>
      <w:r w:rsidR="00626CBD" w:rsidRPr="0027734D">
        <w:t xml:space="preserve">steady-state </w:t>
      </w:r>
      <w:r w:rsidR="00626CBD">
        <w:t xml:space="preserve">solution obtained considering </w:t>
      </w:r>
      <w:r w:rsidR="00626CBD" w:rsidRPr="0027734D">
        <w:t>constant boundary temperatures</w:t>
      </w:r>
      <w:r w:rsidR="00626CBD">
        <w:t xml:space="preserve">: a liquid temperature of -252.75 °C </w:t>
      </w:r>
      <w:r w:rsidR="00626CBD" w:rsidRPr="0027734D">
        <w:t xml:space="preserve">and </w:t>
      </w:r>
      <w:r w:rsidR="00626CBD">
        <w:t xml:space="preserve">an outer shell </w:t>
      </w:r>
      <w:r w:rsidR="00626CBD" w:rsidRPr="0027734D">
        <w:t xml:space="preserve">temperature </w:t>
      </w:r>
      <w:r w:rsidR="00626CBD">
        <w:t>of</w:t>
      </w:r>
      <w:r w:rsidR="00626CBD" w:rsidRPr="0027734D">
        <w:t xml:space="preserve"> </w:t>
      </w:r>
      <w:r w:rsidR="00626CBD">
        <w:t>20 °C</w:t>
      </w:r>
      <w:r w:rsidR="00626CBD" w:rsidRPr="0027734D">
        <w:t xml:space="preserve">. </w:t>
      </w:r>
      <w:r w:rsidR="00626CBD">
        <w:t>This is representative of the system condition prior to fire exposure</w:t>
      </w:r>
      <w:r w:rsidR="00626CBD" w:rsidRPr="0027734D">
        <w:t>.</w:t>
      </w:r>
    </w:p>
    <w:p w14:paraId="73D9241A" w14:textId="2EEC55D6" w:rsidR="00F63174" w:rsidRDefault="00F63174" w:rsidP="00F63174">
      <w:pPr>
        <w:pStyle w:val="CETHeading1"/>
      </w:pPr>
      <w:r>
        <w:t>Results and discussion</w:t>
      </w:r>
    </w:p>
    <w:p w14:paraId="57846CC1" w14:textId="2B00E872" w:rsidR="008F1995" w:rsidRPr="00F63174" w:rsidRDefault="00F63174" w:rsidP="00F63174">
      <w:pPr>
        <w:pStyle w:val="CETBodytext"/>
      </w:pPr>
      <w:r>
        <w:t xml:space="preserve">Figure </w:t>
      </w:r>
      <w:r>
        <w:rPr>
          <w:noProof/>
        </w:rPr>
        <w:t>2</w:t>
      </w:r>
      <w:r>
        <w:t>a reports the results of the comparison between experimental and modeling data of the self-pressurization of the LN</w:t>
      </w:r>
      <w:r w:rsidRPr="001D4D22">
        <w:rPr>
          <w:vertAlign w:val="subscript"/>
        </w:rPr>
        <w:t>2</w:t>
      </w:r>
      <w:r>
        <w:t xml:space="preserve"> tank undergoing loss of vacuum within the insulation system (see Section 2.2), which consists of an aluminum-based MLI with 30 layers. </w:t>
      </w:r>
      <w:r w:rsidR="008F1995">
        <w:t>A good prediction of the experimental data was obtained for the studied case. T</w:t>
      </w:r>
      <w:r>
        <w:t xml:space="preserve">he simulated pressure values have an average relative error of 7 %, which results in a slightly conservative prediction of the total time of pressurization (i.e., 288 min of the model against 300 min of the experimental measurement). Figure </w:t>
      </w:r>
      <w:r>
        <w:rPr>
          <w:noProof/>
        </w:rPr>
        <w:t>2</w:t>
      </w:r>
      <w:r>
        <w:t>b compares the experimental temperature distribution</w:t>
      </w:r>
      <w:r w:rsidR="000556FD">
        <w:t xml:space="preserve"> over time</w:t>
      </w:r>
      <w:r>
        <w:t xml:space="preserve"> within the MLI with the modeling results </w:t>
      </w:r>
      <w:r w:rsidR="000556FD">
        <w:t>for the case in which</w:t>
      </w:r>
      <w:r>
        <w:t xml:space="preserve"> the tank</w:t>
      </w:r>
      <w:r w:rsidR="000556FD">
        <w:t xml:space="preserve"> lading</w:t>
      </w:r>
      <w:r>
        <w:t xml:space="preserve"> is kept at atmospheric conditions after the loss of vacuum scenario </w:t>
      </w:r>
      <w:r w:rsidRPr="00810DA1">
        <w:rPr>
          <w:noProof/>
        </w:rPr>
        <w:t>(Xie et al., 2010)</w:t>
      </w:r>
      <w:r>
        <w:t>. The maximum difference between measured and simulated temperatures comes from the 30</w:t>
      </w:r>
      <w:r w:rsidRPr="006B1A53">
        <w:rPr>
          <w:vertAlign w:val="superscript"/>
        </w:rPr>
        <w:t>th</w:t>
      </w:r>
      <w:r>
        <w:t xml:space="preserve"> layer and stands at 10 K. This result demonstrate</w:t>
      </w:r>
      <w:r w:rsidR="00FE7F68">
        <w:t>s</w:t>
      </w:r>
      <w:r>
        <w:t xml:space="preserve"> that the heat flux on the inner shell </w:t>
      </w:r>
      <w:r w:rsidR="008F1995">
        <w:t>is</w:t>
      </w:r>
      <w:r>
        <w:t xml:space="preserve"> well </w:t>
      </w:r>
      <w:r w:rsidR="004F7B84">
        <w:t>predicted</w:t>
      </w:r>
      <w:r>
        <w:t xml:space="preserve"> by the model. Overall, the simulation</w:t>
      </w:r>
      <w:r w:rsidR="004F7B84">
        <w:t xml:space="preserve"> results</w:t>
      </w:r>
      <w:r>
        <w:t xml:space="preserve"> </w:t>
      </w:r>
      <w:r w:rsidR="004F7B84">
        <w:t xml:space="preserve">agree with the </w:t>
      </w:r>
      <w:r>
        <w:t>experimental data</w:t>
      </w:r>
      <w:r w:rsidR="006F50D4">
        <w:t>.</w:t>
      </w:r>
    </w:p>
    <w:p w14:paraId="57C64EF9" w14:textId="7A5D1F9E" w:rsidR="0089583C" w:rsidRDefault="0012008F" w:rsidP="0089583C">
      <w:pPr>
        <w:pStyle w:val="CETBodytext"/>
        <w:keepNext/>
        <w:jc w:val="left"/>
      </w:pPr>
      <w:r w:rsidRPr="0012008F">
        <w:rPr>
          <w:noProof/>
        </w:rPr>
        <w:lastRenderedPageBreak/>
        <w:drawing>
          <wp:inline distT="0" distB="0" distL="0" distR="0" wp14:anchorId="2D8E8139" wp14:editId="478307D3">
            <wp:extent cx="5556513" cy="2209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14373"/>
                    <a:stretch/>
                  </pic:blipFill>
                  <pic:spPr bwMode="auto">
                    <a:xfrm>
                      <a:off x="0" y="0"/>
                      <a:ext cx="5556513" cy="2209190"/>
                    </a:xfrm>
                    <a:prstGeom prst="rect">
                      <a:avLst/>
                    </a:prstGeom>
                    <a:noFill/>
                    <a:ln>
                      <a:noFill/>
                    </a:ln>
                    <a:extLst>
                      <a:ext uri="{53640926-AAD7-44D8-BBD7-CCE9431645EC}">
                        <a14:shadowObscured xmlns:a14="http://schemas.microsoft.com/office/drawing/2010/main"/>
                      </a:ext>
                    </a:extLst>
                  </pic:spPr>
                </pic:pic>
              </a:graphicData>
            </a:graphic>
          </wp:inline>
        </w:drawing>
      </w:r>
    </w:p>
    <w:p w14:paraId="6DD094C0" w14:textId="321E9AF8" w:rsidR="0089583C" w:rsidRDefault="0089583C" w:rsidP="0089583C">
      <w:pPr>
        <w:pStyle w:val="CETCaption"/>
        <w:spacing w:before="80" w:after="120"/>
      </w:pPr>
      <w:bookmarkStart w:id="11" w:name="_Ref158985895"/>
      <w:r>
        <w:t xml:space="preserve">Figure </w:t>
      </w:r>
      <w:r>
        <w:rPr>
          <w:noProof/>
        </w:rPr>
        <w:t>2</w:t>
      </w:r>
      <w:bookmarkEnd w:id="11"/>
      <w:r>
        <w:t xml:space="preserve">. </w:t>
      </w:r>
      <w:r w:rsidRPr="00810DA1">
        <w:t>Modeling (continuous lines) versus experimental (points) results</w:t>
      </w:r>
      <w:r w:rsidR="00806870">
        <w:t>:</w:t>
      </w:r>
      <w:r w:rsidRPr="00810DA1">
        <w:t xml:space="preserve"> (a) </w:t>
      </w:r>
      <w:r w:rsidR="00806870">
        <w:t>p</w:t>
      </w:r>
      <w:r w:rsidRPr="00810DA1">
        <w:t xml:space="preserve">ressurization curves for </w:t>
      </w:r>
      <w:r>
        <w:t>a</w:t>
      </w:r>
      <w:r w:rsidRPr="00810DA1">
        <w:t xml:space="preserve"> </w:t>
      </w:r>
      <w:r>
        <w:t>LN</w:t>
      </w:r>
      <w:r w:rsidRPr="001D4D22">
        <w:rPr>
          <w:vertAlign w:val="subscript"/>
        </w:rPr>
        <w:t>2</w:t>
      </w:r>
      <w:r>
        <w:t xml:space="preserve"> </w:t>
      </w:r>
      <w:r w:rsidRPr="00810DA1">
        <w:t xml:space="preserve">tank </w:t>
      </w:r>
      <w:r>
        <w:t>with MLI (30 layers)</w:t>
      </w:r>
      <w:r w:rsidRPr="00810DA1">
        <w:t xml:space="preserve"> under loss of vacuum conditions;</w:t>
      </w:r>
      <w:r w:rsidRPr="001D4D22">
        <w:t xml:space="preserve"> </w:t>
      </w:r>
      <w:r w:rsidRPr="00810DA1">
        <w:t xml:space="preserve">(b) temperature distribution within the MLI after nitrogen gas leaking in the insulation jacket. Experimental </w:t>
      </w:r>
      <w:r>
        <w:t>data</w:t>
      </w:r>
      <w:r w:rsidRPr="00810DA1">
        <w:t xml:space="preserve"> from (</w:t>
      </w:r>
      <w:r w:rsidRPr="00810DA1">
        <w:rPr>
          <w:noProof/>
        </w:rPr>
        <w:t>Xie et al., 2012)</w:t>
      </w:r>
      <w:r w:rsidRPr="00810DA1">
        <w:t xml:space="preserve"> and </w:t>
      </w:r>
      <w:r w:rsidRPr="00810DA1">
        <w:rPr>
          <w:noProof/>
        </w:rPr>
        <w:t>(Xie et al., 2010)</w:t>
      </w:r>
      <w:r w:rsidR="004F7148">
        <w:t>.</w:t>
      </w:r>
    </w:p>
    <w:p w14:paraId="6BCE4F1C" w14:textId="18537553" w:rsidR="00810DA1" w:rsidRDefault="00810DA1" w:rsidP="00810DA1">
      <w:pPr>
        <w:pStyle w:val="CETBodytext"/>
      </w:pPr>
      <w:r>
        <w:t xml:space="preserve">Figure </w:t>
      </w:r>
      <w:r>
        <w:rPr>
          <w:noProof/>
        </w:rPr>
        <w:t>3</w:t>
      </w:r>
      <w:r>
        <w:t xml:space="preserve"> </w:t>
      </w:r>
      <w:r w:rsidR="004F7B84">
        <w:t xml:space="preserve">shows </w:t>
      </w:r>
      <w:r>
        <w:t xml:space="preserve">the impact of the number of MLI layers, </w:t>
      </w:r>
      <w:r w:rsidRPr="00AF4DB9">
        <w:rPr>
          <w:i/>
        </w:rPr>
        <w:t>N</w:t>
      </w:r>
      <w:r>
        <w:t xml:space="preserve">, on the </w:t>
      </w:r>
      <w:r w:rsidR="004F7B84">
        <w:t xml:space="preserve">activation </w:t>
      </w:r>
      <w:r>
        <w:t xml:space="preserve">time </w:t>
      </w:r>
      <w:r w:rsidR="004F7B84">
        <w:t>(</w:t>
      </w:r>
      <w:r w:rsidR="004F7B84" w:rsidRPr="00AF4DB9">
        <w:rPr>
          <w:i/>
        </w:rPr>
        <w:t>t</w:t>
      </w:r>
      <w:r w:rsidR="004F7B84" w:rsidRPr="00AF4DB9">
        <w:rPr>
          <w:i/>
          <w:vertAlign w:val="subscript"/>
        </w:rPr>
        <w:t>PRV</w:t>
      </w:r>
      <w:r w:rsidR="004F7B84">
        <w:t>) of</w:t>
      </w:r>
      <w:r>
        <w:t xml:space="preserve"> </w:t>
      </w:r>
      <w:r w:rsidR="004F7B84">
        <w:t xml:space="preserve">the </w:t>
      </w:r>
      <w:r>
        <w:t>pressure relief valve</w:t>
      </w:r>
      <w:r w:rsidR="004F7B84">
        <w:t xml:space="preserve"> </w:t>
      </w:r>
      <w:r>
        <w:t>(PRV)</w:t>
      </w:r>
      <w:r w:rsidR="00217C59">
        <w:t xml:space="preserve"> </w:t>
      </w:r>
      <w:r w:rsidR="00217C59" w:rsidRPr="006B3131">
        <w:t>(</w:t>
      </w:r>
      <w:r w:rsidR="004F7B84">
        <w:t xml:space="preserve">set to </w:t>
      </w:r>
      <w:r w:rsidR="00217C59" w:rsidRPr="006B3131">
        <w:t>4.7</w:t>
      </w:r>
      <w:r w:rsidRPr="006B3131">
        <w:t xml:space="preserve"> bar </w:t>
      </w:r>
      <w:r w:rsidR="00217C59" w:rsidRPr="006B3131">
        <w:t xml:space="preserve">as in the fire test conducted by </w:t>
      </w:r>
      <w:r w:rsidR="00217C59" w:rsidRPr="006B3131">
        <w:rPr>
          <w:noProof/>
        </w:rPr>
        <w:t>Pehr (1996)</w:t>
      </w:r>
      <w:r w:rsidR="00217C59" w:rsidRPr="006B3131">
        <w:t>)</w:t>
      </w:r>
      <w:r w:rsidR="00217C59">
        <w:t xml:space="preserve"> f</w:t>
      </w:r>
      <w:r>
        <w:t>or the t</w:t>
      </w:r>
      <w:r w:rsidR="00F63174">
        <w:t>hree</w:t>
      </w:r>
      <w:r>
        <w:t xml:space="preserve"> </w:t>
      </w:r>
      <w:r w:rsidR="004F7B84">
        <w:t>case studies</w:t>
      </w:r>
      <w:r>
        <w:t xml:space="preserve">. In all the case studies, the MLI is completely degraded before </w:t>
      </w:r>
      <w:r w:rsidRPr="00AF4DB9">
        <w:rPr>
          <w:i/>
        </w:rPr>
        <w:t>t</w:t>
      </w:r>
      <w:r w:rsidRPr="00AF4DB9">
        <w:rPr>
          <w:i/>
          <w:vertAlign w:val="subscript"/>
        </w:rPr>
        <w:t>PRV</w:t>
      </w:r>
      <w:r>
        <w:t>. The dynamics of</w:t>
      </w:r>
      <w:r w:rsidRPr="00533F30">
        <w:t xml:space="preserve"> insulation</w:t>
      </w:r>
      <w:r>
        <w:t xml:space="preserve"> degradation</w:t>
      </w:r>
      <w:r w:rsidRPr="00533F30">
        <w:t xml:space="preserve"> and its effect on the heat flux entering the tank </w:t>
      </w:r>
      <w:r>
        <w:t xml:space="preserve">are </w:t>
      </w:r>
      <w:r w:rsidRPr="00533F30">
        <w:t xml:space="preserve">presented in previous works </w:t>
      </w:r>
      <w:r w:rsidRPr="00533F30">
        <w:rPr>
          <w:noProof/>
        </w:rPr>
        <w:t>(Camplese et al., 2023)</w:t>
      </w:r>
      <w:r w:rsidR="008F1995">
        <w:t>, and hence not discussed here</w:t>
      </w:r>
      <w:r w:rsidRPr="00533F30">
        <w:t xml:space="preserve">. </w:t>
      </w:r>
      <w:r>
        <w:t xml:space="preserve">The </w:t>
      </w:r>
      <w:r w:rsidRPr="00AF4DB9">
        <w:rPr>
          <w:i/>
        </w:rPr>
        <w:t>t</w:t>
      </w:r>
      <w:r w:rsidRPr="00AF4DB9">
        <w:rPr>
          <w:i/>
          <w:vertAlign w:val="subscript"/>
        </w:rPr>
        <w:t>PRV</w:t>
      </w:r>
      <w:r w:rsidRPr="0068554E">
        <w:t xml:space="preserve"> varies within a span of 4 min, ranging from 3.7 min in the worst-case scenario</w:t>
      </w:r>
      <w:r>
        <w:t xml:space="preserve"> </w:t>
      </w:r>
      <w:r w:rsidRPr="00810DA1">
        <w:t>(i.e., CASE A with 20 layer</w:t>
      </w:r>
      <w:r w:rsidR="008F1995">
        <w:t>s</w:t>
      </w:r>
      <w:r w:rsidRPr="00810DA1">
        <w:t>) to 7.7 minutes in the best-case one (CASE C with 80 layers). These results are in line with experimental observ</w:t>
      </w:r>
      <w:r w:rsidR="004F7B84">
        <w:t>ations</w:t>
      </w:r>
      <w:r w:rsidRPr="00810DA1">
        <w:t xml:space="preserve"> by </w:t>
      </w:r>
      <w:r w:rsidRPr="00810DA1">
        <w:rPr>
          <w:noProof/>
        </w:rPr>
        <w:t>Pehr (1996)</w:t>
      </w:r>
      <w:r w:rsidR="008F1995">
        <w:t xml:space="preserve">. Overall, the outcomes demonstrate scarce performances of aluminum-based MLI systems in case of fire exposure. However, </w:t>
      </w:r>
      <w:r w:rsidR="00FE7F68">
        <w:t>t</w:t>
      </w:r>
      <w:r w:rsidR="008F7B49">
        <w:t xml:space="preserve">anks equipped with </w:t>
      </w:r>
      <w:r w:rsidR="00FE7F68">
        <w:t>MLI</w:t>
      </w:r>
      <w:r w:rsidR="008F7B49">
        <w:t>s</w:t>
      </w:r>
      <w:r w:rsidR="00FE7F68">
        <w:t xml:space="preserve"> with </w:t>
      </w:r>
      <w:r w:rsidR="008F7B49">
        <w:t xml:space="preserve">a </w:t>
      </w:r>
      <w:r w:rsidR="00FE7F68">
        <w:t xml:space="preserve">high number of layers </w:t>
      </w:r>
      <w:r w:rsidR="008F7B49">
        <w:t xml:space="preserve">are prone to </w:t>
      </w:r>
      <w:r w:rsidR="00FE7F68">
        <w:t>delayed pressurizatio</w:t>
      </w:r>
      <w:r w:rsidR="008F7B49">
        <w:t>n</w:t>
      </w:r>
      <w:r w:rsidR="008F1995">
        <w:t>.</w:t>
      </w:r>
      <w:r w:rsidRPr="00810DA1">
        <w:t xml:space="preserve"> </w:t>
      </w:r>
      <w:r w:rsidR="004F7B84">
        <w:t>A</w:t>
      </w:r>
      <w:r w:rsidRPr="00810DA1">
        <w:t xml:space="preserve"> linear correlation was found between </w:t>
      </w:r>
      <w:r w:rsidRPr="00810DA1">
        <w:rPr>
          <w:i/>
        </w:rPr>
        <w:t>t</w:t>
      </w:r>
      <w:r w:rsidRPr="00810DA1">
        <w:rPr>
          <w:i/>
          <w:vertAlign w:val="subscript"/>
        </w:rPr>
        <w:t>PRV</w:t>
      </w:r>
      <w:r w:rsidRPr="00810DA1">
        <w:t xml:space="preserve"> and </w:t>
      </w:r>
      <w:r w:rsidRPr="00810DA1">
        <w:rPr>
          <w:i/>
        </w:rPr>
        <w:t>N</w:t>
      </w:r>
      <w:r w:rsidR="004F7B84">
        <w:t xml:space="preserve"> (see</w:t>
      </w:r>
      <w:r w:rsidRPr="00810DA1">
        <w:t xml:space="preserve"> Figure </w:t>
      </w:r>
      <w:r w:rsidRPr="00810DA1">
        <w:rPr>
          <w:noProof/>
        </w:rPr>
        <w:t>3</w:t>
      </w:r>
      <w:r w:rsidR="004F7B84">
        <w:t>).</w:t>
      </w:r>
      <w:r w:rsidRPr="00810DA1">
        <w:t xml:space="preserve"> On the contrary, the tank volume has no significant effects on </w:t>
      </w:r>
      <w:r w:rsidRPr="00810DA1">
        <w:rPr>
          <w:i/>
        </w:rPr>
        <w:t>t</w:t>
      </w:r>
      <w:r w:rsidRPr="00810DA1">
        <w:rPr>
          <w:i/>
          <w:vertAlign w:val="subscript"/>
        </w:rPr>
        <w:t>PRV</w:t>
      </w:r>
      <w:r w:rsidRPr="00810DA1">
        <w:t xml:space="preserve"> for the specific geometry considered. In fact, by increasing the tank volume by a factor of 15, the maximum difference in </w:t>
      </w:r>
      <w:r w:rsidRPr="00810DA1">
        <w:rPr>
          <w:i/>
        </w:rPr>
        <w:t>t</w:t>
      </w:r>
      <w:r w:rsidRPr="00810DA1">
        <w:rPr>
          <w:i/>
          <w:vertAlign w:val="subscript"/>
        </w:rPr>
        <w:t>PRV</w:t>
      </w:r>
      <w:r w:rsidRPr="00810DA1">
        <w:t xml:space="preserve"> stands at 0.5 min. </w:t>
      </w:r>
    </w:p>
    <w:p w14:paraId="68E6AFDE" w14:textId="052B56E0" w:rsidR="00F63174" w:rsidRDefault="00217C59" w:rsidP="00F63174">
      <w:pPr>
        <w:pStyle w:val="CETBodytext"/>
        <w:keepNext/>
        <w:jc w:val="left"/>
      </w:pPr>
      <w:r w:rsidRPr="00217C59">
        <w:rPr>
          <w:noProof/>
        </w:rPr>
        <w:drawing>
          <wp:inline distT="0" distB="0" distL="0" distR="0" wp14:anchorId="0B11E25B" wp14:editId="0836B868">
            <wp:extent cx="2601102" cy="2039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2147" cy="2047923"/>
                    </a:xfrm>
                    <a:prstGeom prst="rect">
                      <a:avLst/>
                    </a:prstGeom>
                    <a:noFill/>
                    <a:ln>
                      <a:noFill/>
                    </a:ln>
                  </pic:spPr>
                </pic:pic>
              </a:graphicData>
            </a:graphic>
          </wp:inline>
        </w:drawing>
      </w:r>
    </w:p>
    <w:p w14:paraId="1E9177AA" w14:textId="6FE1A47A" w:rsidR="000A07B8" w:rsidRDefault="00F63174" w:rsidP="006B3131">
      <w:pPr>
        <w:pStyle w:val="CETCaption"/>
        <w:spacing w:before="120" w:after="0"/>
      </w:pPr>
      <w:bookmarkStart w:id="12" w:name="_Ref158989948"/>
      <w:r w:rsidRPr="007D245C">
        <w:t>Figure 3</w:t>
      </w:r>
      <w:bookmarkEnd w:id="12"/>
      <w:r w:rsidRPr="007D245C">
        <w:t xml:space="preserve">. </w:t>
      </w:r>
      <w:r w:rsidR="00101675" w:rsidRPr="00101675">
        <w:t xml:space="preserve">PRV activation time </w:t>
      </w:r>
      <w:r w:rsidR="00101675">
        <w:t xml:space="preserve">versus </w:t>
      </w:r>
      <w:r w:rsidR="00101675" w:rsidRPr="00101675">
        <w:t>the number of MLI layers for</w:t>
      </w:r>
      <w:bookmarkStart w:id="13" w:name="_GoBack"/>
      <w:bookmarkEnd w:id="13"/>
      <w:r w:rsidR="00101675" w:rsidRPr="00101675">
        <w:t xml:space="preserve"> LH</w:t>
      </w:r>
      <w:r w:rsidR="00101675" w:rsidRPr="00AF2919">
        <w:rPr>
          <w:vertAlign w:val="subscript"/>
        </w:rPr>
        <w:t>2</w:t>
      </w:r>
      <w:r w:rsidR="00101675" w:rsidRPr="00101675">
        <w:t xml:space="preserve"> tanks engulfed in a hydrocarbon poolfire</w:t>
      </w:r>
      <w:r>
        <w:t>.</w:t>
      </w:r>
    </w:p>
    <w:p w14:paraId="16331B6F" w14:textId="0E3AF911" w:rsidR="00B1489E" w:rsidRDefault="00B1489E" w:rsidP="00453E24">
      <w:pPr>
        <w:pStyle w:val="CETHeading1"/>
      </w:pPr>
      <w:r>
        <w:t>Conclusions</w:t>
      </w:r>
    </w:p>
    <w:p w14:paraId="27C572D7" w14:textId="5ACB48D7" w:rsidR="004F7B84" w:rsidRDefault="00183748" w:rsidP="004E7E55">
      <w:pPr>
        <w:pStyle w:val="CETBodytext"/>
      </w:pPr>
      <w:r>
        <w:t xml:space="preserve">The problem of predicting the thermal response of MLI-equipped cryogenic liquid hydrogen tanks exposed to fire was addressed by developing an equilibrium model that integrates the accurate simulation of aluminum-based MLI performance deterioration at high temperatures. The model performed well </w:t>
      </w:r>
      <w:r w:rsidR="00FA7142">
        <w:t xml:space="preserve">in predicting both the pressurization and the heat flux toward the tank </w:t>
      </w:r>
      <w:r>
        <w:t xml:space="preserve">when compared to experimental data </w:t>
      </w:r>
      <w:r w:rsidR="000E16A7">
        <w:t xml:space="preserve">concerning </w:t>
      </w:r>
      <w:r w:rsidR="00BA3B59">
        <w:t>normal operating conditions</w:t>
      </w:r>
      <w:r w:rsidR="000E16A7">
        <w:t xml:space="preserve">. </w:t>
      </w:r>
      <w:r w:rsidR="00FA7142">
        <w:t xml:space="preserve">The results obtained from the application to realistic case studies demonstrate that MLI protection under </w:t>
      </w:r>
      <w:r w:rsidR="00126F6C">
        <w:t>pool</w:t>
      </w:r>
      <w:r w:rsidR="00FA7142">
        <w:t xml:space="preserve">fire conditions is limited to </w:t>
      </w:r>
      <w:r w:rsidR="00B6051A">
        <w:t xml:space="preserve">a </w:t>
      </w:r>
      <w:r w:rsidR="00FA7142">
        <w:t>few minutes</w:t>
      </w:r>
      <w:r w:rsidR="00DB05F7">
        <w:t xml:space="preserve">, </w:t>
      </w:r>
      <w:r w:rsidR="00DB05F7" w:rsidRPr="00DB05F7">
        <w:t xml:space="preserve">highlighting a significant challenge in ensuring tank integrity during fire </w:t>
      </w:r>
      <w:r w:rsidR="00DB05F7">
        <w:t>ac</w:t>
      </w:r>
      <w:r w:rsidR="00DB05F7" w:rsidRPr="00DB05F7">
        <w:t>cidents</w:t>
      </w:r>
      <w:r w:rsidR="00B6051A">
        <w:t xml:space="preserve">. </w:t>
      </w:r>
      <w:r w:rsidR="0059193D">
        <w:t>T</w:t>
      </w:r>
      <w:r w:rsidR="00B6051A">
        <w:t xml:space="preserve">he best performances came out from </w:t>
      </w:r>
      <w:r w:rsidR="00FA7142">
        <w:t xml:space="preserve">MLIs with </w:t>
      </w:r>
      <w:r w:rsidR="00B6051A">
        <w:t>a higher</w:t>
      </w:r>
      <w:r w:rsidR="00FA7142">
        <w:t xml:space="preserve"> number of </w:t>
      </w:r>
      <w:r w:rsidR="00B6051A">
        <w:t>layers. On the contrary, the pressure build-up was not influenced by the tank volume</w:t>
      </w:r>
      <w:r w:rsidR="00E84B5A">
        <w:t xml:space="preserve"> for a fixed length-to-diameter ratio.</w:t>
      </w:r>
      <w:r w:rsidR="00B6051A">
        <w:t xml:space="preserve"> </w:t>
      </w:r>
      <w:r w:rsidR="00FA7142" w:rsidRPr="00FA7142">
        <w:t>These insights are valuable for enhancing emergency response strategies and devising mitigation measures to ensure the integrity of cryogenic tanks</w:t>
      </w:r>
      <w:r w:rsidR="00E84B5A">
        <w:t>.</w:t>
      </w:r>
    </w:p>
    <w:p w14:paraId="43B64ED9" w14:textId="55A397A8" w:rsidR="004F7B84" w:rsidRDefault="004F7B84" w:rsidP="00701785">
      <w:pPr>
        <w:pStyle w:val="CETAcknowledgementstitle"/>
      </w:pPr>
      <w:r>
        <w:lastRenderedPageBreak/>
        <w:t>Acknowledgments</w:t>
      </w:r>
    </w:p>
    <w:p w14:paraId="34E36637" w14:textId="3C0D598D" w:rsidR="004F7B84" w:rsidRPr="004E7E55" w:rsidRDefault="004F7B84" w:rsidP="004F7B84">
      <w:pPr>
        <w:pStyle w:val="CETBodytext"/>
      </w:pPr>
      <w:r>
        <w:t>This work is part of the NICOLHy project (No. 101137629) funded by the EU and Clean Hydrogen Partnership. Views and opinions expressed are however those of the authors only and do not necessarily reflect those of the EU or Clean Hydrogen JU. Neither the EU nor the granting authority can be held responsible for them.</w:t>
      </w:r>
    </w:p>
    <w:p w14:paraId="6BBC028D" w14:textId="77777777" w:rsidR="001F475B" w:rsidRPr="00141238" w:rsidRDefault="001F475B" w:rsidP="00141238">
      <w:pPr>
        <w:pStyle w:val="CETHeadingxx"/>
        <w:sectPr w:rsidR="001F475B" w:rsidRPr="00141238" w:rsidSect="00F13609">
          <w:type w:val="continuous"/>
          <w:pgSz w:w="11906" w:h="16838" w:code="9"/>
          <w:pgMar w:top="1701" w:right="1418" w:bottom="1701" w:left="1701" w:header="1701" w:footer="0" w:gutter="0"/>
          <w:cols w:space="708"/>
          <w:formProt w:val="0"/>
          <w:titlePg/>
          <w:docGrid w:linePitch="360"/>
        </w:sectPr>
      </w:pPr>
      <w:r w:rsidRPr="00141238">
        <w:t>Nomenclature</w:t>
      </w:r>
    </w:p>
    <w:p w14:paraId="26BABAC2" w14:textId="77777777" w:rsidR="001F475B" w:rsidRPr="00731D45" w:rsidRDefault="001F475B" w:rsidP="001F475B">
      <w:pPr>
        <w:pStyle w:val="CETBodytext"/>
      </w:pPr>
      <w:r w:rsidRPr="00731D45">
        <w:rPr>
          <w:i/>
        </w:rPr>
        <w:t>T</w:t>
      </w:r>
      <w:r w:rsidRPr="00731D45">
        <w:t xml:space="preserve"> = temperature</w:t>
      </w:r>
      <w:r w:rsidRPr="00731D45">
        <w:rPr>
          <w:rFonts w:eastAsia="SimSun"/>
        </w:rPr>
        <w:t>, K</w:t>
      </w:r>
    </w:p>
    <w:p w14:paraId="72E29E37" w14:textId="64860718" w:rsidR="002D3205" w:rsidRPr="00731D45" w:rsidRDefault="002D3205" w:rsidP="001F475B">
      <w:pPr>
        <w:pStyle w:val="CETBodytext"/>
        <w:rPr>
          <w:rFonts w:eastAsia="SimSun"/>
        </w:rPr>
      </w:pPr>
      <w:r w:rsidRPr="00731D45">
        <w:rPr>
          <w:rFonts w:eastAsia="SimSun"/>
          <w:i/>
        </w:rPr>
        <w:t xml:space="preserve">q </w:t>
      </w:r>
      <w:r w:rsidRPr="00731D45">
        <w:rPr>
          <w:rFonts w:eastAsia="SimSun"/>
        </w:rPr>
        <w:t>= heat flux, W/m</w:t>
      </w:r>
      <w:r w:rsidRPr="00731D45">
        <w:rPr>
          <w:rFonts w:eastAsia="SimSun"/>
          <w:vertAlign w:val="superscript"/>
        </w:rPr>
        <w:t>2</w:t>
      </w:r>
    </w:p>
    <w:p w14:paraId="39F3D600" w14:textId="77777777" w:rsidR="001F475B" w:rsidRPr="00731D45" w:rsidRDefault="001F475B" w:rsidP="001F475B">
      <w:pPr>
        <w:pStyle w:val="CETBodytext"/>
        <w:rPr>
          <w:rFonts w:eastAsia="SimSun"/>
        </w:rPr>
      </w:pPr>
      <w:r w:rsidRPr="00731D45">
        <w:rPr>
          <w:i/>
        </w:rPr>
        <w:t>P</w:t>
      </w:r>
      <w:r w:rsidRPr="00731D45">
        <w:t xml:space="preserve"> = pressure, Pa</w:t>
      </w:r>
      <w:r w:rsidRPr="00731D45">
        <w:rPr>
          <w:rFonts w:eastAsia="SimSun"/>
        </w:rPr>
        <w:t xml:space="preserve"> </w:t>
      </w:r>
    </w:p>
    <w:p w14:paraId="153CB1F3" w14:textId="6779B8F2" w:rsidR="001628FE" w:rsidRPr="00731D45" w:rsidRDefault="001628FE" w:rsidP="001F475B">
      <w:pPr>
        <w:pStyle w:val="CETBodytext"/>
        <w:rPr>
          <w:rFonts w:eastAsia="SimSun"/>
        </w:rPr>
      </w:pPr>
      <w:r w:rsidRPr="00731D45">
        <w:rPr>
          <w:rFonts w:eastAsia="SimSun"/>
          <w:i/>
        </w:rPr>
        <w:t>P</w:t>
      </w:r>
      <w:r w:rsidRPr="00731D45">
        <w:rPr>
          <w:rFonts w:eastAsia="SimSun"/>
          <w:i/>
          <w:vertAlign w:val="subscript"/>
        </w:rPr>
        <w:t>r</w:t>
      </w:r>
      <w:r w:rsidRPr="00731D45">
        <w:rPr>
          <w:rFonts w:eastAsia="SimSun"/>
          <w:i/>
        </w:rPr>
        <w:t xml:space="preserve"> </w:t>
      </w:r>
      <w:r w:rsidRPr="00731D45">
        <w:rPr>
          <w:rFonts w:eastAsia="SimSun"/>
        </w:rPr>
        <w:t>= residual gas pressure within the spacer, Pa</w:t>
      </w:r>
    </w:p>
    <w:p w14:paraId="02A7D103" w14:textId="0323F362" w:rsidR="001F475B" w:rsidRPr="00731D45" w:rsidRDefault="001F475B" w:rsidP="001F475B">
      <w:pPr>
        <w:pStyle w:val="CETBodytext"/>
        <w:rPr>
          <w:rFonts w:eastAsia="SimSun"/>
        </w:rPr>
      </w:pPr>
      <w:r w:rsidRPr="00731D45">
        <w:rPr>
          <w:rFonts w:eastAsia="SimSun"/>
          <w:i/>
        </w:rPr>
        <w:t>N</w:t>
      </w:r>
      <w:r w:rsidRPr="00731D45">
        <w:rPr>
          <w:rFonts w:eastAsia="SimSun"/>
        </w:rPr>
        <w:t xml:space="preserve"> = number of radiative layers, -                                                                </w:t>
      </w:r>
    </w:p>
    <w:p w14:paraId="7B0A0913" w14:textId="77777777" w:rsidR="001F475B" w:rsidRPr="00731D45" w:rsidRDefault="001F475B" w:rsidP="001F475B">
      <w:pPr>
        <w:pStyle w:val="CETBodytext"/>
        <w:rPr>
          <w:rFonts w:eastAsia="SimSun"/>
        </w:rPr>
      </w:pPr>
      <w:r w:rsidRPr="00731D45">
        <w:rPr>
          <w:i/>
        </w:rPr>
        <w:t>c</w:t>
      </w:r>
      <w:r w:rsidRPr="00731D45">
        <w:rPr>
          <w:i/>
          <w:vertAlign w:val="subscript"/>
        </w:rPr>
        <w:t xml:space="preserve">p </w:t>
      </w:r>
      <w:r w:rsidRPr="00731D45">
        <w:t>= specific heat capacity at constant pressure</w:t>
      </w:r>
      <w:r w:rsidRPr="00731D45">
        <w:rPr>
          <w:rFonts w:eastAsia="SimSun"/>
        </w:rPr>
        <w:t>, J/(kg·K)</w:t>
      </w:r>
    </w:p>
    <w:p w14:paraId="00DD251C" w14:textId="77777777" w:rsidR="001F475B" w:rsidRPr="00731D45" w:rsidRDefault="001F475B" w:rsidP="001F475B">
      <w:pPr>
        <w:pStyle w:val="CETBodytext"/>
        <w:rPr>
          <w:rFonts w:eastAsia="SimSun"/>
        </w:rPr>
      </w:pPr>
      <w:r w:rsidRPr="00731D45">
        <w:rPr>
          <w:i/>
        </w:rPr>
        <w:t xml:space="preserve">R </w:t>
      </w:r>
      <w:r w:rsidRPr="00731D45">
        <w:t>= universal gas constant, J/(mol</w:t>
      </w:r>
      <w:r w:rsidRPr="00731D45">
        <w:rPr>
          <w:rFonts w:eastAsia="SimSun"/>
        </w:rPr>
        <w:t xml:space="preserve">·K) </w:t>
      </w:r>
    </w:p>
    <w:p w14:paraId="3EE56137" w14:textId="5DD41796" w:rsidR="001F475B" w:rsidRPr="00731D45" w:rsidRDefault="001F475B" w:rsidP="001F475B">
      <w:pPr>
        <w:pStyle w:val="CETBodytext"/>
      </w:pPr>
      <w:r w:rsidRPr="00731D45">
        <w:rPr>
          <w:i/>
        </w:rPr>
        <w:t>ρ</w:t>
      </w:r>
      <w:r w:rsidRPr="00731D45">
        <w:t xml:space="preserve"> = density, kg/m</w:t>
      </w:r>
      <w:r w:rsidRPr="00731D45">
        <w:rPr>
          <w:vertAlign w:val="superscript"/>
        </w:rPr>
        <w:t>3</w:t>
      </w:r>
      <w:r w:rsidR="000C2977">
        <w:rPr>
          <w:vertAlign w:val="superscript"/>
        </w:rPr>
        <w:t xml:space="preserve"> </w:t>
      </w:r>
    </w:p>
    <w:p w14:paraId="00CF3DBF" w14:textId="77777777" w:rsidR="001F475B" w:rsidRPr="00731D45" w:rsidRDefault="001F475B" w:rsidP="001F475B">
      <w:pPr>
        <w:pStyle w:val="CETBodytext"/>
      </w:pPr>
      <w:r w:rsidRPr="00731D45">
        <w:rPr>
          <w:i/>
        </w:rPr>
        <w:t>δ</w:t>
      </w:r>
      <w:r w:rsidRPr="00731D45">
        <w:t xml:space="preserve"> = thickness, m</w:t>
      </w:r>
    </w:p>
    <w:p w14:paraId="75A67E86" w14:textId="77777777" w:rsidR="000A1998" w:rsidRPr="00731D45" w:rsidRDefault="000A1998" w:rsidP="001F475B">
      <w:pPr>
        <w:pStyle w:val="CETBodytext"/>
        <w:rPr>
          <w:rFonts w:eastAsia="SimSun"/>
          <w:vertAlign w:val="superscript"/>
        </w:rPr>
      </w:pPr>
      <w:r w:rsidRPr="00731D45">
        <w:rPr>
          <w:rFonts w:eastAsia="SimSun"/>
          <w:i/>
        </w:rPr>
        <w:t>A</w:t>
      </w:r>
      <w:r w:rsidRPr="00731D45">
        <w:rPr>
          <w:rFonts w:eastAsia="SimSun"/>
          <w:i/>
          <w:vertAlign w:val="subscript"/>
        </w:rPr>
        <w:t>s</w:t>
      </w:r>
      <w:r w:rsidRPr="00731D45">
        <w:rPr>
          <w:rFonts w:eastAsia="SimSun"/>
        </w:rPr>
        <w:t xml:space="preserve"> = surface area of the inner shell, m</w:t>
      </w:r>
      <w:r w:rsidRPr="00731D45">
        <w:rPr>
          <w:rFonts w:eastAsia="SimSun"/>
          <w:vertAlign w:val="superscript"/>
        </w:rPr>
        <w:t>2</w:t>
      </w:r>
    </w:p>
    <w:p w14:paraId="750AD7AC" w14:textId="08CDAF77" w:rsidR="0024024B" w:rsidRPr="00731D45" w:rsidRDefault="0024024B" w:rsidP="001F475B">
      <w:pPr>
        <w:pStyle w:val="CETBodytext"/>
        <w:rPr>
          <w:rFonts w:eastAsia="SimSun"/>
        </w:rPr>
      </w:pPr>
      <w:r w:rsidRPr="00731D45">
        <w:rPr>
          <w:rFonts w:eastAsia="SimSun"/>
          <w:i/>
        </w:rPr>
        <w:t xml:space="preserve">L = </w:t>
      </w:r>
      <w:r w:rsidRPr="00731D45">
        <w:rPr>
          <w:rFonts w:eastAsia="SimSun"/>
        </w:rPr>
        <w:t>length of the inner vessel, m</w:t>
      </w:r>
    </w:p>
    <w:p w14:paraId="55D11496" w14:textId="37F57988" w:rsidR="0024024B" w:rsidRPr="00731D45" w:rsidRDefault="0024024B" w:rsidP="001F475B">
      <w:pPr>
        <w:pStyle w:val="CETBodytext"/>
        <w:rPr>
          <w:rFonts w:eastAsia="SimSun"/>
          <w:i/>
        </w:rPr>
      </w:pPr>
      <w:r w:rsidRPr="00731D45">
        <w:rPr>
          <w:rFonts w:eastAsia="SimSun"/>
          <w:i/>
        </w:rPr>
        <w:t xml:space="preserve">D = </w:t>
      </w:r>
      <w:r w:rsidRPr="00731D45">
        <w:rPr>
          <w:rFonts w:eastAsia="SimSun"/>
        </w:rPr>
        <w:t>diameter of the inner vessel, m</w:t>
      </w:r>
      <w:r w:rsidRPr="00731D45">
        <w:rPr>
          <w:rFonts w:eastAsia="SimSun"/>
          <w:i/>
        </w:rPr>
        <w:t xml:space="preserve"> </w:t>
      </w:r>
    </w:p>
    <w:p w14:paraId="5F44236E" w14:textId="173C8C2A" w:rsidR="00111BB8" w:rsidRPr="00731D45" w:rsidRDefault="00111BB8" w:rsidP="001F475B">
      <w:pPr>
        <w:pStyle w:val="CETBodytext"/>
        <w:rPr>
          <w:rFonts w:eastAsia="SimSun"/>
          <w:i/>
        </w:rPr>
      </w:pPr>
      <w:r w:rsidRPr="00731D45">
        <w:rPr>
          <w:rFonts w:eastAsia="SimSun"/>
          <w:i/>
        </w:rPr>
        <w:t xml:space="preserve">V </w:t>
      </w:r>
      <w:r w:rsidRPr="00731D45">
        <w:rPr>
          <w:rFonts w:eastAsia="SimSun"/>
        </w:rPr>
        <w:t>= tank volume, m</w:t>
      </w:r>
      <w:r w:rsidRPr="00731D45">
        <w:rPr>
          <w:rFonts w:eastAsia="SimSun"/>
          <w:vertAlign w:val="superscript"/>
        </w:rPr>
        <w:t>3</w:t>
      </w:r>
    </w:p>
    <w:p w14:paraId="05D8CA07" w14:textId="7396A37D" w:rsidR="001F475B" w:rsidRPr="00731D45" w:rsidRDefault="001F475B" w:rsidP="001F475B">
      <w:pPr>
        <w:pStyle w:val="CETBodytext"/>
        <w:rPr>
          <w:rFonts w:eastAsia="SimSun"/>
        </w:rPr>
      </w:pPr>
      <w:r w:rsidRPr="00731D45">
        <w:rPr>
          <w:rFonts w:eastAsia="SimSun"/>
          <w:i/>
        </w:rPr>
        <w:t>M</w:t>
      </w:r>
      <w:r w:rsidRPr="00731D45">
        <w:rPr>
          <w:rFonts w:eastAsia="SimSun"/>
        </w:rPr>
        <w:t xml:space="preserve"> = molecular weight, kg/mol</w:t>
      </w:r>
    </w:p>
    <w:p w14:paraId="68CB19B3" w14:textId="77777777" w:rsidR="001F475B" w:rsidRPr="00731D45" w:rsidRDefault="001F475B" w:rsidP="001F475B">
      <w:pPr>
        <w:pStyle w:val="CETBodytext"/>
        <w:rPr>
          <w:rFonts w:eastAsia="SimSun"/>
        </w:rPr>
      </w:pPr>
      <w:r w:rsidRPr="00731D45">
        <w:rPr>
          <w:rFonts w:eastAsia="SimSun" w:cs="Arial"/>
          <w:i/>
        </w:rPr>
        <w:t>γ</w:t>
      </w:r>
      <w:r w:rsidRPr="00731D45">
        <w:rPr>
          <w:rFonts w:eastAsia="SimSun" w:cs="Arial"/>
        </w:rPr>
        <w:t xml:space="preserve"> </w:t>
      </w:r>
      <w:r w:rsidRPr="00731D45">
        <w:rPr>
          <w:rFonts w:eastAsia="SimSun"/>
        </w:rPr>
        <w:t>= specific heat ratio, -</w:t>
      </w:r>
    </w:p>
    <w:p w14:paraId="52A5D9D8" w14:textId="77777777" w:rsidR="001F475B" w:rsidRPr="00731D45" w:rsidRDefault="001F475B" w:rsidP="001F475B">
      <w:pPr>
        <w:pStyle w:val="CETBodytext"/>
        <w:rPr>
          <w:rFonts w:eastAsia="SimSun"/>
        </w:rPr>
      </w:pPr>
      <w:r w:rsidRPr="00731D45">
        <w:rPr>
          <w:rFonts w:eastAsia="SimSun" w:cs="Arial"/>
          <w:i/>
        </w:rPr>
        <w:t>σ</w:t>
      </w:r>
      <w:r w:rsidRPr="00731D45">
        <w:rPr>
          <w:rFonts w:eastAsia="SimSun"/>
        </w:rPr>
        <w:t xml:space="preserve"> = Stefan-Boltzmann coefficient, W/(m</w:t>
      </w:r>
      <w:r w:rsidRPr="00731D45">
        <w:rPr>
          <w:rFonts w:eastAsia="SimSun"/>
          <w:vertAlign w:val="superscript"/>
        </w:rPr>
        <w:t>2</w:t>
      </w:r>
      <w:r w:rsidRPr="00731D45">
        <w:rPr>
          <w:rFonts w:eastAsia="SimSun"/>
        </w:rPr>
        <w:t>·K</w:t>
      </w:r>
      <w:r w:rsidRPr="00731D45">
        <w:rPr>
          <w:rFonts w:eastAsia="SimSun"/>
          <w:vertAlign w:val="superscript"/>
        </w:rPr>
        <w:t>4</w:t>
      </w:r>
      <w:r w:rsidRPr="00731D45">
        <w:rPr>
          <w:rFonts w:eastAsia="SimSun"/>
        </w:rPr>
        <w:t>)</w:t>
      </w:r>
    </w:p>
    <w:p w14:paraId="3FA309F0" w14:textId="416E972F" w:rsidR="001F475B" w:rsidRPr="00731D45" w:rsidRDefault="001F475B" w:rsidP="001F475B">
      <w:pPr>
        <w:pStyle w:val="CETBodytext"/>
        <w:rPr>
          <w:rFonts w:eastAsia="SimSun"/>
        </w:rPr>
      </w:pPr>
      <w:r w:rsidRPr="00731D45">
        <w:rPr>
          <w:rFonts w:eastAsia="SimSun" w:cs="Arial"/>
          <w:i/>
        </w:rPr>
        <w:t>θ</w:t>
      </w:r>
      <w:r w:rsidRPr="00731D45">
        <w:rPr>
          <w:rFonts w:eastAsia="SimSun"/>
        </w:rPr>
        <w:t xml:space="preserve"> = accommodation factor </w:t>
      </w:r>
      <w:r w:rsidR="000556FD" w:rsidRPr="00731D45">
        <w:rPr>
          <w:rFonts w:eastAsia="SimSun"/>
        </w:rPr>
        <w:t>(0.88 for Nitrogen), -</w:t>
      </w:r>
    </w:p>
    <w:p w14:paraId="1AE0B04A" w14:textId="1E8AB77D" w:rsidR="00487097" w:rsidRPr="00731D45" w:rsidRDefault="00487097" w:rsidP="00487097">
      <w:pPr>
        <w:pStyle w:val="CETBodytext"/>
        <w:rPr>
          <w:rFonts w:eastAsia="SimSun"/>
        </w:rPr>
      </w:pPr>
      <w:r w:rsidRPr="00731D45">
        <w:rPr>
          <w:rFonts w:eastAsia="SimSun" w:cs="Arial"/>
          <w:i/>
        </w:rPr>
        <w:t>ζ</w:t>
      </w:r>
      <w:r w:rsidRPr="00731D45">
        <w:rPr>
          <w:rFonts w:eastAsia="SimSun"/>
          <w:i/>
        </w:rPr>
        <w:t xml:space="preserve"> </w:t>
      </w:r>
      <w:r w:rsidRPr="00731D45">
        <w:rPr>
          <w:rFonts w:eastAsia="SimSun"/>
        </w:rPr>
        <w:t xml:space="preserve">= </w:t>
      </w:r>
      <w:r w:rsidR="004F7B84" w:rsidRPr="00731D45">
        <w:rPr>
          <w:rFonts w:eastAsia="SimSun"/>
        </w:rPr>
        <w:t xml:space="preserve">gas </w:t>
      </w:r>
      <w:r w:rsidR="004F7B84">
        <w:rPr>
          <w:rFonts w:eastAsia="SimSun"/>
        </w:rPr>
        <w:t>molecular deg</w:t>
      </w:r>
      <w:r w:rsidRPr="00731D45">
        <w:rPr>
          <w:rFonts w:eastAsia="SimSun"/>
        </w:rPr>
        <w:t>ree of freedom</w:t>
      </w:r>
      <w:r w:rsidR="00BA56A3" w:rsidRPr="00731D45">
        <w:rPr>
          <w:rFonts w:eastAsia="SimSun"/>
        </w:rPr>
        <w:t xml:space="preserve"> </w:t>
      </w:r>
      <w:r w:rsidRPr="00731D45">
        <w:rPr>
          <w:rFonts w:eastAsia="SimSun"/>
        </w:rPr>
        <w:t>(</w:t>
      </w:r>
      <w:r w:rsidR="000A1998" w:rsidRPr="00731D45">
        <w:rPr>
          <w:rFonts w:eastAsia="SimSun"/>
        </w:rPr>
        <w:t>2</w:t>
      </w:r>
      <w:r w:rsidRPr="00731D45">
        <w:rPr>
          <w:rFonts w:eastAsia="SimSun"/>
        </w:rPr>
        <w:t xml:space="preserve"> for Nitrogen), -</w:t>
      </w:r>
    </w:p>
    <w:p w14:paraId="6CC10730" w14:textId="77777777" w:rsidR="001F475B" w:rsidRPr="00731D45" w:rsidRDefault="001F475B" w:rsidP="001F475B">
      <w:pPr>
        <w:pStyle w:val="CETBodytext"/>
        <w:rPr>
          <w:rFonts w:eastAsia="SimSun"/>
        </w:rPr>
      </w:pPr>
      <w:r w:rsidRPr="00731D45">
        <w:rPr>
          <w:rFonts w:eastAsia="SimSun"/>
          <w:i/>
        </w:rPr>
        <w:t>C</w:t>
      </w:r>
      <w:r w:rsidRPr="00731D45">
        <w:rPr>
          <w:rFonts w:eastAsia="SimSun"/>
          <w:i/>
          <w:vertAlign w:val="subscript"/>
        </w:rPr>
        <w:t>2</w:t>
      </w:r>
      <w:r w:rsidRPr="00731D45">
        <w:rPr>
          <w:rFonts w:eastAsia="SimSun"/>
        </w:rPr>
        <w:t xml:space="preserve"> = empirical constant for the spacer material, -</w:t>
      </w:r>
    </w:p>
    <w:p w14:paraId="443DB5D2" w14:textId="6CE075CF" w:rsidR="001F475B" w:rsidRPr="00731D45" w:rsidRDefault="001F475B" w:rsidP="001F475B">
      <w:pPr>
        <w:pStyle w:val="CETBodytext"/>
        <w:rPr>
          <w:rFonts w:eastAsia="SimSun"/>
        </w:rPr>
      </w:pPr>
      <w:r w:rsidRPr="00731D45">
        <w:rPr>
          <w:rFonts w:eastAsia="SimSun"/>
          <w:i/>
        </w:rPr>
        <w:t>f</w:t>
      </w:r>
      <w:r w:rsidRPr="00731D45">
        <w:rPr>
          <w:rFonts w:eastAsia="SimSun"/>
        </w:rPr>
        <w:t xml:space="preserve"> = relative density of the spacer to the</w:t>
      </w:r>
      <w:r w:rsidR="004F7B84">
        <w:rPr>
          <w:rFonts w:eastAsia="SimSun"/>
        </w:rPr>
        <w:t xml:space="preserve"> </w:t>
      </w:r>
      <w:r w:rsidRPr="00731D45">
        <w:rPr>
          <w:rFonts w:eastAsia="SimSun"/>
        </w:rPr>
        <w:t>solid material, -</w:t>
      </w:r>
    </w:p>
    <w:p w14:paraId="2F42BF9E" w14:textId="3C586341" w:rsidR="00BA56A3" w:rsidRPr="00731D45" w:rsidRDefault="00BA56A3" w:rsidP="001F475B">
      <w:pPr>
        <w:pStyle w:val="CETBodytext"/>
        <w:rPr>
          <w:rFonts w:eastAsia="SimSun"/>
        </w:rPr>
      </w:pPr>
      <w:r w:rsidRPr="00731D45">
        <w:rPr>
          <w:rFonts w:eastAsia="SimSun"/>
          <w:i/>
          <w:lang w:val="en-GB"/>
        </w:rPr>
        <w:t>D</w:t>
      </w:r>
      <w:r w:rsidRPr="00731D45">
        <w:rPr>
          <w:rFonts w:eastAsia="SimSun"/>
          <w:i/>
          <w:vertAlign w:val="subscript"/>
          <w:lang w:val="en-GB"/>
        </w:rPr>
        <w:t>x</w:t>
      </w:r>
      <w:r w:rsidRPr="00731D45">
        <w:rPr>
          <w:rFonts w:eastAsia="SimSun"/>
          <w:i/>
        </w:rPr>
        <w:t xml:space="preserve"> </w:t>
      </w:r>
      <w:r w:rsidRPr="00731D45">
        <w:rPr>
          <w:rFonts w:eastAsia="SimSun"/>
        </w:rPr>
        <w:t>= thickness of the spacer, m</w:t>
      </w:r>
    </w:p>
    <w:p w14:paraId="0E751D06" w14:textId="07AB974C" w:rsidR="001F475B" w:rsidRPr="00731D45" w:rsidRDefault="001F475B" w:rsidP="001F475B">
      <w:pPr>
        <w:pStyle w:val="CETBodytext"/>
        <w:rPr>
          <w:rFonts w:eastAsia="SimSun"/>
        </w:rPr>
      </w:pPr>
      <w:r w:rsidRPr="00731D45">
        <w:rPr>
          <w:rFonts w:eastAsia="SimSun"/>
          <w:i/>
        </w:rPr>
        <w:t>k</w:t>
      </w:r>
      <w:r w:rsidRPr="00731D45">
        <w:rPr>
          <w:rFonts w:eastAsia="SimSun"/>
          <w:i/>
          <w:vertAlign w:val="subscript"/>
        </w:rPr>
        <w:t>s</w:t>
      </w:r>
      <w:r w:rsidRPr="00731D45">
        <w:rPr>
          <w:rFonts w:eastAsia="SimSun"/>
        </w:rPr>
        <w:t xml:space="preserve"> = thermal conductivity of the </w:t>
      </w:r>
      <w:r w:rsidR="00BC03B4" w:rsidRPr="00731D45">
        <w:rPr>
          <w:rFonts w:eastAsia="SimSun"/>
        </w:rPr>
        <w:t xml:space="preserve">solid </w:t>
      </w:r>
      <w:r w:rsidRPr="00731D45">
        <w:rPr>
          <w:rFonts w:eastAsia="SimSun"/>
        </w:rPr>
        <w:t>spacer material, W/(m·K)</w:t>
      </w:r>
    </w:p>
    <w:p w14:paraId="087D0E84" w14:textId="6182593B" w:rsidR="00BC03B4" w:rsidRPr="00731D45" w:rsidRDefault="00BC03B4" w:rsidP="00BC03B4">
      <w:pPr>
        <w:pStyle w:val="CETBodytext"/>
        <w:rPr>
          <w:rFonts w:eastAsia="SimSun"/>
        </w:rPr>
      </w:pPr>
      <w:r w:rsidRPr="00731D45">
        <w:rPr>
          <w:rFonts w:eastAsia="SimSun"/>
          <w:i/>
        </w:rPr>
        <w:t>k</w:t>
      </w:r>
      <w:r w:rsidRPr="00731D45">
        <w:rPr>
          <w:rFonts w:eastAsia="SimSun"/>
          <w:i/>
          <w:vertAlign w:val="subscript"/>
        </w:rPr>
        <w:t>g</w:t>
      </w:r>
      <w:r w:rsidRPr="00731D45">
        <w:rPr>
          <w:rFonts w:eastAsia="SimSun"/>
        </w:rPr>
        <w:t xml:space="preserve"> =</w:t>
      </w:r>
      <w:r w:rsidR="004F7B84" w:rsidRPr="004F7B84">
        <w:rPr>
          <w:rFonts w:eastAsia="SimSun"/>
        </w:rPr>
        <w:t xml:space="preserve"> </w:t>
      </w:r>
      <w:r w:rsidR="004F7B84" w:rsidRPr="00731D45">
        <w:rPr>
          <w:rFonts w:eastAsia="SimSun"/>
        </w:rPr>
        <w:t>residual gas</w:t>
      </w:r>
      <w:r w:rsidRPr="00731D45">
        <w:rPr>
          <w:rFonts w:eastAsia="SimSun"/>
        </w:rPr>
        <w:t xml:space="preserve"> thermal conductivity, W/(m·K)</w:t>
      </w:r>
    </w:p>
    <w:p w14:paraId="65CD8859" w14:textId="77777777" w:rsidR="001F475B" w:rsidRPr="00731D45" w:rsidRDefault="001F475B" w:rsidP="001F475B">
      <w:pPr>
        <w:pStyle w:val="CETBodytext"/>
        <w:rPr>
          <w:rFonts w:eastAsia="SimSun"/>
        </w:rPr>
      </w:pPr>
      <w:r w:rsidRPr="00731D45">
        <w:rPr>
          <w:rFonts w:eastAsia="SimSun" w:cs="Arial"/>
          <w:i/>
          <w:lang w:val="en-GB"/>
        </w:rPr>
        <w:t>ε</w:t>
      </w:r>
      <w:r w:rsidRPr="00731D45">
        <w:rPr>
          <w:rFonts w:eastAsia="SimSun" w:cs="Arial"/>
          <w:lang w:val="en-GB"/>
        </w:rPr>
        <w:t xml:space="preserve"> = emissivity of the material surface, -</w:t>
      </w:r>
    </w:p>
    <w:p w14:paraId="002A405A" w14:textId="6DE9E12A" w:rsidR="001F475B" w:rsidRPr="00731D45" w:rsidRDefault="001F475B" w:rsidP="001F475B">
      <w:pPr>
        <w:pStyle w:val="CETBodytext"/>
        <w:rPr>
          <w:rFonts w:eastAsia="SimSun"/>
        </w:rPr>
      </w:pPr>
      <w:r w:rsidRPr="00731D45">
        <w:rPr>
          <w:rFonts w:eastAsia="SimSun"/>
          <w:i/>
        </w:rPr>
        <w:t>m</w:t>
      </w:r>
      <w:r w:rsidRPr="00731D45">
        <w:rPr>
          <w:rFonts w:eastAsia="SimSun"/>
        </w:rPr>
        <w:t xml:space="preserve"> = mass, kg</w:t>
      </w:r>
    </w:p>
    <w:p w14:paraId="40700C6E" w14:textId="143F228B" w:rsidR="00BC03B4" w:rsidRPr="00731D45" w:rsidRDefault="00BC03B4" w:rsidP="001F475B">
      <w:pPr>
        <w:pStyle w:val="CETBodytext"/>
        <w:rPr>
          <w:rFonts w:eastAsia="SimSun"/>
        </w:rPr>
      </w:pPr>
      <w:r w:rsidRPr="00731D45">
        <w:rPr>
          <w:rFonts w:eastAsia="SimSun"/>
          <w:i/>
        </w:rPr>
        <w:t>N</w:t>
      </w:r>
      <w:r w:rsidR="00487097" w:rsidRPr="00731D45">
        <w:rPr>
          <w:rFonts w:eastAsia="SimSun"/>
          <w:i/>
        </w:rPr>
        <w:t>u</w:t>
      </w:r>
      <w:r w:rsidRPr="00731D45">
        <w:rPr>
          <w:rFonts w:eastAsia="SimSun"/>
          <w:i/>
        </w:rPr>
        <w:t xml:space="preserve"> = </w:t>
      </w:r>
      <w:r w:rsidRPr="00731D45">
        <w:rPr>
          <w:rFonts w:eastAsia="SimSun"/>
        </w:rPr>
        <w:t>Nusselt number, -</w:t>
      </w:r>
    </w:p>
    <w:p w14:paraId="551CE378" w14:textId="20090E94" w:rsidR="00AF4DB9" w:rsidRDefault="00AF4DB9" w:rsidP="001F475B">
      <w:pPr>
        <w:pStyle w:val="CETBodytext"/>
        <w:rPr>
          <w:rFonts w:eastAsia="SimSun"/>
        </w:rPr>
      </w:pPr>
      <w:r w:rsidRPr="00731D45">
        <w:rPr>
          <w:i/>
        </w:rPr>
        <w:t>t</w:t>
      </w:r>
      <w:r w:rsidRPr="00731D45">
        <w:rPr>
          <w:i/>
          <w:vertAlign w:val="subscript"/>
        </w:rPr>
        <w:t xml:space="preserve">PRV </w:t>
      </w:r>
      <w:r w:rsidRPr="00731D45">
        <w:rPr>
          <w:rFonts w:eastAsia="SimSun"/>
          <w:i/>
        </w:rPr>
        <w:t xml:space="preserve">= </w:t>
      </w:r>
      <w:r w:rsidRPr="00731D45">
        <w:rPr>
          <w:rFonts w:eastAsia="SimSun"/>
        </w:rPr>
        <w:t>time to pressurization up to PRV opening, min</w:t>
      </w:r>
    </w:p>
    <w:p w14:paraId="38BFE636" w14:textId="469AB9A6" w:rsidR="00AF4DB9" w:rsidRPr="000C2977" w:rsidRDefault="000C2977" w:rsidP="00BA56A3">
      <w:pPr>
        <w:pStyle w:val="CETBodytext"/>
        <w:rPr>
          <w:rFonts w:eastAsia="SimSun"/>
        </w:rPr>
        <w:sectPr w:rsidR="00AF4DB9" w:rsidRPr="000C2977" w:rsidSect="00F13609">
          <w:type w:val="continuous"/>
          <w:pgSz w:w="11906" w:h="16838" w:code="9"/>
          <w:pgMar w:top="1701" w:right="1418" w:bottom="1701" w:left="1701" w:header="1701" w:footer="0" w:gutter="0"/>
          <w:cols w:num="2" w:space="708"/>
          <w:formProt w:val="0"/>
          <w:titlePg/>
          <w:docGrid w:linePitch="360"/>
        </w:sectPr>
      </w:pPr>
      <w:r w:rsidRPr="000C2977">
        <w:rPr>
          <w:rFonts w:eastAsia="SimSun"/>
          <w:i/>
        </w:rPr>
        <w:t>Gr</w:t>
      </w:r>
      <w:r>
        <w:rPr>
          <w:rFonts w:eastAsia="SimSun"/>
          <w:i/>
        </w:rPr>
        <w:t xml:space="preserve"> </w:t>
      </w:r>
      <w:r>
        <w:rPr>
          <w:rFonts w:eastAsia="SimSun"/>
        </w:rPr>
        <w:t>=  Grashof number, -</w:t>
      </w:r>
    </w:p>
    <w:p w14:paraId="4F1327F8" w14:textId="77777777" w:rsidR="00600535" w:rsidRPr="00B57B36" w:rsidRDefault="00600535" w:rsidP="00600535">
      <w:pPr>
        <w:pStyle w:val="CETReference"/>
      </w:pPr>
      <w:r w:rsidRPr="00B57B36">
        <w:t>References</w:t>
      </w:r>
    </w:p>
    <w:p w14:paraId="34F090BB" w14:textId="0D7B704F" w:rsidR="00731D45" w:rsidRPr="009A5BA6" w:rsidRDefault="00731D45" w:rsidP="009A5BA6">
      <w:pPr>
        <w:pStyle w:val="CETReferencetext"/>
      </w:pPr>
      <w:bookmarkStart w:id="14" w:name="_Hlk159325650"/>
      <w:r w:rsidRPr="009A5BA6">
        <w:t>Bell, I.H., Wronski, J., Quoilin, S., Lemort, V., 2014. Pure and Pseudo-pure Fluid Thermophysical Property Evaluation and the Open-Source Thermophysical Property Library CoolProp. Ind. \&amp; Eng. Chem. Res. 53, 2498–2508.</w:t>
      </w:r>
    </w:p>
    <w:p w14:paraId="0BED3519" w14:textId="1A527E8C" w:rsidR="00731D45" w:rsidRPr="009A5BA6" w:rsidRDefault="00731D45" w:rsidP="009A5BA6">
      <w:pPr>
        <w:pStyle w:val="CETReferencetext"/>
      </w:pPr>
      <w:r w:rsidRPr="009A5BA6">
        <w:t xml:space="preserve">Birk Albrecht, M., Otremba, F., Gonzalez, F., Prabhakaran, A., Borch, J., Bradley, I., Bisby, L., 2016. Fire Testing of Total Containment Pressure Vessels. Chem. Eng. Trans. 48, 277–282. </w:t>
      </w:r>
    </w:p>
    <w:p w14:paraId="261AA76C" w14:textId="798A79D0" w:rsidR="00731D45" w:rsidRPr="009A5BA6" w:rsidRDefault="00731D45" w:rsidP="009A5BA6">
      <w:pPr>
        <w:pStyle w:val="CETReferencetext"/>
      </w:pPr>
      <w:r w:rsidRPr="009A5BA6">
        <w:t>Camplese, D., Chianese, C., Scarponi, G.E., Eberwein, R., Otremba, F., Cozzani, V., 2023. Analysis of High Temperature Degradation of Multi-layer Insulation (MLI) Systems for Liquid Hydrogen Storage Tanks. Chem. Eng. Trans. 99, 415-420</w:t>
      </w:r>
      <w:r w:rsidR="00AE6EB4" w:rsidRPr="009A5BA6">
        <w:t>.</w:t>
      </w:r>
    </w:p>
    <w:p w14:paraId="67959B92" w14:textId="100C2E2F" w:rsidR="00731D45" w:rsidRPr="009A5BA6" w:rsidRDefault="00731D45" w:rsidP="009A5BA6">
      <w:pPr>
        <w:pStyle w:val="CETReferencetext"/>
      </w:pPr>
      <w:r w:rsidRPr="009A5BA6">
        <w:t xml:space="preserve">Eberwein, R., Hajhariri, A., Camplese, D., Emrys Scarponi, G., Cozzani, V., Otremba, F., 2023. Insulation Materials Used in Tanks for the Storage of Cryogenic Fluids in Fire Scenarios, in: Volume 6: Operations, Applications, &amp; Components. American Society of Mechanical Engineers. </w:t>
      </w:r>
    </w:p>
    <w:p w14:paraId="3E5475C0" w14:textId="7859A6B6" w:rsidR="00EB3602" w:rsidRPr="009A5BA6" w:rsidRDefault="00EB3602" w:rsidP="009A5BA6">
      <w:pPr>
        <w:pStyle w:val="CETReferencetext"/>
      </w:pPr>
      <w:r w:rsidRPr="009A5BA6">
        <w:t>Edward, L., Filip, L., 2018. Influence of vacuum level on insulation thermal performance for LNG cryogenic road tankers, in: MATEC Web of Conferences. EDP Sciences, p. 1019.</w:t>
      </w:r>
    </w:p>
    <w:p w14:paraId="717E18DC" w14:textId="77777777" w:rsidR="00731D45" w:rsidRPr="009A5BA6" w:rsidRDefault="00731D45" w:rsidP="009A5BA6">
      <w:pPr>
        <w:pStyle w:val="CETReferencetext"/>
      </w:pPr>
      <w:r w:rsidRPr="009A5BA6">
        <w:t>Kunze, K., Kircher, O., 2012. Cryo-compressed hydrogen storage cryogenic cluster day. Oxford, Sept. 28, 2012.</w:t>
      </w:r>
    </w:p>
    <w:p w14:paraId="0D8CB48C" w14:textId="253C9AF2" w:rsidR="00731D45" w:rsidRPr="009A5BA6" w:rsidRDefault="00731D45" w:rsidP="009A5BA6">
      <w:pPr>
        <w:pStyle w:val="CETReferencetext"/>
      </w:pPr>
      <w:r w:rsidRPr="009A5BA6">
        <w:t xml:space="preserve">McIntosh, G.E., 1994. Layer by Layer MLI Calculation Using a Separated Mode Equation, in: Kittel, P. (Ed.), Advances in Cryogenic Engineering. Springer US, Boston, MA, pp. 1683–1690. </w:t>
      </w:r>
    </w:p>
    <w:p w14:paraId="69F725D0" w14:textId="77777777" w:rsidR="00731D45" w:rsidRPr="009A5BA6" w:rsidRDefault="00731D45" w:rsidP="009A5BA6">
      <w:pPr>
        <w:pStyle w:val="CETReferencetext"/>
      </w:pPr>
      <w:r w:rsidRPr="009A5BA6">
        <w:t>Pehr, K., 1996. Experimental Examinations on the Worst Case Behavior of LH2/LNG Tanks for Passenger Cars, in: Proceedings of the 11th World Hydrogen Energy Conference, Stuttgart, Germany. pp. 2169–2186.</w:t>
      </w:r>
    </w:p>
    <w:p w14:paraId="49729D4A" w14:textId="2CCF3BF9" w:rsidR="00731D45" w:rsidRPr="009A5BA6" w:rsidRDefault="00731D45" w:rsidP="009A5BA6">
      <w:pPr>
        <w:pStyle w:val="CETReferencetext"/>
      </w:pPr>
      <w:r w:rsidRPr="009A5BA6">
        <w:t>Preuster, P., Alekseev, A., Wasserscheid, P., 2017. Hydrogen Storage Technologies for Future Energy Systems. Annu. Rev. Chem. Biomol. Eng. 8, 445–471.</w:t>
      </w:r>
    </w:p>
    <w:p w14:paraId="4D08FBF8" w14:textId="1B9A87B8" w:rsidR="00731D45" w:rsidRPr="009A5BA6" w:rsidRDefault="00731D45" w:rsidP="009A5BA6">
      <w:pPr>
        <w:pStyle w:val="CETReferencetext"/>
      </w:pPr>
      <w:r w:rsidRPr="009A5BA6">
        <w:t xml:space="preserve">Scarponi, G.E., Landucci, G., Ovidi, F., Cozzani, V., 2016. Lumped model for the assessment of the thermal and mechanical response of LNG tanks exposed to fire. Chem. Eng. Trans. 53, 307–312. </w:t>
      </w:r>
    </w:p>
    <w:p w14:paraId="6CB73BFF" w14:textId="77777777" w:rsidR="00731D45" w:rsidRPr="009A5BA6" w:rsidRDefault="00731D45" w:rsidP="009A5BA6">
      <w:pPr>
        <w:pStyle w:val="CETReferencetext"/>
      </w:pPr>
      <w:r w:rsidRPr="009A5BA6">
        <w:t>Sherman, F.S., 1963. A survey of experimental results and methods for the transition regime of rarefied gas dynamics. Rarefied Gas Dyn. Vol. 2 2, 228.</w:t>
      </w:r>
    </w:p>
    <w:p w14:paraId="4C859CD9" w14:textId="15F4E192" w:rsidR="00731D45" w:rsidRPr="009A5BA6" w:rsidRDefault="00731D45" w:rsidP="009A5BA6">
      <w:pPr>
        <w:pStyle w:val="CETReferencetext"/>
      </w:pPr>
      <w:r w:rsidRPr="009A5BA6">
        <w:t xml:space="preserve">Ustolin, F., Scarponi, G.E., Iannaccone, T., Cozzani, V., Paltrinieri, N., 2022. Cryogenic Hydrogen Storage Tanks Exposed to Fires: a CFD Study. Chem. Eng. Trans. 90, 535–540. </w:t>
      </w:r>
    </w:p>
    <w:p w14:paraId="5A370B57" w14:textId="702F40E3" w:rsidR="008E1BE0" w:rsidRPr="009A5BA6" w:rsidRDefault="008E1BE0" w:rsidP="009A5BA6">
      <w:pPr>
        <w:pStyle w:val="CETReferencetext"/>
      </w:pPr>
      <w:r w:rsidRPr="009A5BA6">
        <w:t>van Wingerden K., Kluge M., Habib A. K., Ustolin F., Paltrinieri N., 2022, Medium-scale Tests to Investigate the Possibility and Effects of BLEVEs of Storage Vessels Containing Liquified Hydrogen. Chemical Engineering Transactions, 90, 547–552.</w:t>
      </w:r>
    </w:p>
    <w:p w14:paraId="3CDF0A5F" w14:textId="2BD30A18" w:rsidR="00731D45" w:rsidRPr="009A5BA6" w:rsidRDefault="00731D45" w:rsidP="009A5BA6">
      <w:pPr>
        <w:pStyle w:val="CETReferencetext"/>
      </w:pPr>
      <w:r w:rsidRPr="009A5BA6">
        <w:t>Xie, G.F., Li, X.D., Wang, R.S., 2012. Experimental study on the storage performance of high-vacuum-multilayer- insulation tank after sudden, catastrophic loss of insulating vacuum. Heat Mass Transf. und Stoffuebertragung 48, 757–766.</w:t>
      </w:r>
    </w:p>
    <w:p w14:paraId="2D93A137" w14:textId="1923B714" w:rsidR="008E1BE0" w:rsidRPr="009A5BA6" w:rsidRDefault="00731D45" w:rsidP="009A5BA6">
      <w:pPr>
        <w:pStyle w:val="CETReferencetext"/>
      </w:pPr>
      <w:r w:rsidRPr="009A5BA6">
        <w:t>Xie, G.F., Li, X.D., Wang, R.S., 2010. Study on the heat transfer of high-vacuum-multilayer-insulation tank after sudden, catastrophic loss of insulating vacuum. Cryogenics (Guildf). 50, 682–687.</w:t>
      </w:r>
      <w:bookmarkEnd w:id="14"/>
    </w:p>
    <w:sectPr w:rsidR="008E1BE0" w:rsidRPr="009A5BA6"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1069A3" w16cex:dateUtc="2024-02-21T14:46:00Z"/>
  <w16cex:commentExtensible w16cex:durableId="2424454C" w16cex:dateUtc="2024-02-21T14:49:00Z"/>
  <w16cex:commentExtensible w16cex:durableId="1443388E" w16cex:dateUtc="2024-02-21T14:58:00Z"/>
  <w16cex:commentExtensible w16cex:durableId="5746D92F" w16cex:dateUtc="2024-02-21T15:00:00Z"/>
  <w16cex:commentExtensible w16cex:durableId="01EF72F7" w16cex:dateUtc="2024-02-21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A5F5" w14:textId="77777777" w:rsidR="00F13609" w:rsidRDefault="00F13609" w:rsidP="004F5E36">
      <w:r>
        <w:separator/>
      </w:r>
    </w:p>
  </w:endnote>
  <w:endnote w:type="continuationSeparator" w:id="0">
    <w:p w14:paraId="730A5055" w14:textId="77777777" w:rsidR="00F13609" w:rsidRDefault="00F1360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AF75" w14:textId="77777777" w:rsidR="00F13609" w:rsidRDefault="00F13609" w:rsidP="004F5E36">
      <w:r>
        <w:separator/>
      </w:r>
    </w:p>
  </w:footnote>
  <w:footnote w:type="continuationSeparator" w:id="0">
    <w:p w14:paraId="7DD71754" w14:textId="77777777" w:rsidR="00F13609" w:rsidRDefault="00F1360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7C5A0D0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sqwFAHpqYU8tAAAA"/>
  </w:docVars>
  <w:rsids>
    <w:rsidRoot w:val="000E414A"/>
    <w:rsid w:val="000027C0"/>
    <w:rsid w:val="000052FB"/>
    <w:rsid w:val="0000659C"/>
    <w:rsid w:val="000102BD"/>
    <w:rsid w:val="00010C97"/>
    <w:rsid w:val="000117CB"/>
    <w:rsid w:val="0003148D"/>
    <w:rsid w:val="00031EEC"/>
    <w:rsid w:val="000476E4"/>
    <w:rsid w:val="00050B25"/>
    <w:rsid w:val="00051566"/>
    <w:rsid w:val="000556FD"/>
    <w:rsid w:val="00062277"/>
    <w:rsid w:val="00062A9A"/>
    <w:rsid w:val="00065058"/>
    <w:rsid w:val="00082CCC"/>
    <w:rsid w:val="00085264"/>
    <w:rsid w:val="00086C39"/>
    <w:rsid w:val="000A03B2"/>
    <w:rsid w:val="000A07B8"/>
    <w:rsid w:val="000A0BB8"/>
    <w:rsid w:val="000A1998"/>
    <w:rsid w:val="000C0A8F"/>
    <w:rsid w:val="000C2977"/>
    <w:rsid w:val="000C53E9"/>
    <w:rsid w:val="000D0268"/>
    <w:rsid w:val="000D34BE"/>
    <w:rsid w:val="000E102F"/>
    <w:rsid w:val="000E16A7"/>
    <w:rsid w:val="000E36F1"/>
    <w:rsid w:val="000E3A73"/>
    <w:rsid w:val="000E414A"/>
    <w:rsid w:val="000E7068"/>
    <w:rsid w:val="000F093C"/>
    <w:rsid w:val="000F787B"/>
    <w:rsid w:val="00101675"/>
    <w:rsid w:val="001037BE"/>
    <w:rsid w:val="00106B28"/>
    <w:rsid w:val="00111BB8"/>
    <w:rsid w:val="0012008F"/>
    <w:rsid w:val="0012091F"/>
    <w:rsid w:val="00122B2E"/>
    <w:rsid w:val="00124F37"/>
    <w:rsid w:val="00126BC2"/>
    <w:rsid w:val="00126F6C"/>
    <w:rsid w:val="001308B6"/>
    <w:rsid w:val="0013121F"/>
    <w:rsid w:val="00131FE6"/>
    <w:rsid w:val="0013263F"/>
    <w:rsid w:val="001331DF"/>
    <w:rsid w:val="00134DE4"/>
    <w:rsid w:val="0014034D"/>
    <w:rsid w:val="00141238"/>
    <w:rsid w:val="00144685"/>
    <w:rsid w:val="00144D16"/>
    <w:rsid w:val="00150E59"/>
    <w:rsid w:val="00152DE3"/>
    <w:rsid w:val="001545BB"/>
    <w:rsid w:val="001569AF"/>
    <w:rsid w:val="001628FE"/>
    <w:rsid w:val="00164CF9"/>
    <w:rsid w:val="001667A6"/>
    <w:rsid w:val="00182477"/>
    <w:rsid w:val="00183748"/>
    <w:rsid w:val="00184AD6"/>
    <w:rsid w:val="001A082F"/>
    <w:rsid w:val="001A4AF7"/>
    <w:rsid w:val="001B0349"/>
    <w:rsid w:val="001B1E93"/>
    <w:rsid w:val="001B1F91"/>
    <w:rsid w:val="001B1FD9"/>
    <w:rsid w:val="001B5464"/>
    <w:rsid w:val="001B65C1"/>
    <w:rsid w:val="001B6E85"/>
    <w:rsid w:val="001C684B"/>
    <w:rsid w:val="001D0CFB"/>
    <w:rsid w:val="001D4D22"/>
    <w:rsid w:val="001D53FC"/>
    <w:rsid w:val="001F42A5"/>
    <w:rsid w:val="001F475B"/>
    <w:rsid w:val="001F7B9D"/>
    <w:rsid w:val="00201C93"/>
    <w:rsid w:val="00217C59"/>
    <w:rsid w:val="002224B4"/>
    <w:rsid w:val="0023411B"/>
    <w:rsid w:val="0024024B"/>
    <w:rsid w:val="002447EF"/>
    <w:rsid w:val="00251550"/>
    <w:rsid w:val="00251E3D"/>
    <w:rsid w:val="00263B05"/>
    <w:rsid w:val="0027221A"/>
    <w:rsid w:val="00275B61"/>
    <w:rsid w:val="00280FAF"/>
    <w:rsid w:val="00281964"/>
    <w:rsid w:val="00282656"/>
    <w:rsid w:val="00291832"/>
    <w:rsid w:val="00296B83"/>
    <w:rsid w:val="002B4015"/>
    <w:rsid w:val="002B78CE"/>
    <w:rsid w:val="002C05E4"/>
    <w:rsid w:val="002C2FB6"/>
    <w:rsid w:val="002D3205"/>
    <w:rsid w:val="002E0D96"/>
    <w:rsid w:val="002E5FA7"/>
    <w:rsid w:val="002F3309"/>
    <w:rsid w:val="003008CE"/>
    <w:rsid w:val="003009B7"/>
    <w:rsid w:val="00300E56"/>
    <w:rsid w:val="0030469C"/>
    <w:rsid w:val="00321CA6"/>
    <w:rsid w:val="00323763"/>
    <w:rsid w:val="00323862"/>
    <w:rsid w:val="00334C09"/>
    <w:rsid w:val="00340CDE"/>
    <w:rsid w:val="0034542A"/>
    <w:rsid w:val="0034599F"/>
    <w:rsid w:val="003723D4"/>
    <w:rsid w:val="00381905"/>
    <w:rsid w:val="00384CC8"/>
    <w:rsid w:val="003871FD"/>
    <w:rsid w:val="00394766"/>
    <w:rsid w:val="00396A7D"/>
    <w:rsid w:val="003A1E30"/>
    <w:rsid w:val="003A2829"/>
    <w:rsid w:val="003A7D1C"/>
    <w:rsid w:val="003B304B"/>
    <w:rsid w:val="003B3146"/>
    <w:rsid w:val="003C16F7"/>
    <w:rsid w:val="003D42ED"/>
    <w:rsid w:val="003D58F4"/>
    <w:rsid w:val="003E4DD0"/>
    <w:rsid w:val="003F015E"/>
    <w:rsid w:val="003F6AB1"/>
    <w:rsid w:val="003F7A76"/>
    <w:rsid w:val="00400414"/>
    <w:rsid w:val="0041446B"/>
    <w:rsid w:val="00414D8E"/>
    <w:rsid w:val="0043048F"/>
    <w:rsid w:val="0044329C"/>
    <w:rsid w:val="00453E24"/>
    <w:rsid w:val="00457456"/>
    <w:rsid w:val="004577FE"/>
    <w:rsid w:val="00457B9C"/>
    <w:rsid w:val="0046164A"/>
    <w:rsid w:val="004628D2"/>
    <w:rsid w:val="00462DCD"/>
    <w:rsid w:val="004648AD"/>
    <w:rsid w:val="004703A9"/>
    <w:rsid w:val="004760DE"/>
    <w:rsid w:val="004763D7"/>
    <w:rsid w:val="00487097"/>
    <w:rsid w:val="0049083E"/>
    <w:rsid w:val="0049512E"/>
    <w:rsid w:val="004A004E"/>
    <w:rsid w:val="004A24CF"/>
    <w:rsid w:val="004B070B"/>
    <w:rsid w:val="004C3D1D"/>
    <w:rsid w:val="004C4769"/>
    <w:rsid w:val="004C7913"/>
    <w:rsid w:val="004E4DD6"/>
    <w:rsid w:val="004E7E55"/>
    <w:rsid w:val="004F3E67"/>
    <w:rsid w:val="004F5E36"/>
    <w:rsid w:val="004F7148"/>
    <w:rsid w:val="004F7B84"/>
    <w:rsid w:val="00507B47"/>
    <w:rsid w:val="00507BEF"/>
    <w:rsid w:val="00507CC9"/>
    <w:rsid w:val="00507DD7"/>
    <w:rsid w:val="005119A5"/>
    <w:rsid w:val="00511D6F"/>
    <w:rsid w:val="00513892"/>
    <w:rsid w:val="005278B7"/>
    <w:rsid w:val="00532016"/>
    <w:rsid w:val="00533F30"/>
    <w:rsid w:val="005346C8"/>
    <w:rsid w:val="00543E7D"/>
    <w:rsid w:val="00547A68"/>
    <w:rsid w:val="005520B0"/>
    <w:rsid w:val="005531C9"/>
    <w:rsid w:val="00555DDE"/>
    <w:rsid w:val="00564CDE"/>
    <w:rsid w:val="00570C43"/>
    <w:rsid w:val="0059193D"/>
    <w:rsid w:val="005A5F31"/>
    <w:rsid w:val="005B2110"/>
    <w:rsid w:val="005B61E6"/>
    <w:rsid w:val="005C72A8"/>
    <w:rsid w:val="005C77E1"/>
    <w:rsid w:val="005D668A"/>
    <w:rsid w:val="005D6A2F"/>
    <w:rsid w:val="005E0EE7"/>
    <w:rsid w:val="005E1A82"/>
    <w:rsid w:val="005E794C"/>
    <w:rsid w:val="005F02B6"/>
    <w:rsid w:val="005F0A28"/>
    <w:rsid w:val="005F0E5E"/>
    <w:rsid w:val="005F4661"/>
    <w:rsid w:val="00600535"/>
    <w:rsid w:val="00610CD6"/>
    <w:rsid w:val="00620DEE"/>
    <w:rsid w:val="00621F92"/>
    <w:rsid w:val="0062280A"/>
    <w:rsid w:val="00625639"/>
    <w:rsid w:val="00626CBD"/>
    <w:rsid w:val="00631B33"/>
    <w:rsid w:val="0064184D"/>
    <w:rsid w:val="006422CC"/>
    <w:rsid w:val="00646FB8"/>
    <w:rsid w:val="0065222F"/>
    <w:rsid w:val="00656211"/>
    <w:rsid w:val="00660E3E"/>
    <w:rsid w:val="00662E74"/>
    <w:rsid w:val="00663BCB"/>
    <w:rsid w:val="00665323"/>
    <w:rsid w:val="00680C23"/>
    <w:rsid w:val="0068554E"/>
    <w:rsid w:val="00693766"/>
    <w:rsid w:val="00697BF4"/>
    <w:rsid w:val="006A3281"/>
    <w:rsid w:val="006B04FE"/>
    <w:rsid w:val="006B1A53"/>
    <w:rsid w:val="006B3131"/>
    <w:rsid w:val="006B4888"/>
    <w:rsid w:val="006C2E45"/>
    <w:rsid w:val="006C359C"/>
    <w:rsid w:val="006C5579"/>
    <w:rsid w:val="006C6753"/>
    <w:rsid w:val="006D6E8B"/>
    <w:rsid w:val="006E5A17"/>
    <w:rsid w:val="006E737D"/>
    <w:rsid w:val="006F50D4"/>
    <w:rsid w:val="00701785"/>
    <w:rsid w:val="00713973"/>
    <w:rsid w:val="007157C8"/>
    <w:rsid w:val="00720A24"/>
    <w:rsid w:val="00731BDD"/>
    <w:rsid w:val="00731D45"/>
    <w:rsid w:val="00732386"/>
    <w:rsid w:val="0073514D"/>
    <w:rsid w:val="007447F3"/>
    <w:rsid w:val="00747FC7"/>
    <w:rsid w:val="0075499F"/>
    <w:rsid w:val="007661C8"/>
    <w:rsid w:val="0077098D"/>
    <w:rsid w:val="0077680C"/>
    <w:rsid w:val="00782EAA"/>
    <w:rsid w:val="007931FA"/>
    <w:rsid w:val="00793270"/>
    <w:rsid w:val="007A056D"/>
    <w:rsid w:val="007A4861"/>
    <w:rsid w:val="007A6053"/>
    <w:rsid w:val="007A7BBA"/>
    <w:rsid w:val="007B0C50"/>
    <w:rsid w:val="007B48F9"/>
    <w:rsid w:val="007B7B9F"/>
    <w:rsid w:val="007C1629"/>
    <w:rsid w:val="007C1A43"/>
    <w:rsid w:val="007D245C"/>
    <w:rsid w:val="0080013E"/>
    <w:rsid w:val="00802C7E"/>
    <w:rsid w:val="00806870"/>
    <w:rsid w:val="00810DA1"/>
    <w:rsid w:val="00813288"/>
    <w:rsid w:val="00814017"/>
    <w:rsid w:val="008168FC"/>
    <w:rsid w:val="00825DD9"/>
    <w:rsid w:val="00830996"/>
    <w:rsid w:val="008314CF"/>
    <w:rsid w:val="008345F1"/>
    <w:rsid w:val="0085055B"/>
    <w:rsid w:val="00854D5A"/>
    <w:rsid w:val="00865B07"/>
    <w:rsid w:val="008667EA"/>
    <w:rsid w:val="00871589"/>
    <w:rsid w:val="0087637F"/>
    <w:rsid w:val="00883F34"/>
    <w:rsid w:val="00892AD5"/>
    <w:rsid w:val="0089366B"/>
    <w:rsid w:val="0089583C"/>
    <w:rsid w:val="008A1512"/>
    <w:rsid w:val="008A1B50"/>
    <w:rsid w:val="008A34F5"/>
    <w:rsid w:val="008C4C14"/>
    <w:rsid w:val="008D32B9"/>
    <w:rsid w:val="008D433B"/>
    <w:rsid w:val="008D70B8"/>
    <w:rsid w:val="008E1BE0"/>
    <w:rsid w:val="008E566E"/>
    <w:rsid w:val="008F1995"/>
    <w:rsid w:val="008F7B49"/>
    <w:rsid w:val="0090161A"/>
    <w:rsid w:val="00901BB3"/>
    <w:rsid w:val="00901EB6"/>
    <w:rsid w:val="00904C62"/>
    <w:rsid w:val="0091037A"/>
    <w:rsid w:val="00922BA8"/>
    <w:rsid w:val="00924DAC"/>
    <w:rsid w:val="00927058"/>
    <w:rsid w:val="00940D58"/>
    <w:rsid w:val="00942750"/>
    <w:rsid w:val="009450CE"/>
    <w:rsid w:val="00947179"/>
    <w:rsid w:val="009508A4"/>
    <w:rsid w:val="0095164B"/>
    <w:rsid w:val="00954090"/>
    <w:rsid w:val="009573E7"/>
    <w:rsid w:val="00963E05"/>
    <w:rsid w:val="00967843"/>
    <w:rsid w:val="00967D54"/>
    <w:rsid w:val="00971028"/>
    <w:rsid w:val="00990DFE"/>
    <w:rsid w:val="00993AEC"/>
    <w:rsid w:val="00993B84"/>
    <w:rsid w:val="00996483"/>
    <w:rsid w:val="00996F5A"/>
    <w:rsid w:val="009A5BA6"/>
    <w:rsid w:val="009B041A"/>
    <w:rsid w:val="009C37C3"/>
    <w:rsid w:val="009C7C86"/>
    <w:rsid w:val="009D2FF7"/>
    <w:rsid w:val="009D473D"/>
    <w:rsid w:val="009D4F60"/>
    <w:rsid w:val="009E7884"/>
    <w:rsid w:val="009E788A"/>
    <w:rsid w:val="009F0E08"/>
    <w:rsid w:val="009F1E98"/>
    <w:rsid w:val="00A0592A"/>
    <w:rsid w:val="00A12DB8"/>
    <w:rsid w:val="00A1763D"/>
    <w:rsid w:val="00A17CEC"/>
    <w:rsid w:val="00A21A2F"/>
    <w:rsid w:val="00A24309"/>
    <w:rsid w:val="00A27EF0"/>
    <w:rsid w:val="00A37CC3"/>
    <w:rsid w:val="00A42361"/>
    <w:rsid w:val="00A50B20"/>
    <w:rsid w:val="00A51390"/>
    <w:rsid w:val="00A57B54"/>
    <w:rsid w:val="00A60D13"/>
    <w:rsid w:val="00A72745"/>
    <w:rsid w:val="00A76EFC"/>
    <w:rsid w:val="00A82C29"/>
    <w:rsid w:val="00A834BC"/>
    <w:rsid w:val="00A91010"/>
    <w:rsid w:val="00A97F29"/>
    <w:rsid w:val="00AA702E"/>
    <w:rsid w:val="00AB0964"/>
    <w:rsid w:val="00AB0A17"/>
    <w:rsid w:val="00AB5011"/>
    <w:rsid w:val="00AC2C55"/>
    <w:rsid w:val="00AC7368"/>
    <w:rsid w:val="00AD16B9"/>
    <w:rsid w:val="00AE1BF9"/>
    <w:rsid w:val="00AE377D"/>
    <w:rsid w:val="00AE645B"/>
    <w:rsid w:val="00AE6EB4"/>
    <w:rsid w:val="00AF0EBA"/>
    <w:rsid w:val="00AF2919"/>
    <w:rsid w:val="00AF4DB9"/>
    <w:rsid w:val="00B02C8A"/>
    <w:rsid w:val="00B1489E"/>
    <w:rsid w:val="00B17FBD"/>
    <w:rsid w:val="00B22129"/>
    <w:rsid w:val="00B315A6"/>
    <w:rsid w:val="00B31813"/>
    <w:rsid w:val="00B33365"/>
    <w:rsid w:val="00B3689E"/>
    <w:rsid w:val="00B57B36"/>
    <w:rsid w:val="00B57E6F"/>
    <w:rsid w:val="00B6051A"/>
    <w:rsid w:val="00B669CD"/>
    <w:rsid w:val="00B70960"/>
    <w:rsid w:val="00B8686D"/>
    <w:rsid w:val="00B93F69"/>
    <w:rsid w:val="00B96420"/>
    <w:rsid w:val="00BA3B59"/>
    <w:rsid w:val="00BA56A3"/>
    <w:rsid w:val="00BB1DDC"/>
    <w:rsid w:val="00BB36C7"/>
    <w:rsid w:val="00BB5F08"/>
    <w:rsid w:val="00BC03B4"/>
    <w:rsid w:val="00BC0FB9"/>
    <w:rsid w:val="00BC30C9"/>
    <w:rsid w:val="00BD077D"/>
    <w:rsid w:val="00BE3E58"/>
    <w:rsid w:val="00BE4447"/>
    <w:rsid w:val="00BF3470"/>
    <w:rsid w:val="00C01616"/>
    <w:rsid w:val="00C0162B"/>
    <w:rsid w:val="00C068ED"/>
    <w:rsid w:val="00C103FC"/>
    <w:rsid w:val="00C160DB"/>
    <w:rsid w:val="00C22E0C"/>
    <w:rsid w:val="00C3296C"/>
    <w:rsid w:val="00C345B1"/>
    <w:rsid w:val="00C40142"/>
    <w:rsid w:val="00C52C3C"/>
    <w:rsid w:val="00C55297"/>
    <w:rsid w:val="00C57182"/>
    <w:rsid w:val="00C57863"/>
    <w:rsid w:val="00C62651"/>
    <w:rsid w:val="00C655FD"/>
    <w:rsid w:val="00C75407"/>
    <w:rsid w:val="00C870A8"/>
    <w:rsid w:val="00C94434"/>
    <w:rsid w:val="00C94FB2"/>
    <w:rsid w:val="00CA0D75"/>
    <w:rsid w:val="00CA1C95"/>
    <w:rsid w:val="00CA5A9C"/>
    <w:rsid w:val="00CA6223"/>
    <w:rsid w:val="00CA6A77"/>
    <w:rsid w:val="00CC4C20"/>
    <w:rsid w:val="00CC6797"/>
    <w:rsid w:val="00CD3517"/>
    <w:rsid w:val="00CD5FE2"/>
    <w:rsid w:val="00CE7C68"/>
    <w:rsid w:val="00D02B4C"/>
    <w:rsid w:val="00D03276"/>
    <w:rsid w:val="00D040C4"/>
    <w:rsid w:val="00D04488"/>
    <w:rsid w:val="00D15793"/>
    <w:rsid w:val="00D17362"/>
    <w:rsid w:val="00D17C10"/>
    <w:rsid w:val="00D46B7E"/>
    <w:rsid w:val="00D57C84"/>
    <w:rsid w:val="00D6057D"/>
    <w:rsid w:val="00D644E2"/>
    <w:rsid w:val="00D660AC"/>
    <w:rsid w:val="00D735B2"/>
    <w:rsid w:val="00D77748"/>
    <w:rsid w:val="00D80393"/>
    <w:rsid w:val="00D836C5"/>
    <w:rsid w:val="00D84576"/>
    <w:rsid w:val="00D967EC"/>
    <w:rsid w:val="00DA1399"/>
    <w:rsid w:val="00DA24C6"/>
    <w:rsid w:val="00DA4D7B"/>
    <w:rsid w:val="00DB05F7"/>
    <w:rsid w:val="00DC21E7"/>
    <w:rsid w:val="00DD5410"/>
    <w:rsid w:val="00DE264A"/>
    <w:rsid w:val="00DE6220"/>
    <w:rsid w:val="00DF3BF6"/>
    <w:rsid w:val="00DF5072"/>
    <w:rsid w:val="00E02D18"/>
    <w:rsid w:val="00E041E7"/>
    <w:rsid w:val="00E05E3B"/>
    <w:rsid w:val="00E23CA1"/>
    <w:rsid w:val="00E409A8"/>
    <w:rsid w:val="00E50C12"/>
    <w:rsid w:val="00E65B91"/>
    <w:rsid w:val="00E7209D"/>
    <w:rsid w:val="00E72EAD"/>
    <w:rsid w:val="00E77223"/>
    <w:rsid w:val="00E80D41"/>
    <w:rsid w:val="00E84B5A"/>
    <w:rsid w:val="00E8528B"/>
    <w:rsid w:val="00E85B94"/>
    <w:rsid w:val="00E94E80"/>
    <w:rsid w:val="00E978D0"/>
    <w:rsid w:val="00EA4613"/>
    <w:rsid w:val="00EA7F91"/>
    <w:rsid w:val="00EB1523"/>
    <w:rsid w:val="00EB32EC"/>
    <w:rsid w:val="00EB3602"/>
    <w:rsid w:val="00EC0E49"/>
    <w:rsid w:val="00EC101F"/>
    <w:rsid w:val="00EC1D9F"/>
    <w:rsid w:val="00ED6441"/>
    <w:rsid w:val="00EE0131"/>
    <w:rsid w:val="00EE17B0"/>
    <w:rsid w:val="00EF06D9"/>
    <w:rsid w:val="00EF347E"/>
    <w:rsid w:val="00F01911"/>
    <w:rsid w:val="00F13609"/>
    <w:rsid w:val="00F1467F"/>
    <w:rsid w:val="00F22772"/>
    <w:rsid w:val="00F30C64"/>
    <w:rsid w:val="00F32BA2"/>
    <w:rsid w:val="00F32CDB"/>
    <w:rsid w:val="00F36607"/>
    <w:rsid w:val="00F565FE"/>
    <w:rsid w:val="00F63174"/>
    <w:rsid w:val="00F63A70"/>
    <w:rsid w:val="00F7534E"/>
    <w:rsid w:val="00F924CA"/>
    <w:rsid w:val="00F97B2C"/>
    <w:rsid w:val="00FA21D0"/>
    <w:rsid w:val="00FA5F5F"/>
    <w:rsid w:val="00FA7142"/>
    <w:rsid w:val="00FB14A2"/>
    <w:rsid w:val="00FB2896"/>
    <w:rsid w:val="00FB730C"/>
    <w:rsid w:val="00FC2695"/>
    <w:rsid w:val="00FC3E03"/>
    <w:rsid w:val="00FC3FC1"/>
    <w:rsid w:val="00FE7F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883F34"/>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E706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E706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4E7E55"/>
    <w:rPr>
      <w:color w:val="605E5C"/>
      <w:shd w:val="clear" w:color="auto" w:fill="E1DFDD"/>
    </w:rPr>
  </w:style>
  <w:style w:type="paragraph" w:styleId="NoSpacing">
    <w:name w:val="No Spacing"/>
    <w:basedOn w:val="Normal"/>
    <w:uiPriority w:val="1"/>
    <w:qFormat/>
    <w:rsid w:val="004E7E55"/>
    <w:pPr>
      <w:tabs>
        <w:tab w:val="clear" w:pos="7100"/>
      </w:tabs>
      <w:spacing w:line="288" w:lineRule="auto"/>
    </w:pPr>
    <w:rPr>
      <w:rFonts w:eastAsiaTheme="minorHAnsi" w:cstheme="minorBidi"/>
      <w:sz w:val="22"/>
      <w:szCs w:val="22"/>
      <w:lang w:val="it-IT"/>
    </w:rPr>
  </w:style>
  <w:style w:type="character" w:styleId="PlaceholderText">
    <w:name w:val="Placeholder Text"/>
    <w:basedOn w:val="DefaultParagraphFont"/>
    <w:uiPriority w:val="99"/>
    <w:semiHidden/>
    <w:rsid w:val="00BC03B4"/>
    <w:rPr>
      <w:color w:val="808080"/>
    </w:rPr>
  </w:style>
  <w:style w:type="paragraph" w:styleId="Revision">
    <w:name w:val="Revision"/>
    <w:hidden/>
    <w:uiPriority w:val="99"/>
    <w:semiHidden/>
    <w:rsid w:val="008D70B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7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b0bac9-a1f2-4fcf-91d4-8be7934ce3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A037C793AF8641AD5887B608C535BC" ma:contentTypeVersion="18" ma:contentTypeDescription="Create a new document." ma:contentTypeScope="" ma:versionID="294786a855e1d13637922c2ff6f19d0d">
  <xsd:schema xmlns:xsd="http://www.w3.org/2001/XMLSchema" xmlns:xs="http://www.w3.org/2001/XMLSchema" xmlns:p="http://schemas.microsoft.com/office/2006/metadata/properties" xmlns:ns3="c0485fdc-4386-4abf-92e8-01cffdfdc47b" xmlns:ns4="e9b0bac9-a1f2-4fcf-91d4-8be7934ce34f" targetNamespace="http://schemas.microsoft.com/office/2006/metadata/properties" ma:root="true" ma:fieldsID="d43b708224a7941daf6fe7351df8f1a3" ns3:_="" ns4:_="">
    <xsd:import namespace="c0485fdc-4386-4abf-92e8-01cffdfdc47b"/>
    <xsd:import namespace="e9b0bac9-a1f2-4fcf-91d4-8be7934ce3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85fdc-4386-4abf-92e8-01cffdfdc4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0bac9-a1f2-4fcf-91d4-8be7934ce3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9E8C-34AF-4FB7-B9F7-350E8FF3883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c0485fdc-4386-4abf-92e8-01cffdfdc47b"/>
    <ds:schemaRef ds:uri="http://purl.org/dc/elements/1.1/"/>
    <ds:schemaRef ds:uri="e9b0bac9-a1f2-4fcf-91d4-8be7934ce34f"/>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9CD330-CF07-424B-8C3B-FAE27609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85fdc-4386-4abf-92e8-01cffdfdc47b"/>
    <ds:schemaRef ds:uri="e9b0bac9-a1f2-4fcf-91d4-8be7934c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D5AF3-F248-4513-B3C0-90954C6BC21F}">
  <ds:schemaRefs>
    <ds:schemaRef ds:uri="http://schemas.microsoft.com/sharepoint/v3/contenttype/forms"/>
  </ds:schemaRefs>
</ds:datastoreItem>
</file>

<file path=customXml/itemProps4.xml><?xml version="1.0" encoding="utf-8"?>
<ds:datastoreItem xmlns:ds="http://schemas.openxmlformats.org/officeDocument/2006/customXml" ds:itemID="{DAB94AEA-B8A9-442C-97C7-340112FF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3501</Words>
  <Characters>19961</Characters>
  <Application>Microsoft Office Word</Application>
  <DocSecurity>0</DocSecurity>
  <Lines>166</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Davide Camplese</cp:lastModifiedBy>
  <cp:revision>21</cp:revision>
  <cp:lastPrinted>2024-03-13T10:23:00Z</cp:lastPrinted>
  <dcterms:created xsi:type="dcterms:W3CDTF">2024-03-13T10:33:00Z</dcterms:created>
  <dcterms:modified xsi:type="dcterms:W3CDTF">2024-04-04T07:16:00Z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0x01010040A037C793AF8641AD5887B608C535BC</vt:lpwstr>
  </property>
  <property fmtid="{D5CDD505-2E9C-101B-9397-08002B2CF9AE}" pid="5" name="Mendeley Document_1">
    <vt:lpwstr>True</vt:lpwstr>
  </property>
  <property fmtid="{D5CDD505-2E9C-101B-9397-08002B2CF9AE}" pid="6" name="Mendeley Unique User Id_1">
    <vt:lpwstr>604268a2-568e-3489-b3c1-2cacb0e21d2f</vt:lpwstr>
  </property>
  <property fmtid="{D5CDD505-2E9C-101B-9397-08002B2CF9AE}" pid="7" name="Mendeley Citation Style_1">
    <vt:lpwstr>http://www.zotero.org/styles/process-safety-and-environmental-protection</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11th edition - Harvard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9th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y fmtid="{D5CDD505-2E9C-101B-9397-08002B2CF9AE}" pid="26" name="Mendeley Recent Style Id 9_1">
    <vt:lpwstr>http://www.zotero.org/styles/process-safety-and-environmental-protection</vt:lpwstr>
  </property>
  <property fmtid="{D5CDD505-2E9C-101B-9397-08002B2CF9AE}" pid="27" name="Mendeley Recent Style Name 9_1">
    <vt:lpwstr>Process Safety and Environmental Protection</vt:lpwstr>
  </property>
</Properties>
</file>