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789.0" w:type="dxa"/>
        <w:jc w:val="center"/>
        <w:tblBorders>
          <w:bottom w:color="000000" w:space="0" w:sz="4" w:val="single"/>
        </w:tblBorders>
        <w:tblLayout w:type="fixed"/>
        <w:tblLook w:val="0000"/>
      </w:tblPr>
      <w:tblGrid>
        <w:gridCol w:w="6946"/>
        <w:gridCol w:w="1843"/>
        <w:tblGridChange w:id="0">
          <w:tblGrid>
            <w:gridCol w:w="6946"/>
            <w:gridCol w:w="1843"/>
          </w:tblGrid>
        </w:tblGridChange>
      </w:tblGrid>
      <w:tr>
        <w:trPr>
          <w:cantSplit w:val="0"/>
          <w:trHeight w:val="852" w:hRule="atLeast"/>
          <w:tblHeader w:val="0"/>
        </w:trPr>
        <w:tc>
          <w:tcPr>
            <w:vMerge w:val="restart"/>
            <w:tcBorders>
              <w:right w:color="000000" w:space="0" w:sz="4"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 w:val="left" w:leader="none" w:pos="-108"/>
              </w:tabs>
              <w:spacing w:after="0" w:before="0" w:line="264" w:lineRule="auto"/>
              <w:ind w:left="-108" w:right="0" w:firstLine="0"/>
              <w:jc w:val="left"/>
              <w:rPr>
                <w:rFonts w:ascii="Arial" w:cs="Arial" w:eastAsia="Arial" w:hAnsi="Arial"/>
                <w:b w:val="1"/>
                <w:i w:val="1"/>
                <w:smallCaps w:val="0"/>
                <w:strike w:val="0"/>
                <w:color w:val="000066"/>
                <w:sz w:val="12"/>
                <w:szCs w:val="12"/>
                <w:u w:val="none"/>
                <w:shd w:fill="auto" w:val="clear"/>
                <w:vertAlign w:val="baseline"/>
              </w:rPr>
            </w:pPr>
            <w:r w:rsidDel="00000000" w:rsidR="00000000" w:rsidRPr="00000000">
              <w:rPr>
                <w:rFonts w:ascii="AdvP6960" w:cs="AdvP6960" w:eastAsia="AdvP6960" w:hAnsi="AdvP6960"/>
                <w:b w:val="0"/>
                <w:i w:val="0"/>
                <w:smallCaps w:val="0"/>
                <w:strike w:val="0"/>
                <w:color w:val="241f20"/>
                <w:sz w:val="18"/>
                <w:szCs w:val="18"/>
                <w:u w:val="none"/>
                <w:shd w:fill="auto" w:val="clear"/>
                <w:vertAlign w:val="baseline"/>
              </w:rPr>
              <w:drawing>
                <wp:inline distB="0" distT="0" distL="0" distR="0">
                  <wp:extent cx="640080" cy="373380"/>
                  <wp:effectExtent b="0" l="0" r="0" t="0"/>
                  <wp:docPr descr="cetlogo" id="9" name="image2.png"/>
                  <a:graphic>
                    <a:graphicData uri="http://schemas.openxmlformats.org/drawingml/2006/picture">
                      <pic:pic>
                        <pic:nvPicPr>
                          <pic:cNvPr descr="cetlogo" id="0" name="image2.png"/>
                          <pic:cNvPicPr preferRelativeResize="0"/>
                        </pic:nvPicPr>
                        <pic:blipFill>
                          <a:blip r:embed="rId7"/>
                          <a:srcRect b="0" l="0" r="0" t="0"/>
                          <a:stretch>
                            <a:fillRect/>
                          </a:stretch>
                        </pic:blipFill>
                        <pic:spPr>
                          <a:xfrm>
                            <a:off x="0" y="0"/>
                            <a:ext cx="640080" cy="373380"/>
                          </a:xfrm>
                          <a:prstGeom prst="rect"/>
                          <a:ln/>
                        </pic:spPr>
                      </pic:pic>
                    </a:graphicData>
                  </a:graphic>
                </wp:inline>
              </w:drawing>
            </w:r>
            <w:r w:rsidDel="00000000" w:rsidR="00000000" w:rsidRPr="00000000">
              <w:rPr>
                <w:rFonts w:ascii="AdvP6960" w:cs="AdvP6960" w:eastAsia="AdvP6960" w:hAnsi="AdvP6960"/>
                <w:b w:val="0"/>
                <w:i w:val="0"/>
                <w:smallCaps w:val="0"/>
                <w:strike w:val="0"/>
                <w:color w:val="241f2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66"/>
                <w:sz w:val="24"/>
                <w:szCs w:val="24"/>
                <w:u w:val="none"/>
                <w:shd w:fill="auto" w:val="clear"/>
                <w:vertAlign w:val="baseline"/>
                <w:rtl w:val="0"/>
              </w:rPr>
              <w:t xml:space="preserve">CHEMICAL ENGINEERING</w:t>
            </w:r>
            <w:r w:rsidDel="00000000" w:rsidR="00000000" w:rsidRPr="00000000">
              <w:rPr>
                <w:rFonts w:ascii="Arial" w:cs="Arial" w:eastAsia="Arial" w:hAnsi="Arial"/>
                <w:b w:val="1"/>
                <w:i w:val="1"/>
                <w:smallCaps w:val="0"/>
                <w:strike w:val="0"/>
                <w:color w:val="0033ff"/>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666666"/>
                <w:sz w:val="24"/>
                <w:szCs w:val="24"/>
                <w:u w:val="none"/>
                <w:shd w:fill="auto" w:val="clear"/>
                <w:vertAlign w:val="baseline"/>
                <w:rtl w:val="0"/>
              </w:rPr>
              <w:t xml:space="preserve">TRANSACTIONS</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66"/>
                <w:sz w:val="27"/>
                <w:szCs w:val="27"/>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 w:val="left" w:leader="none" w:pos="-108"/>
              </w:tabs>
              <w:spacing w:after="0" w:before="0" w:line="264" w:lineRule="auto"/>
              <w:ind w:left="-108" w:right="0" w:firstLine="0"/>
              <w:jc w:val="both"/>
              <w:rPr>
                <w:rFonts w:ascii="Arial" w:cs="Arial" w:eastAsia="Arial" w:hAnsi="Arial"/>
                <w:b w:val="1"/>
                <w:i w:val="1"/>
                <w:smallCaps w:val="0"/>
                <w:strike w:val="0"/>
                <w:color w:val="000066"/>
                <w:sz w:val="22"/>
                <w:szCs w:val="22"/>
                <w:u w:val="none"/>
                <w:shd w:fill="auto" w:val="clear"/>
                <w:vertAlign w:val="baseline"/>
              </w:rPr>
            </w:pPr>
            <w:r w:rsidDel="00000000" w:rsidR="00000000" w:rsidRPr="00000000">
              <w:rPr>
                <w:rFonts w:ascii="Arial" w:cs="Arial" w:eastAsia="Arial" w:hAnsi="Arial"/>
                <w:b w:val="1"/>
                <w:i w:val="1"/>
                <w:smallCaps w:val="0"/>
                <w:strike w:val="0"/>
                <w:color w:val="000066"/>
                <w:sz w:val="22"/>
                <w:szCs w:val="22"/>
                <w:u w:val="none"/>
                <w:shd w:fill="auto" w:val="clear"/>
                <w:vertAlign w:val="baseline"/>
                <w:rtl w:val="0"/>
              </w:rPr>
              <w:t xml:space="preserve">VOL. xxx, 2024</w:t>
            </w:r>
          </w:p>
        </w:tc>
        <w:tc>
          <w:tcPr>
            <w:tcBorders>
              <w:left w:color="000000" w:space="0" w:sz="4" w:val="single"/>
              <w:bottom w:color="000000" w:space="0" w:sz="0" w:val="nil"/>
              <w:right w:color="000000" w:space="0" w:sz="4" w:val="single"/>
            </w:tcBorders>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64" w:lineRule="auto"/>
              <w:ind w:left="0" w:right="0" w:firstLine="0"/>
              <w:jc w:val="righ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 publication of</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64"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670560" cy="358140"/>
                  <wp:effectExtent b="0" l="0" r="0" t="0"/>
                  <wp:docPr descr="aidiclogo_grande" id="10" name="image1.png"/>
                  <a:graphic>
                    <a:graphicData uri="http://schemas.openxmlformats.org/drawingml/2006/picture">
                      <pic:pic>
                        <pic:nvPicPr>
                          <pic:cNvPr descr="aidiclogo_grande" id="0" name="image1.png"/>
                          <pic:cNvPicPr preferRelativeResize="0"/>
                        </pic:nvPicPr>
                        <pic:blipFill>
                          <a:blip r:embed="rId8"/>
                          <a:srcRect b="0" l="0" r="0" t="0"/>
                          <a:stretch>
                            <a:fillRect/>
                          </a:stretch>
                        </pic:blipFill>
                        <pic:spPr>
                          <a:xfrm>
                            <a:off x="0" y="0"/>
                            <a:ext cx="670560" cy="358140"/>
                          </a:xfrm>
                          <a:prstGeom prst="rect"/>
                          <a:ln/>
                        </pic:spPr>
                      </pic:pic>
                    </a:graphicData>
                  </a:graphic>
                </wp:inline>
              </w:drawing>
            </w:r>
            <w:r w:rsidDel="00000000" w:rsidR="00000000" w:rsidRPr="00000000">
              <w:rPr>
                <w:rtl w:val="0"/>
              </w:rPr>
            </w:r>
          </w:p>
        </w:tc>
      </w:tr>
      <w:tr>
        <w:trPr>
          <w:cantSplit w:val="0"/>
          <w:trHeight w:val="567" w:hRule="atLeast"/>
          <w:tblHeader w:val="0"/>
        </w:trPr>
        <w:tc>
          <w:tcPr>
            <w:vMerge w:val="continue"/>
            <w:tcBorders>
              <w:right w:color="000000" w:space="0" w:sz="4"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0" w:val="nil"/>
              <w:right w:color="000000" w:space="0" w:sz="4" w:val="single"/>
            </w:tcBorders>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64" w:lineRule="auto"/>
              <w:ind w:left="0" w:right="0" w:firstLine="0"/>
              <w:jc w:val="righ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The Italian Association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64" w:lineRule="auto"/>
              <w:ind w:left="0" w:right="0" w:firstLine="0"/>
              <w:jc w:val="righ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of Chemical Engineering</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64" w:lineRule="auto"/>
              <w:ind w:left="0" w:right="0" w:firstLine="0"/>
              <w:jc w:val="righ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3"/>
                <w:szCs w:val="13"/>
                <w:u w:val="none"/>
                <w:shd w:fill="auto" w:val="clear"/>
                <w:vertAlign w:val="baseline"/>
                <w:rtl w:val="0"/>
              </w:rPr>
              <w:t xml:space="preserve">Online at www.cetjournal.it</w:t>
            </w:r>
          </w:p>
        </w:tc>
      </w:tr>
      <w:tr>
        <w:trPr>
          <w:cantSplit w:val="0"/>
          <w:trHeight w:val="68" w:hRule="atLeast"/>
          <w:tblHeader w:val="0"/>
        </w:trPr>
        <w:tc>
          <w:tcPr>
            <w:gridSpan w:val="2"/>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64" w:lineRule="auto"/>
              <w:ind w:left="-107"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333333"/>
                <w:sz w:val="14"/>
                <w:szCs w:val="14"/>
                <w:u w:val="none"/>
                <w:shd w:fill="auto" w:val="clear"/>
                <w:vertAlign w:val="baseline"/>
                <w:rtl w:val="0"/>
              </w:rPr>
              <w:t xml:space="preserve">Guest Editors: </w:t>
            </w:r>
            <w:r w:rsidDel="00000000" w:rsidR="00000000" w:rsidRPr="00000000">
              <w:rPr>
                <w:rFonts w:ascii="Tahoma" w:cs="Tahoma" w:eastAsia="Tahoma" w:hAnsi="Tahoma"/>
                <w:b w:val="0"/>
                <w:i w:val="0"/>
                <w:smallCaps w:val="0"/>
                <w:strike w:val="0"/>
                <w:color w:val="000000"/>
                <w:sz w:val="14"/>
                <w:szCs w:val="14"/>
                <w:highlight w:val="white"/>
                <w:u w:val="none"/>
                <w:vertAlign w:val="baseline"/>
                <w:rtl w:val="0"/>
              </w:rPr>
              <w:t xml:space="preserve">Valerio Cozzani, Bruno Fabiano,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Genserik Reniers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 w:val="left" w:leader="none" w:pos="-108"/>
              </w:tabs>
              <w:spacing w:after="0" w:before="0" w:line="264" w:lineRule="auto"/>
              <w:ind w:left="-1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333333"/>
                <w:sz w:val="14"/>
                <w:szCs w:val="14"/>
                <w:u w:val="none"/>
                <w:shd w:fill="auto" w:val="clear"/>
                <w:vertAlign w:val="baseline"/>
                <w:rtl w:val="0"/>
              </w:rPr>
              <w:t xml:space="preserve">Copyright © 2024, AIDIC Servizi S.r.l.</w:t>
              <w:br w:type="textWrapping"/>
            </w:r>
            <w:r w:rsidDel="00000000" w:rsidR="00000000" w:rsidRPr="00000000">
              <w:rPr>
                <w:rFonts w:ascii="Tahoma" w:cs="Tahoma" w:eastAsia="Tahoma" w:hAnsi="Tahoma"/>
                <w:b w:val="1"/>
                <w:i w:val="0"/>
                <w:smallCaps w:val="0"/>
                <w:strike w:val="0"/>
                <w:color w:val="000000"/>
                <w:sz w:val="14"/>
                <w:szCs w:val="14"/>
                <w:u w:val="none"/>
                <w:shd w:fill="auto" w:val="clear"/>
                <w:vertAlign w:val="baseline"/>
                <w:rtl w:val="0"/>
              </w:rPr>
              <w:t xml:space="preserve">ISBN</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979-12-81206-11-3</w:t>
            </w:r>
            <w:r w:rsidDel="00000000" w:rsidR="00000000" w:rsidRPr="00000000">
              <w:rPr>
                <w:rFonts w:ascii="Tahoma" w:cs="Tahoma" w:eastAsia="Tahoma" w:hAnsi="Tahoma"/>
                <w:b w:val="0"/>
                <w:i w:val="0"/>
                <w:smallCaps w:val="0"/>
                <w:strike w:val="0"/>
                <w:color w:val="333333"/>
                <w:sz w:val="14"/>
                <w:szCs w:val="1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333333"/>
                <w:sz w:val="14"/>
                <w:szCs w:val="14"/>
                <w:u w:val="none"/>
                <w:shd w:fill="auto" w:val="clear"/>
                <w:vertAlign w:val="baseline"/>
                <w:rtl w:val="0"/>
              </w:rPr>
              <w:t xml:space="preserve">ISSN</w:t>
            </w:r>
            <w:r w:rsidDel="00000000" w:rsidR="00000000" w:rsidRPr="00000000">
              <w:rPr>
                <w:rFonts w:ascii="Tahoma" w:cs="Tahoma" w:eastAsia="Tahoma" w:hAnsi="Tahoma"/>
                <w:b w:val="0"/>
                <w:i w:val="0"/>
                <w:smallCaps w:val="0"/>
                <w:strike w:val="0"/>
                <w:color w:val="333333"/>
                <w:sz w:val="14"/>
                <w:szCs w:val="14"/>
                <w:u w:val="none"/>
                <w:shd w:fill="auto" w:val="clear"/>
                <w:vertAlign w:val="baseline"/>
                <w:rtl w:val="0"/>
              </w:rPr>
              <w:t xml:space="preserve"> 2283-9216</w:t>
            </w:r>
            <w:r w:rsidDel="00000000" w:rsidR="00000000" w:rsidRPr="00000000">
              <w:rPr>
                <w:rtl w:val="0"/>
              </w:rPr>
            </w:r>
          </w:p>
        </w:tc>
      </w:tr>
    </w:tbl>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120" w:before="0" w:line="264"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footerReference r:id="rId9" w:type="first"/>
          <w:pgSz w:h="16838" w:w="11906" w:orient="portrait"/>
          <w:pgMar w:bottom="1701" w:top="1701" w:left="1701" w:right="1418" w:header="1701" w:footer="0"/>
          <w:pgNumType w:start="1"/>
          <w:titlePg w:val="1"/>
        </w:sect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New projects related to green transition in Emilia Romagna region: safety challenges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120" w:before="0" w:line="264"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Alessia Lambertini, Eliana Sabbioni, Valentino Gennari </w:t>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120" w:before="0" w:line="264"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a</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Arpae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Emilia Romagna, Presidio Tematico Regionale Impianti a rischio di incidente rilevante, Largo Caduti del Lavoro, 6 - Bologna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24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hyperlink r:id="rId10">
        <w:r w:rsidDel="00000000" w:rsidR="00000000" w:rsidRPr="00000000">
          <w:rPr>
            <w:rFonts w:ascii="Arial" w:cs="Arial" w:eastAsia="Arial" w:hAnsi="Arial"/>
            <w:b w:val="0"/>
            <w:i w:val="0"/>
            <w:smallCaps w:val="0"/>
            <w:strike w:val="0"/>
            <w:color w:val="1155cc"/>
            <w:sz w:val="16"/>
            <w:szCs w:val="16"/>
            <w:u w:val="single"/>
            <w:shd w:fill="auto" w:val="clear"/>
            <w:vertAlign w:val="baseline"/>
            <w:rtl w:val="0"/>
          </w:rPr>
          <w:t xml:space="preserve">alambertini@arpae.it</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t xml:space="preserve">The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European Commission REPowerEU plan accelerates diversification and </w:t>
      </w:r>
      <w:r w:rsidDel="00000000" w:rsidR="00000000" w:rsidRPr="00000000">
        <w:rPr>
          <w:rtl w:val="0"/>
        </w:rPr>
        <w:t xml:space="preserve">use of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renewable gases, frontloads energy savings and electrification reducing European dependence on Russian fossil fuels.</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green transformation of the energy system will </w:t>
      </w:r>
      <w:r w:rsidDel="00000000" w:rsidR="00000000" w:rsidRPr="00000000">
        <w:rPr>
          <w:rtl w:val="0"/>
        </w:rPr>
        <w:t xml:space="preserve">bring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Europe towards climate neutrality by 2050.</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Construction of several new liquefied natural gas (LNG) terminals has begun in the European Union to increase gas imports from other countries. LNG, despite being a planet-warming fossil fuel with an elevated carbon footprint, is a cleaner alternative to oil and coal and so it is considered as a “bridge fuel” necessary as a short-term alternative. In Italy new projects for floating storage and regasification units</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(FSRU) are increasing. About renewables, in addition to wind and solar, geothermal energy could be also expanded. Last but not least, green hydrogen generated by electrolytic processes powered by renewable sources is a climate-friendly alternative </w:t>
      </w:r>
      <w:r w:rsidDel="00000000" w:rsidR="00000000" w:rsidRPr="00000000">
        <w:rPr>
          <w:rtl w:val="0"/>
        </w:rPr>
        <w:t xml:space="preserve">that could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replace natural gas, coal and oil in hard-to-abate industries and transport.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the Emilia Romagna region in recent years several projects related to green transition have been proposed. Among them a small scale LNG onshore storage, an offshore LNG FSRU, one green hydrogen production plan</w:t>
      </w:r>
      <w:r w:rsidDel="00000000" w:rsidR="00000000" w:rsidRPr="00000000">
        <w:rPr>
          <w:rtl w:val="0"/>
        </w:rPr>
        <w:t xml:space="preserve">t</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two projects about geothermal Organic Rankine Cycle (ORC)</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These projects are under Seveso III Directive due to the presence of dangerous substances: LNG, hydrogen and LPG (butane/isobutane) in ORC plants. All these projects will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contribute reducing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emissions, but also safety aspects must be considered.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Scope of this work is to describe main characteristics of these major hazard installations and relative risk assessment in order to share experience for the future. Top events and accident scenarios identification and  prevention and protection measures description could help authorities to better understand safety issues about these projects during the authorization process.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7">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7100"/>
          <w:tab w:val="right" w:leader="none" w:pos="7100"/>
        </w:tabs>
        <w:spacing w:after="120" w:before="240" w:line="240" w:lineRule="auto"/>
        <w:ind w:left="283.4645669291339" w:right="0" w:hanging="283.4645669291339"/>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Paris Climate Agreement adopted at United Nations Framework Convention on Climate Change COP 21 (UN, 2015) in order to limit the global warming between 1.5°C and 2°C compared to pre-industrial levels, invited Parties to submit by 2020 their "Long-term low greenhouse gas emission development strategies" of at least 30 years.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Striving to be the first climate-neutral continent, the European Union (EU) is promoting a structural change in the energy sector</w:t>
      </w:r>
      <w:r w:rsidDel="00000000" w:rsidR="00000000" w:rsidRPr="00000000">
        <w:rPr>
          <w:rtl w:val="0"/>
        </w:rPr>
        <w:t xml:space="preserve">, in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particular in industrial and civil electrical/thermal sectors and transports (The European Green Deal, EU 2019).</w:t>
      </w:r>
      <w:r w:rsidDel="00000000" w:rsidR="00000000" w:rsidRPr="00000000">
        <w:rPr>
          <w:rtl w:val="0"/>
        </w:rPr>
        <w:t xml:space="preserve"> A first step is reducing n</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et greenhouse gas emissions by at least 55% </w:t>
      </w:r>
      <w:r w:rsidDel="00000000" w:rsidR="00000000" w:rsidRPr="00000000">
        <w:rPr>
          <w:rtl w:val="0"/>
        </w:rPr>
        <w:t xml:space="preserve">before 1990 levels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by the end of 2030, introduc</w:t>
      </w:r>
      <w:r w:rsidDel="00000000" w:rsidR="00000000" w:rsidRPr="00000000">
        <w:rPr>
          <w:rtl w:val="0"/>
        </w:rPr>
        <w:t xml:space="preserve">ing the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so called </w:t>
      </w:r>
      <w:hyperlink r:id="rId11">
        <w:r w:rsidDel="00000000" w:rsidR="00000000" w:rsidRPr="00000000">
          <w:rPr>
            <w:rFonts w:ascii="Arial" w:cs="Arial" w:eastAsia="Arial" w:hAnsi="Arial"/>
            <w:b w:val="0"/>
            <w:i w:val="0"/>
            <w:smallCaps w:val="0"/>
            <w:strike w:val="0"/>
            <w:color w:val="000000"/>
            <w:sz w:val="18"/>
            <w:szCs w:val="18"/>
            <w:u w:val="none"/>
            <w:vertAlign w:val="baseline"/>
            <w:rtl w:val="0"/>
          </w:rPr>
          <w:t xml:space="preserve">‘Fit for 55’ legislation</w:t>
        </w:r>
      </w:hyperlink>
      <w:r w:rsidDel="00000000" w:rsidR="00000000" w:rsidRPr="00000000">
        <w:rPr>
          <w:rFonts w:ascii="Arial" w:cs="Arial" w:eastAsia="Arial" w:hAnsi="Arial"/>
          <w:b w:val="0"/>
          <w:i w:val="0"/>
          <w:smallCaps w:val="0"/>
          <w:strike w:val="0"/>
          <w:color w:val="000000"/>
          <w:sz w:val="18"/>
          <w:szCs w:val="18"/>
          <w:u w:val="none"/>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The previous Alternative Fuels Infrastructure Directive (AFID, EC 2014) for the creation of an infrastructure for alternatives to fossil fuels in order to reduce emissions in land and maritime transport sector, </w:t>
      </w:r>
      <w:r w:rsidDel="00000000" w:rsidR="00000000" w:rsidRPr="00000000">
        <w:rPr>
          <w:rtl w:val="0"/>
        </w:rPr>
        <w:t xml:space="preserve">is increasing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natural gas storage (including biomethane) and distribution plants both in compressed and liquefied form (CNG and LNG).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2022 EU presented its response to global energy market disruption caused by Russia's invasion of Ukraine with the scope of ending dependence on Russian fossil fuels and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facing climate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crisis (</w:t>
      </w:r>
      <w:hyperlink r:id="rId12">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REPowerEU Plan</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EC 2022). The plan includes actions to reduce energy consumption, diversifying supplies, quickly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replac</w:t>
      </w:r>
      <w:r w:rsidDel="00000000" w:rsidR="00000000" w:rsidRPr="00000000">
        <w:rPr>
          <w:rtl w:val="0"/>
        </w:rPr>
        <w:t xml:space="preserve">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fossil fuels, accelerating energy transition and promot</w:t>
      </w:r>
      <w:r w:rsidDel="00000000" w:rsidR="00000000" w:rsidRPr="00000000">
        <w:rPr>
          <w:rtl w:val="0"/>
        </w:rPr>
        <w:t xml:space="preserve">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investments, in parallel with the development of a proper regulatory framework.</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Italy several projects related to green transition have been proposed in </w:t>
      </w:r>
      <w:r w:rsidDel="00000000" w:rsidR="00000000" w:rsidRPr="00000000">
        <w:rPr>
          <w:rtl w:val="0"/>
        </w:rPr>
        <w:t xml:space="preserve">recent</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years. Some of these projects could be subjected to Seveso III legislation and its Italian transposition, Legislative Decree n.105/2015, due to the presence of dangerous substances: LNG, hydrogen, biofuels and working fluids in geothermal ORC plants as light hydrocarbons. All these projects will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contribute reducing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emissions, but safety aspects must be properly evaluated.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Green transition projects under Seveso Directive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Based on t</w:t>
      </w:r>
      <w:r w:rsidDel="00000000" w:rsidR="00000000" w:rsidRPr="00000000">
        <w:rPr>
          <w:rtl w:val="0"/>
        </w:rPr>
        <w:t xml:space="preserve">he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criteria of </w:t>
      </w:r>
      <w:r w:rsidDel="00000000" w:rsidR="00000000" w:rsidRPr="00000000">
        <w:rPr>
          <w:rtl w:val="0"/>
        </w:rPr>
        <w:t xml:space="preserve">c</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lassification, </w:t>
      </w:r>
      <w:r w:rsidDel="00000000" w:rsidR="00000000" w:rsidRPr="00000000">
        <w:rPr>
          <w:rtl w:val="0"/>
        </w:rPr>
        <w:t xml:space="preserve">labelling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and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ackaging of </w:t>
      </w:r>
      <w:r w:rsidDel="00000000" w:rsidR="00000000" w:rsidRPr="00000000">
        <w:rPr>
          <w:rtl w:val="0"/>
        </w:rPr>
        <w:t xml:space="preserv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ubstances and </w:t>
      </w:r>
      <w:r w:rsidDel="00000000" w:rsidR="00000000" w:rsidRPr="00000000">
        <w:rPr>
          <w:rtl w:val="0"/>
        </w:rPr>
        <w:t xml:space="preserve">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ixtures ( EU </w:t>
      </w:r>
      <w:r w:rsidDel="00000000" w:rsidR="00000000" w:rsidRPr="00000000">
        <w:rPr>
          <w:rtl w:val="0"/>
        </w:rPr>
        <w:t xml:space="preserve">CLP</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2008), some installations could be </w:t>
      </w:r>
      <w:r w:rsidDel="00000000" w:rsidR="00000000" w:rsidRPr="00000000">
        <w:rPr>
          <w:rtl w:val="0"/>
        </w:rPr>
        <w:t xml:space="preserve">under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major accident hazard accident prevention legislation</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t xml:space="preserve">I</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 case of presence of dangerous substances</w:t>
      </w:r>
      <w:r w:rsidDel="00000000" w:rsidR="00000000" w:rsidRPr="00000000">
        <w:rPr>
          <w:rtl w:val="0"/>
        </w:rPr>
        <w:t xml:space="preserve"> in storage and production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exceeding qualifying quantities indicated in Seveso III Directive Annex</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1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for lower </w:t>
      </w:r>
      <w:r w:rsidDel="00000000" w:rsidR="00000000" w:rsidRPr="00000000">
        <w:rPr>
          <w:rtl w:val="0"/>
        </w:rPr>
        <w:t xml:space="preserve">and</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upper tier requirements.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A list of typical substances that could be involved in green transition projects and relative requirements to fall un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der Seveso Directive are proposed in Table 1.</w:t>
      </w:r>
    </w:p>
    <w:p w:rsidR="00000000" w:rsidDel="00000000" w:rsidP="00000000" w:rsidRDefault="00000000" w:rsidRPr="00000000" w14:paraId="0000001F">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80" w:before="24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Table 1: List of substances involved in green transition projects</w:t>
      </w:r>
    </w:p>
    <w:tbl>
      <w:tblPr>
        <w:tblStyle w:val="Table2"/>
        <w:tblW w:w="8730.0" w:type="dxa"/>
        <w:jc w:val="left"/>
        <w:tblInd w:w="-62.0" w:type="dxa"/>
        <w:tblLayout w:type="fixed"/>
        <w:tblLook w:val="0000"/>
      </w:tblPr>
      <w:tblGrid>
        <w:gridCol w:w="2025"/>
        <w:gridCol w:w="3690"/>
        <w:gridCol w:w="1500"/>
        <w:gridCol w:w="1515"/>
        <w:tblGridChange w:id="0">
          <w:tblGrid>
            <w:gridCol w:w="2025"/>
            <w:gridCol w:w="3690"/>
            <w:gridCol w:w="1500"/>
            <w:gridCol w:w="1515"/>
          </w:tblGrid>
        </w:tblGridChange>
      </w:tblGrid>
      <w:tr>
        <w:trPr>
          <w:cantSplit w:val="0"/>
          <w:tblHeader w:val="0"/>
        </w:trPr>
        <w:tc>
          <w:tcPr>
            <w:tcBorders>
              <w:top w:color="008000" w:space="0" w:sz="12" w:val="single"/>
              <w:left w:color="ffffff" w:space="0" w:sz="8" w:val="single"/>
              <w:bottom w:color="008000" w:space="0" w:sz="8" w:val="single"/>
              <w:right w:color="ffffff" w:space="0" w:sz="8" w:val="single"/>
            </w:tcBorders>
            <w:tcMar>
              <w:top w:w="0.0" w:type="dxa"/>
              <w:left w:w="40.0" w:type="dxa"/>
              <w:bottom w:w="0.0" w:type="dxa"/>
              <w:right w:w="40.0" w:type="dxa"/>
            </w:tcM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Substances</w:t>
            </w:r>
          </w:p>
        </w:tc>
        <w:tc>
          <w:tcPr>
            <w:tcBorders>
              <w:top w:color="008000" w:space="0" w:sz="12" w:val="single"/>
              <w:left w:color="ffffff" w:space="0" w:sz="8" w:val="single"/>
              <w:bottom w:color="008000" w:space="0" w:sz="8" w:val="single"/>
              <w:right w:color="ffffff" w:space="0" w:sz="8" w:val="single"/>
            </w:tcBorders>
            <w:tcMar>
              <w:top w:w="0.0" w:type="dxa"/>
              <w:left w:w="40.0" w:type="dxa"/>
              <w:bottom w:w="0.0" w:type="dxa"/>
              <w:right w:w="40.0" w:type="dxa"/>
            </w:tcMa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71" w:right="1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Named dangerous substances Annex I </w:t>
            </w:r>
          </w:p>
        </w:tc>
        <w:tc>
          <w:tcPr>
            <w:tcBorders>
              <w:top w:color="008000" w:space="0" w:sz="12" w:val="single"/>
              <w:left w:color="ffffff" w:space="0" w:sz="8" w:val="single"/>
              <w:bottom w:color="008000" w:space="0" w:sz="8" w:val="single"/>
              <w:right w:color="ffffff" w:space="0" w:sz="6" w:val="single"/>
            </w:tcBorders>
            <w:tcMar>
              <w:top w:w="0.0" w:type="dxa"/>
              <w:left w:w="40.0" w:type="dxa"/>
              <w:bottom w:w="0.0" w:type="dxa"/>
              <w:right w:w="40.0" w:type="dxa"/>
            </w:tcMa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654" w:right="-19.133858267717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Lower tier requirements (t)</w:t>
            </w:r>
          </w:p>
        </w:tc>
        <w:tc>
          <w:tcPr>
            <w:tcBorders>
              <w:top w:color="008000" w:space="0" w:sz="12" w:val="single"/>
              <w:left w:color="ffffff" w:space="0" w:sz="8" w:val="single"/>
              <w:bottom w:color="008000" w:space="0" w:sz="8" w:val="single"/>
              <w:right w:color="ffffff" w:space="0" w:sz="6" w:val="single"/>
            </w:tcBorders>
            <w:tcMar>
              <w:top w:w="0.0" w:type="dxa"/>
              <w:left w:w="40.0" w:type="dxa"/>
              <w:bottom w:w="0.0" w:type="dxa"/>
              <w:right w:w="40.0" w:type="dxa"/>
            </w:tcMar>
          </w:tcPr>
          <w:p w:rsidR="00000000" w:rsidDel="00000000" w:rsidP="00000000" w:rsidRDefault="00000000" w:rsidRPr="00000000" w14:paraId="00000023">
            <w:pPr>
              <w:widowControl w:val="0"/>
              <w:tabs>
                <w:tab w:val="right" w:leader="none" w:pos="7100"/>
                <w:tab w:val="right" w:leader="none" w:pos="7100"/>
              </w:tabs>
              <w:spacing w:line="276" w:lineRule="auto"/>
              <w:ind w:left="141.73228346456654" w:right="-63.18897637795203" w:firstLine="0"/>
              <w:jc w:val="left"/>
              <w:rPr/>
            </w:pPr>
            <w:r w:rsidDel="00000000" w:rsidR="00000000" w:rsidRPr="00000000">
              <w:rPr>
                <w:rtl w:val="0"/>
              </w:rPr>
              <w:t xml:space="preserve"> Upper tier requirements (t)</w:t>
            </w:r>
          </w:p>
        </w:tc>
      </w:tr>
      <w:tr>
        <w:trPr>
          <w:cantSplit w:val="0"/>
          <w:trHeight w:val="235" w:hRule="atLeast"/>
          <w:tblHeader w:val="0"/>
        </w:trPr>
        <w:tc>
          <w:tcPr>
            <w:tcBorders>
              <w:top w:color="008000" w:space="0" w:sz="8"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Liquefied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natural gas (LNG) </w:t>
            </w:r>
          </w:p>
        </w:tc>
        <w:tc>
          <w:tcPr>
            <w:tcBorders>
              <w:top w:color="008000" w:space="0" w:sz="8"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 Liquefied flammable gases, Category 1 or 2 (including LPG) and natural gas</w:t>
            </w:r>
          </w:p>
        </w:tc>
        <w:tc>
          <w:tcPr>
            <w:tcBorders>
              <w:top w:color="008000" w:space="0" w:sz="8"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046" w:right="84.2125984251964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w:t>
            </w:r>
          </w:p>
        </w:tc>
        <w:tc>
          <w:tcPr>
            <w:tcBorders>
              <w:top w:color="008000" w:space="0" w:sz="8"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13" w:right="-130.9842519685031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200</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Green hydrogen</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 Hydrogen</w:t>
            </w:r>
            <w:r w:rsidDel="00000000" w:rsidR="00000000" w:rsidRPr="00000000">
              <w:rPr>
                <w:rtl w:val="0"/>
              </w:rPr>
              <w:t xml:space="preserve"> </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046" w:right="84.2125984251964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13" w:right="-130.9842519685031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Geothermal </w:t>
            </w:r>
            <w:r w:rsidDel="00000000" w:rsidR="00000000" w:rsidRPr="00000000">
              <w:rPr>
                <w:rtl w:val="0"/>
              </w:rPr>
              <w:t xml:space="preserve">ORC</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Working fluid </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 Liquefied flammable gases, Category 1 or 2 (including LPG) and natural gas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046" w:right="84.2125984251964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13" w:right="-130.9842519685031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200</w:t>
            </w:r>
          </w:p>
        </w:tc>
      </w:tr>
      <w:tr>
        <w:trPr>
          <w:cantSplit w:val="0"/>
          <w:tblHeader w:val="0"/>
        </w:trPr>
        <w:tc>
          <w:tcPr>
            <w:tcBorders>
              <w:top w:color="ffffff" w:space="0" w:sz="6" w:val="single"/>
              <w:left w:color="ffffff" w:space="0" w:sz="6" w:val="single"/>
              <w:bottom w:color="000000" w:space="0" w:sz="0" w:val="nil"/>
              <w:right w:color="ffffff" w:space="0" w:sz="6" w:val="single"/>
            </w:tcBorders>
            <w:tcMar>
              <w:top w:w="0.0" w:type="dxa"/>
              <w:left w:w="40.0" w:type="dxa"/>
              <w:bottom w:w="0.0" w:type="dxa"/>
              <w:right w:w="40.0" w:type="dxa"/>
            </w:tcMa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Biofuels </w:t>
            </w:r>
          </w:p>
        </w:tc>
        <w:tc>
          <w:tcPr>
            <w:tcBorders>
              <w:top w:color="ffffff" w:space="0" w:sz="6" w:val="single"/>
              <w:left w:color="ffffff" w:space="0" w:sz="6" w:val="single"/>
              <w:bottom w:color="000000" w:space="0" w:sz="0" w:val="nil"/>
              <w:right w:color="ffffff" w:space="0" w:sz="6" w:val="single"/>
            </w:tcBorders>
            <w:tcMar>
              <w:top w:w="0.0" w:type="dxa"/>
              <w:left w:w="40.0" w:type="dxa"/>
              <w:bottom w:w="0.0" w:type="dxa"/>
              <w:right w:w="40.0" w:type="dxa"/>
            </w:tcMa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52.4409448818897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34. Petroleum products and alternative fuels</w:t>
            </w:r>
          </w:p>
        </w:tc>
        <w:tc>
          <w:tcPr>
            <w:tcBorders>
              <w:top w:color="ffffff" w:space="0" w:sz="6" w:val="single"/>
              <w:left w:color="ffffff" w:space="0" w:sz="6" w:val="single"/>
              <w:bottom w:color="000000" w:space="0" w:sz="0" w:val="nil"/>
              <w:right w:color="ffffff" w:space="0" w:sz="6" w:val="single"/>
            </w:tcBorders>
            <w:tcMar>
              <w:top w:w="0.0" w:type="dxa"/>
              <w:left w:w="40.0" w:type="dxa"/>
              <w:bottom w:w="0.0" w:type="dxa"/>
              <w:right w:w="40.0" w:type="dxa"/>
            </w:tcM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046" w:right="84.2125984251964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2500</w:t>
            </w:r>
          </w:p>
        </w:tc>
        <w:tc>
          <w:tcPr>
            <w:tcBorders>
              <w:top w:color="ffffff" w:space="0" w:sz="6" w:val="single"/>
              <w:left w:color="ffffff" w:space="0" w:sz="6" w:val="single"/>
              <w:bottom w:color="000000" w:space="0" w:sz="0" w:val="nil"/>
              <w:right w:color="ffffff" w:space="0" w:sz="6" w:val="single"/>
            </w:tcBorders>
            <w:tcMar>
              <w:top w:w="0.0" w:type="dxa"/>
              <w:left w:w="40.0" w:type="dxa"/>
              <w:bottom w:w="0.0" w:type="dxa"/>
              <w:right w:w="40.0" w:type="dxa"/>
            </w:tcMa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13" w:right="-130.9842519685031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25000</w:t>
            </w:r>
          </w:p>
        </w:tc>
      </w:tr>
      <w:tr>
        <w:trPr>
          <w:cantSplit w:val="0"/>
          <w:tblHeader w:val="0"/>
        </w:trPr>
        <w:tc>
          <w:tcPr>
            <w:tcBorders>
              <w:top w:color="000000" w:space="0" w:sz="0" w:val="nil"/>
              <w:left w:color="ffffff" w:space="0" w:sz="6" w:val="single"/>
              <w:bottom w:color="008000" w:space="0" w:sz="12" w:val="single"/>
              <w:right w:color="ffffff" w:space="0" w:sz="6" w:val="single"/>
            </w:tcBorders>
            <w:tcMar>
              <w:top w:w="0.0" w:type="dxa"/>
              <w:left w:w="40.0" w:type="dxa"/>
              <w:bottom w:w="0.0" w:type="dxa"/>
              <w:right w:w="40.0" w:type="dxa"/>
            </w:tcMa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Upgraded biogas </w:t>
            </w:r>
          </w:p>
        </w:tc>
        <w:tc>
          <w:tcPr>
            <w:tcBorders>
              <w:top w:color="000000" w:space="0" w:sz="0" w:val="nil"/>
              <w:left w:color="ffffff" w:space="0" w:sz="6" w:val="single"/>
              <w:bottom w:color="008000" w:space="0" w:sz="12" w:val="single"/>
              <w:right w:color="ffffff" w:space="0" w:sz="6" w:val="single"/>
            </w:tcBorders>
            <w:tcMar>
              <w:top w:w="0.0" w:type="dxa"/>
              <w:left w:w="40.0" w:type="dxa"/>
              <w:bottom w:w="0.0" w:type="dxa"/>
              <w:right w:w="40.0" w:type="dxa"/>
            </w:tcMa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 Liquefied flammable gases, Category 1 or 2 (including LPG) and natural gas</w:t>
            </w:r>
          </w:p>
        </w:tc>
        <w:tc>
          <w:tcPr>
            <w:tcBorders>
              <w:top w:color="000000" w:space="0" w:sz="0" w:val="nil"/>
              <w:left w:color="ffffff" w:space="0" w:sz="6" w:val="single"/>
              <w:bottom w:color="008000" w:space="0" w:sz="12" w:val="single"/>
              <w:right w:color="ffffff" w:space="0" w:sz="6" w:val="single"/>
            </w:tcBorders>
            <w:tcMar>
              <w:top w:w="0.0" w:type="dxa"/>
              <w:left w:w="40.0" w:type="dxa"/>
              <w:bottom w:w="0.0" w:type="dxa"/>
              <w:right w:w="40.0" w:type="dxa"/>
            </w:tcMa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046" w:right="84.2125984251964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w:t>
            </w:r>
          </w:p>
        </w:tc>
        <w:tc>
          <w:tcPr>
            <w:tcBorders>
              <w:top w:color="000000" w:space="0" w:sz="0" w:val="nil"/>
              <w:left w:color="ffffff" w:space="0" w:sz="6" w:val="single"/>
              <w:bottom w:color="008000" w:space="0" w:sz="12" w:val="single"/>
              <w:right w:color="ffffff" w:space="0" w:sz="6" w:val="single"/>
            </w:tcBorders>
            <w:tcMar>
              <w:top w:w="0.0" w:type="dxa"/>
              <w:left w:w="40.0" w:type="dxa"/>
              <w:bottom w:w="0.0" w:type="dxa"/>
              <w:right w:w="40.0" w:type="dxa"/>
            </w:tcMa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425.1968503937013" w:right="-130.9842519685031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200</w:t>
            </w:r>
          </w:p>
        </w:tc>
      </w:tr>
    </w:tb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2.1. LNG Storage and regasification terminals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Coastal liquefied natural gas storage depots known as "Small Scale LNG" and regasification plants on land, offshore or on particular ships called "floating storage and regasification units" (FSRU)</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commonly fall under Seveso III legislation.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Small Scale LNG storages, unlike regasification plants, natural gas is maintained in liqu</w:t>
      </w:r>
      <w:r w:rsidDel="00000000" w:rsidR="00000000" w:rsidRPr="00000000">
        <w:rPr>
          <w:rtl w:val="0"/>
        </w:rPr>
        <w:t xml:space="preserve">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fied state without regasification phase and is stored before being transferred to road/railway tankers, </w:t>
      </w:r>
      <w:r w:rsidDel="00000000" w:rsidR="00000000" w:rsidRPr="00000000">
        <w:rPr>
          <w:rtl w:val="0"/>
        </w:rPr>
        <w:t xml:space="preserve">refuelling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systems for LNG or CNG powered vehicles, or even methane pipelines for the supply of civil and industrial gas users.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Regasification terminals can be off-shore or on-shore. On-shore plants are normally built in port facilities, to take advantage of technical and logistical support</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Off-shore plants can be different: Gravity Based Structure (GBS) or floating terminals anchored to the seabed (FSRU, Floating Storage Regasification Unit</w:t>
      </w:r>
      <w:r w:rsidDel="00000000" w:rsidR="00000000" w:rsidRPr="00000000">
        <w:rPr>
          <w:rtl w:val="0"/>
        </w:rPr>
        <w:t xml:space="preserve"> operate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 a floating tank </w:t>
      </w:r>
      <w:r w:rsidDel="00000000" w:rsidR="00000000" w:rsidRPr="00000000">
        <w:rPr>
          <w:rtl w:val="0"/>
        </w:rPr>
        <w:t xml:space="preserve">where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methane carriers discharge liquefied gas which is returned to gaseous state on board the unit floating. A gas pipeline transfer</w:t>
      </w:r>
      <w:r w:rsidDel="00000000" w:rsidR="00000000" w:rsidRPr="00000000">
        <w:rPr>
          <w:rtl w:val="0"/>
        </w:rPr>
        <w:t xml:space="preserve">s the gas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into the onshore gas network or Offshore Regasification Gateway where the same ship acts both as a carrier and, once it reaches its destination, as a regasification plant.</w:t>
      </w:r>
      <w:r w:rsidDel="00000000" w:rsidR="00000000" w:rsidRPr="00000000">
        <w:rPr>
          <w:rtl w:val="0"/>
        </w:rPr>
        <w:t xml:space="preserve"> A list of operating LNG installations in Italy is </w:t>
      </w:r>
      <w:r w:rsidDel="00000000" w:rsidR="00000000" w:rsidRPr="00000000">
        <w:rPr>
          <w:rtl w:val="0"/>
        </w:rPr>
        <w:t xml:space="preserve">summarized</w:t>
      </w:r>
      <w:r w:rsidDel="00000000" w:rsidR="00000000" w:rsidRPr="00000000">
        <w:rPr>
          <w:rtl w:val="0"/>
        </w:rPr>
        <w:t xml:space="preserve"> in Table 2 and a dozen of other projects are under construction or awaiting authorization. </w:t>
      </w:r>
      <w:r w:rsidDel="00000000" w:rsidR="00000000" w:rsidRPr="00000000">
        <w:rPr>
          <w:rtl w:val="0"/>
        </w:rPr>
      </w:r>
    </w:p>
    <w:p w:rsidR="00000000" w:rsidDel="00000000" w:rsidP="00000000" w:rsidRDefault="00000000" w:rsidRPr="00000000" w14:paraId="0000003D">
      <w:pPr>
        <w:tabs>
          <w:tab w:val="right" w:leader="none" w:pos="7100"/>
          <w:tab w:val="right" w:leader="none" w:pos="7100"/>
        </w:tabs>
        <w:spacing w:line="240" w:lineRule="auto"/>
        <w:rPr>
          <w:b w:val="1"/>
          <w:highlight w:val="white"/>
        </w:rPr>
      </w:pPr>
      <w:r w:rsidDel="00000000" w:rsidR="00000000" w:rsidRPr="00000000">
        <w:rPr>
          <w:rtl w:val="0"/>
        </w:rPr>
      </w:r>
    </w:p>
    <w:p w:rsidR="00000000" w:rsidDel="00000000" w:rsidP="00000000" w:rsidRDefault="00000000" w:rsidRPr="00000000" w14:paraId="0000003E">
      <w:pPr>
        <w:tabs>
          <w:tab w:val="right" w:leader="none" w:pos="7100"/>
          <w:tab w:val="right" w:leader="none" w:pos="7100"/>
        </w:tabs>
        <w:spacing w:line="240" w:lineRule="auto"/>
        <w:rPr>
          <w:b w:val="1"/>
          <w:highlight w:val="white"/>
        </w:rPr>
      </w:pPr>
      <w:r w:rsidDel="00000000" w:rsidR="00000000" w:rsidRPr="00000000">
        <w:rPr>
          <w:b w:val="1"/>
          <w:highlight w:val="white"/>
          <w:rtl w:val="0"/>
        </w:rPr>
        <w:t xml:space="preserve">2.2. Hydrogen </w:t>
      </w:r>
    </w:p>
    <w:p w:rsidR="00000000" w:rsidDel="00000000" w:rsidP="00000000" w:rsidRDefault="00000000" w:rsidRPr="00000000" w14:paraId="0000003F">
      <w:pPr>
        <w:tabs>
          <w:tab w:val="right" w:leader="none" w:pos="7100"/>
          <w:tab w:val="right" w:leader="none" w:pos="7100"/>
        </w:tabs>
        <w:spacing w:line="240" w:lineRule="auto"/>
        <w:rPr>
          <w:highlight w:val="white"/>
        </w:rPr>
      </w:pPr>
      <w:r w:rsidDel="00000000" w:rsidR="00000000" w:rsidRPr="00000000">
        <w:rPr>
          <w:highlight w:val="white"/>
          <w:rtl w:val="0"/>
        </w:rPr>
        <w:t xml:space="preserve">Hydrogen (H</w:t>
      </w:r>
      <w:r w:rsidDel="00000000" w:rsidR="00000000" w:rsidRPr="00000000">
        <w:rPr>
          <w:highlight w:val="white"/>
          <w:vertAlign w:val="subscript"/>
          <w:rtl w:val="0"/>
        </w:rPr>
        <w:t xml:space="preserve">2</w:t>
      </w:r>
      <w:r w:rsidDel="00000000" w:rsidR="00000000" w:rsidRPr="00000000">
        <w:rPr>
          <w:highlight w:val="white"/>
          <w:rtl w:val="0"/>
        </w:rPr>
        <w:t xml:space="preserve">) production, distribution and usage are increasing due to demand for green fuels. </w:t>
      </w:r>
    </w:p>
    <w:p w:rsidR="00000000" w:rsidDel="00000000" w:rsidP="00000000" w:rsidRDefault="00000000" w:rsidRPr="00000000" w14:paraId="00000040">
      <w:pPr>
        <w:tabs>
          <w:tab w:val="right" w:leader="none" w:pos="7100"/>
          <w:tab w:val="right" w:leader="none" w:pos="7100"/>
        </w:tabs>
        <w:spacing w:line="240" w:lineRule="auto"/>
        <w:rPr>
          <w:highlight w:val="white"/>
        </w:rPr>
      </w:pPr>
      <w:r w:rsidDel="00000000" w:rsidR="00000000" w:rsidRPr="00000000">
        <w:rPr>
          <w:highlight w:val="white"/>
          <w:rtl w:val="0"/>
        </w:rPr>
        <w:t xml:space="preserve">Most of the hydrogen currently produced is based on traditional fossil fuel processing, including natural gas and coal, but an alternative zero-emission method of hydrogen production is water electrolysis, splitting water into hydrogen and oxygen by using electricity generated by renewable energies.</w:t>
      </w:r>
    </w:p>
    <w:p w:rsidR="00000000" w:rsidDel="00000000" w:rsidP="00000000" w:rsidRDefault="00000000" w:rsidRPr="00000000" w14:paraId="00000041">
      <w:pPr>
        <w:tabs>
          <w:tab w:val="right" w:leader="none" w:pos="7100"/>
          <w:tab w:val="right" w:leader="none" w:pos="7100"/>
        </w:tabs>
        <w:spacing w:line="240" w:lineRule="auto"/>
        <w:rPr>
          <w:highlight w:val="white"/>
        </w:rPr>
      </w:pPr>
      <w:r w:rsidDel="00000000" w:rsidR="00000000" w:rsidRPr="00000000">
        <w:rPr>
          <w:rtl w:val="0"/>
        </w:rPr>
      </w:r>
    </w:p>
    <w:p w:rsidR="00000000" w:rsidDel="00000000" w:rsidP="00000000" w:rsidRDefault="00000000" w:rsidRPr="00000000" w14:paraId="00000042">
      <w:pPr>
        <w:tabs>
          <w:tab w:val="right" w:leader="none" w:pos="7100"/>
          <w:tab w:val="right" w:leader="none" w:pos="7100"/>
        </w:tabs>
        <w:spacing w:line="240" w:lineRule="auto"/>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Table 2: Operating LNG facilities in Italy </w:t>
      </w:r>
      <w:r w:rsidDel="00000000" w:rsidR="00000000" w:rsidRPr="00000000">
        <w:rPr>
          <w:rtl w:val="0"/>
        </w:rPr>
      </w:r>
    </w:p>
    <w:tbl>
      <w:tblPr>
        <w:tblStyle w:val="Table3"/>
        <w:tblW w:w="8625.0" w:type="dxa"/>
        <w:jc w:val="left"/>
        <w:tblInd w:w="-100.0" w:type="dxa"/>
        <w:tblLayout w:type="fixed"/>
        <w:tblLook w:val="0600"/>
      </w:tblPr>
      <w:tblGrid>
        <w:gridCol w:w="2589.0000000000005"/>
        <w:gridCol w:w="1520.9999999999995"/>
        <w:gridCol w:w="3714.0000000000005"/>
        <w:gridCol w:w="800.9999999999997"/>
        <w:tblGridChange w:id="0">
          <w:tblGrid>
            <w:gridCol w:w="2589.0000000000005"/>
            <w:gridCol w:w="1520.9999999999995"/>
            <w:gridCol w:w="3714.0000000000005"/>
            <w:gridCol w:w="800.9999999999997"/>
          </w:tblGrid>
        </w:tblGridChange>
      </w:tblGrid>
      <w:tr>
        <w:trPr>
          <w:cantSplit w:val="0"/>
          <w:trHeight w:val="299.90551181102364" w:hRule="atLeast"/>
          <w:tblHeader w:val="0"/>
        </w:trPr>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center"/>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LNG facilities</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center"/>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Region</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center"/>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Type</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center"/>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Start-up</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center"/>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year</w:t>
            </w:r>
          </w:p>
        </w:tc>
      </w:tr>
      <w:tr>
        <w:trPr>
          <w:cantSplit w:val="0"/>
          <w:trHeight w:val="243.21259842519686" w:hRule="atLeast"/>
          <w:tblHeader w:val="0"/>
        </w:trPr>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Panigaglia LNG terminal</w:t>
            </w:r>
          </w:p>
        </w:tc>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Liguria</w:t>
            </w:r>
          </w:p>
        </w:tc>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71" w:right="94.96062992126042"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Onshore regasification plant</w:t>
            </w:r>
          </w:p>
        </w:tc>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1971</w:t>
            </w:r>
          </w:p>
        </w:tc>
      </w:tr>
      <w:tr>
        <w:trPr>
          <w:cantSplit w:val="0"/>
          <w:trHeight w:val="243.21259842519686"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Rovigo LNG terminal</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Veneto</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71" w:right="94.96062992126042"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Regasification terminal</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(GBS)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2009</w:t>
            </w:r>
          </w:p>
        </w:tc>
      </w:tr>
      <w:tr>
        <w:trPr>
          <w:cantSplit w:val="0"/>
          <w:trHeight w:val="243.21259842519686"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OLT Offshore LNG Toscana </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Toscana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71" w:right="94.96062992126042"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Offshore FSRU</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2013</w:t>
            </w:r>
          </w:p>
        </w:tc>
      </w:tr>
      <w:tr>
        <w:trPr>
          <w:cantSplit w:val="0"/>
          <w:trHeight w:val="243.21259842519686"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FSRU 1 SNAM Piombino</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Toscana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71" w:right="94.96062992126042"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FSRU</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2023</w:t>
            </w:r>
          </w:p>
        </w:tc>
      </w:tr>
      <w:tr>
        <w:trPr>
          <w:cantSplit w:val="0"/>
          <w:trHeight w:val="243.21259842519686"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Oristano - Santa Giusta </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Sardegna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71" w:right="94.96062992126042"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SSLNG storage (6 horizontal tanks)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2021</w:t>
            </w:r>
          </w:p>
        </w:tc>
      </w:tr>
      <w:tr>
        <w:trPr>
          <w:cantSplit w:val="0"/>
          <w:trHeight w:val="243.21259842519686" w:hRule="atLeast"/>
          <w:tblHeader w:val="0"/>
        </w:trPr>
        <w:tc>
          <w:tcPr>
            <w:tcBorders>
              <w:top w:color="ffffff" w:space="0" w:sz="6" w:val="single"/>
              <w:left w:color="ffffff" w:space="0" w:sz="6" w:val="single"/>
              <w:bottom w:color="008000" w:space="0" w:sz="12"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Depositi Italiani GNL Ravenna </w:t>
            </w:r>
          </w:p>
        </w:tc>
        <w:tc>
          <w:tcPr>
            <w:tcBorders>
              <w:top w:color="ffffff" w:space="0" w:sz="6" w:val="single"/>
              <w:left w:color="ffffff" w:space="0" w:sz="6" w:val="single"/>
              <w:bottom w:color="008000" w:space="0" w:sz="12"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Emilia Romagna</w:t>
            </w:r>
          </w:p>
        </w:tc>
        <w:tc>
          <w:tcPr>
            <w:tcBorders>
              <w:top w:color="ffffff" w:space="0" w:sz="6" w:val="single"/>
              <w:left w:color="ffffff" w:space="0" w:sz="6" w:val="single"/>
              <w:bottom w:color="008000" w:space="0" w:sz="12"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141.7322834645671" w:right="94.96062992126042"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SSLNG storage (2 vertical tanks)</w:t>
            </w:r>
          </w:p>
        </w:tc>
        <w:tc>
          <w:tcPr>
            <w:tcBorders>
              <w:top w:color="ffffff" w:space="0" w:sz="6" w:val="single"/>
              <w:left w:color="ffffff" w:space="0" w:sz="6" w:val="single"/>
              <w:bottom w:color="008000" w:space="0" w:sz="12"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2021</w:t>
            </w:r>
          </w:p>
        </w:tc>
      </w:tr>
    </w:tbl>
    <w:p w:rsidR="00000000" w:rsidDel="00000000" w:rsidP="00000000" w:rsidRDefault="00000000" w:rsidRPr="00000000" w14:paraId="00000060">
      <w:pPr>
        <w:tabs>
          <w:tab w:val="right" w:leader="none" w:pos="7100"/>
          <w:tab w:val="right" w:leader="none" w:pos="7100"/>
        </w:tabs>
        <w:spacing w:line="240" w:lineRule="auto"/>
        <w:rPr>
          <w:highlight w:val="yellow"/>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2.3 Geothermal Organi</w:t>
      </w:r>
      <w:r w:rsidDel="00000000" w:rsidR="00000000" w:rsidRPr="00000000">
        <w:rPr>
          <w:b w:val="1"/>
          <w:rtl w:val="0"/>
        </w:rPr>
        <w:t xml:space="preserve">c</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Rankine Cycle (ORC)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To produce power from geothermal energy</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wells are drilled deep into underground reservoirs to access steam and hot water. In Europe for example, geothermal energy is used in heating in France and for greenhouses in </w:t>
      </w:r>
      <w:hyperlink r:id="rId13">
        <w:r w:rsidDel="00000000" w:rsidR="00000000" w:rsidRPr="00000000">
          <w:rPr>
            <w:rtl w:val="0"/>
          </w:rPr>
          <w:t xml:space="preserve">Germany</w:t>
        </w:r>
      </w:hyperlink>
      <w:r w:rsidDel="00000000" w:rsidR="00000000" w:rsidRPr="00000000">
        <w:rPr>
          <w:rtl w:val="0"/>
        </w:rPr>
        <w:t xml:space="preserve"> and in the Netherlands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 other </w:t>
      </w:r>
      <w:r w:rsidDel="00000000" w:rsidR="00000000" w:rsidRPr="00000000">
        <w:rPr>
          <w:rtl w:val="0"/>
        </w:rPr>
        <w:t xml:space="preserve">cases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depending on the temperature of the water or steam extracted, geothermal fluids can be used directly in steam turbines for power generation. </w:t>
      </w:r>
      <w:r w:rsidDel="00000000" w:rsidR="00000000" w:rsidRPr="00000000">
        <w:rPr>
          <w:rtl w:val="0"/>
        </w:rPr>
        <w:t xml:space="preserve">In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case of low temperatures the</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fluid is exploited in a binary cycle, transferring its heat to a working fluid with a lower boiling point than water</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that is then expanded in a turboexpander to generate electricity in an Organic Rankine Cycle (ORC).</w:t>
      </w:r>
      <w:r w:rsidDel="00000000" w:rsidR="00000000" w:rsidRPr="00000000">
        <w:rPr>
          <w:rtl w:val="0"/>
        </w:rPr>
        <w:t xml:space="preserve"> Organic fluids or refrigerants can be used as the working fluids for ORC applications (Herath et al., 2020).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A mixture of government initiatives for green energy and advanced technology firstly developed by oil and gas companies then adapted for geothermal, making it </w:t>
      </w:r>
      <w:r w:rsidDel="00000000" w:rsidR="00000000" w:rsidRPr="00000000">
        <w:rPr>
          <w:rtl w:val="0"/>
        </w:rPr>
        <w:t xml:space="preserve">an energy</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source with the possibility to replace fossil fuel. ORC plants </w:t>
      </w:r>
      <w:r w:rsidDel="00000000" w:rsidR="00000000" w:rsidRPr="00000000">
        <w:rPr>
          <w:rtl w:val="0"/>
        </w:rPr>
        <w:t xml:space="preserve">are suitable for renewable or renewable-equivalent thermal energy conversion: geothermal reservoirs, biomass combustion, concentrated solar radiation, industrial waste heat recovery, waste heat recovery from reciprocating engines and gas turbines (Colonna et al., 2015).</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2.4. Biogas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Seveso III Directive makes a formal distinction between upgraded biogas and uncleaned biogas. Biogas that has been purified and upgraded to a quality equivalent to natural gas can be classified under item 18, note 19 of Part 2 of Annex 1 Seveso III Directive, treated in accordance with applicable standards to purified and enhanced biogas which ensure a quality equivalent to that of the natural gas, including methane content, </w:t>
      </w:r>
      <w:r w:rsidDel="00000000" w:rsidR="00000000" w:rsidRPr="00000000">
        <w:rPr>
          <w:rtl w:val="0"/>
        </w:rPr>
        <w:t xml:space="preserve">with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maximum oxygen content of 1%. Uncleaned biogas does not have a clear, consistent and predictable composition and the purification process can change composition and hazard properties. When other components are present, these must also be </w:t>
      </w:r>
      <w:r w:rsidDel="00000000" w:rsidR="00000000" w:rsidRPr="00000000">
        <w:rPr>
          <w:rtl w:val="0"/>
        </w:rPr>
        <w:t xml:space="preserve">included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classification (Heezen et al., 2013). Gas mixture contained inside biodigesters/post digesters plants for biomethane production must be </w:t>
      </w:r>
      <w:r w:rsidDel="00000000" w:rsidR="00000000" w:rsidRPr="00000000">
        <w:rPr>
          <w:rtl w:val="0"/>
        </w:rPr>
        <w:t xml:space="preserve">assessed, evaluating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danger characteristics of all the components of the mixture, not just methane</w:t>
      </w:r>
      <w:r w:rsidDel="00000000" w:rsidR="00000000" w:rsidRPr="00000000">
        <w:rPr>
          <w:rtl w:val="0"/>
        </w:rPr>
        <w:t xml:space="preserve">. It is also important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considering the total amount of biogas present in the </w:t>
      </w:r>
      <w:r w:rsidDel="00000000" w:rsidR="00000000" w:rsidRPr="00000000">
        <w:rPr>
          <w:rtl w:val="0"/>
        </w:rPr>
        <w:t xml:space="preserve">whole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plant, including free volume of the biodigester/post digester occupied by biogas and hold up of pipes/equipment contain</w:t>
      </w:r>
      <w:r w:rsidDel="00000000" w:rsidR="00000000" w:rsidRPr="00000000">
        <w:rPr>
          <w:rtl w:val="0"/>
        </w:rPr>
        <w:t xml:space="preserve">ing</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the biogas.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Substances properties and hazards comparison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vertAlign w:val="baseline"/>
        </w:rPr>
      </w:pPr>
      <w:r w:rsidDel="00000000" w:rsidR="00000000" w:rsidRPr="00000000">
        <w:rPr>
          <w:rtl w:val="0"/>
        </w:rPr>
        <w:t xml:space="preserve">First of all p</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roperties and hazard characteristics for substances involved </w:t>
      </w:r>
      <w:r w:rsidDel="00000000" w:rsidR="00000000" w:rsidRPr="00000000">
        <w:rPr>
          <w:rtl w:val="0"/>
        </w:rPr>
        <w:t xml:space="preserve">in this kind of </w:t>
      </w:r>
      <w:r w:rsidDel="00000000" w:rsidR="00000000" w:rsidRPr="00000000">
        <w:rPr>
          <w:rtl w:val="0"/>
        </w:rPr>
        <w:t xml:space="preserve">installations</w:t>
      </w:r>
      <w:r w:rsidDel="00000000" w:rsidR="00000000" w:rsidRPr="00000000">
        <w:rPr>
          <w:rtl w:val="0"/>
        </w:rPr>
        <w:t xml:space="preserve"> are described.</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LNG is an odourless, non-toxic, colourless multi-component mixture of varying amounts of hydrocarbons (mainly methane, but also ethane, propane and butane in smaller concentrations, nitrogen and other components depending by origin country).</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Hydrogen is lighter than air and has a rapid diffusivity, so in</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case of </w:t>
      </w:r>
      <w:r w:rsidDel="00000000" w:rsidR="00000000" w:rsidRPr="00000000">
        <w:rPr>
          <w:rtl w:val="0"/>
        </w:rPr>
        <w:t xml:space="preserve">release it can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dilute quickly into a non-flammable concentration. Hydrogen is also </w:t>
      </w:r>
      <w:r w:rsidDel="00000000" w:rsidR="00000000" w:rsidRPr="00000000">
        <w:rPr>
          <w:rtl w:val="0"/>
        </w:rPr>
        <w:t xml:space="preserve">odourless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t xml:space="preserve">colourless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tasteless. Because </w:t>
      </w:r>
      <w:r w:rsidDel="00000000" w:rsidR="00000000" w:rsidRPr="00000000">
        <w:rPr>
          <w:rtl w:val="0"/>
        </w:rPr>
        <w:t xml:space="preserve">of the absence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carbon and </w:t>
      </w:r>
      <w:r w:rsidDel="00000000" w:rsidR="00000000" w:rsidRPr="00000000">
        <w:rPr>
          <w:rtl w:val="0"/>
        </w:rPr>
        <w:t xml:space="preserve">the p</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resence of heat-absorbing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H</w:t>
      </w:r>
      <w:r w:rsidDel="00000000" w:rsidR="00000000" w:rsidRPr="00000000">
        <w:rPr>
          <w:rFonts w:ascii="Arial" w:cs="Arial" w:eastAsia="Arial" w:hAnsi="Arial"/>
          <w:b w:val="0"/>
          <w:i w:val="0"/>
          <w:smallCaps w:val="0"/>
          <w:strike w:val="0"/>
          <w:color w:val="000000"/>
          <w:sz w:val="18"/>
          <w:szCs w:val="18"/>
          <w:u w:val="none"/>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O </w:t>
      </w:r>
      <w:r w:rsidDel="00000000" w:rsidR="00000000" w:rsidRPr="00000000">
        <w:rPr>
          <w:rtl w:val="0"/>
        </w:rPr>
        <w:t xml:space="preserve">vapour</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created from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H</w:t>
      </w:r>
      <w:r w:rsidDel="00000000" w:rsidR="00000000" w:rsidRPr="00000000">
        <w:rPr>
          <w:rFonts w:ascii="Arial" w:cs="Arial" w:eastAsia="Arial" w:hAnsi="Arial"/>
          <w:b w:val="0"/>
          <w:i w:val="0"/>
          <w:smallCaps w:val="0"/>
          <w:strike w:val="0"/>
          <w:color w:val="000000"/>
          <w:sz w:val="18"/>
          <w:szCs w:val="18"/>
          <w:u w:val="none"/>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combustion,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 hydrogen fire has significantly less radiant heat compared to a hydrocarbon fire and in </w:t>
      </w:r>
      <w:r w:rsidDel="00000000" w:rsidR="00000000" w:rsidRPr="00000000">
        <w:rPr>
          <w:rtl w:val="0"/>
        </w:rPr>
        <w:t xml:space="preserve">general the risk</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secondary fires is lower</w:t>
      </w:r>
      <w:r w:rsidDel="00000000" w:rsidR="00000000" w:rsidRPr="00000000">
        <w:rPr>
          <w:rtl w:val="0"/>
        </w:rPr>
        <w:t xml:space="preserve">, but </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 burns with a nearly invisible flame.</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Georgia" w:cs="Georgia" w:eastAsia="Georgia" w:hAnsi="Georgia"/>
          <w:color w:val="1f1f1f"/>
          <w:sz w:val="24"/>
          <w:szCs w:val="24"/>
          <w:highlight w:val="yellow"/>
        </w:rPr>
      </w:pPr>
      <w:r w:rsidDel="00000000" w:rsidR="00000000" w:rsidRPr="00000000">
        <w:rPr>
          <w:rtl w:val="0"/>
        </w:rPr>
        <w:t xml:space="preserve">Light hydrocarbons are commonly used as working fluid in ORC plants.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collection of chemical and physical properties of substances is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summarized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 Table 3. Methane can be considered representative for LNG while isobutane for ORC working fluid</w:t>
      </w:r>
      <w:r w:rsidDel="00000000" w:rsidR="00000000" w:rsidRPr="00000000">
        <w:rPr>
          <w:rtl w:val="0"/>
        </w:rPr>
        <w:t xml:space="preserve"> properties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Table 3: Comparative properties of substances involved (NIST, 2023)</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4"/>
        <w:tblW w:w="8805.0" w:type="dxa"/>
        <w:jc w:val="left"/>
        <w:tblInd w:w="20.0" w:type="dxa"/>
        <w:tblLayout w:type="fixed"/>
        <w:tblLook w:val="0600"/>
      </w:tblPr>
      <w:tblGrid>
        <w:gridCol w:w="2985"/>
        <w:gridCol w:w="1455"/>
        <w:gridCol w:w="1455"/>
        <w:gridCol w:w="1455"/>
        <w:gridCol w:w="1455"/>
        <w:tblGridChange w:id="0">
          <w:tblGrid>
            <w:gridCol w:w="2985"/>
            <w:gridCol w:w="1455"/>
            <w:gridCol w:w="1455"/>
            <w:gridCol w:w="1455"/>
            <w:gridCol w:w="1455"/>
          </w:tblGrid>
        </w:tblGridChange>
      </w:tblGrid>
      <w:tr>
        <w:trPr>
          <w:cantSplit w:val="0"/>
          <w:trHeight w:val="285" w:hRule="atLeast"/>
          <w:tblHeader w:val="0"/>
        </w:trPr>
        <w:tc>
          <w:tcPr>
            <w:tcBorders>
              <w:top w:color="008000" w:space="0" w:sz="12" w:val="single"/>
              <w:left w:color="ffffff" w:space="0" w:sz="12"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Properties</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Units</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Methane</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Hydrogen</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Isobutane</w:t>
            </w:r>
          </w:p>
        </w:tc>
      </w:tr>
      <w:tr>
        <w:trPr>
          <w:cantSplit w:val="0"/>
          <w:trHeight w:val="285" w:hRule="atLeast"/>
          <w:tblHeader w:val="0"/>
        </w:trPr>
        <w:tc>
          <w:tcPr>
            <w:tcBorders>
              <w:top w:color="008000" w:space="0" w:sz="6" w:val="single"/>
              <w:left w:color="ffffff" w:space="0" w:sz="12"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Chemical Formula</w:t>
            </w:r>
          </w:p>
        </w:tc>
        <w:tc>
          <w:tcPr>
            <w:tcBorders>
              <w:top w:color="008000"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8000"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CH4</w:t>
            </w:r>
          </w:p>
        </w:tc>
        <w:tc>
          <w:tcPr>
            <w:tcBorders>
              <w:top w:color="008000"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H2</w:t>
            </w:r>
          </w:p>
        </w:tc>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C4H10</w:t>
            </w:r>
          </w:p>
        </w:tc>
      </w:tr>
      <w:tr>
        <w:trPr>
          <w:cantSplit w:val="0"/>
          <w:trHeight w:val="285" w:hRule="atLeast"/>
          <w:tblHeader w:val="0"/>
        </w:trPr>
        <w:tc>
          <w:tcPr>
            <w:tcBorders>
              <w:top w:color="ffffff" w:space="0" w:sz="6" w:val="single"/>
              <w:left w:color="ffffff" w:space="0" w:sz="12"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Molecular Weight</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16,04</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2,02</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58,12</w:t>
            </w:r>
          </w:p>
        </w:tc>
      </w:tr>
      <w:tr>
        <w:trPr>
          <w:cantSplit w:val="0"/>
          <w:trHeight w:val="285" w:hRule="atLeast"/>
          <w:tblHeader w:val="0"/>
        </w:trPr>
        <w:tc>
          <w:tcPr>
            <w:tcBorders>
              <w:top w:color="ffffff" w:space="0" w:sz="6" w:val="single"/>
              <w:left w:color="ffffff" w:space="0" w:sz="12"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Density (NTP)</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kg/m3</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0,668</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0,0838</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2,51</w:t>
            </w:r>
          </w:p>
        </w:tc>
      </w:tr>
      <w:tr>
        <w:trPr>
          <w:cantSplit w:val="0"/>
          <w:trHeight w:val="285" w:hRule="atLeast"/>
          <w:tblHeader w:val="0"/>
        </w:trPr>
        <w:tc>
          <w:tcPr>
            <w:tcBorders>
              <w:top w:color="ffffff" w:space="0" w:sz="6" w:val="single"/>
              <w:left w:color="ffffff" w:space="0" w:sz="12"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Normal Boiling Point</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-162</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-252.7</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-11,7</w:t>
            </w:r>
          </w:p>
        </w:tc>
      </w:tr>
      <w:tr>
        <w:trPr>
          <w:cantSplit w:val="0"/>
          <w:trHeight w:val="300"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Critical temperature</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202122"/>
                    <w:sz w:val="18"/>
                    <w:szCs w:val="18"/>
                    <w:u w:val="none"/>
                    <w:shd w:fill="auto" w:val="clear"/>
                    <w:vertAlign w:val="baseline"/>
                    <w:rtl w:val="0"/>
                  </w:rPr>
                  <w:t xml:space="preserve">−82.6</w:t>
                </w:r>
              </w:sdtContent>
            </w:sdt>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-240</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134,9</w:t>
            </w:r>
          </w:p>
        </w:tc>
      </w:tr>
      <w:tr>
        <w:trPr>
          <w:cantSplit w:val="0"/>
          <w:trHeight w:val="300" w:hRule="atLeast"/>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Melting/freezing point</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202122"/>
                    <w:sz w:val="18"/>
                    <w:szCs w:val="18"/>
                    <w:u w:val="none"/>
                    <w:shd w:fill="auto" w:val="clear"/>
                    <w:vertAlign w:val="baseline"/>
                    <w:rtl w:val="0"/>
                  </w:rPr>
                  <w:t xml:space="preserve">−182.7</w:t>
                </w:r>
              </w:sdtContent>
            </w:sdt>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-259.2</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-159.6</w:t>
            </w:r>
          </w:p>
        </w:tc>
      </w:tr>
      <w:tr>
        <w:trPr>
          <w:cantSplit w:val="0"/>
          <w:trHeight w:val="300" w:hRule="atLeast"/>
          <w:tblHeader w:val="0"/>
        </w:trPr>
        <w:tc>
          <w:tcPr>
            <w:tcBorders>
              <w:top w:color="ffffff" w:space="0" w:sz="6" w:val="single"/>
              <w:left w:color="ffffff" w:space="0" w:sz="12"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Flash Point</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-188</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&lt; -253</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-83</w:t>
            </w:r>
          </w:p>
        </w:tc>
      </w:tr>
      <w:tr>
        <w:trPr>
          <w:cantSplit w:val="0"/>
          <w:trHeight w:val="255" w:hRule="atLeast"/>
          <w:tblHeader w:val="0"/>
        </w:trPr>
        <w:tc>
          <w:tcPr>
            <w:tcBorders>
              <w:top w:color="ffffff" w:space="0" w:sz="6" w:val="single"/>
              <w:left w:color="ffffff" w:space="0" w:sz="12"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Flammability Range in Air</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vol%</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5.0 - 15.0</w:t>
            </w:r>
          </w:p>
        </w:tc>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4.0 - 75.0</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1.4 - 8.3</w:t>
            </w:r>
          </w:p>
        </w:tc>
      </w:tr>
      <w:tr>
        <w:trPr>
          <w:cantSplit w:val="0"/>
          <w:trHeight w:val="255" w:hRule="atLeast"/>
          <w:tblHeader w:val="0"/>
        </w:trPr>
        <w:tc>
          <w:tcPr>
            <w:tcBorders>
              <w:top w:color="ffffff" w:space="0" w:sz="6" w:val="single"/>
              <w:left w:color="ffffff" w:space="0" w:sz="12" w:val="single"/>
              <w:bottom w:color="008000" w:space="0" w:sz="12"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Auto Ignition Temperature in Air</w:t>
            </w:r>
          </w:p>
        </w:tc>
        <w:tc>
          <w:tcPr>
            <w:tcBorders>
              <w:top w:color="ffffff" w:space="0" w:sz="6" w:val="single"/>
              <w:left w:color="ffffff" w:space="0" w:sz="6" w:val="single"/>
              <w:bottom w:color="008000" w:space="0" w:sz="12"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w:t>
            </w:r>
          </w:p>
        </w:tc>
        <w:tc>
          <w:tcPr>
            <w:tcBorders>
              <w:top w:color="ffffff" w:space="0" w:sz="6" w:val="single"/>
              <w:left w:color="ffffff" w:space="0" w:sz="6" w:val="single"/>
              <w:bottom w:color="008000" w:space="0" w:sz="12"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540</w:t>
            </w:r>
          </w:p>
        </w:tc>
        <w:tc>
          <w:tcPr>
            <w:tcBorders>
              <w:top w:color="ffffff" w:space="0" w:sz="6" w:val="single"/>
              <w:left w:color="ffffff" w:space="0" w:sz="6" w:val="single"/>
              <w:bottom w:color="008000" w:space="0" w:sz="12" w:val="single"/>
              <w:right w:color="ffffff"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585</w:t>
            </w:r>
          </w:p>
        </w:tc>
        <w:tc>
          <w:tcPr>
            <w:tcBorders>
              <w:top w:color="ffffff" w:space="0" w:sz="6" w:val="single"/>
              <w:left w:color="ffffff" w:space="0" w:sz="6" w:val="single"/>
              <w:bottom w:color="008000" w:space="0" w:sz="12"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460</w:t>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Green transition projects under Seveso Directive in Emilia Romagna region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highlight w:val="yellow"/>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the last five years in Emilia Romagna region five projects related to green transition under Seveso III legislation have been proposed: a small scale LNG onshore storage already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authorized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operating in Ravenna, an offshore LNG Floating Storage Regasification Unit (FSRU), a green hydrogen (</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production</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plant connected to offshore solar and eolic in Ravenna area and two projects related to geothermal ORC</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plants presented in Ferrara province.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 1 Critical units identification</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each project a selection of </w:t>
      </w:r>
      <w:r w:rsidDel="00000000" w:rsidR="00000000" w:rsidRPr="00000000">
        <w:rPr>
          <w:rtl w:val="0"/>
        </w:rPr>
        <w:t xml:space="preserve">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ost critical units</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risk assessment </w:t>
      </w:r>
      <w:r w:rsidDel="00000000" w:rsidR="00000000" w:rsidRPr="00000000">
        <w:rPr>
          <w:rtl w:val="0"/>
        </w:rPr>
        <w:t xml:space="preserve">is listed in Table 4. The selection is based on the presence of large quantities of dangerous substances and process conditions that can lead to a major hazard accident.</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Roboto" w:cs="Roboto" w:eastAsia="Roboto" w:hAnsi="Roboto"/>
          <w:b w:val="1"/>
          <w:i w:val="0"/>
          <w:smallCaps w:val="0"/>
          <w:strike w:val="0"/>
          <w:color w:val="1f1f1f"/>
          <w:sz w:val="18"/>
          <w:szCs w:val="18"/>
          <w:highlight w:val="white"/>
          <w:u w:val="none"/>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Table 4: Critical units identification </w:t>
      </w:r>
      <w:r w:rsidDel="00000000" w:rsidR="00000000" w:rsidRPr="00000000">
        <w:rPr>
          <w:rtl w:val="0"/>
        </w:rPr>
      </w:r>
    </w:p>
    <w:tbl>
      <w:tblPr>
        <w:tblStyle w:val="Table5"/>
        <w:tblW w:w="8675.0" w:type="dxa"/>
        <w:jc w:val="left"/>
        <w:tblInd w:w="75.00000000000007" w:type="dxa"/>
        <w:tblLayout w:type="fixed"/>
        <w:tblLook w:val="0600"/>
      </w:tblPr>
      <w:tblGrid>
        <w:gridCol w:w="2239.9999999999995"/>
        <w:gridCol w:w="2220"/>
        <w:gridCol w:w="2310"/>
        <w:gridCol w:w="1905"/>
        <w:tblGridChange w:id="0">
          <w:tblGrid>
            <w:gridCol w:w="2239.9999999999995"/>
            <w:gridCol w:w="2220"/>
            <w:gridCol w:w="2310"/>
            <w:gridCol w:w="1905"/>
          </w:tblGrid>
        </w:tblGridChange>
      </w:tblGrid>
      <w:tr>
        <w:trPr>
          <w:cantSplit w:val="0"/>
          <w:trHeight w:val="300" w:hRule="atLeast"/>
          <w:tblHeader w:val="0"/>
        </w:trPr>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Small Scale LNG storage</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FSRU</w:t>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Green </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r>
          </w:p>
        </w:tc>
        <w:tc>
          <w:tcPr>
            <w:tcBorders>
              <w:top w:color="008000" w:space="0" w:sz="12" w:val="single"/>
              <w:left w:color="ffffff" w:space="0" w:sz="6" w:val="single"/>
              <w:bottom w:color="008000" w:space="0" w:sz="6" w:val="single"/>
              <w:right w:color="ffffff" w:space="0" w:sz="6" w:val="single"/>
            </w:tcBorders>
            <w:tcMar>
              <w:top w:w="0.0" w:type="dxa"/>
              <w:left w:w="40.0" w:type="dxa"/>
              <w:bottom w:w="0.0" w:type="dxa"/>
              <w:right w:w="40.0" w:type="dxa"/>
            </w:tcMar>
            <w:vAlign w:val="bottom"/>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ORC Plants</w:t>
            </w:r>
          </w:p>
        </w:tc>
      </w:tr>
      <w:tr>
        <w:trPr>
          <w:cantSplit w:val="0"/>
          <w:trHeight w:val="300" w:hRule="atLeast"/>
          <w:tblHeader w:val="0"/>
        </w:trPr>
        <w:tc>
          <w:tcPr>
            <w:tcBorders>
              <w:top w:color="008000"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LNG full </w:t>
            </w:r>
            <w:r w:rsidDel="00000000" w:rsidR="00000000" w:rsidRPr="00000000">
              <w:rPr>
                <w:rtl w:val="0"/>
              </w:rPr>
              <w:t xml:space="preserve">containment</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Storage tanks</w:t>
            </w:r>
          </w:p>
        </w:tc>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LNG storage tanks</w:t>
            </w:r>
          </w:p>
        </w:tc>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Electrolyser system for  H</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O</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production</w:t>
            </w:r>
          </w:p>
        </w:tc>
        <w:tc>
          <w:tcPr>
            <w:tcBorders>
              <w:top w:color="008000"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Working fluid storage tanks</w:t>
            </w:r>
          </w:p>
        </w:tc>
      </w:tr>
      <w:tr>
        <w:trPr>
          <w:cantSplit w:val="0"/>
          <w:trHeight w:val="300" w:hRule="atLeast"/>
          <w:tblHeader w:val="0"/>
        </w:trPr>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Reliquefaction plant for the management of boil-off gas (BOG)</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pPr>
            <w:r w:rsidDel="00000000" w:rsidR="00000000" w:rsidRPr="00000000">
              <w:rPr>
                <w:rtl w:val="0"/>
              </w:rPr>
              <w:t xml:space="preserve">LNG feed pumps</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pPr>
            <w:r w:rsidDel="00000000" w:rsidR="00000000" w:rsidRPr="00000000">
              <w:rPr>
                <w:rtl w:val="0"/>
              </w:rPr>
              <w:t xml:space="preserve">Recirculation system</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t xml:space="preserve">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egasification </w:t>
            </w:r>
            <w:r w:rsidDel="00000000" w:rsidR="00000000" w:rsidRPr="00000000">
              <w:rPr>
                <w:rtl w:val="0"/>
              </w:rPr>
              <w:t xml:space="preserve">skid</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O</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compression systems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Air coolers</w:t>
            </w:r>
          </w:p>
        </w:tc>
      </w:tr>
      <w:tr>
        <w:trPr>
          <w:cantSplit w:val="0"/>
          <w:trHeight w:val="300" w:hRule="atLeast"/>
          <w:tblHeader w:val="0"/>
        </w:trPr>
        <w:tc>
          <w:tcPr>
            <w:tcBorders>
              <w:top w:color="ffffff" w:space="0" w:sz="6" w:val="single"/>
              <w:left w:color="ffffff" w:space="0" w:sz="6" w:val="single"/>
              <w:bottom w:color="ffffff" w:space="0" w:sz="6" w:val="single"/>
              <w:right w:color="ffffff" w:space="0" w:sz="6" w:val="single"/>
            </w:tcBorders>
            <w:shd w:fill="ffffff" w:val="clear"/>
            <w:tcMar>
              <w:top w:w="0.0" w:type="dxa"/>
              <w:left w:w="40.0" w:type="dxa"/>
              <w:bottom w:w="0.0" w:type="dxa"/>
              <w:right w:w="40.0" w:type="dxa"/>
            </w:tcM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Combustion engines for electricity production</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BOG management system</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O</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storage systems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Piping</w:t>
            </w:r>
          </w:p>
        </w:tc>
      </w:tr>
      <w:tr>
        <w:trPr>
          <w:cantSplit w:val="0"/>
          <w:trHeight w:val="300" w:hRule="atLeast"/>
          <w:tblHeader w:val="0"/>
        </w:trPr>
        <w:tc>
          <w:tcPr>
            <w:tcBorders>
              <w:top w:color="ffffff" w:space="0" w:sz="6" w:val="single"/>
              <w:left w:color="ffffff" w:space="0" w:sz="6" w:val="single"/>
              <w:bottom w:color="ffffff" w:space="0" w:sz="12" w:val="single"/>
              <w:right w:color="ffffff" w:space="0" w:sz="6" w:val="single"/>
            </w:tcBorders>
            <w:shd w:fill="ffffff" w:val="clear"/>
            <w:tcMar>
              <w:top w:w="0.0" w:type="dxa"/>
              <w:left w:w="40.0" w:type="dxa"/>
              <w:bottom w:w="0.0" w:type="dxa"/>
              <w:right w:w="40.0" w:type="dxa"/>
            </w:tcMar>
          </w:tcPr>
          <w:p w:rsidR="00000000" w:rsidDel="00000000" w:rsidP="00000000" w:rsidRDefault="00000000" w:rsidRPr="00000000" w14:paraId="000000BD">
            <w:pPr>
              <w:widowControl w:val="0"/>
              <w:tabs>
                <w:tab w:val="right" w:leader="none" w:pos="7100"/>
                <w:tab w:val="right" w:leader="none" w:pos="7100"/>
              </w:tabs>
              <w:spacing w:line="276" w:lineRule="auto"/>
              <w:jc w:val="left"/>
              <w:rPr/>
            </w:pPr>
            <w:r w:rsidDel="00000000" w:rsidR="00000000" w:rsidRPr="00000000">
              <w:rPr>
                <w:rtl w:val="0"/>
              </w:rPr>
              <w:t xml:space="preserve">Flare system</w:t>
            </w:r>
          </w:p>
        </w:tc>
        <w:tc>
          <w:tcPr>
            <w:tcBorders>
              <w:top w:color="ffffff" w:space="0" w:sz="6" w:val="single"/>
              <w:left w:color="ffffff" w:space="0" w:sz="6" w:val="single"/>
              <w:bottom w:color="ffffff" w:space="0" w:sz="12" w:val="single"/>
              <w:right w:color="ffffff" w:space="0" w:sz="6" w:val="single"/>
            </w:tcBorders>
            <w:tcMar>
              <w:top w:w="0.0" w:type="dxa"/>
              <w:left w:w="40.0" w:type="dxa"/>
              <w:bottom w:w="0.0" w:type="dxa"/>
              <w:right w:w="40.0" w:type="dxa"/>
            </w:tcMar>
          </w:tcPr>
          <w:p w:rsidR="00000000" w:rsidDel="00000000" w:rsidP="00000000" w:rsidRDefault="00000000" w:rsidRPr="00000000" w14:paraId="000000BE">
            <w:pPr>
              <w:widowControl w:val="0"/>
              <w:tabs>
                <w:tab w:val="right" w:leader="none" w:pos="7100"/>
                <w:tab w:val="right" w:leader="none" w:pos="7100"/>
              </w:tabs>
              <w:spacing w:line="276" w:lineRule="auto"/>
              <w:jc w:val="left"/>
              <w:rPr/>
            </w:pPr>
            <w:r w:rsidDel="00000000" w:rsidR="00000000" w:rsidRPr="00000000">
              <w:rPr>
                <w:rtl w:val="0"/>
              </w:rPr>
              <w:t xml:space="preserve">Natural gas unloading arms from FSRU </w:t>
            </w:r>
          </w:p>
        </w:tc>
        <w:tc>
          <w:tcPr>
            <w:tcBorders>
              <w:top w:color="ffffff" w:space="0" w:sz="6" w:val="single"/>
              <w:left w:color="ffffff" w:space="0" w:sz="6" w:val="single"/>
              <w:bottom w:color="ffffff" w:space="0" w:sz="12" w:val="single"/>
              <w:right w:color="ffffff" w:space="0" w:sz="6" w:val="single"/>
            </w:tcBorders>
            <w:tcMar>
              <w:top w:w="0.0" w:type="dxa"/>
              <w:left w:w="40.0" w:type="dxa"/>
              <w:bottom w:w="0.0" w:type="dxa"/>
              <w:right w:w="40.0" w:type="dxa"/>
            </w:tcM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Loading bays for H</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r>
          </w:p>
        </w:tc>
        <w:tc>
          <w:tcPr>
            <w:tcBorders>
              <w:top w:color="ffffff" w:space="0" w:sz="6" w:val="single"/>
              <w:left w:color="ffffff" w:space="0" w:sz="6" w:val="single"/>
              <w:bottom w:color="ffffff" w:space="0" w:sz="12" w:val="single"/>
              <w:right w:color="ffffff" w:space="0" w:sz="6" w:val="single"/>
            </w:tcBorders>
            <w:tcMar>
              <w:top w:w="0.0" w:type="dxa"/>
              <w:left w:w="40.0" w:type="dxa"/>
              <w:bottom w:w="0.0" w:type="dxa"/>
              <w:right w:w="40.0" w:type="dxa"/>
            </w:tcMa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Preheaters </w:t>
            </w:r>
            <w:r w:rsidDel="00000000" w:rsidR="00000000" w:rsidRPr="00000000">
              <w:rPr>
                <w:rtl w:val="0"/>
              </w:rPr>
              <w:t xml:space="preserve">Evaporators</w:t>
            </w:r>
            <w:r w:rsidDel="00000000" w:rsidR="00000000" w:rsidRPr="00000000">
              <w:rPr>
                <w:rtl w:val="0"/>
              </w:rPr>
            </w:r>
          </w:p>
        </w:tc>
      </w:tr>
      <w:tr>
        <w:trPr>
          <w:cantSplit w:val="0"/>
          <w:trHeight w:val="300" w:hRule="atLeast"/>
          <w:tblHeader w:val="0"/>
        </w:trPr>
        <w:tc>
          <w:tcPr>
            <w:tcBorders>
              <w:top w:color="ffffff" w:space="0" w:sz="12" w:val="single"/>
              <w:left w:color="ffffff" w:space="0" w:sz="12" w:val="single"/>
              <w:bottom w:color="008000" w:space="0" w:sz="12" w:val="single"/>
              <w:right w:color="ffffff" w:space="0" w:sz="12" w:val="single"/>
            </w:tcBorders>
            <w:shd w:fill="ffffff" w:val="clear"/>
            <w:tcMar>
              <w:top w:w="0.0" w:type="dxa"/>
              <w:left w:w="40.0" w:type="dxa"/>
              <w:bottom w:w="0.0" w:type="dxa"/>
              <w:right w:w="40.0" w:type="dxa"/>
            </w:tcMa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pPr>
            <w:r w:rsidDel="00000000" w:rsidR="00000000" w:rsidRPr="00000000">
              <w:rPr>
                <w:rtl w:val="0"/>
              </w:rPr>
              <w:t xml:space="preserve">Loading arms for road tankers</w:t>
            </w:r>
          </w:p>
        </w:tc>
        <w:tc>
          <w:tcPr>
            <w:tcBorders>
              <w:top w:color="ffffff" w:space="0" w:sz="12" w:val="single"/>
              <w:left w:color="ffffff" w:space="0" w:sz="12" w:val="single"/>
              <w:bottom w:color="008000" w:space="0" w:sz="12" w:val="single"/>
              <w:right w:color="ffffff" w:space="0" w:sz="12" w:val="single"/>
            </w:tcBorders>
            <w:tcMar>
              <w:top w:w="0.0" w:type="dxa"/>
              <w:left w:w="40.0" w:type="dxa"/>
              <w:bottom w:w="0.0" w:type="dxa"/>
              <w:right w:w="40.0" w:type="dxa"/>
            </w:tcM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pPr>
            <w:r w:rsidDel="00000000" w:rsidR="00000000" w:rsidRPr="00000000">
              <w:rPr>
                <w:rtl w:val="0"/>
              </w:rPr>
              <w:t xml:space="preserve">Natural gas transfer line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pPr>
            <w:r w:rsidDel="00000000" w:rsidR="00000000" w:rsidRPr="00000000">
              <w:rPr>
                <w:rtl w:val="0"/>
              </w:rPr>
              <w:t xml:space="preserve">to underwater pipeline</w:t>
            </w:r>
          </w:p>
        </w:tc>
        <w:tc>
          <w:tcPr>
            <w:tcBorders>
              <w:top w:color="ffffff" w:space="0" w:sz="12" w:val="single"/>
              <w:left w:color="ffffff" w:space="0" w:sz="12" w:val="single"/>
              <w:bottom w:color="008000" w:space="0" w:sz="12" w:val="single"/>
              <w:right w:color="ffffff" w:space="0" w:sz="12" w:val="single"/>
            </w:tcBorders>
            <w:tcMar>
              <w:top w:w="0.0" w:type="dxa"/>
              <w:left w:w="40.0" w:type="dxa"/>
              <w:bottom w:w="0.0" w:type="dxa"/>
              <w:right w:w="40.0" w:type="dxa"/>
            </w:tcM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pPr>
            <w:r w:rsidDel="00000000" w:rsidR="00000000" w:rsidRPr="00000000">
              <w:rPr>
                <w:rtl w:val="0"/>
              </w:rPr>
              <w:t xml:space="preserve">Refuelling station (HRS) for hydrogen-powered vehicles</w:t>
            </w:r>
          </w:p>
        </w:tc>
        <w:tc>
          <w:tcPr>
            <w:tcBorders>
              <w:top w:color="ffffff" w:space="0" w:sz="12" w:val="single"/>
              <w:left w:color="ffffff" w:space="0" w:sz="12" w:val="single"/>
              <w:bottom w:color="008000" w:space="0" w:sz="12" w:val="single"/>
              <w:right w:color="ffffff" w:space="0" w:sz="12" w:val="single"/>
            </w:tcBorders>
            <w:tcMar>
              <w:top w:w="0.0" w:type="dxa"/>
              <w:left w:w="40.0" w:type="dxa"/>
              <w:bottom w:w="0.0" w:type="dxa"/>
              <w:right w:w="40.0" w:type="dxa"/>
            </w:tcMa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76" w:lineRule="auto"/>
              <w:ind w:left="0" w:right="0" w:firstLine="0"/>
              <w:jc w:val="left"/>
              <w:rPr/>
            </w:pPr>
            <w:r w:rsidDel="00000000" w:rsidR="00000000" w:rsidRPr="00000000">
              <w:rPr>
                <w:rtl w:val="0"/>
              </w:rPr>
              <w:t xml:space="preserve">Tanker transfer area</w:t>
            </w:r>
          </w:p>
        </w:tc>
      </w:tr>
    </w:tb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Roboto" w:cs="Roboto" w:eastAsia="Roboto" w:hAnsi="Roboto"/>
          <w:b w:val="1"/>
          <w:i w:val="0"/>
          <w:smallCaps w:val="0"/>
          <w:strike w:val="0"/>
          <w:color w:val="1f1f1f"/>
          <w:sz w:val="18"/>
          <w:szCs w:val="18"/>
          <w:highlight w:val="white"/>
          <w:u w:val="none"/>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Other auxiliary systems</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control systems</w:t>
      </w:r>
      <w:r w:rsidDel="00000000" w:rsidR="00000000" w:rsidRPr="00000000">
        <w:rPr>
          <w:rtl w:val="0"/>
        </w:rPr>
        <w:t xml:space="preserve"> and utilities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cooling water, nitrogen, instrument air supply</w:t>
      </w:r>
      <w:r w:rsidDel="00000000" w:rsidR="00000000" w:rsidRPr="00000000">
        <w:rPr>
          <w:rtl w:val="0"/>
        </w:rPr>
        <w:t xml:space="preserve">,...) are also required.</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 2 Risk assessment</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the purposes of quantitative risk assessment (QRA) main steps includes: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historical analysis conducted by consulting international accident databases;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top events identification and evaluation of the expected frequencies for events;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application of event trees to identify accident scenarios and relative frequencies;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estimation of the consequences of scenarios.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 scenario describes the conditions that might lead to a major accident and the potential consequences, which in most cases is the loss of containment (LOC) </w:t>
      </w:r>
      <w:r w:rsidDel="00000000" w:rsidR="00000000" w:rsidRPr="00000000">
        <w:rPr>
          <w:rtl w:val="0"/>
        </w:rPr>
        <w:t xml:space="preserve">of a hazardous substance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also known as the critical event (CE), or the change of state of a solid substance, combined with particular conditions that eventually lead to a fire, explosion, and/or toxic </w:t>
      </w:r>
      <w:r w:rsidDel="00000000" w:rsidR="00000000" w:rsidRPr="00000000">
        <w:rPr>
          <w:rtl w:val="0"/>
        </w:rPr>
        <w:t xml:space="preserve">dispersion</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Gyenes et al</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2017) listed all possible scenarios deriving from LNG leak or full bore rupture from piping, loading/unloading arm/hose, pumps and other equipment.</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For each loss of containment events related to LNG release it </w:t>
      </w:r>
      <w:r w:rsidDel="00000000" w:rsidR="00000000" w:rsidRPr="00000000">
        <w:rPr>
          <w:rtl w:val="0"/>
        </w:rPr>
        <w:t xml:space="preserve">is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therefore possible to predict the incidental evolution:</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u w:val="none"/>
          <w:vertAlign w:val="baseline"/>
          <w:rtl w:val="0"/>
        </w:rPr>
        <w:t xml:space="preserve">release </w:t>
      </w:r>
      <w:r w:rsidDel="00000000" w:rsidR="00000000" w:rsidRPr="00000000">
        <w:rPr>
          <w:rtl w:val="0"/>
        </w:rPr>
        <w:t xml:space="preserve">can generate a </w:t>
      </w:r>
      <w:r w:rsidDel="00000000" w:rsidR="00000000" w:rsidRPr="00000000">
        <w:rPr>
          <w:rFonts w:ascii="Arial" w:cs="Arial" w:eastAsia="Arial" w:hAnsi="Arial"/>
          <w:b w:val="0"/>
          <w:i w:val="0"/>
          <w:smallCaps w:val="0"/>
          <w:strike w:val="0"/>
          <w:color w:val="000000"/>
          <w:u w:val="none"/>
          <w:vertAlign w:val="baseline"/>
          <w:rtl w:val="0"/>
        </w:rPr>
        <w:t xml:space="preserve">pool fire or a jet fire in case of immediate ignition or to a </w:t>
      </w:r>
      <w:r w:rsidDel="00000000" w:rsidR="00000000" w:rsidRPr="00000000">
        <w:rPr>
          <w:rtl w:val="0"/>
        </w:rPr>
        <w:t xml:space="preserve">f</w:t>
      </w:r>
      <w:r w:rsidDel="00000000" w:rsidR="00000000" w:rsidRPr="00000000">
        <w:rPr>
          <w:rFonts w:ascii="Arial" w:cs="Arial" w:eastAsia="Arial" w:hAnsi="Arial"/>
          <w:b w:val="0"/>
          <w:i w:val="0"/>
          <w:smallCaps w:val="0"/>
          <w:strike w:val="0"/>
          <w:color w:val="000000"/>
          <w:u w:val="none"/>
          <w:vertAlign w:val="baseline"/>
          <w:rtl w:val="0"/>
        </w:rPr>
        <w:t xml:space="preserve">lash </w:t>
      </w:r>
      <w:r w:rsidDel="00000000" w:rsidR="00000000" w:rsidRPr="00000000">
        <w:rPr>
          <w:rtl w:val="0"/>
        </w:rPr>
        <w:t xml:space="preserve">f</w:t>
      </w:r>
      <w:r w:rsidDel="00000000" w:rsidR="00000000" w:rsidRPr="00000000">
        <w:rPr>
          <w:rFonts w:ascii="Arial" w:cs="Arial" w:eastAsia="Arial" w:hAnsi="Arial"/>
          <w:b w:val="0"/>
          <w:i w:val="0"/>
          <w:smallCaps w:val="0"/>
          <w:strike w:val="0"/>
          <w:color w:val="000000"/>
          <w:u w:val="none"/>
          <w:vertAlign w:val="baseline"/>
          <w:rtl w:val="0"/>
        </w:rPr>
        <w:t xml:space="preserve">ire/explosion in case of delayed ignition of the </w:t>
      </w:r>
      <w:r w:rsidDel="00000000" w:rsidR="00000000" w:rsidRPr="00000000">
        <w:rPr>
          <w:rtl w:val="0"/>
        </w:rPr>
        <w:t xml:space="preserve">cloud (Vianello and Maschio, 2014).</w:t>
      </w:r>
    </w:p>
    <w:p w:rsidR="00000000" w:rsidDel="00000000" w:rsidP="00000000" w:rsidRDefault="00000000" w:rsidRPr="00000000" w14:paraId="000000D0">
      <w:pPr>
        <w:tabs>
          <w:tab w:val="right" w:leader="none" w:pos="7100"/>
          <w:tab w:val="right" w:leader="none" w:pos="7100"/>
        </w:tabs>
        <w:spacing w:line="240" w:lineRule="auto"/>
        <w:rPr/>
      </w:pPr>
      <w:r w:rsidDel="00000000" w:rsidR="00000000" w:rsidRPr="00000000">
        <w:rPr>
          <w:rtl w:val="0"/>
        </w:rPr>
        <w:t xml:space="preserve">As a result of the properties described above, hydrogen tends to dilute easily in an open atmosphere and to accumulate and stratify in the upper part of enclosed spaces, leading to major fire and explosion risks. Quantitative risk assessment of systems used for hydrogen production, transport, storage, and utilisation should be performed by advanced models such as computational fluid dynamics (CFDs).</w:t>
      </w:r>
      <w:r w:rsidDel="00000000" w:rsidR="00000000" w:rsidRPr="00000000">
        <w:rPr>
          <w:rtl w:val="0"/>
        </w:rPr>
      </w:r>
    </w:p>
    <w:p w:rsidR="00000000" w:rsidDel="00000000" w:rsidP="00000000" w:rsidRDefault="00000000" w:rsidRPr="00000000" w14:paraId="000000D1">
      <w:pPr>
        <w:tabs>
          <w:tab w:val="right" w:leader="none" w:pos="7100"/>
          <w:tab w:val="right" w:leader="none" w:pos="7100"/>
        </w:tabs>
        <w:spacing w:line="240" w:lineRule="auto"/>
        <w:rPr/>
      </w:pPr>
      <w:r w:rsidDel="00000000" w:rsidR="00000000" w:rsidRPr="00000000">
        <w:rPr>
          <w:rtl w:val="0"/>
        </w:rPr>
        <w:t xml:space="preserve">Calabrese et al. (2024) proposed a</w:t>
      </w:r>
      <w:r w:rsidDel="00000000" w:rsidR="00000000" w:rsidRPr="00000000">
        <w:rPr>
          <w:rtl w:val="0"/>
        </w:rPr>
        <w:t xml:space="preserve"> summary of the main CFD simulations of hydrogen dispersion and consequences. </w:t>
      </w:r>
      <w:r w:rsidDel="00000000" w:rsidR="00000000" w:rsidRPr="00000000">
        <w:rPr>
          <w:rtl w:val="0"/>
        </w:rPr>
        <w:t xml:space="preserve">The main hazardous scenarios related to the hydrogen identified from the HAZOP analysis about a hydrogen production process by electrolysis are explosion inside the process equipment due to formation of explosive mixture in a confined space and Jet fire or explosion scenarios due to hydrogen release from equipment ( Perelli and Genna, 2022).</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u w:val="none"/>
          <w:vertAlign w:val="baseline"/>
        </w:rPr>
      </w:pPr>
      <w:r w:rsidDel="00000000" w:rsidR="00000000" w:rsidRPr="00000000">
        <w:rPr>
          <w:rtl w:val="0"/>
        </w:rPr>
        <w:t xml:space="preserve">About LPG release, t</w:t>
      </w:r>
      <w:r w:rsidDel="00000000" w:rsidR="00000000" w:rsidRPr="00000000">
        <w:rPr>
          <w:rFonts w:ascii="Arial" w:cs="Arial" w:eastAsia="Arial" w:hAnsi="Arial"/>
          <w:b w:val="0"/>
          <w:i w:val="0"/>
          <w:smallCaps w:val="0"/>
          <w:strike w:val="0"/>
          <w:color w:val="000000"/>
          <w:u w:val="none"/>
          <w:vertAlign w:val="baseline"/>
          <w:rtl w:val="0"/>
        </w:rPr>
        <w:t xml:space="preserve">he probability that the ignition of an LPG cloud (n-butane or isobutane) could cause an unconfined </w:t>
      </w:r>
      <w:r w:rsidDel="00000000" w:rsidR="00000000" w:rsidRPr="00000000">
        <w:rPr>
          <w:rtl w:val="0"/>
        </w:rPr>
        <w:t xml:space="preserve">vapour</w:t>
      </w:r>
      <w:r w:rsidDel="00000000" w:rsidR="00000000" w:rsidRPr="00000000">
        <w:rPr>
          <w:rFonts w:ascii="Arial" w:cs="Arial" w:eastAsia="Arial" w:hAnsi="Arial"/>
          <w:b w:val="0"/>
          <w:i w:val="0"/>
          <w:smallCaps w:val="0"/>
          <w:strike w:val="0"/>
          <w:color w:val="000000"/>
          <w:u w:val="none"/>
          <w:vertAlign w:val="baseline"/>
          <w:rtl w:val="0"/>
        </w:rPr>
        <w:t xml:space="preserve"> cloud explosion (UVCE) rather than a Flash-Fire, depends on the geometry of the place where the cloud is located and from the mass within flammability </w:t>
      </w:r>
      <w:r w:rsidDel="00000000" w:rsidR="00000000" w:rsidRPr="00000000">
        <w:rPr>
          <w:rtl w:val="0"/>
        </w:rPr>
        <w:t xml:space="preserve">range</w:t>
      </w:r>
      <w:r w:rsidDel="00000000" w:rsidR="00000000" w:rsidRPr="00000000">
        <w:rPr>
          <w:rFonts w:ascii="Arial" w:cs="Arial" w:eastAsia="Arial" w:hAnsi="Arial"/>
          <w:b w:val="0"/>
          <w:i w:val="0"/>
          <w:smallCaps w:val="0"/>
          <w:strike w:val="0"/>
          <w:color w:val="000000"/>
          <w:u w:val="none"/>
          <w:vertAlign w:val="baseline"/>
          <w:rtl w:val="0"/>
        </w:rPr>
        <w:t xml:space="preserve">. It is reasonable to</w:t>
      </w:r>
      <w:r w:rsidDel="00000000" w:rsidR="00000000" w:rsidRPr="00000000">
        <w:rPr>
          <w:rtl w:val="0"/>
        </w:rPr>
        <w:t xml:space="preserve"> consider explosion scenarios when</w:t>
      </w:r>
      <w:r w:rsidDel="00000000" w:rsidR="00000000" w:rsidRPr="00000000">
        <w:rPr>
          <w:rFonts w:ascii="Arial" w:cs="Arial" w:eastAsia="Arial" w:hAnsi="Arial"/>
          <w:b w:val="0"/>
          <w:i w:val="0"/>
          <w:smallCaps w:val="0"/>
          <w:strike w:val="0"/>
          <w:color w:val="000000"/>
          <w:u w:val="none"/>
          <w:vertAlign w:val="baseline"/>
          <w:rtl w:val="0"/>
        </w:rPr>
        <w:t xml:space="preserve"> the vapour quantity within flammability limits is greater than 1.5 t </w:t>
      </w:r>
      <w:r w:rsidDel="00000000" w:rsidR="00000000" w:rsidRPr="00000000">
        <w:rPr>
          <w:rtl w:val="0"/>
        </w:rPr>
        <w:t xml:space="preserve">in a partially</w:t>
      </w:r>
      <w:r w:rsidDel="00000000" w:rsidR="00000000" w:rsidRPr="00000000">
        <w:rPr>
          <w:rFonts w:ascii="Arial" w:cs="Arial" w:eastAsia="Arial" w:hAnsi="Arial"/>
          <w:b w:val="0"/>
          <w:i w:val="0"/>
          <w:smallCaps w:val="0"/>
          <w:strike w:val="0"/>
          <w:color w:val="000000"/>
          <w:u w:val="none"/>
          <w:vertAlign w:val="baseline"/>
          <w:rtl w:val="0"/>
        </w:rPr>
        <w:t xml:space="preserve"> confined environment or greater than 5 t</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u w:val="none"/>
          <w:vertAlign w:val="baseline"/>
          <w:rtl w:val="0"/>
        </w:rPr>
        <w:t xml:space="preserve">in an unconfined environment. Below these limits, contribution of the cloud explosion to the global risk can be considered marginal (</w:t>
      </w:r>
      <w:r w:rsidDel="00000000" w:rsidR="00000000" w:rsidRPr="00000000">
        <w:rPr>
          <w:rtl w:val="0"/>
        </w:rPr>
        <w:t xml:space="preserve">Italian</w:t>
      </w:r>
      <w:r w:rsidDel="00000000" w:rsidR="00000000" w:rsidRPr="00000000">
        <w:rPr>
          <w:rFonts w:ascii="Arial" w:cs="Arial" w:eastAsia="Arial" w:hAnsi="Arial"/>
          <w:b w:val="0"/>
          <w:i w:val="0"/>
          <w:smallCaps w:val="0"/>
          <w:strike w:val="0"/>
          <w:color w:val="000000"/>
          <w:u w:val="none"/>
          <w:vertAlign w:val="baseline"/>
          <w:rtl w:val="0"/>
        </w:rPr>
        <w:t xml:space="preserve"> Ministerial Decree 15/06/1996, Appendix III).</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Safety barriers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order to limit the effects of any releases of dangerous substances and/or consequent scenarios effects, adequate measures to reduce frequency and magnitude of accident scenarios must be adopted. </w:t>
      </w:r>
      <w:r w:rsidDel="00000000" w:rsidR="00000000" w:rsidRPr="00000000">
        <w:rPr>
          <w:rtl w:val="0"/>
        </w:rPr>
        <w:t xml:space="preserve">General p</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reventive and protective measures common to all the described projects are listed in Table 5.</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2.5984251968520766" w:firstLine="0"/>
        <w:jc w:val="both"/>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Table 5: General </w:t>
      </w:r>
      <w:r w:rsidDel="00000000" w:rsidR="00000000" w:rsidRPr="00000000">
        <w:rPr>
          <w:i w:val="1"/>
          <w:rtl w:val="0"/>
        </w:rPr>
        <w:t xml:space="preserve">s</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afety protection layers and barriers common to all project</w:t>
      </w:r>
      <w:r w:rsidDel="00000000" w:rsidR="00000000" w:rsidRPr="00000000">
        <w:rPr>
          <w:i w:val="1"/>
          <w:rtl w:val="0"/>
        </w:rPr>
        <w:t xml:space="preserve">s </w:t>
      </w:r>
      <w:r w:rsidDel="00000000" w:rsidR="00000000" w:rsidRPr="00000000">
        <w:rPr>
          <w:rtl w:val="0"/>
        </w:rPr>
      </w:r>
    </w:p>
    <w:tbl>
      <w:tblPr>
        <w:tblStyle w:val="Table6"/>
        <w:tblW w:w="88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7255"/>
        <w:tblGridChange w:id="0">
          <w:tblGrid>
            <w:gridCol w:w="1575"/>
            <w:gridCol w:w="7255"/>
          </w:tblGrid>
        </w:tblGridChange>
      </w:tblGrid>
      <w:tr>
        <w:trPr>
          <w:cantSplit w:val="0"/>
          <w:tblHeader w:val="0"/>
        </w:trPr>
        <w:tc>
          <w:tcPr>
            <w:tcBorders>
              <w:top w:color="008000" w:space="0" w:sz="12" w:val="single"/>
              <w:left w:color="ffffff" w:space="0" w:sz="8" w:val="single"/>
              <w:bottom w:color="008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Issues</w:t>
            </w:r>
          </w:p>
        </w:tc>
        <w:tc>
          <w:tcPr>
            <w:tcBorders>
              <w:top w:color="008000" w:space="0" w:sz="12" w:val="single"/>
              <w:left w:color="ffffff" w:space="0" w:sz="8" w:val="single"/>
              <w:bottom w:color="008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t xml:space="preserve">General</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measures </w:t>
            </w:r>
          </w:p>
        </w:tc>
      </w:tr>
      <w:tr>
        <w:trPr>
          <w:cantSplit w:val="0"/>
          <w:tblHeader w:val="0"/>
        </w:trPr>
        <w:tc>
          <w:tcPr>
            <w:tcBorders>
              <w:top w:color="008000"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left"/>
              <w:rPr/>
            </w:pPr>
            <w:r w:rsidDel="00000000" w:rsidR="00000000" w:rsidRPr="00000000">
              <w:rPr>
                <w:rtl w:val="0"/>
              </w:rPr>
              <w:t xml:space="preserve">Design</w:t>
            </w:r>
          </w:p>
        </w:tc>
        <w:tc>
          <w:tcPr>
            <w:tcBorders>
              <w:top w:color="008000"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tabs>
                <w:tab w:val="right" w:leader="none" w:pos="7100"/>
                <w:tab w:val="right" w:leader="none" w:pos="7100"/>
              </w:tabs>
              <w:spacing w:line="240" w:lineRule="auto"/>
              <w:rPr/>
            </w:pPr>
            <w:r w:rsidDel="00000000" w:rsidR="00000000" w:rsidRPr="00000000">
              <w:rPr>
                <w:rtl w:val="0"/>
              </w:rPr>
              <w:t xml:space="preserve">Internationally recognized standards for 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esign and construction of</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systems and equipment</w:t>
            </w:r>
            <w:r w:rsidDel="00000000" w:rsidR="00000000" w:rsidRPr="00000000">
              <w:rPr>
                <w:rtl w:val="0"/>
              </w:rPr>
              <w:t xml:space="preserve">, minimization of small diameter pipes/detachments and/or flanged fittings</w:t>
            </w:r>
          </w:p>
          <w:p w:rsidR="00000000" w:rsidDel="00000000" w:rsidP="00000000" w:rsidRDefault="00000000" w:rsidRPr="00000000" w14:paraId="000000DD">
            <w:pPr>
              <w:tabs>
                <w:tab w:val="right" w:leader="none" w:pos="7100"/>
                <w:tab w:val="right" w:leader="none" w:pos="7100"/>
              </w:tabs>
              <w:spacing w:line="240" w:lineRule="auto"/>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tl w:val="0"/>
              </w:rPr>
              <w:t xml:space="preserve">Layout and protections to reduce accidental impacts and preventing Natech risks (wind, flooding,..), internal and external separation distances between buildings, ATEX design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left"/>
              <w:rPr/>
            </w:pPr>
            <w:r w:rsidDel="00000000" w:rsidR="00000000" w:rsidRPr="00000000">
              <w:rPr>
                <w:rtl w:val="0"/>
              </w:rPr>
              <w:t xml:space="preserve">Process control</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DF">
            <w:pPr>
              <w:tabs>
                <w:tab w:val="right" w:leader="none" w:pos="7100"/>
                <w:tab w:val="right" w:leader="none" w:pos="7100"/>
              </w:tabs>
              <w:spacing w:line="240" w:lineRule="auto"/>
              <w:rPr/>
            </w:pPr>
            <w:r w:rsidDel="00000000" w:rsidR="00000000" w:rsidRPr="00000000">
              <w:rPr>
                <w:rtl w:val="0"/>
              </w:rPr>
              <w:t xml:space="preserve">Process Control System (DCS)</w:t>
            </w:r>
          </w:p>
          <w:p w:rsidR="00000000" w:rsidDel="00000000" w:rsidP="00000000" w:rsidRDefault="00000000" w:rsidRPr="00000000" w14:paraId="000000E0">
            <w:pPr>
              <w:widowControl w:val="0"/>
              <w:tabs>
                <w:tab w:val="right" w:leader="none" w:pos="7100"/>
                <w:tab w:val="right" w:leader="none" w:pos="7100"/>
              </w:tabs>
              <w:spacing w:line="240" w:lineRule="auto"/>
              <w:ind w:right="2.598425196851508"/>
              <w:rPr/>
            </w:pPr>
            <w:r w:rsidDel="00000000" w:rsidR="00000000" w:rsidRPr="00000000">
              <w:rPr>
                <w:rtl w:val="0"/>
              </w:rPr>
              <w:t xml:space="preserve">Remotely controlled shut-off valves for isolating lines and equipment to reduce releases</w:t>
            </w:r>
          </w:p>
          <w:p w:rsidR="00000000" w:rsidDel="00000000" w:rsidP="00000000" w:rsidRDefault="00000000" w:rsidRPr="00000000" w14:paraId="000000E1">
            <w:pPr>
              <w:widowControl w:val="0"/>
              <w:tabs>
                <w:tab w:val="right" w:leader="none" w:pos="7100"/>
                <w:tab w:val="right" w:leader="none" w:pos="7100"/>
              </w:tabs>
              <w:spacing w:line="240" w:lineRule="auto"/>
              <w:ind w:right="-139.13385826771673"/>
              <w:jc w:val="left"/>
              <w:rPr/>
            </w:pPr>
            <w:r w:rsidDel="00000000" w:rsidR="00000000" w:rsidRPr="00000000">
              <w:rPr>
                <w:rtl w:val="0"/>
              </w:rPr>
              <w:t xml:space="preserve">Independence between process control instrumentation and safety blocks and alarms</w:t>
            </w:r>
          </w:p>
          <w:p w:rsidR="00000000" w:rsidDel="00000000" w:rsidP="00000000" w:rsidRDefault="00000000" w:rsidRPr="00000000" w14:paraId="000000E2">
            <w:pPr>
              <w:tabs>
                <w:tab w:val="right" w:leader="none" w:pos="7100"/>
                <w:tab w:val="right" w:leader="none" w:pos="7100"/>
              </w:tabs>
              <w:spacing w:line="240" w:lineRule="auto"/>
              <w:rPr/>
            </w:pPr>
            <w:r w:rsidDel="00000000" w:rsidR="00000000" w:rsidRPr="00000000">
              <w:rPr>
                <w:rtl w:val="0"/>
              </w:rPr>
              <w:t xml:space="preserve">Pressure safety valves (PSV) and depressurisation valves (BDV) according to legal regulations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Environmental protection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4">
            <w:pPr>
              <w:widowControl w:val="0"/>
              <w:tabs>
                <w:tab w:val="right" w:leader="none" w:pos="7100"/>
                <w:tab w:val="right" w:leader="none" w:pos="7100"/>
              </w:tabs>
              <w:spacing w:line="240" w:lineRule="auto"/>
              <w:rPr/>
            </w:pPr>
            <w:r w:rsidDel="00000000" w:rsidR="00000000" w:rsidRPr="00000000">
              <w:rPr>
                <w:rtl w:val="0"/>
              </w:rPr>
              <w:t xml:space="preserve">Containment systems and sewage system interception in order to contain liquid leaks and extinguishing water in case of fire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Personal Equipment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vertAlign w:val="baseline"/>
              </w:rPr>
            </w:pPr>
            <w:r w:rsidDel="00000000" w:rsidR="00000000" w:rsidRPr="00000000">
              <w:rPr>
                <w:rtl w:val="0"/>
              </w:rPr>
              <w:t xml:space="preserve">Personal Protective Equipment</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to protect against risks associated with handling (flammability,  asphyxiation, cold burn</w:t>
            </w:r>
            <w:r w:rsidDel="00000000" w:rsidR="00000000" w:rsidRPr="00000000">
              <w:rPr>
                <w:rtl w:val="0"/>
              </w:rPr>
              <w:t xml:space="preserve">s for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cryogenic liquids)</w:t>
            </w:r>
            <w:r w:rsidDel="00000000" w:rsidR="00000000" w:rsidRPr="00000000">
              <w:rPr>
                <w:rtl w:val="0"/>
              </w:rPr>
              <w:t xml:space="preserve"> and portable sensors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Emergency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8">
            <w:pPr>
              <w:tabs>
                <w:tab w:val="right" w:leader="none" w:pos="7100"/>
                <w:tab w:val="right" w:leader="none" w:pos="7100"/>
              </w:tabs>
              <w:spacing w:line="240" w:lineRule="auto"/>
              <w:rPr/>
            </w:pPr>
            <w:r w:rsidDel="00000000" w:rsidR="00000000" w:rsidRPr="00000000">
              <w:rPr>
                <w:rtl w:val="0"/>
              </w:rPr>
              <w:t xml:space="preserve">Emergency Shutdown Systems</w:t>
            </w:r>
          </w:p>
          <w:p w:rsidR="00000000" w:rsidDel="00000000" w:rsidP="00000000" w:rsidRDefault="00000000" w:rsidRPr="00000000" w14:paraId="000000E9">
            <w:pPr>
              <w:tabs>
                <w:tab w:val="right" w:leader="none" w:pos="7100"/>
                <w:tab w:val="right" w:leader="none" w:pos="7100"/>
              </w:tabs>
              <w:spacing w:line="240" w:lineRule="auto"/>
              <w:rPr/>
            </w:pPr>
            <w:r w:rsidDel="00000000" w:rsidR="00000000" w:rsidRPr="00000000">
              <w:rPr>
                <w:rtl w:val="0"/>
              </w:rPr>
              <w:t xml:space="preserve">Systems to manage emergency communications (alarms, phones, radio,...)</w:t>
            </w:r>
          </w:p>
          <w:p w:rsidR="00000000" w:rsidDel="00000000" w:rsidP="00000000" w:rsidRDefault="00000000" w:rsidRPr="00000000" w14:paraId="000000EA">
            <w:pPr>
              <w:tabs>
                <w:tab w:val="right" w:leader="none" w:pos="7100"/>
                <w:tab w:val="right" w:leader="none" w:pos="7100"/>
              </w:tabs>
              <w:spacing w:line="240" w:lineRule="auto"/>
              <w:rPr/>
            </w:pPr>
            <w:r w:rsidDel="00000000" w:rsidR="00000000" w:rsidRPr="00000000">
              <w:rPr>
                <w:rtl w:val="0"/>
              </w:rPr>
              <w:t xml:space="preserve">UNI 70 hydrant network for plant protection</w:t>
            </w:r>
          </w:p>
          <w:p w:rsidR="00000000" w:rsidDel="00000000" w:rsidP="00000000" w:rsidRDefault="00000000" w:rsidRPr="00000000" w14:paraId="000000EB">
            <w:pPr>
              <w:tabs>
                <w:tab w:val="right" w:leader="none" w:pos="7100"/>
                <w:tab w:val="right" w:leader="none" w:pos="7100"/>
              </w:tabs>
              <w:spacing w:line="240" w:lineRule="auto"/>
              <w:rPr/>
            </w:pPr>
            <w:r w:rsidDel="00000000" w:rsidR="00000000" w:rsidRPr="00000000">
              <w:rPr>
                <w:rtl w:val="0"/>
              </w:rPr>
              <w:t xml:space="preserve">Emergency p</w:t>
            </w:r>
            <w:r w:rsidDel="00000000" w:rsidR="00000000" w:rsidRPr="00000000">
              <w:rPr>
                <w:rtl w:val="0"/>
              </w:rPr>
              <w:t xml:space="preserve">lanning procedures also in case of natural events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Safety Management System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Major </w:t>
            </w:r>
            <w:r w:rsidDel="00000000" w:rsidR="00000000" w:rsidRPr="00000000">
              <w:rPr>
                <w:rtl w:val="0"/>
              </w:rPr>
              <w:t xml:space="preserve">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ccidents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olicy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revention </w:t>
            </w:r>
            <w:r w:rsidDel="00000000" w:rsidR="00000000" w:rsidRPr="00000000">
              <w:rPr>
                <w:rtl w:val="0"/>
              </w:rPr>
              <w:t xml:space="preserve">d</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ocument </w:t>
            </w:r>
            <w:r w:rsidDel="00000000" w:rsidR="00000000" w:rsidRPr="00000000">
              <w:rPr>
                <w:rtl w:val="0"/>
              </w:rPr>
              <w:t xml:space="preserve">and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safety management system</w:t>
            </w:r>
            <w:r w:rsidDel="00000000" w:rsidR="00000000" w:rsidRPr="00000000">
              <w:rPr>
                <w:rtl w:val="0"/>
              </w:rPr>
              <w:t xml:space="preserve"> (information/training, operating instructions for loading/unloading operations and storage management, scheduled maintenance, management of changes…)</w:t>
            </w:r>
            <w:r w:rsidDel="00000000" w:rsidR="00000000" w:rsidRPr="00000000">
              <w:rPr>
                <w:rtl w:val="0"/>
              </w:rPr>
            </w:r>
          </w:p>
        </w:tc>
      </w:tr>
      <w:tr>
        <w:trPr>
          <w:cantSplit w:val="0"/>
          <w:tblHeader w:val="0"/>
        </w:trPr>
        <w:tc>
          <w:tcPr>
            <w:tcBorders>
              <w:top w:color="ffffff" w:space="0" w:sz="8" w:val="single"/>
              <w:left w:color="ffffff" w:space="0" w:sz="8" w:val="single"/>
              <w:bottom w:color="008000"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Security</w:t>
            </w:r>
            <w:r w:rsidDel="00000000" w:rsidR="00000000" w:rsidRPr="00000000">
              <w:rPr>
                <w:rtl w:val="0"/>
              </w:rPr>
            </w:r>
          </w:p>
        </w:tc>
        <w:tc>
          <w:tcPr>
            <w:tcBorders>
              <w:top w:color="ffffff" w:space="0" w:sz="8" w:val="single"/>
              <w:left w:color="ffffff" w:space="0" w:sz="8" w:val="single"/>
              <w:bottom w:color="008000"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Access control systems</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anti-intrusion system and </w:t>
            </w:r>
            <w:r w:rsidDel="00000000" w:rsidR="00000000" w:rsidRPr="00000000">
              <w:rPr>
                <w:rtl w:val="0"/>
              </w:rPr>
              <w:t xml:space="preserve">v</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ideo surveillance system to monitor strategic areas of the plant from the control room </w:t>
            </w:r>
            <w:r w:rsidDel="00000000" w:rsidR="00000000" w:rsidRPr="00000000">
              <w:rPr>
                <w:rtl w:val="0"/>
              </w:rPr>
            </w:r>
          </w:p>
        </w:tc>
      </w:tr>
    </w:tbl>
    <w:p w:rsidR="00000000" w:rsidDel="00000000" w:rsidP="00000000" w:rsidRDefault="00000000" w:rsidRPr="00000000" w14:paraId="000000F0">
      <w:pPr>
        <w:tabs>
          <w:tab w:val="right" w:leader="none" w:pos="7100"/>
          <w:tab w:val="right" w:leader="none" w:pos="7100"/>
        </w:tabs>
        <w:spacing w:line="240" w:lineRule="auto"/>
        <w:rPr>
          <w:b w:val="1"/>
        </w:rPr>
      </w:pPr>
      <w:r w:rsidDel="00000000" w:rsidR="00000000" w:rsidRPr="00000000">
        <w:rPr>
          <w:rtl w:val="0"/>
        </w:rPr>
      </w:r>
    </w:p>
    <w:p w:rsidR="00000000" w:rsidDel="00000000" w:rsidP="00000000" w:rsidRDefault="00000000" w:rsidRPr="00000000" w14:paraId="000000F1">
      <w:pPr>
        <w:widowControl w:val="0"/>
        <w:tabs>
          <w:tab w:val="right" w:leader="none" w:pos="7100"/>
          <w:tab w:val="right" w:leader="none" w:pos="7100"/>
        </w:tabs>
        <w:spacing w:line="240" w:lineRule="auto"/>
        <w:ind w:right="2.598425196851508"/>
        <w:rPr/>
      </w:pPr>
      <w:r w:rsidDel="00000000" w:rsidR="00000000" w:rsidRPr="00000000">
        <w:rPr>
          <w:rtl w:val="0"/>
        </w:rPr>
        <w:t xml:space="preserve">Appropriate choice of materials, process monitoring of safety relevant parameters, correct placement for Fire &amp; Gas control systems and protection systems are also important to prevent major accidents. Some other specific safety aspects for each project are described in Table 6.</w:t>
      </w:r>
    </w:p>
    <w:p w:rsidR="00000000" w:rsidDel="00000000" w:rsidP="00000000" w:rsidRDefault="00000000" w:rsidRPr="00000000" w14:paraId="000000F2">
      <w:pPr>
        <w:widowControl w:val="0"/>
        <w:tabs>
          <w:tab w:val="right" w:leader="none" w:pos="7100"/>
          <w:tab w:val="right" w:leader="none" w:pos="7100"/>
        </w:tabs>
        <w:spacing w:line="240" w:lineRule="auto"/>
        <w:ind w:right="2.598425196851508"/>
        <w:rPr/>
      </w:pPr>
      <w:r w:rsidDel="00000000" w:rsidR="00000000" w:rsidRPr="00000000">
        <w:rPr>
          <w:rtl w:val="0"/>
        </w:rPr>
      </w:r>
    </w:p>
    <w:p w:rsidR="00000000" w:rsidDel="00000000" w:rsidP="00000000" w:rsidRDefault="00000000" w:rsidRPr="00000000" w14:paraId="000000F3">
      <w:pPr>
        <w:tabs>
          <w:tab w:val="right" w:leader="none" w:pos="7100"/>
          <w:tab w:val="right" w:leader="none" w:pos="7100"/>
        </w:tabs>
        <w:spacing w:line="240" w:lineRule="auto"/>
        <w:rPr>
          <w:highlight w:val="yellow"/>
        </w:rPr>
      </w:pPr>
      <w:r w:rsidDel="00000000" w:rsidR="00000000" w:rsidRPr="00000000">
        <w:rPr>
          <w:i w:val="1"/>
          <w:rtl w:val="0"/>
        </w:rPr>
        <w:t xml:space="preserve">Table 6: Specific safety barriers for LNG facilities, green H</w:t>
      </w:r>
      <w:r w:rsidDel="00000000" w:rsidR="00000000" w:rsidRPr="00000000">
        <w:rPr>
          <w:i w:val="1"/>
          <w:vertAlign w:val="subscript"/>
          <w:rtl w:val="0"/>
        </w:rPr>
        <w:t xml:space="preserve">2 </w:t>
      </w:r>
      <w:r w:rsidDel="00000000" w:rsidR="00000000" w:rsidRPr="00000000">
        <w:rPr>
          <w:i w:val="1"/>
          <w:rtl w:val="0"/>
        </w:rPr>
        <w:t xml:space="preserve">production plant and ORC plant</w:t>
      </w:r>
      <w:r w:rsidDel="00000000" w:rsidR="00000000" w:rsidRPr="00000000">
        <w:rPr>
          <w:rtl w:val="0"/>
        </w:rPr>
      </w:r>
    </w:p>
    <w:tbl>
      <w:tblPr>
        <w:tblStyle w:val="Table7"/>
        <w:tblW w:w="894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255"/>
        <w:gridCol w:w="2925"/>
        <w:gridCol w:w="2595"/>
        <w:gridCol w:w="2355"/>
        <w:tblGridChange w:id="0">
          <w:tblGrid>
            <w:gridCol w:w="810"/>
            <w:gridCol w:w="255"/>
            <w:gridCol w:w="2925"/>
            <w:gridCol w:w="2595"/>
            <w:gridCol w:w="2355"/>
          </w:tblGrid>
        </w:tblGridChange>
      </w:tblGrid>
      <w:tr>
        <w:trPr>
          <w:cantSplit w:val="0"/>
          <w:trHeight w:val="431" w:hRule="atLeast"/>
          <w:tblHeader w:val="0"/>
        </w:trPr>
        <w:tc>
          <w:tcPr>
            <w:tcBorders>
              <w:top w:color="008000" w:space="0" w:sz="12" w:val="single"/>
              <w:left w:color="ffffff" w:space="0" w:sz="8" w:val="single"/>
              <w:bottom w:color="008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4">
            <w:pPr>
              <w:widowControl w:val="0"/>
              <w:tabs>
                <w:tab w:val="right" w:leader="none" w:pos="7100"/>
                <w:tab w:val="right" w:leader="none" w:pos="7100"/>
              </w:tabs>
              <w:spacing w:line="240" w:lineRule="auto"/>
              <w:jc w:val="center"/>
              <w:rPr/>
            </w:pPr>
            <w:r w:rsidDel="00000000" w:rsidR="00000000" w:rsidRPr="00000000">
              <w:rPr>
                <w:rtl w:val="0"/>
              </w:rPr>
              <w:t xml:space="preserve">Issues</w:t>
            </w:r>
          </w:p>
        </w:tc>
        <w:tc>
          <w:tcPr>
            <w:tcBorders>
              <w:top w:color="008000" w:space="0" w:sz="12" w:val="single"/>
              <w:left w:color="ffffff" w:space="0" w:sz="8" w:val="single"/>
              <w:bottom w:color="008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5">
            <w:pPr>
              <w:widowControl w:val="0"/>
              <w:tabs>
                <w:tab w:val="right" w:leader="none" w:pos="7100"/>
                <w:tab w:val="right" w:leader="none" w:pos="7100"/>
              </w:tabs>
              <w:spacing w:line="240" w:lineRule="auto"/>
              <w:ind w:left="-708.661417322835" w:firstLine="0"/>
              <w:jc w:val="center"/>
              <w:rPr/>
            </w:pPr>
            <w:r w:rsidDel="00000000" w:rsidR="00000000" w:rsidRPr="00000000">
              <w:rPr>
                <w:rtl w:val="0"/>
              </w:rPr>
            </w:r>
          </w:p>
        </w:tc>
        <w:tc>
          <w:tcPr>
            <w:tcBorders>
              <w:top w:color="008000" w:space="0" w:sz="12" w:val="single"/>
              <w:left w:color="ffffff" w:space="0" w:sz="8" w:val="single"/>
              <w:bottom w:color="008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6">
            <w:pPr>
              <w:tabs>
                <w:tab w:val="right" w:leader="none" w:pos="7100"/>
                <w:tab w:val="right" w:leader="none" w:pos="7100"/>
              </w:tabs>
              <w:spacing w:line="240" w:lineRule="auto"/>
              <w:jc w:val="center"/>
              <w:rPr/>
            </w:pPr>
            <w:r w:rsidDel="00000000" w:rsidR="00000000" w:rsidRPr="00000000">
              <w:rPr>
                <w:rtl w:val="0"/>
              </w:rPr>
              <w:t xml:space="preserve">LNG facilities </w:t>
            </w:r>
          </w:p>
        </w:tc>
        <w:tc>
          <w:tcPr>
            <w:tcBorders>
              <w:top w:color="008000" w:space="0" w:sz="12" w:val="single"/>
              <w:left w:color="ffffff" w:space="0" w:sz="8" w:val="single"/>
              <w:bottom w:color="008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7">
            <w:pPr>
              <w:tabs>
                <w:tab w:val="right" w:leader="none" w:pos="7100"/>
                <w:tab w:val="right" w:leader="none" w:pos="7100"/>
              </w:tabs>
              <w:spacing w:line="240" w:lineRule="auto"/>
              <w:jc w:val="center"/>
              <w:rPr/>
            </w:pPr>
            <w:r w:rsidDel="00000000" w:rsidR="00000000" w:rsidRPr="00000000">
              <w:rPr>
                <w:rtl w:val="0"/>
              </w:rPr>
              <w:t xml:space="preserve">Green H</w:t>
            </w:r>
            <w:r w:rsidDel="00000000" w:rsidR="00000000" w:rsidRPr="00000000">
              <w:rPr>
                <w:vertAlign w:val="subscript"/>
                <w:rtl w:val="0"/>
              </w:rPr>
              <w:t xml:space="preserve">2</w:t>
            </w:r>
            <w:r w:rsidDel="00000000" w:rsidR="00000000" w:rsidRPr="00000000">
              <w:rPr>
                <w:rtl w:val="0"/>
              </w:rPr>
              <w:t xml:space="preserve"> production</w:t>
            </w:r>
          </w:p>
        </w:tc>
        <w:tc>
          <w:tcPr>
            <w:tcBorders>
              <w:top w:color="008000" w:space="0" w:sz="12" w:val="single"/>
              <w:left w:color="ffffff" w:space="0" w:sz="8" w:val="single"/>
              <w:bottom w:color="008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8">
            <w:pPr>
              <w:tabs>
                <w:tab w:val="right" w:leader="none" w:pos="7100"/>
                <w:tab w:val="right" w:leader="none" w:pos="7100"/>
              </w:tabs>
              <w:spacing w:line="240" w:lineRule="auto"/>
              <w:ind w:left="566.9291338582673" w:right="315" w:firstLine="0"/>
              <w:jc w:val="center"/>
              <w:rPr/>
            </w:pPr>
            <w:r w:rsidDel="00000000" w:rsidR="00000000" w:rsidRPr="00000000">
              <w:rPr>
                <w:rtl w:val="0"/>
              </w:rPr>
              <w:t xml:space="preserve">ORC plant</w:t>
            </w:r>
          </w:p>
        </w:tc>
      </w:tr>
      <w:tr>
        <w:trPr>
          <w:cantSplit w:val="0"/>
          <w:trHeight w:val="443"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9">
            <w:pPr>
              <w:widowControl w:val="0"/>
              <w:tabs>
                <w:tab w:val="right" w:leader="none" w:pos="7100"/>
                <w:tab w:val="right" w:leader="none" w:pos="7100"/>
              </w:tabs>
              <w:spacing w:line="240" w:lineRule="auto"/>
              <w:ind w:right="-51.259842519684895"/>
              <w:rPr/>
            </w:pPr>
            <w:r w:rsidDel="00000000" w:rsidR="00000000" w:rsidRPr="00000000">
              <w:rPr>
                <w:rtl w:val="0"/>
              </w:rPr>
              <w:t xml:space="preserve">Materials </w:t>
            </w:r>
          </w:p>
          <w:p w:rsidR="00000000" w:rsidDel="00000000" w:rsidP="00000000" w:rsidRDefault="00000000" w:rsidRPr="00000000" w14:paraId="000000FA">
            <w:pPr>
              <w:widowControl w:val="0"/>
              <w:tabs>
                <w:tab w:val="right" w:leader="none" w:pos="7100"/>
                <w:tab w:val="right" w:leader="none" w:pos="7100"/>
              </w:tabs>
              <w:spacing w:line="240" w:lineRule="auto"/>
              <w:ind w:right="-51.259842519684895"/>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C">
            <w:pPr>
              <w:tabs>
                <w:tab w:val="right" w:leader="none" w:pos="7100"/>
                <w:tab w:val="right" w:leader="none" w:pos="7100"/>
              </w:tabs>
              <w:spacing w:line="240" w:lineRule="auto"/>
              <w:rPr/>
            </w:pPr>
            <w:r w:rsidDel="00000000" w:rsidR="00000000" w:rsidRPr="00000000">
              <w:rPr>
                <w:rtl w:val="0"/>
              </w:rPr>
              <w:t xml:space="preserve">Nickel stainless steel and cryogenic insulation materials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D">
            <w:pPr>
              <w:tabs>
                <w:tab w:val="right" w:leader="none" w:pos="7100"/>
                <w:tab w:val="right" w:leader="none" w:pos="7100"/>
              </w:tabs>
              <w:spacing w:line="240" w:lineRule="auto"/>
              <w:jc w:val="left"/>
              <w:rPr/>
            </w:pPr>
            <w:r w:rsidDel="00000000" w:rsidR="00000000" w:rsidRPr="00000000">
              <w:rPr>
                <w:rtl w:val="0"/>
              </w:rPr>
              <w:t xml:space="preserve">Special materials to avoid embrittlement (Cr-Ni-Mo austenitic stainless steels)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E">
            <w:pPr>
              <w:tabs>
                <w:tab w:val="right" w:leader="none" w:pos="7100"/>
                <w:tab w:val="right" w:leader="none" w:pos="7100"/>
              </w:tabs>
              <w:spacing w:line="240" w:lineRule="auto"/>
              <w:ind w:right="315"/>
              <w:rPr/>
            </w:pPr>
            <w:r w:rsidDel="00000000" w:rsidR="00000000" w:rsidRPr="00000000">
              <w:rPr>
                <w:rtl w:val="0"/>
              </w:rPr>
              <w:t xml:space="preserve">Stainless steel </w:t>
            </w:r>
          </w:p>
        </w:tc>
      </w:tr>
      <w:tr>
        <w:trPr>
          <w:cantSplit w:val="0"/>
          <w:trHeight w:val="38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F">
            <w:pPr>
              <w:tabs>
                <w:tab w:val="right" w:leader="none" w:pos="7100"/>
                <w:tab w:val="right" w:leader="none" w:pos="7100"/>
              </w:tabs>
              <w:spacing w:line="240" w:lineRule="auto"/>
              <w:ind w:right="-51.259842519684895"/>
              <w:rPr/>
            </w:pPr>
            <w:r w:rsidDel="00000000" w:rsidR="00000000" w:rsidRPr="00000000">
              <w:rPr>
                <w:rtl w:val="0"/>
              </w:rPr>
              <w:t xml:space="preserve">Process monitoring and safety systems</w:t>
            </w:r>
          </w:p>
          <w:p w:rsidR="00000000" w:rsidDel="00000000" w:rsidP="00000000" w:rsidRDefault="00000000" w:rsidRPr="00000000" w14:paraId="00000100">
            <w:pPr>
              <w:tabs>
                <w:tab w:val="right" w:leader="none" w:pos="7100"/>
                <w:tab w:val="right" w:leader="none" w:pos="7100"/>
              </w:tabs>
              <w:spacing w:line="240" w:lineRule="auto"/>
              <w:ind w:right="-51.259842519684895"/>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02">
            <w:pPr>
              <w:tabs>
                <w:tab w:val="right" w:leader="none" w:pos="7100"/>
                <w:tab w:val="right" w:leader="none" w:pos="7100"/>
              </w:tabs>
              <w:spacing w:line="240" w:lineRule="auto"/>
              <w:ind w:left="0" w:firstLine="0"/>
              <w:rPr/>
            </w:pPr>
            <w:r w:rsidDel="00000000" w:rsidR="00000000" w:rsidRPr="00000000">
              <w:rPr>
                <w:rtl w:val="0"/>
              </w:rPr>
              <w:t xml:space="preserve">Full containment storage tanks</w:t>
            </w:r>
          </w:p>
          <w:p w:rsidR="00000000" w:rsidDel="00000000" w:rsidP="00000000" w:rsidRDefault="00000000" w:rsidRPr="00000000" w14:paraId="00000103">
            <w:pPr>
              <w:tabs>
                <w:tab w:val="right" w:leader="none" w:pos="7100"/>
                <w:tab w:val="right" w:leader="none" w:pos="7100"/>
              </w:tabs>
              <w:spacing w:line="240" w:lineRule="auto"/>
              <w:ind w:left="0" w:firstLine="0"/>
              <w:rPr/>
            </w:pPr>
            <w:r w:rsidDel="00000000" w:rsidR="00000000" w:rsidRPr="00000000">
              <w:rPr>
                <w:rtl w:val="0"/>
              </w:rPr>
              <w:t xml:space="preserve">Emergency Release Coupling for rapid unloading/loading arms disconnection   </w:t>
            </w:r>
          </w:p>
          <w:p w:rsidR="00000000" w:rsidDel="00000000" w:rsidP="00000000" w:rsidRDefault="00000000" w:rsidRPr="00000000" w14:paraId="00000104">
            <w:pPr>
              <w:tabs>
                <w:tab w:val="right" w:leader="none" w:pos="7100"/>
                <w:tab w:val="right" w:leader="none" w:pos="7100"/>
              </w:tabs>
              <w:spacing w:line="240" w:lineRule="auto"/>
              <w:rPr/>
            </w:pPr>
            <w:r w:rsidDel="00000000" w:rsidR="00000000" w:rsidRPr="00000000">
              <w:rPr>
                <w:rtl w:val="0"/>
              </w:rPr>
              <w:t xml:space="preserve">Rapid phase transition (RPT) prevention control avoiding LNG contact with water, temperature and density sensors and LNG recirculation (roll-over prevention)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05">
            <w:pPr>
              <w:tabs>
                <w:tab w:val="right" w:leader="none" w:pos="7100"/>
                <w:tab w:val="right" w:leader="none" w:pos="7100"/>
              </w:tabs>
              <w:spacing w:line="240" w:lineRule="auto"/>
              <w:rPr/>
            </w:pPr>
            <w:r w:rsidDel="00000000" w:rsidR="00000000" w:rsidRPr="00000000">
              <w:rPr>
                <w:rtl w:val="0"/>
              </w:rPr>
              <w:t xml:space="preserve">Pressure and temperature control for storage and compression unit </w:t>
            </w:r>
          </w:p>
          <w:p w:rsidR="00000000" w:rsidDel="00000000" w:rsidP="00000000" w:rsidRDefault="00000000" w:rsidRPr="00000000" w14:paraId="00000106">
            <w:pPr>
              <w:tabs>
                <w:tab w:val="right" w:leader="none" w:pos="7100"/>
                <w:tab w:val="right" w:leader="none" w:pos="7100"/>
              </w:tabs>
              <w:spacing w:line="240" w:lineRule="auto"/>
              <w:rPr>
                <w:vertAlign w:val="subscript"/>
              </w:rPr>
            </w:pPr>
            <w:r w:rsidDel="00000000" w:rsidR="00000000" w:rsidRPr="00000000">
              <w:rPr>
                <w:rtl w:val="0"/>
              </w:rPr>
              <w:t xml:space="preserve">Control systems to prevent mixing of O</w:t>
            </w:r>
            <w:r w:rsidDel="00000000" w:rsidR="00000000" w:rsidRPr="00000000">
              <w:rPr>
                <w:vertAlign w:val="subscript"/>
                <w:rtl w:val="0"/>
              </w:rPr>
              <w:t xml:space="preserve">2</w:t>
            </w:r>
            <w:r w:rsidDel="00000000" w:rsidR="00000000" w:rsidRPr="00000000">
              <w:rPr>
                <w:rtl w:val="0"/>
              </w:rPr>
              <w:t xml:space="preserve"> and H</w:t>
            </w:r>
            <w:r w:rsidDel="00000000" w:rsidR="00000000" w:rsidRPr="00000000">
              <w:rPr>
                <w:vertAlign w:val="subscript"/>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07">
            <w:pPr>
              <w:tabs>
                <w:tab w:val="right" w:leader="none" w:pos="7100"/>
                <w:tab w:val="right" w:leader="none" w:pos="7100"/>
              </w:tabs>
              <w:spacing w:line="240" w:lineRule="auto"/>
              <w:ind w:left="212" w:right="315" w:hanging="212"/>
              <w:rPr/>
            </w:pPr>
            <w:r w:rsidDel="00000000" w:rsidR="00000000" w:rsidRPr="00000000">
              <w:rPr>
                <w:rtl w:val="0"/>
              </w:rPr>
              <w:t xml:space="preserve">LPG buried tanks</w:t>
            </w:r>
          </w:p>
          <w:p w:rsidR="00000000" w:rsidDel="00000000" w:rsidP="00000000" w:rsidRDefault="00000000" w:rsidRPr="00000000" w14:paraId="00000108">
            <w:pPr>
              <w:tabs>
                <w:tab w:val="right" w:leader="none" w:pos="7100"/>
                <w:tab w:val="right" w:leader="none" w:pos="7100"/>
              </w:tabs>
              <w:spacing w:line="240" w:lineRule="auto"/>
              <w:ind w:left="212" w:right="315" w:hanging="212"/>
              <w:rPr/>
            </w:pPr>
            <w:r w:rsidDel="00000000" w:rsidR="00000000" w:rsidRPr="00000000">
              <w:rPr>
                <w:rtl w:val="0"/>
              </w:rPr>
              <w:t xml:space="preserve">Emergency buttons</w:t>
            </w:r>
          </w:p>
          <w:p w:rsidR="00000000" w:rsidDel="00000000" w:rsidP="00000000" w:rsidRDefault="00000000" w:rsidRPr="00000000" w14:paraId="00000109">
            <w:pPr>
              <w:tabs>
                <w:tab w:val="right" w:leader="none" w:pos="7100"/>
                <w:tab w:val="right" w:leader="none" w:pos="7100"/>
              </w:tabs>
              <w:spacing w:line="240" w:lineRule="auto"/>
              <w:ind w:right="315"/>
              <w:rPr/>
            </w:pPr>
            <w:r w:rsidDel="00000000" w:rsidR="00000000" w:rsidRPr="00000000">
              <w:rPr>
                <w:rtl w:val="0"/>
              </w:rPr>
              <w:t xml:space="preserve">Pressure, temperature flow-rate, level alarms </w:t>
            </w:r>
          </w:p>
          <w:p w:rsidR="00000000" w:rsidDel="00000000" w:rsidP="00000000" w:rsidRDefault="00000000" w:rsidRPr="00000000" w14:paraId="0000010A">
            <w:pPr>
              <w:tabs>
                <w:tab w:val="right" w:leader="none" w:pos="7100"/>
                <w:tab w:val="right" w:leader="none" w:pos="7100"/>
              </w:tabs>
              <w:spacing w:line="240" w:lineRule="auto"/>
              <w:ind w:left="212" w:right="315" w:hanging="212"/>
              <w:rPr/>
            </w:pPr>
            <w:r w:rsidDel="00000000" w:rsidR="00000000" w:rsidRPr="00000000">
              <w:rPr>
                <w:rtl w:val="0"/>
              </w:rPr>
              <w:t xml:space="preserve">Fail-safe valves </w:t>
            </w:r>
          </w:p>
          <w:p w:rsidR="00000000" w:rsidDel="00000000" w:rsidP="00000000" w:rsidRDefault="00000000" w:rsidRPr="00000000" w14:paraId="0000010B">
            <w:pPr>
              <w:tabs>
                <w:tab w:val="right" w:leader="none" w:pos="7100"/>
                <w:tab w:val="right" w:leader="none" w:pos="7100"/>
              </w:tabs>
              <w:spacing w:line="240" w:lineRule="auto"/>
              <w:ind w:left="212" w:right="315" w:hanging="212"/>
              <w:rPr/>
            </w:pPr>
            <w:r w:rsidDel="00000000" w:rsidR="00000000" w:rsidRPr="00000000">
              <w:rPr>
                <w:rtl w:val="0"/>
              </w:rPr>
              <w:t xml:space="preserve">Adequate ventilation</w:t>
            </w:r>
          </w:p>
          <w:p w:rsidR="00000000" w:rsidDel="00000000" w:rsidP="00000000" w:rsidRDefault="00000000" w:rsidRPr="00000000" w14:paraId="0000010C">
            <w:pPr>
              <w:tabs>
                <w:tab w:val="right" w:leader="none" w:pos="7100"/>
                <w:tab w:val="right" w:leader="none" w:pos="7100"/>
              </w:tabs>
              <w:spacing w:line="240" w:lineRule="auto"/>
              <w:ind w:left="212" w:right="315" w:hanging="212"/>
              <w:rPr/>
            </w:pPr>
            <w:r w:rsidDel="00000000" w:rsidR="00000000" w:rsidRPr="00000000">
              <w:rPr>
                <w:rtl w:val="0"/>
              </w:rPr>
              <w:t xml:space="preserve">systems</w:t>
            </w:r>
          </w:p>
        </w:tc>
      </w:tr>
      <w:tr>
        <w:trPr>
          <w:cantSplit w:val="0"/>
          <w:trHeight w:val="935.4296874999999" w:hRule="atLeast"/>
          <w:tblHeader w:val="0"/>
        </w:trPr>
        <w:tc>
          <w:tcPr>
            <w:gridSpan w:val="2"/>
            <w:tcBorders>
              <w:top w:color="ffffff" w:space="0" w:sz="8" w:val="single"/>
              <w:left w:color="ffffff" w:space="0" w:sz="8" w:val="single"/>
              <w:bottom w:color="ffffff"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0D">
            <w:pPr>
              <w:tabs>
                <w:tab w:val="right" w:leader="none" w:pos="7100"/>
                <w:tab w:val="right" w:leader="none" w:pos="7100"/>
              </w:tabs>
              <w:spacing w:line="240" w:lineRule="auto"/>
              <w:ind w:right="-51.259842519684895"/>
              <w:rPr/>
            </w:pPr>
            <w:r w:rsidDel="00000000" w:rsidR="00000000" w:rsidRPr="00000000">
              <w:rPr>
                <w:rtl w:val="0"/>
              </w:rPr>
              <w:t xml:space="preserve">Detection systems </w:t>
            </w:r>
          </w:p>
          <w:p w:rsidR="00000000" w:rsidDel="00000000" w:rsidP="00000000" w:rsidRDefault="00000000" w:rsidRPr="00000000" w14:paraId="0000010E">
            <w:pPr>
              <w:shd w:fill="ffffff" w:val="clear"/>
              <w:tabs>
                <w:tab w:val="right" w:leader="none" w:pos="7100"/>
                <w:tab w:val="right" w:leader="none" w:pos="7100"/>
              </w:tabs>
              <w:spacing w:line="240" w:lineRule="auto"/>
              <w:ind w:right="-51.259842519684895"/>
              <w:rPr/>
            </w:pPr>
            <w:r w:rsidDel="00000000" w:rsidR="00000000" w:rsidRPr="00000000">
              <w:rPr>
                <w:rtl w:val="0"/>
              </w:rPr>
            </w:r>
          </w:p>
        </w:tc>
        <w:tc>
          <w:tcPr>
            <w:tcBorders>
              <w:top w:color="ffffff" w:space="0" w:sz="8" w:val="single"/>
              <w:left w:color="ffffff" w:space="0" w:sz="8" w:val="single"/>
              <w:bottom w:color="ffffff"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10">
            <w:pPr>
              <w:shd w:fill="ffffff" w:val="clear"/>
              <w:tabs>
                <w:tab w:val="right" w:leader="none" w:pos="7100"/>
                <w:tab w:val="right" w:leader="none" w:pos="7100"/>
              </w:tabs>
              <w:spacing w:after="0" w:line="240" w:lineRule="auto"/>
              <w:rPr/>
            </w:pPr>
            <w:r w:rsidDel="00000000" w:rsidR="00000000" w:rsidRPr="00000000">
              <w:rPr>
                <w:rtl w:val="0"/>
              </w:rPr>
              <w:t xml:space="preserve">CH</w:t>
            </w:r>
            <w:r w:rsidDel="00000000" w:rsidR="00000000" w:rsidRPr="00000000">
              <w:rPr>
                <w:vertAlign w:val="subscript"/>
                <w:rtl w:val="0"/>
              </w:rPr>
              <w:t xml:space="preserve">4</w:t>
            </w:r>
            <w:r w:rsidDel="00000000" w:rsidR="00000000" w:rsidRPr="00000000">
              <w:rPr>
                <w:rtl w:val="0"/>
              </w:rPr>
              <w:t xml:space="preserve"> gas detectors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tabs>
                <w:tab w:val="right" w:leader="none" w:pos="7100"/>
                <w:tab w:val="right" w:leader="none" w:pos="7100"/>
              </w:tabs>
              <w:spacing w:after="0" w:before="0" w:line="240" w:lineRule="auto"/>
              <w:ind w:left="0" w:right="-127.91338582677156" w:firstLine="0"/>
              <w:jc w:val="left"/>
              <w:rPr>
                <w:rFonts w:ascii="Microsoft Yahei" w:cs="Microsoft Yahei" w:eastAsia="Microsoft Yahei" w:hAnsi="Microsoft Yahei"/>
                <w:b w:val="1"/>
                <w:i w:val="1"/>
                <w:smallCaps w:val="0"/>
                <w:strike w:val="0"/>
                <w:color w:val="585858"/>
                <w:sz w:val="24"/>
                <w:szCs w:val="24"/>
                <w:u w:val="none"/>
                <w:shd w:fill="c6eafc" w:val="clear"/>
                <w:vertAlign w:val="baseline"/>
              </w:rPr>
            </w:pPr>
            <w:bookmarkStart w:colFirst="0" w:colLast="0" w:name="_heading=h.dqmfxeaty9th" w:id="0"/>
            <w:bookmarkEnd w:id="0"/>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Distributed</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Temperature Sensing</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(DTS</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for LNG detection</w:t>
            </w:r>
            <w:r w:rsidDel="00000000" w:rsidR="00000000" w:rsidRPr="00000000">
              <w:rPr>
                <w:rtl w:val="0"/>
              </w:rPr>
            </w:r>
          </w:p>
        </w:tc>
        <w:tc>
          <w:tcPr>
            <w:tcBorders>
              <w:top w:color="ffffff" w:space="0" w:sz="8" w:val="single"/>
              <w:left w:color="ffffff" w:space="0" w:sz="8" w:val="single"/>
              <w:bottom w:color="ffffff"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12">
            <w:pPr>
              <w:shd w:fill="ffffff" w:val="clear"/>
              <w:tabs>
                <w:tab w:val="right" w:leader="none" w:pos="7100"/>
                <w:tab w:val="right" w:leader="none" w:pos="7100"/>
              </w:tabs>
              <w:spacing w:line="240" w:lineRule="auto"/>
              <w:rPr/>
            </w:pPr>
            <w:r w:rsidDel="00000000" w:rsidR="00000000" w:rsidRPr="00000000">
              <w:rPr>
                <w:rtl w:val="0"/>
              </w:rPr>
              <w:t xml:space="preserve">H</w:t>
            </w:r>
            <w:r w:rsidDel="00000000" w:rsidR="00000000" w:rsidRPr="00000000">
              <w:rPr>
                <w:vertAlign w:val="subscript"/>
                <w:rtl w:val="0"/>
              </w:rPr>
              <w:t xml:space="preserve">2  </w:t>
            </w:r>
            <w:r w:rsidDel="00000000" w:rsidR="00000000" w:rsidRPr="00000000">
              <w:rPr>
                <w:rtl w:val="0"/>
              </w:rPr>
              <w:t xml:space="preserve">gas detectors</w:t>
            </w:r>
          </w:p>
          <w:p w:rsidR="00000000" w:rsidDel="00000000" w:rsidP="00000000" w:rsidRDefault="00000000" w:rsidRPr="00000000" w14:paraId="00000113">
            <w:pPr>
              <w:shd w:fill="ffffff" w:val="clear"/>
              <w:tabs>
                <w:tab w:val="right" w:leader="none" w:pos="7100"/>
                <w:tab w:val="right" w:leader="none" w:pos="7100"/>
              </w:tabs>
              <w:spacing w:line="240" w:lineRule="auto"/>
              <w:rPr/>
            </w:pPr>
            <w:r w:rsidDel="00000000" w:rsidR="00000000" w:rsidRPr="00000000">
              <w:rPr>
                <w:rtl w:val="0"/>
              </w:rPr>
              <w:t xml:space="preserve">O</w:t>
            </w:r>
            <w:r w:rsidDel="00000000" w:rsidR="00000000" w:rsidRPr="00000000">
              <w:rPr>
                <w:vertAlign w:val="subscript"/>
                <w:rtl w:val="0"/>
              </w:rPr>
              <w:t xml:space="preserve">2  </w:t>
            </w:r>
            <w:r w:rsidDel="00000000" w:rsidR="00000000" w:rsidRPr="00000000">
              <w:rPr>
                <w:rtl w:val="0"/>
              </w:rPr>
              <w:t xml:space="preserve">gas detectors</w:t>
            </w:r>
          </w:p>
          <w:p w:rsidR="00000000" w:rsidDel="00000000" w:rsidP="00000000" w:rsidRDefault="00000000" w:rsidRPr="00000000" w14:paraId="00000114">
            <w:pPr>
              <w:shd w:fill="ffffff" w:val="clear"/>
              <w:tabs>
                <w:tab w:val="right" w:leader="none" w:pos="7100"/>
                <w:tab w:val="right" w:leader="none" w:pos="7100"/>
              </w:tabs>
              <w:spacing w:line="240" w:lineRule="auto"/>
              <w:rPr/>
            </w:pPr>
            <w:r w:rsidDel="00000000" w:rsidR="00000000" w:rsidRPr="00000000">
              <w:rPr>
                <w:rtl w:val="0"/>
              </w:rPr>
              <w:t xml:space="preserve">Special flame detectors </w:t>
            </w:r>
          </w:p>
        </w:tc>
        <w:tc>
          <w:tcPr>
            <w:tcBorders>
              <w:top w:color="ffffff" w:space="0" w:sz="8" w:val="single"/>
              <w:left w:color="ffffff" w:space="0" w:sz="8" w:val="single"/>
              <w:bottom w:color="ffffff"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15">
            <w:pPr>
              <w:shd w:fill="ffffff" w:val="clear"/>
              <w:tabs>
                <w:tab w:val="right" w:leader="none" w:pos="7100"/>
                <w:tab w:val="right" w:leader="none" w:pos="7100"/>
              </w:tabs>
              <w:spacing w:line="240" w:lineRule="auto"/>
              <w:rPr/>
            </w:pPr>
            <w:r w:rsidDel="00000000" w:rsidR="00000000" w:rsidRPr="00000000">
              <w:rPr>
                <w:rtl w:val="0"/>
              </w:rPr>
              <w:t xml:space="preserve">LPG gas detectors </w:t>
            </w:r>
          </w:p>
          <w:p w:rsidR="00000000" w:rsidDel="00000000" w:rsidP="00000000" w:rsidRDefault="00000000" w:rsidRPr="00000000" w14:paraId="00000116">
            <w:pPr>
              <w:shd w:fill="ffffff" w:val="clear"/>
              <w:tabs>
                <w:tab w:val="right" w:leader="none" w:pos="7100"/>
                <w:tab w:val="right" w:leader="none" w:pos="7100"/>
              </w:tabs>
              <w:spacing w:line="240" w:lineRule="auto"/>
              <w:rPr/>
            </w:pPr>
            <w:r w:rsidDel="00000000" w:rsidR="00000000" w:rsidRPr="00000000">
              <w:rPr>
                <w:rtl w:val="0"/>
              </w:rPr>
              <w:t xml:space="preserve">Smoke detectors in turbine </w:t>
            </w:r>
          </w:p>
          <w:p w:rsidR="00000000" w:rsidDel="00000000" w:rsidP="00000000" w:rsidRDefault="00000000" w:rsidRPr="00000000" w14:paraId="00000117">
            <w:pPr>
              <w:shd w:fill="ffffff" w:val="clear"/>
              <w:tabs>
                <w:tab w:val="right" w:leader="none" w:pos="7100"/>
                <w:tab w:val="right" w:leader="none" w:pos="7100"/>
              </w:tabs>
              <w:spacing w:line="240" w:lineRule="auto"/>
              <w:rPr/>
            </w:pPr>
            <w:r w:rsidDel="00000000" w:rsidR="00000000" w:rsidRPr="00000000">
              <w:rPr>
                <w:rtl w:val="0"/>
              </w:rPr>
              <w:t xml:space="preserve">and pumps rooms</w:t>
            </w:r>
          </w:p>
        </w:tc>
      </w:tr>
      <w:tr>
        <w:trPr>
          <w:cantSplit w:val="0"/>
          <w:trHeight w:val="380" w:hRule="atLeast"/>
          <w:tblHeader w:val="0"/>
        </w:trPr>
        <w:tc>
          <w:tcPr>
            <w:gridSpan w:val="2"/>
            <w:tcBorders>
              <w:top w:color="ffffff" w:space="0" w:sz="12" w:val="single"/>
              <w:left w:color="ffffff" w:space="0" w:sz="12" w:val="single"/>
              <w:bottom w:color="008000" w:space="0" w:sz="12" w:val="single"/>
              <w:right w:color="ffffff" w:space="0" w:sz="12" w:val="single"/>
            </w:tcBorders>
            <w:shd w:fill="auto" w:val="clear"/>
            <w:tcMar>
              <w:top w:w="100.0" w:type="dxa"/>
              <w:left w:w="100.0" w:type="dxa"/>
              <w:bottom w:w="100.0" w:type="dxa"/>
              <w:right w:w="100.0" w:type="dxa"/>
            </w:tcMar>
          </w:tcPr>
          <w:p w:rsidR="00000000" w:rsidDel="00000000" w:rsidP="00000000" w:rsidRDefault="00000000" w:rsidRPr="00000000" w14:paraId="00000118">
            <w:pPr>
              <w:shd w:fill="ffffff" w:val="clear"/>
              <w:tabs>
                <w:tab w:val="right" w:leader="none" w:pos="7100"/>
                <w:tab w:val="right" w:leader="none" w:pos="7100"/>
              </w:tabs>
              <w:spacing w:line="240" w:lineRule="auto"/>
              <w:jc w:val="left"/>
              <w:rPr>
                <w:highlight w:val="yellow"/>
              </w:rPr>
            </w:pPr>
            <w:r w:rsidDel="00000000" w:rsidR="00000000" w:rsidRPr="00000000">
              <w:rPr>
                <w:rtl w:val="0"/>
              </w:rPr>
              <w:t xml:space="preserve">Fire and explosion protection</w:t>
            </w:r>
            <w:r w:rsidDel="00000000" w:rsidR="00000000" w:rsidRPr="00000000">
              <w:rPr>
                <w:rtl w:val="0"/>
              </w:rPr>
            </w:r>
          </w:p>
        </w:tc>
        <w:tc>
          <w:tcPr>
            <w:tcBorders>
              <w:top w:color="ffffff" w:space="0" w:sz="12" w:val="single"/>
              <w:left w:color="ffffff" w:space="0" w:sz="12" w:val="single"/>
              <w:bottom w:color="008000" w:space="0" w:sz="12" w:val="single"/>
              <w:right w:color="ffffff" w:space="0" w:sz="12" w:val="single"/>
            </w:tcBorders>
            <w:shd w:fill="auto" w:val="clear"/>
            <w:tcMar>
              <w:top w:w="100.0" w:type="dxa"/>
              <w:left w:w="100.0" w:type="dxa"/>
              <w:bottom w:w="100.0" w:type="dxa"/>
              <w:right w:w="100.0" w:type="dxa"/>
            </w:tcMar>
          </w:tcPr>
          <w:p w:rsidR="00000000" w:rsidDel="00000000" w:rsidP="00000000" w:rsidRDefault="00000000" w:rsidRPr="00000000" w14:paraId="0000011A">
            <w:pPr>
              <w:tabs>
                <w:tab w:val="right" w:leader="none" w:pos="7100"/>
                <w:tab w:val="right" w:leader="none" w:pos="7100"/>
              </w:tabs>
              <w:spacing w:line="240" w:lineRule="auto"/>
              <w:rPr/>
            </w:pPr>
            <w:r w:rsidDel="00000000" w:rsidR="00000000" w:rsidRPr="00000000">
              <w:rPr>
                <w:rtl w:val="0"/>
              </w:rPr>
              <w:t xml:space="preserve">Foam systems</w:t>
            </w:r>
          </w:p>
        </w:tc>
        <w:tc>
          <w:tcPr>
            <w:tcBorders>
              <w:top w:color="ffffff" w:space="0" w:sz="12" w:val="single"/>
              <w:left w:color="ffffff" w:space="0" w:sz="12" w:val="single"/>
              <w:bottom w:color="008000" w:space="0" w:sz="12" w:val="single"/>
              <w:right w:color="ffffff" w:space="0" w:sz="12" w:val="single"/>
            </w:tcBorders>
            <w:shd w:fill="auto" w:val="clear"/>
            <w:tcMar>
              <w:top w:w="100.0" w:type="dxa"/>
              <w:left w:w="100.0" w:type="dxa"/>
              <w:bottom w:w="100.0" w:type="dxa"/>
              <w:right w:w="100.0" w:type="dxa"/>
            </w:tcMar>
          </w:tcPr>
          <w:p w:rsidR="00000000" w:rsidDel="00000000" w:rsidP="00000000" w:rsidRDefault="00000000" w:rsidRPr="00000000" w14:paraId="0000011B">
            <w:pPr>
              <w:tabs>
                <w:tab w:val="right" w:leader="none" w:pos="7100"/>
                <w:tab w:val="right" w:leader="none" w:pos="7100"/>
              </w:tabs>
              <w:spacing w:line="240" w:lineRule="auto"/>
              <w:rPr/>
            </w:pPr>
            <w:r w:rsidDel="00000000" w:rsidR="00000000" w:rsidRPr="00000000">
              <w:rPr>
                <w:rtl w:val="0"/>
              </w:rPr>
              <w:t xml:space="preserve">Water Sprinklers</w:t>
            </w:r>
          </w:p>
          <w:p w:rsidR="00000000" w:rsidDel="00000000" w:rsidP="00000000" w:rsidRDefault="00000000" w:rsidRPr="00000000" w14:paraId="0000011C">
            <w:pPr>
              <w:shd w:fill="ffffff" w:val="clear"/>
              <w:tabs>
                <w:tab w:val="right" w:leader="none" w:pos="7100"/>
                <w:tab w:val="right" w:leader="none" w:pos="7100"/>
              </w:tabs>
              <w:spacing w:line="240" w:lineRule="auto"/>
              <w:ind w:right="-98.18897637795317"/>
              <w:jc w:val="left"/>
              <w:rPr/>
            </w:pPr>
            <w:r w:rsidDel="00000000" w:rsidR="00000000" w:rsidRPr="00000000">
              <w:rPr>
                <w:rtl w:val="0"/>
              </w:rPr>
              <w:t xml:space="preserve">Fireproofing and resistant to explosions box for H</w:t>
            </w:r>
            <w:r w:rsidDel="00000000" w:rsidR="00000000" w:rsidRPr="00000000">
              <w:rPr>
                <w:vertAlign w:val="subscript"/>
                <w:rtl w:val="0"/>
              </w:rPr>
              <w:t xml:space="preserve">2</w:t>
            </w:r>
            <w:r w:rsidDel="00000000" w:rsidR="00000000" w:rsidRPr="00000000">
              <w:rPr>
                <w:rtl w:val="0"/>
              </w:rPr>
              <w:t xml:space="preserve"> storage</w:t>
            </w:r>
          </w:p>
        </w:tc>
        <w:tc>
          <w:tcPr>
            <w:tcBorders>
              <w:top w:color="ffffff" w:space="0" w:sz="12" w:val="single"/>
              <w:left w:color="ffffff" w:space="0" w:sz="12" w:val="single"/>
              <w:bottom w:color="008000" w:space="0" w:sz="12" w:val="single"/>
              <w:right w:color="ffffff" w:space="0" w:sz="12" w:val="single"/>
            </w:tcBorders>
            <w:shd w:fill="auto" w:val="clear"/>
            <w:tcMar>
              <w:top w:w="100.0" w:type="dxa"/>
              <w:left w:w="100.0" w:type="dxa"/>
              <w:bottom w:w="100.0" w:type="dxa"/>
              <w:right w:w="100.0" w:type="dxa"/>
            </w:tcMar>
          </w:tcPr>
          <w:p w:rsidR="00000000" w:rsidDel="00000000" w:rsidP="00000000" w:rsidRDefault="00000000" w:rsidRPr="00000000" w14:paraId="0000011D">
            <w:pPr>
              <w:tabs>
                <w:tab w:val="right" w:leader="none" w:pos="7100"/>
                <w:tab w:val="right" w:leader="none" w:pos="7100"/>
              </w:tabs>
              <w:spacing w:line="240" w:lineRule="auto"/>
              <w:ind w:right="165"/>
              <w:jc w:val="left"/>
              <w:rPr/>
            </w:pPr>
            <w:r w:rsidDel="00000000" w:rsidR="00000000" w:rsidRPr="00000000">
              <w:rPr>
                <w:rtl w:val="0"/>
              </w:rPr>
              <w:t xml:space="preserve">Explosion relief panels, water mist for turbine and pump houses </w:t>
            </w:r>
          </w:p>
        </w:tc>
      </w:tr>
    </w:tb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 Conclusions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1"/>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these projects related to energy transition can</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contribute </w:t>
      </w:r>
      <w:r w:rsidDel="00000000" w:rsidR="00000000" w:rsidRPr="00000000">
        <w:rPr>
          <w:rtl w:val="0"/>
        </w:rPr>
        <w:t xml:space="preserve">to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reducing CO</w:t>
      </w:r>
      <w:r w:rsidDel="00000000" w:rsidR="00000000" w:rsidRPr="00000000">
        <w:rPr>
          <w:rFonts w:ascii="Arial" w:cs="Arial" w:eastAsia="Arial" w:hAnsi="Arial"/>
          <w:b w:val="0"/>
          <w:i w:val="0"/>
          <w:smallCaps w:val="0"/>
          <w:strike w:val="0"/>
          <w:color w:val="000000"/>
          <w:sz w:val="18"/>
          <w:szCs w:val="1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emissions, but </w:t>
      </w:r>
      <w:r w:rsidDel="00000000" w:rsidR="00000000" w:rsidRPr="00000000">
        <w:rPr>
          <w:rtl w:val="0"/>
        </w:rPr>
        <w:t xml:space="preserve">during the authorization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process also safety aspects must be properly evaluated to protect people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and environment</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t xml:space="preserve">A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risk a</w:t>
      </w:r>
      <w:r w:rsidDel="00000000" w:rsidR="00000000" w:rsidRPr="00000000">
        <w:rPr>
          <w:rtl w:val="0"/>
        </w:rPr>
        <w:t xml:space="preserve">ssessment for plants under Seveso III Directive</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and a safety report for </w:t>
      </w:r>
      <w:r w:rsidDel="00000000" w:rsidR="00000000" w:rsidRPr="00000000">
        <w:rPr>
          <w:rtl w:val="0"/>
        </w:rPr>
        <w:t xml:space="preserve">upper tier establishments are required</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Competent authorities during safety report evaluation face new challenges because of the presen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ce of new technologies, processes, equipment  or different operative conditions, but also difficulties in risk assessment: limited presence of operating installations and consequently low experience from past accidents analysis, top events identification, modelling scenario’s consequences and individuation of safety barriers.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Based on experience </w:t>
      </w:r>
      <w:r w:rsidDel="00000000" w:rsidR="00000000" w:rsidRPr="00000000">
        <w:rPr>
          <w:rtl w:val="0"/>
        </w:rPr>
        <w:t xml:space="preserve">in the Emilia</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Romagna region, this work could be an </w:t>
      </w:r>
      <w:r w:rsidDel="00000000" w:rsidR="00000000" w:rsidRPr="00000000">
        <w:rPr>
          <w:rtl w:val="0"/>
        </w:rPr>
        <w:t xml:space="preserve">introduction</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for the development of risk assessment guidelines </w:t>
      </w:r>
      <w:r w:rsidDel="00000000" w:rsidR="00000000" w:rsidRPr="00000000">
        <w:rPr>
          <w:rtl w:val="0"/>
        </w:rPr>
        <w:t xml:space="preserve">about safety reports evaluation of these projects for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Competent Authorities</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in Italy</w:t>
      </w:r>
      <w:r w:rsidDel="00000000" w:rsidR="00000000" w:rsidRPr="00000000">
        <w:rPr>
          <w:rtl w:val="0"/>
        </w:rPr>
        <w:t xml:space="preserve"> and more in</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general a technical support to focus on safety issues in new projects related to green transition. </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120" w:before="20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122">
      <w:pPr>
        <w:tabs>
          <w:tab w:val="right" w:leader="none" w:pos="7100"/>
          <w:tab w:val="right" w:leader="none" w:pos="7100"/>
        </w:tabs>
        <w:spacing w:line="240" w:lineRule="auto"/>
        <w:ind w:left="283"/>
        <w:rPr>
          <w:highlight w:val="yellow"/>
        </w:rPr>
      </w:pPr>
      <w:r w:rsidDel="00000000" w:rsidR="00000000" w:rsidRPr="00000000">
        <w:rPr>
          <w:rtl w:val="0"/>
        </w:rPr>
        <w:t xml:space="preserve">Calabrese M., Portarapillo M., Di Nardo A., Venezia V., Turco M., Luciani G., Di Benedetto A., 2024, Hydrogen Safety Challenges: A Comprehensive Review on Production, Storage, Transport, </w:t>
      </w:r>
      <w:r w:rsidDel="00000000" w:rsidR="00000000" w:rsidRPr="00000000">
        <w:rPr>
          <w:rtl w:val="0"/>
        </w:rPr>
        <w:t xml:space="preserve">Utilization</w:t>
      </w:r>
      <w:r w:rsidDel="00000000" w:rsidR="00000000" w:rsidRPr="00000000">
        <w:rPr>
          <w:rtl w:val="0"/>
        </w:rPr>
        <w:t xml:space="preserve">, and CFD-Based Consequence and Risk Assessment, </w:t>
      </w:r>
      <w:r w:rsidDel="00000000" w:rsidR="00000000" w:rsidRPr="00000000">
        <w:rPr>
          <w:rtl w:val="0"/>
        </w:rPr>
        <w:t xml:space="preserve">Energies 2024,</w:t>
      </w:r>
      <w:r w:rsidDel="00000000" w:rsidR="00000000" w:rsidRPr="00000000">
        <w:rPr>
          <w:rtl w:val="0"/>
        </w:rPr>
        <w:t xml:space="preserve"> 17(6):1350.</w:t>
      </w:r>
      <w:r w:rsidDel="00000000" w:rsidR="00000000" w:rsidRPr="00000000">
        <w:rPr>
          <w:rtl w:val="0"/>
        </w:rPr>
      </w:r>
    </w:p>
    <w:p w:rsidR="00000000" w:rsidDel="00000000" w:rsidP="00000000" w:rsidRDefault="00000000" w:rsidRPr="00000000" w14:paraId="00000123">
      <w:pPr>
        <w:tabs>
          <w:tab w:val="right" w:leader="none" w:pos="7100"/>
          <w:tab w:val="right" w:leader="none" w:pos="7100"/>
        </w:tabs>
        <w:spacing w:line="240" w:lineRule="auto"/>
        <w:ind w:left="283"/>
        <w:rPr/>
      </w:pPr>
      <w:r w:rsidDel="00000000" w:rsidR="00000000" w:rsidRPr="00000000">
        <w:rPr>
          <w:rtl w:val="0"/>
        </w:rPr>
        <w:t xml:space="preserve">Colonna P., Casati E., Trapp C., Mathijssen T., Larjola J., Turunen-Saaresti T., Uusitalo A., 2015, Organic Rankine Cycle Power Systems: From the Concept to Current Technology, Applications, and an Outlook to the Future, ASME J. Eng. Gas Turbines Power,</w:t>
      </w:r>
      <w:r w:rsidDel="00000000" w:rsidR="00000000" w:rsidRPr="00000000">
        <w:rPr>
          <w:rtl w:val="0"/>
        </w:rPr>
        <w:t xml:space="preserve"> 137(10):100801.</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12.59842519685037" w:right="0" w:hanging="212.59842519685037"/>
        <w:jc w:val="both"/>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E</w:t>
      </w:r>
      <w:r w:rsidDel="00000000" w:rsidR="00000000" w:rsidRPr="00000000">
        <w:rPr>
          <w:rtl w:val="0"/>
        </w:rPr>
        <w:t xml:space="preserve">C</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2008, Regulation (EC) N</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1272/2008 of the European Parliament and of the Council of 16 December 2008 on classification, labelling and packaging of substances and mixtures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amending and repealin</w:t>
      </w:r>
      <w:r w:rsidDel="00000000" w:rsidR="00000000" w:rsidRPr="00000000">
        <w:rPr>
          <w:rtl w:val="0"/>
        </w:rPr>
        <w:t xml:space="preserve">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Directive 67/548/EEC and 1999/45/EC</w:t>
      </w:r>
      <w:r w:rsidDel="00000000" w:rsidR="00000000" w:rsidRPr="00000000">
        <w:rPr>
          <w:rtl w:val="0"/>
        </w:rPr>
        <w:t xml:space="preserve">, European Commission, Brussels.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EC, 2012, Directive 2012/18/EU of the European parliament and of the Council of 4 July 2012 on the control of</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major-accident hazards involving dangerous substances, amending and subsequently repealing Council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0" w:right="0" w:firstLine="0"/>
        <w:jc w:val="both"/>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Directive 96/82/EC, Official Journal of the European Union,</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 1-37</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EC, 2014, Directive 2014/94/EU of the European parliament and of the Council of 22 October 2014 on the deployment of alternative fuels infrastructure</w:t>
      </w:r>
      <w:r w:rsidDel="00000000" w:rsidR="00000000" w:rsidRPr="00000000">
        <w:rPr>
          <w:rtl w:val="0"/>
        </w:rPr>
        <w:t xml:space="preserve">, </w:t>
      </w:r>
      <w:r w:rsidDel="00000000" w:rsidR="00000000" w:rsidRPr="00000000">
        <w:rPr>
          <w:rtl w:val="0"/>
        </w:rPr>
        <w:t xml:space="preserve">European Commission, Brussels.</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EC, 2019,Communication from the Commission to the European Parliament, the European Council, the Council, the European Economic And Social Committee and the Committee of the Regions, </w:t>
      </w:r>
      <w:hyperlink r:id="rId14">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European Green</w:t>
        </w:r>
      </w:hyperlink>
      <w:hyperlink r:id="rId15">
        <w:r w:rsidDel="00000000" w:rsidR="00000000" w:rsidRPr="00000000">
          <w:rPr>
            <w:rFonts w:ascii="Arial" w:cs="Arial" w:eastAsia="Arial" w:hAnsi="Arial"/>
            <w:b w:val="0"/>
            <w:i w:val="0"/>
            <w:smallCaps w:val="0"/>
            <w:strike w:val="0"/>
            <w:color w:val="000000"/>
            <w:sz w:val="18"/>
            <w:szCs w:val="18"/>
            <w:u w:val="none"/>
            <w:vertAlign w:val="baseline"/>
            <w:rtl w:val="0"/>
          </w:rPr>
          <w:t xml:space="preserve"> Deal</w:t>
        </w:r>
      </w:hyperlink>
      <w:r w:rsidDel="00000000" w:rsidR="00000000" w:rsidRPr="00000000">
        <w:rPr>
          <w:rtl w:val="0"/>
        </w:rPr>
        <w:t xml:space="preserve">, European Commission, Brussels.</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EC, 2022, Communication from the Commission to the European Parliament, the European Council, the Council, the European Economic And Social Committee and Committee of the Regions REPowerEU Plan, </w:t>
      </w:r>
      <w:r w:rsidDel="00000000" w:rsidR="00000000" w:rsidRPr="00000000">
        <w:rPr>
          <w:rtl w:val="0"/>
        </w:rPr>
        <w:t xml:space="preserve">European Commission, Brussels.</w:t>
      </w:r>
    </w:p>
    <w:p w:rsidR="00000000" w:rsidDel="00000000" w:rsidP="00000000" w:rsidRDefault="00000000" w:rsidRPr="00000000" w14:paraId="0000012B">
      <w:pPr>
        <w:tabs>
          <w:tab w:val="right" w:leader="none" w:pos="7100"/>
          <w:tab w:val="right" w:leader="none" w:pos="7100"/>
        </w:tabs>
        <w:spacing w:line="240" w:lineRule="auto"/>
        <w:ind w:left="283"/>
        <w:rPr/>
      </w:pPr>
      <w:r w:rsidDel="00000000" w:rsidR="00000000" w:rsidRPr="00000000">
        <w:rPr>
          <w:rtl w:val="0"/>
        </w:rPr>
        <w:t xml:space="preserve">Gyenes Z., Wood M-H., Struckl M., 2017, Handbook of Scenarios for Assessing Major Chemical Accident Risks, Publications Office of the European Union, JRC </w:t>
      </w:r>
      <w:r w:rsidDel="00000000" w:rsidR="00000000" w:rsidRPr="00000000">
        <w:rPr>
          <w:rtl w:val="0"/>
        </w:rPr>
        <w:t xml:space="preserve">106029, Luxembourg.</w:t>
      </w:r>
      <w:r w:rsidDel="00000000" w:rsidR="00000000" w:rsidRPr="00000000">
        <w:rPr>
          <w:rtl w:val="0"/>
        </w:rPr>
      </w:r>
    </w:p>
    <w:p w:rsidR="00000000" w:rsidDel="00000000" w:rsidP="00000000" w:rsidRDefault="00000000" w:rsidRPr="00000000" w14:paraId="0000012C">
      <w:pPr>
        <w:tabs>
          <w:tab w:val="right" w:leader="none" w:pos="7100"/>
          <w:tab w:val="right" w:leader="none" w:pos="7100"/>
        </w:tabs>
        <w:spacing w:line="240" w:lineRule="auto"/>
        <w:ind w:left="283"/>
        <w:rPr/>
      </w:pPr>
      <w:r w:rsidDel="00000000" w:rsidR="00000000" w:rsidRPr="00000000">
        <w:rPr>
          <w:rtl w:val="0"/>
        </w:rPr>
        <w:t xml:space="preserve">Heezen P., Gunnarsdottir S., Gooijer L., Mahesh S., 2013, Hazard Classification of Biogas and Risks of Large Scale Biogas Production, Chemical Engineering Transactions, 31, 37-42.</w:t>
      </w:r>
    </w:p>
    <w:p w:rsidR="00000000" w:rsidDel="00000000" w:rsidP="00000000" w:rsidRDefault="00000000" w:rsidRPr="00000000" w14:paraId="0000012D">
      <w:pPr>
        <w:tabs>
          <w:tab w:val="right" w:leader="none" w:pos="7100"/>
          <w:tab w:val="right" w:leader="none" w:pos="7100"/>
        </w:tabs>
        <w:spacing w:line="240" w:lineRule="auto"/>
        <w:ind w:left="283"/>
        <w:rPr/>
      </w:pPr>
      <w:r w:rsidDel="00000000" w:rsidR="00000000" w:rsidRPr="00000000">
        <w:rPr>
          <w:rtl w:val="0"/>
        </w:rPr>
        <w:t xml:space="preserve">Herath H.M.D.P., Wijewardane M.A., Ranasinghe  R.A.C.P., Jayasekera J.G.A.S., 2020, Working fluid selection of Organic Rankine Cycles, Energy Reports, Vol. 6, Supplement 9, 680-686.</w:t>
      </w:r>
    </w:p>
    <w:p w:rsidR="00000000" w:rsidDel="00000000" w:rsidP="00000000" w:rsidRDefault="00000000" w:rsidRPr="00000000" w14:paraId="0000012E">
      <w:pPr>
        <w:tabs>
          <w:tab w:val="right" w:leader="none" w:pos="7100"/>
          <w:tab w:val="right" w:leader="none" w:pos="7100"/>
        </w:tabs>
        <w:spacing w:line="240" w:lineRule="auto"/>
        <w:ind w:left="283"/>
        <w:rPr/>
      </w:pPr>
      <w:r w:rsidDel="00000000" w:rsidR="00000000" w:rsidRPr="00000000">
        <w:rPr>
          <w:rtl w:val="0"/>
        </w:rPr>
        <w:t xml:space="preserve">Hijriawan M., Pambudi N.A., Biddinika M.K., Wijayanto D.S., Kuncoro I.W., Rudiyanto B., Wibowo K.M.,2019,</w:t>
      </w:r>
      <w:r w:rsidDel="00000000" w:rsidR="00000000" w:rsidRPr="00000000">
        <w:rPr>
          <w:rtl w:val="0"/>
        </w:rPr>
        <w:t xml:space="preserve"> </w:t>
      </w:r>
      <w:hyperlink r:id="rId16">
        <w:r w:rsidDel="00000000" w:rsidR="00000000" w:rsidRPr="00000000">
          <w:rPr>
            <w:rtl w:val="0"/>
          </w:rPr>
          <w:t xml:space="preserve">Journal of Physics: Conference Series</w:t>
        </w:r>
      </w:hyperlink>
      <w:r w:rsidDel="00000000" w:rsidR="00000000" w:rsidRPr="00000000">
        <w:rPr>
          <w:rtl w:val="0"/>
        </w:rPr>
        <w:t xml:space="preserve">, </w:t>
      </w:r>
      <w:hyperlink r:id="rId17">
        <w:r w:rsidDel="00000000" w:rsidR="00000000" w:rsidRPr="00000000">
          <w:rPr>
            <w:rtl w:val="0"/>
          </w:rPr>
          <w:t xml:space="preserve">Vol 1402</w:t>
        </w:r>
      </w:hyperlink>
      <w:r w:rsidDel="00000000" w:rsidR="00000000" w:rsidRPr="00000000">
        <w:rPr>
          <w:rtl w:val="0"/>
        </w:rPr>
        <w:t xml:space="preserve">, </w:t>
      </w:r>
      <w:hyperlink r:id="rId18">
        <w:r w:rsidDel="00000000" w:rsidR="00000000" w:rsidRPr="00000000">
          <w:rPr>
            <w:rtl w:val="0"/>
          </w:rPr>
          <w:t xml:space="preserve">Issue 4</w:t>
        </w:r>
      </w:hyperlink>
      <w:r w:rsidDel="00000000" w:rsidR="00000000" w:rsidRPr="00000000">
        <w:rPr>
          <w:rtl w:val="0"/>
        </w:rPr>
        <w:t xml:space="preserve"> 044064.</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Lu</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Khan Z.A.</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Alvarez-Alvarado M.S.</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Zhang</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Huang Z.</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Imran M.A</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2020, Critical Review of Sustainable Energy Policies for the Promotion of Renewable Energy Sources</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Sustainability 2020,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12, 5078</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NIST, 2023, NIST Chemistry WebBook, NIST Standard Reference Database Number 69</w:t>
      </w:r>
      <w:r w:rsidDel="00000000" w:rsidR="00000000" w:rsidRPr="00000000">
        <w:rPr>
          <w:rtl w:val="0"/>
        </w:rPr>
        <w:t xml:space="preserve">, USA.</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pPr>
      <w:r w:rsidDel="00000000" w:rsidR="00000000" w:rsidRPr="00000000">
        <w:rPr>
          <w:rtl w:val="0"/>
        </w:rPr>
        <w:t xml:space="preserve">Perelli</w:t>
      </w:r>
      <w:r w:rsidDel="00000000" w:rsidR="00000000" w:rsidRPr="00000000">
        <w:rPr>
          <w:rtl w:val="0"/>
        </w:rPr>
        <w:t xml:space="preserve"> S., Genna G., 2022, Hazards Identification and Risk Management of Hydrogen Production and Storage Installations, Chemical Engineering Transactions, Vol.96, 193-198.</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pPr>
      <w:r w:rsidDel="00000000" w:rsidR="00000000" w:rsidRPr="00000000">
        <w:rPr>
          <w:rtl w:val="0"/>
        </w:rPr>
        <w:t xml:space="preserve">United Nations, 2015, United Nations Framework Convention on Climate Change, Adoption of the Paris Agreement, FCCC/CP/2015/L. 9/Rev. 1.</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40" w:lineRule="auto"/>
        <w:ind w:left="283" w:right="0" w:hanging="283"/>
        <w:jc w:val="both"/>
        <w:rPr/>
      </w:pPr>
      <w:r w:rsidDel="00000000" w:rsidR="00000000" w:rsidRPr="00000000">
        <w:rPr>
          <w:rtl w:val="0"/>
        </w:rPr>
        <w:t xml:space="preserve">Vianello C., Maschio M., 2014, Risk analysis of LNG Terminal: Case Study, Chemical Engineering Transactions, Vol.36, 277-282.</w:t>
      </w:r>
      <w:r w:rsidDel="00000000" w:rsidR="00000000" w:rsidRPr="00000000">
        <w:rPr>
          <w:rtl w:val="0"/>
        </w:rPr>
      </w:r>
    </w:p>
    <w:sectPr>
      <w:type w:val="continuous"/>
      <w:pgSz w:h="16838" w:w="11906" w:orient="portrait"/>
      <w:pgMar w:bottom="1700.7874015748032" w:top="1700.7874015748032" w:left="1700.7874015748032" w:right="1417.3228346456694" w:header="1701"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Arial Unicode MS"/>
  <w:font w:name="Microsoft Yahei"/>
  <w:font w:name="AdvP6960"/>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right" w:leader="none" w:pos="7100"/>
        <w:tab w:val="right" w:leader="none" w:pos="7100"/>
      </w:tabs>
      <w:spacing w:after="0" w:before="0" w:line="264"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18"/>
        <w:szCs w:val="18"/>
        <w:lang w:val="en-GB"/>
      </w:rPr>
    </w:rPrDefault>
    <w:pPrDefault>
      <w:pPr>
        <w:tabs>
          <w:tab w:val="right" w:leader="none" w:pos="7100"/>
        </w:tabs>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120" w:before="240" w:line="240" w:lineRule="auto"/>
      <w:ind w:left="0" w:right="0" w:firstLine="0"/>
      <w:jc w:val="both"/>
    </w:pPr>
    <w:rPr>
      <w:rFonts w:ascii="Arial" w:cs="Arial" w:eastAsia="Arial" w:hAnsi="Arial"/>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1"/>
      <w:i w:val="0"/>
      <w:smallCaps w:val="0"/>
      <w:strike w:val="0"/>
      <w:color w:val="4f81bd"/>
      <w:sz w:val="18"/>
      <w:szCs w:val="1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1"/>
      <w:i w:val="1"/>
      <w:smallCaps w:val="0"/>
      <w:strike w:val="0"/>
      <w:color w:val="4f81bd"/>
      <w:sz w:val="18"/>
      <w:szCs w:val="18"/>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0"/>
      <w:i w:val="0"/>
      <w:smallCaps w:val="0"/>
      <w:strike w:val="0"/>
      <w:color w:val="243f61"/>
      <w:sz w:val="18"/>
      <w:szCs w:val="18"/>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0"/>
      <w:i w:val="1"/>
      <w:smallCaps w:val="0"/>
      <w:strike w:val="0"/>
      <w:color w:val="243f61"/>
      <w:sz w:val="18"/>
      <w:szCs w:val="18"/>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120" w:before="480" w:line="264" w:lineRule="auto"/>
      <w:ind w:left="0" w:right="0" w:firstLine="0"/>
      <w:jc w:val="both"/>
    </w:pPr>
    <w:rPr>
      <w:rFonts w:ascii="Arial" w:cs="Arial" w:eastAsia="Arial" w:hAnsi="Arial"/>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120" w:before="240" w:line="240" w:lineRule="auto"/>
      <w:ind w:left="0" w:right="0" w:firstLine="0"/>
      <w:jc w:val="both"/>
    </w:pPr>
    <w:rPr>
      <w:rFonts w:ascii="Arial" w:cs="Arial" w:eastAsia="Arial" w:hAnsi="Arial"/>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1"/>
      <w:i w:val="0"/>
      <w:smallCaps w:val="0"/>
      <w:strike w:val="0"/>
      <w:color w:val="4f81bd"/>
      <w:sz w:val="18"/>
      <w:szCs w:val="1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1"/>
      <w:i w:val="1"/>
      <w:smallCaps w:val="0"/>
      <w:strike w:val="0"/>
      <w:color w:val="4f81bd"/>
      <w:sz w:val="18"/>
      <w:szCs w:val="18"/>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0"/>
      <w:i w:val="0"/>
      <w:smallCaps w:val="0"/>
      <w:strike w:val="0"/>
      <w:color w:val="243f61"/>
      <w:sz w:val="18"/>
      <w:szCs w:val="18"/>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0" w:before="200" w:line="264" w:lineRule="auto"/>
      <w:ind w:left="0" w:right="0" w:firstLine="0"/>
      <w:jc w:val="both"/>
    </w:pPr>
    <w:rPr>
      <w:rFonts w:ascii="Cambria" w:cs="Cambria" w:eastAsia="Cambria" w:hAnsi="Cambria"/>
      <w:b w:val="0"/>
      <w:i w:val="1"/>
      <w:smallCaps w:val="0"/>
      <w:strike w:val="0"/>
      <w:color w:val="243f61"/>
      <w:sz w:val="18"/>
      <w:szCs w:val="18"/>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120" w:before="480" w:line="264" w:lineRule="auto"/>
      <w:ind w:left="0" w:right="0" w:firstLine="0"/>
      <w:jc w:val="both"/>
    </w:pPr>
    <w:rPr>
      <w:rFonts w:ascii="Arial" w:cs="Arial" w:eastAsia="Arial" w:hAnsi="Arial"/>
      <w:b w:val="1"/>
      <w:i w:val="0"/>
      <w:smallCaps w:val="0"/>
      <w:strike w:val="0"/>
      <w:color w:val="000000"/>
      <w:sz w:val="72"/>
      <w:szCs w:val="72"/>
      <w:u w:val="none"/>
      <w:shd w:fill="auto" w:val="clear"/>
      <w:vertAlign w:val="baseline"/>
    </w:rPr>
  </w:style>
  <w:style w:type="paragraph" w:styleId="Normale" w:default="1">
    <w:name w:val="Normal"/>
    <w:qFormat w:val="1"/>
  </w:style>
  <w:style w:type="paragraph" w:styleId="Titolo1">
    <w:name w:val="heading 1"/>
    <w:basedOn w:val="normal"/>
    <w:next w:val="normal"/>
    <w:rsid w:val="000620F3"/>
    <w:pPr>
      <w:keepNext w:val="1"/>
      <w:pBdr>
        <w:top w:space="0" w:sz="0" w:val="nil"/>
        <w:left w:space="0" w:sz="0" w:val="nil"/>
        <w:bottom w:space="0" w:sz="0" w:val="nil"/>
        <w:right w:space="0" w:sz="0" w:val="nil"/>
        <w:between w:space="0" w:sz="0" w:val="nil"/>
      </w:pBdr>
      <w:spacing w:after="120" w:before="240" w:line="240" w:lineRule="auto"/>
      <w:outlineLvl w:val="0"/>
    </w:pPr>
    <w:rPr>
      <w:b w:val="1"/>
      <w:color w:val="000000"/>
      <w:sz w:val="20"/>
      <w:szCs w:val="20"/>
    </w:rPr>
  </w:style>
  <w:style w:type="paragraph" w:styleId="Titolo2">
    <w:name w:val="heading 2"/>
    <w:basedOn w:val="normal"/>
    <w:next w:val="normal"/>
    <w:rsid w:val="000620F3"/>
    <w:pPr>
      <w:keepNext w:val="1"/>
      <w:keepLines w:val="1"/>
      <w:spacing w:before="200"/>
      <w:outlineLvl w:val="1"/>
    </w:pPr>
    <w:rPr>
      <w:rFonts w:ascii="Cambria" w:cs="Cambria" w:eastAsia="Cambria" w:hAnsi="Cambria"/>
      <w:b w:val="1"/>
      <w:color w:val="4f81bd"/>
      <w:sz w:val="26"/>
      <w:szCs w:val="26"/>
    </w:rPr>
  </w:style>
  <w:style w:type="paragraph" w:styleId="Titolo3">
    <w:name w:val="heading 3"/>
    <w:basedOn w:val="normal"/>
    <w:next w:val="normal"/>
    <w:rsid w:val="000620F3"/>
    <w:pPr>
      <w:keepNext w:val="1"/>
      <w:keepLines w:val="1"/>
      <w:spacing w:before="200"/>
      <w:outlineLvl w:val="2"/>
    </w:pPr>
    <w:rPr>
      <w:rFonts w:ascii="Cambria" w:cs="Cambria" w:eastAsia="Cambria" w:hAnsi="Cambria"/>
      <w:b w:val="1"/>
      <w:color w:val="4f81bd"/>
    </w:rPr>
  </w:style>
  <w:style w:type="paragraph" w:styleId="Titolo4">
    <w:name w:val="heading 4"/>
    <w:basedOn w:val="normal"/>
    <w:next w:val="normal"/>
    <w:rsid w:val="000620F3"/>
    <w:pPr>
      <w:keepNext w:val="1"/>
      <w:keepLines w:val="1"/>
      <w:spacing w:before="200"/>
      <w:outlineLvl w:val="3"/>
    </w:pPr>
    <w:rPr>
      <w:rFonts w:ascii="Cambria" w:cs="Cambria" w:eastAsia="Cambria" w:hAnsi="Cambria"/>
      <w:b w:val="1"/>
      <w:i w:val="1"/>
      <w:color w:val="4f81bd"/>
    </w:rPr>
  </w:style>
  <w:style w:type="paragraph" w:styleId="Titolo5">
    <w:name w:val="heading 5"/>
    <w:basedOn w:val="normal"/>
    <w:next w:val="normal"/>
    <w:rsid w:val="000620F3"/>
    <w:pPr>
      <w:keepNext w:val="1"/>
      <w:keepLines w:val="1"/>
      <w:spacing w:before="200"/>
      <w:outlineLvl w:val="4"/>
    </w:pPr>
    <w:rPr>
      <w:rFonts w:ascii="Cambria" w:cs="Cambria" w:eastAsia="Cambria" w:hAnsi="Cambria"/>
      <w:color w:val="243f61"/>
    </w:rPr>
  </w:style>
  <w:style w:type="paragraph" w:styleId="Titolo6">
    <w:name w:val="heading 6"/>
    <w:basedOn w:val="normal"/>
    <w:next w:val="normal"/>
    <w:rsid w:val="000620F3"/>
    <w:pPr>
      <w:keepNext w:val="1"/>
      <w:keepLines w:val="1"/>
      <w:spacing w:before="200"/>
      <w:outlineLvl w:val="5"/>
    </w:pPr>
    <w:rPr>
      <w:rFonts w:ascii="Cambria" w:cs="Cambria" w:eastAsia="Cambria" w:hAnsi="Cambria"/>
      <w:i w:val="1"/>
      <w:color w:val="243f6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ormal0" w:customStyle="1">
    <w:name w:val="normal"/>
    <w:rsid w:val="000620F3"/>
  </w:style>
  <w:style w:type="table" w:styleId="TableNormal" w:customStyle="1">
    <w:name w:val="Table Normal"/>
    <w:rsid w:val="000620F3"/>
    <w:tblPr>
      <w:tblCellMar>
        <w:top w:w="0.0" w:type="dxa"/>
        <w:left w:w="0.0" w:type="dxa"/>
        <w:bottom w:w="0.0" w:type="dxa"/>
        <w:right w:w="0.0" w:type="dxa"/>
      </w:tblCellMar>
    </w:tblPr>
  </w:style>
  <w:style w:type="paragraph" w:styleId="Titolo">
    <w:name w:val="Title"/>
    <w:basedOn w:val="normal"/>
    <w:next w:val="normal"/>
    <w:rsid w:val="000620F3"/>
    <w:pPr>
      <w:keepNext w:val="1"/>
      <w:keepLines w:val="1"/>
      <w:spacing w:after="120" w:before="480"/>
    </w:pPr>
    <w:rPr>
      <w:b w:val="1"/>
      <w:sz w:val="72"/>
      <w:szCs w:val="72"/>
    </w:rPr>
  </w:style>
  <w:style w:type="paragraph" w:styleId="normal" w:customStyle="1">
    <w:name w:val="normal"/>
    <w:rsid w:val="000620F3"/>
  </w:style>
  <w:style w:type="table" w:styleId="TableNormal0" w:customStyle="1">
    <w:name w:val="Table Normal"/>
    <w:rsid w:val="000620F3"/>
    <w:tblPr>
      <w:tblCellMar>
        <w:top w:w="0.0" w:type="dxa"/>
        <w:left w:w="0.0" w:type="dxa"/>
        <w:bottom w:w="0.0" w:type="dxa"/>
        <w:right w:w="0.0" w:type="dxa"/>
      </w:tblCellMar>
    </w:tblPr>
  </w:style>
  <w:style w:type="paragraph" w:styleId="Sottotitolo">
    <w:name w:val="Subtitle"/>
    <w:basedOn w:val="normal"/>
    <w:next w:val="normal"/>
    <w:rsid w:val="000620F3"/>
    <w:pPr>
      <w:keepNext w:val="1"/>
      <w:keepLines w:val="1"/>
      <w:spacing w:after="80" w:before="360"/>
    </w:pPr>
    <w:rPr>
      <w:rFonts w:ascii="Georgia" w:cs="Georgia" w:eastAsia="Georgia" w:hAnsi="Georgia"/>
      <w:i w:val="1"/>
      <w:color w:val="666666"/>
      <w:sz w:val="48"/>
      <w:szCs w:val="48"/>
    </w:rPr>
  </w:style>
  <w:style w:type="table" w:styleId="a" w:customStyle="1">
    <w:basedOn w:val="TableNormal0"/>
    <w:rsid w:val="000620F3"/>
    <w:tblPr>
      <w:tblStyleRowBandSize w:val="1"/>
      <w:tblStyleColBandSize w:val="1"/>
      <w:tblCellMar>
        <w:top w:w="0.0" w:type="dxa"/>
        <w:left w:w="115.0" w:type="dxa"/>
        <w:bottom w:w="0.0" w:type="dxa"/>
        <w:right w:w="115.0" w:type="dxa"/>
      </w:tblCellMar>
    </w:tblPr>
  </w:style>
  <w:style w:type="table" w:styleId="a0" w:customStyle="1">
    <w:basedOn w:val="TableNormal0"/>
    <w:rsid w:val="000620F3"/>
    <w:tblPr>
      <w:tblStyleRowBandSize w:val="1"/>
      <w:tblStyleColBandSize w:val="1"/>
      <w:tblCellMar>
        <w:top w:w="0.0" w:type="dxa"/>
        <w:left w:w="115.0" w:type="dxa"/>
        <w:bottom w:w="0.0" w:type="dxa"/>
        <w:right w:w="115.0" w:type="dxa"/>
      </w:tblCellMar>
    </w:tblPr>
  </w:style>
  <w:style w:type="table" w:styleId="a1" w:customStyle="1">
    <w:basedOn w:val="TableNormal0"/>
    <w:rsid w:val="000620F3"/>
    <w:tblPr>
      <w:tblStyleRowBandSize w:val="1"/>
      <w:tblStyleColBandSize w:val="1"/>
      <w:tblCellMar>
        <w:top w:w="0.0" w:type="dxa"/>
        <w:left w:w="0.0" w:type="dxa"/>
        <w:bottom w:w="0.0" w:type="dxa"/>
        <w:right w:w="0.0" w:type="dxa"/>
      </w:tblCellMar>
    </w:tblPr>
  </w:style>
  <w:style w:type="table" w:styleId="a2" w:customStyle="1">
    <w:basedOn w:val="TableNormal0"/>
    <w:rsid w:val="000620F3"/>
    <w:tblPr>
      <w:tblStyleRowBandSize w:val="1"/>
      <w:tblStyleColBandSize w:val="1"/>
      <w:tblCellMar>
        <w:top w:w="0.0" w:type="dxa"/>
        <w:left w:w="0.0" w:type="dxa"/>
        <w:bottom w:w="0.0" w:type="dxa"/>
        <w:right w:w="0.0" w:type="dxa"/>
      </w:tblCellMar>
    </w:tblPr>
  </w:style>
  <w:style w:type="table" w:styleId="a3" w:customStyle="1">
    <w:basedOn w:val="TableNormal0"/>
    <w:rsid w:val="000620F3"/>
    <w:tblPr>
      <w:tblStyleRowBandSize w:val="1"/>
      <w:tblStyleColBandSize w:val="1"/>
      <w:tblCellMar>
        <w:top w:w="0.0" w:type="dxa"/>
        <w:left w:w="0.0" w:type="dxa"/>
        <w:bottom w:w="0.0" w:type="dxa"/>
        <w:right w:w="0.0" w:type="dxa"/>
      </w:tblCellMar>
    </w:tblPr>
  </w:style>
  <w:style w:type="table" w:styleId="a4" w:customStyle="1">
    <w:basedOn w:val="TableNormal0"/>
    <w:rsid w:val="000620F3"/>
    <w:tblPr>
      <w:tblStyleRowBandSize w:val="1"/>
      <w:tblStyleColBandSize w:val="1"/>
      <w:tblCellMar>
        <w:top w:w="100.0" w:type="dxa"/>
        <w:left w:w="100.0" w:type="dxa"/>
        <w:bottom w:w="100.0" w:type="dxa"/>
        <w:right w:w="100.0" w:type="dxa"/>
      </w:tblCellMar>
    </w:tblPr>
  </w:style>
  <w:style w:type="table" w:styleId="a5" w:customStyle="1">
    <w:basedOn w:val="TableNormal0"/>
    <w:rsid w:val="000620F3"/>
    <w:tblPr>
      <w:tblStyleRowBandSize w:val="1"/>
      <w:tblStyleColBandSize w:val="1"/>
      <w:tblCellMar>
        <w:top w:w="100.0" w:type="dxa"/>
        <w:left w:w="100.0" w:type="dxa"/>
        <w:bottom w:w="100.0" w:type="dxa"/>
        <w:right w:w="100.0" w:type="dxa"/>
      </w:tblCellMar>
    </w:tblPr>
  </w:style>
  <w:style w:type="table" w:styleId="a6" w:customStyle="1">
    <w:basedOn w:val="TableNormal0"/>
    <w:rsid w:val="000620F3"/>
    <w:tblPr>
      <w:tblStyleRowBandSize w:val="1"/>
      <w:tblStyleColBandSize w:val="1"/>
      <w:tblCellMar>
        <w:top w:w="100.0" w:type="dxa"/>
        <w:left w:w="100.0" w:type="dxa"/>
        <w:bottom w:w="100.0" w:type="dxa"/>
        <w:right w:w="100.0" w:type="dxa"/>
      </w:tblCellMar>
    </w:tblPr>
  </w:style>
  <w:style w:type="table" w:styleId="a7" w:customStyle="1">
    <w:basedOn w:val="TableNormal0"/>
    <w:rsid w:val="000620F3"/>
    <w:tblPr>
      <w:tblStyleRowBandSize w:val="1"/>
      <w:tblStyleColBandSize w:val="1"/>
      <w:tblCellMar>
        <w:top w:w="100.0" w:type="dxa"/>
        <w:left w:w="100.0" w:type="dxa"/>
        <w:bottom w:w="100.0" w:type="dxa"/>
        <w:right w:w="100.0" w:type="dxa"/>
      </w:tblCellMar>
    </w:tblPr>
  </w:style>
  <w:style w:type="paragraph" w:styleId="Testofumetto">
    <w:name w:val="Balloon Text"/>
    <w:basedOn w:val="Normale"/>
    <w:link w:val="TestofumettoCarattere"/>
    <w:uiPriority w:val="99"/>
    <w:semiHidden w:val="1"/>
    <w:unhideWhenUsed w:val="1"/>
    <w:rsid w:val="004842B0"/>
    <w:pPr>
      <w:spacing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4842B0"/>
    <w:rPr>
      <w:rFonts w:ascii="Tahoma" w:cs="Tahoma" w:hAnsi="Tahoma"/>
      <w:sz w:val="16"/>
      <w:szCs w:val="1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80" w:before="360" w:line="264"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right" w:leader="none" w:pos="7100"/>
      </w:tabs>
      <w:spacing w:after="80" w:before="360" w:line="264"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c.europa.eu/commission/presscorner/detail/en/ip_23_4754" TargetMode="External"/><Relationship Id="rId10" Type="http://schemas.openxmlformats.org/officeDocument/2006/relationships/hyperlink" Target="mailto:alambertini@arpae.it" TargetMode="External"/><Relationship Id="rId13" Type="http://schemas.openxmlformats.org/officeDocument/2006/relationships/hyperlink" Target="https://www.bakerhughes.com/company/energy-forward/geoscientist-taps-geothermal-potential-her-own-backyard" TargetMode="External"/><Relationship Id="rId12" Type="http://schemas.openxmlformats.org/officeDocument/2006/relationships/hyperlink" Target="https://energy.ec.europa.eu/communication-repowereu-plan-com2022230_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eur-lex.europa.eu/legal-content/AUTO/?uri=CELEX:52019DC0640&amp;qid=1708011336433" TargetMode="External"/><Relationship Id="rId14" Type="http://schemas.openxmlformats.org/officeDocument/2006/relationships/hyperlink" Target="https://eur-lex.europa.eu/legal-content/AUTO/?uri=CELEX:52019DC0640&amp;qid=1708011336433" TargetMode="External"/><Relationship Id="rId17" Type="http://schemas.openxmlformats.org/officeDocument/2006/relationships/hyperlink" Target="https://iopscience.iop.org/volume/1742-6596/1402" TargetMode="External"/><Relationship Id="rId16" Type="http://schemas.openxmlformats.org/officeDocument/2006/relationships/hyperlink" Target="https://iopscience.iop.org/journal/1742-6596"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iopscience.iop.org/issue/1742-6596/1402/4"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Pzu9voNS+1GkVrZ792Kc9VzPAQ==">CgMxLjAaHQoBMBIYChYIB0ISEhBBcmlhbCBVbmljb2RlIE1TGh0KATESGAoWCAdCEhIQQXJpYWwgVW5pY29kZSBNUzIOaC5kcW1meGVhdHk5dGg4AHIhMVA0Umd3WFVNb2djcGxxLUYzSXRJXzBQVjg0UXdXemc3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2024-05-07T12:30:00Z</dcterms:created>
  <dc:creator>Eliana Sabbioni</dc:creator>
</cp:coreProperties>
</file>