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702A2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702A26" w:rsidRDefault="000A03B2" w:rsidP="00DE264A">
            <w:pPr>
              <w:tabs>
                <w:tab w:val="left" w:pos="-108"/>
              </w:tabs>
              <w:ind w:left="-108"/>
              <w:jc w:val="left"/>
              <w:rPr>
                <w:rFonts w:cs="Arial"/>
                <w:b/>
                <w:bCs/>
                <w:i/>
                <w:iCs/>
                <w:color w:val="000066"/>
                <w:sz w:val="12"/>
                <w:szCs w:val="12"/>
                <w:lang w:eastAsia="it-IT"/>
              </w:rPr>
            </w:pPr>
            <w:r w:rsidRPr="00A10415">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702A26">
              <w:rPr>
                <w:rFonts w:ascii="AdvP6960" w:hAnsi="AdvP6960" w:cs="AdvP6960"/>
                <w:color w:val="241F20"/>
                <w:szCs w:val="18"/>
                <w:lang w:eastAsia="it-IT"/>
              </w:rPr>
              <w:t xml:space="preserve"> </w:t>
            </w:r>
            <w:r w:rsidRPr="00702A26">
              <w:rPr>
                <w:rFonts w:cs="Arial"/>
                <w:b/>
                <w:bCs/>
                <w:i/>
                <w:iCs/>
                <w:color w:val="000066"/>
                <w:sz w:val="24"/>
                <w:szCs w:val="24"/>
                <w:lang w:eastAsia="it-IT"/>
              </w:rPr>
              <w:t>CHEMICAL ENGINEERING</w:t>
            </w:r>
            <w:r w:rsidRPr="00702A26">
              <w:rPr>
                <w:rFonts w:cs="Arial"/>
                <w:b/>
                <w:bCs/>
                <w:i/>
                <w:iCs/>
                <w:color w:val="0033FF"/>
                <w:sz w:val="24"/>
                <w:szCs w:val="24"/>
                <w:lang w:eastAsia="it-IT"/>
              </w:rPr>
              <w:t xml:space="preserve"> </w:t>
            </w:r>
            <w:r w:rsidRPr="00702A26">
              <w:rPr>
                <w:rFonts w:cs="Arial"/>
                <w:b/>
                <w:bCs/>
                <w:i/>
                <w:iCs/>
                <w:color w:val="666666"/>
                <w:sz w:val="24"/>
                <w:szCs w:val="24"/>
                <w:lang w:eastAsia="it-IT"/>
              </w:rPr>
              <w:t>TRANSACTIONS</w:t>
            </w:r>
            <w:r w:rsidRPr="00702A26">
              <w:rPr>
                <w:color w:val="333333"/>
                <w:sz w:val="24"/>
                <w:szCs w:val="24"/>
                <w:lang w:eastAsia="it-IT"/>
              </w:rPr>
              <w:t xml:space="preserve"> </w:t>
            </w:r>
            <w:r w:rsidRPr="00702A26">
              <w:rPr>
                <w:rFonts w:cs="Arial"/>
                <w:b/>
                <w:bCs/>
                <w:i/>
                <w:iCs/>
                <w:color w:val="000066"/>
                <w:sz w:val="27"/>
                <w:szCs w:val="27"/>
                <w:lang w:eastAsia="it-IT"/>
              </w:rPr>
              <w:br/>
            </w:r>
          </w:p>
          <w:p w14:paraId="4B780582" w14:textId="530285EB" w:rsidR="000A03B2" w:rsidRPr="00702A26" w:rsidRDefault="00A76EFC" w:rsidP="001D21AF">
            <w:pPr>
              <w:tabs>
                <w:tab w:val="left" w:pos="-108"/>
              </w:tabs>
              <w:ind w:left="-108"/>
              <w:rPr>
                <w:rFonts w:cs="Arial"/>
                <w:b/>
                <w:bCs/>
                <w:i/>
                <w:iCs/>
                <w:color w:val="000066"/>
                <w:sz w:val="22"/>
                <w:szCs w:val="22"/>
                <w:lang w:eastAsia="it-IT"/>
              </w:rPr>
            </w:pPr>
            <w:r w:rsidRPr="00702A26">
              <w:rPr>
                <w:rFonts w:cs="Arial"/>
                <w:b/>
                <w:bCs/>
                <w:i/>
                <w:iCs/>
                <w:color w:val="000066"/>
                <w:sz w:val="22"/>
                <w:szCs w:val="22"/>
                <w:lang w:eastAsia="it-IT"/>
              </w:rPr>
              <w:t xml:space="preserve">VOL. </w:t>
            </w:r>
            <w:r w:rsidR="0030152C" w:rsidRPr="00702A26">
              <w:rPr>
                <w:rFonts w:cs="Arial"/>
                <w:b/>
                <w:bCs/>
                <w:i/>
                <w:iCs/>
                <w:color w:val="000066"/>
                <w:sz w:val="22"/>
                <w:szCs w:val="22"/>
                <w:lang w:eastAsia="it-IT"/>
              </w:rPr>
              <w:t xml:space="preserve"> </w:t>
            </w:r>
            <w:proofErr w:type="gramStart"/>
            <w:r w:rsidR="0030152C" w:rsidRPr="00702A26">
              <w:rPr>
                <w:rFonts w:cs="Arial"/>
                <w:b/>
                <w:bCs/>
                <w:i/>
                <w:iCs/>
                <w:color w:val="000066"/>
                <w:sz w:val="22"/>
                <w:szCs w:val="22"/>
                <w:lang w:eastAsia="it-IT"/>
              </w:rPr>
              <w:t xml:space="preserve">  </w:t>
            </w:r>
            <w:r w:rsidR="007B48F9" w:rsidRPr="00702A26">
              <w:rPr>
                <w:rFonts w:cs="Arial"/>
                <w:b/>
                <w:bCs/>
                <w:i/>
                <w:iCs/>
                <w:color w:val="000066"/>
                <w:sz w:val="22"/>
                <w:szCs w:val="22"/>
                <w:lang w:eastAsia="it-IT"/>
              </w:rPr>
              <w:t>,</w:t>
            </w:r>
            <w:proofErr w:type="gramEnd"/>
            <w:r w:rsidR="00FA5F5F" w:rsidRPr="00702A26">
              <w:rPr>
                <w:rFonts w:cs="Arial"/>
                <w:b/>
                <w:bCs/>
                <w:i/>
                <w:iCs/>
                <w:color w:val="000066"/>
                <w:sz w:val="22"/>
                <w:szCs w:val="22"/>
                <w:lang w:eastAsia="it-IT"/>
              </w:rPr>
              <w:t xml:space="preserve"> </w:t>
            </w:r>
            <w:r w:rsidR="0030152C" w:rsidRPr="00702A26">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702A26" w:rsidRDefault="000A03B2" w:rsidP="00CD5FE2">
            <w:pPr>
              <w:spacing w:line="140" w:lineRule="atLeast"/>
              <w:jc w:val="right"/>
              <w:rPr>
                <w:rFonts w:cs="Arial"/>
                <w:sz w:val="14"/>
                <w:szCs w:val="14"/>
              </w:rPr>
            </w:pPr>
            <w:r w:rsidRPr="00702A26">
              <w:rPr>
                <w:rFonts w:cs="Arial"/>
                <w:sz w:val="14"/>
                <w:szCs w:val="14"/>
              </w:rPr>
              <w:t>A publication of</w:t>
            </w:r>
          </w:p>
          <w:p w14:paraId="599E5441" w14:textId="77777777" w:rsidR="000A03B2" w:rsidRPr="00702A26" w:rsidRDefault="000A03B2" w:rsidP="00CD5FE2">
            <w:pPr>
              <w:jc w:val="right"/>
            </w:pPr>
            <w:r w:rsidRPr="00A10415">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702A26" w14:paraId="380FA3CD" w14:textId="77777777" w:rsidTr="00DE264A">
        <w:trPr>
          <w:trHeight w:val="567"/>
          <w:jc w:val="center"/>
        </w:trPr>
        <w:tc>
          <w:tcPr>
            <w:tcW w:w="6946" w:type="dxa"/>
            <w:vMerge/>
            <w:tcBorders>
              <w:right w:val="single" w:sz="4" w:space="0" w:color="auto"/>
            </w:tcBorders>
          </w:tcPr>
          <w:p w14:paraId="39E5E4C1" w14:textId="77777777" w:rsidR="000A03B2" w:rsidRPr="00702A2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702A26" w:rsidRDefault="000A03B2" w:rsidP="00CD5FE2">
            <w:pPr>
              <w:spacing w:line="140" w:lineRule="atLeast"/>
              <w:jc w:val="right"/>
              <w:rPr>
                <w:rFonts w:cs="Arial"/>
                <w:sz w:val="14"/>
                <w:szCs w:val="14"/>
              </w:rPr>
            </w:pPr>
            <w:r w:rsidRPr="00702A26">
              <w:rPr>
                <w:rFonts w:cs="Arial"/>
                <w:sz w:val="14"/>
                <w:szCs w:val="14"/>
              </w:rPr>
              <w:t>The Italian Association</w:t>
            </w:r>
          </w:p>
          <w:p w14:paraId="7522B1D2" w14:textId="77777777" w:rsidR="000A03B2" w:rsidRPr="00702A26" w:rsidRDefault="000A03B2" w:rsidP="00CD5FE2">
            <w:pPr>
              <w:spacing w:line="140" w:lineRule="atLeast"/>
              <w:jc w:val="right"/>
              <w:rPr>
                <w:rFonts w:cs="Arial"/>
                <w:sz w:val="14"/>
                <w:szCs w:val="14"/>
              </w:rPr>
            </w:pPr>
            <w:r w:rsidRPr="00702A26">
              <w:rPr>
                <w:rFonts w:cs="Arial"/>
                <w:sz w:val="14"/>
                <w:szCs w:val="14"/>
              </w:rPr>
              <w:t>of Chemical Engineering</w:t>
            </w:r>
          </w:p>
          <w:p w14:paraId="4F0CC5DE" w14:textId="47FDB2FC" w:rsidR="000A03B2" w:rsidRPr="00702A26" w:rsidRDefault="000D0268" w:rsidP="00CD5FE2">
            <w:pPr>
              <w:spacing w:line="140" w:lineRule="atLeast"/>
              <w:jc w:val="right"/>
              <w:rPr>
                <w:rFonts w:cs="Arial"/>
                <w:sz w:val="13"/>
                <w:szCs w:val="13"/>
              </w:rPr>
            </w:pPr>
            <w:r w:rsidRPr="00702A26">
              <w:rPr>
                <w:rFonts w:cs="Arial"/>
                <w:sz w:val="13"/>
                <w:szCs w:val="13"/>
              </w:rPr>
              <w:t>Online at www.cetjournal.it</w:t>
            </w:r>
          </w:p>
        </w:tc>
      </w:tr>
      <w:tr w:rsidR="000A03B2" w:rsidRPr="00702A26" w14:paraId="2D1B7169" w14:textId="77777777" w:rsidTr="00DE264A">
        <w:trPr>
          <w:trHeight w:val="68"/>
          <w:jc w:val="center"/>
        </w:trPr>
        <w:tc>
          <w:tcPr>
            <w:tcW w:w="8789" w:type="dxa"/>
            <w:gridSpan w:val="2"/>
          </w:tcPr>
          <w:p w14:paraId="1D8DD3C9" w14:textId="77777777" w:rsidR="00AA7D26" w:rsidRPr="00702A26" w:rsidRDefault="00AA7D26" w:rsidP="00AA7D26">
            <w:pPr>
              <w:ind w:left="-107"/>
              <w:outlineLvl w:val="2"/>
              <w:rPr>
                <w:rFonts w:ascii="Tahoma" w:hAnsi="Tahoma" w:cs="Tahoma"/>
                <w:bCs/>
                <w:color w:val="000000"/>
                <w:sz w:val="14"/>
                <w:szCs w:val="14"/>
                <w:lang w:eastAsia="it-IT"/>
              </w:rPr>
            </w:pPr>
            <w:r w:rsidRPr="00702A26">
              <w:rPr>
                <w:rFonts w:ascii="Tahoma" w:hAnsi="Tahoma" w:cs="Tahoma"/>
                <w:iCs/>
                <w:color w:val="333333"/>
                <w:sz w:val="14"/>
                <w:szCs w:val="14"/>
                <w:lang w:eastAsia="it-IT"/>
              </w:rPr>
              <w:t>Guest Editors:</w:t>
            </w:r>
            <w:r w:rsidRPr="00702A26">
              <w:rPr>
                <w:rFonts w:ascii="Tahoma" w:hAnsi="Tahoma" w:cs="Tahoma"/>
                <w:color w:val="000000"/>
                <w:sz w:val="14"/>
                <w:szCs w:val="14"/>
                <w:shd w:val="clear" w:color="auto" w:fill="FFFFFF"/>
              </w:rPr>
              <w:t xml:space="preserve"> </w:t>
            </w:r>
            <w:r w:rsidRPr="00702A26">
              <w:rPr>
                <w:rFonts w:ascii="Tahoma" w:hAnsi="Tahoma" w:cs="Tahoma"/>
                <w:sz w:val="14"/>
                <w:szCs w:val="14"/>
              </w:rPr>
              <w:t xml:space="preserve">Sauro Pierucci, </w:t>
            </w:r>
            <w:r w:rsidRPr="00702A26">
              <w:rPr>
                <w:rFonts w:ascii="Tahoma" w:hAnsi="Tahoma" w:cs="Tahoma"/>
                <w:sz w:val="14"/>
                <w:szCs w:val="14"/>
                <w:shd w:val="clear" w:color="auto" w:fill="FFFFFF"/>
              </w:rPr>
              <w:t xml:space="preserve">Jiří Jaromír </w:t>
            </w:r>
            <w:proofErr w:type="spellStart"/>
            <w:r w:rsidRPr="00702A26">
              <w:rPr>
                <w:rFonts w:ascii="Tahoma" w:hAnsi="Tahoma" w:cs="Tahoma"/>
                <w:sz w:val="14"/>
                <w:szCs w:val="14"/>
                <w:shd w:val="clear" w:color="auto" w:fill="FFFFFF"/>
              </w:rPr>
              <w:t>Klemeš</w:t>
            </w:r>
            <w:proofErr w:type="spellEnd"/>
          </w:p>
          <w:p w14:paraId="1B0F1814" w14:textId="650290B9" w:rsidR="000A03B2" w:rsidRPr="00702A26" w:rsidRDefault="00AA7D26" w:rsidP="00AA7D26">
            <w:pPr>
              <w:tabs>
                <w:tab w:val="left" w:pos="-108"/>
              </w:tabs>
              <w:spacing w:line="140" w:lineRule="atLeast"/>
              <w:ind w:left="-107"/>
              <w:jc w:val="left"/>
            </w:pPr>
            <w:r w:rsidRPr="00702A26">
              <w:rPr>
                <w:rFonts w:ascii="Tahoma" w:hAnsi="Tahoma" w:cs="Tahoma"/>
                <w:iCs/>
                <w:color w:val="333333"/>
                <w:sz w:val="14"/>
                <w:szCs w:val="14"/>
                <w:lang w:eastAsia="it-IT"/>
              </w:rPr>
              <w:t xml:space="preserve">Copyright © 2023, AIDIC </w:t>
            </w:r>
            <w:proofErr w:type="spellStart"/>
            <w:r w:rsidRPr="00702A26">
              <w:rPr>
                <w:rFonts w:ascii="Tahoma" w:hAnsi="Tahoma" w:cs="Tahoma"/>
                <w:iCs/>
                <w:color w:val="333333"/>
                <w:sz w:val="14"/>
                <w:szCs w:val="14"/>
                <w:lang w:eastAsia="it-IT"/>
              </w:rPr>
              <w:t>Servizi</w:t>
            </w:r>
            <w:proofErr w:type="spellEnd"/>
            <w:r w:rsidRPr="00702A26">
              <w:rPr>
                <w:rFonts w:ascii="Tahoma" w:hAnsi="Tahoma" w:cs="Tahoma"/>
                <w:iCs/>
                <w:color w:val="333333"/>
                <w:sz w:val="14"/>
                <w:szCs w:val="14"/>
                <w:lang w:eastAsia="it-IT"/>
              </w:rPr>
              <w:t xml:space="preserve"> </w:t>
            </w:r>
            <w:proofErr w:type="spellStart"/>
            <w:r w:rsidRPr="00702A26">
              <w:rPr>
                <w:rFonts w:ascii="Tahoma" w:hAnsi="Tahoma" w:cs="Tahoma"/>
                <w:iCs/>
                <w:color w:val="333333"/>
                <w:sz w:val="14"/>
                <w:szCs w:val="14"/>
                <w:lang w:eastAsia="it-IT"/>
              </w:rPr>
              <w:t>S.r.l</w:t>
            </w:r>
            <w:proofErr w:type="spellEnd"/>
            <w:r w:rsidRPr="00702A26">
              <w:rPr>
                <w:rFonts w:ascii="Tahoma" w:hAnsi="Tahoma" w:cs="Tahoma"/>
                <w:iCs/>
                <w:color w:val="333333"/>
                <w:sz w:val="14"/>
                <w:szCs w:val="14"/>
                <w:lang w:eastAsia="it-IT"/>
              </w:rPr>
              <w:t>.</w:t>
            </w:r>
            <w:r w:rsidRPr="00702A26">
              <w:rPr>
                <w:rFonts w:ascii="Tahoma" w:hAnsi="Tahoma" w:cs="Tahoma"/>
                <w:iCs/>
                <w:color w:val="333333"/>
                <w:sz w:val="14"/>
                <w:szCs w:val="14"/>
                <w:lang w:eastAsia="it-IT"/>
              </w:rPr>
              <w:br/>
            </w:r>
            <w:r w:rsidRPr="00702A26">
              <w:rPr>
                <w:rFonts w:ascii="Tahoma" w:hAnsi="Tahoma" w:cs="Tahoma"/>
                <w:b/>
                <w:iCs/>
                <w:color w:val="000000"/>
                <w:sz w:val="14"/>
                <w:szCs w:val="14"/>
                <w:lang w:eastAsia="it-IT"/>
              </w:rPr>
              <w:t>ISBN</w:t>
            </w:r>
            <w:r w:rsidRPr="00702A26">
              <w:rPr>
                <w:rFonts w:ascii="Tahoma" w:hAnsi="Tahoma" w:cs="Tahoma"/>
                <w:iCs/>
                <w:color w:val="000000"/>
                <w:sz w:val="14"/>
                <w:szCs w:val="14"/>
                <w:lang w:eastAsia="it-IT"/>
              </w:rPr>
              <w:t xml:space="preserve"> </w:t>
            </w:r>
            <w:r w:rsidRPr="00702A26">
              <w:rPr>
                <w:rFonts w:ascii="Tahoma" w:hAnsi="Tahoma" w:cs="Tahoma"/>
                <w:sz w:val="14"/>
                <w:szCs w:val="14"/>
              </w:rPr>
              <w:t>978-88-95608-98-3</w:t>
            </w:r>
            <w:r w:rsidRPr="00702A26">
              <w:rPr>
                <w:rFonts w:ascii="Tahoma" w:hAnsi="Tahoma" w:cs="Tahoma"/>
                <w:iCs/>
                <w:color w:val="333333"/>
                <w:sz w:val="14"/>
                <w:szCs w:val="14"/>
                <w:lang w:eastAsia="it-IT"/>
              </w:rPr>
              <w:t xml:space="preserve">; </w:t>
            </w:r>
            <w:r w:rsidRPr="00702A26">
              <w:rPr>
                <w:rFonts w:ascii="Tahoma" w:hAnsi="Tahoma" w:cs="Tahoma"/>
                <w:b/>
                <w:iCs/>
                <w:color w:val="333333"/>
                <w:sz w:val="14"/>
                <w:szCs w:val="14"/>
                <w:lang w:eastAsia="it-IT"/>
              </w:rPr>
              <w:t>ISSN</w:t>
            </w:r>
            <w:r w:rsidRPr="00702A26">
              <w:rPr>
                <w:rFonts w:ascii="Tahoma" w:hAnsi="Tahoma" w:cs="Tahoma"/>
                <w:iCs/>
                <w:color w:val="333333"/>
                <w:sz w:val="14"/>
                <w:szCs w:val="14"/>
                <w:lang w:eastAsia="it-IT"/>
              </w:rPr>
              <w:t xml:space="preserve"> 2283-9216</w:t>
            </w:r>
          </w:p>
        </w:tc>
      </w:tr>
    </w:tbl>
    <w:p w14:paraId="2E667253" w14:textId="56A918AF" w:rsidR="00E978D0" w:rsidRPr="00702A26" w:rsidRDefault="00823062" w:rsidP="00E978D0">
      <w:pPr>
        <w:pStyle w:val="CETTitle"/>
      </w:pPr>
      <w:r w:rsidRPr="00702A26">
        <w:t>Comparing Two Control Room Intervention Procedure Formats: Preliminary Insights from Eye Tracking Measures</w:t>
      </w:r>
    </w:p>
    <w:p w14:paraId="0488FED2" w14:textId="3E1D1E03" w:rsidR="00B57E6F" w:rsidRPr="007F7B13" w:rsidRDefault="00823062" w:rsidP="00B57E6F">
      <w:pPr>
        <w:pStyle w:val="CETAuthors"/>
        <w:rPr>
          <w:noProof w:val="0"/>
          <w:lang w:val="it-IT"/>
        </w:rPr>
      </w:pPr>
      <w:r w:rsidRPr="007F7B13">
        <w:rPr>
          <w:noProof w:val="0"/>
          <w:lang w:val="it-IT"/>
        </w:rPr>
        <w:t>Chidera W. Ama</w:t>
      </w:r>
      <w:r w:rsidR="00043078" w:rsidRPr="007F7B13">
        <w:rPr>
          <w:noProof w:val="0"/>
          <w:lang w:val="it-IT"/>
        </w:rPr>
        <w:t>zu</w:t>
      </w:r>
      <w:r w:rsidR="00043078" w:rsidRPr="007F7B13">
        <w:rPr>
          <w:noProof w:val="0"/>
          <w:vertAlign w:val="superscript"/>
          <w:lang w:val="it-IT"/>
        </w:rPr>
        <w:t xml:space="preserve"> </w:t>
      </w:r>
      <w:proofErr w:type="gramStart"/>
      <w:r w:rsidR="00043078" w:rsidRPr="007F7B13">
        <w:rPr>
          <w:noProof w:val="0"/>
          <w:vertAlign w:val="superscript"/>
          <w:lang w:val="it-IT"/>
        </w:rPr>
        <w:t>a,</w:t>
      </w:r>
      <w:r w:rsidR="00043078" w:rsidRPr="007F7B13">
        <w:rPr>
          <w:noProof w:val="0"/>
          <w:lang w:val="it-IT"/>
        </w:rPr>
        <w:t>*</w:t>
      </w:r>
      <w:proofErr w:type="gramEnd"/>
      <w:r w:rsidR="00043078" w:rsidRPr="007F7B13">
        <w:rPr>
          <w:noProof w:val="0"/>
          <w:lang w:val="it-IT"/>
        </w:rPr>
        <w:t xml:space="preserve">, </w:t>
      </w:r>
      <w:r w:rsidR="003C13E7" w:rsidRPr="007F7B13">
        <w:rPr>
          <w:noProof w:val="0"/>
          <w:lang w:val="it-IT"/>
        </w:rPr>
        <w:t xml:space="preserve">Micaela </w:t>
      </w:r>
      <w:proofErr w:type="spellStart"/>
      <w:r w:rsidR="003C13E7" w:rsidRPr="007F7B13">
        <w:rPr>
          <w:noProof w:val="0"/>
          <w:lang w:val="it-IT"/>
        </w:rPr>
        <w:t>Demichela</w:t>
      </w:r>
      <w:proofErr w:type="spellEnd"/>
      <w:r w:rsidR="003C13E7" w:rsidRPr="007F7B13">
        <w:rPr>
          <w:noProof w:val="0"/>
          <w:vertAlign w:val="superscript"/>
          <w:lang w:val="it-IT"/>
        </w:rPr>
        <w:t xml:space="preserve"> </w:t>
      </w:r>
      <w:r w:rsidR="00043078" w:rsidRPr="007F7B13">
        <w:rPr>
          <w:noProof w:val="0"/>
          <w:vertAlign w:val="superscript"/>
          <w:lang w:val="it-IT"/>
        </w:rPr>
        <w:t>a</w:t>
      </w:r>
      <w:r w:rsidR="003C13E7" w:rsidRPr="007F7B13">
        <w:rPr>
          <w:noProof w:val="0"/>
          <w:lang w:val="it-IT"/>
        </w:rPr>
        <w:t xml:space="preserve">, </w:t>
      </w:r>
      <w:r w:rsidRPr="007F7B13">
        <w:rPr>
          <w:noProof w:val="0"/>
          <w:lang w:val="it-IT"/>
        </w:rPr>
        <w:t>Davide Fissore</w:t>
      </w:r>
      <w:r w:rsidR="00043078" w:rsidRPr="007F7B13">
        <w:rPr>
          <w:noProof w:val="0"/>
          <w:vertAlign w:val="superscript"/>
          <w:lang w:val="it-IT"/>
        </w:rPr>
        <w:t xml:space="preserve"> a</w:t>
      </w:r>
      <w:r w:rsidR="00B57E6F" w:rsidRPr="007F7B13">
        <w:rPr>
          <w:noProof w:val="0"/>
          <w:lang w:val="it-IT"/>
        </w:rPr>
        <w:t xml:space="preserve">, </w:t>
      </w:r>
      <w:r w:rsidR="003C13E7" w:rsidRPr="007F7B13">
        <w:rPr>
          <w:noProof w:val="0"/>
          <w:lang w:val="it-IT"/>
        </w:rPr>
        <w:t>Maria Chiara Leva</w:t>
      </w:r>
      <w:r w:rsidR="003C13E7" w:rsidRPr="007F7B13">
        <w:rPr>
          <w:noProof w:val="0"/>
          <w:vertAlign w:val="superscript"/>
          <w:lang w:val="it-IT"/>
        </w:rPr>
        <w:t xml:space="preserve"> b</w:t>
      </w:r>
    </w:p>
    <w:p w14:paraId="6B2D21B3" w14:textId="36EFACD8" w:rsidR="00B57E6F" w:rsidRPr="00702A26" w:rsidRDefault="00B57E6F" w:rsidP="00B57E6F">
      <w:pPr>
        <w:pStyle w:val="CETAddress"/>
        <w:rPr>
          <w:noProof w:val="0"/>
        </w:rPr>
      </w:pPr>
      <w:proofErr w:type="spellStart"/>
      <w:r w:rsidRPr="00702A26">
        <w:rPr>
          <w:noProof w:val="0"/>
          <w:vertAlign w:val="superscript"/>
        </w:rPr>
        <w:t>a</w:t>
      </w:r>
      <w:r w:rsidR="00235FF8" w:rsidRPr="00A10415">
        <w:rPr>
          <w:rStyle w:val="CETAddressCarattere"/>
          <w:noProof w:val="0"/>
        </w:rPr>
        <w:t>SAfeR</w:t>
      </w:r>
      <w:proofErr w:type="spellEnd"/>
      <w:r w:rsidR="00235FF8" w:rsidRPr="00A10415">
        <w:rPr>
          <w:rStyle w:val="CETAddressCarattere"/>
          <w:noProof w:val="0"/>
        </w:rPr>
        <w:t xml:space="preserve"> - Department of Applied Sciences and Technology, </w:t>
      </w:r>
      <w:proofErr w:type="spellStart"/>
      <w:r w:rsidR="00235FF8" w:rsidRPr="00A10415">
        <w:rPr>
          <w:rStyle w:val="CETAddressCarattere"/>
          <w:noProof w:val="0"/>
        </w:rPr>
        <w:t>Politecnico</w:t>
      </w:r>
      <w:proofErr w:type="spellEnd"/>
      <w:r w:rsidR="00235FF8" w:rsidRPr="00A10415">
        <w:rPr>
          <w:rStyle w:val="CETAddressCarattere"/>
          <w:noProof w:val="0"/>
        </w:rPr>
        <w:t xml:space="preserve"> di Torino, Italy</w:t>
      </w:r>
      <w:r w:rsidR="00D86CEC" w:rsidRPr="00A10415">
        <w:rPr>
          <w:rStyle w:val="CETAddressCarattere"/>
          <w:noProof w:val="0"/>
        </w:rPr>
        <w:t>.</w:t>
      </w:r>
    </w:p>
    <w:p w14:paraId="3D72B0B0" w14:textId="674AAD85" w:rsidR="00B57E6F" w:rsidRPr="00702A26" w:rsidRDefault="00B57E6F" w:rsidP="00B57E6F">
      <w:pPr>
        <w:pStyle w:val="CETAddress"/>
        <w:rPr>
          <w:noProof w:val="0"/>
        </w:rPr>
      </w:pPr>
      <w:proofErr w:type="spellStart"/>
      <w:r w:rsidRPr="00702A26">
        <w:rPr>
          <w:noProof w:val="0"/>
          <w:vertAlign w:val="superscript"/>
        </w:rPr>
        <w:t>b</w:t>
      </w:r>
      <w:r w:rsidR="007C4890" w:rsidRPr="00A10415">
        <w:rPr>
          <w:noProof w:val="0"/>
        </w:rPr>
        <w:t>Faculty</w:t>
      </w:r>
      <w:proofErr w:type="spellEnd"/>
      <w:r w:rsidR="007C4890" w:rsidRPr="00A10415">
        <w:rPr>
          <w:noProof w:val="0"/>
        </w:rPr>
        <w:t xml:space="preserve"> of Sciences and Health,</w:t>
      </w:r>
      <w:r w:rsidR="007C4890" w:rsidRPr="00702A26">
        <w:rPr>
          <w:noProof w:val="0"/>
          <w:vertAlign w:val="superscript"/>
        </w:rPr>
        <w:t xml:space="preserve"> </w:t>
      </w:r>
      <w:r w:rsidR="0017301C" w:rsidRPr="00702A26">
        <w:rPr>
          <w:noProof w:val="0"/>
        </w:rPr>
        <w:t>Technological University Dubli</w:t>
      </w:r>
      <w:r w:rsidR="00EC564D" w:rsidRPr="00702A26">
        <w:rPr>
          <w:noProof w:val="0"/>
        </w:rPr>
        <w:t>n, Ireland.</w:t>
      </w:r>
    </w:p>
    <w:p w14:paraId="73F1267A" w14:textId="1E5BBF31" w:rsidR="00B57E6F" w:rsidRPr="00702A26" w:rsidRDefault="00B57E6F" w:rsidP="00B57E6F">
      <w:pPr>
        <w:pStyle w:val="CETemail"/>
        <w:rPr>
          <w:noProof w:val="0"/>
        </w:rPr>
      </w:pPr>
      <w:r w:rsidRPr="00702A26">
        <w:rPr>
          <w:noProof w:val="0"/>
        </w:rPr>
        <w:t xml:space="preserve"> c</w:t>
      </w:r>
      <w:r w:rsidR="00F87FA5" w:rsidRPr="00702A26">
        <w:rPr>
          <w:noProof w:val="0"/>
        </w:rPr>
        <w:t>hidera.amazu</w:t>
      </w:r>
      <w:r w:rsidRPr="00702A26">
        <w:rPr>
          <w:noProof w:val="0"/>
        </w:rPr>
        <w:t>@</w:t>
      </w:r>
      <w:r w:rsidR="00F87FA5" w:rsidRPr="00702A26">
        <w:rPr>
          <w:noProof w:val="0"/>
        </w:rPr>
        <w:t>polito.it</w:t>
      </w:r>
      <w:r w:rsidRPr="00702A26">
        <w:rPr>
          <w:noProof w:val="0"/>
        </w:rPr>
        <w:t xml:space="preserve"> </w:t>
      </w:r>
    </w:p>
    <w:p w14:paraId="67D1B6C0" w14:textId="3CF94D42" w:rsidR="000478C7" w:rsidRPr="00702A26" w:rsidRDefault="00252BEA" w:rsidP="00702A26">
      <w:pPr>
        <w:pStyle w:val="CETBodytext"/>
        <w:rPr>
          <w:lang w:val="en-GB"/>
        </w:rPr>
      </w:pPr>
      <w:r w:rsidRPr="00702A26">
        <w:rPr>
          <w:lang w:val="en-GB"/>
        </w:rPr>
        <w:t>Control rooms rely on operating and emergency procedures to facilitate human-machine interaction and uphold safety in critical systems. These procedures can significantly affect operators' cognitive states, including situational awareness and performance. Therefore, it is imperative to thoroughly examine the impact of diverse procedure designs on operators' cognitive states and</w:t>
      </w:r>
      <w:r w:rsidR="00702A26" w:rsidRPr="00A10415">
        <w:rPr>
          <w:lang w:val="en-GB"/>
        </w:rPr>
        <w:t xml:space="preserve"> </w:t>
      </w:r>
      <w:r w:rsidR="00702A26" w:rsidRPr="00702A26">
        <w:rPr>
          <w:lang w:val="en-GB"/>
        </w:rPr>
        <w:t>behaviour</w:t>
      </w:r>
      <w:r w:rsidRPr="00702A26">
        <w:rPr>
          <w:lang w:val="en-GB"/>
        </w:rPr>
        <w:t xml:space="preserve"> during process intervention. This study </w:t>
      </w:r>
      <w:r w:rsidR="00702A26" w:rsidRPr="00702A26">
        <w:rPr>
          <w:lang w:val="en-GB"/>
        </w:rPr>
        <w:t>scrutinised</w:t>
      </w:r>
      <w:r w:rsidRPr="00702A26">
        <w:rPr>
          <w:lang w:val="en-GB"/>
        </w:rPr>
        <w:t xml:space="preserve"> two intervention procedure representation formats—paper-based and </w:t>
      </w:r>
      <w:r w:rsidR="00702A26" w:rsidRPr="00702A26">
        <w:rPr>
          <w:lang w:val="en-GB"/>
        </w:rPr>
        <w:t>digitised</w:t>
      </w:r>
      <w:r w:rsidRPr="00702A26">
        <w:rPr>
          <w:lang w:val="en-GB"/>
        </w:rPr>
        <w:t xml:space="preserve"> screen-based procedures—originally designed for a prior experimental study. Employing the eye-tracking technique from cognitive science studies during data collection provided comprehensive insights into these two supports. The paper outlines design disparities and potential effects on operators' cognitive states, using eye movement metrics such as fixation, saccade parameters, visits to areas of interest (AOI), and pupil diameter for comparison. Results indicated that participants with paper-based</w:t>
      </w:r>
      <w:r w:rsidR="007F7B13">
        <w:rPr>
          <w:lang w:val="en-GB"/>
        </w:rPr>
        <w:t xml:space="preserve"> </w:t>
      </w:r>
      <w:r w:rsidRPr="00702A26">
        <w:rPr>
          <w:lang w:val="en-GB"/>
        </w:rPr>
        <w:t>procedures exhibited fewer fixations and longer saccade parameters than those using screen-based procedures, highlighting the impact of design choices on support tools for control room operators</w:t>
      </w:r>
      <w:r w:rsidR="004242E7" w:rsidRPr="00702A26">
        <w:rPr>
          <w:lang w:val="en-GB"/>
        </w:rPr>
        <w:t>.</w:t>
      </w:r>
    </w:p>
    <w:p w14:paraId="476B2F2E" w14:textId="77777777" w:rsidR="00600535" w:rsidRPr="00702A26" w:rsidRDefault="00600535" w:rsidP="00600535">
      <w:pPr>
        <w:pStyle w:val="CETHeading1"/>
        <w:rPr>
          <w:lang w:val="en-GB"/>
        </w:rPr>
      </w:pPr>
      <w:r w:rsidRPr="00702A26">
        <w:rPr>
          <w:lang w:val="en-GB"/>
        </w:rPr>
        <w:t>Introduction</w:t>
      </w:r>
    </w:p>
    <w:p w14:paraId="776F5429" w14:textId="0EBF48EF" w:rsidR="00C36639" w:rsidRPr="00702A26" w:rsidRDefault="000E3025" w:rsidP="00A10415">
      <w:pPr>
        <w:pStyle w:val="CETBodytext"/>
        <w:rPr>
          <w:lang w:val="en-GB"/>
        </w:rPr>
      </w:pPr>
      <w:r w:rsidRPr="00A10415">
        <w:rPr>
          <w:lang w:val="en-GB"/>
        </w:rPr>
        <w:t>Engaging in information search and reading is integral to daily activities</w:t>
      </w:r>
      <w:r w:rsidR="00780537">
        <w:rPr>
          <w:lang w:val="en-GB"/>
        </w:rPr>
        <w:t>. However,</w:t>
      </w:r>
      <w:r w:rsidRPr="00A10415">
        <w:rPr>
          <w:lang w:val="en-GB"/>
        </w:rPr>
        <w:t xml:space="preserve"> </w:t>
      </w:r>
      <w:r w:rsidR="00735657">
        <w:rPr>
          <w:lang w:val="en-GB"/>
        </w:rPr>
        <w:t>how</w:t>
      </w:r>
      <w:r w:rsidRPr="00A10415">
        <w:rPr>
          <w:lang w:val="en-GB"/>
        </w:rPr>
        <w:t xml:space="preserve"> information is presented, whether as text, charts, or images, and the </w:t>
      </w:r>
      <w:r w:rsidR="00735657">
        <w:rPr>
          <w:lang w:val="en-GB"/>
        </w:rPr>
        <w:t>organisational</w:t>
      </w:r>
      <w:r w:rsidRPr="00A10415">
        <w:rPr>
          <w:lang w:val="en-GB"/>
        </w:rPr>
        <w:t xml:space="preserve"> pattern can influence processes like information processing, attention, recall, and mental load (Just and Carpenter, 1980). For instance, during reading, individuals pause at points of higher processing loads, such as longer or infrequent words. In control rooms, reading-intensive tasks arise when </w:t>
      </w:r>
      <w:r w:rsidR="00D31260">
        <w:rPr>
          <w:lang w:val="en-GB"/>
        </w:rPr>
        <w:t>operating or emergency procedures and essential tools are used to guide</w:t>
      </w:r>
      <w:r w:rsidRPr="00A10415">
        <w:rPr>
          <w:lang w:val="en-GB"/>
        </w:rPr>
        <w:t xml:space="preserve"> operators in managing processes and ensuring safety. These procedures contribute significantly to accidents due to complexity, incompleteness, or inaccuracy (Park and Jung, 2003). </w:t>
      </w:r>
      <w:r w:rsidR="009412B7" w:rsidRPr="00A10415">
        <w:rPr>
          <w:lang w:val="en-GB"/>
        </w:rPr>
        <w:t>I</w:t>
      </w:r>
      <w:r w:rsidRPr="00A10415">
        <w:rPr>
          <w:lang w:val="en-GB"/>
        </w:rPr>
        <w:t xml:space="preserve">dentified problems, including procedure complexity, search difficulty, and unfamiliar terminologies, lead to increased processing loads for control room operators. This can impact task completion time and accuracy, </w:t>
      </w:r>
      <w:r w:rsidR="00D31260">
        <w:rPr>
          <w:lang w:val="en-GB"/>
        </w:rPr>
        <w:t>depending</w:t>
      </w:r>
      <w:r w:rsidRPr="00A10415">
        <w:rPr>
          <w:lang w:val="en-GB"/>
        </w:rPr>
        <w:t xml:space="preserve"> on operators' experience or training (Just and Carpenter, 1980). Prolonged use of procedures can also induce mental fatigue, affecting cognitive performance, attention, and error rates (</w:t>
      </w:r>
      <w:proofErr w:type="spellStart"/>
      <w:r w:rsidRPr="00A10415">
        <w:rPr>
          <w:lang w:val="en-GB"/>
        </w:rPr>
        <w:t>Hinss</w:t>
      </w:r>
      <w:proofErr w:type="spellEnd"/>
      <w:r w:rsidRPr="00A10415">
        <w:rPr>
          <w:lang w:val="en-GB"/>
        </w:rPr>
        <w:t xml:space="preserve"> et al.,</w:t>
      </w:r>
      <w:r w:rsidR="009412B7" w:rsidRPr="00A10415">
        <w:rPr>
          <w:lang w:val="en-GB"/>
        </w:rPr>
        <w:t xml:space="preserve"> </w:t>
      </w:r>
      <w:r w:rsidRPr="00A10415">
        <w:rPr>
          <w:lang w:val="en-GB"/>
        </w:rPr>
        <w:t>2022).</w:t>
      </w:r>
      <w:r w:rsidR="009412B7" w:rsidRPr="00A10415">
        <w:rPr>
          <w:lang w:val="en-GB"/>
        </w:rPr>
        <w:t xml:space="preserve"> </w:t>
      </w:r>
      <w:r w:rsidRPr="00A10415">
        <w:rPr>
          <w:lang w:val="en-GB"/>
        </w:rPr>
        <w:t>Researchers</w:t>
      </w:r>
      <w:r w:rsidR="00D31260">
        <w:rPr>
          <w:lang w:val="en-GB"/>
        </w:rPr>
        <w:t xml:space="preserve"> such as Rayner and Fischer (1996) and Shi et al. (2023)</w:t>
      </w:r>
      <w:r w:rsidRPr="00A10415">
        <w:rPr>
          <w:lang w:val="en-GB"/>
        </w:rPr>
        <w:t xml:space="preserve"> have utilized eye-tracking metrics to study the impact of systems, text, and representation styles during reading and searching in both control and non-control room scenarios. While previous studies have explored reading comprehension and cognitive workload, none have specifically examined the influence of different procedure formats (presentation styles, search support design) on operators' attention, workload, and visual fatigue. Therefore, this study aims to answer the research question: How do paper-based vs. </w:t>
      </w:r>
      <w:r w:rsidR="00D31260">
        <w:rPr>
          <w:lang w:val="en-GB"/>
        </w:rPr>
        <w:t>digitised</w:t>
      </w:r>
      <w:r w:rsidRPr="00A10415">
        <w:rPr>
          <w:lang w:val="en-GB"/>
        </w:rPr>
        <w:t xml:space="preserve"> screen-based procedures impact control room operators?</w:t>
      </w:r>
    </w:p>
    <w:p w14:paraId="5741900F" w14:textId="24193B43" w:rsidR="00453E24" w:rsidRPr="00702A26" w:rsidRDefault="00AF4C3C" w:rsidP="002A7D51">
      <w:pPr>
        <w:pStyle w:val="CETHeading1"/>
        <w:jc w:val="both"/>
        <w:rPr>
          <w:lang w:val="en-GB"/>
        </w:rPr>
      </w:pPr>
      <w:r w:rsidRPr="00702A26">
        <w:rPr>
          <w:lang w:val="en-GB"/>
        </w:rPr>
        <w:t>Intervention Procedures</w:t>
      </w:r>
    </w:p>
    <w:p w14:paraId="494C4750" w14:textId="317DBB29" w:rsidR="00107FAC" w:rsidRPr="00702A26" w:rsidRDefault="00107FAC" w:rsidP="00702A26">
      <w:pPr>
        <w:pStyle w:val="CETBodytext"/>
        <w:rPr>
          <w:lang w:val="en-GB"/>
        </w:rPr>
      </w:pPr>
      <w:r w:rsidRPr="00702A26">
        <w:rPr>
          <w:lang w:val="en-GB"/>
        </w:rPr>
        <w:t xml:space="preserve">Procedure complexity is one of the reasons for non-compliant behaviour when using procedures. </w:t>
      </w:r>
      <w:r w:rsidR="003568DE" w:rsidRPr="00702A26">
        <w:rPr>
          <w:lang w:val="en-GB"/>
        </w:rPr>
        <w:t>This study compares</w:t>
      </w:r>
      <w:r w:rsidRPr="00702A26">
        <w:rPr>
          <w:lang w:val="en-GB"/>
        </w:rPr>
        <w:t xml:space="preserve"> a paper-based procedure</w:t>
      </w:r>
      <w:r w:rsidR="00020540" w:rsidRPr="00702A26">
        <w:rPr>
          <w:lang w:val="en-GB"/>
        </w:rPr>
        <w:t xml:space="preserve"> commonly used in process plants</w:t>
      </w:r>
      <w:r w:rsidRPr="00702A26">
        <w:rPr>
          <w:lang w:val="en-GB"/>
        </w:rPr>
        <w:t xml:space="preserve"> and a digitised screen procedure designed by </w:t>
      </w:r>
      <w:r w:rsidR="006909EA" w:rsidRPr="00702A26">
        <w:rPr>
          <w:lang w:val="en-GB"/>
        </w:rPr>
        <w:t>A</w:t>
      </w:r>
      <w:r w:rsidRPr="00702A26">
        <w:rPr>
          <w:lang w:val="en-GB"/>
        </w:rPr>
        <w:t>mazu</w:t>
      </w:r>
      <w:r w:rsidR="006909EA" w:rsidRPr="00702A26">
        <w:rPr>
          <w:lang w:val="en-GB"/>
        </w:rPr>
        <w:t xml:space="preserve"> et al.</w:t>
      </w:r>
      <w:r w:rsidR="003568DE" w:rsidRPr="00702A26">
        <w:rPr>
          <w:lang w:val="en-GB"/>
        </w:rPr>
        <w:t xml:space="preserve"> (</w:t>
      </w:r>
      <w:r w:rsidRPr="00702A26">
        <w:rPr>
          <w:lang w:val="en-GB"/>
        </w:rPr>
        <w:t>2023</w:t>
      </w:r>
      <w:r w:rsidR="003568DE" w:rsidRPr="00702A26">
        <w:rPr>
          <w:lang w:val="en-GB"/>
        </w:rPr>
        <w:t>)</w:t>
      </w:r>
      <w:r w:rsidRPr="00702A26">
        <w:rPr>
          <w:lang w:val="en-GB"/>
        </w:rPr>
        <w:t xml:space="preserve">. The new digitised procedure was designed to reduce complexity precisely during search activities, potentially reducing search times. In both designs, the context and writing style remained the same. A hierarchical, rule-based task representation format was used </w:t>
      </w:r>
      <w:r w:rsidR="00A60406" w:rsidRPr="00702A26">
        <w:rPr>
          <w:lang w:val="en-GB"/>
        </w:rPr>
        <w:t>to write</w:t>
      </w:r>
      <w:r w:rsidRPr="00702A26">
        <w:rPr>
          <w:lang w:val="en-GB"/>
        </w:rPr>
        <w:t xml:space="preserve"> the procedures, </w:t>
      </w:r>
      <w:r w:rsidRPr="00702A26">
        <w:rPr>
          <w:lang w:val="en-GB"/>
        </w:rPr>
        <w:lastRenderedPageBreak/>
        <w:t>detailing each step to resolve plant alarms. In terms of representation, one is presented on a display interface, and the other on screen. The authors reckon that the use of eye-tracking metrics can further give insight into any potential impact of each format on the cognitive states of the operators. The procedures are detailed below</w:t>
      </w:r>
      <w:r w:rsidR="00453E24" w:rsidRPr="00702A26">
        <w:rPr>
          <w:lang w:val="en-GB"/>
        </w:rPr>
        <w:t>.</w:t>
      </w:r>
    </w:p>
    <w:p w14:paraId="0636B784" w14:textId="186E7E90" w:rsidR="00453E24" w:rsidRPr="00702A26" w:rsidRDefault="00D512B6" w:rsidP="002A7D51">
      <w:pPr>
        <w:pStyle w:val="CETheadingx"/>
        <w:jc w:val="both"/>
        <w:rPr>
          <w:lang w:val="en-GB"/>
        </w:rPr>
      </w:pPr>
      <w:r w:rsidRPr="00702A26">
        <w:rPr>
          <w:lang w:val="en-GB"/>
        </w:rPr>
        <w:t>Digitised procedure</w:t>
      </w:r>
    </w:p>
    <w:p w14:paraId="6DBAE6D6" w14:textId="09C79C82" w:rsidR="002A7D51" w:rsidRPr="00702A26" w:rsidRDefault="00B726FB" w:rsidP="00702A26">
      <w:pPr>
        <w:pStyle w:val="CETBodytext"/>
        <w:rPr>
          <w:lang w:val="en-GB"/>
        </w:rPr>
      </w:pPr>
      <w:r w:rsidRPr="00702A26">
        <w:rPr>
          <w:lang w:val="en-GB"/>
        </w:rPr>
        <w:t xml:space="preserve">For the digitised screen-based format, the procedure for each alarm is organised for </w:t>
      </w:r>
      <w:r w:rsidR="00C3254F" w:rsidRPr="00702A26">
        <w:rPr>
          <w:lang w:val="en-GB"/>
        </w:rPr>
        <w:t xml:space="preserve">potentially </w:t>
      </w:r>
      <w:r w:rsidRPr="00702A26">
        <w:rPr>
          <w:lang w:val="en-GB"/>
        </w:rPr>
        <w:t>eas</w:t>
      </w:r>
      <w:r w:rsidR="00C3254F" w:rsidRPr="00702A26">
        <w:rPr>
          <w:lang w:val="en-GB"/>
        </w:rPr>
        <w:t>ier</w:t>
      </w:r>
      <w:r w:rsidRPr="00702A26">
        <w:rPr>
          <w:lang w:val="en-GB"/>
        </w:rPr>
        <w:t xml:space="preserve"> navigation</w:t>
      </w:r>
      <w:r w:rsidR="00A60406" w:rsidRPr="00702A26">
        <w:rPr>
          <w:lang w:val="en-GB"/>
        </w:rPr>
        <w:t>,</w:t>
      </w:r>
      <w:r w:rsidRPr="00702A26">
        <w:rPr>
          <w:lang w:val="en-GB"/>
        </w:rPr>
        <w:t xml:space="preserve"> </w:t>
      </w:r>
      <w:r w:rsidR="00A60406" w:rsidRPr="00702A26">
        <w:rPr>
          <w:lang w:val="en-GB"/>
        </w:rPr>
        <w:t>as shown in Figure 1a</w:t>
      </w:r>
      <w:r w:rsidRPr="00702A26">
        <w:rPr>
          <w:lang w:val="en-GB"/>
        </w:rPr>
        <w:t xml:space="preserve">. They are arranged by plant section (Tank, Methanol, Compressor, Heat Recovery, Reactor, and Absorber plant sections) and by alarm number from 01 - n.  The </w:t>
      </w:r>
      <w:r w:rsidR="00A60406" w:rsidRPr="00702A26">
        <w:rPr>
          <w:lang w:val="en-GB"/>
        </w:rPr>
        <w:t>procedures in Figures 1a and b are within the tank section, and for the alarm, PAL01 (low-pressure</w:t>
      </w:r>
      <w:r w:rsidR="001E486C" w:rsidRPr="00702A26">
        <w:rPr>
          <w:lang w:val="en-GB"/>
        </w:rPr>
        <w:t xml:space="preserve"> alarm</w:t>
      </w:r>
      <w:r w:rsidR="00A60406" w:rsidRPr="00702A26">
        <w:rPr>
          <w:lang w:val="en-GB"/>
        </w:rPr>
        <w:t>)</w:t>
      </w:r>
      <w:r w:rsidR="00C3254F" w:rsidRPr="00702A26">
        <w:rPr>
          <w:lang w:val="en-GB"/>
        </w:rPr>
        <w:t>.</w:t>
      </w:r>
    </w:p>
    <w:p w14:paraId="582642C6" w14:textId="0110E663" w:rsidR="00453E24" w:rsidRPr="00702A26" w:rsidRDefault="006A1961" w:rsidP="00721726">
      <w:pPr>
        <w:pStyle w:val="CETheadingx"/>
        <w:rPr>
          <w:lang w:val="en-GB"/>
        </w:rPr>
      </w:pPr>
      <w:r w:rsidRPr="00702A26">
        <w:rPr>
          <w:lang w:val="en-GB"/>
        </w:rPr>
        <w:t>Paper procedures:</w:t>
      </w:r>
    </w:p>
    <w:p w14:paraId="0E448429" w14:textId="4984116B" w:rsidR="007B1DFA" w:rsidRPr="00702A26" w:rsidRDefault="007B1DFA" w:rsidP="007B1DFA">
      <w:pPr>
        <w:pStyle w:val="CETBodytext"/>
        <w:rPr>
          <w:lang w:val="en-GB"/>
        </w:rPr>
      </w:pPr>
      <w:r w:rsidRPr="00702A26">
        <w:rPr>
          <w:lang w:val="en-GB"/>
        </w:rPr>
        <w:t xml:space="preserve">For the sake of organisation and </w:t>
      </w:r>
      <w:r w:rsidR="00C3254F" w:rsidRPr="00702A26">
        <w:rPr>
          <w:lang w:val="en-GB"/>
        </w:rPr>
        <w:t>to support searching in this group</w:t>
      </w:r>
      <w:r w:rsidRPr="00702A26">
        <w:rPr>
          <w:lang w:val="en-GB"/>
        </w:rPr>
        <w:t xml:space="preserve">, the paper procedure in Figure </w:t>
      </w:r>
      <w:r w:rsidR="00C3254F" w:rsidRPr="00702A26">
        <w:rPr>
          <w:lang w:val="en-GB"/>
        </w:rPr>
        <w:t>2</w:t>
      </w:r>
      <w:r w:rsidRPr="00702A26">
        <w:rPr>
          <w:lang w:val="en-GB"/>
        </w:rPr>
        <w:t xml:space="preserve">a-d has the table of contents at the beginning of the book (Figure </w:t>
      </w:r>
      <w:r w:rsidR="00C3254F" w:rsidRPr="00702A26">
        <w:rPr>
          <w:lang w:val="en-GB"/>
        </w:rPr>
        <w:t>2</w:t>
      </w:r>
      <w:r w:rsidRPr="00702A26">
        <w:rPr>
          <w:lang w:val="en-GB"/>
        </w:rPr>
        <w:t xml:space="preserve">b) and a colour tag at the beginning of each plant section in Figure </w:t>
      </w:r>
      <w:r w:rsidR="00C3254F" w:rsidRPr="00702A26">
        <w:rPr>
          <w:lang w:val="en-GB"/>
        </w:rPr>
        <w:t>2</w:t>
      </w:r>
      <w:r w:rsidRPr="00702A26">
        <w:rPr>
          <w:lang w:val="en-GB"/>
        </w:rPr>
        <w:t>d. Also, the content and writing style are similar to the digitised procedure in Fig</w:t>
      </w:r>
      <w:r w:rsidR="00444A1D" w:rsidRPr="00702A26">
        <w:rPr>
          <w:lang w:val="en-GB"/>
        </w:rPr>
        <w:t>ure</w:t>
      </w:r>
      <w:r w:rsidRPr="00702A26">
        <w:rPr>
          <w:lang w:val="en-GB"/>
        </w:rPr>
        <w:t xml:space="preserve">. </w:t>
      </w:r>
      <w:r w:rsidR="00C3254F" w:rsidRPr="00702A26">
        <w:rPr>
          <w:lang w:val="en-GB"/>
        </w:rPr>
        <w:t>2</w:t>
      </w:r>
      <w:r w:rsidRPr="00702A26">
        <w:rPr>
          <w:lang w:val="en-GB"/>
        </w:rPr>
        <w:t xml:space="preserve">c. For this specific procedure, PAL01, in Figure </w:t>
      </w:r>
      <w:r w:rsidR="00C3254F" w:rsidRPr="00702A26">
        <w:rPr>
          <w:lang w:val="en-GB"/>
        </w:rPr>
        <w:t>2</w:t>
      </w:r>
      <w:r w:rsidRPr="00702A26">
        <w:rPr>
          <w:lang w:val="en-GB"/>
        </w:rPr>
        <w:t xml:space="preserve">c, the last task steps 8 - 6, essentially continuations of the first, differed in colour from those presented on the screen in Figure </w:t>
      </w:r>
      <w:r w:rsidR="00591E0A" w:rsidRPr="00702A26">
        <w:rPr>
          <w:lang w:val="en-GB"/>
        </w:rPr>
        <w:t>1</w:t>
      </w:r>
      <w:r w:rsidRPr="00702A26">
        <w:rPr>
          <w:lang w:val="en-GB"/>
        </w:rPr>
        <w:t xml:space="preserve">. </w:t>
      </w:r>
    </w:p>
    <w:p w14:paraId="665DB83D" w14:textId="63737B6B" w:rsidR="00F410A0" w:rsidRPr="00702A26" w:rsidRDefault="007B1DFA" w:rsidP="007B1DFA">
      <w:pPr>
        <w:pStyle w:val="CETBodytext"/>
        <w:rPr>
          <w:lang w:val="en-GB"/>
        </w:rPr>
      </w:pPr>
      <w:r w:rsidRPr="00702A26">
        <w:rPr>
          <w:lang w:val="en-GB"/>
        </w:rPr>
        <w:t>The context of the intervention procedure</w:t>
      </w:r>
      <w:r w:rsidR="00CE4177" w:rsidRPr="00702A26">
        <w:rPr>
          <w:lang w:val="en-GB"/>
        </w:rPr>
        <w:t xml:space="preserve">, including the </w:t>
      </w:r>
      <w:r w:rsidR="00591E0A" w:rsidRPr="00702A26">
        <w:rPr>
          <w:lang w:val="en-GB"/>
        </w:rPr>
        <w:t>text style</w:t>
      </w:r>
      <w:r w:rsidR="00CE4177" w:rsidRPr="00702A26">
        <w:rPr>
          <w:lang w:val="en-GB"/>
        </w:rPr>
        <w:t xml:space="preserve"> and others, was new to all who participated in the study presented in the paper</w:t>
      </w:r>
      <w:r w:rsidRPr="00702A26">
        <w:rPr>
          <w:lang w:val="en-GB"/>
        </w:rPr>
        <w:t>. The paper</w:t>
      </w:r>
      <w:r w:rsidR="00C3254F" w:rsidRPr="00702A26">
        <w:rPr>
          <w:lang w:val="en-GB"/>
        </w:rPr>
        <w:t xml:space="preserve">- or screen-based formats were new to all participants, and all received training on how this is used or how it </w:t>
      </w:r>
      <w:r w:rsidRPr="00702A26">
        <w:rPr>
          <w:lang w:val="en-GB"/>
        </w:rPr>
        <w:t>can be understood task by task. Hence,</w:t>
      </w:r>
      <w:r w:rsidR="00CE4177" w:rsidRPr="00702A26">
        <w:rPr>
          <w:lang w:val="en-GB"/>
        </w:rPr>
        <w:t xml:space="preserve"> </w:t>
      </w:r>
      <w:r w:rsidR="00591E0A" w:rsidRPr="00702A26">
        <w:rPr>
          <w:lang w:val="en-GB"/>
        </w:rPr>
        <w:t xml:space="preserve">the effect of </w:t>
      </w:r>
      <w:r w:rsidRPr="00702A26">
        <w:rPr>
          <w:lang w:val="en-GB"/>
        </w:rPr>
        <w:t xml:space="preserve">possible variation </w:t>
      </w:r>
      <w:r w:rsidR="009E60BB" w:rsidRPr="00702A26">
        <w:rPr>
          <w:lang w:val="en-GB"/>
        </w:rPr>
        <w:t>due to</w:t>
      </w:r>
      <w:r w:rsidRPr="00702A26">
        <w:rPr>
          <w:lang w:val="en-GB"/>
        </w:rPr>
        <w:t xml:space="preserve"> familiarity</w:t>
      </w:r>
      <w:r w:rsidR="00CE4177" w:rsidRPr="00702A26">
        <w:rPr>
          <w:lang w:val="en-GB"/>
        </w:rPr>
        <w:t xml:space="preserve"> is removed</w:t>
      </w:r>
      <w:r w:rsidRPr="00702A26">
        <w:rPr>
          <w:lang w:val="en-GB"/>
        </w:rPr>
        <w:t>.</w:t>
      </w:r>
    </w:p>
    <w:p w14:paraId="21B7C892" w14:textId="1D674B8D" w:rsidR="00F410A0" w:rsidRPr="00702A26" w:rsidRDefault="00F410A0" w:rsidP="00C3254F">
      <w:pPr>
        <w:tabs>
          <w:tab w:val="clear" w:pos="7100"/>
        </w:tabs>
        <w:spacing w:before="100" w:beforeAutospacing="1" w:after="100" w:afterAutospacing="1" w:line="240" w:lineRule="auto"/>
        <w:rPr>
          <w:rFonts w:ascii="Times New Roman" w:hAnsi="Times New Roman"/>
          <w:sz w:val="24"/>
          <w:szCs w:val="24"/>
          <w:lang w:eastAsia="en-GB"/>
        </w:rPr>
      </w:pPr>
      <w:r w:rsidRPr="00A10415">
        <w:rPr>
          <w:rFonts w:ascii="Times New Roman" w:hAnsi="Times New Roman"/>
          <w:noProof/>
          <w:sz w:val="24"/>
          <w:szCs w:val="24"/>
          <w:lang w:eastAsia="en-GB"/>
        </w:rPr>
        <w:drawing>
          <wp:inline distT="0" distB="0" distL="0" distR="0" wp14:anchorId="67D6423B" wp14:editId="34B6BA5F">
            <wp:extent cx="4589813" cy="1452631"/>
            <wp:effectExtent l="0" t="0" r="1270" b="0"/>
            <wp:docPr id="1515371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0655" cy="1490876"/>
                    </a:xfrm>
                    <a:prstGeom prst="rect">
                      <a:avLst/>
                    </a:prstGeom>
                    <a:noFill/>
                    <a:ln>
                      <a:noFill/>
                    </a:ln>
                  </pic:spPr>
                </pic:pic>
              </a:graphicData>
            </a:graphic>
          </wp:inline>
        </w:drawing>
      </w:r>
    </w:p>
    <w:p w14:paraId="5C6030E8" w14:textId="0645014F" w:rsidR="00C8286A" w:rsidRPr="00702A26" w:rsidRDefault="00A56029" w:rsidP="00A56029">
      <w:pPr>
        <w:pStyle w:val="CETCaption"/>
        <w:rPr>
          <w:lang w:eastAsia="en-GB"/>
        </w:rPr>
      </w:pPr>
      <w:r w:rsidRPr="00702A26">
        <w:rPr>
          <w:lang w:eastAsia="en-GB"/>
        </w:rPr>
        <w:t>Figure</w:t>
      </w:r>
      <w:r w:rsidR="0045489B" w:rsidRPr="00702A26">
        <w:rPr>
          <w:lang w:eastAsia="en-GB"/>
        </w:rPr>
        <w:t xml:space="preserve"> </w:t>
      </w:r>
      <w:r w:rsidR="00591E0A" w:rsidRPr="00702A26">
        <w:rPr>
          <w:lang w:eastAsia="en-GB"/>
        </w:rPr>
        <w:t>1</w:t>
      </w:r>
      <w:r w:rsidR="0045489B" w:rsidRPr="00702A26">
        <w:rPr>
          <w:lang w:eastAsia="en-GB"/>
        </w:rPr>
        <w:t xml:space="preserve">: </w:t>
      </w:r>
      <w:r w:rsidRPr="00702A26">
        <w:rPr>
          <w:lang w:eastAsia="en-GB"/>
        </w:rPr>
        <w:t xml:space="preserve">(a). procedure for PAL 01 steps 1 - 6, (b) continues for PAL01 steps 8 - 14. The left </w:t>
      </w:r>
      <w:r w:rsidR="0045489B" w:rsidRPr="00702A26">
        <w:rPr>
          <w:lang w:eastAsia="en-GB"/>
        </w:rPr>
        <w:t>sidebars</w:t>
      </w:r>
      <w:r w:rsidRPr="00702A26">
        <w:rPr>
          <w:lang w:eastAsia="en-GB"/>
        </w:rPr>
        <w:t xml:space="preserve"> show the flow of alarm </w:t>
      </w:r>
      <w:r w:rsidR="0045489B" w:rsidRPr="00702A26">
        <w:rPr>
          <w:lang w:eastAsia="en-GB"/>
        </w:rPr>
        <w:t>arrangements</w:t>
      </w:r>
      <w:r w:rsidRPr="00702A26">
        <w:rPr>
          <w:lang w:eastAsia="en-GB"/>
        </w:rPr>
        <w:t xml:space="preserve"> for easy navigation.</w:t>
      </w:r>
    </w:p>
    <w:p w14:paraId="2A401E86" w14:textId="36C5523E" w:rsidR="00C8286A" w:rsidRPr="00702A26" w:rsidRDefault="00C8286A" w:rsidP="00AB7587">
      <w:pPr>
        <w:tabs>
          <w:tab w:val="clear" w:pos="7100"/>
        </w:tabs>
        <w:spacing w:before="100" w:beforeAutospacing="1" w:after="100" w:afterAutospacing="1" w:line="240" w:lineRule="auto"/>
        <w:jc w:val="left"/>
        <w:rPr>
          <w:rFonts w:ascii="Times New Roman" w:hAnsi="Times New Roman"/>
          <w:sz w:val="24"/>
          <w:szCs w:val="24"/>
          <w:lang w:eastAsia="en-GB"/>
        </w:rPr>
      </w:pPr>
      <w:r w:rsidRPr="00A10415">
        <w:rPr>
          <w:rFonts w:ascii="Times New Roman" w:hAnsi="Times New Roman"/>
          <w:noProof/>
          <w:sz w:val="24"/>
          <w:szCs w:val="24"/>
          <w:lang w:eastAsia="en-GB"/>
        </w:rPr>
        <w:drawing>
          <wp:inline distT="0" distB="0" distL="0" distR="0" wp14:anchorId="272DFC98" wp14:editId="61A95235">
            <wp:extent cx="5332020" cy="1622604"/>
            <wp:effectExtent l="0" t="0" r="2540" b="0"/>
            <wp:docPr id="1318214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2020" cy="1622604"/>
                    </a:xfrm>
                    <a:prstGeom prst="rect">
                      <a:avLst/>
                    </a:prstGeom>
                    <a:noFill/>
                    <a:ln>
                      <a:noFill/>
                    </a:ln>
                  </pic:spPr>
                </pic:pic>
              </a:graphicData>
            </a:graphic>
          </wp:inline>
        </w:drawing>
      </w:r>
    </w:p>
    <w:p w14:paraId="06CB9D97" w14:textId="3264D20A" w:rsidR="00F414E2" w:rsidRPr="00702A26" w:rsidRDefault="00F260C3" w:rsidP="00C77D2C">
      <w:pPr>
        <w:pStyle w:val="CETCaption"/>
      </w:pPr>
      <w:r w:rsidRPr="00702A26">
        <w:t xml:space="preserve">Figure </w:t>
      </w:r>
      <w:r w:rsidR="00591E0A" w:rsidRPr="00702A26">
        <w:t>2</w:t>
      </w:r>
      <w:r w:rsidRPr="00702A26">
        <w:t xml:space="preserve">: (a). front page paper procedure, (b). sample table of contents, c. procedure for PAL01 (pressure alarm low) steps 1 to 14, </w:t>
      </w:r>
      <w:r w:rsidR="004A43DF" w:rsidRPr="00702A26">
        <w:t>(</w:t>
      </w:r>
      <w:r w:rsidRPr="00702A26">
        <w:t>d</w:t>
      </w:r>
      <w:r w:rsidR="004A43DF" w:rsidRPr="00702A26">
        <w:t>)</w:t>
      </w:r>
      <w:r w:rsidRPr="00702A26">
        <w:t xml:space="preserve"> Actual look of procedure during the test with the colour tag indicating the start of the new plant section.</w:t>
      </w:r>
    </w:p>
    <w:p w14:paraId="677EBFF0" w14:textId="60A74181" w:rsidR="00600535" w:rsidRPr="00702A26" w:rsidRDefault="00F414E2" w:rsidP="00600535">
      <w:pPr>
        <w:pStyle w:val="CETHeading1"/>
        <w:tabs>
          <w:tab w:val="clear" w:pos="360"/>
          <w:tab w:val="right" w:pos="7100"/>
        </w:tabs>
        <w:jc w:val="both"/>
        <w:rPr>
          <w:lang w:val="en-GB"/>
        </w:rPr>
      </w:pPr>
      <w:r w:rsidRPr="00702A26">
        <w:rPr>
          <w:lang w:val="en-GB"/>
        </w:rPr>
        <w:t>Methods</w:t>
      </w:r>
    </w:p>
    <w:p w14:paraId="04963A06" w14:textId="515DBB0E" w:rsidR="00600535" w:rsidRPr="00702A26" w:rsidRDefault="00F414E2" w:rsidP="00FA5F5F">
      <w:pPr>
        <w:pStyle w:val="CETheadingx"/>
        <w:rPr>
          <w:lang w:val="en-GB"/>
        </w:rPr>
      </w:pPr>
      <w:r w:rsidRPr="00702A26">
        <w:rPr>
          <w:lang w:val="en-GB"/>
        </w:rPr>
        <w:t>Case study and scenarios</w:t>
      </w:r>
    </w:p>
    <w:p w14:paraId="2E562C00" w14:textId="4E0DF13F" w:rsidR="004577FE" w:rsidRPr="00702A26" w:rsidRDefault="0040617D" w:rsidP="0040617D">
      <w:pPr>
        <w:pStyle w:val="CETBodytext"/>
        <w:rPr>
          <w:lang w:val="en-GB"/>
        </w:rPr>
      </w:pPr>
      <w:r w:rsidRPr="00702A26">
        <w:rPr>
          <w:lang w:val="en-GB"/>
        </w:rPr>
        <w:t xml:space="preserve">The </w:t>
      </w:r>
      <w:r w:rsidR="00A1355B" w:rsidRPr="00702A26">
        <w:rPr>
          <w:lang w:val="en-GB"/>
        </w:rPr>
        <w:t>experiment</w:t>
      </w:r>
      <w:r w:rsidRPr="00702A26">
        <w:rPr>
          <w:lang w:val="en-GB"/>
        </w:rPr>
        <w:t xml:space="preserve"> </w:t>
      </w:r>
      <w:r w:rsidR="0002399B" w:rsidRPr="00702A26">
        <w:rPr>
          <w:lang w:val="en-GB"/>
        </w:rPr>
        <w:t xml:space="preserve">utilised </w:t>
      </w:r>
      <w:r w:rsidR="00A1355B" w:rsidRPr="00702A26">
        <w:rPr>
          <w:lang w:val="en-GB"/>
        </w:rPr>
        <w:t>three</w:t>
      </w:r>
      <w:r w:rsidRPr="00702A26">
        <w:rPr>
          <w:lang w:val="en-GB"/>
        </w:rPr>
        <w:t xml:space="preserve"> interface</w:t>
      </w:r>
      <w:r w:rsidR="0002399B" w:rsidRPr="00702A26">
        <w:rPr>
          <w:lang w:val="en-GB"/>
        </w:rPr>
        <w:t xml:space="preserve"> displays</w:t>
      </w:r>
      <w:r w:rsidRPr="00702A26">
        <w:rPr>
          <w:lang w:val="en-GB"/>
        </w:rPr>
        <w:t xml:space="preserve"> that provide</w:t>
      </w:r>
      <w:r w:rsidR="0002399B" w:rsidRPr="00702A26">
        <w:rPr>
          <w:lang w:val="en-GB"/>
        </w:rPr>
        <w:t>d information</w:t>
      </w:r>
      <w:r w:rsidRPr="00702A26">
        <w:rPr>
          <w:lang w:val="en-GB"/>
        </w:rPr>
        <w:t xml:space="preserve"> </w:t>
      </w:r>
      <w:r w:rsidR="0002399B" w:rsidRPr="00702A26">
        <w:rPr>
          <w:lang w:val="en-GB"/>
        </w:rPr>
        <w:t xml:space="preserve">in real-time </w:t>
      </w:r>
      <w:r w:rsidR="00A7515E" w:rsidRPr="00702A26">
        <w:rPr>
          <w:lang w:val="en-GB"/>
        </w:rPr>
        <w:t>about a simulated formaldehyde production facility and some support tools,</w:t>
      </w:r>
      <w:r w:rsidR="0002399B" w:rsidRPr="00702A26">
        <w:rPr>
          <w:lang w:val="en-GB"/>
        </w:rPr>
        <w:t xml:space="preserve"> such as the different procedure formats </w:t>
      </w:r>
      <w:r w:rsidR="00A7515E" w:rsidRPr="00702A26">
        <w:rPr>
          <w:lang w:val="en-GB"/>
        </w:rPr>
        <w:t xml:space="preserve">to be used. This is based on the setup </w:t>
      </w:r>
      <w:r w:rsidR="0002399B" w:rsidRPr="00702A26">
        <w:rPr>
          <w:lang w:val="en-GB"/>
        </w:rPr>
        <w:t xml:space="preserve">by </w:t>
      </w:r>
      <w:r w:rsidR="00444A1D" w:rsidRPr="00702A26">
        <w:rPr>
          <w:lang w:val="en-GB"/>
        </w:rPr>
        <w:t>Amazu et al. (2023).</w:t>
      </w:r>
      <w:r w:rsidRPr="00702A26">
        <w:rPr>
          <w:lang w:val="en-GB"/>
        </w:rPr>
        <w:t xml:space="preserve"> </w:t>
      </w:r>
      <w:r w:rsidR="007753E2" w:rsidRPr="00702A26">
        <w:rPr>
          <w:lang w:val="en-GB"/>
        </w:rPr>
        <w:t xml:space="preserve">Three scenarios were run progressively with </w:t>
      </w:r>
      <w:r w:rsidR="00A7515E" w:rsidRPr="00702A26">
        <w:rPr>
          <w:lang w:val="en-GB"/>
        </w:rPr>
        <w:t xml:space="preserve">a </w:t>
      </w:r>
      <w:r w:rsidR="007753E2" w:rsidRPr="00702A26">
        <w:rPr>
          <w:lang w:val="en-GB"/>
        </w:rPr>
        <w:t xml:space="preserve">5-minute break in between. </w:t>
      </w:r>
      <w:r w:rsidRPr="00702A26">
        <w:rPr>
          <w:lang w:val="en-GB"/>
        </w:rPr>
        <w:t>The digitised screen-based procedure in Figure 1 was presented on</w:t>
      </w:r>
      <w:r w:rsidR="0002399B" w:rsidRPr="00702A26">
        <w:rPr>
          <w:lang w:val="en-GB"/>
        </w:rPr>
        <w:t xml:space="preserve"> a </w:t>
      </w:r>
      <w:r w:rsidR="007753E2" w:rsidRPr="00702A26">
        <w:rPr>
          <w:lang w:val="en-GB"/>
        </w:rPr>
        <w:t>S</w:t>
      </w:r>
      <w:r w:rsidR="0002399B" w:rsidRPr="00702A26">
        <w:rPr>
          <w:lang w:val="en-GB"/>
        </w:rPr>
        <w:t xml:space="preserve">upport </w:t>
      </w:r>
      <w:r w:rsidR="007753E2" w:rsidRPr="00702A26">
        <w:rPr>
          <w:lang w:val="en-GB"/>
        </w:rPr>
        <w:t>D</w:t>
      </w:r>
      <w:r w:rsidR="0002399B" w:rsidRPr="00702A26">
        <w:rPr>
          <w:lang w:val="en-GB"/>
        </w:rPr>
        <w:t>isplay. This display contained the alarm list</w:t>
      </w:r>
      <w:r w:rsidR="00C2434C" w:rsidRPr="00702A26">
        <w:rPr>
          <w:lang w:val="en-GB"/>
        </w:rPr>
        <w:t xml:space="preserve"> </w:t>
      </w:r>
      <w:r w:rsidRPr="00702A26">
        <w:rPr>
          <w:lang w:val="en-GB"/>
        </w:rPr>
        <w:t xml:space="preserve">and key </w:t>
      </w:r>
      <w:r w:rsidR="0002399B" w:rsidRPr="00702A26">
        <w:rPr>
          <w:lang w:val="en-GB"/>
        </w:rPr>
        <w:t>graphical trends</w:t>
      </w:r>
      <w:r w:rsidRPr="00702A26">
        <w:rPr>
          <w:lang w:val="en-GB"/>
        </w:rPr>
        <w:t xml:space="preserve"> </w:t>
      </w:r>
      <w:r w:rsidR="0002399B" w:rsidRPr="00702A26">
        <w:rPr>
          <w:lang w:val="en-GB"/>
        </w:rPr>
        <w:t>on its side and beneath</w:t>
      </w:r>
      <w:r w:rsidRPr="00702A26">
        <w:rPr>
          <w:lang w:val="en-GB"/>
        </w:rPr>
        <w:t xml:space="preserve">. The control room included two </w:t>
      </w:r>
      <w:r w:rsidRPr="00702A26">
        <w:rPr>
          <w:lang w:val="en-GB"/>
        </w:rPr>
        <w:lastRenderedPageBreak/>
        <w:t xml:space="preserve">supervisors who </w:t>
      </w:r>
      <w:r w:rsidR="00A9438E" w:rsidRPr="00702A26">
        <w:rPr>
          <w:lang w:val="en-GB"/>
        </w:rPr>
        <w:t>observed</w:t>
      </w:r>
      <w:r w:rsidRPr="00702A26">
        <w:rPr>
          <w:lang w:val="en-GB"/>
        </w:rPr>
        <w:t xml:space="preserve"> the operators and </w:t>
      </w:r>
      <w:r w:rsidR="00A1355B" w:rsidRPr="00702A26">
        <w:rPr>
          <w:lang w:val="en-GB"/>
        </w:rPr>
        <w:t>acted</w:t>
      </w:r>
      <w:r w:rsidRPr="00702A26">
        <w:rPr>
          <w:lang w:val="en-GB"/>
        </w:rPr>
        <w:t xml:space="preserve"> as a reference </w:t>
      </w:r>
      <w:r w:rsidR="00A9438E" w:rsidRPr="00702A26">
        <w:rPr>
          <w:lang w:val="en-GB"/>
        </w:rPr>
        <w:t>in case of</w:t>
      </w:r>
      <w:r w:rsidRPr="00702A26">
        <w:rPr>
          <w:lang w:val="en-GB"/>
        </w:rPr>
        <w:t xml:space="preserve"> need to communicate or make inquiries depending on the instructions from the procedure. </w:t>
      </w:r>
      <w:r w:rsidR="00672E60" w:rsidRPr="00702A26">
        <w:rPr>
          <w:lang w:val="en-GB"/>
        </w:rPr>
        <w:t>This paper will focus</w:t>
      </w:r>
      <w:r w:rsidR="00C2434C" w:rsidRPr="00702A26">
        <w:rPr>
          <w:lang w:val="en-GB"/>
        </w:rPr>
        <w:t xml:space="preserve"> on the last and most critical scenario</w:t>
      </w:r>
      <w:r w:rsidRPr="00702A26">
        <w:rPr>
          <w:lang w:val="en-GB"/>
        </w:rPr>
        <w:t xml:space="preserve">, </w:t>
      </w:r>
      <w:r w:rsidR="007753E2" w:rsidRPr="00702A26">
        <w:rPr>
          <w:lang w:val="en-GB"/>
        </w:rPr>
        <w:t>s</w:t>
      </w:r>
      <w:r w:rsidRPr="00702A26">
        <w:rPr>
          <w:lang w:val="en-GB"/>
        </w:rPr>
        <w:t>cenario 3.</w:t>
      </w:r>
    </w:p>
    <w:p w14:paraId="1F96CA21" w14:textId="19BE0E91" w:rsidR="00600535" w:rsidRPr="00702A26" w:rsidRDefault="00B707A2" w:rsidP="00FA5F5F">
      <w:pPr>
        <w:pStyle w:val="CETheadingx"/>
        <w:rPr>
          <w:lang w:val="en-GB"/>
        </w:rPr>
      </w:pPr>
      <w:r w:rsidRPr="00702A26">
        <w:rPr>
          <w:lang w:val="en-GB"/>
        </w:rPr>
        <w:t>Scenario</w:t>
      </w:r>
    </w:p>
    <w:p w14:paraId="746A6670" w14:textId="234A74A6" w:rsidR="00B707A2" w:rsidRPr="00702A26" w:rsidRDefault="008634FE" w:rsidP="007633FC">
      <w:pPr>
        <w:pStyle w:val="CETBodytext"/>
        <w:rPr>
          <w:lang w:val="en-GB"/>
        </w:rPr>
      </w:pPr>
      <w:r w:rsidRPr="00702A26">
        <w:rPr>
          <w:lang w:val="en-GB"/>
        </w:rPr>
        <w:t>This critical scenario required participants to prevent the plant from overheating by keeping the plant stable within 18 minutes.</w:t>
      </w:r>
    </w:p>
    <w:p w14:paraId="6ED68297" w14:textId="19AD6F45" w:rsidR="00B707A2" w:rsidRPr="00702A26" w:rsidRDefault="00347E42" w:rsidP="00347E42">
      <w:pPr>
        <w:pStyle w:val="CETheadingx"/>
        <w:rPr>
          <w:lang w:val="en-GB"/>
        </w:rPr>
      </w:pPr>
      <w:r w:rsidRPr="00702A26">
        <w:rPr>
          <w:lang w:val="en-GB"/>
        </w:rPr>
        <w:t>Groups</w:t>
      </w:r>
      <w:r w:rsidR="008634FE" w:rsidRPr="00702A26">
        <w:rPr>
          <w:lang w:val="en-GB"/>
        </w:rPr>
        <w:t>: GPP and GSP</w:t>
      </w:r>
    </w:p>
    <w:p w14:paraId="6A82D8A9" w14:textId="53528993" w:rsidR="008634FE" w:rsidRPr="00702A26" w:rsidRDefault="008634FE" w:rsidP="007633FC">
      <w:pPr>
        <w:pStyle w:val="CETBodytext"/>
        <w:rPr>
          <w:lang w:val="en-GB"/>
        </w:rPr>
      </w:pPr>
      <w:r w:rsidRPr="00702A26">
        <w:rPr>
          <w:lang w:val="en-GB"/>
        </w:rPr>
        <w:t>The groups</w:t>
      </w:r>
      <w:r w:rsidR="00A7515E" w:rsidRPr="00702A26">
        <w:rPr>
          <w:lang w:val="en-GB"/>
        </w:rPr>
        <w:t xml:space="preserve"> to be compared</w:t>
      </w:r>
      <w:r w:rsidRPr="00702A26">
        <w:rPr>
          <w:lang w:val="en-GB"/>
        </w:rPr>
        <w:t xml:space="preserve">, </w:t>
      </w:r>
      <w:r w:rsidR="00A7515E" w:rsidRPr="00702A26">
        <w:rPr>
          <w:lang w:val="en-GB"/>
        </w:rPr>
        <w:t xml:space="preserve">their </w:t>
      </w:r>
      <w:r w:rsidRPr="00702A26">
        <w:rPr>
          <w:lang w:val="en-GB"/>
        </w:rPr>
        <w:t xml:space="preserve">similarities and </w:t>
      </w:r>
      <w:r w:rsidR="00672E60" w:rsidRPr="00702A26">
        <w:rPr>
          <w:lang w:val="en-GB"/>
        </w:rPr>
        <w:t>differences</w:t>
      </w:r>
      <w:r w:rsidRPr="00702A26">
        <w:rPr>
          <w:lang w:val="en-GB"/>
        </w:rPr>
        <w:t xml:space="preserve"> are broken down as follows;</w:t>
      </w:r>
    </w:p>
    <w:p w14:paraId="026714DD" w14:textId="5F810C0C" w:rsidR="008634FE" w:rsidRPr="00702A26" w:rsidRDefault="008634FE" w:rsidP="007633FC">
      <w:pPr>
        <w:pStyle w:val="CETBodytext"/>
        <w:numPr>
          <w:ilvl w:val="0"/>
          <w:numId w:val="26"/>
        </w:numPr>
        <w:rPr>
          <w:lang w:val="en-GB"/>
        </w:rPr>
      </w:pPr>
      <w:r w:rsidRPr="00702A26">
        <w:rPr>
          <w:lang w:val="en-GB"/>
        </w:rPr>
        <w:t>Group Paper Procedure (GPP): the participants had the paper procedure with alarms prioritised.</w:t>
      </w:r>
    </w:p>
    <w:p w14:paraId="683B518D" w14:textId="16208E6D" w:rsidR="00347E42" w:rsidRPr="00702A26" w:rsidRDefault="008634FE" w:rsidP="007633FC">
      <w:pPr>
        <w:pStyle w:val="CETBodytext"/>
        <w:numPr>
          <w:ilvl w:val="0"/>
          <w:numId w:val="26"/>
        </w:numPr>
        <w:rPr>
          <w:lang w:val="en-GB"/>
        </w:rPr>
      </w:pPr>
      <w:r w:rsidRPr="00702A26">
        <w:rPr>
          <w:lang w:val="en-GB"/>
        </w:rPr>
        <w:t>Group Screen Procedure (GSP): Like the participants in GPP, those in GSP had alarms prioritised but used a digitised screen-based procedure.</w:t>
      </w:r>
    </w:p>
    <w:p w14:paraId="082BF121" w14:textId="7E78F3E3" w:rsidR="00347E42" w:rsidRPr="00702A26" w:rsidRDefault="00347E42" w:rsidP="00347E42">
      <w:pPr>
        <w:pStyle w:val="CETheadingx"/>
        <w:rPr>
          <w:lang w:val="en-GB"/>
        </w:rPr>
      </w:pPr>
      <w:r w:rsidRPr="00702A26">
        <w:rPr>
          <w:lang w:val="en-GB"/>
        </w:rPr>
        <w:t>Participants</w:t>
      </w:r>
    </w:p>
    <w:p w14:paraId="7066FBA5" w14:textId="77F187D3" w:rsidR="00347E42" w:rsidRPr="00702A26" w:rsidRDefault="0061415D" w:rsidP="007633FC">
      <w:pPr>
        <w:pStyle w:val="CETBodytext"/>
        <w:rPr>
          <w:lang w:val="en-GB"/>
        </w:rPr>
      </w:pPr>
      <w:r w:rsidRPr="00702A26">
        <w:rPr>
          <w:lang w:val="en-GB"/>
        </w:rPr>
        <w:t xml:space="preserve">The results of </w:t>
      </w:r>
      <w:r w:rsidR="00ED192A" w:rsidRPr="00702A26">
        <w:rPr>
          <w:lang w:val="en-GB"/>
        </w:rPr>
        <w:t xml:space="preserve">8 </w:t>
      </w:r>
      <w:r w:rsidR="00AE3E5A" w:rsidRPr="00702A26">
        <w:rPr>
          <w:lang w:val="en-GB"/>
        </w:rPr>
        <w:t>randomly selected</w:t>
      </w:r>
      <w:r w:rsidRPr="00702A26">
        <w:rPr>
          <w:lang w:val="en-GB"/>
        </w:rPr>
        <w:t xml:space="preserve"> </w:t>
      </w:r>
      <w:r w:rsidR="00ED192A" w:rsidRPr="00702A26">
        <w:rPr>
          <w:lang w:val="en-GB"/>
        </w:rPr>
        <w:t xml:space="preserve">participants in the test </w:t>
      </w:r>
      <w:r w:rsidR="00AE3E5A" w:rsidRPr="00702A26">
        <w:rPr>
          <w:lang w:val="en-GB"/>
        </w:rPr>
        <w:t>are</w:t>
      </w:r>
      <w:r w:rsidRPr="00702A26">
        <w:rPr>
          <w:lang w:val="en-GB"/>
        </w:rPr>
        <w:t xml:space="preserve"> presented i</w:t>
      </w:r>
      <w:r w:rsidR="007633FC" w:rsidRPr="00702A26">
        <w:rPr>
          <w:lang w:val="en-GB"/>
        </w:rPr>
        <w:t>n this paper</w:t>
      </w:r>
      <w:r w:rsidR="00AE3E5A" w:rsidRPr="00702A26">
        <w:rPr>
          <w:lang w:val="en-GB"/>
        </w:rPr>
        <w:t>.</w:t>
      </w:r>
      <w:r w:rsidR="007633FC" w:rsidRPr="00702A26">
        <w:rPr>
          <w:lang w:val="en-GB"/>
        </w:rPr>
        <w:t xml:space="preserve"> F</w:t>
      </w:r>
      <w:r w:rsidR="00583BA6" w:rsidRPr="00702A26">
        <w:rPr>
          <w:lang w:val="en-GB"/>
        </w:rPr>
        <w:t>our</w:t>
      </w:r>
      <w:r w:rsidR="007633FC" w:rsidRPr="00702A26">
        <w:rPr>
          <w:lang w:val="en-GB"/>
        </w:rPr>
        <w:t xml:space="preserve">, </w:t>
      </w:r>
      <w:r w:rsidR="00583BA6" w:rsidRPr="00702A26">
        <w:rPr>
          <w:lang w:val="en-GB"/>
        </w:rPr>
        <w:t>4</w:t>
      </w:r>
      <w:r w:rsidR="007633FC" w:rsidRPr="00702A26">
        <w:rPr>
          <w:lang w:val="en-GB"/>
        </w:rPr>
        <w:t>, in each group (male =</w:t>
      </w:r>
      <w:r w:rsidR="009D6B3F" w:rsidRPr="00702A26">
        <w:rPr>
          <w:lang w:val="en-GB"/>
        </w:rPr>
        <w:t xml:space="preserve"> 6</w:t>
      </w:r>
      <w:r w:rsidR="007633FC" w:rsidRPr="00702A26">
        <w:rPr>
          <w:lang w:val="en-GB"/>
        </w:rPr>
        <w:t>, female =</w:t>
      </w:r>
      <w:r w:rsidR="009D6B3F" w:rsidRPr="00702A26">
        <w:rPr>
          <w:lang w:val="en-GB"/>
        </w:rPr>
        <w:t xml:space="preserve"> 2 and</w:t>
      </w:r>
      <w:r w:rsidR="007633FC" w:rsidRPr="00702A26">
        <w:rPr>
          <w:lang w:val="en-GB"/>
        </w:rPr>
        <w:t xml:space="preserve"> mean age</w:t>
      </w:r>
      <w:r w:rsidR="009D6B3F" w:rsidRPr="00702A26">
        <w:rPr>
          <w:lang w:val="en-GB"/>
        </w:rPr>
        <w:t>, M</w:t>
      </w:r>
      <w:r w:rsidR="007633FC" w:rsidRPr="00702A26">
        <w:rPr>
          <w:lang w:val="en-GB"/>
        </w:rPr>
        <w:t xml:space="preserve"> =</w:t>
      </w:r>
      <w:r w:rsidR="009D6B3F" w:rsidRPr="00702A26">
        <w:rPr>
          <w:lang w:val="en-GB"/>
        </w:rPr>
        <w:t xml:space="preserve"> 24, standard deviation, SD = 0.92</w:t>
      </w:r>
      <w:r w:rsidR="007633FC" w:rsidRPr="00702A26">
        <w:rPr>
          <w:lang w:val="en-GB"/>
        </w:rPr>
        <w:t>).</w:t>
      </w:r>
    </w:p>
    <w:p w14:paraId="58E5AF0A" w14:textId="77C0E16D" w:rsidR="00347E42" w:rsidRPr="00702A26" w:rsidRDefault="00BE4082" w:rsidP="00BE4082">
      <w:pPr>
        <w:pStyle w:val="CETheadingx"/>
        <w:rPr>
          <w:lang w:val="en-GB"/>
        </w:rPr>
      </w:pPr>
      <w:r w:rsidRPr="00702A26">
        <w:rPr>
          <w:lang w:val="en-GB"/>
        </w:rPr>
        <w:t>Procedure</w:t>
      </w:r>
    </w:p>
    <w:p w14:paraId="4CEA2A93" w14:textId="0C0D2EDF" w:rsidR="00D37F56" w:rsidRPr="00702A26" w:rsidRDefault="00D37F56" w:rsidP="00D37F56">
      <w:pPr>
        <w:pStyle w:val="CETBodytext"/>
        <w:rPr>
          <w:lang w:val="en-GB"/>
        </w:rPr>
      </w:pPr>
      <w:r w:rsidRPr="00702A26">
        <w:rPr>
          <w:lang w:val="en-GB"/>
        </w:rPr>
        <w:t xml:space="preserve">The participants considered in this paper participated in each scenario only once. The experiment included signing the consent forms, training, filling </w:t>
      </w:r>
      <w:r w:rsidR="000D2621" w:rsidRPr="00702A26">
        <w:rPr>
          <w:lang w:val="en-GB"/>
        </w:rPr>
        <w:t>out</w:t>
      </w:r>
      <w:r w:rsidRPr="00702A26">
        <w:rPr>
          <w:lang w:val="en-GB"/>
        </w:rPr>
        <w:t xml:space="preserve"> the preliminary questionnaire, </w:t>
      </w:r>
      <w:r w:rsidR="007137C2" w:rsidRPr="00702A26">
        <w:rPr>
          <w:lang w:val="en-GB"/>
        </w:rPr>
        <w:t xml:space="preserve">testing </w:t>
      </w:r>
      <w:r w:rsidRPr="00702A26">
        <w:rPr>
          <w:lang w:val="en-GB"/>
        </w:rPr>
        <w:t>the scenarios</w:t>
      </w:r>
      <w:r w:rsidR="00A96A25" w:rsidRPr="00702A26">
        <w:rPr>
          <w:lang w:val="en-GB"/>
        </w:rPr>
        <w:t xml:space="preserve"> and </w:t>
      </w:r>
      <w:r w:rsidRPr="00702A26">
        <w:rPr>
          <w:lang w:val="en-GB"/>
        </w:rPr>
        <w:t xml:space="preserve">breaks, completing workload, situational awareness questionnaires, and </w:t>
      </w:r>
      <w:r w:rsidR="007137C2" w:rsidRPr="00702A26">
        <w:rPr>
          <w:lang w:val="en-GB"/>
        </w:rPr>
        <w:t>debriefing</w:t>
      </w:r>
      <w:r w:rsidRPr="00702A26">
        <w:rPr>
          <w:lang w:val="en-GB"/>
        </w:rPr>
        <w:t>. This</w:t>
      </w:r>
      <w:r w:rsidR="00A96A25" w:rsidRPr="00702A26">
        <w:rPr>
          <w:lang w:val="en-GB"/>
        </w:rPr>
        <w:t xml:space="preserve"> critical scenario</w:t>
      </w:r>
      <w:r w:rsidRPr="00702A26">
        <w:rPr>
          <w:lang w:val="en-GB"/>
        </w:rPr>
        <w:t xml:space="preserve"> lasted </w:t>
      </w:r>
      <w:r w:rsidR="00A96A25" w:rsidRPr="00702A26">
        <w:rPr>
          <w:lang w:val="en-GB"/>
        </w:rPr>
        <w:t>18 –</w:t>
      </w:r>
      <w:r w:rsidRPr="00702A26">
        <w:rPr>
          <w:lang w:val="en-GB"/>
        </w:rPr>
        <w:t xml:space="preserve"> </w:t>
      </w:r>
      <w:r w:rsidR="00A96A25" w:rsidRPr="00702A26">
        <w:rPr>
          <w:lang w:val="en-GB"/>
        </w:rPr>
        <w:t>20 minutes</w:t>
      </w:r>
      <w:r w:rsidRPr="00702A26">
        <w:rPr>
          <w:lang w:val="en-GB"/>
        </w:rPr>
        <w:t xml:space="preserve">, depending on the </w:t>
      </w:r>
      <w:r w:rsidR="00DB2524" w:rsidRPr="00702A26">
        <w:rPr>
          <w:lang w:val="en-GB"/>
        </w:rPr>
        <w:t>participant’s</w:t>
      </w:r>
      <w:r w:rsidR="00A96A25" w:rsidRPr="00702A26">
        <w:rPr>
          <w:lang w:val="en-GB"/>
        </w:rPr>
        <w:t xml:space="preserve"> progress</w:t>
      </w:r>
      <w:r w:rsidR="00DB2524" w:rsidRPr="00702A26">
        <w:rPr>
          <w:lang w:val="en-GB"/>
        </w:rPr>
        <w:t xml:space="preserve"> and potential simulator lag</w:t>
      </w:r>
      <w:r w:rsidRPr="00702A26">
        <w:rPr>
          <w:lang w:val="en-GB"/>
        </w:rPr>
        <w:t xml:space="preserve">. Before </w:t>
      </w:r>
      <w:r w:rsidR="00BD59FE" w:rsidRPr="00702A26">
        <w:rPr>
          <w:lang w:val="en-GB"/>
        </w:rPr>
        <w:t xml:space="preserve">the </w:t>
      </w:r>
      <w:r w:rsidR="00A96A25" w:rsidRPr="00702A26">
        <w:rPr>
          <w:lang w:val="en-GB"/>
        </w:rPr>
        <w:t>critical</w:t>
      </w:r>
      <w:r w:rsidR="00BD59FE" w:rsidRPr="00702A26">
        <w:rPr>
          <w:lang w:val="en-GB"/>
        </w:rPr>
        <w:t xml:space="preserve"> scenario</w:t>
      </w:r>
      <w:r w:rsidR="000D2621" w:rsidRPr="00702A26">
        <w:rPr>
          <w:lang w:val="en-GB"/>
        </w:rPr>
        <w:t>, scenario 3</w:t>
      </w:r>
      <w:r w:rsidR="003C2741" w:rsidRPr="00702A26">
        <w:rPr>
          <w:lang w:val="en-GB"/>
        </w:rPr>
        <w:t>, participants completed questionnaires to assess their workload and situational awareness</w:t>
      </w:r>
      <w:r w:rsidR="00A96A25" w:rsidRPr="00702A26">
        <w:rPr>
          <w:lang w:val="en-GB"/>
        </w:rPr>
        <w:t xml:space="preserve"> while wearing or not wearing the eye tracker</w:t>
      </w:r>
      <w:r w:rsidR="00751CD2" w:rsidRPr="00702A26">
        <w:rPr>
          <w:lang w:val="en-GB"/>
        </w:rPr>
        <w:t>,</w:t>
      </w:r>
      <w:r w:rsidRPr="00702A26">
        <w:rPr>
          <w:lang w:val="en-GB"/>
        </w:rPr>
        <w:t xml:space="preserve"> depending on their preference. They were asked to </w:t>
      </w:r>
      <w:r w:rsidR="00BD59FE" w:rsidRPr="00702A26">
        <w:rPr>
          <w:lang w:val="en-GB"/>
        </w:rPr>
        <w:t>take</w:t>
      </w:r>
      <w:r w:rsidRPr="00702A26">
        <w:rPr>
          <w:lang w:val="en-GB"/>
        </w:rPr>
        <w:t xml:space="preserve"> a break before commencing the scenario. </w:t>
      </w:r>
    </w:p>
    <w:p w14:paraId="7DEB73C4" w14:textId="550CCF2B" w:rsidR="007C5652" w:rsidRPr="00702A26" w:rsidRDefault="00D37F56" w:rsidP="00D37F56">
      <w:pPr>
        <w:pStyle w:val="CETBodytext"/>
        <w:rPr>
          <w:lang w:val="en-GB"/>
        </w:rPr>
      </w:pPr>
      <w:r w:rsidRPr="00702A26">
        <w:rPr>
          <w:lang w:val="en-GB"/>
        </w:rPr>
        <w:t xml:space="preserve">When ready, they wore the </w:t>
      </w:r>
      <w:r w:rsidR="00751CD2" w:rsidRPr="00702A26">
        <w:rPr>
          <w:lang w:val="en-GB"/>
        </w:rPr>
        <w:t xml:space="preserve">eye tracker, which was </w:t>
      </w:r>
      <w:r w:rsidRPr="00702A26">
        <w:rPr>
          <w:lang w:val="en-GB"/>
        </w:rPr>
        <w:t>calibrated and validated. The eye-tracker used in this study for data collection was Tobii Pro Glasses 3</w:t>
      </w:r>
      <w:r w:rsidR="00BD59FE" w:rsidRPr="00702A26">
        <w:rPr>
          <w:lang w:val="en-GB"/>
        </w:rPr>
        <w:t>,</w:t>
      </w:r>
      <w:r w:rsidRPr="00702A26">
        <w:rPr>
          <w:lang w:val="en-GB"/>
        </w:rPr>
        <w:t xml:space="preserve"> with a sampling rate of 50Hz. Only the participants wore the eye-tracker</w:t>
      </w:r>
      <w:r w:rsidR="00BD59FE" w:rsidRPr="00702A26">
        <w:rPr>
          <w:lang w:val="en-GB"/>
        </w:rPr>
        <w:t>,</w:t>
      </w:r>
      <w:r w:rsidRPr="00702A26">
        <w:rPr>
          <w:lang w:val="en-GB"/>
        </w:rPr>
        <w:t xml:space="preserve"> while the supervisors observed without it. </w:t>
      </w:r>
    </w:p>
    <w:p w14:paraId="424276D2" w14:textId="77FC096F" w:rsidR="007C5652" w:rsidRPr="00702A26" w:rsidRDefault="00AE1F61" w:rsidP="00AE1F61">
      <w:pPr>
        <w:pStyle w:val="CETheadingx"/>
        <w:rPr>
          <w:lang w:val="en-GB"/>
        </w:rPr>
      </w:pPr>
      <w:r w:rsidRPr="00702A26">
        <w:rPr>
          <w:lang w:val="en-GB"/>
        </w:rPr>
        <w:t>Eye Tracker</w:t>
      </w:r>
    </w:p>
    <w:p w14:paraId="63A46FE3" w14:textId="4DC12443" w:rsidR="00AE1F61" w:rsidRPr="00702A26" w:rsidRDefault="00AE1F61" w:rsidP="00AE1F61">
      <w:pPr>
        <w:pStyle w:val="CETBodytext"/>
        <w:rPr>
          <w:lang w:val="en-GB"/>
        </w:rPr>
      </w:pPr>
      <w:r w:rsidRPr="00702A26">
        <w:rPr>
          <w:lang w:val="en-GB"/>
        </w:rPr>
        <w:t>The following eye-tracking metrics have been selected for this study. A brief description of what they represent and similar studies in which these metrics have been used is provided in Table 1.</w:t>
      </w:r>
    </w:p>
    <w:p w14:paraId="6357EC8C" w14:textId="07E82B30" w:rsidR="00AE1F61" w:rsidRPr="00702A26" w:rsidRDefault="00AE1F61" w:rsidP="00EC759B">
      <w:pPr>
        <w:pStyle w:val="CETBodytext"/>
        <w:numPr>
          <w:ilvl w:val="0"/>
          <w:numId w:val="29"/>
        </w:numPr>
        <w:rPr>
          <w:lang w:val="en-GB"/>
        </w:rPr>
      </w:pPr>
      <w:r w:rsidRPr="00702A26">
        <w:rPr>
          <w:lang w:val="en-GB"/>
        </w:rPr>
        <w:t xml:space="preserve">Heat Maps: </w:t>
      </w:r>
      <w:r w:rsidR="00CD44E9" w:rsidRPr="00702A26">
        <w:rPr>
          <w:lang w:val="en-GB"/>
        </w:rPr>
        <w:t>These are used</w:t>
      </w:r>
      <w:r w:rsidR="00751CD2" w:rsidRPr="00702A26">
        <w:rPr>
          <w:lang w:val="en-GB"/>
        </w:rPr>
        <w:t xml:space="preserve"> to analyse the area of the stimuli where participants paid more or less attention</w:t>
      </w:r>
      <w:r w:rsidRPr="00702A26">
        <w:rPr>
          <w:lang w:val="en-GB"/>
        </w:rPr>
        <w:t>. This is based on the quantity of fixation at each point on a spatial distribution</w:t>
      </w:r>
      <w:r w:rsidR="00E02215" w:rsidRPr="00702A26">
        <w:rPr>
          <w:lang w:val="en-GB"/>
        </w:rPr>
        <w:t>, not necessarily</w:t>
      </w:r>
      <w:r w:rsidRPr="00702A26">
        <w:rPr>
          <w:lang w:val="en-GB"/>
        </w:rPr>
        <w:t xml:space="preserve"> the </w:t>
      </w:r>
      <w:r w:rsidR="0000514E" w:rsidRPr="00702A26">
        <w:rPr>
          <w:lang w:val="en-GB"/>
        </w:rPr>
        <w:t>visitation order</w:t>
      </w:r>
      <w:r w:rsidRPr="00702A26">
        <w:rPr>
          <w:lang w:val="en-GB"/>
        </w:rPr>
        <w:t xml:space="preserve"> (Mahanama</w:t>
      </w:r>
      <w:r w:rsidR="00BA5FAE" w:rsidRPr="00702A26">
        <w:rPr>
          <w:lang w:val="en-GB"/>
        </w:rPr>
        <w:t xml:space="preserve"> et al., 2022</w:t>
      </w:r>
      <w:r w:rsidRPr="00702A26">
        <w:rPr>
          <w:lang w:val="en-GB"/>
        </w:rPr>
        <w:t xml:space="preserve">). </w:t>
      </w:r>
      <w:r w:rsidR="00CE7CCE" w:rsidRPr="00702A26">
        <w:rPr>
          <w:lang w:val="en-GB"/>
        </w:rPr>
        <w:t xml:space="preserve">Red indicates more fixation numbers, and green indicates </w:t>
      </w:r>
      <w:r w:rsidRPr="00702A26">
        <w:rPr>
          <w:lang w:val="en-GB"/>
        </w:rPr>
        <w:t>even less.</w:t>
      </w:r>
    </w:p>
    <w:p w14:paraId="7EA015F9" w14:textId="470A649B" w:rsidR="00AE1F61" w:rsidRPr="00702A26" w:rsidRDefault="00AE1F61" w:rsidP="000C7743">
      <w:pPr>
        <w:pStyle w:val="CETBodytext"/>
        <w:numPr>
          <w:ilvl w:val="0"/>
          <w:numId w:val="28"/>
        </w:numPr>
        <w:ind w:left="360"/>
        <w:rPr>
          <w:lang w:val="en-GB"/>
        </w:rPr>
      </w:pPr>
      <w:r w:rsidRPr="00702A26">
        <w:rPr>
          <w:lang w:val="en-GB"/>
        </w:rPr>
        <w:t xml:space="preserve">Pupillometry: This refers to the measurement of changes in pupil size. Studies have shown that pupil size is influenced by sympathetic and </w:t>
      </w:r>
      <w:r w:rsidR="00BA5FAE" w:rsidRPr="00702A26">
        <w:rPr>
          <w:lang w:val="en-GB"/>
        </w:rPr>
        <w:t>parasympathetic</w:t>
      </w:r>
      <w:r w:rsidRPr="00702A26">
        <w:rPr>
          <w:lang w:val="en-GB"/>
        </w:rPr>
        <w:t xml:space="preserve"> activations</w:t>
      </w:r>
      <w:r w:rsidR="00BA5FAE" w:rsidRPr="00702A26">
        <w:rPr>
          <w:lang w:val="en-GB"/>
        </w:rPr>
        <w:t>,</w:t>
      </w:r>
      <w:r w:rsidRPr="00702A26">
        <w:rPr>
          <w:lang w:val="en-GB"/>
        </w:rPr>
        <w:t xml:space="preserve"> leading to pupil dilations and contractions, respectively. Factors of </w:t>
      </w:r>
      <w:r w:rsidR="00BA5FAE" w:rsidRPr="00702A26">
        <w:rPr>
          <w:lang w:val="en-GB"/>
        </w:rPr>
        <w:t>influence</w:t>
      </w:r>
      <w:r w:rsidRPr="00702A26">
        <w:rPr>
          <w:lang w:val="en-GB"/>
        </w:rPr>
        <w:t xml:space="preserve"> include arousal levels, low or high luminance, bright or dark stimuli, low or high workload, expected or unexpected stimuli, and more (</w:t>
      </w:r>
      <w:r w:rsidR="00464308" w:rsidRPr="00702A26">
        <w:rPr>
          <w:lang w:val="en-GB"/>
        </w:rPr>
        <w:t xml:space="preserve">Fan </w:t>
      </w:r>
      <w:r w:rsidR="003A3B43" w:rsidRPr="00702A26">
        <w:rPr>
          <w:lang w:val="en-GB"/>
        </w:rPr>
        <w:t>et al., 2023</w:t>
      </w:r>
      <w:r w:rsidRPr="00702A26">
        <w:rPr>
          <w:lang w:val="en-GB"/>
        </w:rPr>
        <w:t>). The indications of this metric on some of these factors</w:t>
      </w:r>
      <w:r w:rsidR="00B459A7" w:rsidRPr="00702A26">
        <w:rPr>
          <w:lang w:val="en-GB"/>
        </w:rPr>
        <w:t>, as observed by some studies,</w:t>
      </w:r>
      <w:r w:rsidRPr="00702A26">
        <w:rPr>
          <w:lang w:val="en-GB"/>
        </w:rPr>
        <w:t xml:space="preserve"> are shown in Table 1.</w:t>
      </w:r>
    </w:p>
    <w:p w14:paraId="5E77ED63" w14:textId="7F4CA90B" w:rsidR="00AE1F61" w:rsidRPr="00702A26" w:rsidRDefault="00AE1F61" w:rsidP="000C7743">
      <w:pPr>
        <w:pStyle w:val="CETBodytext"/>
        <w:numPr>
          <w:ilvl w:val="0"/>
          <w:numId w:val="28"/>
        </w:numPr>
        <w:ind w:left="360"/>
        <w:rPr>
          <w:lang w:val="en-GB"/>
        </w:rPr>
      </w:pPr>
      <w:r w:rsidRPr="00702A26">
        <w:rPr>
          <w:lang w:val="en-GB"/>
        </w:rPr>
        <w:t>AOI analysis: AOIs are a tool or the region selected from a displayed stimulus to extract metrics specifically for these regions</w:t>
      </w:r>
      <w:r w:rsidR="003A3B43" w:rsidRPr="00702A26">
        <w:rPr>
          <w:lang w:val="en-GB"/>
        </w:rPr>
        <w:t xml:space="preserve"> (Pederson, 2023)</w:t>
      </w:r>
      <w:r w:rsidRPr="00702A26">
        <w:rPr>
          <w:lang w:val="en-GB"/>
        </w:rPr>
        <w:t>. From the area of interest shown in Fig</w:t>
      </w:r>
      <w:r w:rsidR="003A3B43" w:rsidRPr="00702A26">
        <w:rPr>
          <w:lang w:val="en-GB"/>
        </w:rPr>
        <w:t>ure</w:t>
      </w:r>
      <w:r w:rsidRPr="00702A26">
        <w:rPr>
          <w:lang w:val="en-GB"/>
        </w:rPr>
        <w:t xml:space="preserve"> </w:t>
      </w:r>
      <w:r w:rsidR="00CE7CCE" w:rsidRPr="00702A26">
        <w:rPr>
          <w:lang w:val="en-GB"/>
        </w:rPr>
        <w:t>3</w:t>
      </w:r>
      <w:r w:rsidR="003A3B43" w:rsidRPr="00702A26">
        <w:rPr>
          <w:lang w:val="en-GB"/>
        </w:rPr>
        <w:t xml:space="preserve">, the following metrics were selected for the group-wise comparison: fixation duration, no visits, saccade amplitude, </w:t>
      </w:r>
      <w:r w:rsidRPr="00702A26">
        <w:rPr>
          <w:lang w:val="en-GB"/>
        </w:rPr>
        <w:t>saccade distance</w:t>
      </w:r>
      <w:r w:rsidR="00CE7CCE" w:rsidRPr="00702A26">
        <w:rPr>
          <w:lang w:val="en-GB"/>
        </w:rPr>
        <w:t xml:space="preserve"> and pupil diameter</w:t>
      </w:r>
      <w:r w:rsidRPr="00702A26">
        <w:rPr>
          <w:lang w:val="en-GB"/>
        </w:rPr>
        <w:t xml:space="preserve">. A brief explanation of the implications of this study is given below. </w:t>
      </w:r>
    </w:p>
    <w:p w14:paraId="70E4450A" w14:textId="27A781E4" w:rsidR="00AE1F61" w:rsidRPr="00702A26" w:rsidRDefault="00AE1F61" w:rsidP="000C7743">
      <w:pPr>
        <w:pStyle w:val="CETBodytext"/>
        <w:numPr>
          <w:ilvl w:val="0"/>
          <w:numId w:val="27"/>
        </w:numPr>
        <w:ind w:left="1080"/>
        <w:rPr>
          <w:lang w:val="en-GB"/>
        </w:rPr>
      </w:pPr>
      <w:r w:rsidRPr="00702A26">
        <w:rPr>
          <w:lang w:val="en-GB"/>
        </w:rPr>
        <w:t>N</w:t>
      </w:r>
      <w:r w:rsidR="00CE7CCE" w:rsidRPr="00702A26">
        <w:rPr>
          <w:lang w:val="en-GB"/>
        </w:rPr>
        <w:t>umber o</w:t>
      </w:r>
      <w:r w:rsidR="008533D5" w:rsidRPr="00702A26">
        <w:rPr>
          <w:lang w:val="en-GB"/>
        </w:rPr>
        <w:t>f</w:t>
      </w:r>
      <w:r w:rsidRPr="00702A26">
        <w:rPr>
          <w:lang w:val="en-GB"/>
        </w:rPr>
        <w:t xml:space="preserve"> </w:t>
      </w:r>
      <w:r w:rsidR="008649C2" w:rsidRPr="00702A26">
        <w:rPr>
          <w:lang w:val="en-GB"/>
        </w:rPr>
        <w:t>visits or revisits: this metric refers to the number of times</w:t>
      </w:r>
      <w:r w:rsidRPr="00702A26">
        <w:rPr>
          <w:lang w:val="en-GB"/>
        </w:rPr>
        <w:t xml:space="preserve"> the AOI is visited. It indicates repeated attraction for better or worse. </w:t>
      </w:r>
    </w:p>
    <w:p w14:paraId="3BDDAED5" w14:textId="0173EEA2" w:rsidR="00AE1F61" w:rsidRPr="00702A26" w:rsidRDefault="00AE1F61" w:rsidP="000C7743">
      <w:pPr>
        <w:pStyle w:val="CETBodytext"/>
        <w:numPr>
          <w:ilvl w:val="0"/>
          <w:numId w:val="27"/>
        </w:numPr>
        <w:ind w:left="1080"/>
        <w:rPr>
          <w:lang w:val="en-GB"/>
        </w:rPr>
      </w:pPr>
      <w:r w:rsidRPr="00702A26">
        <w:rPr>
          <w:lang w:val="en-GB"/>
        </w:rPr>
        <w:t>Fixation duration (</w:t>
      </w:r>
      <w:proofErr w:type="spellStart"/>
      <w:r w:rsidRPr="00702A26">
        <w:rPr>
          <w:lang w:val="en-GB"/>
        </w:rPr>
        <w:t>ms</w:t>
      </w:r>
      <w:proofErr w:type="spellEnd"/>
      <w:r w:rsidRPr="00702A26">
        <w:rPr>
          <w:lang w:val="en-GB"/>
        </w:rPr>
        <w:t xml:space="preserve">): how long the eye stays </w:t>
      </w:r>
      <w:r w:rsidR="008649C2" w:rsidRPr="00702A26">
        <w:rPr>
          <w:lang w:val="en-GB"/>
        </w:rPr>
        <w:t>in</w:t>
      </w:r>
      <w:r w:rsidRPr="00702A26">
        <w:rPr>
          <w:lang w:val="en-GB"/>
        </w:rPr>
        <w:t xml:space="preserve"> a position (Mahanama</w:t>
      </w:r>
      <w:r w:rsidR="00165C94" w:rsidRPr="00702A26">
        <w:rPr>
          <w:lang w:val="en-GB"/>
        </w:rPr>
        <w:t xml:space="preserve"> et al., 2022</w:t>
      </w:r>
      <w:r w:rsidRPr="00702A26">
        <w:rPr>
          <w:lang w:val="en-GB"/>
        </w:rPr>
        <w:t>) et al. They are known to be 50 - 600ms long and reflect the effort required for cognitive processing, and longer fixations indicate deeper processing (Rayner</w:t>
      </w:r>
      <w:r w:rsidR="004009E1" w:rsidRPr="00702A26">
        <w:rPr>
          <w:lang w:val="en-GB"/>
        </w:rPr>
        <w:t xml:space="preserve"> and Fischer</w:t>
      </w:r>
      <w:r w:rsidRPr="00702A26">
        <w:rPr>
          <w:lang w:val="en-GB"/>
        </w:rPr>
        <w:t>, 19</w:t>
      </w:r>
      <w:r w:rsidR="008649C2" w:rsidRPr="00702A26">
        <w:rPr>
          <w:lang w:val="en-GB"/>
        </w:rPr>
        <w:t>96</w:t>
      </w:r>
      <w:r w:rsidRPr="00702A26">
        <w:rPr>
          <w:lang w:val="en-GB"/>
        </w:rPr>
        <w:t>).</w:t>
      </w:r>
    </w:p>
    <w:p w14:paraId="1DD7FF5C" w14:textId="2F7BFCB8" w:rsidR="00AE1F61" w:rsidRPr="00702A26" w:rsidRDefault="00AE1F61" w:rsidP="000C7743">
      <w:pPr>
        <w:pStyle w:val="CETBodytext"/>
        <w:numPr>
          <w:ilvl w:val="0"/>
          <w:numId w:val="27"/>
        </w:numPr>
        <w:ind w:left="1080"/>
        <w:rPr>
          <w:lang w:val="en-GB"/>
        </w:rPr>
      </w:pPr>
      <w:r w:rsidRPr="00702A26">
        <w:rPr>
          <w:lang w:val="en-GB"/>
        </w:rPr>
        <w:t>Saccades Amplitude (°) and Duration (</w:t>
      </w:r>
      <w:proofErr w:type="spellStart"/>
      <w:r w:rsidRPr="00702A26">
        <w:rPr>
          <w:lang w:val="en-GB"/>
        </w:rPr>
        <w:t>ms</w:t>
      </w:r>
      <w:proofErr w:type="spellEnd"/>
      <w:r w:rsidRPr="00702A26">
        <w:rPr>
          <w:lang w:val="en-GB"/>
        </w:rPr>
        <w:t xml:space="preserve">): Saccades are </w:t>
      </w:r>
      <w:r w:rsidR="008649C2" w:rsidRPr="00702A26">
        <w:rPr>
          <w:lang w:val="en-GB"/>
        </w:rPr>
        <w:t>eye movements</w:t>
      </w:r>
      <w:r w:rsidRPr="00702A26">
        <w:rPr>
          <w:lang w:val="en-GB"/>
        </w:rPr>
        <w:t xml:space="preserve"> between fixations. The saccade amplitude is how far a saccade travels during </w:t>
      </w:r>
      <w:r w:rsidR="006419A5" w:rsidRPr="00702A26">
        <w:rPr>
          <w:lang w:val="en-GB"/>
        </w:rPr>
        <w:t xml:space="preserve">eye movement, which is dependent on the task; for example, in reading, it is known to be approximately 2° for 7 - 8 letters in </w:t>
      </w:r>
      <w:r w:rsidRPr="00702A26">
        <w:rPr>
          <w:lang w:val="en-GB"/>
        </w:rPr>
        <w:t xml:space="preserve">standard font size (Rayner </w:t>
      </w:r>
      <w:r w:rsidR="004009E1" w:rsidRPr="00702A26">
        <w:rPr>
          <w:lang w:val="en-GB"/>
        </w:rPr>
        <w:t>and Fischer</w:t>
      </w:r>
      <w:r w:rsidR="00B66947" w:rsidRPr="00702A26">
        <w:rPr>
          <w:lang w:val="en-GB"/>
        </w:rPr>
        <w:t>,</w:t>
      </w:r>
      <w:r w:rsidR="004009E1" w:rsidRPr="00702A26">
        <w:rPr>
          <w:lang w:val="en-GB"/>
        </w:rPr>
        <w:t xml:space="preserve"> </w:t>
      </w:r>
      <w:r w:rsidR="00CE4EE5" w:rsidRPr="00702A26">
        <w:rPr>
          <w:lang w:val="en-GB"/>
        </w:rPr>
        <w:t>1996</w:t>
      </w:r>
      <w:r w:rsidRPr="00702A26">
        <w:rPr>
          <w:lang w:val="en-GB"/>
        </w:rPr>
        <w:t>). They tend to decrease with increasing task and cognitive load (Mahanama</w:t>
      </w:r>
      <w:r w:rsidR="00774636" w:rsidRPr="00702A26">
        <w:rPr>
          <w:lang w:val="en-GB"/>
        </w:rPr>
        <w:t xml:space="preserve"> et al.</w:t>
      </w:r>
      <w:r w:rsidRPr="00702A26">
        <w:rPr>
          <w:lang w:val="en-GB"/>
        </w:rPr>
        <w:t>,</w:t>
      </w:r>
      <w:r w:rsidR="00774636" w:rsidRPr="00702A26">
        <w:rPr>
          <w:lang w:val="en-GB"/>
        </w:rPr>
        <w:t xml:space="preserve"> 2022;</w:t>
      </w:r>
      <w:r w:rsidRPr="00702A26">
        <w:rPr>
          <w:lang w:val="en-GB"/>
        </w:rPr>
        <w:t xml:space="preserve"> Shi </w:t>
      </w:r>
      <w:r w:rsidR="00EF4EBA" w:rsidRPr="00702A26">
        <w:rPr>
          <w:lang w:val="en-GB"/>
        </w:rPr>
        <w:t>and Rothrock</w:t>
      </w:r>
      <w:r w:rsidR="00B66947" w:rsidRPr="00702A26">
        <w:rPr>
          <w:lang w:val="en-GB"/>
        </w:rPr>
        <w:t xml:space="preserve">, </w:t>
      </w:r>
      <w:r w:rsidRPr="00702A26">
        <w:rPr>
          <w:lang w:val="en-GB"/>
        </w:rPr>
        <w:t xml:space="preserve">2022). Therefore, larger saccade amplitudes indicate less difficulty in a search task or reading and less cognitive load. </w:t>
      </w:r>
    </w:p>
    <w:p w14:paraId="360DF1CF" w14:textId="628445D2" w:rsidR="009E4101" w:rsidRPr="00702A26" w:rsidRDefault="00AE1F61" w:rsidP="00AB7587">
      <w:pPr>
        <w:pStyle w:val="CETBodytext"/>
        <w:numPr>
          <w:ilvl w:val="0"/>
          <w:numId w:val="27"/>
        </w:numPr>
        <w:ind w:left="1080"/>
        <w:rPr>
          <w:lang w:val="en-GB"/>
        </w:rPr>
      </w:pPr>
      <w:r w:rsidRPr="00702A26">
        <w:rPr>
          <w:lang w:val="en-GB"/>
        </w:rPr>
        <w:t xml:space="preserve">The saccade duration is, in essence, the duration of a saccade and is known to be 20 - 40 </w:t>
      </w:r>
      <w:proofErr w:type="spellStart"/>
      <w:r w:rsidRPr="00702A26">
        <w:rPr>
          <w:lang w:val="en-GB"/>
        </w:rPr>
        <w:t>ms</w:t>
      </w:r>
      <w:proofErr w:type="spellEnd"/>
      <w:r w:rsidRPr="00702A26">
        <w:rPr>
          <w:lang w:val="en-GB"/>
        </w:rPr>
        <w:t xml:space="preserve"> (Rayner</w:t>
      </w:r>
      <w:r w:rsidR="00165C94" w:rsidRPr="00702A26">
        <w:rPr>
          <w:lang w:val="en-GB"/>
        </w:rPr>
        <w:t xml:space="preserve"> and Fischer</w:t>
      </w:r>
      <w:r w:rsidR="00CE4EE5" w:rsidRPr="00702A26">
        <w:rPr>
          <w:lang w:val="en-GB"/>
        </w:rPr>
        <w:t>, 1996</w:t>
      </w:r>
      <w:r w:rsidRPr="00702A26">
        <w:rPr>
          <w:lang w:val="en-GB"/>
        </w:rPr>
        <w:t>). Studies have shown that longer durations can indicate increased cognitive processing (Das</w:t>
      </w:r>
      <w:r w:rsidR="00363C67" w:rsidRPr="00702A26">
        <w:rPr>
          <w:lang w:val="en-GB"/>
        </w:rPr>
        <w:t xml:space="preserve"> et al.,</w:t>
      </w:r>
      <w:r w:rsidRPr="00702A26">
        <w:rPr>
          <w:lang w:val="en-GB"/>
        </w:rPr>
        <w:t xml:space="preserve"> 201</w:t>
      </w:r>
      <w:r w:rsidR="00363C67" w:rsidRPr="00702A26">
        <w:rPr>
          <w:lang w:val="en-GB"/>
        </w:rPr>
        <w:t>7</w:t>
      </w:r>
      <w:r w:rsidRPr="00702A26">
        <w:rPr>
          <w:lang w:val="en-GB"/>
        </w:rPr>
        <w:t>).</w:t>
      </w:r>
    </w:p>
    <w:p w14:paraId="6A5167CF" w14:textId="06BEB8B0" w:rsidR="00600535" w:rsidRPr="00702A26" w:rsidRDefault="00600535" w:rsidP="00600535">
      <w:pPr>
        <w:pStyle w:val="CETTabletitle"/>
      </w:pPr>
      <w:r w:rsidRPr="00702A26">
        <w:lastRenderedPageBreak/>
        <w:t xml:space="preserve">Table 1: </w:t>
      </w:r>
      <w:r w:rsidR="00A16C7B" w:rsidRPr="00702A26">
        <w:t>Eye tracking metrics and their indications as identified in the literature.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4111"/>
        <w:gridCol w:w="141"/>
        <w:gridCol w:w="1701"/>
        <w:gridCol w:w="20"/>
      </w:tblGrid>
      <w:tr w:rsidR="008B5C23" w:rsidRPr="00702A26" w14:paraId="4B29AA51" w14:textId="77777777" w:rsidTr="00EC759B">
        <w:tc>
          <w:tcPr>
            <w:tcW w:w="1985" w:type="dxa"/>
            <w:tcBorders>
              <w:top w:val="single" w:sz="12" w:space="0" w:color="008000"/>
              <w:bottom w:val="single" w:sz="6" w:space="0" w:color="008000"/>
            </w:tcBorders>
            <w:shd w:val="clear" w:color="auto" w:fill="FFFFFF"/>
          </w:tcPr>
          <w:p w14:paraId="500859EC" w14:textId="6565C473" w:rsidR="008B5C23" w:rsidRPr="00702A26" w:rsidRDefault="008B5C23" w:rsidP="00376C26">
            <w:pPr>
              <w:pStyle w:val="CETBodytext"/>
              <w:jc w:val="center"/>
              <w:rPr>
                <w:b/>
                <w:bCs/>
                <w:sz w:val="14"/>
                <w:szCs w:val="14"/>
                <w:lang w:val="en-GB"/>
              </w:rPr>
            </w:pPr>
            <w:r w:rsidRPr="00702A26">
              <w:rPr>
                <w:b/>
                <w:bCs/>
                <w:sz w:val="14"/>
                <w:szCs w:val="14"/>
                <w:lang w:val="en-GB"/>
              </w:rPr>
              <w:t>Measure</w:t>
            </w:r>
          </w:p>
        </w:tc>
        <w:tc>
          <w:tcPr>
            <w:tcW w:w="4111" w:type="dxa"/>
            <w:tcBorders>
              <w:top w:val="single" w:sz="12" w:space="0" w:color="008000"/>
              <w:bottom w:val="single" w:sz="6" w:space="0" w:color="008000"/>
            </w:tcBorders>
            <w:shd w:val="clear" w:color="auto" w:fill="FFFFFF"/>
          </w:tcPr>
          <w:p w14:paraId="0CC5C18D" w14:textId="554B84DF" w:rsidR="008B5C23" w:rsidRPr="00702A26" w:rsidRDefault="008B5C23" w:rsidP="00507B47">
            <w:pPr>
              <w:pStyle w:val="CETBodytext"/>
              <w:rPr>
                <w:b/>
                <w:bCs/>
                <w:sz w:val="14"/>
                <w:szCs w:val="14"/>
                <w:lang w:val="en-GB"/>
              </w:rPr>
            </w:pPr>
            <w:r w:rsidRPr="00702A26">
              <w:rPr>
                <w:b/>
                <w:bCs/>
                <w:sz w:val="14"/>
                <w:szCs w:val="14"/>
                <w:lang w:val="en-GB"/>
              </w:rPr>
              <w:t xml:space="preserve">                             Indication</w:t>
            </w:r>
            <w:r w:rsidR="0066162C" w:rsidRPr="00702A26">
              <w:rPr>
                <w:b/>
                <w:bCs/>
                <w:sz w:val="14"/>
                <w:szCs w:val="14"/>
                <w:lang w:val="en-GB"/>
              </w:rPr>
              <w:t xml:space="preserve"> (s)</w:t>
            </w:r>
          </w:p>
        </w:tc>
        <w:tc>
          <w:tcPr>
            <w:tcW w:w="141" w:type="dxa"/>
            <w:tcBorders>
              <w:top w:val="single" w:sz="12" w:space="0" w:color="008000"/>
              <w:bottom w:val="single" w:sz="6" w:space="0" w:color="008000"/>
            </w:tcBorders>
            <w:shd w:val="clear" w:color="auto" w:fill="FFFFFF"/>
          </w:tcPr>
          <w:p w14:paraId="199EE8DC" w14:textId="77777777" w:rsidR="008B5C23" w:rsidRPr="00702A26" w:rsidRDefault="008B5C23" w:rsidP="00507B47">
            <w:pPr>
              <w:pStyle w:val="CETBodytext"/>
              <w:ind w:right="-1"/>
              <w:rPr>
                <w:rFonts w:cs="Arial"/>
                <w:b/>
                <w:bCs/>
                <w:sz w:val="14"/>
                <w:szCs w:val="14"/>
                <w:lang w:val="en-GB"/>
              </w:rPr>
            </w:pPr>
          </w:p>
        </w:tc>
        <w:tc>
          <w:tcPr>
            <w:tcW w:w="1701" w:type="dxa"/>
            <w:tcBorders>
              <w:top w:val="single" w:sz="12" w:space="0" w:color="008000"/>
              <w:bottom w:val="single" w:sz="6" w:space="0" w:color="008000"/>
            </w:tcBorders>
            <w:shd w:val="clear" w:color="auto" w:fill="FFFFFF"/>
          </w:tcPr>
          <w:p w14:paraId="599FEDE4" w14:textId="4A91BCC7" w:rsidR="008B5C23" w:rsidRPr="00702A26" w:rsidRDefault="008B5C23" w:rsidP="00507B47">
            <w:pPr>
              <w:pStyle w:val="CETBodytext"/>
              <w:ind w:right="-1"/>
              <w:rPr>
                <w:rFonts w:cs="Arial"/>
                <w:b/>
                <w:bCs/>
                <w:sz w:val="14"/>
                <w:szCs w:val="14"/>
                <w:lang w:val="en-GB"/>
              </w:rPr>
            </w:pPr>
            <w:r w:rsidRPr="00702A26">
              <w:rPr>
                <w:rFonts w:cs="Arial"/>
                <w:b/>
                <w:bCs/>
                <w:sz w:val="14"/>
                <w:szCs w:val="14"/>
                <w:lang w:val="en-GB"/>
              </w:rPr>
              <w:t>Reference</w:t>
            </w:r>
            <w:r w:rsidR="0066162C" w:rsidRPr="00702A26">
              <w:rPr>
                <w:rFonts w:cs="Arial"/>
                <w:b/>
                <w:bCs/>
                <w:sz w:val="14"/>
                <w:szCs w:val="14"/>
                <w:lang w:val="en-GB"/>
              </w:rPr>
              <w:t xml:space="preserve"> (</w:t>
            </w:r>
            <w:r w:rsidRPr="00702A26">
              <w:rPr>
                <w:rFonts w:cs="Arial"/>
                <w:b/>
                <w:bCs/>
                <w:sz w:val="14"/>
                <w:szCs w:val="14"/>
                <w:lang w:val="en-GB"/>
              </w:rPr>
              <w:t>s</w:t>
            </w:r>
            <w:r w:rsidR="0066162C" w:rsidRPr="00702A26">
              <w:rPr>
                <w:rFonts w:cs="Arial"/>
                <w:b/>
                <w:bCs/>
                <w:sz w:val="14"/>
                <w:szCs w:val="14"/>
                <w:lang w:val="en-GB"/>
              </w:rPr>
              <w:t>)</w:t>
            </w:r>
          </w:p>
        </w:tc>
        <w:tc>
          <w:tcPr>
            <w:tcW w:w="20" w:type="dxa"/>
            <w:tcBorders>
              <w:top w:val="single" w:sz="12" w:space="0" w:color="008000"/>
              <w:bottom w:val="single" w:sz="6" w:space="0" w:color="008000"/>
            </w:tcBorders>
            <w:shd w:val="clear" w:color="auto" w:fill="FFFFFF"/>
          </w:tcPr>
          <w:p w14:paraId="005800F7" w14:textId="2050DFA1" w:rsidR="008B5C23" w:rsidRPr="00702A26" w:rsidRDefault="008B5C23" w:rsidP="00507B47">
            <w:pPr>
              <w:pStyle w:val="CETBodytext"/>
              <w:ind w:right="-1"/>
              <w:rPr>
                <w:rFonts w:cs="Arial"/>
                <w:szCs w:val="18"/>
                <w:lang w:val="en-GB"/>
              </w:rPr>
            </w:pPr>
          </w:p>
        </w:tc>
      </w:tr>
      <w:tr w:rsidR="008B5C23" w:rsidRPr="00702A26" w14:paraId="18FA68DB" w14:textId="77777777" w:rsidTr="00EC759B">
        <w:trPr>
          <w:trHeight w:val="396"/>
        </w:trPr>
        <w:tc>
          <w:tcPr>
            <w:tcW w:w="1985" w:type="dxa"/>
            <w:shd w:val="clear" w:color="auto" w:fill="FFFFFF"/>
          </w:tcPr>
          <w:p w14:paraId="302EF7EE" w14:textId="77777777" w:rsidR="00EC759B" w:rsidRDefault="008B5C23" w:rsidP="005109D4">
            <w:pPr>
              <w:pStyle w:val="CETBodytext"/>
              <w:numPr>
                <w:ilvl w:val="0"/>
                <w:numId w:val="23"/>
              </w:numPr>
              <w:rPr>
                <w:sz w:val="14"/>
                <w:szCs w:val="14"/>
                <w:lang w:val="en-GB"/>
              </w:rPr>
            </w:pPr>
            <w:r w:rsidRPr="00702A26">
              <w:rPr>
                <w:sz w:val="14"/>
                <w:szCs w:val="14"/>
                <w:lang w:val="en-GB"/>
              </w:rPr>
              <w:t>Mean</w:t>
            </w:r>
            <w:r w:rsidR="00EC759B">
              <w:rPr>
                <w:sz w:val="14"/>
                <w:szCs w:val="14"/>
                <w:lang w:val="en-GB"/>
              </w:rPr>
              <w:t xml:space="preserve"> </w:t>
            </w:r>
          </w:p>
          <w:p w14:paraId="1877D42D" w14:textId="2F998924" w:rsidR="008B5C23" w:rsidRPr="00702A26" w:rsidRDefault="008B5C23" w:rsidP="00EC759B">
            <w:pPr>
              <w:pStyle w:val="CETBodytext"/>
              <w:ind w:left="720"/>
              <w:rPr>
                <w:sz w:val="14"/>
                <w:szCs w:val="14"/>
                <w:lang w:val="en-GB"/>
              </w:rPr>
            </w:pPr>
            <w:r w:rsidRPr="00702A26">
              <w:rPr>
                <w:sz w:val="14"/>
                <w:szCs w:val="14"/>
                <w:lang w:val="en-GB"/>
              </w:rPr>
              <w:t>Saccade</w:t>
            </w:r>
            <w:r w:rsidR="001F10ED" w:rsidRPr="00702A26">
              <w:rPr>
                <w:sz w:val="14"/>
                <w:szCs w:val="14"/>
                <w:lang w:val="en-GB"/>
              </w:rPr>
              <w:t xml:space="preserve">   </w:t>
            </w:r>
            <w:r w:rsidRPr="00702A26">
              <w:rPr>
                <w:sz w:val="14"/>
                <w:szCs w:val="14"/>
                <w:lang w:val="en-GB"/>
              </w:rPr>
              <w:t xml:space="preserve"> Amplitudes       </w:t>
            </w:r>
          </w:p>
        </w:tc>
        <w:tc>
          <w:tcPr>
            <w:tcW w:w="4111" w:type="dxa"/>
            <w:shd w:val="clear" w:color="auto" w:fill="FFFFFF"/>
          </w:tcPr>
          <w:p w14:paraId="2CB03BEE" w14:textId="264B3E16" w:rsidR="00C8085B" w:rsidRPr="00702A26" w:rsidRDefault="008B5C23" w:rsidP="00C8085B">
            <w:pPr>
              <w:pStyle w:val="CETBodytext"/>
              <w:rPr>
                <w:sz w:val="14"/>
                <w:szCs w:val="14"/>
                <w:lang w:val="en-GB"/>
              </w:rPr>
            </w:pPr>
            <w:r w:rsidRPr="00702A26">
              <w:rPr>
                <w:sz w:val="14"/>
                <w:szCs w:val="14"/>
                <w:lang w:val="en-GB"/>
              </w:rPr>
              <w:t>A larger mean saccade could mean less search difficulty.</w:t>
            </w:r>
            <w:r w:rsidR="000436B0" w:rsidRPr="00702A26">
              <w:rPr>
                <w:sz w:val="14"/>
                <w:szCs w:val="14"/>
                <w:lang w:val="en-GB"/>
              </w:rPr>
              <w:t xml:space="preserve"> </w:t>
            </w:r>
            <w:r w:rsidRPr="00702A26">
              <w:rPr>
                <w:sz w:val="14"/>
                <w:szCs w:val="14"/>
                <w:lang w:val="en-GB"/>
              </w:rPr>
              <w:t>Decrease</w:t>
            </w:r>
            <w:r w:rsidR="000436B0" w:rsidRPr="00702A26">
              <w:rPr>
                <w:sz w:val="14"/>
                <w:szCs w:val="14"/>
                <w:lang w:val="en-GB"/>
              </w:rPr>
              <w:t>s</w:t>
            </w:r>
            <w:r w:rsidRPr="00702A26">
              <w:rPr>
                <w:sz w:val="14"/>
                <w:szCs w:val="14"/>
                <w:lang w:val="en-GB"/>
              </w:rPr>
              <w:t xml:space="preserve"> as mental workload increases.</w:t>
            </w:r>
          </w:p>
        </w:tc>
        <w:tc>
          <w:tcPr>
            <w:tcW w:w="141" w:type="dxa"/>
            <w:shd w:val="clear" w:color="auto" w:fill="FFFFFF"/>
          </w:tcPr>
          <w:p w14:paraId="7FF7EB81" w14:textId="77777777" w:rsidR="008B5C23" w:rsidRPr="00702A26" w:rsidRDefault="008B5C23" w:rsidP="00507B47">
            <w:pPr>
              <w:pStyle w:val="CETBodytext"/>
              <w:ind w:right="-1"/>
              <w:rPr>
                <w:rFonts w:cs="Arial"/>
                <w:sz w:val="14"/>
                <w:szCs w:val="14"/>
                <w:lang w:val="en-GB"/>
              </w:rPr>
            </w:pPr>
          </w:p>
        </w:tc>
        <w:tc>
          <w:tcPr>
            <w:tcW w:w="1701" w:type="dxa"/>
            <w:shd w:val="clear" w:color="auto" w:fill="FFFFFF"/>
          </w:tcPr>
          <w:p w14:paraId="35FD0530" w14:textId="2F8DC5BB" w:rsidR="008B5C23" w:rsidRPr="00702A26" w:rsidRDefault="008B5C23" w:rsidP="00507B47">
            <w:pPr>
              <w:pStyle w:val="CETBodytext"/>
              <w:ind w:right="-1"/>
              <w:rPr>
                <w:rFonts w:cs="Arial"/>
                <w:sz w:val="14"/>
                <w:szCs w:val="14"/>
                <w:lang w:val="en-GB"/>
              </w:rPr>
            </w:pPr>
            <w:r w:rsidRPr="00702A26">
              <w:rPr>
                <w:rFonts w:cs="Arial"/>
                <w:sz w:val="14"/>
                <w:szCs w:val="14"/>
                <w:lang w:val="en-GB"/>
              </w:rPr>
              <w:t>Shi</w:t>
            </w:r>
            <w:r w:rsidR="00AD4277" w:rsidRPr="00702A26">
              <w:rPr>
                <w:rFonts w:cs="Arial"/>
                <w:sz w:val="14"/>
                <w:szCs w:val="14"/>
                <w:lang w:val="en-GB"/>
              </w:rPr>
              <w:t xml:space="preserve"> et al</w:t>
            </w:r>
            <w:r w:rsidRPr="00702A26">
              <w:rPr>
                <w:rFonts w:cs="Arial"/>
                <w:sz w:val="14"/>
                <w:szCs w:val="14"/>
                <w:lang w:val="en-GB"/>
              </w:rPr>
              <w:t>.</w:t>
            </w:r>
            <w:r w:rsidR="00AD4277" w:rsidRPr="00702A26">
              <w:rPr>
                <w:rFonts w:cs="Arial"/>
                <w:sz w:val="14"/>
                <w:szCs w:val="14"/>
                <w:lang w:val="en-GB"/>
              </w:rPr>
              <w:t>,</w:t>
            </w:r>
            <w:r w:rsidRPr="00702A26">
              <w:rPr>
                <w:rFonts w:cs="Arial"/>
                <w:sz w:val="14"/>
                <w:szCs w:val="14"/>
                <w:lang w:val="en-GB"/>
              </w:rPr>
              <w:t xml:space="preserve"> 2023</w:t>
            </w:r>
            <w:r w:rsidR="00EB1966" w:rsidRPr="00702A26">
              <w:rPr>
                <w:rFonts w:cs="Arial"/>
                <w:sz w:val="14"/>
                <w:szCs w:val="14"/>
                <w:lang w:val="en-GB"/>
              </w:rPr>
              <w:t>;</w:t>
            </w:r>
            <w:r w:rsidRPr="00702A26">
              <w:rPr>
                <w:rFonts w:cs="Arial"/>
                <w:sz w:val="14"/>
                <w:szCs w:val="14"/>
                <w:lang w:val="en-GB"/>
              </w:rPr>
              <w:t xml:space="preserve"> Shi </w:t>
            </w:r>
            <w:r w:rsidR="00EB1966" w:rsidRPr="00702A26">
              <w:rPr>
                <w:rFonts w:cs="Arial"/>
                <w:sz w:val="14"/>
                <w:szCs w:val="14"/>
                <w:lang w:val="en-GB"/>
              </w:rPr>
              <w:t xml:space="preserve">and Rothrock, </w:t>
            </w:r>
            <w:r w:rsidRPr="00702A26">
              <w:rPr>
                <w:rFonts w:cs="Arial"/>
                <w:sz w:val="14"/>
                <w:szCs w:val="14"/>
                <w:lang w:val="en-GB"/>
              </w:rPr>
              <w:t>202</w:t>
            </w:r>
            <w:r w:rsidR="00455EE0" w:rsidRPr="00702A26">
              <w:rPr>
                <w:rFonts w:cs="Arial"/>
                <w:sz w:val="14"/>
                <w:szCs w:val="14"/>
                <w:lang w:val="en-GB"/>
              </w:rPr>
              <w:t>3.</w:t>
            </w:r>
          </w:p>
        </w:tc>
        <w:tc>
          <w:tcPr>
            <w:tcW w:w="20" w:type="dxa"/>
            <w:shd w:val="clear" w:color="auto" w:fill="FFFFFF"/>
          </w:tcPr>
          <w:p w14:paraId="6512B018" w14:textId="6FC64F98" w:rsidR="008B5C23" w:rsidRPr="00702A26" w:rsidRDefault="00EB1966" w:rsidP="00507B47">
            <w:pPr>
              <w:pStyle w:val="CETBodytext"/>
              <w:ind w:right="-1"/>
              <w:rPr>
                <w:rFonts w:cs="Arial"/>
                <w:szCs w:val="18"/>
                <w:lang w:val="en-GB"/>
              </w:rPr>
            </w:pPr>
            <w:r w:rsidRPr="00702A26">
              <w:rPr>
                <w:rFonts w:cs="Arial"/>
                <w:szCs w:val="18"/>
                <w:lang w:val="en-GB"/>
              </w:rPr>
              <w:t xml:space="preserve"> </w:t>
            </w:r>
          </w:p>
        </w:tc>
      </w:tr>
      <w:tr w:rsidR="008B5C23" w:rsidRPr="00EC759B" w14:paraId="33EEECD3" w14:textId="77777777" w:rsidTr="00EC759B">
        <w:tc>
          <w:tcPr>
            <w:tcW w:w="1985" w:type="dxa"/>
            <w:shd w:val="clear" w:color="auto" w:fill="FFFFFF"/>
          </w:tcPr>
          <w:p w14:paraId="09A4168E" w14:textId="270236AA" w:rsidR="008B5C23" w:rsidRPr="00702A26" w:rsidRDefault="008B5C23" w:rsidP="001C066D">
            <w:pPr>
              <w:pStyle w:val="CETBodytext"/>
              <w:numPr>
                <w:ilvl w:val="0"/>
                <w:numId w:val="23"/>
              </w:numPr>
              <w:rPr>
                <w:sz w:val="14"/>
                <w:szCs w:val="14"/>
                <w:lang w:val="en-GB"/>
              </w:rPr>
            </w:pPr>
            <w:r w:rsidRPr="00702A26">
              <w:rPr>
                <w:sz w:val="14"/>
                <w:szCs w:val="14"/>
                <w:lang w:val="en-GB"/>
              </w:rPr>
              <w:t>Fixation Duration</w:t>
            </w:r>
          </w:p>
        </w:tc>
        <w:tc>
          <w:tcPr>
            <w:tcW w:w="4111" w:type="dxa"/>
            <w:shd w:val="clear" w:color="auto" w:fill="FFFFFF"/>
          </w:tcPr>
          <w:p w14:paraId="230CFD5B" w14:textId="14EA34BD" w:rsidR="00C8085B" w:rsidRPr="00702A26" w:rsidRDefault="00C8085B" w:rsidP="00507B47">
            <w:pPr>
              <w:pStyle w:val="CETBodytext"/>
              <w:rPr>
                <w:sz w:val="14"/>
                <w:szCs w:val="14"/>
                <w:lang w:val="en-GB"/>
              </w:rPr>
            </w:pPr>
            <w:r w:rsidRPr="00702A26">
              <w:rPr>
                <w:sz w:val="14"/>
                <w:szCs w:val="14"/>
                <w:lang w:val="en-GB"/>
              </w:rPr>
              <w:t xml:space="preserve">Longer fixation duration indicates more difficulty in extracting information and more effort, but </w:t>
            </w:r>
            <w:r w:rsidR="000E6777" w:rsidRPr="00702A26">
              <w:rPr>
                <w:sz w:val="14"/>
                <w:szCs w:val="14"/>
                <w:lang w:val="en-GB"/>
              </w:rPr>
              <w:t>it also indicates that they are more likely to</w:t>
            </w:r>
            <w:r w:rsidRPr="00702A26">
              <w:rPr>
                <w:sz w:val="14"/>
                <w:szCs w:val="14"/>
                <w:lang w:val="en-GB"/>
              </w:rPr>
              <w:t xml:space="preserve"> avoid errors.</w:t>
            </w:r>
            <w:r w:rsidR="002964F9" w:rsidRPr="00702A26">
              <w:rPr>
                <w:sz w:val="14"/>
                <w:szCs w:val="14"/>
                <w:lang w:val="en-GB"/>
              </w:rPr>
              <w:t xml:space="preserve"> Also, higher</w:t>
            </w:r>
            <w:r w:rsidR="000B5C2E" w:rsidRPr="00702A26">
              <w:rPr>
                <w:sz w:val="14"/>
                <w:szCs w:val="14"/>
                <w:lang w:val="en-GB"/>
              </w:rPr>
              <w:t xml:space="preserve"> cognitive loads</w:t>
            </w:r>
            <w:r w:rsidR="000B5C2E" w:rsidRPr="00702A26">
              <w:rPr>
                <w:b/>
                <w:bCs/>
                <w:sz w:val="14"/>
                <w:szCs w:val="14"/>
                <w:lang w:val="en-GB"/>
              </w:rPr>
              <w:t xml:space="preserve"> </w:t>
            </w:r>
            <w:r w:rsidR="000B5C2E" w:rsidRPr="00702A26">
              <w:rPr>
                <w:sz w:val="14"/>
                <w:szCs w:val="14"/>
                <w:lang w:val="en-GB"/>
              </w:rPr>
              <w:t>lead to increased fixation durations.</w:t>
            </w:r>
          </w:p>
        </w:tc>
        <w:tc>
          <w:tcPr>
            <w:tcW w:w="141" w:type="dxa"/>
            <w:shd w:val="clear" w:color="auto" w:fill="FFFFFF"/>
          </w:tcPr>
          <w:p w14:paraId="44604FB8" w14:textId="77777777" w:rsidR="008B5C23" w:rsidRPr="00702A26" w:rsidRDefault="008B5C23" w:rsidP="00507B47">
            <w:pPr>
              <w:pStyle w:val="CETBodytext"/>
              <w:ind w:right="-1"/>
              <w:rPr>
                <w:rFonts w:cs="Arial"/>
                <w:sz w:val="14"/>
                <w:szCs w:val="14"/>
                <w:lang w:val="en-GB"/>
              </w:rPr>
            </w:pPr>
          </w:p>
        </w:tc>
        <w:tc>
          <w:tcPr>
            <w:tcW w:w="1701" w:type="dxa"/>
            <w:shd w:val="clear" w:color="auto" w:fill="FFFFFF"/>
          </w:tcPr>
          <w:p w14:paraId="48B592D5" w14:textId="66357A45" w:rsidR="008B5C23" w:rsidRPr="007F7B13" w:rsidRDefault="002964F9" w:rsidP="00507B47">
            <w:pPr>
              <w:pStyle w:val="CETBodytext"/>
              <w:ind w:right="-1"/>
              <w:rPr>
                <w:rFonts w:cs="Arial"/>
                <w:sz w:val="14"/>
                <w:szCs w:val="14"/>
                <w:lang w:val="it-IT"/>
              </w:rPr>
            </w:pPr>
            <w:r w:rsidRPr="007F7B13">
              <w:rPr>
                <w:rFonts w:cs="Arial"/>
                <w:sz w:val="14"/>
                <w:szCs w:val="14"/>
                <w:lang w:val="it-IT"/>
              </w:rPr>
              <w:t xml:space="preserve">Shi </w:t>
            </w:r>
            <w:r w:rsidR="00455EE0" w:rsidRPr="007F7B13">
              <w:rPr>
                <w:rFonts w:cs="Arial"/>
                <w:sz w:val="14"/>
                <w:szCs w:val="14"/>
                <w:lang w:val="it-IT"/>
              </w:rPr>
              <w:t>et al.,</w:t>
            </w:r>
            <w:r w:rsidRPr="007F7B13">
              <w:rPr>
                <w:rFonts w:cs="Arial"/>
                <w:sz w:val="14"/>
                <w:szCs w:val="14"/>
                <w:lang w:val="it-IT"/>
              </w:rPr>
              <w:t xml:space="preserve"> 2023</w:t>
            </w:r>
            <w:r w:rsidR="00455EE0" w:rsidRPr="007F7B13">
              <w:rPr>
                <w:rFonts w:cs="Arial"/>
                <w:sz w:val="14"/>
                <w:szCs w:val="14"/>
                <w:lang w:val="it-IT"/>
              </w:rPr>
              <w:t>;</w:t>
            </w:r>
            <w:r w:rsidRPr="007F7B13">
              <w:rPr>
                <w:rFonts w:cs="Arial"/>
                <w:sz w:val="14"/>
                <w:szCs w:val="14"/>
                <w:lang w:val="it-IT"/>
              </w:rPr>
              <w:t xml:space="preserve"> Li </w:t>
            </w:r>
            <w:r w:rsidR="003C602F" w:rsidRPr="007F7B13">
              <w:rPr>
                <w:rFonts w:cs="Arial"/>
                <w:sz w:val="14"/>
                <w:szCs w:val="14"/>
                <w:lang w:val="it-IT"/>
              </w:rPr>
              <w:t xml:space="preserve">et al., </w:t>
            </w:r>
            <w:r w:rsidRPr="007F7B13">
              <w:rPr>
                <w:rFonts w:cs="Arial"/>
                <w:sz w:val="14"/>
                <w:szCs w:val="14"/>
                <w:lang w:val="it-IT"/>
              </w:rPr>
              <w:t>2018</w:t>
            </w:r>
          </w:p>
        </w:tc>
        <w:tc>
          <w:tcPr>
            <w:tcW w:w="20" w:type="dxa"/>
            <w:shd w:val="clear" w:color="auto" w:fill="FFFFFF"/>
          </w:tcPr>
          <w:p w14:paraId="3DDF2082" w14:textId="238BB983" w:rsidR="008B5C23" w:rsidRPr="007F7B13" w:rsidRDefault="008B5C23" w:rsidP="00507B47">
            <w:pPr>
              <w:pStyle w:val="CETBodytext"/>
              <w:ind w:right="-1"/>
              <w:rPr>
                <w:rFonts w:cs="Arial"/>
                <w:szCs w:val="18"/>
                <w:lang w:val="it-IT"/>
              </w:rPr>
            </w:pPr>
          </w:p>
        </w:tc>
      </w:tr>
      <w:tr w:rsidR="008B5C23" w:rsidRPr="00702A26" w14:paraId="1777C522" w14:textId="77777777" w:rsidTr="00EC759B">
        <w:tc>
          <w:tcPr>
            <w:tcW w:w="1985" w:type="dxa"/>
            <w:shd w:val="clear" w:color="auto" w:fill="FFFFFF"/>
          </w:tcPr>
          <w:p w14:paraId="59954EC2" w14:textId="0072147E" w:rsidR="00084D00" w:rsidRPr="00702A26" w:rsidRDefault="00084D00" w:rsidP="005109D4">
            <w:pPr>
              <w:pStyle w:val="CETBodytext"/>
              <w:numPr>
                <w:ilvl w:val="0"/>
                <w:numId w:val="23"/>
              </w:numPr>
              <w:ind w:right="-1"/>
              <w:rPr>
                <w:rFonts w:cs="Arial"/>
                <w:sz w:val="14"/>
                <w:szCs w:val="14"/>
                <w:lang w:val="en-GB"/>
              </w:rPr>
            </w:pPr>
            <w:r w:rsidRPr="00702A26">
              <w:rPr>
                <w:rFonts w:cs="Arial"/>
                <w:sz w:val="14"/>
                <w:szCs w:val="14"/>
                <w:lang w:val="en-GB"/>
              </w:rPr>
              <w:t>Saccade duration</w:t>
            </w:r>
          </w:p>
        </w:tc>
        <w:tc>
          <w:tcPr>
            <w:tcW w:w="4111" w:type="dxa"/>
            <w:shd w:val="clear" w:color="auto" w:fill="FFFFFF"/>
          </w:tcPr>
          <w:p w14:paraId="74F8316C" w14:textId="14935889" w:rsidR="008B5C23" w:rsidRPr="00702A26" w:rsidRDefault="00A80798" w:rsidP="00507B47">
            <w:pPr>
              <w:pStyle w:val="CETBodytext"/>
              <w:ind w:right="-1"/>
              <w:rPr>
                <w:rFonts w:cs="Arial"/>
                <w:sz w:val="14"/>
                <w:szCs w:val="14"/>
                <w:lang w:val="en-GB"/>
              </w:rPr>
            </w:pPr>
            <w:r w:rsidRPr="00702A26">
              <w:rPr>
                <w:rFonts w:cs="Arial"/>
                <w:sz w:val="14"/>
                <w:szCs w:val="14"/>
                <w:lang w:val="en-GB"/>
              </w:rPr>
              <w:t>Longer duration indicates decreased processing capacity</w:t>
            </w:r>
            <w:r w:rsidR="004145B6" w:rsidRPr="00702A26">
              <w:rPr>
                <w:rFonts w:cs="Arial"/>
                <w:sz w:val="14"/>
                <w:szCs w:val="14"/>
                <w:lang w:val="en-GB"/>
              </w:rPr>
              <w:t xml:space="preserve">. Reflects selective attention. </w:t>
            </w:r>
          </w:p>
        </w:tc>
        <w:tc>
          <w:tcPr>
            <w:tcW w:w="141" w:type="dxa"/>
            <w:shd w:val="clear" w:color="auto" w:fill="FFFFFF"/>
          </w:tcPr>
          <w:p w14:paraId="708CF970" w14:textId="77777777" w:rsidR="008B5C23" w:rsidRPr="00702A26" w:rsidRDefault="008B5C23" w:rsidP="00507B47">
            <w:pPr>
              <w:pStyle w:val="CETBodytext"/>
              <w:ind w:right="-1"/>
              <w:rPr>
                <w:rFonts w:cs="Arial"/>
                <w:sz w:val="14"/>
                <w:szCs w:val="14"/>
                <w:lang w:val="en-GB"/>
              </w:rPr>
            </w:pPr>
          </w:p>
        </w:tc>
        <w:tc>
          <w:tcPr>
            <w:tcW w:w="1701" w:type="dxa"/>
            <w:shd w:val="clear" w:color="auto" w:fill="FFFFFF"/>
          </w:tcPr>
          <w:p w14:paraId="3F515934" w14:textId="61C308ED" w:rsidR="008B5C23" w:rsidRPr="00702A26" w:rsidRDefault="003239CD" w:rsidP="00507B47">
            <w:pPr>
              <w:pStyle w:val="CETBodytext"/>
              <w:ind w:right="-1"/>
              <w:rPr>
                <w:rFonts w:cs="Arial"/>
                <w:sz w:val="14"/>
                <w:szCs w:val="14"/>
                <w:lang w:val="en-GB"/>
              </w:rPr>
            </w:pPr>
            <w:r w:rsidRPr="00702A26">
              <w:rPr>
                <w:rFonts w:cs="Arial"/>
                <w:sz w:val="14"/>
                <w:szCs w:val="14"/>
                <w:lang w:val="en-GB"/>
              </w:rPr>
              <w:t>Shi</w:t>
            </w:r>
            <w:r w:rsidR="003C602F" w:rsidRPr="00702A26">
              <w:rPr>
                <w:rFonts w:cs="Arial"/>
                <w:sz w:val="14"/>
                <w:szCs w:val="14"/>
                <w:lang w:val="en-GB"/>
              </w:rPr>
              <w:t xml:space="preserve"> and Rothrock,</w:t>
            </w:r>
            <w:r w:rsidRPr="00702A26">
              <w:rPr>
                <w:rFonts w:cs="Arial"/>
                <w:sz w:val="14"/>
                <w:szCs w:val="14"/>
                <w:lang w:val="en-GB"/>
              </w:rPr>
              <w:t xml:space="preserve"> 2023</w:t>
            </w:r>
          </w:p>
        </w:tc>
        <w:tc>
          <w:tcPr>
            <w:tcW w:w="20" w:type="dxa"/>
            <w:shd w:val="clear" w:color="auto" w:fill="FFFFFF"/>
          </w:tcPr>
          <w:p w14:paraId="6B4A2B9B" w14:textId="5B4348EB" w:rsidR="008B5C23" w:rsidRPr="00702A26" w:rsidRDefault="008B5C23" w:rsidP="00507B47">
            <w:pPr>
              <w:pStyle w:val="CETBodytext"/>
              <w:ind w:right="-1"/>
              <w:rPr>
                <w:rFonts w:cs="Arial"/>
                <w:szCs w:val="18"/>
                <w:lang w:val="en-GB"/>
              </w:rPr>
            </w:pPr>
          </w:p>
        </w:tc>
      </w:tr>
      <w:tr w:rsidR="008B5C23" w:rsidRPr="00702A26" w14:paraId="4022CF39" w14:textId="77777777" w:rsidTr="00EC759B">
        <w:tc>
          <w:tcPr>
            <w:tcW w:w="1985" w:type="dxa"/>
            <w:shd w:val="clear" w:color="auto" w:fill="FFFFFF"/>
          </w:tcPr>
          <w:p w14:paraId="04CA3344" w14:textId="77777777" w:rsidR="00D213C5" w:rsidRPr="00702A26" w:rsidRDefault="00FD5B4E" w:rsidP="00FD5B4E">
            <w:pPr>
              <w:pStyle w:val="CETBodytext"/>
              <w:numPr>
                <w:ilvl w:val="0"/>
                <w:numId w:val="23"/>
              </w:numPr>
              <w:ind w:right="-1"/>
              <w:rPr>
                <w:rFonts w:cs="Arial"/>
                <w:sz w:val="14"/>
                <w:szCs w:val="14"/>
                <w:lang w:val="en-GB"/>
              </w:rPr>
            </w:pPr>
            <w:r w:rsidRPr="00702A26">
              <w:rPr>
                <w:rFonts w:cs="Arial"/>
                <w:sz w:val="14"/>
                <w:szCs w:val="14"/>
                <w:lang w:val="en-GB"/>
              </w:rPr>
              <w:t>No of visits</w:t>
            </w:r>
            <w:r w:rsidR="00D213C5" w:rsidRPr="00702A26">
              <w:rPr>
                <w:rFonts w:cs="Arial"/>
                <w:sz w:val="14"/>
                <w:szCs w:val="14"/>
                <w:lang w:val="en-GB"/>
              </w:rPr>
              <w:t>/</w:t>
            </w:r>
          </w:p>
          <w:p w14:paraId="31CE1262" w14:textId="064EED63" w:rsidR="00FD5B4E" w:rsidRPr="00702A26" w:rsidRDefault="00D51F2F" w:rsidP="00D213C5">
            <w:pPr>
              <w:pStyle w:val="CETBodytext"/>
              <w:ind w:left="720" w:right="-1"/>
              <w:rPr>
                <w:rFonts w:cs="Arial"/>
                <w:sz w:val="14"/>
                <w:szCs w:val="14"/>
                <w:lang w:val="en-GB"/>
              </w:rPr>
            </w:pPr>
            <w:r w:rsidRPr="00702A26">
              <w:rPr>
                <w:rFonts w:cs="Arial"/>
                <w:sz w:val="14"/>
                <w:szCs w:val="14"/>
                <w:lang w:val="en-GB"/>
              </w:rPr>
              <w:t>R</w:t>
            </w:r>
            <w:r w:rsidR="00D213C5" w:rsidRPr="00702A26">
              <w:rPr>
                <w:rFonts w:cs="Arial"/>
                <w:sz w:val="14"/>
                <w:szCs w:val="14"/>
                <w:lang w:val="en-GB"/>
              </w:rPr>
              <w:t>evisits</w:t>
            </w:r>
            <w:r w:rsidRPr="00702A26">
              <w:rPr>
                <w:rFonts w:cs="Arial"/>
                <w:sz w:val="14"/>
                <w:szCs w:val="14"/>
                <w:lang w:val="en-GB"/>
              </w:rPr>
              <w:t xml:space="preserve">                                                                                                                                                        </w:t>
            </w:r>
          </w:p>
          <w:p w14:paraId="63B1B61F" w14:textId="6E9BF2EC" w:rsidR="00FD5B4E" w:rsidRPr="00702A26" w:rsidRDefault="00FD5B4E" w:rsidP="00FD5B4E">
            <w:pPr>
              <w:pStyle w:val="CETBodytext"/>
              <w:ind w:left="720" w:right="-1"/>
              <w:rPr>
                <w:rFonts w:cs="Arial"/>
                <w:sz w:val="14"/>
                <w:szCs w:val="14"/>
                <w:lang w:val="en-GB"/>
              </w:rPr>
            </w:pPr>
          </w:p>
        </w:tc>
        <w:tc>
          <w:tcPr>
            <w:tcW w:w="4111" w:type="dxa"/>
            <w:shd w:val="clear" w:color="auto" w:fill="FFFFFF"/>
          </w:tcPr>
          <w:p w14:paraId="4E79311D" w14:textId="6E83FBEF" w:rsidR="002A0C5A" w:rsidRPr="00702A26" w:rsidRDefault="00DE7793" w:rsidP="00507B47">
            <w:pPr>
              <w:pStyle w:val="CETBodytext"/>
              <w:ind w:right="-1"/>
              <w:rPr>
                <w:rFonts w:cs="Arial"/>
                <w:b/>
                <w:bCs/>
                <w:sz w:val="14"/>
                <w:szCs w:val="14"/>
                <w:lang w:val="en-GB"/>
              </w:rPr>
            </w:pPr>
            <w:r w:rsidRPr="00702A26">
              <w:rPr>
                <w:rFonts w:cs="Arial"/>
                <w:sz w:val="14"/>
                <w:szCs w:val="14"/>
                <w:lang w:val="en-GB"/>
              </w:rPr>
              <w:t xml:space="preserve">In this </w:t>
            </w:r>
            <w:r w:rsidR="001653A0" w:rsidRPr="00702A26">
              <w:rPr>
                <w:rFonts w:cs="Arial"/>
                <w:sz w:val="14"/>
                <w:szCs w:val="14"/>
                <w:lang w:val="en-GB"/>
              </w:rPr>
              <w:t>paper's</w:t>
            </w:r>
            <w:r w:rsidRPr="00702A26">
              <w:rPr>
                <w:rFonts w:cs="Arial"/>
                <w:sz w:val="14"/>
                <w:szCs w:val="14"/>
                <w:lang w:val="en-GB"/>
              </w:rPr>
              <w:t xml:space="preserve"> context, longer visits can indicate </w:t>
            </w:r>
            <w:r w:rsidR="001653A0" w:rsidRPr="00702A26">
              <w:rPr>
                <w:rFonts w:cs="Arial"/>
                <w:sz w:val="14"/>
                <w:szCs w:val="14"/>
                <w:lang w:val="en-GB"/>
              </w:rPr>
              <w:t>more attention demand, reading or processing effort or less effective support.</w:t>
            </w:r>
          </w:p>
        </w:tc>
        <w:tc>
          <w:tcPr>
            <w:tcW w:w="141" w:type="dxa"/>
            <w:shd w:val="clear" w:color="auto" w:fill="FFFFFF"/>
          </w:tcPr>
          <w:p w14:paraId="1A5E139C" w14:textId="77777777" w:rsidR="008B5C23" w:rsidRPr="00702A26" w:rsidRDefault="008B5C23" w:rsidP="00507B47">
            <w:pPr>
              <w:pStyle w:val="CETBodytext"/>
              <w:ind w:right="-1"/>
              <w:rPr>
                <w:rFonts w:cs="Arial"/>
                <w:sz w:val="14"/>
                <w:szCs w:val="14"/>
                <w:lang w:val="en-GB"/>
              </w:rPr>
            </w:pPr>
          </w:p>
        </w:tc>
        <w:tc>
          <w:tcPr>
            <w:tcW w:w="1701" w:type="dxa"/>
            <w:shd w:val="clear" w:color="auto" w:fill="FFFFFF"/>
          </w:tcPr>
          <w:p w14:paraId="2622F4A1" w14:textId="7AA56024" w:rsidR="008B5C23" w:rsidRPr="00702A26" w:rsidRDefault="003D3CD9" w:rsidP="00507B47">
            <w:pPr>
              <w:pStyle w:val="CETBodytext"/>
              <w:ind w:right="-1"/>
              <w:rPr>
                <w:rFonts w:cs="Arial"/>
                <w:sz w:val="14"/>
                <w:szCs w:val="14"/>
                <w:lang w:val="en-GB"/>
              </w:rPr>
            </w:pPr>
            <w:r w:rsidRPr="00702A26">
              <w:rPr>
                <w:rFonts w:cs="Arial"/>
                <w:sz w:val="14"/>
                <w:szCs w:val="14"/>
                <w:lang w:val="en-GB"/>
              </w:rPr>
              <w:t>Peders</w:t>
            </w:r>
            <w:r w:rsidR="00381DF0" w:rsidRPr="00702A26">
              <w:rPr>
                <w:rFonts w:cs="Arial"/>
                <w:sz w:val="14"/>
                <w:szCs w:val="14"/>
                <w:lang w:val="en-GB"/>
              </w:rPr>
              <w:t>e</w:t>
            </w:r>
            <w:r w:rsidRPr="00702A26">
              <w:rPr>
                <w:rFonts w:cs="Arial"/>
                <w:sz w:val="14"/>
                <w:szCs w:val="14"/>
                <w:lang w:val="en-GB"/>
              </w:rPr>
              <w:t>n, 2023</w:t>
            </w:r>
          </w:p>
        </w:tc>
        <w:tc>
          <w:tcPr>
            <w:tcW w:w="20" w:type="dxa"/>
            <w:shd w:val="clear" w:color="auto" w:fill="FFFFFF"/>
          </w:tcPr>
          <w:p w14:paraId="260F9DBB" w14:textId="77777777" w:rsidR="008B5C23" w:rsidRPr="00702A26" w:rsidRDefault="008B5C23" w:rsidP="00507B47">
            <w:pPr>
              <w:pStyle w:val="CETBodytext"/>
              <w:ind w:right="-1"/>
              <w:rPr>
                <w:rFonts w:cs="Arial"/>
                <w:szCs w:val="18"/>
                <w:lang w:val="en-GB"/>
              </w:rPr>
            </w:pPr>
          </w:p>
        </w:tc>
      </w:tr>
      <w:tr w:rsidR="00FD5B4E" w:rsidRPr="00702A26" w14:paraId="5C88828F" w14:textId="77777777" w:rsidTr="00EC759B">
        <w:tc>
          <w:tcPr>
            <w:tcW w:w="1985" w:type="dxa"/>
            <w:shd w:val="clear" w:color="auto" w:fill="FFFFFF"/>
          </w:tcPr>
          <w:p w14:paraId="785F423B" w14:textId="1B117C2A" w:rsidR="00FD5B4E" w:rsidRPr="00702A26" w:rsidRDefault="00FD5B4E" w:rsidP="00FD5B4E">
            <w:pPr>
              <w:pStyle w:val="CETBodytext"/>
              <w:numPr>
                <w:ilvl w:val="0"/>
                <w:numId w:val="23"/>
              </w:numPr>
              <w:ind w:right="-1"/>
              <w:rPr>
                <w:rFonts w:cs="Arial"/>
                <w:sz w:val="14"/>
                <w:szCs w:val="14"/>
                <w:lang w:val="en-GB"/>
              </w:rPr>
            </w:pPr>
            <w:r w:rsidRPr="00702A26">
              <w:rPr>
                <w:rFonts w:cs="Arial"/>
                <w:sz w:val="14"/>
                <w:szCs w:val="14"/>
                <w:lang w:val="en-GB"/>
              </w:rPr>
              <w:t>Pupil diameter</w:t>
            </w:r>
          </w:p>
        </w:tc>
        <w:tc>
          <w:tcPr>
            <w:tcW w:w="4111" w:type="dxa"/>
            <w:shd w:val="clear" w:color="auto" w:fill="FFFFFF"/>
          </w:tcPr>
          <w:p w14:paraId="797CCC17" w14:textId="4B746006" w:rsidR="001F05CC" w:rsidRPr="00702A26" w:rsidRDefault="00B74873" w:rsidP="00507B47">
            <w:pPr>
              <w:pStyle w:val="CETBodytext"/>
              <w:ind w:right="-1"/>
              <w:rPr>
                <w:rFonts w:cs="Arial"/>
                <w:sz w:val="14"/>
                <w:szCs w:val="14"/>
                <w:lang w:val="en-GB"/>
              </w:rPr>
            </w:pPr>
            <w:r w:rsidRPr="00702A26">
              <w:rPr>
                <w:rFonts w:cs="Arial"/>
                <w:sz w:val="14"/>
                <w:szCs w:val="14"/>
                <w:lang w:val="en-GB"/>
              </w:rPr>
              <w:t>Smaller</w:t>
            </w:r>
            <w:r w:rsidR="009944D3" w:rsidRPr="00702A26">
              <w:rPr>
                <w:rFonts w:cs="Arial"/>
                <w:sz w:val="14"/>
                <w:szCs w:val="14"/>
                <w:lang w:val="en-GB"/>
              </w:rPr>
              <w:t xml:space="preserve"> pupil sizes indicated lower cognitive workload during a task. More dilations</w:t>
            </w:r>
            <w:r w:rsidR="00213823" w:rsidRPr="00702A26">
              <w:rPr>
                <w:rFonts w:cs="Arial"/>
                <w:sz w:val="14"/>
                <w:szCs w:val="14"/>
                <w:lang w:val="en-GB"/>
              </w:rPr>
              <w:t xml:space="preserve"> are experienced given attention-demanding</w:t>
            </w:r>
            <w:r w:rsidR="009944D3" w:rsidRPr="00702A26">
              <w:rPr>
                <w:rFonts w:cs="Arial"/>
                <w:sz w:val="14"/>
                <w:szCs w:val="14"/>
                <w:lang w:val="en-GB"/>
              </w:rPr>
              <w:t xml:space="preserve"> contexts.</w:t>
            </w:r>
          </w:p>
        </w:tc>
        <w:tc>
          <w:tcPr>
            <w:tcW w:w="141" w:type="dxa"/>
            <w:shd w:val="clear" w:color="auto" w:fill="FFFFFF"/>
          </w:tcPr>
          <w:p w14:paraId="43AE7588" w14:textId="77777777" w:rsidR="00FD5B4E" w:rsidRPr="00702A26" w:rsidRDefault="00FD5B4E" w:rsidP="00507B47">
            <w:pPr>
              <w:pStyle w:val="CETBodytext"/>
              <w:ind w:right="-1"/>
              <w:rPr>
                <w:rFonts w:cs="Arial"/>
                <w:sz w:val="14"/>
                <w:szCs w:val="14"/>
                <w:lang w:val="en-GB"/>
              </w:rPr>
            </w:pPr>
          </w:p>
        </w:tc>
        <w:tc>
          <w:tcPr>
            <w:tcW w:w="1701" w:type="dxa"/>
            <w:shd w:val="clear" w:color="auto" w:fill="FFFFFF"/>
          </w:tcPr>
          <w:p w14:paraId="16DFC0E5" w14:textId="624A8730" w:rsidR="00FD5B4E" w:rsidRPr="00702A26" w:rsidRDefault="00213823" w:rsidP="00507B47">
            <w:pPr>
              <w:pStyle w:val="CETBodytext"/>
              <w:ind w:right="-1"/>
              <w:rPr>
                <w:rFonts w:cs="Arial"/>
                <w:sz w:val="14"/>
                <w:szCs w:val="14"/>
                <w:lang w:val="en-GB"/>
              </w:rPr>
            </w:pPr>
            <w:r w:rsidRPr="00702A26">
              <w:rPr>
                <w:rFonts w:cs="Arial"/>
                <w:sz w:val="14"/>
                <w:szCs w:val="14"/>
                <w:lang w:val="en-GB"/>
              </w:rPr>
              <w:t>Bhav</w:t>
            </w:r>
            <w:r w:rsidR="000B1DCB" w:rsidRPr="00702A26">
              <w:rPr>
                <w:rFonts w:cs="Arial"/>
                <w:sz w:val="14"/>
                <w:szCs w:val="14"/>
                <w:lang w:val="en-GB"/>
              </w:rPr>
              <w:t>s</w:t>
            </w:r>
            <w:r w:rsidRPr="00702A26">
              <w:rPr>
                <w:rFonts w:cs="Arial"/>
                <w:sz w:val="14"/>
                <w:szCs w:val="14"/>
                <w:lang w:val="en-GB"/>
              </w:rPr>
              <w:t>ar</w:t>
            </w:r>
            <w:r w:rsidR="00CA6A19" w:rsidRPr="00702A26">
              <w:rPr>
                <w:rFonts w:cs="Arial"/>
                <w:sz w:val="14"/>
                <w:szCs w:val="14"/>
                <w:lang w:val="en-GB"/>
              </w:rPr>
              <w:t xml:space="preserve"> et al.,</w:t>
            </w:r>
            <w:r w:rsidRPr="00702A26">
              <w:rPr>
                <w:rFonts w:cs="Arial"/>
                <w:sz w:val="14"/>
                <w:szCs w:val="14"/>
                <w:lang w:val="en-GB"/>
              </w:rPr>
              <w:t xml:space="preserve"> 2016</w:t>
            </w:r>
          </w:p>
        </w:tc>
        <w:tc>
          <w:tcPr>
            <w:tcW w:w="20" w:type="dxa"/>
            <w:shd w:val="clear" w:color="auto" w:fill="FFFFFF"/>
          </w:tcPr>
          <w:p w14:paraId="20F7C68B" w14:textId="77777777" w:rsidR="00FD5B4E" w:rsidRPr="00702A26" w:rsidRDefault="00FD5B4E" w:rsidP="00507B47">
            <w:pPr>
              <w:pStyle w:val="CETBodytext"/>
              <w:ind w:right="-1"/>
              <w:rPr>
                <w:rFonts w:cs="Arial"/>
                <w:szCs w:val="18"/>
                <w:lang w:val="en-GB"/>
              </w:rPr>
            </w:pPr>
          </w:p>
        </w:tc>
      </w:tr>
    </w:tbl>
    <w:p w14:paraId="27AF86BD" w14:textId="3161E191" w:rsidR="00D82111" w:rsidRPr="00702A26" w:rsidRDefault="00D82111" w:rsidP="00D82111">
      <w:pPr>
        <w:pStyle w:val="CETHeading1"/>
        <w:rPr>
          <w:lang w:val="en-GB"/>
        </w:rPr>
      </w:pPr>
      <w:r w:rsidRPr="00702A26">
        <w:rPr>
          <w:lang w:val="en-GB"/>
        </w:rPr>
        <w:t>Analysis Methods</w:t>
      </w:r>
    </w:p>
    <w:p w14:paraId="7F3EA48E" w14:textId="093A198E" w:rsidR="00D82111" w:rsidRPr="00702A26" w:rsidRDefault="00D82111" w:rsidP="00702A26">
      <w:pPr>
        <w:pStyle w:val="CETBodytext"/>
        <w:rPr>
          <w:lang w:val="en-GB"/>
        </w:rPr>
      </w:pPr>
      <w:r w:rsidRPr="00702A26">
        <w:rPr>
          <w:lang w:val="en-GB"/>
        </w:rPr>
        <w:t xml:space="preserve">Tobii Prob Lab software was used for data analysis. The start time </w:t>
      </w:r>
      <w:r w:rsidR="005F3C2A" w:rsidRPr="00702A26">
        <w:rPr>
          <w:lang w:val="en-GB"/>
        </w:rPr>
        <w:t xml:space="preserve">for the analysis for each participant from the overall 18 minutes was at the point of the first look at the intervention procedure after </w:t>
      </w:r>
      <w:r w:rsidR="005F6EDF" w:rsidRPr="00702A26">
        <w:rPr>
          <w:lang w:val="en-GB"/>
        </w:rPr>
        <w:t>initiating</w:t>
      </w:r>
      <w:r w:rsidR="00665045" w:rsidRPr="00702A26">
        <w:rPr>
          <w:lang w:val="en-GB"/>
        </w:rPr>
        <w:t xml:space="preserve"> the </w:t>
      </w:r>
      <w:r w:rsidR="00CE7CCE" w:rsidRPr="00702A26">
        <w:rPr>
          <w:lang w:val="en-GB"/>
        </w:rPr>
        <w:t xml:space="preserve">first </w:t>
      </w:r>
      <w:r w:rsidRPr="00702A26">
        <w:rPr>
          <w:lang w:val="en-GB"/>
        </w:rPr>
        <w:t>critical alarm. The assisted mapping was then run between 6 minutes and 27-28 seconds</w:t>
      </w:r>
      <w:r w:rsidR="00CE7CCE" w:rsidRPr="00702A26">
        <w:rPr>
          <w:lang w:val="en-GB"/>
        </w:rPr>
        <w:t xml:space="preserve">, </w:t>
      </w:r>
      <w:r w:rsidRPr="00702A26">
        <w:rPr>
          <w:lang w:val="en-GB"/>
        </w:rPr>
        <w:t>the selected time of interest (TOI) for each participant. The authors assume that this time window was critical for intervention, and an analysis of this time frame is sufficient given the time demand to analyse the entire recording.</w:t>
      </w:r>
    </w:p>
    <w:p w14:paraId="0AE2943E" w14:textId="19F6D3C6" w:rsidR="005C03C7" w:rsidRPr="00702A26" w:rsidRDefault="00D82111" w:rsidP="00702A26">
      <w:pPr>
        <w:pStyle w:val="CETBodytext"/>
        <w:rPr>
          <w:lang w:val="en-GB"/>
        </w:rPr>
      </w:pPr>
      <w:r w:rsidRPr="00702A26">
        <w:rPr>
          <w:lang w:val="en-GB"/>
        </w:rPr>
        <w:t>Area of interest (AOI) analysis was performed to extract eye-tracking metrics. This involved defining the paper and screen procedures as the key AOIs for this paper</w:t>
      </w:r>
      <w:r w:rsidR="00665045" w:rsidRPr="00702A26">
        <w:rPr>
          <w:lang w:val="en-GB"/>
        </w:rPr>
        <w:t>,</w:t>
      </w:r>
      <w:r w:rsidRPr="00702A26">
        <w:rPr>
          <w:lang w:val="en-GB"/>
        </w:rPr>
        <w:t xml:space="preserve"> as shown in Fig</w:t>
      </w:r>
      <w:r w:rsidR="005C5F30" w:rsidRPr="00702A26">
        <w:rPr>
          <w:lang w:val="en-GB"/>
        </w:rPr>
        <w:t>ure</w:t>
      </w:r>
      <w:r w:rsidRPr="00702A26">
        <w:rPr>
          <w:lang w:val="en-GB"/>
        </w:rPr>
        <w:t xml:space="preserve"> </w:t>
      </w:r>
      <w:r w:rsidR="005C5F30" w:rsidRPr="00702A26">
        <w:rPr>
          <w:lang w:val="en-GB"/>
        </w:rPr>
        <w:t>3</w:t>
      </w:r>
      <w:r w:rsidRPr="00702A26">
        <w:rPr>
          <w:lang w:val="en-GB"/>
        </w:rPr>
        <w:t xml:space="preserve">, before or while running assisted mapping for each participant. </w:t>
      </w:r>
      <w:r w:rsidR="009F3AA9" w:rsidRPr="00702A26">
        <w:rPr>
          <w:lang w:val="en-GB"/>
        </w:rPr>
        <w:t>Unlike the mapping process, it is only done once and can be adapted for all participants</w:t>
      </w:r>
      <w:r w:rsidRPr="00702A26">
        <w:rPr>
          <w:lang w:val="en-GB"/>
        </w:rPr>
        <w:t>. The heatmap was further generated by accumulating the eye movements of the participants over the TOI.</w:t>
      </w:r>
      <w:r w:rsidR="00702A26" w:rsidRPr="00A10415">
        <w:rPr>
          <w:lang w:val="en-GB"/>
        </w:rPr>
        <w:t xml:space="preserve"> </w:t>
      </w:r>
      <w:r w:rsidR="006909FD" w:rsidRPr="00702A26">
        <w:rPr>
          <w:lang w:val="en-GB"/>
        </w:rPr>
        <w:t>The results from Tobii Pro Lab were further analysed using Python (version 3.9.18) to get the descriptive stats (mean +/- standard deviation)</w:t>
      </w:r>
      <w:r w:rsidR="00D80868" w:rsidRPr="00702A26">
        <w:rPr>
          <w:lang w:val="en-GB"/>
        </w:rPr>
        <w:t xml:space="preserve"> </w:t>
      </w:r>
      <w:r w:rsidR="00240429" w:rsidRPr="00702A26">
        <w:rPr>
          <w:lang w:val="en-GB"/>
        </w:rPr>
        <w:t xml:space="preserve">and </w:t>
      </w:r>
      <w:r w:rsidR="005C5F30" w:rsidRPr="00702A26">
        <w:rPr>
          <w:lang w:val="en-GB"/>
        </w:rPr>
        <w:t>grouped ANOVA</w:t>
      </w:r>
      <w:r w:rsidR="007E3DD1" w:rsidRPr="00702A26">
        <w:rPr>
          <w:lang w:val="en-GB"/>
        </w:rPr>
        <w:t xml:space="preserve"> in RapidMiner (free version 10.1.003)</w:t>
      </w:r>
      <w:r w:rsidR="006909FD" w:rsidRPr="00702A26">
        <w:rPr>
          <w:lang w:val="en-GB"/>
        </w:rPr>
        <w:t xml:space="preserve"> </w:t>
      </w:r>
      <w:r w:rsidR="005C5F30" w:rsidRPr="00702A26">
        <w:rPr>
          <w:lang w:val="en-GB"/>
        </w:rPr>
        <w:t>for a group comparison</w:t>
      </w:r>
      <w:r w:rsidR="006909FD" w:rsidRPr="00702A26">
        <w:rPr>
          <w:lang w:val="en-GB"/>
        </w:rPr>
        <w:t xml:space="preserve">. A </w:t>
      </w:r>
      <w:r w:rsidR="00DE773B" w:rsidRPr="00A10415">
        <w:rPr>
          <w:lang w:val="en-GB"/>
        </w:rPr>
        <w:t>p</w:t>
      </w:r>
      <w:r w:rsidR="006909FD" w:rsidRPr="00702A26">
        <w:rPr>
          <w:lang w:val="en-GB"/>
        </w:rPr>
        <w:t>-value of &lt;0.05 was considered statistically significant.</w:t>
      </w:r>
      <w:r w:rsidR="00D415C6" w:rsidRPr="00702A26">
        <w:rPr>
          <w:lang w:val="en-GB"/>
        </w:rPr>
        <w:t xml:space="preserve"> </w:t>
      </w:r>
      <w:r w:rsidR="00A77750" w:rsidRPr="00702A26">
        <w:rPr>
          <w:lang w:val="en-GB"/>
        </w:rPr>
        <w:t>The data used to calculate the mean</w:t>
      </w:r>
      <w:r w:rsidR="00C66FBC" w:rsidRPr="00702A26">
        <w:rPr>
          <w:lang w:val="en-GB"/>
        </w:rPr>
        <w:t xml:space="preserve"> and SD </w:t>
      </w:r>
      <w:r w:rsidR="009F3AA9" w:rsidRPr="00702A26">
        <w:rPr>
          <w:lang w:val="en-GB"/>
        </w:rPr>
        <w:t xml:space="preserve">for the pupil diameter </w:t>
      </w:r>
      <w:r w:rsidR="00C66FBC" w:rsidRPr="00702A26">
        <w:rPr>
          <w:lang w:val="en-GB"/>
        </w:rPr>
        <w:t xml:space="preserve">was based on the difference between the participant's eye movement data during the selected TOI and their </w:t>
      </w:r>
      <w:r w:rsidR="008B4D53" w:rsidRPr="00702A26">
        <w:rPr>
          <w:lang w:val="en-GB"/>
        </w:rPr>
        <w:t xml:space="preserve">collective </w:t>
      </w:r>
      <w:r w:rsidR="00C66FBC" w:rsidRPr="00702A26">
        <w:rPr>
          <w:lang w:val="en-GB"/>
        </w:rPr>
        <w:t>median base values (i.e. their median eye movement value within the first 1 minute 30 seconds of the start of scenario 3)</w:t>
      </w:r>
      <w:r w:rsidR="00E56498" w:rsidRPr="00702A26">
        <w:rPr>
          <w:lang w:val="en-GB"/>
        </w:rPr>
        <w:t>.</w:t>
      </w:r>
      <w:r w:rsidR="005E6177" w:rsidRPr="00702A26">
        <w:rPr>
          <w:lang w:val="en-GB"/>
        </w:rPr>
        <w:t xml:space="preserve"> </w:t>
      </w:r>
      <w:r w:rsidR="00A52412" w:rsidRPr="00702A26">
        <w:rPr>
          <w:lang w:val="en-GB"/>
        </w:rPr>
        <w:t xml:space="preserve">Hence </w:t>
      </w:r>
      <w:r w:rsidR="00665045" w:rsidRPr="00702A26">
        <w:rPr>
          <w:lang w:val="en-GB"/>
        </w:rPr>
        <w:t>subtract</w:t>
      </w:r>
      <w:r w:rsidR="005E6177" w:rsidRPr="00702A26">
        <w:rPr>
          <w:lang w:val="en-GB"/>
        </w:rPr>
        <w:t>ing</w:t>
      </w:r>
      <w:r w:rsidR="00665045" w:rsidRPr="00702A26">
        <w:rPr>
          <w:lang w:val="en-GB"/>
        </w:rPr>
        <w:t xml:space="preserve"> the latter</w:t>
      </w:r>
      <w:r w:rsidR="00A52412" w:rsidRPr="00702A26">
        <w:rPr>
          <w:lang w:val="en-GB"/>
        </w:rPr>
        <w:t xml:space="preserve"> from the former.</w:t>
      </w:r>
      <w:r w:rsidR="005E6177" w:rsidRPr="00702A26">
        <w:rPr>
          <w:lang w:val="en-GB"/>
        </w:rPr>
        <w:t xml:space="preserve"> This was done for each </w:t>
      </w:r>
      <w:r w:rsidR="00A444DC" w:rsidRPr="00702A26">
        <w:rPr>
          <w:lang w:val="en-GB"/>
        </w:rPr>
        <w:t>group and is known as the subtractive baseline correction approach</w:t>
      </w:r>
      <w:r w:rsidR="002035F9" w:rsidRPr="00702A26">
        <w:rPr>
          <w:lang w:val="en-GB"/>
        </w:rPr>
        <w:t>,</w:t>
      </w:r>
      <w:r w:rsidR="009F3AA9" w:rsidRPr="00702A26">
        <w:rPr>
          <w:lang w:val="en-GB"/>
        </w:rPr>
        <w:t xml:space="preserve"> as recommended by</w:t>
      </w:r>
      <w:r w:rsidR="00A444DC" w:rsidRPr="00702A26">
        <w:rPr>
          <w:lang w:val="en-GB"/>
        </w:rPr>
        <w:t xml:space="preserve"> (</w:t>
      </w:r>
      <w:proofErr w:type="spellStart"/>
      <w:r w:rsidR="00A444DC" w:rsidRPr="00702A26">
        <w:rPr>
          <w:lang w:val="en-GB"/>
        </w:rPr>
        <w:t>Mathôt</w:t>
      </w:r>
      <w:proofErr w:type="spellEnd"/>
      <w:r w:rsidR="00A444DC" w:rsidRPr="00702A26">
        <w:rPr>
          <w:lang w:val="en-GB"/>
        </w:rPr>
        <w:t xml:space="preserve"> et al., 2018). </w:t>
      </w:r>
      <w:r w:rsidR="009F3AA9" w:rsidRPr="00702A26">
        <w:rPr>
          <w:lang w:val="en-GB"/>
        </w:rPr>
        <w:t>The other metrics were used without baseline correction.</w:t>
      </w:r>
    </w:p>
    <w:p w14:paraId="43E3C46D" w14:textId="74DAEADD" w:rsidR="005C03C7" w:rsidRPr="00702A26" w:rsidRDefault="00EC759B" w:rsidP="005C03C7">
      <w:pPr>
        <w:tabs>
          <w:tab w:val="clear" w:pos="7100"/>
        </w:tabs>
        <w:spacing w:before="100" w:beforeAutospacing="1" w:after="100" w:afterAutospacing="1" w:line="240" w:lineRule="auto"/>
        <w:jc w:val="left"/>
        <w:rPr>
          <w:rFonts w:ascii="Times New Roman" w:hAnsi="Times New Roman"/>
          <w:sz w:val="24"/>
          <w:szCs w:val="24"/>
          <w:lang w:eastAsia="en-GB"/>
        </w:rPr>
      </w:pPr>
      <w:r>
        <w:rPr>
          <w:rFonts w:ascii="Times New Roman" w:hAnsi="Times New Roman"/>
          <w:noProof/>
          <w:sz w:val="24"/>
          <w:szCs w:val="24"/>
          <w:lang w:eastAsia="en-GB"/>
        </w:rPr>
        <w:drawing>
          <wp:inline distT="0" distB="0" distL="0" distR="0" wp14:anchorId="0D71145A" wp14:editId="4626821C">
            <wp:extent cx="2552281" cy="1209724"/>
            <wp:effectExtent l="0" t="0" r="635" b="0"/>
            <wp:docPr id="1709643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2051" cy="1228574"/>
                    </a:xfrm>
                    <a:prstGeom prst="rect">
                      <a:avLst/>
                    </a:prstGeom>
                    <a:noFill/>
                  </pic:spPr>
                </pic:pic>
              </a:graphicData>
            </a:graphic>
          </wp:inline>
        </w:drawing>
      </w:r>
    </w:p>
    <w:p w14:paraId="1DC2592D" w14:textId="7494E932" w:rsidR="005C03C7" w:rsidRPr="00702A26" w:rsidRDefault="005C03C7" w:rsidP="005C03C7">
      <w:pPr>
        <w:pStyle w:val="CETCaption"/>
        <w:rPr>
          <w:lang w:eastAsia="en-GB"/>
        </w:rPr>
      </w:pPr>
      <w:r w:rsidRPr="00702A26">
        <w:rPr>
          <w:lang w:eastAsia="en-GB"/>
        </w:rPr>
        <w:t xml:space="preserve">Figure </w:t>
      </w:r>
      <w:r w:rsidR="00CE7CCE" w:rsidRPr="00702A26">
        <w:rPr>
          <w:lang w:eastAsia="en-GB"/>
        </w:rPr>
        <w:t>3</w:t>
      </w:r>
      <w:r w:rsidRPr="00702A26">
        <w:rPr>
          <w:lang w:eastAsia="en-GB"/>
        </w:rPr>
        <w:t>: The green area on the table represents the AOI for the procedure on paper. The yellow area on the screen represents the AOI for the digitised screen-based procedure.</w:t>
      </w:r>
    </w:p>
    <w:p w14:paraId="3F30793C" w14:textId="77777777" w:rsidR="006909FD" w:rsidRPr="00702A26" w:rsidRDefault="006909FD" w:rsidP="006909FD">
      <w:pPr>
        <w:pStyle w:val="CETHeading1"/>
        <w:rPr>
          <w:lang w:val="en-GB"/>
        </w:rPr>
      </w:pPr>
      <w:r w:rsidRPr="00702A26">
        <w:rPr>
          <w:lang w:val="en-GB"/>
        </w:rPr>
        <w:t>Results</w:t>
      </w:r>
    </w:p>
    <w:p w14:paraId="41A7C179" w14:textId="0C371D0A" w:rsidR="006909FD" w:rsidRPr="00702A26" w:rsidRDefault="006909FD" w:rsidP="002400C5">
      <w:pPr>
        <w:pStyle w:val="CETheadingx"/>
        <w:rPr>
          <w:lang w:val="en-GB"/>
        </w:rPr>
      </w:pPr>
      <w:r w:rsidRPr="00702A26">
        <w:rPr>
          <w:lang w:val="en-GB"/>
        </w:rPr>
        <w:t>Heat Maps</w:t>
      </w:r>
    </w:p>
    <w:p w14:paraId="5C8646E4" w14:textId="67D9D26B" w:rsidR="006909FD" w:rsidRPr="00702A26" w:rsidRDefault="00DE773B" w:rsidP="00D82111">
      <w:pPr>
        <w:pStyle w:val="CETBodytext"/>
        <w:rPr>
          <w:lang w:val="en-GB"/>
        </w:rPr>
      </w:pPr>
      <w:r w:rsidRPr="00702A26">
        <w:rPr>
          <w:lang w:val="en-GB"/>
        </w:rPr>
        <w:t xml:space="preserve">Figures </w:t>
      </w:r>
      <w:r w:rsidR="005C5F30" w:rsidRPr="00702A26">
        <w:rPr>
          <w:lang w:val="en-GB"/>
        </w:rPr>
        <w:t>4</w:t>
      </w:r>
      <w:r w:rsidR="00D415C6" w:rsidRPr="00702A26">
        <w:rPr>
          <w:lang w:val="en-GB"/>
        </w:rPr>
        <w:t>a</w:t>
      </w:r>
      <w:r w:rsidRPr="00702A26">
        <w:rPr>
          <w:lang w:val="en-GB"/>
        </w:rPr>
        <w:t xml:space="preserve"> and </w:t>
      </w:r>
      <w:r w:rsidR="00D415C6" w:rsidRPr="00702A26">
        <w:rPr>
          <w:lang w:val="en-GB"/>
        </w:rPr>
        <w:t>b</w:t>
      </w:r>
      <w:r w:rsidRPr="00702A26">
        <w:rPr>
          <w:lang w:val="en-GB"/>
        </w:rPr>
        <w:t xml:space="preserve"> show the heat map for GPP and GSP,</w:t>
      </w:r>
      <w:r w:rsidR="006909FD" w:rsidRPr="00702A26">
        <w:rPr>
          <w:lang w:val="en-GB"/>
        </w:rPr>
        <w:t xml:space="preserve"> respectively. As can be seen from both images, GSP had higher accumulated gaze duration on their AOI than GPP. However, both had longer gaze durations on the alarm support box.</w:t>
      </w:r>
    </w:p>
    <w:p w14:paraId="236B362C" w14:textId="0ABE4BE4" w:rsidR="00D26854" w:rsidRPr="00702A26" w:rsidRDefault="00D26854" w:rsidP="00AB7587">
      <w:pPr>
        <w:tabs>
          <w:tab w:val="clear" w:pos="7100"/>
        </w:tabs>
        <w:spacing w:before="100" w:beforeAutospacing="1" w:after="100" w:afterAutospacing="1" w:line="240" w:lineRule="auto"/>
        <w:jc w:val="left"/>
        <w:rPr>
          <w:rFonts w:ascii="Times New Roman" w:hAnsi="Times New Roman"/>
          <w:sz w:val="24"/>
          <w:szCs w:val="24"/>
          <w:lang w:eastAsia="en-GB"/>
        </w:rPr>
      </w:pPr>
      <w:r w:rsidRPr="00A10415">
        <w:rPr>
          <w:rFonts w:ascii="Times New Roman" w:hAnsi="Times New Roman"/>
          <w:noProof/>
          <w:sz w:val="24"/>
          <w:szCs w:val="24"/>
          <w:lang w:eastAsia="en-GB"/>
        </w:rPr>
        <w:lastRenderedPageBreak/>
        <w:drawing>
          <wp:inline distT="0" distB="0" distL="0" distR="0" wp14:anchorId="2F2B1902" wp14:editId="6321BAC1">
            <wp:extent cx="2671638" cy="1247140"/>
            <wp:effectExtent l="0" t="0" r="0" b="0"/>
            <wp:docPr id="1960394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8400" b="8657"/>
                    <a:stretch/>
                  </pic:blipFill>
                  <pic:spPr bwMode="auto">
                    <a:xfrm>
                      <a:off x="0" y="0"/>
                      <a:ext cx="2728503" cy="1273685"/>
                    </a:xfrm>
                    <a:prstGeom prst="rect">
                      <a:avLst/>
                    </a:prstGeom>
                    <a:noFill/>
                    <a:ln>
                      <a:noFill/>
                    </a:ln>
                    <a:extLst>
                      <a:ext uri="{53640926-AAD7-44D8-BBD7-CCE9431645EC}">
                        <a14:shadowObscured xmlns:a14="http://schemas.microsoft.com/office/drawing/2010/main"/>
                      </a:ext>
                    </a:extLst>
                  </pic:spPr>
                </pic:pic>
              </a:graphicData>
            </a:graphic>
          </wp:inline>
        </w:drawing>
      </w:r>
      <w:r w:rsidR="00145009" w:rsidRPr="00702A26">
        <w:rPr>
          <w:rFonts w:ascii="Times New Roman" w:hAnsi="Times New Roman"/>
          <w:sz w:val="24"/>
          <w:szCs w:val="24"/>
          <w:lang w:eastAsia="en-GB"/>
        </w:rPr>
        <w:t xml:space="preserve">  </w:t>
      </w:r>
      <w:r w:rsidR="006117C4" w:rsidRPr="00702A26">
        <w:rPr>
          <w:rFonts w:ascii="Times New Roman" w:hAnsi="Times New Roman"/>
          <w:sz w:val="24"/>
          <w:szCs w:val="24"/>
          <w:lang w:eastAsia="en-GB"/>
        </w:rPr>
        <w:t xml:space="preserve">  </w:t>
      </w:r>
      <w:r w:rsidR="00CA7346" w:rsidRPr="00A10415">
        <w:rPr>
          <w:rFonts w:ascii="Times New Roman" w:hAnsi="Times New Roman"/>
          <w:noProof/>
          <w:sz w:val="24"/>
          <w:szCs w:val="24"/>
          <w:lang w:eastAsia="en-GB"/>
        </w:rPr>
        <w:drawing>
          <wp:inline distT="0" distB="0" distL="0" distR="0" wp14:anchorId="50887CD3" wp14:editId="1FCAB9D3">
            <wp:extent cx="2663687" cy="1255395"/>
            <wp:effectExtent l="0" t="0" r="3810" b="1905"/>
            <wp:docPr id="9819114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t="8400" b="9015"/>
                    <a:stretch/>
                  </pic:blipFill>
                  <pic:spPr bwMode="auto">
                    <a:xfrm>
                      <a:off x="0" y="0"/>
                      <a:ext cx="2746266" cy="1294315"/>
                    </a:xfrm>
                    <a:prstGeom prst="rect">
                      <a:avLst/>
                    </a:prstGeom>
                    <a:noFill/>
                    <a:ln>
                      <a:noFill/>
                    </a:ln>
                    <a:extLst>
                      <a:ext uri="{53640926-AAD7-44D8-BBD7-CCE9431645EC}">
                        <a14:shadowObscured xmlns:a14="http://schemas.microsoft.com/office/drawing/2010/main"/>
                      </a:ext>
                    </a:extLst>
                  </pic:spPr>
                </pic:pic>
              </a:graphicData>
            </a:graphic>
          </wp:inline>
        </w:drawing>
      </w:r>
    </w:p>
    <w:p w14:paraId="71A4029F" w14:textId="77777777" w:rsidR="006933D4" w:rsidRPr="00702A26" w:rsidRDefault="006933D4" w:rsidP="00A16AEC">
      <w:pPr>
        <w:pStyle w:val="CETCaption"/>
        <w:rPr>
          <w:lang w:eastAsia="en-GB"/>
        </w:rPr>
        <w:sectPr w:rsidR="006933D4" w:rsidRPr="00702A26" w:rsidSect="002A4F1A">
          <w:type w:val="continuous"/>
          <w:pgSz w:w="11906" w:h="16838" w:code="9"/>
          <w:pgMar w:top="1701" w:right="1418" w:bottom="1418" w:left="1701" w:header="1701" w:footer="0" w:gutter="0"/>
          <w:cols w:space="708"/>
          <w:formProt w:val="0"/>
          <w:titlePg/>
          <w:docGrid w:linePitch="360"/>
        </w:sectPr>
      </w:pPr>
    </w:p>
    <w:p w14:paraId="4123EB74" w14:textId="15A382D2" w:rsidR="006933D4" w:rsidRPr="00702A26" w:rsidRDefault="009A4DE2" w:rsidP="00A16AEC">
      <w:pPr>
        <w:pStyle w:val="CETCaption"/>
        <w:rPr>
          <w:lang w:eastAsia="en-GB"/>
        </w:rPr>
      </w:pPr>
      <w:r w:rsidRPr="00702A26">
        <w:rPr>
          <w:lang w:eastAsia="en-GB"/>
        </w:rPr>
        <w:t xml:space="preserve">Figure </w:t>
      </w:r>
      <w:r w:rsidR="005C5F30" w:rsidRPr="00702A26">
        <w:rPr>
          <w:lang w:eastAsia="en-GB"/>
        </w:rPr>
        <w:t>4</w:t>
      </w:r>
      <w:r w:rsidR="00D415C6" w:rsidRPr="00702A26">
        <w:rPr>
          <w:lang w:eastAsia="en-GB"/>
        </w:rPr>
        <w:t>a</w:t>
      </w:r>
      <w:r w:rsidRPr="00702A26">
        <w:rPr>
          <w:lang w:eastAsia="en-GB"/>
        </w:rPr>
        <w:t xml:space="preserve">: G2 accumulated eye movement. The average fixation duration on paper procedure AOI (Fig. </w:t>
      </w:r>
      <w:r w:rsidR="005C5F30" w:rsidRPr="00702A26">
        <w:rPr>
          <w:lang w:eastAsia="en-GB"/>
        </w:rPr>
        <w:t>3</w:t>
      </w:r>
      <w:r w:rsidRPr="00702A26">
        <w:rPr>
          <w:lang w:eastAsia="en-GB"/>
        </w:rPr>
        <w:t>) is 19</w:t>
      </w:r>
      <w:r w:rsidR="00CD44E9" w:rsidRPr="00702A26">
        <w:rPr>
          <w:lang w:eastAsia="en-GB"/>
        </w:rPr>
        <w:t>7</w:t>
      </w:r>
      <w:r w:rsidRPr="00702A26">
        <w:rPr>
          <w:lang w:eastAsia="en-GB"/>
        </w:rPr>
        <w:t xml:space="preserve">.10 +/- </w:t>
      </w:r>
      <w:r w:rsidR="00CD44E9" w:rsidRPr="00702A26">
        <w:rPr>
          <w:lang w:eastAsia="en-GB"/>
        </w:rPr>
        <w:t>68</w:t>
      </w:r>
      <w:r w:rsidRPr="00702A26">
        <w:rPr>
          <w:lang w:eastAsia="en-GB"/>
        </w:rPr>
        <w:t>.</w:t>
      </w:r>
      <w:r w:rsidR="00CD44E9" w:rsidRPr="00702A26">
        <w:rPr>
          <w:lang w:eastAsia="en-GB"/>
        </w:rPr>
        <w:t>67</w:t>
      </w:r>
      <w:r w:rsidRPr="00702A26">
        <w:rPr>
          <w:lang w:eastAsia="en-GB"/>
        </w:rPr>
        <w:t xml:space="preserve"> (Mean and SD respectively)</w:t>
      </w:r>
      <w:r w:rsidR="009D4449" w:rsidRPr="00702A26">
        <w:rPr>
          <w:lang w:eastAsia="en-GB"/>
        </w:rPr>
        <w:t xml:space="preserve">. </w:t>
      </w:r>
      <w:r w:rsidR="006933D4" w:rsidRPr="00702A26">
        <w:rPr>
          <w:lang w:eastAsia="en-GB"/>
        </w:rPr>
        <w:t xml:space="preserve">                                                          </w:t>
      </w:r>
    </w:p>
    <w:p w14:paraId="21642C41" w14:textId="34CBC5D5" w:rsidR="006933D4" w:rsidRPr="00702A26" w:rsidRDefault="005109D4" w:rsidP="006933D4">
      <w:pPr>
        <w:pStyle w:val="CETCaption"/>
        <w:rPr>
          <w:lang w:eastAsia="en-GB"/>
        </w:rPr>
      </w:pPr>
      <w:r w:rsidRPr="00702A26">
        <w:rPr>
          <w:lang w:eastAsia="en-GB"/>
        </w:rPr>
        <w:t xml:space="preserve">Figure </w:t>
      </w:r>
      <w:r w:rsidR="005C5F30" w:rsidRPr="00702A26">
        <w:rPr>
          <w:lang w:eastAsia="en-GB"/>
        </w:rPr>
        <w:t>4</w:t>
      </w:r>
      <w:r w:rsidR="00D415C6" w:rsidRPr="00702A26">
        <w:rPr>
          <w:lang w:eastAsia="en-GB"/>
        </w:rPr>
        <w:t>b</w:t>
      </w:r>
      <w:r w:rsidRPr="00702A26">
        <w:rPr>
          <w:lang w:eastAsia="en-GB"/>
        </w:rPr>
        <w:t xml:space="preserve">: </w:t>
      </w:r>
      <w:r w:rsidR="006933D4" w:rsidRPr="00702A26">
        <w:rPr>
          <w:lang w:eastAsia="en-GB"/>
        </w:rPr>
        <w:t xml:space="preserve">G3 accumulated eye movement. </w:t>
      </w:r>
      <w:r w:rsidR="00593153" w:rsidRPr="00702A26">
        <w:rPr>
          <w:lang w:eastAsia="en-GB"/>
        </w:rPr>
        <w:t xml:space="preserve">The average fixation duration on screen-based procedure AOI (Fig. </w:t>
      </w:r>
      <w:r w:rsidR="005C5F30" w:rsidRPr="00702A26">
        <w:rPr>
          <w:lang w:eastAsia="en-GB"/>
        </w:rPr>
        <w:t>3</w:t>
      </w:r>
      <w:r w:rsidR="00593153" w:rsidRPr="00702A26">
        <w:rPr>
          <w:lang w:eastAsia="en-GB"/>
        </w:rPr>
        <w:t>) is 2</w:t>
      </w:r>
      <w:r w:rsidR="00CD44E9" w:rsidRPr="00702A26">
        <w:rPr>
          <w:lang w:eastAsia="en-GB"/>
        </w:rPr>
        <w:t xml:space="preserve">92.63 </w:t>
      </w:r>
      <w:r w:rsidR="00593153" w:rsidRPr="00702A26">
        <w:rPr>
          <w:lang w:eastAsia="en-GB"/>
        </w:rPr>
        <w:t>+/- 1</w:t>
      </w:r>
      <w:r w:rsidR="00CD44E9" w:rsidRPr="00702A26">
        <w:rPr>
          <w:lang w:eastAsia="en-GB"/>
        </w:rPr>
        <w:t>57.08</w:t>
      </w:r>
      <w:r w:rsidR="00593153" w:rsidRPr="00702A26">
        <w:rPr>
          <w:lang w:eastAsia="en-GB"/>
        </w:rPr>
        <w:t xml:space="preserve"> (Mean and SD,</w:t>
      </w:r>
      <w:r w:rsidR="006933D4" w:rsidRPr="00702A26">
        <w:rPr>
          <w:lang w:eastAsia="en-GB"/>
        </w:rPr>
        <w:t xml:space="preserve"> respectively</w:t>
      </w:r>
      <w:r w:rsidR="00370C41" w:rsidRPr="00702A26">
        <w:rPr>
          <w:lang w:eastAsia="en-GB"/>
        </w:rPr>
        <w:t>.</w:t>
      </w:r>
    </w:p>
    <w:p w14:paraId="3C058593" w14:textId="4A39086D" w:rsidR="00370C41" w:rsidRPr="00702A26" w:rsidRDefault="00370C41" w:rsidP="006933D4">
      <w:pPr>
        <w:pStyle w:val="CETCaption"/>
        <w:rPr>
          <w:lang w:eastAsia="en-GB"/>
        </w:rPr>
        <w:sectPr w:rsidR="00370C41" w:rsidRPr="00702A26" w:rsidSect="002A4F1A">
          <w:type w:val="continuous"/>
          <w:pgSz w:w="11906" w:h="16838" w:code="9"/>
          <w:pgMar w:top="1701" w:right="1418" w:bottom="1701" w:left="1701" w:header="1701" w:footer="0" w:gutter="0"/>
          <w:cols w:num="2" w:space="708"/>
          <w:formProt w:val="0"/>
          <w:titlePg/>
          <w:docGrid w:linePitch="360"/>
        </w:sectPr>
      </w:pPr>
    </w:p>
    <w:p w14:paraId="4722BCE6" w14:textId="0F7CD6CA" w:rsidR="00370C41" w:rsidRPr="00702A26" w:rsidRDefault="002400C5" w:rsidP="002400C5">
      <w:pPr>
        <w:pStyle w:val="CETheadingx"/>
        <w:rPr>
          <w:lang w:val="en-GB"/>
        </w:rPr>
      </w:pPr>
      <w:r w:rsidRPr="00702A26">
        <w:rPr>
          <w:lang w:val="en-GB"/>
        </w:rPr>
        <w:t>Descriptive Stats: Pupillometry and AOI measures</w:t>
      </w:r>
    </w:p>
    <w:p w14:paraId="6884A685" w14:textId="244676C9" w:rsidR="002B2B6D" w:rsidRPr="00702A26" w:rsidRDefault="00A6600D" w:rsidP="00702A26">
      <w:pPr>
        <w:pStyle w:val="CETBodytext"/>
        <w:rPr>
          <w:lang w:val="en-GB"/>
        </w:rPr>
      </w:pPr>
      <w:r w:rsidRPr="00702A26">
        <w:rPr>
          <w:lang w:val="en-GB"/>
        </w:rPr>
        <w:t>G</w:t>
      </w:r>
      <w:r w:rsidR="00443813" w:rsidRPr="00702A26">
        <w:rPr>
          <w:lang w:val="en-GB"/>
        </w:rPr>
        <w:t>PP</w:t>
      </w:r>
      <w:r w:rsidRPr="00702A26">
        <w:rPr>
          <w:lang w:val="en-GB"/>
        </w:rPr>
        <w:t xml:space="preserve"> had a </w:t>
      </w:r>
      <w:r w:rsidR="00956F12" w:rsidRPr="00702A26">
        <w:rPr>
          <w:lang w:val="en-GB"/>
        </w:rPr>
        <w:t xml:space="preserve">shorter </w:t>
      </w:r>
      <w:r w:rsidRPr="00702A26">
        <w:rPr>
          <w:lang w:val="en-GB"/>
        </w:rPr>
        <w:t>average fixation duration</w:t>
      </w:r>
      <w:r w:rsidR="006B32A8" w:rsidRPr="00702A26">
        <w:rPr>
          <w:lang w:val="en-GB"/>
        </w:rPr>
        <w:t xml:space="preserve"> (</w:t>
      </w:r>
      <w:r w:rsidR="006B32A8" w:rsidRPr="00A10415">
        <w:rPr>
          <w:lang w:val="en-GB"/>
        </w:rPr>
        <w:t>p</w:t>
      </w:r>
      <w:r w:rsidR="006B32A8" w:rsidRPr="00702A26">
        <w:rPr>
          <w:lang w:val="en-GB"/>
        </w:rPr>
        <w:t xml:space="preserve"> = .</w:t>
      </w:r>
      <w:r w:rsidR="00421400" w:rsidRPr="00702A26">
        <w:rPr>
          <w:lang w:val="en-GB"/>
        </w:rPr>
        <w:t>31</w:t>
      </w:r>
      <w:r w:rsidR="006B32A8" w:rsidRPr="00702A26">
        <w:rPr>
          <w:lang w:val="en-GB"/>
        </w:rPr>
        <w:t>)</w:t>
      </w:r>
      <w:r w:rsidR="00421400" w:rsidRPr="00702A26">
        <w:rPr>
          <w:lang w:val="en-GB"/>
        </w:rPr>
        <w:t xml:space="preserve"> and longer </w:t>
      </w:r>
      <w:r w:rsidRPr="00702A26">
        <w:rPr>
          <w:lang w:val="en-GB"/>
        </w:rPr>
        <w:t>n</w:t>
      </w:r>
      <w:r w:rsidR="005A1DFB" w:rsidRPr="00702A26">
        <w:rPr>
          <w:lang w:val="en-GB"/>
        </w:rPr>
        <w:t xml:space="preserve">umber of </w:t>
      </w:r>
      <w:r w:rsidRPr="00702A26">
        <w:rPr>
          <w:lang w:val="en-GB"/>
        </w:rPr>
        <w:t>visits</w:t>
      </w:r>
      <w:r w:rsidR="006B32A8" w:rsidRPr="00702A26">
        <w:rPr>
          <w:lang w:val="en-GB"/>
        </w:rPr>
        <w:t xml:space="preserve"> (</w:t>
      </w:r>
      <w:r w:rsidR="006B32A8" w:rsidRPr="00A10415">
        <w:rPr>
          <w:lang w:val="en-GB"/>
        </w:rPr>
        <w:t>p</w:t>
      </w:r>
      <w:r w:rsidR="006B32A8" w:rsidRPr="00702A26">
        <w:rPr>
          <w:lang w:val="en-GB"/>
        </w:rPr>
        <w:t xml:space="preserve"> = </w:t>
      </w:r>
      <w:r w:rsidR="00421400" w:rsidRPr="00702A26">
        <w:rPr>
          <w:lang w:val="en-GB"/>
        </w:rPr>
        <w:t>.96</w:t>
      </w:r>
      <w:r w:rsidR="006B32A8" w:rsidRPr="00702A26">
        <w:rPr>
          <w:lang w:val="en-GB"/>
        </w:rPr>
        <w:t>)</w:t>
      </w:r>
      <w:r w:rsidR="00DC782A" w:rsidRPr="00702A26">
        <w:rPr>
          <w:lang w:val="en-GB"/>
        </w:rPr>
        <w:t xml:space="preserve">, </w:t>
      </w:r>
      <w:r w:rsidR="00923293" w:rsidRPr="00702A26">
        <w:rPr>
          <w:lang w:val="en-GB"/>
        </w:rPr>
        <w:t>average saccade amplitude</w:t>
      </w:r>
      <w:r w:rsidR="006949E4" w:rsidRPr="00702A26">
        <w:rPr>
          <w:lang w:val="en-GB"/>
        </w:rPr>
        <w:t xml:space="preserve"> </w:t>
      </w:r>
      <w:r w:rsidR="00923293" w:rsidRPr="00702A26">
        <w:rPr>
          <w:lang w:val="en-GB"/>
        </w:rPr>
        <w:t>(</w:t>
      </w:r>
      <w:r w:rsidR="00923293" w:rsidRPr="00A10415">
        <w:rPr>
          <w:lang w:val="en-GB"/>
        </w:rPr>
        <w:t>p</w:t>
      </w:r>
      <w:r w:rsidR="00923293" w:rsidRPr="00702A26">
        <w:rPr>
          <w:lang w:val="en-GB"/>
        </w:rPr>
        <w:t xml:space="preserve"> =</w:t>
      </w:r>
      <w:r w:rsidR="00B44129" w:rsidRPr="00702A26">
        <w:rPr>
          <w:lang w:val="en-GB"/>
        </w:rPr>
        <w:t xml:space="preserve"> .</w:t>
      </w:r>
      <w:r w:rsidR="00421400" w:rsidRPr="00702A26">
        <w:rPr>
          <w:lang w:val="en-GB"/>
        </w:rPr>
        <w:t>02</w:t>
      </w:r>
      <w:r w:rsidR="00923293" w:rsidRPr="00702A26">
        <w:rPr>
          <w:lang w:val="en-GB"/>
        </w:rPr>
        <w:t>) and saccade duration</w:t>
      </w:r>
      <w:r w:rsidR="00B44129" w:rsidRPr="00702A26">
        <w:rPr>
          <w:lang w:val="en-GB"/>
        </w:rPr>
        <w:t xml:space="preserve"> (</w:t>
      </w:r>
      <w:r w:rsidR="00B44129" w:rsidRPr="00A10415">
        <w:rPr>
          <w:lang w:val="en-GB"/>
        </w:rPr>
        <w:t>p</w:t>
      </w:r>
      <w:r w:rsidR="00B44129" w:rsidRPr="00702A26">
        <w:rPr>
          <w:lang w:val="en-GB"/>
        </w:rPr>
        <w:t xml:space="preserve"> = .</w:t>
      </w:r>
      <w:r w:rsidR="00421400" w:rsidRPr="00702A26">
        <w:rPr>
          <w:lang w:val="en-GB"/>
        </w:rPr>
        <w:t>11</w:t>
      </w:r>
      <w:r w:rsidR="00B44129" w:rsidRPr="00702A26">
        <w:rPr>
          <w:lang w:val="en-GB"/>
        </w:rPr>
        <w:t>)</w:t>
      </w:r>
      <w:r w:rsidR="00443813" w:rsidRPr="00702A26">
        <w:rPr>
          <w:lang w:val="en-GB"/>
        </w:rPr>
        <w:t xml:space="preserve"> on </w:t>
      </w:r>
      <w:r w:rsidRPr="00702A26">
        <w:rPr>
          <w:lang w:val="en-GB"/>
        </w:rPr>
        <w:t>their AOI compared to G</w:t>
      </w:r>
      <w:r w:rsidR="000F33FC" w:rsidRPr="00702A26">
        <w:rPr>
          <w:lang w:val="en-GB"/>
        </w:rPr>
        <w:t>SP</w:t>
      </w:r>
      <w:r w:rsidR="005A1DFB" w:rsidRPr="00702A26">
        <w:rPr>
          <w:lang w:val="en-GB"/>
        </w:rPr>
        <w:t>. In contrast,</w:t>
      </w:r>
      <w:r w:rsidRPr="00702A26">
        <w:rPr>
          <w:lang w:val="en-GB"/>
        </w:rPr>
        <w:t xml:space="preserve"> G</w:t>
      </w:r>
      <w:r w:rsidR="00B44129" w:rsidRPr="00702A26">
        <w:rPr>
          <w:lang w:val="en-GB"/>
        </w:rPr>
        <w:t>SP</w:t>
      </w:r>
      <w:r w:rsidRPr="00702A26">
        <w:rPr>
          <w:lang w:val="en-GB"/>
        </w:rPr>
        <w:t xml:space="preserve"> had </w:t>
      </w:r>
      <w:r w:rsidR="005A1DFB" w:rsidRPr="00702A26">
        <w:rPr>
          <w:lang w:val="en-GB"/>
        </w:rPr>
        <w:t xml:space="preserve">a </w:t>
      </w:r>
      <w:r w:rsidR="005C5F30" w:rsidRPr="00702A26">
        <w:rPr>
          <w:lang w:val="en-GB"/>
        </w:rPr>
        <w:t xml:space="preserve">significantly </w:t>
      </w:r>
      <w:r w:rsidR="005A1DFB" w:rsidRPr="00702A26">
        <w:rPr>
          <w:lang w:val="en-GB"/>
        </w:rPr>
        <w:t>shorter mean pupil diameter (</w:t>
      </w:r>
      <w:r w:rsidR="005A1DFB" w:rsidRPr="00A10415">
        <w:rPr>
          <w:lang w:val="en-GB"/>
        </w:rPr>
        <w:t>p</w:t>
      </w:r>
      <w:r w:rsidR="005A1DFB" w:rsidRPr="00702A26">
        <w:rPr>
          <w:lang w:val="en-GB"/>
        </w:rPr>
        <w:t xml:space="preserve"> = .001), </w:t>
      </w:r>
      <w:r w:rsidRPr="00702A26">
        <w:rPr>
          <w:lang w:val="en-GB"/>
        </w:rPr>
        <w:t>as shown in Table 2.</w:t>
      </w:r>
    </w:p>
    <w:p w14:paraId="1DDE68D3" w14:textId="601B419C" w:rsidR="00560B41" w:rsidRPr="00702A26" w:rsidRDefault="00560B41" w:rsidP="00560B41">
      <w:pPr>
        <w:pStyle w:val="CETTabletitle"/>
      </w:pPr>
      <w:r w:rsidRPr="00702A26">
        <w:t xml:space="preserve">Table 2: </w:t>
      </w:r>
      <w:r w:rsidR="00F0701C" w:rsidRPr="00702A26">
        <w:t xml:space="preserve">Eye movement data's Mean and standard deviation, SD, </w:t>
      </w:r>
      <w:r w:rsidR="00025601" w:rsidRPr="00702A26">
        <w:t>after baseline correction</w:t>
      </w:r>
      <w:r w:rsidR="00F0701C" w:rsidRPr="00702A26">
        <w:t xml:space="preserve"> of pupil diameter</w:t>
      </w:r>
      <w:r w:rsidR="00A16C7B" w:rsidRPr="00702A26">
        <w:t>.</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3544"/>
        <w:gridCol w:w="2409"/>
        <w:gridCol w:w="972"/>
        <w:gridCol w:w="20"/>
        <w:gridCol w:w="313"/>
        <w:gridCol w:w="21"/>
      </w:tblGrid>
      <w:tr w:rsidR="006B32A8" w:rsidRPr="00702A26" w14:paraId="5019782E" w14:textId="77777777" w:rsidTr="005A0088">
        <w:tc>
          <w:tcPr>
            <w:tcW w:w="3544" w:type="dxa"/>
            <w:tcBorders>
              <w:top w:val="single" w:sz="12" w:space="0" w:color="008000"/>
              <w:bottom w:val="single" w:sz="6" w:space="0" w:color="008000"/>
            </w:tcBorders>
            <w:shd w:val="clear" w:color="auto" w:fill="FFFFFF"/>
          </w:tcPr>
          <w:p w14:paraId="78681DF2" w14:textId="77777777" w:rsidR="006B32A8" w:rsidRPr="00702A26" w:rsidRDefault="006B32A8" w:rsidP="00C150BF">
            <w:pPr>
              <w:pStyle w:val="CETBodytext"/>
              <w:jc w:val="center"/>
              <w:rPr>
                <w:b/>
                <w:bCs/>
                <w:sz w:val="14"/>
                <w:szCs w:val="14"/>
                <w:lang w:val="en-GB"/>
              </w:rPr>
            </w:pPr>
            <w:r w:rsidRPr="00702A26">
              <w:rPr>
                <w:b/>
                <w:bCs/>
                <w:sz w:val="14"/>
                <w:szCs w:val="14"/>
                <w:lang w:val="en-GB"/>
              </w:rPr>
              <w:t>Eye movement measures</w:t>
            </w:r>
          </w:p>
        </w:tc>
        <w:tc>
          <w:tcPr>
            <w:tcW w:w="2409" w:type="dxa"/>
            <w:tcBorders>
              <w:top w:val="single" w:sz="12" w:space="0" w:color="008000"/>
              <w:bottom w:val="single" w:sz="6" w:space="0" w:color="008000"/>
            </w:tcBorders>
            <w:shd w:val="clear" w:color="auto" w:fill="FFFFFF"/>
          </w:tcPr>
          <w:p w14:paraId="4D51CF10" w14:textId="018CB28F" w:rsidR="006B32A8" w:rsidRPr="00702A26" w:rsidRDefault="00A76FBA" w:rsidP="00A76FBA">
            <w:pPr>
              <w:pStyle w:val="CETBodytext"/>
              <w:jc w:val="center"/>
              <w:rPr>
                <w:b/>
                <w:bCs/>
                <w:sz w:val="14"/>
                <w:szCs w:val="14"/>
                <w:lang w:val="en-GB"/>
              </w:rPr>
            </w:pPr>
            <w:r w:rsidRPr="00702A26">
              <w:rPr>
                <w:b/>
                <w:bCs/>
                <w:sz w:val="14"/>
                <w:szCs w:val="14"/>
                <w:lang w:val="en-GB"/>
              </w:rPr>
              <w:t xml:space="preserve">                  </w:t>
            </w:r>
            <w:r w:rsidR="006B32A8" w:rsidRPr="00702A26">
              <w:rPr>
                <w:b/>
                <w:bCs/>
                <w:sz w:val="14"/>
                <w:szCs w:val="14"/>
                <w:lang w:val="en-GB"/>
              </w:rPr>
              <w:t xml:space="preserve">Mean </w:t>
            </w:r>
            <w:r w:rsidR="00C66FBC" w:rsidRPr="00702A26">
              <w:rPr>
                <w:b/>
                <w:bCs/>
                <w:sz w:val="14"/>
                <w:szCs w:val="14"/>
                <w:lang w:val="en-GB"/>
              </w:rPr>
              <w:t>+/- SD</w:t>
            </w:r>
          </w:p>
          <w:p w14:paraId="56818648" w14:textId="77777777" w:rsidR="006B32A8" w:rsidRPr="00702A26" w:rsidRDefault="006B32A8" w:rsidP="00C150BF">
            <w:pPr>
              <w:pStyle w:val="CETBodytext"/>
              <w:rPr>
                <w:b/>
                <w:bCs/>
                <w:sz w:val="14"/>
                <w:szCs w:val="14"/>
                <w:lang w:val="en-GB"/>
              </w:rPr>
            </w:pPr>
            <w:r w:rsidRPr="00702A26">
              <w:rPr>
                <w:b/>
                <w:bCs/>
                <w:sz w:val="14"/>
                <w:szCs w:val="14"/>
                <w:lang w:val="en-GB"/>
              </w:rPr>
              <w:t>GPP</w:t>
            </w:r>
          </w:p>
        </w:tc>
        <w:tc>
          <w:tcPr>
            <w:tcW w:w="969" w:type="dxa"/>
            <w:tcBorders>
              <w:top w:val="single" w:sz="12" w:space="0" w:color="008000"/>
              <w:bottom w:val="single" w:sz="6" w:space="0" w:color="008000"/>
            </w:tcBorders>
            <w:shd w:val="clear" w:color="auto" w:fill="FFFFFF"/>
          </w:tcPr>
          <w:p w14:paraId="42096075" w14:textId="77777777" w:rsidR="006B32A8" w:rsidRPr="00702A26" w:rsidRDefault="006B32A8" w:rsidP="00C150BF">
            <w:pPr>
              <w:pStyle w:val="CETBodytext"/>
              <w:ind w:right="-1"/>
              <w:rPr>
                <w:rFonts w:cs="Arial"/>
                <w:b/>
                <w:bCs/>
                <w:sz w:val="14"/>
                <w:szCs w:val="14"/>
                <w:lang w:val="en-GB"/>
              </w:rPr>
            </w:pPr>
          </w:p>
          <w:p w14:paraId="7CC63C58" w14:textId="072AE0C9" w:rsidR="006B32A8" w:rsidRPr="00702A26" w:rsidRDefault="006B32A8" w:rsidP="00C150BF">
            <w:pPr>
              <w:pStyle w:val="CETBodytext"/>
              <w:ind w:right="-1"/>
              <w:rPr>
                <w:rFonts w:cs="Arial"/>
                <w:b/>
                <w:bCs/>
                <w:sz w:val="14"/>
                <w:szCs w:val="14"/>
                <w:lang w:val="en-GB"/>
              </w:rPr>
            </w:pPr>
            <w:r w:rsidRPr="00702A26">
              <w:rPr>
                <w:rFonts w:cs="Arial"/>
                <w:b/>
                <w:bCs/>
                <w:sz w:val="14"/>
                <w:szCs w:val="14"/>
                <w:lang w:val="en-GB"/>
              </w:rPr>
              <w:t>GSP</w:t>
            </w:r>
          </w:p>
        </w:tc>
        <w:tc>
          <w:tcPr>
            <w:tcW w:w="333" w:type="dxa"/>
            <w:gridSpan w:val="2"/>
            <w:tcBorders>
              <w:top w:val="single" w:sz="12" w:space="0" w:color="008000"/>
              <w:bottom w:val="single" w:sz="6" w:space="0" w:color="008000"/>
            </w:tcBorders>
            <w:shd w:val="clear" w:color="auto" w:fill="FFFFFF"/>
          </w:tcPr>
          <w:p w14:paraId="5C0605FC" w14:textId="77777777" w:rsidR="006B32A8" w:rsidRPr="00702A26" w:rsidRDefault="006B32A8" w:rsidP="00C150BF">
            <w:pPr>
              <w:pStyle w:val="CETBodytext"/>
              <w:ind w:right="-1"/>
              <w:rPr>
                <w:rFonts w:cs="Arial"/>
                <w:b/>
                <w:bCs/>
                <w:szCs w:val="18"/>
                <w:lang w:val="en-GB"/>
              </w:rPr>
            </w:pPr>
          </w:p>
        </w:tc>
        <w:tc>
          <w:tcPr>
            <w:tcW w:w="21" w:type="dxa"/>
            <w:tcBorders>
              <w:top w:val="single" w:sz="12" w:space="0" w:color="008000"/>
              <w:bottom w:val="single" w:sz="6" w:space="0" w:color="008000"/>
            </w:tcBorders>
            <w:shd w:val="clear" w:color="auto" w:fill="FFFFFF"/>
          </w:tcPr>
          <w:p w14:paraId="442B66F4" w14:textId="77777777" w:rsidR="006B32A8" w:rsidRPr="00702A26" w:rsidRDefault="006B32A8" w:rsidP="00C150BF">
            <w:pPr>
              <w:pStyle w:val="CETBodytext"/>
              <w:ind w:right="-1"/>
              <w:rPr>
                <w:rFonts w:cs="Arial"/>
                <w:szCs w:val="18"/>
                <w:lang w:val="en-GB"/>
              </w:rPr>
            </w:pPr>
          </w:p>
        </w:tc>
      </w:tr>
      <w:tr w:rsidR="006B32A8" w:rsidRPr="00702A26" w14:paraId="131A080C" w14:textId="77777777" w:rsidTr="005A0088">
        <w:tc>
          <w:tcPr>
            <w:tcW w:w="3544" w:type="dxa"/>
            <w:shd w:val="clear" w:color="auto" w:fill="FFFFFF"/>
          </w:tcPr>
          <w:p w14:paraId="7C2458DF" w14:textId="02A71837" w:rsidR="006B32A8" w:rsidRPr="00702A26" w:rsidRDefault="006B32A8" w:rsidP="00560B41">
            <w:pPr>
              <w:pStyle w:val="CETBodytext"/>
              <w:numPr>
                <w:ilvl w:val="0"/>
                <w:numId w:val="24"/>
              </w:numPr>
              <w:rPr>
                <w:sz w:val="14"/>
                <w:szCs w:val="14"/>
                <w:lang w:val="en-GB"/>
              </w:rPr>
            </w:pPr>
            <w:r w:rsidRPr="00702A26">
              <w:rPr>
                <w:sz w:val="14"/>
                <w:szCs w:val="14"/>
                <w:lang w:val="en-GB"/>
              </w:rPr>
              <w:t>Average fixation duration (</w:t>
            </w:r>
            <w:proofErr w:type="spellStart"/>
            <w:r w:rsidRPr="00702A26">
              <w:rPr>
                <w:sz w:val="14"/>
                <w:szCs w:val="14"/>
                <w:lang w:val="en-GB"/>
              </w:rPr>
              <w:t>ms</w:t>
            </w:r>
            <w:proofErr w:type="spellEnd"/>
            <w:r w:rsidRPr="00702A26">
              <w:rPr>
                <w:sz w:val="14"/>
                <w:szCs w:val="14"/>
                <w:lang w:val="en-GB"/>
              </w:rPr>
              <w:t xml:space="preserve">)  </w:t>
            </w:r>
          </w:p>
        </w:tc>
        <w:tc>
          <w:tcPr>
            <w:tcW w:w="3381" w:type="dxa"/>
            <w:gridSpan w:val="2"/>
            <w:shd w:val="clear" w:color="auto" w:fill="FFFFFF"/>
          </w:tcPr>
          <w:p w14:paraId="19724CE3" w14:textId="6DF6A370" w:rsidR="006B32A8" w:rsidRPr="00702A26" w:rsidRDefault="00F0701C" w:rsidP="00FE77CE">
            <w:pPr>
              <w:pStyle w:val="CETBodytext"/>
              <w:jc w:val="left"/>
              <w:rPr>
                <w:sz w:val="14"/>
                <w:szCs w:val="14"/>
                <w:lang w:val="en-GB"/>
              </w:rPr>
            </w:pPr>
            <w:r w:rsidRPr="00702A26">
              <w:rPr>
                <w:sz w:val="14"/>
                <w:szCs w:val="14"/>
                <w:lang w:val="en-GB"/>
              </w:rPr>
              <w:t>197.25</w:t>
            </w:r>
            <w:r w:rsidR="00DA1F7E" w:rsidRPr="00702A26">
              <w:rPr>
                <w:sz w:val="14"/>
                <w:szCs w:val="14"/>
                <w:lang w:val="en-GB"/>
              </w:rPr>
              <w:t xml:space="preserve"> +/-</w:t>
            </w:r>
            <w:r w:rsidRPr="00702A26">
              <w:rPr>
                <w:sz w:val="14"/>
                <w:szCs w:val="14"/>
                <w:lang w:val="en-GB"/>
              </w:rPr>
              <w:t xml:space="preserve"> 68.67</w:t>
            </w:r>
            <w:r w:rsidR="006B32A8" w:rsidRPr="00702A26">
              <w:rPr>
                <w:sz w:val="14"/>
                <w:szCs w:val="14"/>
                <w:lang w:val="en-GB"/>
              </w:rPr>
              <w:tab/>
              <w:t xml:space="preserve">    </w:t>
            </w:r>
            <w:r w:rsidRPr="00702A26">
              <w:rPr>
                <w:sz w:val="14"/>
                <w:szCs w:val="14"/>
                <w:lang w:val="en-GB"/>
              </w:rPr>
              <w:t xml:space="preserve">292.63 </w:t>
            </w:r>
            <w:r w:rsidR="00FE77CE" w:rsidRPr="00702A26">
              <w:rPr>
                <w:sz w:val="14"/>
                <w:szCs w:val="14"/>
                <w:lang w:val="en-GB"/>
              </w:rPr>
              <w:t xml:space="preserve">+/- </w:t>
            </w:r>
            <w:r w:rsidRPr="00702A26">
              <w:rPr>
                <w:sz w:val="14"/>
                <w:szCs w:val="14"/>
                <w:lang w:val="en-GB"/>
              </w:rPr>
              <w:t>157.08</w:t>
            </w:r>
          </w:p>
        </w:tc>
        <w:tc>
          <w:tcPr>
            <w:tcW w:w="20" w:type="dxa"/>
            <w:shd w:val="clear" w:color="auto" w:fill="FFFFFF"/>
          </w:tcPr>
          <w:p w14:paraId="50FC6D44" w14:textId="77777777" w:rsidR="006B32A8" w:rsidRPr="00702A26" w:rsidRDefault="006B32A8" w:rsidP="00C150BF">
            <w:pPr>
              <w:pStyle w:val="CETBodytext"/>
              <w:ind w:right="-1"/>
              <w:rPr>
                <w:rFonts w:cs="Arial"/>
                <w:sz w:val="16"/>
                <w:szCs w:val="16"/>
                <w:lang w:val="en-GB"/>
              </w:rPr>
            </w:pPr>
          </w:p>
        </w:tc>
        <w:tc>
          <w:tcPr>
            <w:tcW w:w="310" w:type="dxa"/>
            <w:shd w:val="clear" w:color="auto" w:fill="FFFFFF"/>
          </w:tcPr>
          <w:p w14:paraId="7EF8AA82" w14:textId="77777777" w:rsidR="006B32A8" w:rsidRPr="00702A26" w:rsidRDefault="006B32A8" w:rsidP="00C150BF">
            <w:pPr>
              <w:pStyle w:val="CETBodytext"/>
              <w:ind w:right="-1"/>
              <w:rPr>
                <w:rFonts w:cs="Arial"/>
                <w:sz w:val="16"/>
                <w:szCs w:val="16"/>
                <w:lang w:val="en-GB"/>
              </w:rPr>
            </w:pPr>
          </w:p>
        </w:tc>
        <w:tc>
          <w:tcPr>
            <w:tcW w:w="21" w:type="dxa"/>
            <w:shd w:val="clear" w:color="auto" w:fill="FFFFFF"/>
          </w:tcPr>
          <w:p w14:paraId="63140BEA" w14:textId="77777777" w:rsidR="006B32A8" w:rsidRPr="00702A26" w:rsidRDefault="006B32A8" w:rsidP="00C150BF">
            <w:pPr>
              <w:pStyle w:val="CETBodytext"/>
              <w:ind w:right="-1"/>
              <w:rPr>
                <w:rFonts w:cs="Arial"/>
                <w:szCs w:val="18"/>
                <w:lang w:val="en-GB"/>
              </w:rPr>
            </w:pPr>
          </w:p>
        </w:tc>
      </w:tr>
      <w:tr w:rsidR="006B32A8" w:rsidRPr="00702A26" w14:paraId="41678B38" w14:textId="77777777" w:rsidTr="005A0088">
        <w:tc>
          <w:tcPr>
            <w:tcW w:w="3544" w:type="dxa"/>
            <w:shd w:val="clear" w:color="auto" w:fill="FFFFFF"/>
          </w:tcPr>
          <w:p w14:paraId="68B36762" w14:textId="77777777" w:rsidR="006B32A8" w:rsidRPr="00702A26" w:rsidRDefault="006B32A8" w:rsidP="00560B41">
            <w:pPr>
              <w:pStyle w:val="CETBodytext"/>
              <w:numPr>
                <w:ilvl w:val="0"/>
                <w:numId w:val="24"/>
              </w:numPr>
              <w:rPr>
                <w:sz w:val="14"/>
                <w:szCs w:val="14"/>
                <w:lang w:val="en-GB"/>
              </w:rPr>
            </w:pPr>
            <w:r w:rsidRPr="00702A26">
              <w:rPr>
                <w:sz w:val="14"/>
                <w:szCs w:val="14"/>
                <w:lang w:val="en-GB"/>
              </w:rPr>
              <w:t>No of visits (count)</w:t>
            </w:r>
          </w:p>
        </w:tc>
        <w:tc>
          <w:tcPr>
            <w:tcW w:w="3381" w:type="dxa"/>
            <w:gridSpan w:val="2"/>
            <w:shd w:val="clear" w:color="auto" w:fill="FFFFFF"/>
          </w:tcPr>
          <w:p w14:paraId="45920F31" w14:textId="58DFD9BC" w:rsidR="006B32A8" w:rsidRPr="00702A26" w:rsidRDefault="00F0701C" w:rsidP="00FE77CE">
            <w:pPr>
              <w:pStyle w:val="CETBodytext"/>
              <w:jc w:val="left"/>
              <w:rPr>
                <w:sz w:val="14"/>
                <w:szCs w:val="14"/>
                <w:lang w:val="en-GB"/>
              </w:rPr>
            </w:pPr>
            <w:r w:rsidRPr="00702A26">
              <w:rPr>
                <w:sz w:val="14"/>
                <w:szCs w:val="14"/>
                <w:lang w:val="en-GB"/>
              </w:rPr>
              <w:t>5.13</w:t>
            </w:r>
            <w:r w:rsidR="005A0088" w:rsidRPr="00702A26">
              <w:rPr>
                <w:sz w:val="14"/>
                <w:szCs w:val="14"/>
                <w:lang w:val="en-GB"/>
              </w:rPr>
              <w:t xml:space="preserve"> +/- </w:t>
            </w:r>
            <w:r w:rsidRPr="00702A26">
              <w:rPr>
                <w:sz w:val="14"/>
                <w:szCs w:val="14"/>
                <w:lang w:val="en-GB"/>
              </w:rPr>
              <w:t>3.20</w:t>
            </w:r>
            <w:r w:rsidR="006B32A8" w:rsidRPr="00702A26">
              <w:rPr>
                <w:sz w:val="14"/>
                <w:szCs w:val="14"/>
                <w:lang w:val="en-GB"/>
              </w:rPr>
              <w:tab/>
            </w:r>
            <w:r w:rsidRPr="00702A26">
              <w:rPr>
                <w:sz w:val="14"/>
                <w:szCs w:val="14"/>
                <w:lang w:val="en-GB"/>
              </w:rPr>
              <w:t>5</w:t>
            </w:r>
            <w:r w:rsidR="006B32A8" w:rsidRPr="00702A26">
              <w:rPr>
                <w:sz w:val="14"/>
                <w:szCs w:val="14"/>
                <w:lang w:val="en-GB"/>
              </w:rPr>
              <w:t xml:space="preserve"> </w:t>
            </w:r>
            <w:r w:rsidR="005A0088" w:rsidRPr="00702A26">
              <w:rPr>
                <w:sz w:val="14"/>
                <w:szCs w:val="14"/>
                <w:lang w:val="en-GB"/>
              </w:rPr>
              <w:t xml:space="preserve">+/- </w:t>
            </w:r>
            <w:r w:rsidR="00DA1F7E" w:rsidRPr="00702A26">
              <w:rPr>
                <w:sz w:val="14"/>
                <w:szCs w:val="14"/>
                <w:lang w:val="en-GB"/>
              </w:rPr>
              <w:t>3</w:t>
            </w:r>
            <w:r w:rsidRPr="00702A26">
              <w:rPr>
                <w:sz w:val="14"/>
                <w:szCs w:val="14"/>
                <w:lang w:val="en-GB"/>
              </w:rPr>
              <w:t>.70</w:t>
            </w:r>
          </w:p>
        </w:tc>
        <w:tc>
          <w:tcPr>
            <w:tcW w:w="20" w:type="dxa"/>
            <w:shd w:val="clear" w:color="auto" w:fill="FFFFFF"/>
          </w:tcPr>
          <w:p w14:paraId="0F5D968E" w14:textId="77777777" w:rsidR="006B32A8" w:rsidRPr="00702A26" w:rsidRDefault="006B32A8" w:rsidP="00C150BF">
            <w:pPr>
              <w:pStyle w:val="CETBodytext"/>
              <w:ind w:right="-1"/>
              <w:rPr>
                <w:rFonts w:cs="Arial"/>
                <w:sz w:val="16"/>
                <w:szCs w:val="16"/>
                <w:lang w:val="en-GB"/>
              </w:rPr>
            </w:pPr>
          </w:p>
        </w:tc>
        <w:tc>
          <w:tcPr>
            <w:tcW w:w="310" w:type="dxa"/>
            <w:shd w:val="clear" w:color="auto" w:fill="FFFFFF"/>
          </w:tcPr>
          <w:p w14:paraId="14659191" w14:textId="77777777" w:rsidR="006B32A8" w:rsidRPr="00702A26" w:rsidRDefault="006B32A8" w:rsidP="00C150BF">
            <w:pPr>
              <w:pStyle w:val="CETBodytext"/>
              <w:ind w:right="-1"/>
              <w:rPr>
                <w:rFonts w:cs="Arial"/>
                <w:sz w:val="16"/>
                <w:szCs w:val="16"/>
                <w:lang w:val="en-GB"/>
              </w:rPr>
            </w:pPr>
          </w:p>
        </w:tc>
        <w:tc>
          <w:tcPr>
            <w:tcW w:w="21" w:type="dxa"/>
            <w:shd w:val="clear" w:color="auto" w:fill="FFFFFF"/>
          </w:tcPr>
          <w:p w14:paraId="42C2ACAF" w14:textId="77777777" w:rsidR="006B32A8" w:rsidRPr="00702A26" w:rsidRDefault="006B32A8" w:rsidP="00C150BF">
            <w:pPr>
              <w:pStyle w:val="CETBodytext"/>
              <w:ind w:right="-1"/>
              <w:rPr>
                <w:rFonts w:cs="Arial"/>
                <w:szCs w:val="18"/>
                <w:lang w:val="en-GB"/>
              </w:rPr>
            </w:pPr>
          </w:p>
        </w:tc>
      </w:tr>
      <w:tr w:rsidR="006B32A8" w:rsidRPr="00702A26" w14:paraId="5E893D4C" w14:textId="77777777" w:rsidTr="005A0088">
        <w:tc>
          <w:tcPr>
            <w:tcW w:w="3544" w:type="dxa"/>
            <w:shd w:val="clear" w:color="auto" w:fill="FFFFFF"/>
          </w:tcPr>
          <w:p w14:paraId="3C54AE6C" w14:textId="77777777" w:rsidR="006B32A8" w:rsidRPr="00702A26" w:rsidRDefault="006B32A8" w:rsidP="00560B41">
            <w:pPr>
              <w:pStyle w:val="CETBodytext"/>
              <w:numPr>
                <w:ilvl w:val="0"/>
                <w:numId w:val="24"/>
              </w:numPr>
              <w:ind w:right="-1"/>
              <w:rPr>
                <w:rFonts w:cs="Arial"/>
                <w:sz w:val="14"/>
                <w:szCs w:val="14"/>
                <w:lang w:val="en-GB"/>
              </w:rPr>
            </w:pPr>
            <w:r w:rsidRPr="00702A26">
              <w:rPr>
                <w:rFonts w:cs="Arial"/>
                <w:sz w:val="14"/>
                <w:szCs w:val="14"/>
                <w:lang w:val="en-GB"/>
              </w:rPr>
              <w:t>Average pupil diameter (mm)</w:t>
            </w:r>
          </w:p>
        </w:tc>
        <w:tc>
          <w:tcPr>
            <w:tcW w:w="3381" w:type="dxa"/>
            <w:gridSpan w:val="2"/>
            <w:shd w:val="clear" w:color="auto" w:fill="FFFFFF"/>
          </w:tcPr>
          <w:p w14:paraId="17B43F3A" w14:textId="6328EA29" w:rsidR="006B32A8" w:rsidRPr="00702A26" w:rsidRDefault="00A02C34" w:rsidP="00FE77CE">
            <w:pPr>
              <w:pStyle w:val="CETBodytext"/>
              <w:ind w:right="-1"/>
              <w:jc w:val="left"/>
              <w:rPr>
                <w:rFonts w:cs="Arial"/>
                <w:sz w:val="14"/>
                <w:szCs w:val="14"/>
                <w:lang w:val="en-GB"/>
              </w:rPr>
            </w:pPr>
            <w:r w:rsidRPr="00702A26">
              <w:rPr>
                <w:rFonts w:cs="Arial"/>
                <w:sz w:val="14"/>
                <w:szCs w:val="14"/>
                <w:lang w:val="en-GB"/>
              </w:rPr>
              <w:t>0.46</w:t>
            </w:r>
            <w:r w:rsidR="005A0088" w:rsidRPr="00702A26">
              <w:rPr>
                <w:rFonts w:cs="Arial"/>
                <w:sz w:val="14"/>
                <w:szCs w:val="14"/>
                <w:lang w:val="en-GB"/>
              </w:rPr>
              <w:t xml:space="preserve"> +/- 0.11</w:t>
            </w:r>
            <w:r w:rsidR="006B32A8" w:rsidRPr="00702A26">
              <w:rPr>
                <w:rFonts w:cs="Arial"/>
                <w:sz w:val="14"/>
                <w:szCs w:val="14"/>
                <w:lang w:val="en-GB"/>
              </w:rPr>
              <w:tab/>
            </w:r>
            <w:r w:rsidRPr="00702A26">
              <w:rPr>
                <w:rFonts w:cs="Arial"/>
                <w:sz w:val="14"/>
                <w:szCs w:val="14"/>
                <w:lang w:val="en-GB"/>
              </w:rPr>
              <w:t>-0.</w:t>
            </w:r>
            <w:r w:rsidR="00A6519F" w:rsidRPr="00702A26">
              <w:rPr>
                <w:rFonts w:cs="Arial"/>
                <w:sz w:val="14"/>
                <w:szCs w:val="14"/>
                <w:lang w:val="en-GB"/>
              </w:rPr>
              <w:t>51</w:t>
            </w:r>
            <w:r w:rsidR="005A0088" w:rsidRPr="00702A26">
              <w:rPr>
                <w:rFonts w:cs="Arial"/>
                <w:sz w:val="14"/>
                <w:szCs w:val="14"/>
                <w:lang w:val="en-GB"/>
              </w:rPr>
              <w:t xml:space="preserve"> +/- 0.29</w:t>
            </w:r>
          </w:p>
        </w:tc>
        <w:tc>
          <w:tcPr>
            <w:tcW w:w="20" w:type="dxa"/>
            <w:shd w:val="clear" w:color="auto" w:fill="FFFFFF"/>
          </w:tcPr>
          <w:p w14:paraId="78EA4D50" w14:textId="77777777" w:rsidR="006B32A8" w:rsidRPr="00702A26" w:rsidRDefault="006B32A8" w:rsidP="00C150BF">
            <w:pPr>
              <w:pStyle w:val="CETBodytext"/>
              <w:ind w:right="-1"/>
              <w:rPr>
                <w:rFonts w:cs="Arial"/>
                <w:sz w:val="16"/>
                <w:szCs w:val="16"/>
                <w:lang w:val="en-GB"/>
              </w:rPr>
            </w:pPr>
          </w:p>
        </w:tc>
        <w:tc>
          <w:tcPr>
            <w:tcW w:w="310" w:type="dxa"/>
            <w:shd w:val="clear" w:color="auto" w:fill="FFFFFF"/>
          </w:tcPr>
          <w:p w14:paraId="4FA4ED93" w14:textId="77777777" w:rsidR="006B32A8" w:rsidRPr="00702A26" w:rsidRDefault="006B32A8" w:rsidP="00C150BF">
            <w:pPr>
              <w:pStyle w:val="CETBodytext"/>
              <w:ind w:right="-1"/>
              <w:rPr>
                <w:rFonts w:cs="Arial"/>
                <w:sz w:val="16"/>
                <w:szCs w:val="16"/>
                <w:lang w:val="en-GB"/>
              </w:rPr>
            </w:pPr>
          </w:p>
        </w:tc>
        <w:tc>
          <w:tcPr>
            <w:tcW w:w="21" w:type="dxa"/>
            <w:shd w:val="clear" w:color="auto" w:fill="FFFFFF"/>
          </w:tcPr>
          <w:p w14:paraId="410100D2" w14:textId="77777777" w:rsidR="006B32A8" w:rsidRPr="00702A26" w:rsidRDefault="006B32A8" w:rsidP="00C150BF">
            <w:pPr>
              <w:pStyle w:val="CETBodytext"/>
              <w:ind w:right="-1"/>
              <w:rPr>
                <w:rFonts w:cs="Arial"/>
                <w:szCs w:val="18"/>
                <w:lang w:val="en-GB"/>
              </w:rPr>
            </w:pPr>
          </w:p>
        </w:tc>
      </w:tr>
      <w:tr w:rsidR="006B32A8" w:rsidRPr="00702A26" w14:paraId="5206507D" w14:textId="77777777" w:rsidTr="005A0088">
        <w:tc>
          <w:tcPr>
            <w:tcW w:w="3544" w:type="dxa"/>
            <w:shd w:val="clear" w:color="auto" w:fill="FFFFFF"/>
          </w:tcPr>
          <w:p w14:paraId="5201719D" w14:textId="77777777" w:rsidR="006B32A8" w:rsidRPr="00702A26" w:rsidRDefault="006B32A8" w:rsidP="00560B41">
            <w:pPr>
              <w:pStyle w:val="CETBodytext"/>
              <w:numPr>
                <w:ilvl w:val="0"/>
                <w:numId w:val="24"/>
              </w:numPr>
              <w:ind w:right="-1"/>
              <w:rPr>
                <w:rFonts w:cs="Arial"/>
                <w:sz w:val="14"/>
                <w:szCs w:val="14"/>
                <w:lang w:val="en-GB"/>
              </w:rPr>
            </w:pPr>
            <w:r w:rsidRPr="00702A26">
              <w:rPr>
                <w:rFonts w:cs="Arial"/>
                <w:sz w:val="14"/>
                <w:szCs w:val="14"/>
                <w:lang w:val="en-GB"/>
              </w:rPr>
              <w:t>Average saccade amplitude (°)</w:t>
            </w:r>
          </w:p>
        </w:tc>
        <w:tc>
          <w:tcPr>
            <w:tcW w:w="3381" w:type="dxa"/>
            <w:gridSpan w:val="2"/>
            <w:shd w:val="clear" w:color="auto" w:fill="FFFFFF"/>
          </w:tcPr>
          <w:p w14:paraId="1C70682F" w14:textId="29E8F1E1" w:rsidR="006B32A8" w:rsidRPr="00702A26" w:rsidRDefault="00F0701C" w:rsidP="00FE77CE">
            <w:pPr>
              <w:pStyle w:val="CETBodytext"/>
              <w:ind w:right="-1"/>
              <w:jc w:val="left"/>
              <w:rPr>
                <w:rFonts w:cs="Arial"/>
                <w:sz w:val="14"/>
                <w:szCs w:val="14"/>
                <w:lang w:val="en-GB"/>
              </w:rPr>
            </w:pPr>
            <w:r w:rsidRPr="00702A26">
              <w:rPr>
                <w:rFonts w:cs="Arial"/>
                <w:sz w:val="14"/>
                <w:szCs w:val="14"/>
                <w:lang w:val="en-GB"/>
              </w:rPr>
              <w:t>5.85</w:t>
            </w:r>
            <w:r w:rsidR="002C17CE" w:rsidRPr="00702A26">
              <w:rPr>
                <w:rFonts w:cs="Arial"/>
                <w:sz w:val="14"/>
                <w:szCs w:val="14"/>
                <w:lang w:val="en-GB"/>
              </w:rPr>
              <w:t xml:space="preserve"> +/- </w:t>
            </w:r>
            <w:r w:rsidR="0062598C" w:rsidRPr="00702A26">
              <w:rPr>
                <w:rFonts w:cs="Arial"/>
                <w:sz w:val="14"/>
                <w:szCs w:val="14"/>
                <w:lang w:val="en-GB"/>
              </w:rPr>
              <w:t>0.</w:t>
            </w:r>
            <w:r w:rsidRPr="00702A26">
              <w:rPr>
                <w:rFonts w:cs="Arial"/>
                <w:sz w:val="14"/>
                <w:szCs w:val="14"/>
                <w:lang w:val="en-GB"/>
              </w:rPr>
              <w:t>89</w:t>
            </w:r>
            <w:r w:rsidR="006B32A8" w:rsidRPr="00702A26">
              <w:rPr>
                <w:rFonts w:cs="Arial"/>
                <w:sz w:val="14"/>
                <w:szCs w:val="14"/>
                <w:lang w:val="en-GB"/>
              </w:rPr>
              <w:t xml:space="preserve"> </w:t>
            </w:r>
            <w:r w:rsidR="006B32A8" w:rsidRPr="00702A26">
              <w:rPr>
                <w:rFonts w:cs="Arial"/>
                <w:sz w:val="14"/>
                <w:szCs w:val="14"/>
                <w:lang w:val="en-GB"/>
              </w:rPr>
              <w:tab/>
            </w:r>
            <w:r w:rsidRPr="00702A26">
              <w:rPr>
                <w:rFonts w:cs="Arial"/>
                <w:sz w:val="14"/>
                <w:szCs w:val="14"/>
                <w:lang w:val="en-GB"/>
              </w:rPr>
              <w:t xml:space="preserve">3.95 </w:t>
            </w:r>
            <w:r w:rsidR="0062598C" w:rsidRPr="00702A26">
              <w:rPr>
                <w:rFonts w:cs="Arial"/>
                <w:sz w:val="14"/>
                <w:szCs w:val="14"/>
                <w:lang w:val="en-GB"/>
              </w:rPr>
              <w:t xml:space="preserve">+/- </w:t>
            </w:r>
            <w:r w:rsidRPr="00702A26">
              <w:rPr>
                <w:rFonts w:cs="Arial"/>
                <w:sz w:val="14"/>
                <w:szCs w:val="14"/>
                <w:lang w:val="en-GB"/>
              </w:rPr>
              <w:t>0.80</w:t>
            </w:r>
          </w:p>
        </w:tc>
        <w:tc>
          <w:tcPr>
            <w:tcW w:w="20" w:type="dxa"/>
            <w:shd w:val="clear" w:color="auto" w:fill="FFFFFF"/>
          </w:tcPr>
          <w:p w14:paraId="1F5985E1" w14:textId="77777777" w:rsidR="006B32A8" w:rsidRPr="00702A26" w:rsidRDefault="006B32A8" w:rsidP="00C150BF">
            <w:pPr>
              <w:pStyle w:val="CETBodytext"/>
              <w:ind w:right="-1"/>
              <w:rPr>
                <w:rFonts w:cs="Arial"/>
                <w:sz w:val="16"/>
                <w:szCs w:val="16"/>
                <w:lang w:val="en-GB"/>
              </w:rPr>
            </w:pPr>
          </w:p>
        </w:tc>
        <w:tc>
          <w:tcPr>
            <w:tcW w:w="310" w:type="dxa"/>
            <w:shd w:val="clear" w:color="auto" w:fill="FFFFFF"/>
          </w:tcPr>
          <w:p w14:paraId="4871C20F" w14:textId="77777777" w:rsidR="006B32A8" w:rsidRPr="00702A26" w:rsidRDefault="006B32A8" w:rsidP="00C150BF">
            <w:pPr>
              <w:pStyle w:val="CETBodytext"/>
              <w:ind w:right="-1"/>
              <w:rPr>
                <w:rFonts w:cs="Arial"/>
                <w:sz w:val="16"/>
                <w:szCs w:val="16"/>
                <w:lang w:val="en-GB"/>
              </w:rPr>
            </w:pPr>
          </w:p>
        </w:tc>
        <w:tc>
          <w:tcPr>
            <w:tcW w:w="21" w:type="dxa"/>
            <w:shd w:val="clear" w:color="auto" w:fill="FFFFFF"/>
          </w:tcPr>
          <w:p w14:paraId="48933287" w14:textId="77777777" w:rsidR="006B32A8" w:rsidRPr="00702A26" w:rsidRDefault="006B32A8" w:rsidP="00C150BF">
            <w:pPr>
              <w:pStyle w:val="CETBodytext"/>
              <w:ind w:right="-1"/>
              <w:rPr>
                <w:rFonts w:cs="Arial"/>
                <w:szCs w:val="18"/>
                <w:lang w:val="en-GB"/>
              </w:rPr>
            </w:pPr>
          </w:p>
        </w:tc>
      </w:tr>
      <w:tr w:rsidR="006B32A8" w:rsidRPr="00702A26" w14:paraId="0C3ED0E1" w14:textId="77777777" w:rsidTr="005A0088">
        <w:tc>
          <w:tcPr>
            <w:tcW w:w="3544" w:type="dxa"/>
            <w:shd w:val="clear" w:color="auto" w:fill="FFFFFF"/>
          </w:tcPr>
          <w:p w14:paraId="574AB761" w14:textId="77777777" w:rsidR="006B32A8" w:rsidRPr="00702A26" w:rsidRDefault="006B32A8" w:rsidP="00560B41">
            <w:pPr>
              <w:pStyle w:val="CETBodytext"/>
              <w:numPr>
                <w:ilvl w:val="0"/>
                <w:numId w:val="24"/>
              </w:numPr>
              <w:ind w:right="-1"/>
              <w:rPr>
                <w:rFonts w:cs="Arial"/>
                <w:sz w:val="14"/>
                <w:szCs w:val="14"/>
                <w:lang w:val="en-GB"/>
              </w:rPr>
            </w:pPr>
            <w:r w:rsidRPr="00702A26">
              <w:rPr>
                <w:rFonts w:cs="Arial"/>
                <w:sz w:val="14"/>
                <w:szCs w:val="14"/>
                <w:lang w:val="en-GB"/>
              </w:rPr>
              <w:t>Saccade duration (</w:t>
            </w:r>
            <w:proofErr w:type="spellStart"/>
            <w:r w:rsidRPr="00702A26">
              <w:rPr>
                <w:rFonts w:cs="Arial"/>
                <w:sz w:val="14"/>
                <w:szCs w:val="14"/>
                <w:lang w:val="en-GB"/>
              </w:rPr>
              <w:t>ms</w:t>
            </w:r>
            <w:proofErr w:type="spellEnd"/>
            <w:r w:rsidRPr="00702A26">
              <w:rPr>
                <w:rFonts w:cs="Arial"/>
                <w:sz w:val="14"/>
                <w:szCs w:val="14"/>
                <w:lang w:val="en-GB"/>
              </w:rPr>
              <w:t>)</w:t>
            </w:r>
          </w:p>
        </w:tc>
        <w:tc>
          <w:tcPr>
            <w:tcW w:w="3381" w:type="dxa"/>
            <w:gridSpan w:val="2"/>
            <w:shd w:val="clear" w:color="auto" w:fill="FFFFFF"/>
          </w:tcPr>
          <w:p w14:paraId="6869FA9F" w14:textId="145A7992" w:rsidR="006B32A8" w:rsidRPr="00702A26" w:rsidRDefault="00F0701C" w:rsidP="00FE77CE">
            <w:pPr>
              <w:pStyle w:val="CETBodytext"/>
              <w:ind w:right="-1"/>
              <w:jc w:val="left"/>
              <w:rPr>
                <w:rFonts w:cs="Arial"/>
                <w:sz w:val="14"/>
                <w:szCs w:val="14"/>
                <w:lang w:val="en-GB"/>
              </w:rPr>
            </w:pPr>
            <w:r w:rsidRPr="00702A26">
              <w:rPr>
                <w:rFonts w:cs="Arial"/>
                <w:sz w:val="14"/>
                <w:szCs w:val="14"/>
                <w:lang w:val="en-GB"/>
              </w:rPr>
              <w:t>37.07</w:t>
            </w:r>
            <w:r w:rsidR="00AF0A9D" w:rsidRPr="00702A26">
              <w:rPr>
                <w:rFonts w:cs="Arial"/>
                <w:sz w:val="14"/>
                <w:szCs w:val="14"/>
                <w:lang w:val="en-GB"/>
              </w:rPr>
              <w:t xml:space="preserve"> +/- </w:t>
            </w:r>
            <w:r w:rsidRPr="00702A26">
              <w:rPr>
                <w:rFonts w:cs="Arial"/>
                <w:sz w:val="14"/>
                <w:szCs w:val="14"/>
                <w:lang w:val="en-GB"/>
              </w:rPr>
              <w:t>3.77</w:t>
            </w:r>
            <w:r w:rsidR="006B32A8" w:rsidRPr="00702A26">
              <w:rPr>
                <w:rFonts w:cs="Arial"/>
                <w:sz w:val="14"/>
                <w:szCs w:val="14"/>
                <w:lang w:val="en-GB"/>
              </w:rPr>
              <w:tab/>
            </w:r>
            <w:r w:rsidRPr="00702A26">
              <w:rPr>
                <w:rFonts w:cs="Arial"/>
                <w:sz w:val="14"/>
                <w:szCs w:val="14"/>
                <w:lang w:val="en-GB"/>
              </w:rPr>
              <w:t>32.39</w:t>
            </w:r>
            <w:r w:rsidR="002C17CE" w:rsidRPr="00702A26">
              <w:rPr>
                <w:rFonts w:cs="Arial"/>
                <w:sz w:val="14"/>
                <w:szCs w:val="14"/>
                <w:lang w:val="en-GB"/>
              </w:rPr>
              <w:t xml:space="preserve"> </w:t>
            </w:r>
            <w:r w:rsidR="00AF0A9D" w:rsidRPr="00702A26">
              <w:rPr>
                <w:rFonts w:cs="Arial"/>
                <w:sz w:val="14"/>
                <w:szCs w:val="14"/>
                <w:lang w:val="en-GB"/>
              </w:rPr>
              <w:t xml:space="preserve">+/- </w:t>
            </w:r>
            <w:r w:rsidRPr="00702A26">
              <w:rPr>
                <w:rFonts w:cs="Arial"/>
                <w:sz w:val="14"/>
                <w:szCs w:val="14"/>
                <w:lang w:val="en-GB"/>
              </w:rPr>
              <w:t>3.29</w:t>
            </w:r>
          </w:p>
        </w:tc>
        <w:tc>
          <w:tcPr>
            <w:tcW w:w="20" w:type="dxa"/>
            <w:shd w:val="clear" w:color="auto" w:fill="FFFFFF"/>
          </w:tcPr>
          <w:p w14:paraId="44C0A5AA" w14:textId="3FF00CC9" w:rsidR="006B32A8" w:rsidRPr="00702A26" w:rsidRDefault="006B32A8" w:rsidP="00C150BF">
            <w:pPr>
              <w:pStyle w:val="CETBodytext"/>
              <w:ind w:right="-1"/>
              <w:rPr>
                <w:rFonts w:cs="Arial"/>
                <w:sz w:val="16"/>
                <w:szCs w:val="16"/>
                <w:lang w:val="en-GB"/>
              </w:rPr>
            </w:pPr>
          </w:p>
        </w:tc>
        <w:tc>
          <w:tcPr>
            <w:tcW w:w="310" w:type="dxa"/>
            <w:shd w:val="clear" w:color="auto" w:fill="FFFFFF"/>
          </w:tcPr>
          <w:p w14:paraId="2DA046EC" w14:textId="77777777" w:rsidR="006B32A8" w:rsidRPr="00702A26" w:rsidRDefault="006B32A8" w:rsidP="00C150BF">
            <w:pPr>
              <w:pStyle w:val="CETBodytext"/>
              <w:ind w:right="-1"/>
              <w:rPr>
                <w:rFonts w:cs="Arial"/>
                <w:sz w:val="16"/>
                <w:szCs w:val="16"/>
                <w:lang w:val="en-GB"/>
              </w:rPr>
            </w:pPr>
          </w:p>
        </w:tc>
        <w:tc>
          <w:tcPr>
            <w:tcW w:w="21" w:type="dxa"/>
            <w:shd w:val="clear" w:color="auto" w:fill="FFFFFF"/>
          </w:tcPr>
          <w:p w14:paraId="00FD309E" w14:textId="77777777" w:rsidR="006B32A8" w:rsidRPr="00702A26" w:rsidRDefault="006B32A8" w:rsidP="00C150BF">
            <w:pPr>
              <w:pStyle w:val="CETBodytext"/>
              <w:ind w:right="-1"/>
              <w:rPr>
                <w:rFonts w:cs="Arial"/>
                <w:szCs w:val="18"/>
                <w:lang w:val="en-GB"/>
              </w:rPr>
            </w:pPr>
          </w:p>
        </w:tc>
      </w:tr>
    </w:tbl>
    <w:p w14:paraId="7B270419" w14:textId="2ABEE4D0" w:rsidR="007E6C1B" w:rsidRPr="00702A26" w:rsidRDefault="00A2059E" w:rsidP="007E6C1B">
      <w:pPr>
        <w:pStyle w:val="CETHeading1"/>
        <w:rPr>
          <w:lang w:val="en-GB"/>
        </w:rPr>
      </w:pPr>
      <w:r w:rsidRPr="00702A26">
        <w:rPr>
          <w:lang w:val="en-GB"/>
        </w:rPr>
        <w:t>Discussion</w:t>
      </w:r>
    </w:p>
    <w:p w14:paraId="1AD9AF71" w14:textId="10D2E587" w:rsidR="00A2059E" w:rsidRPr="00702A26" w:rsidRDefault="00975BF7" w:rsidP="00975BF7">
      <w:pPr>
        <w:pStyle w:val="CETheadingx"/>
        <w:rPr>
          <w:lang w:val="en-GB"/>
        </w:rPr>
      </w:pPr>
      <w:r w:rsidRPr="00702A26">
        <w:rPr>
          <w:lang w:val="en-GB"/>
        </w:rPr>
        <w:t>Heat Maps</w:t>
      </w:r>
    </w:p>
    <w:p w14:paraId="2BF0ECD1" w14:textId="6B093EBF" w:rsidR="00A2059E" w:rsidRPr="00702A26" w:rsidRDefault="00975BF7" w:rsidP="00702A26">
      <w:pPr>
        <w:pStyle w:val="CETBodytext"/>
        <w:rPr>
          <w:lang w:val="en-GB"/>
        </w:rPr>
      </w:pPr>
      <w:r w:rsidRPr="00702A26">
        <w:rPr>
          <w:lang w:val="en-GB"/>
        </w:rPr>
        <w:t>T</w:t>
      </w:r>
      <w:r w:rsidR="00A2059E" w:rsidRPr="00702A26">
        <w:rPr>
          <w:lang w:val="en-GB"/>
        </w:rPr>
        <w:t xml:space="preserve">he high gaze on the alarm box can be understood to be due to the alarm flood situation during this scenario. Hence, increased </w:t>
      </w:r>
      <w:r w:rsidRPr="00702A26">
        <w:rPr>
          <w:lang w:val="en-GB"/>
        </w:rPr>
        <w:t xml:space="preserve">bottom-up attention due to the alarm sounds and colours </w:t>
      </w:r>
      <w:r w:rsidR="00E46FE4" w:rsidRPr="00702A26">
        <w:rPr>
          <w:lang w:val="en-GB"/>
        </w:rPr>
        <w:t>forces</w:t>
      </w:r>
      <w:r w:rsidR="005C5F30" w:rsidRPr="00702A26">
        <w:rPr>
          <w:lang w:val="en-GB"/>
        </w:rPr>
        <w:t xml:space="preserve"> </w:t>
      </w:r>
      <w:r w:rsidRPr="00702A26">
        <w:rPr>
          <w:lang w:val="en-GB"/>
        </w:rPr>
        <w:t xml:space="preserve">operators to pay </w:t>
      </w:r>
      <w:r w:rsidR="00E46FE4" w:rsidRPr="00702A26">
        <w:rPr>
          <w:lang w:val="en-GB"/>
        </w:rPr>
        <w:t>more attention to that area of interest</w:t>
      </w:r>
      <w:r w:rsidR="00A2059E" w:rsidRPr="00702A26">
        <w:rPr>
          <w:lang w:val="en-GB"/>
        </w:rPr>
        <w:t xml:space="preserve">. This effect of constant alarm annunciations can also impact operators' </w:t>
      </w:r>
      <w:r w:rsidR="00FA37BC" w:rsidRPr="00702A26">
        <w:rPr>
          <w:lang w:val="en-GB"/>
        </w:rPr>
        <w:t>top-down</w:t>
      </w:r>
      <w:r w:rsidR="00A2059E" w:rsidRPr="00702A26">
        <w:rPr>
          <w:lang w:val="en-GB"/>
        </w:rPr>
        <w:t xml:space="preserve"> attention on the procedures, paper or screen. However, the GSP group </w:t>
      </w:r>
      <w:r w:rsidR="005F3C2A" w:rsidRPr="00702A26">
        <w:rPr>
          <w:lang w:val="en-GB"/>
        </w:rPr>
        <w:t>fixated</w:t>
      </w:r>
      <w:r w:rsidR="00A2059E" w:rsidRPr="00702A26">
        <w:rPr>
          <w:lang w:val="en-GB"/>
        </w:rPr>
        <w:t xml:space="preserve"> a lot more on their AOI than GPP, especially on the AOI area relevant for sorting through the alarms. This can indicate better top-down attention in the </w:t>
      </w:r>
      <w:r w:rsidR="00FA37BC" w:rsidRPr="00702A26">
        <w:rPr>
          <w:lang w:val="en-GB"/>
        </w:rPr>
        <w:t xml:space="preserve">GSP group than </w:t>
      </w:r>
      <w:r w:rsidR="00511784" w:rsidRPr="00702A26">
        <w:rPr>
          <w:lang w:val="en-GB"/>
        </w:rPr>
        <w:t xml:space="preserve">in the </w:t>
      </w:r>
      <w:r w:rsidR="00FA37BC" w:rsidRPr="00702A26">
        <w:rPr>
          <w:lang w:val="en-GB"/>
        </w:rPr>
        <w:t>GPP</w:t>
      </w:r>
      <w:r w:rsidR="00A2059E" w:rsidRPr="00702A26">
        <w:rPr>
          <w:lang w:val="en-GB"/>
        </w:rPr>
        <w:t>.</w:t>
      </w:r>
      <w:r w:rsidR="00E66790" w:rsidRPr="00702A26">
        <w:rPr>
          <w:lang w:val="en-GB"/>
        </w:rPr>
        <w:t xml:space="preserve"> The heat map analysis aligns with the outcomes from the average fixation duration data </w:t>
      </w:r>
      <w:r w:rsidR="00926F87" w:rsidRPr="00702A26">
        <w:rPr>
          <w:lang w:val="en-GB"/>
        </w:rPr>
        <w:t>in Table 2.</w:t>
      </w:r>
    </w:p>
    <w:p w14:paraId="4BC3145D" w14:textId="106A69A2" w:rsidR="00C864B5" w:rsidRPr="00702A26" w:rsidRDefault="00C864B5" w:rsidP="00C864B5">
      <w:pPr>
        <w:pStyle w:val="CETheadingx"/>
        <w:rPr>
          <w:lang w:val="en-GB"/>
        </w:rPr>
      </w:pPr>
      <w:r w:rsidRPr="00702A26">
        <w:rPr>
          <w:lang w:val="en-GB"/>
        </w:rPr>
        <w:t>Group-wise comparison</w:t>
      </w:r>
    </w:p>
    <w:p w14:paraId="35688FBC" w14:textId="2F3BAB56" w:rsidR="004D05C7" w:rsidRPr="00702A26" w:rsidRDefault="005C76A1" w:rsidP="00702A26">
      <w:pPr>
        <w:pStyle w:val="CETBodytext"/>
        <w:rPr>
          <w:lang w:val="en-GB"/>
        </w:rPr>
      </w:pPr>
      <w:r w:rsidRPr="00702A26">
        <w:rPr>
          <w:lang w:val="en-GB"/>
        </w:rPr>
        <w:t xml:space="preserve">Although </w:t>
      </w:r>
      <w:r w:rsidR="001C0482" w:rsidRPr="00702A26">
        <w:rPr>
          <w:lang w:val="en-GB"/>
        </w:rPr>
        <w:t xml:space="preserve">no similar studies </w:t>
      </w:r>
      <w:r w:rsidR="001E639F" w:rsidRPr="00702A26">
        <w:rPr>
          <w:lang w:val="en-GB"/>
        </w:rPr>
        <w:t>compare</w:t>
      </w:r>
      <w:r w:rsidRPr="00702A26">
        <w:rPr>
          <w:lang w:val="en-GB"/>
        </w:rPr>
        <w:t xml:space="preserve"> such procedure format, other relatable studies can be used to interpret the results obtained.</w:t>
      </w:r>
      <w:r w:rsidR="001347B2" w:rsidRPr="00702A26">
        <w:rPr>
          <w:lang w:val="en-GB"/>
        </w:rPr>
        <w:t xml:space="preserve"> </w:t>
      </w:r>
      <w:r w:rsidR="004D05C7" w:rsidRPr="00702A26">
        <w:rPr>
          <w:lang w:val="en-GB"/>
        </w:rPr>
        <w:t xml:space="preserve">In Table 2, longer saccade amplitude and duration were observed in GPP compared to GSP, indicating that those with the paper procedure had less search difficulty but decreased processing capacity than those with the screen procedure. Their short fixation durations might explain this reduced processing capacity. </w:t>
      </w:r>
    </w:p>
    <w:p w14:paraId="51C2FE83" w14:textId="2F9808AD" w:rsidR="001B05F6" w:rsidRPr="00702A26" w:rsidRDefault="00B700FF" w:rsidP="00702A26">
      <w:pPr>
        <w:pStyle w:val="CETBodytext"/>
        <w:rPr>
          <w:lang w:val="en-GB"/>
        </w:rPr>
      </w:pPr>
      <w:r w:rsidRPr="00702A26">
        <w:rPr>
          <w:lang w:val="en-GB"/>
        </w:rPr>
        <w:t xml:space="preserve">GSP showed a longer average fixation duration and shorter saccade parameters than GPP. </w:t>
      </w:r>
      <w:r w:rsidR="001B05F6" w:rsidRPr="00702A26">
        <w:rPr>
          <w:lang w:val="en-GB"/>
        </w:rPr>
        <w:t xml:space="preserve">Fan et al. (2023) observed the same fixation vs saccade behaviour pattern for less visually complex interaction modes in their study. Longer fixations show less divided attention and more deliberate </w:t>
      </w:r>
      <w:r w:rsidR="00924561" w:rsidRPr="00702A26">
        <w:rPr>
          <w:lang w:val="en-GB"/>
        </w:rPr>
        <w:t xml:space="preserve">processing on the AOI, as also observed in Figures </w:t>
      </w:r>
      <w:r w:rsidR="00E16848" w:rsidRPr="00702A26">
        <w:rPr>
          <w:lang w:val="en-GB"/>
        </w:rPr>
        <w:t>4</w:t>
      </w:r>
      <w:r w:rsidR="00924561" w:rsidRPr="00702A26">
        <w:rPr>
          <w:lang w:val="en-GB"/>
        </w:rPr>
        <w:t>a and b, and have</w:t>
      </w:r>
      <w:r w:rsidR="001B05F6" w:rsidRPr="00702A26">
        <w:rPr>
          <w:lang w:val="en-GB"/>
        </w:rPr>
        <w:t xml:space="preserve"> been observed amongst expert users (Liu et al.</w:t>
      </w:r>
      <w:r w:rsidR="00924561" w:rsidRPr="00702A26">
        <w:rPr>
          <w:lang w:val="en-GB"/>
        </w:rPr>
        <w:t>, 2013)</w:t>
      </w:r>
      <w:r w:rsidR="001B05F6" w:rsidRPr="00702A26">
        <w:rPr>
          <w:lang w:val="en-GB"/>
        </w:rPr>
        <w:t xml:space="preserve">. </w:t>
      </w:r>
      <w:r w:rsidR="00D65EBD" w:rsidRPr="00702A26">
        <w:rPr>
          <w:lang w:val="en-GB"/>
        </w:rPr>
        <w:t>However</w:t>
      </w:r>
      <w:r w:rsidRPr="00702A26">
        <w:rPr>
          <w:lang w:val="en-GB"/>
        </w:rPr>
        <w:t xml:space="preserve">, </w:t>
      </w:r>
      <w:r w:rsidR="001B05F6" w:rsidRPr="00702A26">
        <w:rPr>
          <w:lang w:val="en-GB"/>
        </w:rPr>
        <w:t>longer fixations</w:t>
      </w:r>
      <w:r w:rsidRPr="00702A26">
        <w:rPr>
          <w:lang w:val="en-GB"/>
        </w:rPr>
        <w:t xml:space="preserve"> can also indicate difficulty in information processing and </w:t>
      </w:r>
      <w:r w:rsidR="001B05F6" w:rsidRPr="00702A26">
        <w:rPr>
          <w:lang w:val="en-GB"/>
        </w:rPr>
        <w:t>are</w:t>
      </w:r>
      <w:r w:rsidRPr="00702A26">
        <w:rPr>
          <w:lang w:val="en-GB"/>
        </w:rPr>
        <w:t xml:space="preserve"> likely to cause increased visual fatigue</w:t>
      </w:r>
      <w:r w:rsidR="001B05F6" w:rsidRPr="00702A26">
        <w:rPr>
          <w:lang w:val="en-GB"/>
        </w:rPr>
        <w:t xml:space="preserve"> over time</w:t>
      </w:r>
      <w:r w:rsidR="004D05C7" w:rsidRPr="00702A26">
        <w:rPr>
          <w:lang w:val="en-GB"/>
        </w:rPr>
        <w:t xml:space="preserve"> (Fan et al., 2023). </w:t>
      </w:r>
    </w:p>
    <w:p w14:paraId="717171EB" w14:textId="4E716167" w:rsidR="00686180" w:rsidRPr="00702A26" w:rsidRDefault="00924561" w:rsidP="00DB2C66">
      <w:pPr>
        <w:pStyle w:val="CETBodytext"/>
        <w:rPr>
          <w:lang w:val="en-GB"/>
        </w:rPr>
      </w:pPr>
      <w:r w:rsidRPr="00702A26">
        <w:rPr>
          <w:lang w:val="en-GB"/>
        </w:rPr>
        <w:t>GPP</w:t>
      </w:r>
      <w:r w:rsidR="006A1B4F" w:rsidRPr="00702A26">
        <w:rPr>
          <w:lang w:val="en-GB"/>
        </w:rPr>
        <w:t xml:space="preserve"> had </w:t>
      </w:r>
      <w:r w:rsidRPr="00702A26">
        <w:rPr>
          <w:lang w:val="en-GB"/>
        </w:rPr>
        <w:t xml:space="preserve">a </w:t>
      </w:r>
      <w:r w:rsidR="00183F80" w:rsidRPr="00702A26">
        <w:rPr>
          <w:lang w:val="en-GB"/>
        </w:rPr>
        <w:t xml:space="preserve">significantly </w:t>
      </w:r>
      <w:r w:rsidR="006A1B4F" w:rsidRPr="00702A26">
        <w:rPr>
          <w:lang w:val="en-GB"/>
        </w:rPr>
        <w:t>higher average pupil size than GSP</w:t>
      </w:r>
      <w:r w:rsidR="001813B7" w:rsidRPr="00702A26">
        <w:rPr>
          <w:lang w:val="en-GB"/>
        </w:rPr>
        <w:t>, indicating</w:t>
      </w:r>
      <w:r w:rsidRPr="00702A26">
        <w:rPr>
          <w:lang w:val="en-GB"/>
        </w:rPr>
        <w:t xml:space="preserve"> </w:t>
      </w:r>
      <w:r w:rsidR="001813B7" w:rsidRPr="00702A26">
        <w:rPr>
          <w:lang w:val="en-GB"/>
        </w:rPr>
        <w:t>an increased</w:t>
      </w:r>
      <w:r w:rsidRPr="00702A26">
        <w:rPr>
          <w:lang w:val="en-GB"/>
        </w:rPr>
        <w:t xml:space="preserve"> mental workload while using the paper procedure. </w:t>
      </w:r>
      <w:r w:rsidR="001813B7" w:rsidRPr="00702A26">
        <w:rPr>
          <w:lang w:val="en-GB"/>
        </w:rPr>
        <w:t xml:space="preserve">The smaller pupil size in GSP </w:t>
      </w:r>
      <w:r w:rsidR="006A1B4F" w:rsidRPr="00702A26">
        <w:rPr>
          <w:lang w:val="en-GB"/>
        </w:rPr>
        <w:t>can be due to the effect of luminance, given that</w:t>
      </w:r>
      <w:r w:rsidR="00183F80" w:rsidRPr="00702A26">
        <w:rPr>
          <w:lang w:val="en-GB"/>
        </w:rPr>
        <w:t xml:space="preserve"> more light causes pupil con</w:t>
      </w:r>
      <w:r w:rsidR="001813B7" w:rsidRPr="00702A26">
        <w:rPr>
          <w:lang w:val="en-GB"/>
        </w:rPr>
        <w:t>striction (Maqsood and Schumacher, 2017).</w:t>
      </w:r>
    </w:p>
    <w:p w14:paraId="23448F2A" w14:textId="703CD233" w:rsidR="00917EC9" w:rsidRPr="00702A26" w:rsidRDefault="00917EC9" w:rsidP="00917EC9">
      <w:pPr>
        <w:pStyle w:val="CETHeading1"/>
        <w:rPr>
          <w:lang w:val="en-GB"/>
        </w:rPr>
      </w:pPr>
      <w:r w:rsidRPr="00702A26">
        <w:rPr>
          <w:lang w:val="en-GB"/>
        </w:rPr>
        <w:t>Conclusion</w:t>
      </w:r>
    </w:p>
    <w:p w14:paraId="51449937" w14:textId="58DEDB71" w:rsidR="009412B7" w:rsidRPr="00702A26" w:rsidRDefault="00D65EBD" w:rsidP="006B7660">
      <w:pPr>
        <w:pStyle w:val="CETBodytext"/>
        <w:rPr>
          <w:lang w:val="en-GB"/>
        </w:rPr>
      </w:pPr>
      <w:r w:rsidRPr="00702A26">
        <w:rPr>
          <w:lang w:val="en-GB"/>
        </w:rPr>
        <w:t>From these preliminary observations, the GSP is ideal in cases of immediate emergency intervention, i.e.</w:t>
      </w:r>
      <w:r w:rsidR="001B05F6" w:rsidRPr="00702A26">
        <w:rPr>
          <w:lang w:val="en-GB"/>
        </w:rPr>
        <w:t>, when</w:t>
      </w:r>
      <w:r w:rsidRPr="00702A26">
        <w:rPr>
          <w:lang w:val="en-GB"/>
        </w:rPr>
        <w:t xml:space="preserve"> using emergency procedures</w:t>
      </w:r>
      <w:r w:rsidR="00E16848" w:rsidRPr="00702A26">
        <w:rPr>
          <w:lang w:val="en-GB"/>
        </w:rPr>
        <w:t xml:space="preserve"> on similar complex tasks</w:t>
      </w:r>
      <w:r w:rsidRPr="00702A26">
        <w:rPr>
          <w:lang w:val="en-GB"/>
        </w:rPr>
        <w:t>. For prolonged monitoring, such as when using operating procedures, the GPP setup is ideal</w:t>
      </w:r>
      <w:r w:rsidR="00DB2C66" w:rsidRPr="00702A26">
        <w:rPr>
          <w:lang w:val="en-GB"/>
        </w:rPr>
        <w:t xml:space="preserve">. </w:t>
      </w:r>
      <w:r w:rsidR="000538AF" w:rsidRPr="00702A26">
        <w:rPr>
          <w:lang w:val="en-GB"/>
        </w:rPr>
        <w:t xml:space="preserve">Based on this preliminary observation, the searching tasks seem less </w:t>
      </w:r>
      <w:r w:rsidR="000538AF" w:rsidRPr="00702A26">
        <w:rPr>
          <w:lang w:val="en-GB"/>
        </w:rPr>
        <w:lastRenderedPageBreak/>
        <w:t>difficult for those using paper than those on the screen</w:t>
      </w:r>
      <w:r w:rsidR="000E68E4" w:rsidRPr="00702A26">
        <w:rPr>
          <w:lang w:val="en-GB"/>
        </w:rPr>
        <w:t xml:space="preserve">. </w:t>
      </w:r>
      <w:r w:rsidR="00DB2C66" w:rsidRPr="00702A26">
        <w:rPr>
          <w:lang w:val="en-GB"/>
        </w:rPr>
        <w:t xml:space="preserve">The number of participants considered for comparison in this study limits the statistical significance of </w:t>
      </w:r>
      <w:r w:rsidR="00E16848" w:rsidRPr="00702A26">
        <w:rPr>
          <w:lang w:val="en-GB"/>
        </w:rPr>
        <w:t>some of the</w:t>
      </w:r>
      <w:r w:rsidR="00DB2C66" w:rsidRPr="00702A26">
        <w:rPr>
          <w:lang w:val="en-GB"/>
        </w:rPr>
        <w:t xml:space="preserve"> outcomes. The paper also </w:t>
      </w:r>
      <w:r w:rsidR="001B05F6" w:rsidRPr="00702A26">
        <w:rPr>
          <w:lang w:val="en-GB"/>
        </w:rPr>
        <w:t>needs to</w:t>
      </w:r>
      <w:r w:rsidR="00DB2C66" w:rsidRPr="00702A26">
        <w:rPr>
          <w:lang w:val="en-GB"/>
        </w:rPr>
        <w:t xml:space="preserve"> consider the overall intervention time frame</w:t>
      </w:r>
      <w:r w:rsidR="00DB4346" w:rsidRPr="00702A26">
        <w:rPr>
          <w:lang w:val="en-GB"/>
        </w:rPr>
        <w:t>,</w:t>
      </w:r>
      <w:r w:rsidR="00DB2C66" w:rsidRPr="00702A26">
        <w:rPr>
          <w:lang w:val="en-GB"/>
        </w:rPr>
        <w:t xml:space="preserve"> as the intervention lasted much longer than the TOI used in this paper.</w:t>
      </w:r>
      <w:r w:rsidR="00194E9C" w:rsidRPr="00702A26">
        <w:rPr>
          <w:lang w:val="en-GB"/>
        </w:rPr>
        <w:t xml:space="preserve"> </w:t>
      </w:r>
      <w:r w:rsidR="001B05F6" w:rsidRPr="00702A26">
        <w:rPr>
          <w:lang w:val="en-GB"/>
        </w:rPr>
        <w:t>Further analysis of the progression of the outcomes towards a later time of interest can be compared with th</w:t>
      </w:r>
      <w:r w:rsidR="00E16848" w:rsidRPr="00702A26">
        <w:rPr>
          <w:lang w:val="en-GB"/>
        </w:rPr>
        <w:t>e results in this paper</w:t>
      </w:r>
      <w:r w:rsidR="001B05F6" w:rsidRPr="00702A26">
        <w:rPr>
          <w:lang w:val="en-GB"/>
        </w:rPr>
        <w:t xml:space="preserve"> to observe the effect of </w:t>
      </w:r>
      <w:r w:rsidR="00E16848" w:rsidRPr="00702A26">
        <w:rPr>
          <w:lang w:val="en-GB"/>
        </w:rPr>
        <w:t xml:space="preserve">prolonged or </w:t>
      </w:r>
      <w:r w:rsidR="001B05F6" w:rsidRPr="00702A26">
        <w:rPr>
          <w:lang w:val="en-GB"/>
        </w:rPr>
        <w:t>continuous use.</w:t>
      </w:r>
    </w:p>
    <w:p w14:paraId="16883670" w14:textId="17A3D19C" w:rsidR="00FE64BF" w:rsidRDefault="008D5A93" w:rsidP="00A10415">
      <w:pPr>
        <w:pStyle w:val="CETAcknowledgementstitle"/>
      </w:pPr>
      <w:r w:rsidRPr="00FE64BF">
        <w:t>Acknowledgements</w:t>
      </w:r>
    </w:p>
    <w:p w14:paraId="450F18D3" w14:textId="58642FBC" w:rsidR="009412B7" w:rsidRPr="00702A26" w:rsidRDefault="008D5A93" w:rsidP="008D5A93">
      <w:pPr>
        <w:pStyle w:val="CETBodytext"/>
        <w:rPr>
          <w:lang w:val="en-GB"/>
        </w:rPr>
      </w:pPr>
      <w:r w:rsidRPr="00702A26">
        <w:rPr>
          <w:lang w:val="en-GB"/>
        </w:rPr>
        <w:t xml:space="preserve">This work has been done within the Collaborative Intelligence for Safety-Critical Systems project (CISC). The CISC project has received funding from the European Union’s Horizon 2020 Research and Innovation Programme under the Marie </w:t>
      </w:r>
      <w:proofErr w:type="spellStart"/>
      <w:r w:rsidRPr="00702A26">
        <w:rPr>
          <w:lang w:val="en-GB"/>
        </w:rPr>
        <w:t>Skłodowska</w:t>
      </w:r>
      <w:proofErr w:type="spellEnd"/>
      <w:r w:rsidRPr="00702A26">
        <w:rPr>
          <w:lang w:val="en-GB"/>
        </w:rPr>
        <w:t>-Curie grant agreement no. 955901</w:t>
      </w:r>
    </w:p>
    <w:p w14:paraId="4F1327F8" w14:textId="77777777" w:rsidR="00600535" w:rsidRPr="00702A26" w:rsidRDefault="00600535" w:rsidP="00600535">
      <w:pPr>
        <w:pStyle w:val="CETReference"/>
      </w:pPr>
      <w:r w:rsidRPr="00702A26">
        <w:t>References</w:t>
      </w:r>
    </w:p>
    <w:p w14:paraId="24CD1FBE" w14:textId="15743F25" w:rsidR="004915B5" w:rsidRPr="00702A26" w:rsidRDefault="004915B5" w:rsidP="00702A26">
      <w:pPr>
        <w:pStyle w:val="CETReferencetext"/>
      </w:pPr>
      <w:r w:rsidRPr="00702A26">
        <w:t xml:space="preserve">Amazu C. W., </w:t>
      </w:r>
      <w:proofErr w:type="spellStart"/>
      <w:r w:rsidRPr="00702A26">
        <w:t>Briwa</w:t>
      </w:r>
      <w:proofErr w:type="spellEnd"/>
      <w:r w:rsidRPr="00702A26">
        <w:t xml:space="preserve"> H., </w:t>
      </w:r>
      <w:proofErr w:type="spellStart"/>
      <w:r w:rsidRPr="00702A26">
        <w:t>Demichela</w:t>
      </w:r>
      <w:proofErr w:type="spellEnd"/>
      <w:r w:rsidRPr="00702A26">
        <w:t xml:space="preserve"> M., </w:t>
      </w:r>
      <w:proofErr w:type="spellStart"/>
      <w:r w:rsidRPr="00702A26">
        <w:t>Fissore</w:t>
      </w:r>
      <w:proofErr w:type="spellEnd"/>
      <w:r w:rsidRPr="00702A26">
        <w:t xml:space="preserve"> D., </w:t>
      </w:r>
      <w:proofErr w:type="spellStart"/>
      <w:r w:rsidRPr="00702A26">
        <w:t>Baldissone</w:t>
      </w:r>
      <w:proofErr w:type="spellEnd"/>
      <w:r w:rsidRPr="00702A26">
        <w:t xml:space="preserve"> G., Leva M. C., 2023</w:t>
      </w:r>
      <w:r w:rsidR="00A66B7C" w:rsidRPr="00702A26">
        <w:t>,</w:t>
      </w:r>
      <w:r w:rsidRPr="00702A26">
        <w:t xml:space="preserve"> “Analysing” 557 Human-in-the-Loop” for Advances in Process Safety: A Design of Experiment in a Simulated Process 558 Control Room,” 33rd European Safety and Reliability Conference (ESREL 2023), no. November, 559 pp.2780–2787</w:t>
      </w:r>
    </w:p>
    <w:p w14:paraId="1C9541E5" w14:textId="2B7AF20F" w:rsidR="007413A2" w:rsidRPr="00702A26" w:rsidRDefault="007413A2" w:rsidP="00702A26">
      <w:pPr>
        <w:pStyle w:val="CETReferencetext"/>
      </w:pPr>
      <w:r w:rsidRPr="00702A26">
        <w:t xml:space="preserve">Bhavsar P., Srinivasan B., Srinivasan R., 2015, Pupillometry Based Real-Time Monitoring of Operator’s Cognitive Workload </w:t>
      </w:r>
      <w:proofErr w:type="gramStart"/>
      <w:r w:rsidRPr="00702A26">
        <w:t>To</w:t>
      </w:r>
      <w:proofErr w:type="gramEnd"/>
      <w:r w:rsidRPr="00702A26">
        <w:t xml:space="preserve"> Prevent Human Error during Abnormal Situations. Industrial &amp; Engineering Chemistry Research. 55. 10.1021/acs.iecr.5b03685.</w:t>
      </w:r>
    </w:p>
    <w:p w14:paraId="167FF7D0" w14:textId="47BBCDC0" w:rsidR="0043535D" w:rsidRPr="00702A26" w:rsidRDefault="0043535D" w:rsidP="00702A26">
      <w:pPr>
        <w:pStyle w:val="CETReferencetext"/>
      </w:pPr>
      <w:r w:rsidRPr="00702A26">
        <w:t>Das L</w:t>
      </w:r>
      <w:r w:rsidR="00DD249C" w:rsidRPr="00702A26">
        <w:t xml:space="preserve">., </w:t>
      </w:r>
      <w:r w:rsidRPr="00702A26">
        <w:t>Srinivasan B</w:t>
      </w:r>
      <w:r w:rsidR="00C34747" w:rsidRPr="00702A26">
        <w:t>.,</w:t>
      </w:r>
      <w:r w:rsidR="00B578AB" w:rsidRPr="00702A26">
        <w:t xml:space="preserve"> </w:t>
      </w:r>
      <w:r w:rsidRPr="00702A26">
        <w:t>Srinivasan R.</w:t>
      </w:r>
      <w:r w:rsidR="00C34747" w:rsidRPr="00702A26">
        <w:t>,</w:t>
      </w:r>
      <w:r w:rsidRPr="00702A26">
        <w:t xml:space="preserve"> 2017</w:t>
      </w:r>
      <w:r w:rsidR="00C34747" w:rsidRPr="00702A26">
        <w:t>,</w:t>
      </w:r>
      <w:r w:rsidRPr="00702A26">
        <w:t xml:space="preserve"> Cognitive </w:t>
      </w:r>
      <w:proofErr w:type="spellStart"/>
      <w:r w:rsidRPr="00702A26">
        <w:t>Behavior</w:t>
      </w:r>
      <w:proofErr w:type="spellEnd"/>
      <w:r w:rsidRPr="00702A26">
        <w:t xml:space="preserve"> Based Framework for Operator Learning: Knowledge and Capability Assessment through Eye Tracking. 10.1016/B978-0-444-63965-3.50498-0.</w:t>
      </w:r>
    </w:p>
    <w:p w14:paraId="37D84703" w14:textId="12D95315" w:rsidR="00061ECB" w:rsidRPr="00702A26" w:rsidRDefault="00061ECB" w:rsidP="00702A26">
      <w:pPr>
        <w:pStyle w:val="CETReferencetext"/>
      </w:pPr>
      <w:r w:rsidRPr="00702A26">
        <w:t>Fan L., Wang J., Li Q., Song Z., Dong J., Bao F., Wang X.</w:t>
      </w:r>
      <w:r w:rsidR="005030F4" w:rsidRPr="00702A26">
        <w:t xml:space="preserve">, </w:t>
      </w:r>
      <w:r w:rsidRPr="00702A26">
        <w:t>2023</w:t>
      </w:r>
      <w:r w:rsidR="005030F4" w:rsidRPr="00702A26">
        <w:t>,</w:t>
      </w:r>
      <w:r w:rsidRPr="00702A26">
        <w:t xml:space="preserve"> Eye movement characteristics and visual fatigue assessment of virtual reality games with different interaction modes. Frontiers in neuroscience, 17, 1173127. https://doi.org/10.3389/fnins.2023.1173127</w:t>
      </w:r>
    </w:p>
    <w:p w14:paraId="3DA24C57" w14:textId="3B986B9E" w:rsidR="006A258F" w:rsidRPr="00702A26" w:rsidRDefault="006A258F" w:rsidP="00702A26">
      <w:pPr>
        <w:pStyle w:val="CETReferencetext"/>
      </w:pPr>
      <w:proofErr w:type="spellStart"/>
      <w:r w:rsidRPr="00702A26">
        <w:t>Hinss</w:t>
      </w:r>
      <w:proofErr w:type="spellEnd"/>
      <w:r w:rsidRPr="00702A26">
        <w:t xml:space="preserve"> M. F., Brock A. M.,</w:t>
      </w:r>
      <w:r w:rsidR="00B578AB" w:rsidRPr="00702A26">
        <w:t xml:space="preserve"> </w:t>
      </w:r>
      <w:r w:rsidRPr="00702A26">
        <w:t>Roy</w:t>
      </w:r>
      <w:r w:rsidR="00B578AB" w:rsidRPr="00702A26">
        <w:t xml:space="preserve"> </w:t>
      </w:r>
      <w:r w:rsidRPr="00702A26">
        <w:t>R. N.</w:t>
      </w:r>
      <w:r w:rsidR="00630C4A" w:rsidRPr="00702A26">
        <w:t>,</w:t>
      </w:r>
      <w:r w:rsidRPr="00702A26">
        <w:t xml:space="preserve"> 2022</w:t>
      </w:r>
      <w:r w:rsidR="00630C4A" w:rsidRPr="00702A26">
        <w:t>,</w:t>
      </w:r>
      <w:r w:rsidRPr="00702A26">
        <w:t xml:space="preserve"> Cognitive effects of prolonged continuous human-machine interaction: The case for mental state-based adaptive interfaces. Frontiers in </w:t>
      </w:r>
      <w:proofErr w:type="spellStart"/>
      <w:r w:rsidRPr="00702A26">
        <w:t>neuroergonomics</w:t>
      </w:r>
      <w:proofErr w:type="spellEnd"/>
      <w:r w:rsidRPr="00702A26">
        <w:t>, 3, 935092. https://doi.org/10.3389/fnrgo.2022.935092</w:t>
      </w:r>
    </w:p>
    <w:p w14:paraId="09EBC9E1" w14:textId="5284D102" w:rsidR="00042DE1" w:rsidRPr="00702A26" w:rsidRDefault="00042DE1" w:rsidP="00702A26">
      <w:pPr>
        <w:pStyle w:val="CETReferencetext"/>
      </w:pPr>
      <w:r w:rsidRPr="00702A26">
        <w:t>Just M.A., Carpenter P.A.</w:t>
      </w:r>
      <w:r w:rsidR="00630C4A" w:rsidRPr="00702A26">
        <w:t>,</w:t>
      </w:r>
      <w:r w:rsidR="00D154CA" w:rsidRPr="00702A26">
        <w:t xml:space="preserve"> </w:t>
      </w:r>
      <w:r w:rsidRPr="00702A26">
        <w:t>1980</w:t>
      </w:r>
      <w:r w:rsidR="00630C4A" w:rsidRPr="00702A26">
        <w:t>,</w:t>
      </w:r>
      <w:r w:rsidRPr="00702A26">
        <w:t xml:space="preserve"> A theory of reading: from eye fixations to comprehension. Psychological </w:t>
      </w:r>
      <w:r w:rsidR="00630C4A" w:rsidRPr="00702A26">
        <w:t>Review</w:t>
      </w:r>
      <w:r w:rsidRPr="00702A26">
        <w:t>, 87 4, 329-54.</w:t>
      </w:r>
    </w:p>
    <w:p w14:paraId="68E524AF" w14:textId="052A426F" w:rsidR="00793F5A" w:rsidRPr="00702A26" w:rsidRDefault="00793F5A" w:rsidP="00702A26">
      <w:pPr>
        <w:pStyle w:val="CETReferencetext"/>
      </w:pPr>
      <w:r w:rsidRPr="00702A26">
        <w:t>Li W.C., Kearney P., Braithwaite G., Lin J.J.H.</w:t>
      </w:r>
      <w:r w:rsidR="00754D65" w:rsidRPr="00702A26">
        <w:t>,</w:t>
      </w:r>
      <w:r w:rsidRPr="00702A26">
        <w:t xml:space="preserve"> 2018</w:t>
      </w:r>
      <w:r w:rsidR="00754D65" w:rsidRPr="00702A26">
        <w:t>,</w:t>
      </w:r>
      <w:r w:rsidRPr="00702A26">
        <w:t xml:space="preserve"> “How Much is Too Much on Monitoring Tasks? Visual Scan Patterns of Single Air Traffic Controller Performing Multiple Remote Tower Operations.” International Journal of Industrial Ergonomics 67: 135–144. </w:t>
      </w:r>
      <w:proofErr w:type="gramStart"/>
      <w:r w:rsidRPr="00702A26">
        <w:t>doi:10.1016/</w:t>
      </w:r>
      <w:proofErr w:type="spellStart"/>
      <w:r w:rsidRPr="00702A26">
        <w:t>j.ergon</w:t>
      </w:r>
      <w:proofErr w:type="spellEnd"/>
      <w:proofErr w:type="gramEnd"/>
      <w:r w:rsidRPr="00702A26">
        <w:t>. 2018.05.005.</w:t>
      </w:r>
    </w:p>
    <w:p w14:paraId="445AAE9A" w14:textId="61B8611A" w:rsidR="005542A0" w:rsidRPr="00702A26" w:rsidRDefault="005542A0" w:rsidP="00702A26">
      <w:pPr>
        <w:pStyle w:val="CETReferencetext"/>
      </w:pPr>
      <w:r w:rsidRPr="00702A26">
        <w:t xml:space="preserve">Mahanama B., Jayawardana Y., Rengarajan S., Jayawardena G., </w:t>
      </w:r>
      <w:proofErr w:type="spellStart"/>
      <w:r w:rsidRPr="00702A26">
        <w:t>Chukoskie</w:t>
      </w:r>
      <w:proofErr w:type="spellEnd"/>
      <w:r w:rsidRPr="00702A26">
        <w:t xml:space="preserve"> L., Snider J., Jayarathna S., 2022, Eye Movement and Pupil Measures: A Review. Front. </w:t>
      </w:r>
      <w:proofErr w:type="spellStart"/>
      <w:r w:rsidRPr="00702A26">
        <w:t>Comput</w:t>
      </w:r>
      <w:proofErr w:type="spellEnd"/>
      <w:r w:rsidRPr="00702A26">
        <w:t xml:space="preserve">. Sci. 3:733531. </w:t>
      </w:r>
      <w:proofErr w:type="spellStart"/>
      <w:r w:rsidRPr="00702A26">
        <w:t>doi</w:t>
      </w:r>
      <w:proofErr w:type="spellEnd"/>
      <w:r w:rsidRPr="00702A26">
        <w:t>: 10.3389/fcomp.2021.733531</w:t>
      </w:r>
    </w:p>
    <w:p w14:paraId="4F1DB08A" w14:textId="10D42060" w:rsidR="001813B7" w:rsidRPr="00702A26" w:rsidRDefault="001813B7" w:rsidP="00702A26">
      <w:pPr>
        <w:pStyle w:val="CETReferencetext"/>
      </w:pPr>
      <w:r w:rsidRPr="00702A26">
        <w:t>Maqsood F., Schumacher U., 2017, Effects of varying light conditions and refractive error on pupil size, Cogent Medicine, 4:1, DOI: 10.1080/2331205X.2017.1338824</w:t>
      </w:r>
    </w:p>
    <w:p w14:paraId="598233BE" w14:textId="2F6BC771" w:rsidR="00A444DC" w:rsidRPr="00702A26" w:rsidRDefault="00A444DC" w:rsidP="00702A26">
      <w:pPr>
        <w:pStyle w:val="CETReferencetext"/>
      </w:pPr>
      <w:bookmarkStart w:id="0" w:name="_Hlk158925376"/>
      <w:proofErr w:type="spellStart"/>
      <w:r w:rsidRPr="00702A26">
        <w:t>Mathôt</w:t>
      </w:r>
      <w:bookmarkEnd w:id="0"/>
      <w:proofErr w:type="spellEnd"/>
      <w:r w:rsidRPr="00702A26">
        <w:t xml:space="preserve"> S., Fabius J., Van </w:t>
      </w:r>
      <w:proofErr w:type="spellStart"/>
      <w:r w:rsidRPr="00702A26">
        <w:t>Heusden</w:t>
      </w:r>
      <w:proofErr w:type="spellEnd"/>
      <w:r w:rsidRPr="00702A26">
        <w:t xml:space="preserve"> E. et al., 2018, Safe and sensible preprocessing and baseline correction of pupil-size data. </w:t>
      </w:r>
      <w:proofErr w:type="spellStart"/>
      <w:r w:rsidRPr="00702A26">
        <w:t>Behav</w:t>
      </w:r>
      <w:proofErr w:type="spellEnd"/>
      <w:r w:rsidRPr="00702A26">
        <w:t xml:space="preserve"> Res 50, 94–106. https://doi.org/10.3758/s13428-017-1007-2</w:t>
      </w:r>
    </w:p>
    <w:p w14:paraId="54832F9B" w14:textId="555D375A" w:rsidR="009B626F" w:rsidRPr="00702A26" w:rsidRDefault="009B626F" w:rsidP="00702A26">
      <w:pPr>
        <w:pStyle w:val="CETReferencetext"/>
      </w:pPr>
      <w:r w:rsidRPr="00702A26">
        <w:t>Park J.</w:t>
      </w:r>
      <w:r w:rsidR="00D154CA" w:rsidRPr="00702A26">
        <w:t xml:space="preserve">, </w:t>
      </w:r>
      <w:r w:rsidRPr="00702A26">
        <w:t>Jung, W.</w:t>
      </w:r>
      <w:r w:rsidR="00630C4A" w:rsidRPr="00702A26">
        <w:t xml:space="preserve">, </w:t>
      </w:r>
      <w:r w:rsidRPr="00702A26">
        <w:t>2003</w:t>
      </w:r>
      <w:r w:rsidR="00630C4A" w:rsidRPr="00702A26">
        <w:t>,</w:t>
      </w:r>
      <w:r w:rsidRPr="00702A26">
        <w:t xml:space="preserve"> The operators’ non-compliance </w:t>
      </w:r>
      <w:proofErr w:type="spellStart"/>
      <w:r w:rsidRPr="00702A26">
        <w:t>behavior</w:t>
      </w:r>
      <w:proofErr w:type="spellEnd"/>
      <w:r w:rsidRPr="00702A26">
        <w:t xml:space="preserve"> to conduct emergency operating procedures—comparing with the work experience and the complexity of procedural steps. Reliability Engineering &amp; System Safety, 82(2), pp.115–131. </w:t>
      </w:r>
      <w:proofErr w:type="spellStart"/>
      <w:proofErr w:type="gramStart"/>
      <w:r w:rsidRPr="00702A26">
        <w:t>doi:https</w:t>
      </w:r>
      <w:proofErr w:type="spellEnd"/>
      <w:r w:rsidRPr="00702A26">
        <w:t>://doi.org/10.1016/s0951-8320(03)00123-6</w:t>
      </w:r>
      <w:proofErr w:type="gramEnd"/>
      <w:r w:rsidRPr="00702A26">
        <w:t>.</w:t>
      </w:r>
    </w:p>
    <w:p w14:paraId="088DCB4D" w14:textId="3F9B3E0F" w:rsidR="00206157" w:rsidRPr="00702A26" w:rsidRDefault="00206157" w:rsidP="00702A26">
      <w:pPr>
        <w:pStyle w:val="CETReferencetext"/>
      </w:pPr>
      <w:r w:rsidRPr="00702A26">
        <w:t>Pedersen</w:t>
      </w:r>
      <w:r w:rsidR="00FE2CA1" w:rsidRPr="00702A26">
        <w:t xml:space="preserve"> </w:t>
      </w:r>
      <w:r w:rsidRPr="00702A26">
        <w:t>M.,</w:t>
      </w:r>
      <w:r w:rsidR="00FE2CA1" w:rsidRPr="00702A26">
        <w:t xml:space="preserve"> </w:t>
      </w:r>
      <w:r w:rsidRPr="00702A26">
        <w:t>Mowla L.</w:t>
      </w:r>
      <w:r w:rsidR="00630C4A" w:rsidRPr="00702A26">
        <w:t xml:space="preserve">, </w:t>
      </w:r>
      <w:r w:rsidRPr="00702A26">
        <w:t>2023</w:t>
      </w:r>
      <w:r w:rsidR="00630C4A" w:rsidRPr="00702A26">
        <w:t>,</w:t>
      </w:r>
      <w:r w:rsidRPr="00702A26">
        <w:t xml:space="preserve"> </w:t>
      </w:r>
      <w:r w:rsidR="00042DE1" w:rsidRPr="00702A26">
        <w:t xml:space="preserve">10 </w:t>
      </w:r>
      <w:r w:rsidRPr="00702A26">
        <w:t xml:space="preserve">most used eye tracking metrics and terms. Retrieved from </w:t>
      </w:r>
      <w:hyperlink r:id="rId17" w:anchor="8-revisits" w:history="1">
        <w:r w:rsidR="00CD1916" w:rsidRPr="00A10415">
          <w:rPr>
            <w:rStyle w:val="Hyperlink"/>
            <w:color w:val="auto"/>
            <w:u w:val="none"/>
          </w:rPr>
          <w:t>https://imotions.com/blog/learning/10-terms-metrics-eye-tracking/#8-revisits</w:t>
        </w:r>
      </w:hyperlink>
    </w:p>
    <w:p w14:paraId="64B15921" w14:textId="69610B9D" w:rsidR="00CD1916" w:rsidRPr="00702A26" w:rsidRDefault="00CD1916" w:rsidP="00702A26">
      <w:pPr>
        <w:pStyle w:val="CETReferencetext"/>
      </w:pPr>
      <w:r w:rsidRPr="00702A26">
        <w:t xml:space="preserve">Rayner K., Fischer M. H., 1996, Mindless reading revisited: eye movements during reading and scanning are different. </w:t>
      </w:r>
      <w:proofErr w:type="spellStart"/>
      <w:r w:rsidR="00D5360E" w:rsidRPr="00702A26">
        <w:t>park</w:t>
      </w:r>
      <w:r w:rsidRPr="00702A26">
        <w:t>Perception</w:t>
      </w:r>
      <w:proofErr w:type="spellEnd"/>
      <w:r w:rsidRPr="00702A26">
        <w:t xml:space="preserve"> &amp; psychophysics, 58(5), 734–747. </w:t>
      </w:r>
      <w:hyperlink r:id="rId18" w:history="1">
        <w:r w:rsidR="00E464D8" w:rsidRPr="00A10415">
          <w:rPr>
            <w:rStyle w:val="Hyperlink"/>
            <w:color w:val="auto"/>
            <w:u w:val="none"/>
          </w:rPr>
          <w:t>https://doi.org/10.3758/bf03213106</w:t>
        </w:r>
      </w:hyperlink>
    </w:p>
    <w:p w14:paraId="19C4FC68" w14:textId="30714D41" w:rsidR="004628D2" w:rsidRPr="00702A26" w:rsidRDefault="00E464D8" w:rsidP="00702A26">
      <w:pPr>
        <w:pStyle w:val="CETReferencetext"/>
      </w:pPr>
      <w:r w:rsidRPr="00702A26">
        <w:t xml:space="preserve">Shi C., Rothrock L., Noah B., 2023, Using Eye-Tracking to Predict Cognitive Workload in a Control Room Environment. Human-Automation Interaction. Automation, Collaboration, &amp; E-Services, vol 10. Springer, Cham. </w:t>
      </w:r>
      <w:hyperlink r:id="rId19" w:history="1">
        <w:r w:rsidR="0013468B" w:rsidRPr="00A10415">
          <w:rPr>
            <w:rStyle w:val="Hyperlink"/>
            <w:color w:val="auto"/>
            <w:u w:val="none"/>
          </w:rPr>
          <w:t>https://doi.org/10.1007/978-3-031-10780-1_12</w:t>
        </w:r>
      </w:hyperlink>
    </w:p>
    <w:p w14:paraId="22D33942" w14:textId="62A8231D" w:rsidR="00AC4105" w:rsidRPr="00702A26" w:rsidRDefault="00D74681" w:rsidP="00702A26">
      <w:pPr>
        <w:pStyle w:val="CETReferencetext"/>
      </w:pPr>
      <w:r w:rsidRPr="00702A26">
        <w:t>Shi C., Rothrock L.</w:t>
      </w:r>
      <w:r w:rsidR="002A494F" w:rsidRPr="00702A26">
        <w:t xml:space="preserve">, </w:t>
      </w:r>
      <w:r w:rsidRPr="00702A26">
        <w:t>2023</w:t>
      </w:r>
      <w:r w:rsidR="002A494F" w:rsidRPr="00702A26">
        <w:t>,</w:t>
      </w:r>
      <w:r w:rsidRPr="00702A26">
        <w:t xml:space="preserve"> Using eye movements to evaluate the effectiveness of the situation awareness rating technique scale in measuring situation awareness for smart manufacturing. Ergonomics, 66(8), 1090–1098. </w:t>
      </w:r>
      <w:hyperlink r:id="rId20" w:history="1">
        <w:r w:rsidR="00AC4105" w:rsidRPr="00A10415">
          <w:rPr>
            <w:rStyle w:val="Hyperlink"/>
            <w:color w:val="auto"/>
            <w:u w:val="none"/>
          </w:rPr>
          <w:t>https://doi.org/10.1080/00140139.2022.2132299</w:t>
        </w:r>
      </w:hyperlink>
    </w:p>
    <w:sectPr w:rsidR="00AC4105" w:rsidRPr="00702A26" w:rsidSect="002A4F1A">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D6CB51" w14:textId="77777777" w:rsidR="002A4F1A" w:rsidRPr="00702A26" w:rsidRDefault="002A4F1A" w:rsidP="004F5E36">
      <w:r w:rsidRPr="00702A26">
        <w:separator/>
      </w:r>
    </w:p>
  </w:endnote>
  <w:endnote w:type="continuationSeparator" w:id="0">
    <w:p w14:paraId="2EA4F53B" w14:textId="77777777" w:rsidR="002A4F1A" w:rsidRPr="00702A26" w:rsidRDefault="002A4F1A" w:rsidP="004F5E36">
      <w:r w:rsidRPr="00702A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84B32C" w14:textId="77777777" w:rsidR="002A4F1A" w:rsidRPr="00702A26" w:rsidRDefault="002A4F1A" w:rsidP="004F5E36">
      <w:r w:rsidRPr="00702A26">
        <w:separator/>
      </w:r>
    </w:p>
  </w:footnote>
  <w:footnote w:type="continuationSeparator" w:id="0">
    <w:p w14:paraId="10C40C86" w14:textId="77777777" w:rsidR="002A4F1A" w:rsidRPr="00702A26" w:rsidRDefault="002A4F1A" w:rsidP="004F5E36">
      <w:r w:rsidRPr="00702A2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A82BFA"/>
    <w:multiLevelType w:val="hybridMultilevel"/>
    <w:tmpl w:val="3E1C35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5EA6F5F"/>
    <w:multiLevelType w:val="hybridMultilevel"/>
    <w:tmpl w:val="BF7A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380DD9"/>
    <w:multiLevelType w:val="hybridMultilevel"/>
    <w:tmpl w:val="D47EA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8F7018"/>
    <w:multiLevelType w:val="hybridMultilevel"/>
    <w:tmpl w:val="1A6E3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38217E"/>
    <w:multiLevelType w:val="multilevel"/>
    <w:tmpl w:val="A3FEB56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lang w:val="en-GB"/>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2CC07740"/>
    <w:multiLevelType w:val="hybridMultilevel"/>
    <w:tmpl w:val="5352C81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87F6EF8"/>
    <w:multiLevelType w:val="hybridMultilevel"/>
    <w:tmpl w:val="3E1C35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93C523F"/>
    <w:multiLevelType w:val="hybridMultilevel"/>
    <w:tmpl w:val="DF508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6882765">
    <w:abstractNumId w:val="14"/>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3"/>
  </w:num>
  <w:num w:numId="13" w16cid:durableId="695733619">
    <w:abstractNumId w:val="17"/>
  </w:num>
  <w:num w:numId="14" w16cid:durableId="145903400">
    <w:abstractNumId w:val="24"/>
  </w:num>
  <w:num w:numId="15" w16cid:durableId="19162326">
    <w:abstractNumId w:val="26"/>
  </w:num>
  <w:num w:numId="16" w16cid:durableId="1977102699">
    <w:abstractNumId w:val="25"/>
  </w:num>
  <w:num w:numId="17" w16cid:durableId="860774865">
    <w:abstractNumId w:val="16"/>
  </w:num>
  <w:num w:numId="18" w16cid:durableId="313221457">
    <w:abstractNumId w:val="17"/>
    <w:lvlOverride w:ilvl="0">
      <w:startOverride w:val="1"/>
    </w:lvlOverride>
  </w:num>
  <w:num w:numId="19" w16cid:durableId="534971577">
    <w:abstractNumId w:val="22"/>
  </w:num>
  <w:num w:numId="20" w16cid:durableId="1150947773">
    <w:abstractNumId w:val="21"/>
  </w:num>
  <w:num w:numId="21" w16cid:durableId="124660497">
    <w:abstractNumId w:val="19"/>
  </w:num>
  <w:num w:numId="22" w16cid:durableId="2099861471">
    <w:abstractNumId w:val="18"/>
  </w:num>
  <w:num w:numId="23" w16cid:durableId="560601586">
    <w:abstractNumId w:val="20"/>
  </w:num>
  <w:num w:numId="24" w16cid:durableId="1252162456">
    <w:abstractNumId w:val="10"/>
  </w:num>
  <w:num w:numId="25" w16cid:durableId="1816215176">
    <w:abstractNumId w:val="11"/>
  </w:num>
  <w:num w:numId="26" w16cid:durableId="716857153">
    <w:abstractNumId w:val="12"/>
  </w:num>
  <w:num w:numId="27" w16cid:durableId="1390112799">
    <w:abstractNumId w:val="15"/>
  </w:num>
  <w:num w:numId="28" w16cid:durableId="1781141637">
    <w:abstractNumId w:val="27"/>
  </w:num>
  <w:num w:numId="29" w16cid:durableId="121943401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DE6"/>
    <w:rsid w:val="000027C0"/>
    <w:rsid w:val="0000514E"/>
    <w:rsid w:val="000052FB"/>
    <w:rsid w:val="000107F6"/>
    <w:rsid w:val="00011655"/>
    <w:rsid w:val="000117CB"/>
    <w:rsid w:val="00011A7D"/>
    <w:rsid w:val="00012E5D"/>
    <w:rsid w:val="000158DC"/>
    <w:rsid w:val="00020540"/>
    <w:rsid w:val="0002399B"/>
    <w:rsid w:val="00025601"/>
    <w:rsid w:val="00030315"/>
    <w:rsid w:val="0003148D"/>
    <w:rsid w:val="00031EEC"/>
    <w:rsid w:val="00042CED"/>
    <w:rsid w:val="00042DE1"/>
    <w:rsid w:val="00043078"/>
    <w:rsid w:val="000436B0"/>
    <w:rsid w:val="00044FBB"/>
    <w:rsid w:val="000478C7"/>
    <w:rsid w:val="00051566"/>
    <w:rsid w:val="000538AF"/>
    <w:rsid w:val="000562A9"/>
    <w:rsid w:val="00056E61"/>
    <w:rsid w:val="00057EB6"/>
    <w:rsid w:val="00061ECB"/>
    <w:rsid w:val="00062A9A"/>
    <w:rsid w:val="00065058"/>
    <w:rsid w:val="00071525"/>
    <w:rsid w:val="00076B52"/>
    <w:rsid w:val="00084D00"/>
    <w:rsid w:val="00086C39"/>
    <w:rsid w:val="000A03B2"/>
    <w:rsid w:val="000A54B7"/>
    <w:rsid w:val="000B1DCB"/>
    <w:rsid w:val="000B5C2E"/>
    <w:rsid w:val="000B6831"/>
    <w:rsid w:val="000C4DB6"/>
    <w:rsid w:val="000C7743"/>
    <w:rsid w:val="000D0268"/>
    <w:rsid w:val="000D2258"/>
    <w:rsid w:val="000D2556"/>
    <w:rsid w:val="000D2621"/>
    <w:rsid w:val="000D34BE"/>
    <w:rsid w:val="000E102F"/>
    <w:rsid w:val="000E3025"/>
    <w:rsid w:val="000E3154"/>
    <w:rsid w:val="000E3586"/>
    <w:rsid w:val="000E36F1"/>
    <w:rsid w:val="000E3A73"/>
    <w:rsid w:val="000E414A"/>
    <w:rsid w:val="000E6777"/>
    <w:rsid w:val="000E68E4"/>
    <w:rsid w:val="000F093C"/>
    <w:rsid w:val="000F22E9"/>
    <w:rsid w:val="000F2706"/>
    <w:rsid w:val="000F33FC"/>
    <w:rsid w:val="000F6D6A"/>
    <w:rsid w:val="000F787B"/>
    <w:rsid w:val="00100910"/>
    <w:rsid w:val="00107FAC"/>
    <w:rsid w:val="0012091F"/>
    <w:rsid w:val="00121131"/>
    <w:rsid w:val="00126BC2"/>
    <w:rsid w:val="001308B6"/>
    <w:rsid w:val="0013121F"/>
    <w:rsid w:val="00131FE6"/>
    <w:rsid w:val="0013263F"/>
    <w:rsid w:val="001331DF"/>
    <w:rsid w:val="0013468B"/>
    <w:rsid w:val="001347B2"/>
    <w:rsid w:val="00134DE4"/>
    <w:rsid w:val="0014034D"/>
    <w:rsid w:val="00144D16"/>
    <w:rsid w:val="00144F80"/>
    <w:rsid w:val="00145009"/>
    <w:rsid w:val="00150E59"/>
    <w:rsid w:val="00152DE3"/>
    <w:rsid w:val="00156C78"/>
    <w:rsid w:val="00164CF9"/>
    <w:rsid w:val="001651A1"/>
    <w:rsid w:val="001653A0"/>
    <w:rsid w:val="00165C94"/>
    <w:rsid w:val="001667A6"/>
    <w:rsid w:val="0017301C"/>
    <w:rsid w:val="001813B7"/>
    <w:rsid w:val="00182DE5"/>
    <w:rsid w:val="00183F80"/>
    <w:rsid w:val="00184AD6"/>
    <w:rsid w:val="00193C48"/>
    <w:rsid w:val="00194E9C"/>
    <w:rsid w:val="00196450"/>
    <w:rsid w:val="00197996"/>
    <w:rsid w:val="00197A64"/>
    <w:rsid w:val="001A4AF7"/>
    <w:rsid w:val="001A78AE"/>
    <w:rsid w:val="001B0349"/>
    <w:rsid w:val="001B05F6"/>
    <w:rsid w:val="001B097C"/>
    <w:rsid w:val="001B1E93"/>
    <w:rsid w:val="001B65C1"/>
    <w:rsid w:val="001C0482"/>
    <w:rsid w:val="001C066D"/>
    <w:rsid w:val="001C0F79"/>
    <w:rsid w:val="001C636D"/>
    <w:rsid w:val="001C684B"/>
    <w:rsid w:val="001D0CFB"/>
    <w:rsid w:val="001D21AF"/>
    <w:rsid w:val="001D53FC"/>
    <w:rsid w:val="001D7D02"/>
    <w:rsid w:val="001E486C"/>
    <w:rsid w:val="001E5021"/>
    <w:rsid w:val="001E639F"/>
    <w:rsid w:val="001F05CC"/>
    <w:rsid w:val="001F10ED"/>
    <w:rsid w:val="001F42A5"/>
    <w:rsid w:val="001F5E01"/>
    <w:rsid w:val="001F7169"/>
    <w:rsid w:val="001F7B9D"/>
    <w:rsid w:val="00201C93"/>
    <w:rsid w:val="002035F9"/>
    <w:rsid w:val="00206157"/>
    <w:rsid w:val="00213823"/>
    <w:rsid w:val="002224B4"/>
    <w:rsid w:val="00230CD7"/>
    <w:rsid w:val="002313ED"/>
    <w:rsid w:val="00235FF8"/>
    <w:rsid w:val="002400C5"/>
    <w:rsid w:val="00240429"/>
    <w:rsid w:val="002447EF"/>
    <w:rsid w:val="0024630D"/>
    <w:rsid w:val="00246D1F"/>
    <w:rsid w:val="00251550"/>
    <w:rsid w:val="00252BEA"/>
    <w:rsid w:val="00263B05"/>
    <w:rsid w:val="00263C51"/>
    <w:rsid w:val="0027221A"/>
    <w:rsid w:val="00275B61"/>
    <w:rsid w:val="00276196"/>
    <w:rsid w:val="00280FAF"/>
    <w:rsid w:val="00282603"/>
    <w:rsid w:val="00282644"/>
    <w:rsid w:val="00282656"/>
    <w:rsid w:val="00290A82"/>
    <w:rsid w:val="00293E77"/>
    <w:rsid w:val="002964F9"/>
    <w:rsid w:val="00296B83"/>
    <w:rsid w:val="00297B89"/>
    <w:rsid w:val="002A0C5A"/>
    <w:rsid w:val="002A494F"/>
    <w:rsid w:val="002A4F1A"/>
    <w:rsid w:val="002A7D51"/>
    <w:rsid w:val="002B1F73"/>
    <w:rsid w:val="002B2B6D"/>
    <w:rsid w:val="002B4015"/>
    <w:rsid w:val="002B4232"/>
    <w:rsid w:val="002B78CE"/>
    <w:rsid w:val="002C1252"/>
    <w:rsid w:val="002C17CE"/>
    <w:rsid w:val="002C2FB6"/>
    <w:rsid w:val="002C4187"/>
    <w:rsid w:val="002C6E65"/>
    <w:rsid w:val="002C702C"/>
    <w:rsid w:val="002C76B8"/>
    <w:rsid w:val="002D4134"/>
    <w:rsid w:val="002E3C6F"/>
    <w:rsid w:val="002E5FA7"/>
    <w:rsid w:val="002F3309"/>
    <w:rsid w:val="003008CE"/>
    <w:rsid w:val="003009B7"/>
    <w:rsid w:val="00300E56"/>
    <w:rsid w:val="0030152C"/>
    <w:rsid w:val="0030469C"/>
    <w:rsid w:val="00321CA6"/>
    <w:rsid w:val="00322CA2"/>
    <w:rsid w:val="00323763"/>
    <w:rsid w:val="003239CD"/>
    <w:rsid w:val="00323C5F"/>
    <w:rsid w:val="00334C09"/>
    <w:rsid w:val="00335D73"/>
    <w:rsid w:val="00336586"/>
    <w:rsid w:val="00347E42"/>
    <w:rsid w:val="003561C3"/>
    <w:rsid w:val="003568DE"/>
    <w:rsid w:val="00363C67"/>
    <w:rsid w:val="00364BB8"/>
    <w:rsid w:val="00365C91"/>
    <w:rsid w:val="00367A8B"/>
    <w:rsid w:val="00367CF2"/>
    <w:rsid w:val="00370C41"/>
    <w:rsid w:val="003723D4"/>
    <w:rsid w:val="003738E5"/>
    <w:rsid w:val="00376C26"/>
    <w:rsid w:val="00381905"/>
    <w:rsid w:val="00381DF0"/>
    <w:rsid w:val="00384CC8"/>
    <w:rsid w:val="003871FD"/>
    <w:rsid w:val="00395EAA"/>
    <w:rsid w:val="003A1E30"/>
    <w:rsid w:val="003A2829"/>
    <w:rsid w:val="003A3B43"/>
    <w:rsid w:val="003A4C7B"/>
    <w:rsid w:val="003A7D1C"/>
    <w:rsid w:val="003B304B"/>
    <w:rsid w:val="003B3146"/>
    <w:rsid w:val="003C13E7"/>
    <w:rsid w:val="003C2741"/>
    <w:rsid w:val="003C602F"/>
    <w:rsid w:val="003D19A6"/>
    <w:rsid w:val="003D3CD9"/>
    <w:rsid w:val="003D55A7"/>
    <w:rsid w:val="003F015E"/>
    <w:rsid w:val="003F6BC0"/>
    <w:rsid w:val="003F77FE"/>
    <w:rsid w:val="003F797B"/>
    <w:rsid w:val="00400414"/>
    <w:rsid w:val="004009E1"/>
    <w:rsid w:val="0040617D"/>
    <w:rsid w:val="0041446B"/>
    <w:rsid w:val="004145B6"/>
    <w:rsid w:val="00421400"/>
    <w:rsid w:val="0042419D"/>
    <w:rsid w:val="004242E7"/>
    <w:rsid w:val="0043535D"/>
    <w:rsid w:val="0044071E"/>
    <w:rsid w:val="0044126E"/>
    <w:rsid w:val="0044329C"/>
    <w:rsid w:val="00443813"/>
    <w:rsid w:val="00444A1D"/>
    <w:rsid w:val="0044741C"/>
    <w:rsid w:val="004525FA"/>
    <w:rsid w:val="00453E24"/>
    <w:rsid w:val="0045489B"/>
    <w:rsid w:val="00455EE0"/>
    <w:rsid w:val="00456449"/>
    <w:rsid w:val="00457456"/>
    <w:rsid w:val="004577FE"/>
    <w:rsid w:val="00457B9C"/>
    <w:rsid w:val="0046164A"/>
    <w:rsid w:val="004628D2"/>
    <w:rsid w:val="00462DCD"/>
    <w:rsid w:val="00464308"/>
    <w:rsid w:val="004648AD"/>
    <w:rsid w:val="004703A9"/>
    <w:rsid w:val="00470FE5"/>
    <w:rsid w:val="0047123E"/>
    <w:rsid w:val="004720D1"/>
    <w:rsid w:val="00473B1F"/>
    <w:rsid w:val="004760DE"/>
    <w:rsid w:val="004763D7"/>
    <w:rsid w:val="004915B5"/>
    <w:rsid w:val="004A004E"/>
    <w:rsid w:val="004A24CF"/>
    <w:rsid w:val="004A2787"/>
    <w:rsid w:val="004A2E5C"/>
    <w:rsid w:val="004A43DF"/>
    <w:rsid w:val="004B0D39"/>
    <w:rsid w:val="004C050C"/>
    <w:rsid w:val="004C2D26"/>
    <w:rsid w:val="004C3D1D"/>
    <w:rsid w:val="004C3D84"/>
    <w:rsid w:val="004C5F0E"/>
    <w:rsid w:val="004C7913"/>
    <w:rsid w:val="004D05C7"/>
    <w:rsid w:val="004E4DD6"/>
    <w:rsid w:val="004F27A9"/>
    <w:rsid w:val="004F5E36"/>
    <w:rsid w:val="005030F4"/>
    <w:rsid w:val="00505F19"/>
    <w:rsid w:val="00507B47"/>
    <w:rsid w:val="00507BEF"/>
    <w:rsid w:val="00507CC9"/>
    <w:rsid w:val="005109D4"/>
    <w:rsid w:val="00511784"/>
    <w:rsid w:val="005119A5"/>
    <w:rsid w:val="005177D3"/>
    <w:rsid w:val="00521950"/>
    <w:rsid w:val="005278B7"/>
    <w:rsid w:val="00532016"/>
    <w:rsid w:val="005346C8"/>
    <w:rsid w:val="005351C3"/>
    <w:rsid w:val="0054129C"/>
    <w:rsid w:val="00541CB4"/>
    <w:rsid w:val="00543E7D"/>
    <w:rsid w:val="005463C1"/>
    <w:rsid w:val="00547A68"/>
    <w:rsid w:val="005531C9"/>
    <w:rsid w:val="005542A0"/>
    <w:rsid w:val="00560B41"/>
    <w:rsid w:val="00570C43"/>
    <w:rsid w:val="00583BA6"/>
    <w:rsid w:val="00591E0A"/>
    <w:rsid w:val="00593153"/>
    <w:rsid w:val="005A0088"/>
    <w:rsid w:val="005A1DFB"/>
    <w:rsid w:val="005A3D31"/>
    <w:rsid w:val="005A65ED"/>
    <w:rsid w:val="005B2110"/>
    <w:rsid w:val="005B2574"/>
    <w:rsid w:val="005B61E6"/>
    <w:rsid w:val="005C03C7"/>
    <w:rsid w:val="005C3249"/>
    <w:rsid w:val="005C5F30"/>
    <w:rsid w:val="005C76A1"/>
    <w:rsid w:val="005C77E1"/>
    <w:rsid w:val="005D20F4"/>
    <w:rsid w:val="005D668A"/>
    <w:rsid w:val="005D6A2F"/>
    <w:rsid w:val="005D7017"/>
    <w:rsid w:val="005D7735"/>
    <w:rsid w:val="005E1A82"/>
    <w:rsid w:val="005E6177"/>
    <w:rsid w:val="005E713C"/>
    <w:rsid w:val="005E794C"/>
    <w:rsid w:val="005F0A28"/>
    <w:rsid w:val="005F0E5E"/>
    <w:rsid w:val="005F3C2A"/>
    <w:rsid w:val="005F6EDF"/>
    <w:rsid w:val="00600535"/>
    <w:rsid w:val="00604858"/>
    <w:rsid w:val="00606A9D"/>
    <w:rsid w:val="00610CD6"/>
    <w:rsid w:val="006117C4"/>
    <w:rsid w:val="006127FC"/>
    <w:rsid w:val="0061415D"/>
    <w:rsid w:val="00620DEE"/>
    <w:rsid w:val="00621F92"/>
    <w:rsid w:val="0062280A"/>
    <w:rsid w:val="006237B4"/>
    <w:rsid w:val="00624544"/>
    <w:rsid w:val="00624597"/>
    <w:rsid w:val="00625639"/>
    <w:rsid w:val="0062598C"/>
    <w:rsid w:val="00630C4A"/>
    <w:rsid w:val="00631B33"/>
    <w:rsid w:val="0064184D"/>
    <w:rsid w:val="006419A5"/>
    <w:rsid w:val="006422CC"/>
    <w:rsid w:val="0064350E"/>
    <w:rsid w:val="00655FBB"/>
    <w:rsid w:val="00660E3E"/>
    <w:rsid w:val="0066162C"/>
    <w:rsid w:val="00662E74"/>
    <w:rsid w:val="00665045"/>
    <w:rsid w:val="00672E60"/>
    <w:rsid w:val="00672F9B"/>
    <w:rsid w:val="00674D9D"/>
    <w:rsid w:val="00680C23"/>
    <w:rsid w:val="00686180"/>
    <w:rsid w:val="006909EA"/>
    <w:rsid w:val="006909FD"/>
    <w:rsid w:val="0069124E"/>
    <w:rsid w:val="006933D4"/>
    <w:rsid w:val="00693766"/>
    <w:rsid w:val="006949E4"/>
    <w:rsid w:val="006951B8"/>
    <w:rsid w:val="00695EBC"/>
    <w:rsid w:val="006A1961"/>
    <w:rsid w:val="006A1B4F"/>
    <w:rsid w:val="006A258F"/>
    <w:rsid w:val="006A3281"/>
    <w:rsid w:val="006A3D3D"/>
    <w:rsid w:val="006B02EC"/>
    <w:rsid w:val="006B32A8"/>
    <w:rsid w:val="006B4888"/>
    <w:rsid w:val="006B7660"/>
    <w:rsid w:val="006B7A23"/>
    <w:rsid w:val="006C2E45"/>
    <w:rsid w:val="006C359C"/>
    <w:rsid w:val="006C5579"/>
    <w:rsid w:val="006D6C91"/>
    <w:rsid w:val="006D6E8B"/>
    <w:rsid w:val="006E737D"/>
    <w:rsid w:val="006F0F85"/>
    <w:rsid w:val="00702A26"/>
    <w:rsid w:val="007137C2"/>
    <w:rsid w:val="00713973"/>
    <w:rsid w:val="00720A24"/>
    <w:rsid w:val="0072122F"/>
    <w:rsid w:val="00721609"/>
    <w:rsid w:val="00725226"/>
    <w:rsid w:val="007255F9"/>
    <w:rsid w:val="00732386"/>
    <w:rsid w:val="0073514D"/>
    <w:rsid w:val="00735657"/>
    <w:rsid w:val="00736237"/>
    <w:rsid w:val="0074065A"/>
    <w:rsid w:val="007413A2"/>
    <w:rsid w:val="0074310E"/>
    <w:rsid w:val="007447F3"/>
    <w:rsid w:val="00751CD2"/>
    <w:rsid w:val="0075499F"/>
    <w:rsid w:val="00754D65"/>
    <w:rsid w:val="00761376"/>
    <w:rsid w:val="007633FC"/>
    <w:rsid w:val="007661C8"/>
    <w:rsid w:val="00766EC8"/>
    <w:rsid w:val="0077098D"/>
    <w:rsid w:val="00772D67"/>
    <w:rsid w:val="00774636"/>
    <w:rsid w:val="00774E68"/>
    <w:rsid w:val="007753E2"/>
    <w:rsid w:val="00780537"/>
    <w:rsid w:val="00781746"/>
    <w:rsid w:val="00782161"/>
    <w:rsid w:val="007905FD"/>
    <w:rsid w:val="007931FA"/>
    <w:rsid w:val="00793638"/>
    <w:rsid w:val="00793F5A"/>
    <w:rsid w:val="007A4861"/>
    <w:rsid w:val="007A7BBA"/>
    <w:rsid w:val="007B0C50"/>
    <w:rsid w:val="007B0FA4"/>
    <w:rsid w:val="007B1DFA"/>
    <w:rsid w:val="007B48F9"/>
    <w:rsid w:val="007B6511"/>
    <w:rsid w:val="007B6780"/>
    <w:rsid w:val="007C1A43"/>
    <w:rsid w:val="007C3ED7"/>
    <w:rsid w:val="007C4890"/>
    <w:rsid w:val="007C5652"/>
    <w:rsid w:val="007D0494"/>
    <w:rsid w:val="007D0951"/>
    <w:rsid w:val="007E3DD1"/>
    <w:rsid w:val="007E6C1B"/>
    <w:rsid w:val="007F4558"/>
    <w:rsid w:val="007F7B13"/>
    <w:rsid w:val="0080013E"/>
    <w:rsid w:val="008007E6"/>
    <w:rsid w:val="00800F82"/>
    <w:rsid w:val="00813288"/>
    <w:rsid w:val="0081428A"/>
    <w:rsid w:val="008168FC"/>
    <w:rsid w:val="00820FC1"/>
    <w:rsid w:val="00823062"/>
    <w:rsid w:val="00824538"/>
    <w:rsid w:val="00830996"/>
    <w:rsid w:val="008345F1"/>
    <w:rsid w:val="0084078D"/>
    <w:rsid w:val="00851CD2"/>
    <w:rsid w:val="00852D4C"/>
    <w:rsid w:val="008533D5"/>
    <w:rsid w:val="008634FE"/>
    <w:rsid w:val="008649C2"/>
    <w:rsid w:val="00865B07"/>
    <w:rsid w:val="008667EA"/>
    <w:rsid w:val="0087637F"/>
    <w:rsid w:val="008823CF"/>
    <w:rsid w:val="00892AD5"/>
    <w:rsid w:val="00894BA5"/>
    <w:rsid w:val="008A1132"/>
    <w:rsid w:val="008A1512"/>
    <w:rsid w:val="008A209E"/>
    <w:rsid w:val="008A4C40"/>
    <w:rsid w:val="008B4D53"/>
    <w:rsid w:val="008B5C23"/>
    <w:rsid w:val="008C1F65"/>
    <w:rsid w:val="008D32B9"/>
    <w:rsid w:val="008D3787"/>
    <w:rsid w:val="008D433B"/>
    <w:rsid w:val="008D4A16"/>
    <w:rsid w:val="008D5A93"/>
    <w:rsid w:val="008E2021"/>
    <w:rsid w:val="008E566E"/>
    <w:rsid w:val="00901250"/>
    <w:rsid w:val="0090161A"/>
    <w:rsid w:val="00901EB6"/>
    <w:rsid w:val="00904C62"/>
    <w:rsid w:val="009053E1"/>
    <w:rsid w:val="0090688B"/>
    <w:rsid w:val="00916798"/>
    <w:rsid w:val="00917EC9"/>
    <w:rsid w:val="00922BA8"/>
    <w:rsid w:val="00923293"/>
    <w:rsid w:val="00924561"/>
    <w:rsid w:val="00924DAC"/>
    <w:rsid w:val="00926F87"/>
    <w:rsid w:val="00927058"/>
    <w:rsid w:val="00927E17"/>
    <w:rsid w:val="0093372B"/>
    <w:rsid w:val="009353BB"/>
    <w:rsid w:val="00936301"/>
    <w:rsid w:val="009364AF"/>
    <w:rsid w:val="009412B7"/>
    <w:rsid w:val="00941AF1"/>
    <w:rsid w:val="00942750"/>
    <w:rsid w:val="009450CE"/>
    <w:rsid w:val="009459BB"/>
    <w:rsid w:val="00945EAE"/>
    <w:rsid w:val="00947179"/>
    <w:rsid w:val="0095164B"/>
    <w:rsid w:val="00954090"/>
    <w:rsid w:val="00956F12"/>
    <w:rsid w:val="00957361"/>
    <w:rsid w:val="009573E7"/>
    <w:rsid w:val="00963E05"/>
    <w:rsid w:val="00964A45"/>
    <w:rsid w:val="00967843"/>
    <w:rsid w:val="00967D54"/>
    <w:rsid w:val="00971028"/>
    <w:rsid w:val="00973D7D"/>
    <w:rsid w:val="00975BF7"/>
    <w:rsid w:val="00990823"/>
    <w:rsid w:val="00993B84"/>
    <w:rsid w:val="009944D3"/>
    <w:rsid w:val="00996483"/>
    <w:rsid w:val="00996F5A"/>
    <w:rsid w:val="009A24E6"/>
    <w:rsid w:val="009A4DE2"/>
    <w:rsid w:val="009B041A"/>
    <w:rsid w:val="009B626F"/>
    <w:rsid w:val="009B748D"/>
    <w:rsid w:val="009C37C3"/>
    <w:rsid w:val="009C7B92"/>
    <w:rsid w:val="009C7C86"/>
    <w:rsid w:val="009D21F9"/>
    <w:rsid w:val="009D2FF7"/>
    <w:rsid w:val="009D3B81"/>
    <w:rsid w:val="009D4449"/>
    <w:rsid w:val="009D506D"/>
    <w:rsid w:val="009D5C90"/>
    <w:rsid w:val="009D693D"/>
    <w:rsid w:val="009D6B3F"/>
    <w:rsid w:val="009E1B02"/>
    <w:rsid w:val="009E4101"/>
    <w:rsid w:val="009E5C98"/>
    <w:rsid w:val="009E60BB"/>
    <w:rsid w:val="009E6EC6"/>
    <w:rsid w:val="009E7884"/>
    <w:rsid w:val="009E788A"/>
    <w:rsid w:val="009F0E08"/>
    <w:rsid w:val="009F3AA9"/>
    <w:rsid w:val="00A02C34"/>
    <w:rsid w:val="00A10239"/>
    <w:rsid w:val="00A10415"/>
    <w:rsid w:val="00A1244E"/>
    <w:rsid w:val="00A1355B"/>
    <w:rsid w:val="00A1397B"/>
    <w:rsid w:val="00A14ABC"/>
    <w:rsid w:val="00A16AEC"/>
    <w:rsid w:val="00A16C7B"/>
    <w:rsid w:val="00A1763D"/>
    <w:rsid w:val="00A17CEC"/>
    <w:rsid w:val="00A2059E"/>
    <w:rsid w:val="00A2095A"/>
    <w:rsid w:val="00A26688"/>
    <w:rsid w:val="00A27EF0"/>
    <w:rsid w:val="00A31369"/>
    <w:rsid w:val="00A40BFD"/>
    <w:rsid w:val="00A42361"/>
    <w:rsid w:val="00A444DC"/>
    <w:rsid w:val="00A50B20"/>
    <w:rsid w:val="00A51390"/>
    <w:rsid w:val="00A52412"/>
    <w:rsid w:val="00A56029"/>
    <w:rsid w:val="00A60406"/>
    <w:rsid w:val="00A60D13"/>
    <w:rsid w:val="00A64261"/>
    <w:rsid w:val="00A64EA3"/>
    <w:rsid w:val="00A6519F"/>
    <w:rsid w:val="00A6600D"/>
    <w:rsid w:val="00A66B7C"/>
    <w:rsid w:val="00A7223D"/>
    <w:rsid w:val="00A72745"/>
    <w:rsid w:val="00A7515E"/>
    <w:rsid w:val="00A76EFC"/>
    <w:rsid w:val="00A76FBA"/>
    <w:rsid w:val="00A77750"/>
    <w:rsid w:val="00A80798"/>
    <w:rsid w:val="00A85276"/>
    <w:rsid w:val="00A87D50"/>
    <w:rsid w:val="00A91010"/>
    <w:rsid w:val="00A93560"/>
    <w:rsid w:val="00A94294"/>
    <w:rsid w:val="00A9438E"/>
    <w:rsid w:val="00A96A25"/>
    <w:rsid w:val="00A97F29"/>
    <w:rsid w:val="00AA702E"/>
    <w:rsid w:val="00AA7D26"/>
    <w:rsid w:val="00AB0964"/>
    <w:rsid w:val="00AB5011"/>
    <w:rsid w:val="00AB7587"/>
    <w:rsid w:val="00AC2C9A"/>
    <w:rsid w:val="00AC4105"/>
    <w:rsid w:val="00AC7368"/>
    <w:rsid w:val="00AD16B9"/>
    <w:rsid w:val="00AD4277"/>
    <w:rsid w:val="00AE153D"/>
    <w:rsid w:val="00AE1B38"/>
    <w:rsid w:val="00AE1F61"/>
    <w:rsid w:val="00AE377D"/>
    <w:rsid w:val="00AE3E5A"/>
    <w:rsid w:val="00AF0A9D"/>
    <w:rsid w:val="00AF0EBA"/>
    <w:rsid w:val="00AF4C3C"/>
    <w:rsid w:val="00AF7404"/>
    <w:rsid w:val="00AF7635"/>
    <w:rsid w:val="00B006CA"/>
    <w:rsid w:val="00B01CC4"/>
    <w:rsid w:val="00B02462"/>
    <w:rsid w:val="00B02C8A"/>
    <w:rsid w:val="00B07C4A"/>
    <w:rsid w:val="00B123EA"/>
    <w:rsid w:val="00B17FBD"/>
    <w:rsid w:val="00B22036"/>
    <w:rsid w:val="00B25FA6"/>
    <w:rsid w:val="00B315A6"/>
    <w:rsid w:val="00B31813"/>
    <w:rsid w:val="00B33365"/>
    <w:rsid w:val="00B44129"/>
    <w:rsid w:val="00B459A7"/>
    <w:rsid w:val="00B479A7"/>
    <w:rsid w:val="00B578AB"/>
    <w:rsid w:val="00B57B36"/>
    <w:rsid w:val="00B57E6F"/>
    <w:rsid w:val="00B63E25"/>
    <w:rsid w:val="00B66947"/>
    <w:rsid w:val="00B67E4C"/>
    <w:rsid w:val="00B700FF"/>
    <w:rsid w:val="00B707A2"/>
    <w:rsid w:val="00B726FB"/>
    <w:rsid w:val="00B7424E"/>
    <w:rsid w:val="00B74873"/>
    <w:rsid w:val="00B7780D"/>
    <w:rsid w:val="00B8686D"/>
    <w:rsid w:val="00B878BE"/>
    <w:rsid w:val="00B93F69"/>
    <w:rsid w:val="00BA0777"/>
    <w:rsid w:val="00BA5FAE"/>
    <w:rsid w:val="00BB1DDC"/>
    <w:rsid w:val="00BB2085"/>
    <w:rsid w:val="00BB2A0B"/>
    <w:rsid w:val="00BB3C82"/>
    <w:rsid w:val="00BC30C9"/>
    <w:rsid w:val="00BC4959"/>
    <w:rsid w:val="00BD077D"/>
    <w:rsid w:val="00BD3065"/>
    <w:rsid w:val="00BD3965"/>
    <w:rsid w:val="00BD59FE"/>
    <w:rsid w:val="00BE3E58"/>
    <w:rsid w:val="00BE4082"/>
    <w:rsid w:val="00BE5047"/>
    <w:rsid w:val="00BF3378"/>
    <w:rsid w:val="00C01616"/>
    <w:rsid w:val="00C0162B"/>
    <w:rsid w:val="00C068ED"/>
    <w:rsid w:val="00C10FE4"/>
    <w:rsid w:val="00C17185"/>
    <w:rsid w:val="00C22E0C"/>
    <w:rsid w:val="00C2434C"/>
    <w:rsid w:val="00C3254F"/>
    <w:rsid w:val="00C345B1"/>
    <w:rsid w:val="00C34747"/>
    <w:rsid w:val="00C35739"/>
    <w:rsid w:val="00C362CD"/>
    <w:rsid w:val="00C36639"/>
    <w:rsid w:val="00C40142"/>
    <w:rsid w:val="00C40474"/>
    <w:rsid w:val="00C52C3C"/>
    <w:rsid w:val="00C562E8"/>
    <w:rsid w:val="00C57182"/>
    <w:rsid w:val="00C57863"/>
    <w:rsid w:val="00C640AF"/>
    <w:rsid w:val="00C655FD"/>
    <w:rsid w:val="00C66FBC"/>
    <w:rsid w:val="00C75407"/>
    <w:rsid w:val="00C77D2C"/>
    <w:rsid w:val="00C8085B"/>
    <w:rsid w:val="00C819B1"/>
    <w:rsid w:val="00C8286A"/>
    <w:rsid w:val="00C83A55"/>
    <w:rsid w:val="00C84E38"/>
    <w:rsid w:val="00C864B5"/>
    <w:rsid w:val="00C870A8"/>
    <w:rsid w:val="00C94434"/>
    <w:rsid w:val="00C9633A"/>
    <w:rsid w:val="00CA0D75"/>
    <w:rsid w:val="00CA1C95"/>
    <w:rsid w:val="00CA5A9C"/>
    <w:rsid w:val="00CA6A19"/>
    <w:rsid w:val="00CA7346"/>
    <w:rsid w:val="00CB1EA6"/>
    <w:rsid w:val="00CB5628"/>
    <w:rsid w:val="00CC4C20"/>
    <w:rsid w:val="00CD1916"/>
    <w:rsid w:val="00CD2552"/>
    <w:rsid w:val="00CD3517"/>
    <w:rsid w:val="00CD44E9"/>
    <w:rsid w:val="00CD5776"/>
    <w:rsid w:val="00CD5E9A"/>
    <w:rsid w:val="00CD5FE2"/>
    <w:rsid w:val="00CE4177"/>
    <w:rsid w:val="00CE4EE5"/>
    <w:rsid w:val="00CE6FCF"/>
    <w:rsid w:val="00CE7C68"/>
    <w:rsid w:val="00CE7CCE"/>
    <w:rsid w:val="00D02B4C"/>
    <w:rsid w:val="00D039FE"/>
    <w:rsid w:val="00D040C4"/>
    <w:rsid w:val="00D129C0"/>
    <w:rsid w:val="00D14556"/>
    <w:rsid w:val="00D14A3F"/>
    <w:rsid w:val="00D14B03"/>
    <w:rsid w:val="00D154CA"/>
    <w:rsid w:val="00D20AD1"/>
    <w:rsid w:val="00D213C5"/>
    <w:rsid w:val="00D2286F"/>
    <w:rsid w:val="00D22D69"/>
    <w:rsid w:val="00D24581"/>
    <w:rsid w:val="00D26854"/>
    <w:rsid w:val="00D31260"/>
    <w:rsid w:val="00D36801"/>
    <w:rsid w:val="00D37F56"/>
    <w:rsid w:val="00D40D3B"/>
    <w:rsid w:val="00D415C6"/>
    <w:rsid w:val="00D4679F"/>
    <w:rsid w:val="00D46B7E"/>
    <w:rsid w:val="00D512B6"/>
    <w:rsid w:val="00D51F2F"/>
    <w:rsid w:val="00D5360E"/>
    <w:rsid w:val="00D57C84"/>
    <w:rsid w:val="00D6057D"/>
    <w:rsid w:val="00D615B2"/>
    <w:rsid w:val="00D61E78"/>
    <w:rsid w:val="00D65EBD"/>
    <w:rsid w:val="00D71640"/>
    <w:rsid w:val="00D74681"/>
    <w:rsid w:val="00D80868"/>
    <w:rsid w:val="00D82111"/>
    <w:rsid w:val="00D836C5"/>
    <w:rsid w:val="00D84576"/>
    <w:rsid w:val="00D84D9E"/>
    <w:rsid w:val="00D86CEC"/>
    <w:rsid w:val="00DA1399"/>
    <w:rsid w:val="00DA1F7E"/>
    <w:rsid w:val="00DA24C6"/>
    <w:rsid w:val="00DA4D7B"/>
    <w:rsid w:val="00DA7F71"/>
    <w:rsid w:val="00DB0775"/>
    <w:rsid w:val="00DB1E32"/>
    <w:rsid w:val="00DB2524"/>
    <w:rsid w:val="00DB2C66"/>
    <w:rsid w:val="00DB4346"/>
    <w:rsid w:val="00DB49A9"/>
    <w:rsid w:val="00DB60DF"/>
    <w:rsid w:val="00DC4B48"/>
    <w:rsid w:val="00DC782A"/>
    <w:rsid w:val="00DD1B7E"/>
    <w:rsid w:val="00DD249C"/>
    <w:rsid w:val="00DD271C"/>
    <w:rsid w:val="00DE264A"/>
    <w:rsid w:val="00DE31DF"/>
    <w:rsid w:val="00DE65A3"/>
    <w:rsid w:val="00DE773B"/>
    <w:rsid w:val="00DE7793"/>
    <w:rsid w:val="00DF5072"/>
    <w:rsid w:val="00E02215"/>
    <w:rsid w:val="00E02D18"/>
    <w:rsid w:val="00E041E7"/>
    <w:rsid w:val="00E05F00"/>
    <w:rsid w:val="00E16848"/>
    <w:rsid w:val="00E23CA1"/>
    <w:rsid w:val="00E32BF9"/>
    <w:rsid w:val="00E409A8"/>
    <w:rsid w:val="00E43D61"/>
    <w:rsid w:val="00E4450D"/>
    <w:rsid w:val="00E44E7B"/>
    <w:rsid w:val="00E464D8"/>
    <w:rsid w:val="00E46FE4"/>
    <w:rsid w:val="00E50C12"/>
    <w:rsid w:val="00E56498"/>
    <w:rsid w:val="00E612F6"/>
    <w:rsid w:val="00E631CB"/>
    <w:rsid w:val="00E65B91"/>
    <w:rsid w:val="00E66790"/>
    <w:rsid w:val="00E7209D"/>
    <w:rsid w:val="00E72EAD"/>
    <w:rsid w:val="00E7581C"/>
    <w:rsid w:val="00E77223"/>
    <w:rsid w:val="00E81938"/>
    <w:rsid w:val="00E8528B"/>
    <w:rsid w:val="00E85B94"/>
    <w:rsid w:val="00E866DC"/>
    <w:rsid w:val="00E87BB2"/>
    <w:rsid w:val="00E91F15"/>
    <w:rsid w:val="00E94EA0"/>
    <w:rsid w:val="00E978D0"/>
    <w:rsid w:val="00EA4613"/>
    <w:rsid w:val="00EA7F91"/>
    <w:rsid w:val="00EB1523"/>
    <w:rsid w:val="00EB1966"/>
    <w:rsid w:val="00EB7DC1"/>
    <w:rsid w:val="00EC0E49"/>
    <w:rsid w:val="00EC101F"/>
    <w:rsid w:val="00EC1D9F"/>
    <w:rsid w:val="00EC564D"/>
    <w:rsid w:val="00EC759B"/>
    <w:rsid w:val="00ED192A"/>
    <w:rsid w:val="00ED1964"/>
    <w:rsid w:val="00ED690D"/>
    <w:rsid w:val="00ED6E4C"/>
    <w:rsid w:val="00ED76AD"/>
    <w:rsid w:val="00EE0131"/>
    <w:rsid w:val="00EE17B0"/>
    <w:rsid w:val="00EE243E"/>
    <w:rsid w:val="00EF06D9"/>
    <w:rsid w:val="00EF126D"/>
    <w:rsid w:val="00EF34F2"/>
    <w:rsid w:val="00EF4EBA"/>
    <w:rsid w:val="00F06D9D"/>
    <w:rsid w:val="00F0701C"/>
    <w:rsid w:val="00F139BD"/>
    <w:rsid w:val="00F16607"/>
    <w:rsid w:val="00F170DA"/>
    <w:rsid w:val="00F173FD"/>
    <w:rsid w:val="00F260C3"/>
    <w:rsid w:val="00F3049E"/>
    <w:rsid w:val="00F30C64"/>
    <w:rsid w:val="00F32012"/>
    <w:rsid w:val="00F32BA2"/>
    <w:rsid w:val="00F32CDB"/>
    <w:rsid w:val="00F410A0"/>
    <w:rsid w:val="00F414E2"/>
    <w:rsid w:val="00F45530"/>
    <w:rsid w:val="00F565FE"/>
    <w:rsid w:val="00F63A70"/>
    <w:rsid w:val="00F63D8C"/>
    <w:rsid w:val="00F64B6E"/>
    <w:rsid w:val="00F73975"/>
    <w:rsid w:val="00F74AA9"/>
    <w:rsid w:val="00F7534E"/>
    <w:rsid w:val="00F87AAB"/>
    <w:rsid w:val="00F87FA5"/>
    <w:rsid w:val="00F9124F"/>
    <w:rsid w:val="00F93D6C"/>
    <w:rsid w:val="00F93EDF"/>
    <w:rsid w:val="00FA0324"/>
    <w:rsid w:val="00FA13D9"/>
    <w:rsid w:val="00FA1802"/>
    <w:rsid w:val="00FA21D0"/>
    <w:rsid w:val="00FA37BC"/>
    <w:rsid w:val="00FA5AC0"/>
    <w:rsid w:val="00FA5F5F"/>
    <w:rsid w:val="00FA6180"/>
    <w:rsid w:val="00FB730C"/>
    <w:rsid w:val="00FB7CD2"/>
    <w:rsid w:val="00FC2695"/>
    <w:rsid w:val="00FC3E03"/>
    <w:rsid w:val="00FC3FC1"/>
    <w:rsid w:val="00FC6622"/>
    <w:rsid w:val="00FD49E8"/>
    <w:rsid w:val="00FD55FB"/>
    <w:rsid w:val="00FD5B4E"/>
    <w:rsid w:val="00FD704B"/>
    <w:rsid w:val="00FE1A8C"/>
    <w:rsid w:val="00FE2562"/>
    <w:rsid w:val="00FE2CA1"/>
    <w:rsid w:val="00FE50EE"/>
    <w:rsid w:val="00FE599D"/>
    <w:rsid w:val="00FE64BF"/>
    <w:rsid w:val="00FE77CE"/>
    <w:rsid w:val="00FF5AA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UnresolvedMention">
    <w:name w:val="Unresolved Mention"/>
    <w:basedOn w:val="DefaultParagraphFont"/>
    <w:uiPriority w:val="99"/>
    <w:semiHidden/>
    <w:unhideWhenUsed/>
    <w:rsid w:val="00CD1916"/>
    <w:rPr>
      <w:color w:val="605E5C"/>
      <w:shd w:val="clear" w:color="auto" w:fill="E1DFDD"/>
    </w:rPr>
  </w:style>
  <w:style w:type="paragraph" w:styleId="Revision">
    <w:name w:val="Revision"/>
    <w:hidden/>
    <w:uiPriority w:val="99"/>
    <w:semiHidden/>
    <w:rsid w:val="00252BEA"/>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343337">
      <w:bodyDiv w:val="1"/>
      <w:marLeft w:val="0"/>
      <w:marRight w:val="0"/>
      <w:marTop w:val="0"/>
      <w:marBottom w:val="0"/>
      <w:divBdr>
        <w:top w:val="none" w:sz="0" w:space="0" w:color="auto"/>
        <w:left w:val="none" w:sz="0" w:space="0" w:color="auto"/>
        <w:bottom w:val="none" w:sz="0" w:space="0" w:color="auto"/>
        <w:right w:val="none" w:sz="0" w:space="0" w:color="auto"/>
      </w:divBdr>
    </w:div>
    <w:div w:id="131605017">
      <w:bodyDiv w:val="1"/>
      <w:marLeft w:val="0"/>
      <w:marRight w:val="0"/>
      <w:marTop w:val="0"/>
      <w:marBottom w:val="0"/>
      <w:divBdr>
        <w:top w:val="none" w:sz="0" w:space="0" w:color="auto"/>
        <w:left w:val="none" w:sz="0" w:space="0" w:color="auto"/>
        <w:bottom w:val="none" w:sz="0" w:space="0" w:color="auto"/>
        <w:right w:val="none" w:sz="0" w:space="0" w:color="auto"/>
      </w:divBdr>
    </w:div>
    <w:div w:id="151719739">
      <w:bodyDiv w:val="1"/>
      <w:marLeft w:val="0"/>
      <w:marRight w:val="0"/>
      <w:marTop w:val="0"/>
      <w:marBottom w:val="0"/>
      <w:divBdr>
        <w:top w:val="none" w:sz="0" w:space="0" w:color="auto"/>
        <w:left w:val="none" w:sz="0" w:space="0" w:color="auto"/>
        <w:bottom w:val="none" w:sz="0" w:space="0" w:color="auto"/>
        <w:right w:val="none" w:sz="0" w:space="0" w:color="auto"/>
      </w:divBdr>
    </w:div>
    <w:div w:id="241721091">
      <w:bodyDiv w:val="1"/>
      <w:marLeft w:val="0"/>
      <w:marRight w:val="0"/>
      <w:marTop w:val="0"/>
      <w:marBottom w:val="0"/>
      <w:divBdr>
        <w:top w:val="none" w:sz="0" w:space="0" w:color="auto"/>
        <w:left w:val="none" w:sz="0" w:space="0" w:color="auto"/>
        <w:bottom w:val="none" w:sz="0" w:space="0" w:color="auto"/>
        <w:right w:val="none" w:sz="0" w:space="0" w:color="auto"/>
      </w:divBdr>
    </w:div>
    <w:div w:id="329215181">
      <w:bodyDiv w:val="1"/>
      <w:marLeft w:val="0"/>
      <w:marRight w:val="0"/>
      <w:marTop w:val="0"/>
      <w:marBottom w:val="0"/>
      <w:divBdr>
        <w:top w:val="none" w:sz="0" w:space="0" w:color="auto"/>
        <w:left w:val="none" w:sz="0" w:space="0" w:color="auto"/>
        <w:bottom w:val="none" w:sz="0" w:space="0" w:color="auto"/>
        <w:right w:val="none" w:sz="0" w:space="0" w:color="auto"/>
      </w:divBdr>
    </w:div>
    <w:div w:id="388769121">
      <w:bodyDiv w:val="1"/>
      <w:marLeft w:val="0"/>
      <w:marRight w:val="0"/>
      <w:marTop w:val="0"/>
      <w:marBottom w:val="0"/>
      <w:divBdr>
        <w:top w:val="none" w:sz="0" w:space="0" w:color="auto"/>
        <w:left w:val="none" w:sz="0" w:space="0" w:color="auto"/>
        <w:bottom w:val="none" w:sz="0" w:space="0" w:color="auto"/>
        <w:right w:val="none" w:sz="0" w:space="0" w:color="auto"/>
      </w:divBdr>
      <w:divsChild>
        <w:div w:id="583538723">
          <w:marLeft w:val="0"/>
          <w:marRight w:val="0"/>
          <w:marTop w:val="0"/>
          <w:marBottom w:val="0"/>
          <w:divBdr>
            <w:top w:val="none" w:sz="0" w:space="0" w:color="auto"/>
            <w:left w:val="none" w:sz="0" w:space="0" w:color="auto"/>
            <w:bottom w:val="none" w:sz="0" w:space="0" w:color="auto"/>
            <w:right w:val="none" w:sz="0" w:space="0" w:color="auto"/>
          </w:divBdr>
        </w:div>
      </w:divsChild>
    </w:div>
    <w:div w:id="455215994">
      <w:bodyDiv w:val="1"/>
      <w:marLeft w:val="0"/>
      <w:marRight w:val="0"/>
      <w:marTop w:val="0"/>
      <w:marBottom w:val="0"/>
      <w:divBdr>
        <w:top w:val="none" w:sz="0" w:space="0" w:color="auto"/>
        <w:left w:val="none" w:sz="0" w:space="0" w:color="auto"/>
        <w:bottom w:val="none" w:sz="0" w:space="0" w:color="auto"/>
        <w:right w:val="none" w:sz="0" w:space="0" w:color="auto"/>
      </w:divBdr>
    </w:div>
    <w:div w:id="53932254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3837">
      <w:bodyDiv w:val="1"/>
      <w:marLeft w:val="0"/>
      <w:marRight w:val="0"/>
      <w:marTop w:val="0"/>
      <w:marBottom w:val="0"/>
      <w:divBdr>
        <w:top w:val="none" w:sz="0" w:space="0" w:color="auto"/>
        <w:left w:val="none" w:sz="0" w:space="0" w:color="auto"/>
        <w:bottom w:val="none" w:sz="0" w:space="0" w:color="auto"/>
        <w:right w:val="none" w:sz="0" w:space="0" w:color="auto"/>
      </w:divBdr>
    </w:div>
    <w:div w:id="980503351">
      <w:bodyDiv w:val="1"/>
      <w:marLeft w:val="0"/>
      <w:marRight w:val="0"/>
      <w:marTop w:val="0"/>
      <w:marBottom w:val="0"/>
      <w:divBdr>
        <w:top w:val="none" w:sz="0" w:space="0" w:color="auto"/>
        <w:left w:val="none" w:sz="0" w:space="0" w:color="auto"/>
        <w:bottom w:val="none" w:sz="0" w:space="0" w:color="auto"/>
        <w:right w:val="none" w:sz="0" w:space="0" w:color="auto"/>
      </w:divBdr>
    </w:div>
    <w:div w:id="1208837881">
      <w:bodyDiv w:val="1"/>
      <w:marLeft w:val="0"/>
      <w:marRight w:val="0"/>
      <w:marTop w:val="0"/>
      <w:marBottom w:val="0"/>
      <w:divBdr>
        <w:top w:val="none" w:sz="0" w:space="0" w:color="auto"/>
        <w:left w:val="none" w:sz="0" w:space="0" w:color="auto"/>
        <w:bottom w:val="none" w:sz="0" w:space="0" w:color="auto"/>
        <w:right w:val="none" w:sz="0" w:space="0" w:color="auto"/>
      </w:divBdr>
    </w:div>
    <w:div w:id="1283347057">
      <w:bodyDiv w:val="1"/>
      <w:marLeft w:val="0"/>
      <w:marRight w:val="0"/>
      <w:marTop w:val="0"/>
      <w:marBottom w:val="0"/>
      <w:divBdr>
        <w:top w:val="none" w:sz="0" w:space="0" w:color="auto"/>
        <w:left w:val="none" w:sz="0" w:space="0" w:color="auto"/>
        <w:bottom w:val="none" w:sz="0" w:space="0" w:color="auto"/>
        <w:right w:val="none" w:sz="0" w:space="0" w:color="auto"/>
      </w:divBdr>
    </w:div>
    <w:div w:id="1337535841">
      <w:bodyDiv w:val="1"/>
      <w:marLeft w:val="0"/>
      <w:marRight w:val="0"/>
      <w:marTop w:val="0"/>
      <w:marBottom w:val="0"/>
      <w:divBdr>
        <w:top w:val="none" w:sz="0" w:space="0" w:color="auto"/>
        <w:left w:val="none" w:sz="0" w:space="0" w:color="auto"/>
        <w:bottom w:val="none" w:sz="0" w:space="0" w:color="auto"/>
        <w:right w:val="none" w:sz="0" w:space="0" w:color="auto"/>
      </w:divBdr>
    </w:div>
    <w:div w:id="1343554611">
      <w:bodyDiv w:val="1"/>
      <w:marLeft w:val="0"/>
      <w:marRight w:val="0"/>
      <w:marTop w:val="0"/>
      <w:marBottom w:val="0"/>
      <w:divBdr>
        <w:top w:val="none" w:sz="0" w:space="0" w:color="auto"/>
        <w:left w:val="none" w:sz="0" w:space="0" w:color="auto"/>
        <w:bottom w:val="none" w:sz="0" w:space="0" w:color="auto"/>
        <w:right w:val="none" w:sz="0" w:space="0" w:color="auto"/>
      </w:divBdr>
    </w:div>
    <w:div w:id="1356731716">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71289290">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320373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06084">
      <w:bodyDiv w:val="1"/>
      <w:marLeft w:val="0"/>
      <w:marRight w:val="0"/>
      <w:marTop w:val="0"/>
      <w:marBottom w:val="0"/>
      <w:divBdr>
        <w:top w:val="none" w:sz="0" w:space="0" w:color="auto"/>
        <w:left w:val="none" w:sz="0" w:space="0" w:color="auto"/>
        <w:bottom w:val="none" w:sz="0" w:space="0" w:color="auto"/>
        <w:right w:val="none" w:sz="0" w:space="0" w:color="auto"/>
      </w:divBdr>
    </w:div>
    <w:div w:id="1949652959">
      <w:bodyDiv w:val="1"/>
      <w:marLeft w:val="0"/>
      <w:marRight w:val="0"/>
      <w:marTop w:val="0"/>
      <w:marBottom w:val="0"/>
      <w:divBdr>
        <w:top w:val="none" w:sz="0" w:space="0" w:color="auto"/>
        <w:left w:val="none" w:sz="0" w:space="0" w:color="auto"/>
        <w:bottom w:val="none" w:sz="0" w:space="0" w:color="auto"/>
        <w:right w:val="none" w:sz="0" w:space="0" w:color="auto"/>
      </w:divBdr>
    </w:div>
    <w:div w:id="1990590493">
      <w:bodyDiv w:val="1"/>
      <w:marLeft w:val="0"/>
      <w:marRight w:val="0"/>
      <w:marTop w:val="0"/>
      <w:marBottom w:val="0"/>
      <w:divBdr>
        <w:top w:val="none" w:sz="0" w:space="0" w:color="auto"/>
        <w:left w:val="none" w:sz="0" w:space="0" w:color="auto"/>
        <w:bottom w:val="none" w:sz="0" w:space="0" w:color="auto"/>
        <w:right w:val="none" w:sz="0" w:space="0" w:color="auto"/>
      </w:divBdr>
    </w:div>
    <w:div w:id="208260544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doi.org/10.3758/bf03213106"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imotions.com/blog/learning/10-terms-metrics-eye-tracking/"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doi.org/10.1080/00140139.2022.213229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https://doi.org/10.1007/978-3-031-10780-1_1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593AC13BF9A041B706185C0DC94076" ma:contentTypeVersion="18" ma:contentTypeDescription="Create a new document." ma:contentTypeScope="" ma:versionID="7a294d4049efe6f61a4530128a1f950d">
  <xsd:schema xmlns:xsd="http://www.w3.org/2001/XMLSchema" xmlns:xs="http://www.w3.org/2001/XMLSchema" xmlns:p="http://schemas.microsoft.com/office/2006/metadata/properties" xmlns:ns2="bc0e4351-a8ce-40f2-811d-c83ed5f970d1" xmlns:ns3="0c5a400e-74ed-4eae-afec-94a31d3c7687" targetNamespace="http://schemas.microsoft.com/office/2006/metadata/properties" ma:root="true" ma:fieldsID="5643acbe2ec40b0fe1159b39bf791ff5" ns2:_="" ns3:_="">
    <xsd:import namespace="bc0e4351-a8ce-40f2-811d-c83ed5f970d1"/>
    <xsd:import namespace="0c5a400e-74ed-4eae-afec-94a31d3c76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e4351-a8ce-40f2-811d-c83ed5f97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168bf0-f213-4887-af2e-cac682fa24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5a400e-74ed-4eae-afec-94a31d3c768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d173bc-a2ce-4c34-9483-c52aaeb22221}" ma:internalName="TaxCatchAll" ma:showField="CatchAllData" ma:web="0c5a400e-74ed-4eae-afec-94a31d3c76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67058B-BB71-4342-A941-8DE798D8A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0e4351-a8ce-40f2-811d-c83ed5f970d1"/>
    <ds:schemaRef ds:uri="0c5a400e-74ed-4eae-afec-94a31d3c76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3.xml><?xml version="1.0" encoding="utf-8"?>
<ds:datastoreItem xmlns:ds="http://schemas.openxmlformats.org/officeDocument/2006/customXml" ds:itemID="{F5EFCDF6-DA12-4F2C-85E3-7C1B377171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3376</Words>
  <Characters>19096</Characters>
  <Application>Microsoft Office Word</Application>
  <DocSecurity>0</DocSecurity>
  <Lines>335</Lines>
  <Paragraphs>122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Chidera Winifred  Amazu</cp:lastModifiedBy>
  <cp:revision>13</cp:revision>
  <cp:lastPrinted>2024-02-20T16:20:00Z</cp:lastPrinted>
  <dcterms:created xsi:type="dcterms:W3CDTF">2024-02-20T16:52:00Z</dcterms:created>
  <dcterms:modified xsi:type="dcterms:W3CDTF">2024-04-13T09:38:00Z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969f386d9cf29de84576549122a99673ef69a9bcebf298083afdb51d9dd68244</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