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58086446"/>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673CCF">
          <w:type w:val="continuous"/>
          <w:pgSz w:w="11906" w:h="16838" w:code="9"/>
          <w:pgMar w:top="1701" w:right="1418" w:bottom="1701" w:left="1701" w:header="1701" w:footer="0" w:gutter="0"/>
          <w:cols w:space="708"/>
          <w:titlePg/>
          <w:docGrid w:linePitch="360"/>
        </w:sectPr>
      </w:pPr>
    </w:p>
    <w:p w14:paraId="2E667253" w14:textId="55675BC0" w:rsidR="00E978D0" w:rsidRPr="00665323" w:rsidRDefault="00D57CBE" w:rsidP="00665323">
      <w:pPr>
        <w:pStyle w:val="CETTitle"/>
      </w:pPr>
      <w:r>
        <w:t xml:space="preserve">Consequences of partial vessel failure in BLEVE </w:t>
      </w:r>
      <w:r w:rsidR="00E10EB4">
        <w:t xml:space="preserve">and </w:t>
      </w:r>
      <w:r w:rsidR="008B0916">
        <w:t xml:space="preserve">liquid </w:t>
      </w:r>
      <w:r w:rsidR="00E10EB4">
        <w:t>full fill rupture events</w:t>
      </w:r>
    </w:p>
    <w:p w14:paraId="0488FED2" w14:textId="06DA576C" w:rsidR="00B57E6F" w:rsidRPr="00B57B36" w:rsidRDefault="00D57CBE" w:rsidP="00B57E6F">
      <w:pPr>
        <w:pStyle w:val="CETAuthors"/>
      </w:pPr>
      <w:r>
        <w:t>El Mehdi Laamarti</w:t>
      </w:r>
      <w:r w:rsidR="00B57E6F" w:rsidRPr="00B57B36">
        <w:rPr>
          <w:vertAlign w:val="superscript"/>
        </w:rPr>
        <w:t>a</w:t>
      </w:r>
      <w:r>
        <w:rPr>
          <w:vertAlign w:val="superscript"/>
        </w:rPr>
        <w:t>,b</w:t>
      </w:r>
      <w:r w:rsidR="00B57E6F" w:rsidRPr="00B57B36">
        <w:t xml:space="preserve">, </w:t>
      </w:r>
      <w:r>
        <w:t>Frederic</w:t>
      </w:r>
      <w:r w:rsidR="00B57E6F" w:rsidRPr="00B57B36">
        <w:t xml:space="preserve"> </w:t>
      </w:r>
      <w:r>
        <w:t>Heymes</w:t>
      </w:r>
      <w:r w:rsidR="00B57E6F" w:rsidRPr="00B57B36">
        <w:rPr>
          <w:vertAlign w:val="superscript"/>
        </w:rPr>
        <w:t>b,</w:t>
      </w:r>
      <w:r w:rsidR="00B57E6F" w:rsidRPr="00B57B36">
        <w:t xml:space="preserve">*, </w:t>
      </w:r>
      <w:r>
        <w:t>Albrecht Michael Birk</w:t>
      </w:r>
      <w:r>
        <w:rPr>
          <w:vertAlign w:val="superscript"/>
        </w:rPr>
        <w:t>a</w:t>
      </w:r>
    </w:p>
    <w:p w14:paraId="6B2D21B3" w14:textId="4234A4D9" w:rsidR="00B57E6F" w:rsidRPr="00B57B36" w:rsidRDefault="00B57E6F" w:rsidP="00B57E6F">
      <w:pPr>
        <w:pStyle w:val="CETAddress"/>
      </w:pPr>
      <w:r w:rsidRPr="00B57B36">
        <w:rPr>
          <w:vertAlign w:val="superscript"/>
        </w:rPr>
        <w:t>a</w:t>
      </w:r>
      <w:r w:rsidR="00D57CBE">
        <w:t>Department of Mechanical and Materials Engineering, Queen’s University, Kingston, Ontario, Canada</w:t>
      </w:r>
    </w:p>
    <w:p w14:paraId="3D72B0B0" w14:textId="7B8A6D93" w:rsidR="00B57E6F" w:rsidRPr="00D57CBE" w:rsidRDefault="00B57E6F" w:rsidP="00B57E6F">
      <w:pPr>
        <w:pStyle w:val="CETAddress"/>
        <w:rPr>
          <w:lang w:val="fr-FR"/>
        </w:rPr>
      </w:pPr>
      <w:r w:rsidRPr="00D57CBE">
        <w:rPr>
          <w:vertAlign w:val="superscript"/>
          <w:lang w:val="fr-FR"/>
        </w:rPr>
        <w:t>b</w:t>
      </w:r>
      <w:r w:rsidR="00D57CBE" w:rsidRPr="00D57CBE">
        <w:rPr>
          <w:lang w:val="fr-FR"/>
        </w:rPr>
        <w:t>Institut des Sciences des Risques, Institut Mines-Télécom</w:t>
      </w:r>
      <w:r w:rsidR="00D57CBE">
        <w:rPr>
          <w:lang w:val="fr-FR"/>
        </w:rPr>
        <w:t>,</w:t>
      </w:r>
      <w:r w:rsidR="00D57CBE" w:rsidRPr="00D57CBE">
        <w:rPr>
          <w:lang w:val="fr-FR"/>
        </w:rPr>
        <w:t> </w:t>
      </w:r>
      <w:r w:rsidR="00D57CBE">
        <w:rPr>
          <w:lang w:val="fr-FR"/>
        </w:rPr>
        <w:t xml:space="preserve">IMT mines </w:t>
      </w:r>
      <w:r w:rsidR="00D57CBE" w:rsidRPr="00D57CBE">
        <w:rPr>
          <w:lang w:val="fr-FR"/>
        </w:rPr>
        <w:t xml:space="preserve">Alès, 6 avenue de Clavières, 30319 Ales, France </w:t>
      </w:r>
      <w:r w:rsidRPr="00D57CBE">
        <w:rPr>
          <w:lang w:val="fr-FR"/>
        </w:rPr>
        <w:t xml:space="preserve"> </w:t>
      </w:r>
    </w:p>
    <w:p w14:paraId="7BE8F21E" w14:textId="329D5E03" w:rsidR="00EF7EE0" w:rsidRPr="009546D4" w:rsidRDefault="00B57E6F" w:rsidP="00EF7EE0">
      <w:pPr>
        <w:pStyle w:val="CETemail"/>
        <w:rPr>
          <w:lang w:val="en-CA"/>
        </w:rPr>
      </w:pPr>
      <w:r w:rsidRPr="009546D4">
        <w:rPr>
          <w:lang w:val="fr-FR"/>
        </w:rPr>
        <w:t xml:space="preserve"> </w:t>
      </w:r>
      <w:bookmarkStart w:id="1" w:name="_Hlk495475023"/>
      <w:r w:rsidR="00EF7EE0" w:rsidRPr="00EF7EE0">
        <w:rPr>
          <w:lang w:val="fr-FR"/>
        </w:rPr>
        <w:fldChar w:fldCharType="begin"/>
      </w:r>
      <w:r w:rsidR="00EF7EE0" w:rsidRPr="00EF7EE0">
        <w:rPr>
          <w:lang w:val="en-CA"/>
        </w:rPr>
        <w:instrText>HYPERLINK "mailto:frederic.heymes@mines-ales.fr"</w:instrText>
      </w:r>
      <w:r w:rsidR="00EF7EE0" w:rsidRPr="00EF7EE0">
        <w:rPr>
          <w:lang w:val="fr-FR"/>
        </w:rPr>
      </w:r>
      <w:r w:rsidR="00EF7EE0" w:rsidRPr="00EF7EE0">
        <w:rPr>
          <w:lang w:val="fr-FR"/>
        </w:rPr>
        <w:fldChar w:fldCharType="separate"/>
      </w:r>
      <w:r w:rsidR="00EF7EE0" w:rsidRPr="00EF7EE0">
        <w:rPr>
          <w:lang w:val="en-CA"/>
        </w:rPr>
        <w:t>frederic.heymes@mines-ales.fr</w:t>
      </w:r>
      <w:r w:rsidR="00EF7EE0" w:rsidRPr="00EF7EE0">
        <w:rPr>
          <w:lang w:val="fr-FR"/>
        </w:rPr>
        <w:fldChar w:fldCharType="end"/>
      </w:r>
    </w:p>
    <w:p w14:paraId="38962A87" w14:textId="0B64FF7E" w:rsidR="00600535" w:rsidRPr="00F11CBA" w:rsidRDefault="008046FA" w:rsidP="00D5373C">
      <w:pPr>
        <w:pStyle w:val="CETListbullets"/>
        <w:ind w:left="0" w:firstLine="0"/>
      </w:pPr>
      <w:r>
        <w:t>The Boiling liquid expanding vapor explosion (BLEVE)</w:t>
      </w:r>
      <w:r w:rsidR="00D5373C">
        <w:t xml:space="preserve"> </w:t>
      </w:r>
      <w:r w:rsidR="005B786E">
        <w:t xml:space="preserve">refers to a catastrophic explosion that occurs when a vessel containing </w:t>
      </w:r>
      <w:r w:rsidR="00584CBD">
        <w:t>a pressure liquified gas at a temperature well above its atmospheric boiling point experiences total loss of containment. T</w:t>
      </w:r>
      <w:r w:rsidR="005B786E">
        <w:t>he vessel completely opens and hazards are produced posing risks to nearby populated areas and critical infrastructure. Studying partial failures aids in developing strategies to minimize potential damage from associated hazards</w:t>
      </w:r>
      <w:r w:rsidR="00F11CBA">
        <w:t xml:space="preserve"> such as ground load</w:t>
      </w:r>
      <w:r w:rsidR="00584CBD">
        <w:t xml:space="preserve">, projectiles, and </w:t>
      </w:r>
      <w:r w:rsidR="00F11CBA">
        <w:t>near-field overpressure</w:t>
      </w:r>
      <w:r w:rsidR="005B786E">
        <w:t xml:space="preserve">. </w:t>
      </w:r>
      <w:r w:rsidR="00D5373C">
        <w:t xml:space="preserve">Understanding the characteristics of partial failure mechanism provides valuable insights for identifying factors influencing vessel opening </w:t>
      </w:r>
      <w:r w:rsidR="005B786E">
        <w:t xml:space="preserve">and increasing the severity of BLEVE incidents. </w:t>
      </w:r>
      <w:r w:rsidR="004670C7">
        <w:t>New s</w:t>
      </w:r>
      <w:r w:rsidR="005B786E">
        <w:t xml:space="preserve">mall-scale propane </w:t>
      </w:r>
      <w:r w:rsidR="004670C7">
        <w:t xml:space="preserve">2022 </w:t>
      </w:r>
      <w:r w:rsidR="005B786E">
        <w:t xml:space="preserve">BLEVE experiments </w:t>
      </w:r>
      <w:r w:rsidR="00F11CBA">
        <w:t xml:space="preserve">on </w:t>
      </w:r>
      <w:r w:rsidR="00F11CBA" w:rsidRPr="00101BAE">
        <w:rPr>
          <w:lang w:val="en-CA"/>
        </w:rPr>
        <w:t>5</w:t>
      </w:r>
      <w:r w:rsidR="00BD1A32">
        <w:rPr>
          <w:lang w:val="en-CA"/>
        </w:rPr>
        <w:t>89</w:t>
      </w:r>
      <w:r w:rsidR="00F11CBA" w:rsidRPr="00101BAE">
        <w:rPr>
          <w:lang w:val="en-CA"/>
        </w:rPr>
        <w:t xml:space="preserve"> cm</w:t>
      </w:r>
      <w:r w:rsidR="00F11CBA" w:rsidRPr="00101BAE">
        <w:rPr>
          <w:vertAlign w:val="superscript"/>
          <w:lang w:val="en-CA"/>
        </w:rPr>
        <w:t>3</w:t>
      </w:r>
      <w:r w:rsidR="00F11CBA">
        <w:rPr>
          <w:lang w:val="en-CA"/>
        </w:rPr>
        <w:t xml:space="preserve"> aluminium vessels were conducted</w:t>
      </w:r>
      <w:r w:rsidR="009546D4">
        <w:rPr>
          <w:lang w:val="en-CA"/>
        </w:rPr>
        <w:t xml:space="preserve"> at IMT mines Ales, France,</w:t>
      </w:r>
      <w:r w:rsidR="00F11CBA">
        <w:rPr>
          <w:lang w:val="en-CA"/>
        </w:rPr>
        <w:t xml:space="preserve"> for different operating conditions. Through a sensitivity analysis, th</w:t>
      </w:r>
      <w:r>
        <w:rPr>
          <w:lang w:val="en-CA"/>
        </w:rPr>
        <w:t>is</w:t>
      </w:r>
      <w:r w:rsidR="00F11CBA">
        <w:rPr>
          <w:lang w:val="en-CA"/>
        </w:rPr>
        <w:t xml:space="preserve"> study investigate</w:t>
      </w:r>
      <w:r>
        <w:rPr>
          <w:lang w:val="en-CA"/>
        </w:rPr>
        <w:t>s</w:t>
      </w:r>
      <w:r w:rsidR="00F11CBA">
        <w:rPr>
          <w:lang w:val="en-CA"/>
        </w:rPr>
        <w:t xml:space="preserve"> the factors contributing to partial failure, and how the type of opening contributes to a less or more powerful </w:t>
      </w:r>
      <w:r w:rsidR="00BD1849">
        <w:rPr>
          <w:lang w:val="en-CA"/>
        </w:rPr>
        <w:t>hazards</w:t>
      </w:r>
      <w:r w:rsidR="00F11CBA">
        <w:rPr>
          <w:lang w:val="en-CA"/>
        </w:rPr>
        <w:t>.</w:t>
      </w:r>
    </w:p>
    <w:bookmarkEnd w:id="1"/>
    <w:p w14:paraId="476B2F2E" w14:textId="77777777" w:rsidR="00600535" w:rsidRPr="00B57B36" w:rsidRDefault="00600535" w:rsidP="00600535">
      <w:pPr>
        <w:pStyle w:val="CETHeading1"/>
        <w:rPr>
          <w:lang w:val="en-GB"/>
        </w:rPr>
      </w:pPr>
      <w:r w:rsidRPr="00B57B36">
        <w:rPr>
          <w:lang w:val="en-GB"/>
        </w:rPr>
        <w:t>Introduction</w:t>
      </w:r>
    </w:p>
    <w:p w14:paraId="2CD71223" w14:textId="278D5827" w:rsidR="0050133D" w:rsidRDefault="0050133D" w:rsidP="0050133D">
      <w:pPr>
        <w:rPr>
          <w:lang w:val="en-CA"/>
        </w:rPr>
      </w:pPr>
      <w:r w:rsidRPr="001B1F1D">
        <w:rPr>
          <w:lang w:val="en-CA"/>
        </w:rPr>
        <w:t xml:space="preserve">In the realm </w:t>
      </w:r>
      <w:r>
        <w:rPr>
          <w:lang w:val="en-CA"/>
        </w:rPr>
        <w:t>o</w:t>
      </w:r>
      <w:r w:rsidRPr="001B1F1D">
        <w:rPr>
          <w:lang w:val="en-CA"/>
        </w:rPr>
        <w:t>f h</w:t>
      </w:r>
      <w:r>
        <w:rPr>
          <w:lang w:val="en-CA"/>
        </w:rPr>
        <w:t xml:space="preserve">azardous materials and industrial safety, the acronym BLEVE stands for Boiling Liquid Expanding Vapor Explosion. This phenomenon, referred to as BLEVE, corresponds to the sudden explosive release of expanding vapor and the flashing superheated liquid. Such occurrences result from the abrupt rupture of pressurized vessel, because of extraneous variables, during the storage and transportation of pressurized liquids. The consequential destruction potential of a BLEVE event in proximity to populated areas has attracted considerable attention from emergency responders due to its capacity of producing devastating consequences on both human life and infrastructure. A BLEVE event </w:t>
      </w:r>
      <w:r w:rsidR="00141AE4">
        <w:rPr>
          <w:lang w:val="en-CA"/>
        </w:rPr>
        <w:t>produces</w:t>
      </w:r>
      <w:r>
        <w:rPr>
          <w:lang w:val="en-CA"/>
        </w:rPr>
        <w:t xml:space="preserve"> various hazards, including </w:t>
      </w:r>
      <w:r w:rsidR="00AD5DF1">
        <w:rPr>
          <w:lang w:val="en-CA"/>
        </w:rPr>
        <w:t xml:space="preserve">aerial </w:t>
      </w:r>
      <w:r>
        <w:rPr>
          <w:lang w:val="en-CA"/>
        </w:rPr>
        <w:t xml:space="preserve">overpressures, fireballs, vapor clouds, projectiles, and ground loads, all of which possess the potential to inflict damage on surroundings, leading to substantial and dramatic losses. For instance, in January 2024, a BLEVE incident took place in Mongolia, when a tank truck, collided with a car, resulting in at least 11 people injured, three firefighters deceased and buildings engulfed in fire. </w:t>
      </w:r>
    </w:p>
    <w:p w14:paraId="51DF8555" w14:textId="4CD6A8EA" w:rsidR="0050133D" w:rsidRDefault="0050133D" w:rsidP="0050133D">
      <w:pPr>
        <w:rPr>
          <w:lang w:val="en-CA"/>
        </w:rPr>
      </w:pPr>
      <w:r>
        <w:rPr>
          <w:lang w:val="en-CA"/>
        </w:rPr>
        <w:tab/>
        <w:t>In the face of such disasters, the effective control of BLEVE incidents hinges upon a</w:t>
      </w:r>
      <w:r w:rsidR="00141AE4">
        <w:rPr>
          <w:lang w:val="en-CA"/>
        </w:rPr>
        <w:t xml:space="preserve">n </w:t>
      </w:r>
      <w:r>
        <w:rPr>
          <w:lang w:val="en-CA"/>
        </w:rPr>
        <w:t xml:space="preserve">understanding of their underlying mechanisms. Birk et al. (2007) elucidates the opening mechanism as a critical condition for a BLEVE, stating that the total loss of containment (TLOC) leading to complete opening of the vessel is a prerequisite for the full expansion of its contents. However, unlike typical catastrophic BLEVEs resulting from complete failures, some incidents involve only partial failures, impacting the characteristics of associated hazards. For instance, it has been demonstrated by authors, like Westin et al. (1971) that the </w:t>
      </w:r>
      <w:r w:rsidR="000E6F26">
        <w:rPr>
          <w:lang w:val="en-CA"/>
        </w:rPr>
        <w:t xml:space="preserve">types of failure </w:t>
      </w:r>
      <w:r>
        <w:rPr>
          <w:lang w:val="en-CA"/>
        </w:rPr>
        <w:t xml:space="preserve">and projectiles distances are strongly related. The factors determining whether a failure is partial or complete in an explosion are not thoroughly understood. A better understanding of failure </w:t>
      </w:r>
      <w:r w:rsidR="000E6F26">
        <w:rPr>
          <w:lang w:val="en-CA"/>
        </w:rPr>
        <w:t xml:space="preserve">mechanism </w:t>
      </w:r>
      <w:r>
        <w:rPr>
          <w:lang w:val="en-CA"/>
        </w:rPr>
        <w:t xml:space="preserve">holds the promise of </w:t>
      </w:r>
      <w:r w:rsidR="000E6F26">
        <w:rPr>
          <w:lang w:val="en-CA"/>
        </w:rPr>
        <w:t>reducing</w:t>
      </w:r>
      <w:r>
        <w:rPr>
          <w:lang w:val="en-CA"/>
        </w:rPr>
        <w:t xml:space="preserve"> associated hazards. </w:t>
      </w:r>
    </w:p>
    <w:p w14:paraId="070AE5B3" w14:textId="677ED7C4" w:rsidR="0050133D" w:rsidRDefault="0050133D" w:rsidP="0050133D">
      <w:pPr>
        <w:rPr>
          <w:lang w:val="en-CA"/>
        </w:rPr>
      </w:pPr>
      <w:r>
        <w:rPr>
          <w:lang w:val="en-CA"/>
        </w:rPr>
        <w:tab/>
        <w:t xml:space="preserve">Baker et al. (1973) were pioneers in investigating diverse failure modes of cylindrical vessels and successfully developed correlations to predict the fragment effect. The analysis made assumptions about the symmetry of the vessel’s opening, resulting in vessel breaking into two equal halves, and assumed uniform vessel thickness. Anderson et al. (1974) delved into stress rupture failure in tank cars, employing Larson-Miller approach and </w:t>
      </w:r>
      <w:r w:rsidR="000E6F26">
        <w:rPr>
          <w:lang w:val="en-CA"/>
        </w:rPr>
        <w:t>analyzing the</w:t>
      </w:r>
      <w:r>
        <w:rPr>
          <w:lang w:val="en-CA"/>
        </w:rPr>
        <w:t xml:space="preserve"> time-to-failure. Venart et al. (2000) explored potential failure mechanisms and their consequences in BLEVE. He observed that failure dynamics were linked to crack instability, rapid over-</w:t>
      </w:r>
      <w:r>
        <w:rPr>
          <w:lang w:val="en-CA"/>
        </w:rPr>
        <w:lastRenderedPageBreak/>
        <w:t xml:space="preserve">pressurization, or rapid quenching of the crack tip supported by thermo-hydraulics, resulting in uncontrolled vessel failure. Moreover, he found that the dimensions of the initial fissure formed are contingent upon the metal temperature, fill level and the energy of the vapor phase. In contrast, McHenry et al (1987) focuses on </w:t>
      </w:r>
      <w:r w:rsidR="000E6F26">
        <w:rPr>
          <w:lang w:val="en-CA"/>
        </w:rPr>
        <w:t>failures where the crack starts in a</w:t>
      </w:r>
      <w:r>
        <w:rPr>
          <w:lang w:val="en-CA"/>
        </w:rPr>
        <w:t xml:space="preserve"> circumferential direction and maintai</w:t>
      </w:r>
      <w:r w:rsidR="000E6F26">
        <w:rPr>
          <w:lang w:val="en-CA"/>
        </w:rPr>
        <w:t xml:space="preserve">ns </w:t>
      </w:r>
      <w:r>
        <w:rPr>
          <w:lang w:val="en-CA"/>
        </w:rPr>
        <w:t xml:space="preserve">this mode throughout failure. </w:t>
      </w:r>
    </w:p>
    <w:p w14:paraId="481AB302" w14:textId="153BB336" w:rsidR="0050133D" w:rsidRDefault="0050133D" w:rsidP="0050133D">
      <w:pPr>
        <w:rPr>
          <w:lang w:val="en-CA"/>
        </w:rPr>
      </w:pPr>
      <w:r>
        <w:rPr>
          <w:lang w:val="en-CA"/>
        </w:rPr>
        <w:tab/>
        <w:t>Numerous experiments conducted at various scales, over the years have sought to enhance the understanding of the dynamics involved in BLEVE. Medium-scale experiments carried out by Birk and Cunningham (1994) focused on 1.9</w:t>
      </w:r>
      <w:r w:rsidR="000F142C">
        <w:rPr>
          <w:lang w:val="en-CA"/>
        </w:rPr>
        <w:t xml:space="preserve"> </w:t>
      </w:r>
      <w:r>
        <w:rPr>
          <w:lang w:val="en-CA"/>
        </w:rPr>
        <w:t>m</w:t>
      </w:r>
      <w:r w:rsidRPr="001E7708">
        <w:rPr>
          <w:vertAlign w:val="superscript"/>
          <w:lang w:val="en-CA"/>
        </w:rPr>
        <w:t xml:space="preserve">3 </w:t>
      </w:r>
      <w:r>
        <w:rPr>
          <w:lang w:val="en-CA"/>
        </w:rPr>
        <w:t>pressurized vessels filled with propane, while larger scale investigations were undertaken by Balke et al. (1999) on 45 m</w:t>
      </w:r>
      <w:r w:rsidRPr="001E7708">
        <w:rPr>
          <w:vertAlign w:val="superscript"/>
          <w:lang w:val="en-CA"/>
        </w:rPr>
        <w:t>3</w:t>
      </w:r>
      <w:r>
        <w:rPr>
          <w:lang w:val="en-CA"/>
        </w:rPr>
        <w:t xml:space="preserve"> tanks also filled with propane. Th</w:t>
      </w:r>
      <w:r w:rsidR="000E6F26">
        <w:rPr>
          <w:lang w:val="en-CA"/>
        </w:rPr>
        <w:t>e</w:t>
      </w:r>
      <w:r>
        <w:rPr>
          <w:lang w:val="en-CA"/>
        </w:rPr>
        <w:t xml:space="preserve"> primary objectives of these experiments were on exploring the far-field overpressure generated by BLEVE events. Building upon this body of research, controlled experiments were conducted on a smaller scale during the </w:t>
      </w:r>
      <w:r w:rsidR="00E10EB4">
        <w:rPr>
          <w:lang w:val="en-CA"/>
        </w:rPr>
        <w:t xml:space="preserve">Laamarti </w:t>
      </w:r>
      <w:r>
        <w:rPr>
          <w:lang w:val="en-CA"/>
        </w:rPr>
        <w:t xml:space="preserve">2022 experimental campaign. </w:t>
      </w:r>
    </w:p>
    <w:p w14:paraId="4352294B" w14:textId="3BAA3341" w:rsidR="0050133D" w:rsidRDefault="0050133D" w:rsidP="0050133D">
      <w:pPr>
        <w:rPr>
          <w:lang w:val="en-CA"/>
        </w:rPr>
      </w:pPr>
      <w:r>
        <w:rPr>
          <w:lang w:val="en-CA"/>
        </w:rPr>
        <w:tab/>
        <w:t xml:space="preserve">This paper delves into the dynamics of failure opening by presenting results obtained from a 2022 test campaign involving vessels measuring 300 mm in length and 50 mm in diameter. Each vessel was mounted on four load cells and surrounded by blast gages. The tests were conducted under various operating conditions, by changing the controlled variables such as burst pressure, fill level, and </w:t>
      </w:r>
      <w:r w:rsidR="00584CBD">
        <w:rPr>
          <w:lang w:val="en-CA"/>
        </w:rPr>
        <w:t>weakened</w:t>
      </w:r>
      <w:r>
        <w:rPr>
          <w:lang w:val="en-CA"/>
        </w:rPr>
        <w:t xml:space="preserve"> length. Different </w:t>
      </w:r>
      <w:r w:rsidR="000E6F26">
        <w:rPr>
          <w:lang w:val="en-CA"/>
        </w:rPr>
        <w:t>types</w:t>
      </w:r>
      <w:r>
        <w:rPr>
          <w:lang w:val="en-CA"/>
        </w:rPr>
        <w:t xml:space="preserve"> of failures were observed, ranging from partial to total opening of vessel walls. The study explores the factors influencing these diverse opening dynamics and investigates how the </w:t>
      </w:r>
      <w:r w:rsidR="000E6F26">
        <w:rPr>
          <w:lang w:val="en-CA"/>
        </w:rPr>
        <w:t>type and mode</w:t>
      </w:r>
      <w:r>
        <w:rPr>
          <w:lang w:val="en-CA"/>
        </w:rPr>
        <w:t xml:space="preserve"> of failure impacts associated hazards. </w:t>
      </w:r>
    </w:p>
    <w:p w14:paraId="5741900F" w14:textId="1520D187" w:rsidR="00453E24" w:rsidRDefault="00101BAE" w:rsidP="00453E24">
      <w:pPr>
        <w:pStyle w:val="CETHeading1"/>
      </w:pPr>
      <w:r>
        <w:t>Experimental apparatus</w:t>
      </w:r>
    </w:p>
    <w:p w14:paraId="27C64C01" w14:textId="1FFFF43D" w:rsidR="00101BAE" w:rsidRDefault="00101BAE" w:rsidP="00101BAE">
      <w:pPr>
        <w:rPr>
          <w:lang w:val="en-CA"/>
        </w:rPr>
      </w:pPr>
      <w:r w:rsidRPr="00101BAE">
        <w:rPr>
          <w:lang w:val="en-CA"/>
        </w:rPr>
        <w:t>The</w:t>
      </w:r>
      <w:r w:rsidR="004670C7">
        <w:rPr>
          <w:lang w:val="en-CA"/>
        </w:rPr>
        <w:t xml:space="preserve"> </w:t>
      </w:r>
      <w:r w:rsidRPr="00101BAE">
        <w:rPr>
          <w:lang w:val="en-CA"/>
        </w:rPr>
        <w:t>2022 experimental campaign on small scale BLEVE</w:t>
      </w:r>
      <w:r w:rsidR="004670C7">
        <w:rPr>
          <w:lang w:val="en-CA"/>
        </w:rPr>
        <w:t xml:space="preserve"> (Laamarti 2022)</w:t>
      </w:r>
      <w:r w:rsidRPr="00101BAE">
        <w:rPr>
          <w:lang w:val="en-CA"/>
        </w:rPr>
        <w:t xml:space="preserve"> involved vessels, featuring a length-to-diameter ratio (L/D) of 6, equating the dimensions of 300 mm in length and 50 mm in diameter. The vessels were filled with</w:t>
      </w:r>
      <w:r w:rsidR="00584CBD">
        <w:rPr>
          <w:lang w:val="en-CA"/>
        </w:rPr>
        <w:t xml:space="preserve"> 99.</w:t>
      </w:r>
      <w:r w:rsidR="00DF2CF0">
        <w:rPr>
          <w:lang w:val="en-CA"/>
        </w:rPr>
        <w:t>5</w:t>
      </w:r>
      <w:r w:rsidR="00584CBD">
        <w:rPr>
          <w:lang w:val="en-CA"/>
        </w:rPr>
        <w:t xml:space="preserve"> %</w:t>
      </w:r>
      <w:r w:rsidRPr="00101BAE">
        <w:rPr>
          <w:lang w:val="en-CA"/>
        </w:rPr>
        <w:t xml:space="preserve"> propane and subjected to </w:t>
      </w:r>
      <w:r w:rsidR="00524EEF">
        <w:rPr>
          <w:lang w:val="en-CA"/>
        </w:rPr>
        <w:t xml:space="preserve">electric heating </w:t>
      </w:r>
      <w:r w:rsidR="00584CBD">
        <w:rPr>
          <w:lang w:val="en-CA"/>
        </w:rPr>
        <w:t xml:space="preserve">of the fluid </w:t>
      </w:r>
      <w:r w:rsidR="00524EEF">
        <w:rPr>
          <w:lang w:val="en-CA"/>
        </w:rPr>
        <w:t xml:space="preserve">until </w:t>
      </w:r>
      <w:r w:rsidRPr="00101BAE">
        <w:rPr>
          <w:lang w:val="en-CA"/>
        </w:rPr>
        <w:t xml:space="preserve">failure. It is noteworthy that no combustion </w:t>
      </w:r>
      <w:r w:rsidR="00584CBD">
        <w:rPr>
          <w:lang w:val="en-CA"/>
        </w:rPr>
        <w:t>was</w:t>
      </w:r>
      <w:r w:rsidRPr="00101BAE">
        <w:rPr>
          <w:lang w:val="en-CA"/>
        </w:rPr>
        <w:t xml:space="preserve"> </w:t>
      </w:r>
      <w:r w:rsidR="00584CBD">
        <w:rPr>
          <w:lang w:val="en-CA"/>
        </w:rPr>
        <w:t>observed</w:t>
      </w:r>
      <w:r w:rsidRPr="00101BAE">
        <w:rPr>
          <w:lang w:val="en-CA"/>
        </w:rPr>
        <w:t xml:space="preserve"> during these experiments. </w:t>
      </w:r>
      <w:r w:rsidR="00524EEF">
        <w:rPr>
          <w:lang w:val="en-CA"/>
        </w:rPr>
        <w:t>The tests were conducted for v</w:t>
      </w:r>
      <w:r w:rsidRPr="00101BAE">
        <w:rPr>
          <w:lang w:val="en-CA"/>
        </w:rPr>
        <w:t xml:space="preserve">arious independent variables, such as burst pressure </w:t>
      </w:r>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m:t>
            </m:r>
          </m:sub>
        </m:sSub>
        <m:r>
          <m:rPr>
            <m:sty m:val="p"/>
          </m:rPr>
          <w:rPr>
            <w:rFonts w:ascii="Cambria Math" w:hAnsi="Cambria Math"/>
            <w:lang w:val="en-CA"/>
          </w:rPr>
          <m:t> </m:t>
        </m:r>
      </m:oMath>
      <w:r w:rsidRPr="00101BAE">
        <w:rPr>
          <w:lang w:val="en-CA"/>
        </w:rPr>
        <w:t xml:space="preserve">[Barg], the liquid fill fraction </w:t>
      </w:r>
      <m:oMath>
        <m:r>
          <w:rPr>
            <w:rFonts w:ascii="Cambria Math" w:hAnsi="Cambria Math"/>
            <w:lang w:val="en-CA"/>
          </w:rPr>
          <m:t>φ</m:t>
        </m:r>
      </m:oMath>
      <w:r w:rsidRPr="00101BAE">
        <w:rPr>
          <w:lang w:val="en-CA"/>
        </w:rPr>
        <w:t xml:space="preserve"> [%] and the </w:t>
      </w:r>
      <w:r w:rsidR="00584CBD">
        <w:rPr>
          <w:lang w:val="en-CA"/>
        </w:rPr>
        <w:t>weakened</w:t>
      </w:r>
      <w:r w:rsidRPr="00101BAE">
        <w:rPr>
          <w:lang w:val="en-CA"/>
        </w:rPr>
        <w:t xml:space="preserve"> length </w:t>
      </w:r>
      <m:oMath>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c</m:t>
            </m:r>
          </m:sub>
        </m:sSub>
      </m:oMath>
      <w:r w:rsidRPr="00101BAE">
        <w:rPr>
          <w:lang w:val="en-CA"/>
        </w:rPr>
        <w:t xml:space="preserve"> [mm]</w:t>
      </w:r>
      <w:r w:rsidR="00524EEF">
        <w:rPr>
          <w:lang w:val="en-CA"/>
        </w:rPr>
        <w:t xml:space="preserve">. </w:t>
      </w:r>
      <w:r w:rsidRPr="00101BAE">
        <w:rPr>
          <w:lang w:val="en-CA"/>
        </w:rPr>
        <w:t xml:space="preserve">The term </w:t>
      </w:r>
      <w:r w:rsidR="00584CBD" w:rsidRPr="00101BAE">
        <w:rPr>
          <w:lang w:val="en-CA"/>
        </w:rPr>
        <w:t>“</w:t>
      </w:r>
      <w:r w:rsidR="00584CBD">
        <w:rPr>
          <w:lang w:val="en-CA"/>
        </w:rPr>
        <w:t xml:space="preserve">weakened or </w:t>
      </w:r>
      <w:r w:rsidRPr="00101BAE">
        <w:rPr>
          <w:lang w:val="en-CA"/>
        </w:rPr>
        <w:t>cut length” refers to the</w:t>
      </w:r>
      <w:r w:rsidR="00584CBD">
        <w:rPr>
          <w:lang w:val="en-CA"/>
        </w:rPr>
        <w:t xml:space="preserve"> length along the vessel top where wall</w:t>
      </w:r>
      <w:r w:rsidRPr="00101BAE">
        <w:rPr>
          <w:lang w:val="en-CA"/>
        </w:rPr>
        <w:t xml:space="preserve"> thickness</w:t>
      </w:r>
      <w:r w:rsidR="00584CBD">
        <w:rPr>
          <w:lang w:val="en-CA"/>
        </w:rPr>
        <w:t xml:space="preserve"> is</w:t>
      </w:r>
      <w:r w:rsidRPr="00101BAE">
        <w:rPr>
          <w:lang w:val="en-CA"/>
        </w:rPr>
        <w:t xml:space="preserve"> removed to facilitate controlled bursting at predetermined pressures. Notably, the rupture </w:t>
      </w:r>
      <w:r w:rsidR="00584CBD">
        <w:rPr>
          <w:lang w:val="en-CA"/>
        </w:rPr>
        <w:t xml:space="preserve">always </w:t>
      </w:r>
      <w:r w:rsidRPr="00101BAE">
        <w:rPr>
          <w:lang w:val="en-CA"/>
        </w:rPr>
        <w:t>occurred at the top of the vessel, along the</w:t>
      </w:r>
      <w:r w:rsidR="00524EEF">
        <w:rPr>
          <w:lang w:val="en-CA"/>
        </w:rPr>
        <w:t xml:space="preserve"> machined</w:t>
      </w:r>
      <w:r w:rsidRPr="00101BAE">
        <w:rPr>
          <w:lang w:val="en-CA"/>
        </w:rPr>
        <w:t xml:space="preserve"> weakened length. Figure </w:t>
      </w:r>
      <w:r w:rsidR="00524EEF">
        <w:rPr>
          <w:lang w:val="en-CA"/>
        </w:rPr>
        <w:t>1</w:t>
      </w:r>
      <w:r w:rsidRPr="00101BAE">
        <w:rPr>
          <w:lang w:val="en-CA"/>
        </w:rPr>
        <w:t xml:space="preserve"> provides both top and side views of the vessel, illustrating the location of the machin</w:t>
      </w:r>
      <w:r w:rsidR="00524EEF">
        <w:rPr>
          <w:lang w:val="en-CA"/>
        </w:rPr>
        <w:t>ed</w:t>
      </w:r>
      <w:r w:rsidRPr="00101BAE">
        <w:rPr>
          <w:lang w:val="en-CA"/>
        </w:rPr>
        <w:t xml:space="preserve"> length</w:t>
      </w:r>
      <w:r w:rsidR="00524EEF">
        <w:rPr>
          <w:lang w:val="en-CA"/>
        </w:rPr>
        <w:t>.</w:t>
      </w:r>
    </w:p>
    <w:p w14:paraId="3BDB6F43" w14:textId="77777777" w:rsidR="00524EEF" w:rsidRDefault="00524EEF" w:rsidP="00524EEF">
      <w:pPr>
        <w:jc w:val="center"/>
        <w:rPr>
          <w:lang w:val="en-CA"/>
        </w:rPr>
      </w:pPr>
      <w:r w:rsidRPr="00D715B0">
        <w:rPr>
          <w:noProof/>
          <w:lang w:val="en-CA"/>
        </w:rPr>
        <w:drawing>
          <wp:inline distT="0" distB="0" distL="0" distR="0" wp14:anchorId="6C4828B7" wp14:editId="08D63A40">
            <wp:extent cx="3420688" cy="1234440"/>
            <wp:effectExtent l="0" t="0" r="8890" b="3810"/>
            <wp:docPr id="909978554" name="Image 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78554" name="Image 1" descr="Une image contenant texte, capture d’écran, diagramme, ligne&#10;&#10;Description générée automatiquement"/>
                    <pic:cNvPicPr/>
                  </pic:nvPicPr>
                  <pic:blipFill>
                    <a:blip r:embed="rId10"/>
                    <a:stretch>
                      <a:fillRect/>
                    </a:stretch>
                  </pic:blipFill>
                  <pic:spPr>
                    <a:xfrm>
                      <a:off x="0" y="0"/>
                      <a:ext cx="3629963" cy="1309962"/>
                    </a:xfrm>
                    <a:prstGeom prst="rect">
                      <a:avLst/>
                    </a:prstGeom>
                  </pic:spPr>
                </pic:pic>
              </a:graphicData>
            </a:graphic>
          </wp:inline>
        </w:drawing>
      </w:r>
    </w:p>
    <w:p w14:paraId="059A4970" w14:textId="0AFFF661" w:rsidR="00524EEF" w:rsidRDefault="00524EEF" w:rsidP="00524EEF">
      <w:pPr>
        <w:pStyle w:val="CETCaption"/>
      </w:pPr>
      <w:r w:rsidRPr="00BD077D">
        <w:rPr>
          <w:rStyle w:val="CETCaptionCarattere"/>
          <w:i/>
        </w:rPr>
        <w:t xml:space="preserve">Figure 1: </w:t>
      </w:r>
      <w:r>
        <w:rPr>
          <w:rStyle w:val="CETCaptionCarattere"/>
          <w:i/>
        </w:rPr>
        <w:t>Top and side view of the vessel</w:t>
      </w:r>
      <w:r w:rsidRPr="00BD077D">
        <w:t xml:space="preserve"> </w:t>
      </w:r>
    </w:p>
    <w:p w14:paraId="1B6DD155" w14:textId="190DD72B" w:rsidR="00524EEF" w:rsidRDefault="00524EEF" w:rsidP="00524EEF">
      <w:pPr>
        <w:rPr>
          <w:lang w:val="en-CA"/>
        </w:rPr>
      </w:pPr>
      <w:r>
        <w:rPr>
          <w:lang w:val="en-CA"/>
        </w:rPr>
        <w:t xml:space="preserve">The vessels used in the experiments were made from annealed aluminium 6061 T6, which was tempered to T0 to reduce the yield and ultimate strength. This tempering process involved extended </w:t>
      </w:r>
      <w:r w:rsidR="004235BF">
        <w:rPr>
          <w:lang w:val="en-CA"/>
        </w:rPr>
        <w:t xml:space="preserve">duration </w:t>
      </w:r>
      <w:r>
        <w:rPr>
          <w:lang w:val="en-CA"/>
        </w:rPr>
        <w:t>heating, surpassing the metal’s recrystallization point, followed by a slow cooling regimen. To preserve their properties, the tubes were stored in a freezer at -</w:t>
      </w:r>
      <w:r w:rsidR="009221A3">
        <w:rPr>
          <w:lang w:val="en-CA"/>
        </w:rPr>
        <w:t>2</w:t>
      </w:r>
      <w:r>
        <w:rPr>
          <w:lang w:val="en-CA"/>
        </w:rPr>
        <w:t>0</w:t>
      </w:r>
      <w:r w:rsidR="00DF2CF0">
        <w:rPr>
          <w:lang w:val="en-CA"/>
        </w:rPr>
        <w:t xml:space="preserve"> </w:t>
      </w:r>
      <w:r>
        <w:rPr>
          <w:rFonts w:cs="Arial"/>
          <w:lang w:val="en-CA"/>
        </w:rPr>
        <w:t>⁰</w:t>
      </w:r>
      <w:r>
        <w:rPr>
          <w:lang w:val="en-CA"/>
        </w:rPr>
        <w:t>C until use. Throughout the experiments, variations in the independent variables resulted in the generation of a new BLEVE dataset, specifically on the near-field overpressure and ground load. The data collection employed high-speed instruments, including high-speed cameras, thirteen pencil blast gages positioned at various locations and orientations, as well as four load cells and additional equipment. The 2022 experimental campaign comprised 36 tests</w:t>
      </w:r>
      <w:r w:rsidR="00EB45E1">
        <w:rPr>
          <w:lang w:val="en-CA"/>
        </w:rPr>
        <w:t>.</w:t>
      </w:r>
    </w:p>
    <w:p w14:paraId="677EBFF0" w14:textId="40E26DDB" w:rsidR="00600535" w:rsidRDefault="00524EEF" w:rsidP="00600535">
      <w:pPr>
        <w:pStyle w:val="CETHeading1"/>
        <w:tabs>
          <w:tab w:val="clear" w:pos="360"/>
          <w:tab w:val="right" w:pos="7100"/>
        </w:tabs>
        <w:jc w:val="both"/>
        <w:rPr>
          <w:lang w:val="en-GB"/>
        </w:rPr>
      </w:pPr>
      <w:r>
        <w:rPr>
          <w:lang w:val="en-GB"/>
        </w:rPr>
        <w:t>Types of failure</w:t>
      </w:r>
    </w:p>
    <w:p w14:paraId="31B908D9" w14:textId="308620D9" w:rsidR="00524EEF" w:rsidRDefault="00524EEF" w:rsidP="00524EEF">
      <w:pPr>
        <w:rPr>
          <w:lang w:eastAsia="en-GB"/>
        </w:rPr>
      </w:pPr>
      <w:r>
        <w:rPr>
          <w:lang w:eastAsia="en-GB"/>
        </w:rPr>
        <w:t xml:space="preserve">Throughout the experimental campaign, failures were obtained once the </w:t>
      </w:r>
      <w:r w:rsidR="004235BF">
        <w:rPr>
          <w:lang w:eastAsia="en-GB"/>
        </w:rPr>
        <w:t xml:space="preserve">weakened </w:t>
      </w:r>
      <w:r>
        <w:rPr>
          <w:lang w:eastAsia="en-GB"/>
        </w:rPr>
        <w:t xml:space="preserve">vessel walls reached a point where they could no longer withstand the elevated stresses from the high </w:t>
      </w:r>
      <w:r w:rsidR="004235BF">
        <w:rPr>
          <w:lang w:eastAsia="en-GB"/>
        </w:rPr>
        <w:t>internal pressure</w:t>
      </w:r>
      <w:r>
        <w:rPr>
          <w:lang w:eastAsia="en-GB"/>
        </w:rPr>
        <w:t xml:space="preserve">. The failure obtained corresponds to a ductile deformation which is the extent of a plastic deformation where the material undergoes a non-reversible change in shape due to the application of stresses exceeding the yield point. This compromise in material strength can manifest into two fundamental types of failure categorized as partial opening failure and total opening failure. This categorization holds significant importance, as indicated by Birk et al. (2007), where the type of failure </w:t>
      </w:r>
      <w:r w:rsidR="00141AE4">
        <w:rPr>
          <w:lang w:eastAsia="en-GB"/>
        </w:rPr>
        <w:t xml:space="preserve">is a </w:t>
      </w:r>
      <w:r>
        <w:rPr>
          <w:lang w:eastAsia="en-GB"/>
        </w:rPr>
        <w:t xml:space="preserve">critical criterion </w:t>
      </w:r>
      <w:r w:rsidR="00141AE4">
        <w:rPr>
          <w:lang w:eastAsia="en-GB"/>
        </w:rPr>
        <w:t>to</w:t>
      </w:r>
      <w:r>
        <w:rPr>
          <w:lang w:eastAsia="en-GB"/>
        </w:rPr>
        <w:t xml:space="preserve"> determin</w:t>
      </w:r>
      <w:r w:rsidR="00141AE4">
        <w:rPr>
          <w:lang w:eastAsia="en-GB"/>
        </w:rPr>
        <w:t>e</w:t>
      </w:r>
      <w:r>
        <w:rPr>
          <w:lang w:eastAsia="en-GB"/>
        </w:rPr>
        <w:t xml:space="preserve"> whether </w:t>
      </w:r>
      <w:r w:rsidR="00141AE4">
        <w:rPr>
          <w:lang w:eastAsia="en-GB"/>
        </w:rPr>
        <w:t xml:space="preserve">this explosion corresponds to </w:t>
      </w:r>
      <w:r w:rsidR="00141AE4">
        <w:rPr>
          <w:lang w:eastAsia="en-GB"/>
        </w:rPr>
        <w:lastRenderedPageBreak/>
        <w:t>a</w:t>
      </w:r>
      <w:r>
        <w:rPr>
          <w:lang w:eastAsia="en-GB"/>
        </w:rPr>
        <w:t xml:space="preserve"> BLEVE. The BLEVE necessitates the </w:t>
      </w:r>
      <w:r w:rsidR="004235BF">
        <w:rPr>
          <w:lang w:eastAsia="en-GB"/>
        </w:rPr>
        <w:t xml:space="preserve">rapid and </w:t>
      </w:r>
      <w:r>
        <w:rPr>
          <w:lang w:eastAsia="en-GB"/>
        </w:rPr>
        <w:t xml:space="preserve">complete expansion of the vessel’s contents, which is achievable only through catastrophic failure, often referred to as </w:t>
      </w:r>
      <w:r w:rsidR="005B6E7A">
        <w:rPr>
          <w:lang w:eastAsia="en-GB"/>
        </w:rPr>
        <w:t xml:space="preserve">total loss of containment (TLOC). </w:t>
      </w:r>
      <w:r>
        <w:rPr>
          <w:lang w:eastAsia="en-GB"/>
        </w:rPr>
        <w:t xml:space="preserve">Figure </w:t>
      </w:r>
      <w:r w:rsidR="00926A48">
        <w:rPr>
          <w:lang w:eastAsia="en-GB"/>
        </w:rPr>
        <w:t>2</w:t>
      </w:r>
      <w:r>
        <w:rPr>
          <w:lang w:eastAsia="en-GB"/>
        </w:rPr>
        <w:t xml:space="preserve"> presents </w:t>
      </w:r>
      <w:r w:rsidR="004235BF">
        <w:rPr>
          <w:lang w:eastAsia="en-GB"/>
        </w:rPr>
        <w:t>examples of tube failures</w:t>
      </w:r>
      <w:r w:rsidR="00E10EB4">
        <w:rPr>
          <w:lang w:eastAsia="en-GB"/>
        </w:rPr>
        <w:t xml:space="preserve"> with</w:t>
      </w:r>
      <w:r>
        <w:rPr>
          <w:lang w:eastAsia="en-GB"/>
        </w:rPr>
        <w:t xml:space="preserve"> distinct openings obtained during the 2022 experimental campaign.</w:t>
      </w:r>
    </w:p>
    <w:p w14:paraId="24DD7BD2" w14:textId="338C155C" w:rsidR="00524EEF" w:rsidRDefault="00B77935" w:rsidP="004E2501">
      <w:pPr>
        <w:pStyle w:val="CETBodytext"/>
        <w:jc w:val="center"/>
        <w:rPr>
          <w:lang w:val="en-GB"/>
        </w:rPr>
      </w:pPr>
      <w:r w:rsidRPr="00B77935">
        <w:rPr>
          <w:noProof/>
          <w:lang w:val="en-GB"/>
        </w:rPr>
        <w:drawing>
          <wp:inline distT="0" distB="0" distL="0" distR="0" wp14:anchorId="201C37AD" wp14:editId="584B0CAE">
            <wp:extent cx="4436726" cy="2247900"/>
            <wp:effectExtent l="0" t="0" r="2540" b="0"/>
            <wp:docPr id="1196906887" name="Image 1" descr="Une image contenant capture d’écran, arg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06887" name="Image 1" descr="Une image contenant capture d’écran, argent&#10;&#10;Description générée automatiquement"/>
                    <pic:cNvPicPr/>
                  </pic:nvPicPr>
                  <pic:blipFill>
                    <a:blip r:embed="rId11"/>
                    <a:stretch>
                      <a:fillRect/>
                    </a:stretch>
                  </pic:blipFill>
                  <pic:spPr>
                    <a:xfrm>
                      <a:off x="0" y="0"/>
                      <a:ext cx="4452062" cy="2255670"/>
                    </a:xfrm>
                    <a:prstGeom prst="rect">
                      <a:avLst/>
                    </a:prstGeom>
                  </pic:spPr>
                </pic:pic>
              </a:graphicData>
            </a:graphic>
          </wp:inline>
        </w:drawing>
      </w:r>
    </w:p>
    <w:p w14:paraId="510D5CF1" w14:textId="1BFFED74" w:rsidR="00926A48" w:rsidRDefault="00926A48" w:rsidP="00926A48">
      <w:pPr>
        <w:pStyle w:val="CETCaption"/>
      </w:pPr>
      <w:r w:rsidRPr="00BD077D">
        <w:rPr>
          <w:rStyle w:val="CETCaptionCarattere"/>
          <w:i/>
        </w:rPr>
        <w:t xml:space="preserve">Figure </w:t>
      </w:r>
      <w:r>
        <w:rPr>
          <w:rStyle w:val="CETCaptionCarattere"/>
          <w:i/>
        </w:rPr>
        <w:t>2</w:t>
      </w:r>
      <w:r w:rsidRPr="00BD077D">
        <w:rPr>
          <w:rStyle w:val="CETCaptionCarattere"/>
          <w:i/>
        </w:rPr>
        <w:t>:</w:t>
      </w:r>
      <w:r w:rsidR="0006064C">
        <w:rPr>
          <w:rStyle w:val="CETCaptionCarattere"/>
          <w:i/>
        </w:rPr>
        <w:t xml:space="preserve"> Different types of failure from small scale BLEVE</w:t>
      </w:r>
      <w:r w:rsidR="00E10EB4">
        <w:rPr>
          <w:rStyle w:val="CETCaptionCarattere"/>
          <w:i/>
        </w:rPr>
        <w:t xml:space="preserve"> Laamarti</w:t>
      </w:r>
      <w:r w:rsidR="0006064C">
        <w:rPr>
          <w:rStyle w:val="CETCaptionCarattere"/>
          <w:i/>
        </w:rPr>
        <w:t xml:space="preserve"> 2022</w:t>
      </w:r>
      <w:r w:rsidR="00B77935">
        <w:rPr>
          <w:rStyle w:val="CETCaptionCarattere"/>
          <w:i/>
        </w:rPr>
        <w:t xml:space="preserve"> (1) Fish mouth, (2) partial a-symmetrical, (3) incomplete opening, (4) full and complete opening.</w:t>
      </w:r>
    </w:p>
    <w:p w14:paraId="0621A93B" w14:textId="419656A0" w:rsidR="0006064C" w:rsidRDefault="0006064C" w:rsidP="0006064C">
      <w:pPr>
        <w:rPr>
          <w:lang w:eastAsia="en-GB"/>
        </w:rPr>
      </w:pPr>
      <w:r>
        <w:rPr>
          <w:lang w:eastAsia="en-GB"/>
        </w:rPr>
        <w:t xml:space="preserve">Partial opening refers to the scenario where the structural integrity of a material or structure is compromised to some extent. This involves the development of axial crack along the </w:t>
      </w:r>
      <w:r w:rsidR="003A6AB7">
        <w:rPr>
          <w:lang w:eastAsia="en-GB"/>
        </w:rPr>
        <w:t>weakened</w:t>
      </w:r>
      <w:r>
        <w:rPr>
          <w:lang w:eastAsia="en-GB"/>
        </w:rPr>
        <w:t xml:space="preserve"> length and partial bending of the metal frame without complete fracture. There are three common types of partial opening: </w:t>
      </w:r>
    </w:p>
    <w:p w14:paraId="5465E412" w14:textId="2A8BA445" w:rsidR="0006064C" w:rsidRPr="0006064C" w:rsidRDefault="0006064C" w:rsidP="0006064C">
      <w:pPr>
        <w:pStyle w:val="Paragraphedeliste"/>
        <w:numPr>
          <w:ilvl w:val="0"/>
          <w:numId w:val="23"/>
        </w:numPr>
        <w:tabs>
          <w:tab w:val="clear" w:pos="7100"/>
        </w:tabs>
        <w:spacing w:after="160" w:line="259" w:lineRule="auto"/>
        <w:rPr>
          <w:lang w:eastAsia="en-GB"/>
        </w:rPr>
      </w:pPr>
      <w:r w:rsidRPr="0006064C">
        <w:rPr>
          <w:b/>
          <w:bCs/>
          <w:u w:val="single"/>
          <w:lang w:eastAsia="en-GB"/>
        </w:rPr>
        <w:t>Fish mouth opening</w:t>
      </w:r>
      <w:r w:rsidRPr="0006064C">
        <w:rPr>
          <w:lang w:eastAsia="en-GB"/>
        </w:rPr>
        <w:t xml:space="preserve"> [Figure </w:t>
      </w:r>
      <w:r>
        <w:rPr>
          <w:lang w:eastAsia="en-GB"/>
        </w:rPr>
        <w:t>2</w:t>
      </w:r>
      <w:r w:rsidRPr="0006064C">
        <w:rPr>
          <w:lang w:eastAsia="en-GB"/>
        </w:rPr>
        <w:t xml:space="preserve"> (1)]: </w:t>
      </w:r>
      <w:r w:rsidR="00141AE4">
        <w:rPr>
          <w:lang w:eastAsia="en-GB"/>
        </w:rPr>
        <w:t xml:space="preserve">is </w:t>
      </w:r>
      <w:r w:rsidRPr="0006064C">
        <w:rPr>
          <w:lang w:eastAsia="en-GB"/>
        </w:rPr>
        <w:t xml:space="preserve">characterized by a lip-shaped opening that resembles the shape of a fish mouth. </w:t>
      </w:r>
    </w:p>
    <w:p w14:paraId="63EB63BF" w14:textId="6C9CF772" w:rsidR="0006064C" w:rsidRPr="0006064C" w:rsidRDefault="0006064C" w:rsidP="0006064C">
      <w:pPr>
        <w:pStyle w:val="Paragraphedeliste"/>
        <w:numPr>
          <w:ilvl w:val="0"/>
          <w:numId w:val="23"/>
        </w:numPr>
        <w:tabs>
          <w:tab w:val="clear" w:pos="7100"/>
        </w:tabs>
        <w:spacing w:after="160" w:line="259" w:lineRule="auto"/>
        <w:rPr>
          <w:lang w:eastAsia="en-GB"/>
        </w:rPr>
      </w:pPr>
      <w:r w:rsidRPr="0006064C">
        <w:rPr>
          <w:b/>
          <w:bCs/>
          <w:u w:val="single"/>
          <w:lang w:eastAsia="en-GB"/>
        </w:rPr>
        <w:t xml:space="preserve">Asymmetrical opening </w:t>
      </w:r>
      <w:r w:rsidRPr="0006064C">
        <w:rPr>
          <w:lang w:eastAsia="en-GB"/>
        </w:rPr>
        <w:t xml:space="preserve">[Figure </w:t>
      </w:r>
      <w:r>
        <w:rPr>
          <w:lang w:eastAsia="en-GB"/>
        </w:rPr>
        <w:t>2</w:t>
      </w:r>
      <w:r w:rsidRPr="0006064C">
        <w:rPr>
          <w:lang w:eastAsia="en-GB"/>
        </w:rPr>
        <w:t xml:space="preserve"> (2)]: is characterized by an uneven distribution of </w:t>
      </w:r>
      <w:r w:rsidR="00B77935">
        <w:rPr>
          <w:lang w:eastAsia="en-GB"/>
        </w:rPr>
        <w:t>forces</w:t>
      </w:r>
      <w:r w:rsidRPr="0006064C">
        <w:rPr>
          <w:lang w:eastAsia="en-GB"/>
        </w:rPr>
        <w:t xml:space="preserve"> along the vessel walls, leading to an imbalance in the rupture pattern. </w:t>
      </w:r>
      <w:r>
        <w:rPr>
          <w:lang w:eastAsia="en-GB"/>
        </w:rPr>
        <w:t>It i</w:t>
      </w:r>
      <w:r w:rsidRPr="0006064C">
        <w:rPr>
          <w:lang w:eastAsia="en-GB"/>
        </w:rPr>
        <w:t>nvolves forces that are not uniformly distributed, causing the vessel to open fully from on</w:t>
      </w:r>
      <w:r>
        <w:rPr>
          <w:lang w:eastAsia="en-GB"/>
        </w:rPr>
        <w:t>e</w:t>
      </w:r>
      <w:r w:rsidRPr="0006064C">
        <w:rPr>
          <w:lang w:eastAsia="en-GB"/>
        </w:rPr>
        <w:t xml:space="preserve"> side while the other side remains unchanged.  </w:t>
      </w:r>
    </w:p>
    <w:p w14:paraId="469DD8BA" w14:textId="3614B503" w:rsidR="00380C54" w:rsidRDefault="00F11CBA" w:rsidP="0006064C">
      <w:pPr>
        <w:pStyle w:val="Paragraphedeliste"/>
        <w:numPr>
          <w:ilvl w:val="0"/>
          <w:numId w:val="23"/>
        </w:numPr>
        <w:tabs>
          <w:tab w:val="clear" w:pos="7100"/>
        </w:tabs>
        <w:spacing w:after="160" w:line="259" w:lineRule="auto"/>
        <w:rPr>
          <w:lang w:eastAsia="en-GB"/>
        </w:rPr>
      </w:pPr>
      <w:r>
        <w:rPr>
          <w:b/>
          <w:bCs/>
          <w:u w:val="single"/>
          <w:lang w:eastAsia="en-GB"/>
        </w:rPr>
        <w:t>I</w:t>
      </w:r>
      <w:r w:rsidR="0006064C" w:rsidRPr="0006064C">
        <w:rPr>
          <w:b/>
          <w:bCs/>
          <w:u w:val="single"/>
          <w:lang w:eastAsia="en-GB"/>
        </w:rPr>
        <w:t xml:space="preserve">ncomplete opening </w:t>
      </w:r>
      <w:r w:rsidR="0006064C" w:rsidRPr="0006064C">
        <w:rPr>
          <w:lang w:eastAsia="en-GB"/>
        </w:rPr>
        <w:t xml:space="preserve">[Figure </w:t>
      </w:r>
      <w:r w:rsidR="0006064C">
        <w:rPr>
          <w:lang w:eastAsia="en-GB"/>
        </w:rPr>
        <w:t>2</w:t>
      </w:r>
      <w:r w:rsidR="0006064C" w:rsidRPr="0006064C">
        <w:rPr>
          <w:lang w:eastAsia="en-GB"/>
        </w:rPr>
        <w:t xml:space="preserve"> (3)]: is characterized by</w:t>
      </w:r>
      <w:r w:rsidR="00141AE4">
        <w:rPr>
          <w:lang w:eastAsia="en-GB"/>
        </w:rPr>
        <w:t xml:space="preserve"> an</w:t>
      </w:r>
      <w:r w:rsidR="0006064C" w:rsidRPr="0006064C">
        <w:rPr>
          <w:lang w:eastAsia="en-GB"/>
        </w:rPr>
        <w:t xml:space="preserve"> opening </w:t>
      </w:r>
      <w:r w:rsidR="00141AE4">
        <w:rPr>
          <w:lang w:eastAsia="en-GB"/>
        </w:rPr>
        <w:t xml:space="preserve">that </w:t>
      </w:r>
      <w:r w:rsidR="0006064C" w:rsidRPr="0006064C">
        <w:rPr>
          <w:lang w:eastAsia="en-GB"/>
        </w:rPr>
        <w:t xml:space="preserve">does not achieve its maximum full extend. </w:t>
      </w:r>
    </w:p>
    <w:p w14:paraId="3F8A731D" w14:textId="3DB72C99" w:rsidR="0006064C" w:rsidRDefault="0006064C" w:rsidP="00380C54">
      <w:pPr>
        <w:tabs>
          <w:tab w:val="clear" w:pos="7100"/>
        </w:tabs>
        <w:spacing w:after="160" w:line="259" w:lineRule="auto"/>
        <w:rPr>
          <w:lang w:eastAsia="en-GB"/>
        </w:rPr>
      </w:pPr>
      <w:r>
        <w:rPr>
          <w:lang w:eastAsia="en-GB"/>
        </w:rPr>
        <w:t>On the other hand, the total opening failure [Figure 2 (4)]</w:t>
      </w:r>
      <w:r w:rsidRPr="00C13F4D">
        <w:rPr>
          <w:lang w:eastAsia="en-GB"/>
        </w:rPr>
        <w:t xml:space="preserve"> </w:t>
      </w:r>
      <w:r>
        <w:rPr>
          <w:lang w:eastAsia="en-GB"/>
        </w:rPr>
        <w:t xml:space="preserve">involves a complete and catastrophic breakdown of the structure. The rupture starts in an axial direction and then once reaching the limits of the </w:t>
      </w:r>
      <w:r w:rsidR="003A6AB7">
        <w:rPr>
          <w:lang w:eastAsia="en-GB"/>
        </w:rPr>
        <w:t>weakened</w:t>
      </w:r>
      <w:r>
        <w:rPr>
          <w:lang w:eastAsia="en-GB"/>
        </w:rPr>
        <w:t xml:space="preserve"> length, the crack branch</w:t>
      </w:r>
      <w:r w:rsidR="00B77935">
        <w:rPr>
          <w:lang w:eastAsia="en-GB"/>
        </w:rPr>
        <w:t>es</w:t>
      </w:r>
      <w:r>
        <w:rPr>
          <w:lang w:eastAsia="en-GB"/>
        </w:rPr>
        <w:t xml:space="preserve"> in the circumferential direction until the vessel walls are flattened on the ground. </w:t>
      </w:r>
    </w:p>
    <w:p w14:paraId="28478412" w14:textId="12654FF5" w:rsidR="004247B6" w:rsidRDefault="00EB45E1" w:rsidP="00557B5A">
      <w:pPr>
        <w:pStyle w:val="CETBodytext"/>
        <w:jc w:val="center"/>
        <w:rPr>
          <w:lang w:val="en-GB"/>
        </w:rPr>
      </w:pPr>
      <w:r w:rsidRPr="00EB45E1">
        <w:rPr>
          <w:noProof/>
          <w:lang w:val="en-GB"/>
        </w:rPr>
        <w:drawing>
          <wp:inline distT="0" distB="0" distL="0" distR="0" wp14:anchorId="53B9336F" wp14:editId="64F0A05D">
            <wp:extent cx="5351185" cy="2125980"/>
            <wp:effectExtent l="0" t="0" r="1905" b="7620"/>
            <wp:docPr id="1574986642" name="Image 1" descr="Une image contenant outil, Quincaillerie, métal, arg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86642" name="Image 1" descr="Une image contenant outil, Quincaillerie, métal, argent&#10;&#10;Description générée automatiquement"/>
                    <pic:cNvPicPr/>
                  </pic:nvPicPr>
                  <pic:blipFill>
                    <a:blip r:embed="rId12"/>
                    <a:stretch>
                      <a:fillRect/>
                    </a:stretch>
                  </pic:blipFill>
                  <pic:spPr>
                    <a:xfrm>
                      <a:off x="0" y="0"/>
                      <a:ext cx="5396638" cy="2144038"/>
                    </a:xfrm>
                    <a:prstGeom prst="rect">
                      <a:avLst/>
                    </a:prstGeom>
                  </pic:spPr>
                </pic:pic>
              </a:graphicData>
            </a:graphic>
          </wp:inline>
        </w:drawing>
      </w:r>
    </w:p>
    <w:p w14:paraId="14EF55D1" w14:textId="7CFAC8BC" w:rsidR="00557B5A" w:rsidRDefault="00557B5A" w:rsidP="00557B5A">
      <w:pPr>
        <w:pStyle w:val="CETCaption"/>
        <w:rPr>
          <w:rStyle w:val="CETCaptionCarattere"/>
          <w:i/>
        </w:rPr>
      </w:pPr>
      <w:r w:rsidRPr="00BD077D">
        <w:rPr>
          <w:rStyle w:val="CETCaptionCarattere"/>
          <w:i/>
        </w:rPr>
        <w:t xml:space="preserve">Figure </w:t>
      </w:r>
      <w:r w:rsidR="00EB45E1">
        <w:rPr>
          <w:rStyle w:val="CETCaptionCarattere"/>
          <w:i/>
        </w:rPr>
        <w:t>3</w:t>
      </w:r>
      <w:r w:rsidR="00EB45E1" w:rsidRPr="00BD077D">
        <w:rPr>
          <w:rStyle w:val="CETCaptionCarattere"/>
          <w:i/>
        </w:rPr>
        <w:t>:</w:t>
      </w:r>
      <w:r w:rsidR="00EB45E1">
        <w:rPr>
          <w:rStyle w:val="CETCaptionCarattere"/>
          <w:i/>
        </w:rPr>
        <w:t xml:space="preserve"> Types of failure</w:t>
      </w:r>
      <w:r w:rsidR="00F11CBA">
        <w:rPr>
          <w:rStyle w:val="CETCaptionCarattere"/>
          <w:i/>
        </w:rPr>
        <w:t xml:space="preserve"> front</w:t>
      </w:r>
      <w:r w:rsidR="00EB45E1">
        <w:rPr>
          <w:rStyle w:val="CETCaptionCarattere"/>
          <w:i/>
        </w:rPr>
        <w:t>/</w:t>
      </w:r>
      <w:r w:rsidR="00F11CBA">
        <w:rPr>
          <w:rStyle w:val="CETCaptionCarattere"/>
          <w:i/>
        </w:rPr>
        <w:t>side view</w:t>
      </w:r>
      <w:r>
        <w:rPr>
          <w:rStyle w:val="CETCaptionCarattere"/>
          <w:i/>
        </w:rPr>
        <w:t xml:space="preserve"> </w:t>
      </w:r>
      <w:r w:rsidR="00B77935">
        <w:rPr>
          <w:rStyle w:val="CETCaptionCarattere"/>
          <w:i/>
        </w:rPr>
        <w:t xml:space="preserve">(1). </w:t>
      </w:r>
      <w:r w:rsidR="00F11CBA">
        <w:rPr>
          <w:rStyle w:val="CETCaptionCarattere"/>
          <w:i/>
        </w:rPr>
        <w:t>Fish mouth</w:t>
      </w:r>
      <w:r w:rsidR="00A3532B">
        <w:rPr>
          <w:rStyle w:val="CETCaptionCarattere"/>
          <w:i/>
        </w:rPr>
        <w:t xml:space="preserve"> </w:t>
      </w:r>
      <w:r w:rsidR="00B77935">
        <w:rPr>
          <w:rStyle w:val="CETCaptionCarattere"/>
          <w:i/>
        </w:rPr>
        <w:t xml:space="preserve">(2). </w:t>
      </w:r>
      <w:r w:rsidR="00F11CBA">
        <w:rPr>
          <w:rStyle w:val="CETCaptionCarattere"/>
          <w:i/>
        </w:rPr>
        <w:t xml:space="preserve">Asymmetrical </w:t>
      </w:r>
      <w:r w:rsidR="00B77935">
        <w:rPr>
          <w:rStyle w:val="CETCaptionCarattere"/>
          <w:i/>
        </w:rPr>
        <w:t xml:space="preserve">(3). </w:t>
      </w:r>
      <w:r w:rsidR="00F11CBA">
        <w:rPr>
          <w:rStyle w:val="CETCaptionCarattere"/>
          <w:i/>
        </w:rPr>
        <w:t xml:space="preserve">Incomplete </w:t>
      </w:r>
      <w:r w:rsidR="00B77935">
        <w:rPr>
          <w:rStyle w:val="CETCaptionCarattere"/>
          <w:i/>
        </w:rPr>
        <w:t>(4)</w:t>
      </w:r>
      <w:r w:rsidR="00F11CBA">
        <w:rPr>
          <w:rStyle w:val="CETCaptionCarattere"/>
          <w:i/>
        </w:rPr>
        <w:t xml:space="preserve">. Total opening </w:t>
      </w:r>
    </w:p>
    <w:p w14:paraId="5679B272" w14:textId="48FD262A" w:rsidR="004D5B44" w:rsidRDefault="00B77935" w:rsidP="004D5B44">
      <w:pPr>
        <w:tabs>
          <w:tab w:val="clear" w:pos="7100"/>
        </w:tabs>
        <w:spacing w:after="160" w:line="259" w:lineRule="auto"/>
        <w:rPr>
          <w:lang w:eastAsia="en-GB"/>
        </w:rPr>
      </w:pPr>
      <w:r>
        <w:rPr>
          <w:lang w:eastAsia="en-GB"/>
        </w:rPr>
        <w:t xml:space="preserve">It is noteworthy that both small and large fish mouth openings are possible. </w:t>
      </w:r>
      <w:r w:rsidR="004D5B44">
        <w:rPr>
          <w:lang w:eastAsia="en-GB"/>
        </w:rPr>
        <w:t xml:space="preserve">Additionally, there might be minimal distinction between (3) incomplete and (4) full opening. This work is based on the hypothesis that a full opening necessitates an open area greater than twice the cross-sectional area of the vessel. </w:t>
      </w:r>
    </w:p>
    <w:p w14:paraId="503B0D50" w14:textId="308623E9" w:rsidR="00380C54" w:rsidRDefault="00380C54" w:rsidP="00380C54">
      <w:pPr>
        <w:pStyle w:val="CETHeading1"/>
        <w:tabs>
          <w:tab w:val="clear" w:pos="360"/>
          <w:tab w:val="right" w:pos="7100"/>
        </w:tabs>
        <w:jc w:val="both"/>
        <w:rPr>
          <w:lang w:val="en-GB"/>
        </w:rPr>
      </w:pPr>
      <w:r>
        <w:rPr>
          <w:lang w:val="en-GB"/>
        </w:rPr>
        <w:lastRenderedPageBreak/>
        <w:t xml:space="preserve">Experimental results </w:t>
      </w:r>
    </w:p>
    <w:p w14:paraId="411172CC" w14:textId="628F236F" w:rsidR="00380C54" w:rsidRPr="00380C54" w:rsidRDefault="00380C54" w:rsidP="00380C54">
      <w:pPr>
        <w:pStyle w:val="CETBodytext"/>
        <w:rPr>
          <w:lang w:val="en-GB"/>
        </w:rPr>
      </w:pPr>
      <w:r>
        <w:rPr>
          <w:lang w:val="en-GB"/>
        </w:rPr>
        <w:t xml:space="preserve">The analysis of the experimental results revealed a significant correlation between </w:t>
      </w:r>
      <w:r w:rsidR="001D3A29">
        <w:rPr>
          <w:lang w:val="en-GB"/>
        </w:rPr>
        <w:t>operating conditions</w:t>
      </w:r>
      <w:r>
        <w:rPr>
          <w:lang w:val="en-GB"/>
        </w:rPr>
        <w:t xml:space="preserve"> and the </w:t>
      </w:r>
      <w:r w:rsidR="001D3A29">
        <w:rPr>
          <w:lang w:val="en-GB"/>
        </w:rPr>
        <w:t>type</w:t>
      </w:r>
      <w:r>
        <w:rPr>
          <w:lang w:val="en-GB"/>
        </w:rPr>
        <w:t xml:space="preserve"> of </w:t>
      </w:r>
      <w:r w:rsidR="00FA5F2D">
        <w:rPr>
          <w:lang w:val="en-GB"/>
        </w:rPr>
        <w:t>failure. New</w:t>
      </w:r>
      <w:r w:rsidR="001D3A29">
        <w:rPr>
          <w:lang w:val="en-GB"/>
        </w:rPr>
        <w:t xml:space="preserve"> insights were obtained regarding the consequences of types of failure on associated hazards, illustrated by ground load</w:t>
      </w:r>
      <w:r w:rsidR="002B143C">
        <w:rPr>
          <w:lang w:val="en-GB"/>
        </w:rPr>
        <w:t xml:space="preserve"> </w:t>
      </w:r>
      <w:r w:rsidR="001D3A29">
        <w:rPr>
          <w:lang w:val="en-GB"/>
        </w:rPr>
        <w:t>and overpressure.</w:t>
      </w:r>
      <w:r w:rsidR="004D5B44">
        <w:rPr>
          <w:lang w:val="en-GB"/>
        </w:rPr>
        <w:t xml:space="preserve"> The opening of the vessel is a complex function of the vessel weakening (weakened length) and the energy stored in the vessel </w:t>
      </w:r>
      <w:proofErr w:type="spellStart"/>
      <w:r w:rsidR="004D5B44">
        <w:rPr>
          <w:lang w:val="en-GB"/>
        </w:rPr>
        <w:t>lading</w:t>
      </w:r>
      <w:proofErr w:type="spellEnd"/>
      <w:r w:rsidR="004D5B44">
        <w:rPr>
          <w:lang w:val="en-GB"/>
        </w:rPr>
        <w:t xml:space="preserve"> (burst pressure, fill level). </w:t>
      </w:r>
    </w:p>
    <w:p w14:paraId="4B74FB57" w14:textId="3029710E" w:rsidR="00380C54" w:rsidRDefault="00380C54" w:rsidP="00380C54">
      <w:pPr>
        <w:pStyle w:val="CETheadingx"/>
      </w:pPr>
      <w:r>
        <w:t xml:space="preserve">Influence of operating conditions </w:t>
      </w:r>
    </w:p>
    <w:p w14:paraId="100DE6F7" w14:textId="0382A760" w:rsidR="001D3A29" w:rsidRDefault="001D3A29" w:rsidP="001D3A29">
      <w:pPr>
        <w:pStyle w:val="CETBodytext"/>
        <w:rPr>
          <w:lang w:val="en-GB"/>
        </w:rPr>
      </w:pPr>
      <w:r w:rsidRPr="001D3A29">
        <w:rPr>
          <w:lang w:val="en-GB"/>
        </w:rPr>
        <w:t xml:space="preserve">A summary of </w:t>
      </w:r>
      <w:r w:rsidR="00FA5F2D">
        <w:rPr>
          <w:lang w:val="en-GB"/>
        </w:rPr>
        <w:t xml:space="preserve">Laamarti </w:t>
      </w:r>
      <w:r w:rsidR="00C71D7B">
        <w:rPr>
          <w:lang w:val="en-GB"/>
        </w:rPr>
        <w:t xml:space="preserve">2022 </w:t>
      </w:r>
      <w:r w:rsidR="00C71D7B" w:rsidRPr="001D3A29">
        <w:rPr>
          <w:lang w:val="en-GB"/>
        </w:rPr>
        <w:t>BLEVE experiments</w:t>
      </w:r>
      <w:r w:rsidRPr="001D3A29">
        <w:rPr>
          <w:lang w:val="en-GB"/>
        </w:rPr>
        <w:t xml:space="preserve"> </w:t>
      </w:r>
      <w:r w:rsidR="00C71D7B">
        <w:rPr>
          <w:lang w:val="en-GB"/>
        </w:rPr>
        <w:t>is</w:t>
      </w:r>
      <w:r w:rsidRPr="001D3A29">
        <w:rPr>
          <w:lang w:val="en-GB"/>
        </w:rPr>
        <w:t xml:space="preserve"> presented in Figure </w:t>
      </w:r>
      <w:r w:rsidR="00557B5A">
        <w:rPr>
          <w:lang w:val="en-GB"/>
        </w:rPr>
        <w:t>4</w:t>
      </w:r>
      <w:r w:rsidRPr="001D3A29">
        <w:rPr>
          <w:lang w:val="en-GB"/>
        </w:rPr>
        <w:t xml:space="preserve"> </w:t>
      </w:r>
      <w:r w:rsidR="00C71D7B">
        <w:rPr>
          <w:lang w:val="en-GB"/>
        </w:rPr>
        <w:t>for different</w:t>
      </w:r>
      <w:r w:rsidRPr="001D3A29">
        <w:rPr>
          <w:lang w:val="en-GB"/>
        </w:rPr>
        <w:t xml:space="preserve"> operating conditions. The </w:t>
      </w:r>
      <w:r w:rsidR="003A6AB7">
        <w:rPr>
          <w:lang w:val="en-GB"/>
        </w:rPr>
        <w:t>weakened</w:t>
      </w:r>
      <w:r w:rsidRPr="001D3A29">
        <w:rPr>
          <w:lang w:val="en-GB"/>
        </w:rPr>
        <w:t xml:space="preserve"> length varied from 150 to 50 mm, respectively half and 1/6 of the vessel length. Furthermore, diverse failure pressures were investigated, ranging from 11 to 34 </w:t>
      </w:r>
      <w:r w:rsidR="00204758">
        <w:rPr>
          <w:lang w:val="en-GB"/>
        </w:rPr>
        <w:t>B</w:t>
      </w:r>
      <w:r w:rsidRPr="001D3A29">
        <w:rPr>
          <w:lang w:val="en-GB"/>
        </w:rPr>
        <w:t xml:space="preserve">arg. Various fill levels, spanning from 5% to 100%, were examined, with the 100 % fill level representing a special case of BLEVE wherein failure occurred under </w:t>
      </w:r>
      <w:r w:rsidR="005B6E7A">
        <w:rPr>
          <w:lang w:val="en-GB"/>
        </w:rPr>
        <w:t>compressed liquid</w:t>
      </w:r>
      <w:r w:rsidRPr="001D3A29">
        <w:rPr>
          <w:lang w:val="en-GB"/>
        </w:rPr>
        <w:t xml:space="preserve"> rather than saturation conditions</w:t>
      </w:r>
      <w:r w:rsidR="00C71D7B">
        <w:rPr>
          <w:lang w:val="en-GB"/>
        </w:rPr>
        <w:t xml:space="preserve">, representing another mode of failure. </w:t>
      </w:r>
    </w:p>
    <w:p w14:paraId="5F4FEE3E" w14:textId="389CDA66" w:rsidR="00380C54" w:rsidRDefault="00B86803" w:rsidP="001D3A29">
      <w:pPr>
        <w:pStyle w:val="CETBodytext"/>
        <w:rPr>
          <w:noProof/>
        </w:rPr>
      </w:pPr>
      <w:r>
        <w:rPr>
          <w:noProof/>
        </w:rPr>
        <w:drawing>
          <wp:inline distT="0" distB="0" distL="0" distR="0" wp14:anchorId="07A47918" wp14:editId="1C37E7DC">
            <wp:extent cx="2761264" cy="2073698"/>
            <wp:effectExtent l="0" t="0" r="1270" b="3175"/>
            <wp:docPr id="1691315197" name="Image 1"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15197" name="Image 1" descr="Une image contenant texte, capture d’écran, diagramme, nombr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879" cy="2097441"/>
                    </a:xfrm>
                    <a:prstGeom prst="rect">
                      <a:avLst/>
                    </a:prstGeom>
                    <a:noFill/>
                    <a:ln>
                      <a:noFill/>
                    </a:ln>
                  </pic:spPr>
                </pic:pic>
              </a:graphicData>
            </a:graphic>
          </wp:inline>
        </w:drawing>
      </w:r>
      <w:r w:rsidR="001D3A29" w:rsidRPr="001D3A29">
        <w:rPr>
          <w:noProof/>
        </w:rPr>
        <w:t xml:space="preserve"> </w:t>
      </w:r>
      <w:r w:rsidR="004D1DCE">
        <w:rPr>
          <w:noProof/>
        </w:rPr>
        <w:drawing>
          <wp:inline distT="0" distB="0" distL="0" distR="0" wp14:anchorId="4C7FB986" wp14:editId="08B884F2">
            <wp:extent cx="2767969" cy="2075582"/>
            <wp:effectExtent l="0" t="0" r="0" b="1270"/>
            <wp:docPr id="415136243" name="Image 7"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36243" name="Image 7" descr="Une image contenant texte, diagramme, ligne, Tracé&#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4980" cy="2080839"/>
                    </a:xfrm>
                    <a:prstGeom prst="rect">
                      <a:avLst/>
                    </a:prstGeom>
                    <a:noFill/>
                    <a:ln>
                      <a:noFill/>
                    </a:ln>
                  </pic:spPr>
                </pic:pic>
              </a:graphicData>
            </a:graphic>
          </wp:inline>
        </w:drawing>
      </w:r>
    </w:p>
    <w:p w14:paraId="1F070B23" w14:textId="40FE2A70" w:rsidR="004E2501" w:rsidRDefault="004E2501" w:rsidP="004E2501">
      <w:pPr>
        <w:pStyle w:val="CETCaption"/>
      </w:pPr>
      <w:r w:rsidRPr="00BD077D">
        <w:rPr>
          <w:rStyle w:val="CETCaptionCarattere"/>
          <w:i/>
        </w:rPr>
        <w:t xml:space="preserve">Figure </w:t>
      </w:r>
      <w:r w:rsidR="008F2E2B">
        <w:rPr>
          <w:rStyle w:val="CETCaptionCarattere"/>
          <w:i/>
        </w:rPr>
        <w:t>4</w:t>
      </w:r>
      <w:r w:rsidRPr="00BD077D">
        <w:rPr>
          <w:rStyle w:val="CETCaptionCarattere"/>
          <w:i/>
        </w:rPr>
        <w:t xml:space="preserve">: </w:t>
      </w:r>
      <w:r w:rsidR="004D1DCE">
        <w:rPr>
          <w:rStyle w:val="CETCaptionCarattere"/>
          <w:i/>
        </w:rPr>
        <w:t>S</w:t>
      </w:r>
      <w:r>
        <w:rPr>
          <w:rStyle w:val="CETCaptionCarattere"/>
          <w:i/>
        </w:rPr>
        <w:t xml:space="preserve">mall-scale BLEVE </w:t>
      </w:r>
      <w:r w:rsidR="0004533F">
        <w:rPr>
          <w:rStyle w:val="CETCaptionCarattere"/>
          <w:i/>
        </w:rPr>
        <w:t xml:space="preserve">(Left) </w:t>
      </w:r>
      <w:r w:rsidR="007941C3">
        <w:rPr>
          <w:rStyle w:val="CETCaptionCarattere"/>
          <w:i/>
        </w:rPr>
        <w:t>Laamarti 2022</w:t>
      </w:r>
      <w:r>
        <w:rPr>
          <w:rStyle w:val="CETCaptionCarattere"/>
          <w:i/>
        </w:rPr>
        <w:t xml:space="preserve"> </w:t>
      </w:r>
      <w:r w:rsidR="007941C3">
        <w:rPr>
          <w:rStyle w:val="CETCaptionCarattere"/>
          <w:i/>
        </w:rPr>
        <w:t>experiments</w:t>
      </w:r>
      <w:r w:rsidR="0004533F">
        <w:rPr>
          <w:rStyle w:val="CETCaptionCarattere"/>
          <w:i/>
        </w:rPr>
        <w:t xml:space="preserve"> (Right) </w:t>
      </w:r>
      <w:r w:rsidR="005B6E7A">
        <w:rPr>
          <w:rStyle w:val="CETCaptionCarattere"/>
          <w:i/>
        </w:rPr>
        <w:t>P</w:t>
      </w:r>
      <w:r w:rsidR="008F2E2B">
        <w:rPr>
          <w:rStyle w:val="CETCaptionCarattere"/>
          <w:i/>
        </w:rPr>
        <w:t>-T graph</w:t>
      </w:r>
      <w:r w:rsidR="005B6E7A">
        <w:rPr>
          <w:rStyle w:val="CETCaptionCarattere"/>
          <w:i/>
        </w:rPr>
        <w:t xml:space="preserve"> </w:t>
      </w:r>
      <w:r w:rsidR="008F2E2B">
        <w:rPr>
          <w:rStyle w:val="CETCaptionCarattere"/>
          <w:i/>
        </w:rPr>
        <w:t xml:space="preserve">for </w:t>
      </w:r>
      <w:r w:rsidR="004D1DCE">
        <w:rPr>
          <w:rStyle w:val="CETCaptionCarattere"/>
          <w:i/>
        </w:rPr>
        <w:t xml:space="preserve">hydrostatic/saturation failure </w:t>
      </w:r>
      <w:r w:rsidR="007941C3">
        <w:rPr>
          <w:rStyle w:val="CETCaptionCarattere"/>
          <w:i/>
        </w:rPr>
        <w:t xml:space="preserve">– circles denote partially failed tests, with each circle labelled by its corresponding test number. </w:t>
      </w:r>
    </w:p>
    <w:p w14:paraId="3B37E9EC" w14:textId="2D896DD1" w:rsidR="005D56C1" w:rsidRPr="005D56C1" w:rsidRDefault="007941C3" w:rsidP="004E2501">
      <w:pPr>
        <w:pStyle w:val="CETCaption"/>
        <w:rPr>
          <w:i w:val="0"/>
          <w:lang w:val="en-CA" w:eastAsia="en-GB"/>
        </w:rPr>
      </w:pPr>
      <w:r>
        <w:rPr>
          <w:i w:val="0"/>
          <w:lang w:val="en-CA" w:eastAsia="en-GB"/>
        </w:rPr>
        <w:t>The</w:t>
      </w:r>
      <w:r w:rsidR="005D56C1">
        <w:rPr>
          <w:i w:val="0"/>
          <w:lang w:val="en-CA" w:eastAsia="en-GB"/>
        </w:rPr>
        <w:t xml:space="preserve"> test</w:t>
      </w:r>
      <w:r>
        <w:rPr>
          <w:i w:val="0"/>
          <w:lang w:val="en-CA" w:eastAsia="en-GB"/>
        </w:rPr>
        <w:t xml:space="preserve"> data shown in Figure 4</w:t>
      </w:r>
      <w:r w:rsidR="005D56C1">
        <w:rPr>
          <w:i w:val="0"/>
          <w:lang w:val="en-CA" w:eastAsia="en-GB"/>
        </w:rPr>
        <w:t xml:space="preserve"> </w:t>
      </w:r>
      <w:r w:rsidR="00462FC7">
        <w:rPr>
          <w:i w:val="0"/>
          <w:lang w:val="en-CA" w:eastAsia="en-GB"/>
        </w:rPr>
        <w:t xml:space="preserve">(left) </w:t>
      </w:r>
      <w:r w:rsidR="005D56C1">
        <w:rPr>
          <w:i w:val="0"/>
          <w:lang w:val="en-CA" w:eastAsia="en-GB"/>
        </w:rPr>
        <w:t>are detailed in Table</w:t>
      </w:r>
      <w:r w:rsidR="0004533F">
        <w:rPr>
          <w:i w:val="0"/>
          <w:lang w:val="en-CA" w:eastAsia="en-GB"/>
        </w:rPr>
        <w:t>s</w:t>
      </w:r>
      <w:r w:rsidR="005D56C1">
        <w:rPr>
          <w:i w:val="0"/>
          <w:lang w:val="en-CA" w:eastAsia="en-GB"/>
        </w:rPr>
        <w:t xml:space="preserve"> 1, presenting their respective characteristics, including the type of failure and the mode in which failure occurred. For the 100 % fill level tests</w:t>
      </w:r>
      <w:r w:rsidR="00462FC7">
        <w:rPr>
          <w:i w:val="0"/>
          <w:lang w:val="en-CA" w:eastAsia="en-GB"/>
        </w:rPr>
        <w:t xml:space="preserve"> Figure 4 (right)</w:t>
      </w:r>
      <w:r w:rsidR="005D56C1">
        <w:rPr>
          <w:i w:val="0"/>
          <w:lang w:val="en-CA" w:eastAsia="en-GB"/>
        </w:rPr>
        <w:t xml:space="preserve">, two types of failure pressure are distinguished. </w:t>
      </w:r>
      <w:r>
        <w:rPr>
          <w:i w:val="0"/>
          <w:lang w:val="en-CA" w:eastAsia="en-GB"/>
        </w:rPr>
        <w:t>Before the vessel goes 100 % full, the pressure is determined by the propane saturation pressure. When the vessel goes 100 % full, the pressure is determined by the vessel stiffness and the liquid thermal expansion (hydrostatic pressure). After the vessel goes 100 % full, compressed liquid is obtained. A rapid rise in pressure is seen as the liquid is heated after the vessel reaches 100 % full. When the vessel fails with a compressed liquid</w:t>
      </w:r>
      <w:r w:rsidR="00E8610F">
        <w:rPr>
          <w:i w:val="0"/>
          <w:lang w:val="en-CA" w:eastAsia="en-GB"/>
        </w:rPr>
        <w:t>,</w:t>
      </w:r>
      <w:r>
        <w:rPr>
          <w:i w:val="0"/>
          <w:lang w:val="en-CA" w:eastAsia="en-GB"/>
        </w:rPr>
        <w:t xml:space="preserve"> the pressure will drop rapidly to the saturation </w:t>
      </w:r>
      <w:r w:rsidR="00E10EB4">
        <w:rPr>
          <w:i w:val="0"/>
          <w:lang w:val="en-CA" w:eastAsia="en-GB"/>
        </w:rPr>
        <w:t>pressure.</w:t>
      </w:r>
      <w:r w:rsidR="00E10EB4" w:rsidRPr="00E10EB4">
        <w:rPr>
          <w:i w:val="0"/>
          <w:lang w:val="en-CA" w:eastAsia="en-GB"/>
        </w:rPr>
        <w:t xml:space="preserve"> </w:t>
      </w:r>
      <w:r w:rsidR="00E10EB4">
        <w:rPr>
          <w:i w:val="0"/>
          <w:lang w:val="en-CA" w:eastAsia="en-GB"/>
        </w:rPr>
        <w:t>The discrepancy between these two pressures is the degree of compressed liquid. The pressure will continue to drop, and the liquid will enter superheated state. This will cause the liquid to flash and a 2 phase-flow will leave the vessel. During this process, there will be a pressure transient as the 2-phase chokes and there may be pressure recovery in the vessel that helps drive the failure opening</w:t>
      </w:r>
      <w:r w:rsidR="005D56C1">
        <w:rPr>
          <w:i w:val="0"/>
          <w:lang w:val="en-CA" w:eastAsia="en-GB"/>
        </w:rPr>
        <w:t xml:space="preserve">. Some authors consider the saturation pressure as the definitive failure pressure. However, in Figure </w:t>
      </w:r>
      <w:r w:rsidR="00557B5A">
        <w:rPr>
          <w:i w:val="0"/>
          <w:lang w:val="en-CA" w:eastAsia="en-GB"/>
        </w:rPr>
        <w:t>4</w:t>
      </w:r>
      <w:r w:rsidR="005D56C1">
        <w:rPr>
          <w:i w:val="0"/>
          <w:lang w:val="en-CA" w:eastAsia="en-GB"/>
        </w:rPr>
        <w:t xml:space="preserve">, the 100 % fill level tests are represented with the failure pressure </w:t>
      </w:r>
      <w:r w:rsidR="00204758">
        <w:rPr>
          <w:i w:val="0"/>
          <w:lang w:val="en-CA" w:eastAsia="en-GB"/>
        </w:rPr>
        <w:t>of</w:t>
      </w:r>
      <w:r>
        <w:rPr>
          <w:i w:val="0"/>
          <w:lang w:val="en-CA" w:eastAsia="en-GB"/>
        </w:rPr>
        <w:t xml:space="preserve"> the</w:t>
      </w:r>
      <w:r w:rsidR="005D56C1">
        <w:rPr>
          <w:i w:val="0"/>
          <w:lang w:val="en-CA" w:eastAsia="en-GB"/>
        </w:rPr>
        <w:t xml:space="preserve"> compressed liquid.</w:t>
      </w:r>
    </w:p>
    <w:p w14:paraId="3B8E1441" w14:textId="3AF0562B" w:rsidR="001D3A29" w:rsidRPr="00B57B36" w:rsidRDefault="001D3A29" w:rsidP="001D3A29">
      <w:pPr>
        <w:pStyle w:val="CETTabletitle"/>
      </w:pPr>
      <w:r w:rsidRPr="00B57B36">
        <w:t xml:space="preserve">Table 1: </w:t>
      </w:r>
      <w:r w:rsidR="004E2501">
        <w:t>Partial failure tests f</w:t>
      </w:r>
      <w:r w:rsidR="002C7980">
        <w:t>rom</w:t>
      </w:r>
      <w:r w:rsidR="004E2501">
        <w:t xml:space="preserve"> BLEVE </w:t>
      </w:r>
      <w:r w:rsidR="00E10EB4">
        <w:t xml:space="preserve">Laamarti </w:t>
      </w:r>
      <w:r w:rsidR="004E2501">
        <w:t>2022</w:t>
      </w:r>
      <w:r w:rsidRPr="00B57B36">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368"/>
        <w:gridCol w:w="900"/>
      </w:tblGrid>
      <w:tr w:rsidR="004E2501" w:rsidRPr="00B57B36" w14:paraId="300C3238" w14:textId="5CA89743" w:rsidTr="004E2501">
        <w:tc>
          <w:tcPr>
            <w:tcW w:w="1134" w:type="dxa"/>
            <w:tcBorders>
              <w:top w:val="single" w:sz="12" w:space="0" w:color="008000"/>
              <w:bottom w:val="single" w:sz="6" w:space="0" w:color="008000"/>
            </w:tcBorders>
            <w:shd w:val="clear" w:color="auto" w:fill="FFFFFF"/>
          </w:tcPr>
          <w:p w14:paraId="54ABDE00" w14:textId="29DA23A5" w:rsidR="004E2501" w:rsidRPr="00B57B36" w:rsidRDefault="004E2501" w:rsidP="004E2501">
            <w:pPr>
              <w:pStyle w:val="CETBodytext"/>
              <w:jc w:val="left"/>
              <w:rPr>
                <w:lang w:val="en-GB"/>
              </w:rPr>
            </w:pPr>
            <w:r>
              <w:rPr>
                <w:lang w:val="en-CA"/>
              </w:rPr>
              <w:t>Test</w:t>
            </w:r>
          </w:p>
        </w:tc>
        <w:tc>
          <w:tcPr>
            <w:tcW w:w="1134" w:type="dxa"/>
            <w:tcBorders>
              <w:top w:val="single" w:sz="12" w:space="0" w:color="008000"/>
              <w:bottom w:val="single" w:sz="6" w:space="0" w:color="008000"/>
            </w:tcBorders>
            <w:shd w:val="clear" w:color="auto" w:fill="FFFFFF"/>
          </w:tcPr>
          <w:p w14:paraId="60707E6A" w14:textId="274162D6" w:rsidR="004E2501" w:rsidRPr="00B57B36" w:rsidRDefault="00000000" w:rsidP="004E2501">
            <w:pPr>
              <w:pStyle w:val="CETBodytext"/>
              <w:jc w:val="left"/>
              <w:rPr>
                <w:lang w:val="en-GB"/>
              </w:rPr>
            </w:pPr>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m:t>
                  </m:r>
                </m:sub>
              </m:sSub>
              <m:r>
                <m:rPr>
                  <m:sty m:val="p"/>
                </m:rPr>
                <w:rPr>
                  <w:rFonts w:ascii="Cambria Math" w:hAnsi="Cambria Math"/>
                  <w:lang w:val="en-CA"/>
                </w:rPr>
                <m:t> </m:t>
              </m:r>
            </m:oMath>
            <w:r w:rsidR="004E2501" w:rsidRPr="009C7E4E">
              <w:rPr>
                <w:lang w:val="en-CA"/>
              </w:rPr>
              <w:t>[Barg]</w:t>
            </w:r>
          </w:p>
        </w:tc>
        <w:tc>
          <w:tcPr>
            <w:tcW w:w="1134" w:type="dxa"/>
            <w:tcBorders>
              <w:top w:val="single" w:sz="12" w:space="0" w:color="008000"/>
              <w:bottom w:val="single" w:sz="6" w:space="0" w:color="008000"/>
            </w:tcBorders>
            <w:shd w:val="clear" w:color="auto" w:fill="FFFFFF"/>
          </w:tcPr>
          <w:p w14:paraId="56AE8F3C" w14:textId="7887DA84" w:rsidR="004E2501" w:rsidRPr="00B57B36" w:rsidRDefault="00000000" w:rsidP="004E2501">
            <w:pPr>
              <w:pStyle w:val="CETBodytext"/>
              <w:jc w:val="left"/>
              <w:rPr>
                <w:lang w:val="en-GB"/>
              </w:rPr>
            </w:pPr>
            <m:oMath>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c</m:t>
                  </m:r>
                </m:sub>
              </m:sSub>
            </m:oMath>
            <w:r w:rsidR="004E2501" w:rsidRPr="009C7E4E">
              <w:rPr>
                <w:lang w:val="en-CA"/>
              </w:rPr>
              <w:t xml:space="preserve"> </w:t>
            </w:r>
            <w:r w:rsidR="004E2501">
              <w:rPr>
                <w:lang w:val="en-CA"/>
              </w:rPr>
              <w:t>[mm]</w:t>
            </w:r>
          </w:p>
        </w:tc>
        <w:tc>
          <w:tcPr>
            <w:tcW w:w="1134" w:type="dxa"/>
            <w:tcBorders>
              <w:top w:val="single" w:sz="12" w:space="0" w:color="008000"/>
              <w:bottom w:val="single" w:sz="6" w:space="0" w:color="008000"/>
            </w:tcBorders>
            <w:shd w:val="clear" w:color="auto" w:fill="FFFFFF"/>
          </w:tcPr>
          <w:p w14:paraId="01B9CBC4" w14:textId="290E6119" w:rsidR="004E2501" w:rsidRPr="00B57B36" w:rsidRDefault="004E2501" w:rsidP="004E2501">
            <w:pPr>
              <w:pStyle w:val="CETBodytext"/>
              <w:ind w:right="-1"/>
              <w:jc w:val="left"/>
              <w:rPr>
                <w:rFonts w:cs="Arial"/>
                <w:szCs w:val="18"/>
                <w:lang w:val="en-GB"/>
              </w:rPr>
            </w:pPr>
            <m:oMath>
              <m:r>
                <w:rPr>
                  <w:rFonts w:ascii="Cambria Math" w:hAnsi="Cambria Math"/>
                  <w:lang w:val="en-CA"/>
                </w:rPr>
                <m:t>φ</m:t>
              </m:r>
            </m:oMath>
            <w:r>
              <w:rPr>
                <w:lang w:val="en-CA"/>
              </w:rPr>
              <w:t xml:space="preserve"> (%)</w:t>
            </w:r>
          </w:p>
        </w:tc>
        <w:tc>
          <w:tcPr>
            <w:tcW w:w="1134" w:type="dxa"/>
            <w:tcBorders>
              <w:top w:val="single" w:sz="12" w:space="0" w:color="008000"/>
              <w:bottom w:val="single" w:sz="6" w:space="0" w:color="008000"/>
            </w:tcBorders>
            <w:shd w:val="clear" w:color="auto" w:fill="FFFFFF"/>
          </w:tcPr>
          <w:p w14:paraId="4FCABEF2" w14:textId="74DAFF89" w:rsidR="004E2501" w:rsidRPr="00B57B36" w:rsidRDefault="00000000" w:rsidP="004E2501">
            <w:pPr>
              <w:pStyle w:val="CETBodytext"/>
              <w:ind w:right="-1"/>
              <w:jc w:val="left"/>
              <w:rPr>
                <w:rFonts w:cs="Arial"/>
                <w:szCs w:val="18"/>
                <w:lang w:val="en-GB"/>
              </w:rPr>
            </w:pPr>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m:t>
                  </m:r>
                </m:sub>
              </m:sSub>
              <m:r>
                <m:rPr>
                  <m:sty m:val="p"/>
                </m:rPr>
                <w:rPr>
                  <w:rFonts w:ascii="Cambria Math" w:hAnsi="Cambria Math"/>
                  <w:lang w:val="en-CA"/>
                </w:rPr>
                <m:t> </m:t>
              </m:r>
            </m:oMath>
            <w:r w:rsidR="004E2501" w:rsidRPr="009C7E4E">
              <w:rPr>
                <w:lang w:val="en-CA"/>
              </w:rPr>
              <w:t>[Barg]</w:t>
            </w:r>
            <w:r w:rsidR="004E2501">
              <w:rPr>
                <w:lang w:val="en-CA"/>
              </w:rPr>
              <w:t xml:space="preserve"> at saturation</w:t>
            </w:r>
          </w:p>
        </w:tc>
        <w:tc>
          <w:tcPr>
            <w:tcW w:w="1368" w:type="dxa"/>
            <w:tcBorders>
              <w:top w:val="single" w:sz="12" w:space="0" w:color="008000"/>
              <w:bottom w:val="single" w:sz="6" w:space="0" w:color="008000"/>
            </w:tcBorders>
            <w:shd w:val="clear" w:color="auto" w:fill="FFFFFF"/>
          </w:tcPr>
          <w:p w14:paraId="26446B6E" w14:textId="77777777" w:rsidR="004E2501" w:rsidRDefault="004E2501" w:rsidP="004E2501">
            <w:pPr>
              <w:pStyle w:val="CETBodytext"/>
              <w:ind w:right="-1"/>
              <w:jc w:val="left"/>
              <w:rPr>
                <w:lang w:val="en-CA"/>
              </w:rPr>
            </w:pPr>
            <w:r>
              <w:rPr>
                <w:lang w:val="en-CA"/>
              </w:rPr>
              <w:t>Type</w:t>
            </w:r>
          </w:p>
          <w:p w14:paraId="5806E50C" w14:textId="23EBC07E" w:rsidR="004E2501" w:rsidRDefault="004E2501" w:rsidP="004E2501">
            <w:pPr>
              <w:pStyle w:val="CETBodytext"/>
              <w:ind w:right="-1"/>
              <w:jc w:val="left"/>
              <w:rPr>
                <w:rFonts w:cs="Arial"/>
                <w:i/>
                <w:lang w:val="en-CA"/>
              </w:rPr>
            </w:pPr>
            <w:r>
              <w:rPr>
                <w:lang w:val="en-CA"/>
              </w:rPr>
              <w:t>of failure</w:t>
            </w:r>
          </w:p>
        </w:tc>
        <w:tc>
          <w:tcPr>
            <w:tcW w:w="900" w:type="dxa"/>
            <w:tcBorders>
              <w:top w:val="single" w:sz="12" w:space="0" w:color="008000"/>
              <w:bottom w:val="single" w:sz="6" w:space="0" w:color="008000"/>
            </w:tcBorders>
            <w:shd w:val="clear" w:color="auto" w:fill="FFFFFF"/>
          </w:tcPr>
          <w:p w14:paraId="4ABFC147" w14:textId="2B4ECDC8" w:rsidR="004E2501" w:rsidRDefault="004E2501" w:rsidP="004E2501">
            <w:pPr>
              <w:pStyle w:val="CETBodytext"/>
              <w:ind w:right="-1"/>
              <w:jc w:val="left"/>
              <w:rPr>
                <w:rFonts w:cs="Arial"/>
                <w:i/>
                <w:lang w:val="en-CA"/>
              </w:rPr>
            </w:pPr>
            <w:r>
              <w:rPr>
                <w:lang w:val="en-CA"/>
              </w:rPr>
              <w:t>Mode of failure</w:t>
            </w:r>
          </w:p>
        </w:tc>
      </w:tr>
      <w:tr w:rsidR="00C061BA" w:rsidRPr="00B57B36" w14:paraId="0FCCD49B" w14:textId="396695C3" w:rsidTr="004E2501">
        <w:tc>
          <w:tcPr>
            <w:tcW w:w="1134" w:type="dxa"/>
            <w:shd w:val="clear" w:color="auto" w:fill="FFFFFF"/>
            <w:vAlign w:val="center"/>
          </w:tcPr>
          <w:p w14:paraId="5C931D97" w14:textId="5DCCD9E9" w:rsidR="00C061BA" w:rsidRPr="00B57B36" w:rsidRDefault="00C061BA" w:rsidP="00C061BA">
            <w:pPr>
              <w:pStyle w:val="CETBodytext"/>
              <w:rPr>
                <w:lang w:val="en-GB"/>
              </w:rPr>
            </w:pPr>
            <w:r>
              <w:rPr>
                <w:lang w:val="en-CA"/>
              </w:rPr>
              <w:t>1</w:t>
            </w:r>
          </w:p>
        </w:tc>
        <w:tc>
          <w:tcPr>
            <w:tcW w:w="1134" w:type="dxa"/>
            <w:shd w:val="clear" w:color="auto" w:fill="FFFFFF"/>
            <w:vAlign w:val="center"/>
          </w:tcPr>
          <w:p w14:paraId="12E30439" w14:textId="16D09763" w:rsidR="00C061BA" w:rsidRPr="00B57B36" w:rsidRDefault="00C061BA" w:rsidP="00C061BA">
            <w:pPr>
              <w:pStyle w:val="CETBodytext"/>
              <w:rPr>
                <w:lang w:val="en-GB"/>
              </w:rPr>
            </w:pPr>
            <w:r>
              <w:rPr>
                <w:lang w:val="en-CA"/>
              </w:rPr>
              <w:t>19.8</w:t>
            </w:r>
          </w:p>
        </w:tc>
        <w:tc>
          <w:tcPr>
            <w:tcW w:w="1134" w:type="dxa"/>
            <w:shd w:val="clear" w:color="auto" w:fill="FFFFFF"/>
            <w:vAlign w:val="center"/>
          </w:tcPr>
          <w:p w14:paraId="2A25B46F" w14:textId="5B4C7F57" w:rsidR="00C061BA" w:rsidRPr="00B57B36" w:rsidRDefault="00C061BA" w:rsidP="00C061BA">
            <w:pPr>
              <w:pStyle w:val="CETBodytext"/>
              <w:rPr>
                <w:lang w:val="en-GB"/>
              </w:rPr>
            </w:pPr>
            <w:r>
              <w:rPr>
                <w:lang w:val="en-CA"/>
              </w:rPr>
              <w:t>150</w:t>
            </w:r>
          </w:p>
        </w:tc>
        <w:tc>
          <w:tcPr>
            <w:tcW w:w="1134" w:type="dxa"/>
            <w:shd w:val="clear" w:color="auto" w:fill="FFFFFF"/>
            <w:vAlign w:val="center"/>
          </w:tcPr>
          <w:p w14:paraId="0387C2DF" w14:textId="20BE064C" w:rsidR="00C061BA" w:rsidRPr="00B57B36" w:rsidRDefault="00C061BA" w:rsidP="00C061BA">
            <w:pPr>
              <w:pStyle w:val="CETBodytext"/>
              <w:ind w:right="-1"/>
              <w:rPr>
                <w:rFonts w:cs="Arial"/>
                <w:szCs w:val="18"/>
                <w:lang w:val="en-GB"/>
              </w:rPr>
            </w:pPr>
            <w:r>
              <w:rPr>
                <w:lang w:val="en-CA"/>
              </w:rPr>
              <w:t>100</w:t>
            </w:r>
          </w:p>
        </w:tc>
        <w:tc>
          <w:tcPr>
            <w:tcW w:w="1134" w:type="dxa"/>
            <w:shd w:val="clear" w:color="auto" w:fill="FFFFFF"/>
            <w:vAlign w:val="center"/>
          </w:tcPr>
          <w:p w14:paraId="0A4B8F80" w14:textId="35045558" w:rsidR="00C061BA" w:rsidRPr="00B57B36" w:rsidRDefault="00C061BA" w:rsidP="00C061BA">
            <w:pPr>
              <w:pStyle w:val="CETBodytext"/>
              <w:ind w:right="-1"/>
              <w:rPr>
                <w:rFonts w:cs="Arial"/>
                <w:szCs w:val="18"/>
                <w:lang w:val="en-GB"/>
              </w:rPr>
            </w:pPr>
            <w:r>
              <w:rPr>
                <w:lang w:val="en-CA"/>
              </w:rPr>
              <w:t>15.3</w:t>
            </w:r>
          </w:p>
        </w:tc>
        <w:tc>
          <w:tcPr>
            <w:tcW w:w="1368" w:type="dxa"/>
            <w:shd w:val="clear" w:color="auto" w:fill="FFFFFF"/>
            <w:vAlign w:val="center"/>
          </w:tcPr>
          <w:p w14:paraId="2EBBB7AD" w14:textId="08B4A53F" w:rsidR="00C061BA" w:rsidRDefault="00C061BA" w:rsidP="00C061BA">
            <w:pPr>
              <w:pStyle w:val="CETBodytext"/>
              <w:ind w:right="-1"/>
              <w:rPr>
                <w:lang w:val="en-CA"/>
              </w:rPr>
            </w:pPr>
            <w:r>
              <w:rPr>
                <w:lang w:val="en-CA"/>
              </w:rPr>
              <w:t>Fish mouth</w:t>
            </w:r>
          </w:p>
        </w:tc>
        <w:tc>
          <w:tcPr>
            <w:tcW w:w="900" w:type="dxa"/>
            <w:shd w:val="clear" w:color="auto" w:fill="FFFFFF"/>
            <w:vAlign w:val="center"/>
          </w:tcPr>
          <w:p w14:paraId="2F8C32EE" w14:textId="0B0D37FC" w:rsidR="00C061BA" w:rsidRDefault="00C061BA" w:rsidP="00C061BA">
            <w:pPr>
              <w:pStyle w:val="CETBodytext"/>
              <w:ind w:right="-1"/>
              <w:rPr>
                <w:lang w:val="en-CA"/>
              </w:rPr>
            </w:pPr>
            <w:r>
              <w:rPr>
                <w:lang w:val="en-CA"/>
              </w:rPr>
              <w:t>Hydrostatic</w:t>
            </w:r>
          </w:p>
        </w:tc>
      </w:tr>
      <w:tr w:rsidR="00C061BA" w:rsidRPr="00B57B36" w14:paraId="20D5668F" w14:textId="308AAD2D" w:rsidTr="004E2501">
        <w:tc>
          <w:tcPr>
            <w:tcW w:w="1134" w:type="dxa"/>
            <w:shd w:val="clear" w:color="auto" w:fill="FFFFFF"/>
            <w:vAlign w:val="center"/>
          </w:tcPr>
          <w:p w14:paraId="03697434" w14:textId="024AF29B" w:rsidR="00C061BA" w:rsidRPr="00B57B36" w:rsidRDefault="00C061BA" w:rsidP="00C061BA">
            <w:pPr>
              <w:pStyle w:val="CETBodytext"/>
              <w:rPr>
                <w:lang w:val="en-GB"/>
              </w:rPr>
            </w:pPr>
            <w:r>
              <w:rPr>
                <w:lang w:val="en-CA"/>
              </w:rPr>
              <w:t>11</w:t>
            </w:r>
          </w:p>
        </w:tc>
        <w:tc>
          <w:tcPr>
            <w:tcW w:w="1134" w:type="dxa"/>
            <w:shd w:val="clear" w:color="auto" w:fill="FFFFFF"/>
            <w:vAlign w:val="center"/>
          </w:tcPr>
          <w:p w14:paraId="7F9B9E2B" w14:textId="31D60A53" w:rsidR="00C061BA" w:rsidRPr="00B57B36" w:rsidRDefault="00A3532B" w:rsidP="00C061BA">
            <w:pPr>
              <w:pStyle w:val="CETBodytext"/>
              <w:rPr>
                <w:lang w:val="en-GB"/>
              </w:rPr>
            </w:pPr>
            <w:r>
              <w:rPr>
                <w:lang w:val="en-CA"/>
              </w:rPr>
              <w:t>14.1</w:t>
            </w:r>
          </w:p>
        </w:tc>
        <w:tc>
          <w:tcPr>
            <w:tcW w:w="1134" w:type="dxa"/>
            <w:shd w:val="clear" w:color="auto" w:fill="FFFFFF"/>
            <w:vAlign w:val="center"/>
          </w:tcPr>
          <w:p w14:paraId="100FC911" w14:textId="7A0DC107" w:rsidR="00C061BA" w:rsidRPr="00B57B36" w:rsidRDefault="00C061BA" w:rsidP="00C061BA">
            <w:pPr>
              <w:pStyle w:val="CETBodytext"/>
              <w:rPr>
                <w:lang w:val="en-GB"/>
              </w:rPr>
            </w:pPr>
            <w:r>
              <w:rPr>
                <w:lang w:val="en-CA"/>
              </w:rPr>
              <w:t>150</w:t>
            </w:r>
          </w:p>
        </w:tc>
        <w:tc>
          <w:tcPr>
            <w:tcW w:w="1134" w:type="dxa"/>
            <w:shd w:val="clear" w:color="auto" w:fill="FFFFFF"/>
            <w:vAlign w:val="center"/>
          </w:tcPr>
          <w:p w14:paraId="48A144F3" w14:textId="7CB335BB" w:rsidR="00C061BA" w:rsidRPr="00B57B36" w:rsidRDefault="00C061BA" w:rsidP="00C061BA">
            <w:pPr>
              <w:pStyle w:val="CETBodytext"/>
              <w:ind w:right="-1"/>
              <w:rPr>
                <w:rFonts w:cs="Arial"/>
                <w:szCs w:val="18"/>
                <w:lang w:val="en-GB"/>
              </w:rPr>
            </w:pPr>
            <w:r>
              <w:rPr>
                <w:lang w:val="en-CA"/>
              </w:rPr>
              <w:t>100</w:t>
            </w:r>
          </w:p>
        </w:tc>
        <w:tc>
          <w:tcPr>
            <w:tcW w:w="1134" w:type="dxa"/>
            <w:shd w:val="clear" w:color="auto" w:fill="FFFFFF"/>
            <w:vAlign w:val="center"/>
          </w:tcPr>
          <w:p w14:paraId="6DDF0BD2" w14:textId="486D631B" w:rsidR="00C061BA" w:rsidRPr="00B57B36" w:rsidRDefault="005D56C1" w:rsidP="00C061BA">
            <w:pPr>
              <w:pStyle w:val="CETBodytext"/>
              <w:ind w:right="-1"/>
              <w:rPr>
                <w:rFonts w:cs="Arial"/>
                <w:szCs w:val="18"/>
                <w:lang w:val="en-GB"/>
              </w:rPr>
            </w:pPr>
            <w:r>
              <w:rPr>
                <w:lang w:val="en-CA"/>
              </w:rPr>
              <w:t>13.8</w:t>
            </w:r>
          </w:p>
        </w:tc>
        <w:tc>
          <w:tcPr>
            <w:tcW w:w="1368" w:type="dxa"/>
            <w:shd w:val="clear" w:color="auto" w:fill="FFFFFF"/>
            <w:vAlign w:val="center"/>
          </w:tcPr>
          <w:p w14:paraId="0A722ADD" w14:textId="7DF6FDC7" w:rsidR="00C061BA" w:rsidRDefault="00F11CBA" w:rsidP="00C061BA">
            <w:pPr>
              <w:pStyle w:val="CETBodytext"/>
              <w:ind w:right="-1"/>
              <w:rPr>
                <w:lang w:val="en-CA"/>
              </w:rPr>
            </w:pPr>
            <w:r>
              <w:rPr>
                <w:lang w:val="en-CA"/>
              </w:rPr>
              <w:t>Incomplete</w:t>
            </w:r>
          </w:p>
        </w:tc>
        <w:tc>
          <w:tcPr>
            <w:tcW w:w="900" w:type="dxa"/>
            <w:shd w:val="clear" w:color="auto" w:fill="FFFFFF"/>
            <w:vAlign w:val="center"/>
          </w:tcPr>
          <w:p w14:paraId="53227395" w14:textId="48D53386" w:rsidR="00C061BA" w:rsidRDefault="00C061BA" w:rsidP="00C061BA">
            <w:pPr>
              <w:pStyle w:val="CETBodytext"/>
              <w:ind w:right="-1"/>
              <w:rPr>
                <w:lang w:val="en-CA"/>
              </w:rPr>
            </w:pPr>
            <w:r>
              <w:rPr>
                <w:lang w:val="en-CA"/>
              </w:rPr>
              <w:t>Hydrostatic</w:t>
            </w:r>
          </w:p>
        </w:tc>
      </w:tr>
      <w:tr w:rsidR="00C061BA" w:rsidRPr="00B57B36" w14:paraId="32A9E979" w14:textId="6BB90BF8" w:rsidTr="004E2501">
        <w:tc>
          <w:tcPr>
            <w:tcW w:w="1134" w:type="dxa"/>
            <w:shd w:val="clear" w:color="auto" w:fill="FFFFFF"/>
            <w:vAlign w:val="center"/>
          </w:tcPr>
          <w:p w14:paraId="0E0F89D7" w14:textId="50D8654A" w:rsidR="00C061BA" w:rsidRPr="00B57B36" w:rsidRDefault="00C061BA" w:rsidP="00C061BA">
            <w:pPr>
              <w:pStyle w:val="CETBodytext"/>
              <w:rPr>
                <w:lang w:val="en-GB"/>
              </w:rPr>
            </w:pPr>
            <w:r>
              <w:rPr>
                <w:lang w:val="en-CA"/>
              </w:rPr>
              <w:t>12</w:t>
            </w:r>
          </w:p>
        </w:tc>
        <w:tc>
          <w:tcPr>
            <w:tcW w:w="1134" w:type="dxa"/>
            <w:shd w:val="clear" w:color="auto" w:fill="FFFFFF"/>
            <w:vAlign w:val="center"/>
          </w:tcPr>
          <w:p w14:paraId="0527B3A8" w14:textId="18B2AE8A" w:rsidR="00C061BA" w:rsidRPr="00B57B36" w:rsidRDefault="00C061BA" w:rsidP="00C061BA">
            <w:pPr>
              <w:pStyle w:val="CETBodytext"/>
              <w:rPr>
                <w:lang w:val="en-GB"/>
              </w:rPr>
            </w:pPr>
            <w:r>
              <w:rPr>
                <w:lang w:val="en-CA"/>
              </w:rPr>
              <w:t>24.9</w:t>
            </w:r>
          </w:p>
        </w:tc>
        <w:tc>
          <w:tcPr>
            <w:tcW w:w="1134" w:type="dxa"/>
            <w:shd w:val="clear" w:color="auto" w:fill="FFFFFF"/>
            <w:vAlign w:val="center"/>
          </w:tcPr>
          <w:p w14:paraId="5F23F07F" w14:textId="19DEA8C5" w:rsidR="00C061BA" w:rsidRPr="00B57B36" w:rsidRDefault="00C061BA" w:rsidP="00C061BA">
            <w:pPr>
              <w:pStyle w:val="CETBodytext"/>
              <w:rPr>
                <w:lang w:val="en-GB"/>
              </w:rPr>
            </w:pPr>
            <w:r>
              <w:rPr>
                <w:lang w:val="en-CA"/>
              </w:rPr>
              <w:t>150</w:t>
            </w:r>
          </w:p>
        </w:tc>
        <w:tc>
          <w:tcPr>
            <w:tcW w:w="1134" w:type="dxa"/>
            <w:shd w:val="clear" w:color="auto" w:fill="FFFFFF"/>
            <w:vAlign w:val="center"/>
          </w:tcPr>
          <w:p w14:paraId="00CE2862" w14:textId="0DFD4FBB" w:rsidR="00C061BA" w:rsidRPr="00B57B36" w:rsidRDefault="00C061BA" w:rsidP="00C061BA">
            <w:pPr>
              <w:pStyle w:val="CETBodytext"/>
              <w:ind w:right="-1"/>
              <w:rPr>
                <w:rFonts w:cs="Arial"/>
                <w:szCs w:val="18"/>
                <w:lang w:val="en-GB"/>
              </w:rPr>
            </w:pPr>
            <w:r>
              <w:rPr>
                <w:lang w:val="en-CA"/>
              </w:rPr>
              <w:t>100</w:t>
            </w:r>
          </w:p>
        </w:tc>
        <w:tc>
          <w:tcPr>
            <w:tcW w:w="1134" w:type="dxa"/>
            <w:shd w:val="clear" w:color="auto" w:fill="FFFFFF"/>
            <w:vAlign w:val="center"/>
          </w:tcPr>
          <w:p w14:paraId="7FEFEED2" w14:textId="029B5503" w:rsidR="00C061BA" w:rsidRPr="00B57B36" w:rsidRDefault="00C061BA" w:rsidP="00C061BA">
            <w:pPr>
              <w:pStyle w:val="CETBodytext"/>
              <w:ind w:right="-1"/>
              <w:rPr>
                <w:rFonts w:cs="Arial"/>
                <w:szCs w:val="18"/>
                <w:lang w:val="en-GB"/>
              </w:rPr>
            </w:pPr>
            <w:r>
              <w:rPr>
                <w:lang w:val="en-CA"/>
              </w:rPr>
              <w:t>14.0</w:t>
            </w:r>
          </w:p>
        </w:tc>
        <w:tc>
          <w:tcPr>
            <w:tcW w:w="1368" w:type="dxa"/>
            <w:shd w:val="clear" w:color="auto" w:fill="FFFFFF"/>
            <w:vAlign w:val="center"/>
          </w:tcPr>
          <w:p w14:paraId="19C1F9CB" w14:textId="7D4357CD" w:rsidR="00C061BA" w:rsidRDefault="00C061BA" w:rsidP="00C061BA">
            <w:pPr>
              <w:pStyle w:val="CETBodytext"/>
              <w:ind w:right="-1"/>
              <w:rPr>
                <w:lang w:val="en-CA"/>
              </w:rPr>
            </w:pPr>
            <w:r>
              <w:rPr>
                <w:lang w:val="en-CA"/>
              </w:rPr>
              <w:t>Asymmetrical</w:t>
            </w:r>
          </w:p>
        </w:tc>
        <w:tc>
          <w:tcPr>
            <w:tcW w:w="900" w:type="dxa"/>
            <w:shd w:val="clear" w:color="auto" w:fill="FFFFFF"/>
            <w:vAlign w:val="center"/>
          </w:tcPr>
          <w:p w14:paraId="350D1810" w14:textId="7386AD97" w:rsidR="00C061BA" w:rsidRDefault="00C061BA" w:rsidP="00C061BA">
            <w:pPr>
              <w:pStyle w:val="CETBodytext"/>
              <w:ind w:right="-1"/>
              <w:rPr>
                <w:lang w:val="en-CA"/>
              </w:rPr>
            </w:pPr>
            <w:r>
              <w:rPr>
                <w:lang w:val="en-CA"/>
              </w:rPr>
              <w:t>Hydrostatic</w:t>
            </w:r>
          </w:p>
        </w:tc>
      </w:tr>
      <w:tr w:rsidR="00C061BA" w:rsidRPr="00B57B36" w14:paraId="536953D8" w14:textId="5260F81A" w:rsidTr="004E2501">
        <w:tc>
          <w:tcPr>
            <w:tcW w:w="1134" w:type="dxa"/>
            <w:shd w:val="clear" w:color="auto" w:fill="FFFFFF"/>
            <w:vAlign w:val="center"/>
          </w:tcPr>
          <w:p w14:paraId="4CC2ECFA" w14:textId="76CFD014" w:rsidR="00C061BA" w:rsidRPr="00B57B36" w:rsidRDefault="00C061BA" w:rsidP="00C061BA">
            <w:pPr>
              <w:pStyle w:val="CETBodytext"/>
              <w:rPr>
                <w:lang w:val="en-GB"/>
              </w:rPr>
            </w:pPr>
            <w:r>
              <w:rPr>
                <w:lang w:val="en-CA"/>
              </w:rPr>
              <w:t>17</w:t>
            </w:r>
          </w:p>
        </w:tc>
        <w:tc>
          <w:tcPr>
            <w:tcW w:w="1134" w:type="dxa"/>
            <w:shd w:val="clear" w:color="auto" w:fill="FFFFFF"/>
            <w:vAlign w:val="center"/>
          </w:tcPr>
          <w:p w14:paraId="6D0A23A9" w14:textId="1D6E808F" w:rsidR="00C061BA" w:rsidRPr="00B57B36" w:rsidRDefault="00C061BA" w:rsidP="00C061BA">
            <w:pPr>
              <w:pStyle w:val="CETBodytext"/>
              <w:rPr>
                <w:lang w:val="en-GB"/>
              </w:rPr>
            </w:pPr>
            <w:r>
              <w:rPr>
                <w:lang w:val="en-CA"/>
              </w:rPr>
              <w:t>14.9</w:t>
            </w:r>
          </w:p>
        </w:tc>
        <w:tc>
          <w:tcPr>
            <w:tcW w:w="1134" w:type="dxa"/>
            <w:shd w:val="clear" w:color="auto" w:fill="FFFFFF"/>
            <w:vAlign w:val="center"/>
          </w:tcPr>
          <w:p w14:paraId="3906F95D" w14:textId="3346BA01" w:rsidR="00C061BA" w:rsidRPr="00B57B36" w:rsidRDefault="00C061BA" w:rsidP="00C061BA">
            <w:pPr>
              <w:pStyle w:val="CETBodytext"/>
              <w:rPr>
                <w:lang w:val="en-GB"/>
              </w:rPr>
            </w:pPr>
            <w:r>
              <w:rPr>
                <w:lang w:val="en-CA"/>
              </w:rPr>
              <w:t>100</w:t>
            </w:r>
          </w:p>
        </w:tc>
        <w:tc>
          <w:tcPr>
            <w:tcW w:w="1134" w:type="dxa"/>
            <w:shd w:val="clear" w:color="auto" w:fill="FFFFFF"/>
            <w:vAlign w:val="center"/>
          </w:tcPr>
          <w:p w14:paraId="5B993F13" w14:textId="3B5A79DA" w:rsidR="00C061BA" w:rsidRPr="00B57B36" w:rsidRDefault="00C061BA" w:rsidP="00C061BA">
            <w:pPr>
              <w:pStyle w:val="CETBodytext"/>
              <w:ind w:right="-1"/>
              <w:rPr>
                <w:rFonts w:cs="Arial"/>
                <w:szCs w:val="18"/>
                <w:lang w:val="en-GB"/>
              </w:rPr>
            </w:pPr>
            <w:r>
              <w:rPr>
                <w:lang w:val="en-CA"/>
              </w:rPr>
              <w:t>50</w:t>
            </w:r>
          </w:p>
        </w:tc>
        <w:tc>
          <w:tcPr>
            <w:tcW w:w="1134" w:type="dxa"/>
            <w:shd w:val="clear" w:color="auto" w:fill="FFFFFF"/>
            <w:vAlign w:val="center"/>
          </w:tcPr>
          <w:p w14:paraId="21159106" w14:textId="77777777" w:rsidR="00C061BA" w:rsidRPr="00B57B36" w:rsidRDefault="00C061BA" w:rsidP="00C061BA">
            <w:pPr>
              <w:pStyle w:val="CETBodytext"/>
              <w:ind w:right="-1"/>
              <w:rPr>
                <w:rFonts w:cs="Arial"/>
                <w:szCs w:val="18"/>
                <w:lang w:val="en-GB"/>
              </w:rPr>
            </w:pPr>
          </w:p>
        </w:tc>
        <w:tc>
          <w:tcPr>
            <w:tcW w:w="1368" w:type="dxa"/>
            <w:shd w:val="clear" w:color="auto" w:fill="FFFFFF"/>
            <w:vAlign w:val="center"/>
          </w:tcPr>
          <w:p w14:paraId="14B1E96F" w14:textId="55E37C3A" w:rsidR="00C061BA" w:rsidRPr="00B57B36" w:rsidRDefault="00F11CBA" w:rsidP="00C061BA">
            <w:pPr>
              <w:pStyle w:val="CETBodytext"/>
              <w:ind w:right="-1"/>
              <w:rPr>
                <w:rFonts w:cs="Arial"/>
                <w:szCs w:val="18"/>
                <w:lang w:val="en-GB"/>
              </w:rPr>
            </w:pPr>
            <w:r>
              <w:rPr>
                <w:lang w:val="en-CA"/>
              </w:rPr>
              <w:t>Incomplete</w:t>
            </w:r>
          </w:p>
        </w:tc>
        <w:tc>
          <w:tcPr>
            <w:tcW w:w="900" w:type="dxa"/>
            <w:shd w:val="clear" w:color="auto" w:fill="FFFFFF"/>
            <w:vAlign w:val="center"/>
          </w:tcPr>
          <w:p w14:paraId="6D1AD290" w14:textId="66C1A5C9" w:rsidR="00C061BA" w:rsidRPr="00B57B36" w:rsidRDefault="00C061BA" w:rsidP="00C061BA">
            <w:pPr>
              <w:pStyle w:val="CETBodytext"/>
              <w:ind w:right="-1"/>
              <w:rPr>
                <w:rFonts w:cs="Arial"/>
                <w:szCs w:val="18"/>
                <w:lang w:val="en-GB"/>
              </w:rPr>
            </w:pPr>
            <w:r>
              <w:rPr>
                <w:lang w:val="en-CA"/>
              </w:rPr>
              <w:t>Saturation</w:t>
            </w:r>
          </w:p>
        </w:tc>
      </w:tr>
      <w:tr w:rsidR="00C061BA" w:rsidRPr="00B57B36" w14:paraId="317B216D" w14:textId="390CC557" w:rsidTr="004E2501">
        <w:tc>
          <w:tcPr>
            <w:tcW w:w="1134" w:type="dxa"/>
            <w:shd w:val="clear" w:color="auto" w:fill="FFFFFF"/>
            <w:vAlign w:val="center"/>
          </w:tcPr>
          <w:p w14:paraId="4A3B4F74" w14:textId="19017099" w:rsidR="00C061BA" w:rsidRPr="00B57B36" w:rsidRDefault="00C061BA" w:rsidP="00C061BA">
            <w:pPr>
              <w:pStyle w:val="CETBodytext"/>
              <w:rPr>
                <w:lang w:val="en-GB"/>
              </w:rPr>
            </w:pPr>
            <w:r>
              <w:rPr>
                <w:lang w:val="en-CA"/>
              </w:rPr>
              <w:t>21</w:t>
            </w:r>
          </w:p>
        </w:tc>
        <w:tc>
          <w:tcPr>
            <w:tcW w:w="1134" w:type="dxa"/>
            <w:shd w:val="clear" w:color="auto" w:fill="FFFFFF"/>
            <w:vAlign w:val="center"/>
          </w:tcPr>
          <w:p w14:paraId="6063E430" w14:textId="67494D3C" w:rsidR="00C061BA" w:rsidRPr="00B57B36" w:rsidRDefault="00C061BA" w:rsidP="00C061BA">
            <w:pPr>
              <w:pStyle w:val="CETBodytext"/>
              <w:rPr>
                <w:lang w:val="en-GB"/>
              </w:rPr>
            </w:pPr>
            <w:r>
              <w:rPr>
                <w:lang w:val="en-CA"/>
              </w:rPr>
              <w:t>18.6</w:t>
            </w:r>
          </w:p>
        </w:tc>
        <w:tc>
          <w:tcPr>
            <w:tcW w:w="1134" w:type="dxa"/>
            <w:shd w:val="clear" w:color="auto" w:fill="FFFFFF"/>
            <w:vAlign w:val="center"/>
          </w:tcPr>
          <w:p w14:paraId="7335F77A" w14:textId="0224E4B9" w:rsidR="00C061BA" w:rsidRPr="00B57B36" w:rsidRDefault="00C061BA" w:rsidP="00C061BA">
            <w:pPr>
              <w:pStyle w:val="CETBodytext"/>
              <w:rPr>
                <w:lang w:val="en-GB"/>
              </w:rPr>
            </w:pPr>
            <w:r>
              <w:rPr>
                <w:lang w:val="en-CA"/>
              </w:rPr>
              <w:t>75</w:t>
            </w:r>
          </w:p>
        </w:tc>
        <w:tc>
          <w:tcPr>
            <w:tcW w:w="1134" w:type="dxa"/>
            <w:shd w:val="clear" w:color="auto" w:fill="FFFFFF"/>
            <w:vAlign w:val="center"/>
          </w:tcPr>
          <w:p w14:paraId="7863EEB0" w14:textId="5C672C3A" w:rsidR="00C061BA" w:rsidRPr="00B57B36" w:rsidRDefault="00C061BA" w:rsidP="00C061BA">
            <w:pPr>
              <w:pStyle w:val="CETBodytext"/>
              <w:ind w:right="-1"/>
              <w:rPr>
                <w:rFonts w:cs="Arial"/>
                <w:szCs w:val="18"/>
                <w:lang w:val="en-GB"/>
              </w:rPr>
            </w:pPr>
            <w:r>
              <w:rPr>
                <w:lang w:val="en-CA"/>
              </w:rPr>
              <w:t>20</w:t>
            </w:r>
          </w:p>
        </w:tc>
        <w:tc>
          <w:tcPr>
            <w:tcW w:w="1134" w:type="dxa"/>
            <w:shd w:val="clear" w:color="auto" w:fill="FFFFFF"/>
            <w:vAlign w:val="center"/>
          </w:tcPr>
          <w:p w14:paraId="2CC8E161" w14:textId="77777777" w:rsidR="00C061BA" w:rsidRPr="00B57B36" w:rsidRDefault="00C061BA" w:rsidP="00C061BA">
            <w:pPr>
              <w:pStyle w:val="CETBodytext"/>
              <w:ind w:right="-1"/>
              <w:rPr>
                <w:rFonts w:cs="Arial"/>
                <w:szCs w:val="18"/>
                <w:lang w:val="en-GB"/>
              </w:rPr>
            </w:pPr>
          </w:p>
        </w:tc>
        <w:tc>
          <w:tcPr>
            <w:tcW w:w="1368" w:type="dxa"/>
            <w:shd w:val="clear" w:color="auto" w:fill="FFFFFF"/>
            <w:vAlign w:val="center"/>
          </w:tcPr>
          <w:p w14:paraId="4211BA85" w14:textId="0CB542A7" w:rsidR="00C061BA" w:rsidRPr="00B57B36" w:rsidRDefault="00F11CBA" w:rsidP="00C061BA">
            <w:pPr>
              <w:pStyle w:val="CETBodytext"/>
              <w:ind w:right="-1"/>
              <w:rPr>
                <w:rFonts w:cs="Arial"/>
                <w:szCs w:val="18"/>
                <w:lang w:val="en-GB"/>
              </w:rPr>
            </w:pPr>
            <w:r>
              <w:rPr>
                <w:lang w:val="en-CA"/>
              </w:rPr>
              <w:t>Incomplete</w:t>
            </w:r>
          </w:p>
        </w:tc>
        <w:tc>
          <w:tcPr>
            <w:tcW w:w="900" w:type="dxa"/>
            <w:shd w:val="clear" w:color="auto" w:fill="FFFFFF"/>
            <w:vAlign w:val="center"/>
          </w:tcPr>
          <w:p w14:paraId="39FB6B27" w14:textId="3FC2DB26" w:rsidR="00C061BA" w:rsidRPr="00B57B36" w:rsidRDefault="00C061BA" w:rsidP="00C061BA">
            <w:pPr>
              <w:pStyle w:val="CETBodytext"/>
              <w:ind w:right="-1"/>
              <w:rPr>
                <w:rFonts w:cs="Arial"/>
                <w:szCs w:val="18"/>
                <w:lang w:val="en-GB"/>
              </w:rPr>
            </w:pPr>
            <w:r>
              <w:rPr>
                <w:lang w:val="en-CA"/>
              </w:rPr>
              <w:t>Saturation</w:t>
            </w:r>
          </w:p>
        </w:tc>
      </w:tr>
      <w:tr w:rsidR="00C061BA" w:rsidRPr="00B57B36" w14:paraId="43FE8D81" w14:textId="7D4A9B1E" w:rsidTr="004E2501">
        <w:tc>
          <w:tcPr>
            <w:tcW w:w="1134" w:type="dxa"/>
            <w:shd w:val="clear" w:color="auto" w:fill="FFFFFF"/>
            <w:vAlign w:val="center"/>
          </w:tcPr>
          <w:p w14:paraId="6FFFA194" w14:textId="7D188E8D" w:rsidR="00C061BA" w:rsidRPr="00B57B36" w:rsidRDefault="00C061BA" w:rsidP="00C061BA">
            <w:pPr>
              <w:pStyle w:val="CETBodytext"/>
              <w:rPr>
                <w:lang w:val="en-GB"/>
              </w:rPr>
            </w:pPr>
            <w:r>
              <w:rPr>
                <w:lang w:val="en-CA"/>
              </w:rPr>
              <w:t>22</w:t>
            </w:r>
          </w:p>
        </w:tc>
        <w:tc>
          <w:tcPr>
            <w:tcW w:w="1134" w:type="dxa"/>
            <w:shd w:val="clear" w:color="auto" w:fill="FFFFFF"/>
            <w:vAlign w:val="center"/>
          </w:tcPr>
          <w:p w14:paraId="3CE69996" w14:textId="3221B421" w:rsidR="00C061BA" w:rsidRPr="00B57B36" w:rsidRDefault="00C061BA" w:rsidP="00C061BA">
            <w:pPr>
              <w:pStyle w:val="CETBodytext"/>
              <w:rPr>
                <w:lang w:val="en-GB"/>
              </w:rPr>
            </w:pPr>
            <w:r>
              <w:rPr>
                <w:lang w:val="en-CA"/>
              </w:rPr>
              <w:t>14.9</w:t>
            </w:r>
          </w:p>
        </w:tc>
        <w:tc>
          <w:tcPr>
            <w:tcW w:w="1134" w:type="dxa"/>
            <w:shd w:val="clear" w:color="auto" w:fill="FFFFFF"/>
            <w:vAlign w:val="center"/>
          </w:tcPr>
          <w:p w14:paraId="759EDBD7" w14:textId="52082809" w:rsidR="00C061BA" w:rsidRPr="00B57B36" w:rsidRDefault="00C061BA" w:rsidP="00C061BA">
            <w:pPr>
              <w:pStyle w:val="CETBodytext"/>
              <w:rPr>
                <w:lang w:val="en-GB"/>
              </w:rPr>
            </w:pPr>
            <w:r>
              <w:rPr>
                <w:lang w:val="en-CA"/>
              </w:rPr>
              <w:t>75</w:t>
            </w:r>
          </w:p>
        </w:tc>
        <w:tc>
          <w:tcPr>
            <w:tcW w:w="1134" w:type="dxa"/>
            <w:shd w:val="clear" w:color="auto" w:fill="FFFFFF"/>
            <w:vAlign w:val="center"/>
          </w:tcPr>
          <w:p w14:paraId="6A64CAD4" w14:textId="1DF4B724" w:rsidR="00C061BA" w:rsidRPr="00B57B36" w:rsidRDefault="00C061BA" w:rsidP="00C061BA">
            <w:pPr>
              <w:pStyle w:val="CETBodytext"/>
              <w:ind w:right="-1"/>
              <w:rPr>
                <w:rFonts w:cs="Arial"/>
                <w:szCs w:val="18"/>
                <w:lang w:val="en-GB"/>
              </w:rPr>
            </w:pPr>
            <w:r>
              <w:rPr>
                <w:lang w:val="en-CA"/>
              </w:rPr>
              <w:t>50</w:t>
            </w:r>
          </w:p>
        </w:tc>
        <w:tc>
          <w:tcPr>
            <w:tcW w:w="1134" w:type="dxa"/>
            <w:shd w:val="clear" w:color="auto" w:fill="FFFFFF"/>
            <w:vAlign w:val="center"/>
          </w:tcPr>
          <w:p w14:paraId="37C60D72" w14:textId="77777777" w:rsidR="00C061BA" w:rsidRPr="00B57B36" w:rsidRDefault="00C061BA" w:rsidP="00C061BA">
            <w:pPr>
              <w:pStyle w:val="CETBodytext"/>
              <w:ind w:right="-1"/>
              <w:rPr>
                <w:rFonts w:cs="Arial"/>
                <w:szCs w:val="18"/>
                <w:lang w:val="en-GB"/>
              </w:rPr>
            </w:pPr>
          </w:p>
        </w:tc>
        <w:tc>
          <w:tcPr>
            <w:tcW w:w="1368" w:type="dxa"/>
            <w:shd w:val="clear" w:color="auto" w:fill="FFFFFF"/>
            <w:vAlign w:val="center"/>
          </w:tcPr>
          <w:p w14:paraId="103EBE54" w14:textId="1D538B42" w:rsidR="00C061BA" w:rsidRPr="00B57B36" w:rsidRDefault="00F11CBA" w:rsidP="00C061BA">
            <w:pPr>
              <w:pStyle w:val="CETBodytext"/>
              <w:ind w:right="-1"/>
              <w:rPr>
                <w:rFonts w:cs="Arial"/>
                <w:szCs w:val="18"/>
                <w:lang w:val="en-GB"/>
              </w:rPr>
            </w:pPr>
            <w:r>
              <w:rPr>
                <w:lang w:val="en-CA"/>
              </w:rPr>
              <w:t>Incomplete</w:t>
            </w:r>
          </w:p>
        </w:tc>
        <w:tc>
          <w:tcPr>
            <w:tcW w:w="900" w:type="dxa"/>
            <w:shd w:val="clear" w:color="auto" w:fill="FFFFFF"/>
            <w:vAlign w:val="center"/>
          </w:tcPr>
          <w:p w14:paraId="322DD9F1" w14:textId="650F9FD8" w:rsidR="00C061BA" w:rsidRPr="00B57B36" w:rsidRDefault="00C061BA" w:rsidP="00C061BA">
            <w:pPr>
              <w:pStyle w:val="CETBodytext"/>
              <w:ind w:right="-1"/>
              <w:rPr>
                <w:rFonts w:cs="Arial"/>
                <w:szCs w:val="18"/>
                <w:lang w:val="en-GB"/>
              </w:rPr>
            </w:pPr>
            <w:r>
              <w:rPr>
                <w:lang w:val="en-CA"/>
              </w:rPr>
              <w:t>Saturation</w:t>
            </w:r>
          </w:p>
        </w:tc>
      </w:tr>
      <w:tr w:rsidR="00C061BA" w:rsidRPr="00B57B36" w14:paraId="0011E6A5" w14:textId="240EB8C3" w:rsidTr="004E2501">
        <w:tc>
          <w:tcPr>
            <w:tcW w:w="1134" w:type="dxa"/>
            <w:shd w:val="clear" w:color="auto" w:fill="FFFFFF"/>
            <w:vAlign w:val="center"/>
          </w:tcPr>
          <w:p w14:paraId="7A6EB3AB" w14:textId="502299B3" w:rsidR="00C061BA" w:rsidRPr="00B57B36" w:rsidRDefault="00C061BA" w:rsidP="00C061BA">
            <w:pPr>
              <w:pStyle w:val="CETBodytext"/>
              <w:rPr>
                <w:lang w:val="en-GB"/>
              </w:rPr>
            </w:pPr>
            <w:r>
              <w:rPr>
                <w:lang w:val="en-CA"/>
              </w:rPr>
              <w:t>25</w:t>
            </w:r>
          </w:p>
        </w:tc>
        <w:tc>
          <w:tcPr>
            <w:tcW w:w="1134" w:type="dxa"/>
            <w:shd w:val="clear" w:color="auto" w:fill="FFFFFF"/>
            <w:vAlign w:val="center"/>
          </w:tcPr>
          <w:p w14:paraId="03EFA574" w14:textId="5A6F35A7" w:rsidR="00C061BA" w:rsidRPr="00B57B36" w:rsidRDefault="00C061BA" w:rsidP="00C061BA">
            <w:pPr>
              <w:pStyle w:val="CETBodytext"/>
              <w:rPr>
                <w:lang w:val="en-GB"/>
              </w:rPr>
            </w:pPr>
            <w:r>
              <w:rPr>
                <w:lang w:val="en-CA"/>
              </w:rPr>
              <w:t>13.9</w:t>
            </w:r>
          </w:p>
        </w:tc>
        <w:tc>
          <w:tcPr>
            <w:tcW w:w="1134" w:type="dxa"/>
            <w:shd w:val="clear" w:color="auto" w:fill="FFFFFF"/>
            <w:vAlign w:val="center"/>
          </w:tcPr>
          <w:p w14:paraId="1BAB1036" w14:textId="776A2866" w:rsidR="00C061BA" w:rsidRPr="00B57B36" w:rsidRDefault="00C061BA" w:rsidP="00C061BA">
            <w:pPr>
              <w:pStyle w:val="CETBodytext"/>
              <w:rPr>
                <w:lang w:val="en-GB"/>
              </w:rPr>
            </w:pPr>
            <w:r>
              <w:rPr>
                <w:lang w:val="en-CA"/>
              </w:rPr>
              <w:t>100</w:t>
            </w:r>
          </w:p>
        </w:tc>
        <w:tc>
          <w:tcPr>
            <w:tcW w:w="1134" w:type="dxa"/>
            <w:shd w:val="clear" w:color="auto" w:fill="FFFFFF"/>
            <w:vAlign w:val="center"/>
          </w:tcPr>
          <w:p w14:paraId="0C999C85" w14:textId="3E9CBE00" w:rsidR="00C061BA" w:rsidRPr="00B57B36" w:rsidRDefault="00C061BA" w:rsidP="00C061BA">
            <w:pPr>
              <w:pStyle w:val="CETBodytext"/>
              <w:ind w:right="-1"/>
              <w:rPr>
                <w:rFonts w:cs="Arial"/>
                <w:szCs w:val="18"/>
                <w:lang w:val="en-GB"/>
              </w:rPr>
            </w:pPr>
            <w:r>
              <w:rPr>
                <w:lang w:val="en-CA"/>
              </w:rPr>
              <w:t>20</w:t>
            </w:r>
          </w:p>
        </w:tc>
        <w:tc>
          <w:tcPr>
            <w:tcW w:w="1134" w:type="dxa"/>
            <w:shd w:val="clear" w:color="auto" w:fill="FFFFFF"/>
            <w:vAlign w:val="center"/>
          </w:tcPr>
          <w:p w14:paraId="7C1656EE" w14:textId="77777777" w:rsidR="00C061BA" w:rsidRPr="00B57B36" w:rsidRDefault="00C061BA" w:rsidP="00C061BA">
            <w:pPr>
              <w:pStyle w:val="CETBodytext"/>
              <w:ind w:right="-1"/>
              <w:rPr>
                <w:rFonts w:cs="Arial"/>
                <w:szCs w:val="18"/>
                <w:lang w:val="en-GB"/>
              </w:rPr>
            </w:pPr>
          </w:p>
        </w:tc>
        <w:tc>
          <w:tcPr>
            <w:tcW w:w="1368" w:type="dxa"/>
            <w:shd w:val="clear" w:color="auto" w:fill="FFFFFF"/>
            <w:vAlign w:val="center"/>
          </w:tcPr>
          <w:p w14:paraId="0868A478" w14:textId="3ABF9A97" w:rsidR="00C061BA" w:rsidRPr="00B57B36" w:rsidRDefault="00F11CBA" w:rsidP="00C061BA">
            <w:pPr>
              <w:pStyle w:val="CETBodytext"/>
              <w:ind w:right="-1"/>
              <w:rPr>
                <w:rFonts w:cs="Arial"/>
                <w:szCs w:val="18"/>
                <w:lang w:val="en-GB"/>
              </w:rPr>
            </w:pPr>
            <w:r>
              <w:rPr>
                <w:lang w:val="en-CA"/>
              </w:rPr>
              <w:t>Incomplete</w:t>
            </w:r>
          </w:p>
        </w:tc>
        <w:tc>
          <w:tcPr>
            <w:tcW w:w="900" w:type="dxa"/>
            <w:shd w:val="clear" w:color="auto" w:fill="FFFFFF"/>
            <w:vAlign w:val="center"/>
          </w:tcPr>
          <w:p w14:paraId="63D2CBE2" w14:textId="4C2C788C" w:rsidR="00C061BA" w:rsidRPr="00B57B36" w:rsidRDefault="00C061BA" w:rsidP="00C061BA">
            <w:pPr>
              <w:pStyle w:val="CETBodytext"/>
              <w:ind w:right="-1"/>
              <w:rPr>
                <w:rFonts w:cs="Arial"/>
                <w:szCs w:val="18"/>
                <w:lang w:val="en-GB"/>
              </w:rPr>
            </w:pPr>
            <w:r>
              <w:rPr>
                <w:lang w:val="en-CA"/>
              </w:rPr>
              <w:t>Saturation</w:t>
            </w:r>
          </w:p>
        </w:tc>
      </w:tr>
      <w:tr w:rsidR="00C061BA" w:rsidRPr="00B57B36" w14:paraId="5D65F82A" w14:textId="28E47C0A" w:rsidTr="004E2501">
        <w:tc>
          <w:tcPr>
            <w:tcW w:w="1134" w:type="dxa"/>
            <w:shd w:val="clear" w:color="auto" w:fill="FFFFFF"/>
            <w:vAlign w:val="center"/>
          </w:tcPr>
          <w:p w14:paraId="73F050B4" w14:textId="1E31E40A" w:rsidR="00C061BA" w:rsidRPr="00B57B36" w:rsidRDefault="00C061BA" w:rsidP="00C061BA">
            <w:pPr>
              <w:pStyle w:val="CETBodytext"/>
              <w:rPr>
                <w:lang w:val="en-GB"/>
              </w:rPr>
            </w:pPr>
            <w:r>
              <w:rPr>
                <w:lang w:val="en-CA"/>
              </w:rPr>
              <w:t>30</w:t>
            </w:r>
          </w:p>
        </w:tc>
        <w:tc>
          <w:tcPr>
            <w:tcW w:w="1134" w:type="dxa"/>
            <w:shd w:val="clear" w:color="auto" w:fill="FFFFFF"/>
            <w:vAlign w:val="center"/>
          </w:tcPr>
          <w:p w14:paraId="65550552" w14:textId="7B060588" w:rsidR="00C061BA" w:rsidRPr="00B57B36" w:rsidRDefault="00C061BA" w:rsidP="00C061BA">
            <w:pPr>
              <w:pStyle w:val="CETBodytext"/>
              <w:rPr>
                <w:lang w:val="en-GB"/>
              </w:rPr>
            </w:pPr>
            <w:r>
              <w:rPr>
                <w:lang w:val="en-CA"/>
              </w:rPr>
              <w:t>18.3</w:t>
            </w:r>
          </w:p>
        </w:tc>
        <w:tc>
          <w:tcPr>
            <w:tcW w:w="1134" w:type="dxa"/>
            <w:shd w:val="clear" w:color="auto" w:fill="FFFFFF"/>
            <w:vAlign w:val="center"/>
          </w:tcPr>
          <w:p w14:paraId="09BA056A" w14:textId="310F3190" w:rsidR="00C061BA" w:rsidRPr="00B57B36" w:rsidRDefault="00C061BA" w:rsidP="00C061BA">
            <w:pPr>
              <w:pStyle w:val="CETBodytext"/>
              <w:rPr>
                <w:lang w:val="en-GB"/>
              </w:rPr>
            </w:pPr>
            <w:r>
              <w:rPr>
                <w:lang w:val="en-CA"/>
              </w:rPr>
              <w:t>75</w:t>
            </w:r>
          </w:p>
        </w:tc>
        <w:tc>
          <w:tcPr>
            <w:tcW w:w="1134" w:type="dxa"/>
            <w:shd w:val="clear" w:color="auto" w:fill="FFFFFF"/>
            <w:vAlign w:val="center"/>
          </w:tcPr>
          <w:p w14:paraId="406E7931" w14:textId="2EED1E3B" w:rsidR="00C061BA" w:rsidRPr="00B57B36" w:rsidRDefault="00C061BA" w:rsidP="00C061BA">
            <w:pPr>
              <w:pStyle w:val="CETBodytext"/>
              <w:ind w:right="-1"/>
              <w:rPr>
                <w:rFonts w:cs="Arial"/>
                <w:szCs w:val="18"/>
                <w:lang w:val="en-GB"/>
              </w:rPr>
            </w:pPr>
            <w:r>
              <w:rPr>
                <w:lang w:val="en-CA"/>
              </w:rPr>
              <w:t>50</w:t>
            </w:r>
          </w:p>
        </w:tc>
        <w:tc>
          <w:tcPr>
            <w:tcW w:w="1134" w:type="dxa"/>
            <w:shd w:val="clear" w:color="auto" w:fill="FFFFFF"/>
            <w:vAlign w:val="center"/>
          </w:tcPr>
          <w:p w14:paraId="692C23CA" w14:textId="77777777" w:rsidR="00C061BA" w:rsidRPr="00B57B36" w:rsidRDefault="00C061BA" w:rsidP="00C061BA">
            <w:pPr>
              <w:pStyle w:val="CETBodytext"/>
              <w:ind w:right="-1"/>
              <w:rPr>
                <w:rFonts w:cs="Arial"/>
                <w:szCs w:val="18"/>
                <w:lang w:val="en-GB"/>
              </w:rPr>
            </w:pPr>
          </w:p>
        </w:tc>
        <w:tc>
          <w:tcPr>
            <w:tcW w:w="1368" w:type="dxa"/>
            <w:shd w:val="clear" w:color="auto" w:fill="FFFFFF"/>
            <w:vAlign w:val="center"/>
          </w:tcPr>
          <w:p w14:paraId="39B9A33B" w14:textId="36F81273" w:rsidR="00C061BA" w:rsidRPr="00B57B36" w:rsidRDefault="00F11CBA" w:rsidP="00C061BA">
            <w:pPr>
              <w:pStyle w:val="CETBodytext"/>
              <w:ind w:right="-1"/>
              <w:rPr>
                <w:rFonts w:cs="Arial"/>
                <w:szCs w:val="18"/>
                <w:lang w:val="en-GB"/>
              </w:rPr>
            </w:pPr>
            <w:r>
              <w:rPr>
                <w:lang w:val="en-CA"/>
              </w:rPr>
              <w:t>Incomplete</w:t>
            </w:r>
          </w:p>
        </w:tc>
        <w:tc>
          <w:tcPr>
            <w:tcW w:w="900" w:type="dxa"/>
            <w:shd w:val="clear" w:color="auto" w:fill="FFFFFF"/>
            <w:vAlign w:val="center"/>
          </w:tcPr>
          <w:p w14:paraId="6077446D" w14:textId="11EA1A0D" w:rsidR="00C061BA" w:rsidRPr="00B57B36" w:rsidRDefault="00C061BA" w:rsidP="00C061BA">
            <w:pPr>
              <w:pStyle w:val="CETBodytext"/>
              <w:ind w:right="-1"/>
              <w:rPr>
                <w:rFonts w:cs="Arial"/>
                <w:szCs w:val="18"/>
                <w:lang w:val="en-GB"/>
              </w:rPr>
            </w:pPr>
            <w:r>
              <w:rPr>
                <w:lang w:val="en-CA"/>
              </w:rPr>
              <w:t>Saturation</w:t>
            </w:r>
          </w:p>
        </w:tc>
      </w:tr>
      <w:tr w:rsidR="00C061BA" w:rsidRPr="00B57B36" w14:paraId="1E7A3692" w14:textId="5A88FDA9" w:rsidTr="004E2501">
        <w:tc>
          <w:tcPr>
            <w:tcW w:w="1134" w:type="dxa"/>
            <w:shd w:val="clear" w:color="auto" w:fill="FFFFFF"/>
            <w:vAlign w:val="center"/>
          </w:tcPr>
          <w:p w14:paraId="393C96EC" w14:textId="59AD8AC2" w:rsidR="00C061BA" w:rsidRPr="00B57B36" w:rsidRDefault="00C061BA" w:rsidP="00C061BA">
            <w:pPr>
              <w:pStyle w:val="CETBodytext"/>
              <w:rPr>
                <w:lang w:val="en-GB"/>
              </w:rPr>
            </w:pPr>
            <w:r>
              <w:rPr>
                <w:lang w:val="en-CA"/>
              </w:rPr>
              <w:t>32</w:t>
            </w:r>
          </w:p>
        </w:tc>
        <w:tc>
          <w:tcPr>
            <w:tcW w:w="1134" w:type="dxa"/>
            <w:shd w:val="clear" w:color="auto" w:fill="FFFFFF"/>
            <w:vAlign w:val="center"/>
          </w:tcPr>
          <w:p w14:paraId="6476B113" w14:textId="71B11FB2" w:rsidR="00C061BA" w:rsidRPr="00B57B36" w:rsidRDefault="00C061BA" w:rsidP="00C061BA">
            <w:pPr>
              <w:pStyle w:val="CETBodytext"/>
              <w:rPr>
                <w:lang w:val="en-GB"/>
              </w:rPr>
            </w:pPr>
            <w:r>
              <w:rPr>
                <w:lang w:val="en-CA"/>
              </w:rPr>
              <w:t>22.8</w:t>
            </w:r>
          </w:p>
        </w:tc>
        <w:tc>
          <w:tcPr>
            <w:tcW w:w="1134" w:type="dxa"/>
            <w:shd w:val="clear" w:color="auto" w:fill="FFFFFF"/>
            <w:vAlign w:val="center"/>
          </w:tcPr>
          <w:p w14:paraId="387421D6" w14:textId="3319ED18" w:rsidR="00C061BA" w:rsidRPr="00B57B36" w:rsidRDefault="00C061BA" w:rsidP="00C061BA">
            <w:pPr>
              <w:pStyle w:val="CETBodytext"/>
              <w:rPr>
                <w:lang w:val="en-GB"/>
              </w:rPr>
            </w:pPr>
            <w:r>
              <w:rPr>
                <w:lang w:val="en-CA"/>
              </w:rPr>
              <w:t>75</w:t>
            </w:r>
          </w:p>
        </w:tc>
        <w:tc>
          <w:tcPr>
            <w:tcW w:w="1134" w:type="dxa"/>
            <w:shd w:val="clear" w:color="auto" w:fill="FFFFFF"/>
            <w:vAlign w:val="center"/>
          </w:tcPr>
          <w:p w14:paraId="5A42D2DA" w14:textId="04A98E42" w:rsidR="00C061BA" w:rsidRPr="00B57B36" w:rsidRDefault="00C061BA" w:rsidP="00C061BA">
            <w:pPr>
              <w:pStyle w:val="CETBodytext"/>
              <w:ind w:right="-1"/>
              <w:rPr>
                <w:rFonts w:cs="Arial"/>
                <w:szCs w:val="18"/>
                <w:lang w:val="en-GB"/>
              </w:rPr>
            </w:pPr>
            <w:r>
              <w:rPr>
                <w:lang w:val="en-CA"/>
              </w:rPr>
              <w:t>100</w:t>
            </w:r>
          </w:p>
        </w:tc>
        <w:tc>
          <w:tcPr>
            <w:tcW w:w="1134" w:type="dxa"/>
            <w:shd w:val="clear" w:color="auto" w:fill="FFFFFF"/>
            <w:vAlign w:val="center"/>
          </w:tcPr>
          <w:p w14:paraId="509FD34E" w14:textId="77C339F6" w:rsidR="00C061BA" w:rsidRPr="00B57B36" w:rsidRDefault="00C061BA" w:rsidP="00C061BA">
            <w:pPr>
              <w:pStyle w:val="CETBodytext"/>
              <w:ind w:right="-1"/>
              <w:rPr>
                <w:rFonts w:cs="Arial"/>
                <w:szCs w:val="18"/>
                <w:lang w:val="en-GB"/>
              </w:rPr>
            </w:pPr>
            <w:r>
              <w:rPr>
                <w:lang w:val="en-CA"/>
              </w:rPr>
              <w:t>17.9</w:t>
            </w:r>
          </w:p>
        </w:tc>
        <w:tc>
          <w:tcPr>
            <w:tcW w:w="1368" w:type="dxa"/>
            <w:shd w:val="clear" w:color="auto" w:fill="FFFFFF"/>
            <w:vAlign w:val="center"/>
          </w:tcPr>
          <w:p w14:paraId="25512E62" w14:textId="66A3DE5D" w:rsidR="00C061BA" w:rsidRDefault="00C061BA" w:rsidP="00C061BA">
            <w:pPr>
              <w:pStyle w:val="CETBodytext"/>
              <w:ind w:right="-1"/>
              <w:rPr>
                <w:lang w:val="en-CA"/>
              </w:rPr>
            </w:pPr>
            <w:r>
              <w:rPr>
                <w:lang w:val="en-CA"/>
              </w:rPr>
              <w:t>Asymmetrical</w:t>
            </w:r>
          </w:p>
        </w:tc>
        <w:tc>
          <w:tcPr>
            <w:tcW w:w="900" w:type="dxa"/>
            <w:shd w:val="clear" w:color="auto" w:fill="FFFFFF"/>
            <w:vAlign w:val="center"/>
          </w:tcPr>
          <w:p w14:paraId="54782418" w14:textId="23A96341" w:rsidR="00C061BA" w:rsidRDefault="00C061BA" w:rsidP="00C061BA">
            <w:pPr>
              <w:pStyle w:val="CETBodytext"/>
              <w:ind w:right="-1"/>
              <w:rPr>
                <w:lang w:val="en-CA"/>
              </w:rPr>
            </w:pPr>
            <w:r>
              <w:rPr>
                <w:lang w:val="en-CA"/>
              </w:rPr>
              <w:t>Hydrostatic</w:t>
            </w:r>
          </w:p>
        </w:tc>
      </w:tr>
      <w:tr w:rsidR="00C061BA" w:rsidRPr="00B57B36" w14:paraId="13CF1EB8" w14:textId="200D958C" w:rsidTr="00E129B4">
        <w:tc>
          <w:tcPr>
            <w:tcW w:w="1134" w:type="dxa"/>
            <w:shd w:val="clear" w:color="auto" w:fill="FFFFFF"/>
            <w:vAlign w:val="center"/>
          </w:tcPr>
          <w:p w14:paraId="61B81578" w14:textId="17939738" w:rsidR="00C061BA" w:rsidRPr="00B57B36" w:rsidRDefault="00C061BA" w:rsidP="00C061BA">
            <w:pPr>
              <w:pStyle w:val="CETBodytext"/>
              <w:rPr>
                <w:lang w:val="en-GB"/>
              </w:rPr>
            </w:pPr>
            <w:r>
              <w:rPr>
                <w:lang w:val="en-CA"/>
              </w:rPr>
              <w:t>34</w:t>
            </w:r>
          </w:p>
        </w:tc>
        <w:tc>
          <w:tcPr>
            <w:tcW w:w="1134" w:type="dxa"/>
            <w:shd w:val="clear" w:color="auto" w:fill="FFFFFF"/>
            <w:vAlign w:val="center"/>
          </w:tcPr>
          <w:p w14:paraId="6E1C8112" w14:textId="141CF4C5" w:rsidR="00C061BA" w:rsidRPr="00B57B36" w:rsidRDefault="00C061BA" w:rsidP="00C061BA">
            <w:pPr>
              <w:pStyle w:val="CETBodytext"/>
              <w:rPr>
                <w:lang w:val="en-GB"/>
              </w:rPr>
            </w:pPr>
            <w:r>
              <w:rPr>
                <w:lang w:val="en-CA"/>
              </w:rPr>
              <w:t>14.8</w:t>
            </w:r>
          </w:p>
        </w:tc>
        <w:tc>
          <w:tcPr>
            <w:tcW w:w="1134" w:type="dxa"/>
            <w:shd w:val="clear" w:color="auto" w:fill="FFFFFF"/>
            <w:vAlign w:val="center"/>
          </w:tcPr>
          <w:p w14:paraId="56907FA1" w14:textId="35E6F099" w:rsidR="00C061BA" w:rsidRPr="00B57B36" w:rsidRDefault="00C061BA" w:rsidP="00C061BA">
            <w:pPr>
              <w:pStyle w:val="CETBodytext"/>
              <w:rPr>
                <w:lang w:val="en-GB"/>
              </w:rPr>
            </w:pPr>
            <w:r>
              <w:rPr>
                <w:lang w:val="en-CA"/>
              </w:rPr>
              <w:t>125</w:t>
            </w:r>
          </w:p>
        </w:tc>
        <w:tc>
          <w:tcPr>
            <w:tcW w:w="1134" w:type="dxa"/>
            <w:shd w:val="clear" w:color="auto" w:fill="FFFFFF"/>
            <w:vAlign w:val="center"/>
          </w:tcPr>
          <w:p w14:paraId="007D3981" w14:textId="77A8FEE9" w:rsidR="00C061BA" w:rsidRPr="00B57B36" w:rsidRDefault="00C061BA" w:rsidP="00C061BA">
            <w:pPr>
              <w:pStyle w:val="CETBodytext"/>
              <w:ind w:right="-1"/>
              <w:rPr>
                <w:rFonts w:cs="Arial"/>
                <w:szCs w:val="18"/>
                <w:lang w:val="en-GB"/>
              </w:rPr>
            </w:pPr>
            <w:r>
              <w:rPr>
                <w:lang w:val="en-CA"/>
              </w:rPr>
              <w:t>50</w:t>
            </w:r>
          </w:p>
        </w:tc>
        <w:tc>
          <w:tcPr>
            <w:tcW w:w="1134" w:type="dxa"/>
            <w:shd w:val="clear" w:color="auto" w:fill="FFFFFF"/>
            <w:vAlign w:val="center"/>
          </w:tcPr>
          <w:p w14:paraId="5F13C08F" w14:textId="77777777" w:rsidR="00C061BA" w:rsidRPr="00B57B36" w:rsidRDefault="00C061BA" w:rsidP="00C061BA">
            <w:pPr>
              <w:pStyle w:val="CETBodytext"/>
              <w:ind w:right="-1"/>
              <w:rPr>
                <w:rFonts w:cs="Arial"/>
                <w:szCs w:val="18"/>
                <w:lang w:val="en-GB"/>
              </w:rPr>
            </w:pPr>
          </w:p>
        </w:tc>
        <w:tc>
          <w:tcPr>
            <w:tcW w:w="1368" w:type="dxa"/>
            <w:shd w:val="clear" w:color="auto" w:fill="FFFFFF"/>
            <w:vAlign w:val="center"/>
          </w:tcPr>
          <w:p w14:paraId="14451079" w14:textId="25018773" w:rsidR="00C061BA" w:rsidRPr="00B57B36" w:rsidRDefault="00F11CBA" w:rsidP="00C061BA">
            <w:pPr>
              <w:pStyle w:val="CETBodytext"/>
              <w:ind w:right="-1"/>
              <w:rPr>
                <w:rFonts w:cs="Arial"/>
                <w:szCs w:val="18"/>
                <w:lang w:val="en-GB"/>
              </w:rPr>
            </w:pPr>
            <w:r>
              <w:rPr>
                <w:lang w:val="en-CA"/>
              </w:rPr>
              <w:t>Incomplete</w:t>
            </w:r>
          </w:p>
        </w:tc>
        <w:tc>
          <w:tcPr>
            <w:tcW w:w="900" w:type="dxa"/>
            <w:shd w:val="clear" w:color="auto" w:fill="FFFFFF"/>
            <w:vAlign w:val="center"/>
          </w:tcPr>
          <w:p w14:paraId="442ED3C2" w14:textId="32B124EA" w:rsidR="00C061BA" w:rsidRPr="00B57B36" w:rsidRDefault="00C061BA" w:rsidP="00C061BA">
            <w:pPr>
              <w:pStyle w:val="CETBodytext"/>
              <w:ind w:right="-1"/>
              <w:rPr>
                <w:rFonts w:cs="Arial"/>
                <w:szCs w:val="18"/>
                <w:lang w:val="en-GB"/>
              </w:rPr>
            </w:pPr>
            <w:r>
              <w:rPr>
                <w:lang w:val="en-CA"/>
              </w:rPr>
              <w:t>Saturation</w:t>
            </w:r>
          </w:p>
        </w:tc>
      </w:tr>
    </w:tbl>
    <w:p w14:paraId="68CF5A21" w14:textId="1A011858" w:rsidR="009B37F4" w:rsidRPr="004D1DCE" w:rsidRDefault="009B37F4" w:rsidP="005D56C1">
      <w:pPr>
        <w:rPr>
          <w:lang w:val="en-CA" w:eastAsia="en-GB"/>
        </w:rPr>
      </w:pPr>
      <w:r>
        <w:rPr>
          <w:lang w:val="en-CA" w:eastAsia="en-GB"/>
        </w:rPr>
        <w:lastRenderedPageBreak/>
        <w:t xml:space="preserve">Figure </w:t>
      </w:r>
      <w:r w:rsidR="00557B5A">
        <w:rPr>
          <w:lang w:val="en-CA" w:eastAsia="en-GB"/>
        </w:rPr>
        <w:t>4</w:t>
      </w:r>
      <w:r>
        <w:rPr>
          <w:lang w:val="en-CA" w:eastAsia="en-GB"/>
        </w:rPr>
        <w:t xml:space="preserve"> reveals that all cases failing at 100 % fill level resulted in partial failure. Initially, this may be attributed to the observed lower burst pressure when considering the pressure at saturation. However, upon closer examination, Test 32 from Table 1, demonstrated that even with high failure pressure, vessel</w:t>
      </w:r>
      <w:r w:rsidR="0004533F">
        <w:rPr>
          <w:lang w:val="en-CA" w:eastAsia="en-GB"/>
        </w:rPr>
        <w:t xml:space="preserve"> partial</w:t>
      </w:r>
      <w:r>
        <w:rPr>
          <w:lang w:val="en-CA" w:eastAsia="en-GB"/>
        </w:rPr>
        <w:t xml:space="preserve"> failure persisted. In this specific BLEVE scenario, the rupture is attributed to the high pressure from compressed liquid</w:t>
      </w:r>
      <w:r w:rsidR="0004533F">
        <w:rPr>
          <w:lang w:val="en-CA" w:eastAsia="en-GB"/>
        </w:rPr>
        <w:t xml:space="preserve">. When the vessel fails this pressure drops rapidly and there is no vapour space to do work on the vessel wall. The liquid must flash to vapour to do expansion work on the </w:t>
      </w:r>
      <w:r w:rsidR="00247D0C">
        <w:rPr>
          <w:lang w:val="en-CA" w:eastAsia="en-GB"/>
        </w:rPr>
        <w:t>wall,</w:t>
      </w:r>
      <w:r w:rsidR="0004533F">
        <w:rPr>
          <w:lang w:val="en-CA" w:eastAsia="en-GB"/>
        </w:rPr>
        <w:t xml:space="preserve"> </w:t>
      </w:r>
      <w:r w:rsidR="00247D0C">
        <w:rPr>
          <w:lang w:val="en-CA" w:eastAsia="en-GB"/>
        </w:rPr>
        <w:t xml:space="preserve">and </w:t>
      </w:r>
      <w:r w:rsidR="0004533F">
        <w:rPr>
          <w:lang w:val="en-CA" w:eastAsia="en-GB"/>
        </w:rPr>
        <w:t>this takes time. This flashing process is not able to fully open the vessel</w:t>
      </w:r>
      <w:r w:rsidR="00247D0C">
        <w:rPr>
          <w:lang w:val="en-CA" w:eastAsia="en-GB"/>
        </w:rPr>
        <w:t xml:space="preserve"> – with other fill levels there is vapour space, and this is available immediately to do work on the vessel wall. </w:t>
      </w:r>
      <w:r>
        <w:rPr>
          <w:lang w:val="en-CA" w:eastAsia="en-GB"/>
        </w:rPr>
        <w:t xml:space="preserve">The impact of fill level on the type of failure can be seen in Figure </w:t>
      </w:r>
      <w:r w:rsidR="00557B5A">
        <w:rPr>
          <w:lang w:val="en-CA" w:eastAsia="en-GB"/>
        </w:rPr>
        <w:t>4</w:t>
      </w:r>
      <w:r w:rsidR="00D44554">
        <w:rPr>
          <w:lang w:val="en-CA" w:eastAsia="en-GB"/>
        </w:rPr>
        <w:t xml:space="preserve"> (Left)</w:t>
      </w:r>
      <w:r>
        <w:rPr>
          <w:lang w:val="en-CA" w:eastAsia="en-GB"/>
        </w:rPr>
        <w:t xml:space="preserve">. Specifically, at 90 % fill level, a complete failure occurred for a 75 mm </w:t>
      </w:r>
      <w:r w:rsidR="003A6AB7">
        <w:rPr>
          <w:lang w:val="en-CA" w:eastAsia="en-GB"/>
        </w:rPr>
        <w:t>weakened</w:t>
      </w:r>
      <w:r>
        <w:rPr>
          <w:lang w:val="en-CA" w:eastAsia="en-GB"/>
        </w:rPr>
        <w:t xml:space="preserve"> length within the 15-20 </w:t>
      </w:r>
      <w:r w:rsidR="009E2264">
        <w:rPr>
          <w:lang w:val="en-CA" w:eastAsia="en-GB"/>
        </w:rPr>
        <w:t>Barg</w:t>
      </w:r>
      <w:r>
        <w:rPr>
          <w:lang w:val="en-CA" w:eastAsia="en-GB"/>
        </w:rPr>
        <w:t xml:space="preserve"> range, whereas lower fill levels resulted </w:t>
      </w:r>
      <w:r w:rsidR="003F7D11">
        <w:rPr>
          <w:lang w:val="en-CA" w:eastAsia="en-GB"/>
        </w:rPr>
        <w:t>in partial failure</w:t>
      </w:r>
      <w:r w:rsidR="00A67215">
        <w:rPr>
          <w:lang w:val="en-CA" w:eastAsia="en-GB"/>
        </w:rPr>
        <w:t xml:space="preserve"> (Test 30 and 21).</w:t>
      </w:r>
      <w:r w:rsidR="00804536">
        <w:rPr>
          <w:lang w:val="en-CA" w:eastAsia="en-GB"/>
        </w:rPr>
        <w:t xml:space="preserve"> </w:t>
      </w:r>
      <w:r w:rsidR="004D1DCE">
        <w:rPr>
          <w:lang w:val="en-CA" w:eastAsia="en-GB"/>
        </w:rPr>
        <w:t>For 90 % fill level, the vapour space is small and will depressurize very quickly, sending the liquid into superheat state which produces powerful flashing. At high fill levels</w:t>
      </w:r>
      <w:r w:rsidR="00D44554">
        <w:rPr>
          <w:lang w:val="en-CA" w:eastAsia="en-GB"/>
        </w:rPr>
        <w:t xml:space="preserve"> (excluding 100%)</w:t>
      </w:r>
      <w:r w:rsidR="004D1DCE">
        <w:rPr>
          <w:lang w:val="en-CA" w:eastAsia="en-GB"/>
        </w:rPr>
        <w:t>, more liquid is available</w:t>
      </w:r>
      <w:r w:rsidR="009829FC">
        <w:rPr>
          <w:lang w:val="en-CA" w:eastAsia="en-GB"/>
        </w:rPr>
        <w:t>,</w:t>
      </w:r>
      <w:r w:rsidR="004D1DCE">
        <w:rPr>
          <w:lang w:val="en-CA" w:eastAsia="en-GB"/>
        </w:rPr>
        <w:t xml:space="preserve"> </w:t>
      </w:r>
      <w:r w:rsidR="009829FC">
        <w:rPr>
          <w:lang w:val="en-CA" w:eastAsia="en-GB"/>
        </w:rPr>
        <w:t>extending the</w:t>
      </w:r>
      <w:r w:rsidR="004D1DCE">
        <w:rPr>
          <w:lang w:val="en-CA" w:eastAsia="en-GB"/>
        </w:rPr>
        <w:t xml:space="preserve"> duration of flashing which is sufficient to open the vessel. </w:t>
      </w:r>
      <w:r w:rsidR="004D1DCE" w:rsidRPr="004D1DCE">
        <w:rPr>
          <w:lang w:val="en-CA" w:eastAsia="en-GB"/>
        </w:rPr>
        <w:t>This</w:t>
      </w:r>
      <w:r w:rsidR="004D1DCE">
        <w:rPr>
          <w:lang w:val="en-CA" w:eastAsia="en-GB"/>
        </w:rPr>
        <w:t xml:space="preserve"> was observed</w:t>
      </w:r>
      <w:r w:rsidR="004D1DCE" w:rsidRPr="004D1DCE">
        <w:rPr>
          <w:lang w:val="en-CA" w:eastAsia="en-GB"/>
        </w:rPr>
        <w:t xml:space="preserve"> at small failure pressure</w:t>
      </w:r>
      <w:r w:rsidR="004D1DCE">
        <w:rPr>
          <w:lang w:val="en-CA" w:eastAsia="en-GB"/>
        </w:rPr>
        <w:t>s only</w:t>
      </w:r>
      <w:r w:rsidR="004D1DCE" w:rsidRPr="004D1DCE">
        <w:rPr>
          <w:lang w:val="en-CA" w:eastAsia="en-GB"/>
        </w:rPr>
        <w:t>, where</w:t>
      </w:r>
      <w:r w:rsidR="00462FC7">
        <w:rPr>
          <w:lang w:val="en-CA" w:eastAsia="en-GB"/>
        </w:rPr>
        <w:t>in</w:t>
      </w:r>
      <w:r w:rsidR="004D1DCE" w:rsidRPr="004D1DCE">
        <w:rPr>
          <w:lang w:val="en-CA" w:eastAsia="en-GB"/>
        </w:rPr>
        <w:t xml:space="preserve"> the vessel opening is predominantly governed by the fill level</w:t>
      </w:r>
      <w:r w:rsidR="000E597B">
        <w:rPr>
          <w:lang w:val="en-CA" w:eastAsia="en-GB"/>
        </w:rPr>
        <w:t xml:space="preserve">. </w:t>
      </w:r>
    </w:p>
    <w:p w14:paraId="0CB02BC2" w14:textId="012CF162" w:rsidR="005D56C1" w:rsidRDefault="0058054F" w:rsidP="0058054F">
      <w:pPr>
        <w:rPr>
          <w:lang w:val="en-CA" w:eastAsia="en-GB"/>
        </w:rPr>
      </w:pPr>
      <w:r>
        <w:rPr>
          <w:lang w:val="en-CA" w:eastAsia="en-GB"/>
        </w:rPr>
        <w:t xml:space="preserve">The pivotal role of failure pressure in vessel opening is underscored by the observation that lower values of failure pressure consistently resulted in partial failure. This outcome is attributed to the reduced energy available </w:t>
      </w:r>
      <w:r w:rsidR="00804536">
        <w:rPr>
          <w:lang w:val="en-CA" w:eastAsia="en-GB"/>
        </w:rPr>
        <w:t xml:space="preserve">in the vapour </w:t>
      </w:r>
      <w:r>
        <w:rPr>
          <w:lang w:val="en-CA" w:eastAsia="en-GB"/>
        </w:rPr>
        <w:t xml:space="preserve">to fully open the vessel walls. </w:t>
      </w:r>
      <w:r w:rsidR="005D56C1" w:rsidRPr="005D56C1">
        <w:rPr>
          <w:lang w:val="en-CA" w:eastAsia="en-GB"/>
        </w:rPr>
        <w:t xml:space="preserve">Conversely, for other cases, those failing at lower pressures partially failed even for </w:t>
      </w:r>
      <w:r w:rsidR="00804536">
        <w:rPr>
          <w:lang w:val="en-CA" w:eastAsia="en-GB"/>
        </w:rPr>
        <w:t>large</w:t>
      </w:r>
      <w:r w:rsidR="00804536" w:rsidRPr="005D56C1">
        <w:rPr>
          <w:lang w:val="en-CA" w:eastAsia="en-GB"/>
        </w:rPr>
        <w:t>, weakened</w:t>
      </w:r>
      <w:r w:rsidR="005D56C1" w:rsidRPr="005D56C1">
        <w:rPr>
          <w:lang w:val="en-CA" w:eastAsia="en-GB"/>
        </w:rPr>
        <w:t xml:space="preserve"> length. While failure pressure plays an important role in vessel opening, at low values the uniformity of the </w:t>
      </w:r>
      <w:r w:rsidR="00804536">
        <w:rPr>
          <w:lang w:val="en-CA" w:eastAsia="en-GB"/>
        </w:rPr>
        <w:t>weakened</w:t>
      </w:r>
      <w:r w:rsidR="005D56C1" w:rsidRPr="005D56C1">
        <w:rPr>
          <w:lang w:val="en-CA" w:eastAsia="en-GB"/>
        </w:rPr>
        <w:t xml:space="preserve"> length thickness determines whether the vessel will open completely or partially. The manual machining process introduces non-uniformity of </w:t>
      </w:r>
      <w:r w:rsidR="00804536">
        <w:rPr>
          <w:lang w:val="en-CA" w:eastAsia="en-GB"/>
        </w:rPr>
        <w:t>weakened</w:t>
      </w:r>
      <w:r w:rsidR="005D56C1" w:rsidRPr="005D56C1">
        <w:rPr>
          <w:lang w:val="en-CA" w:eastAsia="en-GB"/>
        </w:rPr>
        <w:t xml:space="preserve"> length and therefore dictates </w:t>
      </w:r>
      <w:r w:rsidR="00804536">
        <w:rPr>
          <w:lang w:val="en-CA" w:eastAsia="en-GB"/>
        </w:rPr>
        <w:t xml:space="preserve">the position of where the crack starts. The vessel will open faster when the crack starts in the middle of the weakened length. In this case, the crack grows in both directions and the vessel opens faster. </w:t>
      </w:r>
      <w:r w:rsidR="005D56C1" w:rsidRPr="005D56C1">
        <w:rPr>
          <w:lang w:val="en-CA" w:eastAsia="en-GB"/>
        </w:rPr>
        <w:t xml:space="preserve">The observed behavior is explained using fundamental engineering principles, including the thin-walled assumption, maximum normal stress assumption, and the von Mises theory. These theories, considering both hoop and longitudinal stresses, provide a framework to understand the behavior under various thicknesses. </w:t>
      </w:r>
      <w:r w:rsidR="00804536">
        <w:rPr>
          <w:lang w:val="en-CA" w:eastAsia="en-GB"/>
        </w:rPr>
        <w:t xml:space="preserve">The estimated failure pressure is determined from equation (1). This assumes the vessel fails when the von Mises stress based on hoop and longitudinal stress is equal to the material ultimate strength. </w:t>
      </w:r>
    </w:p>
    <w:tbl>
      <w:tblPr>
        <w:tblW w:w="5000" w:type="pct"/>
        <w:tblLook w:val="04A0" w:firstRow="1" w:lastRow="0" w:firstColumn="1" w:lastColumn="0" w:noHBand="0" w:noVBand="1"/>
      </w:tblPr>
      <w:tblGrid>
        <w:gridCol w:w="8188"/>
        <w:gridCol w:w="815"/>
      </w:tblGrid>
      <w:tr w:rsidR="0058054F" w:rsidRPr="00B57B36" w14:paraId="38B44BE4" w14:textId="77777777" w:rsidTr="00AC1A09">
        <w:tc>
          <w:tcPr>
            <w:tcW w:w="8188" w:type="dxa"/>
            <w:shd w:val="clear" w:color="auto" w:fill="auto"/>
            <w:vAlign w:val="center"/>
          </w:tcPr>
          <w:p w14:paraId="0D333762" w14:textId="119116F7" w:rsidR="0058054F" w:rsidRPr="007A587A" w:rsidRDefault="00000000" w:rsidP="007A587A">
            <w:pPr>
              <w:rPr>
                <w:lang w:val="en-CA" w:eastAsia="en-GB"/>
              </w:rPr>
            </w:pPr>
            <m:oMathPara>
              <m:oMathParaPr>
                <m:jc m:val="left"/>
              </m:oMathParaPr>
              <m:oMath>
                <m:sSub>
                  <m:sSubPr>
                    <m:ctrlPr>
                      <w:rPr>
                        <w:rFonts w:ascii="Cambria Math" w:hAnsi="Cambria Math"/>
                        <w:lang w:val="en-CA" w:eastAsia="en-GB"/>
                      </w:rPr>
                    </m:ctrlPr>
                  </m:sSubPr>
                  <m:e>
                    <m:r>
                      <w:rPr>
                        <w:rFonts w:ascii="Cambria Math" w:hAnsi="Cambria Math"/>
                        <w:lang w:val="en-CA" w:eastAsia="en-GB"/>
                      </w:rPr>
                      <m:t>P</m:t>
                    </m:r>
                  </m:e>
                  <m:sub>
                    <m:r>
                      <w:rPr>
                        <w:rFonts w:ascii="Cambria Math" w:hAnsi="Cambria Math"/>
                        <w:lang w:val="en-CA" w:eastAsia="en-GB"/>
                      </w:rPr>
                      <m:t>fail</m:t>
                    </m:r>
                  </m:sub>
                </m:sSub>
                <m:r>
                  <m:rPr>
                    <m:sty m:val="p"/>
                  </m:rPr>
                  <w:rPr>
                    <w:rFonts w:ascii="Cambria Math" w:hAnsi="Cambria Math"/>
                    <w:lang w:val="en-CA" w:eastAsia="en-GB"/>
                  </w:rPr>
                  <m:t>=</m:t>
                </m:r>
                <m:f>
                  <m:fPr>
                    <m:ctrlPr>
                      <w:rPr>
                        <w:rFonts w:ascii="Cambria Math" w:hAnsi="Cambria Math"/>
                        <w:lang w:val="en-CA" w:eastAsia="en-GB"/>
                      </w:rPr>
                    </m:ctrlPr>
                  </m:fPr>
                  <m:num>
                    <m:sSub>
                      <m:sSubPr>
                        <m:ctrlPr>
                          <w:rPr>
                            <w:rFonts w:ascii="Cambria Math" w:hAnsi="Cambria Math"/>
                            <w:lang w:val="en-CA" w:eastAsia="en-GB"/>
                          </w:rPr>
                        </m:ctrlPr>
                      </m:sSubPr>
                      <m:e>
                        <m:r>
                          <w:rPr>
                            <w:rFonts w:ascii="Cambria Math" w:hAnsi="Cambria Math"/>
                            <w:lang w:val="en-CA" w:eastAsia="en-GB"/>
                          </w:rPr>
                          <m:t>σ</m:t>
                        </m:r>
                      </m:e>
                      <m:sub>
                        <m:r>
                          <w:rPr>
                            <w:rFonts w:ascii="Cambria Math" w:hAnsi="Cambria Math"/>
                            <w:lang w:val="en-CA" w:eastAsia="en-GB"/>
                          </w:rPr>
                          <m:t>UTS</m:t>
                        </m:r>
                      </m:sub>
                    </m:sSub>
                    <m:r>
                      <m:rPr>
                        <m:sty m:val="p"/>
                      </m:rPr>
                      <w:rPr>
                        <w:rFonts w:ascii="Cambria Math" w:hAnsi="Cambria Math"/>
                        <w:lang w:val="en-CA" w:eastAsia="en-GB"/>
                      </w:rPr>
                      <m:t>4</m:t>
                    </m:r>
                    <m:r>
                      <w:rPr>
                        <w:rFonts w:ascii="Cambria Math" w:hAnsi="Cambria Math"/>
                        <w:lang w:val="en-CA" w:eastAsia="en-GB"/>
                      </w:rPr>
                      <m:t>t</m:t>
                    </m:r>
                  </m:num>
                  <m:den>
                    <m:rad>
                      <m:radPr>
                        <m:degHide m:val="1"/>
                        <m:ctrlPr>
                          <w:rPr>
                            <w:rFonts w:ascii="Cambria Math" w:hAnsi="Cambria Math"/>
                            <w:lang w:val="en-CA" w:eastAsia="en-GB"/>
                          </w:rPr>
                        </m:ctrlPr>
                      </m:radPr>
                      <m:deg/>
                      <m:e>
                        <m:r>
                          <m:rPr>
                            <m:sty m:val="p"/>
                          </m:rPr>
                          <w:rPr>
                            <w:rFonts w:ascii="Cambria Math" w:hAnsi="Cambria Math"/>
                            <w:lang w:val="en-CA" w:eastAsia="en-GB"/>
                          </w:rPr>
                          <m:t>3</m:t>
                        </m:r>
                      </m:e>
                    </m:rad>
                    <m:r>
                      <w:rPr>
                        <w:rFonts w:ascii="Cambria Math" w:hAnsi="Cambria Math"/>
                        <w:lang w:val="en-CA" w:eastAsia="en-GB"/>
                      </w:rPr>
                      <m:t>D</m:t>
                    </m:r>
                  </m:den>
                </m:f>
              </m:oMath>
            </m:oMathPara>
          </w:p>
        </w:tc>
        <w:tc>
          <w:tcPr>
            <w:tcW w:w="815" w:type="dxa"/>
            <w:shd w:val="clear" w:color="auto" w:fill="auto"/>
            <w:vAlign w:val="center"/>
          </w:tcPr>
          <w:p w14:paraId="00E051F1" w14:textId="77777777" w:rsidR="0058054F" w:rsidRPr="00B57B36" w:rsidRDefault="0058054F" w:rsidP="00AC1A09">
            <w:pPr>
              <w:pStyle w:val="CETEquation"/>
              <w:jc w:val="right"/>
            </w:pPr>
            <w:r w:rsidRPr="00B57B36">
              <w:t>(1)</w:t>
            </w:r>
          </w:p>
        </w:tc>
      </w:tr>
    </w:tbl>
    <w:p w14:paraId="155656F3" w14:textId="5643F55C" w:rsidR="005D56C1" w:rsidRPr="0058054F" w:rsidRDefault="005D56C1" w:rsidP="0058054F">
      <w:pPr>
        <w:tabs>
          <w:tab w:val="clear" w:pos="7100"/>
        </w:tabs>
        <w:spacing w:after="160" w:line="259" w:lineRule="auto"/>
        <w:rPr>
          <w:lang w:val="en-CA" w:eastAsia="en-GB"/>
        </w:rPr>
      </w:pPr>
      <w:r w:rsidRPr="0058054F">
        <w:rPr>
          <w:lang w:val="en-CA" w:eastAsia="en-GB"/>
        </w:rPr>
        <w:t xml:space="preserve">Additionally, </w:t>
      </w:r>
      <w:r w:rsidR="001941A6">
        <w:rPr>
          <w:lang w:val="en-CA" w:eastAsia="en-GB"/>
        </w:rPr>
        <w:t>weakened</w:t>
      </w:r>
      <w:r w:rsidRPr="0058054F">
        <w:rPr>
          <w:lang w:val="en-CA" w:eastAsia="en-GB"/>
        </w:rPr>
        <w:t xml:space="preserve"> length proves to be a significant factor influencing the type of opening; for instance, some cases with 75 mm and all cases with 50 mm </w:t>
      </w:r>
      <w:r w:rsidR="001941A6">
        <w:rPr>
          <w:lang w:val="en-CA" w:eastAsia="en-GB"/>
        </w:rPr>
        <w:t>weakened</w:t>
      </w:r>
      <w:r w:rsidRPr="0058054F">
        <w:rPr>
          <w:lang w:val="en-CA" w:eastAsia="en-GB"/>
        </w:rPr>
        <w:t xml:space="preserve"> length demonstrated partial failures even at significant failure pressure (18 </w:t>
      </w:r>
      <w:r w:rsidR="00304513">
        <w:rPr>
          <w:lang w:val="en-CA" w:eastAsia="en-GB"/>
        </w:rPr>
        <w:t>Barg</w:t>
      </w:r>
      <w:r w:rsidRPr="0058054F">
        <w:rPr>
          <w:lang w:val="en-CA" w:eastAsia="en-GB"/>
        </w:rPr>
        <w:t xml:space="preserve">). </w:t>
      </w:r>
    </w:p>
    <w:p w14:paraId="5DDA6BC7" w14:textId="7EC55EE3" w:rsidR="00380C54" w:rsidRPr="00B57B36" w:rsidRDefault="00380C54" w:rsidP="00380C54">
      <w:pPr>
        <w:pStyle w:val="CETheadingx"/>
      </w:pPr>
      <w:r>
        <w:t xml:space="preserve">Ground Load and </w:t>
      </w:r>
      <w:r w:rsidR="009829FC">
        <w:t>overpressure.</w:t>
      </w:r>
    </w:p>
    <w:p w14:paraId="47284AD6" w14:textId="2C3425D7" w:rsidR="004247B6" w:rsidRDefault="004247B6" w:rsidP="00D44554">
      <w:pPr>
        <w:rPr>
          <w:lang w:val="en-CA"/>
        </w:rPr>
      </w:pPr>
      <w:r>
        <w:rPr>
          <w:lang w:val="en-CA"/>
        </w:rPr>
        <w:t xml:space="preserve">Figure </w:t>
      </w:r>
      <w:r w:rsidR="00557B5A">
        <w:rPr>
          <w:lang w:val="en-CA"/>
        </w:rPr>
        <w:t>5</w:t>
      </w:r>
      <w:r>
        <w:rPr>
          <w:lang w:val="en-CA"/>
        </w:rPr>
        <w:t xml:space="preserve"> illustrates the peak ground load </w:t>
      </w:r>
      <w:r w:rsidR="009829FC">
        <w:rPr>
          <w:lang w:val="en-CA"/>
        </w:rPr>
        <w:t xml:space="preserve">and overpressure </w:t>
      </w:r>
      <w:r>
        <w:rPr>
          <w:lang w:val="en-CA"/>
        </w:rPr>
        <w:t xml:space="preserve">for various </w:t>
      </w:r>
      <w:r w:rsidR="003A6AB7">
        <w:rPr>
          <w:lang w:val="en-CA"/>
        </w:rPr>
        <w:t>cut</w:t>
      </w:r>
      <w:r>
        <w:rPr>
          <w:lang w:val="en-CA"/>
        </w:rPr>
        <w:t xml:space="preserve"> lengths and failure pressures.</w:t>
      </w:r>
    </w:p>
    <w:p w14:paraId="69B3D440" w14:textId="2821C17F" w:rsidR="004247B6" w:rsidRDefault="00267F53" w:rsidP="00D44554">
      <w:pPr>
        <w:jc w:val="center"/>
        <w:rPr>
          <w:lang w:val="en-CA"/>
        </w:rPr>
      </w:pPr>
      <w:r>
        <w:rPr>
          <w:noProof/>
        </w:rPr>
        <w:drawing>
          <wp:inline distT="0" distB="0" distL="0" distR="0" wp14:anchorId="38229E6C" wp14:editId="1791CDCE">
            <wp:extent cx="2646680" cy="1984933"/>
            <wp:effectExtent l="0" t="0" r="1270" b="0"/>
            <wp:docPr id="10850506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9317" cy="2024409"/>
                    </a:xfrm>
                    <a:prstGeom prst="rect">
                      <a:avLst/>
                    </a:prstGeom>
                    <a:noFill/>
                    <a:ln>
                      <a:noFill/>
                    </a:ln>
                  </pic:spPr>
                </pic:pic>
              </a:graphicData>
            </a:graphic>
          </wp:inline>
        </w:drawing>
      </w:r>
      <w:r w:rsidR="00287E4F">
        <w:rPr>
          <w:noProof/>
        </w:rPr>
        <w:drawing>
          <wp:inline distT="0" distB="0" distL="0" distR="0" wp14:anchorId="296838C4" wp14:editId="710D5A0B">
            <wp:extent cx="2565400" cy="1985581"/>
            <wp:effectExtent l="0" t="0" r="6350" b="0"/>
            <wp:docPr id="17526280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8293" cy="2011039"/>
                    </a:xfrm>
                    <a:prstGeom prst="rect">
                      <a:avLst/>
                    </a:prstGeom>
                    <a:noFill/>
                    <a:ln>
                      <a:noFill/>
                    </a:ln>
                  </pic:spPr>
                </pic:pic>
              </a:graphicData>
            </a:graphic>
          </wp:inline>
        </w:drawing>
      </w:r>
    </w:p>
    <w:p w14:paraId="1DD6F099" w14:textId="512A669E" w:rsidR="004247B6" w:rsidRDefault="004247B6" w:rsidP="004247B6">
      <w:pPr>
        <w:pStyle w:val="CETCaption"/>
      </w:pPr>
      <w:r w:rsidRPr="00BD077D">
        <w:rPr>
          <w:rStyle w:val="CETCaptionCarattere"/>
          <w:i/>
        </w:rPr>
        <w:t xml:space="preserve">Figure </w:t>
      </w:r>
      <w:r w:rsidR="008F2E2B">
        <w:rPr>
          <w:rStyle w:val="CETCaptionCarattere"/>
          <w:i/>
        </w:rPr>
        <w:t>5</w:t>
      </w:r>
      <w:r w:rsidR="00557B5A">
        <w:rPr>
          <w:rStyle w:val="CETCaptionCarattere"/>
          <w:i/>
        </w:rPr>
        <w:t>:</w:t>
      </w:r>
      <w:r>
        <w:rPr>
          <w:rStyle w:val="CETCaptionCarattere"/>
          <w:i/>
        </w:rPr>
        <w:t xml:space="preserve"> Hazards from </w:t>
      </w:r>
      <w:r w:rsidR="00FA5F2D">
        <w:rPr>
          <w:rStyle w:val="CETCaptionCarattere"/>
          <w:i/>
        </w:rPr>
        <w:t xml:space="preserve">Laamarti </w:t>
      </w:r>
      <w:r>
        <w:rPr>
          <w:rStyle w:val="CETCaptionCarattere"/>
          <w:i/>
        </w:rPr>
        <w:t xml:space="preserve">2022 small-scale BLEVE a. Peak ground Load b. Lead peak overpressure </w:t>
      </w:r>
      <w:r w:rsidR="00287E4F">
        <w:rPr>
          <w:rStyle w:val="CETCaptionCarattere"/>
          <w:i/>
        </w:rPr>
        <w:t xml:space="preserve">with Friedman-Whitham prediction at different fill levels. </w:t>
      </w:r>
    </w:p>
    <w:p w14:paraId="427F9C52" w14:textId="7DF6B691" w:rsidR="001941A6" w:rsidRDefault="004247B6" w:rsidP="004247B6">
      <w:pPr>
        <w:rPr>
          <w:lang w:val="en-CA"/>
        </w:rPr>
      </w:pPr>
      <w:r>
        <w:rPr>
          <w:lang w:val="en-CA"/>
        </w:rPr>
        <w:t xml:space="preserve">The graph indicates that tubes experiencing partial failure, even at varying </w:t>
      </w:r>
      <w:r w:rsidR="00C53B6E">
        <w:rPr>
          <w:lang w:val="en-CA"/>
        </w:rPr>
        <w:t>weakened</w:t>
      </w:r>
      <w:r>
        <w:rPr>
          <w:lang w:val="en-CA"/>
        </w:rPr>
        <w:t xml:space="preserve"> lengths, had the lowest values of ground load.</w:t>
      </w:r>
      <w:r w:rsidR="00843932">
        <w:rPr>
          <w:lang w:val="en-CA"/>
        </w:rPr>
        <w:t xml:space="preserve"> </w:t>
      </w:r>
      <w:r>
        <w:rPr>
          <w:lang w:val="en-CA"/>
        </w:rPr>
        <w:t>The compromised sections of the tube may lead to reduced overall load-bearing capacity, thereby influencing the ground load measurements. Certainly, the partial failure acts as a safety mechanism, reducing the resultant ground force.  Indeed, the uneven distribution of the load over time along the load cells serves as a preventive measure against the concentration of forces and the occurrence of elevated ground loads.</w:t>
      </w:r>
      <w:r w:rsidR="00E30896">
        <w:rPr>
          <w:lang w:val="en-CA"/>
        </w:rPr>
        <w:t xml:space="preserve"> </w:t>
      </w:r>
      <w:r>
        <w:rPr>
          <w:lang w:val="en-CA"/>
        </w:rPr>
        <w:t xml:space="preserve">Regarding near-field overpressure, a total of 19 strategically positioned sensors were </w:t>
      </w:r>
      <w:r>
        <w:rPr>
          <w:lang w:val="en-CA"/>
        </w:rPr>
        <w:lastRenderedPageBreak/>
        <w:t xml:space="preserve">employed at various locations and orientations to </w:t>
      </w:r>
      <w:r w:rsidR="00632855">
        <w:rPr>
          <w:lang w:val="en-CA"/>
        </w:rPr>
        <w:t>track</w:t>
      </w:r>
      <w:r>
        <w:rPr>
          <w:lang w:val="en-CA"/>
        </w:rPr>
        <w:t xml:space="preserve"> </w:t>
      </w:r>
      <w:r w:rsidR="00632855">
        <w:rPr>
          <w:lang w:val="en-CA"/>
        </w:rPr>
        <w:t>overpressure</w:t>
      </w:r>
      <w:r>
        <w:rPr>
          <w:lang w:val="en-CA"/>
        </w:rPr>
        <w:t xml:space="preserve"> in both </w:t>
      </w:r>
      <w:r w:rsidR="00C53B6E">
        <w:rPr>
          <w:lang w:val="en-CA"/>
        </w:rPr>
        <w:t>space and time</w:t>
      </w:r>
      <w:r>
        <w:rPr>
          <w:lang w:val="en-CA"/>
        </w:rPr>
        <w:t xml:space="preserve">. Figure </w:t>
      </w:r>
      <w:r w:rsidR="00557B5A">
        <w:rPr>
          <w:lang w:val="en-CA"/>
        </w:rPr>
        <w:t>5</w:t>
      </w:r>
      <w:r w:rsidR="00383C68">
        <w:rPr>
          <w:lang w:val="en-CA"/>
        </w:rPr>
        <w:t>b.</w:t>
      </w:r>
      <w:r>
        <w:rPr>
          <w:lang w:val="en-CA"/>
        </w:rPr>
        <w:t xml:space="preserve"> illustrates the lead peak overpressure obtained from a sensor situated 15 cm above the tube in the vertical axis. The lead peak overpressure is represented for different tests at varying operating conditions. </w:t>
      </w:r>
    </w:p>
    <w:p w14:paraId="297D1832" w14:textId="34ACD59E" w:rsidR="001941A6" w:rsidRDefault="004247B6" w:rsidP="004247B6">
      <w:pPr>
        <w:rPr>
          <w:lang w:val="en-CA"/>
        </w:rPr>
      </w:pPr>
      <w:r>
        <w:rPr>
          <w:lang w:val="en-CA"/>
        </w:rPr>
        <w:t>The partially failed cases are marked with circles which aids in understanding the impact of opening type on near-field overpressure. Observations indicate that cases with a 100 % fill level experiencing partial failure showed lower peak overpressure [T1, T32, T11, T12]. However, the type of opening does not consistently correlate with lower peak overpressure across all partial failure</w:t>
      </w:r>
      <w:r w:rsidR="00C53B6E">
        <w:rPr>
          <w:lang w:val="en-CA"/>
        </w:rPr>
        <w:t>s</w:t>
      </w:r>
      <w:r>
        <w:rPr>
          <w:lang w:val="en-CA"/>
        </w:rPr>
        <w:t xml:space="preserve">. Notably, Test 25 and 17 depicted in Figure </w:t>
      </w:r>
      <w:r w:rsidR="00557B5A">
        <w:rPr>
          <w:lang w:val="en-CA"/>
        </w:rPr>
        <w:t>5</w:t>
      </w:r>
      <w:r w:rsidR="00383C68">
        <w:rPr>
          <w:lang w:val="en-CA"/>
        </w:rPr>
        <w:t>b.</w:t>
      </w:r>
      <w:r>
        <w:rPr>
          <w:lang w:val="en-CA"/>
        </w:rPr>
        <w:t xml:space="preserve"> yield distinct lead peak overpressure despite experiencing similar degree of vessel opening and operating conditions (failure pressure and </w:t>
      </w:r>
      <w:r w:rsidR="00C53B6E">
        <w:rPr>
          <w:lang w:val="en-CA"/>
        </w:rPr>
        <w:t>weakened</w:t>
      </w:r>
      <w:r>
        <w:rPr>
          <w:lang w:val="en-CA"/>
        </w:rPr>
        <w:t xml:space="preserve"> length). This difference stems from the different fill levels, 20 % and 50 %, respectively. The lower fill level, in this case, resulted in a higher lead peak overpressure. This underscores the high contribution of the vapor phase in the formation of lead peak overpressure and, crucially, the inverse relationship between fill level and lead peak overpressure. </w:t>
      </w:r>
    </w:p>
    <w:p w14:paraId="3964567A" w14:textId="3F15EE96" w:rsidR="00380C54" w:rsidRPr="004247B6" w:rsidRDefault="004247B6" w:rsidP="004247B6">
      <w:pPr>
        <w:rPr>
          <w:lang w:val="en-CA"/>
        </w:rPr>
      </w:pPr>
      <w:r>
        <w:rPr>
          <w:lang w:val="en-CA"/>
        </w:rPr>
        <w:t xml:space="preserve">These findings obtained from small-scale experiments, suggest that while the type of failure does not significantly alter overpressure magnitude, it does affect the overpressure directionality. Lead peak overpressure overprediction is achieved through Friedman-Whitham approach, wherein formula integrates shock tube equations, accounting for failure pressure and fill level. In certain scenarios, the maximum lead peak overpressure occurs between 15 cm and 20 cm vertically, highlighting the importance of overprediction. </w:t>
      </w:r>
    </w:p>
    <w:p w14:paraId="78187E93" w14:textId="05D38F45" w:rsidR="00383C68" w:rsidRDefault="00600535" w:rsidP="00280FAF">
      <w:pPr>
        <w:pStyle w:val="CETHeading1"/>
        <w:rPr>
          <w:lang w:val="en-GB"/>
        </w:rPr>
      </w:pPr>
      <w:r w:rsidRPr="00B57B36">
        <w:rPr>
          <w:lang w:val="en-GB"/>
        </w:rPr>
        <w:t>Conclusions</w:t>
      </w:r>
    </w:p>
    <w:p w14:paraId="773A1C26" w14:textId="33166EC5" w:rsidR="00046FCF" w:rsidRDefault="00B52DF9" w:rsidP="00B52DF9">
      <w:pPr>
        <w:pStyle w:val="CETBodytext"/>
        <w:rPr>
          <w:lang w:val="en-GB"/>
        </w:rPr>
      </w:pPr>
      <w:r>
        <w:rPr>
          <w:lang w:val="en-GB"/>
        </w:rPr>
        <w:t>In conclusion,</w:t>
      </w:r>
      <w:r w:rsidR="00B17795">
        <w:rPr>
          <w:lang w:val="en-GB"/>
        </w:rPr>
        <w:t xml:space="preserve"> the</w:t>
      </w:r>
      <w:r w:rsidR="00FA5F2D">
        <w:rPr>
          <w:lang w:val="en-GB"/>
        </w:rPr>
        <w:t xml:space="preserve"> Laamarti</w:t>
      </w:r>
      <w:r w:rsidR="00892C07">
        <w:rPr>
          <w:lang w:val="en-GB"/>
        </w:rPr>
        <w:t xml:space="preserve"> 2022</w:t>
      </w:r>
      <w:r w:rsidR="00B17795">
        <w:rPr>
          <w:lang w:val="en-GB"/>
        </w:rPr>
        <w:t xml:space="preserve"> small-scale propane BLEVE experiments were conducted to replicate real-world BLEVE</w:t>
      </w:r>
      <w:r w:rsidR="00046FCF">
        <w:rPr>
          <w:lang w:val="en-GB"/>
        </w:rPr>
        <w:t xml:space="preserve"> scenarios under varying initial conditions. The investigation revealed diverse failure modes, including hydrostatic failure and rupture under saturation conditions, with different </w:t>
      </w:r>
      <w:r w:rsidR="009829FC">
        <w:rPr>
          <w:lang w:val="en-GB"/>
        </w:rPr>
        <w:t xml:space="preserve">types of </w:t>
      </w:r>
      <w:r w:rsidR="00046FCF">
        <w:rPr>
          <w:lang w:val="en-GB"/>
        </w:rPr>
        <w:t xml:space="preserve">failure such as partial and complete opening of the vessel walls. The study demonstrated a pronounced correlation between controlled variables and the type of failure, particularly </w:t>
      </w:r>
      <w:r w:rsidR="00FA5F2D">
        <w:rPr>
          <w:lang w:val="en-GB"/>
        </w:rPr>
        <w:t>for</w:t>
      </w:r>
      <w:r w:rsidR="00046FCF">
        <w:rPr>
          <w:lang w:val="en-GB"/>
        </w:rPr>
        <w:t xml:space="preserve"> failure pressure and </w:t>
      </w:r>
      <w:r w:rsidR="003A6AB7">
        <w:rPr>
          <w:lang w:val="en-GB"/>
        </w:rPr>
        <w:t>weakened</w:t>
      </w:r>
      <w:r w:rsidR="00046FCF">
        <w:rPr>
          <w:lang w:val="en-GB"/>
        </w:rPr>
        <w:t xml:space="preserve"> length. The liquid full cases at hydrostatic conditions did all fail partially, likely attributed to phase change responsible of vessel opening. While partial failures from the test campaign exhibited the lowest peak ground load, they did not all consistently yield to lower lead peak overpressure. Indeed, </w:t>
      </w:r>
      <w:r w:rsidR="008D575F">
        <w:rPr>
          <w:lang w:val="en-GB"/>
        </w:rPr>
        <w:t xml:space="preserve">the liquid fill level played a crucial role, as the vapor phase contributes to the overpressure. Reducing the BLEVE hazards through partial failure is feasible, but a trade-off must be considered in operating conditions. For example, reducing the failure pressure may decrease risks from BLEVE but may increase the likelihood of BLEVE occurrence. Liquid full cases showed an interesting </w:t>
      </w:r>
      <w:r w:rsidR="00141AE4">
        <w:rPr>
          <w:lang w:val="en-GB"/>
        </w:rPr>
        <w:t>behaviour</w:t>
      </w:r>
      <w:r w:rsidR="008D575F">
        <w:rPr>
          <w:lang w:val="en-GB"/>
        </w:rPr>
        <w:t xml:space="preserve"> which requires a further in-depth investigation of the underlying dynamics.</w:t>
      </w:r>
    </w:p>
    <w:p w14:paraId="07A6D20F" w14:textId="3B604A8B" w:rsidR="00280FAF" w:rsidRPr="00280FAF" w:rsidRDefault="00280FAF" w:rsidP="00280FAF">
      <w:pPr>
        <w:pStyle w:val="CETHeadingxx"/>
        <w:rPr>
          <w:lang w:val="en-GB"/>
        </w:rPr>
        <w:sectPr w:rsidR="00280FAF" w:rsidRPr="00280FAF" w:rsidSect="00673CCF">
          <w:type w:val="continuous"/>
          <w:pgSz w:w="11906" w:h="16838" w:code="9"/>
          <w:pgMar w:top="1701" w:right="1418" w:bottom="1701" w:left="1701" w:header="1701" w:footer="0" w:gutter="0"/>
          <w:cols w:space="708"/>
          <w:formProt w:val="0"/>
          <w:titlePg/>
          <w:docGrid w:linePitch="360"/>
        </w:sectPr>
      </w:pPr>
      <w:r>
        <w:t>Nomenclature</w:t>
      </w:r>
    </w:p>
    <w:p w14:paraId="25D52BD8" w14:textId="5FC5959C" w:rsidR="00280FAF" w:rsidRPr="00BD1849" w:rsidRDefault="00000000" w:rsidP="00280FAF">
      <w:pPr>
        <w:pStyle w:val="CETBodytext"/>
        <w:jc w:val="left"/>
        <w:rPr>
          <w:rFonts w:eastAsia="SimSun"/>
          <w:lang w:val="en-CA"/>
        </w:rPr>
      </w:pPr>
      <m:oMath>
        <m:sSub>
          <m:sSubPr>
            <m:ctrlPr>
              <w:rPr>
                <w:rFonts w:ascii="Cambria Math" w:hAnsi="Cambria Math"/>
                <w:lang w:val="en-CA" w:eastAsia="en-GB"/>
              </w:rPr>
            </m:ctrlPr>
          </m:sSubPr>
          <m:e>
            <m:r>
              <w:rPr>
                <w:rFonts w:ascii="Cambria Math" w:hAnsi="Cambria Math"/>
                <w:lang w:val="en-CA" w:eastAsia="en-GB"/>
              </w:rPr>
              <m:t>P</m:t>
            </m:r>
          </m:e>
          <m:sub>
            <m:r>
              <w:rPr>
                <w:rFonts w:ascii="Cambria Math" w:hAnsi="Cambria Math"/>
                <w:lang w:val="en-CA" w:eastAsia="en-GB"/>
              </w:rPr>
              <m:t>fail</m:t>
            </m:r>
          </m:sub>
        </m:sSub>
      </m:oMath>
      <w:r w:rsidR="00280FAF" w:rsidRPr="00BD1849">
        <w:rPr>
          <w:rFonts w:eastAsia="SimSun"/>
          <w:lang w:val="en-CA"/>
        </w:rPr>
        <w:t xml:space="preserve"> – </w:t>
      </w:r>
      <w:r w:rsidR="004247B6" w:rsidRPr="00BD1849">
        <w:rPr>
          <w:rFonts w:eastAsia="SimSun"/>
          <w:lang w:val="en-CA"/>
        </w:rPr>
        <w:t>Failure pressure</w:t>
      </w:r>
      <w:r w:rsidR="00280FAF" w:rsidRPr="00BD1849">
        <w:rPr>
          <w:rFonts w:eastAsia="SimSun"/>
          <w:lang w:val="en-CA"/>
        </w:rPr>
        <w:t>, m</w:t>
      </w:r>
    </w:p>
    <w:p w14:paraId="7DFFBF41" w14:textId="02579AF1" w:rsidR="00280FAF" w:rsidRPr="00BD1849" w:rsidRDefault="00280FAF" w:rsidP="00280FAF">
      <w:pPr>
        <w:pStyle w:val="CETBodytext"/>
        <w:jc w:val="left"/>
        <w:rPr>
          <w:rFonts w:eastAsia="SimSun"/>
          <w:lang w:val="en-CA"/>
        </w:rPr>
        <w:sectPr w:rsidR="00280FAF" w:rsidRPr="00BD1849" w:rsidSect="00673CCF">
          <w:type w:val="continuous"/>
          <w:pgSz w:w="11906" w:h="16838" w:code="9"/>
          <w:pgMar w:top="1701" w:right="1418" w:bottom="1701" w:left="1701" w:header="1701" w:footer="0" w:gutter="0"/>
          <w:cols w:num="2" w:space="708"/>
          <w:formProt w:val="0"/>
          <w:titlePg/>
          <w:docGrid w:linePitch="360"/>
        </w:sectPr>
      </w:pPr>
    </w:p>
    <w:p w14:paraId="57590CE2" w14:textId="7BCB1065" w:rsidR="00280FAF" w:rsidRPr="00383C68" w:rsidRDefault="00000000" w:rsidP="00280FAF">
      <w:pPr>
        <w:pStyle w:val="CETBodytext"/>
        <w:jc w:val="left"/>
        <w:rPr>
          <w:rFonts w:eastAsia="SimSun"/>
          <w:lang w:val="en-CA"/>
        </w:rPr>
      </w:pPr>
      <m:oMath>
        <m:sSub>
          <m:sSubPr>
            <m:ctrlPr>
              <w:rPr>
                <w:rFonts w:ascii="Cambria Math" w:hAnsi="Cambria Math"/>
                <w:lang w:val="en-CA" w:eastAsia="en-GB"/>
              </w:rPr>
            </m:ctrlPr>
          </m:sSubPr>
          <m:e>
            <m:r>
              <w:rPr>
                <w:rFonts w:ascii="Cambria Math" w:hAnsi="Cambria Math"/>
                <w:lang w:val="en-CA" w:eastAsia="en-GB"/>
              </w:rPr>
              <m:t>σ</m:t>
            </m:r>
          </m:e>
          <m:sub>
            <m:r>
              <w:rPr>
                <w:rFonts w:ascii="Cambria Math" w:hAnsi="Cambria Math"/>
                <w:lang w:val="en-CA" w:eastAsia="en-GB"/>
              </w:rPr>
              <m:t>UTS</m:t>
            </m:r>
          </m:sub>
        </m:sSub>
      </m:oMath>
      <w:r w:rsidR="005B6E7A" w:rsidRPr="00280FAF">
        <w:rPr>
          <w:rFonts w:eastAsia="SimSun"/>
        </w:rPr>
        <w:t xml:space="preserve">– </w:t>
      </w:r>
      <w:r w:rsidR="00280FAF" w:rsidRPr="00383C68">
        <w:rPr>
          <w:rFonts w:eastAsia="SimSun"/>
          <w:lang w:val="en-CA"/>
        </w:rPr>
        <w:t xml:space="preserve">– </w:t>
      </w:r>
      <w:r w:rsidR="004247B6" w:rsidRPr="00383C68">
        <w:rPr>
          <w:rFonts w:eastAsia="SimSun"/>
          <w:lang w:val="en-CA"/>
        </w:rPr>
        <w:t>Ultimate material tensile strength</w:t>
      </w:r>
      <w:r w:rsidR="00280FAF" w:rsidRPr="00383C68">
        <w:rPr>
          <w:rFonts w:eastAsia="SimSun"/>
          <w:lang w:val="en-CA"/>
        </w:rPr>
        <w:t xml:space="preserve">, </w:t>
      </w:r>
      <w:r w:rsidR="00383C68">
        <w:rPr>
          <w:rFonts w:eastAsia="SimSun"/>
          <w:lang w:val="en-CA"/>
        </w:rPr>
        <w:t>M</w:t>
      </w:r>
      <w:r w:rsidR="007E4F0F">
        <w:rPr>
          <w:rFonts w:eastAsia="SimSun"/>
          <w:lang w:val="en-CA"/>
        </w:rPr>
        <w:t>P</w:t>
      </w:r>
      <w:r w:rsidR="00383C68">
        <w:rPr>
          <w:rFonts w:eastAsia="SimSun"/>
          <w:lang w:val="en-CA"/>
        </w:rPr>
        <w:t>a</w:t>
      </w:r>
    </w:p>
    <w:p w14:paraId="05CC3BA4" w14:textId="5D2BB855" w:rsidR="00280FAF" w:rsidRDefault="00383C68" w:rsidP="00280FAF">
      <w:pPr>
        <w:pStyle w:val="CETBodytext"/>
        <w:jc w:val="left"/>
        <w:rPr>
          <w:rFonts w:eastAsia="SimSun"/>
        </w:rPr>
      </w:pPr>
      <w:r>
        <w:rPr>
          <w:rFonts w:eastAsia="SimSun" w:cs="Arial"/>
        </w:rPr>
        <w:t>φ</w:t>
      </w:r>
      <w:r w:rsidR="00280FAF" w:rsidRPr="00280FAF">
        <w:rPr>
          <w:rFonts w:eastAsia="SimSun"/>
        </w:rPr>
        <w:t xml:space="preserve"> – </w:t>
      </w:r>
      <w:r>
        <w:rPr>
          <w:rFonts w:eastAsia="SimSun"/>
        </w:rPr>
        <w:t>Fill level</w:t>
      </w:r>
      <w:r w:rsidR="00E30896">
        <w:rPr>
          <w:rFonts w:eastAsia="SimSun"/>
        </w:rPr>
        <w:t>,</w:t>
      </w:r>
      <w:r>
        <w:rPr>
          <w:rFonts w:eastAsia="SimSun"/>
        </w:rPr>
        <w:t xml:space="preserve"> %</w:t>
      </w:r>
    </w:p>
    <w:p w14:paraId="1784FD72" w14:textId="1B38E380" w:rsidR="00383C68" w:rsidRPr="00280FAF" w:rsidRDefault="00000000" w:rsidP="00383C68">
      <w:pPr>
        <w:pStyle w:val="CETBodytext"/>
        <w:jc w:val="left"/>
        <w:rPr>
          <w:rFonts w:eastAsia="SimSun"/>
        </w:rPr>
      </w:pPr>
      <m:oMath>
        <m:sSub>
          <m:sSubPr>
            <m:ctrlPr>
              <w:rPr>
                <w:rFonts w:ascii="Cambria Math" w:hAnsi="Cambria Math"/>
                <w:lang w:val="en-CA" w:eastAsia="en-GB"/>
              </w:rPr>
            </m:ctrlPr>
          </m:sSubPr>
          <m:e>
            <m:r>
              <w:rPr>
                <w:rFonts w:ascii="Cambria Math" w:hAnsi="Cambria Math"/>
                <w:lang w:val="en-CA" w:eastAsia="en-GB"/>
              </w:rPr>
              <m:t>t</m:t>
            </m:r>
          </m:e>
          <m:sub>
            <m:r>
              <w:rPr>
                <w:rFonts w:ascii="Cambria Math" w:hAnsi="Cambria Math"/>
                <w:lang w:val="en-CA" w:eastAsia="en-GB"/>
              </w:rPr>
              <m:t>w</m:t>
            </m:r>
          </m:sub>
        </m:sSub>
      </m:oMath>
      <w:r w:rsidR="00383C68" w:rsidRPr="00280FAF">
        <w:rPr>
          <w:rFonts w:eastAsia="SimSun"/>
        </w:rPr>
        <w:t xml:space="preserve">– </w:t>
      </w:r>
      <w:r w:rsidR="001941A6">
        <w:rPr>
          <w:rFonts w:eastAsia="SimSun"/>
        </w:rPr>
        <w:t>Weakened length</w:t>
      </w:r>
      <w:r w:rsidR="00383C68">
        <w:rPr>
          <w:rFonts w:eastAsia="SimSun"/>
        </w:rPr>
        <w:t xml:space="preserve"> thickness</w:t>
      </w:r>
      <w:r w:rsidR="00383C68" w:rsidRPr="00280FAF">
        <w:rPr>
          <w:rFonts w:eastAsia="SimSun"/>
        </w:rPr>
        <w:t>, m</w:t>
      </w:r>
    </w:p>
    <w:p w14:paraId="63FBC0F3" w14:textId="3B737A3C" w:rsidR="00383C68" w:rsidRPr="00280FAF" w:rsidRDefault="00383C68" w:rsidP="00383C68">
      <w:pPr>
        <w:pStyle w:val="CETBodytext"/>
        <w:jc w:val="left"/>
        <w:rPr>
          <w:rFonts w:eastAsia="SimSun"/>
        </w:rPr>
      </w:pPr>
      <w:r w:rsidRPr="00280FAF">
        <w:rPr>
          <w:rFonts w:eastAsia="SimSun"/>
        </w:rPr>
        <w:t>L</w:t>
      </w:r>
      <w:r w:rsidRPr="00280FAF">
        <w:rPr>
          <w:rFonts w:eastAsia="SimSun"/>
          <w:vertAlign w:val="subscript"/>
        </w:rPr>
        <w:t>c</w:t>
      </w:r>
      <w:r w:rsidRPr="00280FAF">
        <w:rPr>
          <w:rFonts w:eastAsia="SimSun"/>
        </w:rPr>
        <w:t xml:space="preserve"> – </w:t>
      </w:r>
      <w:r w:rsidR="001941A6">
        <w:rPr>
          <w:rFonts w:eastAsia="SimSun"/>
        </w:rPr>
        <w:t>Weakened</w:t>
      </w:r>
      <w:r w:rsidRPr="00280FAF">
        <w:rPr>
          <w:rFonts w:eastAsia="SimSun"/>
        </w:rPr>
        <w:t xml:space="preserve"> length, m</w:t>
      </w:r>
    </w:p>
    <w:p w14:paraId="4C260F81" w14:textId="77777777" w:rsidR="00383C68" w:rsidRDefault="00383C68" w:rsidP="00280FAF">
      <w:pPr>
        <w:pStyle w:val="CETBodytext"/>
        <w:jc w:val="left"/>
        <w:rPr>
          <w:rFonts w:eastAsia="SimSun"/>
        </w:rPr>
        <w:sectPr w:rsidR="00383C68" w:rsidSect="00673CCF">
          <w:type w:val="continuous"/>
          <w:pgSz w:w="11906" w:h="16838" w:code="9"/>
          <w:pgMar w:top="1701" w:right="1418" w:bottom="1701" w:left="1701" w:header="1701" w:footer="0" w:gutter="0"/>
          <w:cols w:num="2" w:space="708"/>
          <w:formProt w:val="0"/>
          <w:titlePg/>
          <w:docGrid w:linePitch="360"/>
        </w:sectPr>
      </w:pPr>
    </w:p>
    <w:p w14:paraId="4F1327F8" w14:textId="77777777" w:rsidR="00600535" w:rsidRPr="00B57B36" w:rsidRDefault="00600535" w:rsidP="00600535">
      <w:pPr>
        <w:pStyle w:val="CETReference"/>
      </w:pPr>
      <w:r w:rsidRPr="00B57B36">
        <w:t>References</w:t>
      </w:r>
    </w:p>
    <w:p w14:paraId="44A2F568" w14:textId="2C6FC24B" w:rsidR="00632855" w:rsidRDefault="00632855" w:rsidP="00D5373C">
      <w:pPr>
        <w:widowControl w:val="0"/>
        <w:autoSpaceDE w:val="0"/>
        <w:autoSpaceDN w:val="0"/>
        <w:adjustRightInd w:val="0"/>
        <w:ind w:left="480" w:hanging="480"/>
        <w:rPr>
          <w:lang w:eastAsia="en-GB"/>
        </w:rPr>
      </w:pPr>
      <w:r w:rsidRPr="00632855">
        <w:rPr>
          <w:lang w:eastAsia="en-GB"/>
        </w:rPr>
        <w:t>Anderson, C.E., Norris, E.B., 1974. "Fragmentation and Metallurgical Analysis of Tank Car RAK 201." Report No. FRA-OR&amp;D 75-30, Federal Railroad Administration, Washington, DC</w:t>
      </w:r>
    </w:p>
    <w:p w14:paraId="63CB50C0" w14:textId="6D006EAE" w:rsidR="00D5373C" w:rsidRDefault="00D5373C" w:rsidP="00D5373C">
      <w:pPr>
        <w:widowControl w:val="0"/>
        <w:autoSpaceDE w:val="0"/>
        <w:autoSpaceDN w:val="0"/>
        <w:adjustRightInd w:val="0"/>
        <w:ind w:left="480" w:hanging="480"/>
        <w:rPr>
          <w:lang w:eastAsia="en-GB"/>
        </w:rPr>
      </w:pPr>
      <w:r w:rsidRPr="002B6052">
        <w:rPr>
          <w:lang w:eastAsia="en-GB"/>
        </w:rPr>
        <w:t>Baker, W.E., Cox, P.A., Westine, P.S., Kulesz, J.J., Strehlow, R.A., 1983. Explosion hazards and evaluation. Elsevier Scientific Pub. Co. doi:10.1016/0010-2180(85)90099-9</w:t>
      </w:r>
    </w:p>
    <w:p w14:paraId="2CE19B86" w14:textId="4A681D6E" w:rsidR="002B143C" w:rsidRPr="002B143C" w:rsidRDefault="002B143C" w:rsidP="00C609AB">
      <w:pPr>
        <w:widowControl w:val="0"/>
        <w:autoSpaceDE w:val="0"/>
        <w:autoSpaceDN w:val="0"/>
        <w:adjustRightInd w:val="0"/>
        <w:ind w:left="480" w:hanging="480"/>
        <w:rPr>
          <w:lang w:eastAsia="en-GB"/>
        </w:rPr>
      </w:pPr>
      <w:r w:rsidRPr="002B143C">
        <w:rPr>
          <w:lang w:eastAsia="en-GB"/>
        </w:rPr>
        <w:t>BBC News. (2024, January 24). " Mongolia: Three dead after liquified natural gas tanker crashes." BBC</w:t>
      </w:r>
    </w:p>
    <w:p w14:paraId="333F9538" w14:textId="41882F5B" w:rsidR="002B143C" w:rsidRDefault="002B143C" w:rsidP="00C609AB">
      <w:pPr>
        <w:widowControl w:val="0"/>
        <w:autoSpaceDE w:val="0"/>
        <w:autoSpaceDN w:val="0"/>
        <w:adjustRightInd w:val="0"/>
        <w:ind w:left="480" w:hanging="480"/>
        <w:rPr>
          <w:lang w:eastAsia="en-GB"/>
        </w:rPr>
      </w:pPr>
      <w:r>
        <w:rPr>
          <w:lang w:eastAsia="en-GB"/>
        </w:rPr>
        <w:t xml:space="preserve">        </w:t>
      </w:r>
      <w:r w:rsidRPr="002B143C">
        <w:rPr>
          <w:lang w:eastAsia="en-GB"/>
        </w:rPr>
        <w:t xml:space="preserve"> Retrieved from </w:t>
      </w:r>
      <w:hyperlink r:id="rId17" w:history="1">
        <w:r w:rsidR="00EF7EE0" w:rsidRPr="00273A79">
          <w:rPr>
            <w:rStyle w:val="Lienhypertexte"/>
            <w:lang w:eastAsia="en-GB"/>
          </w:rPr>
          <w:t>https://www.bbc.com/news/world-asia-68079262</w:t>
        </w:r>
      </w:hyperlink>
      <w:r w:rsidRPr="002B143C">
        <w:rPr>
          <w:lang w:eastAsia="en-GB"/>
        </w:rPr>
        <w:t>.</w:t>
      </w:r>
    </w:p>
    <w:p w14:paraId="5CE757FF" w14:textId="3E2DC545" w:rsidR="00040462" w:rsidRDefault="00040462" w:rsidP="00040462">
      <w:pPr>
        <w:widowControl w:val="0"/>
        <w:autoSpaceDE w:val="0"/>
        <w:autoSpaceDN w:val="0"/>
        <w:adjustRightInd w:val="0"/>
        <w:ind w:left="480" w:hanging="480"/>
        <w:rPr>
          <w:lang w:eastAsia="en-GB"/>
        </w:rPr>
      </w:pPr>
      <w:r>
        <w:rPr>
          <w:lang w:eastAsia="en-GB"/>
        </w:rPr>
        <w:t xml:space="preserve">Birk, A.M., Heymes, F., Aprin, L., Slangen, P., Eyssette, R., Lauret, P., 2016. Near field blast effects from BLEVE. Chem. Eng. Trans. 48, 283–288, </w:t>
      </w:r>
      <w:hyperlink r:id="rId18" w:history="1">
        <w:r w:rsidRPr="00040462">
          <w:rPr>
            <w:lang w:eastAsia="en-GB"/>
          </w:rPr>
          <w:t>http://dx.doi.org/10</w:t>
        </w:r>
      </w:hyperlink>
      <w:r>
        <w:rPr>
          <w:lang w:eastAsia="en-GB"/>
        </w:rPr>
        <w:t>.</w:t>
      </w:r>
    </w:p>
    <w:p w14:paraId="09B1487E" w14:textId="01F631F6" w:rsidR="00632855" w:rsidRDefault="00632855" w:rsidP="00040462">
      <w:pPr>
        <w:widowControl w:val="0"/>
        <w:autoSpaceDE w:val="0"/>
        <w:autoSpaceDN w:val="0"/>
        <w:adjustRightInd w:val="0"/>
        <w:ind w:left="480" w:hanging="480"/>
        <w:rPr>
          <w:lang w:eastAsia="en-GB"/>
        </w:rPr>
      </w:pPr>
      <w:r w:rsidRPr="00632855">
        <w:rPr>
          <w:lang w:eastAsia="en-GB"/>
        </w:rPr>
        <w:t>Birk, A.M., Cunningham, M.H., 1996. "Liquid temperature stratification and its effect on BLEVEs and their hazards." Journal of Hazardous Materials, 48(1–3), 219–237.</w:t>
      </w:r>
    </w:p>
    <w:p w14:paraId="07BDA63B" w14:textId="3FED3259" w:rsidR="00D5373C" w:rsidRDefault="00D5373C" w:rsidP="00D5373C">
      <w:pPr>
        <w:widowControl w:val="0"/>
        <w:autoSpaceDE w:val="0"/>
        <w:autoSpaceDN w:val="0"/>
        <w:adjustRightInd w:val="0"/>
        <w:ind w:left="480" w:hanging="480"/>
        <w:rPr>
          <w:lang w:eastAsia="en-GB"/>
        </w:rPr>
      </w:pPr>
      <w:r w:rsidRPr="002B6052">
        <w:rPr>
          <w:lang w:eastAsia="en-GB"/>
        </w:rPr>
        <w:t>Birk, A.M., Davison, C., Cunningham, M., 2007. Blast overpressures from medium scale BLEVE tests. J. Loss Prev. Process Ind. 20, 194–206. doi:10.1016/j.jlp.2007.03.001</w:t>
      </w:r>
    </w:p>
    <w:p w14:paraId="7C26DBF1" w14:textId="24DCE1C1" w:rsidR="00D5373C" w:rsidRPr="00067F1F" w:rsidRDefault="00D5373C" w:rsidP="00C609AB">
      <w:pPr>
        <w:widowControl w:val="0"/>
        <w:autoSpaceDE w:val="0"/>
        <w:autoSpaceDN w:val="0"/>
        <w:adjustRightInd w:val="0"/>
        <w:ind w:left="480" w:hanging="480"/>
        <w:rPr>
          <w:lang w:eastAsia="en-GB"/>
        </w:rPr>
      </w:pPr>
      <w:r w:rsidRPr="00067F1F">
        <w:rPr>
          <w:lang w:eastAsia="en-GB"/>
        </w:rPr>
        <w:t xml:space="preserve">Eyssette, R., 2018. </w:t>
      </w:r>
      <w:r w:rsidR="005B6E7A">
        <w:rPr>
          <w:lang w:eastAsia="en-GB"/>
        </w:rPr>
        <w:t xml:space="preserve">PhD Thesis: </w:t>
      </w:r>
      <w:r w:rsidRPr="00067F1F">
        <w:rPr>
          <w:lang w:eastAsia="en-GB"/>
        </w:rPr>
        <w:t>Characterization and modeling of near-field BLEVE overpressure and ground loading hazards. Queen’s University (Canada) / IMT Mines Ales (France).</w:t>
      </w:r>
    </w:p>
    <w:p w14:paraId="5B8133CF" w14:textId="77777777" w:rsidR="00632855" w:rsidRDefault="00632855" w:rsidP="00C609AB">
      <w:pPr>
        <w:widowControl w:val="0"/>
        <w:autoSpaceDE w:val="0"/>
        <w:autoSpaceDN w:val="0"/>
        <w:adjustRightInd w:val="0"/>
        <w:ind w:left="480" w:hanging="480"/>
        <w:rPr>
          <w:lang w:eastAsia="en-GB"/>
        </w:rPr>
      </w:pPr>
      <w:r w:rsidRPr="00632855">
        <w:rPr>
          <w:lang w:eastAsia="en-GB"/>
        </w:rPr>
        <w:t>McHenry, H.I., Read, D.T., Shives, T.R., 1987. "Failure analysis of an amine-absorber pressure vessel." Materials Performance, 26, 18–2.</w:t>
      </w:r>
    </w:p>
    <w:p w14:paraId="0CF7E0D1" w14:textId="30DE4EC9" w:rsidR="00D5373C" w:rsidRDefault="00D5373C" w:rsidP="00C609AB">
      <w:pPr>
        <w:widowControl w:val="0"/>
        <w:autoSpaceDE w:val="0"/>
        <w:autoSpaceDN w:val="0"/>
        <w:adjustRightInd w:val="0"/>
        <w:ind w:left="480" w:hanging="480"/>
        <w:rPr>
          <w:lang w:eastAsia="en-GB"/>
        </w:rPr>
      </w:pPr>
      <w:r>
        <w:rPr>
          <w:lang w:eastAsia="en-GB"/>
        </w:rPr>
        <w:t>Venart, J E S, 2000, Boiling Liquid Expanding Vapour Explosions: possible failure mechanisms and their consequences, IChemE Hazards XV; Symp. Series No. 147, pp. 121-138.</w:t>
      </w:r>
    </w:p>
    <w:p w14:paraId="686EC7BC" w14:textId="25BC1ECA" w:rsidR="00040462" w:rsidRDefault="00632855" w:rsidP="00C609AB">
      <w:pPr>
        <w:widowControl w:val="0"/>
        <w:autoSpaceDE w:val="0"/>
        <w:autoSpaceDN w:val="0"/>
        <w:adjustRightInd w:val="0"/>
        <w:ind w:left="480" w:hanging="480"/>
        <w:rPr>
          <w:lang w:eastAsia="en-GB"/>
        </w:rPr>
      </w:pPr>
      <w:r w:rsidRPr="00632855">
        <w:rPr>
          <w:lang w:eastAsia="en-GB"/>
        </w:rPr>
        <w:t>Westin, W.E., 1971. "Summary of Ruptured Tank Cars Involved in Past Accidents." Report No. RA01-2-7, Railroad Tank Car Safety Research and Test Project, Chicago, IL.</w:t>
      </w:r>
    </w:p>
    <w:sectPr w:rsidR="00040462" w:rsidSect="00673CC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EA39C1" w14:textId="77777777" w:rsidR="00673CCF" w:rsidRDefault="00673CCF" w:rsidP="004F5E36">
      <w:r>
        <w:separator/>
      </w:r>
    </w:p>
  </w:endnote>
  <w:endnote w:type="continuationSeparator" w:id="0">
    <w:p w14:paraId="2537689C" w14:textId="77777777" w:rsidR="00673CCF" w:rsidRDefault="00673CC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42FBD" w14:textId="77777777" w:rsidR="00673CCF" w:rsidRDefault="00673CCF" w:rsidP="004F5E36">
      <w:r>
        <w:separator/>
      </w:r>
    </w:p>
  </w:footnote>
  <w:footnote w:type="continuationSeparator" w:id="0">
    <w:p w14:paraId="2B5287D9" w14:textId="77777777" w:rsidR="00673CCF" w:rsidRDefault="00673CC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4E428FD"/>
    <w:multiLevelType w:val="hybridMultilevel"/>
    <w:tmpl w:val="BA944750"/>
    <w:lvl w:ilvl="0" w:tplc="2CCC1C86">
      <w:start w:val="24"/>
      <w:numFmt w:val="bullet"/>
      <w:lvlText w:val="-"/>
      <w:lvlJc w:val="left"/>
      <w:pPr>
        <w:ind w:left="1080" w:hanging="360"/>
      </w:pPr>
      <w:rPr>
        <w:rFonts w:ascii="Times New Roman" w:eastAsia="Times New Roman" w:hAnsi="Times New Roman"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746810"/>
    <w:multiLevelType w:val="hybridMultilevel"/>
    <w:tmpl w:val="D3E6CB20"/>
    <w:lvl w:ilvl="0" w:tplc="10090001">
      <w:start w:val="1"/>
      <w:numFmt w:val="bullet"/>
      <w:lvlText w:val=""/>
      <w:lvlJc w:val="left"/>
      <w:pPr>
        <w:ind w:left="1428" w:hanging="360"/>
      </w:pPr>
      <w:rPr>
        <w:rFonts w:ascii="Symbol" w:hAnsi="Symbol" w:hint="default"/>
      </w:rPr>
    </w:lvl>
    <w:lvl w:ilvl="1" w:tplc="10090003">
      <w:start w:val="1"/>
      <w:numFmt w:val="bullet"/>
      <w:lvlText w:val="o"/>
      <w:lvlJc w:val="left"/>
      <w:pPr>
        <w:ind w:left="2148" w:hanging="360"/>
      </w:pPr>
      <w:rPr>
        <w:rFonts w:ascii="Courier New" w:hAnsi="Courier New" w:cs="Courier New" w:hint="default"/>
      </w:rPr>
    </w:lvl>
    <w:lvl w:ilvl="2" w:tplc="10090005" w:tentative="1">
      <w:start w:val="1"/>
      <w:numFmt w:val="bullet"/>
      <w:lvlText w:val=""/>
      <w:lvlJc w:val="left"/>
      <w:pPr>
        <w:ind w:left="2868" w:hanging="360"/>
      </w:pPr>
      <w:rPr>
        <w:rFonts w:ascii="Wingdings" w:hAnsi="Wingdings" w:hint="default"/>
      </w:rPr>
    </w:lvl>
    <w:lvl w:ilvl="3" w:tplc="10090001" w:tentative="1">
      <w:start w:val="1"/>
      <w:numFmt w:val="bullet"/>
      <w:lvlText w:val=""/>
      <w:lvlJc w:val="left"/>
      <w:pPr>
        <w:ind w:left="3588" w:hanging="360"/>
      </w:pPr>
      <w:rPr>
        <w:rFonts w:ascii="Symbol" w:hAnsi="Symbol" w:hint="default"/>
      </w:rPr>
    </w:lvl>
    <w:lvl w:ilvl="4" w:tplc="10090003" w:tentative="1">
      <w:start w:val="1"/>
      <w:numFmt w:val="bullet"/>
      <w:lvlText w:val="o"/>
      <w:lvlJc w:val="left"/>
      <w:pPr>
        <w:ind w:left="4308" w:hanging="360"/>
      </w:pPr>
      <w:rPr>
        <w:rFonts w:ascii="Courier New" w:hAnsi="Courier New" w:cs="Courier New" w:hint="default"/>
      </w:rPr>
    </w:lvl>
    <w:lvl w:ilvl="5" w:tplc="10090005" w:tentative="1">
      <w:start w:val="1"/>
      <w:numFmt w:val="bullet"/>
      <w:lvlText w:val=""/>
      <w:lvlJc w:val="left"/>
      <w:pPr>
        <w:ind w:left="5028" w:hanging="360"/>
      </w:pPr>
      <w:rPr>
        <w:rFonts w:ascii="Wingdings" w:hAnsi="Wingdings" w:hint="default"/>
      </w:rPr>
    </w:lvl>
    <w:lvl w:ilvl="6" w:tplc="10090001" w:tentative="1">
      <w:start w:val="1"/>
      <w:numFmt w:val="bullet"/>
      <w:lvlText w:val=""/>
      <w:lvlJc w:val="left"/>
      <w:pPr>
        <w:ind w:left="5748" w:hanging="360"/>
      </w:pPr>
      <w:rPr>
        <w:rFonts w:ascii="Symbol" w:hAnsi="Symbol" w:hint="default"/>
      </w:rPr>
    </w:lvl>
    <w:lvl w:ilvl="7" w:tplc="10090003" w:tentative="1">
      <w:start w:val="1"/>
      <w:numFmt w:val="bullet"/>
      <w:lvlText w:val="o"/>
      <w:lvlJc w:val="left"/>
      <w:pPr>
        <w:ind w:left="6468" w:hanging="360"/>
      </w:pPr>
      <w:rPr>
        <w:rFonts w:ascii="Courier New" w:hAnsi="Courier New" w:cs="Courier New" w:hint="default"/>
      </w:rPr>
    </w:lvl>
    <w:lvl w:ilvl="8" w:tplc="10090005" w:tentative="1">
      <w:start w:val="1"/>
      <w:numFmt w:val="bullet"/>
      <w:lvlText w:val=""/>
      <w:lvlJc w:val="left"/>
      <w:pPr>
        <w:ind w:left="7188"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8"/>
  </w:num>
  <w:num w:numId="13" w16cid:durableId="1573659240">
    <w:abstractNumId w:val="12"/>
  </w:num>
  <w:num w:numId="14" w16cid:durableId="2092192635">
    <w:abstractNumId w:val="19"/>
  </w:num>
  <w:num w:numId="15" w16cid:durableId="1115637783">
    <w:abstractNumId w:val="21"/>
  </w:num>
  <w:num w:numId="16" w16cid:durableId="635987207">
    <w:abstractNumId w:val="20"/>
  </w:num>
  <w:num w:numId="17" w16cid:durableId="1476411020">
    <w:abstractNumId w:val="11"/>
  </w:num>
  <w:num w:numId="18" w16cid:durableId="2106877164">
    <w:abstractNumId w:val="12"/>
    <w:lvlOverride w:ilvl="0">
      <w:startOverride w:val="1"/>
    </w:lvlOverride>
  </w:num>
  <w:num w:numId="19" w16cid:durableId="1650403514">
    <w:abstractNumId w:val="17"/>
  </w:num>
  <w:num w:numId="20" w16cid:durableId="536504040">
    <w:abstractNumId w:val="16"/>
  </w:num>
  <w:num w:numId="21" w16cid:durableId="518815501">
    <w:abstractNumId w:val="14"/>
  </w:num>
  <w:num w:numId="22" w16cid:durableId="299530822">
    <w:abstractNumId w:val="13"/>
  </w:num>
  <w:num w:numId="23" w16cid:durableId="61411138">
    <w:abstractNumId w:val="15"/>
  </w:num>
  <w:num w:numId="24" w16cid:durableId="12337312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E75"/>
    <w:rsid w:val="000117CB"/>
    <w:rsid w:val="0003148D"/>
    <w:rsid w:val="00031EEC"/>
    <w:rsid w:val="00040462"/>
    <w:rsid w:val="0004533F"/>
    <w:rsid w:val="00046FCF"/>
    <w:rsid w:val="00051566"/>
    <w:rsid w:val="0006064C"/>
    <w:rsid w:val="00062A9A"/>
    <w:rsid w:val="00065058"/>
    <w:rsid w:val="00086C39"/>
    <w:rsid w:val="000A03B2"/>
    <w:rsid w:val="000D0268"/>
    <w:rsid w:val="000D34BE"/>
    <w:rsid w:val="000D3662"/>
    <w:rsid w:val="000E102F"/>
    <w:rsid w:val="000E36F1"/>
    <w:rsid w:val="000E3A73"/>
    <w:rsid w:val="000E414A"/>
    <w:rsid w:val="000E54D4"/>
    <w:rsid w:val="000E597B"/>
    <w:rsid w:val="000E6B1D"/>
    <w:rsid w:val="000E6F26"/>
    <w:rsid w:val="000F093C"/>
    <w:rsid w:val="000F142C"/>
    <w:rsid w:val="000F787B"/>
    <w:rsid w:val="00101BAE"/>
    <w:rsid w:val="00106B28"/>
    <w:rsid w:val="00106C64"/>
    <w:rsid w:val="0012091F"/>
    <w:rsid w:val="00126BC2"/>
    <w:rsid w:val="001308B6"/>
    <w:rsid w:val="0013121F"/>
    <w:rsid w:val="00131FE6"/>
    <w:rsid w:val="0013263F"/>
    <w:rsid w:val="001331DF"/>
    <w:rsid w:val="00134DE4"/>
    <w:rsid w:val="0014034D"/>
    <w:rsid w:val="00141AE4"/>
    <w:rsid w:val="00144D16"/>
    <w:rsid w:val="00150E59"/>
    <w:rsid w:val="00152DE3"/>
    <w:rsid w:val="00164CF9"/>
    <w:rsid w:val="001667A6"/>
    <w:rsid w:val="00184AD6"/>
    <w:rsid w:val="001941A6"/>
    <w:rsid w:val="001A4AF7"/>
    <w:rsid w:val="001B0349"/>
    <w:rsid w:val="001B1E93"/>
    <w:rsid w:val="001B65C1"/>
    <w:rsid w:val="001C3D7F"/>
    <w:rsid w:val="001C684B"/>
    <w:rsid w:val="001D0CFB"/>
    <w:rsid w:val="001D1C85"/>
    <w:rsid w:val="001D3A29"/>
    <w:rsid w:val="001D53FC"/>
    <w:rsid w:val="001F42A5"/>
    <w:rsid w:val="001F7B9D"/>
    <w:rsid w:val="00201C93"/>
    <w:rsid w:val="00204758"/>
    <w:rsid w:val="002224B4"/>
    <w:rsid w:val="002447EF"/>
    <w:rsid w:val="00247D0C"/>
    <w:rsid w:val="00251550"/>
    <w:rsid w:val="00263B05"/>
    <w:rsid w:val="00267F53"/>
    <w:rsid w:val="00270B8E"/>
    <w:rsid w:val="0027221A"/>
    <w:rsid w:val="00275B61"/>
    <w:rsid w:val="00280FAF"/>
    <w:rsid w:val="00282656"/>
    <w:rsid w:val="00287E4F"/>
    <w:rsid w:val="00296B83"/>
    <w:rsid w:val="002B143C"/>
    <w:rsid w:val="002B4015"/>
    <w:rsid w:val="002B78CE"/>
    <w:rsid w:val="002C2FB6"/>
    <w:rsid w:val="002C7980"/>
    <w:rsid w:val="002E5FA7"/>
    <w:rsid w:val="002F3309"/>
    <w:rsid w:val="003008CE"/>
    <w:rsid w:val="003009B7"/>
    <w:rsid w:val="00300E56"/>
    <w:rsid w:val="00304513"/>
    <w:rsid w:val="0030469C"/>
    <w:rsid w:val="00321783"/>
    <w:rsid w:val="00321CA6"/>
    <w:rsid w:val="00323763"/>
    <w:rsid w:val="00325CA0"/>
    <w:rsid w:val="00334C09"/>
    <w:rsid w:val="00354158"/>
    <w:rsid w:val="003656BA"/>
    <w:rsid w:val="00370086"/>
    <w:rsid w:val="003723D4"/>
    <w:rsid w:val="00380C54"/>
    <w:rsid w:val="00381905"/>
    <w:rsid w:val="00383C68"/>
    <w:rsid w:val="00384CC8"/>
    <w:rsid w:val="003871FD"/>
    <w:rsid w:val="003A1E30"/>
    <w:rsid w:val="003A2829"/>
    <w:rsid w:val="003A2CD0"/>
    <w:rsid w:val="003A6AB7"/>
    <w:rsid w:val="003A7D1C"/>
    <w:rsid w:val="003B304B"/>
    <w:rsid w:val="003B3146"/>
    <w:rsid w:val="003C5E20"/>
    <w:rsid w:val="003C7257"/>
    <w:rsid w:val="003F015E"/>
    <w:rsid w:val="003F7D11"/>
    <w:rsid w:val="00400414"/>
    <w:rsid w:val="0041446B"/>
    <w:rsid w:val="004235BF"/>
    <w:rsid w:val="004247B6"/>
    <w:rsid w:val="0044329C"/>
    <w:rsid w:val="00453E24"/>
    <w:rsid w:val="00457456"/>
    <w:rsid w:val="004577FE"/>
    <w:rsid w:val="00457B9C"/>
    <w:rsid w:val="0046164A"/>
    <w:rsid w:val="004628D2"/>
    <w:rsid w:val="00462DCD"/>
    <w:rsid w:val="00462FC7"/>
    <w:rsid w:val="004648AD"/>
    <w:rsid w:val="004670C7"/>
    <w:rsid w:val="004703A9"/>
    <w:rsid w:val="004760DE"/>
    <w:rsid w:val="004763D7"/>
    <w:rsid w:val="00492E36"/>
    <w:rsid w:val="004A004E"/>
    <w:rsid w:val="004A24CF"/>
    <w:rsid w:val="004C3D1D"/>
    <w:rsid w:val="004C7913"/>
    <w:rsid w:val="004D1DCE"/>
    <w:rsid w:val="004D5B44"/>
    <w:rsid w:val="004E2501"/>
    <w:rsid w:val="004E4DD6"/>
    <w:rsid w:val="004F5E36"/>
    <w:rsid w:val="004F682C"/>
    <w:rsid w:val="0050133D"/>
    <w:rsid w:val="00507B47"/>
    <w:rsid w:val="00507BEF"/>
    <w:rsid w:val="00507CC9"/>
    <w:rsid w:val="005119A5"/>
    <w:rsid w:val="0051223D"/>
    <w:rsid w:val="00524EEF"/>
    <w:rsid w:val="005278B7"/>
    <w:rsid w:val="00532016"/>
    <w:rsid w:val="005346C8"/>
    <w:rsid w:val="00543E7D"/>
    <w:rsid w:val="00547A68"/>
    <w:rsid w:val="005531C9"/>
    <w:rsid w:val="00557B5A"/>
    <w:rsid w:val="00570C43"/>
    <w:rsid w:val="0058054F"/>
    <w:rsid w:val="00584CBD"/>
    <w:rsid w:val="005B2110"/>
    <w:rsid w:val="005B61E6"/>
    <w:rsid w:val="005B6E7A"/>
    <w:rsid w:val="005B786E"/>
    <w:rsid w:val="005C0571"/>
    <w:rsid w:val="005C77E1"/>
    <w:rsid w:val="005D56C1"/>
    <w:rsid w:val="005D668A"/>
    <w:rsid w:val="005D6A2F"/>
    <w:rsid w:val="005E1A82"/>
    <w:rsid w:val="005E794C"/>
    <w:rsid w:val="005F0A28"/>
    <w:rsid w:val="005F0E5E"/>
    <w:rsid w:val="005F4661"/>
    <w:rsid w:val="00600535"/>
    <w:rsid w:val="00610CD6"/>
    <w:rsid w:val="00620DEE"/>
    <w:rsid w:val="00621F92"/>
    <w:rsid w:val="0062280A"/>
    <w:rsid w:val="00625639"/>
    <w:rsid w:val="00631B33"/>
    <w:rsid w:val="00632855"/>
    <w:rsid w:val="0064184D"/>
    <w:rsid w:val="006422CC"/>
    <w:rsid w:val="00643830"/>
    <w:rsid w:val="0065433F"/>
    <w:rsid w:val="00660E3E"/>
    <w:rsid w:val="00662E74"/>
    <w:rsid w:val="0066384A"/>
    <w:rsid w:val="00665323"/>
    <w:rsid w:val="00673CCF"/>
    <w:rsid w:val="00680C23"/>
    <w:rsid w:val="00693766"/>
    <w:rsid w:val="006A3281"/>
    <w:rsid w:val="006B4888"/>
    <w:rsid w:val="006C2E45"/>
    <w:rsid w:val="006C359C"/>
    <w:rsid w:val="006C5579"/>
    <w:rsid w:val="006D6E8B"/>
    <w:rsid w:val="006E6605"/>
    <w:rsid w:val="006E737D"/>
    <w:rsid w:val="00713973"/>
    <w:rsid w:val="00720A24"/>
    <w:rsid w:val="00732386"/>
    <w:rsid w:val="0073514D"/>
    <w:rsid w:val="007447F3"/>
    <w:rsid w:val="0075499F"/>
    <w:rsid w:val="007661C8"/>
    <w:rsid w:val="0077098D"/>
    <w:rsid w:val="007731DA"/>
    <w:rsid w:val="0077564F"/>
    <w:rsid w:val="007931FA"/>
    <w:rsid w:val="007941C3"/>
    <w:rsid w:val="007A4861"/>
    <w:rsid w:val="007A587A"/>
    <w:rsid w:val="007A7BBA"/>
    <w:rsid w:val="007B0C50"/>
    <w:rsid w:val="007B48F9"/>
    <w:rsid w:val="007C1A43"/>
    <w:rsid w:val="007E0F67"/>
    <w:rsid w:val="007E4F0F"/>
    <w:rsid w:val="007F7624"/>
    <w:rsid w:val="0080013E"/>
    <w:rsid w:val="00804536"/>
    <w:rsid w:val="008046FA"/>
    <w:rsid w:val="008062ED"/>
    <w:rsid w:val="00813288"/>
    <w:rsid w:val="008168FC"/>
    <w:rsid w:val="00825DD9"/>
    <w:rsid w:val="00830996"/>
    <w:rsid w:val="008345F1"/>
    <w:rsid w:val="00840988"/>
    <w:rsid w:val="00843932"/>
    <w:rsid w:val="00865B07"/>
    <w:rsid w:val="008667EA"/>
    <w:rsid w:val="0087637F"/>
    <w:rsid w:val="00892AD5"/>
    <w:rsid w:val="00892C07"/>
    <w:rsid w:val="008A1512"/>
    <w:rsid w:val="008B0916"/>
    <w:rsid w:val="008B7EF1"/>
    <w:rsid w:val="008D0732"/>
    <w:rsid w:val="008D32B9"/>
    <w:rsid w:val="008D433B"/>
    <w:rsid w:val="008D575F"/>
    <w:rsid w:val="008E566E"/>
    <w:rsid w:val="008F2E2B"/>
    <w:rsid w:val="0090161A"/>
    <w:rsid w:val="00901EB6"/>
    <w:rsid w:val="00904C62"/>
    <w:rsid w:val="009221A3"/>
    <w:rsid w:val="00922BA8"/>
    <w:rsid w:val="00924DAC"/>
    <w:rsid w:val="00926A48"/>
    <w:rsid w:val="00927058"/>
    <w:rsid w:val="00942750"/>
    <w:rsid w:val="009450CE"/>
    <w:rsid w:val="00947179"/>
    <w:rsid w:val="0095164B"/>
    <w:rsid w:val="00954090"/>
    <w:rsid w:val="009546D4"/>
    <w:rsid w:val="00956A61"/>
    <w:rsid w:val="009573E7"/>
    <w:rsid w:val="00963E05"/>
    <w:rsid w:val="00967843"/>
    <w:rsid w:val="00967D54"/>
    <w:rsid w:val="00971028"/>
    <w:rsid w:val="00973FC0"/>
    <w:rsid w:val="00981AB1"/>
    <w:rsid w:val="009829FC"/>
    <w:rsid w:val="00993B84"/>
    <w:rsid w:val="00996483"/>
    <w:rsid w:val="00996F5A"/>
    <w:rsid w:val="009B041A"/>
    <w:rsid w:val="009B37F4"/>
    <w:rsid w:val="009C37C3"/>
    <w:rsid w:val="009C7C86"/>
    <w:rsid w:val="009D2FF7"/>
    <w:rsid w:val="009D4686"/>
    <w:rsid w:val="009E2264"/>
    <w:rsid w:val="009E6F23"/>
    <w:rsid w:val="009E7884"/>
    <w:rsid w:val="009E788A"/>
    <w:rsid w:val="009F0E08"/>
    <w:rsid w:val="00A00E4C"/>
    <w:rsid w:val="00A1763D"/>
    <w:rsid w:val="00A17CEC"/>
    <w:rsid w:val="00A2392B"/>
    <w:rsid w:val="00A27EF0"/>
    <w:rsid w:val="00A3532B"/>
    <w:rsid w:val="00A42361"/>
    <w:rsid w:val="00A50B20"/>
    <w:rsid w:val="00A51390"/>
    <w:rsid w:val="00A60D13"/>
    <w:rsid w:val="00A67215"/>
    <w:rsid w:val="00A72745"/>
    <w:rsid w:val="00A76EFC"/>
    <w:rsid w:val="00A91010"/>
    <w:rsid w:val="00A93E2F"/>
    <w:rsid w:val="00A97F29"/>
    <w:rsid w:val="00AA702E"/>
    <w:rsid w:val="00AB0964"/>
    <w:rsid w:val="00AB5011"/>
    <w:rsid w:val="00AB5AA6"/>
    <w:rsid w:val="00AC7368"/>
    <w:rsid w:val="00AD16B9"/>
    <w:rsid w:val="00AD5DF1"/>
    <w:rsid w:val="00AE377D"/>
    <w:rsid w:val="00AF0EBA"/>
    <w:rsid w:val="00B02C8A"/>
    <w:rsid w:val="00B17795"/>
    <w:rsid w:val="00B17FBD"/>
    <w:rsid w:val="00B30CC8"/>
    <w:rsid w:val="00B315A6"/>
    <w:rsid w:val="00B31813"/>
    <w:rsid w:val="00B33365"/>
    <w:rsid w:val="00B52DF9"/>
    <w:rsid w:val="00B57B36"/>
    <w:rsid w:val="00B57E6F"/>
    <w:rsid w:val="00B77935"/>
    <w:rsid w:val="00B86803"/>
    <w:rsid w:val="00B8686D"/>
    <w:rsid w:val="00B93F69"/>
    <w:rsid w:val="00BB1DDC"/>
    <w:rsid w:val="00BC30C9"/>
    <w:rsid w:val="00BD077D"/>
    <w:rsid w:val="00BD0C6B"/>
    <w:rsid w:val="00BD1849"/>
    <w:rsid w:val="00BD1A32"/>
    <w:rsid w:val="00BE3E58"/>
    <w:rsid w:val="00C01616"/>
    <w:rsid w:val="00C0162B"/>
    <w:rsid w:val="00C061BA"/>
    <w:rsid w:val="00C068ED"/>
    <w:rsid w:val="00C069C5"/>
    <w:rsid w:val="00C22E0C"/>
    <w:rsid w:val="00C345B1"/>
    <w:rsid w:val="00C40142"/>
    <w:rsid w:val="00C45D6B"/>
    <w:rsid w:val="00C52C3C"/>
    <w:rsid w:val="00C53B6E"/>
    <w:rsid w:val="00C57182"/>
    <w:rsid w:val="00C57863"/>
    <w:rsid w:val="00C609AB"/>
    <w:rsid w:val="00C61C0E"/>
    <w:rsid w:val="00C655FD"/>
    <w:rsid w:val="00C65D10"/>
    <w:rsid w:val="00C70F27"/>
    <w:rsid w:val="00C71D7B"/>
    <w:rsid w:val="00C7314E"/>
    <w:rsid w:val="00C73ED9"/>
    <w:rsid w:val="00C75407"/>
    <w:rsid w:val="00C81961"/>
    <w:rsid w:val="00C870A8"/>
    <w:rsid w:val="00C94434"/>
    <w:rsid w:val="00CA0D75"/>
    <w:rsid w:val="00CA1C95"/>
    <w:rsid w:val="00CA5A9C"/>
    <w:rsid w:val="00CC4C20"/>
    <w:rsid w:val="00CD3517"/>
    <w:rsid w:val="00CD5FE2"/>
    <w:rsid w:val="00CE5A29"/>
    <w:rsid w:val="00CE7C68"/>
    <w:rsid w:val="00D02B4C"/>
    <w:rsid w:val="00D040C4"/>
    <w:rsid w:val="00D27211"/>
    <w:rsid w:val="00D348FC"/>
    <w:rsid w:val="00D44554"/>
    <w:rsid w:val="00D46B7E"/>
    <w:rsid w:val="00D5373C"/>
    <w:rsid w:val="00D57C84"/>
    <w:rsid w:val="00D57CBE"/>
    <w:rsid w:val="00D6057D"/>
    <w:rsid w:val="00D836C5"/>
    <w:rsid w:val="00D84576"/>
    <w:rsid w:val="00DA1399"/>
    <w:rsid w:val="00DA24C6"/>
    <w:rsid w:val="00DA4D7B"/>
    <w:rsid w:val="00DB4858"/>
    <w:rsid w:val="00DE264A"/>
    <w:rsid w:val="00DF2CF0"/>
    <w:rsid w:val="00DF5072"/>
    <w:rsid w:val="00E02D18"/>
    <w:rsid w:val="00E041E7"/>
    <w:rsid w:val="00E10EB4"/>
    <w:rsid w:val="00E23CA1"/>
    <w:rsid w:val="00E30896"/>
    <w:rsid w:val="00E34E06"/>
    <w:rsid w:val="00E3578B"/>
    <w:rsid w:val="00E409A8"/>
    <w:rsid w:val="00E50C12"/>
    <w:rsid w:val="00E65B91"/>
    <w:rsid w:val="00E7209D"/>
    <w:rsid w:val="00E72EAD"/>
    <w:rsid w:val="00E7619A"/>
    <w:rsid w:val="00E77223"/>
    <w:rsid w:val="00E8528B"/>
    <w:rsid w:val="00E85B94"/>
    <w:rsid w:val="00E8610F"/>
    <w:rsid w:val="00E978D0"/>
    <w:rsid w:val="00EA4613"/>
    <w:rsid w:val="00EA7F91"/>
    <w:rsid w:val="00EB1523"/>
    <w:rsid w:val="00EB45E1"/>
    <w:rsid w:val="00EC0E49"/>
    <w:rsid w:val="00EC101F"/>
    <w:rsid w:val="00EC1D9F"/>
    <w:rsid w:val="00ED0BC9"/>
    <w:rsid w:val="00EE0131"/>
    <w:rsid w:val="00EE17B0"/>
    <w:rsid w:val="00EF06D9"/>
    <w:rsid w:val="00EF7EE0"/>
    <w:rsid w:val="00F11CBA"/>
    <w:rsid w:val="00F30C64"/>
    <w:rsid w:val="00F32BA2"/>
    <w:rsid w:val="00F32CDB"/>
    <w:rsid w:val="00F42C8B"/>
    <w:rsid w:val="00F565FE"/>
    <w:rsid w:val="00F63A70"/>
    <w:rsid w:val="00F7534E"/>
    <w:rsid w:val="00FA21D0"/>
    <w:rsid w:val="00FA5F2D"/>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clear" w:pos="360"/>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qFormat/>
    <w:rsid w:val="00280FAF"/>
    <w:pPr>
      <w:ind w:left="720"/>
      <w:contextualSpacing/>
    </w:pPr>
  </w:style>
  <w:style w:type="character" w:styleId="Accentuation">
    <w:name w:val="Emphasis"/>
    <w:basedOn w:val="Policepardfaut"/>
    <w:uiPriority w:val="20"/>
    <w:qFormat/>
    <w:rsid w:val="00D57CBE"/>
    <w:rPr>
      <w:i/>
      <w:iCs/>
    </w:rPr>
  </w:style>
  <w:style w:type="paragraph" w:customStyle="1" w:styleId="CHISA">
    <w:name w:val="CHISA"/>
    <w:rsid w:val="00370086"/>
    <w:pPr>
      <w:spacing w:after="0" w:line="240" w:lineRule="auto"/>
    </w:pPr>
    <w:rPr>
      <w:rFonts w:ascii="Arial" w:eastAsia="Times New Roman" w:hAnsi="Arial" w:cs="Arial"/>
      <w:szCs w:val="20"/>
      <w:lang w:val="en-GB"/>
    </w:rPr>
  </w:style>
  <w:style w:type="character" w:styleId="Mentionnonrsolue">
    <w:name w:val="Unresolved Mention"/>
    <w:basedOn w:val="Policepardfaut"/>
    <w:uiPriority w:val="99"/>
    <w:semiHidden/>
    <w:unhideWhenUsed/>
    <w:rsid w:val="00040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874329">
      <w:bodyDiv w:val="1"/>
      <w:marLeft w:val="0"/>
      <w:marRight w:val="0"/>
      <w:marTop w:val="0"/>
      <w:marBottom w:val="0"/>
      <w:divBdr>
        <w:top w:val="none" w:sz="0" w:space="0" w:color="auto"/>
        <w:left w:val="none" w:sz="0" w:space="0" w:color="auto"/>
        <w:bottom w:val="none" w:sz="0" w:space="0" w:color="auto"/>
        <w:right w:val="none" w:sz="0" w:space="0" w:color="auto"/>
      </w:divBdr>
    </w:div>
    <w:div w:id="64324248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dx.doi.org/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bc.com/news/world-asia-6807926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6</Pages>
  <Words>3488</Words>
  <Characters>19884</Characters>
  <Application>Microsoft Office Word</Application>
  <DocSecurity>0</DocSecurity>
  <Lines>165</Lines>
  <Paragraphs>46</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El Mehdi Laamarti</cp:lastModifiedBy>
  <cp:revision>119</cp:revision>
  <cp:lastPrinted>2015-05-12T18:31:00Z</cp:lastPrinted>
  <dcterms:created xsi:type="dcterms:W3CDTF">2017-11-20T08:58:00Z</dcterms:created>
  <dcterms:modified xsi:type="dcterms:W3CDTF">2024-03-03T22:03:00Z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