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E9023D">
          <w:type w:val="continuous"/>
          <w:pgSz w:w="11906" w:h="16838" w:code="9"/>
          <w:pgMar w:top="1701" w:right="1418" w:bottom="1701" w:left="1701" w:header="1701" w:footer="0" w:gutter="0"/>
          <w:cols w:space="708"/>
          <w:titlePg/>
          <w:docGrid w:linePitch="360"/>
        </w:sectPr>
      </w:pPr>
    </w:p>
    <w:p w14:paraId="2E667253" w14:textId="7ADDD3D0" w:rsidR="00E978D0" w:rsidRPr="00665323" w:rsidRDefault="00FD7D1C" w:rsidP="00665323">
      <w:pPr>
        <w:pStyle w:val="CETTitle"/>
      </w:pPr>
      <w:r w:rsidRPr="00FD7D1C">
        <w:t>The Design of the Principal Component Analysis (PCA)-based Fuzzy Logic Classifier on Physical Fatigue in Process Industries</w:t>
      </w:r>
    </w:p>
    <w:p w14:paraId="0488FED2" w14:textId="76C9588A" w:rsidR="00B57E6F" w:rsidRPr="008D1FD0" w:rsidRDefault="00FD7D1C" w:rsidP="00B57E6F">
      <w:pPr>
        <w:pStyle w:val="CETAuthors"/>
        <w:rPr>
          <w:lang w:val="it-IT"/>
        </w:rPr>
      </w:pPr>
      <w:r w:rsidRPr="008D1FD0">
        <w:rPr>
          <w:lang w:val="it-IT"/>
        </w:rPr>
        <w:t>Huxiao Shi*</w:t>
      </w:r>
      <w:r w:rsidR="00B57E6F" w:rsidRPr="008D1FD0">
        <w:rPr>
          <w:lang w:val="it-IT"/>
        </w:rPr>
        <w:t xml:space="preserve">, </w:t>
      </w:r>
      <w:r w:rsidRPr="008D1FD0">
        <w:rPr>
          <w:lang w:val="it-IT"/>
        </w:rPr>
        <w:t>Carlos Albarran Morillo</w:t>
      </w:r>
      <w:r w:rsidR="00B57E6F" w:rsidRPr="008D1FD0">
        <w:rPr>
          <w:lang w:val="it-IT"/>
        </w:rPr>
        <w:t>,</w:t>
      </w:r>
      <w:r w:rsidRPr="008D1FD0">
        <w:rPr>
          <w:lang w:val="it-IT"/>
        </w:rPr>
        <w:t xml:space="preserve"> Gabriele Baldissone, Micaela Demichela</w:t>
      </w:r>
    </w:p>
    <w:p w14:paraId="6B2D21B3" w14:textId="321AA9C9" w:rsidR="00B57E6F" w:rsidRPr="00B57B36" w:rsidRDefault="00FD7D1C" w:rsidP="00B57E6F">
      <w:pPr>
        <w:pStyle w:val="CETAddress"/>
      </w:pPr>
      <w:r w:rsidRPr="008D1FD0">
        <w:t>Applied Science and Technology Department, Politecnico di Torino, Turin, Italy</w:t>
      </w:r>
    </w:p>
    <w:p w14:paraId="73F1267A" w14:textId="27428365" w:rsidR="00B57E6F" w:rsidRPr="00B57B36" w:rsidRDefault="00FD7D1C" w:rsidP="00B57E6F">
      <w:pPr>
        <w:pStyle w:val="CETemail"/>
      </w:pPr>
      <w:r>
        <w:t>huxiao</w:t>
      </w:r>
      <w:r w:rsidR="00B57E6F" w:rsidRPr="00B57B36">
        <w:t>.</w:t>
      </w:r>
      <w:r>
        <w:t>shi</w:t>
      </w:r>
      <w:r w:rsidR="00B57E6F" w:rsidRPr="00B57B36">
        <w:t>@</w:t>
      </w:r>
      <w:r>
        <w:t>polito.it</w:t>
      </w:r>
    </w:p>
    <w:p w14:paraId="04B319EE" w14:textId="01D79206" w:rsidR="00600535" w:rsidRPr="00B57B36" w:rsidRDefault="00DE6BAF" w:rsidP="00600535">
      <w:pPr>
        <w:pStyle w:val="CETBodytext"/>
        <w:rPr>
          <w:lang w:val="en-GB"/>
        </w:rPr>
      </w:pPr>
      <w:bookmarkStart w:id="0" w:name="_Hlk495475023"/>
      <w:r w:rsidRPr="00DE6BAF">
        <w:rPr>
          <w:lang w:val="en-GB"/>
        </w:rPr>
        <w:t xml:space="preserve">Currently, Physical Fatigue Management is considered a vital part </w:t>
      </w:r>
      <w:r w:rsidR="006476E7">
        <w:rPr>
          <w:lang w:val="en-GB"/>
        </w:rPr>
        <w:t>of</w:t>
      </w:r>
      <w:r w:rsidRPr="00DE6BAF">
        <w:rPr>
          <w:lang w:val="en-GB"/>
        </w:rPr>
        <w:t xml:space="preserve"> process industries because of the diverse work scenarios, the high degree of non-standardized operations, and the high reliance on manual </w:t>
      </w:r>
      <w:proofErr w:type="spellStart"/>
      <w:r w:rsidRPr="00DE6BAF">
        <w:rPr>
          <w:lang w:val="en-GB"/>
        </w:rPr>
        <w:t>labor</w:t>
      </w:r>
      <w:proofErr w:type="spellEnd"/>
      <w:r w:rsidRPr="00DE6BAF">
        <w:rPr>
          <w:lang w:val="en-GB"/>
        </w:rPr>
        <w:t>. The way an individual's performance deteriorates with the accumulation of fatigue can vary based on both the worker and the workplace conditions. However, the widely used method for assessing physical fatigue, the ‘Borg Rating of Perceived Exertion Scale’, has several limitations. These include high subjectivity, introducing more variability among individual</w:t>
      </w:r>
      <w:r w:rsidR="006476E7">
        <w:rPr>
          <w:lang w:val="en-GB"/>
        </w:rPr>
        <w:t>s</w:t>
      </w:r>
      <w:r w:rsidRPr="00DE6BAF">
        <w:rPr>
          <w:lang w:val="en-GB"/>
        </w:rPr>
        <w:t xml:space="preserve"> in a population, and weakness in dynamic measurements, potentially missing the optimal recovery time for operators. In this study, a Principal Component Analysis (PCA)-based Fuzzy Logic Classifier has been </w:t>
      </w:r>
      <w:r>
        <w:rPr>
          <w:lang w:val="en-GB"/>
        </w:rPr>
        <w:t xml:space="preserve">designed to </w:t>
      </w:r>
      <w:r w:rsidR="008D2CAE">
        <w:rPr>
          <w:lang w:val="en-GB"/>
        </w:rPr>
        <w:t>aid the development of</w:t>
      </w:r>
      <w:r w:rsidRPr="00DE6BAF">
        <w:rPr>
          <w:lang w:val="en-GB"/>
        </w:rPr>
        <w:t xml:space="preserve"> customized warning systems for physical fatigue, and also support the intelligent decision-making process in process industries.</w:t>
      </w:r>
    </w:p>
    <w:bookmarkEnd w:id="0"/>
    <w:p w14:paraId="476B2F2E" w14:textId="77777777" w:rsidR="00600535" w:rsidRPr="00B57B36" w:rsidRDefault="00600535" w:rsidP="00600535">
      <w:pPr>
        <w:pStyle w:val="CETHeading1"/>
        <w:rPr>
          <w:lang w:val="en-GB"/>
        </w:rPr>
      </w:pPr>
      <w:r w:rsidRPr="00B57B36">
        <w:rPr>
          <w:lang w:val="en-GB"/>
        </w:rPr>
        <w:t>Introduction</w:t>
      </w:r>
    </w:p>
    <w:p w14:paraId="66ED02F8" w14:textId="7C4990F8" w:rsidR="00BA31C5" w:rsidRPr="005A6522" w:rsidRDefault="006476E7" w:rsidP="005A6522">
      <w:pPr>
        <w:pStyle w:val="CETBodytext"/>
      </w:pPr>
      <w:r>
        <w:t>The h</w:t>
      </w:r>
      <w:r w:rsidR="00BA31C5" w:rsidRPr="005A6522">
        <w:t xml:space="preserve">uman element plays a vital role </w:t>
      </w:r>
      <w:r>
        <w:t>in</w:t>
      </w:r>
      <w:r w:rsidR="00BA31C5" w:rsidRPr="005A6522">
        <w:t xml:space="preserve"> the consideration of safety and risk management according to the analysis of numerous accident reports within process industries (Yang and </w:t>
      </w:r>
      <w:proofErr w:type="spellStart"/>
      <w:r w:rsidR="00BA31C5" w:rsidRPr="005A6522">
        <w:t>Demichela</w:t>
      </w:r>
      <w:proofErr w:type="spellEnd"/>
      <w:r w:rsidR="00BA31C5" w:rsidRPr="005A6522">
        <w:t xml:space="preserve">, 2023). </w:t>
      </w:r>
      <w:r>
        <w:t>P</w:t>
      </w:r>
      <w:r w:rsidR="00BA31C5" w:rsidRPr="005A6522">
        <w:t xml:space="preserve">hysical fatigue is considered one of the main contributors </w:t>
      </w:r>
      <w:r>
        <w:t>to</w:t>
      </w:r>
      <w:r w:rsidR="00BA31C5" w:rsidRPr="005A6522">
        <w:t xml:space="preserve"> human error in industrial incidents and accidents, especially in petrochemical, oil and gas plant’s operation</w:t>
      </w:r>
      <w:r w:rsidR="00330655">
        <w:t>s</w:t>
      </w:r>
      <w:r w:rsidR="00BA31C5" w:rsidRPr="005A6522">
        <w:t xml:space="preserve"> (Mariana et al., 2018). The stresses from repetitive manual labor and demanding tasks stimulate physical fatigue, which hinders the development of effectiveness, safety and even employee well-being in workplaces. Currently, the adoption of Physical Fatigue Management is suggested to follow four phases as the framework: detection, identification, diagnosis and recovery, and consider the big potential of applying wearable sensors in dynamic monitoring (</w:t>
      </w:r>
      <w:r w:rsidR="00541DD8">
        <w:t>Sedighi</w:t>
      </w:r>
      <w:r w:rsidR="00541DD8" w:rsidRPr="005A6522">
        <w:t xml:space="preserve"> </w:t>
      </w:r>
      <w:r w:rsidR="00BA31C5" w:rsidRPr="005A6522">
        <w:t xml:space="preserve">Maman et al., 2020). In industrial domains, particularly in the process industry which </w:t>
      </w:r>
      <w:r>
        <w:t>features</w:t>
      </w:r>
      <w:r w:rsidR="00BA31C5" w:rsidRPr="005A6522">
        <w:t xml:space="preserve"> multiple production patterns, non-standard operations and complex workplaces involved, it is more valuable to achieve dynamic monitoring.</w:t>
      </w:r>
    </w:p>
    <w:p w14:paraId="2D97DAB5" w14:textId="599F5033" w:rsidR="00BA31C5" w:rsidRPr="005A6522" w:rsidRDefault="00BA31C5" w:rsidP="005A6522">
      <w:pPr>
        <w:pStyle w:val="CETBodytext"/>
      </w:pPr>
      <w:r w:rsidRPr="005A6522">
        <w:t>Combining wearable device</w:t>
      </w:r>
      <w:r w:rsidR="006476E7">
        <w:t>s</w:t>
      </w:r>
      <w:r w:rsidRPr="005A6522">
        <w:t xml:space="preserve"> with Physical Fatigue Management becomes more feasible and useful with their high availability right now, and strength in real-time measuring of physical fatigue in the operational environment while minimally influencing the primary job (Morillo and </w:t>
      </w:r>
      <w:proofErr w:type="spellStart"/>
      <w:r w:rsidRPr="005A6522">
        <w:t>Demichela</w:t>
      </w:r>
      <w:proofErr w:type="spellEnd"/>
      <w:r w:rsidRPr="005A6522">
        <w:t xml:space="preserve">, 2023). There exist several wearable devices available in the current market </w:t>
      </w:r>
      <w:r w:rsidR="006476E7">
        <w:t>that</w:t>
      </w:r>
      <w:r w:rsidRPr="005A6522">
        <w:t xml:space="preserve"> allow to record the physiological parameters of the users. However, there are still several difficulties faced during the practical application of the wearable devices:</w:t>
      </w:r>
    </w:p>
    <w:p w14:paraId="35AE19D6" w14:textId="7AC90E91" w:rsidR="00BA31C5" w:rsidRPr="005A6522" w:rsidRDefault="00BA31C5" w:rsidP="006C5212">
      <w:pPr>
        <w:pStyle w:val="CETBodytext"/>
        <w:numPr>
          <w:ilvl w:val="0"/>
          <w:numId w:val="26"/>
        </w:numPr>
      </w:pPr>
      <w:r w:rsidRPr="005A6522">
        <w:t>Process multiple variables recorded by wearable devices, in other word</w:t>
      </w:r>
      <w:r w:rsidR="006476E7">
        <w:t>s</w:t>
      </w:r>
      <w:r w:rsidRPr="005A6522">
        <w:t>, the high dimensional dataset.</w:t>
      </w:r>
    </w:p>
    <w:p w14:paraId="7321F68A" w14:textId="09C6EEB1" w:rsidR="00BA31C5" w:rsidRPr="005A6522" w:rsidRDefault="00BA31C5" w:rsidP="006C5212">
      <w:pPr>
        <w:pStyle w:val="CETBodytext"/>
        <w:numPr>
          <w:ilvl w:val="0"/>
          <w:numId w:val="26"/>
        </w:numPr>
      </w:pPr>
      <w:r w:rsidRPr="005A6522">
        <w:t>Build the connection between the monitored data and physical fatigue.</w:t>
      </w:r>
    </w:p>
    <w:p w14:paraId="78FBF721" w14:textId="0E40DC92" w:rsidR="00BA31C5" w:rsidRPr="005A6522" w:rsidRDefault="00BA31C5" w:rsidP="006C5212">
      <w:pPr>
        <w:pStyle w:val="CETBodytext"/>
        <w:numPr>
          <w:ilvl w:val="0"/>
          <w:numId w:val="26"/>
        </w:numPr>
      </w:pPr>
      <w:r w:rsidRPr="005A6522">
        <w:t>Address the variability from high subjectivity of participants when doing the physical fatigue test by ‘Borg Rating of Perceived Exertion Scale’ (shorten</w:t>
      </w:r>
      <w:r w:rsidR="006476E7">
        <w:t>ed</w:t>
      </w:r>
      <w:r w:rsidRPr="005A6522">
        <w:t xml:space="preserve"> in ‘Borg Scale’).</w:t>
      </w:r>
    </w:p>
    <w:p w14:paraId="41B759E6" w14:textId="5E6897A0" w:rsidR="60A04F57" w:rsidRPr="00F911E0" w:rsidRDefault="00BA31C5" w:rsidP="00BC4B6F">
      <w:pPr>
        <w:pStyle w:val="CETBodytext"/>
        <w:numPr>
          <w:ilvl w:val="0"/>
          <w:numId w:val="26"/>
        </w:numPr>
      </w:pPr>
      <w:r>
        <w:t>Guide the decision-making process with more intelligent and customized strategies.</w:t>
      </w:r>
    </w:p>
    <w:p w14:paraId="6973FD27" w14:textId="0C4E8B59" w:rsidR="00BA31C5" w:rsidRDefault="00BA31C5" w:rsidP="005A6522">
      <w:pPr>
        <w:pStyle w:val="CETBodytext"/>
      </w:pPr>
      <w:r w:rsidRPr="005A6522">
        <w:t>In this paper,</w:t>
      </w:r>
      <w:r w:rsidR="00555DA3">
        <w:t xml:space="preserve"> these limitations are addressed through the design of</w:t>
      </w:r>
      <w:r w:rsidRPr="005A6522">
        <w:t xml:space="preserve"> a Principal </w:t>
      </w:r>
      <w:r w:rsidR="00EC6ED2" w:rsidRPr="005A6522">
        <w:t xml:space="preserve">Component </w:t>
      </w:r>
      <w:r w:rsidRPr="005A6522">
        <w:t>Analysis (PCA)-based fuzzy logic classifier</w:t>
      </w:r>
      <w:r w:rsidR="00555DA3">
        <w:t xml:space="preserve">. </w:t>
      </w:r>
      <w:r w:rsidR="00555DA3" w:rsidRPr="00555DA3">
        <w:t>The designed classifier is regarded as beneficial</w:t>
      </w:r>
      <w:r w:rsidRPr="005A6522">
        <w:t xml:space="preserve"> to support the development of customized warning systems and the intelligent decision-making process in process industries.</w:t>
      </w:r>
    </w:p>
    <w:p w14:paraId="70EB1AFA" w14:textId="77777777" w:rsidR="00F911E0" w:rsidRPr="005A6522" w:rsidRDefault="00F911E0" w:rsidP="005A6522">
      <w:pPr>
        <w:pStyle w:val="CETBodytext"/>
      </w:pPr>
    </w:p>
    <w:p w14:paraId="5741900F" w14:textId="65A2BF30" w:rsidR="00453E24" w:rsidRDefault="005A6522" w:rsidP="00453E24">
      <w:pPr>
        <w:pStyle w:val="CETHeading1"/>
      </w:pPr>
      <w:r w:rsidRPr="005A6522">
        <w:lastRenderedPageBreak/>
        <w:t>Methodology</w:t>
      </w:r>
    </w:p>
    <w:p w14:paraId="09406386" w14:textId="7FF5E127" w:rsidR="00453E24" w:rsidRDefault="005A6522" w:rsidP="00453E24">
      <w:pPr>
        <w:pStyle w:val="CETBodytext"/>
      </w:pPr>
      <w:r>
        <w:t xml:space="preserve">In this section, the built database, research framework and applied methods are introduced. </w:t>
      </w:r>
    </w:p>
    <w:p w14:paraId="0636B784" w14:textId="4B77B592" w:rsidR="00453E24" w:rsidRDefault="005A6522" w:rsidP="00453E24">
      <w:pPr>
        <w:pStyle w:val="CETheadingx"/>
      </w:pPr>
      <w:r w:rsidRPr="005A6522">
        <w:t>Database built</w:t>
      </w:r>
    </w:p>
    <w:p w14:paraId="5E634DF0" w14:textId="77777777" w:rsidR="00EF000F" w:rsidRDefault="00EF000F" w:rsidP="00EF000F">
      <w:pPr>
        <w:pStyle w:val="CETBodytext"/>
      </w:pPr>
      <w:r>
        <w:t xml:space="preserve">The database analyzed in this research involves condition-monitored data for 33 participants (21 males and 13 females) recruited voluntarily from a fitness facility, with ages ranging from 21 to 41 years. The mean age of the participants was 25.6 ± 4.4 years. This study adhered to the Declaration of Helsinki guidelines. Prior to data collection, each participant received an informed consent form that included detailed information on the study's nature, potential benefits, risks, and alternatives. </w:t>
      </w:r>
    </w:p>
    <w:p w14:paraId="22B1E90D" w14:textId="77777777" w:rsidR="00EF000F" w:rsidRDefault="00EF000F" w:rsidP="00EF000F">
      <w:pPr>
        <w:pStyle w:val="CETBodytext"/>
      </w:pPr>
      <w:r>
        <w:t>The study uses a fitness setup to simulate industrial tasks safely and effectively. It uses weightlifting, resistance band exercises, isometric exercises, and bodyweight exercises. Weightlifting targets muscle groups involved in lifting, pushing, and pulling heavy objects. Resistance band exercises simulate tasks requiring pulling and pushing actions. Isometric exercises replicate holding positions suitable for mobility limitations or injury recovery. Participants can choose exercises based on fitness levels and preferences.</w:t>
      </w:r>
    </w:p>
    <w:p w14:paraId="7C2B0064" w14:textId="68D3EAA7" w:rsidR="00453E24" w:rsidRDefault="00EF000F" w:rsidP="00EF000F">
      <w:pPr>
        <w:pStyle w:val="CETBodytext"/>
      </w:pPr>
      <w:r>
        <w:t>During this process, a smartwatch is deployed to support dynamically monitoring operators’ performance parameters</w:t>
      </w:r>
      <w:r w:rsidR="009538B6">
        <w:t>, where the data about electrodermal activity, skin temperature, pulse rate, accelerometer data, step counts and activity counts are collected</w:t>
      </w:r>
      <w:r>
        <w:t>.</w:t>
      </w:r>
      <w:r w:rsidR="009538B6">
        <w:rPr>
          <w:rFonts w:eastAsiaTheme="minorEastAsia" w:hint="eastAsia"/>
          <w:lang w:eastAsia="zh-CN"/>
        </w:rPr>
        <w:t xml:space="preserve"> T</w:t>
      </w:r>
      <w:r>
        <w:t xml:space="preserve">he ‘Borg Scale’ is applied to define whether participants are in states of (non-)fatigue. This approach allows people to subjectively assess their degree of physical exertion on a scale of 6 (no exertion) to 20 (highest intensity). Finally, 502 records are collected </w:t>
      </w:r>
      <w:r w:rsidR="009538B6">
        <w:rPr>
          <w:rFonts w:eastAsiaTheme="minorEastAsia" w:hint="eastAsia"/>
          <w:lang w:eastAsia="zh-CN"/>
        </w:rPr>
        <w:t>as</w:t>
      </w:r>
      <w:r>
        <w:t xml:space="preserve"> the database.</w:t>
      </w:r>
    </w:p>
    <w:p w14:paraId="18BAFA6F" w14:textId="60CC2682" w:rsidR="00453E24" w:rsidRPr="00B57B36" w:rsidRDefault="005A6522" w:rsidP="00453E24">
      <w:pPr>
        <w:pStyle w:val="CETheadingx"/>
      </w:pPr>
      <w:r w:rsidRPr="005A6522">
        <w:t>Research framework and methods</w:t>
      </w:r>
    </w:p>
    <w:p w14:paraId="5436D977" w14:textId="170AC4A4" w:rsidR="00453E24" w:rsidRDefault="006C5212" w:rsidP="00453E24">
      <w:pPr>
        <w:pStyle w:val="CETBodytext"/>
      </w:pPr>
      <w:r w:rsidRPr="006C5212">
        <w:rPr>
          <w:lang w:val="en-GB"/>
        </w:rPr>
        <w:t>Principal Component Analysis (PCA) is prove</w:t>
      </w:r>
      <w:r w:rsidR="006476E7">
        <w:rPr>
          <w:lang w:val="en-GB"/>
        </w:rPr>
        <w:t>n</w:t>
      </w:r>
      <w:r w:rsidRPr="006C5212">
        <w:rPr>
          <w:lang w:val="en-GB"/>
        </w:rPr>
        <w:t xml:space="preserve"> </w:t>
      </w:r>
      <w:r w:rsidR="006476E7">
        <w:rPr>
          <w:lang w:val="en-GB"/>
        </w:rPr>
        <w:t>to have</w:t>
      </w:r>
      <w:r w:rsidRPr="006C5212">
        <w:rPr>
          <w:lang w:val="en-GB"/>
        </w:rPr>
        <w:t xml:space="preserve"> strengths </w:t>
      </w:r>
      <w:r w:rsidR="006476E7">
        <w:rPr>
          <w:lang w:val="en-GB"/>
        </w:rPr>
        <w:t>i</w:t>
      </w:r>
      <w:r w:rsidRPr="006C5212">
        <w:rPr>
          <w:lang w:val="en-GB"/>
        </w:rPr>
        <w:t xml:space="preserve">n optimizing the selected feature indicators in the domain of intelligent monitoring and fatigue state detection (Chen et al., 2023). </w:t>
      </w:r>
      <w:r w:rsidR="00C01B4E">
        <w:rPr>
          <w:rFonts w:eastAsiaTheme="minorEastAsia" w:hint="eastAsia"/>
          <w:lang w:val="en-GB" w:eastAsia="zh-CN"/>
        </w:rPr>
        <w:t>With</w:t>
      </w:r>
      <w:r w:rsidRPr="006C5212">
        <w:rPr>
          <w:lang w:val="en-GB"/>
        </w:rPr>
        <w:t xml:space="preserve"> </w:t>
      </w:r>
      <w:r w:rsidR="00C01B4E">
        <w:rPr>
          <w:rFonts w:eastAsiaTheme="minorEastAsia" w:hint="eastAsia"/>
          <w:lang w:val="en-GB" w:eastAsia="zh-CN"/>
        </w:rPr>
        <w:t xml:space="preserve">applied </w:t>
      </w:r>
      <w:r w:rsidRPr="006C5212">
        <w:rPr>
          <w:lang w:val="en-GB"/>
        </w:rPr>
        <w:t xml:space="preserve">multiple variables which </w:t>
      </w:r>
      <w:r w:rsidR="00C01B4E">
        <w:rPr>
          <w:rFonts w:eastAsiaTheme="minorEastAsia" w:hint="eastAsia"/>
          <w:lang w:val="en-GB" w:eastAsia="zh-CN"/>
        </w:rPr>
        <w:t xml:space="preserve">may </w:t>
      </w:r>
      <w:r w:rsidRPr="006C5212">
        <w:rPr>
          <w:lang w:val="en-GB"/>
        </w:rPr>
        <w:t xml:space="preserve">increase </w:t>
      </w:r>
      <w:r w:rsidR="00C01B4E">
        <w:rPr>
          <w:rFonts w:eastAsiaTheme="minorEastAsia" w:hint="eastAsia"/>
          <w:lang w:val="en-GB" w:eastAsia="zh-CN"/>
        </w:rPr>
        <w:t>system</w:t>
      </w:r>
      <w:r w:rsidRPr="006C5212">
        <w:rPr>
          <w:lang w:val="en-GB"/>
        </w:rPr>
        <w:t xml:space="preserve"> complexity, PCA </w:t>
      </w:r>
      <w:r w:rsidR="00F4048B">
        <w:rPr>
          <w:rFonts w:eastAsiaTheme="minorEastAsia" w:hint="eastAsia"/>
          <w:lang w:val="en-GB" w:eastAsia="zh-CN"/>
        </w:rPr>
        <w:t>helps to</w:t>
      </w:r>
      <w:r w:rsidRPr="006C5212">
        <w:rPr>
          <w:lang w:val="en-GB"/>
        </w:rPr>
        <w:t xml:space="preserve"> convert those potential</w:t>
      </w:r>
      <w:r w:rsidR="006476E7">
        <w:rPr>
          <w:lang w:val="en-GB"/>
        </w:rPr>
        <w:t>ly</w:t>
      </w:r>
      <w:r w:rsidRPr="006C5212">
        <w:rPr>
          <w:lang w:val="en-GB"/>
        </w:rPr>
        <w:t xml:space="preserve"> correlated variables into a set </w:t>
      </w:r>
      <w:r w:rsidR="006476E7">
        <w:rPr>
          <w:lang w:val="en-GB"/>
        </w:rPr>
        <w:t>of</w:t>
      </w:r>
      <w:r w:rsidRPr="006C5212">
        <w:rPr>
          <w:lang w:val="en-GB"/>
        </w:rPr>
        <w:t xml:space="preserve"> linearly uncorrelated variables through orthogonal transformation, which are called principal components. The information </w:t>
      </w:r>
      <w:r w:rsidR="00330655">
        <w:rPr>
          <w:lang w:val="en-GB"/>
        </w:rPr>
        <w:t>that</w:t>
      </w:r>
      <w:r w:rsidRPr="006C5212">
        <w:rPr>
          <w:lang w:val="en-GB"/>
        </w:rPr>
        <w:t xml:space="preserve"> principal components have compared with original multiple variables </w:t>
      </w:r>
      <w:r w:rsidR="006476E7">
        <w:rPr>
          <w:lang w:val="en-GB"/>
        </w:rPr>
        <w:t>is</w:t>
      </w:r>
      <w:r w:rsidRPr="006C5212">
        <w:rPr>
          <w:lang w:val="en-GB"/>
        </w:rPr>
        <w:t xml:space="preserve"> explained by the term of a sum of squares of deviations or variances. Thus, PCA is broadly applied to achieve dimensionality reduction, and decrease the complexity of the target system (Chen et al., 2021)</w:t>
      </w:r>
      <w:r w:rsidR="00453E24">
        <w:t>.</w:t>
      </w:r>
    </w:p>
    <w:p w14:paraId="2A5F6491" w14:textId="1AD71B31" w:rsidR="006C5212" w:rsidRDefault="006C5212" w:rsidP="00453E24">
      <w:pPr>
        <w:pStyle w:val="CETBodytext"/>
      </w:pPr>
      <w:r w:rsidRPr="006C5212">
        <w:t xml:space="preserve">Fuzzy logic is an approach to support reasoning under uncertainty and partial information and facilitate modeling logical reasoning with imprecise or vague statements (Nguyen et al., 2023). The degree of belonging of an element x to a fuzzy set </w:t>
      </w:r>
      <w:r w:rsidRPr="00983D10">
        <w:t>A</w:t>
      </w:r>
      <w:r w:rsidRPr="006C5212">
        <w:t xml:space="preserve"> is quantified by a membership function </w:t>
      </w:r>
      <w:r w:rsidRPr="00983D10">
        <w:t>F</w:t>
      </w:r>
      <w:r w:rsidRPr="00983D10">
        <w:rPr>
          <w:vertAlign w:val="subscript"/>
        </w:rPr>
        <w:t>A</w:t>
      </w:r>
      <w:r w:rsidRPr="00983D10">
        <w:t>(x)</w:t>
      </w:r>
      <w:r w:rsidRPr="006C5212">
        <w:t xml:space="preserve">, providing each element with a value between 0 and 1 according to </w:t>
      </w:r>
      <w:r w:rsidR="0081112D">
        <w:t>Eq (</w:t>
      </w:r>
      <w:r w:rsidRPr="006C5212">
        <w:t>1</w:t>
      </w:r>
      <w:r w:rsidR="0081112D">
        <w:t>)</w:t>
      </w:r>
      <w:r w:rsidRPr="006C5212">
        <w:t>, where X denotes the universe of discourse, and the value given to each element by the membership function is called membership value.</w:t>
      </w:r>
    </w:p>
    <w:tbl>
      <w:tblPr>
        <w:tblW w:w="5000" w:type="pct"/>
        <w:tblLook w:val="04A0" w:firstRow="1" w:lastRow="0" w:firstColumn="1" w:lastColumn="0" w:noHBand="0" w:noVBand="1"/>
      </w:tblPr>
      <w:tblGrid>
        <w:gridCol w:w="8188"/>
        <w:gridCol w:w="815"/>
      </w:tblGrid>
      <w:tr w:rsidR="00F42B20" w:rsidRPr="00B57B36" w14:paraId="1307CE85" w14:textId="77777777" w:rsidTr="60A04F57">
        <w:tc>
          <w:tcPr>
            <w:tcW w:w="8188" w:type="dxa"/>
            <w:shd w:val="clear" w:color="auto" w:fill="auto"/>
            <w:vAlign w:val="center"/>
          </w:tcPr>
          <w:p w14:paraId="44645B88" w14:textId="6252A9D4" w:rsidR="00F42B20" w:rsidRPr="00362FCE" w:rsidRDefault="0081112D" w:rsidP="0081112D">
            <w:pPr>
              <w:pStyle w:val="CETEquation"/>
              <w:rPr>
                <w:rFonts w:cs="Arial"/>
                <w:noProof/>
              </w:rPr>
            </w:pPr>
            <m:oMathPara>
              <m:oMathParaPr>
                <m:jc m:val="left"/>
              </m:oMathParaPr>
              <m:oMath>
                <m:r>
                  <w:rPr>
                    <w:rFonts w:ascii="Cambria Math" w:hAnsi="Cambria Math" w:cs="Arial"/>
                  </w:rPr>
                  <m:t>A</m:t>
                </m:r>
                <m:r>
                  <m:rPr>
                    <m:sty m:val="p"/>
                  </m:rPr>
                  <w:rPr>
                    <w:rFonts w:ascii="Cambria Math" w:hAnsi="Cambria Math" w:cs="Arial"/>
                  </w:rPr>
                  <m:t>=</m:t>
                </m:r>
                <m:d>
                  <m:dPr>
                    <m:begChr m:val="{"/>
                    <m:endChr m:val="|"/>
                    <m:ctrlPr>
                      <w:rPr>
                        <w:rFonts w:ascii="Cambria Math" w:hAnsi="Cambria Math" w:cs="Arial"/>
                      </w:rPr>
                    </m:ctrlPr>
                  </m:dPr>
                  <m:e>
                    <m:r>
                      <w:rPr>
                        <w:rFonts w:ascii="Cambria Math" w:hAnsi="Cambria Math" w:cs="Arial"/>
                      </w:rPr>
                      <m:t>x</m:t>
                    </m:r>
                    <m:r>
                      <m:rPr>
                        <m:sty m:val="p"/>
                      </m:rPr>
                      <w:rPr>
                        <w:rFonts w:ascii="Cambria Math" w:hAnsi="Cambria Math" w:cs="Arial"/>
                      </w:rPr>
                      <m:t>,</m:t>
                    </m:r>
                    <m:sSub>
                      <m:sSubPr>
                        <m:ctrlPr>
                          <w:rPr>
                            <w:rFonts w:ascii="Cambria Math" w:hAnsi="Cambria Math" w:cs="Arial"/>
                          </w:rPr>
                        </m:ctrlPr>
                      </m:sSubPr>
                      <m:e>
                        <m:r>
                          <w:rPr>
                            <w:rFonts w:ascii="Cambria Math" w:hAnsi="Cambria Math" w:cs="Arial"/>
                          </w:rPr>
                          <m:t>F</m:t>
                        </m:r>
                      </m:e>
                      <m:sub>
                        <m:r>
                          <w:rPr>
                            <w:rFonts w:ascii="Cambria Math" w:hAnsi="Cambria Math" w:cs="Arial"/>
                          </w:rPr>
                          <m:t>A</m:t>
                        </m:r>
                      </m:sub>
                    </m:sSub>
                    <m:d>
                      <m:dPr>
                        <m:ctrlPr>
                          <w:rPr>
                            <w:rFonts w:ascii="Cambria Math" w:hAnsi="Cambria Math" w:cs="Arial"/>
                          </w:rPr>
                        </m:ctrlPr>
                      </m:dPr>
                      <m:e>
                        <m:r>
                          <w:rPr>
                            <w:rFonts w:ascii="Cambria Math" w:hAnsi="Cambria Math" w:cs="Arial"/>
                          </w:rPr>
                          <m:t>x</m:t>
                        </m:r>
                      </m:e>
                    </m:d>
                    <m:r>
                      <m:rPr>
                        <m:sty m:val="p"/>
                      </m:rPr>
                      <w:rPr>
                        <w:rFonts w:ascii="Cambria Math" w:hAnsi="Cambria Math" w:cs="Arial"/>
                      </w:rPr>
                      <m:t xml:space="preserve"> </m:t>
                    </m:r>
                  </m:e>
                </m:d>
                <m:r>
                  <m:rPr>
                    <m:sty m:val="p"/>
                  </m:rPr>
                  <w:rPr>
                    <w:rFonts w:ascii="Cambria Math" w:hAnsi="Cambria Math" w:cs="Arial"/>
                  </w:rPr>
                  <m:t xml:space="preserve"> </m:t>
                </m:r>
                <m:r>
                  <w:rPr>
                    <w:rFonts w:ascii="Cambria Math" w:hAnsi="Cambria Math" w:cs="Arial"/>
                  </w:rPr>
                  <m:t>x</m:t>
                </m:r>
                <m:r>
                  <m:rPr>
                    <m:sty m:val="p"/>
                  </m:rPr>
                  <w:rPr>
                    <w:rFonts w:ascii="Cambria Math" w:hAnsi="Cambria Math" w:cs="Arial"/>
                  </w:rPr>
                  <m:t>∈</m:t>
                </m:r>
                <m:r>
                  <w:rPr>
                    <w:rFonts w:ascii="Cambria Math" w:hAnsi="Cambria Math" w:cs="Arial"/>
                  </w:rPr>
                  <m:t>X</m:t>
                </m:r>
                <m:r>
                  <m:rPr>
                    <m:sty m:val="p"/>
                  </m:rPr>
                  <w:rPr>
                    <w:rFonts w:ascii="Cambria Math" w:hAnsi="Cambria Math" w:cs="Arial"/>
                  </w:rPr>
                  <m:t>}</m:t>
                </m:r>
              </m:oMath>
            </m:oMathPara>
          </w:p>
        </w:tc>
        <w:tc>
          <w:tcPr>
            <w:tcW w:w="815" w:type="dxa"/>
            <w:shd w:val="clear" w:color="auto" w:fill="auto"/>
            <w:vAlign w:val="center"/>
          </w:tcPr>
          <w:p w14:paraId="59184479" w14:textId="77777777" w:rsidR="00F42B20" w:rsidRPr="00B57B36" w:rsidRDefault="00F42B20" w:rsidP="00732624">
            <w:pPr>
              <w:pStyle w:val="CETEquation"/>
              <w:jc w:val="right"/>
            </w:pPr>
            <w:r w:rsidRPr="00B57B36">
              <w:t>(1)</w:t>
            </w:r>
          </w:p>
        </w:tc>
      </w:tr>
    </w:tbl>
    <w:p w14:paraId="0648CF11" w14:textId="1165E154" w:rsidR="00F42B20" w:rsidRPr="00F42B20" w:rsidRDefault="006476E7" w:rsidP="00F42B20">
      <w:pPr>
        <w:pStyle w:val="CETBodytext"/>
        <w:rPr>
          <w:rFonts w:eastAsiaTheme="minorEastAsia"/>
        </w:rPr>
      </w:pPr>
      <w:r>
        <w:t>F</w:t>
      </w:r>
      <w:r w:rsidR="00F42B20" w:rsidRPr="00F42B20">
        <w:t xml:space="preserve">uzzy logic has the potential </w:t>
      </w:r>
      <w:r>
        <w:t>to analyze</w:t>
      </w:r>
      <w:r w:rsidR="00F42B20" w:rsidRPr="00F42B20">
        <w:t xml:space="preserve"> cases where one variable is vaguely divided in</w:t>
      </w:r>
      <w:r>
        <w:t>to</w:t>
      </w:r>
      <w:r w:rsidR="00F42B20" w:rsidRPr="00F42B20">
        <w:t xml:space="preserve"> categorical categor</w:t>
      </w:r>
      <w:r>
        <w:t>ies</w:t>
      </w:r>
      <w:r w:rsidR="00F42B20" w:rsidRPr="00F42B20">
        <w:t xml:space="preserve"> (</w:t>
      </w:r>
      <w:proofErr w:type="spellStart"/>
      <w:r w:rsidR="00F42B20" w:rsidRPr="00F42B20">
        <w:t>Baldissone</w:t>
      </w:r>
      <w:proofErr w:type="spellEnd"/>
      <w:r w:rsidR="00F42B20" w:rsidRPr="00F42B20">
        <w:t xml:space="preserve"> et al., 2019). In this paper, fuzzy logic facilitates defining the vague zone between fatigue and non-fatigue categories.</w:t>
      </w:r>
    </w:p>
    <w:p w14:paraId="39729F0E" w14:textId="7F872FAB" w:rsidR="00F42B20" w:rsidRPr="00F42B20" w:rsidRDefault="00F42B20" w:rsidP="00F42B20">
      <w:pPr>
        <w:pStyle w:val="CETBodytext"/>
        <w:rPr>
          <w:rFonts w:eastAsiaTheme="minorEastAsia"/>
        </w:rPr>
      </w:pPr>
      <w:r w:rsidRPr="00F42B20">
        <w:t xml:space="preserve">Figure 1 shows the framework and methods of this research. Firstly, face to the multiple dimensional performance parameters, Principal Component Analysis (PCA) is applied to extract key features related to physical fatigue. In order to solve the variability caused by individual differences and subjectivity of participants when conducting the Borg Test, the Fuzzy Set Theory is considered to distinguish the state between physical fatigue and non-physical fatigue. Then the PCA-based fuzzy logic classifier is accordingly designed. The benefits of the designed classifier </w:t>
      </w:r>
      <w:r w:rsidR="006476E7">
        <w:t>are</w:t>
      </w:r>
      <w:r w:rsidRPr="00F42B20">
        <w:t xml:space="preserve"> discussed in the last part.</w:t>
      </w:r>
    </w:p>
    <w:p w14:paraId="0142A9EA" w14:textId="17886C52" w:rsidR="00F42B20" w:rsidRDefault="00B330B0" w:rsidP="00453E24">
      <w:pPr>
        <w:pStyle w:val="CETBodytext"/>
        <w:rPr>
          <w:rFonts w:eastAsiaTheme="minorEastAsia"/>
          <w:lang w:eastAsia="zh-CN"/>
        </w:rPr>
      </w:pPr>
      <w:r>
        <w:rPr>
          <w:rFonts w:ascii="Times New Roman" w:hAnsi="Times New Roman"/>
          <w:noProof/>
          <w:sz w:val="20"/>
        </w:rPr>
        <w:drawing>
          <wp:inline distT="0" distB="0" distL="0" distR="0" wp14:anchorId="67B03B83" wp14:editId="1301DF09">
            <wp:extent cx="2003842" cy="1652954"/>
            <wp:effectExtent l="0" t="0" r="0" b="4445"/>
            <wp:docPr id="131040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7895" cy="1656297"/>
                    </a:xfrm>
                    <a:prstGeom prst="rect">
                      <a:avLst/>
                    </a:prstGeom>
                    <a:noFill/>
                  </pic:spPr>
                </pic:pic>
              </a:graphicData>
            </a:graphic>
          </wp:inline>
        </w:drawing>
      </w:r>
    </w:p>
    <w:p w14:paraId="3575AFE8" w14:textId="4516DF8E" w:rsidR="006C5212" w:rsidRPr="004E30D4" w:rsidRDefault="00B330B0" w:rsidP="004E30D4">
      <w:pPr>
        <w:pStyle w:val="CETCaption"/>
        <w:rPr>
          <w:rFonts w:eastAsiaTheme="minorEastAsia"/>
        </w:rPr>
      </w:pPr>
      <w:r w:rsidRPr="004E30D4">
        <w:rPr>
          <w:rFonts w:eastAsiaTheme="minorEastAsia"/>
        </w:rPr>
        <w:t>Figure 1. Research framework</w:t>
      </w:r>
    </w:p>
    <w:p w14:paraId="677EBFF0" w14:textId="4CA3DB0A" w:rsidR="00600535" w:rsidRDefault="00B330B0" w:rsidP="00600535">
      <w:pPr>
        <w:pStyle w:val="CETHeading1"/>
        <w:tabs>
          <w:tab w:val="clear" w:pos="360"/>
          <w:tab w:val="right" w:pos="7100"/>
        </w:tabs>
        <w:jc w:val="both"/>
        <w:rPr>
          <w:lang w:val="en-GB"/>
        </w:rPr>
      </w:pPr>
      <w:r w:rsidRPr="00B330B0">
        <w:rPr>
          <w:lang w:val="en-GB"/>
        </w:rPr>
        <w:lastRenderedPageBreak/>
        <w:t>Result</w:t>
      </w:r>
    </w:p>
    <w:p w14:paraId="0AFE2FE4" w14:textId="5B6E3D3E" w:rsidR="00B330B0" w:rsidRPr="00B330B0" w:rsidRDefault="00B330B0" w:rsidP="00B330B0">
      <w:pPr>
        <w:pStyle w:val="CETBodytext"/>
      </w:pPr>
      <w:r>
        <w:rPr>
          <w:rFonts w:eastAsiaTheme="minorEastAsia"/>
        </w:rPr>
        <w:t>The designed classifier with all results is shown in this section.</w:t>
      </w:r>
    </w:p>
    <w:p w14:paraId="04963A06" w14:textId="65F2CE3B" w:rsidR="00600535" w:rsidRPr="00B57B36" w:rsidRDefault="00B330B0" w:rsidP="00FA5F5F">
      <w:pPr>
        <w:pStyle w:val="CETheadingx"/>
      </w:pPr>
      <w:r w:rsidRPr="00B330B0">
        <w:t>Feature extraction</w:t>
      </w:r>
    </w:p>
    <w:p w14:paraId="123CB7DF" w14:textId="4CB6968B" w:rsidR="00600535" w:rsidRDefault="00B330B0" w:rsidP="00B330B0">
      <w:pPr>
        <w:pStyle w:val="CETBodytext"/>
      </w:pPr>
      <w:r w:rsidRPr="00B330B0">
        <w:t xml:space="preserve">Firstly, KMO and Bartlett's Test was conducted to check whether there is </w:t>
      </w:r>
      <w:r w:rsidR="006476E7">
        <w:t xml:space="preserve">a </w:t>
      </w:r>
      <w:r w:rsidRPr="00B330B0">
        <w:t>correlation between variables in the data set, the result from this method supports the feasibility and suitability of feature</w:t>
      </w:r>
      <w:r w:rsidR="006476E7">
        <w:t>-</w:t>
      </w:r>
      <w:r w:rsidRPr="00B330B0">
        <w:t xml:space="preserve">extracted techniques like PCA. According to Table 1, the KMO value is 0.761 with </w:t>
      </w:r>
      <w:r w:rsidR="006476E7">
        <w:t>a</w:t>
      </w:r>
      <w:r w:rsidRPr="00B330B0">
        <w:t xml:space="preserve"> significant value of &lt;0.001***, which indicates that the chi-square value is statistically significant, meaning that the null hypothesis can be rejected (that the variables are not completely independent). Thus, this database is considered to be suitable for PCA.</w:t>
      </w:r>
    </w:p>
    <w:p w14:paraId="24AF0555" w14:textId="6164C177" w:rsidR="00B330B0" w:rsidRPr="004E30D4" w:rsidRDefault="00B330B0" w:rsidP="004E30D4">
      <w:pPr>
        <w:pStyle w:val="CETTabletitle"/>
      </w:pPr>
      <w:r w:rsidRPr="004E30D4">
        <w:t>Table 1: KMO and Bartlett's Test</w:t>
      </w:r>
    </w:p>
    <w:tbl>
      <w:tblPr>
        <w:tblW w:w="3146"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984"/>
        <w:gridCol w:w="993"/>
      </w:tblGrid>
      <w:tr w:rsidR="00861AB8" w:rsidRPr="00B57B36" w14:paraId="1D33E4EE" w14:textId="77777777" w:rsidTr="60A04F57">
        <w:tc>
          <w:tcPr>
            <w:tcW w:w="4102" w:type="pct"/>
            <w:gridSpan w:val="2"/>
            <w:tcBorders>
              <w:top w:val="single" w:sz="12" w:space="0" w:color="008000"/>
              <w:bottom w:val="single" w:sz="6" w:space="0" w:color="008000"/>
            </w:tcBorders>
            <w:shd w:val="clear" w:color="auto" w:fill="FFFFFF" w:themeFill="background1"/>
          </w:tcPr>
          <w:p w14:paraId="7B5E7758" w14:textId="587BF44A" w:rsidR="00861AB8" w:rsidRPr="00B57B36" w:rsidRDefault="00861AB8" w:rsidP="00732624">
            <w:pPr>
              <w:pStyle w:val="CETBodytext"/>
              <w:rPr>
                <w:lang w:val="en-GB"/>
              </w:rPr>
            </w:pPr>
            <w:r w:rsidRPr="00861AB8">
              <w:rPr>
                <w:lang w:val="en-GB"/>
              </w:rPr>
              <w:t>Kaiser-Meyer-Olkin Measure of Sampling Adequacy</w:t>
            </w:r>
          </w:p>
        </w:tc>
        <w:tc>
          <w:tcPr>
            <w:tcW w:w="898" w:type="pct"/>
            <w:tcBorders>
              <w:top w:val="single" w:sz="12" w:space="0" w:color="008000"/>
              <w:bottom w:val="single" w:sz="6" w:space="0" w:color="008000"/>
            </w:tcBorders>
            <w:shd w:val="clear" w:color="auto" w:fill="FFFFFF" w:themeFill="background1"/>
          </w:tcPr>
          <w:p w14:paraId="72156E04" w14:textId="53DBEA17" w:rsidR="00861AB8" w:rsidRPr="00B57B36" w:rsidRDefault="00861AB8" w:rsidP="00732624">
            <w:pPr>
              <w:pStyle w:val="CETBodytext"/>
              <w:rPr>
                <w:lang w:val="en-GB"/>
              </w:rPr>
            </w:pPr>
            <w:r w:rsidRPr="00861AB8">
              <w:rPr>
                <w:lang w:val="en-GB"/>
              </w:rPr>
              <w:t>0.761</w:t>
            </w:r>
          </w:p>
        </w:tc>
      </w:tr>
      <w:tr w:rsidR="00861AB8" w:rsidRPr="00B57B36" w14:paraId="223172A4" w14:textId="77777777" w:rsidTr="60A04F57">
        <w:tc>
          <w:tcPr>
            <w:tcW w:w="2308" w:type="pct"/>
            <w:vMerge w:val="restart"/>
            <w:shd w:val="clear" w:color="auto" w:fill="FFFFFF" w:themeFill="background1"/>
            <w:vAlign w:val="center"/>
          </w:tcPr>
          <w:p w14:paraId="6AE233BC" w14:textId="2E20DA19" w:rsidR="00861AB8" w:rsidRPr="00B57B36" w:rsidRDefault="00861AB8" w:rsidP="00861AB8">
            <w:pPr>
              <w:pStyle w:val="CETBodytext"/>
              <w:jc w:val="center"/>
              <w:rPr>
                <w:lang w:val="en-GB"/>
              </w:rPr>
            </w:pPr>
            <w:r w:rsidRPr="00861AB8">
              <w:rPr>
                <w:lang w:val="en-GB"/>
              </w:rPr>
              <w:t>Bartlett's Test of Sphericity</w:t>
            </w:r>
          </w:p>
        </w:tc>
        <w:tc>
          <w:tcPr>
            <w:tcW w:w="1794" w:type="pct"/>
            <w:shd w:val="clear" w:color="auto" w:fill="FFFFFF" w:themeFill="background1"/>
          </w:tcPr>
          <w:p w14:paraId="02E792C2" w14:textId="61AC2E05" w:rsidR="00861AB8" w:rsidRPr="00B57B36" w:rsidRDefault="00861AB8" w:rsidP="00861AB8">
            <w:pPr>
              <w:pStyle w:val="CETBodytext"/>
              <w:rPr>
                <w:lang w:val="en-GB"/>
              </w:rPr>
            </w:pPr>
            <w:r w:rsidRPr="00861AB8">
              <w:rPr>
                <w:lang w:val="en-GB"/>
              </w:rPr>
              <w:t>Approx. Chi-Square</w:t>
            </w:r>
          </w:p>
        </w:tc>
        <w:tc>
          <w:tcPr>
            <w:tcW w:w="898" w:type="pct"/>
            <w:shd w:val="clear" w:color="auto" w:fill="FFFFFF" w:themeFill="background1"/>
          </w:tcPr>
          <w:p w14:paraId="08F5DFD7" w14:textId="256E696F" w:rsidR="00861AB8" w:rsidRPr="00B57B36" w:rsidRDefault="00861AB8" w:rsidP="00861AB8">
            <w:pPr>
              <w:pStyle w:val="CETBodytext"/>
              <w:rPr>
                <w:lang w:val="en-GB"/>
              </w:rPr>
            </w:pPr>
            <w:r w:rsidRPr="00861AB8">
              <w:rPr>
                <w:rFonts w:hint="eastAsia"/>
                <w:lang w:val="en-GB"/>
              </w:rPr>
              <w:t>1</w:t>
            </w:r>
            <w:r w:rsidRPr="00861AB8">
              <w:rPr>
                <w:lang w:val="en-GB"/>
              </w:rPr>
              <w:t>111.187</w:t>
            </w:r>
          </w:p>
        </w:tc>
      </w:tr>
      <w:tr w:rsidR="00861AB8" w:rsidRPr="00B57B36" w14:paraId="0A61B554" w14:textId="77777777" w:rsidTr="60A04F57">
        <w:tc>
          <w:tcPr>
            <w:tcW w:w="2308" w:type="pct"/>
            <w:vMerge/>
          </w:tcPr>
          <w:p w14:paraId="5E07B65F" w14:textId="77777777" w:rsidR="00861AB8" w:rsidRPr="00B57B36" w:rsidRDefault="00861AB8" w:rsidP="00861AB8">
            <w:pPr>
              <w:pStyle w:val="CETBodytext"/>
              <w:ind w:right="-1"/>
              <w:rPr>
                <w:rFonts w:cs="Arial"/>
                <w:szCs w:val="18"/>
                <w:lang w:val="en-GB"/>
              </w:rPr>
            </w:pPr>
          </w:p>
        </w:tc>
        <w:tc>
          <w:tcPr>
            <w:tcW w:w="1794" w:type="pct"/>
            <w:shd w:val="clear" w:color="auto" w:fill="FFFFFF" w:themeFill="background1"/>
          </w:tcPr>
          <w:p w14:paraId="68EC4E93" w14:textId="17CF8538" w:rsidR="00861AB8" w:rsidRPr="00861AB8" w:rsidRDefault="00861AB8" w:rsidP="00861AB8">
            <w:pPr>
              <w:pStyle w:val="CETBodytext"/>
              <w:rPr>
                <w:lang w:val="en-GB"/>
              </w:rPr>
            </w:pPr>
            <w:r w:rsidRPr="00861AB8">
              <w:rPr>
                <w:lang w:val="en-GB"/>
              </w:rPr>
              <w:t>Degree of freedom</w:t>
            </w:r>
          </w:p>
        </w:tc>
        <w:tc>
          <w:tcPr>
            <w:tcW w:w="898" w:type="pct"/>
            <w:shd w:val="clear" w:color="auto" w:fill="FFFFFF" w:themeFill="background1"/>
          </w:tcPr>
          <w:p w14:paraId="4C8F451A" w14:textId="0F366A2C" w:rsidR="00861AB8" w:rsidRPr="00861AB8" w:rsidRDefault="00861AB8" w:rsidP="00861AB8">
            <w:pPr>
              <w:pStyle w:val="CETBodytext"/>
              <w:rPr>
                <w:lang w:val="en-GB"/>
              </w:rPr>
            </w:pPr>
            <w:r w:rsidRPr="00861AB8">
              <w:rPr>
                <w:rFonts w:hint="eastAsia"/>
                <w:lang w:val="en-GB"/>
              </w:rPr>
              <w:t>1</w:t>
            </w:r>
            <w:r w:rsidRPr="00861AB8">
              <w:rPr>
                <w:lang w:val="en-GB"/>
              </w:rPr>
              <w:t>5</w:t>
            </w:r>
          </w:p>
        </w:tc>
      </w:tr>
      <w:tr w:rsidR="00861AB8" w:rsidRPr="00B57B36" w14:paraId="334280B7" w14:textId="77777777" w:rsidTr="60A04F57">
        <w:tc>
          <w:tcPr>
            <w:tcW w:w="2308" w:type="pct"/>
            <w:vMerge/>
          </w:tcPr>
          <w:p w14:paraId="4A39C89D" w14:textId="77777777" w:rsidR="00861AB8" w:rsidRPr="00B57B36" w:rsidRDefault="00861AB8" w:rsidP="00861AB8">
            <w:pPr>
              <w:pStyle w:val="CETBodytext"/>
              <w:ind w:right="-1"/>
              <w:rPr>
                <w:rFonts w:cs="Arial"/>
                <w:szCs w:val="18"/>
                <w:lang w:val="en-GB"/>
              </w:rPr>
            </w:pPr>
          </w:p>
        </w:tc>
        <w:tc>
          <w:tcPr>
            <w:tcW w:w="1794" w:type="pct"/>
            <w:shd w:val="clear" w:color="auto" w:fill="FFFFFF" w:themeFill="background1"/>
          </w:tcPr>
          <w:p w14:paraId="25D1FDF0" w14:textId="3593CFA2" w:rsidR="00861AB8" w:rsidRPr="00861AB8" w:rsidRDefault="00861AB8" w:rsidP="00861AB8">
            <w:pPr>
              <w:pStyle w:val="CETBodytext"/>
              <w:rPr>
                <w:lang w:val="en-GB"/>
              </w:rPr>
            </w:pPr>
            <w:r w:rsidRPr="00861AB8">
              <w:rPr>
                <w:lang w:val="en-GB"/>
              </w:rPr>
              <w:t>Significance</w:t>
            </w:r>
          </w:p>
        </w:tc>
        <w:tc>
          <w:tcPr>
            <w:tcW w:w="898" w:type="pct"/>
            <w:shd w:val="clear" w:color="auto" w:fill="FFFFFF" w:themeFill="background1"/>
          </w:tcPr>
          <w:p w14:paraId="04079DEF" w14:textId="029155CB" w:rsidR="00861AB8" w:rsidRPr="00861AB8" w:rsidRDefault="00861AB8" w:rsidP="00861AB8">
            <w:pPr>
              <w:pStyle w:val="CETBodytext"/>
              <w:rPr>
                <w:lang w:val="en-GB"/>
              </w:rPr>
            </w:pPr>
            <w:r w:rsidRPr="00861AB8">
              <w:rPr>
                <w:lang w:val="en-GB"/>
              </w:rPr>
              <w:t>&lt;0.001***</w:t>
            </w:r>
          </w:p>
        </w:tc>
      </w:tr>
    </w:tbl>
    <w:p w14:paraId="0AF32280" w14:textId="60D1FCAD" w:rsidR="60A04F57" w:rsidRDefault="60A04F57" w:rsidP="60A04F57">
      <w:pPr>
        <w:pStyle w:val="CETBodytext"/>
      </w:pPr>
    </w:p>
    <w:p w14:paraId="1A029A10" w14:textId="70DD0764" w:rsidR="00EF000F" w:rsidRPr="00EF000F" w:rsidRDefault="00861AB8" w:rsidP="00B330B0">
      <w:pPr>
        <w:pStyle w:val="CETBodytext"/>
        <w:rPr>
          <w:rFonts w:eastAsiaTheme="minorEastAsia"/>
          <w:lang w:eastAsia="zh-CN"/>
        </w:rPr>
      </w:pPr>
      <w:r>
        <w:t xml:space="preserve">Table 2 and </w:t>
      </w:r>
      <w:r w:rsidR="006476E7">
        <w:t>F</w:t>
      </w:r>
      <w:r>
        <w:t>igure 2 show the PCA results from the analysis. The choice of component numbers is based on their eigenvalues whose value is greater than 1. In this study, component</w:t>
      </w:r>
      <w:r w:rsidR="006476E7">
        <w:t>s</w:t>
      </w:r>
      <w:r>
        <w:t xml:space="preserve"> 1 and 2</w:t>
      </w:r>
      <w:r w:rsidR="00E03930">
        <w:t xml:space="preserve"> (PC1 and PC2) </w:t>
      </w:r>
      <w:r>
        <w:t>are selected with 66.079% of the variance could be explained</w:t>
      </w:r>
      <w:r w:rsidR="00282056">
        <w:rPr>
          <w:rFonts w:eastAsiaTheme="minorEastAsia" w:hint="eastAsia"/>
          <w:lang w:eastAsia="zh-CN"/>
        </w:rPr>
        <w:t xml:space="preserve">. </w:t>
      </w:r>
      <w:r w:rsidR="005553FC">
        <w:t xml:space="preserve">Considering the high complexity of the original database, 66% is regarded to be enough to remain the key feature </w:t>
      </w:r>
      <w:r w:rsidR="00330655">
        <w:t>of</w:t>
      </w:r>
      <w:r w:rsidR="005553FC">
        <w:t xml:space="preserve"> the database</w:t>
      </w:r>
      <w:r>
        <w:t>. Table 3 provides the component matrix about each variable’s coefficient, which explains how each feature contributes to two components. In this way, the original 6-dimensional features could be reduced to a 2-dimensional feature variable.</w:t>
      </w:r>
    </w:p>
    <w:p w14:paraId="11D02C74" w14:textId="46EBC4C0" w:rsidR="00861AB8" w:rsidRPr="004E30D4" w:rsidRDefault="00861AB8" w:rsidP="004E30D4">
      <w:pPr>
        <w:pStyle w:val="CETTabletitle"/>
      </w:pPr>
      <w:bookmarkStart w:id="1" w:name="_Hlk155800373"/>
      <w:r w:rsidRPr="004E30D4">
        <w:t>Table 2: Results of PCA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861AB8" w:rsidRPr="00B57B36" w14:paraId="39F20189" w14:textId="6131E80D" w:rsidTr="00861AB8">
        <w:tc>
          <w:tcPr>
            <w:tcW w:w="1134" w:type="dxa"/>
            <w:tcBorders>
              <w:top w:val="single" w:sz="12" w:space="0" w:color="008000"/>
              <w:bottom w:val="single" w:sz="6" w:space="0" w:color="008000"/>
            </w:tcBorders>
            <w:shd w:val="clear" w:color="auto" w:fill="FFFFFF"/>
          </w:tcPr>
          <w:p w14:paraId="7A461D74" w14:textId="616DF5A0" w:rsidR="00861AB8" w:rsidRPr="00861AB8" w:rsidRDefault="00861AB8" w:rsidP="00861AB8">
            <w:pPr>
              <w:pStyle w:val="CETBodytext"/>
              <w:ind w:right="-1"/>
              <w:rPr>
                <w:rFonts w:cs="Arial"/>
                <w:szCs w:val="18"/>
                <w:lang w:val="en-GB"/>
              </w:rPr>
            </w:pPr>
          </w:p>
        </w:tc>
        <w:tc>
          <w:tcPr>
            <w:tcW w:w="3402" w:type="dxa"/>
            <w:gridSpan w:val="3"/>
            <w:tcBorders>
              <w:top w:val="single" w:sz="12" w:space="0" w:color="008000"/>
              <w:bottom w:val="single" w:sz="6" w:space="0" w:color="008000"/>
            </w:tcBorders>
            <w:shd w:val="clear" w:color="auto" w:fill="FFFFFF"/>
            <w:vAlign w:val="center"/>
          </w:tcPr>
          <w:p w14:paraId="6DA283CC" w14:textId="7FBF6502" w:rsidR="00861AB8" w:rsidRPr="00B57B36" w:rsidRDefault="00861AB8" w:rsidP="00861AB8">
            <w:pPr>
              <w:pStyle w:val="CETBodytext"/>
              <w:ind w:right="-1"/>
              <w:jc w:val="center"/>
              <w:rPr>
                <w:rFonts w:cs="Arial"/>
                <w:szCs w:val="18"/>
                <w:lang w:val="en-GB"/>
              </w:rPr>
            </w:pPr>
            <w:r w:rsidRPr="00861AB8">
              <w:rPr>
                <w:rFonts w:cs="Arial"/>
                <w:szCs w:val="18"/>
                <w:lang w:val="en-GB"/>
              </w:rPr>
              <w:t>Initial Eigenvalues</w:t>
            </w:r>
          </w:p>
        </w:tc>
        <w:tc>
          <w:tcPr>
            <w:tcW w:w="3402" w:type="dxa"/>
            <w:gridSpan w:val="3"/>
            <w:tcBorders>
              <w:top w:val="single" w:sz="12" w:space="0" w:color="008000"/>
              <w:bottom w:val="single" w:sz="6" w:space="0" w:color="008000"/>
            </w:tcBorders>
            <w:shd w:val="clear" w:color="auto" w:fill="FFFFFF"/>
            <w:vAlign w:val="center"/>
          </w:tcPr>
          <w:p w14:paraId="52A0377A" w14:textId="477B54B8" w:rsidR="00861AB8" w:rsidRPr="00B57B36" w:rsidRDefault="00861AB8" w:rsidP="00861AB8">
            <w:pPr>
              <w:pStyle w:val="CETBodytext"/>
              <w:ind w:right="-1"/>
              <w:jc w:val="center"/>
              <w:rPr>
                <w:rFonts w:cs="Arial"/>
                <w:szCs w:val="18"/>
                <w:lang w:val="en-GB"/>
              </w:rPr>
            </w:pPr>
            <w:r w:rsidRPr="00861AB8">
              <w:rPr>
                <w:rFonts w:cs="Arial"/>
                <w:szCs w:val="18"/>
                <w:lang w:val="en-GB"/>
              </w:rPr>
              <w:t>Extraction Sums of Squared Loadings</w:t>
            </w:r>
          </w:p>
        </w:tc>
      </w:tr>
      <w:tr w:rsidR="00861AB8" w:rsidRPr="00B57B36" w14:paraId="10F24F6D" w14:textId="677D2DB7" w:rsidTr="00861AB8">
        <w:tc>
          <w:tcPr>
            <w:tcW w:w="1134" w:type="dxa"/>
            <w:shd w:val="clear" w:color="auto" w:fill="FFFFFF"/>
            <w:vAlign w:val="center"/>
          </w:tcPr>
          <w:p w14:paraId="1431C907" w14:textId="0F01A323" w:rsidR="00861AB8" w:rsidRPr="00861AB8" w:rsidRDefault="00861AB8" w:rsidP="00861AB8">
            <w:pPr>
              <w:pStyle w:val="CETBodytext"/>
              <w:ind w:right="-1"/>
              <w:jc w:val="center"/>
              <w:rPr>
                <w:rFonts w:cs="Arial"/>
                <w:szCs w:val="18"/>
                <w:lang w:val="en-GB"/>
              </w:rPr>
            </w:pPr>
            <w:r w:rsidRPr="00861AB8">
              <w:rPr>
                <w:rFonts w:cs="Arial"/>
                <w:szCs w:val="18"/>
                <w:lang w:val="en-GB"/>
              </w:rPr>
              <w:t>Component</w:t>
            </w:r>
          </w:p>
        </w:tc>
        <w:tc>
          <w:tcPr>
            <w:tcW w:w="1134" w:type="dxa"/>
            <w:shd w:val="clear" w:color="auto" w:fill="FFFFFF"/>
            <w:vAlign w:val="center"/>
          </w:tcPr>
          <w:p w14:paraId="54F9C65E" w14:textId="503320B8" w:rsidR="00861AB8" w:rsidRPr="00861AB8" w:rsidRDefault="00861AB8" w:rsidP="00861AB8">
            <w:pPr>
              <w:pStyle w:val="CETBodytext"/>
              <w:ind w:right="-1"/>
              <w:jc w:val="center"/>
              <w:rPr>
                <w:rFonts w:cs="Arial"/>
                <w:szCs w:val="18"/>
                <w:lang w:val="en-GB"/>
              </w:rPr>
            </w:pPr>
            <w:r w:rsidRPr="00861AB8">
              <w:rPr>
                <w:rFonts w:cs="Arial"/>
                <w:szCs w:val="18"/>
                <w:lang w:val="en-GB"/>
              </w:rPr>
              <w:t>Total</w:t>
            </w:r>
          </w:p>
        </w:tc>
        <w:tc>
          <w:tcPr>
            <w:tcW w:w="1134" w:type="dxa"/>
            <w:shd w:val="clear" w:color="auto" w:fill="FFFFFF"/>
            <w:vAlign w:val="center"/>
          </w:tcPr>
          <w:p w14:paraId="0D3BE02A" w14:textId="547B2230" w:rsidR="00861AB8" w:rsidRPr="00861AB8" w:rsidRDefault="00861AB8" w:rsidP="00861AB8">
            <w:pPr>
              <w:pStyle w:val="CETBodytext"/>
              <w:ind w:right="-1"/>
              <w:jc w:val="center"/>
              <w:rPr>
                <w:rFonts w:cs="Arial"/>
                <w:szCs w:val="18"/>
                <w:lang w:val="en-GB"/>
              </w:rPr>
            </w:pPr>
            <w:r w:rsidRPr="00861AB8">
              <w:rPr>
                <w:rFonts w:cs="Arial"/>
                <w:szCs w:val="18"/>
                <w:lang w:val="en-GB"/>
              </w:rPr>
              <w:t>Explained variance %</w:t>
            </w:r>
          </w:p>
        </w:tc>
        <w:tc>
          <w:tcPr>
            <w:tcW w:w="1134" w:type="dxa"/>
            <w:shd w:val="clear" w:color="auto" w:fill="FFFFFF"/>
            <w:vAlign w:val="center"/>
          </w:tcPr>
          <w:p w14:paraId="4D1360D5" w14:textId="12DB6222" w:rsidR="00861AB8" w:rsidRPr="00B57B36" w:rsidRDefault="00861AB8" w:rsidP="00861AB8">
            <w:pPr>
              <w:pStyle w:val="CETBodytext"/>
              <w:ind w:right="-1"/>
              <w:jc w:val="center"/>
              <w:rPr>
                <w:rFonts w:cs="Arial"/>
                <w:szCs w:val="18"/>
                <w:lang w:val="en-GB"/>
              </w:rPr>
            </w:pPr>
            <w:r w:rsidRPr="00861AB8">
              <w:rPr>
                <w:rFonts w:cs="Arial"/>
                <w:szCs w:val="18"/>
                <w:lang w:val="en-GB"/>
              </w:rPr>
              <w:t>Cumulative variance %</w:t>
            </w:r>
          </w:p>
        </w:tc>
        <w:tc>
          <w:tcPr>
            <w:tcW w:w="1134" w:type="dxa"/>
            <w:shd w:val="clear" w:color="auto" w:fill="FFFFFF"/>
            <w:vAlign w:val="center"/>
          </w:tcPr>
          <w:p w14:paraId="7B76A058" w14:textId="2291E97A" w:rsidR="00861AB8" w:rsidRPr="00B57B36" w:rsidRDefault="00861AB8" w:rsidP="00861AB8">
            <w:pPr>
              <w:pStyle w:val="CETBodytext"/>
              <w:ind w:right="-1"/>
              <w:jc w:val="center"/>
              <w:rPr>
                <w:rFonts w:cs="Arial"/>
                <w:szCs w:val="18"/>
                <w:lang w:val="en-GB"/>
              </w:rPr>
            </w:pPr>
            <w:r w:rsidRPr="00861AB8">
              <w:rPr>
                <w:rFonts w:cs="Arial"/>
                <w:szCs w:val="18"/>
                <w:lang w:val="en-GB"/>
              </w:rPr>
              <w:t>Total</w:t>
            </w:r>
          </w:p>
        </w:tc>
        <w:tc>
          <w:tcPr>
            <w:tcW w:w="1134" w:type="dxa"/>
            <w:shd w:val="clear" w:color="auto" w:fill="FFFFFF"/>
            <w:vAlign w:val="center"/>
          </w:tcPr>
          <w:p w14:paraId="69CCDB7E" w14:textId="52B6A6F0" w:rsidR="00861AB8" w:rsidRPr="00B57B36" w:rsidRDefault="00861AB8" w:rsidP="00861AB8">
            <w:pPr>
              <w:pStyle w:val="CETBodytext"/>
              <w:ind w:right="-1"/>
              <w:jc w:val="center"/>
              <w:rPr>
                <w:rFonts w:cs="Arial"/>
                <w:szCs w:val="18"/>
                <w:lang w:val="en-GB"/>
              </w:rPr>
            </w:pPr>
            <w:r w:rsidRPr="00861AB8">
              <w:rPr>
                <w:rFonts w:cs="Arial"/>
                <w:szCs w:val="18"/>
                <w:lang w:val="en-GB"/>
              </w:rPr>
              <w:t>Explained variance %</w:t>
            </w:r>
          </w:p>
        </w:tc>
        <w:tc>
          <w:tcPr>
            <w:tcW w:w="1134" w:type="dxa"/>
            <w:shd w:val="clear" w:color="auto" w:fill="FFFFFF"/>
            <w:vAlign w:val="center"/>
          </w:tcPr>
          <w:p w14:paraId="484FC2FC" w14:textId="442F392D" w:rsidR="00861AB8" w:rsidRPr="00B57B36" w:rsidRDefault="00861AB8" w:rsidP="00861AB8">
            <w:pPr>
              <w:pStyle w:val="CETBodytext"/>
              <w:ind w:right="-1"/>
              <w:jc w:val="center"/>
              <w:rPr>
                <w:rFonts w:cs="Arial"/>
                <w:szCs w:val="18"/>
                <w:lang w:val="en-GB"/>
              </w:rPr>
            </w:pPr>
            <w:r w:rsidRPr="00861AB8">
              <w:rPr>
                <w:rFonts w:cs="Arial"/>
                <w:szCs w:val="18"/>
                <w:lang w:val="en-GB"/>
              </w:rPr>
              <w:t>Cumulative variance %</w:t>
            </w:r>
          </w:p>
        </w:tc>
      </w:tr>
      <w:tr w:rsidR="00861AB8" w:rsidRPr="00B57B36" w14:paraId="65191DB8" w14:textId="36F820E7" w:rsidTr="00861AB8">
        <w:tc>
          <w:tcPr>
            <w:tcW w:w="1134" w:type="dxa"/>
            <w:shd w:val="clear" w:color="auto" w:fill="FFFFFF"/>
            <w:vAlign w:val="center"/>
          </w:tcPr>
          <w:p w14:paraId="3ADDBB06" w14:textId="64687A8A" w:rsidR="00861AB8" w:rsidRPr="00B57B36" w:rsidRDefault="00861AB8" w:rsidP="00861AB8">
            <w:pPr>
              <w:pStyle w:val="CETBodytext"/>
              <w:ind w:right="-1"/>
              <w:jc w:val="center"/>
              <w:rPr>
                <w:rFonts w:cs="Arial"/>
                <w:szCs w:val="18"/>
                <w:lang w:val="en-GB"/>
              </w:rPr>
            </w:pPr>
            <w:r w:rsidRPr="00861AB8">
              <w:rPr>
                <w:rFonts w:cs="Arial" w:hint="eastAsia"/>
                <w:szCs w:val="18"/>
                <w:lang w:val="en-GB"/>
              </w:rPr>
              <w:t>1</w:t>
            </w:r>
          </w:p>
        </w:tc>
        <w:tc>
          <w:tcPr>
            <w:tcW w:w="1134" w:type="dxa"/>
            <w:shd w:val="clear" w:color="auto" w:fill="FFFFFF"/>
            <w:vAlign w:val="center"/>
          </w:tcPr>
          <w:p w14:paraId="675CB862" w14:textId="1731F3E6" w:rsidR="00861AB8" w:rsidRPr="00B57B36" w:rsidRDefault="00861AB8" w:rsidP="00861AB8">
            <w:pPr>
              <w:pStyle w:val="CETBodytext"/>
              <w:ind w:right="-1"/>
              <w:jc w:val="center"/>
              <w:rPr>
                <w:rFonts w:cs="Arial"/>
                <w:szCs w:val="18"/>
                <w:lang w:val="en-GB"/>
              </w:rPr>
            </w:pPr>
            <w:r w:rsidRPr="00861AB8">
              <w:rPr>
                <w:rFonts w:cs="Arial" w:hint="eastAsia"/>
                <w:szCs w:val="18"/>
                <w:lang w:val="en-GB"/>
              </w:rPr>
              <w:t>2.900</w:t>
            </w:r>
          </w:p>
        </w:tc>
        <w:tc>
          <w:tcPr>
            <w:tcW w:w="1134" w:type="dxa"/>
            <w:shd w:val="clear" w:color="auto" w:fill="FFFFFF"/>
            <w:vAlign w:val="center"/>
          </w:tcPr>
          <w:p w14:paraId="6B1A7452" w14:textId="72668A61" w:rsidR="00861AB8" w:rsidRPr="00B57B36" w:rsidRDefault="00861AB8" w:rsidP="00861AB8">
            <w:pPr>
              <w:pStyle w:val="CETBodytext"/>
              <w:ind w:right="-1"/>
              <w:jc w:val="center"/>
              <w:rPr>
                <w:rFonts w:cs="Arial"/>
                <w:szCs w:val="18"/>
                <w:lang w:val="en-GB"/>
              </w:rPr>
            </w:pPr>
            <w:r w:rsidRPr="00861AB8">
              <w:rPr>
                <w:rFonts w:cs="Arial" w:hint="eastAsia"/>
                <w:szCs w:val="18"/>
                <w:lang w:val="en-GB"/>
              </w:rPr>
              <w:t>48.338</w:t>
            </w:r>
          </w:p>
        </w:tc>
        <w:tc>
          <w:tcPr>
            <w:tcW w:w="1134" w:type="dxa"/>
            <w:shd w:val="clear" w:color="auto" w:fill="FFFFFF"/>
            <w:vAlign w:val="center"/>
          </w:tcPr>
          <w:p w14:paraId="70ED5D21" w14:textId="62D7A48C" w:rsidR="00861AB8" w:rsidRPr="00B57B36" w:rsidRDefault="00861AB8" w:rsidP="00861AB8">
            <w:pPr>
              <w:pStyle w:val="CETBodytext"/>
              <w:ind w:right="-1"/>
              <w:jc w:val="center"/>
              <w:rPr>
                <w:rFonts w:cs="Arial"/>
                <w:szCs w:val="18"/>
                <w:lang w:val="en-GB"/>
              </w:rPr>
            </w:pPr>
            <w:r w:rsidRPr="00861AB8">
              <w:rPr>
                <w:rFonts w:cs="Arial" w:hint="eastAsia"/>
                <w:szCs w:val="18"/>
                <w:lang w:val="en-GB"/>
              </w:rPr>
              <w:t>48.338</w:t>
            </w:r>
          </w:p>
        </w:tc>
        <w:tc>
          <w:tcPr>
            <w:tcW w:w="1134" w:type="dxa"/>
            <w:shd w:val="clear" w:color="auto" w:fill="FFFFFF"/>
            <w:vAlign w:val="center"/>
          </w:tcPr>
          <w:p w14:paraId="5D1AB831" w14:textId="05D06BB3" w:rsidR="00861AB8" w:rsidRPr="00B57B36" w:rsidRDefault="00861AB8" w:rsidP="00861AB8">
            <w:pPr>
              <w:pStyle w:val="CETBodytext"/>
              <w:ind w:right="-1"/>
              <w:jc w:val="center"/>
              <w:rPr>
                <w:rFonts w:cs="Arial"/>
                <w:szCs w:val="18"/>
                <w:lang w:val="en-GB"/>
              </w:rPr>
            </w:pPr>
            <w:r w:rsidRPr="00861AB8">
              <w:rPr>
                <w:rFonts w:cs="Arial" w:hint="eastAsia"/>
                <w:szCs w:val="18"/>
                <w:lang w:val="en-GB"/>
              </w:rPr>
              <w:t>2.900</w:t>
            </w:r>
          </w:p>
        </w:tc>
        <w:tc>
          <w:tcPr>
            <w:tcW w:w="1134" w:type="dxa"/>
            <w:shd w:val="clear" w:color="auto" w:fill="FFFFFF"/>
            <w:vAlign w:val="center"/>
          </w:tcPr>
          <w:p w14:paraId="631356C1" w14:textId="27C06787" w:rsidR="00861AB8" w:rsidRPr="00B57B36" w:rsidRDefault="00861AB8" w:rsidP="00861AB8">
            <w:pPr>
              <w:pStyle w:val="CETBodytext"/>
              <w:ind w:right="-1"/>
              <w:jc w:val="center"/>
              <w:rPr>
                <w:rFonts w:cs="Arial"/>
                <w:szCs w:val="18"/>
                <w:lang w:val="en-GB"/>
              </w:rPr>
            </w:pPr>
            <w:r w:rsidRPr="00861AB8">
              <w:rPr>
                <w:rFonts w:cs="Arial" w:hint="eastAsia"/>
                <w:szCs w:val="18"/>
                <w:lang w:val="en-GB"/>
              </w:rPr>
              <w:t>48.338</w:t>
            </w:r>
          </w:p>
        </w:tc>
        <w:tc>
          <w:tcPr>
            <w:tcW w:w="1134" w:type="dxa"/>
            <w:shd w:val="clear" w:color="auto" w:fill="FFFFFF"/>
            <w:vAlign w:val="center"/>
          </w:tcPr>
          <w:p w14:paraId="68131236" w14:textId="1B50740C" w:rsidR="00861AB8" w:rsidRPr="00B57B36" w:rsidRDefault="00861AB8" w:rsidP="00861AB8">
            <w:pPr>
              <w:pStyle w:val="CETBodytext"/>
              <w:ind w:right="-1"/>
              <w:jc w:val="center"/>
              <w:rPr>
                <w:rFonts w:cs="Arial"/>
                <w:szCs w:val="18"/>
                <w:lang w:val="en-GB"/>
              </w:rPr>
            </w:pPr>
            <w:r w:rsidRPr="00861AB8">
              <w:rPr>
                <w:rFonts w:cs="Arial" w:hint="eastAsia"/>
                <w:szCs w:val="18"/>
                <w:lang w:val="en-GB"/>
              </w:rPr>
              <w:t>48.338</w:t>
            </w:r>
          </w:p>
        </w:tc>
      </w:tr>
      <w:tr w:rsidR="00861AB8" w:rsidRPr="00B57B36" w14:paraId="36986FD0" w14:textId="77777777" w:rsidTr="00861AB8">
        <w:tc>
          <w:tcPr>
            <w:tcW w:w="1134" w:type="dxa"/>
            <w:shd w:val="clear" w:color="auto" w:fill="FFFFFF"/>
            <w:vAlign w:val="center"/>
          </w:tcPr>
          <w:p w14:paraId="6CA73A79" w14:textId="7880A734" w:rsidR="00861AB8" w:rsidRPr="00B57B36" w:rsidRDefault="00861AB8" w:rsidP="00861AB8">
            <w:pPr>
              <w:pStyle w:val="CETBodytext"/>
              <w:ind w:right="-1"/>
              <w:jc w:val="center"/>
              <w:rPr>
                <w:rFonts w:cs="Arial"/>
                <w:szCs w:val="18"/>
                <w:lang w:val="en-GB"/>
              </w:rPr>
            </w:pPr>
            <w:r w:rsidRPr="00861AB8">
              <w:rPr>
                <w:rFonts w:cs="Arial" w:hint="eastAsia"/>
                <w:szCs w:val="18"/>
                <w:lang w:val="en-GB"/>
              </w:rPr>
              <w:t>2</w:t>
            </w:r>
          </w:p>
        </w:tc>
        <w:tc>
          <w:tcPr>
            <w:tcW w:w="1134" w:type="dxa"/>
            <w:shd w:val="clear" w:color="auto" w:fill="FFFFFF"/>
            <w:vAlign w:val="center"/>
          </w:tcPr>
          <w:p w14:paraId="667B137D" w14:textId="7A9B7497" w:rsidR="00861AB8" w:rsidRPr="00B57B36" w:rsidRDefault="00861AB8" w:rsidP="00861AB8">
            <w:pPr>
              <w:pStyle w:val="CETBodytext"/>
              <w:ind w:right="-1"/>
              <w:jc w:val="center"/>
              <w:rPr>
                <w:rFonts w:cs="Arial"/>
                <w:szCs w:val="18"/>
                <w:lang w:val="en-GB"/>
              </w:rPr>
            </w:pPr>
            <w:r w:rsidRPr="00861AB8">
              <w:rPr>
                <w:rFonts w:cs="Arial" w:hint="eastAsia"/>
                <w:szCs w:val="18"/>
                <w:lang w:val="en-GB"/>
              </w:rPr>
              <w:t>1.064</w:t>
            </w:r>
          </w:p>
        </w:tc>
        <w:tc>
          <w:tcPr>
            <w:tcW w:w="1134" w:type="dxa"/>
            <w:shd w:val="clear" w:color="auto" w:fill="FFFFFF"/>
            <w:vAlign w:val="center"/>
          </w:tcPr>
          <w:p w14:paraId="1AA79308" w14:textId="38D4CB0E" w:rsidR="00861AB8" w:rsidRPr="00B57B36" w:rsidRDefault="00861AB8" w:rsidP="00861AB8">
            <w:pPr>
              <w:pStyle w:val="CETBodytext"/>
              <w:ind w:right="-1"/>
              <w:jc w:val="center"/>
              <w:rPr>
                <w:rFonts w:cs="Arial"/>
                <w:szCs w:val="18"/>
                <w:lang w:val="en-GB"/>
              </w:rPr>
            </w:pPr>
            <w:r w:rsidRPr="00861AB8">
              <w:rPr>
                <w:rFonts w:cs="Arial" w:hint="eastAsia"/>
                <w:szCs w:val="18"/>
                <w:lang w:val="en-GB"/>
              </w:rPr>
              <w:t>17.741</w:t>
            </w:r>
          </w:p>
        </w:tc>
        <w:tc>
          <w:tcPr>
            <w:tcW w:w="1134" w:type="dxa"/>
            <w:shd w:val="clear" w:color="auto" w:fill="FFFFFF"/>
            <w:vAlign w:val="center"/>
          </w:tcPr>
          <w:p w14:paraId="29C04D9C" w14:textId="567E97D9" w:rsidR="00861AB8" w:rsidRPr="00B57B36" w:rsidRDefault="00861AB8" w:rsidP="00861AB8">
            <w:pPr>
              <w:pStyle w:val="CETBodytext"/>
              <w:ind w:right="-1"/>
              <w:jc w:val="center"/>
              <w:rPr>
                <w:rFonts w:cs="Arial"/>
                <w:szCs w:val="18"/>
                <w:lang w:val="en-GB"/>
              </w:rPr>
            </w:pPr>
            <w:r w:rsidRPr="00861AB8">
              <w:rPr>
                <w:rFonts w:cs="Arial" w:hint="eastAsia"/>
                <w:szCs w:val="18"/>
                <w:lang w:val="en-GB"/>
              </w:rPr>
              <w:t>66.079</w:t>
            </w:r>
          </w:p>
        </w:tc>
        <w:tc>
          <w:tcPr>
            <w:tcW w:w="1134" w:type="dxa"/>
            <w:shd w:val="clear" w:color="auto" w:fill="FFFFFF"/>
            <w:vAlign w:val="center"/>
          </w:tcPr>
          <w:p w14:paraId="516E19E2" w14:textId="51944FC6" w:rsidR="00861AB8" w:rsidRPr="00B57B36" w:rsidRDefault="00861AB8" w:rsidP="00861AB8">
            <w:pPr>
              <w:pStyle w:val="CETBodytext"/>
              <w:ind w:right="-1"/>
              <w:jc w:val="center"/>
              <w:rPr>
                <w:rFonts w:cs="Arial"/>
                <w:szCs w:val="18"/>
                <w:lang w:val="en-GB"/>
              </w:rPr>
            </w:pPr>
            <w:r w:rsidRPr="00861AB8">
              <w:rPr>
                <w:rFonts w:cs="Arial" w:hint="eastAsia"/>
                <w:szCs w:val="18"/>
                <w:lang w:val="en-GB"/>
              </w:rPr>
              <w:t>1.064</w:t>
            </w:r>
          </w:p>
        </w:tc>
        <w:tc>
          <w:tcPr>
            <w:tcW w:w="1134" w:type="dxa"/>
            <w:shd w:val="clear" w:color="auto" w:fill="FFFFFF"/>
            <w:vAlign w:val="center"/>
          </w:tcPr>
          <w:p w14:paraId="07E3E67F" w14:textId="41C54701" w:rsidR="00861AB8" w:rsidRPr="00B57B36" w:rsidRDefault="00861AB8" w:rsidP="00861AB8">
            <w:pPr>
              <w:pStyle w:val="CETBodytext"/>
              <w:ind w:right="-1"/>
              <w:jc w:val="center"/>
              <w:rPr>
                <w:rFonts w:cs="Arial"/>
                <w:szCs w:val="18"/>
                <w:lang w:val="en-GB"/>
              </w:rPr>
            </w:pPr>
            <w:r w:rsidRPr="00861AB8">
              <w:rPr>
                <w:rFonts w:cs="Arial" w:hint="eastAsia"/>
                <w:szCs w:val="18"/>
                <w:lang w:val="en-GB"/>
              </w:rPr>
              <w:t>17.741</w:t>
            </w:r>
          </w:p>
        </w:tc>
        <w:tc>
          <w:tcPr>
            <w:tcW w:w="1134" w:type="dxa"/>
            <w:shd w:val="clear" w:color="auto" w:fill="FFFFFF"/>
            <w:vAlign w:val="center"/>
          </w:tcPr>
          <w:p w14:paraId="4D0E3F1F" w14:textId="4841D6AB" w:rsidR="00861AB8" w:rsidRPr="00B57B36" w:rsidRDefault="00861AB8" w:rsidP="00861AB8">
            <w:pPr>
              <w:pStyle w:val="CETBodytext"/>
              <w:ind w:right="-1"/>
              <w:jc w:val="center"/>
              <w:rPr>
                <w:rFonts w:cs="Arial"/>
                <w:szCs w:val="18"/>
                <w:lang w:val="en-GB"/>
              </w:rPr>
            </w:pPr>
            <w:r w:rsidRPr="00861AB8">
              <w:rPr>
                <w:rFonts w:cs="Arial" w:hint="eastAsia"/>
                <w:szCs w:val="18"/>
                <w:lang w:val="en-GB"/>
              </w:rPr>
              <w:t>66.079</w:t>
            </w:r>
          </w:p>
        </w:tc>
      </w:tr>
      <w:tr w:rsidR="00E20437" w:rsidRPr="00B57B36" w14:paraId="05DC9A0C" w14:textId="77777777" w:rsidTr="00861AB8">
        <w:tc>
          <w:tcPr>
            <w:tcW w:w="1134" w:type="dxa"/>
            <w:shd w:val="clear" w:color="auto" w:fill="FFFFFF"/>
            <w:vAlign w:val="center"/>
          </w:tcPr>
          <w:p w14:paraId="648A1FD2" w14:textId="2AB5038F" w:rsidR="00E20437" w:rsidRPr="00861AB8" w:rsidRDefault="00E20437" w:rsidP="00E20437">
            <w:pPr>
              <w:pStyle w:val="CETBodytext"/>
              <w:ind w:right="-1"/>
              <w:jc w:val="center"/>
              <w:rPr>
                <w:rFonts w:cs="Arial"/>
                <w:szCs w:val="18"/>
                <w:lang w:val="en-GB"/>
              </w:rPr>
            </w:pPr>
            <w:r w:rsidRPr="00861AB8">
              <w:rPr>
                <w:rFonts w:cs="Arial" w:hint="eastAsia"/>
                <w:szCs w:val="18"/>
                <w:lang w:val="en-GB"/>
              </w:rPr>
              <w:t>3</w:t>
            </w:r>
          </w:p>
        </w:tc>
        <w:tc>
          <w:tcPr>
            <w:tcW w:w="1134" w:type="dxa"/>
            <w:shd w:val="clear" w:color="auto" w:fill="FFFFFF"/>
            <w:vAlign w:val="center"/>
          </w:tcPr>
          <w:p w14:paraId="21F3AD1B" w14:textId="7D564A7B" w:rsidR="00E20437" w:rsidRPr="00861AB8" w:rsidRDefault="00E20437" w:rsidP="00E20437">
            <w:pPr>
              <w:pStyle w:val="CETBodytext"/>
              <w:ind w:right="-1"/>
              <w:jc w:val="center"/>
              <w:rPr>
                <w:rFonts w:cs="Arial"/>
                <w:szCs w:val="18"/>
                <w:lang w:val="en-GB"/>
              </w:rPr>
            </w:pPr>
            <w:r w:rsidRPr="00861AB8">
              <w:rPr>
                <w:rFonts w:cs="Arial" w:hint="eastAsia"/>
                <w:szCs w:val="18"/>
                <w:lang w:val="en-GB"/>
              </w:rPr>
              <w:t>0.954</w:t>
            </w:r>
          </w:p>
        </w:tc>
        <w:tc>
          <w:tcPr>
            <w:tcW w:w="1134" w:type="dxa"/>
            <w:shd w:val="clear" w:color="auto" w:fill="FFFFFF"/>
            <w:vAlign w:val="center"/>
          </w:tcPr>
          <w:p w14:paraId="1C44BB47" w14:textId="72744019" w:rsidR="00E20437" w:rsidRPr="00861AB8" w:rsidRDefault="00E20437" w:rsidP="00E20437">
            <w:pPr>
              <w:pStyle w:val="CETBodytext"/>
              <w:ind w:right="-1"/>
              <w:jc w:val="center"/>
              <w:rPr>
                <w:rFonts w:cs="Arial"/>
                <w:szCs w:val="18"/>
                <w:lang w:val="en-GB"/>
              </w:rPr>
            </w:pPr>
            <w:r w:rsidRPr="00861AB8">
              <w:rPr>
                <w:rFonts w:cs="Arial" w:hint="eastAsia"/>
                <w:szCs w:val="18"/>
                <w:lang w:val="en-GB"/>
              </w:rPr>
              <w:t>15.901</w:t>
            </w:r>
          </w:p>
        </w:tc>
        <w:tc>
          <w:tcPr>
            <w:tcW w:w="1134" w:type="dxa"/>
            <w:shd w:val="clear" w:color="auto" w:fill="FFFFFF"/>
            <w:vAlign w:val="center"/>
          </w:tcPr>
          <w:p w14:paraId="13D15DCD" w14:textId="70CC032E" w:rsidR="00E20437" w:rsidRPr="00861AB8" w:rsidRDefault="00E20437" w:rsidP="00E20437">
            <w:pPr>
              <w:pStyle w:val="CETBodytext"/>
              <w:ind w:right="-1"/>
              <w:jc w:val="center"/>
              <w:rPr>
                <w:rFonts w:cs="Arial"/>
                <w:szCs w:val="18"/>
                <w:lang w:val="en-GB"/>
              </w:rPr>
            </w:pPr>
            <w:r w:rsidRPr="00861AB8">
              <w:rPr>
                <w:rFonts w:cs="Arial" w:hint="eastAsia"/>
                <w:szCs w:val="18"/>
                <w:lang w:val="en-GB"/>
              </w:rPr>
              <w:t>81.979</w:t>
            </w:r>
          </w:p>
        </w:tc>
        <w:tc>
          <w:tcPr>
            <w:tcW w:w="1134" w:type="dxa"/>
            <w:shd w:val="clear" w:color="auto" w:fill="FFFFFF"/>
            <w:vAlign w:val="center"/>
          </w:tcPr>
          <w:p w14:paraId="62082E21"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6EDE8BB7"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6AA2E29D" w14:textId="77777777" w:rsidR="00E20437" w:rsidRPr="00861AB8" w:rsidRDefault="00E20437" w:rsidP="00E20437">
            <w:pPr>
              <w:pStyle w:val="CETBodytext"/>
              <w:ind w:right="-1"/>
              <w:jc w:val="center"/>
              <w:rPr>
                <w:rFonts w:cs="Arial"/>
                <w:szCs w:val="18"/>
                <w:lang w:val="en-GB"/>
              </w:rPr>
            </w:pPr>
          </w:p>
        </w:tc>
      </w:tr>
      <w:tr w:rsidR="00E20437" w:rsidRPr="00B57B36" w14:paraId="1153EB9D" w14:textId="77777777" w:rsidTr="00861AB8">
        <w:tc>
          <w:tcPr>
            <w:tcW w:w="1134" w:type="dxa"/>
            <w:shd w:val="clear" w:color="auto" w:fill="FFFFFF"/>
            <w:vAlign w:val="center"/>
          </w:tcPr>
          <w:p w14:paraId="633D9178" w14:textId="5DA2DE8A" w:rsidR="00E20437" w:rsidRPr="00861AB8" w:rsidRDefault="00E20437" w:rsidP="00E20437">
            <w:pPr>
              <w:pStyle w:val="CETBodytext"/>
              <w:ind w:right="-1"/>
              <w:jc w:val="center"/>
              <w:rPr>
                <w:rFonts w:cs="Arial"/>
                <w:szCs w:val="18"/>
                <w:lang w:val="en-GB"/>
              </w:rPr>
            </w:pPr>
            <w:r w:rsidRPr="00861AB8">
              <w:rPr>
                <w:rFonts w:cs="Arial" w:hint="eastAsia"/>
                <w:szCs w:val="18"/>
                <w:lang w:val="en-GB"/>
              </w:rPr>
              <w:t>4</w:t>
            </w:r>
          </w:p>
        </w:tc>
        <w:tc>
          <w:tcPr>
            <w:tcW w:w="1134" w:type="dxa"/>
            <w:shd w:val="clear" w:color="auto" w:fill="FFFFFF"/>
            <w:vAlign w:val="center"/>
          </w:tcPr>
          <w:p w14:paraId="4C029CE2" w14:textId="4C404473" w:rsidR="00E20437" w:rsidRPr="00861AB8" w:rsidRDefault="00E20437" w:rsidP="00E20437">
            <w:pPr>
              <w:pStyle w:val="CETBodytext"/>
              <w:ind w:right="-1"/>
              <w:jc w:val="center"/>
              <w:rPr>
                <w:rFonts w:cs="Arial"/>
                <w:szCs w:val="18"/>
                <w:lang w:val="en-GB"/>
              </w:rPr>
            </w:pPr>
            <w:r w:rsidRPr="00861AB8">
              <w:rPr>
                <w:rFonts w:cs="Arial" w:hint="eastAsia"/>
                <w:szCs w:val="18"/>
                <w:lang w:val="en-GB"/>
              </w:rPr>
              <w:t>0.569</w:t>
            </w:r>
          </w:p>
        </w:tc>
        <w:tc>
          <w:tcPr>
            <w:tcW w:w="1134" w:type="dxa"/>
            <w:shd w:val="clear" w:color="auto" w:fill="FFFFFF"/>
            <w:vAlign w:val="center"/>
          </w:tcPr>
          <w:p w14:paraId="1B496059" w14:textId="588ED454" w:rsidR="00E20437" w:rsidRPr="00861AB8" w:rsidRDefault="00E20437" w:rsidP="00E20437">
            <w:pPr>
              <w:pStyle w:val="CETBodytext"/>
              <w:ind w:right="-1"/>
              <w:jc w:val="center"/>
              <w:rPr>
                <w:rFonts w:cs="Arial"/>
                <w:szCs w:val="18"/>
                <w:lang w:val="en-GB"/>
              </w:rPr>
            </w:pPr>
            <w:r w:rsidRPr="00861AB8">
              <w:rPr>
                <w:rFonts w:cs="Arial" w:hint="eastAsia"/>
                <w:szCs w:val="18"/>
                <w:lang w:val="en-GB"/>
              </w:rPr>
              <w:t>9.476</w:t>
            </w:r>
          </w:p>
        </w:tc>
        <w:tc>
          <w:tcPr>
            <w:tcW w:w="1134" w:type="dxa"/>
            <w:shd w:val="clear" w:color="auto" w:fill="FFFFFF"/>
            <w:vAlign w:val="center"/>
          </w:tcPr>
          <w:p w14:paraId="6901EC6E" w14:textId="7A749193" w:rsidR="00E20437" w:rsidRPr="00861AB8" w:rsidRDefault="00E20437" w:rsidP="00E20437">
            <w:pPr>
              <w:pStyle w:val="CETBodytext"/>
              <w:ind w:right="-1"/>
              <w:jc w:val="center"/>
              <w:rPr>
                <w:rFonts w:cs="Arial"/>
                <w:szCs w:val="18"/>
                <w:lang w:val="en-GB"/>
              </w:rPr>
            </w:pPr>
            <w:r w:rsidRPr="00861AB8">
              <w:rPr>
                <w:rFonts w:cs="Arial" w:hint="eastAsia"/>
                <w:szCs w:val="18"/>
                <w:lang w:val="en-GB"/>
              </w:rPr>
              <w:t>91.455</w:t>
            </w:r>
          </w:p>
        </w:tc>
        <w:tc>
          <w:tcPr>
            <w:tcW w:w="1134" w:type="dxa"/>
            <w:shd w:val="clear" w:color="auto" w:fill="FFFFFF"/>
            <w:vAlign w:val="center"/>
          </w:tcPr>
          <w:p w14:paraId="09D81759"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42046D93"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3EEC7BBE" w14:textId="77777777" w:rsidR="00E20437" w:rsidRPr="00861AB8" w:rsidRDefault="00E20437" w:rsidP="00E20437">
            <w:pPr>
              <w:pStyle w:val="CETBodytext"/>
              <w:ind w:right="-1"/>
              <w:jc w:val="center"/>
              <w:rPr>
                <w:rFonts w:cs="Arial"/>
                <w:szCs w:val="18"/>
                <w:lang w:val="en-GB"/>
              </w:rPr>
            </w:pPr>
          </w:p>
        </w:tc>
      </w:tr>
      <w:tr w:rsidR="00E20437" w:rsidRPr="00B57B36" w14:paraId="5219F15C" w14:textId="77777777" w:rsidTr="00861AB8">
        <w:tc>
          <w:tcPr>
            <w:tcW w:w="1134" w:type="dxa"/>
            <w:shd w:val="clear" w:color="auto" w:fill="FFFFFF"/>
            <w:vAlign w:val="center"/>
          </w:tcPr>
          <w:p w14:paraId="5A80CE75" w14:textId="6501A64B" w:rsidR="00E20437" w:rsidRPr="00861AB8" w:rsidRDefault="00E20437" w:rsidP="00E20437">
            <w:pPr>
              <w:pStyle w:val="CETBodytext"/>
              <w:ind w:right="-1"/>
              <w:jc w:val="center"/>
              <w:rPr>
                <w:rFonts w:cs="Arial"/>
                <w:szCs w:val="18"/>
                <w:lang w:val="en-GB"/>
              </w:rPr>
            </w:pPr>
            <w:r w:rsidRPr="00861AB8">
              <w:rPr>
                <w:rFonts w:cs="Arial" w:hint="eastAsia"/>
                <w:szCs w:val="18"/>
                <w:lang w:val="en-GB"/>
              </w:rPr>
              <w:t>5</w:t>
            </w:r>
          </w:p>
        </w:tc>
        <w:tc>
          <w:tcPr>
            <w:tcW w:w="1134" w:type="dxa"/>
            <w:shd w:val="clear" w:color="auto" w:fill="FFFFFF"/>
            <w:vAlign w:val="center"/>
          </w:tcPr>
          <w:p w14:paraId="1A7D3C8B" w14:textId="0B5568AF" w:rsidR="00E20437" w:rsidRPr="00861AB8" w:rsidRDefault="00E20437" w:rsidP="00E20437">
            <w:pPr>
              <w:pStyle w:val="CETBodytext"/>
              <w:ind w:right="-1"/>
              <w:jc w:val="center"/>
              <w:rPr>
                <w:rFonts w:cs="Arial"/>
                <w:szCs w:val="18"/>
                <w:lang w:val="en-GB"/>
              </w:rPr>
            </w:pPr>
            <w:r w:rsidRPr="00861AB8">
              <w:rPr>
                <w:rFonts w:cs="Arial" w:hint="eastAsia"/>
                <w:szCs w:val="18"/>
                <w:lang w:val="en-GB"/>
              </w:rPr>
              <w:t>0.292</w:t>
            </w:r>
          </w:p>
        </w:tc>
        <w:tc>
          <w:tcPr>
            <w:tcW w:w="1134" w:type="dxa"/>
            <w:shd w:val="clear" w:color="auto" w:fill="FFFFFF"/>
            <w:vAlign w:val="center"/>
          </w:tcPr>
          <w:p w14:paraId="51885266" w14:textId="669DC874" w:rsidR="00E20437" w:rsidRPr="00861AB8" w:rsidRDefault="00E20437" w:rsidP="00E20437">
            <w:pPr>
              <w:pStyle w:val="CETBodytext"/>
              <w:ind w:right="-1"/>
              <w:jc w:val="center"/>
              <w:rPr>
                <w:rFonts w:cs="Arial"/>
                <w:szCs w:val="18"/>
                <w:lang w:val="en-GB"/>
              </w:rPr>
            </w:pPr>
            <w:r w:rsidRPr="00861AB8">
              <w:rPr>
                <w:rFonts w:cs="Arial" w:hint="eastAsia"/>
                <w:szCs w:val="18"/>
                <w:lang w:val="en-GB"/>
              </w:rPr>
              <w:t>4.862</w:t>
            </w:r>
          </w:p>
        </w:tc>
        <w:tc>
          <w:tcPr>
            <w:tcW w:w="1134" w:type="dxa"/>
            <w:shd w:val="clear" w:color="auto" w:fill="FFFFFF"/>
            <w:vAlign w:val="center"/>
          </w:tcPr>
          <w:p w14:paraId="75CDEBD7" w14:textId="4E2003E6" w:rsidR="00E20437" w:rsidRPr="00861AB8" w:rsidRDefault="00E20437" w:rsidP="00E20437">
            <w:pPr>
              <w:pStyle w:val="CETBodytext"/>
              <w:ind w:right="-1"/>
              <w:jc w:val="center"/>
              <w:rPr>
                <w:rFonts w:cs="Arial"/>
                <w:szCs w:val="18"/>
                <w:lang w:val="en-GB"/>
              </w:rPr>
            </w:pPr>
            <w:r w:rsidRPr="00861AB8">
              <w:rPr>
                <w:rFonts w:cs="Arial" w:hint="eastAsia"/>
                <w:szCs w:val="18"/>
                <w:lang w:val="en-GB"/>
              </w:rPr>
              <w:t>96.317</w:t>
            </w:r>
          </w:p>
        </w:tc>
        <w:tc>
          <w:tcPr>
            <w:tcW w:w="1134" w:type="dxa"/>
            <w:shd w:val="clear" w:color="auto" w:fill="FFFFFF"/>
            <w:vAlign w:val="center"/>
          </w:tcPr>
          <w:p w14:paraId="77DDA0AC"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0C69D335"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52D8614F" w14:textId="77777777" w:rsidR="00E20437" w:rsidRPr="00861AB8" w:rsidRDefault="00E20437" w:rsidP="00E20437">
            <w:pPr>
              <w:pStyle w:val="CETBodytext"/>
              <w:ind w:right="-1"/>
              <w:jc w:val="center"/>
              <w:rPr>
                <w:rFonts w:cs="Arial"/>
                <w:szCs w:val="18"/>
                <w:lang w:val="en-GB"/>
              </w:rPr>
            </w:pPr>
          </w:p>
        </w:tc>
      </w:tr>
      <w:tr w:rsidR="00E20437" w:rsidRPr="00B57B36" w14:paraId="0CFCAA72" w14:textId="77777777" w:rsidTr="00861AB8">
        <w:tc>
          <w:tcPr>
            <w:tcW w:w="1134" w:type="dxa"/>
            <w:shd w:val="clear" w:color="auto" w:fill="FFFFFF"/>
            <w:vAlign w:val="center"/>
          </w:tcPr>
          <w:p w14:paraId="16415FE8" w14:textId="3D426EC3" w:rsidR="00E20437" w:rsidRPr="00861AB8" w:rsidRDefault="00E20437" w:rsidP="00E20437">
            <w:pPr>
              <w:pStyle w:val="CETBodytext"/>
              <w:ind w:right="-1"/>
              <w:jc w:val="center"/>
              <w:rPr>
                <w:rFonts w:cs="Arial"/>
                <w:szCs w:val="18"/>
                <w:lang w:val="en-GB"/>
              </w:rPr>
            </w:pPr>
            <w:r w:rsidRPr="00861AB8">
              <w:rPr>
                <w:rFonts w:cs="Arial" w:hint="eastAsia"/>
                <w:szCs w:val="18"/>
                <w:lang w:val="en-GB"/>
              </w:rPr>
              <w:t>6</w:t>
            </w:r>
          </w:p>
        </w:tc>
        <w:tc>
          <w:tcPr>
            <w:tcW w:w="1134" w:type="dxa"/>
            <w:shd w:val="clear" w:color="auto" w:fill="FFFFFF"/>
            <w:vAlign w:val="center"/>
          </w:tcPr>
          <w:p w14:paraId="6508FD4D" w14:textId="38A0115F" w:rsidR="00E20437" w:rsidRPr="00861AB8" w:rsidRDefault="00E20437" w:rsidP="00E20437">
            <w:pPr>
              <w:pStyle w:val="CETBodytext"/>
              <w:ind w:right="-1"/>
              <w:jc w:val="center"/>
              <w:rPr>
                <w:rFonts w:cs="Arial"/>
                <w:szCs w:val="18"/>
                <w:lang w:val="en-GB"/>
              </w:rPr>
            </w:pPr>
            <w:r w:rsidRPr="00861AB8">
              <w:rPr>
                <w:rFonts w:cs="Arial" w:hint="eastAsia"/>
                <w:szCs w:val="18"/>
                <w:lang w:val="en-GB"/>
              </w:rPr>
              <w:t>0.221</w:t>
            </w:r>
          </w:p>
        </w:tc>
        <w:tc>
          <w:tcPr>
            <w:tcW w:w="1134" w:type="dxa"/>
            <w:shd w:val="clear" w:color="auto" w:fill="FFFFFF"/>
            <w:vAlign w:val="center"/>
          </w:tcPr>
          <w:p w14:paraId="24EA71C1" w14:textId="6FC73DE1" w:rsidR="00E20437" w:rsidRPr="00861AB8" w:rsidRDefault="00E20437" w:rsidP="00E20437">
            <w:pPr>
              <w:pStyle w:val="CETBodytext"/>
              <w:ind w:right="-1"/>
              <w:jc w:val="center"/>
              <w:rPr>
                <w:rFonts w:cs="Arial"/>
                <w:szCs w:val="18"/>
                <w:lang w:val="en-GB"/>
              </w:rPr>
            </w:pPr>
            <w:r w:rsidRPr="00861AB8">
              <w:rPr>
                <w:rFonts w:cs="Arial" w:hint="eastAsia"/>
                <w:szCs w:val="18"/>
                <w:lang w:val="en-GB"/>
              </w:rPr>
              <w:t>3.683</w:t>
            </w:r>
          </w:p>
        </w:tc>
        <w:tc>
          <w:tcPr>
            <w:tcW w:w="1134" w:type="dxa"/>
            <w:shd w:val="clear" w:color="auto" w:fill="FFFFFF"/>
            <w:vAlign w:val="center"/>
          </w:tcPr>
          <w:p w14:paraId="511AB97A" w14:textId="499DCECF" w:rsidR="00E20437" w:rsidRPr="00861AB8" w:rsidRDefault="00E20437" w:rsidP="00E20437">
            <w:pPr>
              <w:pStyle w:val="CETBodytext"/>
              <w:ind w:right="-1"/>
              <w:jc w:val="center"/>
              <w:rPr>
                <w:rFonts w:cs="Arial"/>
                <w:szCs w:val="18"/>
                <w:lang w:val="en-GB"/>
              </w:rPr>
            </w:pPr>
            <w:r w:rsidRPr="00861AB8">
              <w:rPr>
                <w:rFonts w:cs="Arial" w:hint="eastAsia"/>
                <w:szCs w:val="18"/>
                <w:lang w:val="en-GB"/>
              </w:rPr>
              <w:t>100.000</w:t>
            </w:r>
          </w:p>
        </w:tc>
        <w:tc>
          <w:tcPr>
            <w:tcW w:w="1134" w:type="dxa"/>
            <w:shd w:val="clear" w:color="auto" w:fill="FFFFFF"/>
            <w:vAlign w:val="center"/>
          </w:tcPr>
          <w:p w14:paraId="094A5849"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0429AFA1" w14:textId="77777777" w:rsidR="00E20437" w:rsidRPr="00861AB8" w:rsidRDefault="00E20437" w:rsidP="00E20437">
            <w:pPr>
              <w:pStyle w:val="CETBodytext"/>
              <w:ind w:right="-1"/>
              <w:jc w:val="center"/>
              <w:rPr>
                <w:rFonts w:cs="Arial"/>
                <w:szCs w:val="18"/>
                <w:lang w:val="en-GB"/>
              </w:rPr>
            </w:pPr>
          </w:p>
        </w:tc>
        <w:tc>
          <w:tcPr>
            <w:tcW w:w="1134" w:type="dxa"/>
            <w:shd w:val="clear" w:color="auto" w:fill="FFFFFF"/>
            <w:vAlign w:val="center"/>
          </w:tcPr>
          <w:p w14:paraId="4E43756D" w14:textId="77777777" w:rsidR="00E20437" w:rsidRPr="00861AB8" w:rsidRDefault="00E20437" w:rsidP="00E20437">
            <w:pPr>
              <w:pStyle w:val="CETBodytext"/>
              <w:ind w:right="-1"/>
              <w:jc w:val="center"/>
              <w:rPr>
                <w:rFonts w:cs="Arial"/>
                <w:szCs w:val="18"/>
                <w:lang w:val="en-GB"/>
              </w:rPr>
            </w:pPr>
          </w:p>
        </w:tc>
      </w:tr>
      <w:bookmarkEnd w:id="1"/>
    </w:tbl>
    <w:p w14:paraId="46C23302" w14:textId="77777777" w:rsidR="002022EB" w:rsidRDefault="002022EB" w:rsidP="00B330B0">
      <w:pPr>
        <w:pStyle w:val="CETBodytext"/>
        <w:rPr>
          <w:rFonts w:eastAsiaTheme="minorEastAsia"/>
          <w:noProof/>
          <w:lang w:eastAsia="zh-CN"/>
        </w:rPr>
      </w:pPr>
    </w:p>
    <w:p w14:paraId="50628A8E" w14:textId="09601996" w:rsidR="00861AB8" w:rsidRDefault="002022EB" w:rsidP="00B330B0">
      <w:pPr>
        <w:pStyle w:val="CETBodytext"/>
      </w:pPr>
      <w:r>
        <w:rPr>
          <w:noProof/>
        </w:rPr>
        <w:drawing>
          <wp:inline distT="0" distB="0" distL="0" distR="0" wp14:anchorId="07478529" wp14:editId="11D5385B">
            <wp:extent cx="2979000" cy="2527161"/>
            <wp:effectExtent l="0" t="0" r="0" b="6985"/>
            <wp:docPr id="6382914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348" t="11052" r="13285" b="5457"/>
                    <a:stretch/>
                  </pic:blipFill>
                  <pic:spPr bwMode="auto">
                    <a:xfrm>
                      <a:off x="0" y="0"/>
                      <a:ext cx="3016244" cy="2558756"/>
                    </a:xfrm>
                    <a:prstGeom prst="rect">
                      <a:avLst/>
                    </a:prstGeom>
                    <a:noFill/>
                    <a:ln>
                      <a:noFill/>
                    </a:ln>
                    <a:extLst>
                      <a:ext uri="{53640926-AAD7-44D8-BBD7-CCE9431645EC}">
                        <a14:shadowObscured xmlns:a14="http://schemas.microsoft.com/office/drawing/2010/main"/>
                      </a:ext>
                    </a:extLst>
                  </pic:spPr>
                </pic:pic>
              </a:graphicData>
            </a:graphic>
          </wp:inline>
        </w:drawing>
      </w:r>
    </w:p>
    <w:p w14:paraId="2478D954" w14:textId="4B362835" w:rsidR="00747F55" w:rsidRPr="004E30D4" w:rsidRDefault="00861AB8" w:rsidP="004E30D4">
      <w:pPr>
        <w:pStyle w:val="CETCaption"/>
        <w:rPr>
          <w:rStyle w:val="CETCaptionCarattere"/>
          <w:i/>
        </w:rPr>
      </w:pPr>
      <w:r w:rsidRPr="004E30D4">
        <w:rPr>
          <w:rStyle w:val="CETCaptionCarattere"/>
          <w:i/>
        </w:rPr>
        <w:t>Figure 2: Scree Plot which supports to choose the number of components</w:t>
      </w:r>
    </w:p>
    <w:p w14:paraId="09CCBA80" w14:textId="1126529E" w:rsidR="00E8380F" w:rsidRPr="004E30D4" w:rsidRDefault="00861AB8" w:rsidP="004E30D4">
      <w:pPr>
        <w:pStyle w:val="CETTabletitle"/>
      </w:pPr>
      <w:r w:rsidRPr="004E30D4">
        <w:lastRenderedPageBreak/>
        <w:t xml:space="preserve">Table </w:t>
      </w:r>
      <w:r w:rsidR="00E8380F" w:rsidRPr="004E30D4">
        <w:t>3</w:t>
      </w:r>
      <w:r w:rsidRPr="004E30D4">
        <w:t xml:space="preserve">: </w:t>
      </w:r>
      <w:r w:rsidR="00E03930" w:rsidRPr="004E30D4">
        <w:t>Component matrix with the loading of each variable</w:t>
      </w:r>
    </w:p>
    <w:tbl>
      <w:tblPr>
        <w:tblW w:w="242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5"/>
        <w:gridCol w:w="993"/>
        <w:gridCol w:w="1135"/>
      </w:tblGrid>
      <w:tr w:rsidR="00E8380F" w:rsidRPr="00B57B36" w14:paraId="6211C053" w14:textId="77777777" w:rsidTr="00E8380F">
        <w:tc>
          <w:tcPr>
            <w:tcW w:w="2499" w:type="pct"/>
            <w:tcBorders>
              <w:top w:val="single" w:sz="12" w:space="0" w:color="008000"/>
              <w:bottom w:val="single" w:sz="6" w:space="0" w:color="008000"/>
            </w:tcBorders>
            <w:shd w:val="clear" w:color="auto" w:fill="FFFFFF"/>
            <w:vAlign w:val="center"/>
          </w:tcPr>
          <w:p w14:paraId="0FE7A5F9" w14:textId="3F04E2CA" w:rsidR="00E8380F" w:rsidRPr="00E8380F" w:rsidRDefault="00E8380F" w:rsidP="00E8380F">
            <w:pPr>
              <w:pStyle w:val="CETBodytext"/>
              <w:jc w:val="left"/>
            </w:pPr>
            <w:r w:rsidRPr="00E8380F">
              <w:t>Variable</w:t>
            </w:r>
          </w:p>
        </w:tc>
        <w:tc>
          <w:tcPr>
            <w:tcW w:w="2501" w:type="pct"/>
            <w:gridSpan w:val="2"/>
            <w:tcBorders>
              <w:top w:val="single" w:sz="12" w:space="0" w:color="008000"/>
              <w:bottom w:val="single" w:sz="6" w:space="0" w:color="008000"/>
            </w:tcBorders>
            <w:shd w:val="clear" w:color="auto" w:fill="FFFFFF"/>
            <w:vAlign w:val="center"/>
          </w:tcPr>
          <w:p w14:paraId="062E9E9C" w14:textId="5575FC4A" w:rsidR="00E8380F" w:rsidRPr="00E8380F" w:rsidRDefault="00E8380F" w:rsidP="00E8380F">
            <w:pPr>
              <w:pStyle w:val="CETBodytext"/>
              <w:jc w:val="center"/>
            </w:pPr>
            <w:r w:rsidRPr="00E8380F">
              <w:rPr>
                <w:rFonts w:hint="eastAsia"/>
              </w:rPr>
              <w:t>C</w:t>
            </w:r>
            <w:r w:rsidRPr="00E8380F">
              <w:t>omponent</w:t>
            </w:r>
          </w:p>
        </w:tc>
      </w:tr>
      <w:tr w:rsidR="00E8380F" w:rsidRPr="00B57B36" w14:paraId="4170D350" w14:textId="77777777" w:rsidTr="00E8380F">
        <w:tc>
          <w:tcPr>
            <w:tcW w:w="2499" w:type="pct"/>
            <w:shd w:val="clear" w:color="auto" w:fill="FFFFFF"/>
            <w:vAlign w:val="center"/>
          </w:tcPr>
          <w:p w14:paraId="5E0C2B8F" w14:textId="30008399" w:rsidR="00E8380F" w:rsidRPr="00E8380F" w:rsidRDefault="00E8380F" w:rsidP="00E8380F">
            <w:pPr>
              <w:pStyle w:val="CETBodytext"/>
              <w:jc w:val="center"/>
            </w:pPr>
          </w:p>
        </w:tc>
        <w:tc>
          <w:tcPr>
            <w:tcW w:w="1167" w:type="pct"/>
            <w:shd w:val="clear" w:color="auto" w:fill="FFFFFF"/>
            <w:vAlign w:val="center"/>
          </w:tcPr>
          <w:p w14:paraId="13EFED03" w14:textId="2BEC4320" w:rsidR="00E8380F" w:rsidRPr="00E8380F" w:rsidRDefault="00E8380F" w:rsidP="00E8380F">
            <w:pPr>
              <w:pStyle w:val="CETBodytext"/>
              <w:jc w:val="center"/>
            </w:pPr>
            <w:r w:rsidRPr="00E8380F">
              <w:rPr>
                <w:rFonts w:hint="eastAsia"/>
              </w:rPr>
              <w:t>1</w:t>
            </w:r>
          </w:p>
        </w:tc>
        <w:tc>
          <w:tcPr>
            <w:tcW w:w="1333" w:type="pct"/>
            <w:shd w:val="clear" w:color="auto" w:fill="FFFFFF"/>
            <w:vAlign w:val="center"/>
          </w:tcPr>
          <w:p w14:paraId="76643A51" w14:textId="21D7EBFB" w:rsidR="00E8380F" w:rsidRPr="00E8380F" w:rsidRDefault="00E8380F" w:rsidP="00E8380F">
            <w:pPr>
              <w:pStyle w:val="CETBodytext"/>
              <w:jc w:val="center"/>
            </w:pPr>
            <w:r w:rsidRPr="00E8380F">
              <w:rPr>
                <w:rFonts w:hint="eastAsia"/>
              </w:rPr>
              <w:t>2</w:t>
            </w:r>
          </w:p>
        </w:tc>
      </w:tr>
      <w:tr w:rsidR="00E8380F" w:rsidRPr="00B57B36" w14:paraId="60C54D5A" w14:textId="77777777" w:rsidTr="00E8380F">
        <w:tc>
          <w:tcPr>
            <w:tcW w:w="2499" w:type="pct"/>
            <w:shd w:val="clear" w:color="auto" w:fill="FFFFFF"/>
            <w:vAlign w:val="center"/>
          </w:tcPr>
          <w:p w14:paraId="2067871F" w14:textId="00119BB4" w:rsidR="00E8380F" w:rsidRPr="00E8380F" w:rsidRDefault="00E8380F" w:rsidP="00E8380F">
            <w:pPr>
              <w:pStyle w:val="CETBodytext"/>
              <w:jc w:val="left"/>
            </w:pPr>
            <w:r w:rsidRPr="00E8380F">
              <w:t>Electrodermal activity</w:t>
            </w:r>
          </w:p>
        </w:tc>
        <w:tc>
          <w:tcPr>
            <w:tcW w:w="1167" w:type="pct"/>
            <w:shd w:val="clear" w:color="auto" w:fill="FFFFFF"/>
            <w:vAlign w:val="center"/>
          </w:tcPr>
          <w:p w14:paraId="3EB768AF" w14:textId="4068AA5A" w:rsidR="00E8380F" w:rsidRPr="00E8380F" w:rsidRDefault="00E8380F" w:rsidP="00E8380F">
            <w:pPr>
              <w:pStyle w:val="CETBodytext"/>
              <w:jc w:val="center"/>
            </w:pPr>
            <w:r w:rsidRPr="00E8380F">
              <w:rPr>
                <w:rFonts w:hint="eastAsia"/>
              </w:rPr>
              <w:t>0.456</w:t>
            </w:r>
          </w:p>
        </w:tc>
        <w:tc>
          <w:tcPr>
            <w:tcW w:w="1333" w:type="pct"/>
            <w:shd w:val="clear" w:color="auto" w:fill="FFFFFF"/>
            <w:vAlign w:val="center"/>
          </w:tcPr>
          <w:p w14:paraId="1D37D2CD" w14:textId="0A5C02BC" w:rsidR="00E8380F" w:rsidRPr="00E8380F" w:rsidRDefault="00E8380F" w:rsidP="00E8380F">
            <w:pPr>
              <w:pStyle w:val="CETBodytext"/>
              <w:jc w:val="center"/>
            </w:pPr>
            <w:r w:rsidRPr="00E8380F">
              <w:rPr>
                <w:rFonts w:hint="eastAsia"/>
              </w:rPr>
              <w:t>-0.626</w:t>
            </w:r>
          </w:p>
        </w:tc>
      </w:tr>
      <w:tr w:rsidR="00E8380F" w:rsidRPr="00B57B36" w14:paraId="7D286749" w14:textId="77777777" w:rsidTr="00E8380F">
        <w:tc>
          <w:tcPr>
            <w:tcW w:w="2499" w:type="pct"/>
            <w:shd w:val="clear" w:color="auto" w:fill="FFFFFF"/>
            <w:vAlign w:val="center"/>
          </w:tcPr>
          <w:p w14:paraId="1C6EC086" w14:textId="3E8EF3D9" w:rsidR="00E8380F" w:rsidRPr="00E8380F" w:rsidRDefault="00E8380F" w:rsidP="00E8380F">
            <w:pPr>
              <w:pStyle w:val="CETBodytext"/>
              <w:jc w:val="left"/>
            </w:pPr>
            <w:r w:rsidRPr="00E8380F">
              <w:t>Pulse rate</w:t>
            </w:r>
          </w:p>
        </w:tc>
        <w:tc>
          <w:tcPr>
            <w:tcW w:w="1167" w:type="pct"/>
            <w:shd w:val="clear" w:color="auto" w:fill="FFFFFF"/>
            <w:vAlign w:val="center"/>
          </w:tcPr>
          <w:p w14:paraId="5FDC968A" w14:textId="06E19714" w:rsidR="00E8380F" w:rsidRPr="00E8380F" w:rsidRDefault="00E8380F" w:rsidP="00E8380F">
            <w:pPr>
              <w:pStyle w:val="CETBodytext"/>
              <w:jc w:val="center"/>
            </w:pPr>
            <w:r w:rsidRPr="00E8380F">
              <w:rPr>
                <w:rFonts w:hint="eastAsia"/>
              </w:rPr>
              <w:t>0.657</w:t>
            </w:r>
          </w:p>
        </w:tc>
        <w:tc>
          <w:tcPr>
            <w:tcW w:w="1333" w:type="pct"/>
            <w:shd w:val="clear" w:color="auto" w:fill="FFFFFF"/>
            <w:vAlign w:val="center"/>
          </w:tcPr>
          <w:p w14:paraId="2C881F60" w14:textId="176D9743" w:rsidR="00E8380F" w:rsidRPr="00E8380F" w:rsidRDefault="00E8380F" w:rsidP="00E8380F">
            <w:pPr>
              <w:pStyle w:val="CETBodytext"/>
              <w:jc w:val="center"/>
            </w:pPr>
            <w:r w:rsidRPr="00E8380F">
              <w:rPr>
                <w:rFonts w:hint="eastAsia"/>
              </w:rPr>
              <w:t>-0.338</w:t>
            </w:r>
          </w:p>
        </w:tc>
      </w:tr>
      <w:tr w:rsidR="00E8380F" w:rsidRPr="00B57B36" w14:paraId="38CE8BE4" w14:textId="77777777" w:rsidTr="00E8380F">
        <w:tc>
          <w:tcPr>
            <w:tcW w:w="2499" w:type="pct"/>
            <w:shd w:val="clear" w:color="auto" w:fill="FFFFFF"/>
            <w:vAlign w:val="center"/>
          </w:tcPr>
          <w:p w14:paraId="2354F1F6" w14:textId="0D2DB32A" w:rsidR="00E8380F" w:rsidRPr="00E8380F" w:rsidRDefault="00E8380F" w:rsidP="00E8380F">
            <w:pPr>
              <w:pStyle w:val="CETBodytext"/>
              <w:jc w:val="left"/>
            </w:pPr>
            <w:r w:rsidRPr="00E8380F">
              <w:t>Skin temperature</w:t>
            </w:r>
          </w:p>
        </w:tc>
        <w:tc>
          <w:tcPr>
            <w:tcW w:w="1167" w:type="pct"/>
            <w:shd w:val="clear" w:color="auto" w:fill="FFFFFF"/>
            <w:vAlign w:val="center"/>
          </w:tcPr>
          <w:p w14:paraId="0CD321AB" w14:textId="62509345" w:rsidR="00E8380F" w:rsidRPr="00E8380F" w:rsidRDefault="00E8380F" w:rsidP="00E8380F">
            <w:pPr>
              <w:pStyle w:val="CETBodytext"/>
              <w:jc w:val="center"/>
            </w:pPr>
            <w:r w:rsidRPr="00E8380F">
              <w:rPr>
                <w:rFonts w:hint="eastAsia"/>
              </w:rPr>
              <w:t>-0.212</w:t>
            </w:r>
          </w:p>
        </w:tc>
        <w:tc>
          <w:tcPr>
            <w:tcW w:w="1333" w:type="pct"/>
            <w:shd w:val="clear" w:color="auto" w:fill="FFFFFF"/>
            <w:vAlign w:val="center"/>
          </w:tcPr>
          <w:p w14:paraId="1ABF528C" w14:textId="482EA52B" w:rsidR="00E8380F" w:rsidRPr="00E8380F" w:rsidRDefault="00E8380F" w:rsidP="00E8380F">
            <w:pPr>
              <w:pStyle w:val="CETBodytext"/>
              <w:jc w:val="center"/>
            </w:pPr>
            <w:r w:rsidRPr="00E8380F">
              <w:rPr>
                <w:rFonts w:hint="eastAsia"/>
              </w:rPr>
              <w:t>0.593</w:t>
            </w:r>
          </w:p>
        </w:tc>
      </w:tr>
      <w:tr w:rsidR="00E8380F" w:rsidRPr="00B57B36" w14:paraId="31FDE364" w14:textId="77777777" w:rsidTr="00E8380F">
        <w:tc>
          <w:tcPr>
            <w:tcW w:w="2499" w:type="pct"/>
            <w:shd w:val="clear" w:color="auto" w:fill="FFFFFF"/>
            <w:vAlign w:val="center"/>
          </w:tcPr>
          <w:p w14:paraId="1B0ABA38" w14:textId="2D3EFF84" w:rsidR="00E8380F" w:rsidRPr="00E8380F" w:rsidRDefault="00E8380F" w:rsidP="00E8380F">
            <w:pPr>
              <w:pStyle w:val="CETBodytext"/>
              <w:jc w:val="left"/>
            </w:pPr>
            <w:r w:rsidRPr="00E8380F">
              <w:t>Accelerometer data</w:t>
            </w:r>
          </w:p>
        </w:tc>
        <w:tc>
          <w:tcPr>
            <w:tcW w:w="1167" w:type="pct"/>
            <w:shd w:val="clear" w:color="auto" w:fill="FFFFFF"/>
            <w:vAlign w:val="center"/>
          </w:tcPr>
          <w:p w14:paraId="0596BB35" w14:textId="40833A10" w:rsidR="00E8380F" w:rsidRPr="00E8380F" w:rsidRDefault="00E8380F" w:rsidP="00E8380F">
            <w:pPr>
              <w:pStyle w:val="CETBodytext"/>
              <w:jc w:val="center"/>
            </w:pPr>
            <w:r w:rsidRPr="00E8380F">
              <w:rPr>
                <w:rFonts w:hint="eastAsia"/>
              </w:rPr>
              <w:t>0.833</w:t>
            </w:r>
          </w:p>
        </w:tc>
        <w:tc>
          <w:tcPr>
            <w:tcW w:w="1333" w:type="pct"/>
            <w:shd w:val="clear" w:color="auto" w:fill="FFFFFF"/>
            <w:vAlign w:val="center"/>
          </w:tcPr>
          <w:p w14:paraId="029890F6" w14:textId="055750AE" w:rsidR="00E8380F" w:rsidRPr="00E8380F" w:rsidRDefault="00E8380F" w:rsidP="00E8380F">
            <w:pPr>
              <w:pStyle w:val="CETBodytext"/>
              <w:jc w:val="center"/>
            </w:pPr>
            <w:r w:rsidRPr="00E8380F">
              <w:rPr>
                <w:rFonts w:hint="eastAsia"/>
              </w:rPr>
              <w:t>0.363</w:t>
            </w:r>
          </w:p>
        </w:tc>
      </w:tr>
      <w:tr w:rsidR="00E8380F" w:rsidRPr="00B57B36" w14:paraId="28220966" w14:textId="77777777" w:rsidTr="00E8380F">
        <w:trPr>
          <w:trHeight w:val="53"/>
        </w:trPr>
        <w:tc>
          <w:tcPr>
            <w:tcW w:w="2499" w:type="pct"/>
            <w:shd w:val="clear" w:color="auto" w:fill="FFFFFF"/>
            <w:vAlign w:val="center"/>
          </w:tcPr>
          <w:p w14:paraId="7CE31DC2" w14:textId="64DD39B3" w:rsidR="00E8380F" w:rsidRPr="00E8380F" w:rsidRDefault="00E8380F" w:rsidP="00E8380F">
            <w:pPr>
              <w:pStyle w:val="CETBodytext"/>
              <w:jc w:val="left"/>
            </w:pPr>
            <w:r w:rsidRPr="00E8380F">
              <w:t>Step counts</w:t>
            </w:r>
          </w:p>
        </w:tc>
        <w:tc>
          <w:tcPr>
            <w:tcW w:w="1167" w:type="pct"/>
            <w:shd w:val="clear" w:color="auto" w:fill="FFFFFF"/>
            <w:vAlign w:val="center"/>
          </w:tcPr>
          <w:p w14:paraId="2FF9A1D3" w14:textId="01BEE706" w:rsidR="00E8380F" w:rsidRPr="00E8380F" w:rsidRDefault="00E8380F" w:rsidP="00E8380F">
            <w:pPr>
              <w:pStyle w:val="CETBodytext"/>
              <w:jc w:val="center"/>
            </w:pPr>
            <w:r w:rsidRPr="00E8380F">
              <w:rPr>
                <w:rFonts w:hint="eastAsia"/>
              </w:rPr>
              <w:t>0.852</w:t>
            </w:r>
          </w:p>
        </w:tc>
        <w:tc>
          <w:tcPr>
            <w:tcW w:w="1333" w:type="pct"/>
            <w:shd w:val="clear" w:color="auto" w:fill="FFFFFF"/>
            <w:vAlign w:val="center"/>
          </w:tcPr>
          <w:p w14:paraId="16C1E95B" w14:textId="13B1936B" w:rsidR="00E8380F" w:rsidRPr="00E8380F" w:rsidRDefault="00E8380F" w:rsidP="00E8380F">
            <w:pPr>
              <w:pStyle w:val="CETBodytext"/>
              <w:jc w:val="center"/>
            </w:pPr>
            <w:r w:rsidRPr="00E8380F">
              <w:rPr>
                <w:rFonts w:hint="eastAsia"/>
              </w:rPr>
              <w:t>0.143</w:t>
            </w:r>
          </w:p>
        </w:tc>
      </w:tr>
      <w:tr w:rsidR="00E8380F" w:rsidRPr="00B57B36" w14:paraId="18795DA0" w14:textId="77777777" w:rsidTr="00E8380F">
        <w:tc>
          <w:tcPr>
            <w:tcW w:w="2499" w:type="pct"/>
            <w:shd w:val="clear" w:color="auto" w:fill="FFFFFF"/>
            <w:vAlign w:val="center"/>
          </w:tcPr>
          <w:p w14:paraId="68226BE2" w14:textId="15FB8490" w:rsidR="00E8380F" w:rsidRPr="00E8380F" w:rsidRDefault="00E8380F" w:rsidP="00E8380F">
            <w:pPr>
              <w:pStyle w:val="CETBodytext"/>
              <w:jc w:val="left"/>
            </w:pPr>
            <w:r w:rsidRPr="00E8380F">
              <w:t>Activity counts</w:t>
            </w:r>
          </w:p>
        </w:tc>
        <w:tc>
          <w:tcPr>
            <w:tcW w:w="1167" w:type="pct"/>
            <w:shd w:val="clear" w:color="auto" w:fill="FFFFFF"/>
            <w:vAlign w:val="center"/>
          </w:tcPr>
          <w:p w14:paraId="0B91A867" w14:textId="1E71393B" w:rsidR="00E8380F" w:rsidRPr="00E8380F" w:rsidRDefault="00E8380F" w:rsidP="00E8380F">
            <w:pPr>
              <w:pStyle w:val="CETBodytext"/>
              <w:jc w:val="center"/>
            </w:pPr>
            <w:r w:rsidRPr="00E8380F">
              <w:rPr>
                <w:rFonts w:hint="eastAsia"/>
              </w:rPr>
              <w:t>0.892</w:t>
            </w:r>
          </w:p>
        </w:tc>
        <w:tc>
          <w:tcPr>
            <w:tcW w:w="1333" w:type="pct"/>
            <w:shd w:val="clear" w:color="auto" w:fill="FFFFFF"/>
            <w:vAlign w:val="center"/>
          </w:tcPr>
          <w:p w14:paraId="6DF62F16" w14:textId="78AD503E" w:rsidR="00E8380F" w:rsidRPr="00E8380F" w:rsidRDefault="00E8380F" w:rsidP="00E8380F">
            <w:pPr>
              <w:pStyle w:val="CETBodytext"/>
              <w:jc w:val="center"/>
            </w:pPr>
            <w:r w:rsidRPr="00E8380F">
              <w:rPr>
                <w:rFonts w:hint="eastAsia"/>
              </w:rPr>
              <w:t>0.233</w:t>
            </w:r>
          </w:p>
        </w:tc>
      </w:tr>
    </w:tbl>
    <w:p w14:paraId="1F96CA21" w14:textId="08D9C2BD" w:rsidR="00600535" w:rsidRPr="00EF000F" w:rsidRDefault="00600535" w:rsidP="00EF000F">
      <w:pPr>
        <w:pStyle w:val="CETBodytext"/>
        <w:rPr>
          <w:lang w:val="en-GB"/>
        </w:rPr>
      </w:pPr>
    </w:p>
    <w:p w14:paraId="166C45F4" w14:textId="77777777" w:rsidR="00EF000F" w:rsidRPr="00B57B36" w:rsidRDefault="00EF000F" w:rsidP="00EF000F">
      <w:pPr>
        <w:pStyle w:val="CETheadingx"/>
      </w:pPr>
      <w:r w:rsidRPr="009A074C">
        <w:t>The selection of component</w:t>
      </w:r>
      <w:r>
        <w:t>s</w:t>
      </w:r>
      <w:r w:rsidRPr="009A074C">
        <w:t xml:space="preserve"> </w:t>
      </w:r>
      <w:r>
        <w:t>that</w:t>
      </w:r>
      <w:r w:rsidRPr="009A074C">
        <w:t xml:space="preserve"> contribute to physical fatigue</w:t>
      </w:r>
    </w:p>
    <w:p w14:paraId="2E1450B8" w14:textId="77777777" w:rsidR="00BC5657" w:rsidRDefault="009A074C" w:rsidP="00600535">
      <w:pPr>
        <w:pStyle w:val="CETBodytext"/>
        <w:rPr>
          <w:rFonts w:eastAsiaTheme="minorEastAsia"/>
          <w:lang w:val="en-GB" w:eastAsia="zh-CN"/>
        </w:rPr>
      </w:pPr>
      <w:r w:rsidRPr="009A074C">
        <w:rPr>
          <w:lang w:val="en-GB"/>
        </w:rPr>
        <w:t xml:space="preserve">The mapping from </w:t>
      </w:r>
      <w:r w:rsidR="006476E7">
        <w:rPr>
          <w:lang w:val="en-GB"/>
        </w:rPr>
        <w:t xml:space="preserve">the </w:t>
      </w:r>
      <w:r w:rsidRPr="009A074C">
        <w:rPr>
          <w:lang w:val="en-GB"/>
        </w:rPr>
        <w:t xml:space="preserve">extracted two components to physical fatigue is checked by </w:t>
      </w:r>
      <w:r w:rsidR="006476E7">
        <w:rPr>
          <w:lang w:val="en-GB"/>
        </w:rPr>
        <w:t xml:space="preserve">a </w:t>
      </w:r>
      <w:r w:rsidRPr="009A074C">
        <w:rPr>
          <w:lang w:val="en-GB"/>
        </w:rPr>
        <w:t xml:space="preserve">visualized density plot (Figure 3), where component 1 (PC1) shows </w:t>
      </w:r>
      <w:r w:rsidR="006476E7">
        <w:rPr>
          <w:lang w:val="en-GB"/>
        </w:rPr>
        <w:t xml:space="preserve">a </w:t>
      </w:r>
      <w:r w:rsidRPr="009A074C">
        <w:rPr>
          <w:lang w:val="en-GB"/>
        </w:rPr>
        <w:t>relative</w:t>
      </w:r>
      <w:r w:rsidR="006476E7">
        <w:rPr>
          <w:lang w:val="en-GB"/>
        </w:rPr>
        <w:t>ly</w:t>
      </w:r>
      <w:r w:rsidRPr="009A074C">
        <w:rPr>
          <w:lang w:val="en-GB"/>
        </w:rPr>
        <w:t xml:space="preserve"> clear classifying performance. Component 2 was discarded here since its high overlapping zones between two states, which is not suitable </w:t>
      </w:r>
      <w:r w:rsidR="006476E7">
        <w:rPr>
          <w:lang w:val="en-GB"/>
        </w:rPr>
        <w:t>for developing</w:t>
      </w:r>
      <w:r w:rsidRPr="009A074C">
        <w:rPr>
          <w:lang w:val="en-GB"/>
        </w:rPr>
        <w:t xml:space="preserve"> the classifier. </w:t>
      </w:r>
    </w:p>
    <w:p w14:paraId="36032605" w14:textId="77777777" w:rsidR="00BC5657" w:rsidRDefault="00BC5657" w:rsidP="00BC5657">
      <w:pPr>
        <w:pStyle w:val="CETBodytext"/>
      </w:pPr>
      <w:r>
        <w:rPr>
          <w:noProof/>
        </w:rPr>
        <w:drawing>
          <wp:inline distT="0" distB="0" distL="0" distR="0" wp14:anchorId="05A773FF" wp14:editId="3356227C">
            <wp:extent cx="5461279" cy="1827878"/>
            <wp:effectExtent l="0" t="0" r="6350" b="1270"/>
            <wp:docPr id="12153342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34216" name=""/>
                    <pic:cNvPicPr/>
                  </pic:nvPicPr>
                  <pic:blipFill>
                    <a:blip r:embed="rId12"/>
                    <a:stretch>
                      <a:fillRect/>
                    </a:stretch>
                  </pic:blipFill>
                  <pic:spPr>
                    <a:xfrm>
                      <a:off x="0" y="0"/>
                      <a:ext cx="5512281" cy="1844948"/>
                    </a:xfrm>
                    <a:prstGeom prst="rect">
                      <a:avLst/>
                    </a:prstGeom>
                  </pic:spPr>
                </pic:pic>
              </a:graphicData>
            </a:graphic>
          </wp:inline>
        </w:drawing>
      </w:r>
    </w:p>
    <w:p w14:paraId="7F660ABF" w14:textId="50DC6FFE" w:rsidR="004E30D4" w:rsidRPr="004E30D4" w:rsidRDefault="00BC5657" w:rsidP="004E30D4">
      <w:pPr>
        <w:pStyle w:val="CETCaption"/>
        <w:rPr>
          <w:rFonts w:eastAsiaTheme="minorEastAsia"/>
        </w:rPr>
      </w:pPr>
      <w:r w:rsidRPr="004E30D4">
        <w:t>Figure 3. Density plot of components 1 and 2 according to the fatigue level</w:t>
      </w:r>
    </w:p>
    <w:p w14:paraId="7416D19B" w14:textId="77777777" w:rsidR="00D82BF9" w:rsidRDefault="00D82BF9" w:rsidP="00600535">
      <w:pPr>
        <w:pStyle w:val="CETBodytext"/>
        <w:rPr>
          <w:rFonts w:eastAsiaTheme="minorEastAsia"/>
          <w:lang w:val="en-GB" w:eastAsia="zh-CN"/>
        </w:rPr>
      </w:pPr>
    </w:p>
    <w:p w14:paraId="67E7D6BE" w14:textId="44AB20D1" w:rsidR="00600535" w:rsidRDefault="009A074C" w:rsidP="00600535">
      <w:pPr>
        <w:pStyle w:val="CETBodytext"/>
        <w:rPr>
          <w:lang w:val="en-GB"/>
        </w:rPr>
      </w:pPr>
      <w:r w:rsidRPr="009A074C">
        <w:rPr>
          <w:lang w:val="en-GB"/>
        </w:rPr>
        <w:t xml:space="preserve">As for the common area shared by two fatigue states in </w:t>
      </w:r>
      <w:r w:rsidR="006476E7">
        <w:rPr>
          <w:lang w:val="en-GB"/>
        </w:rPr>
        <w:t xml:space="preserve">the </w:t>
      </w:r>
      <w:r w:rsidRPr="009A074C">
        <w:rPr>
          <w:lang w:val="en-GB"/>
        </w:rPr>
        <w:t xml:space="preserve">density plot of PC1, </w:t>
      </w:r>
      <w:r w:rsidR="00B2507E">
        <w:rPr>
          <w:rFonts w:eastAsiaTheme="minorEastAsia" w:hint="eastAsia"/>
          <w:lang w:val="en-GB" w:eastAsia="zh-CN"/>
        </w:rPr>
        <w:t xml:space="preserve">three </w:t>
      </w:r>
      <w:r w:rsidRPr="009A074C">
        <w:rPr>
          <w:lang w:val="en-GB"/>
        </w:rPr>
        <w:t>potential reasons are considered:</w:t>
      </w:r>
    </w:p>
    <w:p w14:paraId="239A8E76" w14:textId="213C5EF9" w:rsidR="009A074C" w:rsidRPr="009A074C" w:rsidRDefault="009A074C" w:rsidP="005553FC">
      <w:pPr>
        <w:pStyle w:val="CETBodytext"/>
        <w:numPr>
          <w:ilvl w:val="0"/>
          <w:numId w:val="31"/>
        </w:numPr>
      </w:pPr>
      <w:r>
        <w:t>Individual physiological differences</w:t>
      </w:r>
      <w:r w:rsidR="59E9232A">
        <w:t>:</w:t>
      </w:r>
    </w:p>
    <w:p w14:paraId="7B58163C" w14:textId="2CE50AFF" w:rsidR="009A074C" w:rsidRPr="009A074C" w:rsidRDefault="009A074C" w:rsidP="005553FC">
      <w:pPr>
        <w:pStyle w:val="CETBodytext"/>
      </w:pPr>
      <w:r>
        <w:t xml:space="preserve">Participants vary in their cardiorespiratory endurance, muscle strength, overall fitness, etc., which affect their level of perceived fatigue. </w:t>
      </w:r>
    </w:p>
    <w:p w14:paraId="7D5A0609" w14:textId="1B52E781" w:rsidR="009A074C" w:rsidRPr="009A074C" w:rsidRDefault="009A074C" w:rsidP="005553FC">
      <w:pPr>
        <w:pStyle w:val="CETBodytext"/>
        <w:numPr>
          <w:ilvl w:val="0"/>
          <w:numId w:val="31"/>
        </w:numPr>
      </w:pPr>
      <w:r>
        <w:t>Subjective interpretation and perceived differences</w:t>
      </w:r>
      <w:r w:rsidR="76AC2ACA">
        <w:t>:</w:t>
      </w:r>
    </w:p>
    <w:p w14:paraId="30B9F55C" w14:textId="40462189" w:rsidR="009A074C" w:rsidRDefault="009A074C" w:rsidP="005553FC">
      <w:pPr>
        <w:pStyle w:val="CETBodytext"/>
      </w:pPr>
      <w:r>
        <w:t>Even under similar physiological conditions, different participants may understand the concept of ‘fatigue’ differently. They may also differ in how they interpret the scale and map their feelings onto the scale.</w:t>
      </w:r>
    </w:p>
    <w:p w14:paraId="74FB2E42" w14:textId="08715633" w:rsidR="23CC3773" w:rsidRDefault="23CC3773" w:rsidP="005553FC">
      <w:pPr>
        <w:pStyle w:val="CETBodytext"/>
        <w:numPr>
          <w:ilvl w:val="0"/>
          <w:numId w:val="31"/>
        </w:numPr>
        <w:rPr>
          <w:szCs w:val="18"/>
        </w:rPr>
      </w:pPr>
      <w:r>
        <w:t>Exercise Differences:</w:t>
      </w:r>
    </w:p>
    <w:p w14:paraId="31720E3D" w14:textId="0843853C" w:rsidR="60A04F57" w:rsidRPr="00BC5657" w:rsidRDefault="23CC3773" w:rsidP="60A04F57">
      <w:pPr>
        <w:pStyle w:val="CETBodytext"/>
        <w:rPr>
          <w:rFonts w:eastAsiaTheme="minorEastAsia"/>
          <w:szCs w:val="18"/>
          <w:lang w:eastAsia="zh-CN"/>
        </w:rPr>
      </w:pPr>
      <w:r w:rsidRPr="60A04F57">
        <w:t>Participants completed exercises designed to imitate industrial duties, with modifications in exercise type, trial time, and rest intervals. These variations in workout routines might result in variable exhaustion levels among individuals. Some people may feel more fatigued because of the nature and intensity of the workouts, as well as disparities in recovery time between trials and rest periods.</w:t>
      </w:r>
    </w:p>
    <w:p w14:paraId="6D65B62A" w14:textId="77777777" w:rsidR="009A074C" w:rsidRPr="009A074C" w:rsidRDefault="009A074C" w:rsidP="009A074C">
      <w:pPr>
        <w:pStyle w:val="CETBodytext"/>
      </w:pPr>
      <w:r w:rsidRPr="009A074C">
        <w:t>To better deal with the variabilities, the approach of fuzzy logic in the fuzzy set theory was applied to support developing the classifier.</w:t>
      </w:r>
    </w:p>
    <w:p w14:paraId="7382C781" w14:textId="4439AC15" w:rsidR="00600535" w:rsidRPr="00B57B36" w:rsidRDefault="009A074C" w:rsidP="00FA5F5F">
      <w:pPr>
        <w:pStyle w:val="CETheadingx"/>
      </w:pPr>
      <w:r w:rsidRPr="009A074C">
        <w:t>PCA-based fuzzy logic classifier</w:t>
      </w:r>
    </w:p>
    <w:p w14:paraId="5EA261A3" w14:textId="4FDD1B94" w:rsidR="009A074C" w:rsidRDefault="006476E7" w:rsidP="009A074C">
      <w:pPr>
        <w:pStyle w:val="CETBodytext"/>
        <w:rPr>
          <w:rFonts w:eastAsiaTheme="minorEastAsia"/>
          <w:lang w:eastAsia="zh-CN"/>
        </w:rPr>
      </w:pPr>
      <w:r>
        <w:t>C</w:t>
      </w:r>
      <w:r w:rsidR="009A074C" w:rsidRPr="009A074C">
        <w:t xml:space="preserve">omponent 1 extracted from the last part was set as the input of the designed classifier. Taking into account the advantages of the normal distribution in terms of good explanation ability, operation simplification, and the ability to fit negative numbers in the data set, the normal distribution is applied to fit the (non-)fatigue states. Maximum likelihood Estimation (MLE) supports to estimate the parameters of distributions of two states, which are shown </w:t>
      </w:r>
      <w:r w:rsidR="00330655">
        <w:t>in</w:t>
      </w:r>
      <w:r w:rsidR="009A074C" w:rsidRPr="009A074C">
        <w:t xml:space="preserve"> </w:t>
      </w:r>
      <w:r w:rsidR="005A3C0A">
        <w:t>Eq</w:t>
      </w:r>
      <w:r w:rsidR="00FB5E73">
        <w:t xml:space="preserve"> </w:t>
      </w:r>
      <w:r w:rsidR="009A074C" w:rsidRPr="009A074C">
        <w:t xml:space="preserve">(2) and </w:t>
      </w:r>
      <w:r w:rsidR="005A3C0A">
        <w:t>Eq</w:t>
      </w:r>
      <w:r w:rsidR="00FB5E73">
        <w:t xml:space="preserve"> </w:t>
      </w:r>
      <w:r w:rsidR="009A074C" w:rsidRPr="009A074C">
        <w:t xml:space="preserve">(3). Then, the membership function could be designed according to </w:t>
      </w:r>
      <w:r>
        <w:t xml:space="preserve">the </w:t>
      </w:r>
      <w:r w:rsidR="009A074C" w:rsidRPr="009A074C">
        <w:t xml:space="preserve">two states’ Cumulative Density Function (CDF), which is shown in </w:t>
      </w:r>
      <w:r>
        <w:t>F</w:t>
      </w:r>
      <w:r w:rsidR="009A074C" w:rsidRPr="009A074C">
        <w:t>igure 4</w:t>
      </w:r>
      <w:r w:rsidR="00447042">
        <w:rPr>
          <w:rFonts w:eastAsiaTheme="minorEastAsia" w:hint="eastAsia"/>
          <w:lang w:eastAsia="zh-CN"/>
        </w:rPr>
        <w:t>a</w:t>
      </w:r>
      <w:r w:rsidR="009A074C" w:rsidRPr="009A074C">
        <w:t>.</w:t>
      </w:r>
    </w:p>
    <w:p w14:paraId="44DA813C" w14:textId="77777777" w:rsidR="00D82BF9" w:rsidRDefault="00D82BF9" w:rsidP="009A074C">
      <w:pPr>
        <w:pStyle w:val="CETBodytext"/>
        <w:rPr>
          <w:rFonts w:eastAsiaTheme="minorEastAsia"/>
          <w:lang w:eastAsia="zh-CN"/>
        </w:rPr>
      </w:pPr>
    </w:p>
    <w:p w14:paraId="526E247F" w14:textId="77777777" w:rsidR="00D82BF9" w:rsidRPr="00D82BF9" w:rsidRDefault="00D82BF9" w:rsidP="009A074C">
      <w:pPr>
        <w:pStyle w:val="CETBodytext"/>
        <w:rPr>
          <w:rFonts w:eastAsiaTheme="minorEastAsia" w:hint="eastAsia"/>
          <w:lang w:eastAsia="zh-CN"/>
        </w:rPr>
      </w:pPr>
    </w:p>
    <w:p w14:paraId="021FD4D8" w14:textId="16889D3C" w:rsidR="009A074C" w:rsidRDefault="009A074C" w:rsidP="009A074C">
      <w:pPr>
        <w:pStyle w:val="CETBodytext"/>
        <w:rPr>
          <w:lang w:val="en-GB"/>
        </w:rPr>
      </w:pPr>
      <w:r w:rsidRPr="009A074C">
        <w:rPr>
          <w:lang w:val="en-GB"/>
        </w:rPr>
        <w:lastRenderedPageBreak/>
        <w:t xml:space="preserve">The Probability Density Function (PDF) of the </w:t>
      </w:r>
      <w:r w:rsidRPr="009A074C">
        <w:rPr>
          <w:rFonts w:hint="eastAsia"/>
          <w:lang w:val="en-GB"/>
        </w:rPr>
        <w:t>N</w:t>
      </w:r>
      <w:r w:rsidRPr="009A074C">
        <w:rPr>
          <w:lang w:val="en-GB"/>
        </w:rPr>
        <w:t>on-fatigue state:</w:t>
      </w:r>
    </w:p>
    <w:tbl>
      <w:tblPr>
        <w:tblW w:w="5000" w:type="pct"/>
        <w:tblLook w:val="04A0" w:firstRow="1" w:lastRow="0" w:firstColumn="1" w:lastColumn="0" w:noHBand="0" w:noVBand="1"/>
      </w:tblPr>
      <w:tblGrid>
        <w:gridCol w:w="8188"/>
        <w:gridCol w:w="815"/>
      </w:tblGrid>
      <w:tr w:rsidR="009A074C" w:rsidRPr="00B57B36" w14:paraId="764F5012" w14:textId="77777777" w:rsidTr="60A04F57">
        <w:tc>
          <w:tcPr>
            <w:tcW w:w="8188" w:type="dxa"/>
            <w:shd w:val="clear" w:color="auto" w:fill="auto"/>
            <w:vAlign w:val="center"/>
          </w:tcPr>
          <w:p w14:paraId="36A6A9B6" w14:textId="72605BDC" w:rsidR="009A074C" w:rsidRPr="005A3C0A" w:rsidRDefault="00000000" w:rsidP="005A3C0A">
            <w:pPr>
              <w:pStyle w:val="CETEquation"/>
            </w:pPr>
            <m:oMathPara>
              <m:oMathParaPr>
                <m:jc m:val="left"/>
              </m:oMathParaPr>
              <m:oMath>
                <m:sSub>
                  <m:sSubPr>
                    <m:ctrlPr>
                      <w:rPr>
                        <w:rFonts w:ascii="Cambria Math" w:hAnsi="Cambria Math"/>
                      </w:rPr>
                    </m:ctrlPr>
                  </m:sSubPr>
                  <m:e>
                    <m:r>
                      <w:rPr>
                        <w:rFonts w:ascii="Cambria Math" w:hAnsi="Cambria Math"/>
                      </w:rPr>
                      <m:t>PDF</m:t>
                    </m:r>
                  </m:e>
                  <m:sub>
                    <m:r>
                      <w:rPr>
                        <w:rFonts w:ascii="Cambria Math" w:hAnsi="Cambria Math"/>
                      </w:rPr>
                      <m:t>nonfatigue</m:t>
                    </m:r>
                  </m:sub>
                </m:sSub>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0.7201</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+0.7079</m:t>
                            </m:r>
                          </m:num>
                          <m:den>
                            <m:r>
                              <m:rPr>
                                <m:sty m:val="p"/>
                              </m:rPr>
                              <w:rPr>
                                <w:rFonts w:ascii="Cambria Math" w:hAnsi="Cambria Math"/>
                              </w:rPr>
                              <m:t>0.7201</m:t>
                            </m:r>
                          </m:den>
                        </m:f>
                        <m:r>
                          <m:rPr>
                            <m:sty m:val="p"/>
                          </m:rPr>
                          <w:rPr>
                            <w:rFonts w:ascii="Cambria Math" w:hAnsi="Cambria Math"/>
                          </w:rPr>
                          <m:t>)</m:t>
                        </m:r>
                      </m:e>
                      <m:sup>
                        <m:r>
                          <m:rPr>
                            <m:sty m:val="p"/>
                          </m:rPr>
                          <w:rPr>
                            <w:rFonts w:ascii="Cambria Math" w:hAnsi="Cambria Math"/>
                          </w:rPr>
                          <m:t>2</m:t>
                        </m:r>
                      </m:sup>
                    </m:sSup>
                  </m:sup>
                </m:sSup>
              </m:oMath>
            </m:oMathPara>
          </w:p>
        </w:tc>
        <w:tc>
          <w:tcPr>
            <w:tcW w:w="815" w:type="dxa"/>
            <w:shd w:val="clear" w:color="auto" w:fill="auto"/>
            <w:vAlign w:val="center"/>
          </w:tcPr>
          <w:p w14:paraId="32C979B8" w14:textId="0F59570F" w:rsidR="009A074C" w:rsidRPr="00B57B36" w:rsidRDefault="009A074C" w:rsidP="00732624">
            <w:pPr>
              <w:pStyle w:val="CETEquation"/>
              <w:jc w:val="right"/>
            </w:pPr>
            <w:r w:rsidRPr="00B57B36">
              <w:t>(</w:t>
            </w:r>
            <w:r>
              <w:t>2</w:t>
            </w:r>
            <w:r w:rsidRPr="00B57B36">
              <w:t>)</w:t>
            </w:r>
          </w:p>
        </w:tc>
      </w:tr>
    </w:tbl>
    <w:p w14:paraId="79BE5663" w14:textId="7BCCFEDA" w:rsidR="009A074C" w:rsidRDefault="009A074C" w:rsidP="009A074C">
      <w:pPr>
        <w:pStyle w:val="CETBodytext"/>
        <w:rPr>
          <w:lang w:val="en-GB"/>
        </w:rPr>
      </w:pPr>
      <w:r w:rsidRPr="009A074C">
        <w:rPr>
          <w:lang w:val="en-GB"/>
        </w:rPr>
        <w:t>The PDF of the Fatigue state:</w:t>
      </w:r>
    </w:p>
    <w:tbl>
      <w:tblPr>
        <w:tblW w:w="5000" w:type="pct"/>
        <w:tblLook w:val="04A0" w:firstRow="1" w:lastRow="0" w:firstColumn="1" w:lastColumn="0" w:noHBand="0" w:noVBand="1"/>
      </w:tblPr>
      <w:tblGrid>
        <w:gridCol w:w="8188"/>
        <w:gridCol w:w="815"/>
      </w:tblGrid>
      <w:tr w:rsidR="009A074C" w:rsidRPr="00B57B36" w14:paraId="11F4CD35" w14:textId="77777777" w:rsidTr="00732624">
        <w:tc>
          <w:tcPr>
            <w:tcW w:w="8188" w:type="dxa"/>
            <w:shd w:val="clear" w:color="auto" w:fill="auto"/>
            <w:vAlign w:val="center"/>
          </w:tcPr>
          <w:p w14:paraId="5A3D1C3D" w14:textId="138DBBA8" w:rsidR="009A074C" w:rsidRPr="005A3C0A" w:rsidRDefault="00000000" w:rsidP="00732624">
            <w:pPr>
              <w:pStyle w:val="CETEquation"/>
              <w:rPr>
                <w:noProof/>
              </w:rPr>
            </w:pPr>
            <m:oMathPara>
              <m:oMathParaPr>
                <m:jc m:val="left"/>
              </m:oMathParaPr>
              <m:oMath>
                <m:sSub>
                  <m:sSubPr>
                    <m:ctrlPr>
                      <w:rPr>
                        <w:rFonts w:ascii="Cambria Math" w:hAnsi="Cambria Math"/>
                      </w:rPr>
                    </m:ctrlPr>
                  </m:sSubPr>
                  <m:e>
                    <m:r>
                      <w:rPr>
                        <w:rFonts w:ascii="Cambria Math" w:hAnsi="Cambria Math"/>
                      </w:rPr>
                      <m:t>PDF</m:t>
                    </m:r>
                  </m:e>
                  <m:sub>
                    <m:r>
                      <w:rPr>
                        <w:rFonts w:ascii="Cambria Math" w:hAnsi="Cambria Math"/>
                      </w:rPr>
                      <m:t>fatigue</m:t>
                    </m:r>
                  </m:sub>
                </m:sSub>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0.7805</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0.5491</m:t>
                            </m:r>
                          </m:num>
                          <m:den>
                            <m:r>
                              <m:rPr>
                                <m:sty m:val="p"/>
                              </m:rPr>
                              <w:rPr>
                                <w:rFonts w:ascii="Cambria Math" w:hAnsi="Cambria Math"/>
                              </w:rPr>
                              <m:t>0.7805</m:t>
                            </m:r>
                          </m:den>
                        </m:f>
                        <m:r>
                          <m:rPr>
                            <m:sty m:val="p"/>
                          </m:rPr>
                          <w:rPr>
                            <w:rFonts w:ascii="Cambria Math" w:hAnsi="Cambria Math"/>
                          </w:rPr>
                          <m:t>)</m:t>
                        </m:r>
                      </m:e>
                      <m:sup>
                        <m:r>
                          <m:rPr>
                            <m:sty m:val="p"/>
                          </m:rPr>
                          <w:rPr>
                            <w:rFonts w:ascii="Cambria Math" w:hAnsi="Cambria Math"/>
                          </w:rPr>
                          <m:t>2</m:t>
                        </m:r>
                      </m:sup>
                    </m:sSup>
                  </m:sup>
                </m:sSup>
              </m:oMath>
            </m:oMathPara>
          </w:p>
        </w:tc>
        <w:tc>
          <w:tcPr>
            <w:tcW w:w="815" w:type="dxa"/>
            <w:shd w:val="clear" w:color="auto" w:fill="auto"/>
            <w:vAlign w:val="center"/>
          </w:tcPr>
          <w:p w14:paraId="75712DBE" w14:textId="051844B8" w:rsidR="009A074C" w:rsidRPr="00B57B36" w:rsidRDefault="009A074C" w:rsidP="00732624">
            <w:pPr>
              <w:pStyle w:val="CETEquation"/>
              <w:jc w:val="right"/>
            </w:pPr>
            <w:r w:rsidRPr="00B57B36">
              <w:t>(</w:t>
            </w:r>
            <w:r w:rsidR="00C46E38">
              <w:t>3</w:t>
            </w:r>
            <w:r w:rsidRPr="00B57B36">
              <w:t>)</w:t>
            </w:r>
          </w:p>
        </w:tc>
      </w:tr>
    </w:tbl>
    <w:p w14:paraId="1E002A82" w14:textId="7583799B" w:rsidR="00C46E38" w:rsidRPr="00C46E38" w:rsidRDefault="00C46E38" w:rsidP="00C46E38">
      <w:pPr>
        <w:pStyle w:val="CETBodytext"/>
      </w:pPr>
      <w:r>
        <w:t xml:space="preserve">According to the membership function, it is possible to further define the area between two states based on the degree of belonging. </w:t>
      </w:r>
      <w:r w:rsidR="006476E7">
        <w:t>T</w:t>
      </w:r>
      <w:r>
        <w:t>he division could be more specialized based on the different needs of application scenarios, which inspires the adoption of different strategies or actions.</w:t>
      </w:r>
      <w:r w:rsidR="00586991">
        <w:t xml:space="preserve"> In this case, prompt alerts would be available for operators once they entered the </w:t>
      </w:r>
      <w:r w:rsidR="00586991" w:rsidRPr="00586991">
        <w:t>areas characterized by elevated levels of fatigue</w:t>
      </w:r>
      <w:r w:rsidR="00586991">
        <w:t>.</w:t>
      </w:r>
      <w:r>
        <w:t xml:space="preserve"> Here </w:t>
      </w:r>
      <w:r w:rsidR="00586991">
        <w:t>are the general</w:t>
      </w:r>
      <w:r>
        <w:t xml:space="preserve"> </w:t>
      </w:r>
      <w:r w:rsidR="00586991">
        <w:t>rules</w:t>
      </w:r>
      <w:r w:rsidR="0022277D">
        <w:t xml:space="preserve"> (Figure </w:t>
      </w:r>
      <w:r w:rsidR="00447042">
        <w:rPr>
          <w:rFonts w:eastAsiaTheme="minorEastAsia" w:hint="eastAsia"/>
          <w:lang w:eastAsia="zh-CN"/>
        </w:rPr>
        <w:t>4b</w:t>
      </w:r>
      <w:r w:rsidR="0022277D">
        <w:t>)</w:t>
      </w:r>
      <w:r>
        <w:t>:</w:t>
      </w:r>
    </w:p>
    <w:p w14:paraId="076B7A39" w14:textId="4DCE9208" w:rsidR="00C46E38" w:rsidRPr="00C46E38" w:rsidRDefault="00C46E38" w:rsidP="00C46E38">
      <w:pPr>
        <w:pStyle w:val="CETBodytext"/>
        <w:numPr>
          <w:ilvl w:val="0"/>
          <w:numId w:val="30"/>
        </w:numPr>
      </w:pPr>
      <w:r w:rsidRPr="00C46E38">
        <w:rPr>
          <w:rFonts w:hint="eastAsia"/>
        </w:rPr>
        <w:t>A</w:t>
      </w:r>
      <w:r w:rsidRPr="00C46E38">
        <w:t>rea 1 (</w:t>
      </w:r>
      <w:r w:rsidR="00C9143A">
        <w:t>A1</w:t>
      </w:r>
      <w:r w:rsidR="00C9143A">
        <w:rPr>
          <w:rFonts w:ascii="宋体" w:eastAsia="宋体" w:hAnsi="宋体" w:cs="宋体" w:hint="eastAsia"/>
          <w:lang w:eastAsia="zh-CN"/>
        </w:rPr>
        <w:t>:</w:t>
      </w:r>
      <w:r w:rsidR="00C9143A">
        <w:rPr>
          <w:rFonts w:ascii="宋体" w:eastAsia="宋体" w:hAnsi="宋体" w:cs="宋体"/>
          <w:lang w:eastAsia="zh-CN"/>
        </w:rPr>
        <w:t xml:space="preserve"> </w:t>
      </w:r>
      <w:r w:rsidR="003C0F05">
        <w:t>p</w:t>
      </w:r>
      <w:r w:rsidRPr="00C46E38">
        <w:t xml:space="preserve">ure non-fatigue </w:t>
      </w:r>
      <w:r w:rsidR="0022277D">
        <w:t>state</w:t>
      </w:r>
      <w:r w:rsidRPr="00C46E38">
        <w:t xml:space="preserve">): in this area, all belonging values of </w:t>
      </w:r>
      <w:r w:rsidR="003C0F05">
        <w:t xml:space="preserve">the </w:t>
      </w:r>
      <w:r w:rsidRPr="00C46E38">
        <w:t>fatigue state are 0, e.g., [-3.6, 0].</w:t>
      </w:r>
      <w:r w:rsidR="0022277D">
        <w:t xml:space="preserve"> </w:t>
      </w:r>
      <w:r w:rsidR="00574BC6">
        <w:t>O</w:t>
      </w:r>
      <w:r w:rsidR="0022277D">
        <w:t xml:space="preserve">perators </w:t>
      </w:r>
      <w:r w:rsidR="00574BC6">
        <w:t>in this state are</w:t>
      </w:r>
      <w:r w:rsidR="0022277D">
        <w:t xml:space="preserve"> considered to be in a state of high mental concentration, and there is no need to intensively focus on the fatigue level of operators.</w:t>
      </w:r>
    </w:p>
    <w:p w14:paraId="413C8AA3" w14:textId="787378E0" w:rsidR="00C46E38" w:rsidRPr="00C46E38" w:rsidRDefault="00C46E38" w:rsidP="00C46E38">
      <w:pPr>
        <w:pStyle w:val="CETBodytext"/>
        <w:numPr>
          <w:ilvl w:val="0"/>
          <w:numId w:val="30"/>
        </w:numPr>
      </w:pPr>
      <w:r w:rsidRPr="00C46E38">
        <w:t>Area 2 (</w:t>
      </w:r>
      <w:r w:rsidR="00C9143A">
        <w:t xml:space="preserve">A2: </w:t>
      </w:r>
      <w:r w:rsidRPr="00C46E38">
        <w:t xml:space="preserve">higher non-fatigue state): in this area, belonging values of </w:t>
      </w:r>
      <w:r w:rsidR="003C0F05">
        <w:t xml:space="preserve">the </w:t>
      </w:r>
      <w:r w:rsidRPr="00C46E38">
        <w:t>non-fatigue state are higher than th</w:t>
      </w:r>
      <w:r w:rsidR="003C0F05">
        <w:t>ose</w:t>
      </w:r>
      <w:r w:rsidRPr="00C46E38">
        <w:t xml:space="preserve"> of</w:t>
      </w:r>
      <w:r w:rsidR="003C0F05">
        <w:t xml:space="preserve"> the</w:t>
      </w:r>
      <w:r w:rsidRPr="00C46E38">
        <w:t xml:space="preserve"> fatigue state.</w:t>
      </w:r>
      <w:r w:rsidR="00574BC6">
        <w:t xml:space="preserve"> T</w:t>
      </w:r>
      <w:r w:rsidR="00574BC6" w:rsidRPr="00574BC6">
        <w:t>he exhaustion of the operator</w:t>
      </w:r>
      <w:r w:rsidR="00574BC6">
        <w:t>s</w:t>
      </w:r>
      <w:r w:rsidR="00574BC6" w:rsidRPr="00574BC6">
        <w:t xml:space="preserve"> began to accumulate gradually, but the impact on the work </w:t>
      </w:r>
      <w:r w:rsidR="00574BC6">
        <w:t>is</w:t>
      </w:r>
      <w:r w:rsidR="00574BC6" w:rsidRPr="00574BC6">
        <w:t xml:space="preserve"> </w:t>
      </w:r>
      <w:r w:rsidR="00574BC6">
        <w:t>not significant</w:t>
      </w:r>
      <w:r w:rsidR="00574BC6" w:rsidRPr="00574BC6">
        <w:t>.</w:t>
      </w:r>
      <w:r w:rsidR="00574BC6">
        <w:t xml:space="preserve"> Thus, i</w:t>
      </w:r>
      <w:r w:rsidR="00574BC6" w:rsidRPr="00574BC6">
        <w:t>ntermittent rest is recommended</w:t>
      </w:r>
      <w:r w:rsidR="00574BC6">
        <w:t>.</w:t>
      </w:r>
    </w:p>
    <w:p w14:paraId="4A9F7651" w14:textId="403293CB" w:rsidR="00C46E38" w:rsidRPr="00C46E38" w:rsidRDefault="00C46E38" w:rsidP="00C46E38">
      <w:pPr>
        <w:pStyle w:val="CETBodytext"/>
        <w:numPr>
          <w:ilvl w:val="0"/>
          <w:numId w:val="30"/>
        </w:numPr>
      </w:pPr>
      <w:r w:rsidRPr="00C46E38">
        <w:t>Area 3 (</w:t>
      </w:r>
      <w:r w:rsidR="00C9143A">
        <w:t xml:space="preserve">A3: </w:t>
      </w:r>
      <w:r w:rsidRPr="00C46E38">
        <w:t xml:space="preserve">higher fatigue state): in this area, belonging values of </w:t>
      </w:r>
      <w:r w:rsidR="006476E7">
        <w:t xml:space="preserve">the </w:t>
      </w:r>
      <w:r w:rsidRPr="00C46E38">
        <w:t xml:space="preserve">fatigue state are higher than </w:t>
      </w:r>
      <w:r w:rsidR="003C0F05">
        <w:t>those</w:t>
      </w:r>
      <w:r w:rsidRPr="00C46E38">
        <w:t xml:space="preserve"> of </w:t>
      </w:r>
      <w:r w:rsidR="003C0F05">
        <w:t xml:space="preserve">the </w:t>
      </w:r>
      <w:r w:rsidRPr="00C46E38">
        <w:t>non-fatigue state.</w:t>
      </w:r>
      <w:r w:rsidR="00574BC6">
        <w:t xml:space="preserve"> The impact on operators from physical fatigue should not be </w:t>
      </w:r>
      <w:r w:rsidR="003C0F05" w:rsidRPr="003C0F05">
        <w:t>underestimated</w:t>
      </w:r>
      <w:r w:rsidR="003C0F05">
        <w:t>, longer resting time is supposed to be taken into account.</w:t>
      </w:r>
    </w:p>
    <w:p w14:paraId="628AD8DE" w14:textId="392C8411" w:rsidR="00C46E38" w:rsidRPr="00C46E38" w:rsidRDefault="00C46E38" w:rsidP="00C46E38">
      <w:pPr>
        <w:pStyle w:val="CETBodytext"/>
        <w:numPr>
          <w:ilvl w:val="0"/>
          <w:numId w:val="30"/>
        </w:numPr>
      </w:pPr>
      <w:r w:rsidRPr="00C46E38">
        <w:rPr>
          <w:rFonts w:hint="eastAsia"/>
        </w:rPr>
        <w:t>A</w:t>
      </w:r>
      <w:r w:rsidRPr="00C46E38">
        <w:t>rea 4 (</w:t>
      </w:r>
      <w:r w:rsidR="00C9143A">
        <w:t xml:space="preserve">A4: </w:t>
      </w:r>
      <w:r w:rsidR="003C0F05">
        <w:t>p</w:t>
      </w:r>
      <w:r w:rsidRPr="00C46E38">
        <w:t xml:space="preserve">ure fatigue area): in this area, all belonging values of </w:t>
      </w:r>
      <w:r w:rsidR="003C0F05">
        <w:t xml:space="preserve">the </w:t>
      </w:r>
      <w:r w:rsidRPr="00C46E38">
        <w:t>non-fatigue state are 0.</w:t>
      </w:r>
      <w:r w:rsidR="003C0F05">
        <w:t xml:space="preserve"> Operators are fully tired, stricter regulations should be considered here, e.g., stopping work immediately and taking c</w:t>
      </w:r>
      <w:r w:rsidR="003C0F05" w:rsidRPr="003C0F05">
        <w:t>ompulsory rest</w:t>
      </w:r>
      <w:r w:rsidR="003C0F05">
        <w:t>s.</w:t>
      </w:r>
    </w:p>
    <w:p w14:paraId="662A5D0E" w14:textId="77777777" w:rsidR="00447042" w:rsidRPr="00447042" w:rsidRDefault="00447042" w:rsidP="009A074C">
      <w:pPr>
        <w:pStyle w:val="CETBodytext"/>
        <w:rPr>
          <w:rFonts w:eastAsiaTheme="minorEastAsia"/>
          <w:lang w:val="en-GB" w:eastAsia="zh-CN"/>
        </w:rPr>
        <w:sectPr w:rsidR="00447042" w:rsidRPr="00447042" w:rsidSect="00E9023D">
          <w:type w:val="continuous"/>
          <w:pgSz w:w="11906" w:h="16838" w:code="9"/>
          <w:pgMar w:top="1701" w:right="1418" w:bottom="1701" w:left="1701" w:header="1701" w:footer="0" w:gutter="0"/>
          <w:cols w:space="708"/>
          <w:formProt w:val="0"/>
          <w:titlePg/>
          <w:docGrid w:linePitch="360"/>
        </w:sectPr>
      </w:pPr>
    </w:p>
    <w:p w14:paraId="4793603F" w14:textId="77777777" w:rsidR="00746220" w:rsidRDefault="00746220" w:rsidP="009A074C">
      <w:pPr>
        <w:pStyle w:val="CETBodytext"/>
        <w:rPr>
          <w:lang w:val="en-GB"/>
        </w:rPr>
      </w:pPr>
    </w:p>
    <w:p w14:paraId="30B1086A" w14:textId="10F2A43D" w:rsidR="009A074C" w:rsidRDefault="009A074C" w:rsidP="009A074C">
      <w:pPr>
        <w:pStyle w:val="CETBodytext"/>
        <w:rPr>
          <w:lang w:val="en-GB"/>
        </w:rPr>
      </w:pPr>
      <w:r>
        <w:rPr>
          <w:rFonts w:ascii="Times New Roman" w:hAnsi="Times New Roman"/>
          <w:noProof/>
          <w:sz w:val="20"/>
        </w:rPr>
        <w:drawing>
          <wp:inline distT="0" distB="0" distL="0" distR="0" wp14:anchorId="4487E2F7" wp14:editId="32C76DE2">
            <wp:extent cx="2627644" cy="2187275"/>
            <wp:effectExtent l="0" t="0" r="1270" b="3810"/>
            <wp:docPr id="792203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0677" cy="2189799"/>
                    </a:xfrm>
                    <a:prstGeom prst="rect">
                      <a:avLst/>
                    </a:prstGeom>
                    <a:noFill/>
                  </pic:spPr>
                </pic:pic>
              </a:graphicData>
            </a:graphic>
          </wp:inline>
        </w:drawing>
      </w:r>
    </w:p>
    <w:p w14:paraId="1DB5E361" w14:textId="14F9EF90" w:rsidR="009A074C" w:rsidRDefault="009A074C" w:rsidP="004E30D4">
      <w:pPr>
        <w:pStyle w:val="CETCaption"/>
      </w:pPr>
      <w:r w:rsidRPr="009A074C">
        <w:t>Figure 4</w:t>
      </w:r>
      <w:r w:rsidR="00447042">
        <w:rPr>
          <w:rFonts w:eastAsiaTheme="minorEastAsia" w:hint="eastAsia"/>
          <w:lang w:eastAsia="zh-CN"/>
        </w:rPr>
        <w:t>(a)</w:t>
      </w:r>
      <w:r w:rsidRPr="009A074C">
        <w:t>. The designed membership function of the classifier</w:t>
      </w:r>
    </w:p>
    <w:p w14:paraId="5F4E98FB" w14:textId="77777777" w:rsidR="00447042" w:rsidRDefault="00447042" w:rsidP="00C9143A">
      <w:pPr>
        <w:pStyle w:val="CETBodytext"/>
        <w:rPr>
          <w:rFonts w:eastAsiaTheme="minorEastAsia"/>
          <w:lang w:eastAsia="zh-CN"/>
        </w:rPr>
      </w:pPr>
    </w:p>
    <w:p w14:paraId="1975DCFC" w14:textId="2A0D67A9" w:rsidR="00C9143A" w:rsidRDefault="0022277D" w:rsidP="00C9143A">
      <w:pPr>
        <w:pStyle w:val="CETBodytext"/>
      </w:pPr>
      <w:r>
        <w:rPr>
          <w:noProof/>
        </w:rPr>
        <w:drawing>
          <wp:inline distT="0" distB="0" distL="0" distR="0" wp14:anchorId="3239F046" wp14:editId="1C8EE381">
            <wp:extent cx="2566767" cy="2135275"/>
            <wp:effectExtent l="0" t="0" r="5080" b="0"/>
            <wp:docPr id="17738622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5840" cy="2142822"/>
                    </a:xfrm>
                    <a:prstGeom prst="rect">
                      <a:avLst/>
                    </a:prstGeom>
                    <a:noFill/>
                  </pic:spPr>
                </pic:pic>
              </a:graphicData>
            </a:graphic>
          </wp:inline>
        </w:drawing>
      </w:r>
    </w:p>
    <w:p w14:paraId="44BD4DA8" w14:textId="40A89841" w:rsidR="003C0F05" w:rsidRDefault="0022277D" w:rsidP="004E30D4">
      <w:pPr>
        <w:pStyle w:val="CETCaption"/>
        <w:rPr>
          <w:rFonts w:eastAsiaTheme="minorEastAsia"/>
          <w:lang w:eastAsia="zh-CN"/>
        </w:rPr>
      </w:pPr>
      <w:r w:rsidRPr="009A074C">
        <w:t xml:space="preserve">Figure </w:t>
      </w:r>
      <w:r w:rsidR="00447042">
        <w:rPr>
          <w:rFonts w:eastAsiaTheme="minorEastAsia" w:hint="eastAsia"/>
          <w:lang w:eastAsia="zh-CN"/>
        </w:rPr>
        <w:t>4(b)</w:t>
      </w:r>
      <w:r w:rsidRPr="009A074C">
        <w:t xml:space="preserve">. The </w:t>
      </w:r>
      <w:r>
        <w:t>division of physical fatigue states</w:t>
      </w:r>
    </w:p>
    <w:p w14:paraId="694DD09A" w14:textId="77777777" w:rsidR="00447042" w:rsidRDefault="00447042" w:rsidP="00E668F2">
      <w:pPr>
        <w:pStyle w:val="CETCaption"/>
        <w:rPr>
          <w:rFonts w:eastAsiaTheme="minorEastAsia"/>
          <w:i w:val="0"/>
          <w:iCs/>
          <w:lang w:eastAsia="zh-CN"/>
        </w:rPr>
        <w:sectPr w:rsidR="00447042" w:rsidSect="00E9023D">
          <w:type w:val="continuous"/>
          <w:pgSz w:w="11906" w:h="16838" w:code="9"/>
          <w:pgMar w:top="1701" w:right="1418" w:bottom="1701" w:left="1701" w:header="1701" w:footer="0" w:gutter="0"/>
          <w:cols w:num="2" w:space="708"/>
          <w:formProt w:val="0"/>
          <w:titlePg/>
          <w:docGrid w:linePitch="360"/>
        </w:sectPr>
      </w:pPr>
    </w:p>
    <w:p w14:paraId="09BB1629" w14:textId="77777777" w:rsidR="00447042" w:rsidRPr="00447042" w:rsidRDefault="00447042" w:rsidP="00E668F2">
      <w:pPr>
        <w:pStyle w:val="CETCaption"/>
        <w:rPr>
          <w:rFonts w:eastAsiaTheme="minorEastAsia"/>
          <w:i w:val="0"/>
          <w:iCs/>
          <w:lang w:eastAsia="zh-CN"/>
        </w:rPr>
      </w:pPr>
    </w:p>
    <w:p w14:paraId="68D26B83" w14:textId="2649B1F1" w:rsidR="00600535" w:rsidRPr="00B57B36" w:rsidRDefault="00C46E38" w:rsidP="00600535">
      <w:pPr>
        <w:pStyle w:val="CETHeading1"/>
        <w:rPr>
          <w:lang w:val="en-GB"/>
        </w:rPr>
      </w:pPr>
      <w:r w:rsidRPr="00C46E38">
        <w:rPr>
          <w:lang w:val="en-GB"/>
        </w:rPr>
        <w:t>Discussion and conclusion</w:t>
      </w:r>
      <w:r w:rsidR="00600535" w:rsidRPr="00B57B36">
        <w:rPr>
          <w:lang w:val="en-GB"/>
        </w:rPr>
        <w:t>s</w:t>
      </w:r>
    </w:p>
    <w:p w14:paraId="2610DAF4" w14:textId="77777777" w:rsidR="003F5B46" w:rsidRDefault="00B26C15" w:rsidP="00D95355">
      <w:pPr>
        <w:pStyle w:val="CETBodytext"/>
        <w:rPr>
          <w:rFonts w:eastAsiaTheme="minorEastAsia"/>
          <w:lang w:eastAsia="zh-CN"/>
        </w:rPr>
      </w:pPr>
      <w:r>
        <w:t xml:space="preserve">In process industries, the diversity of work scenarios increases the difficulty of measuring the physical fatigue state of workers. </w:t>
      </w:r>
      <w:r w:rsidR="00BC4B6F">
        <w:t xml:space="preserve">This study focuses on four difficulties: 1. Apply Principal Component Analysis (PCA) to address the complexity from high dimensional dataset. 2. Determine the most relative component contributing to physical fatigue. 3. </w:t>
      </w:r>
      <w:r w:rsidR="00D95355">
        <w:t>Fuzzy logic methods are considered to a</w:t>
      </w:r>
      <w:r w:rsidR="00D95355" w:rsidRPr="00D95355">
        <w:t>ddress the variability from high subjectivity of participants</w:t>
      </w:r>
      <w:r w:rsidR="00D95355">
        <w:t>. 4. A</w:t>
      </w:r>
      <w:r>
        <w:t xml:space="preserve"> PCA-based fuzzy logic classifier is designed to </w:t>
      </w:r>
      <w:r w:rsidR="00D95355">
        <w:t xml:space="preserve">support </w:t>
      </w:r>
      <w:r w:rsidR="00D95355" w:rsidRPr="00D95355">
        <w:t xml:space="preserve">intelligent </w:t>
      </w:r>
      <w:r w:rsidR="00D95355">
        <w:t xml:space="preserve">decision-making processes. </w:t>
      </w:r>
      <w:r w:rsidR="00DB3BBD">
        <w:rPr>
          <w:rFonts w:eastAsiaTheme="minorEastAsia" w:hint="eastAsia"/>
          <w:lang w:eastAsia="zh-CN"/>
        </w:rPr>
        <w:t xml:space="preserve">The finding of this study benefits </w:t>
      </w:r>
      <w:r w:rsidR="00F530EC">
        <w:rPr>
          <w:rFonts w:eastAsiaTheme="minorEastAsia" w:hint="eastAsia"/>
          <w:lang w:eastAsia="zh-CN"/>
        </w:rPr>
        <w:t>practical activities in process industries</w:t>
      </w:r>
      <w:r w:rsidR="00D14F8F">
        <w:rPr>
          <w:rFonts w:eastAsiaTheme="minorEastAsia" w:hint="eastAsia"/>
          <w:lang w:eastAsia="zh-CN"/>
        </w:rPr>
        <w:t>.</w:t>
      </w:r>
      <w:r w:rsidR="00F530EC">
        <w:rPr>
          <w:rFonts w:eastAsiaTheme="minorEastAsia" w:hint="eastAsia"/>
          <w:lang w:eastAsia="zh-CN"/>
        </w:rPr>
        <w:t xml:space="preserve"> </w:t>
      </w:r>
      <w:r w:rsidR="00DB3BBD">
        <w:t>With the classifier, it is possible to evaluate workers’ fatigue levels, with the consideration of the complexities associated with the subjective nature of fatigue experienced by workers.</w:t>
      </w:r>
      <w:r w:rsidR="000B4E00">
        <w:rPr>
          <w:rFonts w:eastAsiaTheme="minorEastAsia" w:hint="eastAsia"/>
          <w:lang w:eastAsia="zh-CN"/>
        </w:rPr>
        <w:t xml:space="preserve"> And t</w:t>
      </w:r>
      <w:r>
        <w:t xml:space="preserve">he implementation of this classifier is meaningful for enhancing worker welfare and productivity in process industries. </w:t>
      </w:r>
    </w:p>
    <w:p w14:paraId="502BFC35" w14:textId="196003FD" w:rsidR="005E3DC1" w:rsidRPr="003F5B46" w:rsidRDefault="00D14F8F" w:rsidP="00D95355">
      <w:pPr>
        <w:pStyle w:val="CETBodytext"/>
        <w:rPr>
          <w:rFonts w:eastAsiaTheme="minorEastAsia"/>
          <w:lang w:eastAsia="zh-CN"/>
        </w:rPr>
      </w:pPr>
      <w:r>
        <w:rPr>
          <w:rFonts w:eastAsiaTheme="minorEastAsia" w:hint="eastAsia"/>
          <w:lang w:eastAsia="zh-CN"/>
        </w:rPr>
        <w:lastRenderedPageBreak/>
        <w:t>T</w:t>
      </w:r>
      <w:r w:rsidRPr="00D14F8F">
        <w:t xml:space="preserve">his </w:t>
      </w:r>
      <w:r>
        <w:rPr>
          <w:rFonts w:eastAsiaTheme="minorEastAsia" w:hint="eastAsia"/>
          <w:lang w:eastAsia="zh-CN"/>
        </w:rPr>
        <w:t>approach</w:t>
      </w:r>
      <w:r w:rsidRPr="00D14F8F">
        <w:t xml:space="preserve"> departs from the conventional static or </w:t>
      </w:r>
      <w:r w:rsidR="003F5B46" w:rsidRPr="003F5B46">
        <w:t>infrequent</w:t>
      </w:r>
      <w:r w:rsidRPr="00D14F8F">
        <w:t xml:space="preserve"> assessments</w:t>
      </w:r>
      <w:r>
        <w:rPr>
          <w:rFonts w:eastAsiaTheme="minorEastAsia" w:hint="eastAsia"/>
          <w:lang w:eastAsia="zh-CN"/>
        </w:rPr>
        <w:t>,</w:t>
      </w:r>
      <w:r w:rsidRPr="00D14F8F">
        <w:t xml:space="preserve"> </w:t>
      </w:r>
      <w:r>
        <w:rPr>
          <w:rFonts w:eastAsiaTheme="minorEastAsia" w:hint="eastAsia"/>
          <w:lang w:eastAsia="zh-CN"/>
        </w:rPr>
        <w:t>which</w:t>
      </w:r>
      <w:r w:rsidRPr="00D14F8F">
        <w:t xml:space="preserve"> makes sure that fatigue levels are continuously assessed by providing real-time and continuous tracking</w:t>
      </w:r>
      <w:r>
        <w:rPr>
          <w:rFonts w:eastAsiaTheme="minorEastAsia" w:hint="eastAsia"/>
          <w:lang w:eastAsia="zh-CN"/>
        </w:rPr>
        <w:t xml:space="preserve"> with the help of deployed smart </w:t>
      </w:r>
      <w:r>
        <w:rPr>
          <w:rFonts w:eastAsiaTheme="minorEastAsia"/>
          <w:lang w:eastAsia="zh-CN"/>
        </w:rPr>
        <w:t>watches</w:t>
      </w:r>
      <w:r w:rsidRPr="00D14F8F">
        <w:t xml:space="preserve">. </w:t>
      </w:r>
      <w:r w:rsidR="00A01263">
        <w:rPr>
          <w:rFonts w:eastAsiaTheme="minorEastAsia"/>
          <w:lang w:eastAsia="zh-CN"/>
        </w:rPr>
        <w:t>S</w:t>
      </w:r>
      <w:r w:rsidR="00A01263">
        <w:rPr>
          <w:rFonts w:eastAsiaTheme="minorEastAsia" w:hint="eastAsia"/>
          <w:lang w:eastAsia="zh-CN"/>
        </w:rPr>
        <w:t xml:space="preserve">econdly, this approach helps to address the multiple data sources and data types faced in the process </w:t>
      </w:r>
      <w:r w:rsidR="00A01263">
        <w:rPr>
          <w:rFonts w:eastAsiaTheme="minorEastAsia"/>
          <w:lang w:eastAsia="zh-CN"/>
        </w:rPr>
        <w:t>industries</w:t>
      </w:r>
      <w:r w:rsidR="00A01263">
        <w:rPr>
          <w:rFonts w:eastAsiaTheme="minorEastAsia" w:hint="eastAsia"/>
          <w:lang w:eastAsia="zh-CN"/>
        </w:rPr>
        <w:t xml:space="preserve">. Variables that related to physical fatigue can be furtherly </w:t>
      </w:r>
      <w:r w:rsidR="00A01263">
        <w:rPr>
          <w:rFonts w:eastAsiaTheme="minorEastAsia"/>
          <w:lang w:eastAsia="zh-CN"/>
        </w:rPr>
        <w:t>determined as</w:t>
      </w:r>
      <w:r w:rsidR="00A01263">
        <w:rPr>
          <w:rFonts w:eastAsiaTheme="minorEastAsia" w:hint="eastAsia"/>
          <w:lang w:eastAsia="zh-CN"/>
        </w:rPr>
        <w:t xml:space="preserve"> critical indexes, which</w:t>
      </w:r>
      <w:r w:rsidR="00A01263" w:rsidRPr="00D14F8F">
        <w:t xml:space="preserve"> makes it easier to identify </w:t>
      </w:r>
      <w:r w:rsidR="00A01263">
        <w:rPr>
          <w:rFonts w:eastAsiaTheme="minorEastAsia" w:hint="eastAsia"/>
          <w:lang w:eastAsia="zh-CN"/>
        </w:rPr>
        <w:t>fatigue</w:t>
      </w:r>
      <w:r w:rsidR="00A01263" w:rsidRPr="00D14F8F">
        <w:t xml:space="preserve"> early on and enables prompt responses that avoid severe exhaustion</w:t>
      </w:r>
      <w:r w:rsidR="003F5B46">
        <w:rPr>
          <w:rFonts w:eastAsiaTheme="minorEastAsia" w:hint="eastAsia"/>
          <w:lang w:eastAsia="zh-CN"/>
        </w:rPr>
        <w:t xml:space="preserve"> also with the consideration of cost consumption at the same time</w:t>
      </w:r>
      <w:r w:rsidR="00A01263">
        <w:rPr>
          <w:rFonts w:eastAsiaTheme="minorEastAsia" w:hint="eastAsia"/>
          <w:lang w:eastAsia="zh-CN"/>
        </w:rPr>
        <w:t>.</w:t>
      </w:r>
      <w:r w:rsidR="003F5B46">
        <w:rPr>
          <w:rFonts w:eastAsiaTheme="minorEastAsia" w:hint="eastAsia"/>
          <w:lang w:eastAsia="zh-CN"/>
        </w:rPr>
        <w:t xml:space="preserve"> </w:t>
      </w:r>
      <w:r w:rsidR="00A01263" w:rsidRPr="00A01263">
        <w:rPr>
          <w:rFonts w:eastAsiaTheme="minorEastAsia"/>
          <w:lang w:eastAsia="zh-CN"/>
        </w:rPr>
        <w:t>Moreover, the classifier plays a crucial role in determining the optimal recovery times for workers. By distinguishing more clearly between states of fatigue and non-fatigue, the system can recommend personalized rest periods and recovery strategies. This customization ensures that each worker receives the necessary downtime to recover fully, thereby preventing over-fatigue. As a result, workers are more likely to perform at their best during active work periods</w:t>
      </w:r>
      <w:r w:rsidR="003F5B46">
        <w:rPr>
          <w:rFonts w:eastAsiaTheme="minorEastAsia" w:hint="eastAsia"/>
          <w:lang w:eastAsia="zh-CN"/>
        </w:rPr>
        <w:t xml:space="preserve">, </w:t>
      </w:r>
      <w:r w:rsidR="003F5B46" w:rsidRPr="003F5B46">
        <w:rPr>
          <w:rFonts w:eastAsiaTheme="minorEastAsia"/>
          <w:lang w:eastAsia="zh-CN"/>
        </w:rPr>
        <w:t>which is highlighted in process industries with complex and intensive manual labor operations.</w:t>
      </w:r>
      <w:r w:rsidR="005E3DC1">
        <w:rPr>
          <w:rFonts w:eastAsiaTheme="minorEastAsia" w:hint="eastAsia"/>
          <w:lang w:eastAsia="zh-CN"/>
        </w:rPr>
        <w:t xml:space="preserve"> </w:t>
      </w:r>
      <w:r w:rsidR="005E3DC1" w:rsidRPr="005E3DC1">
        <w:rPr>
          <w:rFonts w:eastAsiaTheme="minorEastAsia"/>
          <w:lang w:eastAsia="zh-CN"/>
        </w:rPr>
        <w:t>Finally, the flexibility of the classifier allows for the development of agile, tailored warning systems. These systems can be adapted to meet the specific needs of different work environments within the process industry, enhancing safety and well-being. The adoption of such customized strategies not only improves the immediate environment for workers but also boosts overall efficiency and productivity in the industry</w:t>
      </w:r>
      <w:r w:rsidR="005E3DC1">
        <w:rPr>
          <w:rFonts w:eastAsiaTheme="minorEastAsia" w:hint="eastAsia"/>
          <w:lang w:eastAsia="zh-CN"/>
        </w:rPr>
        <w:t>, with even the potential of</w:t>
      </w:r>
      <w:r w:rsidR="005E3DC1" w:rsidRPr="005E3DC1">
        <w:rPr>
          <w:rFonts w:eastAsiaTheme="minorEastAsia"/>
          <w:lang w:eastAsia="zh-CN"/>
        </w:rPr>
        <w:t xml:space="preserve"> se</w:t>
      </w:r>
      <w:r w:rsidR="005E3DC1">
        <w:rPr>
          <w:rFonts w:eastAsiaTheme="minorEastAsia" w:hint="eastAsia"/>
          <w:lang w:eastAsia="zh-CN"/>
        </w:rPr>
        <w:t>t</w:t>
      </w:r>
      <w:r w:rsidR="005E3DC1" w:rsidRPr="005E3DC1">
        <w:rPr>
          <w:rFonts w:eastAsiaTheme="minorEastAsia"/>
          <w:lang w:eastAsia="zh-CN"/>
        </w:rPr>
        <w:t>t</w:t>
      </w:r>
      <w:r w:rsidR="005E3DC1">
        <w:rPr>
          <w:rFonts w:eastAsiaTheme="minorEastAsia" w:hint="eastAsia"/>
          <w:lang w:eastAsia="zh-CN"/>
        </w:rPr>
        <w:t>ing</w:t>
      </w:r>
      <w:r w:rsidR="005E3DC1" w:rsidRPr="005E3DC1">
        <w:rPr>
          <w:rFonts w:eastAsiaTheme="minorEastAsia"/>
          <w:lang w:eastAsia="zh-CN"/>
        </w:rPr>
        <w:t xml:space="preserve"> new standard</w:t>
      </w:r>
      <w:r w:rsidR="005E3DC1">
        <w:rPr>
          <w:rFonts w:eastAsiaTheme="minorEastAsia" w:hint="eastAsia"/>
          <w:lang w:eastAsia="zh-CN"/>
        </w:rPr>
        <w:t>s</w:t>
      </w:r>
      <w:r w:rsidR="005E3DC1" w:rsidRPr="005E3DC1">
        <w:rPr>
          <w:rFonts w:eastAsiaTheme="minorEastAsia"/>
          <w:lang w:eastAsia="zh-CN"/>
        </w:rPr>
        <w:t xml:space="preserve"> for worker care and operational excellence.</w:t>
      </w:r>
    </w:p>
    <w:p w14:paraId="67BED3B6" w14:textId="3058AABE" w:rsidR="00EB1CAA" w:rsidRDefault="00FE526D" w:rsidP="00D95355">
      <w:pPr>
        <w:pStyle w:val="CETBodytext"/>
        <w:rPr>
          <w:rFonts w:eastAsiaTheme="minorEastAsia"/>
          <w:lang w:eastAsia="zh-CN"/>
        </w:rPr>
      </w:pPr>
      <w:r>
        <w:rPr>
          <w:rFonts w:eastAsiaTheme="minorEastAsia" w:hint="eastAsia"/>
          <w:lang w:eastAsia="zh-CN"/>
        </w:rPr>
        <w:t xml:space="preserve">The limitations </w:t>
      </w:r>
      <w:r w:rsidR="005E3DC1">
        <w:rPr>
          <w:rFonts w:eastAsiaTheme="minorEastAsia" w:hint="eastAsia"/>
          <w:lang w:eastAsia="zh-CN"/>
        </w:rPr>
        <w:t xml:space="preserve">of this study </w:t>
      </w:r>
      <w:r w:rsidR="00EB1CAA">
        <w:rPr>
          <w:rFonts w:eastAsiaTheme="minorEastAsia"/>
          <w:lang w:eastAsia="zh-CN"/>
        </w:rPr>
        <w:t>come</w:t>
      </w:r>
      <w:r w:rsidR="005E3DC1">
        <w:rPr>
          <w:rFonts w:eastAsiaTheme="minorEastAsia" w:hint="eastAsia"/>
          <w:lang w:eastAsia="zh-CN"/>
        </w:rPr>
        <w:t xml:space="preserve"> from </w:t>
      </w:r>
      <w:r w:rsidR="00EB1CAA">
        <w:rPr>
          <w:rFonts w:eastAsiaTheme="minorEastAsia" w:hint="eastAsia"/>
          <w:lang w:eastAsia="zh-CN"/>
        </w:rPr>
        <w:t xml:space="preserve">two </w:t>
      </w:r>
      <w:r w:rsidR="00EB1CAA">
        <w:rPr>
          <w:rFonts w:eastAsiaTheme="minorEastAsia"/>
          <w:lang w:eastAsia="zh-CN"/>
        </w:rPr>
        <w:t>aspects</w:t>
      </w:r>
      <w:r w:rsidR="00EB1CAA">
        <w:rPr>
          <w:rFonts w:eastAsiaTheme="minorEastAsia" w:hint="eastAsia"/>
          <w:lang w:eastAsia="zh-CN"/>
        </w:rPr>
        <w:t>. In this study, multiple movements are general</w:t>
      </w:r>
      <w:r w:rsidR="0068637E">
        <w:rPr>
          <w:rFonts w:eastAsiaTheme="minorEastAsia" w:hint="eastAsia"/>
          <w:lang w:eastAsia="zh-CN"/>
        </w:rPr>
        <w:t>ly</w:t>
      </w:r>
      <w:r w:rsidR="00EB1CAA">
        <w:rPr>
          <w:rFonts w:eastAsiaTheme="minorEastAsia" w:hint="eastAsia"/>
          <w:lang w:eastAsia="zh-CN"/>
        </w:rPr>
        <w:t xml:space="preserve"> considered as labor behavior without further classifying different operation types in different working scenarios</w:t>
      </w:r>
      <w:r w:rsidR="0068637E">
        <w:rPr>
          <w:rFonts w:eastAsiaTheme="minorEastAsia" w:hint="eastAsia"/>
          <w:lang w:eastAsia="zh-CN"/>
        </w:rPr>
        <w:t xml:space="preserve">. From the perspective of designing warning systems, it is not </w:t>
      </w:r>
      <w:r w:rsidR="00BA553C">
        <w:rPr>
          <w:rFonts w:eastAsiaTheme="minorEastAsia"/>
          <w:lang w:eastAsia="zh-CN"/>
        </w:rPr>
        <w:tab/>
      </w:r>
      <w:r w:rsidR="0068637E">
        <w:rPr>
          <w:rFonts w:eastAsiaTheme="minorEastAsia"/>
          <w:lang w:eastAsia="zh-CN"/>
        </w:rPr>
        <w:t>enough</w:t>
      </w:r>
      <w:r w:rsidR="0068637E">
        <w:rPr>
          <w:rFonts w:eastAsiaTheme="minorEastAsia" w:hint="eastAsia"/>
          <w:lang w:eastAsia="zh-CN"/>
        </w:rPr>
        <w:t xml:space="preserve"> to divide in-between fatigue states in a </w:t>
      </w:r>
      <w:r w:rsidR="0068637E">
        <w:rPr>
          <w:rFonts w:eastAsiaTheme="minorEastAsia"/>
          <w:lang w:eastAsia="zh-CN"/>
        </w:rPr>
        <w:t>general</w:t>
      </w:r>
      <w:r w:rsidR="0068637E">
        <w:rPr>
          <w:rFonts w:eastAsiaTheme="minorEastAsia" w:hint="eastAsia"/>
          <w:lang w:eastAsia="zh-CN"/>
        </w:rPr>
        <w:t xml:space="preserve"> way, the diversity of different operation tasks and other considerations about potential consequences caused by physical fatigue in human errors</w:t>
      </w:r>
      <w:r w:rsidR="00EB1CAA">
        <w:rPr>
          <w:rFonts w:eastAsiaTheme="minorEastAsia" w:hint="eastAsia"/>
          <w:lang w:eastAsia="zh-CN"/>
        </w:rPr>
        <w:t xml:space="preserve"> </w:t>
      </w:r>
      <w:r w:rsidR="0068637E">
        <w:rPr>
          <w:rFonts w:eastAsiaTheme="minorEastAsia" w:hint="eastAsia"/>
          <w:lang w:eastAsia="zh-CN"/>
        </w:rPr>
        <w:t>should be also taken into account.</w:t>
      </w:r>
    </w:p>
    <w:p w14:paraId="52DAFDE0" w14:textId="366D59ED" w:rsidR="001D0CFB" w:rsidRPr="00B26C15" w:rsidRDefault="00B26C15" w:rsidP="00D95355">
      <w:pPr>
        <w:pStyle w:val="CETBodytext"/>
      </w:pPr>
      <w:r>
        <w:t>The future work is</w:t>
      </w:r>
      <w:r w:rsidR="0068637E">
        <w:rPr>
          <w:rFonts w:eastAsiaTheme="minorEastAsia" w:hint="eastAsia"/>
          <w:lang w:eastAsia="zh-CN"/>
        </w:rPr>
        <w:t xml:space="preserve"> expected</w:t>
      </w:r>
      <w:r>
        <w:t xml:space="preserve"> to define different rules/strategies applied in different scenarios of process industries based on different membership values</w:t>
      </w:r>
      <w:r w:rsidR="001D0CFB">
        <w:t>.</w:t>
      </w:r>
      <w:r w:rsidR="00D95355">
        <w:t xml:space="preserve"> </w:t>
      </w:r>
      <w:r w:rsidR="0068637E">
        <w:rPr>
          <w:rFonts w:eastAsiaTheme="minorEastAsia" w:hint="eastAsia"/>
          <w:lang w:eastAsia="zh-CN"/>
        </w:rPr>
        <w:t xml:space="preserve">Another meaningful work is to </w:t>
      </w:r>
      <w:r w:rsidR="006B6867">
        <w:rPr>
          <w:rFonts w:eastAsiaTheme="minorEastAsia" w:hint="eastAsia"/>
          <w:lang w:eastAsia="zh-CN"/>
        </w:rPr>
        <w:t>combine the considerations from different decision-</w:t>
      </w:r>
      <w:r w:rsidR="006B6867">
        <w:rPr>
          <w:rFonts w:eastAsiaTheme="minorEastAsia"/>
          <w:lang w:eastAsia="zh-CN"/>
        </w:rPr>
        <w:t>making</w:t>
      </w:r>
      <w:r w:rsidR="006B6867">
        <w:rPr>
          <w:rFonts w:eastAsiaTheme="minorEastAsia" w:hint="eastAsia"/>
          <w:lang w:eastAsia="zh-CN"/>
        </w:rPr>
        <w:t xml:space="preserve"> levels: e.g., operators, controllers, managers, etc., which furtherly guide the development of useful warning systems. </w:t>
      </w:r>
      <w:r w:rsidR="00D95355">
        <w:t xml:space="preserve">Moreover, it is also valuable to </w:t>
      </w:r>
      <w:r w:rsidR="00D95355" w:rsidRPr="00D95355">
        <w:t>encompass the development of a personalized scale for determining the optimal rest period</w:t>
      </w:r>
      <w:r w:rsidR="00D95355">
        <w:t>, aligning with our research on fatigue states</w:t>
      </w:r>
      <w:r w:rsidR="00D95355" w:rsidRPr="00D95355">
        <w:t>.</w:t>
      </w:r>
    </w:p>
    <w:p w14:paraId="459D05E6" w14:textId="77777777" w:rsidR="00600535" w:rsidRPr="00B57B36" w:rsidRDefault="00600535" w:rsidP="00DB7503">
      <w:pPr>
        <w:pStyle w:val="CETAcknowledgementstitle"/>
      </w:pPr>
      <w:r w:rsidRPr="00B57B36">
        <w:t>Acknowledgments</w:t>
      </w:r>
    </w:p>
    <w:p w14:paraId="33F8138F" w14:textId="1A19CE6B" w:rsidR="00600535" w:rsidRPr="008853BB" w:rsidRDefault="00B26C15" w:rsidP="00600535">
      <w:pPr>
        <w:pStyle w:val="CETBodytext"/>
        <w:rPr>
          <w:rFonts w:eastAsiaTheme="minorEastAsia"/>
          <w:lang w:val="en-GB" w:eastAsia="zh-CN"/>
        </w:rPr>
      </w:pPr>
      <w:r w:rsidRPr="00B26C15">
        <w:rPr>
          <w:lang w:val="en-GB"/>
        </w:rPr>
        <w:t>This research is supported by</w:t>
      </w:r>
      <w:r w:rsidR="00DB7503" w:rsidRPr="00DB7503">
        <w:rPr>
          <w:lang w:val="en-GB"/>
        </w:rPr>
        <w:t xml:space="preserve"> the program of </w:t>
      </w:r>
      <w:r w:rsidRPr="00B26C15">
        <w:rPr>
          <w:lang w:val="en-GB"/>
        </w:rPr>
        <w:t>China Scholarship Council</w:t>
      </w:r>
      <w:r w:rsidR="00DB7503">
        <w:rPr>
          <w:rFonts w:eastAsiaTheme="minorEastAsia" w:hint="eastAsia"/>
          <w:lang w:val="en-GB" w:eastAsia="zh-CN"/>
        </w:rPr>
        <w:t xml:space="preserve"> (No.</w:t>
      </w:r>
      <w:r w:rsidR="000E7BB7">
        <w:rPr>
          <w:rFonts w:eastAsiaTheme="minorEastAsia" w:hint="eastAsia"/>
          <w:lang w:val="en-GB" w:eastAsia="zh-CN"/>
        </w:rPr>
        <w:t xml:space="preserve"> </w:t>
      </w:r>
      <w:r w:rsidR="008853BB">
        <w:rPr>
          <w:rFonts w:eastAsiaTheme="minorEastAsia" w:hint="eastAsia"/>
          <w:lang w:val="en-GB" w:eastAsia="zh-CN"/>
        </w:rPr>
        <w:t>CSC</w:t>
      </w:r>
      <w:r w:rsidR="008853BB" w:rsidRPr="008853BB">
        <w:rPr>
          <w:rFonts w:eastAsiaTheme="minorEastAsia"/>
          <w:lang w:val="en-GB" w:eastAsia="zh-CN"/>
        </w:rPr>
        <w:t>202207930021</w:t>
      </w:r>
      <w:r w:rsidR="00DB7503">
        <w:rPr>
          <w:rFonts w:eastAsiaTheme="minorEastAsia" w:hint="eastAsia"/>
          <w:lang w:val="en-GB" w:eastAsia="zh-CN"/>
        </w:rPr>
        <w:t>)</w:t>
      </w:r>
      <w:r w:rsidR="008853BB">
        <w:rPr>
          <w:rFonts w:eastAsiaTheme="minorEastAsia" w:hint="eastAsia"/>
          <w:lang w:val="en-GB" w:eastAsia="zh-CN"/>
        </w:rPr>
        <w:t>.</w:t>
      </w:r>
    </w:p>
    <w:p w14:paraId="4F1327F8" w14:textId="77777777" w:rsidR="00600535" w:rsidRPr="00D82BF9" w:rsidRDefault="00600535" w:rsidP="00600535">
      <w:pPr>
        <w:pStyle w:val="CETReference"/>
        <w:rPr>
          <w:lang w:val="en-US"/>
        </w:rPr>
      </w:pPr>
      <w:r w:rsidRPr="00D82BF9">
        <w:rPr>
          <w:lang w:val="en-US"/>
        </w:rPr>
        <w:t>References</w:t>
      </w:r>
    </w:p>
    <w:p w14:paraId="4C786F08" w14:textId="0DEC28C6" w:rsidR="00541DD8" w:rsidRDefault="00541DD8" w:rsidP="00541DD8">
      <w:pPr>
        <w:pStyle w:val="CETReferencetext"/>
      </w:pPr>
      <w:proofErr w:type="spellStart"/>
      <w:r w:rsidRPr="00D82BF9">
        <w:rPr>
          <w:lang w:val="en-US"/>
        </w:rPr>
        <w:t>Baldissone</w:t>
      </w:r>
      <w:proofErr w:type="spellEnd"/>
      <w:r w:rsidRPr="00D82BF9">
        <w:rPr>
          <w:lang w:val="en-US"/>
        </w:rPr>
        <w:t xml:space="preserve">, G., </w:t>
      </w:r>
      <w:proofErr w:type="spellStart"/>
      <w:r w:rsidRPr="00D82BF9">
        <w:rPr>
          <w:lang w:val="en-US"/>
        </w:rPr>
        <w:t>Demichela</w:t>
      </w:r>
      <w:proofErr w:type="spellEnd"/>
      <w:r w:rsidRPr="00D82BF9">
        <w:rPr>
          <w:lang w:val="en-US"/>
        </w:rPr>
        <w:t xml:space="preserve">, M., Leva, C., 2019. </w:t>
      </w:r>
      <w:r>
        <w:t>Multivariable based decision-making for the maintenance strategy of process equipment. Chemical Engineering Transactions 77, 1009–1014. https://doi.org/10.3303/CET1977169</w:t>
      </w:r>
    </w:p>
    <w:p w14:paraId="43486A29" w14:textId="77777777" w:rsidR="00541DD8" w:rsidRDefault="00541DD8" w:rsidP="00541DD8">
      <w:pPr>
        <w:pStyle w:val="CETReferencetext"/>
      </w:pPr>
      <w:r>
        <w:t>Chen, S., Xu, K., Yao, X., Ge, J., Li, L., Zhu, S., Li, Z., 2021. Information fusion and multi-classifier system for miner fatigue recognition in plateau environments based on electrocardiography and electromyography signals. Computer Methods and Programs in Biomedicine 211, 106451. https://doi.org/10.1016/j.cmpb.2021.106451</w:t>
      </w:r>
    </w:p>
    <w:p w14:paraId="4C1D8215" w14:textId="77777777" w:rsidR="00541DD8" w:rsidRDefault="00541DD8" w:rsidP="00541DD8">
      <w:pPr>
        <w:pStyle w:val="CETReferencetext"/>
      </w:pPr>
      <w:r>
        <w:t>Chen, Y., Lu, C., Tian, S., Gu, Q., Jiang, S., Li, X., Zou, Y., 2023. Monitoring and detecting coal miners’ fatigue status using MPA-LSSVM in the vision of smart mine. Process Safety and Environmental Protection 179, 774–783. https://doi.org/10.1016/j.psep.2023.09.054</w:t>
      </w:r>
    </w:p>
    <w:p w14:paraId="23143BA5" w14:textId="77777777" w:rsidR="00541DD8" w:rsidRDefault="00541DD8" w:rsidP="00541DD8">
      <w:pPr>
        <w:pStyle w:val="CETReferencetext"/>
        <w:rPr>
          <w:rFonts w:eastAsiaTheme="minorEastAsia"/>
          <w:lang w:eastAsia="zh-CN"/>
        </w:rPr>
      </w:pPr>
      <w:r w:rsidRPr="00541DD8">
        <w:rPr>
          <w:lang w:val="it-IT"/>
        </w:rPr>
        <w:t xml:space="preserve">Mariana, M., Sahroni, T.R., Gustiyana, T., 2018. </w:t>
      </w:r>
      <w:r>
        <w:t>Fatigue and Human Errors Analysis in Petrochemical and Oil and Gas Plant’s Operation.</w:t>
      </w:r>
    </w:p>
    <w:p w14:paraId="32BFFCA9" w14:textId="763781DC" w:rsidR="00BA553C" w:rsidRPr="00BA553C" w:rsidRDefault="00BA553C" w:rsidP="00BA553C">
      <w:pPr>
        <w:pStyle w:val="CETReferencetext"/>
        <w:rPr>
          <w:rFonts w:eastAsiaTheme="minorEastAsia"/>
          <w:lang w:eastAsia="zh-CN"/>
        </w:rPr>
      </w:pPr>
      <w:r w:rsidRPr="00C5145E">
        <w:rPr>
          <w:lang w:val="it-IT"/>
        </w:rPr>
        <w:t>Morillo, C</w:t>
      </w:r>
      <w:r>
        <w:rPr>
          <w:lang w:val="it-IT"/>
        </w:rPr>
        <w:t>.</w:t>
      </w:r>
      <w:r>
        <w:rPr>
          <w:rFonts w:eastAsiaTheme="minorEastAsia" w:hint="eastAsia"/>
          <w:lang w:val="it-IT" w:eastAsia="zh-CN"/>
        </w:rPr>
        <w:t>A.</w:t>
      </w:r>
      <w:r w:rsidRPr="00C5145E">
        <w:rPr>
          <w:lang w:val="it-IT"/>
        </w:rPr>
        <w:t xml:space="preserve">, Demichela, M., 2023. </w:t>
      </w:r>
      <w:r>
        <w:t xml:space="preserve">A Data-Driven Framework to Model Physical Fatigue in Industrial Environments Using Wearable Technologies, in: </w:t>
      </w:r>
      <w:proofErr w:type="spellStart"/>
      <w:r>
        <w:t>Neuroergonomics</w:t>
      </w:r>
      <w:proofErr w:type="spellEnd"/>
      <w:r>
        <w:t xml:space="preserve"> and Cognitive Engineering. Presented at the AHFE (2023) International Conference, AHFE Open Acces</w:t>
      </w:r>
      <w:r>
        <w:rPr>
          <w:rFonts w:eastAsiaTheme="minorEastAsia" w:hint="eastAsia"/>
          <w:lang w:eastAsia="zh-CN"/>
        </w:rPr>
        <w:t>s</w:t>
      </w:r>
      <w:r>
        <w:t>. https://doi.org/10.54941/ahfe1003016</w:t>
      </w:r>
    </w:p>
    <w:p w14:paraId="300530D3" w14:textId="77777777" w:rsidR="00541DD8" w:rsidRDefault="00541DD8" w:rsidP="00541DD8">
      <w:pPr>
        <w:pStyle w:val="CETReferencetext"/>
      </w:pPr>
      <w:r>
        <w:t xml:space="preserve">Nguyen, D.T., </w:t>
      </w:r>
      <w:proofErr w:type="spellStart"/>
      <w:r>
        <w:t>Trodahl</w:t>
      </w:r>
      <w:proofErr w:type="spellEnd"/>
      <w:r>
        <w:t xml:space="preserve">, M., Pedersen, T.A., </w:t>
      </w:r>
      <w:proofErr w:type="spellStart"/>
      <w:r>
        <w:t>Bakdi</w:t>
      </w:r>
      <w:proofErr w:type="spellEnd"/>
      <w:r>
        <w:t>, A., 2023. Verification of collision avoidance algorithms in open sea and full visibility using fuzzy logic. Ocean Engineering 280, 114455. https://doi.org/10.1016/j.oceaneng.2023.114455</w:t>
      </w:r>
    </w:p>
    <w:p w14:paraId="522EE75E" w14:textId="77777777" w:rsidR="00541DD8" w:rsidRDefault="00541DD8" w:rsidP="00541DD8">
      <w:pPr>
        <w:pStyle w:val="CETReferencetext"/>
      </w:pPr>
      <w:r>
        <w:t>Sedighi Maman, Z., Chen, Y.-J., Baghdadi, A., Lombardo, S., Cavuoto, L.A., Megahed, F.M., 2020. A data analytic framework for physical fatigue management using wearable sensors. Expert Systems with Applications 155, 113405. https://doi.org/10.1016/j.eswa.2020.113405</w:t>
      </w:r>
    </w:p>
    <w:p w14:paraId="6C6EDD62" w14:textId="77777777" w:rsidR="00541DD8" w:rsidRDefault="00541DD8" w:rsidP="00541DD8">
      <w:pPr>
        <w:pStyle w:val="CETReferencetext"/>
      </w:pPr>
      <w:r>
        <w:t xml:space="preserve">Yang, S., </w:t>
      </w:r>
      <w:proofErr w:type="spellStart"/>
      <w:r>
        <w:t>Demichela</w:t>
      </w:r>
      <w:proofErr w:type="spellEnd"/>
      <w:r>
        <w:t>, M., 2023. A data-driven narratives skeleton pattern recognition from accident reports dataset for human-and-organizational-factors analysis. Journal of Loss Prevention in the Process Industries 83, 105047. https://doi.org/10.1016/j.jlp.2023.105047</w:t>
      </w:r>
    </w:p>
    <w:p w14:paraId="19C4FC68" w14:textId="77777777" w:rsidR="004628D2" w:rsidRPr="00D82BF9" w:rsidRDefault="004628D2" w:rsidP="00FA5F5F">
      <w:pPr>
        <w:pStyle w:val="CETHeading1"/>
        <w:numPr>
          <w:ilvl w:val="0"/>
          <w:numId w:val="0"/>
        </w:numPr>
        <w:rPr>
          <w:rFonts w:eastAsiaTheme="minorEastAsia" w:hint="eastAsia"/>
          <w:lang w:val="en-GB" w:eastAsia="zh-CN"/>
        </w:rPr>
      </w:pPr>
    </w:p>
    <w:sectPr w:rsidR="004628D2" w:rsidRPr="00D82BF9" w:rsidSect="00E9023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FB7D" w14:textId="77777777" w:rsidR="001A72EC" w:rsidRDefault="001A72EC" w:rsidP="004F5E36">
      <w:r>
        <w:separator/>
      </w:r>
    </w:p>
  </w:endnote>
  <w:endnote w:type="continuationSeparator" w:id="0">
    <w:p w14:paraId="1B59BC05" w14:textId="77777777" w:rsidR="001A72EC" w:rsidRDefault="001A72E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FF4E" w14:textId="77777777" w:rsidR="001A72EC" w:rsidRDefault="001A72EC" w:rsidP="004F5E36">
      <w:r>
        <w:separator/>
      </w:r>
    </w:p>
  </w:footnote>
  <w:footnote w:type="continuationSeparator" w:id="0">
    <w:p w14:paraId="6B049818" w14:textId="77777777" w:rsidR="001A72EC" w:rsidRDefault="001A72E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255F42"/>
    <w:multiLevelType w:val="hybridMultilevel"/>
    <w:tmpl w:val="3D9034B4"/>
    <w:lvl w:ilvl="0" w:tplc="206E7F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9CE50E3"/>
    <w:multiLevelType w:val="hybridMultilevel"/>
    <w:tmpl w:val="D264C9A0"/>
    <w:lvl w:ilvl="0" w:tplc="206E7F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1DE43E68"/>
    <w:multiLevelType w:val="hybridMultilevel"/>
    <w:tmpl w:val="54E0B0F8"/>
    <w:lvl w:ilvl="0" w:tplc="A4AE4B2E">
      <w:start w:val="1"/>
      <w:numFmt w:val="bullet"/>
      <w:lvlText w:val=""/>
      <w:lvlJc w:val="left"/>
      <w:pPr>
        <w:ind w:left="720" w:hanging="360"/>
      </w:pPr>
      <w:rPr>
        <w:rFonts w:ascii="Symbol" w:hAnsi="Symbol" w:hint="default"/>
      </w:rPr>
    </w:lvl>
    <w:lvl w:ilvl="1" w:tplc="7E7A9070">
      <w:start w:val="1"/>
      <w:numFmt w:val="bullet"/>
      <w:lvlText w:val="o"/>
      <w:lvlJc w:val="left"/>
      <w:pPr>
        <w:ind w:left="1440" w:hanging="360"/>
      </w:pPr>
      <w:rPr>
        <w:rFonts w:ascii="Courier New" w:hAnsi="Courier New" w:hint="default"/>
      </w:rPr>
    </w:lvl>
    <w:lvl w:ilvl="2" w:tplc="8CAE6B36">
      <w:start w:val="1"/>
      <w:numFmt w:val="bullet"/>
      <w:lvlText w:val=""/>
      <w:lvlJc w:val="left"/>
      <w:pPr>
        <w:ind w:left="2160" w:hanging="360"/>
      </w:pPr>
      <w:rPr>
        <w:rFonts w:ascii="Wingdings" w:hAnsi="Wingdings" w:hint="default"/>
      </w:rPr>
    </w:lvl>
    <w:lvl w:ilvl="3" w:tplc="4FAA9A36">
      <w:start w:val="1"/>
      <w:numFmt w:val="bullet"/>
      <w:lvlText w:val=""/>
      <w:lvlJc w:val="left"/>
      <w:pPr>
        <w:ind w:left="2880" w:hanging="360"/>
      </w:pPr>
      <w:rPr>
        <w:rFonts w:ascii="Symbol" w:hAnsi="Symbol" w:hint="default"/>
      </w:rPr>
    </w:lvl>
    <w:lvl w:ilvl="4" w:tplc="B210B81E">
      <w:start w:val="1"/>
      <w:numFmt w:val="bullet"/>
      <w:lvlText w:val="o"/>
      <w:lvlJc w:val="left"/>
      <w:pPr>
        <w:ind w:left="3600" w:hanging="360"/>
      </w:pPr>
      <w:rPr>
        <w:rFonts w:ascii="Courier New" w:hAnsi="Courier New" w:hint="default"/>
      </w:rPr>
    </w:lvl>
    <w:lvl w:ilvl="5" w:tplc="09C4E090">
      <w:start w:val="1"/>
      <w:numFmt w:val="bullet"/>
      <w:lvlText w:val=""/>
      <w:lvlJc w:val="left"/>
      <w:pPr>
        <w:ind w:left="4320" w:hanging="360"/>
      </w:pPr>
      <w:rPr>
        <w:rFonts w:ascii="Wingdings" w:hAnsi="Wingdings" w:hint="default"/>
      </w:rPr>
    </w:lvl>
    <w:lvl w:ilvl="6" w:tplc="903271A8">
      <w:start w:val="1"/>
      <w:numFmt w:val="bullet"/>
      <w:lvlText w:val=""/>
      <w:lvlJc w:val="left"/>
      <w:pPr>
        <w:ind w:left="5040" w:hanging="360"/>
      </w:pPr>
      <w:rPr>
        <w:rFonts w:ascii="Symbol" w:hAnsi="Symbol" w:hint="default"/>
      </w:rPr>
    </w:lvl>
    <w:lvl w:ilvl="7" w:tplc="A0DE04A0">
      <w:start w:val="1"/>
      <w:numFmt w:val="bullet"/>
      <w:lvlText w:val="o"/>
      <w:lvlJc w:val="left"/>
      <w:pPr>
        <w:ind w:left="5760" w:hanging="360"/>
      </w:pPr>
      <w:rPr>
        <w:rFonts w:ascii="Courier New" w:hAnsi="Courier New" w:hint="default"/>
      </w:rPr>
    </w:lvl>
    <w:lvl w:ilvl="8" w:tplc="BEDEE664">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5B269E1"/>
    <w:multiLevelType w:val="hybridMultilevel"/>
    <w:tmpl w:val="40F8F8C8"/>
    <w:lvl w:ilvl="0" w:tplc="206E7F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1F67671"/>
    <w:multiLevelType w:val="hybridMultilevel"/>
    <w:tmpl w:val="5B483EAA"/>
    <w:lvl w:ilvl="0" w:tplc="206E7F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5A137"/>
    <w:multiLevelType w:val="hybridMultilevel"/>
    <w:tmpl w:val="65C81050"/>
    <w:lvl w:ilvl="0" w:tplc="138A12DA">
      <w:start w:val="1"/>
      <w:numFmt w:val="bullet"/>
      <w:lvlText w:val=""/>
      <w:lvlJc w:val="left"/>
      <w:pPr>
        <w:ind w:left="360" w:hanging="360"/>
      </w:pPr>
      <w:rPr>
        <w:rFonts w:ascii="Symbol" w:hAnsi="Symbol" w:hint="default"/>
      </w:rPr>
    </w:lvl>
    <w:lvl w:ilvl="1" w:tplc="A0460AEC">
      <w:start w:val="1"/>
      <w:numFmt w:val="bullet"/>
      <w:lvlText w:val="o"/>
      <w:lvlJc w:val="left"/>
      <w:pPr>
        <w:ind w:left="1080" w:hanging="360"/>
      </w:pPr>
      <w:rPr>
        <w:rFonts w:ascii="Courier New" w:hAnsi="Courier New" w:hint="default"/>
      </w:rPr>
    </w:lvl>
    <w:lvl w:ilvl="2" w:tplc="5D8AE014">
      <w:start w:val="1"/>
      <w:numFmt w:val="bullet"/>
      <w:lvlText w:val=""/>
      <w:lvlJc w:val="left"/>
      <w:pPr>
        <w:ind w:left="1800" w:hanging="360"/>
      </w:pPr>
      <w:rPr>
        <w:rFonts w:ascii="Wingdings" w:hAnsi="Wingdings" w:hint="default"/>
      </w:rPr>
    </w:lvl>
    <w:lvl w:ilvl="3" w:tplc="22348E2C">
      <w:start w:val="1"/>
      <w:numFmt w:val="bullet"/>
      <w:lvlText w:val=""/>
      <w:lvlJc w:val="left"/>
      <w:pPr>
        <w:ind w:left="2520" w:hanging="360"/>
      </w:pPr>
      <w:rPr>
        <w:rFonts w:ascii="Symbol" w:hAnsi="Symbol" w:hint="default"/>
      </w:rPr>
    </w:lvl>
    <w:lvl w:ilvl="4" w:tplc="8FC62C14">
      <w:start w:val="1"/>
      <w:numFmt w:val="bullet"/>
      <w:lvlText w:val="o"/>
      <w:lvlJc w:val="left"/>
      <w:pPr>
        <w:ind w:left="3240" w:hanging="360"/>
      </w:pPr>
      <w:rPr>
        <w:rFonts w:ascii="Courier New" w:hAnsi="Courier New" w:hint="default"/>
      </w:rPr>
    </w:lvl>
    <w:lvl w:ilvl="5" w:tplc="7F241088">
      <w:start w:val="1"/>
      <w:numFmt w:val="bullet"/>
      <w:lvlText w:val=""/>
      <w:lvlJc w:val="left"/>
      <w:pPr>
        <w:ind w:left="3960" w:hanging="360"/>
      </w:pPr>
      <w:rPr>
        <w:rFonts w:ascii="Wingdings" w:hAnsi="Wingdings" w:hint="default"/>
      </w:rPr>
    </w:lvl>
    <w:lvl w:ilvl="6" w:tplc="8280017C">
      <w:start w:val="1"/>
      <w:numFmt w:val="bullet"/>
      <w:lvlText w:val=""/>
      <w:lvlJc w:val="left"/>
      <w:pPr>
        <w:ind w:left="4680" w:hanging="360"/>
      </w:pPr>
      <w:rPr>
        <w:rFonts w:ascii="Symbol" w:hAnsi="Symbol" w:hint="default"/>
      </w:rPr>
    </w:lvl>
    <w:lvl w:ilvl="7" w:tplc="5DD0893E">
      <w:start w:val="1"/>
      <w:numFmt w:val="bullet"/>
      <w:lvlText w:val="o"/>
      <w:lvlJc w:val="left"/>
      <w:pPr>
        <w:ind w:left="5400" w:hanging="360"/>
      </w:pPr>
      <w:rPr>
        <w:rFonts w:ascii="Courier New" w:hAnsi="Courier New" w:hint="default"/>
      </w:rPr>
    </w:lvl>
    <w:lvl w:ilvl="8" w:tplc="9236CD84">
      <w:start w:val="1"/>
      <w:numFmt w:val="bullet"/>
      <w:lvlText w:val=""/>
      <w:lvlJc w:val="left"/>
      <w:pPr>
        <w:ind w:left="6120" w:hanging="360"/>
      </w:pPr>
      <w:rPr>
        <w:rFonts w:ascii="Wingdings" w:hAnsi="Wingdings" w:hint="default"/>
      </w:r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6074650"/>
    <w:multiLevelType w:val="hybridMultilevel"/>
    <w:tmpl w:val="3A706400"/>
    <w:lvl w:ilvl="0" w:tplc="206E7F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72E7D93"/>
    <w:multiLevelType w:val="hybridMultilevel"/>
    <w:tmpl w:val="014C366E"/>
    <w:lvl w:ilvl="0" w:tplc="206E7F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9C05C3"/>
    <w:multiLevelType w:val="hybridMultilevel"/>
    <w:tmpl w:val="53E28E56"/>
    <w:lvl w:ilvl="0" w:tplc="206E7F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029677279">
    <w:abstractNumId w:val="19"/>
  </w:num>
  <w:num w:numId="2" w16cid:durableId="210532537">
    <w:abstractNumId w:val="12"/>
  </w:num>
  <w:num w:numId="3" w16cid:durableId="1030305860">
    <w:abstractNumId w:val="13"/>
  </w:num>
  <w:num w:numId="4" w16cid:durableId="1939479859">
    <w:abstractNumId w:val="8"/>
  </w:num>
  <w:num w:numId="5" w16cid:durableId="976295760">
    <w:abstractNumId w:val="3"/>
  </w:num>
  <w:num w:numId="6" w16cid:durableId="23678545">
    <w:abstractNumId w:val="2"/>
  </w:num>
  <w:num w:numId="7" w16cid:durableId="1901554720">
    <w:abstractNumId w:val="1"/>
  </w:num>
  <w:num w:numId="8" w16cid:durableId="1979601308">
    <w:abstractNumId w:val="0"/>
  </w:num>
  <w:num w:numId="9" w16cid:durableId="1215388478">
    <w:abstractNumId w:val="9"/>
  </w:num>
  <w:num w:numId="10" w16cid:durableId="759717833">
    <w:abstractNumId w:val="7"/>
  </w:num>
  <w:num w:numId="11" w16cid:durableId="815683955">
    <w:abstractNumId w:val="6"/>
  </w:num>
  <w:num w:numId="12" w16cid:durableId="1066416165">
    <w:abstractNumId w:val="5"/>
  </w:num>
  <w:num w:numId="13" w16cid:durableId="438722583">
    <w:abstractNumId w:val="4"/>
  </w:num>
  <w:num w:numId="14" w16cid:durableId="733702629">
    <w:abstractNumId w:val="25"/>
  </w:num>
  <w:num w:numId="15" w16cid:durableId="1573659240">
    <w:abstractNumId w:val="17"/>
  </w:num>
  <w:num w:numId="16" w16cid:durableId="2092192635">
    <w:abstractNumId w:val="26"/>
  </w:num>
  <w:num w:numId="17" w16cid:durableId="1115637783">
    <w:abstractNumId w:val="28"/>
  </w:num>
  <w:num w:numId="18" w16cid:durableId="635987207">
    <w:abstractNumId w:val="27"/>
  </w:num>
  <w:num w:numId="19" w16cid:durableId="1476411020">
    <w:abstractNumId w:val="16"/>
  </w:num>
  <w:num w:numId="20" w16cid:durableId="2106877164">
    <w:abstractNumId w:val="17"/>
    <w:lvlOverride w:ilvl="0">
      <w:startOverride w:val="1"/>
    </w:lvlOverride>
  </w:num>
  <w:num w:numId="21" w16cid:durableId="1650403514">
    <w:abstractNumId w:val="24"/>
  </w:num>
  <w:num w:numId="22" w16cid:durableId="536504040">
    <w:abstractNumId w:val="23"/>
  </w:num>
  <w:num w:numId="23" w16cid:durableId="518815501">
    <w:abstractNumId w:val="20"/>
  </w:num>
  <w:num w:numId="24" w16cid:durableId="299530822">
    <w:abstractNumId w:val="18"/>
  </w:num>
  <w:num w:numId="25" w16cid:durableId="129252992">
    <w:abstractNumId w:val="29"/>
  </w:num>
  <w:num w:numId="26" w16cid:durableId="108549243">
    <w:abstractNumId w:val="21"/>
  </w:num>
  <w:num w:numId="27" w16cid:durableId="2063206918">
    <w:abstractNumId w:val="22"/>
  </w:num>
  <w:num w:numId="28" w16cid:durableId="876699481">
    <w:abstractNumId w:val="14"/>
  </w:num>
  <w:num w:numId="29" w16cid:durableId="139155259">
    <w:abstractNumId w:val="15"/>
  </w:num>
  <w:num w:numId="30" w16cid:durableId="630087993">
    <w:abstractNumId w:val="11"/>
  </w:num>
  <w:num w:numId="31" w16cid:durableId="1939753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0FAC+bkuEtAAAA"/>
  </w:docVars>
  <w:rsids>
    <w:rsidRoot w:val="000E414A"/>
    <w:rsid w:val="000027C0"/>
    <w:rsid w:val="000052FB"/>
    <w:rsid w:val="000117CB"/>
    <w:rsid w:val="0003148D"/>
    <w:rsid w:val="00031EEC"/>
    <w:rsid w:val="00051566"/>
    <w:rsid w:val="00062A9A"/>
    <w:rsid w:val="00065058"/>
    <w:rsid w:val="00086C39"/>
    <w:rsid w:val="000A03B2"/>
    <w:rsid w:val="000A5518"/>
    <w:rsid w:val="000B4E00"/>
    <w:rsid w:val="000D0268"/>
    <w:rsid w:val="000D14E5"/>
    <w:rsid w:val="000D34BE"/>
    <w:rsid w:val="000D750B"/>
    <w:rsid w:val="000E102F"/>
    <w:rsid w:val="000E36F1"/>
    <w:rsid w:val="000E3A73"/>
    <w:rsid w:val="000E414A"/>
    <w:rsid w:val="000E7BB7"/>
    <w:rsid w:val="000F093C"/>
    <w:rsid w:val="000F787B"/>
    <w:rsid w:val="00106B28"/>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A72EC"/>
    <w:rsid w:val="001B0349"/>
    <w:rsid w:val="001B1E93"/>
    <w:rsid w:val="001B65C1"/>
    <w:rsid w:val="001C684B"/>
    <w:rsid w:val="001D0CFB"/>
    <w:rsid w:val="001D53FC"/>
    <w:rsid w:val="001F42A5"/>
    <w:rsid w:val="001F7B9D"/>
    <w:rsid w:val="00201C93"/>
    <w:rsid w:val="002022EB"/>
    <w:rsid w:val="002224B4"/>
    <w:rsid w:val="0022277D"/>
    <w:rsid w:val="002447EF"/>
    <w:rsid w:val="00251550"/>
    <w:rsid w:val="00263B05"/>
    <w:rsid w:val="0027221A"/>
    <w:rsid w:val="00275B61"/>
    <w:rsid w:val="00280C2D"/>
    <w:rsid w:val="00280FAF"/>
    <w:rsid w:val="00282056"/>
    <w:rsid w:val="00282656"/>
    <w:rsid w:val="00296B83"/>
    <w:rsid w:val="002B4015"/>
    <w:rsid w:val="002B78CE"/>
    <w:rsid w:val="002C2FB6"/>
    <w:rsid w:val="002E5FA7"/>
    <w:rsid w:val="002F3309"/>
    <w:rsid w:val="003008CE"/>
    <w:rsid w:val="003009B7"/>
    <w:rsid w:val="00300E56"/>
    <w:rsid w:val="0030469C"/>
    <w:rsid w:val="00321CA6"/>
    <w:rsid w:val="00323763"/>
    <w:rsid w:val="00330655"/>
    <w:rsid w:val="00334C09"/>
    <w:rsid w:val="00362FCE"/>
    <w:rsid w:val="003723D4"/>
    <w:rsid w:val="00381905"/>
    <w:rsid w:val="00384CC8"/>
    <w:rsid w:val="003871FD"/>
    <w:rsid w:val="003A1E30"/>
    <w:rsid w:val="003A2829"/>
    <w:rsid w:val="003A7D1C"/>
    <w:rsid w:val="003B304B"/>
    <w:rsid w:val="003B3146"/>
    <w:rsid w:val="003C0F05"/>
    <w:rsid w:val="003F015E"/>
    <w:rsid w:val="003F5B46"/>
    <w:rsid w:val="00400414"/>
    <w:rsid w:val="0041446B"/>
    <w:rsid w:val="0044329C"/>
    <w:rsid w:val="00447042"/>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30D4"/>
    <w:rsid w:val="004E4DD6"/>
    <w:rsid w:val="004F42D4"/>
    <w:rsid w:val="004F5E36"/>
    <w:rsid w:val="00507B47"/>
    <w:rsid w:val="00507BEF"/>
    <w:rsid w:val="00507CC9"/>
    <w:rsid w:val="005119A5"/>
    <w:rsid w:val="005278B7"/>
    <w:rsid w:val="00532016"/>
    <w:rsid w:val="0053374C"/>
    <w:rsid w:val="005346C8"/>
    <w:rsid w:val="00541DD8"/>
    <w:rsid w:val="00543E7D"/>
    <w:rsid w:val="00547A68"/>
    <w:rsid w:val="005531C9"/>
    <w:rsid w:val="005553FC"/>
    <w:rsid w:val="00555DA3"/>
    <w:rsid w:val="00570C43"/>
    <w:rsid w:val="00574BC6"/>
    <w:rsid w:val="00586991"/>
    <w:rsid w:val="00590790"/>
    <w:rsid w:val="005A3C0A"/>
    <w:rsid w:val="005A6522"/>
    <w:rsid w:val="005B2110"/>
    <w:rsid w:val="005B61E6"/>
    <w:rsid w:val="005C77E1"/>
    <w:rsid w:val="005D668A"/>
    <w:rsid w:val="005D6A2F"/>
    <w:rsid w:val="005E1A82"/>
    <w:rsid w:val="005E3DC1"/>
    <w:rsid w:val="005E794C"/>
    <w:rsid w:val="005F0A28"/>
    <w:rsid w:val="005F0E5E"/>
    <w:rsid w:val="005F4661"/>
    <w:rsid w:val="00600535"/>
    <w:rsid w:val="00610CD6"/>
    <w:rsid w:val="00620DEE"/>
    <w:rsid w:val="00621F92"/>
    <w:rsid w:val="0062280A"/>
    <w:rsid w:val="00625639"/>
    <w:rsid w:val="00631B33"/>
    <w:rsid w:val="0064184D"/>
    <w:rsid w:val="006422CC"/>
    <w:rsid w:val="006476E7"/>
    <w:rsid w:val="00660E3E"/>
    <w:rsid w:val="00662E74"/>
    <w:rsid w:val="00665323"/>
    <w:rsid w:val="00680C23"/>
    <w:rsid w:val="00681F84"/>
    <w:rsid w:val="00683E54"/>
    <w:rsid w:val="0068637E"/>
    <w:rsid w:val="00693766"/>
    <w:rsid w:val="006A3281"/>
    <w:rsid w:val="006A7ABD"/>
    <w:rsid w:val="006B4888"/>
    <w:rsid w:val="006B6867"/>
    <w:rsid w:val="006C2E45"/>
    <w:rsid w:val="006C359C"/>
    <w:rsid w:val="006C5212"/>
    <w:rsid w:val="006C5579"/>
    <w:rsid w:val="006D6E8B"/>
    <w:rsid w:val="006E737D"/>
    <w:rsid w:val="00713973"/>
    <w:rsid w:val="00720A24"/>
    <w:rsid w:val="00732386"/>
    <w:rsid w:val="0073514D"/>
    <w:rsid w:val="007447F3"/>
    <w:rsid w:val="00746220"/>
    <w:rsid w:val="00747F55"/>
    <w:rsid w:val="0075499F"/>
    <w:rsid w:val="007661C8"/>
    <w:rsid w:val="0077098D"/>
    <w:rsid w:val="007931FA"/>
    <w:rsid w:val="007A4861"/>
    <w:rsid w:val="007A7BBA"/>
    <w:rsid w:val="007B0C50"/>
    <w:rsid w:val="007B48F9"/>
    <w:rsid w:val="007C1A43"/>
    <w:rsid w:val="0080013E"/>
    <w:rsid w:val="0081112D"/>
    <w:rsid w:val="00813288"/>
    <w:rsid w:val="008168FC"/>
    <w:rsid w:val="00825DD9"/>
    <w:rsid w:val="00830996"/>
    <w:rsid w:val="008345F1"/>
    <w:rsid w:val="00845B6D"/>
    <w:rsid w:val="00861AB8"/>
    <w:rsid w:val="00865B07"/>
    <w:rsid w:val="008667EA"/>
    <w:rsid w:val="0087637F"/>
    <w:rsid w:val="008853BB"/>
    <w:rsid w:val="008856F6"/>
    <w:rsid w:val="00892AD5"/>
    <w:rsid w:val="008A1512"/>
    <w:rsid w:val="008D1FD0"/>
    <w:rsid w:val="008D2CAE"/>
    <w:rsid w:val="008D32B9"/>
    <w:rsid w:val="008D433B"/>
    <w:rsid w:val="008E566E"/>
    <w:rsid w:val="0090161A"/>
    <w:rsid w:val="00901EB6"/>
    <w:rsid w:val="00904C62"/>
    <w:rsid w:val="00922BA8"/>
    <w:rsid w:val="00924DAC"/>
    <w:rsid w:val="00927058"/>
    <w:rsid w:val="00942750"/>
    <w:rsid w:val="009450CE"/>
    <w:rsid w:val="00947179"/>
    <w:rsid w:val="0095164B"/>
    <w:rsid w:val="009538B6"/>
    <w:rsid w:val="00954090"/>
    <w:rsid w:val="009573E7"/>
    <w:rsid w:val="00963E05"/>
    <w:rsid w:val="00967843"/>
    <w:rsid w:val="00967D54"/>
    <w:rsid w:val="00971028"/>
    <w:rsid w:val="00983547"/>
    <w:rsid w:val="00983D10"/>
    <w:rsid w:val="00993B84"/>
    <w:rsid w:val="00996483"/>
    <w:rsid w:val="00996F5A"/>
    <w:rsid w:val="009A074C"/>
    <w:rsid w:val="009B041A"/>
    <w:rsid w:val="009C37C3"/>
    <w:rsid w:val="009C7C86"/>
    <w:rsid w:val="009D2FF7"/>
    <w:rsid w:val="009E7884"/>
    <w:rsid w:val="009E788A"/>
    <w:rsid w:val="009F0E08"/>
    <w:rsid w:val="00A01263"/>
    <w:rsid w:val="00A1763D"/>
    <w:rsid w:val="00A17CEC"/>
    <w:rsid w:val="00A27EF0"/>
    <w:rsid w:val="00A3696A"/>
    <w:rsid w:val="00A42361"/>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2507E"/>
    <w:rsid w:val="00B26C15"/>
    <w:rsid w:val="00B315A6"/>
    <w:rsid w:val="00B31813"/>
    <w:rsid w:val="00B330B0"/>
    <w:rsid w:val="00B33365"/>
    <w:rsid w:val="00B5559F"/>
    <w:rsid w:val="00B57B36"/>
    <w:rsid w:val="00B57E6F"/>
    <w:rsid w:val="00B8686D"/>
    <w:rsid w:val="00B93F69"/>
    <w:rsid w:val="00BA31C5"/>
    <w:rsid w:val="00BA553C"/>
    <w:rsid w:val="00BB1DDC"/>
    <w:rsid w:val="00BC30C9"/>
    <w:rsid w:val="00BC4B6F"/>
    <w:rsid w:val="00BC5657"/>
    <w:rsid w:val="00BD077D"/>
    <w:rsid w:val="00BE3E58"/>
    <w:rsid w:val="00C01616"/>
    <w:rsid w:val="00C0162B"/>
    <w:rsid w:val="00C01B4E"/>
    <w:rsid w:val="00C068ED"/>
    <w:rsid w:val="00C20FD7"/>
    <w:rsid w:val="00C22E0C"/>
    <w:rsid w:val="00C345B1"/>
    <w:rsid w:val="00C40142"/>
    <w:rsid w:val="00C46E38"/>
    <w:rsid w:val="00C5145E"/>
    <w:rsid w:val="00C52C3C"/>
    <w:rsid w:val="00C57182"/>
    <w:rsid w:val="00C57863"/>
    <w:rsid w:val="00C655FD"/>
    <w:rsid w:val="00C75407"/>
    <w:rsid w:val="00C870A8"/>
    <w:rsid w:val="00C9143A"/>
    <w:rsid w:val="00C94434"/>
    <w:rsid w:val="00CA0D75"/>
    <w:rsid w:val="00CA1C95"/>
    <w:rsid w:val="00CA5A9C"/>
    <w:rsid w:val="00CC4C20"/>
    <w:rsid w:val="00CD3517"/>
    <w:rsid w:val="00CD5FE2"/>
    <w:rsid w:val="00CE7C68"/>
    <w:rsid w:val="00D02B4C"/>
    <w:rsid w:val="00D040C4"/>
    <w:rsid w:val="00D14F8F"/>
    <w:rsid w:val="00D46B7E"/>
    <w:rsid w:val="00D57C84"/>
    <w:rsid w:val="00D6057D"/>
    <w:rsid w:val="00D82BF9"/>
    <w:rsid w:val="00D836C5"/>
    <w:rsid w:val="00D84576"/>
    <w:rsid w:val="00D95355"/>
    <w:rsid w:val="00DA1399"/>
    <w:rsid w:val="00DA24C6"/>
    <w:rsid w:val="00DA4D7B"/>
    <w:rsid w:val="00DB3BBD"/>
    <w:rsid w:val="00DB7503"/>
    <w:rsid w:val="00DE264A"/>
    <w:rsid w:val="00DE6BAF"/>
    <w:rsid w:val="00DF5072"/>
    <w:rsid w:val="00E02D18"/>
    <w:rsid w:val="00E03930"/>
    <w:rsid w:val="00E041E7"/>
    <w:rsid w:val="00E20437"/>
    <w:rsid w:val="00E23CA1"/>
    <w:rsid w:val="00E31604"/>
    <w:rsid w:val="00E409A8"/>
    <w:rsid w:val="00E50C12"/>
    <w:rsid w:val="00E65B91"/>
    <w:rsid w:val="00E668F2"/>
    <w:rsid w:val="00E7209D"/>
    <w:rsid w:val="00E72EAD"/>
    <w:rsid w:val="00E77223"/>
    <w:rsid w:val="00E8380F"/>
    <w:rsid w:val="00E8528B"/>
    <w:rsid w:val="00E85B94"/>
    <w:rsid w:val="00E9023D"/>
    <w:rsid w:val="00E978D0"/>
    <w:rsid w:val="00EA413E"/>
    <w:rsid w:val="00EA4613"/>
    <w:rsid w:val="00EA7F91"/>
    <w:rsid w:val="00EB1523"/>
    <w:rsid w:val="00EB1CAA"/>
    <w:rsid w:val="00EC0E49"/>
    <w:rsid w:val="00EC101F"/>
    <w:rsid w:val="00EC1D9F"/>
    <w:rsid w:val="00EC6ED2"/>
    <w:rsid w:val="00EE0131"/>
    <w:rsid w:val="00EE17B0"/>
    <w:rsid w:val="00EF000F"/>
    <w:rsid w:val="00EF06D9"/>
    <w:rsid w:val="00F30C64"/>
    <w:rsid w:val="00F32BA2"/>
    <w:rsid w:val="00F32CDB"/>
    <w:rsid w:val="00F4048B"/>
    <w:rsid w:val="00F42B20"/>
    <w:rsid w:val="00F530EC"/>
    <w:rsid w:val="00F565FE"/>
    <w:rsid w:val="00F63A70"/>
    <w:rsid w:val="00F7534E"/>
    <w:rsid w:val="00F83894"/>
    <w:rsid w:val="00F911E0"/>
    <w:rsid w:val="00FA21D0"/>
    <w:rsid w:val="00FA5F5F"/>
    <w:rsid w:val="00FB5E73"/>
    <w:rsid w:val="00FB730C"/>
    <w:rsid w:val="00FC2695"/>
    <w:rsid w:val="00FC3E03"/>
    <w:rsid w:val="00FC3FC1"/>
    <w:rsid w:val="00FD7D1C"/>
    <w:rsid w:val="00FE526D"/>
    <w:rsid w:val="0295FC47"/>
    <w:rsid w:val="0432C9C2"/>
    <w:rsid w:val="069BB888"/>
    <w:rsid w:val="0B9107E1"/>
    <w:rsid w:val="115969EC"/>
    <w:rsid w:val="1A718981"/>
    <w:rsid w:val="22F107C5"/>
    <w:rsid w:val="23CC3773"/>
    <w:rsid w:val="28597A7F"/>
    <w:rsid w:val="2D07442E"/>
    <w:rsid w:val="321210A9"/>
    <w:rsid w:val="3E16C529"/>
    <w:rsid w:val="519DBF48"/>
    <w:rsid w:val="53F24B0E"/>
    <w:rsid w:val="58EFBABE"/>
    <w:rsid w:val="59E9232A"/>
    <w:rsid w:val="5E9450ED"/>
    <w:rsid w:val="60A04F57"/>
    <w:rsid w:val="6213081A"/>
    <w:rsid w:val="65ADCAEE"/>
    <w:rsid w:val="68F6A687"/>
    <w:rsid w:val="6ACE14F3"/>
    <w:rsid w:val="73460675"/>
    <w:rsid w:val="73810270"/>
    <w:rsid w:val="751BE14A"/>
    <w:rsid w:val="76AC2ACA"/>
    <w:rsid w:val="7C01134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3"/>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3"/>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3"/>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批注框文本 字符"/>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正文文本 2 字符"/>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正文文本 3 字符"/>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正文文本 字符"/>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期 字符"/>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签名 字符"/>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电子邮件签名 字符"/>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称呼 字符"/>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结束语 字符"/>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地址 字符"/>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信息标题 字符"/>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注释标题 字符"/>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文档结构图 字符"/>
    <w:basedOn w:val="a2"/>
    <w:link w:val="aff0"/>
    <w:uiPriority w:val="99"/>
    <w:semiHidden/>
    <w:rsid w:val="0003148D"/>
    <w:rPr>
      <w:rFonts w:ascii="Tahoma" w:hAnsi="Tahoma" w:cs="Tahoma"/>
      <w:sz w:val="16"/>
      <w:szCs w:val="16"/>
    </w:rPr>
  </w:style>
  <w:style w:type="paragraph" w:styleId="aff2">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4"/>
      </w:numPr>
      <w:contextualSpacing/>
    </w:pPr>
  </w:style>
  <w:style w:type="paragraph" w:styleId="2">
    <w:name w:val="List Number 2"/>
    <w:basedOn w:val="a1"/>
    <w:uiPriority w:val="99"/>
    <w:semiHidden/>
    <w:unhideWhenUsed/>
    <w:rsid w:val="0003148D"/>
    <w:pPr>
      <w:numPr>
        <w:numId w:val="5"/>
      </w:numPr>
      <w:contextualSpacing/>
    </w:pPr>
  </w:style>
  <w:style w:type="paragraph" w:styleId="3">
    <w:name w:val="List Number 3"/>
    <w:basedOn w:val="a1"/>
    <w:uiPriority w:val="99"/>
    <w:semiHidden/>
    <w:unhideWhenUsed/>
    <w:rsid w:val="0003148D"/>
    <w:pPr>
      <w:numPr>
        <w:numId w:val="6"/>
      </w:numPr>
      <w:contextualSpacing/>
    </w:pPr>
  </w:style>
  <w:style w:type="paragraph" w:styleId="4">
    <w:name w:val="List Number 4"/>
    <w:basedOn w:val="a1"/>
    <w:uiPriority w:val="99"/>
    <w:semiHidden/>
    <w:unhideWhenUsed/>
    <w:rsid w:val="0003148D"/>
    <w:pPr>
      <w:numPr>
        <w:numId w:val="7"/>
      </w:numPr>
      <w:contextualSpacing/>
    </w:pPr>
  </w:style>
  <w:style w:type="paragraph" w:styleId="5">
    <w:name w:val="List Number 5"/>
    <w:basedOn w:val="a1"/>
    <w:uiPriority w:val="99"/>
    <w:semiHidden/>
    <w:unhideWhenUsed/>
    <w:rsid w:val="0003148D"/>
    <w:pPr>
      <w:numPr>
        <w:numId w:val="8"/>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预设格式 字符"/>
    <w:basedOn w:val="a2"/>
    <w:link w:val="HTML1"/>
    <w:uiPriority w:val="99"/>
    <w:semiHidden/>
    <w:rsid w:val="0003148D"/>
    <w:rPr>
      <w:rFonts w:ascii="Consolas" w:hAnsi="Consolas" w:cs="Consolas"/>
      <w:sz w:val="20"/>
      <w:szCs w:val="20"/>
    </w:rPr>
  </w:style>
  <w:style w:type="paragraph" w:styleId="aff3">
    <w:name w:val="Body Text First Indent"/>
    <w:basedOn w:val="a9"/>
    <w:link w:val="aff4"/>
    <w:uiPriority w:val="99"/>
    <w:semiHidden/>
    <w:unhideWhenUsed/>
    <w:rsid w:val="0003148D"/>
    <w:pPr>
      <w:spacing w:after="200"/>
      <w:ind w:firstLine="360"/>
    </w:pPr>
  </w:style>
  <w:style w:type="character" w:customStyle="1" w:styleId="aff4">
    <w:name w:val="正文文本首行缩进 字符"/>
    <w:basedOn w:val="aa"/>
    <w:link w:val="aff3"/>
    <w:uiPriority w:val="99"/>
    <w:semiHidden/>
    <w:rsid w:val="0003148D"/>
  </w:style>
  <w:style w:type="paragraph" w:styleId="aff5">
    <w:name w:val="Body Text Indent"/>
    <w:basedOn w:val="a1"/>
    <w:link w:val="aff6"/>
    <w:uiPriority w:val="99"/>
    <w:semiHidden/>
    <w:unhideWhenUsed/>
    <w:rsid w:val="0003148D"/>
    <w:pPr>
      <w:spacing w:after="120"/>
      <w:ind w:left="283"/>
    </w:pPr>
  </w:style>
  <w:style w:type="character" w:customStyle="1" w:styleId="aff6">
    <w:name w:val="正文文本缩进 字符"/>
    <w:basedOn w:val="a2"/>
    <w:link w:val="aff5"/>
    <w:uiPriority w:val="99"/>
    <w:semiHidden/>
    <w:rsid w:val="0003148D"/>
  </w:style>
  <w:style w:type="paragraph" w:styleId="28">
    <w:name w:val="Body Text First Indent 2"/>
    <w:basedOn w:val="aff5"/>
    <w:link w:val="29"/>
    <w:uiPriority w:val="99"/>
    <w:semiHidden/>
    <w:unhideWhenUsed/>
    <w:rsid w:val="0003148D"/>
    <w:pPr>
      <w:spacing w:after="200"/>
      <w:ind w:left="360" w:firstLine="360"/>
    </w:pPr>
  </w:style>
  <w:style w:type="character" w:customStyle="1" w:styleId="29">
    <w:name w:val="正文文本首行缩进 2 字符"/>
    <w:basedOn w:val="aff6"/>
    <w:link w:val="28"/>
    <w:uiPriority w:val="99"/>
    <w:semiHidden/>
    <w:rsid w:val="0003148D"/>
  </w:style>
  <w:style w:type="paragraph" w:styleId="a0">
    <w:name w:val="List Bullet"/>
    <w:basedOn w:val="a1"/>
    <w:uiPriority w:val="99"/>
    <w:semiHidden/>
    <w:unhideWhenUsed/>
    <w:rsid w:val="0003148D"/>
    <w:pPr>
      <w:numPr>
        <w:numId w:val="9"/>
      </w:numPr>
      <w:contextualSpacing/>
    </w:pPr>
  </w:style>
  <w:style w:type="paragraph" w:styleId="20">
    <w:name w:val="List Bullet 2"/>
    <w:basedOn w:val="a1"/>
    <w:uiPriority w:val="99"/>
    <w:semiHidden/>
    <w:unhideWhenUsed/>
    <w:rsid w:val="0003148D"/>
    <w:pPr>
      <w:numPr>
        <w:numId w:val="10"/>
      </w:numPr>
      <w:contextualSpacing/>
    </w:pPr>
  </w:style>
  <w:style w:type="paragraph" w:styleId="30">
    <w:name w:val="List Bullet 3"/>
    <w:basedOn w:val="a1"/>
    <w:uiPriority w:val="99"/>
    <w:semiHidden/>
    <w:unhideWhenUsed/>
    <w:rsid w:val="0003148D"/>
    <w:pPr>
      <w:numPr>
        <w:numId w:val="11"/>
      </w:numPr>
      <w:contextualSpacing/>
    </w:pPr>
  </w:style>
  <w:style w:type="paragraph" w:styleId="40">
    <w:name w:val="List Bullet 4"/>
    <w:basedOn w:val="a1"/>
    <w:uiPriority w:val="99"/>
    <w:semiHidden/>
    <w:unhideWhenUsed/>
    <w:rsid w:val="0003148D"/>
    <w:pPr>
      <w:numPr>
        <w:numId w:val="12"/>
      </w:numPr>
      <w:contextualSpacing/>
    </w:pPr>
  </w:style>
  <w:style w:type="paragraph" w:styleId="50">
    <w:name w:val="List Bullet 5"/>
    <w:basedOn w:val="a1"/>
    <w:uiPriority w:val="99"/>
    <w:semiHidden/>
    <w:unhideWhenUsed/>
    <w:rsid w:val="0003148D"/>
    <w:pPr>
      <w:numPr>
        <w:numId w:val="13"/>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正文文本缩进 2 字符"/>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正文文本缩进 3 字符"/>
    <w:basedOn w:val="a2"/>
    <w:link w:val="38"/>
    <w:uiPriority w:val="99"/>
    <w:semiHidden/>
    <w:rsid w:val="0003148D"/>
    <w:rPr>
      <w:sz w:val="16"/>
      <w:szCs w:val="16"/>
    </w:rPr>
  </w:style>
  <w:style w:type="paragraph" w:styleId="aff7">
    <w:name w:val="Normal Indent"/>
    <w:basedOn w:val="a1"/>
    <w:uiPriority w:val="99"/>
    <w:semiHidden/>
    <w:unhideWhenUsed/>
    <w:rsid w:val="0003148D"/>
    <w:pPr>
      <w:ind w:left="720"/>
    </w:pPr>
  </w:style>
  <w:style w:type="paragraph" w:styleId="aff8">
    <w:name w:val="annotation text"/>
    <w:basedOn w:val="a1"/>
    <w:link w:val="aff9"/>
    <w:uiPriority w:val="99"/>
    <w:unhideWhenUsed/>
    <w:rsid w:val="0003148D"/>
    <w:pPr>
      <w:spacing w:line="240" w:lineRule="auto"/>
    </w:pPr>
  </w:style>
  <w:style w:type="character" w:customStyle="1" w:styleId="aff9">
    <w:name w:val="批注文字 字符"/>
    <w:basedOn w:val="a2"/>
    <w:link w:val="aff8"/>
    <w:uiPriority w:val="99"/>
    <w:rsid w:val="0003148D"/>
    <w:rPr>
      <w:sz w:val="20"/>
      <w:szCs w:val="20"/>
    </w:rPr>
  </w:style>
  <w:style w:type="paragraph" w:styleId="affa">
    <w:name w:val="annotation subject"/>
    <w:basedOn w:val="aff8"/>
    <w:next w:val="aff8"/>
    <w:link w:val="affb"/>
    <w:uiPriority w:val="99"/>
    <w:semiHidden/>
    <w:unhideWhenUsed/>
    <w:rsid w:val="0003148D"/>
    <w:rPr>
      <w:b/>
      <w:bCs/>
    </w:rPr>
  </w:style>
  <w:style w:type="character" w:customStyle="1" w:styleId="affb">
    <w:name w:val="批注主题 字符"/>
    <w:basedOn w:val="aff9"/>
    <w:link w:val="affa"/>
    <w:uiPriority w:val="99"/>
    <w:semiHidden/>
    <w:rsid w:val="0003148D"/>
    <w:rPr>
      <w:b/>
      <w:bCs/>
      <w:sz w:val="20"/>
      <w:szCs w:val="20"/>
    </w:rPr>
  </w:style>
  <w:style w:type="paragraph" w:styleId="TOC1">
    <w:name w:val="toc 1"/>
    <w:basedOn w:val="a1"/>
    <w:next w:val="a1"/>
    <w:autoRedefine/>
    <w:uiPriority w:val="39"/>
    <w:semiHidden/>
    <w:unhideWhenUsed/>
    <w:rsid w:val="0003148D"/>
    <w:pPr>
      <w:spacing w:after="100"/>
    </w:pPr>
  </w:style>
  <w:style w:type="paragraph" w:styleId="TOC2">
    <w:name w:val="toc 2"/>
    <w:basedOn w:val="a1"/>
    <w:next w:val="a1"/>
    <w:autoRedefine/>
    <w:uiPriority w:val="39"/>
    <w:semiHidden/>
    <w:unhideWhenUsed/>
    <w:rsid w:val="0003148D"/>
    <w:pPr>
      <w:spacing w:after="100"/>
      <w:ind w:left="220"/>
    </w:pPr>
  </w:style>
  <w:style w:type="paragraph" w:styleId="TOC3">
    <w:name w:val="toc 3"/>
    <w:basedOn w:val="a1"/>
    <w:next w:val="a1"/>
    <w:autoRedefine/>
    <w:uiPriority w:val="39"/>
    <w:semiHidden/>
    <w:unhideWhenUsed/>
    <w:rsid w:val="0003148D"/>
    <w:pPr>
      <w:spacing w:after="100"/>
      <w:ind w:left="440"/>
    </w:pPr>
  </w:style>
  <w:style w:type="paragraph" w:styleId="TOC4">
    <w:name w:val="toc 4"/>
    <w:basedOn w:val="a1"/>
    <w:next w:val="a1"/>
    <w:autoRedefine/>
    <w:uiPriority w:val="39"/>
    <w:semiHidden/>
    <w:unhideWhenUsed/>
    <w:rsid w:val="0003148D"/>
    <w:pPr>
      <w:spacing w:after="100"/>
      <w:ind w:left="660"/>
    </w:pPr>
  </w:style>
  <w:style w:type="paragraph" w:styleId="TOC5">
    <w:name w:val="toc 5"/>
    <w:basedOn w:val="a1"/>
    <w:next w:val="a1"/>
    <w:autoRedefine/>
    <w:uiPriority w:val="39"/>
    <w:semiHidden/>
    <w:unhideWhenUsed/>
    <w:rsid w:val="0003148D"/>
    <w:pPr>
      <w:spacing w:after="100"/>
      <w:ind w:left="880"/>
    </w:pPr>
  </w:style>
  <w:style w:type="paragraph" w:styleId="TOC6">
    <w:name w:val="toc 6"/>
    <w:basedOn w:val="a1"/>
    <w:next w:val="a1"/>
    <w:autoRedefine/>
    <w:uiPriority w:val="39"/>
    <w:semiHidden/>
    <w:unhideWhenUsed/>
    <w:rsid w:val="0003148D"/>
    <w:pPr>
      <w:spacing w:after="100"/>
      <w:ind w:left="1100"/>
    </w:pPr>
  </w:style>
  <w:style w:type="paragraph" w:styleId="TOC7">
    <w:name w:val="toc 7"/>
    <w:basedOn w:val="a1"/>
    <w:next w:val="a1"/>
    <w:autoRedefine/>
    <w:uiPriority w:val="39"/>
    <w:semiHidden/>
    <w:unhideWhenUsed/>
    <w:rsid w:val="0003148D"/>
    <w:pPr>
      <w:spacing w:after="100"/>
      <w:ind w:left="1320"/>
    </w:pPr>
  </w:style>
  <w:style w:type="paragraph" w:styleId="TOC8">
    <w:name w:val="toc 8"/>
    <w:basedOn w:val="a1"/>
    <w:next w:val="a1"/>
    <w:autoRedefine/>
    <w:uiPriority w:val="39"/>
    <w:semiHidden/>
    <w:unhideWhenUsed/>
    <w:rsid w:val="0003148D"/>
    <w:pPr>
      <w:spacing w:after="100"/>
      <w:ind w:left="1540"/>
    </w:pPr>
  </w:style>
  <w:style w:type="paragraph" w:styleId="TOC9">
    <w:name w:val="toc 9"/>
    <w:basedOn w:val="a1"/>
    <w:next w:val="a1"/>
    <w:autoRedefine/>
    <w:uiPriority w:val="39"/>
    <w:semiHidden/>
    <w:unhideWhenUsed/>
    <w:rsid w:val="0003148D"/>
    <w:pPr>
      <w:spacing w:after="100"/>
      <w:ind w:left="1760"/>
    </w:pPr>
  </w:style>
  <w:style w:type="paragraph" w:styleId="affc">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d">
    <w:name w:val="macro"/>
    <w:link w:val="aff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e">
    <w:name w:val="宏文本 字符"/>
    <w:basedOn w:val="a2"/>
    <w:link w:val="affd"/>
    <w:uiPriority w:val="99"/>
    <w:semiHidden/>
    <w:rsid w:val="0003148D"/>
    <w:rPr>
      <w:rFonts w:ascii="Consolas" w:hAnsi="Consolas" w:cs="Consolas"/>
      <w:sz w:val="20"/>
      <w:szCs w:val="20"/>
    </w:rPr>
  </w:style>
  <w:style w:type="paragraph" w:styleId="afff">
    <w:name w:val="Plain Text"/>
    <w:basedOn w:val="a1"/>
    <w:link w:val="afff0"/>
    <w:uiPriority w:val="99"/>
    <w:semiHidden/>
    <w:unhideWhenUsed/>
    <w:rsid w:val="0003148D"/>
    <w:pPr>
      <w:spacing w:line="240" w:lineRule="auto"/>
    </w:pPr>
    <w:rPr>
      <w:rFonts w:ascii="Consolas" w:hAnsi="Consolas" w:cs="Consolas"/>
      <w:sz w:val="21"/>
      <w:szCs w:val="21"/>
    </w:rPr>
  </w:style>
  <w:style w:type="character" w:customStyle="1" w:styleId="afff0">
    <w:name w:val="纯文本 字符"/>
    <w:basedOn w:val="a2"/>
    <w:link w:val="afff"/>
    <w:uiPriority w:val="99"/>
    <w:semiHidden/>
    <w:rsid w:val="0003148D"/>
    <w:rPr>
      <w:rFonts w:ascii="Consolas" w:hAnsi="Consolas" w:cs="Consolas"/>
      <w:sz w:val="21"/>
      <w:szCs w:val="21"/>
    </w:rPr>
  </w:style>
  <w:style w:type="paragraph" w:styleId="afff1">
    <w:name w:val="footnote text"/>
    <w:basedOn w:val="a1"/>
    <w:link w:val="afff2"/>
    <w:uiPriority w:val="99"/>
    <w:semiHidden/>
    <w:unhideWhenUsed/>
    <w:rsid w:val="0003148D"/>
    <w:pPr>
      <w:spacing w:line="240" w:lineRule="auto"/>
    </w:pPr>
  </w:style>
  <w:style w:type="character" w:customStyle="1" w:styleId="afff2">
    <w:name w:val="脚注文本 字符"/>
    <w:basedOn w:val="a2"/>
    <w:link w:val="afff1"/>
    <w:uiPriority w:val="99"/>
    <w:semiHidden/>
    <w:rsid w:val="0003148D"/>
    <w:rPr>
      <w:sz w:val="20"/>
      <w:szCs w:val="20"/>
    </w:rPr>
  </w:style>
  <w:style w:type="paragraph" w:styleId="afff3">
    <w:name w:val="endnote text"/>
    <w:basedOn w:val="a1"/>
    <w:link w:val="afff4"/>
    <w:uiPriority w:val="99"/>
    <w:semiHidden/>
    <w:unhideWhenUsed/>
    <w:rsid w:val="0003148D"/>
    <w:pPr>
      <w:spacing w:line="240" w:lineRule="auto"/>
    </w:pPr>
  </w:style>
  <w:style w:type="character" w:customStyle="1" w:styleId="afff4">
    <w:name w:val="尾注文本 字符"/>
    <w:basedOn w:val="a2"/>
    <w:link w:val="afff3"/>
    <w:uiPriority w:val="99"/>
    <w:semiHidden/>
    <w:rsid w:val="0003148D"/>
    <w:rPr>
      <w:sz w:val="20"/>
      <w:szCs w:val="20"/>
    </w:rPr>
  </w:style>
  <w:style w:type="character" w:customStyle="1" w:styleId="11">
    <w:name w:val="标题 1 字符"/>
    <w:basedOn w:val="a2"/>
    <w:link w:val="10"/>
    <w:uiPriority w:val="9"/>
    <w:rsid w:val="004F5E36"/>
    <w:rPr>
      <w:rFonts w:ascii="Arial" w:eastAsia="Times New Roman" w:hAnsi="Arial" w:cs="Times New Roman"/>
      <w:b/>
      <w:sz w:val="20"/>
      <w:szCs w:val="20"/>
      <w:lang w:val="en-GB"/>
    </w:rPr>
  </w:style>
  <w:style w:type="character" w:customStyle="1" w:styleId="22">
    <w:name w:val="标题 2 字符"/>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标题 4 字符"/>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标题 5 字符"/>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标题 9 字符"/>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5">
    <w:name w:val="index heading"/>
    <w:basedOn w:val="a1"/>
    <w:next w:val="12"/>
    <w:uiPriority w:val="99"/>
    <w:semiHidden/>
    <w:unhideWhenUsed/>
    <w:rsid w:val="0003148D"/>
    <w:rPr>
      <w:rFonts w:asciiTheme="majorHAnsi" w:eastAsiaTheme="majorEastAsia" w:hAnsiTheme="majorHAnsi" w:cstheme="majorBidi"/>
      <w:b/>
      <w:bCs/>
    </w:rPr>
  </w:style>
  <w:style w:type="paragraph" w:styleId="afff6">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5"/>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6"/>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7"/>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页眉 字符"/>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页脚 字符"/>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character" w:styleId="afffe">
    <w:name w:val="Unresolved Mention"/>
    <w:basedOn w:val="a2"/>
    <w:uiPriority w:val="99"/>
    <w:semiHidden/>
    <w:unhideWhenUsed/>
    <w:rsid w:val="00541DD8"/>
    <w:rPr>
      <w:color w:val="605E5C"/>
      <w:shd w:val="clear" w:color="auto" w:fill="E1DFDD"/>
    </w:rPr>
  </w:style>
  <w:style w:type="paragraph" w:styleId="affff">
    <w:name w:val="Revision"/>
    <w:hidden/>
    <w:uiPriority w:val="99"/>
    <w:semiHidden/>
    <w:rsid w:val="00555DA3"/>
    <w:pPr>
      <w:spacing w:after="0" w:line="240" w:lineRule="auto"/>
    </w:pPr>
    <w:rPr>
      <w:rFonts w:ascii="Arial" w:eastAsia="Times New Roman" w:hAnsi="Arial" w:cs="Times New Roman"/>
      <w:sz w:val="18"/>
      <w:szCs w:val="20"/>
      <w:lang w:val="en-GB"/>
    </w:rPr>
  </w:style>
  <w:style w:type="character" w:styleId="affff0">
    <w:name w:val="Placeholder Text"/>
    <w:basedOn w:val="a2"/>
    <w:uiPriority w:val="99"/>
    <w:semiHidden/>
    <w:rsid w:val="008111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Pages>
  <Words>2990</Words>
  <Characters>17044</Characters>
  <Application>Microsoft Office Word</Application>
  <DocSecurity>0</DocSecurity>
  <Lines>142</Lines>
  <Paragraphs>39</Paragraphs>
  <ScaleCrop>false</ScaleCrop>
  <Company>Dipartimento CMIC - Politecnico di Milano</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虎啸 史</cp:lastModifiedBy>
  <cp:revision>20</cp:revision>
  <cp:lastPrinted>2015-05-12T18:31:00Z</cp:lastPrinted>
  <dcterms:created xsi:type="dcterms:W3CDTF">2024-04-12T14:26:00Z</dcterms:created>
  <dcterms:modified xsi:type="dcterms:W3CDTF">2024-05-27T10:19:00Z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