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350A5C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350A5C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350A5C">
              <w:rPr>
                <w:rFonts w:ascii="AdvP6960" w:hAnsi="AdvP6960" w:cs="AdvP6960"/>
                <w:noProof/>
                <w:color w:val="241F20"/>
                <w:szCs w:val="18"/>
                <w:lang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A5C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350A5C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350A5C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350A5C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350A5C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350A5C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350A5C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350A5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 w:rsidRPr="00350A5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 w:rsidRPr="00350A5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 w:rsidRPr="00350A5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 w:rsidRPr="00350A5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350A5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350A5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350A5C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350A5C" w:rsidRDefault="000A03B2" w:rsidP="00CD5FE2">
            <w:pPr>
              <w:jc w:val="right"/>
            </w:pPr>
            <w:r w:rsidRPr="00350A5C">
              <w:rPr>
                <w:noProof/>
                <w:lang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350A5C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350A5C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350A5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350A5C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350A5C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350A5C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350A5C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350A5C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350A5C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086598E2" w:rsidR="00AA7D26" w:rsidRPr="00350A5C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350A5C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B0F1814" w14:textId="1CDEFB22" w:rsidR="000A03B2" w:rsidRPr="00350A5C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Copyright © 2023, AIDIC </w:t>
            </w:r>
            <w:proofErr w:type="spellStart"/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350A5C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350A5C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D2582C" w:rsidRPr="00350A5C">
              <w:rPr>
                <w:rFonts w:ascii="Tahoma" w:hAnsi="Tahoma" w:cs="Tahoma"/>
                <w:sz w:val="14"/>
                <w:szCs w:val="14"/>
              </w:rPr>
              <w:t>979-12-81206-</w:t>
            </w:r>
            <w:r w:rsidR="00557E00" w:rsidRPr="00350A5C">
              <w:rPr>
                <w:rFonts w:ascii="Tahoma" w:hAnsi="Tahoma" w:cs="Tahoma"/>
                <w:sz w:val="14"/>
                <w:szCs w:val="14"/>
              </w:rPr>
              <w:t>XX</w:t>
            </w:r>
            <w:r w:rsidR="00D2582C" w:rsidRPr="00350A5C">
              <w:rPr>
                <w:rFonts w:ascii="Tahoma" w:hAnsi="Tahoma" w:cs="Tahoma"/>
                <w:sz w:val="14"/>
                <w:szCs w:val="14"/>
              </w:rPr>
              <w:t>-</w:t>
            </w:r>
            <w:r w:rsidR="00557E00" w:rsidRPr="00350A5C">
              <w:rPr>
                <w:rFonts w:ascii="Tahoma" w:hAnsi="Tahoma" w:cs="Tahoma"/>
                <w:sz w:val="14"/>
                <w:szCs w:val="14"/>
              </w:rPr>
              <w:t>X</w:t>
            </w:r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Pr="00350A5C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350A5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02C67C35" w:rsidR="00E978D0" w:rsidRPr="00350A5C" w:rsidRDefault="000930C8" w:rsidP="00E978D0">
      <w:pPr>
        <w:pStyle w:val="CETTitle"/>
      </w:pPr>
      <w:r w:rsidRPr="00350A5C">
        <w:t>CO</w:t>
      </w:r>
      <w:r w:rsidRPr="00350A5C">
        <w:rPr>
          <w:vertAlign w:val="subscript"/>
        </w:rPr>
        <w:t>2</w:t>
      </w:r>
      <w:r w:rsidRPr="00350A5C">
        <w:t xml:space="preserve"> chemical absorption with NH</w:t>
      </w:r>
      <w:r w:rsidRPr="005E2BE1">
        <w:rPr>
          <w:vertAlign w:val="subscript"/>
        </w:rPr>
        <w:t>3</w:t>
      </w:r>
      <w:r w:rsidRPr="00350A5C">
        <w:t xml:space="preserve"> in bubble column and packed bed system: </w:t>
      </w:r>
      <w:proofErr w:type="spellStart"/>
      <w:r w:rsidRPr="00350A5C">
        <w:t>modeling</w:t>
      </w:r>
      <w:proofErr w:type="spellEnd"/>
      <w:r w:rsidRPr="00350A5C">
        <w:t xml:space="preserve"> and experiments</w:t>
      </w:r>
    </w:p>
    <w:p w14:paraId="5B6CF065" w14:textId="67892F2F" w:rsidR="000930C8" w:rsidRPr="00350A5C" w:rsidRDefault="000930C8" w:rsidP="000930C8">
      <w:pPr>
        <w:pStyle w:val="CETAddress"/>
        <w:spacing w:after="120"/>
        <w:rPr>
          <w:noProof w:val="0"/>
          <w:sz w:val="24"/>
          <w:vertAlign w:val="superscript"/>
        </w:rPr>
      </w:pPr>
      <w:r w:rsidRPr="00350A5C">
        <w:rPr>
          <w:noProof w:val="0"/>
          <w:sz w:val="24"/>
        </w:rPr>
        <w:t xml:space="preserve">Federico </w:t>
      </w:r>
      <w:proofErr w:type="spellStart"/>
      <w:r w:rsidRPr="00350A5C">
        <w:rPr>
          <w:noProof w:val="0"/>
          <w:sz w:val="24"/>
        </w:rPr>
        <w:t>Atzori</w:t>
      </w:r>
      <w:r w:rsidRPr="00350A5C">
        <w:rPr>
          <w:noProof w:val="0"/>
          <w:sz w:val="24"/>
          <w:vertAlign w:val="superscript"/>
        </w:rPr>
        <w:t>a</w:t>
      </w:r>
      <w:proofErr w:type="spellEnd"/>
      <w:r w:rsidRPr="00350A5C">
        <w:rPr>
          <w:noProof w:val="0"/>
          <w:sz w:val="24"/>
        </w:rPr>
        <w:t xml:space="preserve">, Francesco </w:t>
      </w:r>
      <w:proofErr w:type="spellStart"/>
      <w:r w:rsidRPr="00350A5C">
        <w:rPr>
          <w:noProof w:val="0"/>
          <w:sz w:val="24"/>
        </w:rPr>
        <w:t>Barzagli</w:t>
      </w:r>
      <w:r w:rsidRPr="00350A5C">
        <w:rPr>
          <w:noProof w:val="0"/>
          <w:sz w:val="24"/>
          <w:vertAlign w:val="superscript"/>
        </w:rPr>
        <w:t>b</w:t>
      </w:r>
      <w:proofErr w:type="spellEnd"/>
      <w:r w:rsidRPr="00350A5C">
        <w:rPr>
          <w:noProof w:val="0"/>
          <w:sz w:val="24"/>
        </w:rPr>
        <w:t xml:space="preserve">, Giacomo </w:t>
      </w:r>
      <w:proofErr w:type="spellStart"/>
      <w:proofErr w:type="gramStart"/>
      <w:r w:rsidRPr="00350A5C">
        <w:rPr>
          <w:noProof w:val="0"/>
          <w:sz w:val="24"/>
        </w:rPr>
        <w:t>Cao</w:t>
      </w:r>
      <w:r w:rsidRPr="00350A5C">
        <w:rPr>
          <w:noProof w:val="0"/>
          <w:sz w:val="24"/>
          <w:vertAlign w:val="superscript"/>
        </w:rPr>
        <w:t>a</w:t>
      </w:r>
      <w:r w:rsidR="00F269D8">
        <w:rPr>
          <w:noProof w:val="0"/>
          <w:sz w:val="24"/>
          <w:vertAlign w:val="superscript"/>
        </w:rPr>
        <w:t>,c</w:t>
      </w:r>
      <w:proofErr w:type="gramEnd"/>
      <w:r w:rsidR="006F2035">
        <w:rPr>
          <w:noProof w:val="0"/>
          <w:sz w:val="24"/>
          <w:vertAlign w:val="superscript"/>
        </w:rPr>
        <w:t>,d</w:t>
      </w:r>
      <w:proofErr w:type="spellEnd"/>
      <w:r w:rsidRPr="00350A5C">
        <w:rPr>
          <w:noProof w:val="0"/>
          <w:sz w:val="24"/>
        </w:rPr>
        <w:t xml:space="preserve">, Alessandro </w:t>
      </w:r>
      <w:proofErr w:type="spellStart"/>
      <w:r w:rsidRPr="00350A5C">
        <w:rPr>
          <w:noProof w:val="0"/>
          <w:sz w:val="24"/>
        </w:rPr>
        <w:t>Concas</w:t>
      </w:r>
      <w:r w:rsidRPr="00350A5C">
        <w:rPr>
          <w:noProof w:val="0"/>
          <w:sz w:val="24"/>
          <w:vertAlign w:val="superscript"/>
        </w:rPr>
        <w:t>a</w:t>
      </w:r>
      <w:r w:rsidR="00F269D8">
        <w:rPr>
          <w:noProof w:val="0"/>
          <w:sz w:val="24"/>
          <w:vertAlign w:val="superscript"/>
        </w:rPr>
        <w:t>,c</w:t>
      </w:r>
      <w:proofErr w:type="spellEnd"/>
      <w:r w:rsidR="00F269D8">
        <w:rPr>
          <w:noProof w:val="0"/>
          <w:sz w:val="24"/>
          <w:vertAlign w:val="superscript"/>
        </w:rPr>
        <w:t>*</w:t>
      </w:r>
    </w:p>
    <w:p w14:paraId="5DA41C7C" w14:textId="77777777" w:rsidR="000930C8" w:rsidRPr="00350A5C" w:rsidRDefault="000930C8" w:rsidP="000930C8">
      <w:pPr>
        <w:pStyle w:val="CETAddress"/>
        <w:spacing w:after="200"/>
        <w:rPr>
          <w:noProof w:val="0"/>
        </w:rPr>
      </w:pPr>
      <w:proofErr w:type="spellStart"/>
      <w:r w:rsidRPr="00350A5C">
        <w:rPr>
          <w:noProof w:val="0"/>
          <w:vertAlign w:val="superscript"/>
        </w:rPr>
        <w:t>a</w:t>
      </w:r>
      <w:r w:rsidRPr="00350A5C">
        <w:rPr>
          <w:noProof w:val="0"/>
        </w:rPr>
        <w:t>Department</w:t>
      </w:r>
      <w:proofErr w:type="spellEnd"/>
      <w:r w:rsidRPr="00350A5C">
        <w:rPr>
          <w:noProof w:val="0"/>
        </w:rPr>
        <w:t xml:space="preserve"> of Mechanical, Chemical and Materials Engineering, University of Cagliari, Piazza </w:t>
      </w:r>
      <w:proofErr w:type="spellStart"/>
      <w:r w:rsidRPr="00350A5C">
        <w:rPr>
          <w:noProof w:val="0"/>
        </w:rPr>
        <w:t>d’Armi</w:t>
      </w:r>
      <w:proofErr w:type="spellEnd"/>
      <w:r w:rsidRPr="00350A5C">
        <w:rPr>
          <w:noProof w:val="0"/>
        </w:rPr>
        <w:t>, 09123 Cagliari, Italy</w:t>
      </w:r>
    </w:p>
    <w:p w14:paraId="7BE59BDB" w14:textId="77777777" w:rsidR="000930C8" w:rsidRDefault="000930C8" w:rsidP="000930C8">
      <w:pPr>
        <w:pStyle w:val="CETAddress"/>
        <w:spacing w:after="200"/>
        <w:rPr>
          <w:noProof w:val="0"/>
        </w:rPr>
      </w:pPr>
      <w:proofErr w:type="spellStart"/>
      <w:r w:rsidRPr="00350A5C">
        <w:rPr>
          <w:noProof w:val="0"/>
          <w:vertAlign w:val="superscript"/>
        </w:rPr>
        <w:t>b</w:t>
      </w:r>
      <w:r w:rsidRPr="00350A5C">
        <w:rPr>
          <w:noProof w:val="0"/>
        </w:rPr>
        <w:t>National</w:t>
      </w:r>
      <w:proofErr w:type="spellEnd"/>
      <w:r w:rsidRPr="00350A5C">
        <w:rPr>
          <w:noProof w:val="0"/>
        </w:rPr>
        <w:t xml:space="preserve"> Research Council (CNR), ICCOM Institute, via Madonna del Piano 10, 50019 Sesto F.no, Florence, Italy</w:t>
      </w:r>
    </w:p>
    <w:p w14:paraId="3E77D1DC" w14:textId="773EAB9C" w:rsidR="00F269D8" w:rsidRDefault="00F269D8" w:rsidP="00F269D8">
      <w:pPr>
        <w:pStyle w:val="CETAddress"/>
      </w:pPr>
      <w:r>
        <w:rPr>
          <w:vertAlign w:val="superscript"/>
        </w:rPr>
        <w:t>c</w:t>
      </w:r>
      <w:r w:rsidRPr="006E43C5">
        <w:t>Interdepartmental Center of Environmental Science and Engineering (CINSA), Via San Giorgio 12,</w:t>
      </w:r>
      <w:r>
        <w:t xml:space="preserve"> </w:t>
      </w:r>
      <w:r w:rsidRPr="006E43C5">
        <w:t>09124 Cagliari, Italy</w:t>
      </w:r>
    </w:p>
    <w:p w14:paraId="087DB932" w14:textId="5458C368" w:rsidR="006F2035" w:rsidRDefault="006F2035" w:rsidP="00F269D8">
      <w:pPr>
        <w:pStyle w:val="CETAddress"/>
      </w:pPr>
      <w:r w:rsidRPr="006F2035">
        <w:rPr>
          <w:vertAlign w:val="superscript"/>
        </w:rPr>
        <w:t>d</w:t>
      </w:r>
      <w:r w:rsidRPr="006F2035">
        <w:t>Center for Advanced Studies, Research and Development in Sardinia (CRS4), Piscina Manna, Building 1, 09050 Pula (CA), Italy</w:t>
      </w:r>
    </w:p>
    <w:p w14:paraId="4A050DC3" w14:textId="63BF3517" w:rsidR="000930C8" w:rsidRPr="00350A5C" w:rsidRDefault="00000000" w:rsidP="00F83209">
      <w:pPr>
        <w:pStyle w:val="CETAddress"/>
        <w:spacing w:after="200"/>
        <w:rPr>
          <w:noProof w:val="0"/>
        </w:rPr>
      </w:pPr>
      <w:hyperlink r:id="rId10" w:history="1">
        <w:r w:rsidR="006F2035">
          <w:rPr>
            <w:rStyle w:val="Hyperlink"/>
            <w:noProof w:val="0"/>
          </w:rPr>
          <w:t>alessandro.concas@unica.it</w:t>
        </w:r>
      </w:hyperlink>
      <w:bookmarkStart w:id="0" w:name="_Hlk495475023"/>
    </w:p>
    <w:p w14:paraId="30E2FD0E" w14:textId="4B945097" w:rsidR="004B3F99" w:rsidRPr="00350A5C" w:rsidRDefault="007949BF" w:rsidP="004B3F99">
      <w:pPr>
        <w:pStyle w:val="CETBodytext"/>
        <w:rPr>
          <w:lang w:val="en-GB"/>
        </w:rPr>
      </w:pPr>
      <w:r>
        <w:rPr>
          <w:lang w:val="en-GB"/>
        </w:rPr>
        <w:t>T</w:t>
      </w:r>
      <w:r w:rsidR="000930C8" w:rsidRPr="00350A5C">
        <w:rPr>
          <w:lang w:val="en-GB"/>
        </w:rPr>
        <w:t>he</w:t>
      </w:r>
      <w:r w:rsidR="009222A1" w:rsidRPr="00350A5C">
        <w:rPr>
          <w:lang w:val="en-GB"/>
        </w:rPr>
        <w:t xml:space="preserve"> chemical absorption of</w:t>
      </w:r>
      <w:r w:rsidR="000930C8" w:rsidRPr="00350A5C">
        <w:rPr>
          <w:lang w:val="en-GB"/>
        </w:rPr>
        <w:t xml:space="preserve"> CO</w:t>
      </w:r>
      <w:r w:rsidR="000930C8" w:rsidRPr="00350A5C">
        <w:rPr>
          <w:vertAlign w:val="subscript"/>
          <w:lang w:val="en-GB"/>
        </w:rPr>
        <w:t>2</w:t>
      </w:r>
      <w:r w:rsidR="000930C8" w:rsidRPr="00350A5C">
        <w:rPr>
          <w:lang w:val="en-GB"/>
        </w:rPr>
        <w:t xml:space="preserve"> </w:t>
      </w:r>
      <w:r w:rsidR="006F2035" w:rsidRPr="00350A5C">
        <w:rPr>
          <w:lang w:val="en-GB"/>
        </w:rPr>
        <w:t xml:space="preserve">from a flue gas </w:t>
      </w:r>
      <w:r w:rsidR="000930C8" w:rsidRPr="00350A5C">
        <w:rPr>
          <w:lang w:val="en-GB"/>
        </w:rPr>
        <w:t>with aqueous NH</w:t>
      </w:r>
      <w:r w:rsidR="000930C8" w:rsidRPr="00350A5C">
        <w:rPr>
          <w:vertAlign w:val="subscript"/>
          <w:lang w:val="en-GB"/>
        </w:rPr>
        <w:t>3</w:t>
      </w:r>
      <w:r w:rsidR="000930C8" w:rsidRPr="00350A5C">
        <w:rPr>
          <w:lang w:val="en-GB"/>
        </w:rPr>
        <w:t xml:space="preserve"> </w:t>
      </w:r>
      <w:r>
        <w:rPr>
          <w:lang w:val="en-GB"/>
        </w:rPr>
        <w:t>is</w:t>
      </w:r>
      <w:r w:rsidR="000930C8" w:rsidRPr="00350A5C">
        <w:rPr>
          <w:lang w:val="en-GB"/>
        </w:rPr>
        <w:t xml:space="preserve"> investigated both experimentally and theoretically. </w:t>
      </w:r>
      <w:r w:rsidR="009222A1" w:rsidRPr="00350A5C">
        <w:rPr>
          <w:lang w:val="en-GB"/>
        </w:rPr>
        <w:t>An</w:t>
      </w:r>
      <w:r w:rsidR="000930C8" w:rsidRPr="00350A5C">
        <w:rPr>
          <w:lang w:val="en-GB"/>
        </w:rPr>
        <w:t xml:space="preserve"> </w:t>
      </w:r>
      <w:r w:rsidRPr="00350A5C">
        <w:rPr>
          <w:lang w:val="en-GB"/>
        </w:rPr>
        <w:t>equilibrium-based</w:t>
      </w:r>
      <w:r w:rsidR="000930C8" w:rsidRPr="00350A5C">
        <w:rPr>
          <w:lang w:val="en-GB"/>
        </w:rPr>
        <w:t xml:space="preserve"> approach </w:t>
      </w:r>
      <w:r>
        <w:rPr>
          <w:lang w:val="en-GB"/>
        </w:rPr>
        <w:t>is</w:t>
      </w:r>
      <w:r w:rsidR="000930C8" w:rsidRPr="00350A5C">
        <w:rPr>
          <w:lang w:val="en-GB"/>
        </w:rPr>
        <w:t xml:space="preserve"> proposed to model the </w:t>
      </w:r>
      <w:r w:rsidRPr="00350A5C">
        <w:rPr>
          <w:lang w:val="en-GB"/>
        </w:rPr>
        <w:t>reacti</w:t>
      </w:r>
      <w:r>
        <w:rPr>
          <w:lang w:val="en-GB"/>
        </w:rPr>
        <w:t>ons</w:t>
      </w:r>
      <w:r w:rsidR="000930C8" w:rsidRPr="00350A5C">
        <w:rPr>
          <w:lang w:val="en-GB"/>
        </w:rPr>
        <w:t xml:space="preserve"> </w:t>
      </w:r>
      <w:r w:rsidR="00A13D67">
        <w:rPr>
          <w:lang w:val="en-GB"/>
        </w:rPr>
        <w:t>between the dissolved CO</w:t>
      </w:r>
      <w:r w:rsidR="00A13D67" w:rsidRPr="00A13D67">
        <w:rPr>
          <w:vertAlign w:val="subscript"/>
          <w:lang w:val="en-GB"/>
        </w:rPr>
        <w:t>2</w:t>
      </w:r>
      <w:r w:rsidR="00A13D67">
        <w:rPr>
          <w:lang w:val="en-GB"/>
        </w:rPr>
        <w:t xml:space="preserve"> and NH</w:t>
      </w:r>
      <w:r w:rsidR="00A13D67" w:rsidRPr="00A13D67">
        <w:rPr>
          <w:vertAlign w:val="subscript"/>
          <w:lang w:val="en-GB"/>
        </w:rPr>
        <w:t>3</w:t>
      </w:r>
      <w:r w:rsidR="000930C8" w:rsidRPr="00350A5C">
        <w:rPr>
          <w:lang w:val="en-GB"/>
        </w:rPr>
        <w:t xml:space="preserve"> in the liquid phase. </w:t>
      </w:r>
      <w:r w:rsidR="004B3F99">
        <w:rPr>
          <w:lang w:val="en-GB"/>
        </w:rPr>
        <w:t>Such an</w:t>
      </w:r>
      <w:r w:rsidR="000930C8" w:rsidRPr="00350A5C">
        <w:rPr>
          <w:lang w:val="en-GB"/>
        </w:rPr>
        <w:t xml:space="preserve"> approach </w:t>
      </w:r>
      <w:r w:rsidR="001C34F0" w:rsidRPr="00350A5C">
        <w:rPr>
          <w:lang w:val="en-GB"/>
        </w:rPr>
        <w:t>was</w:t>
      </w:r>
      <w:r w:rsidR="000930C8" w:rsidRPr="00350A5C">
        <w:rPr>
          <w:lang w:val="en-GB"/>
        </w:rPr>
        <w:t xml:space="preserve"> </w:t>
      </w:r>
      <w:r w:rsidR="00B21EBB" w:rsidRPr="00350A5C">
        <w:rPr>
          <w:lang w:val="en-GB"/>
        </w:rPr>
        <w:t xml:space="preserve">then </w:t>
      </w:r>
      <w:r w:rsidR="000930C8" w:rsidRPr="00350A5C">
        <w:rPr>
          <w:lang w:val="en-GB"/>
        </w:rPr>
        <w:t xml:space="preserve">integrated into </w:t>
      </w:r>
      <w:r w:rsidR="00F819A7" w:rsidRPr="00350A5C">
        <w:rPr>
          <w:lang w:val="en-GB"/>
        </w:rPr>
        <w:t>two different sets of</w:t>
      </w:r>
      <w:r w:rsidR="000930C8" w:rsidRPr="00350A5C">
        <w:rPr>
          <w:lang w:val="en-GB"/>
        </w:rPr>
        <w:t xml:space="preserve"> balance equations</w:t>
      </w:r>
      <w:r w:rsidR="0035232B" w:rsidRPr="00350A5C">
        <w:rPr>
          <w:lang w:val="en-GB"/>
        </w:rPr>
        <w:t xml:space="preserve"> </w:t>
      </w:r>
      <w:r w:rsidR="004B3F99">
        <w:rPr>
          <w:lang w:val="en-GB"/>
        </w:rPr>
        <w:t>for</w:t>
      </w:r>
      <w:r w:rsidR="0035232B" w:rsidRPr="00350A5C">
        <w:rPr>
          <w:lang w:val="en-GB"/>
        </w:rPr>
        <w:t xml:space="preserve"> </w:t>
      </w:r>
      <w:r w:rsidR="000930C8" w:rsidRPr="00350A5C">
        <w:rPr>
          <w:lang w:val="en-GB"/>
        </w:rPr>
        <w:t>packed bed and bubble column</w:t>
      </w:r>
      <w:r w:rsidR="0035232B" w:rsidRPr="00350A5C">
        <w:rPr>
          <w:lang w:val="en-GB"/>
        </w:rPr>
        <w:t xml:space="preserve"> systems, </w:t>
      </w:r>
      <w:r>
        <w:rPr>
          <w:lang w:val="en-GB"/>
        </w:rPr>
        <w:t>respectively</w:t>
      </w:r>
      <w:r w:rsidR="001C34F0" w:rsidRPr="00350A5C">
        <w:rPr>
          <w:lang w:val="en-GB"/>
        </w:rPr>
        <w:t xml:space="preserve">. </w:t>
      </w:r>
      <w:r w:rsidR="00A13D67">
        <w:rPr>
          <w:lang w:val="en-GB"/>
        </w:rPr>
        <w:t>To</w:t>
      </w:r>
      <w:r w:rsidR="002A16EF" w:rsidRPr="00350A5C">
        <w:rPr>
          <w:lang w:val="en-GB"/>
        </w:rPr>
        <w:t xml:space="preserve"> validate the models, two </w:t>
      </w:r>
      <w:r>
        <w:rPr>
          <w:lang w:val="en-GB"/>
        </w:rPr>
        <w:t xml:space="preserve">sets of </w:t>
      </w:r>
      <w:r w:rsidR="002A16EF" w:rsidRPr="00350A5C">
        <w:rPr>
          <w:lang w:val="en-GB"/>
        </w:rPr>
        <w:t>experimental campaigns</w:t>
      </w:r>
      <w:r w:rsidR="006F2035">
        <w:rPr>
          <w:lang w:val="en-GB"/>
        </w:rPr>
        <w:t xml:space="preserve"> </w:t>
      </w:r>
      <w:r w:rsidR="002A16EF" w:rsidRPr="00350A5C">
        <w:rPr>
          <w:lang w:val="en-GB"/>
        </w:rPr>
        <w:t>were carried out</w:t>
      </w:r>
      <w:r w:rsidR="006F2035" w:rsidRPr="006F2035">
        <w:rPr>
          <w:lang w:val="en-GB"/>
        </w:rPr>
        <w:t xml:space="preserve"> </w:t>
      </w:r>
      <w:r w:rsidR="006F2035">
        <w:rPr>
          <w:lang w:val="en-GB"/>
        </w:rPr>
        <w:t xml:space="preserve">under </w:t>
      </w:r>
      <w:r w:rsidR="006F2035" w:rsidRPr="00350A5C">
        <w:rPr>
          <w:lang w:val="en-GB"/>
        </w:rPr>
        <w:t>different operating conditions</w:t>
      </w:r>
      <w:r w:rsidR="000930C8" w:rsidRPr="00350A5C">
        <w:rPr>
          <w:lang w:val="en-GB"/>
        </w:rPr>
        <w:t>.</w:t>
      </w:r>
      <w:r w:rsidR="0035232B" w:rsidRPr="00350A5C">
        <w:rPr>
          <w:lang w:val="en-GB"/>
        </w:rPr>
        <w:t xml:space="preserve"> </w:t>
      </w:r>
      <w:r w:rsidR="000930C8" w:rsidRPr="00350A5C">
        <w:rPr>
          <w:lang w:val="en-GB"/>
        </w:rPr>
        <w:t xml:space="preserve">The good agreement between </w:t>
      </w:r>
      <w:r w:rsidR="00B21EBB" w:rsidRPr="00350A5C">
        <w:rPr>
          <w:lang w:val="en-GB"/>
        </w:rPr>
        <w:t xml:space="preserve">computational and experimental </w:t>
      </w:r>
      <w:r w:rsidR="000930C8" w:rsidRPr="00350A5C">
        <w:rPr>
          <w:lang w:val="en-GB"/>
        </w:rPr>
        <w:t xml:space="preserve">results confirmed the effectiveness of the models, whose </w:t>
      </w:r>
      <w:r w:rsidR="00D618CB" w:rsidRPr="00350A5C">
        <w:rPr>
          <w:lang w:val="en-GB"/>
        </w:rPr>
        <w:t>results</w:t>
      </w:r>
      <w:r w:rsidR="000930C8" w:rsidRPr="00350A5C">
        <w:rPr>
          <w:lang w:val="en-GB"/>
        </w:rPr>
        <w:t xml:space="preserve"> </w:t>
      </w:r>
      <w:r w:rsidR="004B3F99">
        <w:rPr>
          <w:lang w:val="en-GB"/>
        </w:rPr>
        <w:t>might</w:t>
      </w:r>
      <w:r w:rsidR="00B21EBB" w:rsidRPr="00350A5C">
        <w:rPr>
          <w:lang w:val="en-GB"/>
        </w:rPr>
        <w:t xml:space="preserve"> be useful</w:t>
      </w:r>
      <w:r w:rsidR="000930C8" w:rsidRPr="00350A5C">
        <w:rPr>
          <w:lang w:val="en-GB"/>
        </w:rPr>
        <w:t xml:space="preserve"> to properly design, optimize and control the </w:t>
      </w:r>
      <w:r w:rsidR="00D618CB" w:rsidRPr="00350A5C">
        <w:rPr>
          <w:lang w:val="en-GB"/>
        </w:rPr>
        <w:t>CO</w:t>
      </w:r>
      <w:r w:rsidR="00D618CB" w:rsidRPr="00350A5C">
        <w:rPr>
          <w:vertAlign w:val="subscript"/>
          <w:lang w:val="en-GB"/>
        </w:rPr>
        <w:t>2</w:t>
      </w:r>
      <w:r w:rsidR="00D618CB" w:rsidRPr="00350A5C">
        <w:rPr>
          <w:lang w:val="en-GB"/>
        </w:rPr>
        <w:t xml:space="preserve"> </w:t>
      </w:r>
      <w:r w:rsidR="00824AEA" w:rsidRPr="00350A5C">
        <w:rPr>
          <w:lang w:val="en-GB"/>
        </w:rPr>
        <w:t>capture</w:t>
      </w:r>
      <w:r w:rsidR="004B3F99">
        <w:rPr>
          <w:lang w:val="en-GB"/>
        </w:rPr>
        <w:t xml:space="preserve"> and the sorbent regeneration,</w:t>
      </w:r>
      <w:r w:rsidR="004B3F99" w:rsidRPr="004B3F99">
        <w:rPr>
          <w:lang w:val="en-GB"/>
        </w:rPr>
        <w:t xml:space="preserve"> </w:t>
      </w:r>
      <w:r w:rsidR="004B3F99" w:rsidRPr="00350A5C">
        <w:rPr>
          <w:lang w:val="en-GB"/>
        </w:rPr>
        <w:t xml:space="preserve">whose energy demand depends on the </w:t>
      </w:r>
      <w:r w:rsidR="00A13D67">
        <w:rPr>
          <w:lang w:val="en-GB"/>
        </w:rPr>
        <w:t>chemical composition</w:t>
      </w:r>
      <w:r w:rsidR="004B3F99" w:rsidRPr="00350A5C">
        <w:rPr>
          <w:lang w:val="en-GB"/>
        </w:rPr>
        <w:t xml:space="preserve"> of the sorbent</w:t>
      </w:r>
      <w:r w:rsidR="00A13D67">
        <w:rPr>
          <w:lang w:val="en-GB"/>
        </w:rPr>
        <w:t xml:space="preserve"> that can be suitably predicted by the developed model</w:t>
      </w:r>
      <w:r w:rsidR="00BE0CEB">
        <w:rPr>
          <w:lang w:val="en-GB"/>
        </w:rPr>
        <w:t>s</w:t>
      </w:r>
      <w:r w:rsidR="004B3F99" w:rsidRPr="00350A5C">
        <w:rPr>
          <w:lang w:val="en-GB"/>
        </w:rPr>
        <w:t>.</w:t>
      </w:r>
    </w:p>
    <w:bookmarkEnd w:id="0"/>
    <w:p w14:paraId="476B2F2E" w14:textId="7119B80F" w:rsidR="00600535" w:rsidRPr="00350A5C" w:rsidRDefault="00600535" w:rsidP="006F2035">
      <w:pPr>
        <w:pStyle w:val="CETHeading1"/>
        <w:numPr>
          <w:ilvl w:val="0"/>
          <w:numId w:val="26"/>
        </w:numPr>
        <w:spacing w:before="120"/>
        <w:ind w:left="284" w:hanging="284"/>
        <w:rPr>
          <w:lang w:val="en-GB"/>
        </w:rPr>
      </w:pPr>
      <w:r w:rsidRPr="00350A5C">
        <w:rPr>
          <w:lang w:val="en-GB"/>
        </w:rPr>
        <w:t>Introduction</w:t>
      </w:r>
    </w:p>
    <w:p w14:paraId="74F4CEF8" w14:textId="7A4E1941" w:rsidR="000930C8" w:rsidRPr="00350A5C" w:rsidRDefault="000930C8" w:rsidP="00FB42C8">
      <w:pPr>
        <w:pStyle w:val="CETBodytext"/>
        <w:rPr>
          <w:lang w:val="en-GB"/>
        </w:rPr>
      </w:pPr>
      <w:r w:rsidRPr="00350A5C">
        <w:rPr>
          <w:lang w:val="en-GB"/>
        </w:rPr>
        <w:t>One of the most critical challenge</w:t>
      </w:r>
      <w:r w:rsidR="00AC6CA3" w:rsidRPr="00350A5C">
        <w:rPr>
          <w:lang w:val="en-GB"/>
        </w:rPr>
        <w:t>s</w:t>
      </w:r>
      <w:r w:rsidRPr="00350A5C">
        <w:rPr>
          <w:lang w:val="en-GB"/>
        </w:rPr>
        <w:t xml:space="preserve"> of the </w:t>
      </w:r>
      <w:r w:rsidR="00AC6CA3" w:rsidRPr="00350A5C">
        <w:rPr>
          <w:lang w:val="en-GB"/>
        </w:rPr>
        <w:t>recent</w:t>
      </w:r>
      <w:r w:rsidRPr="00350A5C">
        <w:rPr>
          <w:lang w:val="en-GB"/>
        </w:rPr>
        <w:t xml:space="preserve"> decades </w:t>
      </w:r>
      <w:r w:rsidR="00901D99" w:rsidRPr="00350A5C">
        <w:rPr>
          <w:lang w:val="en-GB"/>
        </w:rPr>
        <w:t>is to reduce greenhouse gas</w:t>
      </w:r>
      <w:r w:rsidR="00C5102F" w:rsidRPr="00350A5C">
        <w:rPr>
          <w:lang w:val="en-GB"/>
        </w:rPr>
        <w:t xml:space="preserve"> emissions</w:t>
      </w:r>
      <w:r w:rsidR="00901D99" w:rsidRPr="00350A5C">
        <w:rPr>
          <w:lang w:val="en-GB"/>
        </w:rPr>
        <w:t xml:space="preserve"> and</w:t>
      </w:r>
      <w:proofErr w:type="gramStart"/>
      <w:r w:rsidR="00901D99" w:rsidRPr="00350A5C">
        <w:rPr>
          <w:lang w:val="en-GB"/>
        </w:rPr>
        <w:t>, in particular, CO</w:t>
      </w:r>
      <w:r w:rsidR="00901D99" w:rsidRPr="00350A5C">
        <w:rPr>
          <w:vertAlign w:val="subscript"/>
          <w:lang w:val="en-GB"/>
        </w:rPr>
        <w:t>2</w:t>
      </w:r>
      <w:proofErr w:type="gramEnd"/>
      <w:r w:rsidRPr="00350A5C">
        <w:rPr>
          <w:lang w:val="en-GB"/>
        </w:rPr>
        <w:t xml:space="preserve"> that accounts for 74 % of the total </w:t>
      </w:r>
      <w:r w:rsidR="00C5102F" w:rsidRPr="00350A5C">
        <w:rPr>
          <w:lang w:val="en-GB"/>
        </w:rPr>
        <w:t>anthropogenic emission</w:t>
      </w:r>
      <w:r w:rsidR="00AC6CA3" w:rsidRPr="00350A5C">
        <w:rPr>
          <w:lang w:val="en-GB"/>
        </w:rPr>
        <w:t>s</w:t>
      </w:r>
      <w:r w:rsidRPr="00350A5C">
        <w:rPr>
          <w:lang w:val="en-GB"/>
        </w:rPr>
        <w:t xml:space="preserve">. </w:t>
      </w:r>
      <w:r w:rsidR="0008427B" w:rsidRPr="00350A5C">
        <w:rPr>
          <w:lang w:val="en-GB"/>
        </w:rPr>
        <w:t>For this reason, carbon capture</w:t>
      </w:r>
      <w:r w:rsidR="00BA5639" w:rsidRPr="00350A5C">
        <w:rPr>
          <w:lang w:val="en-GB"/>
        </w:rPr>
        <w:t xml:space="preserve"> and</w:t>
      </w:r>
      <w:r w:rsidR="0008427B" w:rsidRPr="00350A5C">
        <w:rPr>
          <w:lang w:val="en-GB"/>
        </w:rPr>
        <w:t xml:space="preserve"> utilization (CCU) technologies have been</w:t>
      </w:r>
      <w:r w:rsidR="009B34BE" w:rsidRPr="00350A5C">
        <w:rPr>
          <w:lang w:val="en-GB"/>
        </w:rPr>
        <w:t xml:space="preserve"> extensively</w:t>
      </w:r>
      <w:r w:rsidR="0008427B" w:rsidRPr="00350A5C">
        <w:rPr>
          <w:lang w:val="en-GB"/>
        </w:rPr>
        <w:t xml:space="preserve"> </w:t>
      </w:r>
      <w:r w:rsidR="009B34BE" w:rsidRPr="00350A5C">
        <w:rPr>
          <w:lang w:val="en-GB"/>
        </w:rPr>
        <w:t xml:space="preserve">studied </w:t>
      </w:r>
      <w:proofErr w:type="gramStart"/>
      <w:r w:rsidR="0008427B" w:rsidRPr="00350A5C">
        <w:rPr>
          <w:lang w:val="en-GB"/>
        </w:rPr>
        <w:t xml:space="preserve">in </w:t>
      </w:r>
      <w:r w:rsidR="009B34BE" w:rsidRPr="00350A5C">
        <w:rPr>
          <w:lang w:val="en-GB"/>
        </w:rPr>
        <w:t>order to</w:t>
      </w:r>
      <w:proofErr w:type="gramEnd"/>
      <w:r w:rsidR="009B34BE" w:rsidRPr="00350A5C">
        <w:rPr>
          <w:lang w:val="en-GB"/>
        </w:rPr>
        <w:t xml:space="preserve"> </w:t>
      </w:r>
      <w:r w:rsidR="00BA5639" w:rsidRPr="00350A5C">
        <w:rPr>
          <w:lang w:val="en-GB"/>
        </w:rPr>
        <w:t xml:space="preserve">limit carbon emissions and use </w:t>
      </w:r>
      <w:proofErr w:type="spellStart"/>
      <w:r w:rsidR="00BA5639" w:rsidRPr="00350A5C">
        <w:rPr>
          <w:lang w:val="en-GB"/>
        </w:rPr>
        <w:t>antropogenic</w:t>
      </w:r>
      <w:proofErr w:type="spellEnd"/>
      <w:r w:rsidR="00BA5639" w:rsidRPr="00350A5C">
        <w:rPr>
          <w:lang w:val="en-GB"/>
        </w:rPr>
        <w:t xml:space="preserve"> CO</w:t>
      </w:r>
      <w:r w:rsidR="00BA5639" w:rsidRPr="00350A5C">
        <w:rPr>
          <w:vertAlign w:val="subscript"/>
          <w:lang w:val="en-GB"/>
        </w:rPr>
        <w:t>2</w:t>
      </w:r>
      <w:r w:rsidR="00BA5639" w:rsidRPr="00350A5C">
        <w:rPr>
          <w:lang w:val="en-GB"/>
        </w:rPr>
        <w:t xml:space="preserve"> as a renewable feedstock</w:t>
      </w:r>
      <w:r w:rsidR="00E975B2" w:rsidRPr="00350A5C">
        <w:rPr>
          <w:lang w:val="en-GB"/>
        </w:rPr>
        <w:t xml:space="preserve">, </w:t>
      </w:r>
      <w:r w:rsidR="00611038">
        <w:rPr>
          <w:lang w:val="en-GB"/>
        </w:rPr>
        <w:t>suitable in</w:t>
      </w:r>
      <w:r w:rsidR="001347A5" w:rsidRPr="00350A5C">
        <w:rPr>
          <w:lang w:val="en-GB"/>
        </w:rPr>
        <w:t xml:space="preserve"> several </w:t>
      </w:r>
      <w:r w:rsidR="00BE0CEB">
        <w:rPr>
          <w:lang w:val="en-GB"/>
        </w:rPr>
        <w:t>applications</w:t>
      </w:r>
      <w:r w:rsidR="001347A5" w:rsidRPr="00350A5C">
        <w:rPr>
          <w:lang w:val="en-GB"/>
        </w:rPr>
        <w:t xml:space="preserve">, from </w:t>
      </w:r>
      <w:r w:rsidR="00904E01" w:rsidRPr="00350A5C">
        <w:rPr>
          <w:lang w:val="en-GB"/>
        </w:rPr>
        <w:t>fuel synthesis</w:t>
      </w:r>
      <w:r w:rsidR="00BA5639" w:rsidRPr="00350A5C">
        <w:rPr>
          <w:lang w:val="en-GB"/>
        </w:rPr>
        <w:t xml:space="preserve"> </w:t>
      </w:r>
      <w:r w:rsidR="00904E01" w:rsidRPr="00350A5C">
        <w:rPr>
          <w:lang w:val="en-GB"/>
        </w:rPr>
        <w:t>(Al</w:t>
      </w:r>
      <w:r w:rsidR="00904E01" w:rsidRPr="00350A5C">
        <w:rPr>
          <w:rFonts w:ascii="Cambria Math" w:hAnsi="Cambria Math" w:cs="Cambria Math"/>
          <w:lang w:val="en-GB"/>
        </w:rPr>
        <w:t>‐</w:t>
      </w:r>
      <w:proofErr w:type="spellStart"/>
      <w:r w:rsidR="00904E01" w:rsidRPr="00350A5C">
        <w:rPr>
          <w:lang w:val="en-GB"/>
        </w:rPr>
        <w:t>Mamoori</w:t>
      </w:r>
      <w:proofErr w:type="spellEnd"/>
      <w:r w:rsidR="00904E01" w:rsidRPr="00350A5C">
        <w:rPr>
          <w:lang w:val="en-GB"/>
        </w:rPr>
        <w:t xml:space="preserve"> et al.,</w:t>
      </w:r>
      <w:r w:rsidR="008A7A01" w:rsidRPr="00350A5C">
        <w:rPr>
          <w:lang w:val="en-GB"/>
        </w:rPr>
        <w:t xml:space="preserve"> </w:t>
      </w:r>
      <w:r w:rsidR="00904E01" w:rsidRPr="00350A5C">
        <w:rPr>
          <w:lang w:val="en-GB"/>
        </w:rPr>
        <w:t>2017</w:t>
      </w:r>
      <w:r w:rsidR="00904E01" w:rsidRPr="00453C99">
        <w:rPr>
          <w:lang w:val="en-GB"/>
        </w:rPr>
        <w:t xml:space="preserve">) </w:t>
      </w:r>
      <w:r w:rsidR="00E956E2" w:rsidRPr="00453C99">
        <w:rPr>
          <w:lang w:val="en-GB"/>
        </w:rPr>
        <w:t>to</w:t>
      </w:r>
      <w:r w:rsidR="00904E01" w:rsidRPr="00453C99">
        <w:rPr>
          <w:lang w:val="en-GB"/>
        </w:rPr>
        <w:t xml:space="preserve"> </w:t>
      </w:r>
      <w:r w:rsidR="00611038">
        <w:rPr>
          <w:lang w:val="en-GB"/>
        </w:rPr>
        <w:t>photobioreactor (PBR) feed for</w:t>
      </w:r>
      <w:r w:rsidR="0008427B" w:rsidRPr="00453C99">
        <w:rPr>
          <w:lang w:val="en-GB"/>
        </w:rPr>
        <w:t xml:space="preserve"> microalgae </w:t>
      </w:r>
      <w:r w:rsidR="00611038" w:rsidRPr="006C256B">
        <w:rPr>
          <w:lang w:val="en-GB"/>
        </w:rPr>
        <w:t>growth</w:t>
      </w:r>
      <w:r w:rsidR="007C11CF" w:rsidRPr="006C256B">
        <w:rPr>
          <w:lang w:val="en-GB"/>
        </w:rPr>
        <w:t xml:space="preserve"> (Concas et al., 2015)</w:t>
      </w:r>
      <w:r w:rsidR="00781D56" w:rsidRPr="006C256B">
        <w:rPr>
          <w:lang w:val="en-GB"/>
        </w:rPr>
        <w:t>. Moreover, CO</w:t>
      </w:r>
      <w:r w:rsidR="00781D56" w:rsidRPr="006C256B">
        <w:rPr>
          <w:vertAlign w:val="subscript"/>
          <w:lang w:val="en-GB"/>
        </w:rPr>
        <w:t>2</w:t>
      </w:r>
      <w:r w:rsidR="00781D56" w:rsidRPr="006C256B">
        <w:rPr>
          <w:lang w:val="en-GB"/>
        </w:rPr>
        <w:t xml:space="preserve"> </w:t>
      </w:r>
      <w:r w:rsidR="00B60E57" w:rsidRPr="006C256B">
        <w:rPr>
          <w:lang w:val="en-GB"/>
        </w:rPr>
        <w:t xml:space="preserve">capture and </w:t>
      </w:r>
      <w:r w:rsidR="00781D56" w:rsidRPr="006C256B">
        <w:rPr>
          <w:lang w:val="en-GB"/>
        </w:rPr>
        <w:t>utilization for microalgae growth ha</w:t>
      </w:r>
      <w:r w:rsidR="00E7320A" w:rsidRPr="006C256B">
        <w:rPr>
          <w:lang w:val="en-GB"/>
        </w:rPr>
        <w:t>s</w:t>
      </w:r>
      <w:r w:rsidR="00781D56" w:rsidRPr="006C256B">
        <w:rPr>
          <w:lang w:val="en-GB"/>
        </w:rPr>
        <w:t xml:space="preserve"> gained increasing interest </w:t>
      </w:r>
      <w:r w:rsidR="005C38D3" w:rsidRPr="006C256B">
        <w:rPr>
          <w:lang w:val="en-GB"/>
        </w:rPr>
        <w:t>for sustaining manned missions on Mars</w:t>
      </w:r>
      <w:r w:rsidR="0008427B" w:rsidRPr="006C256B">
        <w:rPr>
          <w:lang w:val="en-GB"/>
        </w:rPr>
        <w:t xml:space="preserve"> </w:t>
      </w:r>
      <w:r w:rsidR="007C11CF" w:rsidRPr="006C256B">
        <w:rPr>
          <w:lang w:val="en-GB"/>
        </w:rPr>
        <w:t xml:space="preserve">(Fais et al; 2022) </w:t>
      </w:r>
      <w:r w:rsidR="00781D56" w:rsidRPr="00350A5C">
        <w:rPr>
          <w:lang w:val="en-GB"/>
        </w:rPr>
        <w:t>where</w:t>
      </w:r>
      <w:r w:rsidR="00E7320A" w:rsidRPr="00350A5C">
        <w:rPr>
          <w:lang w:val="en-GB"/>
        </w:rPr>
        <w:t xml:space="preserve"> in situ resources, such as CO</w:t>
      </w:r>
      <w:r w:rsidR="00E7320A" w:rsidRPr="00350A5C">
        <w:rPr>
          <w:vertAlign w:val="subscript"/>
          <w:lang w:val="en-GB"/>
        </w:rPr>
        <w:t>2</w:t>
      </w:r>
      <w:r w:rsidR="00E7320A" w:rsidRPr="00350A5C">
        <w:rPr>
          <w:lang w:val="en-GB"/>
        </w:rPr>
        <w:t xml:space="preserve"> and regolith</w:t>
      </w:r>
      <w:r w:rsidR="00363DDA" w:rsidRPr="00350A5C">
        <w:rPr>
          <w:lang w:val="en-GB"/>
        </w:rPr>
        <w:t>,</w:t>
      </w:r>
      <w:r w:rsidR="00781D56" w:rsidRPr="00350A5C">
        <w:rPr>
          <w:lang w:val="en-GB"/>
        </w:rPr>
        <w:t xml:space="preserve"> can be exploited </w:t>
      </w:r>
      <w:r w:rsidR="00901D99" w:rsidRPr="00350A5C">
        <w:rPr>
          <w:lang w:val="en-GB"/>
        </w:rPr>
        <w:t>to produce</w:t>
      </w:r>
      <w:r w:rsidR="005C38D3" w:rsidRPr="00350A5C">
        <w:rPr>
          <w:lang w:val="en-GB"/>
        </w:rPr>
        <w:t xml:space="preserve"> oxygen and food</w:t>
      </w:r>
      <w:r w:rsidR="00901D99" w:rsidRPr="00350A5C">
        <w:rPr>
          <w:lang w:val="en-GB"/>
        </w:rPr>
        <w:t xml:space="preserve"> (Concas et al., 2023)</w:t>
      </w:r>
      <w:r w:rsidR="0008427B" w:rsidRPr="00350A5C">
        <w:rPr>
          <w:lang w:val="en-GB"/>
        </w:rPr>
        <w:t>.</w:t>
      </w:r>
      <w:r w:rsidR="007C11CF">
        <w:rPr>
          <w:lang w:val="en-GB"/>
        </w:rPr>
        <w:t xml:space="preserve"> </w:t>
      </w:r>
      <w:r w:rsidR="00E975B2" w:rsidRPr="00350A5C">
        <w:rPr>
          <w:lang w:val="en-GB"/>
        </w:rPr>
        <w:t>According to chemical and petrochemical industries</w:t>
      </w:r>
      <w:r w:rsidR="00EF6595" w:rsidRPr="00350A5C">
        <w:rPr>
          <w:lang w:val="en-GB"/>
        </w:rPr>
        <w:t>,</w:t>
      </w:r>
      <w:r w:rsidRPr="00350A5C">
        <w:rPr>
          <w:lang w:val="en-GB"/>
        </w:rPr>
        <w:t xml:space="preserve"> chemical absorption is one of the most feasible methods</w:t>
      </w:r>
      <w:r w:rsidR="00B60E57" w:rsidRPr="00350A5C">
        <w:rPr>
          <w:lang w:val="en-GB"/>
        </w:rPr>
        <w:t xml:space="preserve"> for post combustion CO</w:t>
      </w:r>
      <w:r w:rsidR="00B60E57" w:rsidRPr="00350A5C">
        <w:rPr>
          <w:vertAlign w:val="subscript"/>
          <w:lang w:val="en-GB"/>
        </w:rPr>
        <w:t>2</w:t>
      </w:r>
      <w:r w:rsidR="00B60E57" w:rsidRPr="00350A5C">
        <w:rPr>
          <w:lang w:val="en-GB"/>
        </w:rPr>
        <w:t xml:space="preserve"> capture</w:t>
      </w:r>
      <w:r w:rsidRPr="00350A5C">
        <w:rPr>
          <w:lang w:val="en-GB"/>
        </w:rPr>
        <w:t xml:space="preserve"> and a mature technology ready to retrofit existing power plants </w:t>
      </w:r>
      <w:r w:rsidR="00E975B2" w:rsidRPr="00350A5C">
        <w:rPr>
          <w:lang w:val="en-GB"/>
        </w:rPr>
        <w:t>(</w:t>
      </w:r>
      <w:proofErr w:type="spellStart"/>
      <w:r w:rsidR="00E975B2" w:rsidRPr="00350A5C">
        <w:rPr>
          <w:lang w:val="en-GB"/>
        </w:rPr>
        <w:t>Ochedi</w:t>
      </w:r>
      <w:proofErr w:type="spellEnd"/>
      <w:r w:rsidR="00E975B2" w:rsidRPr="00350A5C">
        <w:rPr>
          <w:lang w:val="en-GB"/>
        </w:rPr>
        <w:t xml:space="preserve"> et al., 2021)</w:t>
      </w:r>
      <w:r w:rsidRPr="00350A5C">
        <w:rPr>
          <w:lang w:val="en-GB"/>
        </w:rPr>
        <w:t>.</w:t>
      </w:r>
      <w:r w:rsidR="00EF6595" w:rsidRPr="00350A5C">
        <w:rPr>
          <w:lang w:val="en-GB"/>
        </w:rPr>
        <w:t xml:space="preserve"> </w:t>
      </w:r>
      <w:r w:rsidR="00B60E57" w:rsidRPr="00350A5C">
        <w:rPr>
          <w:lang w:val="en-GB"/>
        </w:rPr>
        <w:t>Due to</w:t>
      </w:r>
      <w:r w:rsidRPr="00350A5C">
        <w:rPr>
          <w:lang w:val="en-GB"/>
        </w:rPr>
        <w:t xml:space="preserve"> the </w:t>
      </w:r>
      <w:r w:rsidR="00154CA3" w:rsidRPr="00350A5C">
        <w:rPr>
          <w:lang w:val="en-GB"/>
        </w:rPr>
        <w:t xml:space="preserve">chemical reactions that </w:t>
      </w:r>
      <w:r w:rsidR="00052983" w:rsidRPr="00350A5C">
        <w:rPr>
          <w:lang w:val="en-GB"/>
        </w:rPr>
        <w:t>consume</w:t>
      </w:r>
      <w:r w:rsidR="00154CA3" w:rsidRPr="00350A5C">
        <w:rPr>
          <w:lang w:val="en-GB"/>
        </w:rPr>
        <w:t xml:space="preserve"> the </w:t>
      </w:r>
      <w:r w:rsidR="002246DF">
        <w:rPr>
          <w:lang w:val="en-GB"/>
        </w:rPr>
        <w:t>absorbed carbon dioxide</w:t>
      </w:r>
      <w:r w:rsidRPr="00350A5C">
        <w:rPr>
          <w:lang w:val="en-GB"/>
        </w:rPr>
        <w:t xml:space="preserve">, the </w:t>
      </w:r>
      <w:r w:rsidR="00154CA3" w:rsidRPr="00350A5C">
        <w:rPr>
          <w:lang w:val="en-GB"/>
        </w:rPr>
        <w:t>capture</w:t>
      </w:r>
      <w:r w:rsidRPr="00350A5C">
        <w:rPr>
          <w:lang w:val="en-GB"/>
        </w:rPr>
        <w:t xml:space="preserve"> capacity of the </w:t>
      </w:r>
      <w:r w:rsidR="00154CA3" w:rsidRPr="00350A5C">
        <w:rPr>
          <w:lang w:val="en-GB"/>
        </w:rPr>
        <w:t xml:space="preserve">sorbent </w:t>
      </w:r>
      <w:r w:rsidRPr="00350A5C">
        <w:rPr>
          <w:lang w:val="en-GB"/>
        </w:rPr>
        <w:t xml:space="preserve">solution </w:t>
      </w:r>
      <w:r w:rsidR="00154CA3" w:rsidRPr="00350A5C">
        <w:rPr>
          <w:lang w:val="en-GB"/>
        </w:rPr>
        <w:t>incre</w:t>
      </w:r>
      <w:r w:rsidR="00AC6CA3" w:rsidRPr="00350A5C">
        <w:rPr>
          <w:lang w:val="en-GB"/>
        </w:rPr>
        <w:t>a</w:t>
      </w:r>
      <w:r w:rsidR="00154CA3" w:rsidRPr="00350A5C">
        <w:rPr>
          <w:lang w:val="en-GB"/>
        </w:rPr>
        <w:t>se</w:t>
      </w:r>
      <w:r w:rsidR="00003497" w:rsidRPr="00350A5C">
        <w:rPr>
          <w:lang w:val="en-GB"/>
        </w:rPr>
        <w:t>s</w:t>
      </w:r>
      <w:r w:rsidRPr="00350A5C">
        <w:rPr>
          <w:lang w:val="en-GB"/>
        </w:rPr>
        <w:t xml:space="preserve"> with respect to physical absorption</w:t>
      </w:r>
      <w:r w:rsidR="001C34F0" w:rsidRPr="00350A5C">
        <w:rPr>
          <w:lang w:val="en-GB"/>
        </w:rPr>
        <w:t>,</w:t>
      </w:r>
      <w:r w:rsidR="00AC6CA3" w:rsidRPr="00350A5C">
        <w:rPr>
          <w:lang w:val="en-GB"/>
        </w:rPr>
        <w:t xml:space="preserve"> </w:t>
      </w:r>
      <w:r w:rsidR="001C34F0" w:rsidRPr="00350A5C">
        <w:rPr>
          <w:lang w:val="en-GB"/>
        </w:rPr>
        <w:t>reducing</w:t>
      </w:r>
      <w:r w:rsidR="00AC6CA3" w:rsidRPr="00350A5C">
        <w:rPr>
          <w:lang w:val="en-GB"/>
        </w:rPr>
        <w:t xml:space="preserve"> </w:t>
      </w:r>
      <w:r w:rsidRPr="00350A5C">
        <w:rPr>
          <w:lang w:val="en-GB"/>
        </w:rPr>
        <w:t>the energy demand related to pressurization and cooling</w:t>
      </w:r>
      <w:r w:rsidR="00B60E57" w:rsidRPr="00350A5C">
        <w:rPr>
          <w:lang w:val="en-GB"/>
        </w:rPr>
        <w:t xml:space="preserve"> and allowing to purify flow gases with</w:t>
      </w:r>
      <w:r w:rsidRPr="00350A5C">
        <w:rPr>
          <w:lang w:val="en-GB"/>
        </w:rPr>
        <w:t xml:space="preserve">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concentration lower than 15 %</w:t>
      </w:r>
      <w:r w:rsidRPr="00350A5C">
        <w:rPr>
          <w:vertAlign w:val="subscript"/>
          <w:lang w:val="en-GB"/>
        </w:rPr>
        <w:t>vol</w:t>
      </w:r>
      <w:r w:rsidRPr="00350A5C">
        <w:rPr>
          <w:lang w:val="en-GB"/>
        </w:rPr>
        <w:t xml:space="preserve"> </w:t>
      </w:r>
      <w:r w:rsidR="0080382F" w:rsidRPr="00350A5C">
        <w:rPr>
          <w:lang w:val="en-GB"/>
        </w:rPr>
        <w:t>(</w:t>
      </w:r>
      <w:proofErr w:type="spellStart"/>
      <w:r w:rsidR="0080382F" w:rsidRPr="00350A5C">
        <w:rPr>
          <w:lang w:val="en-GB"/>
        </w:rPr>
        <w:t>Ochedi</w:t>
      </w:r>
      <w:proofErr w:type="spellEnd"/>
      <w:r w:rsidR="0080382F" w:rsidRPr="00350A5C">
        <w:rPr>
          <w:lang w:val="en-GB"/>
        </w:rPr>
        <w:t xml:space="preserve"> et al., 2021)</w:t>
      </w:r>
      <w:r w:rsidRPr="00350A5C">
        <w:rPr>
          <w:lang w:val="en-GB"/>
        </w:rPr>
        <w:t xml:space="preserve">. </w:t>
      </w:r>
      <w:r w:rsidR="006A151A" w:rsidRPr="00350A5C">
        <w:rPr>
          <w:lang w:val="en-GB"/>
        </w:rPr>
        <w:t>Accordingly</w:t>
      </w:r>
      <w:r w:rsidRPr="00350A5C">
        <w:rPr>
          <w:lang w:val="en-GB"/>
        </w:rPr>
        <w:t xml:space="preserve">, the most significant challenge is to discover and </w:t>
      </w:r>
      <w:r w:rsidR="00154CA3" w:rsidRPr="00350A5C">
        <w:rPr>
          <w:lang w:val="en-GB"/>
        </w:rPr>
        <w:t>test</w:t>
      </w:r>
      <w:r w:rsidRPr="00350A5C">
        <w:rPr>
          <w:lang w:val="en-GB"/>
        </w:rPr>
        <w:t xml:space="preserve"> chemical solvents with high absorption capacity, low regeneration energy, </w:t>
      </w:r>
      <w:r w:rsidR="00154CA3" w:rsidRPr="00350A5C">
        <w:rPr>
          <w:lang w:val="en-GB"/>
        </w:rPr>
        <w:t xml:space="preserve">good thermal degradation resistance </w:t>
      </w:r>
      <w:r w:rsidRPr="00350A5C">
        <w:rPr>
          <w:lang w:val="en-GB"/>
        </w:rPr>
        <w:t>and low volatility</w:t>
      </w:r>
      <w:r w:rsidR="00052983" w:rsidRPr="00350A5C">
        <w:rPr>
          <w:lang w:val="en-GB"/>
        </w:rPr>
        <w:t>.</w:t>
      </w:r>
      <w:r w:rsidR="007C11CF">
        <w:rPr>
          <w:lang w:val="en-GB"/>
        </w:rPr>
        <w:t xml:space="preserve"> </w:t>
      </w:r>
      <w:r w:rsidRPr="00350A5C">
        <w:rPr>
          <w:lang w:val="en-GB"/>
        </w:rPr>
        <w:t>Recently, ammonia</w:t>
      </w:r>
      <w:r w:rsidR="002246DF">
        <w:rPr>
          <w:lang w:val="en-GB"/>
        </w:rPr>
        <w:t xml:space="preserve"> (NH</w:t>
      </w:r>
      <w:r w:rsidR="002246DF" w:rsidRPr="002246DF">
        <w:rPr>
          <w:vertAlign w:val="subscript"/>
          <w:lang w:val="en-GB"/>
        </w:rPr>
        <w:t>3</w:t>
      </w:r>
      <w:r w:rsidR="002246DF">
        <w:rPr>
          <w:lang w:val="en-GB"/>
        </w:rPr>
        <w:t>)</w:t>
      </w:r>
      <w:r w:rsidRPr="00350A5C">
        <w:rPr>
          <w:lang w:val="en-GB"/>
        </w:rPr>
        <w:t xml:space="preserve"> has demonstrated to be one of the most promising solvent</w:t>
      </w:r>
      <w:r w:rsidR="00897636" w:rsidRPr="00350A5C">
        <w:rPr>
          <w:lang w:val="en-GB"/>
        </w:rPr>
        <w:t>s</w:t>
      </w:r>
      <w:r w:rsidRPr="00350A5C">
        <w:rPr>
          <w:lang w:val="en-GB"/>
        </w:rPr>
        <w:t>, due to</w:t>
      </w:r>
      <w:r w:rsidR="002246DF">
        <w:rPr>
          <w:lang w:val="en-GB"/>
        </w:rPr>
        <w:t xml:space="preserve"> its</w:t>
      </w:r>
      <w:r w:rsidRPr="00350A5C">
        <w:rPr>
          <w:lang w:val="en-GB"/>
        </w:rPr>
        <w:t xml:space="preserve"> high absorption rate compared to traditional sorbents,</w:t>
      </w:r>
      <w:r w:rsidR="0019232A" w:rsidRPr="00350A5C">
        <w:rPr>
          <w:lang w:val="en-GB"/>
        </w:rPr>
        <w:t xml:space="preserve"> </w:t>
      </w:r>
      <w:r w:rsidR="00DD3AF5" w:rsidRPr="00350A5C">
        <w:rPr>
          <w:lang w:val="en-GB"/>
        </w:rPr>
        <w:t>like</w:t>
      </w:r>
      <w:r w:rsidRPr="00350A5C">
        <w:rPr>
          <w:lang w:val="en-GB"/>
        </w:rPr>
        <w:t xml:space="preserve"> </w:t>
      </w:r>
      <w:proofErr w:type="spellStart"/>
      <w:r w:rsidRPr="00350A5C">
        <w:rPr>
          <w:lang w:val="en-GB"/>
        </w:rPr>
        <w:t>monoethanolamine</w:t>
      </w:r>
      <w:proofErr w:type="spellEnd"/>
      <w:r w:rsidRPr="00350A5C">
        <w:rPr>
          <w:lang w:val="en-GB"/>
        </w:rPr>
        <w:t xml:space="preserve"> (MEA), its cost-effectiveness</w:t>
      </w:r>
      <w:r w:rsidR="009222A1" w:rsidRPr="00350A5C">
        <w:rPr>
          <w:lang w:val="en-GB"/>
        </w:rPr>
        <w:t xml:space="preserve">, </w:t>
      </w:r>
      <w:r w:rsidRPr="00350A5C">
        <w:rPr>
          <w:lang w:val="en-GB"/>
        </w:rPr>
        <w:t xml:space="preserve">its low regeneration </w:t>
      </w:r>
      <w:proofErr w:type="gramStart"/>
      <w:r w:rsidRPr="00350A5C">
        <w:rPr>
          <w:lang w:val="en-GB"/>
        </w:rPr>
        <w:t>energy</w:t>
      </w:r>
      <w:proofErr w:type="gramEnd"/>
      <w:r w:rsidR="009222A1" w:rsidRPr="00350A5C">
        <w:rPr>
          <w:lang w:val="en-GB"/>
        </w:rPr>
        <w:t xml:space="preserve"> and </w:t>
      </w:r>
      <w:r w:rsidR="0019232A" w:rsidRPr="00350A5C">
        <w:rPr>
          <w:lang w:val="en-GB"/>
        </w:rPr>
        <w:t>its</w:t>
      </w:r>
      <w:r w:rsidRPr="00350A5C">
        <w:rPr>
          <w:lang w:val="en-GB"/>
        </w:rPr>
        <w:t xml:space="preserve"> resistance to degradation in the presence of </w:t>
      </w:r>
      <w:r w:rsidR="00DD3AF5" w:rsidRPr="00350A5C">
        <w:rPr>
          <w:lang w:val="en-GB"/>
        </w:rPr>
        <w:t>O</w:t>
      </w:r>
      <w:r w:rsidR="00DD3AF5"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and </w:t>
      </w:r>
      <w:proofErr w:type="spellStart"/>
      <w:r w:rsidR="00DD3AF5" w:rsidRPr="00350A5C">
        <w:rPr>
          <w:lang w:val="en-GB"/>
        </w:rPr>
        <w:t>SO</w:t>
      </w:r>
      <w:r w:rsidR="00DD3AF5" w:rsidRPr="00350A5C">
        <w:rPr>
          <w:vertAlign w:val="subscript"/>
          <w:lang w:val="en-GB"/>
        </w:rPr>
        <w:t>x</w:t>
      </w:r>
      <w:proofErr w:type="spellEnd"/>
      <w:r w:rsidR="00DD3AF5" w:rsidRPr="00350A5C">
        <w:rPr>
          <w:lang w:val="en-GB"/>
        </w:rPr>
        <w:t xml:space="preserve"> </w:t>
      </w:r>
      <w:r w:rsidR="00BF1428" w:rsidRPr="00350A5C">
        <w:rPr>
          <w:lang w:val="en-GB"/>
        </w:rPr>
        <w:t>(</w:t>
      </w:r>
      <w:proofErr w:type="spellStart"/>
      <w:r w:rsidR="00BF1428" w:rsidRPr="00350A5C">
        <w:rPr>
          <w:lang w:val="en-GB"/>
        </w:rPr>
        <w:t>Puxty</w:t>
      </w:r>
      <w:proofErr w:type="spellEnd"/>
      <w:r w:rsidR="00BF1428" w:rsidRPr="00350A5C">
        <w:rPr>
          <w:lang w:val="en-GB"/>
        </w:rPr>
        <w:t xml:space="preserve"> et al., 2010)</w:t>
      </w:r>
      <w:r w:rsidRPr="00350A5C">
        <w:rPr>
          <w:lang w:val="en-GB"/>
        </w:rPr>
        <w:t xml:space="preserve">. </w:t>
      </w:r>
      <w:r w:rsidR="00897636" w:rsidRPr="00350A5C">
        <w:rPr>
          <w:lang w:val="en-GB"/>
        </w:rPr>
        <w:t>Nevertheless</w:t>
      </w:r>
      <w:r w:rsidRPr="00350A5C">
        <w:rPr>
          <w:lang w:val="en-GB"/>
        </w:rPr>
        <w:t>,</w:t>
      </w:r>
      <w:r w:rsidR="0019232A" w:rsidRPr="00350A5C">
        <w:rPr>
          <w:lang w:val="en-GB"/>
        </w:rPr>
        <w:t xml:space="preserve"> </w:t>
      </w:r>
      <w:r w:rsidR="00DD3AF5" w:rsidRPr="00350A5C">
        <w:rPr>
          <w:lang w:val="en-GB"/>
        </w:rPr>
        <w:t>NH</w:t>
      </w:r>
      <w:r w:rsidR="00DD3AF5" w:rsidRPr="00350A5C">
        <w:rPr>
          <w:vertAlign w:val="subscript"/>
          <w:lang w:val="en-GB"/>
        </w:rPr>
        <w:t>3</w:t>
      </w:r>
      <w:r w:rsidRPr="00350A5C">
        <w:rPr>
          <w:lang w:val="en-GB"/>
        </w:rPr>
        <w:t xml:space="preserve"> high volatility must be suitably managed to permit large-scale implementation</w:t>
      </w:r>
      <w:r w:rsidR="0019232A" w:rsidRPr="00350A5C">
        <w:rPr>
          <w:lang w:val="en-GB"/>
        </w:rPr>
        <w:t>s</w:t>
      </w:r>
      <w:r w:rsidR="007C191F" w:rsidRPr="00350A5C">
        <w:rPr>
          <w:lang w:val="en-GB"/>
        </w:rPr>
        <w:t xml:space="preserve"> (</w:t>
      </w:r>
      <w:proofErr w:type="spellStart"/>
      <w:r w:rsidR="007C191F" w:rsidRPr="00350A5C">
        <w:rPr>
          <w:lang w:val="en-GB"/>
        </w:rPr>
        <w:t>Jilvero</w:t>
      </w:r>
      <w:proofErr w:type="spellEnd"/>
      <w:r w:rsidR="007C191F" w:rsidRPr="00350A5C">
        <w:rPr>
          <w:lang w:val="en-GB"/>
        </w:rPr>
        <w:t xml:space="preserve"> et al., 2014).</w:t>
      </w:r>
      <w:r w:rsidR="007C11CF">
        <w:rPr>
          <w:lang w:val="en-GB"/>
        </w:rPr>
        <w:t xml:space="preserve"> </w:t>
      </w:r>
      <w:r w:rsidRPr="00350A5C">
        <w:rPr>
          <w:lang w:val="en-GB"/>
        </w:rPr>
        <w:t>In this work</w:t>
      </w:r>
      <w:r w:rsidR="007C191F" w:rsidRPr="00350A5C">
        <w:rPr>
          <w:lang w:val="en-GB"/>
        </w:rPr>
        <w:t>,</w:t>
      </w:r>
      <w:r w:rsidR="00DD3AF5" w:rsidRPr="00350A5C">
        <w:rPr>
          <w:lang w:val="en-GB"/>
        </w:rPr>
        <w:t xml:space="preserve"> </w:t>
      </w:r>
      <w:r w:rsidR="006F2035">
        <w:rPr>
          <w:lang w:val="en-GB"/>
        </w:rPr>
        <w:t>a</w:t>
      </w:r>
      <w:r w:rsidR="00350A5C">
        <w:rPr>
          <w:lang w:val="en-GB"/>
        </w:rPr>
        <w:t xml:space="preserve"> specific </w:t>
      </w:r>
      <w:r w:rsidR="004B3F99">
        <w:rPr>
          <w:lang w:val="en-GB"/>
        </w:rPr>
        <w:t xml:space="preserve">mathematical </w:t>
      </w:r>
      <w:r w:rsidR="00350A5C">
        <w:rPr>
          <w:lang w:val="en-GB"/>
        </w:rPr>
        <w:t>modelling approach</w:t>
      </w:r>
      <w:r w:rsidR="0087544E">
        <w:rPr>
          <w:lang w:val="en-GB"/>
        </w:rPr>
        <w:t xml:space="preserve">, based </w:t>
      </w:r>
      <w:r w:rsidR="00837ADC">
        <w:rPr>
          <w:lang w:val="en-GB"/>
        </w:rPr>
        <w:t xml:space="preserve">on the </w:t>
      </w:r>
      <w:r w:rsidR="0087544E">
        <w:rPr>
          <w:lang w:val="en-GB"/>
        </w:rPr>
        <w:t>limiting step theory</w:t>
      </w:r>
      <w:r w:rsidR="00837ADC">
        <w:rPr>
          <w:lang w:val="en-GB"/>
        </w:rPr>
        <w:t xml:space="preserve"> and the steady-state assumption</w:t>
      </w:r>
      <w:r w:rsidR="002246DF">
        <w:rPr>
          <w:lang w:val="en-GB"/>
        </w:rPr>
        <w:t xml:space="preserve"> for the chemicals in the liquid phase</w:t>
      </w:r>
      <w:r w:rsidR="0087544E">
        <w:rPr>
          <w:lang w:val="en-GB"/>
        </w:rPr>
        <w:t>,</w:t>
      </w:r>
      <w:r w:rsidR="00350A5C">
        <w:rPr>
          <w:lang w:val="en-GB"/>
        </w:rPr>
        <w:t xml:space="preserve"> </w:t>
      </w:r>
      <w:r w:rsidR="0087544E">
        <w:rPr>
          <w:lang w:val="en-GB"/>
        </w:rPr>
        <w:t>was developed and applied to describe the capture phenomenon within bubble</w:t>
      </w:r>
      <w:r w:rsidR="00837ADC">
        <w:rPr>
          <w:lang w:val="en-GB"/>
        </w:rPr>
        <w:t xml:space="preserve"> column</w:t>
      </w:r>
      <w:r w:rsidR="006F2035">
        <w:rPr>
          <w:lang w:val="en-GB"/>
        </w:rPr>
        <w:t>s</w:t>
      </w:r>
      <w:r w:rsidRPr="00350A5C">
        <w:rPr>
          <w:lang w:val="en-GB"/>
        </w:rPr>
        <w:t xml:space="preserve">. </w:t>
      </w:r>
      <w:r w:rsidR="00837ADC">
        <w:rPr>
          <w:lang w:val="en-GB"/>
        </w:rPr>
        <w:t>After model validation</w:t>
      </w:r>
      <w:r w:rsidR="004B3F99">
        <w:rPr>
          <w:lang w:val="en-GB"/>
        </w:rPr>
        <w:t xml:space="preserve"> through</w:t>
      </w:r>
      <w:r w:rsidRPr="00350A5C">
        <w:rPr>
          <w:lang w:val="en-GB"/>
        </w:rPr>
        <w:t xml:space="preserve"> a comparison with experimental data</w:t>
      </w:r>
      <w:r w:rsidR="006F4FC2" w:rsidRPr="00350A5C">
        <w:rPr>
          <w:lang w:val="en-GB"/>
        </w:rPr>
        <w:t xml:space="preserve"> of </w:t>
      </w:r>
      <w:r w:rsidR="00837ADC">
        <w:rPr>
          <w:lang w:val="en-GB"/>
        </w:rPr>
        <w:t xml:space="preserve">capture efficiency and sorbent </w:t>
      </w:r>
      <w:r w:rsidRPr="00350A5C">
        <w:rPr>
          <w:lang w:val="en-GB"/>
        </w:rPr>
        <w:t xml:space="preserve">chemical </w:t>
      </w:r>
      <w:r w:rsidR="00837ADC">
        <w:rPr>
          <w:lang w:val="en-GB"/>
        </w:rPr>
        <w:t>composition</w:t>
      </w:r>
      <w:r w:rsidR="006F4FC2" w:rsidRPr="00350A5C">
        <w:rPr>
          <w:lang w:val="en-GB"/>
        </w:rPr>
        <w:t>,</w:t>
      </w:r>
      <w:r w:rsidRPr="00350A5C">
        <w:rPr>
          <w:lang w:val="en-GB"/>
        </w:rPr>
        <w:t xml:space="preserve"> </w:t>
      </w:r>
      <w:r w:rsidR="006F4FC2" w:rsidRPr="00350A5C">
        <w:rPr>
          <w:lang w:val="en-GB"/>
        </w:rPr>
        <w:t>obtained with a lab-scale bubble column</w:t>
      </w:r>
      <w:r w:rsidRPr="00350A5C">
        <w:rPr>
          <w:lang w:val="en-GB"/>
        </w:rPr>
        <w:t xml:space="preserve">, the same </w:t>
      </w:r>
      <w:r w:rsidR="006A37BF" w:rsidRPr="00350A5C">
        <w:rPr>
          <w:lang w:val="en-GB"/>
        </w:rPr>
        <w:t>modelling</w:t>
      </w:r>
      <w:r w:rsidRPr="00350A5C">
        <w:rPr>
          <w:lang w:val="en-GB"/>
        </w:rPr>
        <w:t xml:space="preserve"> approach </w:t>
      </w:r>
      <w:r w:rsidR="006A151A" w:rsidRPr="00350A5C">
        <w:rPr>
          <w:lang w:val="en-GB"/>
        </w:rPr>
        <w:t>wa</w:t>
      </w:r>
      <w:r w:rsidRPr="00350A5C">
        <w:rPr>
          <w:lang w:val="en-GB"/>
        </w:rPr>
        <w:t xml:space="preserve">s used to write a model for </w:t>
      </w:r>
      <w:r w:rsidR="006A37BF" w:rsidRPr="00350A5C">
        <w:rPr>
          <w:lang w:val="en-GB"/>
        </w:rPr>
        <w:t xml:space="preserve">simulating </w:t>
      </w:r>
      <w:r w:rsidRPr="00350A5C">
        <w:rPr>
          <w:lang w:val="en-GB"/>
        </w:rPr>
        <w:t xml:space="preserve">the </w:t>
      </w:r>
      <w:r w:rsidR="006F4FC2" w:rsidRPr="00350A5C">
        <w:rPr>
          <w:lang w:val="en-GB"/>
        </w:rPr>
        <w:t>capture process</w:t>
      </w:r>
      <w:r w:rsidRPr="00350A5C">
        <w:rPr>
          <w:lang w:val="en-GB"/>
        </w:rPr>
        <w:t xml:space="preserve"> within packed columns</w:t>
      </w:r>
      <w:r w:rsidR="006F4FC2" w:rsidRPr="00350A5C">
        <w:rPr>
          <w:lang w:val="en-GB"/>
        </w:rPr>
        <w:t>,</w:t>
      </w:r>
      <w:r w:rsidRPr="00350A5C">
        <w:rPr>
          <w:lang w:val="en-GB"/>
        </w:rPr>
        <w:t xml:space="preserve"> with the aim to </w:t>
      </w:r>
      <w:r w:rsidR="00F1740B" w:rsidRPr="00350A5C">
        <w:rPr>
          <w:lang w:val="en-GB"/>
        </w:rPr>
        <w:t>implement</w:t>
      </w:r>
      <w:r w:rsidRPr="00350A5C">
        <w:rPr>
          <w:lang w:val="en-GB"/>
        </w:rPr>
        <w:t xml:space="preserve"> a model-based algorithm for </w:t>
      </w:r>
      <w:r w:rsidR="00177D37" w:rsidRPr="00350A5C">
        <w:rPr>
          <w:lang w:val="en-GB"/>
        </w:rPr>
        <w:t>the</w:t>
      </w:r>
      <w:r w:rsidRPr="00350A5C">
        <w:rPr>
          <w:lang w:val="en-GB"/>
        </w:rPr>
        <w:t xml:space="preserve"> column design</w:t>
      </w:r>
      <w:r w:rsidR="00F1740B" w:rsidRPr="00350A5C">
        <w:rPr>
          <w:lang w:val="en-GB"/>
        </w:rPr>
        <w:t>, able to</w:t>
      </w:r>
      <w:r w:rsidR="00177D37" w:rsidRPr="00350A5C">
        <w:rPr>
          <w:lang w:val="en-GB"/>
        </w:rPr>
        <w:t xml:space="preserve"> compute the column height, given the capture efficiency to be achieved</w:t>
      </w:r>
      <w:r w:rsidRPr="00350A5C">
        <w:rPr>
          <w:lang w:val="en-GB"/>
        </w:rPr>
        <w:t xml:space="preserve">. Finally, </w:t>
      </w:r>
      <w:r w:rsidR="00177D37" w:rsidRPr="00350A5C">
        <w:rPr>
          <w:lang w:val="en-GB"/>
        </w:rPr>
        <w:t xml:space="preserve">a </w:t>
      </w:r>
      <w:r w:rsidRPr="00350A5C">
        <w:rPr>
          <w:lang w:val="en-GB"/>
        </w:rPr>
        <w:t xml:space="preserve">lab-scale </w:t>
      </w:r>
      <w:r w:rsidR="00177D37" w:rsidRPr="00350A5C">
        <w:rPr>
          <w:lang w:val="en-GB"/>
        </w:rPr>
        <w:t>packed</w:t>
      </w:r>
      <w:r w:rsidRPr="00350A5C">
        <w:rPr>
          <w:lang w:val="en-GB"/>
        </w:rPr>
        <w:t xml:space="preserve"> column </w:t>
      </w:r>
      <w:r w:rsidR="006A151A" w:rsidRPr="00350A5C">
        <w:rPr>
          <w:lang w:val="en-GB"/>
        </w:rPr>
        <w:t>wa</w:t>
      </w:r>
      <w:r w:rsidR="00177D37" w:rsidRPr="00350A5C">
        <w:rPr>
          <w:lang w:val="en-GB"/>
        </w:rPr>
        <w:t xml:space="preserve">s used to perform an experimental campaign that </w:t>
      </w:r>
      <w:r w:rsidRPr="00350A5C">
        <w:rPr>
          <w:lang w:val="en-GB"/>
        </w:rPr>
        <w:t>confirm</w:t>
      </w:r>
      <w:r w:rsidR="00177D37" w:rsidRPr="00350A5C">
        <w:rPr>
          <w:lang w:val="en-GB"/>
        </w:rPr>
        <w:t xml:space="preserve">ed </w:t>
      </w:r>
      <w:r w:rsidRPr="00350A5C">
        <w:rPr>
          <w:lang w:val="en-GB"/>
        </w:rPr>
        <w:t>the effectiveness of the algorithm and the modelling approach.</w:t>
      </w:r>
    </w:p>
    <w:p w14:paraId="44422D36" w14:textId="4B9E31BB" w:rsidR="000930C8" w:rsidRPr="00350A5C" w:rsidRDefault="000930C8" w:rsidP="000930C8">
      <w:pPr>
        <w:pStyle w:val="CETHeading1"/>
        <w:numPr>
          <w:ilvl w:val="1"/>
          <w:numId w:val="23"/>
        </w:numPr>
        <w:rPr>
          <w:lang w:val="en-GB"/>
        </w:rPr>
      </w:pPr>
      <w:r w:rsidRPr="00350A5C">
        <w:rPr>
          <w:lang w:val="en-GB"/>
        </w:rPr>
        <w:lastRenderedPageBreak/>
        <w:t>Materials and method</w:t>
      </w:r>
    </w:p>
    <w:p w14:paraId="5D4149F3" w14:textId="2BCEA713" w:rsidR="000930C8" w:rsidRPr="00350A5C" w:rsidRDefault="000930C8" w:rsidP="000930C8">
      <w:pPr>
        <w:pStyle w:val="CETBodytext"/>
        <w:rPr>
          <w:lang w:val="en-GB"/>
        </w:rPr>
      </w:pPr>
      <w:r w:rsidRPr="00350A5C">
        <w:rPr>
          <w:lang w:val="en-GB"/>
        </w:rPr>
        <w:t xml:space="preserve">Two different experimental campaigns were conducted to analyse the </w:t>
      </w:r>
      <w:r w:rsidR="003B50B7" w:rsidRPr="00350A5C">
        <w:rPr>
          <w:lang w:val="en-GB"/>
        </w:rPr>
        <w:t>capture</w:t>
      </w:r>
      <w:r w:rsidRPr="00350A5C">
        <w:rPr>
          <w:lang w:val="en-GB"/>
        </w:rPr>
        <w:t xml:space="preserve"> process both in bubble column and packed bed system</w:t>
      </w:r>
      <w:r w:rsidR="003B50B7" w:rsidRPr="00350A5C">
        <w:rPr>
          <w:lang w:val="en-GB"/>
        </w:rPr>
        <w:t>, under isothermal condition, guaranteed by a thermostatic bath</w:t>
      </w:r>
      <w:r w:rsidRPr="00350A5C">
        <w:rPr>
          <w:lang w:val="en-GB"/>
        </w:rPr>
        <w:t xml:space="preserve">. </w:t>
      </w:r>
      <w:r w:rsidR="00F1740B" w:rsidRPr="00350A5C">
        <w:rPr>
          <w:lang w:val="en-GB"/>
        </w:rPr>
        <w:t>The flue gas to be purified was composed by p</w:t>
      </w:r>
      <w:r w:rsidRPr="00350A5C">
        <w:rPr>
          <w:lang w:val="en-GB"/>
        </w:rPr>
        <w:t>ure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and N</w:t>
      </w:r>
      <w:r w:rsidRPr="00350A5C">
        <w:rPr>
          <w:vertAlign w:val="subscript"/>
          <w:lang w:val="en-GB"/>
        </w:rPr>
        <w:t>2</w:t>
      </w:r>
      <w:r w:rsidR="00F1740B" w:rsidRPr="00350A5C">
        <w:rPr>
          <w:lang w:val="en-GB"/>
        </w:rPr>
        <w:t xml:space="preserve">, </w:t>
      </w:r>
      <w:proofErr w:type="gramStart"/>
      <w:r w:rsidRPr="00350A5C">
        <w:rPr>
          <w:lang w:val="en-GB"/>
        </w:rPr>
        <w:t>mixed together</w:t>
      </w:r>
      <w:proofErr w:type="gramEnd"/>
      <w:r w:rsidR="003B50B7" w:rsidRPr="00350A5C">
        <w:rPr>
          <w:lang w:val="en-GB"/>
        </w:rPr>
        <w:t xml:space="preserve">; </w:t>
      </w:r>
      <w:r w:rsidR="00395436" w:rsidRPr="00350A5C">
        <w:rPr>
          <w:lang w:val="en-GB"/>
        </w:rPr>
        <w:t xml:space="preserve">the gas </w:t>
      </w:r>
      <w:r w:rsidRPr="00350A5C">
        <w:rPr>
          <w:lang w:val="en-GB"/>
        </w:rPr>
        <w:t>flow rate</w:t>
      </w:r>
      <w:r w:rsidR="00395436" w:rsidRPr="00350A5C">
        <w:rPr>
          <w:lang w:val="en-GB"/>
        </w:rPr>
        <w:t xml:space="preserve"> </w:t>
      </w:r>
      <w:r w:rsidRPr="00350A5C">
        <w:rPr>
          <w:lang w:val="en-GB"/>
        </w:rPr>
        <w:t>(Q</w:t>
      </w:r>
      <w:r w:rsidRPr="00350A5C">
        <w:rPr>
          <w:vertAlign w:val="subscript"/>
          <w:lang w:val="en-GB"/>
        </w:rPr>
        <w:t>G</w:t>
      </w:r>
      <w:r w:rsidRPr="00350A5C">
        <w:rPr>
          <w:lang w:val="en-GB"/>
        </w:rPr>
        <w:t>) w</w:t>
      </w:r>
      <w:r w:rsidR="00395436" w:rsidRPr="00350A5C">
        <w:rPr>
          <w:lang w:val="en-GB"/>
        </w:rPr>
        <w:t>as</w:t>
      </w:r>
      <w:r w:rsidRPr="00350A5C">
        <w:rPr>
          <w:lang w:val="en-GB"/>
        </w:rPr>
        <w:t xml:space="preserve"> regulated by means of digital gas mass flow controllers (Aalborg)</w:t>
      </w:r>
      <w:r w:rsidR="003B50B7" w:rsidRPr="00350A5C">
        <w:rPr>
          <w:lang w:val="en-GB"/>
        </w:rPr>
        <w:t>,</w:t>
      </w:r>
      <w:r w:rsidRPr="00350A5C">
        <w:rPr>
          <w:lang w:val="en-GB"/>
        </w:rPr>
        <w:t xml:space="preserve"> equipped with gas flowmeters (Cole Parmer)</w:t>
      </w:r>
      <w:r w:rsidR="00395436" w:rsidRPr="00350A5C">
        <w:rPr>
          <w:lang w:val="en-GB"/>
        </w:rPr>
        <w:t xml:space="preserve"> and t</w:t>
      </w:r>
      <w:r w:rsidRPr="00350A5C">
        <w:rPr>
          <w:lang w:val="en-GB"/>
        </w:rPr>
        <w:t>he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concentration in the gas mixture entering and exiting from the absorber was measured with a Varian CP-4900 gas chromatograph</w:t>
      </w:r>
      <w:r w:rsidR="00395436" w:rsidRPr="00350A5C">
        <w:rPr>
          <w:lang w:val="en-GB"/>
        </w:rPr>
        <w:t xml:space="preserve">. The </w:t>
      </w:r>
      <w:r w:rsidRPr="00350A5C">
        <w:rPr>
          <w:lang w:val="en-GB"/>
        </w:rPr>
        <w:t>percentage of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in the </w:t>
      </w:r>
      <w:r w:rsidR="006F308B" w:rsidRPr="00350A5C">
        <w:rPr>
          <w:lang w:val="en-GB"/>
        </w:rPr>
        <w:t>outlet</w:t>
      </w:r>
      <w:r w:rsidRPr="00350A5C">
        <w:rPr>
          <w:lang w:val="en-GB"/>
        </w:rPr>
        <w:t xml:space="preserve"> stream</w:t>
      </w:r>
      <w:r w:rsidR="00395436" w:rsidRPr="00350A5C">
        <w:rPr>
          <w:lang w:val="en-GB"/>
        </w:rPr>
        <w:t xml:space="preserve"> is continuously measured</w:t>
      </w:r>
      <w:r w:rsidRPr="00350A5C">
        <w:rPr>
          <w:lang w:val="en-GB"/>
        </w:rPr>
        <w:t xml:space="preserve"> </w:t>
      </w:r>
      <w:proofErr w:type="gramStart"/>
      <w:r w:rsidR="006F308B" w:rsidRPr="00350A5C">
        <w:rPr>
          <w:lang w:val="en-GB"/>
        </w:rPr>
        <w:t>in order to</w:t>
      </w:r>
      <w:proofErr w:type="gramEnd"/>
      <w:r w:rsidR="006F308B" w:rsidRPr="00350A5C">
        <w:rPr>
          <w:lang w:val="en-GB"/>
        </w:rPr>
        <w:t xml:space="preserve"> calculate the capture efficiency</w:t>
      </w:r>
      <w:r w:rsidRPr="00350A5C">
        <w:rPr>
          <w:lang w:val="en-GB"/>
        </w:rPr>
        <w:t>,</w:t>
      </w:r>
      <w:r w:rsidR="006F308B" w:rsidRPr="00350A5C">
        <w:rPr>
          <w:lang w:val="en-GB"/>
        </w:rPr>
        <w:t xml:space="preserve"> defined as the ratio between the absorbed and the inlet CO</w:t>
      </w:r>
      <w:r w:rsidR="006F308B" w:rsidRPr="00350A5C">
        <w:rPr>
          <w:vertAlign w:val="subscript"/>
          <w:lang w:val="en-GB"/>
        </w:rPr>
        <w:t>2</w:t>
      </w:r>
      <w:r w:rsidR="006F308B" w:rsidRPr="00350A5C">
        <w:rPr>
          <w:lang w:val="en-GB"/>
        </w:rPr>
        <w:t xml:space="preserve"> (mol/s)</w:t>
      </w:r>
      <w:r w:rsidRPr="00350A5C">
        <w:rPr>
          <w:lang w:val="en-GB"/>
        </w:rPr>
        <w:t>.</w:t>
      </w:r>
    </w:p>
    <w:p w14:paraId="2CBECD8A" w14:textId="236DF59F" w:rsidR="000930C8" w:rsidRPr="00350A5C" w:rsidRDefault="000930C8" w:rsidP="00E849BA">
      <w:pPr>
        <w:pStyle w:val="CETheadingx"/>
        <w:rPr>
          <w:lang w:val="en-GB"/>
        </w:rPr>
      </w:pPr>
      <w:r w:rsidRPr="00350A5C">
        <w:rPr>
          <w:lang w:val="en-GB"/>
        </w:rPr>
        <w:t>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capture experiment whit bubble column system</w:t>
      </w:r>
    </w:p>
    <w:p w14:paraId="2EDFEDF1" w14:textId="3B262D56" w:rsidR="000930C8" w:rsidRPr="00350A5C" w:rsidRDefault="000930C8" w:rsidP="000930C8">
      <w:pPr>
        <w:pStyle w:val="CETBodytext"/>
        <w:rPr>
          <w:lang w:val="en-GB"/>
        </w:rPr>
      </w:pPr>
      <w:r w:rsidRPr="00350A5C">
        <w:rPr>
          <w:lang w:val="en-GB"/>
        </w:rPr>
        <w:t>The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capture was performed in a home-built glass cylinder with a diameter of 56 mm and a height of 300 mm. The absorber was charged with 0.150 dm</w:t>
      </w:r>
      <w:r w:rsidRPr="00350A5C">
        <w:rPr>
          <w:vertAlign w:val="superscript"/>
          <w:lang w:val="en-GB"/>
        </w:rPr>
        <w:t>3</w:t>
      </w:r>
      <w:r w:rsidRPr="00350A5C">
        <w:rPr>
          <w:lang w:val="en-GB"/>
        </w:rPr>
        <w:t xml:space="preserve"> of aqueous </w:t>
      </w:r>
      <w:r w:rsidR="00E73159" w:rsidRPr="00350A5C">
        <w:rPr>
          <w:lang w:val="en-GB"/>
        </w:rPr>
        <w:t>NH</w:t>
      </w:r>
      <w:r w:rsidR="00E73159" w:rsidRPr="00350A5C">
        <w:rPr>
          <w:vertAlign w:val="subscript"/>
          <w:lang w:val="en-GB"/>
        </w:rPr>
        <w:t>3</w:t>
      </w:r>
      <w:r w:rsidRPr="00350A5C">
        <w:rPr>
          <w:lang w:val="en-GB"/>
        </w:rPr>
        <w:t xml:space="preserve"> solution and fitted with a sintered gas diffuser in the bottom</w:t>
      </w:r>
      <w:r w:rsidR="00E73159" w:rsidRPr="00350A5C">
        <w:rPr>
          <w:lang w:val="en-GB"/>
        </w:rPr>
        <w:t xml:space="preserve">. </w:t>
      </w:r>
      <w:r w:rsidRPr="00350A5C">
        <w:rPr>
          <w:lang w:val="en-GB"/>
        </w:rPr>
        <w:t xml:space="preserve">Measurements of </w:t>
      </w:r>
      <w:r w:rsidR="00E73159" w:rsidRPr="00350A5C">
        <w:rPr>
          <w:lang w:val="en-GB"/>
        </w:rPr>
        <w:t xml:space="preserve">solution </w:t>
      </w:r>
      <w:r w:rsidRPr="00350A5C">
        <w:rPr>
          <w:lang w:val="en-GB"/>
        </w:rPr>
        <w:t xml:space="preserve">pH were performed with a HI98128 pHep®5 pH &amp; temperature tester (Hanna Instruments), while the identification and quantification of the species formed during the capture process was obtained with an accurate in continuous </w:t>
      </w:r>
      <w:r w:rsidRPr="00350A5C">
        <w:rPr>
          <w:vertAlign w:val="superscript"/>
          <w:lang w:val="en-GB"/>
        </w:rPr>
        <w:t>13</w:t>
      </w:r>
      <w:r w:rsidRPr="00350A5C">
        <w:rPr>
          <w:lang w:val="en-GB"/>
        </w:rPr>
        <w:t xml:space="preserve">C NMR analysis. A schematic representation of the apparatus is shown in </w:t>
      </w:r>
      <w:r w:rsidR="003B50B7" w:rsidRPr="00350A5C">
        <w:rPr>
          <w:lang w:val="en-GB"/>
        </w:rPr>
        <w:t>Figure 1a</w:t>
      </w:r>
      <w:r w:rsidR="007C191F" w:rsidRPr="00350A5C">
        <w:rPr>
          <w:lang w:val="en-GB"/>
        </w:rPr>
        <w:t xml:space="preserve">, while a more detailed report about the experimental procedure can be found in </w:t>
      </w:r>
      <w:r w:rsidR="007C191F" w:rsidRPr="00316D7B">
        <w:rPr>
          <w:lang w:val="en-GB"/>
        </w:rPr>
        <w:t>Atzori (2023</w:t>
      </w:r>
      <w:r w:rsidR="007C191F" w:rsidRPr="00350A5C">
        <w:rPr>
          <w:lang w:val="en-GB"/>
        </w:rPr>
        <w:t>)</w:t>
      </w:r>
      <w:r w:rsidRPr="00350A5C">
        <w:rPr>
          <w:lang w:val="en-GB"/>
        </w:rPr>
        <w:t>.</w:t>
      </w:r>
    </w:p>
    <w:p w14:paraId="42C30BEC" w14:textId="20756949" w:rsidR="000930C8" w:rsidRPr="00350A5C" w:rsidRDefault="003B50B7" w:rsidP="00FB42C8">
      <w:pPr>
        <w:pStyle w:val="CETBodytext"/>
        <w:rPr>
          <w:lang w:val="en-GB"/>
        </w:rPr>
      </w:pPr>
      <w:r w:rsidRPr="00350A5C">
        <w:rPr>
          <w:lang w:val="en-GB"/>
        </w:rPr>
        <w:t>To</w:t>
      </w:r>
      <w:r w:rsidR="000930C8" w:rsidRPr="00350A5C">
        <w:rPr>
          <w:lang w:val="en-GB"/>
        </w:rPr>
        <w:t xml:space="preserve"> validate the model and verify its robustness, three different series of experiments</w:t>
      </w:r>
      <w:r w:rsidR="006F4FC2" w:rsidRPr="00350A5C">
        <w:rPr>
          <w:lang w:val="en-GB"/>
        </w:rPr>
        <w:t xml:space="preserve"> were</w:t>
      </w:r>
      <w:r w:rsidRPr="00350A5C">
        <w:rPr>
          <w:lang w:val="en-GB"/>
        </w:rPr>
        <w:t xml:space="preserve"> conducted</w:t>
      </w:r>
      <w:r w:rsidR="000930C8" w:rsidRPr="00350A5C">
        <w:rPr>
          <w:lang w:val="en-GB"/>
        </w:rPr>
        <w:t>, varying operational parameters such as</w:t>
      </w:r>
      <w:r w:rsidRPr="00350A5C">
        <w:rPr>
          <w:lang w:val="en-GB"/>
        </w:rPr>
        <w:t xml:space="preserve"> </w:t>
      </w:r>
      <w:r w:rsidR="001A1BBE" w:rsidRPr="00350A5C">
        <w:rPr>
          <w:lang w:val="en-GB"/>
        </w:rPr>
        <w:t xml:space="preserve">the sorbent </w:t>
      </w:r>
      <w:r w:rsidRPr="00350A5C">
        <w:rPr>
          <w:lang w:val="en-GB"/>
        </w:rPr>
        <w:t>initial</w:t>
      </w:r>
      <w:r w:rsidR="000930C8" w:rsidRPr="00350A5C">
        <w:rPr>
          <w:lang w:val="en-GB"/>
        </w:rPr>
        <w:t xml:space="preserve"> </w:t>
      </w:r>
      <w:r w:rsidRPr="00350A5C">
        <w:rPr>
          <w:lang w:val="en-GB"/>
        </w:rPr>
        <w:t>C</w:t>
      </w:r>
      <w:r w:rsidR="000930C8" w:rsidRPr="00350A5C">
        <w:rPr>
          <w:vertAlign w:val="subscript"/>
          <w:lang w:val="en-GB"/>
        </w:rPr>
        <w:t>NH</w:t>
      </w:r>
      <w:r w:rsidR="000930C8" w:rsidRPr="00350A5C">
        <w:rPr>
          <w:position w:val="-6"/>
          <w:vertAlign w:val="subscript"/>
          <w:lang w:val="en-GB"/>
        </w:rPr>
        <w:t>3</w:t>
      </w:r>
      <w:r w:rsidR="001A1BBE" w:rsidRPr="00350A5C">
        <w:rPr>
          <w:lang w:val="en-GB"/>
        </w:rPr>
        <w:t xml:space="preserve"> </w:t>
      </w:r>
      <w:r w:rsidR="000930C8" w:rsidRPr="00350A5C">
        <w:rPr>
          <w:lang w:val="en-GB"/>
        </w:rPr>
        <w:t>and the system temperature, as summarized in Table 1.</w:t>
      </w:r>
    </w:p>
    <w:p w14:paraId="181EB1DB" w14:textId="626BE526" w:rsidR="000930C8" w:rsidRPr="00350A5C" w:rsidRDefault="000930C8" w:rsidP="006F2035">
      <w:pPr>
        <w:pStyle w:val="Caption"/>
        <w:keepNext/>
        <w:spacing w:before="200" w:after="80"/>
        <w:rPr>
          <w:rFonts w:cs="Arial"/>
          <w:b w:val="0"/>
          <w:bCs w:val="0"/>
          <w:i/>
          <w:iCs/>
          <w:color w:val="auto"/>
        </w:rPr>
      </w:pPr>
      <w:r w:rsidRPr="00350A5C">
        <w:rPr>
          <w:rFonts w:cs="Arial"/>
          <w:b w:val="0"/>
          <w:bCs w:val="0"/>
          <w:i/>
          <w:iCs/>
          <w:color w:val="auto"/>
        </w:rPr>
        <w:t xml:space="preserve">Table </w:t>
      </w:r>
      <w:r w:rsidRPr="00350A5C">
        <w:rPr>
          <w:rFonts w:cs="Arial"/>
          <w:b w:val="0"/>
          <w:bCs w:val="0"/>
          <w:i/>
          <w:iCs/>
          <w:color w:val="auto"/>
        </w:rPr>
        <w:fldChar w:fldCharType="begin"/>
      </w:r>
      <w:r w:rsidRPr="00350A5C">
        <w:rPr>
          <w:rFonts w:cs="Arial"/>
          <w:b w:val="0"/>
          <w:bCs w:val="0"/>
          <w:i/>
          <w:iCs/>
          <w:color w:val="auto"/>
        </w:rPr>
        <w:instrText xml:space="preserve"> SEQ Table \* ARABIC </w:instrText>
      </w:r>
      <w:r w:rsidRPr="00350A5C">
        <w:rPr>
          <w:rFonts w:cs="Arial"/>
          <w:b w:val="0"/>
          <w:bCs w:val="0"/>
          <w:i/>
          <w:iCs/>
          <w:color w:val="auto"/>
        </w:rPr>
        <w:fldChar w:fldCharType="separate"/>
      </w:r>
      <w:r w:rsidR="00356099">
        <w:rPr>
          <w:rFonts w:cs="Arial"/>
          <w:b w:val="0"/>
          <w:bCs w:val="0"/>
          <w:i/>
          <w:iCs/>
          <w:noProof/>
          <w:color w:val="auto"/>
        </w:rPr>
        <w:t>1</w:t>
      </w:r>
      <w:r w:rsidRPr="00350A5C">
        <w:rPr>
          <w:rFonts w:cs="Arial"/>
          <w:b w:val="0"/>
          <w:bCs w:val="0"/>
          <w:i/>
          <w:iCs/>
          <w:color w:val="auto"/>
        </w:rPr>
        <w:fldChar w:fldCharType="end"/>
      </w:r>
      <w:r w:rsidRPr="00350A5C">
        <w:rPr>
          <w:rFonts w:cs="Arial"/>
          <w:b w:val="0"/>
          <w:bCs w:val="0"/>
          <w:i/>
          <w:iCs/>
          <w:color w:val="auto"/>
        </w:rPr>
        <w:t>: Experimental operating conditions for CO</w:t>
      </w:r>
      <w:r w:rsidRPr="00350A5C">
        <w:rPr>
          <w:rFonts w:cs="Arial"/>
          <w:b w:val="0"/>
          <w:bCs w:val="0"/>
          <w:i/>
          <w:iCs/>
          <w:color w:val="auto"/>
          <w:vertAlign w:val="subscript"/>
        </w:rPr>
        <w:t>2</w:t>
      </w:r>
      <w:r w:rsidRPr="00350A5C">
        <w:rPr>
          <w:rFonts w:cs="Arial"/>
          <w:b w:val="0"/>
          <w:bCs w:val="0"/>
          <w:i/>
          <w:iCs/>
          <w:color w:val="auto"/>
        </w:rPr>
        <w:t xml:space="preserve"> capture in bubble column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0930C8" w:rsidRPr="00350A5C" w14:paraId="1B8594C7" w14:textId="77777777" w:rsidTr="00533D27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C99D27B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Exp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42CB42A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T [°C]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2089649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C</w:t>
            </w:r>
            <w:r w:rsidRPr="00350A5C">
              <w:rPr>
                <w:vertAlign w:val="subscript"/>
                <w:lang w:val="en-GB"/>
              </w:rPr>
              <w:t>NH</w:t>
            </w:r>
            <w:r w:rsidRPr="00350A5C">
              <w:rPr>
                <w:position w:val="-6"/>
                <w:vertAlign w:val="subscript"/>
                <w:lang w:val="en-GB"/>
              </w:rPr>
              <w:t>3</w:t>
            </w:r>
            <w:r w:rsidRPr="00350A5C">
              <w:rPr>
                <w:vertAlign w:val="superscript"/>
                <w:lang w:val="en-GB"/>
              </w:rPr>
              <w:t>in</w:t>
            </w:r>
            <w:r w:rsidRPr="00350A5C">
              <w:rPr>
                <w:lang w:val="en-GB"/>
              </w:rPr>
              <w:t xml:space="preserve"> [M]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E7A3EFE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Q</w:t>
            </w:r>
            <w:r w:rsidRPr="00350A5C">
              <w:rPr>
                <w:vertAlign w:val="subscript"/>
                <w:lang w:val="en-GB"/>
              </w:rPr>
              <w:t>G</w:t>
            </w:r>
            <w:r w:rsidRPr="00350A5C">
              <w:rPr>
                <w:lang w:val="en-GB"/>
              </w:rPr>
              <w:t xml:space="preserve"> [m</w:t>
            </w:r>
            <w:r w:rsidRPr="00350A5C">
              <w:rPr>
                <w:vertAlign w:val="superscript"/>
                <w:lang w:val="en-GB"/>
              </w:rPr>
              <w:t>3</w:t>
            </w:r>
            <w:r w:rsidRPr="00350A5C">
              <w:rPr>
                <w:lang w:val="en-GB"/>
              </w:rPr>
              <w:t>/h]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2CF7342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r w:rsidRPr="00350A5C">
              <w:rPr>
                <w:lang w:val="en-GB"/>
              </w:rPr>
              <w:t>y</w:t>
            </w:r>
            <w:r w:rsidRPr="00350A5C">
              <w:rPr>
                <w:vertAlign w:val="subscript"/>
                <w:lang w:val="en-GB"/>
              </w:rPr>
              <w:t>CO</w:t>
            </w:r>
            <w:proofErr w:type="spellEnd"/>
            <w:r w:rsidRPr="00350A5C">
              <w:rPr>
                <w:position w:val="-6"/>
                <w:vertAlign w:val="subscript"/>
                <w:lang w:val="en-GB"/>
              </w:rPr>
              <w:t>2</w:t>
            </w:r>
            <w:r w:rsidRPr="00350A5C">
              <w:rPr>
                <w:vertAlign w:val="superscript"/>
                <w:lang w:val="en-GB"/>
              </w:rPr>
              <w:t>in</w:t>
            </w:r>
            <w:r w:rsidRPr="00350A5C">
              <w:rPr>
                <w:lang w:val="en-GB"/>
              </w:rPr>
              <w:t xml:space="preserve"> [%]</w:t>
            </w:r>
          </w:p>
        </w:tc>
      </w:tr>
      <w:tr w:rsidR="000930C8" w:rsidRPr="00350A5C" w14:paraId="417EBC00" w14:textId="77777777" w:rsidTr="00533D27">
        <w:tc>
          <w:tcPr>
            <w:tcW w:w="1134" w:type="dxa"/>
            <w:shd w:val="clear" w:color="auto" w:fill="FFFFFF"/>
          </w:tcPr>
          <w:p w14:paraId="6EA95C0C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23D3CAE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324DD706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6F3EC5BD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12.2∙10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5634C537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15</w:t>
            </w:r>
          </w:p>
        </w:tc>
      </w:tr>
      <w:tr w:rsidR="000930C8" w:rsidRPr="00350A5C" w14:paraId="1C364C4C" w14:textId="77777777" w:rsidTr="00533D27">
        <w:tc>
          <w:tcPr>
            <w:tcW w:w="1134" w:type="dxa"/>
            <w:shd w:val="clear" w:color="auto" w:fill="FFFFFF"/>
          </w:tcPr>
          <w:p w14:paraId="35FF30DB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A0207C5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5AF0CB9C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62BFFE9B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12.2∙10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7A975F77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15</w:t>
            </w:r>
          </w:p>
        </w:tc>
      </w:tr>
      <w:tr w:rsidR="000930C8" w:rsidRPr="00350A5C" w14:paraId="4E31EEDC" w14:textId="77777777" w:rsidTr="00533D27">
        <w:tc>
          <w:tcPr>
            <w:tcW w:w="1134" w:type="dxa"/>
            <w:shd w:val="clear" w:color="auto" w:fill="FFFFFF"/>
          </w:tcPr>
          <w:p w14:paraId="6A19C105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790ECC9B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47CC56CF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052B30D3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12.2∙10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64FCB829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15</w:t>
            </w:r>
          </w:p>
        </w:tc>
      </w:tr>
    </w:tbl>
    <w:p w14:paraId="6CA55253" w14:textId="1CF94F8F" w:rsidR="000930C8" w:rsidRPr="00350A5C" w:rsidRDefault="000930C8" w:rsidP="00E849BA">
      <w:pPr>
        <w:pStyle w:val="CETheadingx"/>
        <w:rPr>
          <w:lang w:val="en-GB"/>
        </w:rPr>
      </w:pPr>
      <w:r w:rsidRPr="00350A5C">
        <w:rPr>
          <w:lang w:val="en-GB"/>
        </w:rPr>
        <w:t>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capture experiment whit packed bed system</w:t>
      </w:r>
    </w:p>
    <w:p w14:paraId="1D542347" w14:textId="3E3A50C9" w:rsidR="000930C8" w:rsidRPr="00350A5C" w:rsidRDefault="000930C8" w:rsidP="00FB42C8">
      <w:pPr>
        <w:pStyle w:val="CETBodytext"/>
        <w:rPr>
          <w:lang w:val="en-GB"/>
        </w:rPr>
      </w:pPr>
      <w:r w:rsidRPr="00350A5C">
        <w:rPr>
          <w:lang w:val="en-GB"/>
        </w:rPr>
        <w:t>The absorber was a glass column (height 520 mm, internal diameter 40 mm), packed with glass rings (height 6 mm, internal diameter 4.5 mm, external diameter 6 mm, nominal size 6 mm), for a packing height of 400 mm.</w:t>
      </w:r>
      <w:r w:rsidR="00F21B68" w:rsidRPr="00350A5C">
        <w:rPr>
          <w:lang w:val="en-GB"/>
        </w:rPr>
        <w:t xml:space="preserve"> The experimental procedure is described in detail </w:t>
      </w:r>
      <w:r w:rsidR="00F21B68" w:rsidRPr="00316D7B">
        <w:rPr>
          <w:lang w:val="en-GB"/>
        </w:rPr>
        <w:t xml:space="preserve">in Atzori (2024). </w:t>
      </w:r>
      <w:r w:rsidR="00F21B68" w:rsidRPr="00350A5C">
        <w:rPr>
          <w:lang w:val="en-GB"/>
        </w:rPr>
        <w:t>Three different experimental trials were conducted in different operating conditions (Table 2) and repeated twice for the sake of reproducibility</w:t>
      </w:r>
      <w:r w:rsidRPr="00350A5C">
        <w:rPr>
          <w:lang w:val="en-GB"/>
        </w:rPr>
        <w:t>.</w:t>
      </w:r>
    </w:p>
    <w:p w14:paraId="3FDA2EA3" w14:textId="77777777" w:rsidR="000930C8" w:rsidRPr="00350A5C" w:rsidRDefault="000930C8" w:rsidP="006F2035">
      <w:pPr>
        <w:pStyle w:val="Caption"/>
        <w:keepNext/>
        <w:spacing w:before="200" w:after="80"/>
        <w:rPr>
          <w:rFonts w:cs="Arial"/>
          <w:b w:val="0"/>
          <w:bCs w:val="0"/>
          <w:i/>
          <w:iCs/>
          <w:color w:val="auto"/>
        </w:rPr>
      </w:pPr>
      <w:r w:rsidRPr="00350A5C">
        <w:rPr>
          <w:rFonts w:cs="Arial"/>
          <w:b w:val="0"/>
          <w:bCs w:val="0"/>
          <w:i/>
          <w:iCs/>
          <w:color w:val="auto"/>
        </w:rPr>
        <w:t>Table 2: Experimental operating conditions for CO</w:t>
      </w:r>
      <w:r w:rsidRPr="00350A5C">
        <w:rPr>
          <w:rFonts w:cs="Arial"/>
          <w:b w:val="0"/>
          <w:bCs w:val="0"/>
          <w:i/>
          <w:iCs/>
          <w:color w:val="auto"/>
          <w:vertAlign w:val="subscript"/>
        </w:rPr>
        <w:t>2</w:t>
      </w:r>
      <w:r w:rsidRPr="00350A5C">
        <w:rPr>
          <w:rFonts w:cs="Arial"/>
          <w:b w:val="0"/>
          <w:bCs w:val="0"/>
          <w:i/>
          <w:iCs/>
          <w:color w:val="auto"/>
        </w:rPr>
        <w:t xml:space="preserve"> capture in packed bed system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0930C8" w:rsidRPr="00350A5C" w14:paraId="3D55A20D" w14:textId="77777777" w:rsidTr="00533D27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03C06DF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Exp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9E062D2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T [°C]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03BC28C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C</w:t>
            </w:r>
            <w:r w:rsidRPr="00350A5C">
              <w:rPr>
                <w:vertAlign w:val="subscript"/>
                <w:lang w:val="en-GB"/>
              </w:rPr>
              <w:t>NH</w:t>
            </w:r>
            <w:r w:rsidRPr="00350A5C">
              <w:rPr>
                <w:position w:val="-6"/>
                <w:vertAlign w:val="subscript"/>
                <w:lang w:val="en-GB"/>
              </w:rPr>
              <w:t>3</w:t>
            </w:r>
            <w:r w:rsidRPr="00350A5C">
              <w:rPr>
                <w:vertAlign w:val="superscript"/>
                <w:lang w:val="en-GB"/>
              </w:rPr>
              <w:t>in</w:t>
            </w:r>
            <w:r w:rsidRPr="00350A5C">
              <w:rPr>
                <w:lang w:val="en-GB"/>
              </w:rPr>
              <w:t xml:space="preserve"> [M]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FA32770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Q</w:t>
            </w:r>
            <w:r w:rsidRPr="00350A5C">
              <w:rPr>
                <w:vertAlign w:val="subscript"/>
                <w:lang w:val="en-GB"/>
              </w:rPr>
              <w:t>G</w:t>
            </w:r>
            <w:r w:rsidRPr="00350A5C">
              <w:rPr>
                <w:lang w:val="en-GB"/>
              </w:rPr>
              <w:t xml:space="preserve"> [m</w:t>
            </w:r>
            <w:r w:rsidRPr="00350A5C">
              <w:rPr>
                <w:vertAlign w:val="superscript"/>
                <w:lang w:val="en-GB"/>
              </w:rPr>
              <w:t>3</w:t>
            </w:r>
            <w:r w:rsidRPr="00350A5C">
              <w:rPr>
                <w:lang w:val="en-GB"/>
              </w:rPr>
              <w:t>/h]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12CBE79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Q</w:t>
            </w:r>
            <w:r w:rsidRPr="00350A5C">
              <w:rPr>
                <w:vertAlign w:val="subscript"/>
                <w:lang w:val="en-GB"/>
              </w:rPr>
              <w:t>L</w:t>
            </w:r>
            <w:r w:rsidRPr="00350A5C">
              <w:rPr>
                <w:lang w:val="en-GB"/>
              </w:rPr>
              <w:t xml:space="preserve"> [m</w:t>
            </w:r>
            <w:r w:rsidRPr="00350A5C">
              <w:rPr>
                <w:vertAlign w:val="superscript"/>
                <w:lang w:val="en-GB"/>
              </w:rPr>
              <w:t>3</w:t>
            </w:r>
            <w:r w:rsidRPr="00350A5C">
              <w:rPr>
                <w:lang w:val="en-GB"/>
              </w:rPr>
              <w:t>/h]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C93CE14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r w:rsidRPr="00350A5C">
              <w:rPr>
                <w:lang w:val="en-GB"/>
              </w:rPr>
              <w:t>y</w:t>
            </w:r>
            <w:r w:rsidRPr="00350A5C">
              <w:rPr>
                <w:vertAlign w:val="subscript"/>
                <w:lang w:val="en-GB"/>
              </w:rPr>
              <w:t>CO</w:t>
            </w:r>
            <w:proofErr w:type="spellEnd"/>
            <w:r w:rsidRPr="00350A5C">
              <w:rPr>
                <w:position w:val="-6"/>
                <w:vertAlign w:val="subscript"/>
                <w:lang w:val="en-GB"/>
              </w:rPr>
              <w:t>2</w:t>
            </w:r>
            <w:r w:rsidRPr="00350A5C">
              <w:rPr>
                <w:vertAlign w:val="superscript"/>
                <w:lang w:val="en-GB"/>
              </w:rPr>
              <w:t>in</w:t>
            </w:r>
            <w:r w:rsidRPr="00350A5C">
              <w:rPr>
                <w:lang w:val="en-GB"/>
              </w:rPr>
              <w:t xml:space="preserve"> [%]</w:t>
            </w:r>
          </w:p>
        </w:tc>
      </w:tr>
      <w:tr w:rsidR="000930C8" w:rsidRPr="00350A5C" w14:paraId="6A47332E" w14:textId="77777777" w:rsidTr="00533D27">
        <w:tc>
          <w:tcPr>
            <w:tcW w:w="1134" w:type="dxa"/>
            <w:shd w:val="clear" w:color="auto" w:fill="FFFFFF"/>
          </w:tcPr>
          <w:p w14:paraId="19369A80" w14:textId="4EE22ED4" w:rsidR="000930C8" w:rsidRPr="00350A5C" w:rsidRDefault="00847166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5ED1E8CE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5DD0B8A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C108BC4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25.47∙10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21CEC7DB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1.67∙10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14D5D488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10</w:t>
            </w:r>
          </w:p>
        </w:tc>
      </w:tr>
      <w:tr w:rsidR="000930C8" w:rsidRPr="00350A5C" w14:paraId="133D5E29" w14:textId="77777777" w:rsidTr="00533D27">
        <w:tc>
          <w:tcPr>
            <w:tcW w:w="1134" w:type="dxa"/>
            <w:shd w:val="clear" w:color="auto" w:fill="FFFFFF"/>
          </w:tcPr>
          <w:p w14:paraId="48835A61" w14:textId="559FDB89" w:rsidR="000930C8" w:rsidRPr="00350A5C" w:rsidRDefault="00847166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722F1FF0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E93F30" w14:textId="77777777" w:rsidR="000930C8" w:rsidRPr="00350A5C" w:rsidRDefault="000930C8" w:rsidP="00533D27">
            <w:pPr>
              <w:pStyle w:val="CETBodytext"/>
              <w:rPr>
                <w:lang w:val="en-GB"/>
              </w:rPr>
            </w:pPr>
            <w:r w:rsidRPr="00350A5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5329D7CC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25.47∙10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07489244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1.67∙10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061FF66D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10</w:t>
            </w:r>
          </w:p>
        </w:tc>
      </w:tr>
      <w:tr w:rsidR="000930C8" w:rsidRPr="00350A5C" w14:paraId="10FF1D45" w14:textId="77777777" w:rsidTr="00533D27">
        <w:tc>
          <w:tcPr>
            <w:tcW w:w="1134" w:type="dxa"/>
            <w:shd w:val="clear" w:color="auto" w:fill="FFFFFF"/>
          </w:tcPr>
          <w:p w14:paraId="345204F7" w14:textId="0E04CC0C" w:rsidR="000930C8" w:rsidRPr="00350A5C" w:rsidRDefault="00847166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499548CD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F16CED7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909FD4D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25.47∙10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7F473BB9" w14:textId="77777777" w:rsidR="000930C8" w:rsidRPr="00350A5C" w:rsidRDefault="000930C8" w:rsidP="00533D27">
            <w:pPr>
              <w:pStyle w:val="CETBodytext"/>
              <w:ind w:right="-1"/>
              <w:rPr>
                <w:lang w:val="en-GB"/>
              </w:rPr>
            </w:pPr>
            <w:r w:rsidRPr="00350A5C">
              <w:rPr>
                <w:lang w:val="en-GB"/>
              </w:rPr>
              <w:t>1.67∙10</w:t>
            </w:r>
            <w:r w:rsidRPr="00350A5C">
              <w:rPr>
                <w:vertAlign w:val="superscript"/>
                <w:lang w:val="en-GB"/>
              </w:rPr>
              <w:t>-3</w:t>
            </w:r>
          </w:p>
        </w:tc>
        <w:tc>
          <w:tcPr>
            <w:tcW w:w="1134" w:type="dxa"/>
            <w:shd w:val="clear" w:color="auto" w:fill="FFFFFF"/>
          </w:tcPr>
          <w:p w14:paraId="6ACB36B8" w14:textId="77777777" w:rsidR="000930C8" w:rsidRPr="00350A5C" w:rsidRDefault="000930C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10</w:t>
            </w:r>
          </w:p>
        </w:tc>
      </w:tr>
    </w:tbl>
    <w:p w14:paraId="26128D40" w14:textId="4E2E6DEE" w:rsidR="000930C8" w:rsidRPr="00350A5C" w:rsidRDefault="000930C8" w:rsidP="006F2035">
      <w:pPr>
        <w:pStyle w:val="CETBodytext"/>
        <w:spacing w:before="240" w:after="120"/>
        <w:rPr>
          <w:lang w:val="en-GB"/>
        </w:rPr>
      </w:pPr>
      <w:r w:rsidRPr="00350A5C">
        <w:rPr>
          <w:lang w:val="en-GB"/>
        </w:rPr>
        <w:t xml:space="preserve">Each experimental trial was divided into 10 consecutive steps. </w:t>
      </w:r>
      <w:r w:rsidR="003C47D2" w:rsidRPr="00350A5C">
        <w:rPr>
          <w:lang w:val="en-GB"/>
        </w:rPr>
        <w:t>Referring to Figure 1b, i</w:t>
      </w:r>
      <w:r w:rsidRPr="00350A5C">
        <w:rPr>
          <w:lang w:val="en-GB"/>
        </w:rPr>
        <w:t xml:space="preserve">n the first step of each experiment, 400 mL of fresh ammonia solution was prepared and stored in flask 1. At the start of the step, </w:t>
      </w:r>
      <w:r w:rsidR="00BF28C5" w:rsidRPr="00350A5C">
        <w:rPr>
          <w:lang w:val="en-GB"/>
        </w:rPr>
        <w:t>such a</w:t>
      </w:r>
      <w:r w:rsidRPr="00350A5C">
        <w:rPr>
          <w:lang w:val="en-GB"/>
        </w:rPr>
        <w:t xml:space="preserve"> </w:t>
      </w:r>
      <w:r w:rsidR="00BF28C5" w:rsidRPr="00350A5C">
        <w:rPr>
          <w:lang w:val="en-GB"/>
        </w:rPr>
        <w:t>solution</w:t>
      </w:r>
      <w:r w:rsidRPr="00350A5C">
        <w:rPr>
          <w:lang w:val="en-GB"/>
        </w:rPr>
        <w:t xml:space="preserve"> was fed from the top </w:t>
      </w:r>
      <w:r w:rsidR="00BF28C5" w:rsidRPr="00350A5C">
        <w:rPr>
          <w:lang w:val="en-GB"/>
        </w:rPr>
        <w:t>of the column</w:t>
      </w:r>
      <w:r w:rsidRPr="00350A5C">
        <w:rPr>
          <w:lang w:val="en-GB"/>
        </w:rPr>
        <w:t xml:space="preserve"> at the desired flow rate (Q</w:t>
      </w:r>
      <w:r w:rsidRPr="00350A5C">
        <w:rPr>
          <w:vertAlign w:val="subscript"/>
          <w:lang w:val="en-GB"/>
        </w:rPr>
        <w:t>L</w:t>
      </w:r>
      <w:r w:rsidRPr="00350A5C">
        <w:rPr>
          <w:lang w:val="en-GB"/>
        </w:rPr>
        <w:t xml:space="preserve">), </w:t>
      </w:r>
      <w:proofErr w:type="gramStart"/>
      <w:r w:rsidRPr="00350A5C">
        <w:rPr>
          <w:lang w:val="en-GB"/>
        </w:rPr>
        <w:t>while</w:t>
      </w:r>
      <w:r w:rsidR="00BF28C5" w:rsidRPr="00350A5C">
        <w:rPr>
          <w:lang w:val="en-GB"/>
        </w:rPr>
        <w:t>,</w:t>
      </w:r>
      <w:proofErr w:type="gramEnd"/>
      <w:r w:rsidRPr="00350A5C">
        <w:rPr>
          <w:lang w:val="en-GB"/>
        </w:rPr>
        <w:t xml:space="preserve"> </w:t>
      </w:r>
      <w:proofErr w:type="spellStart"/>
      <w:r w:rsidRPr="00350A5C">
        <w:rPr>
          <w:lang w:val="en-GB"/>
        </w:rPr>
        <w:t>countercurrent</w:t>
      </w:r>
      <w:proofErr w:type="spellEnd"/>
      <w:r w:rsidRPr="00350A5C">
        <w:rPr>
          <w:lang w:val="en-GB"/>
        </w:rPr>
        <w:t xml:space="preserve"> to the NH</w:t>
      </w:r>
      <w:r w:rsidRPr="00350A5C">
        <w:rPr>
          <w:vertAlign w:val="subscript"/>
          <w:lang w:val="en-GB"/>
        </w:rPr>
        <w:t>3</w:t>
      </w:r>
      <w:r w:rsidRPr="00350A5C">
        <w:rPr>
          <w:lang w:val="en-GB"/>
        </w:rPr>
        <w:t xml:space="preserve"> solution flow, the gaseous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>/N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mixture was fed from the bottom. After passing through the entire column, the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-rich ammonia solution was stored in the flask 2. At the end of the first step, the solution stored in the flask 2 </w:t>
      </w:r>
      <w:r w:rsidR="006F4FC2" w:rsidRPr="00350A5C">
        <w:rPr>
          <w:lang w:val="en-GB"/>
        </w:rPr>
        <w:t>was</w:t>
      </w:r>
      <w:r w:rsidRPr="00350A5C">
        <w:rPr>
          <w:lang w:val="en-GB"/>
        </w:rPr>
        <w:t xml:space="preserve"> transferred in the flask 1</w:t>
      </w:r>
      <w:r w:rsidR="00BF28C5" w:rsidRPr="00350A5C">
        <w:rPr>
          <w:lang w:val="en-GB"/>
        </w:rPr>
        <w:t xml:space="preserve"> and</w:t>
      </w:r>
      <w:r w:rsidRPr="00350A5C">
        <w:rPr>
          <w:lang w:val="en-GB"/>
        </w:rPr>
        <w:t xml:space="preserve"> the second step begins. The same procedure was adopted for a total of 10</w:t>
      </w:r>
      <w:r w:rsidR="00BF28C5" w:rsidRPr="00350A5C">
        <w:rPr>
          <w:lang w:val="en-GB"/>
        </w:rPr>
        <w:t xml:space="preserve"> subsequent</w:t>
      </w:r>
      <w:r w:rsidRPr="00350A5C">
        <w:rPr>
          <w:lang w:val="en-GB"/>
        </w:rPr>
        <w:t xml:space="preserve"> steps. The absorption efficiency and the total amount of captured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were measured for each operating step.</w:t>
      </w:r>
      <w:r w:rsidR="003C47D2" w:rsidRPr="00350A5C">
        <w:rPr>
          <w:lang w:val="en-GB"/>
        </w:rPr>
        <w:t xml:space="preserve"> Every experimental trial </w:t>
      </w:r>
      <w:r w:rsidR="006F4FC2" w:rsidRPr="00350A5C">
        <w:rPr>
          <w:lang w:val="en-GB"/>
        </w:rPr>
        <w:t>wa</w:t>
      </w:r>
      <w:r w:rsidR="003C47D2" w:rsidRPr="00350A5C">
        <w:rPr>
          <w:lang w:val="en-GB"/>
        </w:rPr>
        <w:t xml:space="preserve">s repeated twice for the sake of reproducibility. </w:t>
      </w:r>
    </w:p>
    <w:p w14:paraId="752AA752" w14:textId="6C111799" w:rsidR="00F425D0" w:rsidRPr="00350A5C" w:rsidRDefault="000930C8" w:rsidP="006F2035">
      <w:pPr>
        <w:pStyle w:val="CETBodytext"/>
        <w:jc w:val="center"/>
        <w:rPr>
          <w:rStyle w:val="CETCaptionCarattere"/>
        </w:rPr>
      </w:pPr>
      <w:r w:rsidRPr="00350A5C">
        <w:rPr>
          <w:rFonts w:ascii="Times New Roman" w:hAnsi="Times New Roman"/>
          <w:noProof/>
          <w:sz w:val="24"/>
          <w:szCs w:val="24"/>
          <w:lang w:val="en-GB"/>
        </w:rPr>
        <w:drawing>
          <wp:inline distT="0" distB="0" distL="0" distR="0" wp14:anchorId="0DF24533" wp14:editId="6131615E">
            <wp:extent cx="1981200" cy="1426664"/>
            <wp:effectExtent l="19050" t="19050" r="19050" b="215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9163" cy="147560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F2035">
        <w:rPr>
          <w:rStyle w:val="CETCaptionCarattere"/>
        </w:rPr>
        <w:tab/>
      </w:r>
      <w:r w:rsidRPr="00350A5C">
        <w:rPr>
          <w:rFonts w:ascii="Times New Roman" w:hAnsi="Times New Roman"/>
          <w:noProof/>
          <w:sz w:val="24"/>
          <w:szCs w:val="24"/>
          <w:lang w:val="en-GB"/>
        </w:rPr>
        <w:drawing>
          <wp:inline distT="0" distB="0" distL="0" distR="0" wp14:anchorId="40F5052F" wp14:editId="2B2529A3">
            <wp:extent cx="2029425" cy="1433513"/>
            <wp:effectExtent l="19050" t="19050" r="28575" b="14605"/>
            <wp:docPr id="1503743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4389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55" cy="151066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C19808" w14:textId="0380853D" w:rsidR="000930C8" w:rsidRPr="00350A5C" w:rsidRDefault="00F425D0" w:rsidP="008D264C">
      <w:pPr>
        <w:pStyle w:val="CETBodytext"/>
        <w:jc w:val="left"/>
        <w:rPr>
          <w:lang w:val="en-GB"/>
        </w:rPr>
      </w:pPr>
      <w:r w:rsidRPr="00350A5C">
        <w:rPr>
          <w:rStyle w:val="CETCaptionCarattere"/>
        </w:rPr>
        <w:t xml:space="preserve">Figure 1: Experimental setup </w:t>
      </w:r>
      <w:r w:rsidR="00402864" w:rsidRPr="00350A5C">
        <w:rPr>
          <w:rStyle w:val="CETCaptionCarattere"/>
        </w:rPr>
        <w:t>of CO</w:t>
      </w:r>
      <w:r w:rsidR="00402864" w:rsidRPr="00350A5C">
        <w:rPr>
          <w:rStyle w:val="CETCaptionCarattere"/>
          <w:vertAlign w:val="subscript"/>
        </w:rPr>
        <w:t>2</w:t>
      </w:r>
      <w:r w:rsidR="00402864" w:rsidRPr="00350A5C">
        <w:rPr>
          <w:rStyle w:val="CETCaptionCarattere"/>
        </w:rPr>
        <w:t xml:space="preserve"> capture in </w:t>
      </w:r>
      <w:r w:rsidRPr="00350A5C">
        <w:rPr>
          <w:rStyle w:val="CETCaptionCarattere"/>
        </w:rPr>
        <w:t xml:space="preserve">bubble column (a) and packed bed </w:t>
      </w:r>
      <w:r w:rsidR="00402864" w:rsidRPr="00350A5C">
        <w:rPr>
          <w:rStyle w:val="CETCaptionCarattere"/>
        </w:rPr>
        <w:t xml:space="preserve">system </w:t>
      </w:r>
      <w:r w:rsidRPr="00350A5C">
        <w:rPr>
          <w:rStyle w:val="CETCaptionCarattere"/>
        </w:rPr>
        <w:t>(b)</w:t>
      </w:r>
      <w:r w:rsidR="00D43698" w:rsidRPr="00350A5C">
        <w:rPr>
          <w:rStyle w:val="CETCaptionCarattere"/>
        </w:rPr>
        <w:t>.</w:t>
      </w:r>
      <w:r w:rsidRPr="00350A5C">
        <w:rPr>
          <w:rStyle w:val="CETCaptionCarattere"/>
        </w:rPr>
        <w:t xml:space="preserve"> </w:t>
      </w:r>
    </w:p>
    <w:p w14:paraId="27524EF2" w14:textId="42F6F959" w:rsidR="00EF4D98" w:rsidRPr="00350A5C" w:rsidRDefault="00EF4D98" w:rsidP="00097D67">
      <w:pPr>
        <w:pStyle w:val="CETHeading1"/>
        <w:numPr>
          <w:ilvl w:val="1"/>
          <w:numId w:val="24"/>
        </w:numPr>
        <w:rPr>
          <w:lang w:val="en-GB"/>
        </w:rPr>
      </w:pPr>
      <w:r w:rsidRPr="00350A5C">
        <w:rPr>
          <w:lang w:val="en-GB"/>
        </w:rPr>
        <w:lastRenderedPageBreak/>
        <w:t>Model</w:t>
      </w:r>
    </w:p>
    <w:p w14:paraId="528BB5A6" w14:textId="1AE5EF7D" w:rsidR="00EF4D98" w:rsidRPr="00350A5C" w:rsidRDefault="00EF4D98" w:rsidP="00EF4D98">
      <w:pPr>
        <w:pStyle w:val="CETBodytext"/>
        <w:rPr>
          <w:lang w:val="en-GB"/>
        </w:rPr>
      </w:pPr>
      <w:r w:rsidRPr="00350A5C">
        <w:rPr>
          <w:lang w:val="en-GB"/>
        </w:rPr>
        <w:t>In this section the models developed for bubble column and packed bed system are parallelly described.</w:t>
      </w:r>
    </w:p>
    <w:p w14:paraId="54C47EAA" w14:textId="2EB6F678" w:rsidR="00EF4D98" w:rsidRPr="00350A5C" w:rsidRDefault="00EF4D98" w:rsidP="00EF4D98">
      <w:pPr>
        <w:pStyle w:val="CETBodytext"/>
        <w:rPr>
          <w:lang w:val="en-GB"/>
        </w:rPr>
      </w:pPr>
      <w:r w:rsidRPr="00350A5C">
        <w:rPr>
          <w:lang w:val="en-GB"/>
        </w:rPr>
        <w:t xml:space="preserve">Based on the rate-based approach, both models </w:t>
      </w:r>
      <w:r w:rsidR="00442E22" w:rsidRPr="00350A5C">
        <w:rPr>
          <w:lang w:val="en-GB"/>
        </w:rPr>
        <w:t xml:space="preserve">consider </w:t>
      </w:r>
      <w:r w:rsidRPr="00350A5C">
        <w:rPr>
          <w:lang w:val="en-GB"/>
        </w:rPr>
        <w:t xml:space="preserve">two different </w:t>
      </w:r>
      <w:r w:rsidR="0015623E" w:rsidRPr="00350A5C">
        <w:rPr>
          <w:lang w:val="en-GB"/>
        </w:rPr>
        <w:t>control volumes</w:t>
      </w:r>
      <w:r w:rsidRPr="00350A5C">
        <w:rPr>
          <w:lang w:val="en-GB"/>
        </w:rPr>
        <w:t xml:space="preserve">, the </w:t>
      </w:r>
      <w:proofErr w:type="gramStart"/>
      <w:r w:rsidRPr="00350A5C">
        <w:rPr>
          <w:lang w:val="en-GB"/>
        </w:rPr>
        <w:t>gas</w:t>
      </w:r>
      <w:proofErr w:type="gramEnd"/>
      <w:r w:rsidRPr="00350A5C">
        <w:rPr>
          <w:lang w:val="en-GB"/>
        </w:rPr>
        <w:t xml:space="preserve"> and the liquid phase, physically interconnected by the gas–liquid interface (Ramesh et al., 2007)</w:t>
      </w:r>
      <w:r w:rsidR="00442E22" w:rsidRPr="00350A5C">
        <w:rPr>
          <w:lang w:val="en-GB"/>
        </w:rPr>
        <w:t>. The mass transfer of CO</w:t>
      </w:r>
      <w:r w:rsidR="00442E22" w:rsidRPr="00350A5C">
        <w:rPr>
          <w:vertAlign w:val="subscript"/>
          <w:lang w:val="en-GB"/>
        </w:rPr>
        <w:t>2</w:t>
      </w:r>
      <w:r w:rsidR="00442E22" w:rsidRPr="00350A5C">
        <w:rPr>
          <w:lang w:val="en-GB"/>
        </w:rPr>
        <w:t xml:space="preserve"> (absorbed) and NH</w:t>
      </w:r>
      <w:r w:rsidR="00442E22" w:rsidRPr="00350A5C">
        <w:rPr>
          <w:vertAlign w:val="subscript"/>
          <w:lang w:val="en-GB"/>
        </w:rPr>
        <w:t>3</w:t>
      </w:r>
      <w:r w:rsidR="00442E22" w:rsidRPr="00350A5C">
        <w:rPr>
          <w:lang w:val="en-GB"/>
        </w:rPr>
        <w:t xml:space="preserve"> (evaporated) </w:t>
      </w:r>
      <w:r w:rsidR="006F4FC2" w:rsidRPr="00350A5C">
        <w:rPr>
          <w:lang w:val="en-GB"/>
        </w:rPr>
        <w:t>wa</w:t>
      </w:r>
      <w:r w:rsidR="00442E22" w:rsidRPr="00350A5C">
        <w:rPr>
          <w:lang w:val="en-GB"/>
        </w:rPr>
        <w:t>s</w:t>
      </w:r>
      <w:r w:rsidRPr="00350A5C">
        <w:rPr>
          <w:lang w:val="en-GB"/>
        </w:rPr>
        <w:t xml:space="preserve"> rigorously modelled by means of two film theory</w:t>
      </w:r>
      <w:r w:rsidR="0015623E" w:rsidRPr="00350A5C">
        <w:rPr>
          <w:lang w:val="en-GB"/>
        </w:rPr>
        <w:t xml:space="preserve"> </w:t>
      </w:r>
      <w:r w:rsidRPr="00350A5C">
        <w:rPr>
          <w:lang w:val="en-GB"/>
        </w:rPr>
        <w:t>(Whitman, 1923)</w:t>
      </w:r>
      <w:r w:rsidR="00442E22" w:rsidRPr="00350A5C">
        <w:rPr>
          <w:lang w:val="en-GB"/>
        </w:rPr>
        <w:t>, as expressed with</w:t>
      </w:r>
      <w:r w:rsidRPr="00350A5C">
        <w:rPr>
          <w:lang w:val="en-GB"/>
        </w:rPr>
        <w:t xml:space="preserve"> </w:t>
      </w:r>
      <w:proofErr w:type="spellStart"/>
      <w:proofErr w:type="gram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>(</w:t>
      </w:r>
      <w:proofErr w:type="gramEnd"/>
      <w:r w:rsidRPr="00350A5C">
        <w:rPr>
          <w:lang w:val="en-GB"/>
        </w:rPr>
        <w:t xml:space="preserve">1) and </w:t>
      </w:r>
      <w:proofErr w:type="spell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>(2</w:t>
      </w:r>
      <w:r w:rsidR="00442E22" w:rsidRPr="00350A5C">
        <w:rPr>
          <w:lang w:val="en-GB"/>
        </w:rPr>
        <w:t>),</w:t>
      </w:r>
      <w:r w:rsidRPr="00350A5C">
        <w:rPr>
          <w:lang w:val="en-GB"/>
        </w:rPr>
        <w:t xml:space="preserve"> used for bubble column and packed bed, respectively.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6"/>
        <w:gridCol w:w="2251"/>
      </w:tblGrid>
      <w:tr w:rsidR="00EF4D98" w:rsidRPr="00350A5C" w14:paraId="54BA44DA" w14:textId="77777777" w:rsidTr="00533D27">
        <w:tc>
          <w:tcPr>
            <w:tcW w:w="6699" w:type="dxa"/>
            <w:shd w:val="clear" w:color="auto" w:fill="auto"/>
            <w:vAlign w:val="center"/>
          </w:tcPr>
          <w:p w14:paraId="113C260A" w14:textId="35FB940D" w:rsidR="00EF4D98" w:rsidRPr="00350A5C" w:rsidRDefault="00000000" w:rsidP="00533D27">
            <w:pPr>
              <w:pStyle w:val="CETBodytext"/>
              <w:spacing w:before="120" w:after="120"/>
              <w:rPr>
                <w:lang w:val="en-GB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bc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L,i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e>
              </m:d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B8BFEC9" w14:textId="77777777" w:rsidR="00EF4D98" w:rsidRPr="00350A5C" w:rsidRDefault="00EF4D98" w:rsidP="00533D27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(1)</w:t>
            </w:r>
          </w:p>
        </w:tc>
      </w:tr>
      <w:tr w:rsidR="00EF4D98" w:rsidRPr="00350A5C" w14:paraId="2619661F" w14:textId="77777777" w:rsidTr="00533D27">
        <w:tc>
          <w:tcPr>
            <w:tcW w:w="6699" w:type="dxa"/>
            <w:shd w:val="clear" w:color="auto" w:fill="auto"/>
            <w:vAlign w:val="center"/>
          </w:tcPr>
          <w:p w14:paraId="08F04540" w14:textId="1366E1B1" w:rsidR="00EF4D98" w:rsidRPr="00350A5C" w:rsidRDefault="00000000" w:rsidP="00533D27">
            <w:pPr>
              <w:pStyle w:val="CETBodytext"/>
              <w:spacing w:before="120" w:after="120"/>
              <w:rPr>
                <w:lang w:val="en-GB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pb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G,i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e>
              </m:d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49D6ADD" w14:textId="77777777" w:rsidR="00EF4D98" w:rsidRPr="00350A5C" w:rsidRDefault="00EF4D98" w:rsidP="00533D27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(2)</w:t>
            </w:r>
          </w:p>
        </w:tc>
      </w:tr>
    </w:tbl>
    <w:p w14:paraId="376F71D4" w14:textId="4EB41A5D" w:rsidR="00EF4D98" w:rsidRPr="00350A5C" w:rsidRDefault="006F4FC2" w:rsidP="00EF4D98">
      <w:pPr>
        <w:pStyle w:val="CETBodytext"/>
        <w:rPr>
          <w:lang w:val="en-GB"/>
        </w:rPr>
      </w:pPr>
      <w:r w:rsidRPr="00350A5C">
        <w:rPr>
          <w:lang w:val="en-GB"/>
        </w:rPr>
        <w:t>T</w:t>
      </w:r>
      <w:r w:rsidR="00C639A3" w:rsidRPr="00350A5C">
        <w:rPr>
          <w:lang w:val="en-GB"/>
        </w:rPr>
        <w:t>he expression to evaluate Henry constants (H</w:t>
      </w:r>
      <w:r w:rsidR="00C639A3" w:rsidRPr="002246DF">
        <w:rPr>
          <w:vertAlign w:val="subscript"/>
          <w:lang w:val="en-GB"/>
        </w:rPr>
        <w:t>i</w:t>
      </w:r>
      <w:r w:rsidR="00C639A3" w:rsidRPr="00350A5C">
        <w:rPr>
          <w:lang w:val="en-GB"/>
        </w:rPr>
        <w:t>) and overall transfer coefficient for gas (</w:t>
      </w:r>
      <w:proofErr w:type="spellStart"/>
      <w:proofErr w:type="gramStart"/>
      <w:r w:rsidR="00C639A3" w:rsidRPr="00350A5C">
        <w:rPr>
          <w:lang w:val="en-GB"/>
        </w:rPr>
        <w:t>K</w:t>
      </w:r>
      <w:r w:rsidR="00C639A3" w:rsidRPr="00350A5C">
        <w:rPr>
          <w:vertAlign w:val="subscript"/>
          <w:lang w:val="en-GB"/>
        </w:rPr>
        <w:t>G,i</w:t>
      </w:r>
      <w:proofErr w:type="spellEnd"/>
      <w:proofErr w:type="gramEnd"/>
      <w:r w:rsidR="00C639A3" w:rsidRPr="00350A5C">
        <w:rPr>
          <w:lang w:val="en-GB"/>
        </w:rPr>
        <w:t>) and liquid phase (</w:t>
      </w:r>
      <w:proofErr w:type="spellStart"/>
      <w:r w:rsidR="00C639A3" w:rsidRPr="00350A5C">
        <w:rPr>
          <w:lang w:val="en-GB"/>
        </w:rPr>
        <w:t>K</w:t>
      </w:r>
      <w:r w:rsidR="00C639A3" w:rsidRPr="00350A5C">
        <w:rPr>
          <w:vertAlign w:val="subscript"/>
          <w:lang w:val="en-GB"/>
        </w:rPr>
        <w:t>L,i</w:t>
      </w:r>
      <w:proofErr w:type="spellEnd"/>
      <w:r w:rsidR="00C639A3" w:rsidRPr="00350A5C">
        <w:rPr>
          <w:lang w:val="en-GB"/>
        </w:rPr>
        <w:t xml:space="preserve">) </w:t>
      </w:r>
      <w:r w:rsidRPr="00350A5C">
        <w:rPr>
          <w:lang w:val="en-GB"/>
        </w:rPr>
        <w:t>were inferred from</w:t>
      </w:r>
      <w:r w:rsidR="00C639A3" w:rsidRPr="00350A5C">
        <w:rPr>
          <w:lang w:val="en-GB"/>
        </w:rPr>
        <w:t xml:space="preserve"> Sanders </w:t>
      </w:r>
      <w:r w:rsidRPr="00350A5C">
        <w:rPr>
          <w:lang w:val="en-GB"/>
        </w:rPr>
        <w:t>(</w:t>
      </w:r>
      <w:r w:rsidR="00C639A3" w:rsidRPr="00350A5C">
        <w:rPr>
          <w:lang w:val="en-GB"/>
        </w:rPr>
        <w:t>2015) and Perry</w:t>
      </w:r>
      <w:r w:rsidRPr="00350A5C">
        <w:rPr>
          <w:lang w:val="en-GB"/>
        </w:rPr>
        <w:t xml:space="preserve"> (1950</w:t>
      </w:r>
      <w:r w:rsidR="00C639A3" w:rsidRPr="00350A5C">
        <w:rPr>
          <w:lang w:val="en-GB"/>
        </w:rPr>
        <w:t xml:space="preserve">), respectively. </w:t>
      </w:r>
      <w:r w:rsidR="00EF4D98" w:rsidRPr="00350A5C">
        <w:rPr>
          <w:lang w:val="en-GB"/>
        </w:rPr>
        <w:t xml:space="preserve">The strategy adopted to simulate </w:t>
      </w:r>
      <w:r w:rsidR="006B27D7" w:rsidRPr="00350A5C">
        <w:rPr>
          <w:lang w:val="en-GB"/>
        </w:rPr>
        <w:t xml:space="preserve">the bubble column </w:t>
      </w:r>
      <w:r w:rsidR="00EF4D98" w:rsidRPr="00350A5C">
        <w:rPr>
          <w:lang w:val="en-GB"/>
        </w:rPr>
        <w:t>unsteady state operation relies on the classical homogeneous model for unstirred tank reactors, operated continuously for the gas phase and in batch mode for the liquid one; Therefore, the</w:t>
      </w:r>
      <w:r w:rsidR="006B27D7" w:rsidRPr="00350A5C">
        <w:rPr>
          <w:lang w:val="en-GB"/>
        </w:rPr>
        <w:t xml:space="preserve"> gas phase</w:t>
      </w:r>
      <w:r w:rsidR="00EF4D98" w:rsidRPr="00350A5C">
        <w:rPr>
          <w:lang w:val="en-GB"/>
        </w:rPr>
        <w:t xml:space="preserve"> m</w:t>
      </w:r>
      <w:r w:rsidR="000F763E" w:rsidRPr="00350A5C">
        <w:rPr>
          <w:lang w:val="en-GB"/>
        </w:rPr>
        <w:t>aterial</w:t>
      </w:r>
      <w:r w:rsidR="00EF4D98" w:rsidRPr="00350A5C">
        <w:rPr>
          <w:lang w:val="en-GB"/>
        </w:rPr>
        <w:t xml:space="preserve"> balance for</w:t>
      </w:r>
      <w:r w:rsidR="00FD720C" w:rsidRPr="00350A5C">
        <w:rPr>
          <w:lang w:val="en-GB"/>
        </w:rPr>
        <w:t xml:space="preserve"> </w:t>
      </w:r>
      <w:r w:rsidR="004A6A4A">
        <w:rPr>
          <w:lang w:val="en-GB"/>
        </w:rPr>
        <w:t xml:space="preserve">the </w:t>
      </w:r>
      <w:proofErr w:type="spellStart"/>
      <w:r w:rsidR="004A6A4A" w:rsidRPr="00350A5C">
        <w:rPr>
          <w:lang w:val="en-GB"/>
        </w:rPr>
        <w:t>i</w:t>
      </w:r>
      <w:r w:rsidR="004A6A4A" w:rsidRPr="00350A5C">
        <w:rPr>
          <w:vertAlign w:val="superscript"/>
          <w:lang w:val="en-GB"/>
        </w:rPr>
        <w:t>th</w:t>
      </w:r>
      <w:proofErr w:type="spellEnd"/>
      <w:r w:rsidR="004A6A4A" w:rsidRPr="00350A5C">
        <w:rPr>
          <w:lang w:val="en-GB"/>
        </w:rPr>
        <w:t xml:space="preserve"> species</w:t>
      </w:r>
      <w:r w:rsidR="00FD720C" w:rsidRPr="00350A5C">
        <w:rPr>
          <w:lang w:val="en-GB"/>
        </w:rPr>
        <w:t xml:space="preserve"> </w:t>
      </w:r>
      <w:r w:rsidR="00B6780E" w:rsidRPr="00350A5C">
        <w:rPr>
          <w:lang w:val="en-GB"/>
        </w:rPr>
        <w:t>was</w:t>
      </w:r>
      <w:r w:rsidR="00FD720C" w:rsidRPr="00350A5C">
        <w:rPr>
          <w:lang w:val="en-GB"/>
        </w:rPr>
        <w:t xml:space="preserve"> written as expressed in </w:t>
      </w:r>
      <w:proofErr w:type="spellStart"/>
      <w:proofErr w:type="gramStart"/>
      <w:r w:rsidR="00FD720C" w:rsidRPr="00350A5C">
        <w:rPr>
          <w:lang w:val="en-GB"/>
        </w:rPr>
        <w:t>Eq</w:t>
      </w:r>
      <w:proofErr w:type="spellEnd"/>
      <w:r w:rsidR="00FD720C" w:rsidRPr="00350A5C">
        <w:rPr>
          <w:lang w:val="en-GB"/>
        </w:rPr>
        <w:t>(</w:t>
      </w:r>
      <w:proofErr w:type="gramEnd"/>
      <w:r w:rsidR="00FD720C" w:rsidRPr="00350A5C">
        <w:rPr>
          <w:lang w:val="en-GB"/>
        </w:rPr>
        <w:t>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8"/>
        <w:gridCol w:w="2357"/>
        <w:gridCol w:w="1752"/>
      </w:tblGrid>
      <w:tr w:rsidR="00341CE7" w:rsidRPr="00350A5C" w14:paraId="5EBD821E" w14:textId="77777777" w:rsidTr="00A429F4">
        <w:tc>
          <w:tcPr>
            <w:tcW w:w="4673" w:type="dxa"/>
            <w:shd w:val="clear" w:color="auto" w:fill="auto"/>
            <w:vAlign w:val="center"/>
          </w:tcPr>
          <w:p w14:paraId="76854035" w14:textId="7808FC71" w:rsidR="00341CE7" w:rsidRPr="00350A5C" w:rsidRDefault="00000000" w:rsidP="00A429F4">
            <w:pPr>
              <w:pStyle w:val="CETBodytext"/>
              <w:spacing w:before="120"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dt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R∙T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G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in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∙y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in</m:t>
                      </m:r>
                    </m:sup>
                  </m:sSubSup>
                  <m:r>
                    <w:rPr>
                      <w:rFonts w:ascii="Cambria Math" w:hAnsi="Cambria Math"/>
                      <w:lang w:val="en-GB"/>
                    </w:rPr>
                    <m:t>-S∙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bc</m:t>
                      </m:r>
                    </m:sup>
                  </m:sSubSup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out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e>
              </m:d>
            </m:oMath>
            <w:r w:rsidR="00341CE7" w:rsidRPr="00350A5C">
              <w:rPr>
                <w:lang w:val="en-GB"/>
              </w:rPr>
              <w:t xml:space="preserve">.  </w:t>
            </w:r>
          </w:p>
        </w:tc>
        <w:tc>
          <w:tcPr>
            <w:tcW w:w="2354" w:type="dxa"/>
            <w:vAlign w:val="center"/>
          </w:tcPr>
          <w:p w14:paraId="70FD2C5C" w14:textId="3B3BEB2F" w:rsidR="00341CE7" w:rsidRPr="00350A5C" w:rsidRDefault="00000000" w:rsidP="00A429F4">
            <w:pPr>
              <w:pStyle w:val="CETBodytext"/>
              <w:spacing w:before="120" w:after="120"/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GB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t=0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sup>
                    </m:sSup>
                  </m:e>
                  <m:sub>
                    <m:r>
                      <w:rPr>
                        <w:rFonts w:ascii="Cambria Math" w:eastAsiaTheme="minorEastAsia" w:hAnsi="Cambria Math"/>
                        <w:lang w:val="en-GB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50" w:type="dxa"/>
            <w:shd w:val="clear" w:color="auto" w:fill="auto"/>
            <w:vAlign w:val="center"/>
          </w:tcPr>
          <w:p w14:paraId="3B9BB00C" w14:textId="76887E35" w:rsidR="00341CE7" w:rsidRPr="00350A5C" w:rsidRDefault="00341CE7" w:rsidP="00A429F4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</w:t>
            </w:r>
            <w:r w:rsidR="006F4FC2" w:rsidRPr="00350A5C">
              <w:rPr>
                <w:lang w:val="en-GB"/>
              </w:rPr>
              <w:t>3</w:t>
            </w:r>
            <w:r w:rsidRPr="00350A5C">
              <w:rPr>
                <w:lang w:val="en-GB"/>
              </w:rPr>
              <w:t>)</w:t>
            </w:r>
          </w:p>
        </w:tc>
      </w:tr>
    </w:tbl>
    <w:p w14:paraId="20DE1CE4" w14:textId="594A4ADD" w:rsidR="00EF4D98" w:rsidRPr="00350A5C" w:rsidRDefault="005407B4" w:rsidP="00EF4D98">
      <w:pPr>
        <w:pStyle w:val="CETBodytext"/>
        <w:rPr>
          <w:lang w:val="en-GB"/>
        </w:rPr>
      </w:pPr>
      <w:r>
        <w:rPr>
          <w:lang w:val="en-GB"/>
        </w:rPr>
        <w:t>T</w:t>
      </w:r>
      <w:r w:rsidR="00A8027E" w:rsidRPr="00350A5C">
        <w:rPr>
          <w:lang w:val="en-GB"/>
        </w:rPr>
        <w:t>he equations for the packed bed steady</w:t>
      </w:r>
      <w:r w:rsidR="000604AB" w:rsidRPr="00350A5C">
        <w:rPr>
          <w:lang w:val="en-GB"/>
        </w:rPr>
        <w:t>-</w:t>
      </w:r>
      <w:r w:rsidR="00A8027E" w:rsidRPr="00350A5C">
        <w:rPr>
          <w:lang w:val="en-GB"/>
        </w:rPr>
        <w:t>state operation can be developed, by considering the following assumptions</w:t>
      </w:r>
      <w:r w:rsidR="00EF4D98" w:rsidRPr="00350A5C">
        <w:rPr>
          <w:lang w:val="en-GB"/>
        </w:rPr>
        <w:t xml:space="preserve">: the liquid </w:t>
      </w:r>
      <w:r w:rsidR="00D67C9E" w:rsidRPr="00350A5C">
        <w:rPr>
          <w:lang w:val="en-GB"/>
        </w:rPr>
        <w:t>solution</w:t>
      </w:r>
      <w:r w:rsidR="00EF4D98" w:rsidRPr="00350A5C">
        <w:rPr>
          <w:lang w:val="en-GB"/>
        </w:rPr>
        <w:t xml:space="preserve"> is</w:t>
      </w:r>
      <w:r w:rsidR="00D67C9E" w:rsidRPr="00350A5C">
        <w:rPr>
          <w:lang w:val="en-GB"/>
        </w:rPr>
        <w:t xml:space="preserve"> ideal and</w:t>
      </w:r>
      <w:r w:rsidR="00EF4D98" w:rsidRPr="00350A5C">
        <w:rPr>
          <w:lang w:val="en-GB"/>
        </w:rPr>
        <w:t xml:space="preserve"> incompressible; the liquid and gas phases properties are constant along the radial direction</w:t>
      </w:r>
      <w:r w:rsidR="00D67C9E" w:rsidRPr="00350A5C">
        <w:rPr>
          <w:lang w:val="en-GB"/>
        </w:rPr>
        <w:t>; t</w:t>
      </w:r>
      <w:r w:rsidR="00EF4D98" w:rsidRPr="00350A5C">
        <w:rPr>
          <w:lang w:val="en-GB"/>
        </w:rPr>
        <w:t>here is no axial dispersion and the volumetric flow rates are constant</w:t>
      </w:r>
      <w:r w:rsidR="00D67C9E" w:rsidRPr="00350A5C">
        <w:rPr>
          <w:lang w:val="en-GB"/>
        </w:rPr>
        <w:t>; l</w:t>
      </w:r>
      <w:r w:rsidR="00EF4D98" w:rsidRPr="00350A5C">
        <w:rPr>
          <w:lang w:val="en-GB"/>
        </w:rPr>
        <w:t>iquid and gas interstitial velocity are zero along the radial direction</w:t>
      </w:r>
      <w:r w:rsidR="00D67C9E" w:rsidRPr="00350A5C">
        <w:rPr>
          <w:lang w:val="en-GB"/>
        </w:rPr>
        <w:t>; l</w:t>
      </w:r>
      <w:r w:rsidR="00EF4D98" w:rsidRPr="00350A5C">
        <w:rPr>
          <w:lang w:val="en-GB"/>
        </w:rPr>
        <w:t>iquid and gas velocity field are assumed to be uniform along the column</w:t>
      </w:r>
      <w:r w:rsidR="006B27D7" w:rsidRPr="00350A5C">
        <w:rPr>
          <w:lang w:val="en-GB"/>
        </w:rPr>
        <w:t>. A</w:t>
      </w:r>
      <w:r w:rsidR="00EF4D98" w:rsidRPr="00350A5C">
        <w:rPr>
          <w:lang w:val="en-GB"/>
        </w:rPr>
        <w:t>ccordingly, considering the</w:t>
      </w:r>
      <w:r w:rsidR="00D67C9E" w:rsidRPr="00350A5C">
        <w:rPr>
          <w:lang w:val="en-GB"/>
        </w:rPr>
        <w:t xml:space="preserve"> spatial domain</w:t>
      </w:r>
      <w:r w:rsidR="00EF4D98" w:rsidRPr="00350A5C">
        <w:rPr>
          <w:lang w:val="en-GB"/>
        </w:rPr>
        <w:t xml:space="preserve"> direction going from the bottom (z = 0), to the top of the column (z = Z), the gas phase balance for the </w:t>
      </w:r>
      <w:proofErr w:type="spellStart"/>
      <w:r w:rsidR="00EF4D98" w:rsidRPr="00350A5C">
        <w:rPr>
          <w:lang w:val="en-GB"/>
        </w:rPr>
        <w:t>i</w:t>
      </w:r>
      <w:r w:rsidR="00EF4D98" w:rsidRPr="00350A5C">
        <w:rPr>
          <w:vertAlign w:val="superscript"/>
          <w:lang w:val="en-GB"/>
        </w:rPr>
        <w:t>th</w:t>
      </w:r>
      <w:proofErr w:type="spellEnd"/>
      <w:r w:rsidR="00EF4D98" w:rsidRPr="00350A5C">
        <w:rPr>
          <w:lang w:val="en-GB"/>
        </w:rPr>
        <w:t xml:space="preserve"> species </w:t>
      </w:r>
      <w:r w:rsidR="006F4FC2" w:rsidRPr="00350A5C">
        <w:rPr>
          <w:lang w:val="en-GB"/>
        </w:rPr>
        <w:t>w</w:t>
      </w:r>
      <w:r w:rsidR="004A6A4A">
        <w:rPr>
          <w:lang w:val="en-GB"/>
        </w:rPr>
        <w:t>as</w:t>
      </w:r>
      <w:r w:rsidR="006B27D7" w:rsidRPr="00350A5C">
        <w:rPr>
          <w:lang w:val="en-GB"/>
        </w:rPr>
        <w:t xml:space="preserve"> written</w:t>
      </w:r>
      <w:r w:rsidR="00EF4D98" w:rsidRPr="00350A5C">
        <w:rPr>
          <w:lang w:val="en-GB"/>
        </w:rPr>
        <w:t xml:space="preserve"> as reported in </w:t>
      </w:r>
      <w:proofErr w:type="spellStart"/>
      <w:proofErr w:type="gramStart"/>
      <w:r w:rsidR="005003A7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>(</w:t>
      </w:r>
      <w:proofErr w:type="gramEnd"/>
      <w:r w:rsidR="00EF4D98" w:rsidRPr="00350A5C">
        <w:rPr>
          <w:lang w:val="en-GB"/>
        </w:rPr>
        <w:t>4).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8"/>
        <w:gridCol w:w="2357"/>
        <w:gridCol w:w="1752"/>
      </w:tblGrid>
      <w:tr w:rsidR="00341CE7" w:rsidRPr="00350A5C" w14:paraId="443D1616" w14:textId="77777777" w:rsidTr="00A429F4">
        <w:tc>
          <w:tcPr>
            <w:tcW w:w="4673" w:type="dxa"/>
            <w:shd w:val="clear" w:color="auto" w:fill="auto"/>
            <w:vAlign w:val="center"/>
          </w:tcPr>
          <w:p w14:paraId="19503320" w14:textId="174CD559" w:rsidR="00341CE7" w:rsidRPr="00350A5C" w:rsidRDefault="00000000" w:rsidP="00A429F4">
            <w:pPr>
              <w:pStyle w:val="CETBodytext"/>
              <w:spacing w:before="120"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dz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R∙T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 xml:space="preserve"> ∙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G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pb</m:t>
                  </m:r>
                </m:sup>
              </m:sSubSup>
            </m:oMath>
            <w:r w:rsidR="00341CE7" w:rsidRPr="00350A5C">
              <w:rPr>
                <w:lang w:val="en-GB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14:paraId="34C606ED" w14:textId="650DA77C" w:rsidR="00341CE7" w:rsidRPr="00350A5C" w:rsidRDefault="00000000" w:rsidP="00A429F4">
            <w:pPr>
              <w:pStyle w:val="CETBodytext"/>
              <w:spacing w:before="120" w:after="120"/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GB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z=0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in</m:t>
                        </m:r>
                      </m:sup>
                    </m:sSup>
                  </m:e>
                  <m:sub>
                    <m:r>
                      <w:rPr>
                        <w:rFonts w:ascii="Cambria Math" w:eastAsiaTheme="minorEastAsia" w:hAnsi="Cambria Math"/>
                        <w:lang w:val="en-GB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50" w:type="dxa"/>
            <w:shd w:val="clear" w:color="auto" w:fill="auto"/>
            <w:vAlign w:val="center"/>
          </w:tcPr>
          <w:p w14:paraId="2C0483B2" w14:textId="07F36E4B" w:rsidR="00341CE7" w:rsidRPr="00350A5C" w:rsidRDefault="00341CE7" w:rsidP="00A429F4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</w:t>
            </w:r>
            <w:r w:rsidR="00A45B9B">
              <w:rPr>
                <w:lang w:val="en-GB"/>
              </w:rPr>
              <w:t>4</w:t>
            </w:r>
            <w:r w:rsidRPr="00350A5C">
              <w:rPr>
                <w:lang w:val="en-GB"/>
              </w:rPr>
              <w:t>)</w:t>
            </w:r>
          </w:p>
        </w:tc>
      </w:tr>
    </w:tbl>
    <w:p w14:paraId="24714058" w14:textId="43484BC9" w:rsidR="00EF4D98" w:rsidRPr="00350A5C" w:rsidRDefault="00155535" w:rsidP="00EF4D98">
      <w:pPr>
        <w:pStyle w:val="CETBodytext"/>
        <w:rPr>
          <w:lang w:val="en-GB"/>
        </w:rPr>
      </w:pPr>
      <w:r w:rsidRPr="00350A5C">
        <w:rPr>
          <w:lang w:val="en-GB"/>
        </w:rPr>
        <w:t>Once</w:t>
      </w:r>
      <w:r w:rsidR="00EF4D98" w:rsidRPr="00350A5C">
        <w:rPr>
          <w:lang w:val="en-GB"/>
        </w:rPr>
        <w:t xml:space="preserve"> the </w:t>
      </w:r>
      <w:r w:rsidRPr="00350A5C">
        <w:rPr>
          <w:lang w:val="en-GB"/>
        </w:rPr>
        <w:t>CO</w:t>
      </w:r>
      <w:r w:rsidRPr="00350A5C">
        <w:rPr>
          <w:vertAlign w:val="subscript"/>
          <w:lang w:val="en-GB"/>
        </w:rPr>
        <w:t>2</w:t>
      </w:r>
      <w:r w:rsidR="00EF4D98" w:rsidRPr="00350A5C">
        <w:rPr>
          <w:lang w:val="en-GB"/>
        </w:rPr>
        <w:t xml:space="preserve"> is absorbed, it reacts with water and </w:t>
      </w:r>
      <w:r w:rsidRPr="00350A5C">
        <w:rPr>
          <w:lang w:val="en-GB"/>
        </w:rPr>
        <w:t>NH</w:t>
      </w:r>
      <w:r w:rsidRPr="00350A5C">
        <w:rPr>
          <w:vertAlign w:val="subscript"/>
          <w:lang w:val="en-GB"/>
        </w:rPr>
        <w:t>3</w:t>
      </w:r>
      <w:r w:rsidR="00EF4D98" w:rsidRPr="00350A5C">
        <w:rPr>
          <w:lang w:val="en-GB"/>
        </w:rPr>
        <w:t xml:space="preserve">, following the reaction scheme reported in Table 3. </w:t>
      </w:r>
    </w:p>
    <w:p w14:paraId="01E75373" w14:textId="77777777" w:rsidR="00EF4D98" w:rsidRPr="00350A5C" w:rsidRDefault="00EF4D98" w:rsidP="00EF4D98">
      <w:pPr>
        <w:pStyle w:val="Caption"/>
        <w:keepNext/>
        <w:spacing w:before="240" w:after="80"/>
        <w:rPr>
          <w:rFonts w:cs="Arial"/>
          <w:b w:val="0"/>
          <w:bCs w:val="0"/>
          <w:i/>
          <w:iCs/>
        </w:rPr>
      </w:pPr>
      <w:r w:rsidRPr="00350A5C">
        <w:rPr>
          <w:rFonts w:cs="Arial"/>
          <w:b w:val="0"/>
          <w:bCs w:val="0"/>
          <w:i/>
          <w:iCs/>
          <w:color w:val="auto"/>
        </w:rPr>
        <w:t xml:space="preserve">Table 3. Chemical reactions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2"/>
        <w:gridCol w:w="1755"/>
      </w:tblGrid>
      <w:tr w:rsidR="00EF4D98" w:rsidRPr="00350A5C" w14:paraId="6D24E343" w14:textId="77777777" w:rsidTr="005636A6">
        <w:trPr>
          <w:trHeight w:val="374"/>
        </w:trPr>
        <w:tc>
          <w:tcPr>
            <w:tcW w:w="363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27908FE" w14:textId="77777777" w:rsidR="00EF4D98" w:rsidRPr="00350A5C" w:rsidRDefault="00EF4D98" w:rsidP="005407B4">
            <w:pPr>
              <w:pStyle w:val="CETBodytext"/>
              <w:jc w:val="left"/>
              <w:rPr>
                <w:lang w:val="en-GB"/>
              </w:rPr>
            </w:pPr>
            <w:r w:rsidRPr="00350A5C">
              <w:rPr>
                <w:lang w:val="en-GB"/>
              </w:rPr>
              <w:t>Reaction</w:t>
            </w:r>
          </w:p>
        </w:tc>
        <w:tc>
          <w:tcPr>
            <w:tcW w:w="175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185AC42E" w14:textId="77777777" w:rsidR="00EF4D98" w:rsidRPr="00350A5C" w:rsidRDefault="00EF4D98" w:rsidP="00533D27">
            <w:pPr>
              <w:pStyle w:val="CETBodytext"/>
              <w:jc w:val="center"/>
              <w:rPr>
                <w:lang w:val="en-GB"/>
              </w:rPr>
            </w:pPr>
            <w:r w:rsidRPr="00350A5C">
              <w:rPr>
                <w:lang w:val="en-GB"/>
              </w:rPr>
              <w:t>ID</w:t>
            </w:r>
          </w:p>
        </w:tc>
      </w:tr>
      <w:tr w:rsidR="00EF4D98" w:rsidRPr="00350A5C" w14:paraId="3AD0F6BB" w14:textId="77777777" w:rsidTr="005636A6">
        <w:trPr>
          <w:trHeight w:val="373"/>
        </w:trPr>
        <w:tc>
          <w:tcPr>
            <w:tcW w:w="3632" w:type="dxa"/>
            <w:tcBorders>
              <w:top w:val="single" w:sz="6" w:space="0" w:color="008000"/>
              <w:bottom w:val="nil"/>
            </w:tcBorders>
            <w:shd w:val="clear" w:color="auto" w:fill="FFFFFF"/>
            <w:vAlign w:val="center"/>
          </w:tcPr>
          <w:p w14:paraId="3B2F7747" w14:textId="77777777" w:rsidR="00EF4D98" w:rsidRPr="005407B4" w:rsidRDefault="00EF4D98" w:rsidP="00533D27">
            <w:pPr>
              <w:pStyle w:val="CETBodytex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lang w:val="en-GB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O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1</m:t>
                            </m:r>
                          </m:sub>
                        </m:sSub>
                      </m:e>
                    </m:groupChr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3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+</m:t>
                        </m:r>
                      </m:sup>
                    </m:sSup>
                  </m:e>
                </m:box>
              </m:oMath>
            </m:oMathPara>
          </w:p>
        </w:tc>
        <w:tc>
          <w:tcPr>
            <w:tcW w:w="1755" w:type="dxa"/>
            <w:tcBorders>
              <w:top w:val="single" w:sz="6" w:space="0" w:color="008000"/>
              <w:bottom w:val="nil"/>
            </w:tcBorders>
            <w:shd w:val="clear" w:color="auto" w:fill="FFFFFF"/>
            <w:vAlign w:val="center"/>
          </w:tcPr>
          <w:p w14:paraId="26FFB50A" w14:textId="77777777" w:rsidR="00EF4D98" w:rsidRPr="00350A5C" w:rsidRDefault="00EF4D98" w:rsidP="00533D27">
            <w:pPr>
              <w:pStyle w:val="CETBodytext"/>
              <w:jc w:val="center"/>
              <w:rPr>
                <w:lang w:val="en-GB"/>
              </w:rPr>
            </w:pPr>
            <w:r w:rsidRPr="00350A5C">
              <w:rPr>
                <w:lang w:val="en-GB"/>
              </w:rPr>
              <w:t>R.1</w:t>
            </w:r>
          </w:p>
        </w:tc>
      </w:tr>
      <w:tr w:rsidR="00EF4D98" w:rsidRPr="00350A5C" w14:paraId="317AD73F" w14:textId="77777777" w:rsidTr="005636A6">
        <w:trPr>
          <w:trHeight w:val="373"/>
        </w:trPr>
        <w:tc>
          <w:tcPr>
            <w:tcW w:w="3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964350" w14:textId="77777777" w:rsidR="00EF4D98" w:rsidRPr="005407B4" w:rsidRDefault="00EF4D98" w:rsidP="00533D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lang w:val="en-GB"/>
                  </w:rPr>
                  <m:t>HC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-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2</m:t>
                            </m:r>
                          </m:sub>
                        </m:sSub>
                      </m:e>
                    </m:groupChr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3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2-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+</m:t>
                        </m:r>
                      </m:sup>
                    </m:sSup>
                  </m:e>
                </m:box>
              </m:oMath>
            </m:oMathPara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15D09" w14:textId="77777777" w:rsidR="00EF4D98" w:rsidRPr="00350A5C" w:rsidRDefault="00EF4D98" w:rsidP="00533D27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350A5C">
              <w:rPr>
                <w:lang w:val="en-GB"/>
              </w:rPr>
              <w:t>R.2</w:t>
            </w:r>
          </w:p>
        </w:tc>
      </w:tr>
      <w:tr w:rsidR="00EF4D98" w:rsidRPr="00350A5C" w14:paraId="26F3E463" w14:textId="77777777" w:rsidTr="005636A6">
        <w:trPr>
          <w:trHeight w:val="374"/>
        </w:trPr>
        <w:tc>
          <w:tcPr>
            <w:tcW w:w="3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A04F79" w14:textId="77777777" w:rsidR="00EF4D98" w:rsidRPr="005407B4" w:rsidRDefault="00EF4D98" w:rsidP="00533D27">
            <w:pPr>
              <w:pStyle w:val="CETBodytext"/>
              <w:ind w:right="-1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lang w:val="en-GB"/>
                  </w:rPr>
                  <m:t>2N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2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3</m:t>
                            </m:r>
                          </m:sub>
                        </m:sSub>
                      </m:e>
                    </m:groupCh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4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+</m:t>
                        </m:r>
                      </m:sup>
                    </m:sSup>
                  </m:e>
                </m:box>
              </m:oMath>
            </m:oMathPara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5A8A7" w14:textId="77777777" w:rsidR="00EF4D98" w:rsidRPr="00350A5C" w:rsidRDefault="00EF4D98" w:rsidP="00533D27">
            <w:pPr>
              <w:pStyle w:val="CETBodytext"/>
              <w:ind w:right="-1"/>
              <w:jc w:val="center"/>
              <w:rPr>
                <w:lang w:val="en-GB"/>
              </w:rPr>
            </w:pPr>
            <w:r w:rsidRPr="00350A5C">
              <w:rPr>
                <w:lang w:val="en-GB"/>
              </w:rPr>
              <w:t>R.3</w:t>
            </w:r>
          </w:p>
        </w:tc>
      </w:tr>
      <w:tr w:rsidR="00EF4D98" w:rsidRPr="00350A5C" w14:paraId="2C571B23" w14:textId="77777777" w:rsidTr="005636A6">
        <w:trPr>
          <w:trHeight w:val="374"/>
        </w:trPr>
        <w:tc>
          <w:tcPr>
            <w:tcW w:w="3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D7C02" w14:textId="77777777" w:rsidR="00EF4D98" w:rsidRPr="005407B4" w:rsidRDefault="00EF4D98" w:rsidP="00533D27">
            <w:pPr>
              <w:pStyle w:val="CETBodytext"/>
              <w:ind w:right="-1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lang w:val="en-GB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+HC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-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4</m:t>
                            </m:r>
                          </m:sub>
                        </m:sSub>
                      </m:e>
                    </m:groupCh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O</m:t>
                    </m:r>
                  </m:e>
                </m:box>
              </m:oMath>
            </m:oMathPara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DB54F5" w14:textId="77777777" w:rsidR="00EF4D98" w:rsidRPr="00350A5C" w:rsidRDefault="00EF4D98" w:rsidP="00533D27">
            <w:pPr>
              <w:pStyle w:val="CETBodytext"/>
              <w:ind w:right="-1"/>
              <w:jc w:val="center"/>
              <w:rPr>
                <w:lang w:val="en-GB"/>
              </w:rPr>
            </w:pPr>
            <w:r w:rsidRPr="00350A5C">
              <w:rPr>
                <w:lang w:val="en-GB"/>
              </w:rPr>
              <w:t>R.4</w:t>
            </w:r>
          </w:p>
        </w:tc>
      </w:tr>
      <w:tr w:rsidR="00EF4D98" w:rsidRPr="00350A5C" w14:paraId="1F3BB4DB" w14:textId="77777777" w:rsidTr="005636A6">
        <w:trPr>
          <w:trHeight w:val="363"/>
        </w:trPr>
        <w:tc>
          <w:tcPr>
            <w:tcW w:w="3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8E947" w14:textId="77777777" w:rsidR="00EF4D98" w:rsidRPr="005407B4" w:rsidRDefault="00EF4D98" w:rsidP="00533D27">
            <w:pPr>
              <w:pStyle w:val="CETBodytext"/>
              <w:ind w:right="-1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lang w:val="en-GB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O</m:t>
                </m:r>
                <m:groupChr>
                  <m:groupChrPr>
                    <m:chr m:val="⇔"/>
                    <m:vertJc m:val="bot"/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am</m:t>
                        </m:r>
                      </m:sub>
                    </m:sSub>
                  </m:e>
                </m:groupChr>
                <m:r>
                  <w:rPr>
                    <w:rFonts w:ascii="Cambria Math" w:hAnsi="Cambria Math"/>
                    <w:sz w:val="20"/>
                    <w:lang w:val="en-GB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0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A2148" w14:textId="77777777" w:rsidR="00EF4D98" w:rsidRPr="00350A5C" w:rsidRDefault="00EF4D98" w:rsidP="00533D27">
            <w:pPr>
              <w:pStyle w:val="CETBodytext"/>
              <w:ind w:right="-1"/>
              <w:jc w:val="center"/>
              <w:rPr>
                <w:lang w:val="en-GB"/>
              </w:rPr>
            </w:pPr>
            <w:r w:rsidRPr="00350A5C">
              <w:rPr>
                <w:lang w:val="en-GB"/>
              </w:rPr>
              <w:t>R.5</w:t>
            </w:r>
          </w:p>
        </w:tc>
      </w:tr>
      <w:tr w:rsidR="00EF4D98" w:rsidRPr="00350A5C" w14:paraId="184A9E51" w14:textId="77777777" w:rsidTr="005636A6">
        <w:trPr>
          <w:trHeight w:val="374"/>
        </w:trPr>
        <w:tc>
          <w:tcPr>
            <w:tcW w:w="3632" w:type="dxa"/>
            <w:tcBorders>
              <w:top w:val="nil"/>
              <w:bottom w:val="single" w:sz="12" w:space="0" w:color="008000"/>
            </w:tcBorders>
            <w:shd w:val="clear" w:color="auto" w:fill="FFFFFF"/>
            <w:vAlign w:val="center"/>
          </w:tcPr>
          <w:p w14:paraId="5095E609" w14:textId="77777777" w:rsidR="00EF4D98" w:rsidRPr="005407B4" w:rsidRDefault="00000000" w:rsidP="00533D27">
            <w:pPr>
              <w:pStyle w:val="CETBodytext"/>
              <w:ind w:right="-1"/>
              <w:rPr>
                <w:rFonts w:ascii="Times New Roman" w:eastAsia="SimSun" w:hAnsi="Times New Roman"/>
                <w:sz w:val="20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GB"/>
                  </w:rPr>
                  <m:t>O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20"/>
                        <w:lang w:val="en-GB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GB"/>
                              </w:rPr>
                              <m:t>w</m:t>
                            </m:r>
                          </m:sub>
                        </m:sSub>
                      </m:e>
                    </m:groupCh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en-GB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en-GB"/>
                          </w:rPr>
                          <m:t>+</m:t>
                        </m:r>
                      </m:sup>
                    </m:sSup>
                  </m:e>
                </m:box>
              </m:oMath>
            </m:oMathPara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center"/>
          </w:tcPr>
          <w:p w14:paraId="21A6D51E" w14:textId="77777777" w:rsidR="00EF4D98" w:rsidRPr="00350A5C" w:rsidRDefault="00EF4D98" w:rsidP="00533D27">
            <w:pPr>
              <w:pStyle w:val="CETBodytext"/>
              <w:ind w:right="-1"/>
              <w:jc w:val="center"/>
              <w:rPr>
                <w:lang w:val="en-GB"/>
              </w:rPr>
            </w:pPr>
            <w:r w:rsidRPr="00350A5C">
              <w:rPr>
                <w:lang w:val="en-GB"/>
              </w:rPr>
              <w:t>R.6</w:t>
            </w:r>
          </w:p>
        </w:tc>
      </w:tr>
    </w:tbl>
    <w:p w14:paraId="01A848AB" w14:textId="53AA97A3" w:rsidR="00EF4D98" w:rsidRPr="00350A5C" w:rsidRDefault="00EF4D98" w:rsidP="00EF4D98">
      <w:pPr>
        <w:pStyle w:val="CETBodytext"/>
        <w:spacing w:before="240"/>
        <w:rPr>
          <w:lang w:val="en-GB"/>
        </w:rPr>
      </w:pPr>
      <w:r w:rsidRPr="00350A5C">
        <w:rPr>
          <w:lang w:val="en-GB"/>
        </w:rPr>
        <w:t xml:space="preserve">Referring to </w:t>
      </w:r>
      <w:r w:rsidR="004B7215" w:rsidRPr="00350A5C">
        <w:rPr>
          <w:lang w:val="en-GB"/>
        </w:rPr>
        <w:t xml:space="preserve">(R.1-R.6), total </w:t>
      </w:r>
      <w:r w:rsidR="00BF28C5" w:rsidRPr="00350A5C">
        <w:rPr>
          <w:lang w:val="en-GB"/>
        </w:rPr>
        <w:t>ca</w:t>
      </w:r>
      <w:r w:rsidRPr="00350A5C">
        <w:rPr>
          <w:lang w:val="en-GB"/>
        </w:rPr>
        <w:t xml:space="preserve">rbon </w:t>
      </w:r>
      <w:r w:rsidR="004B7215" w:rsidRPr="00350A5C">
        <w:rPr>
          <w:lang w:val="en-GB"/>
        </w:rPr>
        <w:t>(</w:t>
      </w:r>
      <w:r w:rsidR="00271166" w:rsidRPr="00350A5C">
        <w:rPr>
          <w:lang w:val="en-GB"/>
        </w:rPr>
        <w:t>C</w:t>
      </w:r>
      <w:r w:rsidR="00271166" w:rsidRPr="00350A5C">
        <w:rPr>
          <w:vertAlign w:val="subscript"/>
          <w:lang w:val="en-GB"/>
        </w:rPr>
        <w:t>t</w:t>
      </w:r>
      <w:r w:rsidR="004B7215" w:rsidRPr="00350A5C">
        <w:rPr>
          <w:lang w:val="en-GB"/>
        </w:rPr>
        <w:t>)</w:t>
      </w:r>
      <w:r w:rsidR="00271166" w:rsidRPr="00350A5C">
        <w:rPr>
          <w:lang w:val="en-GB"/>
        </w:rPr>
        <w:t xml:space="preserve"> and total nitrogen</w:t>
      </w:r>
      <w:r w:rsidR="004B7215" w:rsidRPr="00350A5C">
        <w:rPr>
          <w:lang w:val="en-GB"/>
        </w:rPr>
        <w:t xml:space="preserve"> (</w:t>
      </w:r>
      <w:proofErr w:type="spellStart"/>
      <w:r w:rsidR="00271166" w:rsidRPr="00350A5C">
        <w:rPr>
          <w:lang w:val="en-GB"/>
        </w:rPr>
        <w:t>N</w:t>
      </w:r>
      <w:r w:rsidR="00271166" w:rsidRPr="00350A5C">
        <w:rPr>
          <w:vertAlign w:val="subscript"/>
          <w:lang w:val="en-GB"/>
        </w:rPr>
        <w:t>t</w:t>
      </w:r>
      <w:proofErr w:type="spellEnd"/>
      <w:r w:rsidR="004B7215" w:rsidRPr="00350A5C">
        <w:rPr>
          <w:lang w:val="en-GB"/>
        </w:rPr>
        <w:t>) s</w:t>
      </w:r>
      <w:r w:rsidRPr="00350A5C">
        <w:rPr>
          <w:lang w:val="en-GB"/>
        </w:rPr>
        <w:t xml:space="preserve">peciation </w:t>
      </w:r>
      <w:r w:rsidR="00B6780E" w:rsidRPr="00350A5C">
        <w:rPr>
          <w:lang w:val="en-GB"/>
        </w:rPr>
        <w:t>wa</w:t>
      </w:r>
      <w:r w:rsidR="00097D67" w:rsidRPr="00350A5C">
        <w:rPr>
          <w:lang w:val="en-GB"/>
        </w:rPr>
        <w:t>s</w:t>
      </w:r>
      <w:r w:rsidRPr="00350A5C">
        <w:rPr>
          <w:lang w:val="en-GB"/>
        </w:rPr>
        <w:t xml:space="preserve"> expressed </w:t>
      </w:r>
      <w:r w:rsidR="004B7215" w:rsidRPr="00350A5C">
        <w:rPr>
          <w:lang w:val="en-GB"/>
        </w:rPr>
        <w:t>via</w:t>
      </w:r>
      <w:r w:rsidRPr="00350A5C">
        <w:rPr>
          <w:lang w:val="en-GB"/>
        </w:rPr>
        <w:t xml:space="preserve"> </w:t>
      </w:r>
      <w:proofErr w:type="spellStart"/>
      <w:proofErr w:type="gramStart"/>
      <w:r w:rsidR="005003A7" w:rsidRPr="00350A5C">
        <w:rPr>
          <w:lang w:val="en-GB"/>
        </w:rPr>
        <w:t>Eq</w:t>
      </w:r>
      <w:proofErr w:type="spellEnd"/>
      <w:r w:rsidRPr="00350A5C">
        <w:rPr>
          <w:lang w:val="en-GB"/>
        </w:rPr>
        <w:t>(</w:t>
      </w:r>
      <w:proofErr w:type="gramEnd"/>
      <w:r w:rsidRPr="00350A5C">
        <w:rPr>
          <w:lang w:val="en-GB"/>
        </w:rPr>
        <w:t xml:space="preserve">5) and </w:t>
      </w:r>
      <w:proofErr w:type="spellStart"/>
      <w:r w:rsidR="005003A7" w:rsidRPr="00350A5C">
        <w:rPr>
          <w:lang w:val="en-GB"/>
        </w:rPr>
        <w:t>Eq</w:t>
      </w:r>
      <w:proofErr w:type="spellEnd"/>
      <w:r w:rsidRPr="00350A5C">
        <w:rPr>
          <w:lang w:val="en-GB"/>
        </w:rPr>
        <w:t>(6)</w:t>
      </w:r>
      <w:r w:rsidR="00097D67" w:rsidRPr="00350A5C">
        <w:rPr>
          <w:lang w:val="en-GB"/>
        </w:rPr>
        <w:t>.</w:t>
      </w:r>
      <w:r w:rsidRPr="00350A5C">
        <w:rPr>
          <w:lang w:val="en-GB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5"/>
        <w:gridCol w:w="2252"/>
      </w:tblGrid>
      <w:tr w:rsidR="00EF4D98" w:rsidRPr="00350A5C" w14:paraId="5A3D1F72" w14:textId="77777777" w:rsidTr="00533D27">
        <w:tc>
          <w:tcPr>
            <w:tcW w:w="6699" w:type="dxa"/>
            <w:shd w:val="clear" w:color="auto" w:fill="auto"/>
            <w:vAlign w:val="center"/>
          </w:tcPr>
          <w:p w14:paraId="2FF88749" w14:textId="77777777" w:rsidR="00EF4D98" w:rsidRPr="00350A5C" w:rsidRDefault="00000000" w:rsidP="00533D27">
            <w:pPr>
              <w:pStyle w:val="CETBodytext"/>
              <w:spacing w:before="120" w:after="120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Ct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-</m:t>
                      </m:r>
                    </m:sup>
                  </m:sSubSup>
                </m:sub>
              </m:sSub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6ADA14" w14:textId="77777777" w:rsidR="00EF4D98" w:rsidRPr="00350A5C" w:rsidRDefault="00EF4D98" w:rsidP="00533D27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(5)</w:t>
            </w:r>
          </w:p>
        </w:tc>
      </w:tr>
      <w:tr w:rsidR="00EF4D98" w:rsidRPr="00350A5C" w14:paraId="1A253904" w14:textId="77777777" w:rsidTr="00533D27">
        <w:tc>
          <w:tcPr>
            <w:tcW w:w="6699" w:type="dxa"/>
            <w:shd w:val="clear" w:color="auto" w:fill="auto"/>
            <w:vAlign w:val="center"/>
          </w:tcPr>
          <w:p w14:paraId="75EC497A" w14:textId="77777777" w:rsidR="00EF4D98" w:rsidRPr="00350A5C" w:rsidRDefault="00000000" w:rsidP="00533D27">
            <w:pPr>
              <w:pStyle w:val="CETBodytext"/>
              <w:spacing w:before="120" w:after="120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Nt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4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-</m:t>
                      </m:r>
                    </m:sup>
                  </m:sSubSup>
                </m:sub>
              </m:sSub>
            </m:oMath>
            <w:r w:rsidR="00EF4D98" w:rsidRPr="00350A5C">
              <w:rPr>
                <w:lang w:val="en-GB"/>
              </w:rPr>
              <w:t xml:space="preserve"> ,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4CBD133" w14:textId="77777777" w:rsidR="00EF4D98" w:rsidRPr="00350A5C" w:rsidRDefault="00EF4D98" w:rsidP="00533D27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(6)</w:t>
            </w:r>
          </w:p>
        </w:tc>
      </w:tr>
    </w:tbl>
    <w:p w14:paraId="21091DBB" w14:textId="30BFB240" w:rsidR="00EF4D98" w:rsidRPr="00350A5C" w:rsidRDefault="00EF4D98" w:rsidP="00EF4D98">
      <w:pPr>
        <w:pStyle w:val="CETBodytext"/>
        <w:rPr>
          <w:lang w:val="en-GB"/>
        </w:rPr>
      </w:pPr>
      <w:r w:rsidRPr="00350A5C">
        <w:rPr>
          <w:lang w:val="en-GB"/>
        </w:rPr>
        <w:t xml:space="preserve">while the solution </w:t>
      </w:r>
      <w:r w:rsidR="00B6780E" w:rsidRPr="00350A5C">
        <w:rPr>
          <w:lang w:val="en-GB"/>
        </w:rPr>
        <w:t>electro</w:t>
      </w:r>
      <w:r w:rsidRPr="00350A5C">
        <w:rPr>
          <w:lang w:val="en-GB"/>
        </w:rPr>
        <w:t xml:space="preserve">neutrality </w:t>
      </w:r>
      <w:r w:rsidR="00B6780E" w:rsidRPr="00350A5C">
        <w:rPr>
          <w:lang w:val="en-GB"/>
        </w:rPr>
        <w:t>wa</w:t>
      </w:r>
      <w:r w:rsidRPr="00350A5C">
        <w:rPr>
          <w:lang w:val="en-GB"/>
        </w:rPr>
        <w:t xml:space="preserve">s </w:t>
      </w:r>
      <w:r w:rsidR="00B6780E" w:rsidRPr="00350A5C">
        <w:rPr>
          <w:lang w:val="en-GB"/>
        </w:rPr>
        <w:t>taken into account</w:t>
      </w:r>
      <w:r w:rsidRPr="00350A5C">
        <w:rPr>
          <w:lang w:val="en-GB"/>
        </w:rPr>
        <w:t xml:space="preserve"> with </w:t>
      </w:r>
      <w:proofErr w:type="spellStart"/>
      <w:proofErr w:type="gramStart"/>
      <w:r w:rsidR="00B6780E" w:rsidRPr="00350A5C">
        <w:rPr>
          <w:lang w:val="en-GB"/>
        </w:rPr>
        <w:t>Eq</w:t>
      </w:r>
      <w:proofErr w:type="spellEnd"/>
      <w:r w:rsidRPr="00350A5C">
        <w:rPr>
          <w:lang w:val="en-GB"/>
        </w:rPr>
        <w:t>(</w:t>
      </w:r>
      <w:proofErr w:type="gramEnd"/>
      <w:r w:rsidRPr="00350A5C">
        <w:rPr>
          <w:lang w:val="en-GB"/>
        </w:rPr>
        <w:t>7)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6"/>
        <w:gridCol w:w="2251"/>
      </w:tblGrid>
      <w:tr w:rsidR="00EF4D98" w:rsidRPr="00350A5C" w14:paraId="0B9E707A" w14:textId="77777777" w:rsidTr="00533D27">
        <w:tc>
          <w:tcPr>
            <w:tcW w:w="6699" w:type="dxa"/>
            <w:shd w:val="clear" w:color="auto" w:fill="auto"/>
            <w:vAlign w:val="center"/>
          </w:tcPr>
          <w:p w14:paraId="75C64926" w14:textId="77777777" w:rsidR="00EF4D98" w:rsidRPr="00350A5C" w:rsidRDefault="00000000" w:rsidP="00533D27">
            <w:pPr>
              <w:pStyle w:val="CETBodytext"/>
              <w:spacing w:before="120" w:after="120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GB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=0=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OH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2C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4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bSup>
                </m:sub>
              </m:sSub>
            </m:oMath>
            <w:r w:rsidR="00EF4D98" w:rsidRPr="00350A5C">
              <w:rPr>
                <w:lang w:val="en-GB"/>
              </w:rPr>
              <w:t xml:space="preserve">.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2F13C2D" w14:textId="77777777" w:rsidR="00EF4D98" w:rsidRPr="00350A5C" w:rsidRDefault="00EF4D98" w:rsidP="00533D27">
            <w:pPr>
              <w:pStyle w:val="CETBodytext"/>
              <w:spacing w:before="120"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(7)</w:t>
            </w:r>
          </w:p>
        </w:tc>
      </w:tr>
    </w:tbl>
    <w:p w14:paraId="584DC1E6" w14:textId="7FEFC991" w:rsidR="00EF4D98" w:rsidRPr="00350A5C" w:rsidRDefault="00EF4D98" w:rsidP="007949BF">
      <w:pPr>
        <w:pStyle w:val="CETBodytext"/>
        <w:spacing w:after="120"/>
        <w:rPr>
          <w:lang w:val="en-GB"/>
        </w:rPr>
      </w:pPr>
      <w:r w:rsidRPr="00350A5C">
        <w:rPr>
          <w:lang w:val="en-GB"/>
        </w:rPr>
        <w:t>Since CO</w:t>
      </w:r>
      <w:r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absorption and NH</w:t>
      </w:r>
      <w:r w:rsidRPr="00350A5C">
        <w:rPr>
          <w:vertAlign w:val="subscript"/>
          <w:lang w:val="en-GB"/>
        </w:rPr>
        <w:t>3</w:t>
      </w:r>
      <w:r w:rsidRPr="00350A5C">
        <w:rPr>
          <w:lang w:val="en-GB"/>
        </w:rPr>
        <w:t xml:space="preserve"> evaporation are the only </w:t>
      </w:r>
      <w:r w:rsidR="00442E22" w:rsidRPr="00350A5C">
        <w:rPr>
          <w:lang w:val="en-GB"/>
        </w:rPr>
        <w:t xml:space="preserve">interface </w:t>
      </w:r>
      <w:r w:rsidRPr="00350A5C">
        <w:rPr>
          <w:lang w:val="en-GB"/>
        </w:rPr>
        <w:t>tran</w:t>
      </w:r>
      <w:r w:rsidR="00442E22" w:rsidRPr="00350A5C">
        <w:rPr>
          <w:lang w:val="en-GB"/>
        </w:rPr>
        <w:t>sfer p</w:t>
      </w:r>
      <w:r w:rsidR="00097D67" w:rsidRPr="00350A5C">
        <w:rPr>
          <w:lang w:val="en-GB"/>
        </w:rPr>
        <w:t>rocesses</w:t>
      </w:r>
      <w:r w:rsidRPr="00350A5C">
        <w:rPr>
          <w:lang w:val="en-GB"/>
        </w:rPr>
        <w:t>, the m</w:t>
      </w:r>
      <w:r w:rsidR="004B7215" w:rsidRPr="00350A5C">
        <w:rPr>
          <w:lang w:val="en-GB"/>
        </w:rPr>
        <w:t>olar</w:t>
      </w:r>
      <w:r w:rsidRPr="00350A5C">
        <w:rPr>
          <w:lang w:val="en-GB"/>
        </w:rPr>
        <w:t xml:space="preserve"> balances of </w:t>
      </w:r>
      <w:r w:rsidR="00442E22" w:rsidRPr="00350A5C">
        <w:rPr>
          <w:lang w:val="en-GB"/>
        </w:rPr>
        <w:t>C</w:t>
      </w:r>
      <w:r w:rsidR="00442E22" w:rsidRPr="00350A5C">
        <w:rPr>
          <w:vertAlign w:val="subscript"/>
          <w:lang w:val="en-GB"/>
        </w:rPr>
        <w:t>t</w:t>
      </w:r>
      <w:r w:rsidR="00442E22" w:rsidRPr="00350A5C">
        <w:rPr>
          <w:lang w:val="en-GB"/>
        </w:rPr>
        <w:t xml:space="preserve"> and </w:t>
      </w:r>
      <w:proofErr w:type="spellStart"/>
      <w:r w:rsidR="00442E22" w:rsidRPr="00350A5C">
        <w:rPr>
          <w:lang w:val="en-GB"/>
        </w:rPr>
        <w:t>N</w:t>
      </w:r>
      <w:r w:rsidR="00442E22" w:rsidRPr="00350A5C">
        <w:rPr>
          <w:vertAlign w:val="subscript"/>
          <w:lang w:val="en-GB"/>
        </w:rPr>
        <w:t>t</w:t>
      </w:r>
      <w:proofErr w:type="spellEnd"/>
      <w:r w:rsidR="004B7215" w:rsidRPr="00350A5C">
        <w:rPr>
          <w:lang w:val="en-GB"/>
        </w:rPr>
        <w:t xml:space="preserve"> </w:t>
      </w:r>
      <w:r w:rsidRPr="00350A5C">
        <w:rPr>
          <w:lang w:val="en-GB"/>
        </w:rPr>
        <w:t>c</w:t>
      </w:r>
      <w:r w:rsidR="00B6780E" w:rsidRPr="00350A5C">
        <w:rPr>
          <w:lang w:val="en-GB"/>
        </w:rPr>
        <w:t>ould</w:t>
      </w:r>
      <w:r w:rsidRPr="00350A5C">
        <w:rPr>
          <w:lang w:val="en-GB"/>
        </w:rPr>
        <w:t xml:space="preserve"> be written </w:t>
      </w:r>
      <w:r w:rsidR="00097D67" w:rsidRPr="00350A5C">
        <w:rPr>
          <w:lang w:val="en-GB"/>
        </w:rPr>
        <w:t>with</w:t>
      </w:r>
      <w:r w:rsidRPr="00350A5C">
        <w:rPr>
          <w:lang w:val="en-GB"/>
        </w:rPr>
        <w:t xml:space="preserve"> </w:t>
      </w:r>
      <w:proofErr w:type="spellStart"/>
      <w:proofErr w:type="gram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>(</w:t>
      </w:r>
      <w:proofErr w:type="gramEnd"/>
      <w:r w:rsidRPr="00350A5C">
        <w:rPr>
          <w:lang w:val="en-GB"/>
        </w:rPr>
        <w:t xml:space="preserve">8) and </w:t>
      </w:r>
      <w:proofErr w:type="spell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 xml:space="preserve">(9), for bubble column and </w:t>
      </w:r>
      <w:r w:rsidR="00097D67" w:rsidRPr="00350A5C">
        <w:rPr>
          <w:lang w:val="en-GB"/>
        </w:rPr>
        <w:t>with</w:t>
      </w:r>
      <w:r w:rsidRPr="00350A5C">
        <w:rPr>
          <w:lang w:val="en-GB"/>
        </w:rPr>
        <w:t xml:space="preserve"> </w:t>
      </w:r>
      <w:proofErr w:type="spell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 xml:space="preserve">(10) and </w:t>
      </w:r>
      <w:proofErr w:type="spell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>(11), for packed bed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3"/>
        <w:gridCol w:w="2254"/>
      </w:tblGrid>
      <w:tr w:rsidR="00EF4D98" w:rsidRPr="00350A5C" w14:paraId="33FD6267" w14:textId="77777777" w:rsidTr="004B7215">
        <w:trPr>
          <w:trHeight w:val="317"/>
        </w:trPr>
        <w:tc>
          <w:tcPr>
            <w:tcW w:w="6699" w:type="dxa"/>
            <w:shd w:val="clear" w:color="auto" w:fill="auto"/>
            <w:vAlign w:val="center"/>
          </w:tcPr>
          <w:p w14:paraId="3A147CA1" w14:textId="5EBC60B4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t</m:t>
                              </m:r>
                            </m:sub>
                          </m:sSub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dt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/>
                    </w:rPr>
                    <m:t>J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bc</m:t>
                  </m:r>
                </m:sup>
              </m:sSubSup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EFE11CB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(8)</w:t>
            </w:r>
          </w:p>
        </w:tc>
      </w:tr>
      <w:tr w:rsidR="00EF4D98" w:rsidRPr="00350A5C" w14:paraId="0CE3FCBC" w14:textId="77777777" w:rsidTr="004B7215">
        <w:tc>
          <w:tcPr>
            <w:tcW w:w="6699" w:type="dxa"/>
            <w:shd w:val="clear" w:color="auto" w:fill="auto"/>
            <w:vAlign w:val="center"/>
          </w:tcPr>
          <w:p w14:paraId="1AB4D21A" w14:textId="793332BF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t</m:t>
                              </m:r>
                            </m:sub>
                          </m:sSub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dt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/>
                    </w:rPr>
                    <m:t>J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3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bc</m:t>
                  </m:r>
                </m:sup>
              </m:sSubSup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5ECEA44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(9)</w:t>
            </w:r>
          </w:p>
        </w:tc>
      </w:tr>
      <w:tr w:rsidR="00EF4D98" w:rsidRPr="00350A5C" w14:paraId="6318F788" w14:textId="77777777" w:rsidTr="004B7215">
        <w:tc>
          <w:tcPr>
            <w:tcW w:w="6699" w:type="dxa"/>
            <w:shd w:val="clear" w:color="auto" w:fill="auto"/>
            <w:vAlign w:val="center"/>
          </w:tcPr>
          <w:p w14:paraId="21637D75" w14:textId="77777777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t</m:t>
                              </m:r>
                            </m:sub>
                          </m:sSub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J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pb</m:t>
                  </m:r>
                </m:sup>
              </m:sSup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0D0BE16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(10)</w:t>
            </w:r>
          </w:p>
        </w:tc>
      </w:tr>
      <w:tr w:rsidR="00EF4D98" w:rsidRPr="00350A5C" w14:paraId="101D9D72" w14:textId="77777777" w:rsidTr="004B7215">
        <w:tc>
          <w:tcPr>
            <w:tcW w:w="6699" w:type="dxa"/>
            <w:shd w:val="clear" w:color="auto" w:fill="auto"/>
            <w:vAlign w:val="center"/>
          </w:tcPr>
          <w:p w14:paraId="4FDCF652" w14:textId="2FDC579F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t</m:t>
                              </m:r>
                            </m:sub>
                          </m:sSub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dz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GB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J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pb</m:t>
                  </m:r>
                </m:sup>
              </m:sSup>
            </m:oMath>
            <w:r w:rsidR="00EF4D98" w:rsidRPr="00350A5C">
              <w:rPr>
                <w:lang w:val="en-GB"/>
              </w:rPr>
              <w:t xml:space="preserve"> </w:t>
            </w:r>
            <w:r w:rsidR="005003A7" w:rsidRPr="00350A5C">
              <w:rPr>
                <w:lang w:val="en-GB"/>
              </w:rPr>
              <w:t>.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AE28BE4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(11)</w:t>
            </w:r>
          </w:p>
        </w:tc>
      </w:tr>
    </w:tbl>
    <w:p w14:paraId="5B2DDC61" w14:textId="6EF82B9A" w:rsidR="00EF4D98" w:rsidRPr="00350A5C" w:rsidRDefault="00EF4D98" w:rsidP="007949BF">
      <w:pPr>
        <w:pStyle w:val="CETBodytext"/>
        <w:spacing w:after="120"/>
        <w:rPr>
          <w:lang w:val="en-GB"/>
        </w:rPr>
      </w:pPr>
      <w:r w:rsidRPr="00350A5C">
        <w:rPr>
          <w:lang w:val="en-GB"/>
        </w:rPr>
        <w:t xml:space="preserve">Since the </w:t>
      </w:r>
      <w:r w:rsidR="005003A7" w:rsidRPr="00350A5C">
        <w:rPr>
          <w:lang w:val="en-GB"/>
        </w:rPr>
        <w:t>interface mass transfer is the rate limiting-step</w:t>
      </w:r>
      <w:r w:rsidRPr="00350A5C">
        <w:rPr>
          <w:lang w:val="en-GB"/>
        </w:rPr>
        <w:t xml:space="preserve">, the </w:t>
      </w:r>
      <w:r w:rsidR="005003A7" w:rsidRPr="00350A5C">
        <w:rPr>
          <w:lang w:val="en-GB"/>
        </w:rPr>
        <w:t>steady-state approximation</w:t>
      </w:r>
      <w:r w:rsidRPr="00350A5C">
        <w:rPr>
          <w:lang w:val="en-GB"/>
        </w:rPr>
        <w:t xml:space="preserve"> </w:t>
      </w:r>
      <w:r w:rsidR="004B7215" w:rsidRPr="00350A5C">
        <w:rPr>
          <w:lang w:val="en-GB"/>
        </w:rPr>
        <w:t>c</w:t>
      </w:r>
      <w:r w:rsidR="00B6780E" w:rsidRPr="00350A5C">
        <w:rPr>
          <w:lang w:val="en-GB"/>
        </w:rPr>
        <w:t>ould</w:t>
      </w:r>
      <w:r w:rsidR="004B7215" w:rsidRPr="00350A5C">
        <w:rPr>
          <w:lang w:val="en-GB"/>
        </w:rPr>
        <w:t xml:space="preserve"> be used to describe the reaction dynamics and</w:t>
      </w:r>
      <w:r w:rsidR="0015623E" w:rsidRPr="00350A5C">
        <w:rPr>
          <w:lang w:val="en-GB"/>
        </w:rPr>
        <w:t>, as a consequence,</w:t>
      </w:r>
      <w:r w:rsidR="004B7215" w:rsidRPr="00350A5C">
        <w:rPr>
          <w:lang w:val="en-GB"/>
        </w:rPr>
        <w:t xml:space="preserve"> </w:t>
      </w:r>
      <w:r w:rsidRPr="00350A5C">
        <w:rPr>
          <w:lang w:val="en-GB"/>
        </w:rPr>
        <w:t>the</w:t>
      </w:r>
      <w:r w:rsidR="0015623E" w:rsidRPr="00350A5C">
        <w:rPr>
          <w:lang w:val="en-GB"/>
        </w:rPr>
        <w:t xml:space="preserve"> species concentration into the liquid phase c</w:t>
      </w:r>
      <w:r w:rsidR="00B6780E" w:rsidRPr="00350A5C">
        <w:rPr>
          <w:lang w:val="en-GB"/>
        </w:rPr>
        <w:t>ould</w:t>
      </w:r>
      <w:r w:rsidR="0015623E" w:rsidRPr="00350A5C">
        <w:rPr>
          <w:lang w:val="en-GB"/>
        </w:rPr>
        <w:t xml:space="preserve"> be related by means of the t</w:t>
      </w:r>
      <w:r w:rsidRPr="00350A5C">
        <w:rPr>
          <w:lang w:val="en-GB"/>
        </w:rPr>
        <w:t>hermodynamical equilibrium relation</w:t>
      </w:r>
      <w:r w:rsidR="004B7215" w:rsidRPr="00350A5C">
        <w:rPr>
          <w:lang w:val="en-GB"/>
        </w:rPr>
        <w:t>s</w:t>
      </w:r>
      <w:r w:rsidR="0015623E" w:rsidRPr="00350A5C">
        <w:rPr>
          <w:lang w:val="en-GB"/>
        </w:rPr>
        <w:t>,</w:t>
      </w:r>
      <w:r w:rsidRPr="00350A5C">
        <w:rPr>
          <w:lang w:val="en-GB"/>
        </w:rPr>
        <w:t xml:space="preserve"> as show</w:t>
      </w:r>
      <w:r w:rsidR="00B6780E" w:rsidRPr="00350A5C">
        <w:rPr>
          <w:lang w:val="en-GB"/>
        </w:rPr>
        <w:t>n</w:t>
      </w:r>
      <w:r w:rsidRPr="00350A5C">
        <w:rPr>
          <w:lang w:val="en-GB"/>
        </w:rPr>
        <w:t xml:space="preserve"> in </w:t>
      </w:r>
      <w:proofErr w:type="spellStart"/>
      <w:proofErr w:type="gram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>(</w:t>
      </w:r>
      <w:proofErr w:type="gramEnd"/>
      <w:r w:rsidRPr="00350A5C">
        <w:rPr>
          <w:lang w:val="en-GB"/>
        </w:rPr>
        <w:t>12-14)</w:t>
      </w:r>
      <w:r w:rsidR="00837ADC">
        <w:rPr>
          <w:lang w:val="en-GB"/>
        </w:rPr>
        <w:t xml:space="preserve"> </w:t>
      </w:r>
      <w:r w:rsidR="00316D7B" w:rsidRPr="00350A5C">
        <w:rPr>
          <w:lang w:val="en-GB"/>
        </w:rPr>
        <w:t>(</w:t>
      </w:r>
      <w:r w:rsidR="00316D7B">
        <w:rPr>
          <w:lang w:val="en-GB"/>
        </w:rPr>
        <w:t>Atzori</w:t>
      </w:r>
      <w:r w:rsidR="00316D7B" w:rsidRPr="00350A5C">
        <w:rPr>
          <w:lang w:val="en-GB"/>
        </w:rPr>
        <w:t xml:space="preserve"> et al., 20</w:t>
      </w:r>
      <w:r w:rsidR="00316D7B">
        <w:rPr>
          <w:lang w:val="en-GB"/>
        </w:rPr>
        <w:t>24).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8"/>
        <w:gridCol w:w="2249"/>
      </w:tblGrid>
      <w:tr w:rsidR="00EF4D98" w:rsidRPr="00350A5C" w14:paraId="66B45170" w14:textId="77777777" w:rsidTr="0015623E">
        <w:trPr>
          <w:trHeight w:val="374"/>
        </w:trPr>
        <w:tc>
          <w:tcPr>
            <w:tcW w:w="6538" w:type="dxa"/>
            <w:shd w:val="clear" w:color="auto" w:fill="auto"/>
            <w:vAlign w:val="center"/>
          </w:tcPr>
          <w:p w14:paraId="096C5766" w14:textId="77777777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+</m:t>
                              </m:r>
                            </m:sup>
                          </m:sSup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H2O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am</m:t>
                      </m:r>
                    </m:sub>
                  </m:sSub>
                </m:den>
              </m:f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C619596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(12)</w:t>
            </w:r>
          </w:p>
        </w:tc>
      </w:tr>
      <w:tr w:rsidR="00EF4D98" w:rsidRPr="00350A5C" w14:paraId="58A2DD22" w14:textId="77777777" w:rsidTr="005003A7">
        <w:tc>
          <w:tcPr>
            <w:tcW w:w="6538" w:type="dxa"/>
            <w:shd w:val="clear" w:color="auto" w:fill="auto"/>
            <w:vAlign w:val="center"/>
          </w:tcPr>
          <w:p w14:paraId="2EA52D80" w14:textId="77777777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H2O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H2O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am</m:t>
                      </m:r>
                    </m:sub>
                  </m:sSub>
                </m:den>
              </m:f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1CF4BFD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(13)</w:t>
            </w:r>
          </w:p>
        </w:tc>
      </w:tr>
      <w:tr w:rsidR="00EF4D98" w:rsidRPr="00350A5C" w14:paraId="381D03A3" w14:textId="77777777" w:rsidTr="0015623E">
        <w:trPr>
          <w:trHeight w:val="374"/>
        </w:trPr>
        <w:tc>
          <w:tcPr>
            <w:tcW w:w="6538" w:type="dxa"/>
            <w:shd w:val="clear" w:color="auto" w:fill="auto"/>
            <w:vAlign w:val="center"/>
          </w:tcPr>
          <w:p w14:paraId="7B0A5257" w14:textId="77777777" w:rsidR="00EF4D98" w:rsidRPr="00350A5C" w:rsidRDefault="00000000" w:rsidP="007949BF">
            <w:pPr>
              <w:pStyle w:val="CETBodytext"/>
              <w:spacing w:after="120"/>
              <w:rPr>
                <w:rFonts w:ascii="Times New Roman" w:eastAsia="SimSun" w:hAnsi="Times New Roman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GB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=0=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p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+</m:t>
                              </m:r>
                            </m:sup>
                          </m:sSup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H2O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am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 xml:space="preserve"> 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am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H2O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w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 </m:t>
              </m:r>
            </m:oMath>
            <w:r w:rsidR="00EF4D98" w:rsidRPr="00350A5C">
              <w:rPr>
                <w:rFonts w:ascii="Times New Roman" w:eastAsia="SimSun" w:hAnsi="Times New Roman"/>
                <w:lang w:val="en-GB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605D083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(14)</w:t>
            </w:r>
          </w:p>
        </w:tc>
      </w:tr>
    </w:tbl>
    <w:p w14:paraId="4C215A15" w14:textId="6E3101BD" w:rsidR="00EF4D98" w:rsidRPr="00350A5C" w:rsidRDefault="005003A7" w:rsidP="007949BF">
      <w:pPr>
        <w:pStyle w:val="CETBodytext"/>
        <w:spacing w:after="120"/>
        <w:rPr>
          <w:rFonts w:cs="Arial"/>
          <w:lang w:val="en-GB"/>
        </w:rPr>
      </w:pPr>
      <w:r w:rsidRPr="00350A5C">
        <w:rPr>
          <w:lang w:val="en-GB"/>
        </w:rPr>
        <w:t xml:space="preserve">Let </w:t>
      </w:r>
      <w:r w:rsidRPr="00350A5C">
        <w:rPr>
          <w:rFonts w:cs="Arial"/>
          <w:lang w:val="en-GB"/>
        </w:rPr>
        <w:t>φ</w:t>
      </w:r>
      <w:r w:rsidRPr="00350A5C">
        <w:rPr>
          <w:lang w:val="en-GB"/>
        </w:rPr>
        <w:t xml:space="preserve"> be the independent variable, either t or z, depending on the specific model </w:t>
      </w:r>
      <w:r w:rsidR="00B6780E" w:rsidRPr="00350A5C">
        <w:rPr>
          <w:lang w:val="en-GB"/>
        </w:rPr>
        <w:t>being</w:t>
      </w:r>
      <w:r w:rsidRPr="00350A5C">
        <w:rPr>
          <w:lang w:val="en-GB"/>
        </w:rPr>
        <w:t xml:space="preserve"> develop</w:t>
      </w:r>
      <w:r w:rsidR="00B6780E" w:rsidRPr="00350A5C">
        <w:rPr>
          <w:lang w:val="en-GB"/>
        </w:rPr>
        <w:t>ed;</w:t>
      </w:r>
      <w:r w:rsidRPr="00350A5C">
        <w:rPr>
          <w:lang w:val="en-GB"/>
        </w:rPr>
        <w:t xml:space="preserve"> t</w:t>
      </w:r>
      <w:r w:rsidR="00EF4D98" w:rsidRPr="00350A5C">
        <w:rPr>
          <w:lang w:val="en-GB"/>
        </w:rPr>
        <w:t xml:space="preserve">he previous equations </w:t>
      </w:r>
      <w:r w:rsidR="00B6780E" w:rsidRPr="00350A5C">
        <w:rPr>
          <w:lang w:val="en-GB"/>
        </w:rPr>
        <w:t>were</w:t>
      </w:r>
      <w:r w:rsidR="00EF4D98" w:rsidRPr="00350A5C">
        <w:rPr>
          <w:lang w:val="en-GB"/>
        </w:rPr>
        <w:t xml:space="preserve"> derived with respect to </w:t>
      </w:r>
      <w:r w:rsidRPr="00350A5C">
        <w:rPr>
          <w:rFonts w:cs="Arial"/>
          <w:lang w:val="en-GB"/>
        </w:rPr>
        <w:t>φ</w:t>
      </w:r>
      <w:r w:rsidR="00EF4D98" w:rsidRPr="00350A5C">
        <w:rPr>
          <w:rFonts w:cs="Arial"/>
          <w:lang w:val="en-GB"/>
        </w:rPr>
        <w:t xml:space="preserve"> and</w:t>
      </w:r>
      <w:r w:rsidRPr="00350A5C">
        <w:rPr>
          <w:rFonts w:cs="Arial"/>
          <w:lang w:val="en-GB"/>
        </w:rPr>
        <w:t>,</w:t>
      </w:r>
      <w:r w:rsidR="00EF4D98" w:rsidRPr="00350A5C">
        <w:rPr>
          <w:rFonts w:cs="Arial"/>
          <w:lang w:val="en-GB"/>
        </w:rPr>
        <w:t xml:space="preserve"> using the chain rule, Eq. (15-17) </w:t>
      </w:r>
      <w:r w:rsidR="00B6780E" w:rsidRPr="00350A5C">
        <w:rPr>
          <w:rFonts w:cs="Arial"/>
          <w:lang w:val="en-GB"/>
        </w:rPr>
        <w:t>were</w:t>
      </w:r>
      <w:r w:rsidR="00EF4D98" w:rsidRPr="00350A5C">
        <w:rPr>
          <w:rFonts w:cs="Arial"/>
          <w:lang w:val="en-GB"/>
        </w:rPr>
        <w:t xml:space="preserve"> </w:t>
      </w:r>
      <w:proofErr w:type="gramStart"/>
      <w:r w:rsidR="00EF4D98" w:rsidRPr="00350A5C">
        <w:rPr>
          <w:rFonts w:cs="Arial"/>
          <w:lang w:val="en-GB"/>
        </w:rPr>
        <w:t>obtained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6536"/>
        <w:gridCol w:w="2251"/>
      </w:tblGrid>
      <w:tr w:rsidR="00EF4D98" w:rsidRPr="00350A5C" w14:paraId="630C6720" w14:textId="77777777" w:rsidTr="00533D27">
        <w:tc>
          <w:tcPr>
            <w:tcW w:w="6699" w:type="dxa"/>
            <w:shd w:val="clear" w:color="auto" w:fill="auto"/>
            <w:vAlign w:val="center"/>
          </w:tcPr>
          <w:p w14:paraId="3689B79D" w14:textId="77777777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C55CFA9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(15)</w:t>
            </w:r>
          </w:p>
        </w:tc>
      </w:tr>
      <w:tr w:rsidR="00EF4D98" w:rsidRPr="00350A5C" w14:paraId="417ACF80" w14:textId="77777777" w:rsidTr="00533D27">
        <w:tc>
          <w:tcPr>
            <w:tcW w:w="6699" w:type="dxa"/>
            <w:shd w:val="clear" w:color="auto" w:fill="auto"/>
            <w:vAlign w:val="center"/>
          </w:tcPr>
          <w:p w14:paraId="6DDD2391" w14:textId="77777777" w:rsidR="00EF4D98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t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</m:oMath>
            <w:r w:rsidR="00EF4D98" w:rsidRPr="00350A5C">
              <w:rPr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7AA75EC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(16)</w:t>
            </w:r>
          </w:p>
        </w:tc>
      </w:tr>
      <w:tr w:rsidR="00EF4D98" w:rsidRPr="00350A5C" w14:paraId="74268C84" w14:textId="77777777" w:rsidTr="00533D27">
        <w:tc>
          <w:tcPr>
            <w:tcW w:w="6699" w:type="dxa"/>
            <w:shd w:val="clear" w:color="auto" w:fill="auto"/>
            <w:vAlign w:val="center"/>
          </w:tcPr>
          <w:p w14:paraId="1F774981" w14:textId="77777777" w:rsidR="00EF4D98" w:rsidRPr="00350A5C" w:rsidRDefault="00000000" w:rsidP="007949BF">
            <w:pPr>
              <w:pStyle w:val="CETBodytext"/>
              <w:spacing w:after="120"/>
              <w:rPr>
                <w:rFonts w:ascii="Times New Roman" w:eastAsia="SimSun" w:hAnsi="Times New Roman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L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=0=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L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L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L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</m:oMath>
            <w:r w:rsidR="00EF4D98" w:rsidRPr="00350A5C">
              <w:rPr>
                <w:rFonts w:ascii="Times New Roman" w:eastAsia="SimSun" w:hAnsi="Times New Roman"/>
                <w:lang w:val="en-GB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E4B91D6" w14:textId="77777777" w:rsidR="00EF4D98" w:rsidRPr="00350A5C" w:rsidRDefault="00EF4D98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(17)</w:t>
            </w:r>
          </w:p>
        </w:tc>
      </w:tr>
    </w:tbl>
    <w:p w14:paraId="274C2F8E" w14:textId="3866731D" w:rsidR="00F83209" w:rsidRPr="00350A5C" w:rsidRDefault="005003A7" w:rsidP="007949BF">
      <w:pPr>
        <w:pStyle w:val="CETBodytext"/>
        <w:spacing w:after="120"/>
        <w:rPr>
          <w:lang w:val="en-GB"/>
        </w:rPr>
      </w:pPr>
      <w:proofErr w:type="spellStart"/>
      <w:proofErr w:type="gramStart"/>
      <w:r w:rsidRPr="00350A5C">
        <w:rPr>
          <w:lang w:val="en-GB"/>
        </w:rPr>
        <w:t>Eq</w:t>
      </w:r>
      <w:proofErr w:type="spellEnd"/>
      <w:r w:rsidRPr="00350A5C">
        <w:rPr>
          <w:lang w:val="en-GB"/>
        </w:rPr>
        <w:t>(</w:t>
      </w:r>
      <w:proofErr w:type="gramEnd"/>
      <w:r w:rsidRPr="00350A5C">
        <w:rPr>
          <w:lang w:val="en-GB"/>
        </w:rPr>
        <w:t>15-17)</w:t>
      </w:r>
      <w:r w:rsidR="00EF4D98" w:rsidRPr="00350A5C">
        <w:rPr>
          <w:lang w:val="en-GB"/>
        </w:rPr>
        <w:t xml:space="preserve"> </w:t>
      </w:r>
      <w:r w:rsidR="00B6780E" w:rsidRPr="00350A5C">
        <w:rPr>
          <w:lang w:val="en-GB"/>
        </w:rPr>
        <w:t>were</w:t>
      </w:r>
      <w:r w:rsidR="00EF4D98" w:rsidRPr="00350A5C">
        <w:rPr>
          <w:lang w:val="en-GB"/>
        </w:rPr>
        <w:t xml:space="preserve"> seen as an algebraic equation system whose unknown are </w:t>
      </w:r>
      <w:r w:rsidR="00EF4D98" w:rsidRPr="00350A5C">
        <w:rPr>
          <w:rFonts w:cs="Arial"/>
          <w:lang w:val="en-GB"/>
        </w:rPr>
        <w:t>d</w:t>
      </w:r>
      <w:r w:rsidR="00EF4D98" w:rsidRPr="00350A5C">
        <w:rPr>
          <w:lang w:val="en-GB"/>
        </w:rPr>
        <w:t>(C</w:t>
      </w:r>
      <w:r w:rsidR="00EF4D98" w:rsidRPr="00350A5C">
        <w:rPr>
          <w:vertAlign w:val="subscript"/>
          <w:lang w:val="en-GB"/>
        </w:rPr>
        <w:t>CO</w:t>
      </w:r>
      <w:r w:rsidR="00EF4D98" w:rsidRPr="00350A5C">
        <w:rPr>
          <w:position w:val="-6"/>
          <w:vertAlign w:val="subscript"/>
          <w:lang w:val="en-GB"/>
        </w:rPr>
        <w:t>2</w:t>
      </w:r>
      <w:r w:rsidR="00EF4D98" w:rsidRPr="00350A5C">
        <w:rPr>
          <w:lang w:val="en-GB"/>
        </w:rPr>
        <w:t>)/</w:t>
      </w:r>
      <w:r w:rsidR="00EF4D98" w:rsidRPr="00350A5C">
        <w:rPr>
          <w:rFonts w:cs="Arial"/>
          <w:lang w:val="en-GB"/>
        </w:rPr>
        <w:t>d(φ)</w:t>
      </w:r>
      <w:r w:rsidR="00EF4D98" w:rsidRPr="00350A5C">
        <w:rPr>
          <w:lang w:val="en-GB"/>
        </w:rPr>
        <w:t xml:space="preserve">, </w:t>
      </w:r>
      <w:r w:rsidR="00EF4D98" w:rsidRPr="00350A5C">
        <w:rPr>
          <w:rFonts w:cs="Arial"/>
          <w:lang w:val="en-GB"/>
        </w:rPr>
        <w:t>d</w:t>
      </w:r>
      <w:r w:rsidR="00EF4D98" w:rsidRPr="00350A5C">
        <w:rPr>
          <w:lang w:val="en-GB"/>
        </w:rPr>
        <w:t>(C</w:t>
      </w:r>
      <w:r w:rsidR="00EF4D98" w:rsidRPr="00350A5C">
        <w:rPr>
          <w:vertAlign w:val="subscript"/>
          <w:lang w:val="en-GB"/>
        </w:rPr>
        <w:t>NH</w:t>
      </w:r>
      <w:r w:rsidR="00EF4D98" w:rsidRPr="00350A5C">
        <w:rPr>
          <w:position w:val="-6"/>
          <w:vertAlign w:val="subscript"/>
          <w:lang w:val="en-GB"/>
        </w:rPr>
        <w:t>3</w:t>
      </w:r>
      <w:r w:rsidR="00EF4D98" w:rsidRPr="00350A5C">
        <w:rPr>
          <w:lang w:val="en-GB"/>
        </w:rPr>
        <w:t>)/</w:t>
      </w:r>
      <w:r w:rsidR="00EF4D98" w:rsidRPr="00350A5C">
        <w:rPr>
          <w:rFonts w:cs="Arial"/>
          <w:lang w:val="en-GB"/>
        </w:rPr>
        <w:t>d(φ)</w:t>
      </w:r>
      <w:r w:rsidR="00EF4D98" w:rsidRPr="00350A5C">
        <w:rPr>
          <w:lang w:val="en-GB"/>
        </w:rPr>
        <w:t xml:space="preserve">, and </w:t>
      </w:r>
      <w:r w:rsidR="00EF4D98" w:rsidRPr="00350A5C">
        <w:rPr>
          <w:rFonts w:cs="Arial"/>
          <w:lang w:val="en-GB"/>
        </w:rPr>
        <w:t>d</w:t>
      </w:r>
      <w:r w:rsidR="00EF4D98" w:rsidRPr="00350A5C">
        <w:rPr>
          <w:lang w:val="en-GB"/>
        </w:rPr>
        <w:t>(C</w:t>
      </w:r>
      <w:r w:rsidR="00EF4D98" w:rsidRPr="00350A5C">
        <w:rPr>
          <w:vertAlign w:val="subscript"/>
          <w:lang w:val="en-GB"/>
        </w:rPr>
        <w:t>H</w:t>
      </w:r>
      <w:r w:rsidR="00EF4D98" w:rsidRPr="00350A5C">
        <w:rPr>
          <w:position w:val="6"/>
          <w:vertAlign w:val="subscript"/>
          <w:lang w:val="en-GB"/>
        </w:rPr>
        <w:t>+</w:t>
      </w:r>
      <w:r w:rsidR="00EF4D98" w:rsidRPr="00350A5C">
        <w:rPr>
          <w:rFonts w:cs="Arial"/>
          <w:lang w:val="en-GB"/>
        </w:rPr>
        <w:t>)/d(φ)</w:t>
      </w:r>
      <w:r w:rsidR="00EF4D98" w:rsidRPr="00350A5C">
        <w:rPr>
          <w:lang w:val="en-GB"/>
        </w:rPr>
        <w:t>. Note that the partial derivatives of C</w:t>
      </w:r>
      <w:r w:rsidR="00EF4D98" w:rsidRPr="00350A5C">
        <w:rPr>
          <w:vertAlign w:val="subscript"/>
          <w:lang w:val="en-GB"/>
        </w:rPr>
        <w:t>t</w:t>
      </w:r>
      <w:r w:rsidR="00EF4D98" w:rsidRPr="00350A5C">
        <w:rPr>
          <w:lang w:val="en-GB"/>
        </w:rPr>
        <w:t xml:space="preserve">, </w:t>
      </w:r>
      <w:proofErr w:type="spellStart"/>
      <w:r w:rsidR="00EF4D98" w:rsidRPr="00350A5C">
        <w:rPr>
          <w:lang w:val="en-GB"/>
        </w:rPr>
        <w:t>N</w:t>
      </w:r>
      <w:r w:rsidR="00EF4D98" w:rsidRPr="00350A5C">
        <w:rPr>
          <w:vertAlign w:val="subscript"/>
          <w:lang w:val="en-GB"/>
        </w:rPr>
        <w:t>t</w:t>
      </w:r>
      <w:proofErr w:type="spellEnd"/>
      <w:r w:rsidR="00EF4D98" w:rsidRPr="00350A5C">
        <w:rPr>
          <w:lang w:val="en-GB"/>
        </w:rPr>
        <w:t xml:space="preserve"> and E</w:t>
      </w:r>
      <w:r w:rsidR="00EF4D98" w:rsidRPr="00350A5C">
        <w:rPr>
          <w:vertAlign w:val="subscript"/>
          <w:lang w:val="en-GB"/>
        </w:rPr>
        <w:t>L</w:t>
      </w:r>
      <w:r w:rsidR="00EF4D98" w:rsidRPr="00350A5C">
        <w:rPr>
          <w:lang w:val="en-GB"/>
        </w:rPr>
        <w:t xml:space="preserve"> are functions of C</w:t>
      </w:r>
      <w:r w:rsidR="00EF4D98" w:rsidRPr="00350A5C">
        <w:rPr>
          <w:vertAlign w:val="subscript"/>
          <w:lang w:val="en-GB"/>
        </w:rPr>
        <w:t>CO</w:t>
      </w:r>
      <w:r w:rsidR="00EF4D98" w:rsidRPr="00350A5C">
        <w:rPr>
          <w:position w:val="-6"/>
          <w:vertAlign w:val="subscript"/>
          <w:lang w:val="en-GB"/>
        </w:rPr>
        <w:t>2</w:t>
      </w:r>
      <w:r w:rsidR="00EF4D98" w:rsidRPr="00350A5C">
        <w:rPr>
          <w:lang w:val="en-GB"/>
        </w:rPr>
        <w:t>, C</w:t>
      </w:r>
      <w:r w:rsidR="00EF4D98" w:rsidRPr="00350A5C">
        <w:rPr>
          <w:vertAlign w:val="subscript"/>
          <w:lang w:val="en-GB"/>
        </w:rPr>
        <w:t>NH</w:t>
      </w:r>
      <w:r w:rsidR="00EF4D98" w:rsidRPr="00350A5C">
        <w:rPr>
          <w:position w:val="-6"/>
          <w:vertAlign w:val="subscript"/>
          <w:lang w:val="en-GB"/>
        </w:rPr>
        <w:t>3</w:t>
      </w:r>
      <w:r w:rsidR="00EF4D98" w:rsidRPr="00350A5C">
        <w:rPr>
          <w:lang w:val="en-GB"/>
        </w:rPr>
        <w:t xml:space="preserve"> and C</w:t>
      </w:r>
      <w:r w:rsidR="00EF4D98" w:rsidRPr="00350A5C">
        <w:rPr>
          <w:vertAlign w:val="subscript"/>
          <w:lang w:val="en-GB"/>
        </w:rPr>
        <w:t>H</w:t>
      </w:r>
      <w:r w:rsidR="00EF4D98" w:rsidRPr="00350A5C">
        <w:rPr>
          <w:position w:val="6"/>
          <w:vertAlign w:val="subscript"/>
          <w:lang w:val="en-GB"/>
        </w:rPr>
        <w:t>+</w:t>
      </w:r>
      <w:r w:rsidR="00EF4D98" w:rsidRPr="00350A5C">
        <w:rPr>
          <w:lang w:val="en-GB"/>
        </w:rPr>
        <w:t xml:space="preserve"> and that the total derivatives of C</w:t>
      </w:r>
      <w:r w:rsidR="00EF4D98" w:rsidRPr="00350A5C">
        <w:rPr>
          <w:vertAlign w:val="subscript"/>
          <w:lang w:val="en-GB"/>
        </w:rPr>
        <w:t>C</w:t>
      </w:r>
      <w:r w:rsidR="00EF4D98" w:rsidRPr="00350A5C">
        <w:rPr>
          <w:position w:val="-6"/>
          <w:vertAlign w:val="subscript"/>
          <w:lang w:val="en-GB"/>
        </w:rPr>
        <w:t>t</w:t>
      </w:r>
      <w:r w:rsidR="00EF4D98" w:rsidRPr="00350A5C">
        <w:rPr>
          <w:lang w:val="en-GB"/>
        </w:rPr>
        <w:t xml:space="preserve"> can be expressed</w:t>
      </w:r>
      <w:r w:rsidR="00250303" w:rsidRPr="00350A5C">
        <w:rPr>
          <w:lang w:val="en-GB"/>
        </w:rPr>
        <w:t xml:space="preserve"> with respect to</w:t>
      </w:r>
      <w:r w:rsidR="00EF4D98" w:rsidRPr="00350A5C">
        <w:rPr>
          <w:lang w:val="en-GB"/>
        </w:rPr>
        <w:t xml:space="preserve"> C</w:t>
      </w:r>
      <w:r w:rsidR="00EF4D98" w:rsidRPr="00350A5C">
        <w:rPr>
          <w:vertAlign w:val="subscript"/>
          <w:lang w:val="en-GB"/>
        </w:rPr>
        <w:t>CO</w:t>
      </w:r>
      <w:r w:rsidR="00EF4D98" w:rsidRPr="00350A5C">
        <w:rPr>
          <w:position w:val="-6"/>
          <w:vertAlign w:val="subscript"/>
          <w:lang w:val="en-GB"/>
        </w:rPr>
        <w:t>2</w:t>
      </w:r>
      <w:r w:rsidR="00EF4D98" w:rsidRPr="00350A5C">
        <w:rPr>
          <w:lang w:val="en-GB"/>
        </w:rPr>
        <w:t xml:space="preserve"> and </w:t>
      </w:r>
      <w:proofErr w:type="spellStart"/>
      <w:r w:rsidR="00EF4D98" w:rsidRPr="00350A5C">
        <w:rPr>
          <w:lang w:val="en-GB"/>
        </w:rPr>
        <w:t>p</w:t>
      </w:r>
      <w:r w:rsidR="00EF4D98" w:rsidRPr="00350A5C">
        <w:rPr>
          <w:vertAlign w:val="subscript"/>
          <w:lang w:val="en-GB"/>
        </w:rPr>
        <w:t>CO</w:t>
      </w:r>
      <w:proofErr w:type="spellEnd"/>
      <w:r w:rsidR="00EF4D98" w:rsidRPr="00350A5C">
        <w:rPr>
          <w:position w:val="-6"/>
          <w:vertAlign w:val="subscript"/>
          <w:lang w:val="en-GB"/>
        </w:rPr>
        <w:t>2</w:t>
      </w:r>
      <w:r w:rsidR="00250303" w:rsidRPr="00350A5C">
        <w:rPr>
          <w:lang w:val="en-GB"/>
        </w:rPr>
        <w:t>, b</w:t>
      </w:r>
      <w:r w:rsidR="00EF4D98" w:rsidRPr="00350A5C">
        <w:rPr>
          <w:lang w:val="en-GB"/>
        </w:rPr>
        <w:t xml:space="preserve">y </w:t>
      </w:r>
      <w:proofErr w:type="spellStart"/>
      <w:proofErr w:type="gramStart"/>
      <w:r w:rsidR="00271166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>(</w:t>
      </w:r>
      <w:proofErr w:type="gramEnd"/>
      <w:r w:rsidR="00EF4D98" w:rsidRPr="00350A5C">
        <w:rPr>
          <w:lang w:val="en-GB"/>
        </w:rPr>
        <w:t xml:space="preserve">8) or </w:t>
      </w:r>
      <w:proofErr w:type="spellStart"/>
      <w:r w:rsidR="00271166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>(10), as well as the partial derivatives of C</w:t>
      </w:r>
      <w:r w:rsidR="00EF4D98" w:rsidRPr="00350A5C">
        <w:rPr>
          <w:vertAlign w:val="subscript"/>
          <w:lang w:val="en-GB"/>
        </w:rPr>
        <w:t>N</w:t>
      </w:r>
      <w:r w:rsidR="00EF4D98" w:rsidRPr="00350A5C">
        <w:rPr>
          <w:position w:val="-6"/>
          <w:vertAlign w:val="subscript"/>
          <w:lang w:val="en-GB"/>
        </w:rPr>
        <w:t>t</w:t>
      </w:r>
      <w:r w:rsidR="00EF4D98" w:rsidRPr="00350A5C">
        <w:rPr>
          <w:lang w:val="en-GB"/>
        </w:rPr>
        <w:t xml:space="preserve"> can be written as a function of C</w:t>
      </w:r>
      <w:r w:rsidR="00EF4D98" w:rsidRPr="00350A5C">
        <w:rPr>
          <w:vertAlign w:val="subscript"/>
          <w:lang w:val="en-GB"/>
        </w:rPr>
        <w:t>NH</w:t>
      </w:r>
      <w:r w:rsidR="00EF4D98" w:rsidRPr="00350A5C">
        <w:rPr>
          <w:position w:val="-6"/>
          <w:vertAlign w:val="subscript"/>
          <w:lang w:val="en-GB"/>
        </w:rPr>
        <w:t>3</w:t>
      </w:r>
      <w:r w:rsidR="00EF4D98" w:rsidRPr="00350A5C">
        <w:rPr>
          <w:lang w:val="en-GB"/>
        </w:rPr>
        <w:t xml:space="preserve"> and </w:t>
      </w:r>
      <w:proofErr w:type="spellStart"/>
      <w:r w:rsidR="00EF4D98" w:rsidRPr="00350A5C">
        <w:rPr>
          <w:lang w:val="en-GB"/>
        </w:rPr>
        <w:t>p</w:t>
      </w:r>
      <w:r w:rsidR="00EF4D98" w:rsidRPr="00350A5C">
        <w:rPr>
          <w:vertAlign w:val="subscript"/>
          <w:lang w:val="en-GB"/>
        </w:rPr>
        <w:t>NH</w:t>
      </w:r>
      <w:proofErr w:type="spellEnd"/>
      <w:r w:rsidR="00EF4D98" w:rsidRPr="00350A5C">
        <w:rPr>
          <w:position w:val="-6"/>
          <w:vertAlign w:val="subscript"/>
          <w:lang w:val="en-GB"/>
        </w:rPr>
        <w:t>3</w:t>
      </w:r>
      <w:r w:rsidR="00250303" w:rsidRPr="00350A5C">
        <w:rPr>
          <w:lang w:val="en-GB"/>
        </w:rPr>
        <w:t>, b</w:t>
      </w:r>
      <w:r w:rsidR="00EF4D98" w:rsidRPr="00350A5C">
        <w:rPr>
          <w:lang w:val="en-GB"/>
        </w:rPr>
        <w:t xml:space="preserve">y </w:t>
      </w:r>
      <w:proofErr w:type="spellStart"/>
      <w:r w:rsidR="00271166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 xml:space="preserve">(9) or </w:t>
      </w:r>
      <w:proofErr w:type="spellStart"/>
      <w:r w:rsidR="00271166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 xml:space="preserve">(11). By solving </w:t>
      </w:r>
      <w:proofErr w:type="spellStart"/>
      <w:proofErr w:type="gramStart"/>
      <w:r w:rsidR="00271166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>(</w:t>
      </w:r>
      <w:proofErr w:type="gramEnd"/>
      <w:r w:rsidR="00EF4D98" w:rsidRPr="00350A5C">
        <w:rPr>
          <w:lang w:val="en-GB"/>
        </w:rPr>
        <w:t xml:space="preserve">15-17), the right-hand side of </w:t>
      </w:r>
      <w:proofErr w:type="spellStart"/>
      <w:r w:rsidR="00EF4D98" w:rsidRPr="00350A5C">
        <w:rPr>
          <w:lang w:val="en-GB"/>
        </w:rPr>
        <w:t>Eq</w:t>
      </w:r>
      <w:proofErr w:type="spellEnd"/>
      <w:r w:rsidR="00EF4D98" w:rsidRPr="00350A5C">
        <w:rPr>
          <w:lang w:val="en-GB"/>
        </w:rPr>
        <w:t xml:space="preserve">(18-20) </w:t>
      </w:r>
      <w:r w:rsidR="00B6780E" w:rsidRPr="00350A5C">
        <w:rPr>
          <w:lang w:val="en-GB"/>
        </w:rPr>
        <w:t>were</w:t>
      </w:r>
      <w:r w:rsidR="00EF4D98" w:rsidRPr="00350A5C">
        <w:rPr>
          <w:lang w:val="en-GB"/>
        </w:rPr>
        <w:t xml:space="preserve"> </w:t>
      </w:r>
      <w:r w:rsidR="00250303" w:rsidRPr="00350A5C">
        <w:rPr>
          <w:lang w:val="en-GB"/>
        </w:rPr>
        <w:t>found,</w:t>
      </w:r>
      <w:r w:rsidR="00EF4D98" w:rsidRPr="00350A5C">
        <w:rPr>
          <w:lang w:val="en-GB"/>
        </w:rPr>
        <w:t xml:space="preserve"> as a function of </w:t>
      </w:r>
      <w:r w:rsidR="00250303" w:rsidRPr="00350A5C">
        <w:rPr>
          <w:lang w:val="en-GB"/>
        </w:rPr>
        <w:t>C</w:t>
      </w:r>
      <w:r w:rsidR="00250303" w:rsidRPr="00350A5C">
        <w:rPr>
          <w:vertAlign w:val="subscript"/>
          <w:lang w:val="en-GB"/>
        </w:rPr>
        <w:t>i</w:t>
      </w:r>
      <w:r w:rsidR="00271166" w:rsidRPr="00350A5C">
        <w:rPr>
          <w:lang w:val="en-GB"/>
        </w:rPr>
        <w:t xml:space="preserve"> and </w:t>
      </w:r>
      <w:r w:rsidR="00250303" w:rsidRPr="00350A5C">
        <w:rPr>
          <w:lang w:val="en-GB"/>
        </w:rPr>
        <w:t>p</w:t>
      </w:r>
      <w:r w:rsidR="00250303" w:rsidRPr="00350A5C">
        <w:rPr>
          <w:vertAlign w:val="subscript"/>
          <w:lang w:val="en-GB"/>
        </w:rPr>
        <w:t>i</w:t>
      </w:r>
      <w:r w:rsidR="00271166" w:rsidRPr="00350A5C">
        <w:rPr>
          <w:lang w:val="en-GB"/>
        </w:rPr>
        <w:t xml:space="preserve">. For the sake of simplicity, </w:t>
      </w:r>
      <w:r w:rsidR="00250303" w:rsidRPr="00350A5C">
        <w:rPr>
          <w:lang w:val="en-GB"/>
        </w:rPr>
        <w:t>it</w:t>
      </w:r>
      <w:r w:rsidR="00271166" w:rsidRPr="00350A5C">
        <w:rPr>
          <w:lang w:val="en-GB"/>
        </w:rPr>
        <w:t xml:space="preserve"> is reported</w:t>
      </w:r>
      <w:r w:rsidR="00EF4D98" w:rsidRPr="00350A5C">
        <w:rPr>
          <w:lang w:val="en-GB"/>
        </w:rPr>
        <w:t xml:space="preserve"> in the form of generic functions </w:t>
      </w:r>
      <w:r w:rsidR="00271166" w:rsidRPr="00350A5C">
        <w:rPr>
          <w:lang w:val="en-GB"/>
        </w:rPr>
        <w:t>f</w:t>
      </w:r>
      <w:r w:rsidR="00EF4D98" w:rsidRPr="00350A5C">
        <w:rPr>
          <w:lang w:val="en-GB"/>
        </w:rPr>
        <w:t xml:space="preserve">. </w:t>
      </w:r>
      <w:r w:rsidR="00271166" w:rsidRPr="00350A5C">
        <w:rPr>
          <w:lang w:val="en-GB"/>
        </w:rPr>
        <w:t xml:space="preserve">Finally, to mathematically close </w:t>
      </w:r>
      <w:r w:rsidR="000F763E" w:rsidRPr="00350A5C">
        <w:rPr>
          <w:lang w:val="en-GB"/>
        </w:rPr>
        <w:t xml:space="preserve">the </w:t>
      </w:r>
      <w:r w:rsidR="00271166" w:rsidRPr="00350A5C">
        <w:rPr>
          <w:lang w:val="en-GB"/>
        </w:rPr>
        <w:t xml:space="preserve">model, </w:t>
      </w:r>
      <w:proofErr w:type="spellStart"/>
      <w:proofErr w:type="gramStart"/>
      <w:r w:rsidR="00271166" w:rsidRPr="00350A5C">
        <w:rPr>
          <w:lang w:val="en-GB"/>
        </w:rPr>
        <w:t>Eq</w:t>
      </w:r>
      <w:proofErr w:type="spellEnd"/>
      <w:r w:rsidR="00F83209" w:rsidRPr="00350A5C">
        <w:rPr>
          <w:lang w:val="en-GB"/>
        </w:rPr>
        <w:t>(</w:t>
      </w:r>
      <w:proofErr w:type="gramEnd"/>
      <w:r w:rsidR="00F83209" w:rsidRPr="00350A5C">
        <w:rPr>
          <w:lang w:val="en-GB"/>
        </w:rPr>
        <w:t>18-20) need</w:t>
      </w:r>
      <w:r w:rsidR="00B6780E" w:rsidRPr="00350A5C">
        <w:rPr>
          <w:lang w:val="en-GB"/>
        </w:rPr>
        <w:t>ed</w:t>
      </w:r>
      <w:r w:rsidR="00F83209" w:rsidRPr="00350A5C">
        <w:rPr>
          <w:lang w:val="en-GB"/>
        </w:rPr>
        <w:t xml:space="preserve"> </w:t>
      </w:r>
      <w:r w:rsidR="00271166" w:rsidRPr="00350A5C">
        <w:rPr>
          <w:lang w:val="en-GB"/>
        </w:rPr>
        <w:t>to consider</w:t>
      </w:r>
      <w:r w:rsidR="00F83209" w:rsidRPr="00350A5C">
        <w:rPr>
          <w:lang w:val="en-GB"/>
        </w:rPr>
        <w:t xml:space="preserve"> </w:t>
      </w:r>
      <w:r w:rsidR="00271166" w:rsidRPr="00350A5C">
        <w:rPr>
          <w:lang w:val="en-GB"/>
        </w:rPr>
        <w:t>the gas phase</w:t>
      </w:r>
      <w:r w:rsidR="00F83209" w:rsidRPr="00350A5C">
        <w:rPr>
          <w:lang w:val="en-GB"/>
        </w:rPr>
        <w:t xml:space="preserve"> m</w:t>
      </w:r>
      <w:r w:rsidR="000F763E" w:rsidRPr="00350A5C">
        <w:rPr>
          <w:lang w:val="en-GB"/>
        </w:rPr>
        <w:t>olar</w:t>
      </w:r>
      <w:r w:rsidR="00F83209" w:rsidRPr="00350A5C">
        <w:rPr>
          <w:lang w:val="en-GB"/>
        </w:rPr>
        <w:t xml:space="preserve"> balances</w:t>
      </w:r>
      <w:r w:rsidR="00250303" w:rsidRPr="00350A5C">
        <w:rPr>
          <w:lang w:val="en-GB"/>
        </w:rPr>
        <w:t>,</w:t>
      </w:r>
      <w:r w:rsidR="00F83209" w:rsidRPr="00350A5C">
        <w:rPr>
          <w:lang w:val="en-GB"/>
        </w:rPr>
        <w:t xml:space="preserve"> </w:t>
      </w:r>
      <w:r w:rsidR="00271166" w:rsidRPr="00350A5C">
        <w:rPr>
          <w:lang w:val="en-GB"/>
        </w:rPr>
        <w:t>given by</w:t>
      </w:r>
      <w:r w:rsidR="00F83209" w:rsidRPr="00350A5C">
        <w:rPr>
          <w:lang w:val="en-GB"/>
        </w:rPr>
        <w:t xml:space="preserve"> </w:t>
      </w:r>
      <w:proofErr w:type="spellStart"/>
      <w:r w:rsidR="00F83209" w:rsidRPr="00350A5C">
        <w:rPr>
          <w:lang w:val="en-GB"/>
        </w:rPr>
        <w:t>Eq</w:t>
      </w:r>
      <w:proofErr w:type="spellEnd"/>
      <w:r w:rsidR="00F83209" w:rsidRPr="00350A5C">
        <w:rPr>
          <w:lang w:val="en-GB"/>
        </w:rPr>
        <w:t xml:space="preserve">(3) for bubble column and </w:t>
      </w:r>
      <w:proofErr w:type="spellStart"/>
      <w:r w:rsidR="00F83209" w:rsidRPr="00350A5C">
        <w:rPr>
          <w:lang w:val="en-GB"/>
        </w:rPr>
        <w:t>Eq</w:t>
      </w:r>
      <w:proofErr w:type="spellEnd"/>
      <w:r w:rsidR="00F83209" w:rsidRPr="00350A5C">
        <w:rPr>
          <w:lang w:val="en-GB"/>
        </w:rPr>
        <w:t>(4) for packed bed model.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4819"/>
        <w:gridCol w:w="849"/>
      </w:tblGrid>
      <w:tr w:rsidR="00F83209" w:rsidRPr="00350A5C" w14:paraId="609A27E9" w14:textId="77777777" w:rsidTr="000F763E">
        <w:tc>
          <w:tcPr>
            <w:tcW w:w="3119" w:type="dxa"/>
            <w:shd w:val="clear" w:color="auto" w:fill="auto"/>
            <w:vAlign w:val="center"/>
          </w:tcPr>
          <w:p w14:paraId="1BC4B8DA" w14:textId="77777777" w:rsidR="00F83209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CO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)</m:t>
              </m:r>
            </m:oMath>
            <w:r w:rsidR="00F83209" w:rsidRPr="00350A5C">
              <w:rPr>
                <w:lang w:val="en-GB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4F44462" w14:textId="698C1E02" w:rsidR="00F83209" w:rsidRPr="00350A5C" w:rsidRDefault="001611FB" w:rsidP="007949BF">
            <w:pPr>
              <w:pStyle w:val="CETBodytext"/>
              <w:spacing w:after="120"/>
              <w:jc w:val="center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 xml:space="preserve">φ≡t,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2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t=0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sup>
                    </m:sSup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lang w:val="en-GB"/>
                  </w:rPr>
                  <m:t xml:space="preserve">;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φ≡z, 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2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z=Z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in</m:t>
                        </m:r>
                      </m:sup>
                    </m:sSup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  <w:shd w:val="clear" w:color="auto" w:fill="auto"/>
            <w:vAlign w:val="center"/>
          </w:tcPr>
          <w:p w14:paraId="09F03E7E" w14:textId="77777777" w:rsidR="00F83209" w:rsidRPr="00350A5C" w:rsidRDefault="00F83209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(18)</w:t>
            </w:r>
          </w:p>
        </w:tc>
      </w:tr>
      <w:tr w:rsidR="00F83209" w:rsidRPr="00350A5C" w14:paraId="67497B4E" w14:textId="77777777" w:rsidTr="000F763E">
        <w:tc>
          <w:tcPr>
            <w:tcW w:w="3119" w:type="dxa"/>
            <w:shd w:val="clear" w:color="auto" w:fill="auto"/>
            <w:vAlign w:val="center"/>
          </w:tcPr>
          <w:p w14:paraId="14FA0212" w14:textId="77777777" w:rsidR="00F83209" w:rsidRPr="00350A5C" w:rsidRDefault="00000000" w:rsidP="007949BF">
            <w:pPr>
              <w:pStyle w:val="CETBodytext"/>
              <w:spacing w:after="120"/>
              <w:rPr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dC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3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)</m:t>
              </m:r>
            </m:oMath>
            <w:r w:rsidR="00F83209" w:rsidRPr="00350A5C">
              <w:rPr>
                <w:lang w:val="en-GB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562E19A5" w14:textId="71ED9917" w:rsidR="00F83209" w:rsidRPr="00350A5C" w:rsidRDefault="00000000" w:rsidP="007949BF">
            <w:pPr>
              <w:pStyle w:val="CETBodytext"/>
              <w:spacing w:after="120"/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φ≡t, 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NH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3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t=0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sup>
                    </m:sSup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NH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3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lang w:val="en-GB"/>
                  </w:rPr>
                  <m:t xml:space="preserve">;       φ≡z,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NH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3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z=Z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in</m:t>
                        </m:r>
                      </m:sup>
                    </m:sSup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NH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  <w:shd w:val="clear" w:color="auto" w:fill="auto"/>
            <w:vAlign w:val="center"/>
          </w:tcPr>
          <w:p w14:paraId="419AB61E" w14:textId="77777777" w:rsidR="00F83209" w:rsidRPr="00350A5C" w:rsidRDefault="00F83209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(19)</w:t>
            </w:r>
          </w:p>
        </w:tc>
      </w:tr>
      <w:tr w:rsidR="00F83209" w:rsidRPr="00350A5C" w14:paraId="04879B83" w14:textId="77777777" w:rsidTr="000F763E">
        <w:tc>
          <w:tcPr>
            <w:tcW w:w="3119" w:type="dxa"/>
            <w:shd w:val="clear" w:color="auto" w:fill="auto"/>
            <w:vAlign w:val="center"/>
          </w:tcPr>
          <w:p w14:paraId="090C5A72" w14:textId="77777777" w:rsidR="00F83209" w:rsidRPr="00350A5C" w:rsidRDefault="00000000" w:rsidP="007949BF">
            <w:pPr>
              <w:pStyle w:val="CETBodytext"/>
              <w:spacing w:after="120"/>
              <w:rPr>
                <w:rFonts w:ascii="Times New Roman" w:eastAsia="SimSun" w:hAnsi="Times New Roman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</m:sup>
                      </m:sSup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dφ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)</m:t>
              </m:r>
            </m:oMath>
            <w:r w:rsidR="00F83209" w:rsidRPr="00350A5C">
              <w:rPr>
                <w:lang w:val="en-GB"/>
              </w:rPr>
              <w:t xml:space="preserve"> </w:t>
            </w:r>
            <w:r w:rsidR="00F83209" w:rsidRPr="00350A5C">
              <w:rPr>
                <w:rFonts w:ascii="Times New Roman" w:eastAsia="SimSun" w:hAnsi="Times New Roman"/>
                <w:lang w:val="en-GB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9F68B99" w14:textId="1BE42C0C" w:rsidR="00F83209" w:rsidRPr="00350A5C" w:rsidRDefault="000F763E" w:rsidP="007949BF">
            <w:pPr>
              <w:pStyle w:val="CETBodytext"/>
              <w:spacing w:after="120"/>
              <w:jc w:val="center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 xml:space="preserve">φ≡t,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 xml:space="preserve"> 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+</m:t>
                        </m:r>
                      </m:sup>
                    </m:sSup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t=0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sup>
                    </m:sSup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+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lang w:val="en-GB"/>
                  </w:rPr>
                  <m:t xml:space="preserve">;      φ≡z,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+</m:t>
                        </m:r>
                      </m:sup>
                    </m:sSup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z=Z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in</m:t>
                        </m:r>
                      </m:sup>
                    </m:sSup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+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849" w:type="dxa"/>
            <w:shd w:val="clear" w:color="auto" w:fill="auto"/>
            <w:vAlign w:val="center"/>
          </w:tcPr>
          <w:p w14:paraId="425651A9" w14:textId="77777777" w:rsidR="00F83209" w:rsidRPr="00350A5C" w:rsidRDefault="00F83209" w:rsidP="007949BF">
            <w:pPr>
              <w:pStyle w:val="CETBodytext"/>
              <w:spacing w:after="120"/>
              <w:jc w:val="right"/>
              <w:rPr>
                <w:lang w:val="en-GB"/>
              </w:rPr>
            </w:pPr>
            <w:r w:rsidRPr="00350A5C">
              <w:rPr>
                <w:lang w:val="en-GB"/>
              </w:rPr>
              <w:t>(20)</w:t>
            </w:r>
          </w:p>
        </w:tc>
      </w:tr>
    </w:tbl>
    <w:p w14:paraId="5162A1F8" w14:textId="5E6088A1" w:rsidR="00952964" w:rsidRPr="00350A5C" w:rsidRDefault="00952964" w:rsidP="00EF4D98">
      <w:pPr>
        <w:pStyle w:val="CETBodytext"/>
        <w:rPr>
          <w:lang w:val="en-GB"/>
        </w:rPr>
      </w:pPr>
      <w:r w:rsidRPr="00350A5C">
        <w:rPr>
          <w:lang w:val="en-GB"/>
        </w:rPr>
        <w:t>Once the C</w:t>
      </w:r>
      <w:r w:rsidRPr="00350A5C">
        <w:rPr>
          <w:vertAlign w:val="subscript"/>
          <w:lang w:val="en-GB"/>
        </w:rPr>
        <w:t>CO</w:t>
      </w:r>
      <w:r w:rsidRPr="00350A5C">
        <w:rPr>
          <w:position w:val="-6"/>
          <w:vertAlign w:val="subscript"/>
          <w:lang w:val="en-GB"/>
        </w:rPr>
        <w:t>2</w:t>
      </w:r>
      <w:r w:rsidRPr="00350A5C">
        <w:rPr>
          <w:lang w:val="en-GB"/>
        </w:rPr>
        <w:t>, C</w:t>
      </w:r>
      <w:r w:rsidRPr="00350A5C">
        <w:rPr>
          <w:vertAlign w:val="subscript"/>
          <w:lang w:val="en-GB"/>
        </w:rPr>
        <w:t>NH</w:t>
      </w:r>
      <w:r w:rsidRPr="00350A5C">
        <w:rPr>
          <w:position w:val="-6"/>
          <w:vertAlign w:val="subscript"/>
          <w:lang w:val="en-GB"/>
        </w:rPr>
        <w:t>3</w:t>
      </w:r>
      <w:r w:rsidRPr="00350A5C">
        <w:rPr>
          <w:lang w:val="en-GB"/>
        </w:rPr>
        <w:t xml:space="preserve"> and C</w:t>
      </w:r>
      <w:r w:rsidRPr="00350A5C">
        <w:rPr>
          <w:vertAlign w:val="subscript"/>
          <w:lang w:val="en-GB"/>
        </w:rPr>
        <w:t>H</w:t>
      </w:r>
      <w:r w:rsidRPr="00350A5C">
        <w:rPr>
          <w:position w:val="6"/>
          <w:vertAlign w:val="subscript"/>
          <w:lang w:val="en-GB"/>
        </w:rPr>
        <w:t>+</w:t>
      </w:r>
      <w:r w:rsidRPr="00350A5C">
        <w:rPr>
          <w:lang w:val="en-GB"/>
        </w:rPr>
        <w:t xml:space="preserve"> </w:t>
      </w:r>
      <w:r w:rsidR="00271166" w:rsidRPr="00350A5C">
        <w:rPr>
          <w:lang w:val="en-GB"/>
        </w:rPr>
        <w:t>profiles</w:t>
      </w:r>
      <w:r w:rsidR="00B6780E" w:rsidRPr="00350A5C">
        <w:rPr>
          <w:lang w:val="en-GB"/>
        </w:rPr>
        <w:t xml:space="preserve"> were</w:t>
      </w:r>
      <w:r w:rsidRPr="00350A5C">
        <w:rPr>
          <w:lang w:val="en-GB"/>
        </w:rPr>
        <w:t xml:space="preserve"> </w:t>
      </w:r>
      <w:r w:rsidR="00271166" w:rsidRPr="00350A5C">
        <w:rPr>
          <w:lang w:val="en-GB"/>
        </w:rPr>
        <w:t>computed</w:t>
      </w:r>
      <w:r w:rsidRPr="00350A5C">
        <w:rPr>
          <w:lang w:val="en-GB"/>
        </w:rPr>
        <w:t xml:space="preserve"> via eq. (18-20</w:t>
      </w:r>
      <w:r w:rsidR="00271166" w:rsidRPr="00350A5C">
        <w:rPr>
          <w:lang w:val="en-GB"/>
        </w:rPr>
        <w:t>)</w:t>
      </w:r>
      <w:r w:rsidRPr="00350A5C">
        <w:rPr>
          <w:lang w:val="en-GB"/>
        </w:rPr>
        <w:t xml:space="preserve"> the equilibrium relations of (R.1-R.6) can be used to compute the concentration profile of any other species.</w:t>
      </w:r>
    </w:p>
    <w:p w14:paraId="5BB677AA" w14:textId="187A7988" w:rsidR="00572120" w:rsidRPr="00350A5C" w:rsidRDefault="00572120" w:rsidP="00952964">
      <w:pPr>
        <w:pStyle w:val="CETHeading1"/>
        <w:numPr>
          <w:ilvl w:val="1"/>
          <w:numId w:val="24"/>
        </w:numPr>
        <w:rPr>
          <w:lang w:val="en-GB"/>
        </w:rPr>
      </w:pPr>
      <w:r w:rsidRPr="00350A5C">
        <w:rPr>
          <w:lang w:val="en-GB"/>
        </w:rPr>
        <w:t>Results</w:t>
      </w:r>
    </w:p>
    <w:p w14:paraId="36F821A7" w14:textId="3754DE4D" w:rsidR="00FB42C8" w:rsidRPr="00350A5C" w:rsidRDefault="0003798D" w:rsidP="00572120">
      <w:pPr>
        <w:pStyle w:val="CETBodytext"/>
        <w:rPr>
          <w:lang w:val="en-GB"/>
        </w:rPr>
      </w:pPr>
      <w:r w:rsidRPr="00350A5C">
        <w:rPr>
          <w:lang w:val="en-GB"/>
        </w:rPr>
        <w:t xml:space="preserve">The </w:t>
      </w:r>
      <w:r w:rsidR="006F308B" w:rsidRPr="00350A5C">
        <w:rPr>
          <w:lang w:val="en-GB"/>
        </w:rPr>
        <w:t xml:space="preserve">bubble column </w:t>
      </w:r>
      <w:r w:rsidRPr="00350A5C">
        <w:rPr>
          <w:lang w:val="en-GB"/>
        </w:rPr>
        <w:t xml:space="preserve">model </w:t>
      </w:r>
      <w:r w:rsidR="006F308B" w:rsidRPr="00350A5C">
        <w:rPr>
          <w:lang w:val="en-GB"/>
        </w:rPr>
        <w:t>accuracy</w:t>
      </w:r>
      <w:r w:rsidRPr="00350A5C">
        <w:rPr>
          <w:lang w:val="en-GB"/>
        </w:rPr>
        <w:t xml:space="preserve"> </w:t>
      </w:r>
      <w:r w:rsidR="00FD5AC9" w:rsidRPr="00350A5C">
        <w:rPr>
          <w:lang w:val="en-GB"/>
        </w:rPr>
        <w:t>wa</w:t>
      </w:r>
      <w:r w:rsidRPr="00350A5C">
        <w:rPr>
          <w:lang w:val="en-GB"/>
        </w:rPr>
        <w:t>s evaluated by comparing the experimental measurements o</w:t>
      </w:r>
      <w:r w:rsidR="006F308B" w:rsidRPr="00350A5C">
        <w:rPr>
          <w:lang w:val="en-GB"/>
        </w:rPr>
        <w:t>f</w:t>
      </w:r>
      <w:r w:rsidRPr="00350A5C">
        <w:rPr>
          <w:lang w:val="en-GB"/>
        </w:rPr>
        <w:t xml:space="preserve"> </w:t>
      </w:r>
      <w:r w:rsidR="006F308B" w:rsidRPr="00350A5C">
        <w:rPr>
          <w:lang w:val="en-GB"/>
        </w:rPr>
        <w:t>capture efficiency (</w:t>
      </w:r>
      <w:r w:rsidR="00847166" w:rsidRPr="00350A5C">
        <w:rPr>
          <w:lang w:val="en-GB"/>
        </w:rPr>
        <w:t>η</w:t>
      </w:r>
      <w:r w:rsidR="006F308B" w:rsidRPr="00350A5C">
        <w:rPr>
          <w:lang w:val="en-GB"/>
        </w:rPr>
        <w:t>),</w:t>
      </w:r>
      <w:r w:rsidRPr="00350A5C">
        <w:rPr>
          <w:lang w:val="en-GB"/>
        </w:rPr>
        <w:t xml:space="preserve"> ion speciation</w:t>
      </w:r>
      <w:r w:rsidR="006F308B" w:rsidRPr="00350A5C">
        <w:rPr>
          <w:lang w:val="en-GB"/>
        </w:rPr>
        <w:t xml:space="preserve"> and sorbent solution</w:t>
      </w:r>
      <w:r w:rsidRPr="00350A5C">
        <w:rPr>
          <w:lang w:val="en-GB"/>
        </w:rPr>
        <w:t xml:space="preserve"> pH </w:t>
      </w:r>
      <w:r w:rsidR="006F308B" w:rsidRPr="00350A5C">
        <w:rPr>
          <w:lang w:val="en-GB"/>
        </w:rPr>
        <w:t xml:space="preserve">to the corresponding model results. Figure </w:t>
      </w:r>
      <w:r w:rsidR="00FD720C" w:rsidRPr="00350A5C">
        <w:rPr>
          <w:lang w:val="en-GB"/>
        </w:rPr>
        <w:t>2</w:t>
      </w:r>
      <w:r w:rsidR="006F308B" w:rsidRPr="00350A5C">
        <w:rPr>
          <w:lang w:val="en-GB"/>
        </w:rPr>
        <w:t xml:space="preserve"> shows the capture efficiency experimental data of Exp.1</w:t>
      </w:r>
      <w:r w:rsidR="00847166" w:rsidRPr="00350A5C">
        <w:rPr>
          <w:lang w:val="en-GB"/>
        </w:rPr>
        <w:t>-3</w:t>
      </w:r>
      <w:r w:rsidR="006F308B" w:rsidRPr="00350A5C">
        <w:rPr>
          <w:lang w:val="en-GB"/>
        </w:rPr>
        <w:t xml:space="preserve"> and the corresponding model predictions</w:t>
      </w:r>
      <w:r w:rsidR="00847166" w:rsidRPr="00350A5C">
        <w:rPr>
          <w:lang w:val="en-GB"/>
        </w:rPr>
        <w:t xml:space="preserve"> that turn</w:t>
      </w:r>
      <w:r w:rsidR="00FD5AC9" w:rsidRPr="00350A5C">
        <w:rPr>
          <w:lang w:val="en-GB"/>
        </w:rPr>
        <w:t>ed</w:t>
      </w:r>
      <w:r w:rsidR="00847166" w:rsidRPr="00350A5C">
        <w:rPr>
          <w:lang w:val="en-GB"/>
        </w:rPr>
        <w:t xml:space="preserve"> out to be able to grasp the </w:t>
      </w:r>
      <w:r w:rsidR="00FD720C" w:rsidRPr="00350A5C">
        <w:rPr>
          <w:lang w:val="en-GB"/>
        </w:rPr>
        <w:t>efficiency</w:t>
      </w:r>
      <w:r w:rsidR="00847166" w:rsidRPr="00350A5C">
        <w:rPr>
          <w:lang w:val="en-GB"/>
        </w:rPr>
        <w:t xml:space="preserve"> dynamics, both in the first phase, when the high driving force</w:t>
      </w:r>
      <w:r w:rsidR="00D95EDA" w:rsidRPr="00350A5C">
        <w:rPr>
          <w:lang w:val="en-GB"/>
        </w:rPr>
        <w:t xml:space="preserve"> led to </w:t>
      </w:r>
      <w:r w:rsidR="006F308B" w:rsidRPr="00350A5C">
        <w:rPr>
          <w:lang w:val="en-GB"/>
        </w:rPr>
        <w:t xml:space="preserve">efficiency </w:t>
      </w:r>
      <w:r w:rsidR="00D95EDA" w:rsidRPr="00350A5C">
        <w:rPr>
          <w:lang w:val="en-GB"/>
        </w:rPr>
        <w:t>values</w:t>
      </w:r>
      <w:r w:rsidR="006F308B" w:rsidRPr="00350A5C">
        <w:rPr>
          <w:lang w:val="en-GB"/>
        </w:rPr>
        <w:t xml:space="preserve"> close to unity</w:t>
      </w:r>
      <w:r w:rsidR="00D95EDA" w:rsidRPr="00350A5C">
        <w:rPr>
          <w:lang w:val="en-GB"/>
        </w:rPr>
        <w:t>, and in the efficiency decrease phase, due to ammonia consumption and CO</w:t>
      </w:r>
      <w:r w:rsidR="00D95EDA" w:rsidRPr="00350A5C">
        <w:rPr>
          <w:vertAlign w:val="subscript"/>
          <w:lang w:val="en-GB"/>
        </w:rPr>
        <w:t>2</w:t>
      </w:r>
      <w:r w:rsidR="00D95EDA" w:rsidRPr="00350A5C">
        <w:rPr>
          <w:lang w:val="en-GB"/>
        </w:rPr>
        <w:t xml:space="preserve"> accumulation in the sorbent solution.</w:t>
      </w:r>
      <w:r w:rsidR="00C21843" w:rsidRPr="00350A5C">
        <w:rPr>
          <w:lang w:val="en-GB"/>
        </w:rPr>
        <w:t xml:space="preserve"> </w:t>
      </w:r>
      <w:r w:rsidR="00990682" w:rsidRPr="00350A5C">
        <w:rPr>
          <w:lang w:val="en-GB"/>
        </w:rPr>
        <w:t>The offset that characterizes</w:t>
      </w:r>
      <w:r w:rsidR="00C21843" w:rsidRPr="00350A5C">
        <w:rPr>
          <w:lang w:val="en-GB"/>
        </w:rPr>
        <w:t xml:space="preserve"> the </w:t>
      </w:r>
      <w:r w:rsidR="00990682" w:rsidRPr="00350A5C">
        <w:rPr>
          <w:lang w:val="en-GB"/>
        </w:rPr>
        <w:t>curves in Figure 2a-b</w:t>
      </w:r>
      <w:r w:rsidR="00C21843" w:rsidRPr="00350A5C">
        <w:rPr>
          <w:lang w:val="en-GB"/>
        </w:rPr>
        <w:t xml:space="preserve"> </w:t>
      </w:r>
      <w:r w:rsidR="00B07C8F">
        <w:rPr>
          <w:lang w:val="en-GB"/>
        </w:rPr>
        <w:t>i</w:t>
      </w:r>
      <w:r w:rsidR="00C21843" w:rsidRPr="00350A5C">
        <w:rPr>
          <w:lang w:val="en-GB"/>
        </w:rPr>
        <w:t>s probably due to an additional reactive phenomenon not accounted for, which bec</w:t>
      </w:r>
      <w:r w:rsidR="00B07C8F">
        <w:rPr>
          <w:lang w:val="en-GB"/>
        </w:rPr>
        <w:t>o</w:t>
      </w:r>
      <w:r w:rsidR="00C21843" w:rsidRPr="00350A5C">
        <w:rPr>
          <w:lang w:val="en-GB"/>
        </w:rPr>
        <w:t>me</w:t>
      </w:r>
      <w:r w:rsidR="004A6A4A">
        <w:rPr>
          <w:lang w:val="en-GB"/>
        </w:rPr>
        <w:t>s</w:t>
      </w:r>
      <w:r w:rsidR="00C21843" w:rsidRPr="00350A5C">
        <w:rPr>
          <w:lang w:val="en-GB"/>
        </w:rPr>
        <w:t xml:space="preserve"> relevant when C</w:t>
      </w:r>
      <w:r w:rsidR="00C21843" w:rsidRPr="00350A5C">
        <w:rPr>
          <w:vertAlign w:val="subscript"/>
          <w:lang w:val="en-GB"/>
        </w:rPr>
        <w:t>NH3</w:t>
      </w:r>
      <w:r w:rsidR="00C21843" w:rsidRPr="00350A5C">
        <w:rPr>
          <w:lang w:val="en-GB"/>
        </w:rPr>
        <w:t xml:space="preserve"> is extremely low: </w:t>
      </w:r>
      <w:r w:rsidR="00FD720C" w:rsidRPr="00350A5C">
        <w:rPr>
          <w:lang w:val="en-GB"/>
        </w:rPr>
        <w:t>H</w:t>
      </w:r>
      <w:r w:rsidR="00FD720C" w:rsidRPr="00350A5C">
        <w:rPr>
          <w:vertAlign w:val="subscript"/>
          <w:lang w:val="en-GB"/>
        </w:rPr>
        <w:t>2</w:t>
      </w:r>
      <w:r w:rsidR="00FD720C" w:rsidRPr="00350A5C">
        <w:rPr>
          <w:lang w:val="en-GB"/>
        </w:rPr>
        <w:t>O</w:t>
      </w:r>
      <w:r w:rsidR="005D613F" w:rsidRPr="00350A5C">
        <w:rPr>
          <w:lang w:val="en-GB"/>
        </w:rPr>
        <w:t xml:space="preserve"> substitute</w:t>
      </w:r>
      <w:r w:rsidR="00B07C8F">
        <w:rPr>
          <w:lang w:val="en-GB"/>
        </w:rPr>
        <w:t>s</w:t>
      </w:r>
      <w:r w:rsidR="005D613F" w:rsidRPr="00350A5C">
        <w:rPr>
          <w:lang w:val="en-GB"/>
        </w:rPr>
        <w:t xml:space="preserve"> one of the two NH</w:t>
      </w:r>
      <w:r w:rsidR="005D613F" w:rsidRPr="00350A5C">
        <w:rPr>
          <w:vertAlign w:val="subscript"/>
          <w:lang w:val="en-GB"/>
        </w:rPr>
        <w:t>3</w:t>
      </w:r>
      <w:r w:rsidR="005D613F" w:rsidRPr="00350A5C">
        <w:rPr>
          <w:lang w:val="en-GB"/>
        </w:rPr>
        <w:t xml:space="preserve"> </w:t>
      </w:r>
      <w:r w:rsidR="00990682" w:rsidRPr="00350A5C">
        <w:rPr>
          <w:lang w:val="en-GB"/>
        </w:rPr>
        <w:t>molecules</w:t>
      </w:r>
      <w:r w:rsidR="00C21843" w:rsidRPr="00350A5C">
        <w:rPr>
          <w:lang w:val="en-GB"/>
        </w:rPr>
        <w:t xml:space="preserve"> </w:t>
      </w:r>
      <w:r w:rsidR="005D613F" w:rsidRPr="00350A5C">
        <w:rPr>
          <w:lang w:val="en-GB"/>
        </w:rPr>
        <w:t xml:space="preserve">in </w:t>
      </w:r>
      <w:r w:rsidR="00C21843" w:rsidRPr="00350A5C">
        <w:rPr>
          <w:lang w:val="en-GB"/>
        </w:rPr>
        <w:t xml:space="preserve">R.3, thus limiting </w:t>
      </w:r>
      <w:r w:rsidR="005D613F" w:rsidRPr="00350A5C">
        <w:rPr>
          <w:lang w:val="en-GB"/>
        </w:rPr>
        <w:t>CO</w:t>
      </w:r>
      <w:r w:rsidR="005D613F" w:rsidRPr="00350A5C">
        <w:rPr>
          <w:vertAlign w:val="subscript"/>
          <w:lang w:val="en-GB"/>
        </w:rPr>
        <w:t>2</w:t>
      </w:r>
      <w:r w:rsidR="00C21843" w:rsidRPr="00350A5C">
        <w:rPr>
          <w:lang w:val="en-GB"/>
        </w:rPr>
        <w:t xml:space="preserve"> accumulation in the final step of the process</w:t>
      </w:r>
      <w:r w:rsidR="00FD720C" w:rsidRPr="00350A5C">
        <w:rPr>
          <w:lang w:val="en-GB"/>
        </w:rPr>
        <w:t>. I</w:t>
      </w:r>
      <w:r w:rsidR="005D613F" w:rsidRPr="00350A5C">
        <w:rPr>
          <w:lang w:val="en-GB"/>
        </w:rPr>
        <w:t>n Exp. 3</w:t>
      </w:r>
      <w:r w:rsidR="00FD720C" w:rsidRPr="00350A5C">
        <w:rPr>
          <w:lang w:val="en-GB"/>
        </w:rPr>
        <w:t>,</w:t>
      </w:r>
      <w:r w:rsidR="005D613F" w:rsidRPr="00350A5C">
        <w:rPr>
          <w:lang w:val="en-GB"/>
        </w:rPr>
        <w:t xml:space="preserve"> the low initial NH</w:t>
      </w:r>
      <w:r w:rsidR="005D613F" w:rsidRPr="00350A5C">
        <w:rPr>
          <w:vertAlign w:val="subscript"/>
          <w:lang w:val="en-GB"/>
        </w:rPr>
        <w:t>3</w:t>
      </w:r>
      <w:r w:rsidR="005D613F" w:rsidRPr="00350A5C">
        <w:rPr>
          <w:lang w:val="en-GB"/>
        </w:rPr>
        <w:t xml:space="preserve"> concentration led to its complete consumption in the early phase and hinder</w:t>
      </w:r>
      <w:r w:rsidR="00FD5AC9" w:rsidRPr="00350A5C">
        <w:rPr>
          <w:lang w:val="en-GB"/>
        </w:rPr>
        <w:t>ed</w:t>
      </w:r>
      <w:r w:rsidR="005D613F" w:rsidRPr="00350A5C">
        <w:rPr>
          <w:lang w:val="en-GB"/>
        </w:rPr>
        <w:t xml:space="preserve"> to visualize this phenomenon</w:t>
      </w:r>
      <w:r w:rsidR="00C21843" w:rsidRPr="00350A5C">
        <w:rPr>
          <w:lang w:val="en-GB"/>
        </w:rPr>
        <w:t>. However, the potential implication of such an offset should not be relevant in view of the transposition of the obtained results to the operative scale</w:t>
      </w:r>
      <w:r w:rsidR="00FD720C" w:rsidRPr="00350A5C">
        <w:rPr>
          <w:lang w:val="en-GB"/>
        </w:rPr>
        <w:t>.</w:t>
      </w:r>
    </w:p>
    <w:p w14:paraId="3CDE1878" w14:textId="68BDFCB3" w:rsidR="008D264C" w:rsidRPr="00350A5C" w:rsidRDefault="0059681E" w:rsidP="00402864">
      <w:pPr>
        <w:pStyle w:val="CETBodytext"/>
        <w:spacing w:after="240"/>
        <w:rPr>
          <w:lang w:val="en-GB"/>
        </w:rPr>
      </w:pPr>
      <w:r w:rsidRPr="00350A5C">
        <w:rPr>
          <w:lang w:val="en-GB"/>
        </w:rPr>
        <w:object w:dxaOrig="8565" w:dyaOrig="6669" w14:anchorId="54F02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65pt;height:110.85pt" o:ole="">
            <v:imagedata r:id="rId13" o:title=""/>
          </v:shape>
          <o:OLEObject Type="Embed" ProgID="Origin95.Graph" ShapeID="_x0000_i1025" DrawAspect="Content" ObjectID="_1772449912" r:id="rId14"/>
        </w:object>
      </w:r>
      <w:r w:rsidRPr="00350A5C">
        <w:rPr>
          <w:lang w:val="en-GB"/>
        </w:rPr>
        <w:object w:dxaOrig="8565" w:dyaOrig="6669" w14:anchorId="60B4964D">
          <v:shape id="_x0000_i1026" type="#_x0000_t75" style="width:145.75pt;height:113.5pt" o:ole="">
            <v:imagedata r:id="rId15" o:title=""/>
          </v:shape>
          <o:OLEObject Type="Embed" ProgID="Origin95.Graph" ShapeID="_x0000_i1026" DrawAspect="Content" ObjectID="_1772449913" r:id="rId16"/>
        </w:object>
      </w:r>
      <w:r w:rsidR="007B2A45" w:rsidRPr="00350A5C">
        <w:rPr>
          <w:lang w:val="en-GB"/>
        </w:rPr>
        <w:t xml:space="preserve"> </w:t>
      </w:r>
      <w:r w:rsidRPr="00350A5C">
        <w:rPr>
          <w:lang w:val="en-GB"/>
        </w:rPr>
        <w:object w:dxaOrig="8565" w:dyaOrig="6669" w14:anchorId="58D0903E">
          <v:shape id="_x0000_i1027" type="#_x0000_t75" style="width:147.55pt;height:114.4pt" o:ole="">
            <v:imagedata r:id="rId17" o:title=""/>
          </v:shape>
          <o:OLEObject Type="Embed" ProgID="Origin95.Graph" ShapeID="_x0000_i1027" DrawAspect="Content" ObjectID="_1772449914" r:id="rId18"/>
        </w:object>
      </w:r>
      <w:r w:rsidR="00402864" w:rsidRPr="00350A5C">
        <w:rPr>
          <w:rStyle w:val="CETCaptionCarattere"/>
        </w:rPr>
        <w:t xml:space="preserve"> Figure 2: </w:t>
      </w:r>
      <w:r w:rsidR="0023515F" w:rsidRPr="00350A5C">
        <w:rPr>
          <w:rStyle w:val="CETCaptionCarattere"/>
        </w:rPr>
        <w:t xml:space="preserve">Capture efficiency </w:t>
      </w:r>
      <w:r w:rsidR="00D43698" w:rsidRPr="00350A5C">
        <w:rPr>
          <w:rStyle w:val="CETCaptionCarattere"/>
        </w:rPr>
        <w:t>in Exp. 1 (a)</w:t>
      </w:r>
      <w:r w:rsidR="00BC6526" w:rsidRPr="00350A5C">
        <w:rPr>
          <w:rStyle w:val="CETCaptionCarattere"/>
        </w:rPr>
        <w:t xml:space="preserve"> </w:t>
      </w:r>
      <w:r w:rsidR="00BC6526" w:rsidRPr="00350A5C">
        <w:rPr>
          <w:i/>
          <w:lang w:val="en-GB"/>
        </w:rPr>
        <w:t>MSE = 0.044,</w:t>
      </w:r>
      <w:r w:rsidR="00D43698" w:rsidRPr="00350A5C">
        <w:rPr>
          <w:rStyle w:val="CETCaptionCarattere"/>
        </w:rPr>
        <w:t xml:space="preserve"> Exp. 2 (b)</w:t>
      </w:r>
      <w:r w:rsidR="00BC6526" w:rsidRPr="00350A5C">
        <w:rPr>
          <w:rStyle w:val="CETCaptionCarattere"/>
        </w:rPr>
        <w:t xml:space="preserve"> </w:t>
      </w:r>
      <w:r w:rsidR="00BC6526" w:rsidRPr="00350A5C">
        <w:rPr>
          <w:i/>
          <w:lang w:val="en-GB"/>
        </w:rPr>
        <w:t>MSE = 0.003</w:t>
      </w:r>
      <w:r w:rsidR="00BC6526" w:rsidRPr="00350A5C">
        <w:rPr>
          <w:rStyle w:val="CETCaptionCarattere"/>
        </w:rPr>
        <w:t xml:space="preserve"> and</w:t>
      </w:r>
      <w:r w:rsidR="00D43698" w:rsidRPr="00350A5C">
        <w:rPr>
          <w:rStyle w:val="CETCaptionCarattere"/>
        </w:rPr>
        <w:t xml:space="preserve"> Exp. 3 (c)</w:t>
      </w:r>
      <w:r w:rsidR="00BC6526" w:rsidRPr="00350A5C">
        <w:rPr>
          <w:rStyle w:val="CETCaptionCarattere"/>
        </w:rPr>
        <w:t xml:space="preserve"> </w:t>
      </w:r>
      <w:r w:rsidR="00BC6526" w:rsidRPr="00350A5C">
        <w:rPr>
          <w:i/>
          <w:lang w:val="en-GB"/>
        </w:rPr>
        <w:t>MSE = 0.003</w:t>
      </w:r>
      <w:r w:rsidR="00D43698" w:rsidRPr="00350A5C">
        <w:rPr>
          <w:rStyle w:val="CETCaptionCarattere"/>
        </w:rPr>
        <w:t>.</w:t>
      </w:r>
      <w:r w:rsidR="0023515F" w:rsidRPr="00350A5C">
        <w:rPr>
          <w:rStyle w:val="CETCaptionCarattere"/>
        </w:rPr>
        <w:t xml:space="preserve"> </w:t>
      </w:r>
    </w:p>
    <w:p w14:paraId="7DC200A6" w14:textId="40642BBE" w:rsidR="00C935DB" w:rsidRPr="00350A5C" w:rsidRDefault="00A66321" w:rsidP="00C935DB">
      <w:pPr>
        <w:pStyle w:val="CETBodytext"/>
        <w:rPr>
          <w:lang w:val="en-GB"/>
        </w:rPr>
      </w:pPr>
      <w:r w:rsidRPr="00350A5C">
        <w:rPr>
          <w:lang w:val="en-GB"/>
        </w:rPr>
        <w:t xml:space="preserve">Figure 3 displays the </w:t>
      </w:r>
      <w:r w:rsidR="00FD720C" w:rsidRPr="00350A5C">
        <w:rPr>
          <w:lang w:val="en-GB"/>
        </w:rPr>
        <w:t xml:space="preserve">experimental </w:t>
      </w:r>
      <w:r w:rsidR="00706093" w:rsidRPr="00350A5C">
        <w:rPr>
          <w:lang w:val="en-GB"/>
        </w:rPr>
        <w:t>results</w:t>
      </w:r>
      <w:r w:rsidRPr="00350A5C">
        <w:rPr>
          <w:lang w:val="en-GB"/>
        </w:rPr>
        <w:t xml:space="preserve"> of the sorbent solution chemical composition </w:t>
      </w:r>
      <w:r w:rsidR="00823258" w:rsidRPr="00350A5C">
        <w:rPr>
          <w:lang w:val="en-GB"/>
        </w:rPr>
        <w:t xml:space="preserve">and </w:t>
      </w:r>
      <w:r w:rsidR="00706093" w:rsidRPr="00350A5C">
        <w:rPr>
          <w:lang w:val="en-GB"/>
        </w:rPr>
        <w:t>the corresponding model simulation, showing a good agreement between model and experimental results</w:t>
      </w:r>
      <w:r w:rsidRPr="00350A5C">
        <w:rPr>
          <w:lang w:val="en-GB"/>
        </w:rPr>
        <w:t>.</w:t>
      </w:r>
      <w:r w:rsidR="00C935DB" w:rsidRPr="00350A5C">
        <w:rPr>
          <w:lang w:val="en-GB"/>
        </w:rPr>
        <w:t xml:space="preserve"> In</w:t>
      </w:r>
      <w:r w:rsidR="007949BF">
        <w:rPr>
          <w:lang w:val="en-GB"/>
        </w:rPr>
        <w:t xml:space="preserve">itially, </w:t>
      </w:r>
      <w:r w:rsidR="00C935DB" w:rsidRPr="00350A5C">
        <w:rPr>
          <w:lang w:val="en-GB"/>
        </w:rPr>
        <w:t>the strong alkalinity of the solution promote</w:t>
      </w:r>
      <w:r w:rsidR="00FD5AC9" w:rsidRPr="00350A5C">
        <w:rPr>
          <w:lang w:val="en-GB"/>
        </w:rPr>
        <w:t>d</w:t>
      </w:r>
      <w:r w:rsidR="00C935DB" w:rsidRPr="00350A5C">
        <w:rPr>
          <w:lang w:val="en-GB"/>
        </w:rPr>
        <w:t xml:space="preserve"> </w:t>
      </w:r>
      <w:r w:rsidR="00706093" w:rsidRPr="00350A5C">
        <w:rPr>
          <w:lang w:val="en-GB"/>
        </w:rPr>
        <w:t>CO</w:t>
      </w:r>
      <w:r w:rsidR="00706093" w:rsidRPr="00350A5C">
        <w:rPr>
          <w:vertAlign w:val="subscript"/>
          <w:lang w:val="en-GB"/>
        </w:rPr>
        <w:t>3</w:t>
      </w:r>
      <w:r w:rsidR="00706093" w:rsidRPr="00350A5C">
        <w:rPr>
          <w:vertAlign w:val="superscript"/>
          <w:lang w:val="en-GB"/>
        </w:rPr>
        <w:t xml:space="preserve">2− </w:t>
      </w:r>
      <w:r w:rsidR="00C935DB" w:rsidRPr="00350A5C">
        <w:rPr>
          <w:lang w:val="en-GB"/>
        </w:rPr>
        <w:t>production</w:t>
      </w:r>
      <w:r w:rsidR="0061364E" w:rsidRPr="00350A5C">
        <w:rPr>
          <w:lang w:val="en-GB"/>
        </w:rPr>
        <w:t>;</w:t>
      </w:r>
      <w:r w:rsidR="00C935DB" w:rsidRPr="00350A5C">
        <w:rPr>
          <w:lang w:val="en-GB"/>
        </w:rPr>
        <w:t xml:space="preserve"> however, </w:t>
      </w:r>
      <w:r w:rsidR="00706093" w:rsidRPr="00350A5C">
        <w:rPr>
          <w:lang w:val="en-GB"/>
        </w:rPr>
        <w:t>the absorbed</w:t>
      </w:r>
      <w:r w:rsidR="00C935DB" w:rsidRPr="00350A5C">
        <w:rPr>
          <w:lang w:val="en-GB"/>
        </w:rPr>
        <w:t xml:space="preserve"> </w:t>
      </w:r>
      <w:r w:rsidR="00706093" w:rsidRPr="00350A5C">
        <w:rPr>
          <w:lang w:val="en-GB"/>
        </w:rPr>
        <w:t>CO</w:t>
      </w:r>
      <w:r w:rsidR="00706093" w:rsidRPr="00350A5C">
        <w:rPr>
          <w:vertAlign w:val="subscript"/>
          <w:lang w:val="en-GB"/>
        </w:rPr>
        <w:t>2</w:t>
      </w:r>
      <w:r w:rsidR="00706093" w:rsidRPr="00350A5C">
        <w:rPr>
          <w:lang w:val="en-GB"/>
        </w:rPr>
        <w:t xml:space="preserve"> led to</w:t>
      </w:r>
      <w:r w:rsidR="00C935DB" w:rsidRPr="00350A5C">
        <w:rPr>
          <w:lang w:val="en-GB"/>
        </w:rPr>
        <w:t xml:space="preserve"> </w:t>
      </w:r>
      <w:r w:rsidR="00990682" w:rsidRPr="00350A5C">
        <w:rPr>
          <w:lang w:val="en-GB"/>
        </w:rPr>
        <w:t xml:space="preserve">a </w:t>
      </w:r>
      <w:r w:rsidR="00C935DB" w:rsidRPr="00350A5C">
        <w:rPr>
          <w:lang w:val="en-GB"/>
        </w:rPr>
        <w:t>pH decrease</w:t>
      </w:r>
      <w:r w:rsidR="0061364E" w:rsidRPr="00350A5C">
        <w:rPr>
          <w:lang w:val="en-GB"/>
        </w:rPr>
        <w:t>,</w:t>
      </w:r>
      <w:r w:rsidR="00990682" w:rsidRPr="00350A5C">
        <w:rPr>
          <w:lang w:val="en-GB"/>
        </w:rPr>
        <w:t xml:space="preserve"> that slow</w:t>
      </w:r>
      <w:r w:rsidR="00FD5AC9" w:rsidRPr="00350A5C">
        <w:rPr>
          <w:lang w:val="en-GB"/>
        </w:rPr>
        <w:t>ed</w:t>
      </w:r>
      <w:r w:rsidR="00C935DB" w:rsidRPr="00350A5C">
        <w:rPr>
          <w:lang w:val="en-GB"/>
        </w:rPr>
        <w:t xml:space="preserve"> down the </w:t>
      </w:r>
      <w:r w:rsidR="00706093" w:rsidRPr="00350A5C">
        <w:rPr>
          <w:lang w:val="en-GB"/>
        </w:rPr>
        <w:t>CO</w:t>
      </w:r>
      <w:r w:rsidR="00706093" w:rsidRPr="00350A5C">
        <w:rPr>
          <w:vertAlign w:val="subscript"/>
          <w:lang w:val="en-GB"/>
        </w:rPr>
        <w:t>3</w:t>
      </w:r>
      <w:r w:rsidR="00706093" w:rsidRPr="00350A5C">
        <w:rPr>
          <w:vertAlign w:val="superscript"/>
          <w:lang w:val="en-GB"/>
        </w:rPr>
        <w:t>2−</w:t>
      </w:r>
      <w:r w:rsidR="00C935DB" w:rsidRPr="00350A5C">
        <w:rPr>
          <w:lang w:val="en-GB"/>
        </w:rPr>
        <w:t xml:space="preserve"> formation to the advantage of HCO</w:t>
      </w:r>
      <w:r w:rsidR="00C935DB" w:rsidRPr="00350A5C">
        <w:rPr>
          <w:vertAlign w:val="subscript"/>
          <w:lang w:val="en-GB"/>
        </w:rPr>
        <w:t>3</w:t>
      </w:r>
      <w:r w:rsidR="00C935DB" w:rsidRPr="00350A5C">
        <w:rPr>
          <w:vertAlign w:val="superscript"/>
          <w:lang w:val="en-GB"/>
        </w:rPr>
        <w:t>−</w:t>
      </w:r>
      <w:r w:rsidR="00C935DB" w:rsidRPr="00350A5C">
        <w:rPr>
          <w:lang w:val="en-GB"/>
        </w:rPr>
        <w:t xml:space="preserve"> and NH</w:t>
      </w:r>
      <w:r w:rsidR="00C935DB" w:rsidRPr="00350A5C">
        <w:rPr>
          <w:vertAlign w:val="subscript"/>
          <w:lang w:val="en-GB"/>
        </w:rPr>
        <w:t>2</w:t>
      </w:r>
      <w:r w:rsidR="00C935DB" w:rsidRPr="00350A5C">
        <w:rPr>
          <w:lang w:val="en-GB"/>
        </w:rPr>
        <w:t>CO</w:t>
      </w:r>
      <w:r w:rsidR="00C935DB" w:rsidRPr="00350A5C">
        <w:rPr>
          <w:vertAlign w:val="subscript"/>
          <w:lang w:val="en-GB"/>
        </w:rPr>
        <w:t>2</w:t>
      </w:r>
      <w:r w:rsidR="00C935DB" w:rsidRPr="00350A5C">
        <w:rPr>
          <w:vertAlign w:val="superscript"/>
          <w:lang w:val="en-GB"/>
        </w:rPr>
        <w:t>−</w:t>
      </w:r>
      <w:r w:rsidR="00C935DB" w:rsidRPr="00350A5C">
        <w:rPr>
          <w:lang w:val="en-GB"/>
        </w:rPr>
        <w:t>.</w:t>
      </w:r>
      <w:r w:rsidR="0061364E" w:rsidRPr="00350A5C">
        <w:rPr>
          <w:lang w:val="en-GB"/>
        </w:rPr>
        <w:t xml:space="preserve"> </w:t>
      </w:r>
      <w:r w:rsidR="00706093" w:rsidRPr="00350A5C">
        <w:rPr>
          <w:lang w:val="en-GB"/>
        </w:rPr>
        <w:t>Evidently</w:t>
      </w:r>
      <w:r w:rsidR="0061364E" w:rsidRPr="00350A5C">
        <w:rPr>
          <w:lang w:val="en-GB"/>
        </w:rPr>
        <w:t>, the NH</w:t>
      </w:r>
      <w:r w:rsidR="0061364E" w:rsidRPr="00350A5C">
        <w:rPr>
          <w:vertAlign w:val="subscript"/>
          <w:lang w:val="en-GB"/>
        </w:rPr>
        <w:t>2</w:t>
      </w:r>
      <w:r w:rsidR="0061364E" w:rsidRPr="00350A5C">
        <w:rPr>
          <w:lang w:val="en-GB"/>
        </w:rPr>
        <w:t>CO</w:t>
      </w:r>
      <w:r w:rsidR="0061364E" w:rsidRPr="00350A5C">
        <w:rPr>
          <w:vertAlign w:val="subscript"/>
          <w:lang w:val="en-GB"/>
        </w:rPr>
        <w:t>2</w:t>
      </w:r>
      <w:r w:rsidR="0061364E" w:rsidRPr="00350A5C">
        <w:rPr>
          <w:vertAlign w:val="superscript"/>
          <w:lang w:val="en-GB"/>
        </w:rPr>
        <w:t>−</w:t>
      </w:r>
      <w:r w:rsidR="0061364E" w:rsidRPr="00350A5C">
        <w:rPr>
          <w:lang w:val="en-GB"/>
        </w:rPr>
        <w:t xml:space="preserve"> </w:t>
      </w:r>
      <w:r w:rsidR="00706093" w:rsidRPr="00350A5C">
        <w:rPr>
          <w:lang w:val="en-GB"/>
        </w:rPr>
        <w:t>profile</w:t>
      </w:r>
      <w:r w:rsidR="00FD5AC9" w:rsidRPr="00350A5C">
        <w:rPr>
          <w:lang w:val="en-GB"/>
        </w:rPr>
        <w:t xml:space="preserve"> wa</w:t>
      </w:r>
      <w:r w:rsidR="00706093" w:rsidRPr="00350A5C">
        <w:rPr>
          <w:lang w:val="en-GB"/>
        </w:rPr>
        <w:t>s affected by</w:t>
      </w:r>
      <w:r w:rsidR="0061364E" w:rsidRPr="00350A5C">
        <w:rPr>
          <w:lang w:val="en-GB"/>
        </w:rPr>
        <w:t xml:space="preserve"> NH</w:t>
      </w:r>
      <w:r w:rsidR="0061364E" w:rsidRPr="00350A5C">
        <w:rPr>
          <w:vertAlign w:val="subscript"/>
          <w:lang w:val="en-GB"/>
        </w:rPr>
        <w:t>3</w:t>
      </w:r>
      <w:r w:rsidR="00B07C8F">
        <w:rPr>
          <w:lang w:val="en-GB"/>
        </w:rPr>
        <w:t xml:space="preserve"> concentration</w:t>
      </w:r>
      <w:r w:rsidR="00990682" w:rsidRPr="00350A5C">
        <w:rPr>
          <w:lang w:val="en-GB"/>
        </w:rPr>
        <w:t xml:space="preserve">, whose </w:t>
      </w:r>
      <w:r w:rsidR="0061364E" w:rsidRPr="00350A5C">
        <w:rPr>
          <w:lang w:val="en-GB"/>
        </w:rPr>
        <w:t>consumption determine</w:t>
      </w:r>
      <w:r w:rsidR="00FD5AC9" w:rsidRPr="00350A5C">
        <w:rPr>
          <w:lang w:val="en-GB"/>
        </w:rPr>
        <w:t>d</w:t>
      </w:r>
      <w:r w:rsidR="0061364E" w:rsidRPr="00350A5C">
        <w:rPr>
          <w:lang w:val="en-GB"/>
        </w:rPr>
        <w:t xml:space="preserve"> the NH</w:t>
      </w:r>
      <w:r w:rsidR="0061364E" w:rsidRPr="00350A5C">
        <w:rPr>
          <w:vertAlign w:val="subscript"/>
          <w:lang w:val="en-GB"/>
        </w:rPr>
        <w:t>2</w:t>
      </w:r>
      <w:r w:rsidR="0061364E" w:rsidRPr="00350A5C">
        <w:rPr>
          <w:lang w:val="en-GB"/>
        </w:rPr>
        <w:t>CO</w:t>
      </w:r>
      <w:r w:rsidR="0061364E" w:rsidRPr="00350A5C">
        <w:rPr>
          <w:vertAlign w:val="subscript"/>
          <w:lang w:val="en-GB"/>
        </w:rPr>
        <w:t>2</w:t>
      </w:r>
      <w:r w:rsidR="0061364E" w:rsidRPr="00350A5C">
        <w:rPr>
          <w:vertAlign w:val="superscript"/>
          <w:lang w:val="en-GB"/>
        </w:rPr>
        <w:t>−</w:t>
      </w:r>
      <w:r w:rsidR="0061364E" w:rsidRPr="00350A5C">
        <w:rPr>
          <w:lang w:val="en-GB"/>
        </w:rPr>
        <w:t xml:space="preserve"> synthesis stop.</w:t>
      </w:r>
    </w:p>
    <w:p w14:paraId="33B1897D" w14:textId="75FF878D" w:rsidR="00402864" w:rsidRPr="00350A5C" w:rsidRDefault="002560B1" w:rsidP="00F428EC">
      <w:pPr>
        <w:pStyle w:val="CETBodytext"/>
        <w:jc w:val="center"/>
        <w:rPr>
          <w:lang w:val="en-GB"/>
        </w:rPr>
      </w:pPr>
      <w:r w:rsidRPr="00350A5C">
        <w:rPr>
          <w:lang w:val="en-GB"/>
        </w:rPr>
        <w:object w:dxaOrig="8565" w:dyaOrig="6669" w14:anchorId="4682ED37">
          <v:shape id="_x0000_i1028" type="#_x0000_t75" style="width:203.65pt;height:159.9pt" o:ole="">
            <v:imagedata r:id="rId19" o:title=""/>
          </v:shape>
          <o:OLEObject Type="Embed" ProgID="Origin95.Graph" ShapeID="_x0000_i1028" DrawAspect="Content" ObjectID="_1772449915" r:id="rId20"/>
        </w:object>
      </w:r>
      <w:r w:rsidR="00C74A4F" w:rsidRPr="00350A5C">
        <w:rPr>
          <w:lang w:val="en-GB"/>
        </w:rPr>
        <w:t xml:space="preserve"> </w:t>
      </w:r>
      <w:r w:rsidRPr="00350A5C">
        <w:rPr>
          <w:lang w:val="en-GB"/>
        </w:rPr>
        <w:object w:dxaOrig="8565" w:dyaOrig="6669" w14:anchorId="7EF76118">
          <v:shape id="_x0000_i1029" type="#_x0000_t75" style="width:208.95pt;height:163pt" o:ole="">
            <v:imagedata r:id="rId21" o:title=""/>
          </v:shape>
          <o:OLEObject Type="Embed" ProgID="Origin95.Graph" ShapeID="_x0000_i1029" DrawAspect="Content" ObjectID="_1772449916" r:id="rId22"/>
        </w:object>
      </w:r>
    </w:p>
    <w:p w14:paraId="6861802E" w14:textId="77C08CEC" w:rsidR="00402864" w:rsidRPr="00350A5C" w:rsidRDefault="00402864" w:rsidP="00402864">
      <w:pPr>
        <w:pStyle w:val="CETBodytext"/>
        <w:spacing w:after="240"/>
        <w:rPr>
          <w:lang w:val="en-GB"/>
        </w:rPr>
      </w:pPr>
      <w:r w:rsidRPr="00350A5C">
        <w:rPr>
          <w:rStyle w:val="CETCaptionCarattere"/>
        </w:rPr>
        <w:t xml:space="preserve">Figure 3: </w:t>
      </w:r>
      <w:r w:rsidR="00BC6526" w:rsidRPr="00350A5C">
        <w:rPr>
          <w:rStyle w:val="CETCaptionCarattere"/>
        </w:rPr>
        <w:t>S</w:t>
      </w:r>
      <w:r w:rsidR="00D43698" w:rsidRPr="00350A5C">
        <w:rPr>
          <w:rStyle w:val="CETCaptionCarattere"/>
        </w:rPr>
        <w:t>orbent solution pH (a)</w:t>
      </w:r>
      <w:r w:rsidR="00BC6526" w:rsidRPr="00350A5C">
        <w:rPr>
          <w:rStyle w:val="CETCaptionCarattere"/>
        </w:rPr>
        <w:t xml:space="preserve"> </w:t>
      </w:r>
      <w:r w:rsidR="00BC6526" w:rsidRPr="00350A5C">
        <w:rPr>
          <w:i/>
          <w:lang w:val="en-GB"/>
        </w:rPr>
        <w:t>MSE = 0.009</w:t>
      </w:r>
      <w:r w:rsidR="00D43698" w:rsidRPr="00350A5C">
        <w:rPr>
          <w:rStyle w:val="CETCaptionCarattere"/>
        </w:rPr>
        <w:t xml:space="preserve"> and ion speciation (b)</w:t>
      </w:r>
      <w:r w:rsidR="00BC6526" w:rsidRPr="00350A5C">
        <w:rPr>
          <w:rStyle w:val="CETCaptionCarattere"/>
        </w:rPr>
        <w:t xml:space="preserve"> </w:t>
      </w:r>
      <w:r w:rsidR="00BC6526" w:rsidRPr="00350A5C">
        <w:rPr>
          <w:i/>
          <w:lang w:val="en-GB"/>
        </w:rPr>
        <w:t>MSE = 0.007,</w:t>
      </w:r>
      <w:r w:rsidR="00D43698" w:rsidRPr="00350A5C">
        <w:rPr>
          <w:rStyle w:val="CETCaptionCarattere"/>
        </w:rPr>
        <w:t xml:space="preserve"> in Exp. 1.</w:t>
      </w:r>
    </w:p>
    <w:p w14:paraId="526DBBE1" w14:textId="27DFD37C" w:rsidR="00867581" w:rsidRPr="00350A5C" w:rsidRDefault="00990682" w:rsidP="00C935DB">
      <w:pPr>
        <w:pStyle w:val="CETBodytext"/>
        <w:rPr>
          <w:lang w:val="en-GB"/>
        </w:rPr>
      </w:pPr>
      <w:r w:rsidRPr="00350A5C">
        <w:rPr>
          <w:lang w:val="en-GB"/>
        </w:rPr>
        <w:t>The</w:t>
      </w:r>
      <w:r w:rsidR="000059A9" w:rsidRPr="00350A5C">
        <w:rPr>
          <w:lang w:val="en-GB"/>
        </w:rPr>
        <w:t xml:space="preserve"> </w:t>
      </w:r>
      <w:r w:rsidRPr="00350A5C">
        <w:rPr>
          <w:lang w:val="en-GB"/>
        </w:rPr>
        <w:t xml:space="preserve">effectiveness and the accuracy of the bubble column model simulations, </w:t>
      </w:r>
      <w:r w:rsidR="000059A9" w:rsidRPr="00350A5C">
        <w:rPr>
          <w:lang w:val="en-GB"/>
        </w:rPr>
        <w:t xml:space="preserve">led to </w:t>
      </w:r>
      <w:r w:rsidR="00FD7C06" w:rsidRPr="00350A5C">
        <w:rPr>
          <w:lang w:val="en-GB"/>
        </w:rPr>
        <w:t xml:space="preserve">consider the same thermodynamical assumptions to </w:t>
      </w:r>
      <w:r w:rsidR="000059A9" w:rsidRPr="00350A5C">
        <w:rPr>
          <w:lang w:val="en-GB"/>
        </w:rPr>
        <w:t xml:space="preserve">develop </w:t>
      </w:r>
      <w:r w:rsidR="00867581" w:rsidRPr="00350A5C">
        <w:rPr>
          <w:lang w:val="en-GB"/>
        </w:rPr>
        <w:t xml:space="preserve">the </w:t>
      </w:r>
      <w:r w:rsidR="000059A9" w:rsidRPr="00350A5C">
        <w:rPr>
          <w:lang w:val="en-GB"/>
        </w:rPr>
        <w:t>packed bed model</w:t>
      </w:r>
      <w:r w:rsidR="00FD7C06" w:rsidRPr="00350A5C">
        <w:rPr>
          <w:lang w:val="en-GB"/>
        </w:rPr>
        <w:t xml:space="preserve"> equations that were in turn used</w:t>
      </w:r>
      <w:r w:rsidR="00867581" w:rsidRPr="00350A5C">
        <w:rPr>
          <w:lang w:val="en-GB"/>
        </w:rPr>
        <w:t xml:space="preserve"> </w:t>
      </w:r>
      <w:r w:rsidRPr="00350A5C">
        <w:rPr>
          <w:lang w:val="en-GB"/>
        </w:rPr>
        <w:t xml:space="preserve">to </w:t>
      </w:r>
      <w:r w:rsidR="003C47D2" w:rsidRPr="00350A5C">
        <w:rPr>
          <w:lang w:val="en-GB"/>
        </w:rPr>
        <w:t>implement</w:t>
      </w:r>
      <w:r w:rsidRPr="00350A5C">
        <w:rPr>
          <w:lang w:val="en-GB"/>
        </w:rPr>
        <w:t xml:space="preserve"> </w:t>
      </w:r>
      <w:r w:rsidR="007949BF">
        <w:rPr>
          <w:lang w:val="en-GB"/>
        </w:rPr>
        <w:t xml:space="preserve">the </w:t>
      </w:r>
      <w:r w:rsidR="00E9562F" w:rsidRPr="00350A5C">
        <w:rPr>
          <w:lang w:val="en-GB"/>
        </w:rPr>
        <w:t>algorithm</w:t>
      </w:r>
      <w:r w:rsidR="00867581" w:rsidRPr="00350A5C">
        <w:rPr>
          <w:lang w:val="en-GB"/>
        </w:rPr>
        <w:t xml:space="preserve"> </w:t>
      </w:r>
      <w:r w:rsidR="00FD7C06" w:rsidRPr="00350A5C">
        <w:rPr>
          <w:lang w:val="en-GB"/>
        </w:rPr>
        <w:t>for</w:t>
      </w:r>
      <w:r w:rsidR="008F4DC5" w:rsidRPr="00350A5C">
        <w:rPr>
          <w:lang w:val="en-GB"/>
        </w:rPr>
        <w:t xml:space="preserve"> the column height </w:t>
      </w:r>
      <w:r w:rsidR="00FD7C06" w:rsidRPr="00350A5C">
        <w:rPr>
          <w:lang w:val="en-GB"/>
        </w:rPr>
        <w:t>calculation</w:t>
      </w:r>
      <w:r w:rsidR="003C47D2" w:rsidRPr="00350A5C">
        <w:rPr>
          <w:lang w:val="en-GB"/>
        </w:rPr>
        <w:t xml:space="preserve"> (Z), a</w:t>
      </w:r>
      <w:r w:rsidR="008F4DC5" w:rsidRPr="00350A5C">
        <w:rPr>
          <w:lang w:val="en-GB"/>
        </w:rPr>
        <w:t>s a function of the operating conditions</w:t>
      </w:r>
      <w:r w:rsidR="00B07C8F">
        <w:rPr>
          <w:lang w:val="en-GB"/>
        </w:rPr>
        <w:t xml:space="preserve"> (</w:t>
      </w:r>
      <w:r w:rsidR="00FD7C06" w:rsidRPr="00350A5C">
        <w:rPr>
          <w:lang w:val="en-GB"/>
        </w:rPr>
        <w:t>temperature and inlet composition</w:t>
      </w:r>
      <w:r w:rsidR="00B07C8F">
        <w:rPr>
          <w:lang w:val="en-GB"/>
        </w:rPr>
        <w:t>)</w:t>
      </w:r>
      <w:r w:rsidR="008F4DC5" w:rsidRPr="00350A5C">
        <w:rPr>
          <w:lang w:val="en-GB"/>
        </w:rPr>
        <w:t xml:space="preserve"> and the capture specification, namely the efficiency (η).</w:t>
      </w:r>
      <w:r w:rsidR="00A72211">
        <w:rPr>
          <w:lang w:val="en-GB"/>
        </w:rPr>
        <w:t xml:space="preserve"> </w:t>
      </w:r>
    </w:p>
    <w:p w14:paraId="57339B8E" w14:textId="227E75F2" w:rsidR="00FD7C06" w:rsidRPr="00350A5C" w:rsidRDefault="00E9562F" w:rsidP="00C935DB">
      <w:pPr>
        <w:pStyle w:val="CETBodytext"/>
        <w:rPr>
          <w:lang w:val="en-GB"/>
        </w:rPr>
      </w:pPr>
      <w:r w:rsidRPr="00350A5C">
        <w:rPr>
          <w:lang w:val="en-GB"/>
        </w:rPr>
        <w:t>For every step of Exp. 4-6, η was measured and</w:t>
      </w:r>
      <w:r w:rsidR="00FD7C06" w:rsidRPr="00350A5C">
        <w:rPr>
          <w:lang w:val="en-GB"/>
        </w:rPr>
        <w:t xml:space="preserve"> the </w:t>
      </w:r>
      <w:r w:rsidRPr="00350A5C">
        <w:rPr>
          <w:lang w:val="en-GB"/>
        </w:rPr>
        <w:t xml:space="preserve">algorithm </w:t>
      </w:r>
      <w:r w:rsidR="00FD5AC9" w:rsidRPr="00350A5C">
        <w:rPr>
          <w:lang w:val="en-GB"/>
        </w:rPr>
        <w:t>wa</w:t>
      </w:r>
      <w:r w:rsidRPr="00350A5C">
        <w:rPr>
          <w:lang w:val="en-GB"/>
        </w:rPr>
        <w:t>s</w:t>
      </w:r>
      <w:r w:rsidR="00FD7C06" w:rsidRPr="00350A5C">
        <w:rPr>
          <w:lang w:val="en-GB"/>
        </w:rPr>
        <w:t xml:space="preserve"> used to </w:t>
      </w:r>
      <w:r w:rsidRPr="00350A5C">
        <w:rPr>
          <w:lang w:val="en-GB"/>
        </w:rPr>
        <w:t>evaluate Z</w:t>
      </w:r>
      <w:r w:rsidR="00FD7C06" w:rsidRPr="00350A5C">
        <w:rPr>
          <w:lang w:val="en-GB"/>
        </w:rPr>
        <w:t xml:space="preserve"> for achieving the desired </w:t>
      </w:r>
      <w:r w:rsidRPr="00350A5C">
        <w:rPr>
          <w:lang w:val="en-GB"/>
        </w:rPr>
        <w:t xml:space="preserve">η. </w:t>
      </w:r>
      <w:r w:rsidR="003C47D2" w:rsidRPr="00350A5C">
        <w:rPr>
          <w:lang w:val="en-GB"/>
        </w:rPr>
        <w:t xml:space="preserve"> Figure 4</w:t>
      </w:r>
      <w:r w:rsidRPr="00350A5C">
        <w:rPr>
          <w:lang w:val="en-GB"/>
        </w:rPr>
        <w:t xml:space="preserve"> shows</w:t>
      </w:r>
      <w:r w:rsidR="003C47D2" w:rsidRPr="00350A5C">
        <w:rPr>
          <w:lang w:val="en-GB"/>
        </w:rPr>
        <w:t xml:space="preserve"> two series of calculated value</w:t>
      </w:r>
      <w:r w:rsidRPr="00350A5C">
        <w:rPr>
          <w:lang w:val="en-GB"/>
        </w:rPr>
        <w:t>s</w:t>
      </w:r>
      <w:r w:rsidR="003C47D2" w:rsidRPr="00350A5C">
        <w:rPr>
          <w:lang w:val="en-GB"/>
        </w:rPr>
        <w:t xml:space="preserve"> since</w:t>
      </w:r>
      <w:r w:rsidRPr="00350A5C">
        <w:rPr>
          <w:lang w:val="en-GB"/>
        </w:rPr>
        <w:t xml:space="preserve"> η</w:t>
      </w:r>
      <w:r w:rsidR="003C47D2" w:rsidRPr="00350A5C">
        <w:rPr>
          <w:lang w:val="en-GB"/>
        </w:rPr>
        <w:t xml:space="preserve"> measurement</w:t>
      </w:r>
      <w:r w:rsidRPr="00350A5C">
        <w:rPr>
          <w:lang w:val="en-GB"/>
        </w:rPr>
        <w:t xml:space="preserve">s </w:t>
      </w:r>
      <w:r w:rsidR="00FD5AC9" w:rsidRPr="00350A5C">
        <w:rPr>
          <w:lang w:val="en-GB"/>
        </w:rPr>
        <w:t>wer</w:t>
      </w:r>
      <w:r w:rsidRPr="00350A5C">
        <w:rPr>
          <w:lang w:val="en-GB"/>
        </w:rPr>
        <w:t>e</w:t>
      </w:r>
      <w:r w:rsidR="003C47D2" w:rsidRPr="00350A5C">
        <w:rPr>
          <w:lang w:val="en-GB"/>
        </w:rPr>
        <w:t xml:space="preserve"> repeated twice for every trial. </w:t>
      </w:r>
      <w:r w:rsidR="00FD7C06" w:rsidRPr="00350A5C">
        <w:rPr>
          <w:lang w:val="en-GB"/>
        </w:rPr>
        <w:t>The capture device ha</w:t>
      </w:r>
      <w:r w:rsidR="00FD5AC9" w:rsidRPr="00350A5C">
        <w:rPr>
          <w:lang w:val="en-GB"/>
        </w:rPr>
        <w:t>d</w:t>
      </w:r>
      <w:r w:rsidR="00FD7C06" w:rsidRPr="00350A5C">
        <w:rPr>
          <w:lang w:val="en-GB"/>
        </w:rPr>
        <w:t xml:space="preserve"> a defined height (</w:t>
      </w:r>
      <w:r w:rsidR="00D43698" w:rsidRPr="00350A5C">
        <w:rPr>
          <w:lang w:val="en-GB"/>
        </w:rPr>
        <w:t>4</w:t>
      </w:r>
      <w:r w:rsidR="00FD7C06" w:rsidRPr="00350A5C">
        <w:rPr>
          <w:lang w:val="en-GB"/>
        </w:rPr>
        <w:t xml:space="preserve"> </w:t>
      </w:r>
      <w:r w:rsidR="00D43698" w:rsidRPr="00350A5C">
        <w:rPr>
          <w:lang w:val="en-GB"/>
        </w:rPr>
        <w:t>d</w:t>
      </w:r>
      <w:r w:rsidR="00FD7C06" w:rsidRPr="00350A5C">
        <w:rPr>
          <w:lang w:val="en-GB"/>
        </w:rPr>
        <w:t xml:space="preserve">m) that, consequently, </w:t>
      </w:r>
      <w:r w:rsidR="00FD5AC9" w:rsidRPr="00350A5C">
        <w:rPr>
          <w:lang w:val="en-GB"/>
        </w:rPr>
        <w:t>wa</w:t>
      </w:r>
      <w:r w:rsidR="00FD7C06" w:rsidRPr="00350A5C">
        <w:rPr>
          <w:lang w:val="en-GB"/>
        </w:rPr>
        <w:t xml:space="preserve">s the value the </w:t>
      </w:r>
      <w:r w:rsidRPr="00350A5C">
        <w:rPr>
          <w:lang w:val="en-GB"/>
        </w:rPr>
        <w:t>calculation</w:t>
      </w:r>
      <w:r w:rsidR="00FD7C06" w:rsidRPr="00350A5C">
        <w:rPr>
          <w:lang w:val="en-GB"/>
        </w:rPr>
        <w:t xml:space="preserve"> should provide.</w:t>
      </w:r>
    </w:p>
    <w:p w14:paraId="2091ACA9" w14:textId="5C7454B6" w:rsidR="00F425D0" w:rsidRPr="00350A5C" w:rsidRDefault="00F425D0" w:rsidP="00C935DB">
      <w:pPr>
        <w:pStyle w:val="CETBodytext"/>
        <w:rPr>
          <w:lang w:val="en-GB"/>
        </w:rPr>
      </w:pPr>
      <w:r w:rsidRPr="00350A5C">
        <w:rPr>
          <w:lang w:val="en-GB"/>
        </w:rPr>
        <w:t xml:space="preserve">In Figure 4 the design algorithm results are reported showing a good approximation of the actual height of the capture device for the three experimental trials, </w:t>
      </w:r>
      <w:r w:rsidR="00993A79" w:rsidRPr="00350A5C">
        <w:rPr>
          <w:lang w:val="en-GB"/>
        </w:rPr>
        <w:t>despite</w:t>
      </w:r>
      <w:r w:rsidRPr="00350A5C">
        <w:rPr>
          <w:lang w:val="en-GB"/>
        </w:rPr>
        <w:t xml:space="preserve"> the variation of operating conditions.</w:t>
      </w:r>
    </w:p>
    <w:p w14:paraId="32134B72" w14:textId="4185382B" w:rsidR="008F4DC5" w:rsidRPr="00350A5C" w:rsidRDefault="0059681E" w:rsidP="00402864">
      <w:pPr>
        <w:pStyle w:val="CETBodytext"/>
        <w:spacing w:after="240"/>
        <w:rPr>
          <w:lang w:val="en-GB"/>
        </w:rPr>
      </w:pPr>
      <w:r w:rsidRPr="00350A5C">
        <w:rPr>
          <w:lang w:val="en-GB"/>
        </w:rPr>
        <w:object w:dxaOrig="8565" w:dyaOrig="6669" w14:anchorId="79D60757">
          <v:shape id="_x0000_i1030" type="#_x0000_t75" style="width:142.25pt;height:110.85pt" o:ole="">
            <v:imagedata r:id="rId23" o:title=""/>
          </v:shape>
          <o:OLEObject Type="Embed" ProgID="Origin95.Graph" ShapeID="_x0000_i1030" DrawAspect="Content" ObjectID="_1772449917" r:id="rId24"/>
        </w:object>
      </w:r>
      <w:r w:rsidRPr="00350A5C">
        <w:rPr>
          <w:lang w:val="en-GB"/>
        </w:rPr>
        <w:t xml:space="preserve"> </w:t>
      </w:r>
      <w:r w:rsidR="002560B1" w:rsidRPr="00350A5C">
        <w:rPr>
          <w:lang w:val="en-GB"/>
        </w:rPr>
        <w:object w:dxaOrig="8564" w:dyaOrig="6669" w14:anchorId="5ED62F7E">
          <v:shape id="_x0000_i1031" type="#_x0000_t75" style="width:145.75pt;height:113.5pt" o:ole="">
            <v:imagedata r:id="rId25" o:title=""/>
          </v:shape>
          <o:OLEObject Type="Embed" ProgID="Origin95.Graph" ShapeID="_x0000_i1031" DrawAspect="Content" ObjectID="_1772449918" r:id="rId26"/>
        </w:object>
      </w:r>
      <w:r w:rsidR="002560B1" w:rsidRPr="00350A5C">
        <w:rPr>
          <w:lang w:val="en-GB"/>
        </w:rPr>
        <w:t xml:space="preserve"> </w:t>
      </w:r>
      <w:r w:rsidR="002560B1" w:rsidRPr="00350A5C">
        <w:rPr>
          <w:lang w:val="en-GB"/>
        </w:rPr>
        <w:object w:dxaOrig="8564" w:dyaOrig="6669" w14:anchorId="2F770159">
          <v:shape id="_x0000_i1032" type="#_x0000_t75" style="width:138.7pt;height:108.2pt" o:ole="">
            <v:imagedata r:id="rId27" o:title=""/>
          </v:shape>
          <o:OLEObject Type="Embed" ProgID="Origin95.Graph" ShapeID="_x0000_i1032" DrawAspect="Content" ObjectID="_1772449919" r:id="rId28"/>
        </w:object>
      </w:r>
      <w:r w:rsidR="00402864" w:rsidRPr="00350A5C">
        <w:rPr>
          <w:rStyle w:val="CETCaptionCarattere"/>
        </w:rPr>
        <w:t xml:space="preserve"> Figure </w:t>
      </w:r>
      <w:r w:rsidR="00BC6526" w:rsidRPr="00350A5C">
        <w:rPr>
          <w:rStyle w:val="CETCaptionCarattere"/>
        </w:rPr>
        <w:t>4</w:t>
      </w:r>
      <w:r w:rsidR="00402864" w:rsidRPr="00350A5C">
        <w:rPr>
          <w:rStyle w:val="CETCaptionCarattere"/>
        </w:rPr>
        <w:t xml:space="preserve">: </w:t>
      </w:r>
      <w:r w:rsidR="00D43698" w:rsidRPr="00350A5C">
        <w:rPr>
          <w:i/>
          <w:lang w:val="en-GB"/>
        </w:rPr>
        <w:t xml:space="preserve">Column height </w:t>
      </w:r>
      <w:r w:rsidR="00BC6526" w:rsidRPr="00350A5C">
        <w:rPr>
          <w:i/>
          <w:lang w:val="en-GB"/>
        </w:rPr>
        <w:t>evaluation in</w:t>
      </w:r>
      <w:r w:rsidR="00D43698" w:rsidRPr="00350A5C">
        <w:rPr>
          <w:i/>
          <w:lang w:val="en-GB"/>
        </w:rPr>
        <w:t xml:space="preserve"> Exp.</w:t>
      </w:r>
      <w:r w:rsidR="00BC6526" w:rsidRPr="00350A5C">
        <w:rPr>
          <w:i/>
          <w:lang w:val="en-GB"/>
        </w:rPr>
        <w:t xml:space="preserve"> 4 (a)</w:t>
      </w:r>
      <w:r w:rsidR="00D43698" w:rsidRPr="00350A5C">
        <w:rPr>
          <w:i/>
          <w:lang w:val="en-GB"/>
        </w:rPr>
        <w:t xml:space="preserve"> MSE = 0.064</w:t>
      </w:r>
      <w:r w:rsidR="00BC6526" w:rsidRPr="00350A5C">
        <w:rPr>
          <w:i/>
          <w:lang w:val="en-GB"/>
        </w:rPr>
        <w:t>, Exp. 5 (b) MSE = 0.176, Exp. 6 (c) MSE = 0.224</w:t>
      </w:r>
    </w:p>
    <w:p w14:paraId="40FF4112" w14:textId="669D0016" w:rsidR="008D264C" w:rsidRPr="00350A5C" w:rsidRDefault="008D264C" w:rsidP="00F425D0">
      <w:pPr>
        <w:pStyle w:val="CETHeading1"/>
        <w:spacing w:before="0"/>
        <w:rPr>
          <w:lang w:val="en-GB"/>
        </w:rPr>
      </w:pPr>
      <w:r w:rsidRPr="00350A5C">
        <w:rPr>
          <w:lang w:val="en-GB"/>
        </w:rPr>
        <w:t>Conclusions</w:t>
      </w:r>
    </w:p>
    <w:p w14:paraId="22FD1590" w14:textId="65B475C2" w:rsidR="00B35D2B" w:rsidRPr="00350A5C" w:rsidRDefault="00201A5D" w:rsidP="00C935DB">
      <w:pPr>
        <w:pStyle w:val="CETBodytext"/>
        <w:rPr>
          <w:lang w:val="en-GB"/>
        </w:rPr>
      </w:pPr>
      <w:r w:rsidRPr="00350A5C">
        <w:rPr>
          <w:lang w:val="en-GB"/>
        </w:rPr>
        <w:t xml:space="preserve">In this work, </w:t>
      </w:r>
      <w:r w:rsidR="000E1861" w:rsidRPr="00350A5C">
        <w:rPr>
          <w:lang w:val="en-GB"/>
        </w:rPr>
        <w:t>the</w:t>
      </w:r>
      <w:r w:rsidRPr="00350A5C">
        <w:rPr>
          <w:lang w:val="en-GB"/>
        </w:rPr>
        <w:t xml:space="preserve"> </w:t>
      </w:r>
      <w:r w:rsidR="00402864" w:rsidRPr="00350A5C">
        <w:rPr>
          <w:lang w:val="en-GB"/>
        </w:rPr>
        <w:t>CO</w:t>
      </w:r>
      <w:r w:rsidR="00402864" w:rsidRPr="00350A5C">
        <w:rPr>
          <w:vertAlign w:val="subscript"/>
          <w:lang w:val="en-GB"/>
        </w:rPr>
        <w:t>2</w:t>
      </w:r>
      <w:r w:rsidRPr="00350A5C">
        <w:rPr>
          <w:lang w:val="en-GB"/>
        </w:rPr>
        <w:t xml:space="preserve"> chemical absorption in NH</w:t>
      </w:r>
      <w:r w:rsidRPr="00350A5C">
        <w:rPr>
          <w:vertAlign w:val="subscript"/>
          <w:lang w:val="en-GB"/>
        </w:rPr>
        <w:t>3</w:t>
      </w:r>
      <w:r w:rsidRPr="00350A5C">
        <w:rPr>
          <w:lang w:val="en-GB"/>
        </w:rPr>
        <w:t xml:space="preserve"> solution </w:t>
      </w:r>
      <w:r w:rsidR="00FD5AC9" w:rsidRPr="00350A5C">
        <w:rPr>
          <w:lang w:val="en-GB"/>
        </w:rPr>
        <w:t>wa</w:t>
      </w:r>
      <w:r w:rsidRPr="00350A5C">
        <w:rPr>
          <w:lang w:val="en-GB"/>
        </w:rPr>
        <w:t xml:space="preserve">s </w:t>
      </w:r>
      <w:r w:rsidR="00402864" w:rsidRPr="00350A5C">
        <w:rPr>
          <w:lang w:val="en-GB"/>
        </w:rPr>
        <w:t>studied</w:t>
      </w:r>
      <w:r w:rsidRPr="00350A5C">
        <w:rPr>
          <w:lang w:val="en-GB"/>
        </w:rPr>
        <w:t xml:space="preserve">. </w:t>
      </w:r>
      <w:r w:rsidR="000E1861" w:rsidRPr="00350A5C">
        <w:rPr>
          <w:lang w:val="en-GB"/>
        </w:rPr>
        <w:t xml:space="preserve">An equilibrium-based approach </w:t>
      </w:r>
      <w:r w:rsidR="00FD5AC9" w:rsidRPr="00350A5C">
        <w:rPr>
          <w:lang w:val="en-GB"/>
        </w:rPr>
        <w:t>wa</w:t>
      </w:r>
      <w:r w:rsidR="000E1861" w:rsidRPr="00350A5C">
        <w:rPr>
          <w:lang w:val="en-GB"/>
        </w:rPr>
        <w:t>s</w:t>
      </w:r>
      <w:r w:rsidR="007F248A" w:rsidRPr="00350A5C">
        <w:rPr>
          <w:lang w:val="en-GB"/>
        </w:rPr>
        <w:t xml:space="preserve"> </w:t>
      </w:r>
      <w:r w:rsidR="00221258" w:rsidRPr="00350A5C">
        <w:rPr>
          <w:lang w:val="en-GB"/>
        </w:rPr>
        <w:t>developed</w:t>
      </w:r>
      <w:r w:rsidR="007F248A" w:rsidRPr="00350A5C">
        <w:rPr>
          <w:lang w:val="en-GB"/>
        </w:rPr>
        <w:t xml:space="preserve"> to</w:t>
      </w:r>
      <w:r w:rsidR="000E1861" w:rsidRPr="00350A5C">
        <w:rPr>
          <w:lang w:val="en-GB"/>
        </w:rPr>
        <w:t xml:space="preserve"> account for nitrogen and carbon speciation into the </w:t>
      </w:r>
      <w:r w:rsidR="00402864" w:rsidRPr="00350A5C">
        <w:rPr>
          <w:lang w:val="en-GB"/>
        </w:rPr>
        <w:t>sorbent solution</w:t>
      </w:r>
      <w:r w:rsidR="000E1861" w:rsidRPr="00350A5C">
        <w:rPr>
          <w:lang w:val="en-GB"/>
        </w:rPr>
        <w:t xml:space="preserve"> and</w:t>
      </w:r>
      <w:r w:rsidR="007F248A" w:rsidRPr="00350A5C">
        <w:rPr>
          <w:lang w:val="en-GB"/>
        </w:rPr>
        <w:t xml:space="preserve"> </w:t>
      </w:r>
      <w:r w:rsidR="00221258" w:rsidRPr="00350A5C">
        <w:rPr>
          <w:lang w:val="en-GB"/>
        </w:rPr>
        <w:t>write</w:t>
      </w:r>
      <w:r w:rsidR="007F248A" w:rsidRPr="00350A5C">
        <w:rPr>
          <w:lang w:val="en-GB"/>
        </w:rPr>
        <w:t xml:space="preserve"> a</w:t>
      </w:r>
      <w:r w:rsidR="000E1861" w:rsidRPr="00350A5C">
        <w:rPr>
          <w:lang w:val="en-GB"/>
        </w:rPr>
        <w:t>n accurate</w:t>
      </w:r>
      <w:r w:rsidR="007F248A" w:rsidRPr="00350A5C">
        <w:rPr>
          <w:lang w:val="en-GB"/>
        </w:rPr>
        <w:t xml:space="preserve"> </w:t>
      </w:r>
      <w:r w:rsidR="007F248A" w:rsidRPr="00350A5C">
        <w:rPr>
          <w:lang w:val="en-GB"/>
        </w:rPr>
        <w:lastRenderedPageBreak/>
        <w:t>mathematical model for the simulation of unsteady-state</w:t>
      </w:r>
      <w:r w:rsidR="00402864" w:rsidRPr="00350A5C">
        <w:rPr>
          <w:lang w:val="en-GB"/>
        </w:rPr>
        <w:t xml:space="preserve"> bubble column</w:t>
      </w:r>
      <w:r w:rsidR="007F248A" w:rsidRPr="00350A5C">
        <w:rPr>
          <w:lang w:val="en-GB"/>
        </w:rPr>
        <w:t xml:space="preserve"> operati</w:t>
      </w:r>
      <w:r w:rsidR="000E1861" w:rsidRPr="00350A5C">
        <w:rPr>
          <w:lang w:val="en-GB"/>
        </w:rPr>
        <w:t>on</w:t>
      </w:r>
      <w:r w:rsidR="007F248A" w:rsidRPr="00350A5C">
        <w:rPr>
          <w:lang w:val="en-GB"/>
        </w:rPr>
        <w:t xml:space="preserve">. The model </w:t>
      </w:r>
      <w:r w:rsidR="00402864" w:rsidRPr="00350A5C">
        <w:rPr>
          <w:lang w:val="en-GB"/>
        </w:rPr>
        <w:t>equations</w:t>
      </w:r>
      <w:r w:rsidR="007F248A" w:rsidRPr="00350A5C">
        <w:rPr>
          <w:lang w:val="en-GB"/>
        </w:rPr>
        <w:t xml:space="preserve"> </w:t>
      </w:r>
      <w:r w:rsidR="000604AB" w:rsidRPr="00350A5C">
        <w:rPr>
          <w:lang w:val="en-GB"/>
        </w:rPr>
        <w:t>manage</w:t>
      </w:r>
      <w:r w:rsidR="001B3B49" w:rsidRPr="00350A5C">
        <w:rPr>
          <w:lang w:val="en-GB"/>
        </w:rPr>
        <w:t>d</w:t>
      </w:r>
      <w:r w:rsidR="007F248A" w:rsidRPr="00350A5C">
        <w:rPr>
          <w:lang w:val="en-GB"/>
        </w:rPr>
        <w:t xml:space="preserve"> to determine </w:t>
      </w:r>
      <w:r w:rsidR="005C735C" w:rsidRPr="00350A5C">
        <w:rPr>
          <w:lang w:val="en-GB"/>
        </w:rPr>
        <w:t xml:space="preserve">the time profile of the capture efficiency and </w:t>
      </w:r>
      <w:r w:rsidR="00FB2EFA" w:rsidRPr="00350A5C">
        <w:rPr>
          <w:lang w:val="en-GB"/>
        </w:rPr>
        <w:t>sorbent solution chemical composition</w:t>
      </w:r>
      <w:r w:rsidR="005C735C" w:rsidRPr="00350A5C">
        <w:rPr>
          <w:lang w:val="en-GB"/>
        </w:rPr>
        <w:t xml:space="preserve"> with a good accuracy compared to</w:t>
      </w:r>
      <w:r w:rsidR="00FB2EFA" w:rsidRPr="00350A5C">
        <w:rPr>
          <w:lang w:val="en-GB"/>
        </w:rPr>
        <w:t xml:space="preserve"> experimental results, obtained with a lab-scale </w:t>
      </w:r>
      <w:r w:rsidR="00086456" w:rsidRPr="00350A5C">
        <w:rPr>
          <w:lang w:val="en-GB"/>
        </w:rPr>
        <w:t>bubble column</w:t>
      </w:r>
      <w:r w:rsidR="00FB2EFA" w:rsidRPr="00350A5C">
        <w:rPr>
          <w:lang w:val="en-GB"/>
        </w:rPr>
        <w:t xml:space="preserve">, </w:t>
      </w:r>
      <w:r w:rsidR="00326293" w:rsidRPr="00350A5C">
        <w:rPr>
          <w:lang w:val="en-GB"/>
        </w:rPr>
        <w:t>for</w:t>
      </w:r>
      <w:r w:rsidR="007B2A45" w:rsidRPr="00350A5C">
        <w:rPr>
          <w:lang w:val="en-GB"/>
        </w:rPr>
        <w:t xml:space="preserve"> </w:t>
      </w:r>
      <w:r w:rsidR="005C735C" w:rsidRPr="00350A5C">
        <w:rPr>
          <w:lang w:val="en-GB"/>
        </w:rPr>
        <w:t>different</w:t>
      </w:r>
      <w:r w:rsidR="005D613F" w:rsidRPr="00350A5C">
        <w:rPr>
          <w:lang w:val="en-GB"/>
        </w:rPr>
        <w:t xml:space="preserve"> </w:t>
      </w:r>
      <w:r w:rsidR="007B2A45" w:rsidRPr="00350A5C">
        <w:rPr>
          <w:lang w:val="en-GB"/>
        </w:rPr>
        <w:t>operating condition</w:t>
      </w:r>
      <w:r w:rsidR="00221258" w:rsidRPr="00350A5C">
        <w:rPr>
          <w:lang w:val="en-GB"/>
        </w:rPr>
        <w:t>s</w:t>
      </w:r>
      <w:r w:rsidR="00B35D2B" w:rsidRPr="00350A5C">
        <w:rPr>
          <w:lang w:val="en-GB"/>
        </w:rPr>
        <w:t>.</w:t>
      </w:r>
      <w:r w:rsidR="00E9562F" w:rsidRPr="00350A5C">
        <w:rPr>
          <w:lang w:val="en-GB"/>
        </w:rPr>
        <w:t xml:space="preserve"> </w:t>
      </w:r>
      <w:r w:rsidR="00F428EC">
        <w:rPr>
          <w:lang w:val="en-GB"/>
        </w:rPr>
        <w:t>A</w:t>
      </w:r>
      <w:r w:rsidR="00C2215F" w:rsidRPr="00350A5C">
        <w:rPr>
          <w:lang w:val="en-GB"/>
        </w:rPr>
        <w:t xml:space="preserve"> model </w:t>
      </w:r>
      <w:r w:rsidR="005C735C" w:rsidRPr="00350A5C">
        <w:rPr>
          <w:lang w:val="en-GB"/>
        </w:rPr>
        <w:t>to simulate the steady-state operation of</w:t>
      </w:r>
      <w:r w:rsidR="00C2215F" w:rsidRPr="00350A5C">
        <w:rPr>
          <w:lang w:val="en-GB"/>
        </w:rPr>
        <w:t xml:space="preserve"> packed bed </w:t>
      </w:r>
      <w:r w:rsidR="005C735C" w:rsidRPr="00350A5C">
        <w:rPr>
          <w:lang w:val="en-GB"/>
        </w:rPr>
        <w:t>column</w:t>
      </w:r>
      <w:r w:rsidR="00221258" w:rsidRPr="00350A5C">
        <w:rPr>
          <w:lang w:val="en-GB"/>
        </w:rPr>
        <w:t>s</w:t>
      </w:r>
      <w:r w:rsidR="008E6E0E" w:rsidRPr="00350A5C">
        <w:rPr>
          <w:lang w:val="en-GB"/>
        </w:rPr>
        <w:t xml:space="preserve"> </w:t>
      </w:r>
      <w:r w:rsidR="00FD5AC9" w:rsidRPr="00350A5C">
        <w:rPr>
          <w:lang w:val="en-GB"/>
        </w:rPr>
        <w:t>wa</w:t>
      </w:r>
      <w:r w:rsidR="008E6E0E" w:rsidRPr="00350A5C">
        <w:rPr>
          <w:lang w:val="en-GB"/>
        </w:rPr>
        <w:t xml:space="preserve">s </w:t>
      </w:r>
      <w:r w:rsidR="00F428EC">
        <w:rPr>
          <w:lang w:val="en-GB"/>
        </w:rPr>
        <w:t xml:space="preserve">then </w:t>
      </w:r>
      <w:r w:rsidR="008E6E0E" w:rsidRPr="00350A5C">
        <w:rPr>
          <w:lang w:val="en-GB"/>
        </w:rPr>
        <w:t xml:space="preserve">written and </w:t>
      </w:r>
      <w:r w:rsidR="000604AB" w:rsidRPr="00350A5C">
        <w:rPr>
          <w:lang w:val="en-GB"/>
        </w:rPr>
        <w:t xml:space="preserve">used to implement a design </w:t>
      </w:r>
      <w:r w:rsidR="008E6E0E" w:rsidRPr="00350A5C">
        <w:rPr>
          <w:lang w:val="en-GB"/>
        </w:rPr>
        <w:t xml:space="preserve">algorithm </w:t>
      </w:r>
      <w:r w:rsidR="000604AB" w:rsidRPr="00350A5C">
        <w:rPr>
          <w:lang w:val="en-GB"/>
        </w:rPr>
        <w:t xml:space="preserve">for </w:t>
      </w:r>
      <w:r w:rsidR="00C2215F" w:rsidRPr="00350A5C">
        <w:rPr>
          <w:lang w:val="en-GB"/>
        </w:rPr>
        <w:t>the column height determination.</w:t>
      </w:r>
      <w:r w:rsidR="00086456" w:rsidRPr="00350A5C">
        <w:rPr>
          <w:lang w:val="en-GB"/>
        </w:rPr>
        <w:t xml:space="preserve"> </w:t>
      </w:r>
      <w:r w:rsidR="00F428EC">
        <w:rPr>
          <w:lang w:val="en-GB"/>
        </w:rPr>
        <w:t>E</w:t>
      </w:r>
      <w:r w:rsidR="00086456" w:rsidRPr="00350A5C">
        <w:rPr>
          <w:lang w:val="en-GB"/>
        </w:rPr>
        <w:t>xperimental trials w</w:t>
      </w:r>
      <w:r w:rsidR="0023515F" w:rsidRPr="00350A5C">
        <w:rPr>
          <w:lang w:val="en-GB"/>
        </w:rPr>
        <w:t>ere</w:t>
      </w:r>
      <w:r w:rsidR="00086456" w:rsidRPr="00350A5C">
        <w:rPr>
          <w:lang w:val="en-GB"/>
        </w:rPr>
        <w:t xml:space="preserve"> performed on a</w:t>
      </w:r>
      <w:r w:rsidR="008E3EA8" w:rsidRPr="00350A5C">
        <w:rPr>
          <w:lang w:val="en-GB"/>
        </w:rPr>
        <w:t xml:space="preserve"> lab-scale packed column</w:t>
      </w:r>
      <w:r w:rsidR="001B3B49" w:rsidRPr="00350A5C">
        <w:rPr>
          <w:lang w:val="en-GB"/>
        </w:rPr>
        <w:t xml:space="preserve"> </w:t>
      </w:r>
      <w:r w:rsidR="00086456" w:rsidRPr="00350A5C">
        <w:rPr>
          <w:lang w:val="en-GB"/>
        </w:rPr>
        <w:t xml:space="preserve">where </w:t>
      </w:r>
      <w:r w:rsidR="008E3EA8" w:rsidRPr="00350A5C">
        <w:rPr>
          <w:lang w:val="en-GB"/>
        </w:rPr>
        <w:t xml:space="preserve">the capture efficiency </w:t>
      </w:r>
      <w:r w:rsidR="00F428EC" w:rsidRPr="00350A5C">
        <w:rPr>
          <w:lang w:val="en-GB"/>
        </w:rPr>
        <w:t>was</w:t>
      </w:r>
      <w:r w:rsidR="008E3EA8" w:rsidRPr="00350A5C">
        <w:rPr>
          <w:lang w:val="en-GB"/>
        </w:rPr>
        <w:t xml:space="preserve"> measured</w:t>
      </w:r>
      <w:r w:rsidR="001B3B49" w:rsidRPr="00350A5C">
        <w:rPr>
          <w:lang w:val="en-GB"/>
        </w:rPr>
        <w:t xml:space="preserve"> </w:t>
      </w:r>
      <w:r w:rsidR="00086456" w:rsidRPr="00350A5C">
        <w:rPr>
          <w:lang w:val="en-GB"/>
        </w:rPr>
        <w:t>to be used</w:t>
      </w:r>
      <w:r w:rsidR="001B3B49" w:rsidRPr="00350A5C">
        <w:rPr>
          <w:lang w:val="en-GB"/>
        </w:rPr>
        <w:t xml:space="preserve"> as input in the design algorithm that </w:t>
      </w:r>
      <w:r w:rsidR="00086456" w:rsidRPr="00350A5C">
        <w:rPr>
          <w:lang w:val="en-GB"/>
        </w:rPr>
        <w:t>turned out to be able</w:t>
      </w:r>
      <w:r w:rsidR="001B3B49" w:rsidRPr="00350A5C">
        <w:rPr>
          <w:lang w:val="en-GB"/>
        </w:rPr>
        <w:t xml:space="preserve"> to approximate the actual height of the capture d</w:t>
      </w:r>
      <w:r w:rsidR="00326293" w:rsidRPr="00350A5C">
        <w:rPr>
          <w:lang w:val="en-GB"/>
        </w:rPr>
        <w:t>evice</w:t>
      </w:r>
      <w:r w:rsidR="00F428EC">
        <w:rPr>
          <w:lang w:val="en-GB"/>
        </w:rPr>
        <w:t xml:space="preserve">. </w:t>
      </w:r>
    </w:p>
    <w:p w14:paraId="05932AEF" w14:textId="77777777" w:rsidR="00E9562F" w:rsidRPr="00350A5C" w:rsidRDefault="00E9562F" w:rsidP="00E9562F">
      <w:pPr>
        <w:pStyle w:val="CETHeadingxx"/>
        <w:rPr>
          <w:lang w:val="en-GB"/>
        </w:rPr>
        <w:sectPr w:rsidR="00E9562F" w:rsidRPr="00350A5C" w:rsidSect="00643372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 w:rsidRPr="00350A5C">
        <w:rPr>
          <w:lang w:val="en-GB"/>
        </w:rPr>
        <w:t>Nomenclature</w:t>
      </w:r>
    </w:p>
    <w:p w14:paraId="79E2C9AB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a</w:t>
      </w:r>
      <w:r w:rsidRPr="00350A5C">
        <w:rPr>
          <w:rFonts w:eastAsia="SimSun"/>
          <w:vertAlign w:val="subscript"/>
          <w:lang w:val="en-GB"/>
        </w:rPr>
        <w:t>w</w:t>
      </w:r>
      <w:r w:rsidRPr="00350A5C">
        <w:rPr>
          <w:rFonts w:eastAsia="SimSun"/>
          <w:lang w:val="en-GB"/>
        </w:rPr>
        <w:t xml:space="preserve"> – Wetted area per unit volume, m</w:t>
      </w:r>
      <w:r w:rsidRPr="00350A5C">
        <w:rPr>
          <w:rFonts w:eastAsia="SimSun"/>
          <w:vertAlign w:val="superscript"/>
          <w:lang w:val="en-GB"/>
        </w:rPr>
        <w:t>2</w:t>
      </w:r>
      <w:r w:rsidRPr="00350A5C">
        <w:rPr>
          <w:rFonts w:eastAsia="SimSun"/>
          <w:lang w:val="en-GB"/>
        </w:rPr>
        <w:t>/</w:t>
      </w:r>
      <w:proofErr w:type="gramStart"/>
      <w:r w:rsidRPr="00350A5C">
        <w:rPr>
          <w:rFonts w:eastAsia="SimSun"/>
          <w:lang w:val="en-GB"/>
        </w:rPr>
        <w:t>m</w:t>
      </w:r>
      <w:r w:rsidRPr="00350A5C">
        <w:rPr>
          <w:rFonts w:eastAsia="SimSun"/>
          <w:vertAlign w:val="superscript"/>
          <w:lang w:val="en-GB"/>
        </w:rPr>
        <w:t>3</w:t>
      </w:r>
      <w:proofErr w:type="gramEnd"/>
    </w:p>
    <w:p w14:paraId="0C5FA3D4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C</w:t>
      </w:r>
      <w:r w:rsidRPr="00350A5C">
        <w:rPr>
          <w:rFonts w:eastAsia="SimSun"/>
          <w:vertAlign w:val="subscript"/>
          <w:lang w:val="en-GB"/>
        </w:rPr>
        <w:t>i</w:t>
      </w:r>
      <w:r w:rsidRPr="00350A5C">
        <w:rPr>
          <w:rFonts w:eastAsia="SimSun"/>
          <w:lang w:val="en-GB"/>
        </w:rPr>
        <w:t xml:space="preserve"> – </w:t>
      </w:r>
      <w:proofErr w:type="spellStart"/>
      <w:r w:rsidRPr="00350A5C">
        <w:rPr>
          <w:rFonts w:eastAsia="SimSun"/>
          <w:lang w:val="en-GB"/>
        </w:rPr>
        <w:t>i</w:t>
      </w:r>
      <w:r w:rsidRPr="00350A5C">
        <w:rPr>
          <w:rFonts w:eastAsia="SimSun"/>
          <w:vertAlign w:val="superscript"/>
          <w:lang w:val="en-GB"/>
        </w:rPr>
        <w:t>th</w:t>
      </w:r>
      <w:proofErr w:type="spellEnd"/>
      <w:r w:rsidRPr="00350A5C">
        <w:rPr>
          <w:rFonts w:eastAsia="SimSun"/>
          <w:lang w:val="en-GB"/>
        </w:rPr>
        <w:t xml:space="preserve"> species liquid phase concentration, mol/m</w:t>
      </w:r>
      <w:r w:rsidRPr="00350A5C">
        <w:rPr>
          <w:rFonts w:eastAsia="SimSun"/>
          <w:vertAlign w:val="superscript"/>
          <w:lang w:val="en-GB"/>
        </w:rPr>
        <w:t>3</w:t>
      </w:r>
    </w:p>
    <w:p w14:paraId="4C1CB57C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H</w:t>
      </w:r>
      <w:r w:rsidRPr="00350A5C">
        <w:rPr>
          <w:rFonts w:eastAsia="SimSun"/>
          <w:vertAlign w:val="subscript"/>
          <w:lang w:val="en-GB"/>
        </w:rPr>
        <w:t>i</w:t>
      </w:r>
      <w:r w:rsidRPr="00350A5C">
        <w:rPr>
          <w:rFonts w:eastAsia="SimSun"/>
          <w:lang w:val="en-GB"/>
        </w:rPr>
        <w:t xml:space="preserve"> – </w:t>
      </w:r>
      <w:proofErr w:type="spellStart"/>
      <w:r w:rsidRPr="00350A5C">
        <w:rPr>
          <w:rFonts w:eastAsia="SimSun"/>
          <w:lang w:val="en-GB"/>
        </w:rPr>
        <w:t>i</w:t>
      </w:r>
      <w:r w:rsidRPr="00350A5C">
        <w:rPr>
          <w:rFonts w:eastAsia="SimSun"/>
          <w:vertAlign w:val="superscript"/>
          <w:lang w:val="en-GB"/>
        </w:rPr>
        <w:t>th</w:t>
      </w:r>
      <w:proofErr w:type="spellEnd"/>
      <w:r w:rsidRPr="00350A5C">
        <w:rPr>
          <w:rFonts w:eastAsia="SimSun"/>
          <w:lang w:val="en-GB"/>
        </w:rPr>
        <w:t xml:space="preserve"> species Henry constant, (Pa</w:t>
      </w:r>
      <w:r w:rsidRPr="00350A5C">
        <w:rPr>
          <w:rFonts w:eastAsia="SimSun" w:cs="Arial"/>
          <w:lang w:val="en-GB"/>
        </w:rPr>
        <w:t>ꞏ</w:t>
      </w:r>
      <w:r w:rsidRPr="00350A5C">
        <w:rPr>
          <w:rFonts w:eastAsia="SimSun"/>
          <w:lang w:val="en-GB"/>
        </w:rPr>
        <w:t>m</w:t>
      </w:r>
      <w:r w:rsidRPr="00350A5C">
        <w:rPr>
          <w:rFonts w:eastAsia="SimSun"/>
          <w:vertAlign w:val="superscript"/>
          <w:lang w:val="en-GB"/>
        </w:rPr>
        <w:t>3</w:t>
      </w:r>
      <w:r w:rsidRPr="00350A5C">
        <w:rPr>
          <w:rFonts w:eastAsia="SimSun"/>
          <w:lang w:val="en-GB"/>
        </w:rPr>
        <w:t>)/</w:t>
      </w:r>
      <w:proofErr w:type="gramStart"/>
      <w:r w:rsidRPr="00350A5C">
        <w:rPr>
          <w:rFonts w:eastAsia="SimSun"/>
          <w:lang w:val="en-GB"/>
        </w:rPr>
        <w:t>mol</w:t>
      </w:r>
      <w:proofErr w:type="gramEnd"/>
      <w:r w:rsidRPr="00350A5C">
        <w:rPr>
          <w:rFonts w:eastAsia="SimSun"/>
          <w:lang w:val="en-GB"/>
        </w:rPr>
        <w:t xml:space="preserve"> </w:t>
      </w:r>
    </w:p>
    <w:p w14:paraId="046B3C1A" w14:textId="77777777" w:rsidR="00E9562F" w:rsidRPr="00350A5C" w:rsidRDefault="00E9562F" w:rsidP="00E9562F">
      <w:pPr>
        <w:pStyle w:val="CETBodytext"/>
        <w:ind w:right="-356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J</w:t>
      </w:r>
      <w:r w:rsidRPr="00350A5C">
        <w:rPr>
          <w:rFonts w:eastAsia="SimSun"/>
          <w:vertAlign w:val="subscript"/>
          <w:lang w:val="en-GB"/>
        </w:rPr>
        <w:t>i</w:t>
      </w:r>
      <w:r w:rsidRPr="00350A5C">
        <w:rPr>
          <w:rFonts w:eastAsia="SimSun"/>
          <w:lang w:val="en-GB"/>
        </w:rPr>
        <w:t xml:space="preserve"> – </w:t>
      </w:r>
      <w:proofErr w:type="spellStart"/>
      <w:r w:rsidRPr="00350A5C">
        <w:rPr>
          <w:rFonts w:eastAsia="SimSun"/>
          <w:lang w:val="en-GB"/>
        </w:rPr>
        <w:t>i</w:t>
      </w:r>
      <w:r w:rsidRPr="00350A5C">
        <w:rPr>
          <w:rFonts w:eastAsia="SimSun"/>
          <w:vertAlign w:val="superscript"/>
          <w:lang w:val="en-GB"/>
        </w:rPr>
        <w:t>th</w:t>
      </w:r>
      <w:proofErr w:type="spellEnd"/>
      <w:r w:rsidRPr="00350A5C">
        <w:rPr>
          <w:rFonts w:eastAsia="SimSun"/>
          <w:lang w:val="en-GB"/>
        </w:rPr>
        <w:t xml:space="preserve"> species molar flux, mol/(s</w:t>
      </w:r>
      <w:r w:rsidRPr="00350A5C">
        <w:rPr>
          <w:rFonts w:eastAsia="SimSun" w:cs="Arial"/>
          <w:lang w:val="en-GB"/>
        </w:rPr>
        <w:t>ꞏ</w:t>
      </w:r>
      <w:r w:rsidRPr="00350A5C">
        <w:rPr>
          <w:rFonts w:eastAsia="SimSun"/>
          <w:lang w:val="en-GB"/>
        </w:rPr>
        <w:t>m</w:t>
      </w:r>
      <w:r w:rsidRPr="00350A5C">
        <w:rPr>
          <w:rFonts w:eastAsia="SimSun"/>
          <w:vertAlign w:val="superscript"/>
          <w:lang w:val="en-GB"/>
        </w:rPr>
        <w:t>2</w:t>
      </w:r>
      <w:r w:rsidRPr="00350A5C">
        <w:rPr>
          <w:rFonts w:eastAsia="SimSun"/>
          <w:lang w:val="en-GB"/>
        </w:rPr>
        <w:t>)</w:t>
      </w:r>
    </w:p>
    <w:p w14:paraId="508A2948" w14:textId="6D7ADA94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K</w:t>
      </w:r>
      <w:r w:rsidRPr="00350A5C">
        <w:rPr>
          <w:rFonts w:eastAsia="SimSun"/>
          <w:vertAlign w:val="subscript"/>
          <w:lang w:val="en-GB"/>
        </w:rPr>
        <w:t>G</w:t>
      </w:r>
      <w:r w:rsidR="00326293" w:rsidRPr="00350A5C">
        <w:rPr>
          <w:rFonts w:eastAsia="SimSun"/>
          <w:vertAlign w:val="subscript"/>
          <w:lang w:val="en-GB"/>
        </w:rPr>
        <w:t>(L</w:t>
      </w:r>
      <w:proofErr w:type="gramStart"/>
      <w:r w:rsidR="00326293" w:rsidRPr="00350A5C">
        <w:rPr>
          <w:rFonts w:eastAsia="SimSun"/>
          <w:vertAlign w:val="subscript"/>
          <w:lang w:val="en-GB"/>
        </w:rPr>
        <w:t>)</w:t>
      </w:r>
      <w:r w:rsidRPr="00350A5C">
        <w:rPr>
          <w:rFonts w:eastAsia="SimSun"/>
          <w:vertAlign w:val="subscript"/>
          <w:lang w:val="en-GB"/>
        </w:rPr>
        <w:t>,i</w:t>
      </w:r>
      <w:proofErr w:type="gramEnd"/>
      <w:r w:rsidRPr="00350A5C">
        <w:rPr>
          <w:rFonts w:eastAsia="SimSun"/>
          <w:lang w:val="en-GB"/>
        </w:rPr>
        <w:t xml:space="preserve"> – Gas</w:t>
      </w:r>
      <w:r w:rsidR="00326293" w:rsidRPr="00350A5C">
        <w:rPr>
          <w:rFonts w:eastAsia="SimSun"/>
          <w:lang w:val="en-GB"/>
        </w:rPr>
        <w:t xml:space="preserve"> (liquid)</w:t>
      </w:r>
      <w:r w:rsidRPr="00350A5C">
        <w:rPr>
          <w:rFonts w:eastAsia="SimSun"/>
          <w:lang w:val="en-GB"/>
        </w:rPr>
        <w:t xml:space="preserve"> </w:t>
      </w:r>
      <w:r w:rsidR="001B3B49" w:rsidRPr="00350A5C">
        <w:rPr>
          <w:rFonts w:eastAsia="SimSun"/>
          <w:lang w:val="en-GB"/>
        </w:rPr>
        <w:t xml:space="preserve">overall </w:t>
      </w:r>
      <w:r w:rsidRPr="00350A5C">
        <w:rPr>
          <w:rFonts w:eastAsia="SimSun"/>
          <w:lang w:val="en-GB"/>
        </w:rPr>
        <w:t>transfer coefficient,</w:t>
      </w:r>
      <w:r w:rsidR="001B3B49" w:rsidRPr="00350A5C">
        <w:rPr>
          <w:rFonts w:eastAsia="SimSun"/>
          <w:lang w:val="en-GB"/>
        </w:rPr>
        <w:t xml:space="preserve"> </w:t>
      </w:r>
      <w:r w:rsidRPr="00350A5C">
        <w:rPr>
          <w:rFonts w:eastAsia="SimSun"/>
          <w:lang w:val="en-GB"/>
        </w:rPr>
        <w:t>mol/(Pa</w:t>
      </w:r>
      <w:r w:rsidRPr="00350A5C">
        <w:rPr>
          <w:rFonts w:eastAsia="SimSun" w:cs="Arial"/>
          <w:lang w:val="en-GB"/>
        </w:rPr>
        <w:t>ꞏ</w:t>
      </w:r>
      <w:r w:rsidRPr="00350A5C">
        <w:rPr>
          <w:rFonts w:eastAsia="SimSun"/>
          <w:lang w:val="en-GB"/>
        </w:rPr>
        <w:t>s</w:t>
      </w:r>
      <w:r w:rsidRPr="00350A5C">
        <w:rPr>
          <w:rFonts w:eastAsia="SimSun" w:cs="Arial"/>
          <w:lang w:val="en-GB"/>
        </w:rPr>
        <w:t>ꞏ</w:t>
      </w:r>
      <w:r w:rsidRPr="00350A5C">
        <w:rPr>
          <w:rFonts w:eastAsia="SimSun"/>
          <w:lang w:val="en-GB"/>
        </w:rPr>
        <w:t>m</w:t>
      </w:r>
      <w:r w:rsidRPr="00350A5C">
        <w:rPr>
          <w:rFonts w:eastAsia="SimSun"/>
          <w:vertAlign w:val="superscript"/>
          <w:lang w:val="en-GB"/>
        </w:rPr>
        <w:t>2</w:t>
      </w:r>
      <w:r w:rsidRPr="00350A5C">
        <w:rPr>
          <w:rFonts w:eastAsia="SimSun"/>
          <w:lang w:val="en-GB"/>
        </w:rPr>
        <w:t>)</w:t>
      </w:r>
      <w:r w:rsidR="00326293" w:rsidRPr="00350A5C">
        <w:rPr>
          <w:rFonts w:eastAsia="SimSun"/>
          <w:lang w:val="en-GB"/>
        </w:rPr>
        <w:t>, (</w:t>
      </w:r>
      <w:r w:rsidRPr="00350A5C">
        <w:rPr>
          <w:rFonts w:eastAsia="SimSun"/>
          <w:lang w:val="en-GB"/>
        </w:rPr>
        <w:t>m/s</w:t>
      </w:r>
      <w:r w:rsidR="00326293" w:rsidRPr="00350A5C">
        <w:rPr>
          <w:rFonts w:eastAsia="SimSun"/>
          <w:lang w:val="en-GB"/>
        </w:rPr>
        <w:t>)</w:t>
      </w:r>
    </w:p>
    <w:p w14:paraId="5F5E9415" w14:textId="43273D20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 xml:space="preserve">N – </w:t>
      </w:r>
      <w:r w:rsidR="001B3B49" w:rsidRPr="00350A5C">
        <w:rPr>
          <w:rFonts w:eastAsia="SimSun"/>
          <w:lang w:val="en-GB"/>
        </w:rPr>
        <w:t>M</w:t>
      </w:r>
      <w:r w:rsidRPr="00350A5C">
        <w:rPr>
          <w:rFonts w:eastAsia="SimSun"/>
          <w:lang w:val="en-GB"/>
        </w:rPr>
        <w:t>olar flow rate, mol/s</w:t>
      </w:r>
    </w:p>
    <w:p w14:paraId="742897E7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p</w:t>
      </w:r>
      <w:r w:rsidRPr="00350A5C">
        <w:rPr>
          <w:rFonts w:eastAsia="SimSun"/>
          <w:vertAlign w:val="subscript"/>
          <w:lang w:val="en-GB"/>
        </w:rPr>
        <w:t>i</w:t>
      </w:r>
      <w:r w:rsidRPr="00350A5C">
        <w:rPr>
          <w:rFonts w:eastAsia="SimSun"/>
          <w:lang w:val="en-GB"/>
        </w:rPr>
        <w:t xml:space="preserve"> – </w:t>
      </w:r>
      <w:proofErr w:type="spellStart"/>
      <w:r w:rsidRPr="00350A5C">
        <w:rPr>
          <w:rFonts w:eastAsia="SimSun"/>
          <w:lang w:val="en-GB"/>
        </w:rPr>
        <w:t>i</w:t>
      </w:r>
      <w:r w:rsidRPr="00350A5C">
        <w:rPr>
          <w:rFonts w:eastAsia="SimSun"/>
          <w:vertAlign w:val="superscript"/>
          <w:lang w:val="en-GB"/>
        </w:rPr>
        <w:t>th</w:t>
      </w:r>
      <w:proofErr w:type="spellEnd"/>
      <w:r w:rsidRPr="00350A5C">
        <w:rPr>
          <w:rFonts w:eastAsia="SimSun"/>
          <w:lang w:val="en-GB"/>
        </w:rPr>
        <w:t xml:space="preserve"> species gas phase partial pressure, </w:t>
      </w:r>
      <w:proofErr w:type="gramStart"/>
      <w:r w:rsidRPr="00350A5C">
        <w:rPr>
          <w:rFonts w:eastAsia="SimSun"/>
          <w:lang w:val="en-GB"/>
        </w:rPr>
        <w:t>Pa</w:t>
      </w:r>
      <w:proofErr w:type="gramEnd"/>
    </w:p>
    <w:p w14:paraId="54587E97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R – Gas constant, J/(</w:t>
      </w:r>
      <w:proofErr w:type="spellStart"/>
      <w:r w:rsidRPr="00350A5C">
        <w:rPr>
          <w:rFonts w:eastAsia="SimSun"/>
          <w:lang w:val="en-GB"/>
        </w:rPr>
        <w:t>mol</w:t>
      </w:r>
      <w:r w:rsidRPr="00350A5C">
        <w:rPr>
          <w:rFonts w:eastAsia="SimSun" w:cs="Arial"/>
          <w:lang w:val="en-GB"/>
        </w:rPr>
        <w:t>ꞏK</w:t>
      </w:r>
      <w:proofErr w:type="spellEnd"/>
      <w:r w:rsidRPr="00350A5C">
        <w:rPr>
          <w:rFonts w:eastAsia="SimSun"/>
          <w:lang w:val="en-GB"/>
        </w:rPr>
        <w:t>)</w:t>
      </w:r>
    </w:p>
    <w:p w14:paraId="61FD427E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S – gas-liquid transfer interface, m</w:t>
      </w:r>
      <w:r w:rsidRPr="00350A5C">
        <w:rPr>
          <w:rFonts w:eastAsia="SimSun"/>
          <w:vertAlign w:val="superscript"/>
          <w:lang w:val="en-GB"/>
        </w:rPr>
        <w:t>2</w:t>
      </w:r>
    </w:p>
    <w:p w14:paraId="53D7B002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t – Time, s</w:t>
      </w:r>
    </w:p>
    <w:p w14:paraId="41AD6CE9" w14:textId="77777777" w:rsidR="005C735C" w:rsidRPr="00350A5C" w:rsidRDefault="005C735C" w:rsidP="005C735C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T – Temperature, °C</w:t>
      </w:r>
    </w:p>
    <w:p w14:paraId="4371EEE0" w14:textId="01DCE43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proofErr w:type="spellStart"/>
      <w:r w:rsidRPr="00350A5C">
        <w:rPr>
          <w:rFonts w:eastAsia="SimSun"/>
          <w:lang w:val="en-GB"/>
        </w:rPr>
        <w:t>v</w:t>
      </w:r>
      <w:r w:rsidRPr="00350A5C">
        <w:rPr>
          <w:rFonts w:eastAsia="SimSun"/>
          <w:vertAlign w:val="subscript"/>
          <w:lang w:val="en-GB"/>
        </w:rPr>
        <w:t>G</w:t>
      </w:r>
      <w:proofErr w:type="spellEnd"/>
      <w:r w:rsidR="00326293" w:rsidRPr="00350A5C">
        <w:rPr>
          <w:rFonts w:eastAsia="SimSun"/>
          <w:vertAlign w:val="subscript"/>
          <w:lang w:val="en-GB"/>
        </w:rPr>
        <w:t>(L)</w:t>
      </w:r>
      <w:r w:rsidRPr="00350A5C">
        <w:rPr>
          <w:rFonts w:eastAsia="SimSun"/>
          <w:lang w:val="en-GB"/>
        </w:rPr>
        <w:t xml:space="preserve"> – Interstitial gas</w:t>
      </w:r>
      <w:r w:rsidR="00326293" w:rsidRPr="00350A5C">
        <w:rPr>
          <w:rFonts w:eastAsia="SimSun"/>
          <w:lang w:val="en-GB"/>
        </w:rPr>
        <w:t xml:space="preserve"> (liquid)</w:t>
      </w:r>
      <w:r w:rsidRPr="00350A5C">
        <w:rPr>
          <w:rFonts w:eastAsia="SimSun"/>
          <w:lang w:val="en-GB"/>
        </w:rPr>
        <w:t xml:space="preserve"> velocity, m/s </w:t>
      </w:r>
    </w:p>
    <w:p w14:paraId="008AFD57" w14:textId="6E2A95D4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>V</w:t>
      </w:r>
      <w:r w:rsidRPr="00350A5C">
        <w:rPr>
          <w:rFonts w:eastAsia="SimSun"/>
          <w:vertAlign w:val="subscript"/>
          <w:lang w:val="en-GB"/>
        </w:rPr>
        <w:t>G</w:t>
      </w:r>
      <w:r w:rsidR="00326293" w:rsidRPr="00350A5C">
        <w:rPr>
          <w:rFonts w:eastAsia="SimSun"/>
          <w:vertAlign w:val="subscript"/>
          <w:lang w:val="en-GB"/>
        </w:rPr>
        <w:t>(L)</w:t>
      </w:r>
      <w:r w:rsidRPr="00350A5C">
        <w:rPr>
          <w:rFonts w:eastAsia="SimSun"/>
          <w:lang w:val="en-GB"/>
        </w:rPr>
        <w:t xml:space="preserve"> – Gas</w:t>
      </w:r>
      <w:r w:rsidR="00326293" w:rsidRPr="00350A5C">
        <w:rPr>
          <w:rFonts w:eastAsia="SimSun"/>
          <w:lang w:val="en-GB"/>
        </w:rPr>
        <w:t xml:space="preserve"> (liquid)</w:t>
      </w:r>
      <w:r w:rsidRPr="00350A5C">
        <w:rPr>
          <w:rFonts w:eastAsia="SimSun"/>
          <w:lang w:val="en-GB"/>
        </w:rPr>
        <w:t xml:space="preserve"> phase volume, m</w:t>
      </w:r>
      <w:r w:rsidRPr="00350A5C">
        <w:rPr>
          <w:rFonts w:eastAsia="SimSun"/>
          <w:vertAlign w:val="superscript"/>
          <w:lang w:val="en-GB"/>
        </w:rPr>
        <w:t>3</w:t>
      </w:r>
    </w:p>
    <w:p w14:paraId="6F25A029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proofErr w:type="spellStart"/>
      <w:r w:rsidRPr="00350A5C">
        <w:rPr>
          <w:rFonts w:eastAsia="SimSun"/>
          <w:lang w:val="en-GB"/>
        </w:rPr>
        <w:t>y</w:t>
      </w:r>
      <w:r w:rsidRPr="00350A5C">
        <w:rPr>
          <w:rFonts w:eastAsia="SimSun"/>
          <w:vertAlign w:val="subscript"/>
          <w:lang w:val="en-GB"/>
        </w:rPr>
        <w:t>i</w:t>
      </w:r>
      <w:proofErr w:type="spellEnd"/>
      <w:r w:rsidRPr="00350A5C">
        <w:rPr>
          <w:rFonts w:eastAsia="SimSun"/>
          <w:lang w:val="en-GB"/>
        </w:rPr>
        <w:t xml:space="preserve"> – </w:t>
      </w:r>
      <w:proofErr w:type="spellStart"/>
      <w:r w:rsidRPr="00350A5C">
        <w:rPr>
          <w:rFonts w:eastAsia="SimSun"/>
          <w:lang w:val="en-GB"/>
        </w:rPr>
        <w:t>i</w:t>
      </w:r>
      <w:r w:rsidRPr="00350A5C">
        <w:rPr>
          <w:rFonts w:eastAsia="SimSun"/>
          <w:vertAlign w:val="superscript"/>
          <w:lang w:val="en-GB"/>
        </w:rPr>
        <w:t>th</w:t>
      </w:r>
      <w:proofErr w:type="spellEnd"/>
      <w:r w:rsidRPr="00350A5C">
        <w:rPr>
          <w:rFonts w:eastAsia="SimSun"/>
          <w:lang w:val="en-GB"/>
        </w:rPr>
        <w:t xml:space="preserve"> species gas phase molar fraction, -</w:t>
      </w:r>
    </w:p>
    <w:p w14:paraId="30F1D29D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r w:rsidRPr="00350A5C">
        <w:rPr>
          <w:rFonts w:eastAsia="SimSun"/>
          <w:lang w:val="en-GB"/>
        </w:rPr>
        <w:t xml:space="preserve">z – Spatial coordinate, m </w:t>
      </w:r>
    </w:p>
    <w:p w14:paraId="4829ADF2" w14:textId="7777777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proofErr w:type="spellStart"/>
      <w:r w:rsidRPr="00350A5C">
        <w:rPr>
          <w:rFonts w:ascii="Calibri" w:eastAsia="SimSun" w:hAnsi="Calibri" w:cs="Calibri"/>
          <w:lang w:val="en-GB"/>
        </w:rPr>
        <w:t>ε</w:t>
      </w:r>
      <w:r w:rsidRPr="00350A5C">
        <w:rPr>
          <w:rFonts w:eastAsia="SimSun"/>
          <w:vertAlign w:val="subscript"/>
          <w:lang w:val="en-GB"/>
        </w:rPr>
        <w:t>i</w:t>
      </w:r>
      <w:proofErr w:type="spellEnd"/>
      <w:r w:rsidRPr="00350A5C">
        <w:rPr>
          <w:rFonts w:eastAsia="SimSun"/>
          <w:lang w:val="en-GB"/>
        </w:rPr>
        <w:t xml:space="preserve"> – Enhancement factor, -</w:t>
      </w:r>
    </w:p>
    <w:p w14:paraId="0202FFC0" w14:textId="1DDFAFA2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</w:pPr>
      <w:proofErr w:type="spellStart"/>
      <w:r w:rsidRPr="00350A5C">
        <w:rPr>
          <w:rFonts w:eastAsia="SimSun" w:cs="Arial"/>
          <w:lang w:val="en-GB"/>
        </w:rPr>
        <w:t>ζ</w:t>
      </w:r>
      <w:r w:rsidRPr="00350A5C">
        <w:rPr>
          <w:rFonts w:eastAsia="SimSun" w:cs="Arial"/>
          <w:vertAlign w:val="subscript"/>
          <w:lang w:val="en-GB"/>
        </w:rPr>
        <w:t>G</w:t>
      </w:r>
      <w:proofErr w:type="spellEnd"/>
      <w:r w:rsidR="00326293" w:rsidRPr="00350A5C">
        <w:rPr>
          <w:rFonts w:eastAsia="SimSun" w:cs="Arial"/>
          <w:vertAlign w:val="subscript"/>
          <w:lang w:val="en-GB"/>
        </w:rPr>
        <w:t>(L)</w:t>
      </w:r>
      <w:r w:rsidRPr="00350A5C">
        <w:rPr>
          <w:rFonts w:eastAsia="SimSun"/>
          <w:lang w:val="en-GB"/>
        </w:rPr>
        <w:t xml:space="preserve"> – Gas</w:t>
      </w:r>
      <w:r w:rsidR="00326293" w:rsidRPr="00350A5C">
        <w:rPr>
          <w:rFonts w:eastAsia="SimSun"/>
          <w:lang w:val="en-GB"/>
        </w:rPr>
        <w:t xml:space="preserve"> (liquid)</w:t>
      </w:r>
      <w:r w:rsidRPr="00350A5C">
        <w:rPr>
          <w:rFonts w:eastAsia="SimSun"/>
          <w:lang w:val="en-GB"/>
        </w:rPr>
        <w:t xml:space="preserve"> volume fraction, -</w:t>
      </w:r>
    </w:p>
    <w:p w14:paraId="481A0C44" w14:textId="764138F7" w:rsidR="00E9562F" w:rsidRPr="00350A5C" w:rsidRDefault="00E9562F" w:rsidP="00E9562F">
      <w:pPr>
        <w:pStyle w:val="CETBodytext"/>
        <w:jc w:val="left"/>
        <w:rPr>
          <w:rFonts w:eastAsia="SimSun"/>
          <w:lang w:val="en-GB"/>
        </w:rPr>
        <w:sectPr w:rsidR="00E9562F" w:rsidRPr="00350A5C" w:rsidSect="00643372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</w:p>
    <w:p w14:paraId="6075DB40" w14:textId="77777777" w:rsidR="00221258" w:rsidRPr="00350A5C" w:rsidRDefault="00C639A3" w:rsidP="00221258">
      <w:pPr>
        <w:pStyle w:val="CETAcknowledgementstitle"/>
      </w:pPr>
      <w:r w:rsidRPr="00350A5C">
        <w:t>Acknowledgments</w:t>
      </w:r>
    </w:p>
    <w:p w14:paraId="5B84416A" w14:textId="77777777" w:rsidR="005407B4" w:rsidRDefault="00221258" w:rsidP="005407B4">
      <w:pPr>
        <w:pStyle w:val="CETAcknowledgementstitle"/>
        <w:spacing w:before="0"/>
        <w:jc w:val="both"/>
        <w:rPr>
          <w:b w:val="0"/>
          <w:bCs/>
        </w:rPr>
      </w:pPr>
      <w:r w:rsidRPr="00350A5C">
        <w:rPr>
          <w:b w:val="0"/>
          <w:bCs/>
        </w:rPr>
        <w:t xml:space="preserve">F.A performed </w:t>
      </w:r>
      <w:r w:rsidR="0023515F" w:rsidRPr="00350A5C">
        <w:rPr>
          <w:b w:val="0"/>
          <w:bCs/>
        </w:rPr>
        <w:t>his</w:t>
      </w:r>
      <w:r w:rsidRPr="00350A5C">
        <w:rPr>
          <w:b w:val="0"/>
          <w:bCs/>
        </w:rPr>
        <w:t xml:space="preserve"> activity in the framework of the PhD in Innovation Sciences and Technologies at the University of Cagliari, Italy.</w:t>
      </w:r>
      <w:r w:rsidR="00F428EC">
        <w:rPr>
          <w:b w:val="0"/>
          <w:bCs/>
        </w:rPr>
        <w:t xml:space="preserve"> </w:t>
      </w:r>
    </w:p>
    <w:p w14:paraId="02CB5C03" w14:textId="7A6A4FCC" w:rsidR="00620F3C" w:rsidRPr="00350A5C" w:rsidRDefault="00620F3C" w:rsidP="005407B4">
      <w:pPr>
        <w:pStyle w:val="CETAcknowledgementstitle"/>
        <w:spacing w:before="0"/>
        <w:jc w:val="both"/>
      </w:pPr>
      <w:r w:rsidRPr="00F428EC">
        <w:rPr>
          <w:b w:val="0"/>
          <w:bCs/>
        </w:rPr>
        <w:t xml:space="preserve">This work has been developed within the framework of the project </w:t>
      </w:r>
      <w:proofErr w:type="spellStart"/>
      <w:r w:rsidRPr="00F428EC">
        <w:rPr>
          <w:b w:val="0"/>
          <w:bCs/>
        </w:rPr>
        <w:t>eINS</w:t>
      </w:r>
      <w:proofErr w:type="spellEnd"/>
      <w:r w:rsidRPr="00F428EC">
        <w:rPr>
          <w:b w:val="0"/>
          <w:bCs/>
        </w:rPr>
        <w:t>-Ecosystem of Innovation for Next Generation Sardinia (cod. ECS 00000038) funded by the Italian Ministry for Research and Education (MUR) under the National Recovery and Resilience Plan (PNRR) - MISSION 4 COMPONENT 2, "From research to business" INVESTMENT 1.5, "Creation and strengthening of Ecosystems of innovation" and construction of "Territorial R&amp;D Leaders".</w:t>
      </w:r>
    </w:p>
    <w:p w14:paraId="6A088382" w14:textId="77777777" w:rsidR="00973678" w:rsidRPr="00350A5C" w:rsidRDefault="00973678" w:rsidP="00973678">
      <w:pPr>
        <w:pStyle w:val="CETReference"/>
      </w:pPr>
      <w:r w:rsidRPr="00350A5C">
        <w:t>References</w:t>
      </w:r>
    </w:p>
    <w:p w14:paraId="775877FA" w14:textId="0935D022" w:rsidR="0013628E" w:rsidRPr="00350A5C" w:rsidRDefault="0013628E" w:rsidP="0013628E">
      <w:pPr>
        <w:pStyle w:val="CETReferencetext"/>
      </w:pPr>
      <w:r w:rsidRPr="00350A5C">
        <w:t>Al</w:t>
      </w:r>
      <w:r w:rsidRPr="00350A5C">
        <w:rPr>
          <w:rFonts w:ascii="Cambria Math" w:hAnsi="Cambria Math" w:cs="Cambria Math"/>
        </w:rPr>
        <w:t>‐</w:t>
      </w:r>
      <w:proofErr w:type="spellStart"/>
      <w:r w:rsidRPr="00350A5C">
        <w:t>Mamoori</w:t>
      </w:r>
      <w:proofErr w:type="spellEnd"/>
      <w:r w:rsidRPr="00350A5C">
        <w:t xml:space="preserve"> A., Krishnamurthy A., </w:t>
      </w:r>
      <w:proofErr w:type="spellStart"/>
      <w:r w:rsidRPr="00350A5C">
        <w:t>Rownaghi</w:t>
      </w:r>
      <w:proofErr w:type="spellEnd"/>
      <w:r w:rsidRPr="00350A5C">
        <w:t xml:space="preserve"> A. A., Rezaei F., 2017, Carbon capture and utilization update,</w:t>
      </w:r>
      <w:r w:rsidR="00EC1AB4">
        <w:t xml:space="preserve"> </w:t>
      </w:r>
      <w:r w:rsidRPr="00350A5C">
        <w:t>Energy Technology,</w:t>
      </w:r>
      <w:r w:rsidR="00EC1AB4">
        <w:t xml:space="preserve"> </w:t>
      </w:r>
      <w:r w:rsidRPr="00350A5C">
        <w:rPr>
          <w:i/>
          <w:iCs/>
        </w:rPr>
        <w:t>5</w:t>
      </w:r>
      <w:r w:rsidRPr="00350A5C">
        <w:t>(6), 834-849.</w:t>
      </w:r>
    </w:p>
    <w:p w14:paraId="095B8B01" w14:textId="58B34EAB" w:rsidR="00C639A3" w:rsidRPr="00350A5C" w:rsidRDefault="00C639A3" w:rsidP="00C639A3">
      <w:pPr>
        <w:pStyle w:val="CETReferencetext"/>
      </w:pPr>
      <w:r w:rsidRPr="00350A5C">
        <w:t>Atzori F., Barzagli F., Varone A., Cao G., Concas A., 2023, CO</w:t>
      </w:r>
      <w:r w:rsidRPr="00EC1AB4">
        <w:rPr>
          <w:vertAlign w:val="subscript"/>
        </w:rPr>
        <w:t>2</w:t>
      </w:r>
      <w:r w:rsidRPr="00350A5C">
        <w:t xml:space="preserve"> absorption in aqueous NH3 solutions: Novel dynamic </w:t>
      </w:r>
      <w:proofErr w:type="spellStart"/>
      <w:r w:rsidRPr="00350A5C">
        <w:t>modeling</w:t>
      </w:r>
      <w:proofErr w:type="spellEnd"/>
      <w:r w:rsidRPr="00350A5C">
        <w:t xml:space="preserve"> of experimental outcomes, Chemical Engineering Journal, 451, 138999.</w:t>
      </w:r>
    </w:p>
    <w:p w14:paraId="7A687371" w14:textId="11B88087" w:rsidR="0013628E" w:rsidRDefault="00C639A3" w:rsidP="0013628E">
      <w:pPr>
        <w:pStyle w:val="CETReferencetext"/>
      </w:pPr>
      <w:r w:rsidRPr="00350A5C">
        <w:t>Atzori F., Barzagli F., Dai S., Concas A., Cao G., 2024, A new model-aided approach for the design of packed columns for CO</w:t>
      </w:r>
      <w:r w:rsidRPr="00EC1AB4">
        <w:rPr>
          <w:vertAlign w:val="subscript"/>
        </w:rPr>
        <w:t>2</w:t>
      </w:r>
      <w:r w:rsidRPr="00350A5C">
        <w:t xml:space="preserve"> absorption in aqueous NH</w:t>
      </w:r>
      <w:r w:rsidRPr="00EC1AB4">
        <w:rPr>
          <w:vertAlign w:val="subscript"/>
        </w:rPr>
        <w:t>3</w:t>
      </w:r>
      <w:r w:rsidRPr="00350A5C">
        <w:t xml:space="preserve"> solutions,</w:t>
      </w:r>
      <w:r w:rsidR="00EC1AB4">
        <w:t xml:space="preserve"> </w:t>
      </w:r>
      <w:r w:rsidRPr="00350A5C">
        <w:t>Chemical Engineering Science, 2024, 119780.</w:t>
      </w:r>
    </w:p>
    <w:p w14:paraId="23DB86CB" w14:textId="7EC48BA2" w:rsidR="00EC1AB4" w:rsidRPr="00350A5C" w:rsidRDefault="00EC1AB4" w:rsidP="0013628E">
      <w:pPr>
        <w:pStyle w:val="CETReferencetext"/>
      </w:pPr>
      <w:r w:rsidRPr="00EC1AB4">
        <w:t>Concas A., Pisu M. and Cao G., 2015</w:t>
      </w:r>
      <w:r>
        <w:t>,</w:t>
      </w:r>
      <w:r w:rsidRPr="00EC1AB4">
        <w:t xml:space="preserve"> Microalgal cell disruption through Fenton reaction: experiments, </w:t>
      </w:r>
      <w:proofErr w:type="spellStart"/>
      <w:proofErr w:type="gramStart"/>
      <w:r w:rsidRPr="00EC1AB4">
        <w:t>modeling</w:t>
      </w:r>
      <w:proofErr w:type="spellEnd"/>
      <w:proofErr w:type="gramEnd"/>
      <w:r w:rsidRPr="00EC1AB4">
        <w:t xml:space="preserve"> and remarks on its effect on the extracted lipids composition</w:t>
      </w:r>
      <w:r>
        <w:t>,</w:t>
      </w:r>
      <w:r w:rsidRPr="00EC1AB4">
        <w:t xml:space="preserve"> Chem</w:t>
      </w:r>
      <w:r>
        <w:t>ical</w:t>
      </w:r>
      <w:r w:rsidRPr="00EC1AB4">
        <w:t xml:space="preserve"> Eng</w:t>
      </w:r>
      <w:r>
        <w:t>ineering Transactions</w:t>
      </w:r>
      <w:r w:rsidRPr="00EC1AB4">
        <w:t>, 43, 367</w:t>
      </w:r>
      <w:r w:rsidR="005407B4">
        <w:t>-373</w:t>
      </w:r>
      <w:r w:rsidRPr="00EC1AB4">
        <w:t>.</w:t>
      </w:r>
    </w:p>
    <w:p w14:paraId="5188E220" w14:textId="34D58609" w:rsidR="009A59C1" w:rsidRDefault="0013628E" w:rsidP="00C639A3">
      <w:pPr>
        <w:pStyle w:val="CETReferencetext"/>
      </w:pPr>
      <w:r w:rsidRPr="00350A5C">
        <w:t>Concas A., Fais G., Enna M., Zucchelli S., Caboni P., Lai N.,</w:t>
      </w:r>
      <w:r w:rsidR="00EC1AB4">
        <w:t xml:space="preserve"> Cincotti A., </w:t>
      </w:r>
      <w:r w:rsidRPr="00350A5C">
        <w:t xml:space="preserve">Cao, G., 2023, </w:t>
      </w:r>
      <w:proofErr w:type="spellStart"/>
      <w:r w:rsidRPr="00350A5C">
        <w:t>Modeling</w:t>
      </w:r>
      <w:proofErr w:type="spellEnd"/>
      <w:r w:rsidRPr="00350A5C">
        <w:t xml:space="preserve"> and experimental assessment of </w:t>
      </w:r>
      <w:proofErr w:type="spellStart"/>
      <w:r w:rsidRPr="00EC1AB4">
        <w:rPr>
          <w:i/>
          <w:iCs/>
        </w:rPr>
        <w:t>Synechococcus</w:t>
      </w:r>
      <w:proofErr w:type="spellEnd"/>
      <w:r w:rsidRPr="00EC1AB4">
        <w:rPr>
          <w:i/>
          <w:iCs/>
        </w:rPr>
        <w:t xml:space="preserve"> </w:t>
      </w:r>
      <w:proofErr w:type="spellStart"/>
      <w:r w:rsidRPr="00EC1AB4">
        <w:rPr>
          <w:i/>
          <w:iCs/>
        </w:rPr>
        <w:t>nidulans</w:t>
      </w:r>
      <w:proofErr w:type="spellEnd"/>
      <w:r w:rsidRPr="00350A5C">
        <w:t xml:space="preserve"> cultivation using simulated Martian medium and astronauts’ </w:t>
      </w:r>
      <w:proofErr w:type="spellStart"/>
      <w:proofErr w:type="gramStart"/>
      <w:r w:rsidRPr="00350A5C">
        <w:t>urine</w:t>
      </w:r>
      <w:r w:rsidR="009A59C1" w:rsidRPr="00350A5C">
        <w:t>,</w:t>
      </w:r>
      <w:r w:rsidRPr="00350A5C">
        <w:t>Acta</w:t>
      </w:r>
      <w:proofErr w:type="spellEnd"/>
      <w:proofErr w:type="gramEnd"/>
      <w:r w:rsidRPr="00350A5C">
        <w:t xml:space="preserve"> Astronautica,</w:t>
      </w:r>
      <w:r w:rsidR="00EC1AB4">
        <w:t xml:space="preserve"> </w:t>
      </w:r>
      <w:r w:rsidRPr="00350A5C">
        <w:t>205, 185-198.</w:t>
      </w:r>
    </w:p>
    <w:p w14:paraId="7C207AF5" w14:textId="4DF7F340" w:rsidR="00EC1AB4" w:rsidRPr="00350A5C" w:rsidRDefault="00EC1AB4" w:rsidP="00C639A3">
      <w:pPr>
        <w:pStyle w:val="CETReferencetext"/>
      </w:pPr>
      <w:r w:rsidRPr="00EC1AB4">
        <w:t>Fais G., Manca A., Concas A., Pantaleo A.,</w:t>
      </w:r>
      <w:r>
        <w:t xml:space="preserve"> </w:t>
      </w:r>
      <w:r w:rsidRPr="00EC1AB4">
        <w:t>Cao G.</w:t>
      </w:r>
      <w:r>
        <w:t>,</w:t>
      </w:r>
      <w:r w:rsidRPr="00EC1AB4">
        <w:t xml:space="preserve"> 2022</w:t>
      </w:r>
      <w:r>
        <w:t>,</w:t>
      </w:r>
      <w:r w:rsidRPr="00EC1AB4">
        <w:t xml:space="preserve"> A novel process to grow edible microalgae on Mars by exploiting in situ-available resources: Experimental investigation. Acta Astronautica, 201, 454-463.</w:t>
      </w:r>
    </w:p>
    <w:p w14:paraId="7BF7317B" w14:textId="154154C6" w:rsidR="00C639A3" w:rsidRPr="00350A5C" w:rsidRDefault="00C639A3" w:rsidP="00C639A3">
      <w:pPr>
        <w:pStyle w:val="CETReferencetext"/>
      </w:pPr>
      <w:proofErr w:type="spellStart"/>
      <w:r w:rsidRPr="00350A5C">
        <w:t>Jilvero</w:t>
      </w:r>
      <w:proofErr w:type="spellEnd"/>
      <w:r w:rsidRPr="00350A5C">
        <w:t xml:space="preserve"> H., Normann F., Andersson K., Johnsson F., 2014, The Rate of CO</w:t>
      </w:r>
      <w:r w:rsidRPr="00EC1AB4">
        <w:rPr>
          <w:vertAlign w:val="subscript"/>
        </w:rPr>
        <w:t>2</w:t>
      </w:r>
      <w:r w:rsidRPr="00350A5C">
        <w:t xml:space="preserve"> Absorption in Ammonia-Implications on Absorber Design, Industrial &amp; Engineering Chemistry Research,</w:t>
      </w:r>
      <w:r w:rsidR="00EC1AB4">
        <w:t xml:space="preserve"> </w:t>
      </w:r>
      <w:r w:rsidRPr="00350A5C">
        <w:t>53(16), 6750-6758.</w:t>
      </w:r>
    </w:p>
    <w:p w14:paraId="553226E8" w14:textId="71156DD9" w:rsidR="00C639A3" w:rsidRPr="00350A5C" w:rsidRDefault="00C639A3" w:rsidP="00C639A3">
      <w:pPr>
        <w:pStyle w:val="CETReferencetext"/>
      </w:pPr>
      <w:proofErr w:type="spellStart"/>
      <w:r w:rsidRPr="00350A5C">
        <w:t>Ochedi</w:t>
      </w:r>
      <w:proofErr w:type="spellEnd"/>
      <w:r w:rsidRPr="00350A5C">
        <w:t xml:space="preserve"> F.O., Yu J., Yu H., Liu Y., Hussain A., 2021, Carbon dioxide capture using liquid absorption methods: a review, Environmental Chemistry Letters, 19, 77-109.</w:t>
      </w:r>
    </w:p>
    <w:p w14:paraId="3176E6B6" w14:textId="39ABF308" w:rsidR="00FF37A6" w:rsidRPr="00350A5C" w:rsidRDefault="00FF37A6" w:rsidP="00973678">
      <w:pPr>
        <w:pStyle w:val="CETReferencetext"/>
      </w:pPr>
      <w:r w:rsidRPr="00350A5C">
        <w:t xml:space="preserve">Perry, J. H. (1950). Chemical engineers' handbook, </w:t>
      </w:r>
      <w:r w:rsidR="00973678" w:rsidRPr="00350A5C">
        <w:t>ACS Publications</w:t>
      </w:r>
      <w:r w:rsidRPr="00350A5C">
        <w:t>.</w:t>
      </w:r>
    </w:p>
    <w:p w14:paraId="000B696D" w14:textId="5E241950" w:rsidR="00C639A3" w:rsidRPr="00350A5C" w:rsidRDefault="00C639A3" w:rsidP="00C639A3">
      <w:pPr>
        <w:pStyle w:val="CETReferencetext"/>
      </w:pPr>
      <w:bookmarkStart w:id="1" w:name="_Hlk158910295"/>
      <w:proofErr w:type="spellStart"/>
      <w:r w:rsidRPr="00350A5C">
        <w:t>Puxty</w:t>
      </w:r>
      <w:proofErr w:type="spellEnd"/>
      <w:r w:rsidRPr="00350A5C">
        <w:t xml:space="preserve"> G.</w:t>
      </w:r>
      <w:bookmarkEnd w:id="1"/>
      <w:r w:rsidRPr="00350A5C">
        <w:t xml:space="preserve">, Robert R., </w:t>
      </w:r>
      <w:proofErr w:type="spellStart"/>
      <w:r w:rsidRPr="00350A5C">
        <w:t>Moetaz</w:t>
      </w:r>
      <w:proofErr w:type="spellEnd"/>
      <w:r w:rsidRPr="00350A5C">
        <w:t xml:space="preserve"> A., 2010, Comparison of the rate of CO</w:t>
      </w:r>
      <w:r w:rsidRPr="00EC1AB4">
        <w:rPr>
          <w:vertAlign w:val="subscript"/>
        </w:rPr>
        <w:t>2</w:t>
      </w:r>
      <w:r w:rsidRPr="00350A5C">
        <w:t xml:space="preserve"> absorption into aqueous ammonia and </w:t>
      </w:r>
      <w:proofErr w:type="spellStart"/>
      <w:r w:rsidRPr="00350A5C">
        <w:t>monoethanolamine</w:t>
      </w:r>
      <w:proofErr w:type="spellEnd"/>
      <w:r w:rsidRPr="00350A5C">
        <w:t>, Chemical Engineering Science,65</w:t>
      </w:r>
      <w:r w:rsidR="00EC1AB4">
        <w:t xml:space="preserve"> (</w:t>
      </w:r>
      <w:r w:rsidRPr="00350A5C">
        <w:t>2</w:t>
      </w:r>
      <w:r w:rsidR="00EC1AB4">
        <w:t>)</w:t>
      </w:r>
      <w:r w:rsidRPr="00350A5C">
        <w:t>, 915-922.</w:t>
      </w:r>
    </w:p>
    <w:p w14:paraId="50D83797" w14:textId="6CCDE83A" w:rsidR="00C639A3" w:rsidRPr="00350A5C" w:rsidRDefault="00C639A3" w:rsidP="00C639A3">
      <w:pPr>
        <w:pStyle w:val="CETReferencetext"/>
      </w:pPr>
      <w:r w:rsidRPr="00350A5C">
        <w:t>Ramesh K., Aziz N., Abd Shukor S. R., Ramasamy, M., 2007, Dynamic rate-based and equilibrium model approaches for continuous tray distillation column, Journal of Applied Sciences Research, 3(12), 2030-2041.</w:t>
      </w:r>
    </w:p>
    <w:p w14:paraId="4B700558" w14:textId="3252FD78" w:rsidR="00FD5AC9" w:rsidRPr="00350A5C" w:rsidRDefault="00C639A3" w:rsidP="00FD5AC9">
      <w:pPr>
        <w:pStyle w:val="CETReferencetext"/>
      </w:pPr>
      <w:r w:rsidRPr="00350A5C">
        <w:t>Sander R., Compilation of Henry's law constants (version 4.0) for water as solvent,</w:t>
      </w:r>
      <w:r w:rsidR="00FF37A6" w:rsidRPr="00350A5C">
        <w:t xml:space="preserve"> 2015,</w:t>
      </w:r>
      <w:r w:rsidRPr="00350A5C">
        <w:t xml:space="preserve"> </w:t>
      </w:r>
      <w:r w:rsidR="00FF37A6" w:rsidRPr="00350A5C">
        <w:t>Atmospheric Chemistry and Physics</w:t>
      </w:r>
      <w:r w:rsidRPr="00350A5C">
        <w:t>, 15, 4399–4981</w:t>
      </w:r>
      <w:r w:rsidR="00FF37A6" w:rsidRPr="00350A5C">
        <w:t>.</w:t>
      </w:r>
    </w:p>
    <w:p w14:paraId="19C4FC68" w14:textId="2C3A0957" w:rsidR="004628D2" w:rsidRDefault="00C639A3" w:rsidP="00086456">
      <w:pPr>
        <w:pStyle w:val="CETReferencetext"/>
      </w:pPr>
      <w:r w:rsidRPr="00350A5C">
        <w:t>Whiteman, W. G., 19</w:t>
      </w:r>
      <w:r w:rsidR="005407B4">
        <w:t>62</w:t>
      </w:r>
      <w:r w:rsidRPr="00350A5C">
        <w:t>, The two-film theory of gas absorption, </w:t>
      </w:r>
      <w:r w:rsidR="005407B4" w:rsidRPr="005407B4">
        <w:t>International Journal of Heat and Mass Transfer</w:t>
      </w:r>
      <w:r w:rsidR="005407B4">
        <w:t xml:space="preserve">, 5 (5) 429-433. </w:t>
      </w:r>
    </w:p>
    <w:sectPr w:rsidR="004628D2" w:rsidSect="00643372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768D" w14:textId="77777777" w:rsidR="00643372" w:rsidRPr="00350A5C" w:rsidRDefault="00643372" w:rsidP="004F5E36">
      <w:r w:rsidRPr="00350A5C">
        <w:separator/>
      </w:r>
    </w:p>
  </w:endnote>
  <w:endnote w:type="continuationSeparator" w:id="0">
    <w:p w14:paraId="5CA8E625" w14:textId="77777777" w:rsidR="00643372" w:rsidRPr="00350A5C" w:rsidRDefault="00643372" w:rsidP="004F5E36">
      <w:r w:rsidRPr="00350A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1ED5" w14:textId="77777777" w:rsidR="00643372" w:rsidRPr="00350A5C" w:rsidRDefault="00643372" w:rsidP="004F5E36">
      <w:r w:rsidRPr="00350A5C">
        <w:separator/>
      </w:r>
    </w:p>
  </w:footnote>
  <w:footnote w:type="continuationSeparator" w:id="0">
    <w:p w14:paraId="2F8BA8FD" w14:textId="77777777" w:rsidR="00643372" w:rsidRPr="00350A5C" w:rsidRDefault="00643372" w:rsidP="004F5E36">
      <w:r w:rsidRPr="00350A5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10040"/>
    <w:multiLevelType w:val="hybridMultilevel"/>
    <w:tmpl w:val="711CA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F4274"/>
    <w:multiLevelType w:val="hybridMultilevel"/>
    <w:tmpl w:val="F0CED1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82765">
    <w:abstractNumId w:val="11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8"/>
  </w:num>
  <w:num w:numId="13" w16cid:durableId="695733619">
    <w:abstractNumId w:val="13"/>
  </w:num>
  <w:num w:numId="14" w16cid:durableId="145903400">
    <w:abstractNumId w:val="19"/>
  </w:num>
  <w:num w:numId="15" w16cid:durableId="19162326">
    <w:abstractNumId w:val="21"/>
  </w:num>
  <w:num w:numId="16" w16cid:durableId="1977102699">
    <w:abstractNumId w:val="20"/>
  </w:num>
  <w:num w:numId="17" w16cid:durableId="860774865">
    <w:abstractNumId w:val="12"/>
  </w:num>
  <w:num w:numId="18" w16cid:durableId="313221457">
    <w:abstractNumId w:val="13"/>
    <w:lvlOverride w:ilvl="0">
      <w:startOverride w:val="1"/>
    </w:lvlOverride>
  </w:num>
  <w:num w:numId="19" w16cid:durableId="534971577">
    <w:abstractNumId w:val="17"/>
  </w:num>
  <w:num w:numId="20" w16cid:durableId="1150947773">
    <w:abstractNumId w:val="16"/>
  </w:num>
  <w:num w:numId="21" w16cid:durableId="124660497">
    <w:abstractNumId w:val="15"/>
  </w:num>
  <w:num w:numId="22" w16cid:durableId="2099861471">
    <w:abstractNumId w:val="14"/>
  </w:num>
  <w:num w:numId="23" w16cid:durableId="48846390">
    <w:abstractNumId w:val="11"/>
    <w:lvlOverride w:ilvl="0">
      <w:startOverride w:val="1"/>
    </w:lvlOverride>
    <w:lvlOverride w:ilvl="1">
      <w:startOverride w:val="2"/>
    </w:lvlOverride>
  </w:num>
  <w:num w:numId="24" w16cid:durableId="617683825">
    <w:abstractNumId w:val="11"/>
    <w:lvlOverride w:ilvl="0">
      <w:startOverride w:val="1"/>
    </w:lvlOverride>
    <w:lvlOverride w:ilvl="1">
      <w:startOverride w:val="3"/>
    </w:lvlOverride>
  </w:num>
  <w:num w:numId="25" w16cid:durableId="760834738">
    <w:abstractNumId w:val="22"/>
  </w:num>
  <w:num w:numId="26" w16cid:durableId="971983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3497"/>
    <w:rsid w:val="000052FB"/>
    <w:rsid w:val="000059A9"/>
    <w:rsid w:val="00005A19"/>
    <w:rsid w:val="000117CB"/>
    <w:rsid w:val="00017FA6"/>
    <w:rsid w:val="0003148D"/>
    <w:rsid w:val="00031EEC"/>
    <w:rsid w:val="0003798D"/>
    <w:rsid w:val="00042906"/>
    <w:rsid w:val="00051566"/>
    <w:rsid w:val="00052983"/>
    <w:rsid w:val="00054288"/>
    <w:rsid w:val="000562A9"/>
    <w:rsid w:val="000604AB"/>
    <w:rsid w:val="00062A9A"/>
    <w:rsid w:val="00065058"/>
    <w:rsid w:val="000727EF"/>
    <w:rsid w:val="0008427B"/>
    <w:rsid w:val="00086456"/>
    <w:rsid w:val="00086C39"/>
    <w:rsid w:val="000930C8"/>
    <w:rsid w:val="00097D67"/>
    <w:rsid w:val="000A03B2"/>
    <w:rsid w:val="000B7031"/>
    <w:rsid w:val="000D0268"/>
    <w:rsid w:val="000D34BE"/>
    <w:rsid w:val="000E006B"/>
    <w:rsid w:val="000E102F"/>
    <w:rsid w:val="000E1861"/>
    <w:rsid w:val="000E36F1"/>
    <w:rsid w:val="000E3A73"/>
    <w:rsid w:val="000E414A"/>
    <w:rsid w:val="000F093C"/>
    <w:rsid w:val="000F763E"/>
    <w:rsid w:val="000F787B"/>
    <w:rsid w:val="00116DB0"/>
    <w:rsid w:val="0012091F"/>
    <w:rsid w:val="00126BC2"/>
    <w:rsid w:val="001308B6"/>
    <w:rsid w:val="0013121F"/>
    <w:rsid w:val="00131FE6"/>
    <w:rsid w:val="0013263F"/>
    <w:rsid w:val="00132D54"/>
    <w:rsid w:val="001331DF"/>
    <w:rsid w:val="001347A5"/>
    <w:rsid w:val="00134DE4"/>
    <w:rsid w:val="0013628E"/>
    <w:rsid w:val="0014034D"/>
    <w:rsid w:val="00144D16"/>
    <w:rsid w:val="00150E59"/>
    <w:rsid w:val="00152DE3"/>
    <w:rsid w:val="00154CA3"/>
    <w:rsid w:val="00155535"/>
    <w:rsid w:val="0015623E"/>
    <w:rsid w:val="00156F2E"/>
    <w:rsid w:val="001611FB"/>
    <w:rsid w:val="00164CF9"/>
    <w:rsid w:val="001662A9"/>
    <w:rsid w:val="001667A6"/>
    <w:rsid w:val="001758D5"/>
    <w:rsid w:val="00177D37"/>
    <w:rsid w:val="00184AD6"/>
    <w:rsid w:val="0019232A"/>
    <w:rsid w:val="001A1BBE"/>
    <w:rsid w:val="001A4AF7"/>
    <w:rsid w:val="001B0349"/>
    <w:rsid w:val="001B1E93"/>
    <w:rsid w:val="001B302B"/>
    <w:rsid w:val="001B3B49"/>
    <w:rsid w:val="001B65C1"/>
    <w:rsid w:val="001C34F0"/>
    <w:rsid w:val="001C684B"/>
    <w:rsid w:val="001D0CFB"/>
    <w:rsid w:val="001D21AF"/>
    <w:rsid w:val="001D53FC"/>
    <w:rsid w:val="001F42A5"/>
    <w:rsid w:val="001F7B9D"/>
    <w:rsid w:val="00201A5D"/>
    <w:rsid w:val="00201C93"/>
    <w:rsid w:val="00221258"/>
    <w:rsid w:val="002224B4"/>
    <w:rsid w:val="002246DF"/>
    <w:rsid w:val="0023515F"/>
    <w:rsid w:val="002447EF"/>
    <w:rsid w:val="00250303"/>
    <w:rsid w:val="00251550"/>
    <w:rsid w:val="002560B1"/>
    <w:rsid w:val="00263B05"/>
    <w:rsid w:val="00271166"/>
    <w:rsid w:val="0027221A"/>
    <w:rsid w:val="00275B61"/>
    <w:rsid w:val="00280FAF"/>
    <w:rsid w:val="00282656"/>
    <w:rsid w:val="00296B83"/>
    <w:rsid w:val="002A16EF"/>
    <w:rsid w:val="002A3E5D"/>
    <w:rsid w:val="002B1975"/>
    <w:rsid w:val="002B4015"/>
    <w:rsid w:val="002B78CE"/>
    <w:rsid w:val="002C224B"/>
    <w:rsid w:val="002C2FB6"/>
    <w:rsid w:val="002E5FA7"/>
    <w:rsid w:val="002F3309"/>
    <w:rsid w:val="003008CE"/>
    <w:rsid w:val="003009B7"/>
    <w:rsid w:val="00300E56"/>
    <w:rsid w:val="0030152C"/>
    <w:rsid w:val="0030469C"/>
    <w:rsid w:val="00316D7B"/>
    <w:rsid w:val="00321CA6"/>
    <w:rsid w:val="00323763"/>
    <w:rsid w:val="00323C5F"/>
    <w:rsid w:val="00326293"/>
    <w:rsid w:val="00334C09"/>
    <w:rsid w:val="00341CE7"/>
    <w:rsid w:val="003472D4"/>
    <w:rsid w:val="00350A5C"/>
    <w:rsid w:val="0035232B"/>
    <w:rsid w:val="00356099"/>
    <w:rsid w:val="00363DDA"/>
    <w:rsid w:val="003723D4"/>
    <w:rsid w:val="00381905"/>
    <w:rsid w:val="00384CC8"/>
    <w:rsid w:val="003871FD"/>
    <w:rsid w:val="00395436"/>
    <w:rsid w:val="003A1E30"/>
    <w:rsid w:val="003A2829"/>
    <w:rsid w:val="003A7D1C"/>
    <w:rsid w:val="003B304B"/>
    <w:rsid w:val="003B3146"/>
    <w:rsid w:val="003B50B7"/>
    <w:rsid w:val="003C47D2"/>
    <w:rsid w:val="003F015E"/>
    <w:rsid w:val="00400414"/>
    <w:rsid w:val="00402864"/>
    <w:rsid w:val="004079CB"/>
    <w:rsid w:val="0041446B"/>
    <w:rsid w:val="0044071E"/>
    <w:rsid w:val="00442E22"/>
    <w:rsid w:val="0044329C"/>
    <w:rsid w:val="00453C99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A004E"/>
    <w:rsid w:val="004A24CF"/>
    <w:rsid w:val="004A6A4A"/>
    <w:rsid w:val="004B3F99"/>
    <w:rsid w:val="004B7215"/>
    <w:rsid w:val="004C3D1D"/>
    <w:rsid w:val="004C3D84"/>
    <w:rsid w:val="004C7913"/>
    <w:rsid w:val="004D11E4"/>
    <w:rsid w:val="004E4DD6"/>
    <w:rsid w:val="004F5E36"/>
    <w:rsid w:val="005003A7"/>
    <w:rsid w:val="00507B47"/>
    <w:rsid w:val="00507BEF"/>
    <w:rsid w:val="00507CC9"/>
    <w:rsid w:val="005119A5"/>
    <w:rsid w:val="00516658"/>
    <w:rsid w:val="005278B7"/>
    <w:rsid w:val="00532016"/>
    <w:rsid w:val="005346C8"/>
    <w:rsid w:val="00537BD7"/>
    <w:rsid w:val="005407B4"/>
    <w:rsid w:val="00543E7D"/>
    <w:rsid w:val="00547A68"/>
    <w:rsid w:val="005531C9"/>
    <w:rsid w:val="00557E00"/>
    <w:rsid w:val="005636A6"/>
    <w:rsid w:val="00570C43"/>
    <w:rsid w:val="00572120"/>
    <w:rsid w:val="0059621E"/>
    <w:rsid w:val="0059681E"/>
    <w:rsid w:val="0059705C"/>
    <w:rsid w:val="005B2110"/>
    <w:rsid w:val="005B61E6"/>
    <w:rsid w:val="005C38D3"/>
    <w:rsid w:val="005C735C"/>
    <w:rsid w:val="005C77E1"/>
    <w:rsid w:val="005D613F"/>
    <w:rsid w:val="005D668A"/>
    <w:rsid w:val="005D6A2F"/>
    <w:rsid w:val="005E1A82"/>
    <w:rsid w:val="005E2BE1"/>
    <w:rsid w:val="005E794C"/>
    <w:rsid w:val="005F0A28"/>
    <w:rsid w:val="005F0E5E"/>
    <w:rsid w:val="00600535"/>
    <w:rsid w:val="00610CD6"/>
    <w:rsid w:val="00611038"/>
    <w:rsid w:val="00611703"/>
    <w:rsid w:val="0061364E"/>
    <w:rsid w:val="00620DEE"/>
    <w:rsid w:val="00620F3C"/>
    <w:rsid w:val="00621F92"/>
    <w:rsid w:val="0062280A"/>
    <w:rsid w:val="00625639"/>
    <w:rsid w:val="00631B33"/>
    <w:rsid w:val="0063295D"/>
    <w:rsid w:val="0064184D"/>
    <w:rsid w:val="006422CC"/>
    <w:rsid w:val="00643372"/>
    <w:rsid w:val="00660E3E"/>
    <w:rsid w:val="00662E74"/>
    <w:rsid w:val="00680C23"/>
    <w:rsid w:val="00693766"/>
    <w:rsid w:val="006A151A"/>
    <w:rsid w:val="006A3281"/>
    <w:rsid w:val="006A37BF"/>
    <w:rsid w:val="006A577B"/>
    <w:rsid w:val="006B27D7"/>
    <w:rsid w:val="006B4888"/>
    <w:rsid w:val="006C169C"/>
    <w:rsid w:val="006C256B"/>
    <w:rsid w:val="006C2E45"/>
    <w:rsid w:val="006C359C"/>
    <w:rsid w:val="006C5579"/>
    <w:rsid w:val="006C64D1"/>
    <w:rsid w:val="006D6E8B"/>
    <w:rsid w:val="006E737D"/>
    <w:rsid w:val="006F2035"/>
    <w:rsid w:val="006F308B"/>
    <w:rsid w:val="006F4FC2"/>
    <w:rsid w:val="00706093"/>
    <w:rsid w:val="00707DD1"/>
    <w:rsid w:val="00713973"/>
    <w:rsid w:val="00720A24"/>
    <w:rsid w:val="00732386"/>
    <w:rsid w:val="0073514D"/>
    <w:rsid w:val="007447F3"/>
    <w:rsid w:val="007508FB"/>
    <w:rsid w:val="00753B37"/>
    <w:rsid w:val="0075499F"/>
    <w:rsid w:val="007661C8"/>
    <w:rsid w:val="0077098D"/>
    <w:rsid w:val="00781D56"/>
    <w:rsid w:val="00786D5F"/>
    <w:rsid w:val="007931FA"/>
    <w:rsid w:val="007949BF"/>
    <w:rsid w:val="007A4861"/>
    <w:rsid w:val="007A7BBA"/>
    <w:rsid w:val="007B0C50"/>
    <w:rsid w:val="007B2370"/>
    <w:rsid w:val="007B2A45"/>
    <w:rsid w:val="007B48F9"/>
    <w:rsid w:val="007C11CF"/>
    <w:rsid w:val="007C191F"/>
    <w:rsid w:val="007C1A43"/>
    <w:rsid w:val="007D0951"/>
    <w:rsid w:val="007D5B03"/>
    <w:rsid w:val="007E1BC4"/>
    <w:rsid w:val="007E2964"/>
    <w:rsid w:val="007F248A"/>
    <w:rsid w:val="0080013E"/>
    <w:rsid w:val="0080382F"/>
    <w:rsid w:val="00813288"/>
    <w:rsid w:val="008168FC"/>
    <w:rsid w:val="00823258"/>
    <w:rsid w:val="00824AEA"/>
    <w:rsid w:val="0083044C"/>
    <w:rsid w:val="00830996"/>
    <w:rsid w:val="008345F1"/>
    <w:rsid w:val="00837ADC"/>
    <w:rsid w:val="00847166"/>
    <w:rsid w:val="00865B07"/>
    <w:rsid w:val="008667EA"/>
    <w:rsid w:val="00867581"/>
    <w:rsid w:val="0087544E"/>
    <w:rsid w:val="0087637F"/>
    <w:rsid w:val="00892AD5"/>
    <w:rsid w:val="00897636"/>
    <w:rsid w:val="008A1512"/>
    <w:rsid w:val="008A7A01"/>
    <w:rsid w:val="008D264C"/>
    <w:rsid w:val="008D32B9"/>
    <w:rsid w:val="008D433B"/>
    <w:rsid w:val="008D4A16"/>
    <w:rsid w:val="008E15F6"/>
    <w:rsid w:val="008E3EA8"/>
    <w:rsid w:val="008E566E"/>
    <w:rsid w:val="008E6E0E"/>
    <w:rsid w:val="008E7488"/>
    <w:rsid w:val="008F4DC5"/>
    <w:rsid w:val="0090161A"/>
    <w:rsid w:val="00901D99"/>
    <w:rsid w:val="00901EB6"/>
    <w:rsid w:val="00904C62"/>
    <w:rsid w:val="00904E01"/>
    <w:rsid w:val="009222A1"/>
    <w:rsid w:val="00922BA8"/>
    <w:rsid w:val="00924DAC"/>
    <w:rsid w:val="00927058"/>
    <w:rsid w:val="00942750"/>
    <w:rsid w:val="009450CE"/>
    <w:rsid w:val="009459BB"/>
    <w:rsid w:val="00947179"/>
    <w:rsid w:val="0095164B"/>
    <w:rsid w:val="00952964"/>
    <w:rsid w:val="00954090"/>
    <w:rsid w:val="009573E7"/>
    <w:rsid w:val="00963E05"/>
    <w:rsid w:val="00964A45"/>
    <w:rsid w:val="00967843"/>
    <w:rsid w:val="00967D54"/>
    <w:rsid w:val="00971028"/>
    <w:rsid w:val="00973678"/>
    <w:rsid w:val="00990682"/>
    <w:rsid w:val="00993A79"/>
    <w:rsid w:val="00993B84"/>
    <w:rsid w:val="00996483"/>
    <w:rsid w:val="00996F5A"/>
    <w:rsid w:val="009A59C1"/>
    <w:rsid w:val="009B041A"/>
    <w:rsid w:val="009B34BE"/>
    <w:rsid w:val="009C37C3"/>
    <w:rsid w:val="009C7C86"/>
    <w:rsid w:val="009D2FF7"/>
    <w:rsid w:val="009D4E7D"/>
    <w:rsid w:val="009E7884"/>
    <w:rsid w:val="009E788A"/>
    <w:rsid w:val="009F0E08"/>
    <w:rsid w:val="00A13D67"/>
    <w:rsid w:val="00A1763D"/>
    <w:rsid w:val="00A17CEC"/>
    <w:rsid w:val="00A2031A"/>
    <w:rsid w:val="00A27EF0"/>
    <w:rsid w:val="00A42361"/>
    <w:rsid w:val="00A45B9B"/>
    <w:rsid w:val="00A50B20"/>
    <w:rsid w:val="00A51390"/>
    <w:rsid w:val="00A60D13"/>
    <w:rsid w:val="00A66321"/>
    <w:rsid w:val="00A72211"/>
    <w:rsid w:val="00A7223D"/>
    <w:rsid w:val="00A72745"/>
    <w:rsid w:val="00A76EFC"/>
    <w:rsid w:val="00A8027E"/>
    <w:rsid w:val="00A87D50"/>
    <w:rsid w:val="00A91010"/>
    <w:rsid w:val="00A97F29"/>
    <w:rsid w:val="00AA702E"/>
    <w:rsid w:val="00AA7D26"/>
    <w:rsid w:val="00AB0964"/>
    <w:rsid w:val="00AB5011"/>
    <w:rsid w:val="00AC6CA3"/>
    <w:rsid w:val="00AC7368"/>
    <w:rsid w:val="00AD16B9"/>
    <w:rsid w:val="00AD2CFD"/>
    <w:rsid w:val="00AE377D"/>
    <w:rsid w:val="00AF0EBA"/>
    <w:rsid w:val="00B02C8A"/>
    <w:rsid w:val="00B07C8F"/>
    <w:rsid w:val="00B10F48"/>
    <w:rsid w:val="00B17FBD"/>
    <w:rsid w:val="00B21EBB"/>
    <w:rsid w:val="00B25499"/>
    <w:rsid w:val="00B315A6"/>
    <w:rsid w:val="00B31813"/>
    <w:rsid w:val="00B33365"/>
    <w:rsid w:val="00B35D2B"/>
    <w:rsid w:val="00B57B36"/>
    <w:rsid w:val="00B57E6F"/>
    <w:rsid w:val="00B60E57"/>
    <w:rsid w:val="00B6780E"/>
    <w:rsid w:val="00B8686D"/>
    <w:rsid w:val="00B93F69"/>
    <w:rsid w:val="00BA5639"/>
    <w:rsid w:val="00BB1DDC"/>
    <w:rsid w:val="00BB41DC"/>
    <w:rsid w:val="00BC30C9"/>
    <w:rsid w:val="00BC6526"/>
    <w:rsid w:val="00BD077D"/>
    <w:rsid w:val="00BE0CEB"/>
    <w:rsid w:val="00BE3E58"/>
    <w:rsid w:val="00BF05EE"/>
    <w:rsid w:val="00BF1428"/>
    <w:rsid w:val="00BF28C5"/>
    <w:rsid w:val="00C01616"/>
    <w:rsid w:val="00C0162B"/>
    <w:rsid w:val="00C068ED"/>
    <w:rsid w:val="00C21843"/>
    <w:rsid w:val="00C2215F"/>
    <w:rsid w:val="00C22E0C"/>
    <w:rsid w:val="00C345B1"/>
    <w:rsid w:val="00C40142"/>
    <w:rsid w:val="00C5102F"/>
    <w:rsid w:val="00C52C3C"/>
    <w:rsid w:val="00C56D60"/>
    <w:rsid w:val="00C57182"/>
    <w:rsid w:val="00C57863"/>
    <w:rsid w:val="00C639A3"/>
    <w:rsid w:val="00C640AF"/>
    <w:rsid w:val="00C655FD"/>
    <w:rsid w:val="00C74A4F"/>
    <w:rsid w:val="00C75407"/>
    <w:rsid w:val="00C841C6"/>
    <w:rsid w:val="00C870A8"/>
    <w:rsid w:val="00C935DB"/>
    <w:rsid w:val="00C94434"/>
    <w:rsid w:val="00CA0D75"/>
    <w:rsid w:val="00CA1C95"/>
    <w:rsid w:val="00CA5A9C"/>
    <w:rsid w:val="00CC4C20"/>
    <w:rsid w:val="00CD3517"/>
    <w:rsid w:val="00CD5FE2"/>
    <w:rsid w:val="00CE1A7B"/>
    <w:rsid w:val="00CE7C68"/>
    <w:rsid w:val="00CF7081"/>
    <w:rsid w:val="00D02B4C"/>
    <w:rsid w:val="00D040C4"/>
    <w:rsid w:val="00D20AD1"/>
    <w:rsid w:val="00D20B86"/>
    <w:rsid w:val="00D2582C"/>
    <w:rsid w:val="00D43698"/>
    <w:rsid w:val="00D46B7E"/>
    <w:rsid w:val="00D57C84"/>
    <w:rsid w:val="00D6057D"/>
    <w:rsid w:val="00D618CB"/>
    <w:rsid w:val="00D67C9E"/>
    <w:rsid w:val="00D71640"/>
    <w:rsid w:val="00D836C5"/>
    <w:rsid w:val="00D84576"/>
    <w:rsid w:val="00D86ACF"/>
    <w:rsid w:val="00D95347"/>
    <w:rsid w:val="00D95EDA"/>
    <w:rsid w:val="00D9780A"/>
    <w:rsid w:val="00DA1399"/>
    <w:rsid w:val="00DA24C6"/>
    <w:rsid w:val="00DA4D7B"/>
    <w:rsid w:val="00DC0300"/>
    <w:rsid w:val="00DD271C"/>
    <w:rsid w:val="00DD3AF5"/>
    <w:rsid w:val="00DD4113"/>
    <w:rsid w:val="00DE264A"/>
    <w:rsid w:val="00DF5072"/>
    <w:rsid w:val="00E02D18"/>
    <w:rsid w:val="00E041E7"/>
    <w:rsid w:val="00E23CA1"/>
    <w:rsid w:val="00E409A8"/>
    <w:rsid w:val="00E45125"/>
    <w:rsid w:val="00E50C12"/>
    <w:rsid w:val="00E65B91"/>
    <w:rsid w:val="00E7209D"/>
    <w:rsid w:val="00E72EAD"/>
    <w:rsid w:val="00E73159"/>
    <w:rsid w:val="00E7320A"/>
    <w:rsid w:val="00E75D17"/>
    <w:rsid w:val="00E77223"/>
    <w:rsid w:val="00E849BA"/>
    <w:rsid w:val="00E8528B"/>
    <w:rsid w:val="00E85B94"/>
    <w:rsid w:val="00E9562F"/>
    <w:rsid w:val="00E956E2"/>
    <w:rsid w:val="00E975B2"/>
    <w:rsid w:val="00E978D0"/>
    <w:rsid w:val="00EA4613"/>
    <w:rsid w:val="00EA7F91"/>
    <w:rsid w:val="00EB1523"/>
    <w:rsid w:val="00EB3F7A"/>
    <w:rsid w:val="00EC0E49"/>
    <w:rsid w:val="00EC101F"/>
    <w:rsid w:val="00EC1AB4"/>
    <w:rsid w:val="00EC1D9F"/>
    <w:rsid w:val="00EE0131"/>
    <w:rsid w:val="00EE17B0"/>
    <w:rsid w:val="00EE6E44"/>
    <w:rsid w:val="00EF06D9"/>
    <w:rsid w:val="00EF4D98"/>
    <w:rsid w:val="00EF6595"/>
    <w:rsid w:val="00F1740B"/>
    <w:rsid w:val="00F21B68"/>
    <w:rsid w:val="00F25456"/>
    <w:rsid w:val="00F269D8"/>
    <w:rsid w:val="00F3049E"/>
    <w:rsid w:val="00F30C64"/>
    <w:rsid w:val="00F32BA2"/>
    <w:rsid w:val="00F32CDB"/>
    <w:rsid w:val="00F425D0"/>
    <w:rsid w:val="00F428EC"/>
    <w:rsid w:val="00F42C17"/>
    <w:rsid w:val="00F565FE"/>
    <w:rsid w:val="00F63A70"/>
    <w:rsid w:val="00F63D8C"/>
    <w:rsid w:val="00F7534E"/>
    <w:rsid w:val="00F77647"/>
    <w:rsid w:val="00F819A7"/>
    <w:rsid w:val="00F83209"/>
    <w:rsid w:val="00F93EDF"/>
    <w:rsid w:val="00FA1802"/>
    <w:rsid w:val="00FA21D0"/>
    <w:rsid w:val="00FA5F5F"/>
    <w:rsid w:val="00FB0E62"/>
    <w:rsid w:val="00FB2EFA"/>
    <w:rsid w:val="00FB42C8"/>
    <w:rsid w:val="00FB730C"/>
    <w:rsid w:val="00FC0A45"/>
    <w:rsid w:val="00FC2695"/>
    <w:rsid w:val="00FC3E03"/>
    <w:rsid w:val="00FC3FC1"/>
    <w:rsid w:val="00FD5AC9"/>
    <w:rsid w:val="00FD720C"/>
    <w:rsid w:val="00FD7C06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DefaultParagraphFont"/>
    <w:rsid w:val="00005A19"/>
  </w:style>
  <w:style w:type="character" w:styleId="UnresolvedMention">
    <w:name w:val="Unresolved Mention"/>
    <w:basedOn w:val="DefaultParagraphFont"/>
    <w:uiPriority w:val="99"/>
    <w:semiHidden/>
    <w:unhideWhenUsed/>
    <w:rsid w:val="000930C8"/>
    <w:rPr>
      <w:color w:val="605E5C"/>
      <w:shd w:val="clear" w:color="auto" w:fill="E1DFDD"/>
    </w:rPr>
  </w:style>
  <w:style w:type="paragraph" w:customStyle="1" w:styleId="CETReference0">
    <w:name w:val="CET_Reference"/>
    <w:next w:val="CETReference-text"/>
    <w:rsid w:val="00EF4D98"/>
    <w:pPr>
      <w:spacing w:line="264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Reference-text">
    <w:name w:val="CET Reference-text"/>
    <w:rsid w:val="00EF4D98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-table-title">
    <w:name w:val="CET-table-title"/>
    <w:rsid w:val="00EF4D98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paragraph" w:customStyle="1" w:styleId="CETFootnote">
    <w:name w:val="CET_Footnote"/>
    <w:rsid w:val="00EF4D9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ETAcknowledgements">
    <w:name w:val="CET_Acknowledgements"/>
    <w:qFormat/>
    <w:rsid w:val="00EF4D98"/>
    <w:rPr>
      <w:rFonts w:ascii="Arial" w:eastAsia="Times New Roman" w:hAnsi="Arial" w:cs="Times New Roman"/>
      <w:b/>
      <w:sz w:val="1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EF4D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8.bin"/><Relationship Id="rId10" Type="http://schemas.openxmlformats.org/officeDocument/2006/relationships/hyperlink" Target="mailto:federico.atzori@unica.it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3371</Words>
  <Characters>19219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Alessandro Concas</cp:lastModifiedBy>
  <cp:revision>10</cp:revision>
  <cp:lastPrinted>2024-03-19T18:43:00Z</cp:lastPrinted>
  <dcterms:created xsi:type="dcterms:W3CDTF">2024-03-20T13:09:00Z</dcterms:created>
  <dcterms:modified xsi:type="dcterms:W3CDTF">2024-03-20T13:25:00Z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