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0002EE"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B57E6F">
              <w:rPr>
                <w:rFonts w:cs="Arial"/>
                <w:b/>
                <w:bCs/>
                <w:i/>
                <w:iCs/>
                <w:color w:val="000066"/>
                <w:sz w:val="22"/>
                <w:szCs w:val="22"/>
                <w:lang w:eastAsia="it-IT"/>
              </w:rPr>
              <w:t>1</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B57E6F" w:rsidRDefault="00300E56" w:rsidP="00B57E6F">
            <w:pPr>
              <w:ind w:left="-107"/>
              <w:outlineLvl w:val="2"/>
              <w:rPr>
                <w:rFonts w:ascii="Tahoma" w:hAnsi="Tahoma" w:cs="Tahoma"/>
                <w:bCs/>
                <w:color w:val="000000"/>
                <w:sz w:val="14"/>
                <w:szCs w:val="14"/>
                <w:lang w:eastAsia="it-IT"/>
              </w:rPr>
            </w:pPr>
            <w:r w:rsidRPr="00B57B36">
              <w:rPr>
                <w:rFonts w:ascii="Tahoma" w:hAnsi="Tahoma" w:cs="Tahoma"/>
                <w:iCs/>
                <w:color w:val="333333"/>
                <w:sz w:val="14"/>
                <w:szCs w:val="14"/>
                <w:lang w:eastAsia="it-IT"/>
              </w:rPr>
              <w:t xml:space="preserve">Guest </w:t>
            </w:r>
            <w:r w:rsidRPr="001331DF">
              <w:rPr>
                <w:rFonts w:ascii="Tahoma" w:hAnsi="Tahoma" w:cs="Tahoma"/>
                <w:iCs/>
                <w:color w:val="333333"/>
                <w:sz w:val="14"/>
                <w:szCs w:val="14"/>
                <w:lang w:eastAsia="it-IT"/>
              </w:rPr>
              <w:t>Editors:</w:t>
            </w:r>
            <w:r w:rsidR="00904C62" w:rsidRPr="001331DF">
              <w:rPr>
                <w:rFonts w:ascii="Tahoma" w:hAnsi="Tahoma" w:cs="Tahoma"/>
                <w:iCs/>
                <w:color w:val="333333"/>
                <w:sz w:val="14"/>
                <w:szCs w:val="14"/>
                <w:lang w:eastAsia="it-IT"/>
              </w:rPr>
              <w:t xml:space="preserve"> </w:t>
            </w:r>
            <w:r w:rsidR="00B57E6F">
              <w:rPr>
                <w:rFonts w:ascii="Tahoma" w:hAnsi="Tahoma" w:cs="Tahoma"/>
                <w:color w:val="000000"/>
                <w:sz w:val="14"/>
                <w:szCs w:val="14"/>
                <w:shd w:val="clear" w:color="auto" w:fill="FFFFFF"/>
              </w:rPr>
              <w:t xml:space="preserve">Valerio Cozzani, </w:t>
            </w:r>
            <w:r w:rsidR="001331DF">
              <w:rPr>
                <w:rFonts w:ascii="Tahoma" w:hAnsi="Tahoma" w:cs="Tahoma"/>
                <w:color w:val="000000"/>
                <w:sz w:val="14"/>
                <w:szCs w:val="14"/>
                <w:shd w:val="clear" w:color="auto" w:fill="FFFFFF"/>
              </w:rPr>
              <w:t>Bruno Fabiano</w:t>
            </w:r>
            <w:r w:rsidR="00B57E6F">
              <w:rPr>
                <w:rFonts w:ascii="Tahoma" w:hAnsi="Tahoma" w:cs="Tahoma"/>
                <w:color w:val="000000"/>
                <w:sz w:val="14"/>
                <w:szCs w:val="14"/>
                <w:shd w:val="clear" w:color="auto" w:fill="FFFFFF"/>
              </w:rPr>
              <w:t xml:space="preserve">, </w:t>
            </w:r>
            <w:r w:rsidR="00B57E6F" w:rsidRPr="00675866">
              <w:rPr>
                <w:rFonts w:ascii="Tahoma" w:hAnsi="Tahoma" w:cs="Tahoma"/>
                <w:bCs/>
                <w:color w:val="000000"/>
                <w:sz w:val="14"/>
                <w:szCs w:val="14"/>
                <w:lang w:eastAsia="it-IT"/>
              </w:rPr>
              <w:t>Genserik Reniers</w:t>
            </w:r>
          </w:p>
          <w:p w14:paraId="1B0F1814" w14:textId="08709475"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-8</w:t>
            </w:r>
            <w:r w:rsidR="00B57E6F">
              <w:rPr>
                <w:rFonts w:ascii="Tahoma" w:hAnsi="Tahoma" w:cs="Tahoma"/>
                <w:sz w:val="14"/>
                <w:szCs w:val="14"/>
              </w:rPr>
              <w:t>9</w:t>
            </w:r>
            <w:r w:rsidR="00D46B7E">
              <w:rPr>
                <w:rFonts w:ascii="Tahoma" w:hAnsi="Tahoma" w:cs="Tahoma"/>
                <w:sz w:val="14"/>
                <w:szCs w:val="14"/>
              </w:rPr>
              <w:t>-</w:t>
            </w:r>
            <w:r w:rsidR="00B57E6F">
              <w:rPr>
                <w:rFonts w:ascii="Tahoma" w:hAnsi="Tahoma" w:cs="Tahoma"/>
                <w:sz w:val="14"/>
                <w:szCs w:val="14"/>
              </w:rPr>
              <w:t>1</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4AE06B40" w14:textId="77777777" w:rsidR="00986E73" w:rsidRDefault="00986E73" w:rsidP="00986E73">
      <w:pPr>
        <w:pStyle w:val="CETTitle"/>
      </w:pPr>
      <w:r>
        <w:t xml:space="preserve">Refining the 3D printer set-up to reduce the environmental impact of the fused deposition modelling (FDM) technology </w:t>
      </w:r>
    </w:p>
    <w:p w14:paraId="1E7F496D" w14:textId="77777777" w:rsidR="00986E73" w:rsidRDefault="00986E73" w:rsidP="00986E73">
      <w:pPr>
        <w:pStyle w:val="CETAuthors"/>
        <w:jc w:val="center"/>
        <w:rPr>
          <w:lang w:val="it-IT"/>
        </w:rPr>
      </w:pPr>
      <w:r>
        <w:rPr>
          <w:lang w:val="it-IT"/>
        </w:rPr>
        <w:t>Antonella Patti</w:t>
      </w:r>
      <w:r>
        <w:rPr>
          <w:vertAlign w:val="superscript"/>
          <w:lang w:val="it-IT"/>
        </w:rPr>
        <w:t>a,</w:t>
      </w:r>
      <w:r>
        <w:rPr>
          <w:lang w:val="it-IT"/>
        </w:rPr>
        <w:t>*, Stefano Acierno</w:t>
      </w:r>
      <w:r>
        <w:rPr>
          <w:vertAlign w:val="superscript"/>
          <w:lang w:val="it-IT"/>
        </w:rPr>
        <w:t>b</w:t>
      </w:r>
      <w:r>
        <w:rPr>
          <w:lang w:val="it-IT"/>
        </w:rPr>
        <w:t>, Gianluca Cicala</w:t>
      </w:r>
      <w:r>
        <w:rPr>
          <w:vertAlign w:val="superscript"/>
          <w:lang w:val="it-IT"/>
        </w:rPr>
        <w:t>a</w:t>
      </w:r>
      <w:r>
        <w:rPr>
          <w:lang w:val="it-IT"/>
        </w:rPr>
        <w:t>, Nunzio Tuccitto</w:t>
      </w:r>
      <w:r>
        <w:rPr>
          <w:vertAlign w:val="superscript"/>
          <w:lang w:val="it-IT"/>
        </w:rPr>
        <w:t>c</w:t>
      </w:r>
      <w:r>
        <w:rPr>
          <w:lang w:val="it-IT"/>
        </w:rPr>
        <w:t>, Domenico Acierno</w:t>
      </w:r>
      <w:r>
        <w:rPr>
          <w:vertAlign w:val="superscript"/>
          <w:lang w:val="it-IT"/>
        </w:rPr>
        <w:t>d</w:t>
      </w:r>
    </w:p>
    <w:p w14:paraId="14308B01" w14:textId="77777777" w:rsidR="00986E73" w:rsidRDefault="00986E73" w:rsidP="00986E73">
      <w:pPr>
        <w:pStyle w:val="CETAddress"/>
      </w:pPr>
      <w:r>
        <w:rPr>
          <w:vertAlign w:val="superscript"/>
        </w:rPr>
        <w:t>a</w:t>
      </w:r>
      <w:r>
        <w:t xml:space="preserve"> Department of Civil Engineering and Architecture (DICAr), University of Catania, Viale Andrea Doria 6,95125 Catania, Italy</w:t>
      </w:r>
    </w:p>
    <w:p w14:paraId="255165E1" w14:textId="77777777" w:rsidR="00986E73" w:rsidRDefault="00986E73" w:rsidP="00986E73">
      <w:pPr>
        <w:pStyle w:val="CETAddress"/>
      </w:pPr>
      <w:r>
        <w:rPr>
          <w:vertAlign w:val="superscript"/>
        </w:rPr>
        <w:t>b</w:t>
      </w:r>
      <w:r>
        <w:t xml:space="preserve"> Department of Engineering, University of Sannio, Piazza Roma 21, 82100 Benevento, Italy.</w:t>
      </w:r>
    </w:p>
    <w:p w14:paraId="3EBE2B46" w14:textId="77777777" w:rsidR="00986E73" w:rsidRDefault="00986E73" w:rsidP="00986E73">
      <w:pPr>
        <w:pStyle w:val="CETAddress"/>
      </w:pPr>
      <w:r>
        <w:rPr>
          <w:vertAlign w:val="superscript"/>
        </w:rPr>
        <w:t>c</w:t>
      </w:r>
      <w:r>
        <w:t xml:space="preserve"> Department of Chemical Sciences, University of Catania, Viale A. Doria 6, 95125 Catania, Italy</w:t>
      </w:r>
    </w:p>
    <w:p w14:paraId="208F01A9" w14:textId="77777777" w:rsidR="00986E73" w:rsidRDefault="00986E73" w:rsidP="00986E73">
      <w:pPr>
        <w:pStyle w:val="CETAddress"/>
        <w:rPr>
          <w:lang w:val="it-IT"/>
        </w:rPr>
      </w:pPr>
      <w:r>
        <w:rPr>
          <w:vertAlign w:val="superscript"/>
          <w:lang w:val="it-IT"/>
        </w:rPr>
        <w:t>d</w:t>
      </w:r>
      <w:r>
        <w:rPr>
          <w:lang w:val="it-IT"/>
        </w:rPr>
        <w:t xml:space="preserve"> CRdC Nuove Tecnologie per le Attività Produttive Scarl,Via Nuova Agnano 11, 80125, Naples, Italy</w:t>
      </w:r>
    </w:p>
    <w:p w14:paraId="293F7315" w14:textId="77777777" w:rsidR="00986E73" w:rsidRDefault="00986E73" w:rsidP="00986E73">
      <w:pPr>
        <w:pStyle w:val="CETemail"/>
      </w:pPr>
      <w:r>
        <w:rPr>
          <w:lang w:val="en-US"/>
        </w:rPr>
        <w:t>antonella.patti</w:t>
      </w:r>
      <w:r>
        <w:rPr>
          <w:rFonts w:cs="Arial"/>
          <w:lang w:val="en-US"/>
        </w:rPr>
        <w:t>@</w:t>
      </w:r>
      <w:r>
        <w:rPr>
          <w:lang w:val="en-US"/>
        </w:rPr>
        <w:t>unict.it</w:t>
      </w:r>
    </w:p>
    <w:p w14:paraId="022EB96F" w14:textId="77777777" w:rsidR="00986E73" w:rsidRDefault="00986E73" w:rsidP="00986E73">
      <w:pPr>
        <w:pStyle w:val="CETListbullets"/>
        <w:ind w:left="0" w:firstLine="0"/>
      </w:pPr>
      <w:r>
        <w:t>The major aspects affecting the environmental and health impact of the fused deposition modelling (FDM) are concerned with energy consumption, waste material, and emission of harmful by-products. To reduce pollution associated with 3D printing development, a study has been conducted to optimize operating temperatures, process times, and filament constituting material, with carefulness as the same characteristics may adversely affect the appearance and mechanical properties of 3D printed parts. In this regard, pellets of polylactide acid (PLA) have been extruded in a lab compounder to create a bio-based filament that was printed under various operating conditions, i.e., by changing layer thickness (0.14, 0.19, 0.29 mm), infill density (50, 70%, 100%), patter (linear, honeycomb, octangular), extruder temperature (from 180 to 220 °C). 3D printed specimens were examined using dynamic-mechanical analysis (DMA) by verifying the sample size and weight, as well as the printing time. Analysis on material viscosity at different testing temperatures was also performed to identify potential range of extruder temperatures, and limit printing attempts Finally, measurements of volatile organic compounds (VOC) emission have been conducted on thermally treated samples at temperatures of 70°C, 190°C, and 220°C, to gain information on potential quantity of pollution deriving from the extruded polymer, deposited layers on the heated plate, and potential residues in the printer.</w:t>
      </w:r>
    </w:p>
    <w:p w14:paraId="558C91C4" w14:textId="77777777" w:rsidR="00986E73" w:rsidRDefault="00986E73" w:rsidP="00986E73">
      <w:pPr>
        <w:pStyle w:val="CETHeading1"/>
        <w:numPr>
          <w:ilvl w:val="1"/>
          <w:numId w:val="23"/>
        </w:numPr>
        <w:tabs>
          <w:tab w:val="num" w:pos="360"/>
        </w:tabs>
        <w:rPr>
          <w:lang w:val="en-GB"/>
        </w:rPr>
      </w:pPr>
      <w:r>
        <w:rPr>
          <w:lang w:val="en-GB"/>
        </w:rPr>
        <w:t>Introduction</w:t>
      </w:r>
    </w:p>
    <w:p w14:paraId="0CC1001F" w14:textId="77777777" w:rsidR="00986E73" w:rsidRDefault="00986E73" w:rsidP="00986E73">
      <w:pPr>
        <w:pStyle w:val="CETListbullets"/>
        <w:ind w:left="0" w:firstLine="0"/>
      </w:pPr>
      <w:bookmarkStart w:id="0" w:name="_Hlk90456401"/>
      <w:r>
        <w:t xml:space="preserve">The fused deposition modelling (FDM) is one among the various methods belonging to the wide family of Additive Manufacturing (AM) technologies. It consists in a filament, of neat or filled polymer, melted and extruded through a nozzle, and deposited on a heated platform in a layer by layer manner </w:t>
      </w:r>
      <w:r>
        <w:fldChar w:fldCharType="begin" w:fldLock="1"/>
      </w:r>
      <w:r>
        <w:instrText>ADDIN CSL_CITATION {"citationItems":[{"id":"ITEM-1","itemData":{"DOI":"10.3303/CET2186257","ISBN":"978-88-95608-84-6","ISSN":"2283-9216","abstract":"This study focuses on the characterization of 3D printed parts by fused deposition modelling (FDM) technique made from a composite filament, highly loaded of stainless-steel microparticles, prepared at different infill density (0, 50, 100%). Thermo-mechanical properties, morphological aspects and heat transport behaviour of the developed specimens have been investigated by dynamic-mechanical analysis (DMA), thermal diffusivity measurements and scanning electron microscopy (SEM). Experimental results allowed to attest a drastic reduction of storage modulus in the range of testing temperatures by reducing the infill density. In the meantime, an increment of dissipation factor was shown in lesser stiff samples at temperatures near to the ambient. The same increasing trend did not appear in the case of thermal diffusion that showed closer values for samples at 0 and 50% of infill, and an augment in the case of infilling level of 100%. This outcome, explained through SEM pictures, was attributed to the difficulty in realization of perfect empty internal structures within 3D parts. A supporting analysis by IR spectroscopy was conducted on the composite surface to gain qualitative information about constituting polymer filament. Further considerations on the porosity of systems have been obtained elaborating SEM micrographs with ImageJ software.","author":[{"dropping-particle":"","family":"Patti","given":"Antonella","non-dropping-particle":"","parse-names":false,"suffix":""},{"dropping-particle":"","family":"Cicala","given":"Gianluca","non-dropping-particle":"","parse-names":false,"suffix":""},{"dropping-particle":"","family":"Tosto","given":"Claudio","non-dropping-particle":"","parse-names":false,"suffix":""},{"dropping-particle":"","family":"Saitta","given":"Lorena","non-dropping-particle":"","parse-names":false,"suffix":""},{"dropping-particle":"","family":"Acierno","given":"Domenico","non-dropping-particle":"","parse-names":false,"suffix":""}],"container-title":"Chemical Engineering Transactions","id":"ITEM-1","issued":{"date-parts":[["2021"]]},"page":"1537-1542","title":"Characterization of 3D Printed Highly Filled Composite: Structure, Thermal Diffusivity and Dynamic-Mechanical Analysis","type":"article-journal","volume":"86"},"uris":["http://www.mendeley.com/documents/?uuid=c83f3746-9297-3ccf-9f46-63072c673f61"]}],"mendeley":{"formattedCitation":"(Patti, Cicala, Tosto, et al., 2021)","manualFormatting":"(Patti, et al., 2021b)","plainTextFormattedCitation":"(Patti, Cicala, Tosto, et al., 2021)","previouslyFormattedCitation":"(Patti, Cicala, Tosto, et al., 2021)"},"properties":{"noteIndex":0},"schema":"https://github.com/citation-style-language/schema/raw/master/csl-citation.json"}</w:instrText>
      </w:r>
      <w:r>
        <w:fldChar w:fldCharType="separate"/>
      </w:r>
      <w:r>
        <w:rPr>
          <w:noProof/>
        </w:rPr>
        <w:t>(Patti, et al., 2021b)</w:t>
      </w:r>
      <w:r>
        <w:fldChar w:fldCharType="end"/>
      </w:r>
      <w:r>
        <w:t xml:space="preserve">. Even though FDM is considered a relatively eco-friendly technology when compared to traditional plastic material processing, however, this method has an environmental impact, as it consumes material and energy and emits semi-volatile organic components (SVCs) into the environment also by printing the most common polymers, such as acrylonitrile butadiene styrene (ABS) and polylactic acid (PLA). The main sources of emissions are the exit of high-temperature melted polymer from the die, as well as the presence of residues left in the nozzle. Printing speed and flow material have a small effect on emissions, whereas bed and extrusion temperatures are the leading contributor of energy consumption </w:t>
      </w:r>
      <w:r>
        <w:fldChar w:fldCharType="begin" w:fldLock="1"/>
      </w:r>
      <w:r>
        <w:instrText>ADDIN CSL_CITATION {"citationItems":[{"id":"ITEM-1","itemData":{"DOI":"10.1016/J.PROMFG.2018.07.119","ISSN":"2351-9789","abstract":"Additive Manufacturing (AM) is widely considered as an environmentally friendly alternative to traditional processes. However, AM processes are not free of environmental impacts: they consume material and energy while emitting particulates and/or volatile organic compounds. Although there are efforts on characterizing energy consumption and air borne emissions, in depth analysis and understanding are generally lacking when compared with traditional processes, especially machining processes. Using fused deposition modeling (FDM) process as an example, this study explores how operating procedure and printing parameters affect the energy consumption and particulates emissions. Experimental data suggests that particle emission is mainly the result of condensing and agglomerating of semi-volatile organic compounds. The initial emission spike occurs when there is dripping of semi-liquid filament from heated nozzle and/or there is residue left in the nozzle. Printing speed and material flow have effects on particle emission rate but the effect is small. Power profile analysis indicates that print bed heating and temperature maintaining is the leading contributor to energy consumption.","author":[{"dropping-particle":"","family":"Simon","given":"Timothy R.","non-dropping-particle":"","parse-names":false,"suffix":""},{"dropping-particle":"","family":"Lee","given":"Wo Jae","non-dropping-particle":"","parse-names":false,"suffix":""},{"dropping-particle":"","family":"Spurgeon","given":"Benjamin E.","non-dropping-particle":"","parse-names":false,"suffix":""},{"dropping-particle":"","family":"Boor","given":"Brandon E.","non-dropping-particle":"","parse-names":false,"suffix":""},{"dropping-particle":"","family":"Zhao","given":"Fu","non-dropping-particle":"","parse-names":false,"suffix":""}],"container-title":"Procedia Manufacturing","id":"ITEM-1","issued":{"date-parts":[["2018","1","1"]]},"page":"920-928","publisher":"Elsevier","title":"An Experimental Study on the Energy Consumption and Emission Profile of Fused Deposition Modeling Process","type":"article-journal","volume":"26"},"uris":["http://www.mendeley.com/documents/?uuid=01fbab77-737c-3492-8a25-a5524632b55c"]}],"mendeley":{"formattedCitation":"(Simon et al., 2018)","plainTextFormattedCitation":"(Simon et al., 2018)","previouslyFormattedCitation":"(Simon et al., 2018)"},"properties":{"noteIndex":0},"schema":"https://github.com/citation-style-language/schema/raw/master/csl-citation.json"}</w:instrText>
      </w:r>
      <w:r>
        <w:fldChar w:fldCharType="separate"/>
      </w:r>
      <w:r>
        <w:rPr>
          <w:noProof/>
        </w:rPr>
        <w:t>(Simon et al., 2018)</w:t>
      </w:r>
      <w:r>
        <w:fldChar w:fldCharType="end"/>
      </w:r>
      <w:r>
        <w:t xml:space="preserve">. The materials used in FDM technologies contribute significantly to the environmental impact. Recyclable materials could be adopted notwithstanding the uncertainty of final properties that may deteriorate compared to virgin resources </w:t>
      </w:r>
      <w:r>
        <w:fldChar w:fldCharType="begin" w:fldLock="1"/>
      </w:r>
      <w:r>
        <w:instrText>ADDIN CSL_CITATION {"citationItems":[{"id":"ITEM-1","itemData":{"DOI":"10.3390/POLYM13142226","abstract":"In this paper, we study the effect of the addition of wood flour as a filler in a recycled polyethylene (r-PE) in view of its potential applications in 3D printing. The composites, prepared by melt mixing, are characterized with torque measurements performed during the compounding, dynamic rotational rheology, and infrared spectroscopy. Data show that the introduction of wood results in increased viscosity and in sensible viscous heating during the compounding. The r-PE appear to be stable at temperatures up to 180 °C while at higher temperatures the material shows a rheological response characterized by time-increasing viscoelastic moduli that suggests a thermal degradation governed by crosslinking reactions. The compounds (with wood loading up to 50% in wt.) also shows thermal stability at temperatures up to 180 °C. The viscoelastic behavior and the infrared spectra of the r-PE matrix suggests the presence of branches in the macromolecular structure due to the process. Although the addition of wood particles determines increased viscoelastic moduli, a solid-like viscoelastic response is not shown even for the highest wood concentrations. This behavior, due to a poor compatibility and weak interfacial adhesion between the two phases, is however promising in view of common processing technologies as extrusion or injection molding.","author":[{"dropping-particle":"","family":"Patti","given":"Antonella","non-dropping-particle":"","parse-names":false,"suffix":""},{"dropping-particle":"","family":"Cicala","given":"Gianluca","non-dropping-particle":"","parse-names":false,"suffix":""},{"dropping-particle":"","family":"Acierno","given":"Stefano","non-dropping-particle":"","parse-names":false,"suffix":""}],"container-title":"Polymers","id":"ITEM-1","issue":"14","issued":{"date-parts":[["2021","7","6"]]},"page":"2226","publisher":"Multidisciplinary Digital Publishing Institute","title":"Rotational Rheology of Wood Flour Composites Based on Recycled Polyethylene","type":"article-journal","volume":"13"},"uris":["http://www.mendeley.com/documents/?uuid=c29a76dc-3709-3ad6-9d73-cb8ad599bd98"]}],"mendeley":{"formattedCitation":"(Patti, Cicala, and Acierno, 2021)","plainTextFormattedCitation":"(Patti, Cicala, and Acierno, 2021)","previouslyFormattedCitation":"(Patti, Cicala, and Acierno, 2021)"},"properties":{"noteIndex":0},"schema":"https://github.com/citation-style-language/schema/raw/master/csl-citation.json"}</w:instrText>
      </w:r>
      <w:r>
        <w:fldChar w:fldCharType="separate"/>
      </w:r>
      <w:r>
        <w:rPr>
          <w:noProof/>
        </w:rPr>
        <w:t>(Patti, et al., 2021a)</w:t>
      </w:r>
      <w:r>
        <w:fldChar w:fldCharType="end"/>
      </w:r>
      <w:r>
        <w:t xml:space="preserve">, or design parameters, such as filling level and processing temperatures, could be optimized to allow the reduction of waste material and energy consumption </w:t>
      </w:r>
      <w:r>
        <w:fldChar w:fldCharType="begin" w:fldLock="1"/>
      </w:r>
      <w:r>
        <w:instrText>ADDIN CSL_CITATION {"citationItems":[{"id":"ITEM-1","itemData":{"DOI":"10.1007/s00170-019-04676-0","abstract":"This paper consists in a review of environmental issues of additive manufacturing technologies, mainly in those related to fused deposition modelling. The versatility, reduction of equipment costs due to patents expiring and the great flexibility offered by 3D printers have driven the amazing increase of these technologies in the last years. On the other hand, the democratization of additive manufacturing also poses some issues regarding environment; it is important to also have into account the potential effects of these technologies in the environment, coming from energy consumption, materials, and wastes produced. A review of different research works dealing with environmental impact of additive manufacturing, such as products' life cycle assessment, energy and materials consumption, and particles and gases releases (mainly due to health issues), has been performed. The assessment performed has helped highlighting the importance of environmental issues in additive manufacturing, according to the number of published papers. The main findings are the importance of establishing a method for applying eco-design principles taking into account the specific features of additive manufacturing.","author":[{"dropping-particle":"","family":"Suárez","given":"Luis","non-dropping-particle":"","parse-names":false,"suffix":""},{"dropping-particle":"","family":"Domínguez","given":"Manuel","non-dropping-particle":"","parse-names":false,"suffix":""}],"id":"ITEM-1","issued":{"date-parts":[["0"]]},"title":"Sustainability and environmental impact of fused deposition modelling (FDM) technologies","type":"article-journal"},"uris":["http://www.mendeley.com/documents/?uuid=a15fe503-996f-3b08-8ce8-a7f606fd4d39"]}],"mendeley":{"formattedCitation":"(Suárez et al.)","plainTextFormattedCitation":"(Suárez et al.)","previouslyFormattedCitation":"(Suárez et al., 2020)"},"properties":{"noteIndex":0},"schema":"https://github.com/citation-style-language/schema/raw/master/csl-citation.json"}</w:instrText>
      </w:r>
      <w:r>
        <w:fldChar w:fldCharType="separate"/>
      </w:r>
      <w:r>
        <w:rPr>
          <w:noProof/>
        </w:rPr>
        <w:t>(Suárez et al.)</w:t>
      </w:r>
      <w:r>
        <w:fldChar w:fldCharType="end"/>
      </w:r>
      <w:r>
        <w:t xml:space="preserve">. The effect of three infill densities (25, 50, and 75%), and three infill patterns (grid, tri-hexagon, and concentric) on tensile features of printed PLA-based objects has been examined by </w:t>
      </w:r>
      <w:r>
        <w:fldChar w:fldCharType="begin" w:fldLock="1"/>
      </w:r>
      <w:r>
        <w:instrText>ADDIN CSL_CITATION {"citationItems":[{"id":"ITEM-1","itemData":{"DOI":"10.1088/1742-6596/1402/4/044041","ISSN":"1742-6596","abstract":"Additive manufacturing such as 3D printing is considered as a highly convenient manufacturing process since it enables to create any 3D objects. It is known that different materials, printing techniques, and printing parameters are affecting the mechanical properties of the printed objects. However, studies on the mechanical properties of the 3D printed structure are still limited. In this work, investigation of the relationship between two printing parameters, i.e. infill pattern and infill density were conducted on the Polylactic Acid (PLA) material. Three infill densities, 25%, 50%, and 75%, and three infill patterns, grid, tri-hexagon, and concentric, were chosen. The tensile test, ASTM D638, was employed to obtain the material properties based on these two printing parameters. An open-source 3D printing slicer software, Cura, was used to manufacture the tensile specimens. The Young's modulus, yield strength, and ultimate strength were recorded and examined. The results showed that the tensile properties increase as infill density increases. Of the three-printing pattern, the concentric has the highest values of tensile properties regardless of the infill densities. This finding can be used as a reference for creating a finite element model (FEM) as well as predicting the optimum tensile properties with respect to the printing parameters.","author":[{"dropping-particle":"","family":"Rismalia","given":"M.","non-dropping-particle":"","parse-names":false,"suffix":""},{"dropping-particle":"","family":"Hidajat","given":"S. C.","non-dropping-particle":"","parse-names":false,"suffix":""},{"dropping-particle":"","family":"Permana","given":"I. G.R.","non-dropping-particle":"","parse-names":false,"suffix":""},{"dropping-particle":"","family":"Hadisujoto","given":"B.","non-dropping-particle":"","parse-names":false,"suffix":""},{"dropping-particle":"","family":"Muslimin","given":"M.","non-dropping-particle":"","parse-names":false,"suffix":""},{"dropping-particle":"","family":"Triawan","given":"F.","non-dropping-particle":"","parse-names":false,"suffix":""}],"container-title":"Journal of Physics: Conference Series","id":"ITEM-1","issue":"4","issued":{"date-parts":[["2019","12","1"]]},"page":"044041","publisher":"IOP Publishing","title":"Infill pattern and density effects on the tensile properties of 3D printed PLA material","type":"article-journal","volume":"1402"},"uris":["http://www.mendeley.com/documents/?uuid=efff6497-9de4-3d63-ac3b-ebd4d7e05b98"]}],"mendeley":{"formattedCitation":"(Rismalia et al., 2019)","manualFormatting":"Rismalia et al. (2019)","plainTextFormattedCitation":"(Rismalia et al., 2019)","previouslyFormattedCitation":"(Rismalia et al., 2019)"},"properties":{"noteIndex":0},"schema":"https://github.com/citation-style-language/schema/raw/master/csl-citation.json"}</w:instrText>
      </w:r>
      <w:r>
        <w:fldChar w:fldCharType="separate"/>
      </w:r>
      <w:r>
        <w:rPr>
          <w:noProof/>
        </w:rPr>
        <w:t>Rismalia et al. (2019)</w:t>
      </w:r>
      <w:r>
        <w:fldChar w:fldCharType="end"/>
      </w:r>
      <w:r>
        <w:t xml:space="preserve">. According to results, the concentric pattern with 75% in infill density had the highest tensile properties, and ultimate strength of 42.2 MPa. The mechanical properties of samples at 100% in </w:t>
      </w:r>
      <w:r>
        <w:lastRenderedPageBreak/>
        <w:t xml:space="preserve">infill density were not affected by the patter. Layer thickness and extruder temperature were discovered as determining factors in affecting the surface roughness of PLA samples produced by FDM: reducing the layer thickness and increasing the printing temperature resulted in a better surface quality. </w:t>
      </w:r>
      <w:r>
        <w:fldChar w:fldCharType="begin" w:fldLock="1"/>
      </w:r>
      <w:r>
        <w:instrText>ADDIN CSL_CITATION {"citationItems":[{"id":"ITEM-1","itemData":{"abstract":"Three-dimensional (3D) printing technologies are the most promising method in the production of functional parts. Although 3D printing technology includes various methods, fused deposition modelling (FDM) is the most widely used one. In FDM, generally polylactic acid (PLA) filaments are used to fabricate 3D geometry by stacking individual layers. In fact, FDM is a complicated process with numerous parameters that affect printing quality. Printing parameters such as printing orientation, layer thickness, printing orientation angle, filling ratio, filament feed rate, etc. have significant impact on the quality and performance of FDM printed parts. Since the mechanical properties are very important for functional parts, the effect of these parameters on the mechanical properties of the PLA specimens has been extensively studied. However, there is no sufficient data in the surface characterization literature of these parameters. In this study, the effect of layer thickness and printing temperature on the surface properties of PLA specimens printed using FDM was investigated.","author":[{"dropping-particle":"","family":"Kovan","given":"V.","non-dropping-particle":"","parse-names":false,"suffix":""},{"dropping-particle":"","family":"Tezel","given":"T.","non-dropping-particle":"","parse-names":false,"suffix":""},{"dropping-particle":"","family":"Topal","given":"E.S.","non-dropping-particle":"","parse-names":false,"suffix":""},{"dropping-particle":"","family":"Camurlu","given":"H.E.","non-dropping-particle":"","parse-names":false,"suffix":""}],"container-title":"Machines. Technologies. Materials.","id":"ITEM-1","issue":"7","issued":{"date-parts":[["2018"]]},"page":"266-269","publisher":"Scientific Technical Union of Mechanical Engineering \"Industry 4.0\"","title":"Printing parameters effects on surface characteristics of £D printed PLA materials","type":"article-journal","volume":"12"},"uris":["http://www.mendeley.com/documents/?uuid=490514b3-8a1b-3403-839b-049d4cd50d28"]}],"mendeley":{"formattedCitation":"(Kovan et al., 2018)","plainTextFormattedCitation":"(Kovan et al., 2018)","previouslyFormattedCitation":"(Kovan et al., 2018)"},"properties":{"noteIndex":0},"schema":"https://github.com/citation-style-language/schema/raw/master/csl-citation.json"}</w:instrText>
      </w:r>
      <w:r>
        <w:fldChar w:fldCharType="separate"/>
      </w:r>
      <w:r>
        <w:rPr>
          <w:noProof/>
        </w:rPr>
        <w:t>(Kovan et al., 2018)</w:t>
      </w:r>
      <w:r>
        <w:fldChar w:fldCharType="end"/>
      </w:r>
    </w:p>
    <w:p w14:paraId="632E6FAA" w14:textId="77777777" w:rsidR="00986E73" w:rsidRDefault="00986E73" w:rsidP="00986E73">
      <w:pPr>
        <w:pStyle w:val="CETListbullets"/>
        <w:ind w:left="0" w:firstLine="0"/>
      </w:pPr>
      <w:r>
        <w:t>In this framework, the study aimed to optimize the printing process of PLA-based filament by opportunely choosing technological parameters such as layer thickness, infill density, extruder temperature, and design pattern in view of reducing the used material and printing time, by checking the mechanical characteristics of final products. In addition, the material flow behaviour and VOC emissions at different temperatures have been investigated.</w:t>
      </w:r>
    </w:p>
    <w:bookmarkEnd w:id="0"/>
    <w:p w14:paraId="077EB4C3" w14:textId="77777777" w:rsidR="00986E73" w:rsidRDefault="00986E73" w:rsidP="00986E73">
      <w:pPr>
        <w:pStyle w:val="CETBodytext"/>
        <w:rPr>
          <w:lang w:val="en-GB"/>
        </w:rPr>
      </w:pPr>
    </w:p>
    <w:p w14:paraId="22E954D0" w14:textId="77777777" w:rsidR="00986E73" w:rsidRDefault="00986E73" w:rsidP="00986E73">
      <w:pPr>
        <w:pStyle w:val="CETHeading1"/>
        <w:numPr>
          <w:ilvl w:val="1"/>
          <w:numId w:val="23"/>
        </w:numPr>
        <w:tabs>
          <w:tab w:val="right" w:pos="7100"/>
        </w:tabs>
        <w:jc w:val="both"/>
        <w:rPr>
          <w:lang w:val="en-GB"/>
        </w:rPr>
      </w:pPr>
      <w:r>
        <w:rPr>
          <w:lang w:val="en-GB"/>
        </w:rPr>
        <w:t>Material and methods</w:t>
      </w:r>
    </w:p>
    <w:p w14:paraId="6C677D56" w14:textId="77777777" w:rsidR="00986E73" w:rsidRDefault="00986E73" w:rsidP="00986E73">
      <w:pPr>
        <w:pStyle w:val="CETheadingx"/>
        <w:numPr>
          <w:ilvl w:val="2"/>
          <w:numId w:val="23"/>
        </w:numPr>
        <w:rPr>
          <w:lang w:val="en-GB"/>
        </w:rPr>
      </w:pPr>
      <w:r>
        <w:rPr>
          <w:lang w:val="en-GB"/>
        </w:rPr>
        <w:t>Material</w:t>
      </w:r>
    </w:p>
    <w:p w14:paraId="59403AE9" w14:textId="77777777" w:rsidR="00986E73" w:rsidRDefault="00986E73" w:rsidP="00986E73">
      <w:pPr>
        <w:pStyle w:val="CETBodytext"/>
      </w:pPr>
      <w:r>
        <w:t xml:space="preserve">For the investigation, pellets of PLA based polymer (cod. </w:t>
      </w:r>
      <w:proofErr w:type="spellStart"/>
      <w:r>
        <w:t>Ingeo</w:t>
      </w:r>
      <w:proofErr w:type="spellEnd"/>
      <w:r>
        <w:t xml:space="preserve">™ Biopolymer 4032D, specific gravity 1.24 g/cc) were supplied by </w:t>
      </w:r>
      <w:proofErr w:type="spellStart"/>
      <w:r>
        <w:t>Natureworks</w:t>
      </w:r>
      <w:proofErr w:type="spellEnd"/>
      <w:r>
        <w:t>. From the technical datasheet, this polymer is an ideal product for lamination and other packaging applications and can be converted into biaxially oriented films. Preliminary thermal analyses confirmed a melting point around 175°C and glass transition temperature of 65°C.</w:t>
      </w:r>
    </w:p>
    <w:p w14:paraId="1020E16D" w14:textId="77777777" w:rsidR="00986E73" w:rsidRDefault="00986E73" w:rsidP="00986E73">
      <w:pPr>
        <w:pStyle w:val="CETBodytext"/>
      </w:pPr>
    </w:p>
    <w:p w14:paraId="5874D1D6" w14:textId="77777777" w:rsidR="00986E73" w:rsidRDefault="00986E73" w:rsidP="00986E73">
      <w:pPr>
        <w:pStyle w:val="CETheadingx"/>
        <w:numPr>
          <w:ilvl w:val="2"/>
          <w:numId w:val="23"/>
        </w:numPr>
        <w:rPr>
          <w:lang w:val="en-GB"/>
        </w:rPr>
      </w:pPr>
      <w:r>
        <w:rPr>
          <w:lang w:val="en-GB"/>
        </w:rPr>
        <w:t>Filament preparation</w:t>
      </w:r>
    </w:p>
    <w:p w14:paraId="14A2E446" w14:textId="77777777" w:rsidR="00986E73" w:rsidRDefault="00986E73" w:rsidP="00986E73">
      <w:pPr>
        <w:pStyle w:val="CETBodytext"/>
      </w:pPr>
      <w:r>
        <w:t xml:space="preserve">Pellets were extruded in a twin-screw extruder (mod. KETSE 20/40 D), produced by Brabender (Duisburg Germany). According to technical data sheet, processing temperatures were established in the range of 180-210°C. In particular, the feed temperature was set at 180°C, the adapter and die temperatures were set at 200°C, the melting zone was set at 210°C, and a screw speed of 30 rpm was fixed. When the material came out from the die, it was stretched and cooled in air using a roller system. To achieve a nominal filament diameter of 1.75 mm for next extrusion in 3D printer, the stretching speed of the first drive system has been set at 1.5 rpm, that of the second drive has been fixed at 2.5 rpm. </w:t>
      </w:r>
    </w:p>
    <w:p w14:paraId="481C09A0" w14:textId="77777777" w:rsidR="00986E73" w:rsidRDefault="00986E73" w:rsidP="00986E73">
      <w:pPr>
        <w:pStyle w:val="CETBodytext"/>
      </w:pPr>
    </w:p>
    <w:p w14:paraId="76AA21CD" w14:textId="77777777" w:rsidR="00986E73" w:rsidRDefault="00986E73" w:rsidP="00986E73">
      <w:pPr>
        <w:pStyle w:val="CETheadingx"/>
        <w:numPr>
          <w:ilvl w:val="2"/>
          <w:numId w:val="23"/>
        </w:numPr>
      </w:pPr>
      <w:r>
        <w:t>Sample Preparation</w:t>
      </w:r>
    </w:p>
    <w:p w14:paraId="77DFBE24" w14:textId="77777777" w:rsidR="00986E73" w:rsidRDefault="00986E73" w:rsidP="00986E73">
      <w:pPr>
        <w:pStyle w:val="CETBodytext"/>
      </w:pPr>
      <w:r>
        <w:t xml:space="preserve">The so-obtained filament was processed using fused deposition modeling (FDM) technology in a </w:t>
      </w:r>
      <w:proofErr w:type="spellStart"/>
      <w:r>
        <w:t>Zortax</w:t>
      </w:r>
      <w:proofErr w:type="spellEnd"/>
      <w:r>
        <w:t xml:space="preserve"> 3D printer (cod. M200) (Olsztyn, Polonia). Rectangular specimens suitable for dynamic mechanical analysis (DMA) testing, nominal size 2x6x26 mm</w:t>
      </w:r>
      <w:r>
        <w:rPr>
          <w:vertAlign w:val="superscript"/>
        </w:rPr>
        <w:t>3</w:t>
      </w:r>
      <w:r>
        <w:t>, were realized by varying extruder temperature, layer thickness, infill density and geometrical pattern. Table 1 contains a summary of chosen processing conditions for 3D printing. The other printing parameters were left at their default settings (printing speed, extruder flow rate, fan speed), or specific values were established: the bed temperature was fixed at 70°C, the retraction speed was kept at 36 mm/s, the retraction distance at 1.2 mm, the first layer gap at 0.39 mm, layers number of the top and bottom surfaces equal to 4. The nozzle diameter was 0.4 mm. Prior to the process and testing, the material was dried in an oven for 10 hours at 80 °C.</w:t>
      </w:r>
    </w:p>
    <w:p w14:paraId="5D8E50E7" w14:textId="77777777" w:rsidR="00986E73" w:rsidRDefault="00986E73" w:rsidP="00986E73">
      <w:pPr>
        <w:pStyle w:val="CETTabletitle"/>
      </w:pPr>
      <w:r>
        <w:t>Table 1: Processing conditions for the filament printing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tblGrid>
      <w:tr w:rsidR="00986E73" w14:paraId="3DF2FEF7" w14:textId="77777777" w:rsidTr="00986E73">
        <w:tc>
          <w:tcPr>
            <w:tcW w:w="1134" w:type="dxa"/>
            <w:tcBorders>
              <w:top w:val="single" w:sz="12" w:space="0" w:color="008000"/>
              <w:left w:val="nil"/>
              <w:bottom w:val="single" w:sz="6" w:space="0" w:color="008000"/>
              <w:right w:val="nil"/>
            </w:tcBorders>
            <w:shd w:val="clear" w:color="auto" w:fill="FFFFFF"/>
            <w:hideMark/>
          </w:tcPr>
          <w:p w14:paraId="37C2A86D" w14:textId="77777777" w:rsidR="00986E73" w:rsidRDefault="00986E73">
            <w:pPr>
              <w:pStyle w:val="CETBodytext"/>
              <w:rPr>
                <w:lang w:val="en-GB"/>
              </w:rPr>
            </w:pPr>
            <w:r>
              <w:rPr>
                <w:lang w:val="en-GB"/>
              </w:rPr>
              <w:t>Extruder temperature (°C)</w:t>
            </w:r>
          </w:p>
        </w:tc>
        <w:tc>
          <w:tcPr>
            <w:tcW w:w="1134" w:type="dxa"/>
            <w:tcBorders>
              <w:top w:val="single" w:sz="12" w:space="0" w:color="008000"/>
              <w:left w:val="nil"/>
              <w:bottom w:val="single" w:sz="6" w:space="0" w:color="008000"/>
              <w:right w:val="nil"/>
            </w:tcBorders>
            <w:shd w:val="clear" w:color="auto" w:fill="FFFFFF"/>
            <w:hideMark/>
          </w:tcPr>
          <w:p w14:paraId="41C436C3" w14:textId="77777777" w:rsidR="00986E73" w:rsidRDefault="00986E73">
            <w:pPr>
              <w:pStyle w:val="CETBodytext"/>
              <w:rPr>
                <w:lang w:val="en-GB"/>
              </w:rPr>
            </w:pPr>
            <w:r>
              <w:rPr>
                <w:lang w:val="en-GB"/>
              </w:rPr>
              <w:t>Layer thickness (mm)</w:t>
            </w:r>
          </w:p>
        </w:tc>
        <w:tc>
          <w:tcPr>
            <w:tcW w:w="1134" w:type="dxa"/>
            <w:tcBorders>
              <w:top w:val="single" w:sz="12" w:space="0" w:color="008000"/>
              <w:left w:val="nil"/>
              <w:bottom w:val="single" w:sz="6" w:space="0" w:color="008000"/>
              <w:right w:val="nil"/>
            </w:tcBorders>
            <w:shd w:val="clear" w:color="auto" w:fill="FFFFFF"/>
            <w:hideMark/>
          </w:tcPr>
          <w:p w14:paraId="1F75B687" w14:textId="77777777" w:rsidR="00986E73" w:rsidRDefault="00986E73">
            <w:pPr>
              <w:pStyle w:val="CETBodytext"/>
              <w:rPr>
                <w:lang w:val="en-GB"/>
              </w:rPr>
            </w:pPr>
            <w:r>
              <w:rPr>
                <w:lang w:val="en-GB"/>
              </w:rPr>
              <w:t>Infill Density (%)</w:t>
            </w:r>
          </w:p>
        </w:tc>
        <w:tc>
          <w:tcPr>
            <w:tcW w:w="1134" w:type="dxa"/>
            <w:tcBorders>
              <w:top w:val="single" w:sz="12" w:space="0" w:color="008000"/>
              <w:left w:val="nil"/>
              <w:bottom w:val="single" w:sz="6" w:space="0" w:color="008000"/>
              <w:right w:val="nil"/>
            </w:tcBorders>
            <w:shd w:val="clear" w:color="auto" w:fill="FFFFFF"/>
            <w:hideMark/>
          </w:tcPr>
          <w:p w14:paraId="01E80ACD" w14:textId="77777777" w:rsidR="00986E73" w:rsidRDefault="00986E73">
            <w:pPr>
              <w:pStyle w:val="CETBodytext"/>
              <w:ind w:right="-1"/>
              <w:rPr>
                <w:rFonts w:cs="Arial"/>
                <w:szCs w:val="18"/>
                <w:lang w:val="en-GB"/>
              </w:rPr>
            </w:pPr>
            <w:r>
              <w:rPr>
                <w:rFonts w:cs="Arial"/>
                <w:szCs w:val="18"/>
                <w:lang w:val="en-GB"/>
              </w:rPr>
              <w:t>Pattern</w:t>
            </w:r>
          </w:p>
        </w:tc>
      </w:tr>
      <w:tr w:rsidR="00986E73" w14:paraId="486B1BCD" w14:textId="77777777" w:rsidTr="00986E73">
        <w:tc>
          <w:tcPr>
            <w:tcW w:w="1134" w:type="dxa"/>
            <w:tcBorders>
              <w:top w:val="nil"/>
              <w:left w:val="nil"/>
              <w:bottom w:val="nil"/>
              <w:right w:val="nil"/>
            </w:tcBorders>
            <w:shd w:val="clear" w:color="auto" w:fill="FFFFFF"/>
            <w:hideMark/>
          </w:tcPr>
          <w:p w14:paraId="2E2C0ED1" w14:textId="77777777" w:rsidR="00986E73" w:rsidRDefault="00986E73">
            <w:pPr>
              <w:pStyle w:val="CETBodytext"/>
              <w:rPr>
                <w:lang w:val="en-GB"/>
              </w:rPr>
            </w:pPr>
            <w:r>
              <w:rPr>
                <w:lang w:val="en-GB"/>
              </w:rPr>
              <w:t>210</w:t>
            </w:r>
          </w:p>
        </w:tc>
        <w:tc>
          <w:tcPr>
            <w:tcW w:w="1134" w:type="dxa"/>
            <w:tcBorders>
              <w:top w:val="nil"/>
              <w:left w:val="nil"/>
              <w:bottom w:val="nil"/>
              <w:right w:val="nil"/>
            </w:tcBorders>
            <w:shd w:val="clear" w:color="auto" w:fill="FFFFFF"/>
            <w:hideMark/>
          </w:tcPr>
          <w:p w14:paraId="6B414489" w14:textId="77777777" w:rsidR="00986E73" w:rsidRDefault="00986E73">
            <w:pPr>
              <w:pStyle w:val="CETBodytext"/>
              <w:rPr>
                <w:lang w:val="en-GB"/>
              </w:rPr>
            </w:pPr>
            <w:r>
              <w:rPr>
                <w:lang w:val="en-GB"/>
              </w:rPr>
              <w:t>0.14</w:t>
            </w:r>
          </w:p>
        </w:tc>
        <w:tc>
          <w:tcPr>
            <w:tcW w:w="1134" w:type="dxa"/>
            <w:tcBorders>
              <w:top w:val="nil"/>
              <w:left w:val="nil"/>
              <w:bottom w:val="nil"/>
              <w:right w:val="nil"/>
            </w:tcBorders>
            <w:shd w:val="clear" w:color="auto" w:fill="FFFFFF"/>
            <w:hideMark/>
          </w:tcPr>
          <w:p w14:paraId="41EF2917" w14:textId="77777777" w:rsidR="00986E73" w:rsidRDefault="00986E73">
            <w:pPr>
              <w:pStyle w:val="CETBodytext"/>
              <w:rPr>
                <w:lang w:val="en-GB"/>
              </w:rPr>
            </w:pPr>
            <w:r>
              <w:rPr>
                <w:lang w:val="en-GB"/>
              </w:rPr>
              <w:t>100</w:t>
            </w:r>
          </w:p>
        </w:tc>
        <w:tc>
          <w:tcPr>
            <w:tcW w:w="1134" w:type="dxa"/>
            <w:tcBorders>
              <w:top w:val="nil"/>
              <w:left w:val="nil"/>
              <w:bottom w:val="nil"/>
              <w:right w:val="nil"/>
            </w:tcBorders>
            <w:shd w:val="clear" w:color="auto" w:fill="FFFFFF"/>
            <w:hideMark/>
          </w:tcPr>
          <w:p w14:paraId="0F0831CC" w14:textId="77777777" w:rsidR="00986E73" w:rsidRDefault="00986E73">
            <w:pPr>
              <w:pStyle w:val="CETBodytext"/>
              <w:ind w:right="-1"/>
              <w:rPr>
                <w:rFonts w:cs="Arial"/>
                <w:szCs w:val="18"/>
                <w:lang w:val="en-GB"/>
              </w:rPr>
            </w:pPr>
            <w:r>
              <w:rPr>
                <w:rFonts w:cs="Arial"/>
                <w:szCs w:val="18"/>
                <w:lang w:val="en-GB"/>
              </w:rPr>
              <w:t>Linear</w:t>
            </w:r>
          </w:p>
        </w:tc>
      </w:tr>
      <w:tr w:rsidR="00986E73" w14:paraId="0B38775E" w14:textId="77777777" w:rsidTr="00986E73">
        <w:tc>
          <w:tcPr>
            <w:tcW w:w="1134" w:type="dxa"/>
            <w:tcBorders>
              <w:top w:val="nil"/>
              <w:left w:val="nil"/>
              <w:bottom w:val="nil"/>
              <w:right w:val="nil"/>
            </w:tcBorders>
            <w:shd w:val="clear" w:color="auto" w:fill="FFFFFF"/>
            <w:hideMark/>
          </w:tcPr>
          <w:p w14:paraId="50166642" w14:textId="77777777" w:rsidR="00986E73" w:rsidRDefault="00986E73">
            <w:pPr>
              <w:pStyle w:val="CETBodytext"/>
              <w:ind w:right="-1"/>
              <w:rPr>
                <w:rFonts w:cs="Arial"/>
                <w:szCs w:val="18"/>
                <w:lang w:val="en-GB"/>
              </w:rPr>
            </w:pPr>
            <w:r>
              <w:rPr>
                <w:lang w:val="en-GB"/>
              </w:rPr>
              <w:t>210</w:t>
            </w:r>
          </w:p>
        </w:tc>
        <w:tc>
          <w:tcPr>
            <w:tcW w:w="1134" w:type="dxa"/>
            <w:tcBorders>
              <w:top w:val="nil"/>
              <w:left w:val="nil"/>
              <w:bottom w:val="nil"/>
              <w:right w:val="nil"/>
            </w:tcBorders>
            <w:shd w:val="clear" w:color="auto" w:fill="FFFFFF"/>
            <w:hideMark/>
          </w:tcPr>
          <w:p w14:paraId="065DC334"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56165178" w14:textId="77777777" w:rsidR="00986E73" w:rsidRDefault="00986E73">
            <w:pPr>
              <w:pStyle w:val="CETBodytext"/>
              <w:ind w:right="-1"/>
              <w:rPr>
                <w:rFonts w:cs="Arial"/>
                <w:szCs w:val="18"/>
                <w:lang w:val="en-GB"/>
              </w:rPr>
            </w:pPr>
            <w:r>
              <w:rPr>
                <w:rFonts w:cs="Arial"/>
                <w:szCs w:val="18"/>
                <w:lang w:val="en-GB"/>
              </w:rPr>
              <w:t>100</w:t>
            </w:r>
          </w:p>
        </w:tc>
        <w:tc>
          <w:tcPr>
            <w:tcW w:w="1134" w:type="dxa"/>
            <w:tcBorders>
              <w:top w:val="nil"/>
              <w:left w:val="nil"/>
              <w:bottom w:val="nil"/>
              <w:right w:val="nil"/>
            </w:tcBorders>
            <w:shd w:val="clear" w:color="auto" w:fill="FFFFFF"/>
            <w:hideMark/>
          </w:tcPr>
          <w:p w14:paraId="31404F8C" w14:textId="77777777" w:rsidR="00986E73" w:rsidRDefault="00986E73">
            <w:pPr>
              <w:pStyle w:val="CETBodytext"/>
              <w:ind w:right="-1"/>
              <w:rPr>
                <w:rFonts w:cs="Arial"/>
                <w:szCs w:val="18"/>
                <w:lang w:val="en-GB"/>
              </w:rPr>
            </w:pPr>
            <w:r>
              <w:rPr>
                <w:rFonts w:cs="Arial"/>
                <w:szCs w:val="18"/>
                <w:lang w:val="en-GB"/>
              </w:rPr>
              <w:t>Linear</w:t>
            </w:r>
          </w:p>
        </w:tc>
      </w:tr>
      <w:tr w:rsidR="00986E73" w14:paraId="4BEE101D" w14:textId="77777777" w:rsidTr="00986E73">
        <w:tc>
          <w:tcPr>
            <w:tcW w:w="1134" w:type="dxa"/>
            <w:tcBorders>
              <w:top w:val="nil"/>
              <w:left w:val="nil"/>
              <w:bottom w:val="nil"/>
              <w:right w:val="nil"/>
            </w:tcBorders>
            <w:shd w:val="clear" w:color="auto" w:fill="FFFFFF"/>
            <w:hideMark/>
          </w:tcPr>
          <w:p w14:paraId="10480BE5" w14:textId="77777777" w:rsidR="00986E73" w:rsidRDefault="00986E73">
            <w:pPr>
              <w:pStyle w:val="CETBodytext"/>
              <w:ind w:right="-1"/>
              <w:rPr>
                <w:rFonts w:cs="Arial"/>
                <w:szCs w:val="18"/>
                <w:lang w:val="en-GB"/>
              </w:rPr>
            </w:pPr>
            <w:r>
              <w:rPr>
                <w:lang w:val="en-GB"/>
              </w:rPr>
              <w:t>210</w:t>
            </w:r>
          </w:p>
        </w:tc>
        <w:tc>
          <w:tcPr>
            <w:tcW w:w="1134" w:type="dxa"/>
            <w:tcBorders>
              <w:top w:val="nil"/>
              <w:left w:val="nil"/>
              <w:bottom w:val="nil"/>
              <w:right w:val="nil"/>
            </w:tcBorders>
            <w:shd w:val="clear" w:color="auto" w:fill="FFFFFF"/>
            <w:hideMark/>
          </w:tcPr>
          <w:p w14:paraId="36FD1341" w14:textId="77777777" w:rsidR="00986E73" w:rsidRDefault="00986E73">
            <w:pPr>
              <w:pStyle w:val="CETBodytext"/>
              <w:ind w:right="-1"/>
              <w:rPr>
                <w:rFonts w:cs="Arial"/>
                <w:szCs w:val="18"/>
                <w:lang w:val="en-GB"/>
              </w:rPr>
            </w:pPr>
            <w:r>
              <w:rPr>
                <w:rFonts w:cs="Arial"/>
                <w:szCs w:val="18"/>
                <w:lang w:val="en-GB"/>
              </w:rPr>
              <w:t xml:space="preserve">0.29 </w:t>
            </w:r>
          </w:p>
        </w:tc>
        <w:tc>
          <w:tcPr>
            <w:tcW w:w="1134" w:type="dxa"/>
            <w:tcBorders>
              <w:top w:val="nil"/>
              <w:left w:val="nil"/>
              <w:bottom w:val="nil"/>
              <w:right w:val="nil"/>
            </w:tcBorders>
            <w:shd w:val="clear" w:color="auto" w:fill="FFFFFF"/>
            <w:hideMark/>
          </w:tcPr>
          <w:p w14:paraId="25D86DE5" w14:textId="77777777" w:rsidR="00986E73" w:rsidRDefault="00986E73">
            <w:pPr>
              <w:pStyle w:val="CETBodytext"/>
              <w:ind w:right="-1"/>
              <w:rPr>
                <w:rFonts w:cs="Arial"/>
                <w:szCs w:val="18"/>
                <w:lang w:val="en-GB"/>
              </w:rPr>
            </w:pPr>
            <w:r>
              <w:rPr>
                <w:rFonts w:cs="Arial"/>
                <w:szCs w:val="18"/>
                <w:lang w:val="en-GB"/>
              </w:rPr>
              <w:t>100</w:t>
            </w:r>
          </w:p>
        </w:tc>
        <w:tc>
          <w:tcPr>
            <w:tcW w:w="1134" w:type="dxa"/>
            <w:tcBorders>
              <w:top w:val="nil"/>
              <w:left w:val="nil"/>
              <w:bottom w:val="nil"/>
              <w:right w:val="nil"/>
            </w:tcBorders>
            <w:shd w:val="clear" w:color="auto" w:fill="FFFFFF"/>
            <w:hideMark/>
          </w:tcPr>
          <w:p w14:paraId="7AFCB664" w14:textId="77777777" w:rsidR="00986E73" w:rsidRDefault="00986E73">
            <w:pPr>
              <w:pStyle w:val="CETBodytext"/>
              <w:ind w:right="-1"/>
              <w:rPr>
                <w:rFonts w:cs="Arial"/>
                <w:szCs w:val="18"/>
                <w:lang w:val="en-GB"/>
              </w:rPr>
            </w:pPr>
            <w:r>
              <w:rPr>
                <w:rFonts w:cs="Arial"/>
                <w:szCs w:val="18"/>
                <w:lang w:val="en-GB"/>
              </w:rPr>
              <w:t>Linear</w:t>
            </w:r>
          </w:p>
        </w:tc>
      </w:tr>
      <w:tr w:rsidR="00986E73" w14:paraId="453010EA" w14:textId="77777777" w:rsidTr="00986E73">
        <w:tc>
          <w:tcPr>
            <w:tcW w:w="1134" w:type="dxa"/>
            <w:tcBorders>
              <w:top w:val="nil"/>
              <w:left w:val="nil"/>
              <w:bottom w:val="nil"/>
              <w:right w:val="nil"/>
            </w:tcBorders>
            <w:shd w:val="clear" w:color="auto" w:fill="FFFFFF"/>
            <w:hideMark/>
          </w:tcPr>
          <w:p w14:paraId="06ED170F" w14:textId="77777777" w:rsidR="00986E73" w:rsidRDefault="00986E73">
            <w:pPr>
              <w:pStyle w:val="CETBodytext"/>
              <w:ind w:right="-1"/>
              <w:rPr>
                <w:rFonts w:cs="Arial"/>
                <w:szCs w:val="18"/>
                <w:lang w:val="en-GB"/>
              </w:rPr>
            </w:pPr>
            <w:r>
              <w:rPr>
                <w:lang w:val="en-GB"/>
              </w:rPr>
              <w:t>210</w:t>
            </w:r>
          </w:p>
        </w:tc>
        <w:tc>
          <w:tcPr>
            <w:tcW w:w="1134" w:type="dxa"/>
            <w:tcBorders>
              <w:top w:val="nil"/>
              <w:left w:val="nil"/>
              <w:bottom w:val="nil"/>
              <w:right w:val="nil"/>
            </w:tcBorders>
            <w:shd w:val="clear" w:color="auto" w:fill="FFFFFF"/>
            <w:hideMark/>
          </w:tcPr>
          <w:p w14:paraId="509A4ADA"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4A367412" w14:textId="77777777" w:rsidR="00986E73" w:rsidRDefault="00986E73">
            <w:pPr>
              <w:pStyle w:val="CETBodytext"/>
              <w:ind w:right="-1"/>
              <w:rPr>
                <w:rFonts w:cs="Arial"/>
                <w:szCs w:val="18"/>
                <w:lang w:val="en-GB"/>
              </w:rPr>
            </w:pPr>
            <w:r>
              <w:rPr>
                <w:rFonts w:cs="Arial"/>
                <w:szCs w:val="18"/>
                <w:lang w:val="en-GB"/>
              </w:rPr>
              <w:t>70</w:t>
            </w:r>
          </w:p>
        </w:tc>
        <w:tc>
          <w:tcPr>
            <w:tcW w:w="1134" w:type="dxa"/>
            <w:tcBorders>
              <w:top w:val="nil"/>
              <w:left w:val="nil"/>
              <w:bottom w:val="nil"/>
              <w:right w:val="nil"/>
            </w:tcBorders>
            <w:shd w:val="clear" w:color="auto" w:fill="FFFFFF"/>
            <w:hideMark/>
          </w:tcPr>
          <w:p w14:paraId="260FBF71" w14:textId="77777777" w:rsidR="00986E73" w:rsidRDefault="00986E73">
            <w:pPr>
              <w:pStyle w:val="CETBodytext"/>
              <w:ind w:right="-1"/>
              <w:rPr>
                <w:rFonts w:cs="Arial"/>
                <w:szCs w:val="18"/>
                <w:lang w:val="en-GB"/>
              </w:rPr>
            </w:pPr>
            <w:r>
              <w:rPr>
                <w:rFonts w:cs="Arial"/>
                <w:szCs w:val="18"/>
                <w:lang w:val="en-GB"/>
              </w:rPr>
              <w:t>Linear</w:t>
            </w:r>
          </w:p>
        </w:tc>
      </w:tr>
      <w:tr w:rsidR="00986E73" w14:paraId="3459F0C4" w14:textId="77777777" w:rsidTr="00986E73">
        <w:tc>
          <w:tcPr>
            <w:tcW w:w="1134" w:type="dxa"/>
            <w:tcBorders>
              <w:top w:val="nil"/>
              <w:left w:val="nil"/>
              <w:bottom w:val="nil"/>
              <w:right w:val="nil"/>
            </w:tcBorders>
            <w:shd w:val="clear" w:color="auto" w:fill="FFFFFF"/>
            <w:hideMark/>
          </w:tcPr>
          <w:p w14:paraId="6005CA0E" w14:textId="77777777" w:rsidR="00986E73" w:rsidRDefault="00986E73">
            <w:pPr>
              <w:pStyle w:val="CETBodytext"/>
              <w:ind w:right="-1"/>
              <w:rPr>
                <w:rFonts w:cs="Arial"/>
                <w:szCs w:val="18"/>
                <w:lang w:val="en-GB"/>
              </w:rPr>
            </w:pPr>
            <w:r>
              <w:rPr>
                <w:lang w:val="en-GB"/>
              </w:rPr>
              <w:t>210</w:t>
            </w:r>
          </w:p>
        </w:tc>
        <w:tc>
          <w:tcPr>
            <w:tcW w:w="1134" w:type="dxa"/>
            <w:tcBorders>
              <w:top w:val="nil"/>
              <w:left w:val="nil"/>
              <w:bottom w:val="nil"/>
              <w:right w:val="nil"/>
            </w:tcBorders>
            <w:shd w:val="clear" w:color="auto" w:fill="FFFFFF"/>
            <w:hideMark/>
          </w:tcPr>
          <w:p w14:paraId="59256E40"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0C036E10" w14:textId="77777777" w:rsidR="00986E73" w:rsidRDefault="00986E73">
            <w:pPr>
              <w:pStyle w:val="CETBodytext"/>
              <w:ind w:right="-1"/>
              <w:rPr>
                <w:rFonts w:cs="Arial"/>
                <w:szCs w:val="18"/>
                <w:lang w:val="en-GB"/>
              </w:rPr>
            </w:pPr>
            <w:r>
              <w:rPr>
                <w:rFonts w:cs="Arial"/>
                <w:szCs w:val="18"/>
                <w:lang w:val="en-GB"/>
              </w:rPr>
              <w:t>50</w:t>
            </w:r>
          </w:p>
        </w:tc>
        <w:tc>
          <w:tcPr>
            <w:tcW w:w="1134" w:type="dxa"/>
            <w:tcBorders>
              <w:top w:val="nil"/>
              <w:left w:val="nil"/>
              <w:bottom w:val="nil"/>
              <w:right w:val="nil"/>
            </w:tcBorders>
            <w:shd w:val="clear" w:color="auto" w:fill="FFFFFF"/>
            <w:hideMark/>
          </w:tcPr>
          <w:p w14:paraId="7AA202FF" w14:textId="77777777" w:rsidR="00986E73" w:rsidRDefault="00986E73">
            <w:pPr>
              <w:pStyle w:val="CETBodytext"/>
              <w:ind w:right="-1"/>
              <w:rPr>
                <w:rFonts w:cs="Arial"/>
                <w:szCs w:val="18"/>
                <w:lang w:val="en-GB"/>
              </w:rPr>
            </w:pPr>
            <w:r>
              <w:rPr>
                <w:rFonts w:cs="Arial"/>
                <w:szCs w:val="18"/>
                <w:lang w:val="en-GB"/>
              </w:rPr>
              <w:t>Linear</w:t>
            </w:r>
          </w:p>
        </w:tc>
      </w:tr>
      <w:tr w:rsidR="00986E73" w14:paraId="4C080FA9" w14:textId="77777777" w:rsidTr="00986E73">
        <w:tc>
          <w:tcPr>
            <w:tcW w:w="1134" w:type="dxa"/>
            <w:tcBorders>
              <w:top w:val="nil"/>
              <w:left w:val="nil"/>
              <w:bottom w:val="nil"/>
              <w:right w:val="nil"/>
            </w:tcBorders>
            <w:shd w:val="clear" w:color="auto" w:fill="FFFFFF"/>
            <w:hideMark/>
          </w:tcPr>
          <w:p w14:paraId="79765A0E" w14:textId="77777777" w:rsidR="00986E73" w:rsidRDefault="00986E73">
            <w:pPr>
              <w:pStyle w:val="CETBodytext"/>
              <w:ind w:right="-1"/>
              <w:rPr>
                <w:rFonts w:cs="Arial"/>
                <w:szCs w:val="18"/>
                <w:lang w:val="en-GB"/>
              </w:rPr>
            </w:pPr>
            <w:r>
              <w:rPr>
                <w:rFonts w:cs="Arial"/>
                <w:szCs w:val="18"/>
                <w:lang w:val="en-GB"/>
              </w:rPr>
              <w:t>210</w:t>
            </w:r>
          </w:p>
        </w:tc>
        <w:tc>
          <w:tcPr>
            <w:tcW w:w="1134" w:type="dxa"/>
            <w:tcBorders>
              <w:top w:val="nil"/>
              <w:left w:val="nil"/>
              <w:bottom w:val="nil"/>
              <w:right w:val="nil"/>
            </w:tcBorders>
            <w:shd w:val="clear" w:color="auto" w:fill="FFFFFF"/>
            <w:hideMark/>
          </w:tcPr>
          <w:p w14:paraId="4C69B688"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0E8C6B88" w14:textId="77777777" w:rsidR="00986E73" w:rsidRDefault="00986E73">
            <w:pPr>
              <w:pStyle w:val="CETBodytext"/>
              <w:ind w:right="-1"/>
              <w:rPr>
                <w:rFonts w:cs="Arial"/>
                <w:szCs w:val="18"/>
                <w:lang w:val="en-GB"/>
              </w:rPr>
            </w:pPr>
            <w:r>
              <w:rPr>
                <w:rFonts w:cs="Arial"/>
                <w:szCs w:val="18"/>
                <w:lang w:val="en-GB"/>
              </w:rPr>
              <w:t>70</w:t>
            </w:r>
          </w:p>
        </w:tc>
        <w:tc>
          <w:tcPr>
            <w:tcW w:w="1134" w:type="dxa"/>
            <w:tcBorders>
              <w:top w:val="nil"/>
              <w:left w:val="nil"/>
              <w:bottom w:val="nil"/>
              <w:right w:val="nil"/>
            </w:tcBorders>
            <w:shd w:val="clear" w:color="auto" w:fill="FFFFFF"/>
            <w:hideMark/>
          </w:tcPr>
          <w:p w14:paraId="3C05F801" w14:textId="77777777" w:rsidR="00986E73" w:rsidRDefault="00986E73">
            <w:pPr>
              <w:pStyle w:val="CETBodytext"/>
              <w:ind w:right="-1"/>
              <w:rPr>
                <w:rFonts w:cs="Arial"/>
                <w:szCs w:val="18"/>
                <w:lang w:val="en-GB"/>
              </w:rPr>
            </w:pPr>
            <w:r>
              <w:rPr>
                <w:rFonts w:cs="Arial"/>
                <w:szCs w:val="18"/>
                <w:lang w:val="en-GB"/>
              </w:rPr>
              <w:t>Honeycomb</w:t>
            </w:r>
          </w:p>
        </w:tc>
      </w:tr>
      <w:tr w:rsidR="00986E73" w14:paraId="0AB80B93" w14:textId="77777777" w:rsidTr="00986E73">
        <w:tc>
          <w:tcPr>
            <w:tcW w:w="1134" w:type="dxa"/>
            <w:tcBorders>
              <w:top w:val="nil"/>
              <w:left w:val="nil"/>
              <w:bottom w:val="nil"/>
              <w:right w:val="nil"/>
            </w:tcBorders>
            <w:shd w:val="clear" w:color="auto" w:fill="FFFFFF"/>
            <w:hideMark/>
          </w:tcPr>
          <w:p w14:paraId="6C4DA34E" w14:textId="77777777" w:rsidR="00986E73" w:rsidRDefault="00986E73">
            <w:pPr>
              <w:pStyle w:val="CETBodytext"/>
              <w:ind w:right="-1"/>
              <w:rPr>
                <w:rFonts w:cs="Arial"/>
                <w:szCs w:val="18"/>
                <w:lang w:val="en-GB"/>
              </w:rPr>
            </w:pPr>
            <w:r>
              <w:rPr>
                <w:rFonts w:cs="Arial"/>
                <w:szCs w:val="18"/>
                <w:lang w:val="en-GB"/>
              </w:rPr>
              <w:t>210</w:t>
            </w:r>
          </w:p>
        </w:tc>
        <w:tc>
          <w:tcPr>
            <w:tcW w:w="1134" w:type="dxa"/>
            <w:tcBorders>
              <w:top w:val="nil"/>
              <w:left w:val="nil"/>
              <w:bottom w:val="nil"/>
              <w:right w:val="nil"/>
            </w:tcBorders>
            <w:shd w:val="clear" w:color="auto" w:fill="FFFFFF"/>
            <w:hideMark/>
          </w:tcPr>
          <w:p w14:paraId="797ECA2A"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101E9D94" w14:textId="77777777" w:rsidR="00986E73" w:rsidRDefault="00986E73">
            <w:pPr>
              <w:pStyle w:val="CETBodytext"/>
              <w:ind w:right="-1"/>
              <w:rPr>
                <w:rFonts w:cs="Arial"/>
                <w:szCs w:val="18"/>
                <w:lang w:val="en-GB"/>
              </w:rPr>
            </w:pPr>
            <w:r>
              <w:rPr>
                <w:rFonts w:cs="Arial"/>
                <w:szCs w:val="18"/>
                <w:lang w:val="en-GB"/>
              </w:rPr>
              <w:t>70</w:t>
            </w:r>
          </w:p>
        </w:tc>
        <w:tc>
          <w:tcPr>
            <w:tcW w:w="1134" w:type="dxa"/>
            <w:tcBorders>
              <w:top w:val="nil"/>
              <w:left w:val="nil"/>
              <w:bottom w:val="nil"/>
              <w:right w:val="nil"/>
            </w:tcBorders>
            <w:shd w:val="clear" w:color="auto" w:fill="FFFFFF"/>
            <w:hideMark/>
          </w:tcPr>
          <w:p w14:paraId="018FF509" w14:textId="77777777" w:rsidR="00986E73" w:rsidRDefault="00986E73">
            <w:pPr>
              <w:pStyle w:val="CETBodytext"/>
              <w:ind w:right="-1"/>
              <w:rPr>
                <w:rFonts w:cs="Arial"/>
                <w:szCs w:val="18"/>
                <w:lang w:val="en-GB"/>
              </w:rPr>
            </w:pPr>
            <w:r>
              <w:rPr>
                <w:rFonts w:cs="Arial"/>
                <w:szCs w:val="18"/>
                <w:lang w:val="en-GB"/>
              </w:rPr>
              <w:t>Octangular</w:t>
            </w:r>
          </w:p>
        </w:tc>
      </w:tr>
      <w:tr w:rsidR="00986E73" w14:paraId="1A3440B9" w14:textId="77777777" w:rsidTr="00986E73">
        <w:tc>
          <w:tcPr>
            <w:tcW w:w="1134" w:type="dxa"/>
            <w:tcBorders>
              <w:top w:val="nil"/>
              <w:left w:val="nil"/>
              <w:bottom w:val="nil"/>
              <w:right w:val="nil"/>
            </w:tcBorders>
            <w:shd w:val="clear" w:color="auto" w:fill="FFFFFF"/>
            <w:hideMark/>
          </w:tcPr>
          <w:p w14:paraId="51A0CDCF" w14:textId="77777777" w:rsidR="00986E73" w:rsidRDefault="00986E73">
            <w:pPr>
              <w:pStyle w:val="CETBodytext"/>
              <w:ind w:right="-1"/>
              <w:rPr>
                <w:rFonts w:cs="Arial"/>
                <w:szCs w:val="18"/>
                <w:lang w:val="en-GB"/>
              </w:rPr>
            </w:pPr>
            <w:r>
              <w:rPr>
                <w:rFonts w:cs="Arial"/>
                <w:szCs w:val="18"/>
                <w:lang w:val="en-GB"/>
              </w:rPr>
              <w:t>180</w:t>
            </w:r>
          </w:p>
        </w:tc>
        <w:tc>
          <w:tcPr>
            <w:tcW w:w="1134" w:type="dxa"/>
            <w:tcBorders>
              <w:top w:val="nil"/>
              <w:left w:val="nil"/>
              <w:bottom w:val="nil"/>
              <w:right w:val="nil"/>
            </w:tcBorders>
            <w:shd w:val="clear" w:color="auto" w:fill="FFFFFF"/>
            <w:hideMark/>
          </w:tcPr>
          <w:p w14:paraId="21046783"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4103DE90" w14:textId="77777777" w:rsidR="00986E73" w:rsidRDefault="00986E73">
            <w:pPr>
              <w:pStyle w:val="CETBodytext"/>
              <w:ind w:right="-1"/>
              <w:rPr>
                <w:rFonts w:cs="Arial"/>
                <w:szCs w:val="18"/>
                <w:lang w:val="en-GB"/>
              </w:rPr>
            </w:pPr>
            <w:r>
              <w:rPr>
                <w:rFonts w:cs="Arial"/>
                <w:szCs w:val="18"/>
                <w:lang w:val="en-GB"/>
              </w:rPr>
              <w:t>100</w:t>
            </w:r>
          </w:p>
        </w:tc>
        <w:tc>
          <w:tcPr>
            <w:tcW w:w="1134" w:type="dxa"/>
            <w:tcBorders>
              <w:top w:val="nil"/>
              <w:left w:val="nil"/>
              <w:bottom w:val="nil"/>
              <w:right w:val="nil"/>
            </w:tcBorders>
            <w:shd w:val="clear" w:color="auto" w:fill="FFFFFF"/>
            <w:hideMark/>
          </w:tcPr>
          <w:p w14:paraId="4C7E0936" w14:textId="77777777" w:rsidR="00986E73" w:rsidRDefault="00986E73">
            <w:pPr>
              <w:pStyle w:val="CETBodytext"/>
              <w:ind w:right="-1"/>
              <w:rPr>
                <w:rFonts w:cs="Arial"/>
                <w:szCs w:val="18"/>
                <w:lang w:val="en-GB"/>
              </w:rPr>
            </w:pPr>
            <w:r>
              <w:rPr>
                <w:rFonts w:cs="Arial"/>
                <w:szCs w:val="18"/>
                <w:lang w:val="en-GB"/>
              </w:rPr>
              <w:t>Linear</w:t>
            </w:r>
          </w:p>
        </w:tc>
      </w:tr>
      <w:tr w:rsidR="00986E73" w14:paraId="6EF01980" w14:textId="77777777" w:rsidTr="00986E73">
        <w:tc>
          <w:tcPr>
            <w:tcW w:w="1134" w:type="dxa"/>
            <w:tcBorders>
              <w:top w:val="nil"/>
              <w:left w:val="nil"/>
              <w:bottom w:val="nil"/>
              <w:right w:val="nil"/>
            </w:tcBorders>
            <w:shd w:val="clear" w:color="auto" w:fill="FFFFFF"/>
            <w:hideMark/>
          </w:tcPr>
          <w:p w14:paraId="61A3C675" w14:textId="77777777" w:rsidR="00986E73" w:rsidRDefault="00986E73">
            <w:pPr>
              <w:pStyle w:val="CETBodytext"/>
              <w:ind w:right="-1"/>
              <w:rPr>
                <w:rFonts w:cs="Arial"/>
                <w:szCs w:val="18"/>
                <w:lang w:val="en-GB"/>
              </w:rPr>
            </w:pPr>
            <w:r>
              <w:rPr>
                <w:rFonts w:cs="Arial"/>
                <w:szCs w:val="18"/>
                <w:lang w:val="en-GB"/>
              </w:rPr>
              <w:t>190</w:t>
            </w:r>
          </w:p>
        </w:tc>
        <w:tc>
          <w:tcPr>
            <w:tcW w:w="1134" w:type="dxa"/>
            <w:tcBorders>
              <w:top w:val="nil"/>
              <w:left w:val="nil"/>
              <w:bottom w:val="nil"/>
              <w:right w:val="nil"/>
            </w:tcBorders>
            <w:shd w:val="clear" w:color="auto" w:fill="FFFFFF"/>
            <w:hideMark/>
          </w:tcPr>
          <w:p w14:paraId="63015AC2"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46039FAA" w14:textId="77777777" w:rsidR="00986E73" w:rsidRDefault="00986E73">
            <w:pPr>
              <w:pStyle w:val="CETBodytext"/>
              <w:ind w:right="-1"/>
              <w:rPr>
                <w:rFonts w:cs="Arial"/>
                <w:szCs w:val="18"/>
                <w:lang w:val="en-GB"/>
              </w:rPr>
            </w:pPr>
            <w:r>
              <w:rPr>
                <w:rFonts w:cs="Arial"/>
                <w:szCs w:val="18"/>
                <w:lang w:val="en-GB"/>
              </w:rPr>
              <w:t>100</w:t>
            </w:r>
          </w:p>
        </w:tc>
        <w:tc>
          <w:tcPr>
            <w:tcW w:w="1134" w:type="dxa"/>
            <w:tcBorders>
              <w:top w:val="nil"/>
              <w:left w:val="nil"/>
              <w:bottom w:val="nil"/>
              <w:right w:val="nil"/>
            </w:tcBorders>
            <w:shd w:val="clear" w:color="auto" w:fill="FFFFFF"/>
            <w:hideMark/>
          </w:tcPr>
          <w:p w14:paraId="141118C6" w14:textId="77777777" w:rsidR="00986E73" w:rsidRDefault="00986E73">
            <w:pPr>
              <w:pStyle w:val="CETBodytext"/>
              <w:ind w:right="-1"/>
              <w:rPr>
                <w:rFonts w:cs="Arial"/>
                <w:szCs w:val="18"/>
                <w:lang w:val="en-GB"/>
              </w:rPr>
            </w:pPr>
            <w:r>
              <w:rPr>
                <w:rFonts w:cs="Arial"/>
                <w:szCs w:val="18"/>
                <w:lang w:val="en-GB"/>
              </w:rPr>
              <w:t>Linear</w:t>
            </w:r>
          </w:p>
        </w:tc>
      </w:tr>
      <w:tr w:rsidR="00986E73" w14:paraId="2549F213" w14:textId="77777777" w:rsidTr="00986E73">
        <w:tc>
          <w:tcPr>
            <w:tcW w:w="1134" w:type="dxa"/>
            <w:tcBorders>
              <w:top w:val="nil"/>
              <w:left w:val="nil"/>
              <w:bottom w:val="nil"/>
              <w:right w:val="nil"/>
            </w:tcBorders>
            <w:shd w:val="clear" w:color="auto" w:fill="FFFFFF"/>
            <w:hideMark/>
          </w:tcPr>
          <w:p w14:paraId="0C0F3ED6" w14:textId="77777777" w:rsidR="00986E73" w:rsidRDefault="00986E73">
            <w:pPr>
              <w:pStyle w:val="CETBodytext"/>
              <w:ind w:right="-1"/>
              <w:rPr>
                <w:rFonts w:cs="Arial"/>
                <w:szCs w:val="18"/>
                <w:lang w:val="en-GB"/>
              </w:rPr>
            </w:pPr>
            <w:r>
              <w:rPr>
                <w:rFonts w:cs="Arial"/>
                <w:szCs w:val="18"/>
                <w:lang w:val="en-GB"/>
              </w:rPr>
              <w:t>200</w:t>
            </w:r>
          </w:p>
        </w:tc>
        <w:tc>
          <w:tcPr>
            <w:tcW w:w="1134" w:type="dxa"/>
            <w:tcBorders>
              <w:top w:val="nil"/>
              <w:left w:val="nil"/>
              <w:bottom w:val="nil"/>
              <w:right w:val="nil"/>
            </w:tcBorders>
            <w:shd w:val="clear" w:color="auto" w:fill="FFFFFF"/>
            <w:hideMark/>
          </w:tcPr>
          <w:p w14:paraId="3FEA4A9E"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nil"/>
              <w:right w:val="nil"/>
            </w:tcBorders>
            <w:shd w:val="clear" w:color="auto" w:fill="FFFFFF"/>
            <w:hideMark/>
          </w:tcPr>
          <w:p w14:paraId="1A3D760E" w14:textId="77777777" w:rsidR="00986E73" w:rsidRDefault="00986E73">
            <w:pPr>
              <w:pStyle w:val="CETBodytext"/>
              <w:ind w:right="-1"/>
              <w:rPr>
                <w:rFonts w:cs="Arial"/>
                <w:szCs w:val="18"/>
                <w:lang w:val="en-GB"/>
              </w:rPr>
            </w:pPr>
            <w:r>
              <w:rPr>
                <w:rFonts w:cs="Arial"/>
                <w:szCs w:val="18"/>
                <w:lang w:val="en-GB"/>
              </w:rPr>
              <w:t>100</w:t>
            </w:r>
          </w:p>
        </w:tc>
        <w:tc>
          <w:tcPr>
            <w:tcW w:w="1134" w:type="dxa"/>
            <w:tcBorders>
              <w:top w:val="nil"/>
              <w:left w:val="nil"/>
              <w:bottom w:val="nil"/>
              <w:right w:val="nil"/>
            </w:tcBorders>
            <w:shd w:val="clear" w:color="auto" w:fill="FFFFFF"/>
            <w:hideMark/>
          </w:tcPr>
          <w:p w14:paraId="42E6A4B8" w14:textId="77777777" w:rsidR="00986E73" w:rsidRDefault="00986E73">
            <w:pPr>
              <w:pStyle w:val="CETBodytext"/>
              <w:ind w:right="-1"/>
              <w:rPr>
                <w:rFonts w:cs="Arial"/>
                <w:szCs w:val="18"/>
                <w:lang w:val="en-GB"/>
              </w:rPr>
            </w:pPr>
            <w:r>
              <w:rPr>
                <w:rFonts w:cs="Arial"/>
                <w:szCs w:val="18"/>
                <w:lang w:val="en-GB"/>
              </w:rPr>
              <w:t>Linear</w:t>
            </w:r>
          </w:p>
        </w:tc>
      </w:tr>
      <w:tr w:rsidR="00986E73" w14:paraId="7B6C2442" w14:textId="77777777" w:rsidTr="00986E73">
        <w:tc>
          <w:tcPr>
            <w:tcW w:w="1134" w:type="dxa"/>
            <w:tcBorders>
              <w:top w:val="nil"/>
              <w:left w:val="nil"/>
              <w:bottom w:val="single" w:sz="12" w:space="0" w:color="008000"/>
              <w:right w:val="nil"/>
            </w:tcBorders>
            <w:shd w:val="clear" w:color="auto" w:fill="FFFFFF"/>
            <w:hideMark/>
          </w:tcPr>
          <w:p w14:paraId="20D88478" w14:textId="77777777" w:rsidR="00986E73" w:rsidRDefault="00986E73">
            <w:pPr>
              <w:pStyle w:val="CETBodytext"/>
              <w:ind w:right="-1"/>
              <w:rPr>
                <w:rFonts w:cs="Arial"/>
                <w:szCs w:val="18"/>
                <w:lang w:val="en-GB"/>
              </w:rPr>
            </w:pPr>
            <w:r>
              <w:rPr>
                <w:rFonts w:cs="Arial"/>
                <w:szCs w:val="18"/>
                <w:lang w:val="en-GB"/>
              </w:rPr>
              <w:t xml:space="preserve">220 </w:t>
            </w:r>
          </w:p>
        </w:tc>
        <w:tc>
          <w:tcPr>
            <w:tcW w:w="1134" w:type="dxa"/>
            <w:tcBorders>
              <w:top w:val="nil"/>
              <w:left w:val="nil"/>
              <w:bottom w:val="single" w:sz="12" w:space="0" w:color="008000"/>
              <w:right w:val="nil"/>
            </w:tcBorders>
            <w:shd w:val="clear" w:color="auto" w:fill="FFFFFF"/>
            <w:hideMark/>
          </w:tcPr>
          <w:p w14:paraId="2D5EA099" w14:textId="77777777" w:rsidR="00986E73" w:rsidRDefault="00986E73">
            <w:pPr>
              <w:pStyle w:val="CETBodytext"/>
              <w:ind w:right="-1"/>
              <w:rPr>
                <w:rFonts w:cs="Arial"/>
                <w:szCs w:val="18"/>
                <w:lang w:val="en-GB"/>
              </w:rPr>
            </w:pPr>
            <w:r>
              <w:rPr>
                <w:rFonts w:cs="Arial"/>
                <w:szCs w:val="18"/>
                <w:lang w:val="en-GB"/>
              </w:rPr>
              <w:t xml:space="preserve">0.19 </w:t>
            </w:r>
          </w:p>
        </w:tc>
        <w:tc>
          <w:tcPr>
            <w:tcW w:w="1134" w:type="dxa"/>
            <w:tcBorders>
              <w:top w:val="nil"/>
              <w:left w:val="nil"/>
              <w:bottom w:val="single" w:sz="12" w:space="0" w:color="008000"/>
              <w:right w:val="nil"/>
            </w:tcBorders>
            <w:shd w:val="clear" w:color="auto" w:fill="FFFFFF"/>
            <w:hideMark/>
          </w:tcPr>
          <w:p w14:paraId="2243DF7B" w14:textId="77777777" w:rsidR="00986E73" w:rsidRDefault="00986E73">
            <w:pPr>
              <w:pStyle w:val="CETBodytext"/>
              <w:ind w:right="-1"/>
              <w:rPr>
                <w:rFonts w:cs="Arial"/>
                <w:szCs w:val="18"/>
                <w:lang w:val="en-GB"/>
              </w:rPr>
            </w:pPr>
            <w:r>
              <w:rPr>
                <w:rFonts w:cs="Arial"/>
                <w:szCs w:val="18"/>
                <w:lang w:val="en-GB"/>
              </w:rPr>
              <w:t>100</w:t>
            </w:r>
          </w:p>
        </w:tc>
        <w:tc>
          <w:tcPr>
            <w:tcW w:w="1134" w:type="dxa"/>
            <w:tcBorders>
              <w:top w:val="nil"/>
              <w:left w:val="nil"/>
              <w:bottom w:val="single" w:sz="12" w:space="0" w:color="008000"/>
              <w:right w:val="nil"/>
            </w:tcBorders>
            <w:shd w:val="clear" w:color="auto" w:fill="FFFFFF"/>
            <w:hideMark/>
          </w:tcPr>
          <w:p w14:paraId="20E1399E" w14:textId="77777777" w:rsidR="00986E73" w:rsidRDefault="00986E73">
            <w:pPr>
              <w:pStyle w:val="CETBodytext"/>
              <w:ind w:right="-1"/>
              <w:rPr>
                <w:rFonts w:cs="Arial"/>
                <w:szCs w:val="18"/>
                <w:lang w:val="en-GB"/>
              </w:rPr>
            </w:pPr>
            <w:r>
              <w:rPr>
                <w:rFonts w:cs="Arial"/>
                <w:szCs w:val="18"/>
                <w:lang w:val="en-GB"/>
              </w:rPr>
              <w:t>Linear</w:t>
            </w:r>
          </w:p>
        </w:tc>
      </w:tr>
    </w:tbl>
    <w:p w14:paraId="7EB7EB36" w14:textId="77777777" w:rsidR="00986E73" w:rsidRDefault="00986E73" w:rsidP="00986E73">
      <w:pPr>
        <w:pStyle w:val="CETheadingx"/>
        <w:numPr>
          <w:ilvl w:val="0"/>
          <w:numId w:val="0"/>
        </w:numPr>
      </w:pPr>
    </w:p>
    <w:p w14:paraId="70C784E7" w14:textId="77777777" w:rsidR="00986E73" w:rsidRDefault="00986E73" w:rsidP="00986E73">
      <w:pPr>
        <w:pStyle w:val="CETheadingx"/>
        <w:numPr>
          <w:ilvl w:val="2"/>
          <w:numId w:val="23"/>
        </w:numPr>
      </w:pPr>
      <w:r>
        <w:t>Characterization techniques</w:t>
      </w:r>
    </w:p>
    <w:p w14:paraId="31428FB9" w14:textId="77777777" w:rsidR="00986E73" w:rsidRDefault="00986E73" w:rsidP="00986E73">
      <w:pPr>
        <w:pStyle w:val="CETBodytext"/>
      </w:pPr>
      <w:r>
        <w:t>The linear viscoelastic characterization of filament was carried out in a rotational rheometer (mod. ARES-G2) supplied by TA Instruments (New Castle, DE, USA), with parallel plates, 25 mm in diameter, in the frequency range from 0.1 to 100 rad/s, strain of 1%, at 170, 190, and 210 ◦C, under air atmosphere (through the so-called “Frequency sweep tests”).</w:t>
      </w:r>
    </w:p>
    <w:p w14:paraId="61908525" w14:textId="77777777" w:rsidR="00986E73" w:rsidRDefault="00986E73" w:rsidP="00986E73">
      <w:pPr>
        <w:pStyle w:val="CETBodytext"/>
      </w:pPr>
      <w:r>
        <w:t xml:space="preserve">The dynamic-mechanical properties (DMA) of 3D printed parts were investigated using a </w:t>
      </w:r>
      <w:proofErr w:type="spellStart"/>
      <w:r>
        <w:t>Tritec</w:t>
      </w:r>
      <w:proofErr w:type="spellEnd"/>
      <w:r>
        <w:t xml:space="preserve"> 2000 machine, manufactured by Triton Technology Ltd. (Leicestershire, UK), in single cantilever mode, at 1 Hz frequency, and support distance of 12 mm, from room temperature to 70°C.</w:t>
      </w:r>
    </w:p>
    <w:p w14:paraId="0050CD96" w14:textId="77777777" w:rsidR="00986E73" w:rsidRDefault="00986E73" w:rsidP="00986E73">
      <w:pPr>
        <w:rPr>
          <w:lang w:val="en-US"/>
        </w:rPr>
      </w:pPr>
      <w:r>
        <w:rPr>
          <w:lang w:val="en-US"/>
        </w:rPr>
        <w:t xml:space="preserve">0.13 g of sample was placed in a glass container having a volume of 4 ml. The container was hermetically sealed and placed in an oven at 70°, 190° or 220° for 10 min up to 1 hr. The containers were thermalized at room temperature. The gas sensor (ZMOD4410, </w:t>
      </w:r>
      <w:proofErr w:type="spellStart"/>
      <w:r>
        <w:rPr>
          <w:lang w:val="en-US"/>
        </w:rPr>
        <w:t>Renesans</w:t>
      </w:r>
      <w:proofErr w:type="spellEnd"/>
      <w:r>
        <w:rPr>
          <w:lang w:val="en-US"/>
        </w:rPr>
        <w:t xml:space="preserve">, RS Components) was placed near the opening of the container and the lid was removed after 10 seconds. The sensor response was calibrated with zero (air filtered with active carbon) and span with isobutylene (1 ppm) following a procedure given in </w:t>
      </w:r>
      <w:r>
        <w:rPr>
          <w:lang w:val="en-US"/>
        </w:rPr>
        <w:fldChar w:fldCharType="begin" w:fldLock="1"/>
      </w:r>
      <w:r>
        <w:rPr>
          <w:lang w:val="en-US"/>
        </w:rPr>
        <w:instrText>ADDIN CSL_CITATION {"citationItems":[{"id":"ITEM-1","itemData":{"DOI":"10.3390/CHEMOSENSORS8030077","ISSN":"2227-9040","abstract":"We investigated and overcame the limitations associated with the use of unmanned aerial vehicles (UAVs) in the chemical mapping of pollutants coming from point source, as in the case of leaks&amp;rsquo; detection. In particular, by simulating the pollutant spatial distribution in the absence and presence of a flying drone, we demonstrated that turbulent flows generated by UAVs can significantly limit the spatial accuracy of the mapping and the pollutant source detection. Finally, as this effect markedly depends on the proximity of the UAV to the pollutant source, we experimentally demonstrated that it is possible to overcome it by employing a sufficiently long probe equipped with an aspiration apparatus transporting the sample from the ground to the detector-equipped UAV.","author":[{"dropping-particle":"","family":"Li-Destri","given":"Giovanni","non-dropping-particle":"","parse-names":false,"suffix":""},{"dropping-particle":"","family":"Menta","given":"Dario","non-dropping-particle":"","parse-names":false,"suffix":""},{"dropping-particle":"","family":"Menta","given":"Carmelo","non-dropping-particle":"","parse-names":false,"suffix":""},{"dropping-particle":"","family":"Tuccitto","given":"Nunzio","non-dropping-particle":"","parse-names":false,"suffix":""}],"container-title":"Chemosensors","id":"ITEM-1","issue":"3","issued":{"date-parts":[["2020","8","25"]]},"page":"77","publisher":"Multidisciplinary Digital Publishing Institute","title":"Effect of Unmanned Aerial Vehicles on the Spatial Distribution of Analytes from Point Source","type":"article-journal","volume":"8"},"uris":["http://www.mendeley.com/documents/?uuid=127d6ed5-71a8-38f6-8f7b-7a20d1552904"]}],"mendeley":{"formattedCitation":"(Li-Destri et al., 2020)","plainTextFormattedCitation":"(Li-Destri et al., 2020)","previouslyFormattedCitation":"(Li-Destri et al., 2020)"},"properties":{"noteIndex":0},"schema":"https://github.com/citation-style-language/schema/raw/master/csl-citation.json"}</w:instrText>
      </w:r>
      <w:r>
        <w:rPr>
          <w:lang w:val="en-US"/>
        </w:rPr>
        <w:fldChar w:fldCharType="separate"/>
      </w:r>
      <w:r>
        <w:rPr>
          <w:noProof/>
          <w:lang w:val="en-US"/>
        </w:rPr>
        <w:t>(Li-Destri et al., 2020)</w:t>
      </w:r>
      <w:r>
        <w:rPr>
          <w:lang w:val="en-US"/>
        </w:rPr>
        <w:fldChar w:fldCharType="end"/>
      </w:r>
      <w:r>
        <w:rPr>
          <w:lang w:val="en-US"/>
        </w:rPr>
        <w:t>. Results are expressed as mg/m</w:t>
      </w:r>
      <w:r>
        <w:rPr>
          <w:vertAlign w:val="superscript"/>
          <w:lang w:val="en-US"/>
        </w:rPr>
        <w:t>3</w:t>
      </w:r>
      <w:r>
        <w:rPr>
          <w:lang w:val="en-US"/>
        </w:rPr>
        <w:t xml:space="preserve"> volatile organic compounds as released by the sensor without any further modification.</w:t>
      </w:r>
    </w:p>
    <w:p w14:paraId="36EBB19C" w14:textId="77777777" w:rsidR="00986E73" w:rsidRDefault="00986E73" w:rsidP="00986E73">
      <w:pPr>
        <w:rPr>
          <w:lang w:val="en-US"/>
        </w:rPr>
      </w:pPr>
    </w:p>
    <w:p w14:paraId="0B097768" w14:textId="77777777" w:rsidR="00986E73" w:rsidRDefault="00986E73" w:rsidP="00986E73">
      <w:pPr>
        <w:pStyle w:val="CETHeading1"/>
        <w:numPr>
          <w:ilvl w:val="1"/>
          <w:numId w:val="23"/>
        </w:numPr>
        <w:tabs>
          <w:tab w:val="right" w:pos="7100"/>
        </w:tabs>
        <w:jc w:val="both"/>
        <w:rPr>
          <w:lang w:val="en-GB"/>
        </w:rPr>
      </w:pPr>
      <w:r>
        <w:rPr>
          <w:lang w:val="en-GB"/>
        </w:rPr>
        <w:t>Experimental Results</w:t>
      </w:r>
    </w:p>
    <w:p w14:paraId="05368875" w14:textId="77777777" w:rsidR="00986E73" w:rsidRDefault="00986E73" w:rsidP="00986E73">
      <w:pPr>
        <w:pStyle w:val="CETheadingx"/>
        <w:numPr>
          <w:ilvl w:val="2"/>
          <w:numId w:val="23"/>
        </w:numPr>
      </w:pPr>
      <w:r>
        <w:t>Volatile Organic Components (VOC) emission</w:t>
      </w:r>
    </w:p>
    <w:p w14:paraId="181DA269" w14:textId="77777777" w:rsidR="00986E73" w:rsidRDefault="00986E73" w:rsidP="00986E73">
      <w:pPr>
        <w:rPr>
          <w:lang w:val="en-US"/>
        </w:rPr>
      </w:pPr>
      <w:r>
        <w:rPr>
          <w:lang w:val="en-US"/>
        </w:rPr>
        <w:t xml:space="preserve">According to the work by </w:t>
      </w:r>
      <w:r>
        <w:rPr>
          <w:lang w:val="en-US"/>
        </w:rPr>
        <w:fldChar w:fldCharType="begin" w:fldLock="1"/>
      </w:r>
      <w:r>
        <w:rPr>
          <w:lang w:val="en-US"/>
        </w:rPr>
        <w:instrText>ADDIN CSL_CITATION {"citationItems":[{"id":"ITEM-1","itemData":{"DOI":"10.1080/15459624.2017.1285489","ISSN":"15459632","PMID":"28165927","abstract":"The fast development of low-cost desktop three-dimensional (3D) printers has made those devices widely accessible for goods manufacturing at home. However, is it safe? Users may belittle the effects or influences of pollutants (organic compounds and ultrafine particles) generated by the devices in question. Within the scope of this study, the authors attempt to investigate thermal decomposition of the following commonly used, commercially available thermoplastic filaments: acrylonitrile-butadiene-styrene (ABS), polylactic acid (PLA), polyethylene terephthalate (PET), and nylon. Thermogravimetric analysis has shown the detailed thermal patterns of their behavior upon increasing temperature in neutral atmosphere, while GC analysis of organic vapors emitted during the process of heating thermoplastics have made it possible to obtain crucial pieces of information about the toxicity of 3D printing process. The conducted study has shown that ABS is significantly more toxic than PLA. The emission of volatile organic compounds (VOC) has been in the range of 0.50 µmol/h. Styrene has accounted for more than 30% of total VOC emitted from ABS, while for PLA, methyl methacrylate has been detected as the predominant compound (44% of total VOCs emission). Moreover, the authors have summarized available or applicable methods that can eliminate formed pollutants and protect the users of 3D printers. This article summarizes theoretical knowledge on thermal degradation of polymers used for 3D printers and shows results of authors’ investigation, as well as presents forward-looking solutions that may increase the safety of utilization of 3D printers.","author":[{"dropping-particle":"","family":"Wojtyła","given":"Szymon","non-dropping-particle":"","parse-names":false,"suffix":""},{"dropping-particle":"","family":"Klama","given":"Piotr","non-dropping-particle":"","parse-names":false,"suffix":""},{"dropping-particle":"","family":"Baran","given":"Tomasz","non-dropping-particle":"","parse-names":false,"suffix":""}],"container-title":"Journal of Occupational and Environmental Hygiene","id":"ITEM-1","issue":"6","issued":{"date-parts":[["2017","6","3"]]},"page":"D80-D85","publisher":"Taylor &amp; Francis","title":"Is 3D printing safe? Analysis of the thermal treatment of thermoplastics: ABS, PLA, PET, and nylon","type":"article-journal","volume":"14"},"uris":["http://www.mendeley.com/documents/?uuid=fea975a1-74d5-3332-b0c1-8428276c03f6"]}],"mendeley":{"formattedCitation":"(Wojtyła et al., 2017)","plainTextFormattedCitation":"(Wojtyła et al., 2017)","previouslyFormattedCitation":"(Wojtyła et al., 2017)"},"properties":{"noteIndex":0},"schema":"https://github.com/citation-style-language/schema/raw/master/csl-citation.json"}</w:instrText>
      </w:r>
      <w:r>
        <w:rPr>
          <w:lang w:val="en-US"/>
        </w:rPr>
        <w:fldChar w:fldCharType="separate"/>
      </w:r>
      <w:r>
        <w:rPr>
          <w:noProof/>
          <w:lang w:val="en-US"/>
        </w:rPr>
        <w:t>(Wojtyła et al., 2017)</w:t>
      </w:r>
      <w:r>
        <w:rPr>
          <w:lang w:val="en-US"/>
        </w:rPr>
        <w:fldChar w:fldCharType="end"/>
      </w:r>
      <w:r>
        <w:rPr>
          <w:lang w:val="en-US"/>
        </w:rPr>
        <w:t xml:space="preserve">, heating the PLA material at higher temperatures up to 250°C, produces numerous organic compounds such as acetone, methyl-methacrylate, iso-butanol, cyclohexanone. During the thermal treatment of PLA, methyl-methacrylate and iso-butanol are the main emitted pollutants accounting 50 and 20%, respectively, of the total VOC (TVOC) emission. In the case of printing process, it is well-known that </w:t>
      </w:r>
      <w:r>
        <w:t xml:space="preserve">emissions initiate at the start of the glass transition and achieve the peak during filament melting </w:t>
      </w:r>
      <w:r>
        <w:fldChar w:fldCharType="begin" w:fldLock="1"/>
      </w:r>
      <w:r>
        <w:instrText>ADDIN CSL_CITATION {"citationItems":[{"id":"ITEM-1","itemData":{"DOI":"10.1016/J.SCITOTENV.2019.07.257","ISSN":"0048-9697","PMID":"31540002","abstract":"Ultrafine particles (UFP) and volatile organic compounds (VOC) emitted from fused deposition modelling (FDM) 3D printing have received widespread attention. Here, we characterize the formation mechanisms of emissions from polymer filaments commonly used in FDM 3D printing. The temporal relationship between the amount and species of total VOC (TVOC) at any desired operating thermal condition is obtained through a combination of evolved gas analysis (EGA) and thermogravimetric analysis (TGA) to capture physicochemical reactions, in which the furnace of EGA or TGA closely resembles the heating process of the nozzle in the FDM 3D printer. It is generally observed that emissions initiate at the start of the glass transition process and peak during liquefaction for filaments. Initial increment in emissions during liquefaction and the relatively constant decomposition of products in the liquid phase are two main TVOC formation mechanisms. More importantly, low heating rate has the potential to restrain the formation of carcinogenic monomer, styrene, from ABS. A TVOC measurement method based on weight loss is further proposed and found that TVOC mass yield was 0.03%, 0.21% and 2.14% for PLA, ABS, and PVA, respectively, at 220 °C. Among TVOC, UFP mass accounts for 1% to 5% of TVOC mass depending on the type of filaments used. Also, for the first time, emission of UFP from the nozzle is directly observed through laser imaging.","author":[{"dropping-particle":"","family":"Ding","given":"Shirun","non-dropping-particle":"","parse-names":false,"suffix":""},{"dropping-particle":"","family":"Ng","given":"Bing Feng","non-dropping-particle":"","parse-names":false,"suffix":""},{"dropping-particle":"","family":"Shang","given":"Xiaopeng","non-dropping-particle":"","parse-names":false,"suffix":""},{"dropping-particle":"","family":"Liu","given":"Hu","non-dropping-particle":"","parse-names":false,"suffix":""},{"dropping-particle":"","family":"Lu","given":"Xuehong","non-dropping-particle":"","parse-names":false,"suffix":""},{"dropping-particle":"","family":"Wan","given":"Man Pun","non-dropping-particle":"","parse-names":false,"suffix":""}],"container-title":"Science of The Total Environment","id":"ITEM-1","issued":{"date-parts":[["2019","11","20"]]},"page":"984-994","publisher":"Elsevier","title":"The characteristics and formation mechanisms of emissions from thermal decomposition of 3D printer polymer filaments","type":"article-journal","volume":"692"},"uris":["http://www.mendeley.com/documents/?uuid=ca2b487d-d1fc-3814-bf13-dd2afb21052a"]}],"mendeley":{"formattedCitation":"(Ding et al., 2019)","plainTextFormattedCitation":"(Ding et al., 2019)","previouslyFormattedCitation":"(Ding et al., 2019)"},"properties":{"noteIndex":0},"schema":"https://github.com/citation-style-language/schema/raw/master/csl-citation.json"}</w:instrText>
      </w:r>
      <w:r>
        <w:fldChar w:fldCharType="separate"/>
      </w:r>
      <w:r>
        <w:rPr>
          <w:noProof/>
        </w:rPr>
        <w:t>(Ding et al., 2019)</w:t>
      </w:r>
      <w:r>
        <w:fldChar w:fldCharType="end"/>
      </w:r>
      <w:r>
        <w:t xml:space="preserve">. </w:t>
      </w:r>
      <w:proofErr w:type="gramStart"/>
      <w:r>
        <w:t>Taking into account</w:t>
      </w:r>
      <w:proofErr w:type="gramEnd"/>
      <w:r>
        <w:t xml:space="preserve"> these considerations, a small piece of PLA filament has been thermally treated at temperature of 70°C (close to the material glass transition temperature), at 190°C and 220°C (above the material melting, as potential working temperatures for the extruder). After thermal treatment TVOC release has been detected.</w:t>
      </w:r>
    </w:p>
    <w:p w14:paraId="43EC4892" w14:textId="77777777" w:rsidR="00986E73" w:rsidRDefault="00986E73" w:rsidP="00986E73">
      <w:pPr>
        <w:pStyle w:val="Paragrafoelenco"/>
        <w:ind w:left="0"/>
        <w:rPr>
          <w:lang w:val="en-US"/>
        </w:rPr>
      </w:pPr>
      <w:r>
        <w:rPr>
          <w:lang w:val="en-US"/>
        </w:rPr>
        <w:t>Figure 1a shows the signal trend of the volatile organic compounds detected by the sensor placed near the opening of the ampoule containing the polymer exposed to three different temperatures for 1 hour. The trend is quite similar in all conditions. As soon as the container is opened (at about 10 seconds), the sensor detects the puff of volatiles accumulated in it during the treatment in the oven. There is a significant difference in emission between the lower (70°C) and higher (190 and 220°C) temperatures in terms of the maximum peak of volatiles released from the ampoule. Although the curves at the higher temperatures are very similar in terms of maximum (instantaneous) emission, the integrated amount (figure 1b) released from the sample treated at the higher temperature is greater (1.7 times).</w:t>
      </w:r>
    </w:p>
    <w:p w14:paraId="5AA8EC3E" w14:textId="77777777" w:rsidR="00986E73" w:rsidRDefault="00986E73" w:rsidP="00986E73">
      <w:pPr>
        <w:pStyle w:val="Paragrafoelenco"/>
        <w:ind w:left="0"/>
        <w:rPr>
          <w:lang w:val="en-US"/>
        </w:rPr>
      </w:pPr>
    </w:p>
    <w:p w14:paraId="1D7BF33F" w14:textId="2323D674" w:rsidR="00986E73" w:rsidRDefault="00986E73" w:rsidP="00986E73">
      <w:pPr>
        <w:jc w:val="center"/>
        <w:rPr>
          <w:lang w:val="en-US"/>
        </w:rPr>
      </w:pPr>
      <w:r>
        <w:rPr>
          <w:noProof/>
          <w:lang w:val="en-US"/>
        </w:rPr>
        <w:drawing>
          <wp:inline distT="0" distB="0" distL="0" distR="0" wp14:anchorId="6DAB8082" wp14:editId="5A7A5BE2">
            <wp:extent cx="2647950" cy="19812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r>
        <w:rPr>
          <w:noProof/>
          <w:lang w:val="en-US"/>
        </w:rPr>
        <w:drawing>
          <wp:inline distT="0" distB="0" distL="0" distR="0" wp14:anchorId="676DDC8E" wp14:editId="11634850">
            <wp:extent cx="2647950" cy="1981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p w14:paraId="372F80DE" w14:textId="77777777" w:rsidR="00986E73" w:rsidRDefault="00986E73" w:rsidP="00986E73">
      <w:pPr>
        <w:pStyle w:val="CETCaption"/>
      </w:pPr>
      <w:r>
        <w:t>Figure 1: (a) TVOC emission of PLA piece (0.1 g) after thermal treatment at 70°C, 190°C, 220°C of 1 hr, respectively (b) Integral of VOC emission (mg/m3*s) as function of time (s).</w:t>
      </w:r>
    </w:p>
    <w:p w14:paraId="346F9B57" w14:textId="77777777" w:rsidR="00986E73" w:rsidRDefault="00986E73" w:rsidP="00986E73">
      <w:pPr>
        <w:pStyle w:val="CETCaption"/>
        <w:rPr>
          <w:i w:val="0"/>
          <w:iCs/>
        </w:rPr>
      </w:pPr>
      <w:r>
        <w:rPr>
          <w:i w:val="0"/>
          <w:iCs/>
        </w:rPr>
        <w:lastRenderedPageBreak/>
        <w:t>It should be mentioned that measurements conducted after 10 min of thermal treatment were comparable to values found after 1 h.</w:t>
      </w:r>
    </w:p>
    <w:p w14:paraId="38A73884" w14:textId="77777777" w:rsidR="00986E73" w:rsidRDefault="00986E73" w:rsidP="00986E73">
      <w:pPr>
        <w:pStyle w:val="CETheadingx"/>
        <w:numPr>
          <w:ilvl w:val="2"/>
          <w:numId w:val="23"/>
        </w:numPr>
        <w:rPr>
          <w:lang w:val="en-GB"/>
        </w:rPr>
      </w:pPr>
      <w:r>
        <w:rPr>
          <w:lang w:val="en-GB"/>
        </w:rPr>
        <w:t>Rotational Rheology</w:t>
      </w:r>
    </w:p>
    <w:p w14:paraId="022FE69D" w14:textId="77777777" w:rsidR="00986E73" w:rsidRDefault="00986E73" w:rsidP="00986E73">
      <w:pPr>
        <w:pStyle w:val="CETBodytext"/>
      </w:pPr>
      <w:r>
        <w:t xml:space="preserve">The analysis of material viscosity at the corresponding working temperatures could be useful to avoid various printing </w:t>
      </w:r>
      <w:proofErr w:type="gramStart"/>
      <w:r>
        <w:t>attempts, and</w:t>
      </w:r>
      <w:proofErr w:type="gramEnd"/>
      <w:r>
        <w:t xml:space="preserve"> reduce waste. The range of shear rates involved in the FDM of thermoplastics is between 10 to 2000 s</w:t>
      </w:r>
      <w:r>
        <w:rPr>
          <w:vertAlign w:val="superscript"/>
        </w:rPr>
        <w:t>−1</w:t>
      </w:r>
      <w:r>
        <w:t>.</w:t>
      </w:r>
      <w:r>
        <w:fldChar w:fldCharType="begin" w:fldLock="1"/>
      </w:r>
      <w:r>
        <w:instrText>ADDIN CSL_CITATION {"citationItems":[{"id":"ITEM-1","itemData":{"DOI":"10.3390/POLYM13142314","ISSN":"20734360","abstract":"The contribution of Spanish scientists to the rheology involved in polymer processing during the last 25 years is investigated. It is shown that the performed research covers, at different levels, all industrial polymeric materials: thermoplastics, thermosets, adhesives, biopolymers, composites and nanocomposites, and polymer modified bitumen. Therefore, the rheological behaviour of these materials in processing methods such as extrusion, injection moulding, additive manufacturing, and others is discussed, based on the literature results. A detailed view of the most outstanding achievements, based on the rheological criteria of the authors, is offered.","author":[{"dropping-particle":"","family":"Sangroniz","given":"Leire","non-dropping-particle":"","parse-names":false,"suffix":""},{"dropping-particle":"","family":"Fernández","given":"Mercedes","non-dropping-particle":"","parse-names":false,"suffix":""},{"dropping-particle":"","family":"Partal","given":"Pedro","non-dropping-particle":"","parse-names":false,"suffix":""},{"dropping-particle":"","family":"Santamaria","given":"Antxon","non-dropping-particle":"","parse-names":false,"suffix":""},{"dropping-particle":"","family":"Antonio","given":"Rafael","non-dropping-particle":"","parse-names":false,"suffix":""},{"dropping-particle":"","family":"Gimeno","given":"Balart","non-dropping-particle":"","parse-names":false,"suffix":""},{"dropping-particle":"","family":"Moreno","given":"Vicente Compañ","non-dropping-particle":"","parse-names":false,"suffix":""},{"dropping-particle":"","family":"María Díez-Pascual","given":"Ana","non-dropping-particle":"","parse-names":false,"suffix":""},{"dropping-particle":"","family":"Serra","given":"Angels","non-dropping-particle":"","parse-names":false,"suffix":""},{"dropping-particle":"","family":"Velasco","given":"Rebeca Hernandez","non-dropping-particle":"","parse-names":false,"suffix":""},{"dropping-particle":"","family":"Mecerreyes","given":"David","non-dropping-particle":"","parse-names":false,"suffix":""}],"container-title":"Polymers","id":"ITEM-1","issue":"14","issued":{"date-parts":[["2021","7","14"]]},"page":"2314","publisher":"Multidisciplinary Digital Publishing Institute","title":"Rheology of Polymer Processing in Spain (1995–2020)","type":"article-journal","volume":"13"},"uris":["http://www.mendeley.com/documents/?uuid=05c925f9-8d1c-36f4-9f0f-7cadc5870ae2"]}],"mendeley":{"formattedCitation":"(Sangroniz et al., 2021)","plainTextFormattedCitation":"(Sangroniz et al., 2021)","previouslyFormattedCitation":"(Sangroniz et al., 2021)"},"properties":{"noteIndex":0},"schema":"https://github.com/citation-style-language/schema/raw/master/csl-citation.json"}</w:instrText>
      </w:r>
      <w:r>
        <w:fldChar w:fldCharType="separate"/>
      </w:r>
      <w:r>
        <w:rPr>
          <w:noProof/>
        </w:rPr>
        <w:t>(</w:t>
      </w:r>
      <w:proofErr w:type="spellStart"/>
      <w:r>
        <w:rPr>
          <w:noProof/>
        </w:rPr>
        <w:t>Sangroniz</w:t>
      </w:r>
      <w:proofErr w:type="spellEnd"/>
      <w:r>
        <w:rPr>
          <w:noProof/>
        </w:rPr>
        <w:t xml:space="preserve"> et al., 2021)</w:t>
      </w:r>
      <w:r>
        <w:fldChar w:fldCharType="end"/>
      </w:r>
      <w:r>
        <w:t xml:space="preserve">. </w:t>
      </w:r>
    </w:p>
    <w:p w14:paraId="02AED388" w14:textId="77777777" w:rsidR="00986E73" w:rsidRDefault="00986E73" w:rsidP="00986E73">
      <w:pPr>
        <w:pStyle w:val="CETBodytext"/>
      </w:pPr>
      <w:r>
        <w:t>In Figure 2, the complex viscosity of PLA filament has been reported at various testing temperatures, by showing a Newtonian plateau especially for 210°C extended almost up to 100 rad/s.</w:t>
      </w:r>
    </w:p>
    <w:p w14:paraId="07F5A842" w14:textId="41C47278" w:rsidR="00986E73" w:rsidRDefault="00986E73" w:rsidP="00986E73">
      <w:pPr>
        <w:pStyle w:val="CETBodytext"/>
        <w:jc w:val="center"/>
        <w:rPr>
          <w:lang w:val="en-GB"/>
        </w:rPr>
      </w:pPr>
      <w:r>
        <w:rPr>
          <w:noProof/>
        </w:rPr>
        <w:drawing>
          <wp:inline distT="0" distB="0" distL="0" distR="0" wp14:anchorId="7CB331FD" wp14:editId="26C72ADF">
            <wp:extent cx="2800350" cy="19812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1981200"/>
                    </a:xfrm>
                    <a:prstGeom prst="rect">
                      <a:avLst/>
                    </a:prstGeom>
                    <a:noFill/>
                    <a:ln>
                      <a:noFill/>
                    </a:ln>
                  </pic:spPr>
                </pic:pic>
              </a:graphicData>
            </a:graphic>
          </wp:inline>
        </w:drawing>
      </w:r>
    </w:p>
    <w:p w14:paraId="764497A7" w14:textId="77777777" w:rsidR="00986E73" w:rsidRDefault="00986E73" w:rsidP="00986E73">
      <w:pPr>
        <w:pStyle w:val="CETCaption"/>
      </w:pPr>
      <w:r>
        <w:t xml:space="preserve">Figure 2: Complex viscosity vs frequency at 170, 190, 210°C. Printing zone evaluated in the range of printing speed between 0.1-150 mm/s, nozzle diameter of 0.4 </w:t>
      </w:r>
      <w:r>
        <w:rPr>
          <w:i w:val="0"/>
          <w:iCs/>
        </w:rPr>
        <w:t xml:space="preserve">mm in </w:t>
      </w:r>
      <w:r>
        <w:rPr>
          <w:i w:val="0"/>
          <w:iCs/>
        </w:rPr>
        <w:fldChar w:fldCharType="begin" w:fldLock="1"/>
      </w:r>
      <w:r>
        <w:rPr>
          <w:i w:val="0"/>
          <w:iCs/>
        </w:rPr>
        <w:instrText>ADDIN CSL_CITATION {"citationItems":[{"id":"ITEM-1","itemData":{"DOI":"10.3144/EXPRESSPOLYMLETT.2018.70","ISSN":"1788618X","abstract":"Random poly (vinyl chloride-co-butyl acrylate) and poly (vinyl chloride-co-2-ethylhexyl acrylate copolymers obtained by single electron transfer-degenerative chain transfer living radical polymerization (SET-DTLRP) are investigated as potential candidates for 3D Printing. The analysis of the rheological implications of 3D Printing process allows establishing the basic viscoelastic conditions that the samples should fulfil to be printable, avoiding the ‘trial and error’ procedure. The effect of temperature and acrylates concentration on the rheological properties and 3D printing feasibility is contemplated. Eventually, thermal degradation is also considered. It is demonstrated that the copolymers which contain butyl acrylate comonomer, instead of 2-ethylhexyl acrylate, give raise to the best results. Although the study is carried out with PVC-acrylate copolymers and a 3D printing device that possesses set up characteristics, it shows a way to work out sound strategies with other polymers and 3D printing machines.","author":[{"dropping-particle":"","family":"Calafel","given":"M. I.","non-dropping-particle":"","parse-names":false,"suffix":""},{"dropping-particle":"","family":"Aguirresarobe","given":"R. H.","non-dropping-particle":"","parse-names":false,"suffix":""},{"dropping-particle":"","family":"Sadaba","given":"N.","non-dropping-particle":"","parse-names":false,"suffix":""},{"dropping-particle":"","family":"Boix","given":"M.","non-dropping-particle":"","parse-names":false,"suffix":""},{"dropping-particle":"","family":"Conde","given":"J. I.","non-dropping-particle":"","parse-names":false,"suffix":""},{"dropping-particle":"","family":"Pascual","given":"B.","non-dropping-particle":"","parse-names":false,"suffix":""},{"dropping-particle":"","family":"Santamaria","given":"A.","non-dropping-particle":"","parse-names":false,"suffix":""}],"container-title":"Express Polymer Letters","id":"ITEM-1","issue":"9","issued":{"date-parts":[["2018","9","1"]]},"page":"824-835","publisher":"BME-PT and GTE","title":"Tuning the viscoelastic features required for 3D printing of PVC-acrylate copolymers obtained by single electron transfer-degenerative chain transfer living radical polymerization (SET-DTLRP)","type":"article-journal","volume":"12"},"uris":["http://www.mendeley.com/documents/?uuid=b726268d-73fd-3239-94e0-8a5b8760736f"]}],"mendeley":{"formattedCitation":"(Calafel et al., 2018)","plainTextFormattedCitation":"(Calafel et al., 2018)","previouslyFormattedCitation":"(Calafel et al., 2018)"},"properties":{"noteIndex":0},"schema":"https://github.com/citation-style-language/schema/raw/master/csl-citation.json"}</w:instrText>
      </w:r>
      <w:r>
        <w:rPr>
          <w:i w:val="0"/>
          <w:iCs/>
        </w:rPr>
        <w:fldChar w:fldCharType="separate"/>
      </w:r>
      <w:r>
        <w:rPr>
          <w:i w:val="0"/>
          <w:iCs/>
          <w:noProof/>
        </w:rPr>
        <w:t>(Calafel et al., 2018)</w:t>
      </w:r>
      <w:r>
        <w:rPr>
          <w:i w:val="0"/>
          <w:iCs/>
        </w:rPr>
        <w:fldChar w:fldCharType="end"/>
      </w:r>
      <w:r>
        <w:rPr>
          <w:i w:val="0"/>
          <w:iCs/>
        </w:rPr>
        <w:t>.</w:t>
      </w:r>
    </w:p>
    <w:p w14:paraId="407AD647" w14:textId="77777777" w:rsidR="00986E73" w:rsidRDefault="00986E73" w:rsidP="00986E73">
      <w:pPr>
        <w:pStyle w:val="CETBodytext"/>
        <w:rPr>
          <w:lang w:val="en-GB"/>
        </w:rPr>
      </w:pPr>
      <w:r>
        <w:t xml:space="preserve">Then, taking into account the required conditions for 3D printing, identified through the ‘printing zone’ in Figure 2 </w:t>
      </w:r>
      <w:r>
        <w:fldChar w:fldCharType="begin" w:fldLock="1"/>
      </w:r>
      <w:r>
        <w:instrText>ADDIN CSL_CITATION {"citationItems":[{"id":"ITEM-1","itemData":{"DOI":"10.3144/EXPRESSPOLYMLETT.2018.70","ISSN":"1788618X","abstract":"Random poly (vinyl chloride-co-butyl acrylate) and poly (vinyl chloride-co-2-ethylhexyl acrylate copolymers obtained by single electron transfer-degenerative chain transfer living radical polymerization (SET-DTLRP) are investigated as potential candidates for 3D Printing. The analysis of the rheological implications of 3D Printing process allows establishing the basic viscoelastic conditions that the samples should fulfil to be printable, avoiding the ‘trial and error’ procedure. The effect of temperature and acrylates concentration on the rheological properties and 3D printing feasibility is contemplated. Eventually, thermal degradation is also considered. It is demonstrated that the copolymers which contain butyl acrylate comonomer, instead of 2-ethylhexyl acrylate, give raise to the best results. Although the study is carried out with PVC-acrylate copolymers and a 3D printing device that possesses set up characteristics, it shows a way to work out sound strategies with other polymers and 3D printing machines.","author":[{"dropping-particle":"","family":"Calafel","given":"M. I.","non-dropping-particle":"","parse-names":false,"suffix":""},{"dropping-particle":"","family":"Aguirresarobe","given":"R. H.","non-dropping-particle":"","parse-names":false,"suffix":""},{"dropping-particle":"","family":"Sadaba","given":"N.","non-dropping-particle":"","parse-names":false,"suffix":""},{"dropping-particle":"","family":"Boix","given":"M.","non-dropping-particle":"","parse-names":false,"suffix":""},{"dropping-particle":"","family":"Conde","given":"J. I.","non-dropping-particle":"","parse-names":false,"suffix":""},{"dropping-particle":"","family":"Pascual","given":"B.","non-dropping-particle":"","parse-names":false,"suffix":""},{"dropping-particle":"","family":"Santamaria","given":"A.","non-dropping-particle":"","parse-names":false,"suffix":""}],"container-title":"Express Polymer Letters","id":"ITEM-1","issue":"9","issued":{"date-parts":[["2018","9","1"]]},"page":"824-835","publisher":"BME-PT and GTE","title":"Tuning the viscoelastic features required for 3D printing of PVC-acrylate copolymers obtained by single electron transfer-degenerative chain transfer living radical polymerization (SET-DTLRP)","type":"article-journal","volume":"12"},"uris":["http://www.mendeley.com/documents/?uuid=b726268d-73fd-3239-94e0-8a5b8760736f"]}],"mendeley":{"formattedCitation":"(Calafel et al., 2018)","plainTextFormattedCitation":"(Calafel et al., 2018)","previouslyFormattedCitation":"(Calafel et al., 2018)"},"properties":{"noteIndex":0},"schema":"https://github.com/citation-style-language/schema/raw/master/csl-citation.json"}</w:instrText>
      </w:r>
      <w:r>
        <w:fldChar w:fldCharType="separate"/>
      </w:r>
      <w:r>
        <w:rPr>
          <w:noProof/>
        </w:rPr>
        <w:t>(Calafel et al., 2018)</w:t>
      </w:r>
      <w:r>
        <w:fldChar w:fldCharType="end"/>
      </w:r>
      <w:r>
        <w:t>, it can be observed that the complex viscosity of PLA polymer, particularly at a temperature of 190 and 210°C, fall within the required range for the extrusion through the nozzle. This was confirmed by a practical demonstration of printing conducted at 180 ° C which was not concretely feasible.</w:t>
      </w:r>
    </w:p>
    <w:p w14:paraId="437B25C1" w14:textId="77777777" w:rsidR="00986E73" w:rsidRDefault="00986E73" w:rsidP="00986E73">
      <w:pPr>
        <w:pStyle w:val="CETBodytext"/>
        <w:rPr>
          <w:lang w:val="en-GB"/>
        </w:rPr>
      </w:pPr>
    </w:p>
    <w:p w14:paraId="66642D49" w14:textId="77777777" w:rsidR="00986E73" w:rsidRDefault="00986E73" w:rsidP="00986E73">
      <w:pPr>
        <w:pStyle w:val="CETheadingx"/>
        <w:numPr>
          <w:ilvl w:val="2"/>
          <w:numId w:val="23"/>
        </w:numPr>
        <w:rPr>
          <w:lang w:val="en-GB"/>
        </w:rPr>
      </w:pPr>
      <w:r>
        <w:rPr>
          <w:lang w:val="en-GB"/>
        </w:rPr>
        <w:t xml:space="preserve">Dynamic mechanical analysis, measurements of sample weight and printing time </w:t>
      </w:r>
    </w:p>
    <w:p w14:paraId="2C2A30FF" w14:textId="77777777" w:rsidR="00986E73" w:rsidRDefault="00986E73" w:rsidP="00986E73">
      <w:pPr>
        <w:pStyle w:val="CETBodytext"/>
      </w:pPr>
      <w:r>
        <w:t xml:space="preserve">The thermo-mechanical characteristics of 3D printed parts have been analyzed by changing the extruder temperature from 190 to 220°C (Figure 3(a)). The sample weight and printing time for developed specimens were also reported. If on one side, the increasing the extruder temperature did not determine any changes in printing time and sample weight; on the other side, a weak increase of storage modulus (E’) seemed to be shown, as also attested, on the tensile strength by </w:t>
      </w:r>
      <w:r>
        <w:fldChar w:fldCharType="begin" w:fldLock="1"/>
      </w:r>
      <w:r>
        <w:instrText>ADDIN CSL_CITATION {"citationItems":[{"id":"ITEM-1","itemData":{"DOI":"10.1108/RPJ-02-2019-0048/FULL/PDF","ISSN":"13552546","abstract":"Purpose: With recent advances in additive manufacturing (AM), polymer-based three-dimensional (3D) printers are available for relatively low cost and have found their way even in domestic and educational uses. However, the optimum conditions for processing and post-processing of different materials are yet to be determined. The purpose of this paper is to examine the effects of printing temperature, pattern and annealing conditions on tensile strength and modulus of samples printed with polylactic acid (PLA). Design/methodology/approach: This study focuses on fused deposition modelling according to ISO/ASTM 52900 material extrusion AM. To print parts with maximum mechanical properties, the printing variables must be optimised. To determine the printing and annealing condition on physical and mechanical properties of PLA-based parts, dogbone-shaped tensile samples were printed at four different nozzle temperatures and five different filling patterns embedded in a 3D printing software. The samples were further annealed at three different temperatures for three different time intervals. The mechanical properties were evaluated and the changes in mechanical properties were analysed with the help of rheometrical measurements. Findings: The results showed that printing condition has a significant influence on final properties, for example, the strain at break value increases with increasing nozzle temperature from 34 to 56 MPa, which is close to the value of the injected sample, namely, 65 MPa. While tensile strength increases with printing temperature, the annealing process has negative effects on the mechanical properties of samples. Originality/value: The authors observed that traditional findings in polymer science, for example, the relationship between processing and annealing temperature, must be re-evaluated when applied in 3D printing because of major differences in processing conditions resulting from the layer-by-layer manufacturing.","author":[{"dropping-particle":"","family":"Behzadnasab","given":"Morteza","non-dropping-particle":"","parse-names":false,"suffix":""},{"dropping-particle":"","family":"Yousefi","given":"Ali Akbar","non-dropping-particle":"","parse-names":false,"suffix":""},{"dropping-particle":"","family":"Ebrahimibagha","given":"Dariush","non-dropping-particle":"","parse-names":false,"suffix":""},{"dropping-particle":"","family":"Nasiri","given":"Farahnaz","non-dropping-particle":"","parse-names":false,"suffix":""}],"container-title":"Rapid Prototyping Journal","id":"ITEM-1","issue":"2","issued":{"date-parts":[["2020","2","25"]]},"page":"381-389","publisher":"Emerald Group Holdings Ltd.","title":"Effects of processing conditions on mechanical properties of PLA printed parts","type":"article-journal","volume":"26"},"uris":["http://www.mendeley.com/documents/?uuid=7c5822f4-9f4a-32e7-9b4d-b74da2244607"]}],"mendeley":{"formattedCitation":"(Behzadnasab et al., 2020)","plainTextFormattedCitation":"(Behzadnasab et al., 2020)","previouslyFormattedCitation":"(Behzadnasab et al., 2020)"},"properties":{"noteIndex":0},"schema":"https://github.com/citation-style-language/schema/raw/master/csl-citation.json"}</w:instrText>
      </w:r>
      <w:r>
        <w:fldChar w:fldCharType="separate"/>
      </w:r>
      <w:r>
        <w:rPr>
          <w:noProof/>
        </w:rPr>
        <w:t>(Behzadnasab et al., 2020)</w:t>
      </w:r>
      <w:r>
        <w:fldChar w:fldCharType="end"/>
      </w:r>
      <w:r>
        <w:t xml:space="preserve">. When the nozzle head temperature was increased, the melt viscosity of printed polymer decreased (see “3.2 Rotational Rheology”), resulting in better diffusion of freshly extruded PLA molecules in the underlying layer. This led to a higher bonding between rows. </w:t>
      </w:r>
    </w:p>
    <w:p w14:paraId="69A67A8E" w14:textId="77777777" w:rsidR="00986E73" w:rsidRDefault="00986E73" w:rsidP="00986E73">
      <w:pPr>
        <w:pStyle w:val="CETBodytext"/>
      </w:pPr>
      <w:r>
        <w:t>The effect of infill density on thermo-mechanical characteristics of 3D printed samples, their weight and the time required to print, has been reported in Figure 3 (b). As expected, the greater the filling, the larger the storage modulus, but also the greater the weight and the longer the printing time. However, 50% reduction in infill was not equivalent to the reduction in in printing time or sample weight. In fact, for specimens at 50% in infill density the weight decreased of 17% and the printing time of a few tens of seconds in comparison with samples at 100% infill. This poor effect of filling density was attributed to the small size of specimens and to the same number of layers composing the sides: together aspects contributed to make small the internal volume to be filled. In this way, the infill density of 50% was not so longer different than 100%. At 30°C, the storage modulus for samples at 50% and 100% of infill was equal to 8.5x10</w:t>
      </w:r>
      <w:r>
        <w:rPr>
          <w:vertAlign w:val="superscript"/>
        </w:rPr>
        <w:t>8</w:t>
      </w:r>
      <w:r>
        <w:t xml:space="preserve"> Pa and 1.05 x10</w:t>
      </w:r>
      <w:r>
        <w:rPr>
          <w:vertAlign w:val="superscript"/>
        </w:rPr>
        <w:t>9</w:t>
      </w:r>
      <w:r>
        <w:t xml:space="preserve"> Pa, respectively.</w:t>
      </w:r>
    </w:p>
    <w:p w14:paraId="32B88436" w14:textId="77777777" w:rsidR="00986E73" w:rsidRDefault="00986E73" w:rsidP="00986E73">
      <w:pPr>
        <w:pStyle w:val="CETCaption"/>
        <w:spacing w:before="0" w:after="0"/>
        <w:rPr>
          <w:i w:val="0"/>
          <w:iCs/>
        </w:rPr>
      </w:pPr>
      <w:r>
        <w:rPr>
          <w:i w:val="0"/>
          <w:iCs/>
        </w:rPr>
        <w:t xml:space="preserve">By changing the design pattern, choosing that available in machine setting, i.e., linear, honeycomb, octagonal, no strong differences could be detected by comparing thermo-mechanical features, printing time and sample weight of corresponding printed parts. As shown in Figure 3(c), curves of storage modulus (E’) as a function of testing temperature roughly overlapped. The one corresponding to octagonal pattern was slightly higher than the others. This could be due to the slightly higher amount of mass required to print an octagonal design, as attested by sample weight, or to </w:t>
      </w:r>
      <w:proofErr w:type="gramStart"/>
      <w:r>
        <w:rPr>
          <w:i w:val="0"/>
          <w:iCs/>
        </w:rPr>
        <w:t>particular orientation</w:t>
      </w:r>
      <w:proofErr w:type="gramEnd"/>
      <w:r>
        <w:rPr>
          <w:i w:val="0"/>
          <w:iCs/>
        </w:rPr>
        <w:t xml:space="preserve"> of polymer chains.</w:t>
      </w:r>
    </w:p>
    <w:p w14:paraId="6BB4D14C" w14:textId="77777777" w:rsidR="00986E73" w:rsidRDefault="00986E73" w:rsidP="00986E73">
      <w:pPr>
        <w:pStyle w:val="CETCaption"/>
        <w:spacing w:before="0" w:after="0"/>
        <w:rPr>
          <w:i w:val="0"/>
          <w:iCs/>
        </w:rPr>
      </w:pPr>
      <w:r>
        <w:rPr>
          <w:i w:val="0"/>
          <w:iCs/>
        </w:rPr>
        <w:lastRenderedPageBreak/>
        <w:t xml:space="preserve">In terms of layer thickness (Figure 3(d)), increasing the value from 0.14 to 0.29 mm resulted in a significant reduction of the storage modulus in temperature range of 25°C to 50°C, as well as a significant decrease in sample weight (35%) and printing time (40%). Probably, the smaller the thickness layer, the stronger the bonding between the layers with higher propensity in bearing the load </w:t>
      </w:r>
      <w:r>
        <w:rPr>
          <w:i w:val="0"/>
          <w:iCs/>
        </w:rPr>
        <w:fldChar w:fldCharType="begin" w:fldLock="1"/>
      </w:r>
      <w:r>
        <w:rPr>
          <w:i w:val="0"/>
          <w:iCs/>
        </w:rPr>
        <w:instrText>ADDIN CSL_CITATION {"citationItems":[{"id":"ITEM-1","itemData":{"DOI":"10.1088/1742-6596/1130/1/012017","ISBN":"130/1/012017","ISSN":"1742-6596","abstract":"This article focuses towards the newer manufacturing technique 3D Printing (3DP). The objective of this work is the mechanical characterization (flexurel properties) of materials produced by 3D printing based on fused filament fabrication with fused deposition modeling (FDM). The materials chosen are a polylactic acid (PLA). This paper described the effect of different layer thickness of PLA by 3D printing on flexural properties.Additive manufacturing, also known as 3D printing, is a common material extrusion process using (bio) polymers PLA. The study begins from manufacture the solid 3D model based on the ASTM standards for flexural properties test of the material using Three-point bending method. Three-point bending test was conducted with Tensilon Universal Testing Machine - AND RTF-2410 with a 100kN load cell, specimen shape and size according to standard size ASTM D 790. The result shown that the layer thickness had an effect on flexural strengths of PLA samples. The maximum flexural strengths from Lt = 0.4 to 0.5mm were significantly increase. Moreover, it is worth nothing that ductility decreased as layer thickness increased. According to test result that the maximum flexural strength occurred at 0.5 mm layer thickness with 59.6 MPa and the minimum flexural strength occurred at 0.1 mm layer thickness with 43.6 MPa. The higher layer thickness tended to promote higher strength. The thicker layer is the stronger layer bond in holding the load bending. In this study the thicker layer have tendend to shown a 90-degree delamination fracture and the thinner layer have tendend to shown a 45-degree delamination fracture according to the direction of printing is ± 45°.","author":[{"dropping-particle":"","family":"Nugroho","given":"A.","non-dropping-particle":"","parse-names":false,"suffix":""},{"dropping-particle":"","family":"Ardiansyah","given":"R.","non-dropping-particle":"","parse-names":false,"suffix":""},{"dropping-particle":"","family":"Rusita","given":"L.","non-dropping-particle":"","parse-names":false,"suffix":""},{"dropping-particle":"","family":"Larasati","given":"I. L.","non-dropping-particle":"","parse-names":false,"suffix":""}],"container-title":"Journal of Physics: Conference Series","id":"ITEM-1","issue":"1","issued":{"date-parts":[["2018","11","1"]]},"page":"012017","publisher":"IOP Publishing","title":"Effect of layer thickness on flexural properties of PLA (PolyLactid Acid) by 3D printing","type":"article-journal","volume":"1130"},"uris":["http://www.mendeley.com/documents/?uuid=7f31e4a1-93dd-36f4-a1f6-8d800f8fd20a"]}],"mendeley":{"formattedCitation":"(Nugroho et al., 2018)","plainTextFormattedCitation":"(Nugroho et al., 2018)","previouslyFormattedCitation":"(Nugroho et al., 2018)"},"properties":{"noteIndex":0},"schema":"https://github.com/citation-style-language/schema/raw/master/csl-citation.json"}</w:instrText>
      </w:r>
      <w:r>
        <w:rPr>
          <w:i w:val="0"/>
          <w:iCs/>
        </w:rPr>
        <w:fldChar w:fldCharType="separate"/>
      </w:r>
      <w:r>
        <w:rPr>
          <w:i w:val="0"/>
          <w:iCs/>
          <w:noProof/>
        </w:rPr>
        <w:t>(Nugroho et al., 2018)</w:t>
      </w:r>
      <w:r>
        <w:rPr>
          <w:i w:val="0"/>
          <w:iCs/>
        </w:rPr>
        <w:fldChar w:fldCharType="end"/>
      </w:r>
      <w:r>
        <w:rPr>
          <w:i w:val="0"/>
          <w:iCs/>
        </w:rPr>
        <w:t>. In this condition (smaller layer thickness), keeping the same size and shape, more material was required to realize samples.</w:t>
      </w:r>
    </w:p>
    <w:p w14:paraId="12CE4DF8" w14:textId="5C1A72A9" w:rsidR="00986E73" w:rsidRDefault="00986E73" w:rsidP="00986E73">
      <w:pPr>
        <w:pStyle w:val="CETCaption"/>
        <w:spacing w:before="0" w:after="0"/>
        <w:jc w:val="center"/>
        <w:rPr>
          <w:i w:val="0"/>
          <w:iCs/>
        </w:rPr>
      </w:pPr>
      <w:r>
        <w:rPr>
          <w:noProof/>
        </w:rPr>
        <w:drawing>
          <wp:inline distT="0" distB="0" distL="0" distR="0" wp14:anchorId="0191A12A" wp14:editId="54264B0F">
            <wp:extent cx="4572000" cy="646747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467475"/>
                    </a:xfrm>
                    <a:prstGeom prst="rect">
                      <a:avLst/>
                    </a:prstGeom>
                    <a:noFill/>
                    <a:ln>
                      <a:noFill/>
                    </a:ln>
                  </pic:spPr>
                </pic:pic>
              </a:graphicData>
            </a:graphic>
          </wp:inline>
        </w:drawing>
      </w:r>
    </w:p>
    <w:p w14:paraId="0F91D23A" w14:textId="77777777" w:rsidR="00986E73" w:rsidRDefault="00986E73" w:rsidP="00986E73">
      <w:pPr>
        <w:pStyle w:val="CETCaption"/>
      </w:pPr>
      <w:r>
        <w:t>Figure 3: Effect of printing parameters on storage modulus (E’) against temperature, printing time and sample weight: (a) extruder temperature (190, 200, 210, 220°C); (b) infill density (50, 70, 100%); (c) design pattern (Linear, Honeycomb, Octangular); (d) layer thickness (0.14mm, 0.19 mm, 0.29 mm).</w:t>
      </w:r>
    </w:p>
    <w:p w14:paraId="683AB836" w14:textId="77777777" w:rsidR="00986E73" w:rsidRDefault="00986E73" w:rsidP="00986E73">
      <w:pPr>
        <w:pStyle w:val="CETHeading1"/>
        <w:numPr>
          <w:ilvl w:val="1"/>
          <w:numId w:val="23"/>
        </w:numPr>
        <w:tabs>
          <w:tab w:val="num" w:pos="360"/>
        </w:tabs>
        <w:rPr>
          <w:lang w:val="en-GB"/>
        </w:rPr>
      </w:pPr>
      <w:r>
        <w:rPr>
          <w:lang w:val="en-GB"/>
        </w:rPr>
        <w:t>Conclusions</w:t>
      </w:r>
    </w:p>
    <w:p w14:paraId="2FB9D1D9" w14:textId="77777777" w:rsidR="00986E73" w:rsidRDefault="00986E73" w:rsidP="00986E73">
      <w:pPr>
        <w:pStyle w:val="CETBodytext"/>
        <w:rPr>
          <w:lang w:val="en-GB"/>
        </w:rPr>
      </w:pPr>
      <w:r>
        <w:rPr>
          <w:lang w:val="en-GB"/>
        </w:rPr>
        <w:t xml:space="preserve">In this work, the influence of layer thickness, design patter, extruder temperature, infill density on thermo-mechanical characteristics of 3D printed PLA-based parts has been studied. To optimize the printing process, </w:t>
      </w:r>
      <w:r>
        <w:rPr>
          <w:lang w:val="en-GB"/>
        </w:rPr>
        <w:lastRenderedPageBreak/>
        <w:t>by reducing the involved material, and duration, changes in sample weight and printing time as function of different printing parameters have been also evaluated. Rheological behaviour and VOC emissions at different temperatures have been also investigated. Results allowed to identify flow characteristics suitable for the printing at temperature at least of 190°C. The storage modulus, as well as the sample mass and printing time resulted to be slightly affected by infill density, design pattern and extruder temperature. On the contrary, a strong effect of the layer thickness has been found on investigated properties. In this latter case, by increasing the layer thickness, lowest values in sample mass and processing time were achieved, but also a strong reduction of mechanical resistance. VOC emissions deriving from heating the polymer to 70 °C were found to be very small, especially compared than those measured at 190 °C, and even more so at 220 °C. So, it was concluded that the main source of pollution occurred during polymer processing at the extrusion temperature: the lower the extruder temperatures, the lower the volatiles release in the environment. Then, once melted filament has been deposited on the support, at temperature close to the polymer glass transition, the volatiles emitted could be considered negligible.</w:t>
      </w:r>
    </w:p>
    <w:p w14:paraId="06B450B2" w14:textId="77777777" w:rsidR="00986E73" w:rsidRDefault="00986E73" w:rsidP="00986E73">
      <w:pPr>
        <w:pStyle w:val="CETAcknowledgementstitle"/>
      </w:pPr>
      <w:r>
        <w:t>Acknowledgments</w:t>
      </w:r>
    </w:p>
    <w:p w14:paraId="4E886E7E" w14:textId="77777777" w:rsidR="00986E73" w:rsidRDefault="00986E73" w:rsidP="00986E73">
      <w:pPr>
        <w:pStyle w:val="CETBodytext"/>
        <w:rPr>
          <w:lang w:val="en-GB"/>
        </w:rPr>
      </w:pPr>
      <w:r>
        <w:rPr>
          <w:szCs w:val="18"/>
          <w:lang w:val="en-GB"/>
        </w:rPr>
        <w:t>A. Patti wishes to thank the Italian Ministry of Education, Universities and Research (MIUR) in the framework of Action 1.2 “Researcher Mobility” of The Axis I of PON R&amp;I 2014-2020 (</w:t>
      </w:r>
      <w:r>
        <w:rPr>
          <w:szCs w:val="18"/>
        </w:rPr>
        <w:t>E66C18001370007)</w:t>
      </w:r>
      <w:r>
        <w:rPr>
          <w:szCs w:val="18"/>
          <w:lang w:val="en-GB"/>
        </w:rPr>
        <w:t>.</w:t>
      </w:r>
      <w:r>
        <w:rPr>
          <w:lang w:val="en-GB"/>
        </w:rPr>
        <w:t xml:space="preserve"> </w:t>
      </w:r>
      <w:r>
        <w:t>S. Acierno and G. Cicala acknowledge the support of the Italian Ministry of University, project PRIN 2017, 20179SWLKA “Multiple Advanced Materials Manufactured by Additive technologies (MAMMA)”.</w:t>
      </w:r>
    </w:p>
    <w:p w14:paraId="6303A998" w14:textId="77777777" w:rsidR="00986E73" w:rsidRDefault="00986E73" w:rsidP="00986E73">
      <w:pPr>
        <w:pStyle w:val="CETReference"/>
      </w:pPr>
      <w:r>
        <w:t>References</w:t>
      </w:r>
    </w:p>
    <w:p w14:paraId="1E8E138C" w14:textId="77777777" w:rsidR="00986E73" w:rsidRDefault="00986E73" w:rsidP="00986E73">
      <w:pPr>
        <w:widowControl w:val="0"/>
        <w:autoSpaceDE w:val="0"/>
        <w:autoSpaceDN w:val="0"/>
        <w:adjustRightInd w:val="0"/>
        <w:spacing w:line="240" w:lineRule="auto"/>
        <w:ind w:left="480" w:hanging="480"/>
        <w:rPr>
          <w:rFonts w:cs="Arial"/>
          <w:noProof/>
          <w:szCs w:val="24"/>
        </w:rPr>
      </w:pPr>
      <w:r>
        <w:fldChar w:fldCharType="begin" w:fldLock="1"/>
      </w:r>
      <w:r>
        <w:instrText xml:space="preserve">ADDIN Mendeley Bibliography CSL_BIBLIOGRAPHY </w:instrText>
      </w:r>
      <w:r>
        <w:fldChar w:fldCharType="separate"/>
      </w:r>
      <w:r>
        <w:rPr>
          <w:rFonts w:cs="Arial"/>
          <w:noProof/>
          <w:szCs w:val="24"/>
        </w:rPr>
        <w:t xml:space="preserve">Behzadnasab, Morteza, Yousefi, Ali Akbar, Ebrahimibagha, Dariush and Nasiri, Farahnaz (2020), Effects of Processing Conditions on Mechanical Properties of PLA Printed Parts. </w:t>
      </w:r>
      <w:r>
        <w:rPr>
          <w:rFonts w:cs="Arial"/>
          <w:i/>
          <w:iCs/>
          <w:noProof/>
          <w:szCs w:val="24"/>
        </w:rPr>
        <w:t>Rapid Prototyping Journal</w:t>
      </w:r>
      <w:r>
        <w:rPr>
          <w:rFonts w:cs="Arial"/>
          <w:noProof/>
          <w:szCs w:val="24"/>
        </w:rPr>
        <w:t>, 26(2): 381–389.</w:t>
      </w:r>
    </w:p>
    <w:p w14:paraId="4B90A7D8"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Calafel, M. I., Aguirresarobe, R. H., Sadaba, N., Boix, M., Conde, J. I., Pascual, B. and Santamaria, A. (2018), Tuning the Viscoelastic Features Required for 3D Printing of PVC-Acrylate Copolymers Obtained by Single Electron Transfer-Degenerative Chain Transfer Living Radical Polymerization (SET-DTLRP). </w:t>
      </w:r>
      <w:r>
        <w:rPr>
          <w:rFonts w:cs="Arial"/>
          <w:i/>
          <w:iCs/>
          <w:noProof/>
          <w:szCs w:val="24"/>
        </w:rPr>
        <w:t>Express Polymer Letters</w:t>
      </w:r>
      <w:r>
        <w:rPr>
          <w:rFonts w:cs="Arial"/>
          <w:noProof/>
          <w:szCs w:val="24"/>
        </w:rPr>
        <w:t>, 12(9): 824–835.</w:t>
      </w:r>
    </w:p>
    <w:p w14:paraId="0783D5F9"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Ding, Shirun, Ng, Bing Feng, Shang, Xiaopeng, Liu, Hu, Lu, Xuehong and Wan, Man Pun (2019), The Characteristics and Formation Mechanisms of Emissions from Thermal Decomposition of 3D Printer Polymer Filaments. </w:t>
      </w:r>
      <w:r>
        <w:rPr>
          <w:rFonts w:cs="Arial"/>
          <w:i/>
          <w:iCs/>
          <w:noProof/>
          <w:szCs w:val="24"/>
        </w:rPr>
        <w:t>Science of The Total Environment</w:t>
      </w:r>
      <w:r>
        <w:rPr>
          <w:rFonts w:cs="Arial"/>
          <w:noProof/>
          <w:szCs w:val="24"/>
        </w:rPr>
        <w:t>, 692: 984–994.</w:t>
      </w:r>
    </w:p>
    <w:p w14:paraId="67B47664"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Kovan, V., Tezel, T., Topal, E.S. and Camurlu, H.E. (2018), Printing Parameters Effects on Surface Characteristics of £D Printed PLA Materials. </w:t>
      </w:r>
      <w:r>
        <w:rPr>
          <w:rFonts w:cs="Arial"/>
          <w:i/>
          <w:iCs/>
          <w:noProof/>
          <w:szCs w:val="24"/>
        </w:rPr>
        <w:t>Machines. Technologies. Materials.</w:t>
      </w:r>
      <w:r>
        <w:rPr>
          <w:rFonts w:cs="Arial"/>
          <w:noProof/>
          <w:szCs w:val="24"/>
        </w:rPr>
        <w:t>, 12(7): 266–269.</w:t>
      </w:r>
    </w:p>
    <w:p w14:paraId="112EB85E"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Li-Destri, Giovanni, Menta, Dario, Menta, Carmelo and Tuccitto, Nunzio (2020), Effect of Unmanned Aerial Vehicles on the Spatial Distribution of Analytes from Point Source. </w:t>
      </w:r>
      <w:r>
        <w:rPr>
          <w:rFonts w:cs="Arial"/>
          <w:i/>
          <w:iCs/>
          <w:noProof/>
          <w:szCs w:val="24"/>
        </w:rPr>
        <w:t>Chemosensors</w:t>
      </w:r>
      <w:r>
        <w:rPr>
          <w:rFonts w:cs="Arial"/>
          <w:noProof/>
          <w:szCs w:val="24"/>
        </w:rPr>
        <w:t>, 8(3): 77.</w:t>
      </w:r>
    </w:p>
    <w:p w14:paraId="4863A00D"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Nugroho, A., Ardiansyah, R., Rusita, L. and Larasati, I. L. (2018), Effect of Layer Thickness on Flexural Properties of PLA (PolyLactid Acid) by 3D Printing. </w:t>
      </w:r>
      <w:r>
        <w:rPr>
          <w:rFonts w:cs="Arial"/>
          <w:i/>
          <w:iCs/>
          <w:noProof/>
          <w:szCs w:val="24"/>
        </w:rPr>
        <w:t>Journal of Physics: Conference Series</w:t>
      </w:r>
      <w:r>
        <w:rPr>
          <w:rFonts w:cs="Arial"/>
          <w:noProof/>
          <w:szCs w:val="24"/>
        </w:rPr>
        <w:t>, 1130(1): 012017.</w:t>
      </w:r>
    </w:p>
    <w:p w14:paraId="30FFEB84"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Patti, Antonella, Cicala, Gianluca and Acierno, Stefano (2021a), Rotational Rheology of Wood Flour Composites Based on Recycled Polyethylene. </w:t>
      </w:r>
      <w:r>
        <w:rPr>
          <w:rFonts w:cs="Arial"/>
          <w:i/>
          <w:iCs/>
          <w:noProof/>
          <w:szCs w:val="24"/>
        </w:rPr>
        <w:t>Polymers</w:t>
      </w:r>
      <w:r>
        <w:rPr>
          <w:rFonts w:cs="Arial"/>
          <w:noProof/>
          <w:szCs w:val="24"/>
        </w:rPr>
        <w:t>, 13(14): 2226.</w:t>
      </w:r>
    </w:p>
    <w:p w14:paraId="64FAE3CB"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Patti, Antonella, Cicala, Gianluca, Tosto, Claudio, Saitta, Lorena and Acierno, Domenico (2021b), Characterization of 3D Printed Highly Filled Composite: Structure, Thermal Diffusivity and Dynamic-Mechanical Analysis. </w:t>
      </w:r>
      <w:r>
        <w:rPr>
          <w:rFonts w:cs="Arial"/>
          <w:i/>
          <w:iCs/>
          <w:noProof/>
          <w:szCs w:val="24"/>
        </w:rPr>
        <w:t>Chemical Engineering Transactions</w:t>
      </w:r>
      <w:r>
        <w:rPr>
          <w:rFonts w:cs="Arial"/>
          <w:noProof/>
          <w:szCs w:val="24"/>
        </w:rPr>
        <w:t>, 86: 1537–1542.</w:t>
      </w:r>
    </w:p>
    <w:p w14:paraId="0801CF79"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Rismalia, M., Hidajat, S. C., Permana, I. G.R., Hadisujoto, B., Muslimin, M. and Triawan, F. (2019), Infill Pattern and Density Effects on the Tensile Properties of 3D Printed PLA Material. </w:t>
      </w:r>
      <w:r>
        <w:rPr>
          <w:rFonts w:cs="Arial"/>
          <w:i/>
          <w:iCs/>
          <w:noProof/>
          <w:szCs w:val="24"/>
        </w:rPr>
        <w:t>Journal of Physics: Conference Series</w:t>
      </w:r>
      <w:r>
        <w:rPr>
          <w:rFonts w:cs="Arial"/>
          <w:noProof/>
          <w:szCs w:val="24"/>
        </w:rPr>
        <w:t>, 1402(4): 044041.</w:t>
      </w:r>
    </w:p>
    <w:p w14:paraId="4880F793"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Sangroniz, Leire, Fernández, Mercedes, Partal, Pedro, Santamaria, Antxon, Antonio, Rafael, Gimeno, Balart, Moreno, Vicente Compañ, María Díez-Pascual, Ana, Serra, Angels, Velasco, Rebeca Hernandez and Mecerreyes, David (2021), Rheology of Polymer Processing in Spain (1995–2020). </w:t>
      </w:r>
      <w:r>
        <w:rPr>
          <w:rFonts w:cs="Arial"/>
          <w:i/>
          <w:iCs/>
          <w:noProof/>
          <w:szCs w:val="24"/>
        </w:rPr>
        <w:t>Polymers</w:t>
      </w:r>
      <w:r>
        <w:rPr>
          <w:rFonts w:cs="Arial"/>
          <w:noProof/>
          <w:szCs w:val="24"/>
        </w:rPr>
        <w:t>, 13(14): 2314.</w:t>
      </w:r>
    </w:p>
    <w:p w14:paraId="16A69919"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 xml:space="preserve">Simon, Timothy R., Lee, Wo Jae, Spurgeon, Benjamin E., Boor, Brandon E. and Zhao, Fu (2018), An Experimental Study on the Energy Consumption and Emission Profile of Fused Deposition Modeling Process. </w:t>
      </w:r>
      <w:r>
        <w:rPr>
          <w:rFonts w:cs="Arial"/>
          <w:i/>
          <w:iCs/>
          <w:noProof/>
          <w:szCs w:val="24"/>
        </w:rPr>
        <w:t>Procedia Manufacturing</w:t>
      </w:r>
      <w:r>
        <w:rPr>
          <w:rFonts w:cs="Arial"/>
          <w:noProof/>
          <w:szCs w:val="24"/>
        </w:rPr>
        <w:t>, 26: 920–928.</w:t>
      </w:r>
    </w:p>
    <w:p w14:paraId="104C0DA1" w14:textId="77777777" w:rsidR="00986E73" w:rsidRDefault="00986E73" w:rsidP="00986E73">
      <w:pPr>
        <w:widowControl w:val="0"/>
        <w:autoSpaceDE w:val="0"/>
        <w:autoSpaceDN w:val="0"/>
        <w:adjustRightInd w:val="0"/>
        <w:spacing w:line="240" w:lineRule="auto"/>
        <w:ind w:left="480" w:hanging="480"/>
        <w:rPr>
          <w:rFonts w:cs="Arial"/>
          <w:noProof/>
          <w:szCs w:val="24"/>
        </w:rPr>
      </w:pPr>
      <w:r>
        <w:rPr>
          <w:rFonts w:cs="Arial"/>
          <w:noProof/>
          <w:szCs w:val="24"/>
        </w:rPr>
        <w:t>Suárez, Luis and Domínguez, Manuel Sustainability and Environmental Impact of Fused Deposition Modelling (FDM) Technologies. available at https://doi.org/10.1007/s00170-019-04676-0 [12 April 2021].</w:t>
      </w:r>
    </w:p>
    <w:p w14:paraId="50B3A025" w14:textId="77777777" w:rsidR="00986E73" w:rsidRDefault="00986E73" w:rsidP="00986E73">
      <w:pPr>
        <w:widowControl w:val="0"/>
        <w:autoSpaceDE w:val="0"/>
        <w:autoSpaceDN w:val="0"/>
        <w:adjustRightInd w:val="0"/>
        <w:spacing w:line="240" w:lineRule="auto"/>
        <w:ind w:left="480" w:hanging="480"/>
        <w:rPr>
          <w:rFonts w:cs="Arial"/>
          <w:noProof/>
        </w:rPr>
      </w:pPr>
      <w:r>
        <w:rPr>
          <w:rFonts w:cs="Arial"/>
          <w:noProof/>
          <w:szCs w:val="24"/>
        </w:rPr>
        <w:t xml:space="preserve">Wojtyła, Szymon, Klama, Piotr and Baran, Tomasz (2017), Is 3D Printing Safe? Analysis of the Thermal Treatment of Thermoplastics: ABS, PLA, PET, and Nylon. </w:t>
      </w:r>
      <w:r>
        <w:rPr>
          <w:rFonts w:cs="Arial"/>
          <w:i/>
          <w:iCs/>
          <w:noProof/>
          <w:szCs w:val="24"/>
        </w:rPr>
        <w:t>Journal of Occupational and Environmental Hygiene</w:t>
      </w:r>
      <w:r>
        <w:rPr>
          <w:rFonts w:cs="Arial"/>
          <w:noProof/>
          <w:szCs w:val="24"/>
        </w:rPr>
        <w:t>, 14(6): D80–D85.</w:t>
      </w:r>
    </w:p>
    <w:p w14:paraId="19C4FC68" w14:textId="66129C67" w:rsidR="004628D2" w:rsidRDefault="00986E73" w:rsidP="00986E73">
      <w:pPr>
        <w:pStyle w:val="CETReference"/>
        <w:spacing w:before="0" w:after="0"/>
      </w:pPr>
      <w:r>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7C829" w14:textId="77777777" w:rsidR="0061286C" w:rsidRDefault="0061286C" w:rsidP="004F5E36">
      <w:r>
        <w:separator/>
      </w:r>
    </w:p>
  </w:endnote>
  <w:endnote w:type="continuationSeparator" w:id="0">
    <w:p w14:paraId="40B43630" w14:textId="77777777" w:rsidR="0061286C" w:rsidRDefault="0061286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04564" w14:textId="77777777" w:rsidR="0061286C" w:rsidRDefault="0061286C" w:rsidP="004F5E36">
      <w:r>
        <w:separator/>
      </w:r>
    </w:p>
  </w:footnote>
  <w:footnote w:type="continuationSeparator" w:id="0">
    <w:p w14:paraId="23E6509B" w14:textId="77777777" w:rsidR="0061286C" w:rsidRDefault="0061286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79BB"/>
    <w:rsid w:val="000117CB"/>
    <w:rsid w:val="0003148D"/>
    <w:rsid w:val="00031EEC"/>
    <w:rsid w:val="00051566"/>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65C1"/>
    <w:rsid w:val="001C684B"/>
    <w:rsid w:val="001D0CFB"/>
    <w:rsid w:val="001D53FC"/>
    <w:rsid w:val="001F42A5"/>
    <w:rsid w:val="001F7B9D"/>
    <w:rsid w:val="00201C93"/>
    <w:rsid w:val="002224B4"/>
    <w:rsid w:val="002447EF"/>
    <w:rsid w:val="00251550"/>
    <w:rsid w:val="00263B05"/>
    <w:rsid w:val="0027221A"/>
    <w:rsid w:val="00275B61"/>
    <w:rsid w:val="00280FAF"/>
    <w:rsid w:val="00282656"/>
    <w:rsid w:val="00296B83"/>
    <w:rsid w:val="002B4015"/>
    <w:rsid w:val="002B78CE"/>
    <w:rsid w:val="002C2FB6"/>
    <w:rsid w:val="002E5FA7"/>
    <w:rsid w:val="002F3309"/>
    <w:rsid w:val="003008CE"/>
    <w:rsid w:val="003009B7"/>
    <w:rsid w:val="00300E56"/>
    <w:rsid w:val="0030469C"/>
    <w:rsid w:val="00321CA6"/>
    <w:rsid w:val="00323763"/>
    <w:rsid w:val="00334C09"/>
    <w:rsid w:val="003723D4"/>
    <w:rsid w:val="00381905"/>
    <w:rsid w:val="00384CC8"/>
    <w:rsid w:val="003871FD"/>
    <w:rsid w:val="003A1E30"/>
    <w:rsid w:val="003A2829"/>
    <w:rsid w:val="003A7D1C"/>
    <w:rsid w:val="003B304B"/>
    <w:rsid w:val="003B3146"/>
    <w:rsid w:val="003F015E"/>
    <w:rsid w:val="00400414"/>
    <w:rsid w:val="0041446B"/>
    <w:rsid w:val="0044329C"/>
    <w:rsid w:val="00453E24"/>
    <w:rsid w:val="00457456"/>
    <w:rsid w:val="004577FE"/>
    <w:rsid w:val="00457B9C"/>
    <w:rsid w:val="0046164A"/>
    <w:rsid w:val="004628D2"/>
    <w:rsid w:val="00462DCD"/>
    <w:rsid w:val="004648AD"/>
    <w:rsid w:val="004703A9"/>
    <w:rsid w:val="004760DE"/>
    <w:rsid w:val="004763D7"/>
    <w:rsid w:val="004A004E"/>
    <w:rsid w:val="004A24CF"/>
    <w:rsid w:val="004C3D1D"/>
    <w:rsid w:val="004C7913"/>
    <w:rsid w:val="004E4DD6"/>
    <w:rsid w:val="004F5E36"/>
    <w:rsid w:val="00507B47"/>
    <w:rsid w:val="00507BEF"/>
    <w:rsid w:val="00507CC9"/>
    <w:rsid w:val="005119A5"/>
    <w:rsid w:val="005278B7"/>
    <w:rsid w:val="00532016"/>
    <w:rsid w:val="005346C8"/>
    <w:rsid w:val="00543E7D"/>
    <w:rsid w:val="00547A68"/>
    <w:rsid w:val="005531C9"/>
    <w:rsid w:val="00570C43"/>
    <w:rsid w:val="005B2110"/>
    <w:rsid w:val="005B61E6"/>
    <w:rsid w:val="005C77E1"/>
    <w:rsid w:val="005D668A"/>
    <w:rsid w:val="005D6A2F"/>
    <w:rsid w:val="005E1A82"/>
    <w:rsid w:val="005E794C"/>
    <w:rsid w:val="005F0A28"/>
    <w:rsid w:val="005F0E5E"/>
    <w:rsid w:val="00600535"/>
    <w:rsid w:val="00610CD6"/>
    <w:rsid w:val="0061286C"/>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713973"/>
    <w:rsid w:val="00720A24"/>
    <w:rsid w:val="00732386"/>
    <w:rsid w:val="0073514D"/>
    <w:rsid w:val="007447F3"/>
    <w:rsid w:val="0075499F"/>
    <w:rsid w:val="007661C8"/>
    <w:rsid w:val="0077098D"/>
    <w:rsid w:val="007931FA"/>
    <w:rsid w:val="007A4861"/>
    <w:rsid w:val="007A7BBA"/>
    <w:rsid w:val="007B0C50"/>
    <w:rsid w:val="007B48F9"/>
    <w:rsid w:val="007C1A43"/>
    <w:rsid w:val="0080013E"/>
    <w:rsid w:val="00813288"/>
    <w:rsid w:val="008168FC"/>
    <w:rsid w:val="00830996"/>
    <w:rsid w:val="008345F1"/>
    <w:rsid w:val="00865B07"/>
    <w:rsid w:val="008667EA"/>
    <w:rsid w:val="0087637F"/>
    <w:rsid w:val="00892AD5"/>
    <w:rsid w:val="008A1512"/>
    <w:rsid w:val="008D32B9"/>
    <w:rsid w:val="008D433B"/>
    <w:rsid w:val="008E566E"/>
    <w:rsid w:val="0090161A"/>
    <w:rsid w:val="00901EB6"/>
    <w:rsid w:val="00904C62"/>
    <w:rsid w:val="00922BA8"/>
    <w:rsid w:val="00924DAC"/>
    <w:rsid w:val="00927058"/>
    <w:rsid w:val="00942750"/>
    <w:rsid w:val="009450CE"/>
    <w:rsid w:val="00947179"/>
    <w:rsid w:val="0095164B"/>
    <w:rsid w:val="00954090"/>
    <w:rsid w:val="009573E7"/>
    <w:rsid w:val="00963E05"/>
    <w:rsid w:val="00967843"/>
    <w:rsid w:val="00967D54"/>
    <w:rsid w:val="00971028"/>
    <w:rsid w:val="00986E73"/>
    <w:rsid w:val="00993B84"/>
    <w:rsid w:val="00996483"/>
    <w:rsid w:val="00996F5A"/>
    <w:rsid w:val="009B041A"/>
    <w:rsid w:val="009C37C3"/>
    <w:rsid w:val="009C7C86"/>
    <w:rsid w:val="009D2FF7"/>
    <w:rsid w:val="009E7884"/>
    <w:rsid w:val="009E788A"/>
    <w:rsid w:val="009F0E08"/>
    <w:rsid w:val="00A1763D"/>
    <w:rsid w:val="00A17CEC"/>
    <w:rsid w:val="00A27EF0"/>
    <w:rsid w:val="00A42361"/>
    <w:rsid w:val="00A50B20"/>
    <w:rsid w:val="00A51390"/>
    <w:rsid w:val="00A60D13"/>
    <w:rsid w:val="00A72745"/>
    <w:rsid w:val="00A76EFC"/>
    <w:rsid w:val="00A91010"/>
    <w:rsid w:val="00A97F29"/>
    <w:rsid w:val="00AA702E"/>
    <w:rsid w:val="00AB0964"/>
    <w:rsid w:val="00AB5011"/>
    <w:rsid w:val="00AC7368"/>
    <w:rsid w:val="00AD16B9"/>
    <w:rsid w:val="00AE377D"/>
    <w:rsid w:val="00AF0EBA"/>
    <w:rsid w:val="00B02C8A"/>
    <w:rsid w:val="00B17FBD"/>
    <w:rsid w:val="00B315A6"/>
    <w:rsid w:val="00B31813"/>
    <w:rsid w:val="00B33365"/>
    <w:rsid w:val="00B57B36"/>
    <w:rsid w:val="00B57E6F"/>
    <w:rsid w:val="00B8686D"/>
    <w:rsid w:val="00B93F69"/>
    <w:rsid w:val="00BB1DDC"/>
    <w:rsid w:val="00BC30C9"/>
    <w:rsid w:val="00BD077D"/>
    <w:rsid w:val="00BE3E58"/>
    <w:rsid w:val="00C01616"/>
    <w:rsid w:val="00C0162B"/>
    <w:rsid w:val="00C068ED"/>
    <w:rsid w:val="00C22E0C"/>
    <w:rsid w:val="00C345B1"/>
    <w:rsid w:val="00C40142"/>
    <w:rsid w:val="00C52C3C"/>
    <w:rsid w:val="00C57182"/>
    <w:rsid w:val="00C57863"/>
    <w:rsid w:val="00C655FD"/>
    <w:rsid w:val="00C75407"/>
    <w:rsid w:val="00C870A8"/>
    <w:rsid w:val="00C94434"/>
    <w:rsid w:val="00CA0D75"/>
    <w:rsid w:val="00CA1C95"/>
    <w:rsid w:val="00CA5A9C"/>
    <w:rsid w:val="00CC4C20"/>
    <w:rsid w:val="00CD3517"/>
    <w:rsid w:val="00CD5FE2"/>
    <w:rsid w:val="00CE7C68"/>
    <w:rsid w:val="00D02B4C"/>
    <w:rsid w:val="00D040C4"/>
    <w:rsid w:val="00D46B7E"/>
    <w:rsid w:val="00D57C84"/>
    <w:rsid w:val="00D6057D"/>
    <w:rsid w:val="00D836C5"/>
    <w:rsid w:val="00D84576"/>
    <w:rsid w:val="00DA1399"/>
    <w:rsid w:val="00DA24C6"/>
    <w:rsid w:val="00DA4D7B"/>
    <w:rsid w:val="00DE264A"/>
    <w:rsid w:val="00DF5072"/>
    <w:rsid w:val="00E02D18"/>
    <w:rsid w:val="00E041E7"/>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D9F"/>
    <w:rsid w:val="00EE0131"/>
    <w:rsid w:val="00EE17B0"/>
    <w:rsid w:val="00EF06D9"/>
    <w:rsid w:val="00F30C64"/>
    <w:rsid w:val="00F32BA2"/>
    <w:rsid w:val="00F32CDB"/>
    <w:rsid w:val="00F565FE"/>
    <w:rsid w:val="00F63A70"/>
    <w:rsid w:val="00F7534E"/>
    <w:rsid w:val="00FA21D0"/>
    <w:rsid w:val="00FA5F5F"/>
    <w:rsid w:val="00FB2980"/>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29A26290-AF60-4789-A451-D32E5184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789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8752</Words>
  <Characters>49891</Characters>
  <Application>Microsoft Office Word</Application>
  <DocSecurity>0</DocSecurity>
  <Lines>415</Lines>
  <Paragraphs>117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58526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aidic@outlook.it</cp:lastModifiedBy>
  <cp:revision>2</cp:revision>
  <cp:lastPrinted>2015-05-12T18:31:00Z</cp:lastPrinted>
  <dcterms:created xsi:type="dcterms:W3CDTF">2022-03-29T09:52:00Z</dcterms:created>
  <dcterms:modified xsi:type="dcterms:W3CDTF">2022-03-29T09:52:00Z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