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C93F4E" w:rsidRDefault="00300E56" w:rsidP="00B57E6F">
            <w:pPr>
              <w:ind w:left="-107"/>
              <w:outlineLvl w:val="2"/>
              <w:rPr>
                <w:rFonts w:ascii="Tahoma" w:hAnsi="Tahoma" w:cs="Tahoma"/>
                <w:bCs/>
                <w:color w:val="000000"/>
                <w:sz w:val="14"/>
                <w:szCs w:val="14"/>
                <w:lang w:val="it-IT" w:eastAsia="it-IT"/>
              </w:rPr>
            </w:pPr>
            <w:r w:rsidRPr="00C93F4E">
              <w:rPr>
                <w:rFonts w:ascii="Tahoma" w:hAnsi="Tahoma" w:cs="Tahoma"/>
                <w:iCs/>
                <w:color w:val="333333"/>
                <w:sz w:val="14"/>
                <w:szCs w:val="14"/>
                <w:lang w:val="it-IT" w:eastAsia="it-IT"/>
              </w:rPr>
              <w:t>Guest Editors:</w:t>
            </w:r>
            <w:r w:rsidR="00904C62" w:rsidRPr="00C93F4E">
              <w:rPr>
                <w:rFonts w:ascii="Tahoma" w:hAnsi="Tahoma" w:cs="Tahoma"/>
                <w:iCs/>
                <w:color w:val="333333"/>
                <w:sz w:val="14"/>
                <w:szCs w:val="14"/>
                <w:lang w:val="it-IT" w:eastAsia="it-IT"/>
              </w:rPr>
              <w:t xml:space="preserve"> </w:t>
            </w:r>
            <w:r w:rsidR="00B57E6F" w:rsidRPr="00C93F4E">
              <w:rPr>
                <w:rFonts w:ascii="Tahoma" w:hAnsi="Tahoma" w:cs="Tahoma"/>
                <w:color w:val="000000"/>
                <w:sz w:val="14"/>
                <w:szCs w:val="14"/>
                <w:shd w:val="clear" w:color="auto" w:fill="FFFFFF"/>
                <w:lang w:val="it-IT"/>
              </w:rPr>
              <w:t xml:space="preserve">Valerio Cozzani, </w:t>
            </w:r>
            <w:r w:rsidR="001331DF" w:rsidRPr="00C93F4E">
              <w:rPr>
                <w:rFonts w:ascii="Tahoma" w:hAnsi="Tahoma" w:cs="Tahoma"/>
                <w:color w:val="000000"/>
                <w:sz w:val="14"/>
                <w:szCs w:val="14"/>
                <w:shd w:val="clear" w:color="auto" w:fill="FFFFFF"/>
                <w:lang w:val="it-IT"/>
              </w:rPr>
              <w:t>Bruno Fabiano</w:t>
            </w:r>
            <w:r w:rsidR="00B57E6F" w:rsidRPr="00C93F4E">
              <w:rPr>
                <w:rFonts w:ascii="Tahoma" w:hAnsi="Tahoma" w:cs="Tahoma"/>
                <w:color w:val="000000"/>
                <w:sz w:val="14"/>
                <w:szCs w:val="14"/>
                <w:shd w:val="clear" w:color="auto" w:fill="FFFFFF"/>
                <w:lang w:val="it-IT"/>
              </w:rPr>
              <w:t xml:space="preserve">, </w:t>
            </w:r>
            <w:r w:rsidR="00B57E6F" w:rsidRPr="00C93F4E">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C7C9CF0" w:rsidR="00E978D0" w:rsidRPr="00B57B36" w:rsidRDefault="00C93F4E" w:rsidP="00E978D0">
      <w:pPr>
        <w:pStyle w:val="CETTitle"/>
      </w:pPr>
      <w:r w:rsidRPr="00C93F4E">
        <w:t xml:space="preserve">A </w:t>
      </w:r>
      <w:r w:rsidR="00DF703F">
        <w:t>C</w:t>
      </w:r>
      <w:r w:rsidRPr="00C93F4E">
        <w:t xml:space="preserve">omprehensive </w:t>
      </w:r>
      <w:r w:rsidR="00DF703F">
        <w:t>A</w:t>
      </w:r>
      <w:r w:rsidRPr="00C93F4E">
        <w:t xml:space="preserve">pproach to </w:t>
      </w:r>
      <w:r w:rsidR="00DF703F">
        <w:t>E</w:t>
      </w:r>
      <w:r w:rsidRPr="00C93F4E">
        <w:t xml:space="preserve">stablish the </w:t>
      </w:r>
      <w:r w:rsidR="00DF703F">
        <w:t>I</w:t>
      </w:r>
      <w:r w:rsidRPr="00C93F4E">
        <w:t xml:space="preserve">mpact of </w:t>
      </w:r>
      <w:r w:rsidR="00DF703F">
        <w:t>W</w:t>
      </w:r>
      <w:r w:rsidRPr="00C93F4E">
        <w:t xml:space="preserve">orksites </w:t>
      </w:r>
      <w:r w:rsidR="00DF703F">
        <w:t>A</w:t>
      </w:r>
      <w:r w:rsidRPr="00C93F4E">
        <w:t xml:space="preserve">ir </w:t>
      </w:r>
      <w:r w:rsidR="00DF703F">
        <w:t>E</w:t>
      </w:r>
      <w:r w:rsidRPr="00C93F4E">
        <w:t>missions</w:t>
      </w:r>
    </w:p>
    <w:p w14:paraId="0488FED2" w14:textId="5203DCBE" w:rsidR="00B57E6F" w:rsidRPr="00C93F4E" w:rsidRDefault="00C93F4E" w:rsidP="00B57E6F">
      <w:pPr>
        <w:pStyle w:val="CETAuthors"/>
        <w:rPr>
          <w:lang w:val="it-IT"/>
        </w:rPr>
      </w:pPr>
      <w:r w:rsidRPr="00C93F4E">
        <w:rPr>
          <w:lang w:val="it-IT"/>
        </w:rPr>
        <w:t>Barozzi Marco</w:t>
      </w:r>
      <w:r w:rsidR="00B57E6F" w:rsidRPr="00C93F4E">
        <w:rPr>
          <w:vertAlign w:val="superscript"/>
          <w:lang w:val="it-IT"/>
        </w:rPr>
        <w:t>a</w:t>
      </w:r>
      <w:r w:rsidR="00B57E6F" w:rsidRPr="00C93F4E">
        <w:rPr>
          <w:lang w:val="it-IT"/>
        </w:rPr>
        <w:t xml:space="preserve">, </w:t>
      </w:r>
      <w:r w:rsidRPr="00C93F4E">
        <w:rPr>
          <w:lang w:val="it-IT"/>
        </w:rPr>
        <w:t>Dimauro Carmelo</w:t>
      </w:r>
      <w:r w:rsidR="00B57E6F" w:rsidRPr="00C93F4E">
        <w:rPr>
          <w:vertAlign w:val="superscript"/>
          <w:lang w:val="it-IT"/>
        </w:rPr>
        <w:t>b</w:t>
      </w:r>
      <w:r w:rsidR="00B57E6F" w:rsidRPr="00C93F4E">
        <w:rPr>
          <w:lang w:val="it-IT"/>
        </w:rPr>
        <w:t>,</w:t>
      </w:r>
      <w:r w:rsidR="00D33B1F">
        <w:rPr>
          <w:lang w:val="it-IT"/>
        </w:rPr>
        <w:t xml:space="preserve"> </w:t>
      </w:r>
      <w:r w:rsidR="004C4313">
        <w:rPr>
          <w:lang w:val="it-IT"/>
        </w:rPr>
        <w:t>Scotton Martina Silvia</w:t>
      </w:r>
      <w:r w:rsidR="004C4313" w:rsidRPr="004C4313">
        <w:rPr>
          <w:vertAlign w:val="superscript"/>
          <w:lang w:val="it-IT"/>
        </w:rPr>
        <w:t xml:space="preserve"> </w:t>
      </w:r>
      <w:r w:rsidR="004C4313" w:rsidRPr="00C93F4E">
        <w:rPr>
          <w:vertAlign w:val="superscript"/>
          <w:lang w:val="it-IT"/>
        </w:rPr>
        <w:t>a</w:t>
      </w:r>
      <w:r w:rsidR="004C4313">
        <w:rPr>
          <w:lang w:val="it-IT"/>
        </w:rPr>
        <w:t xml:space="preserve">, </w:t>
      </w:r>
      <w:r w:rsidRPr="00C93F4E">
        <w:rPr>
          <w:lang w:val="it-IT"/>
        </w:rPr>
        <w:t>Co</w:t>
      </w:r>
      <w:r>
        <w:rPr>
          <w:lang w:val="it-IT"/>
        </w:rPr>
        <w:t>pelli Sabrina</w:t>
      </w:r>
      <w:r w:rsidR="00537DDA" w:rsidRPr="00537DDA">
        <w:rPr>
          <w:vertAlign w:val="superscript"/>
          <w:lang w:val="it-IT"/>
        </w:rPr>
        <w:t xml:space="preserve"> </w:t>
      </w:r>
      <w:r w:rsidR="00537DDA" w:rsidRPr="00C93F4E">
        <w:rPr>
          <w:vertAlign w:val="superscript"/>
          <w:lang w:val="it-IT"/>
        </w:rPr>
        <w:t>a,</w:t>
      </w:r>
      <w:r w:rsidR="00537DDA" w:rsidRPr="00C93F4E">
        <w:rPr>
          <w:lang w:val="it-IT"/>
        </w:rPr>
        <w:t>*</w:t>
      </w:r>
    </w:p>
    <w:p w14:paraId="6B2D21B3" w14:textId="5E53D4BC" w:rsidR="00B57E6F" w:rsidRPr="00B57B36" w:rsidRDefault="00B57E6F" w:rsidP="00B57E6F">
      <w:pPr>
        <w:pStyle w:val="CETAddress"/>
      </w:pPr>
      <w:r w:rsidRPr="00B57B36">
        <w:rPr>
          <w:vertAlign w:val="superscript"/>
        </w:rPr>
        <w:t>a</w:t>
      </w:r>
      <w:r w:rsidR="00C93F4E" w:rsidRPr="00C93F4E">
        <w:t>University of Insubria, Department of Science and High Technology, via Valleggio 9 - 22100, Como (Italy)</w:t>
      </w:r>
      <w:r w:rsidRPr="00B57B36">
        <w:t xml:space="preserve"> </w:t>
      </w:r>
    </w:p>
    <w:p w14:paraId="3D72B0B0" w14:textId="587317E5" w:rsidR="00B57E6F" w:rsidRPr="00C93F4E" w:rsidRDefault="00B57E6F" w:rsidP="00B57E6F">
      <w:pPr>
        <w:pStyle w:val="CETAddress"/>
        <w:rPr>
          <w:lang w:val="it-IT"/>
        </w:rPr>
      </w:pPr>
      <w:r w:rsidRPr="00C93F4E">
        <w:rPr>
          <w:vertAlign w:val="superscript"/>
          <w:lang w:val="it-IT"/>
        </w:rPr>
        <w:t>b</w:t>
      </w:r>
      <w:r w:rsidR="00C93F4E" w:rsidRPr="00C93F4E">
        <w:rPr>
          <w:lang w:val="it-IT"/>
        </w:rPr>
        <w:t>Risk Governance Solutions S.r.l., Via delle Medaglie d’Oro 8- 21100, Varese (Italy)</w:t>
      </w:r>
      <w:r w:rsidRPr="00C93F4E">
        <w:rPr>
          <w:lang w:val="it-IT"/>
        </w:rPr>
        <w:t xml:space="preserve"> </w:t>
      </w:r>
    </w:p>
    <w:p w14:paraId="73F1267A" w14:textId="36797C36" w:rsidR="00B57E6F" w:rsidRPr="00B57B36" w:rsidRDefault="00537DDA" w:rsidP="00B57E6F">
      <w:pPr>
        <w:pStyle w:val="CETemail"/>
      </w:pPr>
      <w:r>
        <w:t>sabrina.copelli</w:t>
      </w:r>
      <w:r w:rsidR="00B57E6F" w:rsidRPr="00B57B36">
        <w:t>@</w:t>
      </w:r>
      <w:r w:rsidR="00C93F4E">
        <w:t>uninsubria.it</w:t>
      </w:r>
    </w:p>
    <w:p w14:paraId="575E4420" w14:textId="5779E3D8" w:rsidR="00FB1357" w:rsidRDefault="00C93F4E" w:rsidP="00C93F4E">
      <w:pPr>
        <w:pStyle w:val="CETBodytext"/>
        <w:rPr>
          <w:lang w:val="en-GB"/>
        </w:rPr>
      </w:pPr>
      <w:r w:rsidRPr="00C93F4E">
        <w:rPr>
          <w:lang w:val="en-GB"/>
        </w:rPr>
        <w:t xml:space="preserve">Worksite activities are time-limited events </w:t>
      </w:r>
      <w:r w:rsidR="00DC399C">
        <w:rPr>
          <w:lang w:val="en-GB"/>
        </w:rPr>
        <w:t>associated with</w:t>
      </w:r>
      <w:r w:rsidRPr="00C93F4E">
        <w:rPr>
          <w:lang w:val="en-GB"/>
        </w:rPr>
        <w:t xml:space="preserve"> continuous releases of airborne pollutants, such as carbon monoxide, particulate </w:t>
      </w:r>
      <w:r w:rsidR="00DF703F" w:rsidRPr="00C93F4E">
        <w:rPr>
          <w:lang w:val="en-GB"/>
        </w:rPr>
        <w:t>matter,</w:t>
      </w:r>
      <w:r w:rsidRPr="00C93F4E">
        <w:rPr>
          <w:lang w:val="en-GB"/>
        </w:rPr>
        <w:t xml:space="preserve"> and NOx, and they impact potentially vast areas. The</w:t>
      </w:r>
      <w:r w:rsidR="00DC399C">
        <w:rPr>
          <w:lang w:val="en-GB"/>
        </w:rPr>
        <w:t xml:space="preserve"> side-effects</w:t>
      </w:r>
      <w:r w:rsidRPr="00C93F4E">
        <w:rPr>
          <w:lang w:val="en-GB"/>
        </w:rPr>
        <w:t xml:space="preserve"> on the environment can be severe, and </w:t>
      </w:r>
      <w:r w:rsidR="00DC399C">
        <w:rPr>
          <w:lang w:val="en-GB"/>
        </w:rPr>
        <w:t>they are</w:t>
      </w:r>
      <w:r w:rsidRPr="00C93F4E">
        <w:rPr>
          <w:lang w:val="en-GB"/>
        </w:rPr>
        <w:t xml:space="preserve"> subject of literature studies, with the final aim of proposing solutions that may improve the management of air emissions. </w:t>
      </w:r>
      <w:r w:rsidR="00DC399C">
        <w:rPr>
          <w:lang w:val="en-GB"/>
        </w:rPr>
        <w:t>N</w:t>
      </w:r>
      <w:r w:rsidRPr="00C93F4E">
        <w:rPr>
          <w:lang w:val="en-GB"/>
        </w:rPr>
        <w:t>o general assessment method or approach is</w:t>
      </w:r>
      <w:r w:rsidR="00DC399C">
        <w:rPr>
          <w:lang w:val="en-GB"/>
        </w:rPr>
        <w:t xml:space="preserve"> yet</w:t>
      </w:r>
      <w:r w:rsidRPr="00C93F4E">
        <w:rPr>
          <w:lang w:val="en-GB"/>
        </w:rPr>
        <w:t xml:space="preserve"> available to estimate </w:t>
      </w:r>
      <w:r w:rsidR="00DC399C">
        <w:rPr>
          <w:lang w:val="en-GB"/>
        </w:rPr>
        <w:t>their effects</w:t>
      </w:r>
      <w:r w:rsidRPr="00C93F4E">
        <w:rPr>
          <w:lang w:val="en-GB"/>
        </w:rPr>
        <w:t xml:space="preserve"> on the environment and workers’ health. In this work, a general procedure that can be potentially applied to every type of worksite </w:t>
      </w:r>
      <w:r w:rsidR="00DC399C">
        <w:rPr>
          <w:lang w:val="en-GB"/>
        </w:rPr>
        <w:t xml:space="preserve">is proposed </w:t>
      </w:r>
      <w:r w:rsidRPr="00C93F4E">
        <w:rPr>
          <w:lang w:val="en-GB"/>
        </w:rPr>
        <w:t>(i.e.</w:t>
      </w:r>
      <w:r w:rsidR="00DF703F">
        <w:rPr>
          <w:lang w:val="en-GB"/>
        </w:rPr>
        <w:t>,</w:t>
      </w:r>
      <w:r w:rsidRPr="00C93F4E">
        <w:rPr>
          <w:lang w:val="en-GB"/>
        </w:rPr>
        <w:t xml:space="preserve"> construction sites, upgrading of chemical plants, road sites</w:t>
      </w:r>
      <w:r w:rsidR="00DF703F">
        <w:rPr>
          <w:lang w:val="en-GB"/>
        </w:rPr>
        <w:t>, etc</w:t>
      </w:r>
      <w:r w:rsidRPr="00C93F4E">
        <w:rPr>
          <w:lang w:val="en-GB"/>
        </w:rPr>
        <w:t xml:space="preserve">..). The approach involves a detailed assessment of emissions and their expected pollutant concentrations. A dedicated mathematical model has been defined to assess pollutant emissions over time, consistent with all the different phases of </w:t>
      </w:r>
      <w:r w:rsidR="00DC399C">
        <w:rPr>
          <w:lang w:val="en-GB"/>
        </w:rPr>
        <w:t>foreseen</w:t>
      </w:r>
      <w:r w:rsidRPr="00C93F4E">
        <w:rPr>
          <w:lang w:val="en-GB"/>
        </w:rPr>
        <w:t xml:space="preserve"> activities. Emissions are defined on base of the GANTT descriptions of the activities and air pollutant dispersion is simulated </w:t>
      </w:r>
      <w:r w:rsidR="00DC399C">
        <w:rPr>
          <w:lang w:val="en-GB"/>
        </w:rPr>
        <w:t>with a dedicated model</w:t>
      </w:r>
      <w:r w:rsidRPr="00C93F4E">
        <w:rPr>
          <w:lang w:val="en-GB"/>
        </w:rPr>
        <w:t>.</w:t>
      </w:r>
      <w:r w:rsidR="00DF703F">
        <w:rPr>
          <w:lang w:val="en-GB"/>
        </w:rPr>
        <w:t xml:space="preserve"> </w:t>
      </w:r>
      <w:r w:rsidRPr="00C93F4E">
        <w:rPr>
          <w:lang w:val="en-GB"/>
        </w:rPr>
        <w:t>Finally, the obtained results are evaluated against air quality thresholds as defined by laws and conditioning the human health risks for workers and citizens potentially exposed to pollutants.</w:t>
      </w:r>
    </w:p>
    <w:p w14:paraId="258D7E15" w14:textId="77777777" w:rsidR="00FB1357" w:rsidRDefault="00FB1357" w:rsidP="00C93F4E">
      <w:pPr>
        <w:pStyle w:val="CETBodytext"/>
        <w:rPr>
          <w:lang w:val="en-GB"/>
        </w:rPr>
      </w:pPr>
    </w:p>
    <w:p w14:paraId="37A61FCE" w14:textId="47F06474" w:rsidR="00DA24C6" w:rsidRPr="00FB1357" w:rsidRDefault="00FB1357" w:rsidP="00C93F4E">
      <w:pPr>
        <w:pStyle w:val="CETBodytext"/>
        <w:rPr>
          <w:i/>
          <w:iCs/>
        </w:rPr>
      </w:pPr>
      <w:r w:rsidRPr="00FB1357">
        <w:rPr>
          <w:i/>
          <w:iCs/>
          <w:lang w:val="en-GB"/>
        </w:rPr>
        <w:t>Keywords</w:t>
      </w:r>
      <w:r>
        <w:rPr>
          <w:i/>
          <w:iCs/>
          <w:lang w:val="en-GB"/>
        </w:rPr>
        <w:t>: Atmospheric pollution, CALPUFF, Environmental impact, Worksites</w:t>
      </w:r>
      <w:r w:rsidR="00C93F4E" w:rsidRPr="00FB1357">
        <w:rPr>
          <w:i/>
          <w:iCs/>
          <w:lang w:val="en-GB"/>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77AFCD2F" w14:textId="03AC759F" w:rsidR="00B358BB" w:rsidRDefault="00E810D1" w:rsidP="002F0615">
      <w:pPr>
        <w:pStyle w:val="CETBodytext"/>
      </w:pPr>
      <w:r>
        <w:t xml:space="preserve">Air quality is </w:t>
      </w:r>
      <w:r w:rsidR="00BC010B">
        <w:t>among the most important</w:t>
      </w:r>
      <w:r>
        <w:t xml:space="preserve"> </w:t>
      </w:r>
      <w:r w:rsidR="00BC010B">
        <w:t>environmental issues for a more sustainable future</w:t>
      </w:r>
      <w:r w:rsidR="00AC7F19">
        <w:t>.</w:t>
      </w:r>
      <w:r w:rsidR="00BC010B">
        <w:t xml:space="preserve"> The number of factors that impact</w:t>
      </w:r>
      <w:r w:rsidR="009519D9">
        <w:t xml:space="preserve"> the amount of</w:t>
      </w:r>
      <w:r w:rsidR="00BC010B">
        <w:t xml:space="preserve"> pollutants in the atmosphere </w:t>
      </w:r>
      <w:r w:rsidR="002F0615">
        <w:t>is</w:t>
      </w:r>
      <w:r w:rsidR="00BC010B">
        <w:t xml:space="preserve"> countless, including both anthropogenic and natural causes. For what concerns anthropogenic factors, any activity </w:t>
      </w:r>
      <w:r w:rsidR="002F0615">
        <w:t>should</w:t>
      </w:r>
      <w:r w:rsidR="00BC010B">
        <w:t xml:space="preserve"> follow specific constraints</w:t>
      </w:r>
      <w:r w:rsidR="009A2970">
        <w:t xml:space="preserve"> (according to both national and international standards)</w:t>
      </w:r>
      <w:r w:rsidR="00BC010B">
        <w:t xml:space="preserve"> for airborne pollutant emissions</w:t>
      </w:r>
      <w:r w:rsidR="002F0615">
        <w:t xml:space="preserve">. </w:t>
      </w:r>
      <w:r w:rsidR="002970BA">
        <w:t xml:space="preserve">In Europe, the main standard regulating airborne pollutant concentrations is the </w:t>
      </w:r>
      <w:r w:rsidR="002970BA" w:rsidRPr="002970BA">
        <w:t>Directive 2008/50/EC</w:t>
      </w:r>
      <w:r w:rsidR="002970BA">
        <w:t>, which defines the maximum allowable levels for human and vegetation health. It is well-known that atmospheric pollution is greatly impacted by transport and industry, which consist in constant sources of emissions. However, even short-term activities such as worksites may sever</w:t>
      </w:r>
      <w:r w:rsidR="00283CD7">
        <w:t>e</w:t>
      </w:r>
      <w:r w:rsidR="002970BA">
        <w:t xml:space="preserve">ly impact air quality. </w:t>
      </w:r>
      <w:r w:rsidR="00AC7F19">
        <w:t>Lepert and Brillet (2019)</w:t>
      </w:r>
      <w:r w:rsidR="00264B3A">
        <w:t xml:space="preserve"> published a work where they highlighted the increased emissions of greenhouse gases associated with worksites for maintenance and improvement of traffic roads.</w:t>
      </w:r>
      <w:r w:rsidR="002970BA">
        <w:t xml:space="preserve"> Also, many </w:t>
      </w:r>
      <w:r w:rsidR="009519D9">
        <w:t xml:space="preserve">sectorial </w:t>
      </w:r>
      <w:r w:rsidR="002970BA">
        <w:t xml:space="preserve">studies have been performed on the modelling </w:t>
      </w:r>
      <w:r w:rsidR="009519D9">
        <w:t xml:space="preserve">and the assessment </w:t>
      </w:r>
      <w:r w:rsidR="002970BA">
        <w:t xml:space="preserve">of pollutant emissions </w:t>
      </w:r>
      <w:r w:rsidR="009519D9">
        <w:t>from specific</w:t>
      </w:r>
      <w:r w:rsidR="002970BA">
        <w:t xml:space="preserve"> sites.</w:t>
      </w:r>
      <w:r w:rsidR="00283CD7">
        <w:t xml:space="preserve"> </w:t>
      </w:r>
      <w:r w:rsidR="009519D9">
        <w:t>Giunta et al. (2019),</w:t>
      </w:r>
      <w:r w:rsidR="00794C71">
        <w:t xml:space="preserve"> noted the potential impact due to the</w:t>
      </w:r>
      <w:r w:rsidR="009519D9">
        <w:t xml:space="preserve"> </w:t>
      </w:r>
      <w:r w:rsidR="00794C71">
        <w:t xml:space="preserve">expected growth of the road constructions around the world, and demonstrated that in the worksites of bridges, earthworks and tunnels the overall emissions </w:t>
      </w:r>
      <w:r w:rsidR="00DC399C">
        <w:t>can be</w:t>
      </w:r>
      <w:r w:rsidR="00794C71">
        <w:t xml:space="preserve"> 5 times higher than the emission of storage and concrete production worksites. In a more recent work (Giunta, 2020), the impact of a </w:t>
      </w:r>
      <w:r w:rsidR="00942343">
        <w:t xml:space="preserve">motorway </w:t>
      </w:r>
      <w:r w:rsidR="00794C71">
        <w:t xml:space="preserve">construction </w:t>
      </w:r>
      <w:r w:rsidR="00942343">
        <w:t>project</w:t>
      </w:r>
      <w:r w:rsidR="00794C71">
        <w:t xml:space="preserve"> in Italy </w:t>
      </w:r>
      <w:r w:rsidR="00942343">
        <w:t xml:space="preserve">was analyzed, and it was shown how deeply can such activities impact air quality, threatening workers, civilians, and environment health. </w:t>
      </w:r>
      <w:r w:rsidR="00052DF5">
        <w:t>S</w:t>
      </w:r>
      <w:r w:rsidR="00942343">
        <w:t xml:space="preserve">uch </w:t>
      </w:r>
      <w:r w:rsidR="00283CD7">
        <w:t xml:space="preserve">analyses are </w:t>
      </w:r>
      <w:r w:rsidR="00052DF5">
        <w:t>usually considered negligible</w:t>
      </w:r>
      <w:r w:rsidR="00A20B4C">
        <w:t xml:space="preserve"> for small</w:t>
      </w:r>
      <w:r w:rsidR="00052DF5">
        <w:t>er</w:t>
      </w:r>
      <w:r w:rsidR="00A20B4C">
        <w:t xml:space="preserve"> </w:t>
      </w:r>
      <w:r w:rsidR="00052DF5">
        <w:t>activities</w:t>
      </w:r>
      <w:r w:rsidR="00942343">
        <w:t xml:space="preserve">, and they </w:t>
      </w:r>
      <w:r w:rsidR="00052DF5">
        <w:t>remain</w:t>
      </w:r>
      <w:r w:rsidR="00942343">
        <w:t xml:space="preserve"> </w:t>
      </w:r>
      <w:r w:rsidR="00052DF5">
        <w:t xml:space="preserve">a </w:t>
      </w:r>
      <w:r w:rsidR="00942343">
        <w:t xml:space="preserve">subject </w:t>
      </w:r>
      <w:r w:rsidR="00052DF5">
        <w:t>of</w:t>
      </w:r>
      <w:r w:rsidR="00942343">
        <w:t xml:space="preserve"> pure research</w:t>
      </w:r>
      <w:r w:rsidR="00283CD7">
        <w:t xml:space="preserve">. This is due to an underestimation of the </w:t>
      </w:r>
      <w:r w:rsidR="00052DF5">
        <w:t>effects</w:t>
      </w:r>
      <w:r w:rsidR="00283CD7">
        <w:t xml:space="preserve"> of </w:t>
      </w:r>
      <w:r w:rsidR="00052DF5">
        <w:t>small worksites</w:t>
      </w:r>
      <w:r w:rsidR="00A20B4C">
        <w:t xml:space="preserve"> and to the lack of </w:t>
      </w:r>
      <w:r w:rsidR="00052DF5">
        <w:t xml:space="preserve">simple and general </w:t>
      </w:r>
      <w:r w:rsidR="00A20B4C">
        <w:t>methods</w:t>
      </w:r>
      <w:r w:rsidR="00942343">
        <w:t xml:space="preserve"> </w:t>
      </w:r>
      <w:r w:rsidR="00052DF5">
        <w:t>dedicated to these purposes</w:t>
      </w:r>
      <w:r w:rsidR="00A20B4C">
        <w:t>.</w:t>
      </w:r>
      <w:r w:rsidR="002F0615">
        <w:t xml:space="preserve"> </w:t>
      </w:r>
      <w:r w:rsidR="00B358BB">
        <w:t>In this work,</w:t>
      </w:r>
      <w:r w:rsidR="00052DF5">
        <w:t xml:space="preserve"> we propose</w:t>
      </w:r>
      <w:r w:rsidR="00B358BB">
        <w:t xml:space="preserve"> a</w:t>
      </w:r>
      <w:r w:rsidR="00052DF5">
        <w:t xml:space="preserve"> potentially</w:t>
      </w:r>
      <w:r w:rsidR="00B358BB">
        <w:t xml:space="preserve"> general </w:t>
      </w:r>
      <w:r w:rsidR="00052DF5">
        <w:t>approach</w:t>
      </w:r>
      <w:r w:rsidR="00B358BB">
        <w:t xml:space="preserve"> to estimate the impact of a worksite, with particular attention to </w:t>
      </w:r>
      <w:r w:rsidR="00052DF5">
        <w:t>the assessment</w:t>
      </w:r>
      <w:r w:rsidR="00B358BB">
        <w:t xml:space="preserve"> of human health risk for </w:t>
      </w:r>
      <w:r w:rsidR="00BA6790" w:rsidRPr="00C93F4E">
        <w:t>workers and citizens exposed</w:t>
      </w:r>
      <w:r w:rsidR="00BA6790">
        <w:t>. The major novelty represented by this model is the generalization of the method, since most of the works presented in the current literature are very specific, involving studies on road construction sites or building sites only. The model</w:t>
      </w:r>
      <w:r w:rsidR="009468B8">
        <w:t xml:space="preserve"> </w:t>
      </w:r>
      <w:r w:rsidR="00942343">
        <w:t xml:space="preserve">starts with a collection of </w:t>
      </w:r>
      <w:r w:rsidR="00942343">
        <w:lastRenderedPageBreak/>
        <w:t>raw data, including operating machine, excavations information, and tran</w:t>
      </w:r>
      <w:r w:rsidR="00D04A8D">
        <w:t>s</w:t>
      </w:r>
      <w:r w:rsidR="00942343">
        <w:t>portation</w:t>
      </w:r>
      <w:r w:rsidR="009468B8">
        <w:t>.</w:t>
      </w:r>
      <w:r w:rsidR="00942343">
        <w:t xml:space="preserve"> Such data are then elaborated with the use of Gantt diagrams, which are a very used tool when handling with worksite planning and validate models and emission factors to describe particulate matter, </w:t>
      </w:r>
      <w:r w:rsidR="00D04A8D">
        <w:t>NOx, SOx and CO emissions</w:t>
      </w:r>
      <w:r w:rsidR="00942343">
        <w:t xml:space="preserve">. In this way it is possible to </w:t>
      </w:r>
      <w:r w:rsidR="00D04A8D">
        <w:t>both assess global emissions and emission sources. After a proper detection of source types, dispersion modelling can be carried out.</w:t>
      </w:r>
      <w:r w:rsidR="009468B8">
        <w:t xml:space="preserve"> While pollutant dispersion can be estimated with several available mathematical models, the use of C</w:t>
      </w:r>
      <w:r w:rsidR="00585EA7">
        <w:t>alpuff</w:t>
      </w:r>
      <w:r w:rsidR="009468B8">
        <w:t xml:space="preserve"> is highly recommended, due to its capacity of representing point, linear and areal sources with a discontinuous functioning, and the capability of describing phenomena such as atmospheric turbulence</w:t>
      </w:r>
      <w:r w:rsidR="00D04A8D">
        <w:t xml:space="preserve"> or thermal inversion. From results, with the use of threshold values, exposure maps for workers can be </w:t>
      </w:r>
      <w:r w:rsidR="00A2741D">
        <w:t>elaborated</w:t>
      </w:r>
      <w:r w:rsidR="00D04A8D">
        <w:t>.</w:t>
      </w:r>
    </w:p>
    <w:p w14:paraId="5741900F" w14:textId="3A145F0B" w:rsidR="00453E24" w:rsidRDefault="008A1796" w:rsidP="00453E24">
      <w:pPr>
        <w:pStyle w:val="CETHeading1"/>
      </w:pPr>
      <w:r>
        <w:t>Methodology</w:t>
      </w:r>
    </w:p>
    <w:p w14:paraId="5130D981" w14:textId="5DA942BD" w:rsidR="0092252A" w:rsidRDefault="00BE501D" w:rsidP="00453E24">
      <w:pPr>
        <w:pStyle w:val="CETBodytext"/>
      </w:pPr>
      <w:r>
        <w:t xml:space="preserve">The method proposed </w:t>
      </w:r>
      <w:r w:rsidR="009E21C7">
        <w:t>is summarized in Figure 1</w:t>
      </w:r>
      <w:r>
        <w:t>.</w:t>
      </w:r>
      <w:r w:rsidR="009E21C7">
        <w:t xml:space="preserve"> The main idea consists in estimating emissions at different levels: at first, according to worksite characteristics, including information about activity types, machines and transportation means, it is possible to estimate the overall emissions. Using information from the Gantt diagram and work shifts, it is also possible to deduce the emissions profile overtime. Note that such information </w:t>
      </w:r>
      <w:r w:rsidR="00735052">
        <w:t>is</w:t>
      </w:r>
      <w:r w:rsidR="009E21C7">
        <w:t xml:space="preserve"> usually always available, since they are deeply connected to the activity itself.</w:t>
      </w:r>
    </w:p>
    <w:p w14:paraId="72CBC71A" w14:textId="54B18CD5" w:rsidR="0092252A" w:rsidRDefault="00B2548D" w:rsidP="00453E24">
      <w:pPr>
        <w:pStyle w:val="CETBodytext"/>
      </w:pPr>
      <w:r>
        <w:rPr>
          <w:noProof/>
        </w:rPr>
        <w:drawing>
          <wp:inline distT="0" distB="0" distL="0" distR="0" wp14:anchorId="3A74B9F2" wp14:editId="024AC418">
            <wp:extent cx="5038725" cy="3423047"/>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0"/>
                    <a:srcRect l="3072" t="2173" r="2697" b="7290"/>
                    <a:stretch/>
                  </pic:blipFill>
                  <pic:spPr bwMode="auto">
                    <a:xfrm>
                      <a:off x="0" y="0"/>
                      <a:ext cx="5046561" cy="3428371"/>
                    </a:xfrm>
                    <a:prstGeom prst="rect">
                      <a:avLst/>
                    </a:prstGeom>
                    <a:ln>
                      <a:noFill/>
                    </a:ln>
                    <a:extLst>
                      <a:ext uri="{53640926-AAD7-44D8-BBD7-CCE9431645EC}">
                        <a14:shadowObscured xmlns:a14="http://schemas.microsoft.com/office/drawing/2010/main"/>
                      </a:ext>
                    </a:extLst>
                  </pic:spPr>
                </pic:pic>
              </a:graphicData>
            </a:graphic>
          </wp:inline>
        </w:drawing>
      </w:r>
    </w:p>
    <w:p w14:paraId="425F9DF6" w14:textId="3FAF6B00" w:rsidR="009519D9" w:rsidRPr="00BD077D" w:rsidRDefault="009519D9" w:rsidP="009519D9">
      <w:pPr>
        <w:pStyle w:val="CETCaption"/>
      </w:pPr>
      <w:r w:rsidRPr="00BD077D">
        <w:rPr>
          <w:rStyle w:val="CETCaptionCarattere"/>
          <w:i/>
        </w:rPr>
        <w:t xml:space="preserve">Figure 1: </w:t>
      </w:r>
      <w:r>
        <w:rPr>
          <w:rStyle w:val="CETCaptionCarattere"/>
          <w:i/>
        </w:rPr>
        <w:t>Scheme of the proposed</w:t>
      </w:r>
      <w:r w:rsidRPr="00BD077D">
        <w:t xml:space="preserve"> </w:t>
      </w:r>
      <w:r w:rsidR="00DF703F">
        <w:rPr>
          <w:rStyle w:val="CETCaptionCarattere"/>
          <w:i/>
        </w:rPr>
        <w:t>model</w:t>
      </w:r>
    </w:p>
    <w:p w14:paraId="7C28C021" w14:textId="25DE5B51" w:rsidR="009519D9" w:rsidRPr="009519D9" w:rsidRDefault="00364C94" w:rsidP="00453E24">
      <w:pPr>
        <w:pStyle w:val="CETBodytext"/>
        <w:rPr>
          <w:lang w:val="en-GB"/>
        </w:rPr>
      </w:pPr>
      <w:r>
        <w:rPr>
          <w:lang w:val="en-GB"/>
        </w:rPr>
        <w:t xml:space="preserve">This first step </w:t>
      </w:r>
      <w:r w:rsidR="002421E8">
        <w:rPr>
          <w:lang w:val="en-GB"/>
        </w:rPr>
        <w:t>requires also dedicated sub-models to</w:t>
      </w:r>
      <w:r w:rsidR="00DF7566">
        <w:rPr>
          <w:lang w:val="en-GB"/>
        </w:rPr>
        <w:t xml:space="preserve"> estimate</w:t>
      </w:r>
      <w:r w:rsidR="002421E8">
        <w:rPr>
          <w:lang w:val="en-GB"/>
        </w:rPr>
        <w:t xml:space="preserve"> pollutant emissions.  The analysis is carried out for the most common airborne pollutants from engines and excavations: particulate matter (PM</w:t>
      </w:r>
      <w:r w:rsidR="002421E8" w:rsidRPr="002421E8">
        <w:rPr>
          <w:vertAlign w:val="subscript"/>
          <w:lang w:val="en-GB"/>
        </w:rPr>
        <w:t>2.5</w:t>
      </w:r>
      <w:r w:rsidR="002421E8">
        <w:rPr>
          <w:lang w:val="en-GB"/>
        </w:rPr>
        <w:t xml:space="preserve"> and PM</w:t>
      </w:r>
      <w:r w:rsidR="002421E8" w:rsidRPr="002421E8">
        <w:rPr>
          <w:vertAlign w:val="subscript"/>
          <w:lang w:val="en-GB"/>
        </w:rPr>
        <w:t>10</w:t>
      </w:r>
      <w:r w:rsidR="002421E8">
        <w:rPr>
          <w:lang w:val="en-GB"/>
        </w:rPr>
        <w:t xml:space="preserve">), NOx, SOx, and carbon monoxide. </w:t>
      </w:r>
      <w:r w:rsidR="00DF7566">
        <w:rPr>
          <w:lang w:val="en-GB"/>
        </w:rPr>
        <w:t>Once sub-models and worksite main information are set, it is possible to estimate global and overtime emissions, as it will be shown later. Th</w:t>
      </w:r>
      <w:r w:rsidR="0059454D">
        <w:rPr>
          <w:lang w:val="en-GB"/>
        </w:rPr>
        <w:t>is is</w:t>
      </w:r>
      <w:r w:rsidR="00DF7566">
        <w:rPr>
          <w:lang w:val="en-GB"/>
        </w:rPr>
        <w:t xml:space="preserve"> already</w:t>
      </w:r>
      <w:r w:rsidR="0059454D">
        <w:rPr>
          <w:lang w:val="en-GB"/>
        </w:rPr>
        <w:t xml:space="preserve"> an</w:t>
      </w:r>
      <w:r w:rsidR="00DF7566">
        <w:rPr>
          <w:lang w:val="en-GB"/>
        </w:rPr>
        <w:t xml:space="preserve"> important information, which can be helpful in defining what are supposed to be most </w:t>
      </w:r>
      <w:r w:rsidR="0059454D">
        <w:rPr>
          <w:lang w:val="en-GB"/>
        </w:rPr>
        <w:t>impactful activities for the work</w:t>
      </w:r>
      <w:r w:rsidR="00532B3F">
        <w:rPr>
          <w:lang w:val="en-GB"/>
        </w:rPr>
        <w:t>. However, it is now possible to evaluate the emission profiles. In this case, it is necessary to associate each source to its category, which can be a point, area</w:t>
      </w:r>
      <w:r w:rsidR="002F0615">
        <w:rPr>
          <w:lang w:val="en-GB"/>
        </w:rPr>
        <w:t>l or</w:t>
      </w:r>
      <w:r w:rsidR="00532B3F">
        <w:rPr>
          <w:lang w:val="en-GB"/>
        </w:rPr>
        <w:t xml:space="preserve"> linear source. Point sources are more suitable for single operating machines, such as drills and generators. Area</w:t>
      </w:r>
      <w:r w:rsidR="002F0615">
        <w:rPr>
          <w:lang w:val="en-GB"/>
        </w:rPr>
        <w:t>l</w:t>
      </w:r>
      <w:r w:rsidR="00532B3F">
        <w:rPr>
          <w:lang w:val="en-GB"/>
        </w:rPr>
        <w:t xml:space="preserve"> sources define well topsoil excavations and aggregates storage. Linear sources are both paved and unpaved roads, that require also </w:t>
      </w:r>
      <w:r w:rsidR="00B97CAD">
        <w:rPr>
          <w:lang w:val="en-GB"/>
        </w:rPr>
        <w:t>specific</w:t>
      </w:r>
      <w:r w:rsidR="00532B3F">
        <w:rPr>
          <w:lang w:val="en-GB"/>
        </w:rPr>
        <w:t xml:space="preserve"> sub-models</w:t>
      </w:r>
      <w:r w:rsidR="00B97CAD">
        <w:rPr>
          <w:lang w:val="en-GB"/>
        </w:rPr>
        <w:t xml:space="preserve"> to establish the correct particulate matter suspension.</w:t>
      </w:r>
    </w:p>
    <w:p w14:paraId="0636B784" w14:textId="3581344E" w:rsidR="00453E24" w:rsidRDefault="00346A97" w:rsidP="00453E24">
      <w:pPr>
        <w:pStyle w:val="CETheadingx"/>
      </w:pPr>
      <w:r>
        <w:t>Emission factors for engines</w:t>
      </w:r>
    </w:p>
    <w:p w14:paraId="21325A00" w14:textId="5E47A5B2" w:rsidR="009B4521" w:rsidRDefault="00346A97" w:rsidP="00346A97">
      <w:pPr>
        <w:pStyle w:val="CETBodytext"/>
      </w:pPr>
      <w:r>
        <w:t xml:space="preserve">The pollutants produced by the means of </w:t>
      </w:r>
      <w:r w:rsidR="00743DBF">
        <w:t xml:space="preserve">excavations, </w:t>
      </w:r>
      <w:r w:rsidR="00DF703F">
        <w:t>transportation,</w:t>
      </w:r>
      <w:r w:rsidR="00743DBF">
        <w:t xml:space="preserve"> and other operations, such as welding generators,</w:t>
      </w:r>
      <w:r>
        <w:t xml:space="preserve"> are essentially associated with the combustion processes of the related engines. </w:t>
      </w:r>
      <w:r w:rsidR="00743DBF">
        <w:t>Actually, it is possible to split between immobile equipment, such as drills,</w:t>
      </w:r>
      <w:r w:rsidR="00FA520A">
        <w:t xml:space="preserve"> generators</w:t>
      </w:r>
      <w:r w:rsidR="00743DBF">
        <w:t xml:space="preserve"> compressors</w:t>
      </w:r>
      <w:r w:rsidR="00FA520A">
        <w:t xml:space="preserve"> or excavators, and </w:t>
      </w:r>
      <w:r w:rsidR="00FA520A">
        <w:lastRenderedPageBreak/>
        <w:t>mobile ones, like heavy trucks. For what concerns the first category, the global emissions can be estimated with the use of the database</w:t>
      </w:r>
      <w:r>
        <w:t xml:space="preserve"> SCAB (South Coast Air Basin)</w:t>
      </w:r>
      <w:r w:rsidR="00FA520A">
        <w:t>,</w:t>
      </w:r>
      <w:r>
        <w:t xml:space="preserve"> Fleet Average Emission Factors</w:t>
      </w:r>
      <w:r w:rsidR="00FA520A">
        <w:t>, developed from the South Coast Air Quality Management District. Such a database is a very useful tool, which takes in account the evolution of emission thresholds over the year (the current database covers the period 2007-2025). For each equipment, the emission factor can be estimated thanks to the relation expressed by Eq. 1.</w:t>
      </w:r>
    </w:p>
    <w:tbl>
      <w:tblPr>
        <w:tblW w:w="5000" w:type="pct"/>
        <w:tblLook w:val="04A0" w:firstRow="1" w:lastRow="0" w:firstColumn="1" w:lastColumn="0" w:noHBand="0" w:noVBand="1"/>
      </w:tblPr>
      <w:tblGrid>
        <w:gridCol w:w="8188"/>
        <w:gridCol w:w="815"/>
      </w:tblGrid>
      <w:tr w:rsidR="009B4521" w:rsidRPr="00B57B36" w14:paraId="61AE790E" w14:textId="77777777" w:rsidTr="00455D1D">
        <w:tc>
          <w:tcPr>
            <w:tcW w:w="8188" w:type="dxa"/>
            <w:shd w:val="clear" w:color="auto" w:fill="auto"/>
            <w:vAlign w:val="center"/>
          </w:tcPr>
          <w:p w14:paraId="45F4B6B9" w14:textId="467A2F0A" w:rsidR="009B4521" w:rsidRPr="00E810D1" w:rsidRDefault="00A37552" w:rsidP="00455D1D">
            <w:pPr>
              <w:pStyle w:val="CETEquatio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=H∙E</m:t>
                </m:r>
                <m:sSub>
                  <m:sSubPr>
                    <m:ctrlPr>
                      <w:rPr>
                        <w:rFonts w:ascii="Cambria Math" w:hAnsi="Cambria Math"/>
                        <w:i/>
                      </w:rPr>
                    </m:ctrlPr>
                  </m:sSubPr>
                  <m:e>
                    <m:r>
                      <w:rPr>
                        <w:rFonts w:ascii="Cambria Math" w:hAnsi="Cambria Math"/>
                      </w:rPr>
                      <m:t>F</m:t>
                    </m:r>
                  </m:e>
                  <m:sub>
                    <m:r>
                      <w:rPr>
                        <w:rFonts w:ascii="Cambria Math" w:hAnsi="Cambria Math"/>
                      </w:rPr>
                      <m:t>i</m:t>
                    </m:r>
                  </m:sub>
                </m:sSub>
              </m:oMath>
            </m:oMathPara>
          </w:p>
        </w:tc>
        <w:tc>
          <w:tcPr>
            <w:tcW w:w="815" w:type="dxa"/>
            <w:shd w:val="clear" w:color="auto" w:fill="auto"/>
            <w:vAlign w:val="center"/>
          </w:tcPr>
          <w:p w14:paraId="5812BB76" w14:textId="77777777" w:rsidR="009B4521" w:rsidRPr="00B57B36" w:rsidRDefault="009B4521" w:rsidP="00455D1D">
            <w:pPr>
              <w:pStyle w:val="CETEquation"/>
              <w:jc w:val="right"/>
            </w:pPr>
            <w:r w:rsidRPr="00B57B36">
              <w:t>(1)</w:t>
            </w:r>
          </w:p>
        </w:tc>
      </w:tr>
    </w:tbl>
    <w:p w14:paraId="71A1D1BF" w14:textId="233DC365" w:rsidR="009B4521" w:rsidRDefault="009B4521" w:rsidP="009B4521">
      <w:pPr>
        <w:pStyle w:val="CETBodytext"/>
      </w:pPr>
      <w:r>
        <w:t xml:space="preserve">E </w:t>
      </w:r>
      <w:r w:rsidR="00F00A09">
        <w:t>is the total</w:t>
      </w:r>
      <w:r>
        <w:t xml:space="preserve"> emission in </w:t>
      </w:r>
      <w:r w:rsidR="00F00A09">
        <w:t>grams</w:t>
      </w:r>
      <w:r>
        <w:t xml:space="preserve"> per day</w:t>
      </w:r>
      <w:r w:rsidR="00F00A09">
        <w:t xml:space="preserve"> for a i-th pollutant, H corresponds to the </w:t>
      </w:r>
      <w:r>
        <w:t>hours per day of equipment operation</w:t>
      </w:r>
      <w:r w:rsidR="00F00A09">
        <w:t xml:space="preserve"> and </w:t>
      </w:r>
      <w:r>
        <w:t xml:space="preserve">EF </w:t>
      </w:r>
      <w:r w:rsidR="00F00A09">
        <w:t>is</w:t>
      </w:r>
      <w:r>
        <w:t xml:space="preserve"> the off-road mobile source emission factor by equipment category or horsepower-based   equipment category in </w:t>
      </w:r>
      <w:r w:rsidR="00F00A09">
        <w:t>grams</w:t>
      </w:r>
      <w:r>
        <w:t xml:space="preserve"> per hour</w:t>
      </w:r>
      <w:r w:rsidR="00F00A09">
        <w:t>. Table 1 shows the current values for Drill Rigs. As it can be noticed, equipment power is required in order to properly assess the factor.</w:t>
      </w:r>
    </w:p>
    <w:p w14:paraId="097CAD5C" w14:textId="339A82AB" w:rsidR="009B4521" w:rsidRPr="00B57B36" w:rsidRDefault="009B4521" w:rsidP="009B4521">
      <w:pPr>
        <w:pStyle w:val="CETTabletitle"/>
      </w:pPr>
      <w:r w:rsidRPr="00B57B36">
        <w:t xml:space="preserve">Table 1: </w:t>
      </w:r>
      <w:r>
        <w:t xml:space="preserve">Example of </w:t>
      </w:r>
      <w:r w:rsidR="009436CE">
        <w:t>emission factors EF for Drill Rigs (calculated from 2020 values) (</w:t>
      </w:r>
      <w:r w:rsidR="00F00A09">
        <w:t>AQMD, 2021</w:t>
      </w:r>
      <w:r w:rsidR="009436C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86"/>
        <w:gridCol w:w="643"/>
        <w:gridCol w:w="1052"/>
        <w:gridCol w:w="1051"/>
        <w:gridCol w:w="1051"/>
        <w:gridCol w:w="1051"/>
        <w:gridCol w:w="1051"/>
        <w:gridCol w:w="1051"/>
        <w:gridCol w:w="1051"/>
      </w:tblGrid>
      <w:tr w:rsidR="009B4521" w:rsidRPr="00B57B36" w14:paraId="58A14EFD" w14:textId="6965248D" w:rsidTr="009436CE">
        <w:tc>
          <w:tcPr>
            <w:tcW w:w="786" w:type="dxa"/>
            <w:tcBorders>
              <w:top w:val="single" w:sz="12" w:space="0" w:color="008000"/>
              <w:bottom w:val="single" w:sz="6" w:space="0" w:color="008000"/>
            </w:tcBorders>
            <w:shd w:val="clear" w:color="auto" w:fill="FFFFFF"/>
          </w:tcPr>
          <w:p w14:paraId="0F136749" w14:textId="77777777" w:rsidR="009B4521" w:rsidRPr="00B57B36" w:rsidRDefault="009B4521" w:rsidP="009B4521">
            <w:pPr>
              <w:pStyle w:val="CETBodytext"/>
              <w:rPr>
                <w:lang w:val="en-GB"/>
              </w:rPr>
            </w:pPr>
          </w:p>
        </w:tc>
        <w:tc>
          <w:tcPr>
            <w:tcW w:w="643" w:type="dxa"/>
            <w:tcBorders>
              <w:top w:val="single" w:sz="12" w:space="0" w:color="008000"/>
              <w:bottom w:val="single" w:sz="6" w:space="0" w:color="008000"/>
            </w:tcBorders>
            <w:shd w:val="clear" w:color="auto" w:fill="FFFFFF"/>
          </w:tcPr>
          <w:p w14:paraId="766E0C38" w14:textId="62717124" w:rsidR="009B4521" w:rsidRPr="00B57B36" w:rsidRDefault="009B4521" w:rsidP="009B4521">
            <w:pPr>
              <w:pStyle w:val="CETBodytext"/>
              <w:rPr>
                <w:lang w:val="en-GB"/>
              </w:rPr>
            </w:pPr>
            <w:r w:rsidRPr="00A162DC">
              <w:t>Max</w:t>
            </w:r>
            <w:r w:rsidR="00F00A09">
              <w:t>CV</w:t>
            </w:r>
          </w:p>
        </w:tc>
        <w:tc>
          <w:tcPr>
            <w:tcW w:w="1052" w:type="dxa"/>
            <w:tcBorders>
              <w:top w:val="single" w:sz="12" w:space="0" w:color="008000"/>
              <w:bottom w:val="single" w:sz="6" w:space="0" w:color="008000"/>
            </w:tcBorders>
            <w:shd w:val="clear" w:color="auto" w:fill="FFFFFF"/>
          </w:tcPr>
          <w:p w14:paraId="76D7C317" w14:textId="2284102D" w:rsidR="009B4521" w:rsidRPr="00B57B36" w:rsidRDefault="009B4521" w:rsidP="009B4521">
            <w:pPr>
              <w:pStyle w:val="CETBodytext"/>
              <w:rPr>
                <w:lang w:val="en-GB"/>
              </w:rPr>
            </w:pPr>
            <w:r w:rsidRPr="00A162DC">
              <w:t>ROG</w:t>
            </w:r>
            <w:r w:rsidR="00C41D6F">
              <w:t xml:space="preserve"> [g/h]</w:t>
            </w:r>
          </w:p>
        </w:tc>
        <w:tc>
          <w:tcPr>
            <w:tcW w:w="1051" w:type="dxa"/>
            <w:tcBorders>
              <w:top w:val="single" w:sz="12" w:space="0" w:color="008000"/>
              <w:bottom w:val="single" w:sz="6" w:space="0" w:color="008000"/>
            </w:tcBorders>
            <w:shd w:val="clear" w:color="auto" w:fill="FFFFFF"/>
          </w:tcPr>
          <w:p w14:paraId="4E644835" w14:textId="41560A9F" w:rsidR="009B4521" w:rsidRPr="00B57B36" w:rsidRDefault="009B4521" w:rsidP="009B4521">
            <w:pPr>
              <w:pStyle w:val="CETBodytext"/>
              <w:ind w:right="-1"/>
              <w:rPr>
                <w:rFonts w:cs="Arial"/>
                <w:szCs w:val="18"/>
                <w:lang w:val="en-GB"/>
              </w:rPr>
            </w:pPr>
            <w:r w:rsidRPr="00A162DC">
              <w:t>CO</w:t>
            </w:r>
            <w:r w:rsidR="00C41D6F">
              <w:t xml:space="preserve"> [g/h]</w:t>
            </w:r>
          </w:p>
        </w:tc>
        <w:tc>
          <w:tcPr>
            <w:tcW w:w="1051" w:type="dxa"/>
            <w:tcBorders>
              <w:top w:val="single" w:sz="12" w:space="0" w:color="008000"/>
              <w:bottom w:val="single" w:sz="6" w:space="0" w:color="008000"/>
            </w:tcBorders>
            <w:shd w:val="clear" w:color="auto" w:fill="FFFFFF"/>
          </w:tcPr>
          <w:p w14:paraId="78330705" w14:textId="79B9406E" w:rsidR="009B4521" w:rsidRPr="00B57B36" w:rsidRDefault="009B4521" w:rsidP="009B4521">
            <w:pPr>
              <w:pStyle w:val="CETBodytext"/>
              <w:ind w:right="-1"/>
              <w:rPr>
                <w:rFonts w:cs="Arial"/>
                <w:szCs w:val="18"/>
                <w:lang w:val="en-GB"/>
              </w:rPr>
            </w:pPr>
            <w:r w:rsidRPr="00A162DC">
              <w:t>NO</w:t>
            </w:r>
            <w:r w:rsidR="00C41D6F">
              <w:t>x [g/h]</w:t>
            </w:r>
          </w:p>
        </w:tc>
        <w:tc>
          <w:tcPr>
            <w:tcW w:w="1051" w:type="dxa"/>
            <w:tcBorders>
              <w:top w:val="single" w:sz="12" w:space="0" w:color="008000"/>
              <w:bottom w:val="single" w:sz="6" w:space="0" w:color="008000"/>
            </w:tcBorders>
            <w:shd w:val="clear" w:color="auto" w:fill="FFFFFF"/>
          </w:tcPr>
          <w:p w14:paraId="1027FFA3" w14:textId="6A0A1E6B" w:rsidR="009B4521" w:rsidRDefault="009B4521" w:rsidP="009B4521">
            <w:pPr>
              <w:pStyle w:val="CETBodytext"/>
              <w:ind w:right="-1"/>
              <w:rPr>
                <w:rFonts w:cs="Arial"/>
                <w:szCs w:val="18"/>
                <w:lang w:val="en-GB"/>
              </w:rPr>
            </w:pPr>
            <w:r w:rsidRPr="00A162DC">
              <w:t>SO</w:t>
            </w:r>
            <w:r w:rsidR="00C41D6F">
              <w:t>x [g/h]</w:t>
            </w:r>
          </w:p>
        </w:tc>
        <w:tc>
          <w:tcPr>
            <w:tcW w:w="1051" w:type="dxa"/>
            <w:tcBorders>
              <w:top w:val="single" w:sz="12" w:space="0" w:color="008000"/>
              <w:bottom w:val="single" w:sz="6" w:space="0" w:color="008000"/>
            </w:tcBorders>
            <w:shd w:val="clear" w:color="auto" w:fill="FFFFFF"/>
          </w:tcPr>
          <w:p w14:paraId="4A590B5B" w14:textId="12CD4464" w:rsidR="009B4521" w:rsidRDefault="009B4521" w:rsidP="009B4521">
            <w:pPr>
              <w:pStyle w:val="CETBodytext"/>
              <w:ind w:right="-1"/>
              <w:rPr>
                <w:rFonts w:cs="Arial"/>
                <w:szCs w:val="18"/>
                <w:lang w:val="en-GB"/>
              </w:rPr>
            </w:pPr>
            <w:r w:rsidRPr="00A162DC">
              <w:t>PM</w:t>
            </w:r>
            <w:r w:rsidR="00C41D6F">
              <w:t xml:space="preserve"> [g/h]</w:t>
            </w:r>
          </w:p>
        </w:tc>
        <w:tc>
          <w:tcPr>
            <w:tcW w:w="1051" w:type="dxa"/>
            <w:tcBorders>
              <w:top w:val="single" w:sz="12" w:space="0" w:color="008000"/>
              <w:bottom w:val="single" w:sz="6" w:space="0" w:color="008000"/>
            </w:tcBorders>
            <w:shd w:val="clear" w:color="auto" w:fill="FFFFFF"/>
          </w:tcPr>
          <w:p w14:paraId="41DFB84B" w14:textId="1C30A064" w:rsidR="009B4521" w:rsidRDefault="009B4521" w:rsidP="009B4521">
            <w:pPr>
              <w:pStyle w:val="CETBodytext"/>
              <w:ind w:right="-1"/>
              <w:rPr>
                <w:rFonts w:cs="Arial"/>
                <w:szCs w:val="18"/>
                <w:lang w:val="en-GB"/>
              </w:rPr>
            </w:pPr>
            <w:r w:rsidRPr="00A162DC">
              <w:t>CO</w:t>
            </w:r>
            <w:r w:rsidRPr="00C41D6F">
              <w:rPr>
                <w:vertAlign w:val="subscript"/>
              </w:rPr>
              <w:t>2</w:t>
            </w:r>
            <w:r w:rsidR="00C41D6F">
              <w:t xml:space="preserve"> [g/h]</w:t>
            </w:r>
          </w:p>
        </w:tc>
        <w:tc>
          <w:tcPr>
            <w:tcW w:w="1051" w:type="dxa"/>
            <w:tcBorders>
              <w:top w:val="single" w:sz="12" w:space="0" w:color="008000"/>
              <w:bottom w:val="single" w:sz="6" w:space="0" w:color="008000"/>
            </w:tcBorders>
            <w:shd w:val="clear" w:color="auto" w:fill="FFFFFF"/>
          </w:tcPr>
          <w:p w14:paraId="25EA0B38" w14:textId="77EF4A1A" w:rsidR="009B4521" w:rsidRDefault="009B4521" w:rsidP="009B4521">
            <w:pPr>
              <w:pStyle w:val="CETBodytext"/>
              <w:ind w:right="-1"/>
              <w:rPr>
                <w:rFonts w:cs="Arial"/>
                <w:szCs w:val="18"/>
                <w:lang w:val="en-GB"/>
              </w:rPr>
            </w:pPr>
            <w:r w:rsidRPr="00A162DC">
              <w:t>CH</w:t>
            </w:r>
            <w:r w:rsidRPr="00C41D6F">
              <w:rPr>
                <w:vertAlign w:val="subscript"/>
              </w:rPr>
              <w:t>4</w:t>
            </w:r>
            <w:r w:rsidR="00C41D6F">
              <w:t xml:space="preserve"> [g/h]</w:t>
            </w:r>
          </w:p>
        </w:tc>
      </w:tr>
      <w:tr w:rsidR="009436CE" w:rsidRPr="00B57B36" w14:paraId="516C33EB" w14:textId="4D699F29" w:rsidTr="009436CE">
        <w:tc>
          <w:tcPr>
            <w:tcW w:w="786" w:type="dxa"/>
            <w:shd w:val="clear" w:color="auto" w:fill="FFFFFF"/>
          </w:tcPr>
          <w:p w14:paraId="3F6029A2" w14:textId="1B0F1363" w:rsidR="009436CE" w:rsidRPr="00B57B36" w:rsidRDefault="009436CE" w:rsidP="009436CE">
            <w:pPr>
              <w:pStyle w:val="CETBodytext"/>
              <w:rPr>
                <w:lang w:val="en-GB"/>
              </w:rPr>
            </w:pPr>
            <w:r w:rsidRPr="00A91390">
              <w:t>Bore/Drill Rigs</w:t>
            </w:r>
          </w:p>
        </w:tc>
        <w:tc>
          <w:tcPr>
            <w:tcW w:w="643" w:type="dxa"/>
            <w:shd w:val="clear" w:color="auto" w:fill="FFFFFF"/>
          </w:tcPr>
          <w:p w14:paraId="672A1101" w14:textId="020196D9" w:rsidR="009436CE" w:rsidRPr="00B57B36" w:rsidRDefault="009436CE" w:rsidP="009436CE">
            <w:pPr>
              <w:pStyle w:val="CETBodytext"/>
              <w:rPr>
                <w:lang w:val="en-GB"/>
              </w:rPr>
            </w:pPr>
            <w:r w:rsidRPr="00A91390">
              <w:t>15</w:t>
            </w:r>
            <w:r w:rsidR="00F00A09">
              <w:t>.2</w:t>
            </w:r>
          </w:p>
        </w:tc>
        <w:tc>
          <w:tcPr>
            <w:tcW w:w="1052" w:type="dxa"/>
            <w:shd w:val="clear" w:color="auto" w:fill="FFFFFF"/>
          </w:tcPr>
          <w:p w14:paraId="53DB3572" w14:textId="4608E634" w:rsidR="009436CE" w:rsidRPr="00B57B36" w:rsidRDefault="009436CE" w:rsidP="009436CE">
            <w:pPr>
              <w:pStyle w:val="CETBodytext"/>
              <w:rPr>
                <w:lang w:val="en-GB"/>
              </w:rPr>
            </w:pPr>
            <w:r w:rsidRPr="006D244D">
              <w:t>4.57</w:t>
            </w:r>
          </w:p>
        </w:tc>
        <w:tc>
          <w:tcPr>
            <w:tcW w:w="1051" w:type="dxa"/>
            <w:shd w:val="clear" w:color="auto" w:fill="FFFFFF"/>
          </w:tcPr>
          <w:p w14:paraId="1B9E2757" w14:textId="2849FE72" w:rsidR="009436CE" w:rsidRPr="00B57B36" w:rsidRDefault="009436CE" w:rsidP="009436CE">
            <w:pPr>
              <w:pStyle w:val="CETBodytext"/>
              <w:ind w:right="-1"/>
              <w:rPr>
                <w:rFonts w:cs="Arial"/>
                <w:szCs w:val="18"/>
                <w:lang w:val="en-GB"/>
              </w:rPr>
            </w:pPr>
            <w:r w:rsidRPr="006D244D">
              <w:t>23.96</w:t>
            </w:r>
          </w:p>
        </w:tc>
        <w:tc>
          <w:tcPr>
            <w:tcW w:w="1051" w:type="dxa"/>
            <w:shd w:val="clear" w:color="auto" w:fill="FFFFFF"/>
          </w:tcPr>
          <w:p w14:paraId="1D57EEAD" w14:textId="2ABB740A" w:rsidR="009436CE" w:rsidRPr="00B57B36" w:rsidRDefault="009436CE" w:rsidP="009436CE">
            <w:pPr>
              <w:pStyle w:val="CETBodytext"/>
              <w:ind w:right="-1"/>
              <w:rPr>
                <w:rFonts w:cs="Arial"/>
                <w:szCs w:val="18"/>
                <w:lang w:val="en-GB"/>
              </w:rPr>
            </w:pPr>
            <w:r w:rsidRPr="006D244D">
              <w:t>28.61</w:t>
            </w:r>
          </w:p>
        </w:tc>
        <w:tc>
          <w:tcPr>
            <w:tcW w:w="1051" w:type="dxa"/>
            <w:shd w:val="clear" w:color="auto" w:fill="FFFFFF"/>
          </w:tcPr>
          <w:p w14:paraId="7497D1BE" w14:textId="0935F7FE" w:rsidR="009436CE" w:rsidRDefault="009436CE" w:rsidP="009436CE">
            <w:pPr>
              <w:pStyle w:val="CETBodytext"/>
              <w:ind w:right="-1"/>
              <w:rPr>
                <w:rFonts w:cs="Arial"/>
                <w:szCs w:val="18"/>
                <w:lang w:val="en-GB"/>
              </w:rPr>
            </w:pPr>
            <w:r w:rsidRPr="006D244D">
              <w:t>0.06</w:t>
            </w:r>
          </w:p>
        </w:tc>
        <w:tc>
          <w:tcPr>
            <w:tcW w:w="1051" w:type="dxa"/>
            <w:shd w:val="clear" w:color="auto" w:fill="FFFFFF"/>
          </w:tcPr>
          <w:p w14:paraId="35756A43" w14:textId="62FB49C3" w:rsidR="009436CE" w:rsidRDefault="009436CE" w:rsidP="009436CE">
            <w:pPr>
              <w:pStyle w:val="CETBodytext"/>
              <w:ind w:right="-1"/>
              <w:rPr>
                <w:rFonts w:cs="Arial"/>
                <w:szCs w:val="18"/>
                <w:lang w:val="en-GB"/>
              </w:rPr>
            </w:pPr>
            <w:r w:rsidRPr="006D244D">
              <w:t>1.12</w:t>
            </w:r>
          </w:p>
        </w:tc>
        <w:tc>
          <w:tcPr>
            <w:tcW w:w="1051" w:type="dxa"/>
            <w:shd w:val="clear" w:color="auto" w:fill="FFFFFF"/>
          </w:tcPr>
          <w:p w14:paraId="2F782AA9" w14:textId="6F1E13E9" w:rsidR="009436CE" w:rsidRDefault="009436CE" w:rsidP="009436CE">
            <w:pPr>
              <w:pStyle w:val="CETBodytext"/>
              <w:ind w:right="-1"/>
              <w:rPr>
                <w:rFonts w:cs="Arial"/>
                <w:szCs w:val="18"/>
                <w:lang w:val="en-GB"/>
              </w:rPr>
            </w:pPr>
            <w:r w:rsidRPr="006D244D">
              <w:t>3924.79</w:t>
            </w:r>
          </w:p>
        </w:tc>
        <w:tc>
          <w:tcPr>
            <w:tcW w:w="1051" w:type="dxa"/>
            <w:shd w:val="clear" w:color="auto" w:fill="FFFFFF"/>
          </w:tcPr>
          <w:p w14:paraId="5C0F2F2F" w14:textId="34E1A704" w:rsidR="009436CE" w:rsidRDefault="009436CE" w:rsidP="009436CE">
            <w:pPr>
              <w:pStyle w:val="CETBodytext"/>
              <w:ind w:right="-1"/>
              <w:rPr>
                <w:rFonts w:cs="Arial"/>
                <w:szCs w:val="18"/>
                <w:lang w:val="en-GB"/>
              </w:rPr>
            </w:pPr>
            <w:r w:rsidRPr="006D244D">
              <w:t>0.41</w:t>
            </w:r>
          </w:p>
        </w:tc>
      </w:tr>
      <w:tr w:rsidR="009436CE" w:rsidRPr="00B57B36" w14:paraId="05EE8D42" w14:textId="2616FAD7" w:rsidTr="009436CE">
        <w:tc>
          <w:tcPr>
            <w:tcW w:w="786" w:type="dxa"/>
            <w:shd w:val="clear" w:color="auto" w:fill="FFFFFF"/>
          </w:tcPr>
          <w:p w14:paraId="3F10ACBE" w14:textId="20355D3F" w:rsidR="009436CE" w:rsidRPr="00B57B36" w:rsidRDefault="009436CE" w:rsidP="009436CE">
            <w:pPr>
              <w:pStyle w:val="CETBodytext"/>
              <w:ind w:right="-1"/>
              <w:rPr>
                <w:rFonts w:cs="Arial"/>
                <w:szCs w:val="18"/>
                <w:lang w:val="en-GB"/>
              </w:rPr>
            </w:pPr>
          </w:p>
        </w:tc>
        <w:tc>
          <w:tcPr>
            <w:tcW w:w="643" w:type="dxa"/>
            <w:shd w:val="clear" w:color="auto" w:fill="FFFFFF"/>
          </w:tcPr>
          <w:p w14:paraId="7DBFBDDA" w14:textId="1DFBD1A3" w:rsidR="009436CE" w:rsidRPr="00B57B36" w:rsidRDefault="009436CE" w:rsidP="009436CE">
            <w:pPr>
              <w:pStyle w:val="CETBodytext"/>
              <w:ind w:right="-1"/>
              <w:rPr>
                <w:rFonts w:cs="Arial"/>
                <w:szCs w:val="18"/>
                <w:lang w:val="en-GB"/>
              </w:rPr>
            </w:pPr>
            <w:r w:rsidRPr="00A91390">
              <w:t>25</w:t>
            </w:r>
            <w:r w:rsidR="00F00A09">
              <w:t>.35</w:t>
            </w:r>
          </w:p>
        </w:tc>
        <w:tc>
          <w:tcPr>
            <w:tcW w:w="1052" w:type="dxa"/>
            <w:shd w:val="clear" w:color="auto" w:fill="FFFFFF"/>
          </w:tcPr>
          <w:p w14:paraId="3FE34350" w14:textId="223F4F0B" w:rsidR="009436CE" w:rsidRPr="00B57B36" w:rsidRDefault="009436CE" w:rsidP="009436CE">
            <w:pPr>
              <w:pStyle w:val="CETBodytext"/>
              <w:ind w:right="-1"/>
              <w:rPr>
                <w:rFonts w:cs="Arial"/>
                <w:szCs w:val="18"/>
                <w:lang w:val="en-GB"/>
              </w:rPr>
            </w:pPr>
            <w:r w:rsidRPr="006D244D">
              <w:t>6.15</w:t>
            </w:r>
          </w:p>
        </w:tc>
        <w:tc>
          <w:tcPr>
            <w:tcW w:w="1051" w:type="dxa"/>
            <w:shd w:val="clear" w:color="auto" w:fill="FFFFFF"/>
          </w:tcPr>
          <w:p w14:paraId="0C9A3C4B" w14:textId="2687221C" w:rsidR="009436CE" w:rsidRPr="00B57B36" w:rsidRDefault="009436CE" w:rsidP="009436CE">
            <w:pPr>
              <w:pStyle w:val="CETBodytext"/>
              <w:ind w:right="-1"/>
              <w:rPr>
                <w:rFonts w:cs="Arial"/>
                <w:szCs w:val="18"/>
                <w:lang w:val="en-GB"/>
              </w:rPr>
            </w:pPr>
            <w:r w:rsidRPr="006D244D">
              <w:t>20.69</w:t>
            </w:r>
          </w:p>
        </w:tc>
        <w:tc>
          <w:tcPr>
            <w:tcW w:w="1051" w:type="dxa"/>
            <w:shd w:val="clear" w:color="auto" w:fill="FFFFFF"/>
          </w:tcPr>
          <w:p w14:paraId="1407AFC3" w14:textId="55830914" w:rsidR="009436CE" w:rsidRPr="00B57B36" w:rsidRDefault="009436CE" w:rsidP="009436CE">
            <w:pPr>
              <w:pStyle w:val="CETBodytext"/>
              <w:ind w:right="-1"/>
              <w:rPr>
                <w:rFonts w:cs="Arial"/>
                <w:szCs w:val="18"/>
                <w:lang w:val="en-GB"/>
              </w:rPr>
            </w:pPr>
            <w:r w:rsidRPr="006D244D">
              <w:t>38.50</w:t>
            </w:r>
          </w:p>
        </w:tc>
        <w:tc>
          <w:tcPr>
            <w:tcW w:w="1051" w:type="dxa"/>
            <w:shd w:val="clear" w:color="auto" w:fill="FFFFFF"/>
          </w:tcPr>
          <w:p w14:paraId="2EF323F5" w14:textId="632AFC7F" w:rsidR="009436CE" w:rsidRDefault="009436CE" w:rsidP="009436CE">
            <w:pPr>
              <w:pStyle w:val="CETBodytext"/>
              <w:ind w:right="-1"/>
              <w:rPr>
                <w:rFonts w:cs="Arial"/>
                <w:szCs w:val="18"/>
                <w:lang w:val="en-GB"/>
              </w:rPr>
            </w:pPr>
            <w:r w:rsidRPr="006D244D">
              <w:t>0.06</w:t>
            </w:r>
          </w:p>
        </w:tc>
        <w:tc>
          <w:tcPr>
            <w:tcW w:w="1051" w:type="dxa"/>
            <w:shd w:val="clear" w:color="auto" w:fill="FFFFFF"/>
          </w:tcPr>
          <w:p w14:paraId="13282CFF" w14:textId="4F0CD514" w:rsidR="009436CE" w:rsidRDefault="009436CE" w:rsidP="009436CE">
            <w:pPr>
              <w:pStyle w:val="CETBodytext"/>
              <w:ind w:right="-1"/>
              <w:rPr>
                <w:rFonts w:cs="Arial"/>
                <w:szCs w:val="18"/>
                <w:lang w:val="en-GB"/>
              </w:rPr>
            </w:pPr>
            <w:r w:rsidRPr="006D244D">
              <w:t>1.54</w:t>
            </w:r>
          </w:p>
        </w:tc>
        <w:tc>
          <w:tcPr>
            <w:tcW w:w="1051" w:type="dxa"/>
            <w:shd w:val="clear" w:color="auto" w:fill="FFFFFF"/>
          </w:tcPr>
          <w:p w14:paraId="72931E45" w14:textId="3D7FDBF4" w:rsidR="009436CE" w:rsidRDefault="009436CE" w:rsidP="009436CE">
            <w:pPr>
              <w:pStyle w:val="CETBodytext"/>
              <w:ind w:right="-1"/>
              <w:rPr>
                <w:rFonts w:cs="Arial"/>
                <w:szCs w:val="18"/>
                <w:lang w:val="en-GB"/>
              </w:rPr>
            </w:pPr>
            <w:r w:rsidRPr="006D244D">
              <w:t>4971.40</w:t>
            </w:r>
          </w:p>
        </w:tc>
        <w:tc>
          <w:tcPr>
            <w:tcW w:w="1051" w:type="dxa"/>
            <w:shd w:val="clear" w:color="auto" w:fill="FFFFFF"/>
          </w:tcPr>
          <w:p w14:paraId="78A646B7" w14:textId="627C70E6" w:rsidR="009436CE" w:rsidRDefault="009436CE" w:rsidP="009436CE">
            <w:pPr>
              <w:pStyle w:val="CETBodytext"/>
              <w:ind w:right="-1"/>
              <w:rPr>
                <w:rFonts w:cs="Arial"/>
                <w:szCs w:val="18"/>
                <w:lang w:val="en-GB"/>
              </w:rPr>
            </w:pPr>
            <w:r w:rsidRPr="006D244D">
              <w:t>0.56</w:t>
            </w:r>
          </w:p>
        </w:tc>
      </w:tr>
      <w:tr w:rsidR="009436CE" w:rsidRPr="00B57B36" w14:paraId="25B7E3E3" w14:textId="0F03347A" w:rsidTr="009436CE">
        <w:tc>
          <w:tcPr>
            <w:tcW w:w="786" w:type="dxa"/>
            <w:shd w:val="clear" w:color="auto" w:fill="FFFFFF"/>
          </w:tcPr>
          <w:p w14:paraId="2BADC00B" w14:textId="2C0D4F28" w:rsidR="009436CE" w:rsidRDefault="009436CE" w:rsidP="009436CE">
            <w:pPr>
              <w:pStyle w:val="CETBodytext"/>
              <w:ind w:right="-1"/>
              <w:rPr>
                <w:rFonts w:cs="Arial"/>
                <w:szCs w:val="18"/>
                <w:lang w:val="en-GB"/>
              </w:rPr>
            </w:pPr>
          </w:p>
        </w:tc>
        <w:tc>
          <w:tcPr>
            <w:tcW w:w="643" w:type="dxa"/>
            <w:shd w:val="clear" w:color="auto" w:fill="FFFFFF"/>
          </w:tcPr>
          <w:p w14:paraId="43AD4023" w14:textId="29B2F1B5" w:rsidR="009436CE" w:rsidRPr="00B57B36" w:rsidRDefault="009436CE" w:rsidP="009436CE">
            <w:pPr>
              <w:pStyle w:val="CETBodytext"/>
              <w:ind w:right="-1"/>
              <w:rPr>
                <w:rFonts w:cs="Arial"/>
                <w:szCs w:val="18"/>
                <w:lang w:val="en-GB"/>
              </w:rPr>
            </w:pPr>
            <w:r w:rsidRPr="00A91390">
              <w:t>50</w:t>
            </w:r>
            <w:r w:rsidR="00F00A09">
              <w:t>.69</w:t>
            </w:r>
          </w:p>
        </w:tc>
        <w:tc>
          <w:tcPr>
            <w:tcW w:w="1052" w:type="dxa"/>
            <w:shd w:val="clear" w:color="auto" w:fill="FFFFFF"/>
          </w:tcPr>
          <w:p w14:paraId="688245E5" w14:textId="48B857AF" w:rsidR="009436CE" w:rsidRPr="00B57B36" w:rsidRDefault="009436CE" w:rsidP="009436CE">
            <w:pPr>
              <w:pStyle w:val="CETBodytext"/>
              <w:ind w:right="-1"/>
              <w:rPr>
                <w:rFonts w:cs="Arial"/>
                <w:szCs w:val="18"/>
                <w:lang w:val="en-GB"/>
              </w:rPr>
            </w:pPr>
            <w:r w:rsidRPr="006D244D">
              <w:t>10.55</w:t>
            </w:r>
          </w:p>
        </w:tc>
        <w:tc>
          <w:tcPr>
            <w:tcW w:w="1051" w:type="dxa"/>
            <w:shd w:val="clear" w:color="auto" w:fill="FFFFFF"/>
          </w:tcPr>
          <w:p w14:paraId="68C05175" w14:textId="5F8AE501" w:rsidR="009436CE" w:rsidRPr="00B57B36" w:rsidRDefault="009436CE" w:rsidP="009436CE">
            <w:pPr>
              <w:pStyle w:val="CETBodytext"/>
              <w:ind w:right="-1"/>
              <w:rPr>
                <w:rFonts w:cs="Arial"/>
                <w:szCs w:val="18"/>
                <w:lang w:val="en-GB"/>
              </w:rPr>
            </w:pPr>
            <w:r w:rsidRPr="006D244D">
              <w:t>63.73</w:t>
            </w:r>
          </w:p>
        </w:tc>
        <w:tc>
          <w:tcPr>
            <w:tcW w:w="1051" w:type="dxa"/>
            <w:shd w:val="clear" w:color="auto" w:fill="FFFFFF"/>
          </w:tcPr>
          <w:p w14:paraId="3501EB98" w14:textId="4AE5FBC8" w:rsidR="009436CE" w:rsidRPr="00B57B36" w:rsidRDefault="009436CE" w:rsidP="009436CE">
            <w:pPr>
              <w:pStyle w:val="CETBodytext"/>
              <w:ind w:right="-1"/>
              <w:rPr>
                <w:rFonts w:cs="Arial"/>
                <w:szCs w:val="18"/>
                <w:lang w:val="en-GB"/>
              </w:rPr>
            </w:pPr>
            <w:r w:rsidRPr="006D244D">
              <w:t>62.11</w:t>
            </w:r>
          </w:p>
        </w:tc>
        <w:tc>
          <w:tcPr>
            <w:tcW w:w="1051" w:type="dxa"/>
            <w:shd w:val="clear" w:color="auto" w:fill="FFFFFF"/>
          </w:tcPr>
          <w:p w14:paraId="52B3767C" w14:textId="3281B965" w:rsidR="009436CE" w:rsidRDefault="009436CE" w:rsidP="009436CE">
            <w:pPr>
              <w:pStyle w:val="CETBodytext"/>
              <w:ind w:right="-1"/>
              <w:rPr>
                <w:rFonts w:cs="Arial"/>
                <w:szCs w:val="18"/>
                <w:lang w:val="en-GB"/>
              </w:rPr>
            </w:pPr>
            <w:r w:rsidRPr="006D244D">
              <w:t>0.12</w:t>
            </w:r>
          </w:p>
        </w:tc>
        <w:tc>
          <w:tcPr>
            <w:tcW w:w="1051" w:type="dxa"/>
            <w:shd w:val="clear" w:color="auto" w:fill="FFFFFF"/>
          </w:tcPr>
          <w:p w14:paraId="10B4CAD5" w14:textId="10F1F6C5" w:rsidR="009436CE" w:rsidRDefault="009436CE" w:rsidP="009436CE">
            <w:pPr>
              <w:pStyle w:val="CETBodytext"/>
              <w:ind w:right="-1"/>
              <w:rPr>
                <w:rFonts w:cs="Arial"/>
                <w:szCs w:val="18"/>
                <w:lang w:val="en-GB"/>
              </w:rPr>
            </w:pPr>
            <w:r w:rsidRPr="006D244D">
              <w:t>2.77</w:t>
            </w:r>
          </w:p>
        </w:tc>
        <w:tc>
          <w:tcPr>
            <w:tcW w:w="1051" w:type="dxa"/>
            <w:shd w:val="clear" w:color="auto" w:fill="FFFFFF"/>
          </w:tcPr>
          <w:p w14:paraId="5E9FEC53" w14:textId="39E901DB" w:rsidR="009436CE" w:rsidRDefault="009436CE" w:rsidP="009436CE">
            <w:pPr>
              <w:pStyle w:val="CETBodytext"/>
              <w:ind w:right="-1"/>
              <w:rPr>
                <w:rFonts w:cs="Arial"/>
                <w:szCs w:val="18"/>
                <w:lang w:val="en-GB"/>
              </w:rPr>
            </w:pPr>
            <w:r w:rsidRPr="006D244D">
              <w:t>8896.19</w:t>
            </w:r>
          </w:p>
        </w:tc>
        <w:tc>
          <w:tcPr>
            <w:tcW w:w="1051" w:type="dxa"/>
            <w:shd w:val="clear" w:color="auto" w:fill="FFFFFF"/>
          </w:tcPr>
          <w:p w14:paraId="2B45097F" w14:textId="7EE6812C" w:rsidR="009436CE" w:rsidRDefault="009436CE" w:rsidP="009436CE">
            <w:pPr>
              <w:pStyle w:val="CETBodytext"/>
              <w:ind w:right="-1"/>
              <w:rPr>
                <w:rFonts w:cs="Arial"/>
                <w:szCs w:val="18"/>
                <w:lang w:val="en-GB"/>
              </w:rPr>
            </w:pPr>
            <w:r w:rsidRPr="006D244D">
              <w:t>0.95</w:t>
            </w:r>
          </w:p>
        </w:tc>
      </w:tr>
    </w:tbl>
    <w:p w14:paraId="4264CEFD" w14:textId="306597E1" w:rsidR="009B4521" w:rsidRDefault="009B4521" w:rsidP="009B4521">
      <w:pPr>
        <w:pStyle w:val="CETBodytext"/>
      </w:pPr>
    </w:p>
    <w:p w14:paraId="6A3F2C04" w14:textId="02AFA8A4" w:rsidR="002527F7" w:rsidRDefault="00FA520A" w:rsidP="009B4521">
      <w:pPr>
        <w:pStyle w:val="CETBodytext"/>
      </w:pPr>
      <w:r>
        <w:t xml:space="preserve">For what concerns mobile sources, such as heavy trucks or simple buses and cars used to move operators on the worksite </w:t>
      </w:r>
      <w:r w:rsidR="002527F7">
        <w:t>every day</w:t>
      </w:r>
      <w:r>
        <w:t xml:space="preserve">, </w:t>
      </w:r>
      <w:r w:rsidR="00F500BA">
        <w:t>two database</w:t>
      </w:r>
      <w:r w:rsidR="002527F7">
        <w:t>s</w:t>
      </w:r>
      <w:r w:rsidR="00F500BA">
        <w:t xml:space="preserve"> can be used</w:t>
      </w:r>
      <w:r w:rsidR="002527F7">
        <w:t xml:space="preserve">. For Heavy-Duty Trucks, </w:t>
      </w:r>
      <w:r w:rsidR="007C4B5C">
        <w:t>the Environmental Protection Agency developed a database of emission factors for trucks (EPA, 2008)</w:t>
      </w:r>
      <w:r w:rsidR="0001540F">
        <w:t>, which defines the emission factors for VOC, CO, NOx, PM</w:t>
      </w:r>
      <w:r w:rsidR="0001540F" w:rsidRPr="0001540F">
        <w:rPr>
          <w:vertAlign w:val="subscript"/>
        </w:rPr>
        <w:t>2.5</w:t>
      </w:r>
      <w:r w:rsidR="0001540F">
        <w:t xml:space="preserve"> and PM</w:t>
      </w:r>
      <w:r w:rsidR="0001540F" w:rsidRPr="0001540F">
        <w:rPr>
          <w:vertAlign w:val="subscript"/>
        </w:rPr>
        <w:t>10</w:t>
      </w:r>
      <w:r w:rsidR="0001540F">
        <w:t xml:space="preserve"> for diesel or gasoline. Factors are classified into 8 classes (from IIb to VIIIb) depending on the total weight (ranging from </w:t>
      </w:r>
      <w:r w:rsidR="00484FE7">
        <w:t>3856 kg to &gt;27 tons</w:t>
      </w:r>
      <w:r w:rsidR="0001540F">
        <w:t>)</w:t>
      </w:r>
      <w:r w:rsidR="00484FE7">
        <w:t>. Daily emissions are estimated by Eq. 2:</w:t>
      </w:r>
    </w:p>
    <w:tbl>
      <w:tblPr>
        <w:tblW w:w="5000" w:type="pct"/>
        <w:tblLook w:val="04A0" w:firstRow="1" w:lastRow="0" w:firstColumn="1" w:lastColumn="0" w:noHBand="0" w:noVBand="1"/>
      </w:tblPr>
      <w:tblGrid>
        <w:gridCol w:w="8188"/>
        <w:gridCol w:w="815"/>
      </w:tblGrid>
      <w:tr w:rsidR="0001540F" w:rsidRPr="00B57B36" w14:paraId="13EDC523" w14:textId="77777777" w:rsidTr="00455D1D">
        <w:tc>
          <w:tcPr>
            <w:tcW w:w="8188" w:type="dxa"/>
            <w:shd w:val="clear" w:color="auto" w:fill="auto"/>
            <w:vAlign w:val="center"/>
          </w:tcPr>
          <w:p w14:paraId="51C29A9B" w14:textId="6DDCE69C" w:rsidR="0001540F" w:rsidRPr="00E810D1" w:rsidRDefault="00A37552" w:rsidP="00455D1D">
            <w:pPr>
              <w:pStyle w:val="CETEquatio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=D∙E</m:t>
                </m:r>
                <m:sSub>
                  <m:sSubPr>
                    <m:ctrlPr>
                      <w:rPr>
                        <w:rFonts w:ascii="Cambria Math" w:hAnsi="Cambria Math"/>
                        <w:i/>
                      </w:rPr>
                    </m:ctrlPr>
                  </m:sSubPr>
                  <m:e>
                    <m:r>
                      <w:rPr>
                        <w:rFonts w:ascii="Cambria Math" w:hAnsi="Cambria Math"/>
                      </w:rPr>
                      <m:t>FM</m:t>
                    </m:r>
                  </m:e>
                  <m:sub>
                    <m:r>
                      <w:rPr>
                        <w:rFonts w:ascii="Cambria Math" w:hAnsi="Cambria Math"/>
                      </w:rPr>
                      <m:t>i</m:t>
                    </m:r>
                  </m:sub>
                </m:sSub>
              </m:oMath>
            </m:oMathPara>
          </w:p>
        </w:tc>
        <w:tc>
          <w:tcPr>
            <w:tcW w:w="815" w:type="dxa"/>
            <w:shd w:val="clear" w:color="auto" w:fill="auto"/>
            <w:vAlign w:val="center"/>
          </w:tcPr>
          <w:p w14:paraId="31B1FAC2" w14:textId="47776B86" w:rsidR="0001540F" w:rsidRPr="00B57B36" w:rsidRDefault="0001540F" w:rsidP="00455D1D">
            <w:pPr>
              <w:pStyle w:val="CETEquation"/>
              <w:jc w:val="right"/>
            </w:pPr>
            <w:r w:rsidRPr="00B57B36">
              <w:t>(</w:t>
            </w:r>
            <w:r>
              <w:t>2</w:t>
            </w:r>
            <w:r w:rsidRPr="00B57B36">
              <w:t>)</w:t>
            </w:r>
          </w:p>
        </w:tc>
      </w:tr>
    </w:tbl>
    <w:p w14:paraId="53933770" w14:textId="4E87D8FF" w:rsidR="0001540F" w:rsidRDefault="0001540F" w:rsidP="009B4521">
      <w:pPr>
        <w:pStyle w:val="CETBodytext"/>
      </w:pPr>
      <w:r>
        <w:t>E is the total emission in grams per day for a i-th pollutant, D corresponds to the kilometers run per day and EF</w:t>
      </w:r>
      <w:r w:rsidR="00484FE7">
        <w:t>M</w:t>
      </w:r>
      <w:r>
        <w:t xml:space="preserve"> is the off-road mobile source emission factor by truck category in grams per kilometer.</w:t>
      </w:r>
    </w:p>
    <w:p w14:paraId="7C2B0064" w14:textId="4F17B2C6" w:rsidR="00453E24" w:rsidRDefault="00484FE7" w:rsidP="00346A97">
      <w:pPr>
        <w:pStyle w:val="CETBodytext"/>
      </w:pPr>
      <w:r>
        <w:t>For cars and buses, it is possible to use Euro VI norm (or an equivalent one for older vehicles), which functions in the same way, but with different EFM</w:t>
      </w:r>
      <w:r w:rsidRPr="00484FE7">
        <w:rPr>
          <w:vertAlign w:val="subscript"/>
        </w:rPr>
        <w:t>i</w:t>
      </w:r>
      <w:r>
        <w:t xml:space="preserve"> values.</w:t>
      </w:r>
    </w:p>
    <w:p w14:paraId="7C6D2B64" w14:textId="4ED30AC7" w:rsidR="0000300E" w:rsidRDefault="0000300E" w:rsidP="00346A97">
      <w:pPr>
        <w:pStyle w:val="CETBodytext"/>
      </w:pPr>
      <w:r>
        <w:t>Also, PM</w:t>
      </w:r>
      <w:r w:rsidRPr="0000300E">
        <w:rPr>
          <w:vertAlign w:val="subscript"/>
        </w:rPr>
        <w:t>10</w:t>
      </w:r>
      <w:r>
        <w:t xml:space="preserve"> can be emitted from transits on unpaved roads, as a result of interactions among tires and dusty surfaces. EPA proposes the relationship expressed by Eq. 3 to estimate the additional dust production from transit on unpaved roads:</w:t>
      </w:r>
    </w:p>
    <w:tbl>
      <w:tblPr>
        <w:tblW w:w="5000" w:type="pct"/>
        <w:tblLook w:val="04A0" w:firstRow="1" w:lastRow="0" w:firstColumn="1" w:lastColumn="0" w:noHBand="0" w:noVBand="1"/>
      </w:tblPr>
      <w:tblGrid>
        <w:gridCol w:w="8188"/>
        <w:gridCol w:w="815"/>
      </w:tblGrid>
      <w:tr w:rsidR="0000300E" w:rsidRPr="00B57B36" w14:paraId="4EB58A7D" w14:textId="77777777" w:rsidTr="00455D1D">
        <w:tc>
          <w:tcPr>
            <w:tcW w:w="8188" w:type="dxa"/>
            <w:shd w:val="clear" w:color="auto" w:fill="auto"/>
            <w:vAlign w:val="center"/>
          </w:tcPr>
          <w:p w14:paraId="675CEFAC" w14:textId="5E1C87B5" w:rsidR="0000300E" w:rsidRPr="00E810D1" w:rsidRDefault="00A37552" w:rsidP="00455D1D">
            <w:pPr>
              <w:pStyle w:val="CETEquatio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U,PM10</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u</m:t>
                    </m:r>
                  </m:sub>
                </m:sSub>
                <m:r>
                  <w:rPr>
                    <w:rFonts w:ascii="Cambria Math" w:hAnsi="Cambria Math"/>
                  </w:rPr>
                  <m:t>∙k∙</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m:t>
                            </m:r>
                          </m:num>
                          <m:den>
                            <m:r>
                              <w:rPr>
                                <w:rFonts w:ascii="Cambria Math" w:hAnsi="Cambria Math"/>
                              </w:rPr>
                              <m:t>12</m:t>
                            </m:r>
                          </m:den>
                        </m:f>
                      </m:e>
                    </m:d>
                  </m:e>
                  <m:sup>
                    <m:r>
                      <w:rPr>
                        <w:rFonts w:ascii="Cambria Math" w:hAnsi="Cambria Math"/>
                      </w:rPr>
                      <m:t>a</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3</m:t>
                            </m:r>
                          </m:den>
                        </m:f>
                      </m:e>
                    </m:d>
                  </m:e>
                  <m:sup>
                    <m:r>
                      <w:rPr>
                        <w:rFonts w:ascii="Cambria Math" w:hAnsi="Cambria Math"/>
                      </w:rPr>
                      <m:t>b</m:t>
                    </m:r>
                  </m:sup>
                </m:sSup>
              </m:oMath>
            </m:oMathPara>
          </w:p>
        </w:tc>
        <w:tc>
          <w:tcPr>
            <w:tcW w:w="815" w:type="dxa"/>
            <w:shd w:val="clear" w:color="auto" w:fill="auto"/>
            <w:vAlign w:val="center"/>
          </w:tcPr>
          <w:p w14:paraId="73639770" w14:textId="0938EBC6" w:rsidR="0000300E" w:rsidRPr="00B57B36" w:rsidRDefault="0000300E" w:rsidP="00455D1D">
            <w:pPr>
              <w:pStyle w:val="CETEquation"/>
              <w:jc w:val="right"/>
            </w:pPr>
            <w:r w:rsidRPr="00B57B36">
              <w:t>(</w:t>
            </w:r>
            <w:r>
              <w:t>3</w:t>
            </w:r>
            <w:r w:rsidRPr="00B57B36">
              <w:t>)</w:t>
            </w:r>
          </w:p>
        </w:tc>
      </w:tr>
    </w:tbl>
    <w:p w14:paraId="6F3F8CAD" w14:textId="4DCCFD8F" w:rsidR="0000300E" w:rsidRDefault="0000300E" w:rsidP="0000300E">
      <w:pPr>
        <w:pStyle w:val="CETBodytext"/>
      </w:pPr>
      <w:r>
        <w:t>E</w:t>
      </w:r>
      <w:r w:rsidRPr="0000300E">
        <w:rPr>
          <w:vertAlign w:val="subscript"/>
        </w:rPr>
        <w:t>u,PM10</w:t>
      </w:r>
      <w:r>
        <w:t xml:space="preserve"> is the PM10 emission factor in grams per day, D</w:t>
      </w:r>
      <w:r w:rsidRPr="0000300E">
        <w:rPr>
          <w:vertAlign w:val="subscript"/>
        </w:rPr>
        <w:t>u</w:t>
      </w:r>
      <w:r>
        <w:t xml:space="preserve"> is the daily distance ran on unpaved roads, k, a, b are empirical constants depending on the particulate size, s is the surface material</w:t>
      </w:r>
      <w:r w:rsidR="00A956D2">
        <w:t xml:space="preserve"> </w:t>
      </w:r>
      <w:r>
        <w:t>silt content (%), W is the mean vehicle</w:t>
      </w:r>
      <w:r w:rsidR="00A956D2">
        <w:t xml:space="preserve"> </w:t>
      </w:r>
      <w:r>
        <w:t>weight (tons)</w:t>
      </w:r>
      <w:r w:rsidR="00A956D2">
        <w:t>.</w:t>
      </w:r>
    </w:p>
    <w:p w14:paraId="18BAFA6F" w14:textId="1FDEF0B8" w:rsidR="00453E24" w:rsidRPr="00B57B36" w:rsidRDefault="00FE253F" w:rsidP="00453E24">
      <w:pPr>
        <w:pStyle w:val="CETheadingx"/>
      </w:pPr>
      <w:r>
        <w:t>Emiss</w:t>
      </w:r>
      <w:r w:rsidR="00B97CAD">
        <w:t>i</w:t>
      </w:r>
      <w:r>
        <w:t xml:space="preserve">on factors due to </w:t>
      </w:r>
      <w:r w:rsidR="0092252A">
        <w:t xml:space="preserve">topsoil </w:t>
      </w:r>
      <w:r>
        <w:t>excavatio</w:t>
      </w:r>
      <w:r w:rsidR="0092252A">
        <w:t>ns</w:t>
      </w:r>
    </w:p>
    <w:p w14:paraId="02875F1D" w14:textId="56BFB0F6" w:rsidR="00FE253F" w:rsidRPr="00FE253F" w:rsidRDefault="00FE253F" w:rsidP="00FE253F">
      <w:pPr>
        <w:pStyle w:val="CETBodytext"/>
        <w:rPr>
          <w:lang w:val="en-GB"/>
        </w:rPr>
      </w:pPr>
      <w:r w:rsidRPr="00FE253F">
        <w:rPr>
          <w:lang w:val="en-GB"/>
        </w:rPr>
        <w:t>The presence of excavations determines dispersions of fine dust associated with the movement of land and its storage. The contaminant</w:t>
      </w:r>
      <w:r w:rsidR="005C3B9E">
        <w:rPr>
          <w:lang w:val="en-GB"/>
        </w:rPr>
        <w:t>s</w:t>
      </w:r>
      <w:r w:rsidRPr="00FE253F">
        <w:rPr>
          <w:lang w:val="en-GB"/>
        </w:rPr>
        <w:t xml:space="preserve"> released associated with this activity is essentially associated with the finer fraction of powders as the heavier ones are deposited relatively quickly and near the release points. The finer fractions such as PM1</w:t>
      </w:r>
      <w:r w:rsidRPr="00585E18">
        <w:rPr>
          <w:vertAlign w:val="subscript"/>
          <w:lang w:val="en-GB"/>
        </w:rPr>
        <w:t>0</w:t>
      </w:r>
      <w:r w:rsidRPr="00FE253F">
        <w:rPr>
          <w:lang w:val="en-GB"/>
        </w:rPr>
        <w:t xml:space="preserve"> and PM</w:t>
      </w:r>
      <w:r w:rsidRPr="00585E18">
        <w:rPr>
          <w:vertAlign w:val="subscript"/>
          <w:lang w:val="en-GB"/>
        </w:rPr>
        <w:t>2.5</w:t>
      </w:r>
      <w:r w:rsidRPr="00FE253F">
        <w:rPr>
          <w:lang w:val="en-GB"/>
        </w:rPr>
        <w:t>, in addition to having an interest from the point of view of environmental contamination and impacts on human health, are able to remain suspended in the air and be transported by local anemological processes.</w:t>
      </w:r>
    </w:p>
    <w:p w14:paraId="71467F72" w14:textId="18F885A2" w:rsidR="00FE253F" w:rsidRDefault="00FE253F" w:rsidP="00FE253F">
      <w:pPr>
        <w:pStyle w:val="CETBodytext"/>
        <w:rPr>
          <w:lang w:val="en-GB"/>
        </w:rPr>
      </w:pPr>
      <w:r w:rsidRPr="00FE253F">
        <w:rPr>
          <w:lang w:val="en-GB"/>
        </w:rPr>
        <w:t xml:space="preserve">The estimate of fine particulate emissions is carried out with reference to the AP 42 </w:t>
      </w:r>
      <w:r w:rsidR="005C3B9E">
        <w:rPr>
          <w:lang w:val="en-GB"/>
        </w:rPr>
        <w:t>from EPA (EPA, 2007)</w:t>
      </w:r>
      <w:r w:rsidRPr="00FE253F">
        <w:rPr>
          <w:lang w:val="en-GB"/>
        </w:rPr>
        <w:t>, which reports the emission references as a function of the tons of earth removed. The emission coefficient is therefore defined as grams of fine dust released per ton of earth removed. The emission factor</w:t>
      </w:r>
      <w:r w:rsidR="005C3B9E">
        <w:rPr>
          <w:lang w:val="en-GB"/>
        </w:rPr>
        <w:t xml:space="preserve">, shown in Eq.4, </w:t>
      </w:r>
      <w:r w:rsidRPr="00FE253F">
        <w:rPr>
          <w:lang w:val="en-GB"/>
        </w:rPr>
        <w:t>is also estimated considering the effects due to the intensity of the wind and the degree of humidity of the soil.</w:t>
      </w:r>
    </w:p>
    <w:tbl>
      <w:tblPr>
        <w:tblW w:w="5000" w:type="pct"/>
        <w:tblLook w:val="04A0" w:firstRow="1" w:lastRow="0" w:firstColumn="1" w:lastColumn="0" w:noHBand="0" w:noVBand="1"/>
      </w:tblPr>
      <w:tblGrid>
        <w:gridCol w:w="8188"/>
        <w:gridCol w:w="815"/>
      </w:tblGrid>
      <w:tr w:rsidR="003D04CC" w:rsidRPr="00B57B36" w14:paraId="387C1A88" w14:textId="77777777" w:rsidTr="00E76D76">
        <w:tc>
          <w:tcPr>
            <w:tcW w:w="8188" w:type="dxa"/>
            <w:shd w:val="clear" w:color="auto" w:fill="auto"/>
            <w:vAlign w:val="center"/>
          </w:tcPr>
          <w:p w14:paraId="066725A1" w14:textId="48385C18" w:rsidR="003D04CC" w:rsidRPr="00E810D1" w:rsidRDefault="00A37552" w:rsidP="00E76D76">
            <w:pPr>
              <w:pStyle w:val="CETEquatio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=1.6∙k∙</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2.2</m:t>
                            </m:r>
                          </m:den>
                        </m:f>
                      </m:e>
                    </m:d>
                  </m:e>
                  <m:sup>
                    <m:r>
                      <w:rPr>
                        <w:rFonts w:ascii="Cambria Math" w:hAnsi="Cambria Math"/>
                      </w:rPr>
                      <m:t>1.3</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2</m:t>
                            </m:r>
                          </m:den>
                        </m:f>
                      </m:e>
                    </m:d>
                  </m:e>
                  <m:sup>
                    <m:r>
                      <w:rPr>
                        <w:rFonts w:ascii="Cambria Math" w:hAnsi="Cambria Math"/>
                      </w:rPr>
                      <m:t>-1.4</m:t>
                    </m:r>
                  </m:sup>
                </m:sSup>
              </m:oMath>
            </m:oMathPara>
          </w:p>
        </w:tc>
        <w:tc>
          <w:tcPr>
            <w:tcW w:w="815" w:type="dxa"/>
            <w:shd w:val="clear" w:color="auto" w:fill="auto"/>
            <w:vAlign w:val="center"/>
          </w:tcPr>
          <w:p w14:paraId="3E1B4D95" w14:textId="257D2AD7" w:rsidR="003D04CC" w:rsidRPr="00B57B36" w:rsidRDefault="003D04CC" w:rsidP="00E76D76">
            <w:pPr>
              <w:pStyle w:val="CETEquation"/>
              <w:jc w:val="right"/>
            </w:pPr>
            <w:r w:rsidRPr="00B57B36">
              <w:t>(</w:t>
            </w:r>
            <w:r w:rsidR="005C3B9E">
              <w:t>4</w:t>
            </w:r>
            <w:r w:rsidRPr="00B57B36">
              <w:t>)</w:t>
            </w:r>
          </w:p>
        </w:tc>
      </w:tr>
    </w:tbl>
    <w:p w14:paraId="3C32DD78" w14:textId="688D9F25" w:rsidR="003D04CC" w:rsidRDefault="00E810D1" w:rsidP="00E810D1">
      <w:pPr>
        <w:pStyle w:val="CETBodytext"/>
        <w:rPr>
          <w:lang w:val="en-GB"/>
        </w:rPr>
      </w:pPr>
      <w:r>
        <w:rPr>
          <w:lang w:val="en-GB"/>
        </w:rPr>
        <w:lastRenderedPageBreak/>
        <w:t xml:space="preserve">Where </w:t>
      </w:r>
      <w:r w:rsidRPr="00E810D1">
        <w:rPr>
          <w:lang w:val="en-GB"/>
        </w:rPr>
        <w:t xml:space="preserve">E </w:t>
      </w:r>
      <w:r>
        <w:rPr>
          <w:lang w:val="en-GB"/>
        </w:rPr>
        <w:t>is</w:t>
      </w:r>
      <w:r w:rsidRPr="00E810D1">
        <w:rPr>
          <w:lang w:val="en-GB"/>
        </w:rPr>
        <w:t xml:space="preserve"> emission factor expressed in g of dust per ton of material removed</w:t>
      </w:r>
      <w:r w:rsidR="005C3B9E">
        <w:rPr>
          <w:lang w:val="en-GB"/>
        </w:rPr>
        <w:t xml:space="preserve"> (on daily basis) for the i-th dust average size</w:t>
      </w:r>
      <w:r>
        <w:rPr>
          <w:lang w:val="en-GB"/>
        </w:rPr>
        <w:t xml:space="preserve">, </w:t>
      </w:r>
      <w:r w:rsidRPr="00E810D1">
        <w:rPr>
          <w:lang w:val="en-GB"/>
        </w:rPr>
        <w:t xml:space="preserve">U </w:t>
      </w:r>
      <w:r>
        <w:rPr>
          <w:lang w:val="en-GB"/>
        </w:rPr>
        <w:t>is the</w:t>
      </w:r>
      <w:r w:rsidRPr="00E810D1">
        <w:rPr>
          <w:lang w:val="en-GB"/>
        </w:rPr>
        <w:t xml:space="preserve"> wind speed, in m/s;</w:t>
      </w:r>
      <w:r>
        <w:rPr>
          <w:lang w:val="en-GB"/>
        </w:rPr>
        <w:t xml:space="preserve"> </w:t>
      </w:r>
      <w:r w:rsidRPr="00E810D1">
        <w:rPr>
          <w:lang w:val="en-GB"/>
        </w:rPr>
        <w:t xml:space="preserve">M </w:t>
      </w:r>
      <w:r>
        <w:rPr>
          <w:lang w:val="en-GB"/>
        </w:rPr>
        <w:t>is the</w:t>
      </w:r>
      <w:r w:rsidRPr="00E810D1">
        <w:rPr>
          <w:lang w:val="en-GB"/>
        </w:rPr>
        <w:t xml:space="preserve"> percentage content of soil moisture, ranging from 0.25 to 4.8%</w:t>
      </w:r>
      <w:r>
        <w:rPr>
          <w:lang w:val="en-GB"/>
        </w:rPr>
        <w:t xml:space="preserve"> and k</w:t>
      </w:r>
      <w:r w:rsidRPr="00E810D1">
        <w:rPr>
          <w:lang w:val="en-GB"/>
        </w:rPr>
        <w:t xml:space="preserve"> </w:t>
      </w:r>
      <w:r>
        <w:rPr>
          <w:lang w:val="en-GB"/>
        </w:rPr>
        <w:t>is a</w:t>
      </w:r>
      <w:r w:rsidRPr="00E810D1">
        <w:rPr>
          <w:lang w:val="en-GB"/>
        </w:rPr>
        <w:t xml:space="preserve"> factor that depends on the size of the particulate.</w:t>
      </w:r>
    </w:p>
    <w:p w14:paraId="56290168" w14:textId="23E88DA6" w:rsidR="00E810D1" w:rsidRPr="00E810D1" w:rsidRDefault="005C3B9E" w:rsidP="00E810D1">
      <w:pPr>
        <w:pStyle w:val="CETBodytext"/>
        <w:rPr>
          <w:lang w:val="en-GB"/>
        </w:rPr>
      </w:pPr>
      <w:r>
        <w:rPr>
          <w:lang w:val="en-GB"/>
        </w:rPr>
        <w:t xml:space="preserve">After excavations, removed soil is usually stored. </w:t>
      </w:r>
      <w:r w:rsidR="00E810D1" w:rsidRPr="00E810D1">
        <w:rPr>
          <w:lang w:val="en-GB"/>
        </w:rPr>
        <w:t>According to the literature, the emissions resulting from the erosive effects due to the action of the wind of different intensity on piles of excavated material are low. Vegeta</w:t>
      </w:r>
      <w:r>
        <w:rPr>
          <w:lang w:val="en-GB"/>
        </w:rPr>
        <w:t>tion</w:t>
      </w:r>
      <w:r w:rsidR="00E810D1" w:rsidRPr="00E810D1">
        <w:rPr>
          <w:lang w:val="en-GB"/>
        </w:rPr>
        <w:t xml:space="preserve"> covers typically form on the surface and a crust typically forms, that is a layer of soil characterized by a low degree of humidity, which limits the mechanical actions of the wind. However, the emission potential increases each time the surface is altered, providing the pile with a new surface of erodible material.</w:t>
      </w:r>
    </w:p>
    <w:p w14:paraId="36B2E6B0" w14:textId="27A7158E" w:rsidR="00E810D1" w:rsidRDefault="00E810D1" w:rsidP="00E810D1">
      <w:pPr>
        <w:pStyle w:val="CETBodytext"/>
        <w:rPr>
          <w:lang w:val="en-GB"/>
        </w:rPr>
      </w:pPr>
      <w:r w:rsidRPr="00E810D1">
        <w:rPr>
          <w:lang w:val="en-GB"/>
        </w:rPr>
        <w:t>In general, the storage cycle of material in heaps requires that the material is periodically added or subtracted, modifying the old surface layer, inactive from the point of view of the emission potential, reactivating the erosive capacity of the wind. The daily emissions of the pile are therefore directly proportional to the number of changes in the crust per day. It can also be observed that the average atmospheric wind speed (even on an hourly basis) is not sufficient to generate a significant erosion of the surface of the accumulated materials and it is therefore necessary to refer to the maximum intensity of the gusts of wind and their frequency in the period between one disturbance intervention and another. In summary, the emissions related to dusting by the heap depend on factors such as the number of disturbances per day, the age of the heap, its moisture content, the portion of fine aggregates and the anemological conditions of the site.</w:t>
      </w:r>
      <w:r w:rsidR="00B2548D">
        <w:rPr>
          <w:lang w:val="en-GB"/>
        </w:rPr>
        <w:t xml:space="preserve"> </w:t>
      </w:r>
      <w:r w:rsidRPr="00E810D1">
        <w:rPr>
          <w:lang w:val="en-GB"/>
        </w:rPr>
        <w:t xml:space="preserve">Emissions due to wind erosion from </w:t>
      </w:r>
      <w:r w:rsidR="004D09C6">
        <w:rPr>
          <w:lang w:val="en-GB"/>
        </w:rPr>
        <w:t>piles</w:t>
      </w:r>
      <w:r w:rsidRPr="00E810D1">
        <w:rPr>
          <w:lang w:val="en-GB"/>
        </w:rPr>
        <w:t xml:space="preserve"> are characterized in AP-42, </w:t>
      </w:r>
      <w:r w:rsidR="004D09C6">
        <w:rPr>
          <w:lang w:val="en-GB"/>
        </w:rPr>
        <w:t xml:space="preserve">Chapter </w:t>
      </w:r>
      <w:r w:rsidRPr="00E810D1">
        <w:rPr>
          <w:lang w:val="en-GB"/>
        </w:rPr>
        <w:t xml:space="preserve">13.2.5 </w:t>
      </w:r>
      <w:r w:rsidR="004D09C6">
        <w:rPr>
          <w:lang w:val="en-GB"/>
        </w:rPr>
        <w:t xml:space="preserve">(EPA, 2007) </w:t>
      </w:r>
      <w:r w:rsidRPr="00E810D1">
        <w:rPr>
          <w:lang w:val="en-GB"/>
        </w:rPr>
        <w:t xml:space="preserve">which treats the emission potential of the single </w:t>
      </w:r>
      <w:r w:rsidR="004D09C6">
        <w:rPr>
          <w:lang w:val="en-GB"/>
        </w:rPr>
        <w:t>pile</w:t>
      </w:r>
      <w:r w:rsidRPr="00E810D1">
        <w:rPr>
          <w:lang w:val="en-GB"/>
        </w:rPr>
        <w:t xml:space="preserve"> as a function of a series of factors. In particular, the </w:t>
      </w:r>
      <w:r w:rsidR="004D09C6">
        <w:rPr>
          <w:lang w:val="en-GB"/>
        </w:rPr>
        <w:t>daily</w:t>
      </w:r>
      <w:r w:rsidRPr="00E810D1">
        <w:rPr>
          <w:lang w:val="en-GB"/>
        </w:rPr>
        <w:t xml:space="preserve"> emission rate is given by</w:t>
      </w:r>
      <w:r w:rsidR="001E3926">
        <w:rPr>
          <w:lang w:val="en-GB"/>
        </w:rPr>
        <w:t xml:space="preserve"> Eq. 5</w:t>
      </w:r>
      <w:r w:rsidRPr="00E810D1">
        <w:rPr>
          <w:lang w:val="en-GB"/>
        </w:rPr>
        <w:t>:</w:t>
      </w:r>
    </w:p>
    <w:tbl>
      <w:tblPr>
        <w:tblW w:w="5000" w:type="pct"/>
        <w:tblLook w:val="04A0" w:firstRow="1" w:lastRow="0" w:firstColumn="1" w:lastColumn="0" w:noHBand="0" w:noVBand="1"/>
      </w:tblPr>
      <w:tblGrid>
        <w:gridCol w:w="8188"/>
        <w:gridCol w:w="815"/>
      </w:tblGrid>
      <w:tr w:rsidR="0085531F" w:rsidRPr="00B57B36" w14:paraId="1A1FB335" w14:textId="77777777" w:rsidTr="00E76D76">
        <w:tc>
          <w:tcPr>
            <w:tcW w:w="8188" w:type="dxa"/>
            <w:shd w:val="clear" w:color="auto" w:fill="auto"/>
            <w:vAlign w:val="center"/>
          </w:tcPr>
          <w:p w14:paraId="3C7DCC4B" w14:textId="5EF48DFF" w:rsidR="0085531F" w:rsidRPr="00E810D1" w:rsidRDefault="00A37552" w:rsidP="00E76D76">
            <w:pPr>
              <w:pStyle w:val="CETEquatio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p.i</m:t>
                    </m:r>
                  </m:sub>
                </m:sSub>
                <m:r>
                  <w:rPr>
                    <w:rFonts w:ascii="Cambria Math" w:hAnsi="Cambria Math"/>
                  </w:rPr>
                  <m:t>=1000∙E</m:t>
                </m:r>
                <m:sSub>
                  <m:sSubPr>
                    <m:ctrlPr>
                      <w:rPr>
                        <w:rFonts w:ascii="Cambria Math" w:hAnsi="Cambria Math"/>
                        <w:i/>
                      </w:rPr>
                    </m:ctrlPr>
                  </m:sSubPr>
                  <m:e>
                    <m:r>
                      <w:rPr>
                        <w:rFonts w:ascii="Cambria Math" w:hAnsi="Cambria Math"/>
                      </w:rPr>
                      <m:t>F</m:t>
                    </m:r>
                  </m:e>
                  <m:sub>
                    <m:r>
                      <w:rPr>
                        <w:rFonts w:ascii="Cambria Math" w:hAnsi="Cambria Math"/>
                      </w:rPr>
                      <m:t>p.i</m:t>
                    </m:r>
                  </m:sub>
                </m:sSub>
                <m:r>
                  <w:rPr>
                    <w:rFonts w:ascii="Cambria Math" w:hAnsi="Cambria Math"/>
                  </w:rPr>
                  <m:t>∙a∙mov∙H</m:t>
                </m:r>
              </m:oMath>
            </m:oMathPara>
          </w:p>
        </w:tc>
        <w:tc>
          <w:tcPr>
            <w:tcW w:w="815" w:type="dxa"/>
            <w:shd w:val="clear" w:color="auto" w:fill="auto"/>
            <w:vAlign w:val="center"/>
          </w:tcPr>
          <w:p w14:paraId="41133D33" w14:textId="2943F787" w:rsidR="0085531F" w:rsidRPr="00B57B36" w:rsidRDefault="0085531F" w:rsidP="00E76D76">
            <w:pPr>
              <w:pStyle w:val="CETEquation"/>
              <w:jc w:val="right"/>
            </w:pPr>
            <w:r w:rsidRPr="00B57B36">
              <w:t>(</w:t>
            </w:r>
            <w:r w:rsidR="005C3B9E">
              <w:t>5</w:t>
            </w:r>
            <w:r w:rsidRPr="00B57B36">
              <w:t>)</w:t>
            </w:r>
          </w:p>
        </w:tc>
      </w:tr>
    </w:tbl>
    <w:p w14:paraId="6CD945B6" w14:textId="1D4ED2DA" w:rsidR="00FE253F" w:rsidRDefault="0085531F" w:rsidP="00FE253F">
      <w:pPr>
        <w:pStyle w:val="CETBodytext"/>
        <w:rPr>
          <w:lang w:val="en-GB"/>
        </w:rPr>
      </w:pPr>
      <w:r>
        <w:rPr>
          <w:lang w:val="en-GB"/>
        </w:rPr>
        <w:t xml:space="preserve">Where </w:t>
      </w:r>
      <w:r w:rsidRPr="0085531F">
        <w:rPr>
          <w:lang w:val="en-GB"/>
        </w:rPr>
        <w:t>E</w:t>
      </w:r>
      <w:r w:rsidRPr="0085531F">
        <w:rPr>
          <w:vertAlign w:val="subscript"/>
          <w:lang w:val="en-GB"/>
        </w:rPr>
        <w:t>p</w:t>
      </w:r>
      <w:r w:rsidRPr="0085531F">
        <w:rPr>
          <w:lang w:val="en-GB"/>
        </w:rPr>
        <w:t xml:space="preserve"> </w:t>
      </w:r>
      <w:r>
        <w:rPr>
          <w:lang w:val="en-GB"/>
        </w:rPr>
        <w:t xml:space="preserve">is the amount of dust lifted in </w:t>
      </w:r>
      <w:r w:rsidRPr="0085531F">
        <w:rPr>
          <w:lang w:val="en-GB"/>
        </w:rPr>
        <w:t>g/</w:t>
      </w:r>
      <w:r w:rsidR="004D09C6">
        <w:rPr>
          <w:lang w:val="en-GB"/>
        </w:rPr>
        <w:t>day</w:t>
      </w:r>
      <w:r>
        <w:rPr>
          <w:lang w:val="en-GB"/>
        </w:rPr>
        <w:t>,</w:t>
      </w:r>
      <w:r w:rsidRPr="0085531F">
        <w:rPr>
          <w:lang w:val="en-GB"/>
        </w:rPr>
        <w:t xml:space="preserve"> </w:t>
      </w:r>
      <w:r>
        <w:rPr>
          <w:lang w:val="en-GB"/>
        </w:rPr>
        <w:t>i refers to each particulate matter considered (</w:t>
      </w:r>
      <w:r w:rsidRPr="0085531F">
        <w:rPr>
          <w:lang w:val="en-GB"/>
        </w:rPr>
        <w:t>PM</w:t>
      </w:r>
      <w:r w:rsidRPr="004D09C6">
        <w:rPr>
          <w:vertAlign w:val="subscript"/>
          <w:lang w:val="en-GB"/>
        </w:rPr>
        <w:t>10</w:t>
      </w:r>
      <w:r w:rsidRPr="0085531F">
        <w:rPr>
          <w:lang w:val="en-GB"/>
        </w:rPr>
        <w:t>, PM</w:t>
      </w:r>
      <w:r w:rsidRPr="004D09C6">
        <w:rPr>
          <w:vertAlign w:val="subscript"/>
          <w:lang w:val="en-GB"/>
        </w:rPr>
        <w:t>2.5</w:t>
      </w:r>
      <w:r>
        <w:rPr>
          <w:lang w:val="en-GB"/>
        </w:rPr>
        <w:t xml:space="preserve">), </w:t>
      </w:r>
      <w:r w:rsidRPr="0085531F">
        <w:rPr>
          <w:lang w:val="en-GB"/>
        </w:rPr>
        <w:t>E</w:t>
      </w:r>
      <w:r>
        <w:rPr>
          <w:lang w:val="en-GB"/>
        </w:rPr>
        <w:t>F</w:t>
      </w:r>
      <w:r w:rsidRPr="0085531F">
        <w:rPr>
          <w:vertAlign w:val="subscript"/>
          <w:lang w:val="en-GB"/>
        </w:rPr>
        <w:t>p</w:t>
      </w:r>
      <w:r>
        <w:rPr>
          <w:vertAlign w:val="subscript"/>
          <w:lang w:val="en-GB"/>
        </w:rPr>
        <w:t xml:space="preserve">,I </w:t>
      </w:r>
      <w:r>
        <w:rPr>
          <w:lang w:val="en-GB"/>
        </w:rPr>
        <w:t>is the areal emission factor in kg/m²,</w:t>
      </w:r>
      <w:r w:rsidRPr="0085531F">
        <w:rPr>
          <w:lang w:val="en-GB"/>
        </w:rPr>
        <w:t xml:space="preserve">a </w:t>
      </w:r>
      <w:r>
        <w:rPr>
          <w:lang w:val="en-GB"/>
        </w:rPr>
        <w:t>is the</w:t>
      </w:r>
      <w:r w:rsidRPr="0085531F">
        <w:rPr>
          <w:lang w:val="en-GB"/>
        </w:rPr>
        <w:t xml:space="preserve"> surface of the moved area</w:t>
      </w:r>
      <w:r>
        <w:rPr>
          <w:lang w:val="en-GB"/>
        </w:rPr>
        <w:t xml:space="preserve"> in m³</w:t>
      </w:r>
      <w:r w:rsidR="004D09C6">
        <w:rPr>
          <w:lang w:val="en-GB"/>
        </w:rPr>
        <w:t xml:space="preserve">, </w:t>
      </w:r>
      <w:r>
        <w:rPr>
          <w:lang w:val="en-GB"/>
        </w:rPr>
        <w:t xml:space="preserve">mov is the </w:t>
      </w:r>
      <w:r w:rsidRPr="0085531F">
        <w:rPr>
          <w:lang w:val="en-GB"/>
        </w:rPr>
        <w:t>number of movements / hour</w:t>
      </w:r>
      <w:r w:rsidR="004D09C6">
        <w:rPr>
          <w:lang w:val="en-GB"/>
        </w:rPr>
        <w:t xml:space="preserve"> and H is the total </w:t>
      </w:r>
      <w:r w:rsidR="0019192C">
        <w:rPr>
          <w:lang w:val="en-GB"/>
        </w:rPr>
        <w:t xml:space="preserve">number of </w:t>
      </w:r>
      <w:r w:rsidR="004D09C6">
        <w:rPr>
          <w:lang w:val="en-GB"/>
        </w:rPr>
        <w:t>hours worked per day</w:t>
      </w:r>
      <w:r w:rsidRPr="0085531F">
        <w:rPr>
          <w:lang w:val="en-GB"/>
        </w:rPr>
        <w:t>.</w:t>
      </w:r>
    </w:p>
    <w:p w14:paraId="677EBFF0" w14:textId="3D8F3DB2" w:rsidR="00600535" w:rsidRPr="00B57B36" w:rsidRDefault="001F07FE" w:rsidP="00600535">
      <w:pPr>
        <w:pStyle w:val="CETHeading1"/>
        <w:tabs>
          <w:tab w:val="clear" w:pos="360"/>
          <w:tab w:val="right" w:pos="7100"/>
        </w:tabs>
        <w:jc w:val="both"/>
        <w:rPr>
          <w:lang w:val="en-GB"/>
        </w:rPr>
      </w:pPr>
      <w:r>
        <w:rPr>
          <w:lang w:val="en-GB"/>
        </w:rPr>
        <w:t>Model application</w:t>
      </w:r>
    </w:p>
    <w:p w14:paraId="04963A06" w14:textId="3F1EE1A3" w:rsidR="00600535" w:rsidRPr="00B57B36" w:rsidRDefault="00735052" w:rsidP="00FA5F5F">
      <w:pPr>
        <w:pStyle w:val="CETheadingx"/>
      </w:pPr>
      <w:r>
        <w:t>Global emissions</w:t>
      </w:r>
    </w:p>
    <w:p w14:paraId="6AF254AA" w14:textId="273DE92C" w:rsidR="002421E8" w:rsidRDefault="008E663B" w:rsidP="00260FDC">
      <w:pPr>
        <w:pStyle w:val="CETListbullets"/>
        <w:ind w:left="0" w:firstLine="0"/>
      </w:pPr>
      <w:r>
        <w:t>Global and overtime emissions are estimated by means of Gantt diagrams, activities performed and operating machines</w:t>
      </w:r>
      <w:r w:rsidR="002801A5">
        <w:t>. Gantt diagrams are structures widely used worldwide to define the timetables of a worksite.</w:t>
      </w:r>
      <w:r w:rsidR="00260FDC">
        <w:t xml:space="preserve"> They are generated by associating the different activities in which the work is organized with the expected time they are supposed to last. </w:t>
      </w:r>
      <w:r w:rsidR="002801A5">
        <w:t xml:space="preserve"> </w:t>
      </w:r>
      <w:r w:rsidR="00260FDC">
        <w:t>To</w:t>
      </w:r>
      <w:r w:rsidR="002801A5">
        <w:t xml:space="preserve"> the </w:t>
      </w:r>
      <w:r w:rsidR="00260FDC">
        <w:t>scope</w:t>
      </w:r>
      <w:r w:rsidR="002801A5">
        <w:t xml:space="preserve"> of this model, it is possible to associate a Gantt diagram to a Boolean variable, where 1 consists of the presence of the specific activity at a given time step. Table 1 represents a translation of a classic Gantt diagram </w:t>
      </w:r>
      <w:r w:rsidR="005665F2">
        <w:t>int</w:t>
      </w:r>
      <w:r w:rsidR="002801A5">
        <w:t>o a Boolean matrix, with dimensions of na x nt, where na is the total number of activities involved, and nt is the number of time step</w:t>
      </w:r>
      <w:r w:rsidR="003B6B42">
        <w:t>s</w:t>
      </w:r>
      <w:r w:rsidR="002801A5">
        <w:t xml:space="preserve"> identified. Usually, each time step has the same length (months or 30 days)</w:t>
      </w:r>
      <w:r w:rsidR="00260FDC">
        <w:t>.</w:t>
      </w:r>
      <w:r w:rsidR="00AB5D56">
        <w:t xml:space="preserve"> This modified Gantt diagram </w:t>
      </w:r>
      <w:r w:rsidR="001050F5">
        <w:t>is a matrix</w:t>
      </w:r>
      <w:r w:rsidR="00AB5D56">
        <w:t xml:space="preserve"> called G.</w:t>
      </w:r>
    </w:p>
    <w:p w14:paraId="6DA6E827" w14:textId="2DB19568" w:rsidR="002421E8" w:rsidRPr="00B57B36" w:rsidRDefault="002421E8" w:rsidP="002421E8">
      <w:pPr>
        <w:pStyle w:val="CETTabletitle"/>
      </w:pPr>
      <w:r w:rsidRPr="00B57B36">
        <w:t xml:space="preserve">Table 1: </w:t>
      </w:r>
      <w:r>
        <w:t>Example of Gantt table</w:t>
      </w:r>
      <w:r w:rsidR="00260FDC">
        <w:t xml:space="preserve"> (in this case, na=3 and nt=4)</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2421E8" w:rsidRPr="00B57B36" w14:paraId="26521FB1" w14:textId="77777777" w:rsidTr="00455D1D">
        <w:tc>
          <w:tcPr>
            <w:tcW w:w="1134" w:type="dxa"/>
            <w:tcBorders>
              <w:top w:val="single" w:sz="12" w:space="0" w:color="008000"/>
              <w:bottom w:val="single" w:sz="6" w:space="0" w:color="008000"/>
            </w:tcBorders>
            <w:shd w:val="clear" w:color="auto" w:fill="FFFFFF"/>
          </w:tcPr>
          <w:p w14:paraId="37251DAC" w14:textId="77777777" w:rsidR="002421E8" w:rsidRPr="00B57B36" w:rsidRDefault="002421E8" w:rsidP="00455D1D">
            <w:pPr>
              <w:pStyle w:val="CETBodytext"/>
              <w:rPr>
                <w:lang w:val="en-GB"/>
              </w:rPr>
            </w:pPr>
          </w:p>
        </w:tc>
        <w:tc>
          <w:tcPr>
            <w:tcW w:w="1134" w:type="dxa"/>
            <w:tcBorders>
              <w:top w:val="single" w:sz="12" w:space="0" w:color="008000"/>
              <w:bottom w:val="single" w:sz="6" w:space="0" w:color="008000"/>
            </w:tcBorders>
            <w:shd w:val="clear" w:color="auto" w:fill="FFFFFF"/>
          </w:tcPr>
          <w:p w14:paraId="25F032EB" w14:textId="77777777" w:rsidR="002421E8" w:rsidRPr="00B57B36" w:rsidRDefault="002421E8" w:rsidP="00455D1D">
            <w:pPr>
              <w:pStyle w:val="CETBodytext"/>
              <w:rPr>
                <w:lang w:val="en-GB"/>
              </w:rPr>
            </w:pPr>
            <w:r>
              <w:rPr>
                <w:lang w:val="en-GB"/>
              </w:rPr>
              <w:t>t1</w:t>
            </w:r>
          </w:p>
        </w:tc>
        <w:tc>
          <w:tcPr>
            <w:tcW w:w="1134" w:type="dxa"/>
            <w:tcBorders>
              <w:top w:val="single" w:sz="12" w:space="0" w:color="008000"/>
              <w:bottom w:val="single" w:sz="6" w:space="0" w:color="008000"/>
            </w:tcBorders>
            <w:shd w:val="clear" w:color="auto" w:fill="FFFFFF"/>
          </w:tcPr>
          <w:p w14:paraId="0ADE1646" w14:textId="77777777" w:rsidR="002421E8" w:rsidRPr="00B57B36" w:rsidRDefault="002421E8" w:rsidP="00455D1D">
            <w:pPr>
              <w:pStyle w:val="CETBodytext"/>
              <w:rPr>
                <w:lang w:val="en-GB"/>
              </w:rPr>
            </w:pPr>
            <w:r>
              <w:rPr>
                <w:lang w:val="en-GB"/>
              </w:rPr>
              <w:t>t2</w:t>
            </w:r>
          </w:p>
        </w:tc>
        <w:tc>
          <w:tcPr>
            <w:tcW w:w="1134" w:type="dxa"/>
            <w:tcBorders>
              <w:top w:val="single" w:sz="12" w:space="0" w:color="008000"/>
              <w:bottom w:val="single" w:sz="6" w:space="0" w:color="008000"/>
            </w:tcBorders>
            <w:shd w:val="clear" w:color="auto" w:fill="FFFFFF"/>
          </w:tcPr>
          <w:p w14:paraId="0509380D" w14:textId="77777777" w:rsidR="002421E8" w:rsidRPr="00B57B36" w:rsidRDefault="002421E8" w:rsidP="00455D1D">
            <w:pPr>
              <w:pStyle w:val="CETBodytext"/>
              <w:ind w:right="-1"/>
              <w:rPr>
                <w:rFonts w:cs="Arial"/>
                <w:szCs w:val="18"/>
                <w:lang w:val="en-GB"/>
              </w:rPr>
            </w:pPr>
            <w:r>
              <w:rPr>
                <w:rFonts w:cs="Arial"/>
                <w:szCs w:val="18"/>
                <w:lang w:val="en-GB"/>
              </w:rPr>
              <w:t>t3</w:t>
            </w:r>
          </w:p>
        </w:tc>
        <w:tc>
          <w:tcPr>
            <w:tcW w:w="1134" w:type="dxa"/>
            <w:tcBorders>
              <w:top w:val="single" w:sz="12" w:space="0" w:color="008000"/>
              <w:bottom w:val="single" w:sz="6" w:space="0" w:color="008000"/>
            </w:tcBorders>
            <w:shd w:val="clear" w:color="auto" w:fill="FFFFFF"/>
          </w:tcPr>
          <w:p w14:paraId="4DB7FC2D" w14:textId="77777777" w:rsidR="002421E8" w:rsidRPr="00B57B36" w:rsidRDefault="002421E8" w:rsidP="00455D1D">
            <w:pPr>
              <w:pStyle w:val="CETBodytext"/>
              <w:ind w:right="-1"/>
              <w:rPr>
                <w:rFonts w:cs="Arial"/>
                <w:szCs w:val="18"/>
                <w:lang w:val="en-GB"/>
              </w:rPr>
            </w:pPr>
            <w:r>
              <w:rPr>
                <w:rFonts w:cs="Arial"/>
                <w:szCs w:val="18"/>
                <w:lang w:val="en-GB"/>
              </w:rPr>
              <w:t>t4</w:t>
            </w:r>
          </w:p>
        </w:tc>
      </w:tr>
      <w:tr w:rsidR="002421E8" w:rsidRPr="00B57B36" w14:paraId="5B5287AA" w14:textId="77777777" w:rsidTr="00455D1D">
        <w:tc>
          <w:tcPr>
            <w:tcW w:w="1134" w:type="dxa"/>
            <w:shd w:val="clear" w:color="auto" w:fill="FFFFFF"/>
          </w:tcPr>
          <w:p w14:paraId="37969EDF" w14:textId="77777777" w:rsidR="002421E8" w:rsidRPr="00B57B36" w:rsidRDefault="002421E8" w:rsidP="00455D1D">
            <w:pPr>
              <w:pStyle w:val="CETBodytext"/>
              <w:rPr>
                <w:lang w:val="en-GB"/>
              </w:rPr>
            </w:pPr>
            <w:r w:rsidRPr="00B57B36">
              <w:rPr>
                <w:lang w:val="en-GB"/>
              </w:rPr>
              <w:t>A</w:t>
            </w:r>
            <w:r>
              <w:rPr>
                <w:lang w:val="en-GB"/>
              </w:rPr>
              <w:t>ctivity 1</w:t>
            </w:r>
          </w:p>
        </w:tc>
        <w:tc>
          <w:tcPr>
            <w:tcW w:w="1134" w:type="dxa"/>
            <w:shd w:val="clear" w:color="auto" w:fill="FFFFFF"/>
          </w:tcPr>
          <w:p w14:paraId="28599520" w14:textId="77777777" w:rsidR="002421E8" w:rsidRPr="00B57B36" w:rsidRDefault="002421E8" w:rsidP="00455D1D">
            <w:pPr>
              <w:pStyle w:val="CETBodytext"/>
              <w:rPr>
                <w:lang w:val="en-GB"/>
              </w:rPr>
            </w:pPr>
            <w:r>
              <w:rPr>
                <w:lang w:val="en-GB"/>
              </w:rPr>
              <w:t>1</w:t>
            </w:r>
          </w:p>
        </w:tc>
        <w:tc>
          <w:tcPr>
            <w:tcW w:w="1134" w:type="dxa"/>
            <w:shd w:val="clear" w:color="auto" w:fill="FFFFFF"/>
          </w:tcPr>
          <w:p w14:paraId="0FBAA460" w14:textId="77777777" w:rsidR="002421E8" w:rsidRPr="00B57B36" w:rsidRDefault="002421E8" w:rsidP="00455D1D">
            <w:pPr>
              <w:pStyle w:val="CETBodytext"/>
              <w:rPr>
                <w:lang w:val="en-GB"/>
              </w:rPr>
            </w:pPr>
            <w:r>
              <w:rPr>
                <w:lang w:val="en-GB"/>
              </w:rPr>
              <w:t>1</w:t>
            </w:r>
          </w:p>
        </w:tc>
        <w:tc>
          <w:tcPr>
            <w:tcW w:w="1134" w:type="dxa"/>
            <w:shd w:val="clear" w:color="auto" w:fill="FFFFFF"/>
          </w:tcPr>
          <w:p w14:paraId="0640AFC0" w14:textId="77777777" w:rsidR="002421E8" w:rsidRPr="00B57B36" w:rsidRDefault="002421E8" w:rsidP="00455D1D">
            <w:pPr>
              <w:pStyle w:val="CETBodytext"/>
              <w:ind w:right="-1"/>
              <w:rPr>
                <w:rFonts w:cs="Arial"/>
                <w:szCs w:val="18"/>
                <w:lang w:val="en-GB"/>
              </w:rPr>
            </w:pPr>
            <w:r>
              <w:rPr>
                <w:rFonts w:cs="Arial"/>
                <w:szCs w:val="18"/>
                <w:lang w:val="en-GB"/>
              </w:rPr>
              <w:t>0</w:t>
            </w:r>
          </w:p>
        </w:tc>
        <w:tc>
          <w:tcPr>
            <w:tcW w:w="1134" w:type="dxa"/>
            <w:shd w:val="clear" w:color="auto" w:fill="FFFFFF"/>
          </w:tcPr>
          <w:p w14:paraId="7AA3070D" w14:textId="77777777" w:rsidR="002421E8" w:rsidRPr="00B57B36" w:rsidRDefault="002421E8" w:rsidP="00455D1D">
            <w:pPr>
              <w:pStyle w:val="CETBodytext"/>
              <w:ind w:right="-1"/>
              <w:rPr>
                <w:rFonts w:cs="Arial"/>
                <w:szCs w:val="18"/>
                <w:lang w:val="en-GB"/>
              </w:rPr>
            </w:pPr>
            <w:r>
              <w:rPr>
                <w:rFonts w:cs="Arial"/>
                <w:szCs w:val="18"/>
                <w:lang w:val="en-GB"/>
              </w:rPr>
              <w:t>0</w:t>
            </w:r>
          </w:p>
        </w:tc>
      </w:tr>
      <w:tr w:rsidR="002421E8" w:rsidRPr="00B57B36" w14:paraId="2E42BB61" w14:textId="77777777" w:rsidTr="00455D1D">
        <w:tc>
          <w:tcPr>
            <w:tcW w:w="1134" w:type="dxa"/>
            <w:shd w:val="clear" w:color="auto" w:fill="FFFFFF"/>
          </w:tcPr>
          <w:p w14:paraId="082B6E09" w14:textId="77777777" w:rsidR="002421E8" w:rsidRPr="00B57B36" w:rsidRDefault="002421E8" w:rsidP="00455D1D">
            <w:pPr>
              <w:pStyle w:val="CETBodytext"/>
              <w:ind w:right="-1"/>
              <w:rPr>
                <w:rFonts w:cs="Arial"/>
                <w:szCs w:val="18"/>
                <w:lang w:val="en-GB"/>
              </w:rPr>
            </w:pPr>
            <w:r>
              <w:rPr>
                <w:rFonts w:cs="Arial"/>
                <w:szCs w:val="18"/>
                <w:lang w:val="en-GB"/>
              </w:rPr>
              <w:t>Activity 2</w:t>
            </w:r>
          </w:p>
        </w:tc>
        <w:tc>
          <w:tcPr>
            <w:tcW w:w="1134" w:type="dxa"/>
            <w:shd w:val="clear" w:color="auto" w:fill="FFFFFF"/>
          </w:tcPr>
          <w:p w14:paraId="05290A9E" w14:textId="77777777" w:rsidR="002421E8" w:rsidRPr="00B57B36" w:rsidRDefault="002421E8" w:rsidP="00455D1D">
            <w:pPr>
              <w:pStyle w:val="CETBodytext"/>
              <w:ind w:right="-1"/>
              <w:rPr>
                <w:rFonts w:cs="Arial"/>
                <w:szCs w:val="18"/>
                <w:lang w:val="en-GB"/>
              </w:rPr>
            </w:pPr>
            <w:r>
              <w:rPr>
                <w:rFonts w:cs="Arial"/>
                <w:szCs w:val="18"/>
                <w:lang w:val="en-GB"/>
              </w:rPr>
              <w:t>0</w:t>
            </w:r>
          </w:p>
        </w:tc>
        <w:tc>
          <w:tcPr>
            <w:tcW w:w="1134" w:type="dxa"/>
            <w:shd w:val="clear" w:color="auto" w:fill="FFFFFF"/>
          </w:tcPr>
          <w:p w14:paraId="1288FD7C" w14:textId="77777777" w:rsidR="002421E8" w:rsidRPr="00B57B36" w:rsidRDefault="002421E8" w:rsidP="00455D1D">
            <w:pPr>
              <w:pStyle w:val="CETBodytext"/>
              <w:ind w:right="-1"/>
              <w:rPr>
                <w:rFonts w:cs="Arial"/>
                <w:szCs w:val="18"/>
                <w:lang w:val="en-GB"/>
              </w:rPr>
            </w:pPr>
            <w:r>
              <w:rPr>
                <w:rFonts w:cs="Arial"/>
                <w:szCs w:val="18"/>
                <w:lang w:val="en-GB"/>
              </w:rPr>
              <w:t>1</w:t>
            </w:r>
          </w:p>
        </w:tc>
        <w:tc>
          <w:tcPr>
            <w:tcW w:w="1134" w:type="dxa"/>
            <w:shd w:val="clear" w:color="auto" w:fill="FFFFFF"/>
          </w:tcPr>
          <w:p w14:paraId="2C71265C" w14:textId="77777777" w:rsidR="002421E8" w:rsidRPr="00B57B36" w:rsidRDefault="002421E8" w:rsidP="00455D1D">
            <w:pPr>
              <w:pStyle w:val="CETBodytext"/>
              <w:ind w:right="-1"/>
              <w:rPr>
                <w:rFonts w:cs="Arial"/>
                <w:szCs w:val="18"/>
                <w:lang w:val="en-GB"/>
              </w:rPr>
            </w:pPr>
            <w:r>
              <w:rPr>
                <w:rFonts w:cs="Arial"/>
                <w:szCs w:val="18"/>
                <w:lang w:val="en-GB"/>
              </w:rPr>
              <w:t>1</w:t>
            </w:r>
          </w:p>
        </w:tc>
        <w:tc>
          <w:tcPr>
            <w:tcW w:w="1134" w:type="dxa"/>
            <w:shd w:val="clear" w:color="auto" w:fill="FFFFFF"/>
          </w:tcPr>
          <w:p w14:paraId="0BD966A0" w14:textId="77777777" w:rsidR="002421E8" w:rsidRPr="00B57B36" w:rsidRDefault="002421E8" w:rsidP="00455D1D">
            <w:pPr>
              <w:pStyle w:val="CETBodytext"/>
              <w:ind w:right="-1"/>
              <w:rPr>
                <w:rFonts w:cs="Arial"/>
                <w:szCs w:val="18"/>
                <w:lang w:val="en-GB"/>
              </w:rPr>
            </w:pPr>
            <w:r>
              <w:rPr>
                <w:rFonts w:cs="Arial"/>
                <w:szCs w:val="18"/>
                <w:lang w:val="en-GB"/>
              </w:rPr>
              <w:t>1</w:t>
            </w:r>
          </w:p>
        </w:tc>
      </w:tr>
      <w:tr w:rsidR="002421E8" w:rsidRPr="00B57B36" w14:paraId="268839D3" w14:textId="77777777" w:rsidTr="00455D1D">
        <w:tc>
          <w:tcPr>
            <w:tcW w:w="1134" w:type="dxa"/>
            <w:shd w:val="clear" w:color="auto" w:fill="FFFFFF"/>
          </w:tcPr>
          <w:p w14:paraId="511B3501" w14:textId="77777777" w:rsidR="002421E8" w:rsidRDefault="002421E8" w:rsidP="00455D1D">
            <w:pPr>
              <w:pStyle w:val="CETBodytext"/>
              <w:ind w:right="-1"/>
              <w:rPr>
                <w:rFonts w:cs="Arial"/>
                <w:szCs w:val="18"/>
                <w:lang w:val="en-GB"/>
              </w:rPr>
            </w:pPr>
            <w:r>
              <w:rPr>
                <w:rFonts w:cs="Arial"/>
                <w:szCs w:val="18"/>
                <w:lang w:val="en-GB"/>
              </w:rPr>
              <w:t>Activity 3</w:t>
            </w:r>
          </w:p>
        </w:tc>
        <w:tc>
          <w:tcPr>
            <w:tcW w:w="1134" w:type="dxa"/>
            <w:shd w:val="clear" w:color="auto" w:fill="FFFFFF"/>
          </w:tcPr>
          <w:p w14:paraId="1BCD4D1E" w14:textId="77777777" w:rsidR="002421E8" w:rsidRPr="00B57B36" w:rsidRDefault="002421E8" w:rsidP="00455D1D">
            <w:pPr>
              <w:pStyle w:val="CETBodytext"/>
              <w:ind w:right="-1"/>
              <w:rPr>
                <w:rFonts w:cs="Arial"/>
                <w:szCs w:val="18"/>
                <w:lang w:val="en-GB"/>
              </w:rPr>
            </w:pPr>
            <w:r>
              <w:rPr>
                <w:rFonts w:cs="Arial"/>
                <w:szCs w:val="18"/>
                <w:lang w:val="en-GB"/>
              </w:rPr>
              <w:t>0</w:t>
            </w:r>
          </w:p>
        </w:tc>
        <w:tc>
          <w:tcPr>
            <w:tcW w:w="1134" w:type="dxa"/>
            <w:shd w:val="clear" w:color="auto" w:fill="FFFFFF"/>
          </w:tcPr>
          <w:p w14:paraId="2E144500" w14:textId="77777777" w:rsidR="002421E8" w:rsidRPr="00B57B36" w:rsidRDefault="002421E8" w:rsidP="00455D1D">
            <w:pPr>
              <w:pStyle w:val="CETBodytext"/>
              <w:ind w:right="-1"/>
              <w:rPr>
                <w:rFonts w:cs="Arial"/>
                <w:szCs w:val="18"/>
                <w:lang w:val="en-GB"/>
              </w:rPr>
            </w:pPr>
            <w:r>
              <w:rPr>
                <w:rFonts w:cs="Arial"/>
                <w:szCs w:val="18"/>
                <w:lang w:val="en-GB"/>
              </w:rPr>
              <w:t>0</w:t>
            </w:r>
          </w:p>
        </w:tc>
        <w:tc>
          <w:tcPr>
            <w:tcW w:w="1134" w:type="dxa"/>
            <w:shd w:val="clear" w:color="auto" w:fill="FFFFFF"/>
          </w:tcPr>
          <w:p w14:paraId="5AA7E751" w14:textId="77777777" w:rsidR="002421E8" w:rsidRPr="00B57B36" w:rsidRDefault="002421E8" w:rsidP="00455D1D">
            <w:pPr>
              <w:pStyle w:val="CETBodytext"/>
              <w:ind w:right="-1"/>
              <w:rPr>
                <w:rFonts w:cs="Arial"/>
                <w:szCs w:val="18"/>
                <w:lang w:val="en-GB"/>
              </w:rPr>
            </w:pPr>
            <w:r>
              <w:rPr>
                <w:rFonts w:cs="Arial"/>
                <w:szCs w:val="18"/>
                <w:lang w:val="en-GB"/>
              </w:rPr>
              <w:t>0</w:t>
            </w:r>
          </w:p>
        </w:tc>
        <w:tc>
          <w:tcPr>
            <w:tcW w:w="1134" w:type="dxa"/>
            <w:shd w:val="clear" w:color="auto" w:fill="FFFFFF"/>
          </w:tcPr>
          <w:p w14:paraId="7661F1DA" w14:textId="77777777" w:rsidR="002421E8" w:rsidRPr="00B57B36" w:rsidRDefault="002421E8" w:rsidP="00455D1D">
            <w:pPr>
              <w:pStyle w:val="CETBodytext"/>
              <w:ind w:right="-1"/>
              <w:rPr>
                <w:rFonts w:cs="Arial"/>
                <w:szCs w:val="18"/>
                <w:lang w:val="en-GB"/>
              </w:rPr>
            </w:pPr>
            <w:r>
              <w:rPr>
                <w:rFonts w:cs="Arial"/>
                <w:szCs w:val="18"/>
                <w:lang w:val="en-GB"/>
              </w:rPr>
              <w:t>1</w:t>
            </w:r>
          </w:p>
        </w:tc>
      </w:tr>
    </w:tbl>
    <w:p w14:paraId="77EBF52D" w14:textId="77777777" w:rsidR="005665F2" w:rsidRDefault="005665F2" w:rsidP="00D04A8D">
      <w:pPr>
        <w:pStyle w:val="CETListbullets"/>
        <w:ind w:left="0" w:firstLine="0"/>
      </w:pPr>
    </w:p>
    <w:p w14:paraId="7CD04AF3" w14:textId="131240AF" w:rsidR="005665F2" w:rsidRDefault="005665F2" w:rsidP="00CD2BAF">
      <w:pPr>
        <w:pStyle w:val="CETListbullets"/>
        <w:ind w:left="0" w:firstLine="0"/>
      </w:pPr>
      <w:r>
        <w:t>From this table, it is possible to deduce specific global emissions with the help of additional matrices. It is possible to introduce a matrix</w:t>
      </w:r>
      <w:r w:rsidR="00AB5D56">
        <w:t xml:space="preserve"> (called P</w:t>
      </w:r>
      <w:r w:rsidR="00585EA7">
        <w:t xml:space="preserve">), </w:t>
      </w:r>
      <w:r>
        <w:t>structured in the following way:</w:t>
      </w:r>
      <w:r w:rsidR="00AB5D56">
        <w:t xml:space="preserve"> each </w:t>
      </w:r>
      <w:r w:rsidR="00585EA7">
        <w:t>row</w:t>
      </w:r>
      <w:r w:rsidR="00AB5D56">
        <w:t xml:space="preserve"> represents the activities listed in the Gantt table (so </w:t>
      </w:r>
      <w:r w:rsidR="00585EA7">
        <w:t>the</w:t>
      </w:r>
      <w:r w:rsidR="00AB5D56">
        <w:t xml:space="preserve"> number of </w:t>
      </w:r>
      <w:r w:rsidR="00585EA7">
        <w:t>rows</w:t>
      </w:r>
      <w:r w:rsidR="00AB5D56">
        <w:t xml:space="preserve"> </w:t>
      </w:r>
      <w:r w:rsidR="00585EA7">
        <w:t xml:space="preserve">is </w:t>
      </w:r>
      <w:r w:rsidR="00AB5D56">
        <w:t xml:space="preserve">equal to </w:t>
      </w:r>
      <w:r w:rsidR="00585EA7">
        <w:t>na</w:t>
      </w:r>
      <w:r w:rsidR="00AB5D56">
        <w:t xml:space="preserve">), and each </w:t>
      </w:r>
      <w:r w:rsidR="00585EA7">
        <w:t>column</w:t>
      </w:r>
      <w:r w:rsidR="00AB5D56">
        <w:t xml:space="preserve"> represents </w:t>
      </w:r>
      <w:r w:rsidR="00585EA7">
        <w:t xml:space="preserve">all the </w:t>
      </w:r>
      <w:r w:rsidR="00AB5D56">
        <w:t>specific operating machines, trucks, excavations present during the whole activity. Now, the number</w:t>
      </w:r>
      <w:r w:rsidR="000623F0">
        <w:t>s</w:t>
      </w:r>
      <w:r w:rsidR="00AB5D56">
        <w:t xml:space="preserve"> in the matrix </w:t>
      </w:r>
      <w:r w:rsidR="000623F0">
        <w:t>are</w:t>
      </w:r>
      <w:r w:rsidR="00AB5D56">
        <w:t xml:space="preserve"> the total number of </w:t>
      </w:r>
      <w:r w:rsidR="00CD2BAF">
        <w:t>machines etc. used. Table 2 represents an example: in this case, a single drill is used during activity 1, no one is used in phase 2, and 2 are used in the final phase.</w:t>
      </w:r>
      <w:r w:rsidR="00AB5D56">
        <w:t xml:space="preserve"> </w:t>
      </w:r>
    </w:p>
    <w:p w14:paraId="4786FAC8" w14:textId="24DA06B0" w:rsidR="00DA43A3" w:rsidRPr="00B57B36" w:rsidRDefault="00DA43A3" w:rsidP="00DA43A3">
      <w:pPr>
        <w:pStyle w:val="CETTabletitle"/>
      </w:pPr>
      <w:r w:rsidRPr="00B57B36">
        <w:t xml:space="preserve">Table </w:t>
      </w:r>
      <w:r w:rsidR="00CD2BAF">
        <w:t>2</w:t>
      </w:r>
      <w:r w:rsidRPr="00B57B36">
        <w:t xml:space="preserve">: </w:t>
      </w:r>
      <w:r>
        <w:t xml:space="preserve">Example of </w:t>
      </w:r>
      <w:r w:rsidR="00CD2BAF">
        <w:t xml:space="preserve">P a matrix translated into a table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DA43A3" w:rsidRPr="00B57B36" w14:paraId="34189FE5" w14:textId="77777777" w:rsidTr="00455D1D">
        <w:tc>
          <w:tcPr>
            <w:tcW w:w="1134" w:type="dxa"/>
            <w:tcBorders>
              <w:top w:val="single" w:sz="12" w:space="0" w:color="008000"/>
              <w:bottom w:val="single" w:sz="6" w:space="0" w:color="008000"/>
            </w:tcBorders>
            <w:shd w:val="clear" w:color="auto" w:fill="FFFFFF"/>
          </w:tcPr>
          <w:p w14:paraId="204F9A88" w14:textId="77777777" w:rsidR="00DA43A3" w:rsidRPr="00B57B36" w:rsidRDefault="00DA43A3" w:rsidP="00455D1D">
            <w:pPr>
              <w:pStyle w:val="CETBodytext"/>
              <w:rPr>
                <w:lang w:val="en-GB"/>
              </w:rPr>
            </w:pPr>
          </w:p>
        </w:tc>
        <w:tc>
          <w:tcPr>
            <w:tcW w:w="1134" w:type="dxa"/>
            <w:tcBorders>
              <w:top w:val="single" w:sz="12" w:space="0" w:color="008000"/>
              <w:bottom w:val="single" w:sz="6" w:space="0" w:color="008000"/>
            </w:tcBorders>
            <w:shd w:val="clear" w:color="auto" w:fill="FFFFFF"/>
          </w:tcPr>
          <w:p w14:paraId="28E81F03" w14:textId="7101E41A" w:rsidR="00DA43A3" w:rsidRPr="00B57B36" w:rsidRDefault="000623F0" w:rsidP="00455D1D">
            <w:pPr>
              <w:pStyle w:val="CETBodytext"/>
              <w:rPr>
                <w:lang w:val="en-GB"/>
              </w:rPr>
            </w:pPr>
            <w:r>
              <w:rPr>
                <w:lang w:val="en-GB"/>
              </w:rPr>
              <w:t>Drill</w:t>
            </w:r>
          </w:p>
        </w:tc>
        <w:tc>
          <w:tcPr>
            <w:tcW w:w="1134" w:type="dxa"/>
            <w:tcBorders>
              <w:top w:val="single" w:sz="12" w:space="0" w:color="008000"/>
              <w:bottom w:val="single" w:sz="6" w:space="0" w:color="008000"/>
            </w:tcBorders>
            <w:shd w:val="clear" w:color="auto" w:fill="FFFFFF"/>
          </w:tcPr>
          <w:p w14:paraId="6BFA7421" w14:textId="6983670E" w:rsidR="00DA43A3" w:rsidRPr="00B57B36" w:rsidRDefault="000623F0" w:rsidP="00455D1D">
            <w:pPr>
              <w:pStyle w:val="CETBodytext"/>
              <w:rPr>
                <w:lang w:val="en-GB"/>
              </w:rPr>
            </w:pPr>
            <w:r>
              <w:rPr>
                <w:rFonts w:cs="Arial"/>
                <w:szCs w:val="18"/>
                <w:lang w:val="en-GB"/>
              </w:rPr>
              <w:t>Excavations</w:t>
            </w:r>
          </w:p>
        </w:tc>
        <w:tc>
          <w:tcPr>
            <w:tcW w:w="1134" w:type="dxa"/>
            <w:tcBorders>
              <w:top w:val="single" w:sz="12" w:space="0" w:color="008000"/>
              <w:bottom w:val="single" w:sz="6" w:space="0" w:color="008000"/>
            </w:tcBorders>
            <w:shd w:val="clear" w:color="auto" w:fill="FFFFFF"/>
          </w:tcPr>
          <w:p w14:paraId="0245FF1E" w14:textId="58D9085B" w:rsidR="00DA43A3" w:rsidRPr="00B57B36" w:rsidRDefault="000623F0" w:rsidP="00455D1D">
            <w:pPr>
              <w:pStyle w:val="CETBodytext"/>
              <w:ind w:right="-1"/>
              <w:rPr>
                <w:rFonts w:cs="Arial"/>
                <w:szCs w:val="18"/>
                <w:lang w:val="en-GB"/>
              </w:rPr>
            </w:pPr>
            <w:r>
              <w:rPr>
                <w:rFonts w:cs="Arial"/>
                <w:szCs w:val="18"/>
                <w:lang w:val="en-GB"/>
              </w:rPr>
              <w:t>Heavy trucks</w:t>
            </w:r>
          </w:p>
        </w:tc>
      </w:tr>
      <w:tr w:rsidR="00DA43A3" w:rsidRPr="00B57B36" w14:paraId="72CE80B5" w14:textId="77777777" w:rsidTr="00455D1D">
        <w:tc>
          <w:tcPr>
            <w:tcW w:w="1134" w:type="dxa"/>
            <w:shd w:val="clear" w:color="auto" w:fill="FFFFFF"/>
          </w:tcPr>
          <w:p w14:paraId="2FBAF500" w14:textId="69C3EB01" w:rsidR="00DA43A3" w:rsidRPr="00B57B36" w:rsidRDefault="000623F0" w:rsidP="00455D1D">
            <w:pPr>
              <w:pStyle w:val="CETBodytext"/>
              <w:rPr>
                <w:lang w:val="en-GB"/>
              </w:rPr>
            </w:pPr>
            <w:r>
              <w:rPr>
                <w:lang w:val="en-GB"/>
              </w:rPr>
              <w:t>Activity 1</w:t>
            </w:r>
          </w:p>
        </w:tc>
        <w:tc>
          <w:tcPr>
            <w:tcW w:w="1134" w:type="dxa"/>
            <w:shd w:val="clear" w:color="auto" w:fill="FFFFFF"/>
          </w:tcPr>
          <w:p w14:paraId="3255CE8D" w14:textId="77777777" w:rsidR="00DA43A3" w:rsidRPr="00B57B36" w:rsidRDefault="00DA43A3" w:rsidP="00455D1D">
            <w:pPr>
              <w:pStyle w:val="CETBodytext"/>
              <w:rPr>
                <w:lang w:val="en-GB"/>
              </w:rPr>
            </w:pPr>
            <w:r>
              <w:rPr>
                <w:lang w:val="en-GB"/>
              </w:rPr>
              <w:t>1</w:t>
            </w:r>
          </w:p>
        </w:tc>
        <w:tc>
          <w:tcPr>
            <w:tcW w:w="1134" w:type="dxa"/>
            <w:shd w:val="clear" w:color="auto" w:fill="FFFFFF"/>
          </w:tcPr>
          <w:p w14:paraId="20E1D0FD" w14:textId="2976759C" w:rsidR="00DA43A3" w:rsidRPr="00B57B36" w:rsidRDefault="00DA43A3" w:rsidP="00455D1D">
            <w:pPr>
              <w:pStyle w:val="CETBodytext"/>
              <w:rPr>
                <w:lang w:val="en-GB"/>
              </w:rPr>
            </w:pPr>
            <w:r>
              <w:rPr>
                <w:lang w:val="en-GB"/>
              </w:rPr>
              <w:t>0</w:t>
            </w:r>
          </w:p>
        </w:tc>
        <w:tc>
          <w:tcPr>
            <w:tcW w:w="1134" w:type="dxa"/>
            <w:shd w:val="clear" w:color="auto" w:fill="FFFFFF"/>
          </w:tcPr>
          <w:p w14:paraId="121B449E" w14:textId="22AD8044" w:rsidR="00DA43A3" w:rsidRPr="00B57B36" w:rsidRDefault="00DA43A3" w:rsidP="00455D1D">
            <w:pPr>
              <w:pStyle w:val="CETBodytext"/>
              <w:ind w:right="-1"/>
              <w:rPr>
                <w:rFonts w:cs="Arial"/>
                <w:szCs w:val="18"/>
                <w:lang w:val="en-GB"/>
              </w:rPr>
            </w:pPr>
            <w:r>
              <w:rPr>
                <w:rFonts w:cs="Arial"/>
                <w:szCs w:val="18"/>
                <w:lang w:val="en-GB"/>
              </w:rPr>
              <w:t>2</w:t>
            </w:r>
          </w:p>
        </w:tc>
      </w:tr>
      <w:tr w:rsidR="00DA43A3" w:rsidRPr="00B57B36" w14:paraId="14E51BF5" w14:textId="77777777" w:rsidTr="00455D1D">
        <w:tc>
          <w:tcPr>
            <w:tcW w:w="1134" w:type="dxa"/>
            <w:shd w:val="clear" w:color="auto" w:fill="FFFFFF"/>
          </w:tcPr>
          <w:p w14:paraId="772C9563" w14:textId="513A4A99" w:rsidR="00DA43A3" w:rsidRPr="00B57B36" w:rsidRDefault="000623F0" w:rsidP="00455D1D">
            <w:pPr>
              <w:pStyle w:val="CETBodytext"/>
              <w:ind w:right="-1"/>
              <w:rPr>
                <w:rFonts w:cs="Arial"/>
                <w:szCs w:val="18"/>
                <w:lang w:val="en-GB"/>
              </w:rPr>
            </w:pPr>
            <w:r>
              <w:rPr>
                <w:lang w:val="en-GB"/>
              </w:rPr>
              <w:t>Activity 2</w:t>
            </w:r>
          </w:p>
        </w:tc>
        <w:tc>
          <w:tcPr>
            <w:tcW w:w="1134" w:type="dxa"/>
            <w:shd w:val="clear" w:color="auto" w:fill="FFFFFF"/>
          </w:tcPr>
          <w:p w14:paraId="046BFE11" w14:textId="77777777" w:rsidR="00DA43A3" w:rsidRPr="00B57B36" w:rsidRDefault="00DA43A3" w:rsidP="00455D1D">
            <w:pPr>
              <w:pStyle w:val="CETBodytext"/>
              <w:ind w:right="-1"/>
              <w:rPr>
                <w:rFonts w:cs="Arial"/>
                <w:szCs w:val="18"/>
                <w:lang w:val="en-GB"/>
              </w:rPr>
            </w:pPr>
            <w:r>
              <w:rPr>
                <w:rFonts w:cs="Arial"/>
                <w:szCs w:val="18"/>
                <w:lang w:val="en-GB"/>
              </w:rPr>
              <w:t>0</w:t>
            </w:r>
          </w:p>
        </w:tc>
        <w:tc>
          <w:tcPr>
            <w:tcW w:w="1134" w:type="dxa"/>
            <w:shd w:val="clear" w:color="auto" w:fill="FFFFFF"/>
          </w:tcPr>
          <w:p w14:paraId="3DFE7278" w14:textId="2F318E1E" w:rsidR="00DA43A3" w:rsidRPr="00B57B36" w:rsidRDefault="00DA43A3" w:rsidP="00455D1D">
            <w:pPr>
              <w:pStyle w:val="CETBodytext"/>
              <w:ind w:right="-1"/>
              <w:rPr>
                <w:rFonts w:cs="Arial"/>
                <w:szCs w:val="18"/>
                <w:lang w:val="en-GB"/>
              </w:rPr>
            </w:pPr>
            <w:r>
              <w:rPr>
                <w:rFonts w:cs="Arial"/>
                <w:szCs w:val="18"/>
                <w:lang w:val="en-GB"/>
              </w:rPr>
              <w:t>1</w:t>
            </w:r>
          </w:p>
        </w:tc>
        <w:tc>
          <w:tcPr>
            <w:tcW w:w="1134" w:type="dxa"/>
            <w:shd w:val="clear" w:color="auto" w:fill="FFFFFF"/>
          </w:tcPr>
          <w:p w14:paraId="657A4A72" w14:textId="513A58CC" w:rsidR="00DA43A3" w:rsidRPr="00B57B36" w:rsidRDefault="00DA43A3" w:rsidP="00455D1D">
            <w:pPr>
              <w:pStyle w:val="CETBodytext"/>
              <w:ind w:right="-1"/>
              <w:rPr>
                <w:rFonts w:cs="Arial"/>
                <w:szCs w:val="18"/>
                <w:lang w:val="en-GB"/>
              </w:rPr>
            </w:pPr>
            <w:r>
              <w:rPr>
                <w:rFonts w:cs="Arial"/>
                <w:szCs w:val="18"/>
                <w:lang w:val="en-GB"/>
              </w:rPr>
              <w:t>0</w:t>
            </w:r>
          </w:p>
        </w:tc>
      </w:tr>
      <w:tr w:rsidR="00DA43A3" w:rsidRPr="00B57B36" w14:paraId="61614596" w14:textId="77777777" w:rsidTr="00455D1D">
        <w:tc>
          <w:tcPr>
            <w:tcW w:w="1134" w:type="dxa"/>
            <w:shd w:val="clear" w:color="auto" w:fill="FFFFFF"/>
          </w:tcPr>
          <w:p w14:paraId="346E3E93" w14:textId="4BE427B7" w:rsidR="00DA43A3" w:rsidRDefault="000623F0" w:rsidP="00455D1D">
            <w:pPr>
              <w:pStyle w:val="CETBodytext"/>
              <w:ind w:right="-1"/>
              <w:rPr>
                <w:rFonts w:cs="Arial"/>
                <w:szCs w:val="18"/>
                <w:lang w:val="en-GB"/>
              </w:rPr>
            </w:pPr>
            <w:r>
              <w:rPr>
                <w:lang w:val="en-GB"/>
              </w:rPr>
              <w:t>Activity 3</w:t>
            </w:r>
          </w:p>
        </w:tc>
        <w:tc>
          <w:tcPr>
            <w:tcW w:w="1134" w:type="dxa"/>
            <w:shd w:val="clear" w:color="auto" w:fill="FFFFFF"/>
          </w:tcPr>
          <w:p w14:paraId="04636C91" w14:textId="36ABF741" w:rsidR="00DA43A3" w:rsidRPr="00B57B36" w:rsidRDefault="000623F0" w:rsidP="00455D1D">
            <w:pPr>
              <w:pStyle w:val="CETBodytext"/>
              <w:ind w:right="-1"/>
              <w:rPr>
                <w:rFonts w:cs="Arial"/>
                <w:szCs w:val="18"/>
                <w:lang w:val="en-GB"/>
              </w:rPr>
            </w:pPr>
            <w:r>
              <w:rPr>
                <w:rFonts w:cs="Arial"/>
                <w:szCs w:val="18"/>
                <w:lang w:val="en-GB"/>
              </w:rPr>
              <w:t>2</w:t>
            </w:r>
          </w:p>
        </w:tc>
        <w:tc>
          <w:tcPr>
            <w:tcW w:w="1134" w:type="dxa"/>
            <w:shd w:val="clear" w:color="auto" w:fill="FFFFFF"/>
          </w:tcPr>
          <w:p w14:paraId="75489E03" w14:textId="2B7A45FE" w:rsidR="00DA43A3" w:rsidRPr="00B57B36" w:rsidRDefault="00DA43A3" w:rsidP="00455D1D">
            <w:pPr>
              <w:pStyle w:val="CETBodytext"/>
              <w:ind w:right="-1"/>
              <w:rPr>
                <w:rFonts w:cs="Arial"/>
                <w:szCs w:val="18"/>
                <w:lang w:val="en-GB"/>
              </w:rPr>
            </w:pPr>
            <w:r>
              <w:rPr>
                <w:rFonts w:cs="Arial"/>
                <w:szCs w:val="18"/>
                <w:lang w:val="en-GB"/>
              </w:rPr>
              <w:t>1</w:t>
            </w:r>
          </w:p>
        </w:tc>
        <w:tc>
          <w:tcPr>
            <w:tcW w:w="1134" w:type="dxa"/>
            <w:shd w:val="clear" w:color="auto" w:fill="FFFFFF"/>
          </w:tcPr>
          <w:p w14:paraId="7DE2C0CA" w14:textId="6DE15D58" w:rsidR="00DA43A3" w:rsidRPr="00B57B36" w:rsidRDefault="00DA43A3" w:rsidP="00455D1D">
            <w:pPr>
              <w:pStyle w:val="CETBodytext"/>
              <w:ind w:right="-1"/>
              <w:rPr>
                <w:rFonts w:cs="Arial"/>
                <w:szCs w:val="18"/>
                <w:lang w:val="en-GB"/>
              </w:rPr>
            </w:pPr>
            <w:r>
              <w:rPr>
                <w:rFonts w:cs="Arial"/>
                <w:szCs w:val="18"/>
                <w:lang w:val="en-GB"/>
              </w:rPr>
              <w:t>2</w:t>
            </w:r>
          </w:p>
        </w:tc>
      </w:tr>
    </w:tbl>
    <w:p w14:paraId="25CE0419" w14:textId="21B22737" w:rsidR="00F86E7C" w:rsidRDefault="00585EA7" w:rsidP="00D04A8D">
      <w:pPr>
        <w:pStyle w:val="CETListbullets"/>
        <w:ind w:left="0" w:firstLine="0"/>
      </w:pPr>
      <w:r>
        <w:t xml:space="preserve">An additional matrix, called E, must be finally introduced. In this case, the matrix contains information about the emission factors which were calculated according to dedicated models. In this case, the rows contain the </w:t>
      </w:r>
      <w:r>
        <w:lastRenderedPageBreak/>
        <w:t>equipment listed already in the P matrix, and the columns contains the pollutants chosen (in this case, 5 pollutants are identified). An example is reported in Table 3.</w:t>
      </w:r>
    </w:p>
    <w:p w14:paraId="31F44D81" w14:textId="72D7107A" w:rsidR="00DA43A3" w:rsidRPr="00B57B36" w:rsidRDefault="00DA43A3" w:rsidP="00DA43A3">
      <w:pPr>
        <w:pStyle w:val="CETTabletitle"/>
      </w:pPr>
      <w:r w:rsidRPr="00B57B36">
        <w:t xml:space="preserve">Table </w:t>
      </w:r>
      <w:r w:rsidR="00F86E7C">
        <w:t>3</w:t>
      </w:r>
      <w:r w:rsidRPr="00B57B36">
        <w:t xml:space="preserve">: </w:t>
      </w:r>
      <w:r>
        <w:t xml:space="preserve">Example of </w:t>
      </w:r>
      <w:r w:rsidR="0072108A">
        <w:t>a E matrix translated into a table</w:t>
      </w:r>
      <w:r w:rsidR="00AB7BD6">
        <w:t xml:space="preserve"> (each emission factor is referred to data for the specific operating machine/activity)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8C7A09" w:rsidRPr="00B57B36" w14:paraId="03BFD318" w14:textId="3EAF16E3" w:rsidTr="005E5821">
        <w:tc>
          <w:tcPr>
            <w:tcW w:w="1134" w:type="dxa"/>
            <w:tcBorders>
              <w:top w:val="single" w:sz="12" w:space="0" w:color="008000"/>
              <w:bottom w:val="single" w:sz="6" w:space="0" w:color="008000"/>
            </w:tcBorders>
            <w:shd w:val="clear" w:color="auto" w:fill="FFFFFF"/>
          </w:tcPr>
          <w:p w14:paraId="044E150D" w14:textId="08E40010" w:rsidR="008C7A09" w:rsidRPr="00B57B36" w:rsidRDefault="008C7A09" w:rsidP="008C7A09">
            <w:pPr>
              <w:pStyle w:val="CETBodytext"/>
              <w:rPr>
                <w:lang w:val="en-GB"/>
              </w:rPr>
            </w:pPr>
          </w:p>
        </w:tc>
        <w:tc>
          <w:tcPr>
            <w:tcW w:w="1134" w:type="dxa"/>
            <w:tcBorders>
              <w:top w:val="single" w:sz="12" w:space="0" w:color="008000"/>
              <w:bottom w:val="single" w:sz="6" w:space="0" w:color="008000"/>
            </w:tcBorders>
            <w:shd w:val="clear" w:color="auto" w:fill="FFFFFF"/>
          </w:tcPr>
          <w:p w14:paraId="428A3644" w14:textId="1AC07BC4" w:rsidR="008C7A09" w:rsidRPr="00B57B36" w:rsidRDefault="008C7A09" w:rsidP="008C7A09">
            <w:pPr>
              <w:pStyle w:val="CETBodytext"/>
              <w:rPr>
                <w:lang w:val="en-GB"/>
              </w:rPr>
            </w:pPr>
            <w:r>
              <w:rPr>
                <w:lang w:val="en-GB"/>
              </w:rPr>
              <w:t>CO</w:t>
            </w:r>
          </w:p>
        </w:tc>
        <w:tc>
          <w:tcPr>
            <w:tcW w:w="1134" w:type="dxa"/>
            <w:tcBorders>
              <w:top w:val="single" w:sz="12" w:space="0" w:color="008000"/>
              <w:bottom w:val="single" w:sz="6" w:space="0" w:color="008000"/>
            </w:tcBorders>
            <w:shd w:val="clear" w:color="auto" w:fill="FFFFFF"/>
          </w:tcPr>
          <w:p w14:paraId="4B509E6D" w14:textId="651B41DC" w:rsidR="008C7A09" w:rsidRPr="00B57B36" w:rsidRDefault="008C7A09" w:rsidP="008C7A09">
            <w:pPr>
              <w:pStyle w:val="CETBodytext"/>
              <w:rPr>
                <w:lang w:val="en-GB"/>
              </w:rPr>
            </w:pPr>
            <w:r>
              <w:rPr>
                <w:lang w:val="en-GB"/>
              </w:rPr>
              <w:t>NOx</w:t>
            </w:r>
          </w:p>
        </w:tc>
        <w:tc>
          <w:tcPr>
            <w:tcW w:w="1134" w:type="dxa"/>
            <w:tcBorders>
              <w:top w:val="single" w:sz="12" w:space="0" w:color="008000"/>
              <w:bottom w:val="single" w:sz="6" w:space="0" w:color="008000"/>
            </w:tcBorders>
            <w:shd w:val="clear" w:color="auto" w:fill="FFFFFF"/>
          </w:tcPr>
          <w:p w14:paraId="6EDA9FA0" w14:textId="5A802526" w:rsidR="008C7A09" w:rsidRPr="00B57B36" w:rsidRDefault="008C7A09" w:rsidP="008C7A09">
            <w:pPr>
              <w:pStyle w:val="CETBodytext"/>
              <w:ind w:right="-1"/>
              <w:rPr>
                <w:rFonts w:cs="Arial"/>
                <w:szCs w:val="18"/>
                <w:lang w:val="en-GB"/>
              </w:rPr>
            </w:pPr>
            <w:r>
              <w:rPr>
                <w:rFonts w:cs="Arial"/>
                <w:szCs w:val="18"/>
                <w:lang w:val="en-GB"/>
              </w:rPr>
              <w:t>SOx</w:t>
            </w:r>
          </w:p>
        </w:tc>
        <w:tc>
          <w:tcPr>
            <w:tcW w:w="1134" w:type="dxa"/>
            <w:tcBorders>
              <w:top w:val="single" w:sz="12" w:space="0" w:color="008000"/>
              <w:bottom w:val="single" w:sz="6" w:space="0" w:color="008000"/>
            </w:tcBorders>
            <w:shd w:val="clear" w:color="auto" w:fill="FFFFFF"/>
          </w:tcPr>
          <w:p w14:paraId="542AA9C5" w14:textId="3F333123" w:rsidR="008C7A09" w:rsidRPr="00B57B36" w:rsidRDefault="008C7A09" w:rsidP="008C7A09">
            <w:pPr>
              <w:pStyle w:val="CETBodytext"/>
              <w:ind w:right="-1"/>
              <w:rPr>
                <w:rFonts w:cs="Arial"/>
                <w:szCs w:val="18"/>
                <w:lang w:val="en-GB"/>
              </w:rPr>
            </w:pPr>
            <w:r>
              <w:rPr>
                <w:rFonts w:cs="Arial"/>
                <w:szCs w:val="18"/>
                <w:lang w:val="en-GB"/>
              </w:rPr>
              <w:t>PM</w:t>
            </w:r>
            <w:r w:rsidRPr="007A0A3D">
              <w:rPr>
                <w:rFonts w:cs="Arial"/>
                <w:szCs w:val="18"/>
                <w:vertAlign w:val="subscript"/>
                <w:lang w:val="en-GB"/>
              </w:rPr>
              <w:t>2.5</w:t>
            </w:r>
          </w:p>
        </w:tc>
        <w:tc>
          <w:tcPr>
            <w:tcW w:w="1134" w:type="dxa"/>
            <w:tcBorders>
              <w:top w:val="single" w:sz="12" w:space="0" w:color="008000"/>
              <w:bottom w:val="single" w:sz="6" w:space="0" w:color="008000"/>
            </w:tcBorders>
            <w:shd w:val="clear" w:color="auto" w:fill="FFFFFF"/>
          </w:tcPr>
          <w:p w14:paraId="16FB045F" w14:textId="089835B3" w:rsidR="008C7A09" w:rsidRDefault="008C7A09" w:rsidP="008C7A09">
            <w:pPr>
              <w:pStyle w:val="CETBodytext"/>
              <w:ind w:right="-1"/>
              <w:rPr>
                <w:rFonts w:cs="Arial"/>
                <w:szCs w:val="18"/>
                <w:lang w:val="en-GB"/>
              </w:rPr>
            </w:pPr>
            <w:r>
              <w:rPr>
                <w:rFonts w:cs="Arial"/>
                <w:szCs w:val="18"/>
                <w:lang w:val="en-GB"/>
              </w:rPr>
              <w:t>PM</w:t>
            </w:r>
            <w:r w:rsidRPr="007A0A3D">
              <w:rPr>
                <w:rFonts w:cs="Arial"/>
                <w:szCs w:val="18"/>
                <w:vertAlign w:val="subscript"/>
                <w:lang w:val="en-GB"/>
              </w:rPr>
              <w:t>10</w:t>
            </w:r>
          </w:p>
        </w:tc>
      </w:tr>
      <w:tr w:rsidR="008C7A09" w:rsidRPr="00B57B36" w14:paraId="02593BE3" w14:textId="56CED6BA" w:rsidTr="005E5821">
        <w:tc>
          <w:tcPr>
            <w:tcW w:w="1134" w:type="dxa"/>
            <w:shd w:val="clear" w:color="auto" w:fill="FFFFFF"/>
          </w:tcPr>
          <w:p w14:paraId="7112021A" w14:textId="11DE3F40" w:rsidR="008C7A09" w:rsidRPr="00B57B36" w:rsidRDefault="008C7A09" w:rsidP="008C7A09">
            <w:pPr>
              <w:pStyle w:val="CETBodytext"/>
              <w:rPr>
                <w:lang w:val="en-GB"/>
              </w:rPr>
            </w:pPr>
            <w:r>
              <w:rPr>
                <w:lang w:val="en-GB"/>
              </w:rPr>
              <w:t>Drill</w:t>
            </w:r>
          </w:p>
        </w:tc>
        <w:tc>
          <w:tcPr>
            <w:tcW w:w="1134" w:type="dxa"/>
            <w:shd w:val="clear" w:color="auto" w:fill="FFFFFF"/>
          </w:tcPr>
          <w:p w14:paraId="5AE79D19" w14:textId="513EF9B9" w:rsidR="008C7A09" w:rsidRPr="00B57B36" w:rsidRDefault="008C7A09" w:rsidP="008C7A09">
            <w:pPr>
              <w:pStyle w:val="CETBodytext"/>
              <w:rPr>
                <w:lang w:val="en-GB"/>
              </w:rPr>
            </w:pPr>
            <w:r>
              <w:rPr>
                <w:lang w:val="en-GB"/>
              </w:rPr>
              <w:t>E</w:t>
            </w:r>
            <w:r w:rsidRPr="00896B25">
              <w:rPr>
                <w:vertAlign w:val="subscript"/>
                <w:lang w:val="en-GB"/>
              </w:rPr>
              <w:t>CO</w:t>
            </w:r>
          </w:p>
        </w:tc>
        <w:tc>
          <w:tcPr>
            <w:tcW w:w="1134" w:type="dxa"/>
            <w:shd w:val="clear" w:color="auto" w:fill="FFFFFF"/>
          </w:tcPr>
          <w:p w14:paraId="0282B974" w14:textId="62C69812" w:rsidR="008C7A09" w:rsidRPr="00B57B36" w:rsidRDefault="008C7A09" w:rsidP="008C7A09">
            <w:pPr>
              <w:pStyle w:val="CETBodytext"/>
              <w:rPr>
                <w:lang w:val="en-GB"/>
              </w:rPr>
            </w:pPr>
            <w:r>
              <w:rPr>
                <w:lang w:val="en-GB"/>
              </w:rPr>
              <w:t>E</w:t>
            </w:r>
            <w:r>
              <w:rPr>
                <w:vertAlign w:val="subscript"/>
                <w:lang w:val="en-GB"/>
              </w:rPr>
              <w:t>NOx</w:t>
            </w:r>
          </w:p>
        </w:tc>
        <w:tc>
          <w:tcPr>
            <w:tcW w:w="1134" w:type="dxa"/>
            <w:shd w:val="clear" w:color="auto" w:fill="FFFFFF"/>
          </w:tcPr>
          <w:p w14:paraId="6C1143CC" w14:textId="4BFA6159" w:rsidR="008C7A09" w:rsidRPr="00B57B36" w:rsidRDefault="008C7A09" w:rsidP="008C7A09">
            <w:pPr>
              <w:pStyle w:val="CETBodytext"/>
              <w:ind w:right="-1"/>
              <w:rPr>
                <w:rFonts w:cs="Arial"/>
                <w:szCs w:val="18"/>
                <w:lang w:val="en-GB"/>
              </w:rPr>
            </w:pPr>
            <w:r>
              <w:rPr>
                <w:lang w:val="en-GB"/>
              </w:rPr>
              <w:t>E</w:t>
            </w:r>
            <w:r>
              <w:rPr>
                <w:vertAlign w:val="subscript"/>
                <w:lang w:val="en-GB"/>
              </w:rPr>
              <w:t>SOx</w:t>
            </w:r>
          </w:p>
        </w:tc>
        <w:tc>
          <w:tcPr>
            <w:tcW w:w="1134" w:type="dxa"/>
            <w:shd w:val="clear" w:color="auto" w:fill="FFFFFF"/>
          </w:tcPr>
          <w:p w14:paraId="6D62CCD7" w14:textId="7EC8881E" w:rsidR="008C7A09" w:rsidRPr="00B57B36" w:rsidRDefault="008C7A09" w:rsidP="008C7A09">
            <w:pPr>
              <w:pStyle w:val="CETBodytext"/>
              <w:ind w:right="-1"/>
              <w:rPr>
                <w:rFonts w:cs="Arial"/>
                <w:szCs w:val="18"/>
                <w:lang w:val="en-GB"/>
              </w:rPr>
            </w:pPr>
            <w:r>
              <w:rPr>
                <w:lang w:val="en-GB"/>
              </w:rPr>
              <w:t>E</w:t>
            </w:r>
            <w:r>
              <w:rPr>
                <w:vertAlign w:val="subscript"/>
                <w:lang w:val="en-GB"/>
              </w:rPr>
              <w:t>PM2.5</w:t>
            </w:r>
          </w:p>
        </w:tc>
        <w:tc>
          <w:tcPr>
            <w:tcW w:w="1134" w:type="dxa"/>
            <w:shd w:val="clear" w:color="auto" w:fill="FFFFFF"/>
          </w:tcPr>
          <w:p w14:paraId="4D968609" w14:textId="24559F10" w:rsidR="008C7A09" w:rsidRDefault="008C7A09" w:rsidP="008C7A09">
            <w:pPr>
              <w:pStyle w:val="CETBodytext"/>
              <w:ind w:right="-1"/>
              <w:rPr>
                <w:lang w:val="en-GB"/>
              </w:rPr>
            </w:pPr>
            <w:r>
              <w:rPr>
                <w:lang w:val="en-GB"/>
              </w:rPr>
              <w:t>E</w:t>
            </w:r>
            <w:r>
              <w:rPr>
                <w:vertAlign w:val="subscript"/>
                <w:lang w:val="en-GB"/>
              </w:rPr>
              <w:t>PM10</w:t>
            </w:r>
          </w:p>
        </w:tc>
      </w:tr>
      <w:tr w:rsidR="008C7A09" w:rsidRPr="00B57B36" w14:paraId="3C9532C3" w14:textId="0E81DDA0" w:rsidTr="005E5821">
        <w:tc>
          <w:tcPr>
            <w:tcW w:w="1134" w:type="dxa"/>
            <w:shd w:val="clear" w:color="auto" w:fill="FFFFFF"/>
          </w:tcPr>
          <w:p w14:paraId="345B169B" w14:textId="6476DDF0" w:rsidR="008C7A09" w:rsidRPr="00B57B36" w:rsidRDefault="008C7A09" w:rsidP="008C7A09">
            <w:pPr>
              <w:pStyle w:val="CETBodytext"/>
              <w:ind w:right="-1"/>
              <w:rPr>
                <w:rFonts w:cs="Arial"/>
                <w:szCs w:val="18"/>
                <w:lang w:val="en-GB"/>
              </w:rPr>
            </w:pPr>
            <w:r>
              <w:rPr>
                <w:rFonts w:cs="Arial"/>
                <w:szCs w:val="18"/>
                <w:lang w:val="en-GB"/>
              </w:rPr>
              <w:t>Excavations</w:t>
            </w:r>
          </w:p>
        </w:tc>
        <w:tc>
          <w:tcPr>
            <w:tcW w:w="1134" w:type="dxa"/>
            <w:shd w:val="clear" w:color="auto" w:fill="FFFFFF"/>
          </w:tcPr>
          <w:p w14:paraId="257F196C" w14:textId="6EEA3FE8" w:rsidR="008C7A09" w:rsidRPr="00B57B36" w:rsidRDefault="008C7A09" w:rsidP="008C7A09">
            <w:pPr>
              <w:pStyle w:val="CETBodytext"/>
              <w:ind w:right="-1"/>
              <w:rPr>
                <w:rFonts w:cs="Arial"/>
                <w:szCs w:val="18"/>
                <w:lang w:val="en-GB"/>
              </w:rPr>
            </w:pPr>
            <w:r>
              <w:rPr>
                <w:lang w:val="en-GB"/>
              </w:rPr>
              <w:t>E</w:t>
            </w:r>
            <w:r w:rsidRPr="00896B25">
              <w:rPr>
                <w:vertAlign w:val="subscript"/>
                <w:lang w:val="en-GB"/>
              </w:rPr>
              <w:t>CO</w:t>
            </w:r>
          </w:p>
        </w:tc>
        <w:tc>
          <w:tcPr>
            <w:tcW w:w="1134" w:type="dxa"/>
            <w:shd w:val="clear" w:color="auto" w:fill="FFFFFF"/>
          </w:tcPr>
          <w:p w14:paraId="17FEF7F0" w14:textId="6B9381D8" w:rsidR="008C7A09" w:rsidRPr="00B57B36" w:rsidRDefault="008C7A09" w:rsidP="008C7A09">
            <w:pPr>
              <w:pStyle w:val="CETBodytext"/>
              <w:ind w:right="-1"/>
              <w:rPr>
                <w:rFonts w:cs="Arial"/>
                <w:szCs w:val="18"/>
                <w:lang w:val="en-GB"/>
              </w:rPr>
            </w:pPr>
            <w:r>
              <w:rPr>
                <w:lang w:val="en-GB"/>
              </w:rPr>
              <w:t>E</w:t>
            </w:r>
            <w:r>
              <w:rPr>
                <w:vertAlign w:val="subscript"/>
                <w:lang w:val="en-GB"/>
              </w:rPr>
              <w:t>NOx</w:t>
            </w:r>
          </w:p>
        </w:tc>
        <w:tc>
          <w:tcPr>
            <w:tcW w:w="1134" w:type="dxa"/>
            <w:shd w:val="clear" w:color="auto" w:fill="FFFFFF"/>
          </w:tcPr>
          <w:p w14:paraId="2B7A7267" w14:textId="15979E93" w:rsidR="008C7A09" w:rsidRPr="00B57B36" w:rsidRDefault="008C7A09" w:rsidP="008C7A09">
            <w:pPr>
              <w:pStyle w:val="CETBodytext"/>
              <w:ind w:right="-1"/>
              <w:rPr>
                <w:rFonts w:cs="Arial"/>
                <w:szCs w:val="18"/>
                <w:lang w:val="en-GB"/>
              </w:rPr>
            </w:pPr>
            <w:r>
              <w:rPr>
                <w:lang w:val="en-GB"/>
              </w:rPr>
              <w:t>E</w:t>
            </w:r>
            <w:r>
              <w:rPr>
                <w:vertAlign w:val="subscript"/>
                <w:lang w:val="en-GB"/>
              </w:rPr>
              <w:t>S</w:t>
            </w:r>
            <w:r w:rsidR="00AB7BD6">
              <w:rPr>
                <w:vertAlign w:val="subscript"/>
                <w:lang w:val="en-GB"/>
              </w:rPr>
              <w:t>O</w:t>
            </w:r>
            <w:r>
              <w:rPr>
                <w:vertAlign w:val="subscript"/>
                <w:lang w:val="en-GB"/>
              </w:rPr>
              <w:t>x</w:t>
            </w:r>
          </w:p>
        </w:tc>
        <w:tc>
          <w:tcPr>
            <w:tcW w:w="1134" w:type="dxa"/>
            <w:shd w:val="clear" w:color="auto" w:fill="FFFFFF"/>
          </w:tcPr>
          <w:p w14:paraId="1383A673" w14:textId="35D19650" w:rsidR="008C7A09" w:rsidRPr="00B57B36" w:rsidRDefault="008C7A09" w:rsidP="008C7A09">
            <w:pPr>
              <w:pStyle w:val="CETBodytext"/>
              <w:ind w:right="-1"/>
              <w:rPr>
                <w:rFonts w:cs="Arial"/>
                <w:szCs w:val="18"/>
                <w:lang w:val="en-GB"/>
              </w:rPr>
            </w:pPr>
            <w:r>
              <w:rPr>
                <w:lang w:val="en-GB"/>
              </w:rPr>
              <w:t>E</w:t>
            </w:r>
            <w:r>
              <w:rPr>
                <w:vertAlign w:val="subscript"/>
                <w:lang w:val="en-GB"/>
              </w:rPr>
              <w:t>2.5</w:t>
            </w:r>
            <w:r>
              <w:rPr>
                <w:lang w:val="en-GB"/>
              </w:rPr>
              <w:t>+E</w:t>
            </w:r>
            <w:r w:rsidRPr="00896B25">
              <w:rPr>
                <w:vertAlign w:val="subscript"/>
                <w:lang w:val="en-GB"/>
              </w:rPr>
              <w:t>p</w:t>
            </w:r>
            <w:r>
              <w:rPr>
                <w:vertAlign w:val="subscript"/>
                <w:lang w:val="en-GB"/>
              </w:rPr>
              <w:t>2.5</w:t>
            </w:r>
          </w:p>
        </w:tc>
        <w:tc>
          <w:tcPr>
            <w:tcW w:w="1134" w:type="dxa"/>
            <w:shd w:val="clear" w:color="auto" w:fill="FFFFFF"/>
          </w:tcPr>
          <w:p w14:paraId="142D3B36" w14:textId="639A6B50" w:rsidR="008C7A09" w:rsidRDefault="008C7A09" w:rsidP="008C7A09">
            <w:pPr>
              <w:pStyle w:val="CETBodytext"/>
              <w:ind w:right="-1"/>
              <w:rPr>
                <w:lang w:val="en-GB"/>
              </w:rPr>
            </w:pPr>
            <w:r>
              <w:rPr>
                <w:lang w:val="en-GB"/>
              </w:rPr>
              <w:t>E</w:t>
            </w:r>
            <w:r>
              <w:rPr>
                <w:vertAlign w:val="subscript"/>
                <w:lang w:val="en-GB"/>
              </w:rPr>
              <w:t>10</w:t>
            </w:r>
            <w:r>
              <w:rPr>
                <w:lang w:val="en-GB"/>
              </w:rPr>
              <w:t>+E</w:t>
            </w:r>
            <w:r w:rsidRPr="00896B25">
              <w:rPr>
                <w:vertAlign w:val="subscript"/>
                <w:lang w:val="en-GB"/>
              </w:rPr>
              <w:t>p</w:t>
            </w:r>
            <w:r>
              <w:rPr>
                <w:vertAlign w:val="subscript"/>
                <w:lang w:val="en-GB"/>
              </w:rPr>
              <w:t>10</w:t>
            </w:r>
          </w:p>
        </w:tc>
      </w:tr>
      <w:tr w:rsidR="008C7A09" w:rsidRPr="00B57B36" w14:paraId="2796BDF9" w14:textId="10E53C61" w:rsidTr="005E5821">
        <w:tc>
          <w:tcPr>
            <w:tcW w:w="1134" w:type="dxa"/>
            <w:shd w:val="clear" w:color="auto" w:fill="FFFFFF"/>
          </w:tcPr>
          <w:p w14:paraId="42C94A64" w14:textId="445161EB" w:rsidR="008C7A09" w:rsidRDefault="008C7A09" w:rsidP="008C7A09">
            <w:pPr>
              <w:pStyle w:val="CETBodytext"/>
              <w:ind w:right="-1"/>
              <w:rPr>
                <w:rFonts w:cs="Arial"/>
                <w:szCs w:val="18"/>
                <w:lang w:val="en-GB"/>
              </w:rPr>
            </w:pPr>
            <w:r>
              <w:rPr>
                <w:rFonts w:cs="Arial"/>
                <w:szCs w:val="18"/>
                <w:lang w:val="en-GB"/>
              </w:rPr>
              <w:t>Heavy trucks</w:t>
            </w:r>
          </w:p>
        </w:tc>
        <w:tc>
          <w:tcPr>
            <w:tcW w:w="1134" w:type="dxa"/>
            <w:shd w:val="clear" w:color="auto" w:fill="FFFFFF"/>
          </w:tcPr>
          <w:p w14:paraId="3F37B937" w14:textId="1825C736" w:rsidR="008C7A09" w:rsidRPr="00B57B36" w:rsidRDefault="008C7A09" w:rsidP="008C7A09">
            <w:pPr>
              <w:pStyle w:val="CETBodytext"/>
              <w:ind w:right="-1"/>
              <w:rPr>
                <w:rFonts w:cs="Arial"/>
                <w:szCs w:val="18"/>
                <w:lang w:val="en-GB"/>
              </w:rPr>
            </w:pPr>
            <w:r>
              <w:rPr>
                <w:lang w:val="en-GB"/>
              </w:rPr>
              <w:t>E</w:t>
            </w:r>
            <w:r w:rsidRPr="00896B25">
              <w:rPr>
                <w:vertAlign w:val="subscript"/>
                <w:lang w:val="en-GB"/>
              </w:rPr>
              <w:t>CO</w:t>
            </w:r>
          </w:p>
        </w:tc>
        <w:tc>
          <w:tcPr>
            <w:tcW w:w="1134" w:type="dxa"/>
            <w:shd w:val="clear" w:color="auto" w:fill="FFFFFF"/>
          </w:tcPr>
          <w:p w14:paraId="57C9597B" w14:textId="52528ADA" w:rsidR="008C7A09" w:rsidRPr="00B57B36" w:rsidRDefault="008C7A09" w:rsidP="008C7A09">
            <w:pPr>
              <w:pStyle w:val="CETBodytext"/>
              <w:ind w:right="-1"/>
              <w:rPr>
                <w:rFonts w:cs="Arial"/>
                <w:szCs w:val="18"/>
                <w:lang w:val="en-GB"/>
              </w:rPr>
            </w:pPr>
            <w:r>
              <w:rPr>
                <w:lang w:val="en-GB"/>
              </w:rPr>
              <w:t>E</w:t>
            </w:r>
            <w:r>
              <w:rPr>
                <w:vertAlign w:val="subscript"/>
                <w:lang w:val="en-GB"/>
              </w:rPr>
              <w:t>NOx</w:t>
            </w:r>
          </w:p>
        </w:tc>
        <w:tc>
          <w:tcPr>
            <w:tcW w:w="1134" w:type="dxa"/>
            <w:shd w:val="clear" w:color="auto" w:fill="FFFFFF"/>
          </w:tcPr>
          <w:p w14:paraId="627AB01A" w14:textId="29252026" w:rsidR="008C7A09" w:rsidRPr="00B57B36" w:rsidRDefault="008C7A09" w:rsidP="008C7A09">
            <w:pPr>
              <w:pStyle w:val="CETBodytext"/>
              <w:ind w:right="-1"/>
              <w:rPr>
                <w:rFonts w:cs="Arial"/>
                <w:szCs w:val="18"/>
                <w:lang w:val="en-GB"/>
              </w:rPr>
            </w:pPr>
            <w:r>
              <w:rPr>
                <w:lang w:val="en-GB"/>
              </w:rPr>
              <w:t>E</w:t>
            </w:r>
            <w:r>
              <w:rPr>
                <w:vertAlign w:val="subscript"/>
                <w:lang w:val="en-GB"/>
              </w:rPr>
              <w:t>SOx</w:t>
            </w:r>
          </w:p>
        </w:tc>
        <w:tc>
          <w:tcPr>
            <w:tcW w:w="1134" w:type="dxa"/>
            <w:shd w:val="clear" w:color="auto" w:fill="FFFFFF"/>
          </w:tcPr>
          <w:p w14:paraId="17C2CF48" w14:textId="3E023EAD" w:rsidR="008C7A09" w:rsidRPr="00B57B36" w:rsidRDefault="008C7A09" w:rsidP="008C7A09">
            <w:pPr>
              <w:pStyle w:val="CETBodytext"/>
              <w:ind w:right="-1"/>
              <w:rPr>
                <w:rFonts w:cs="Arial"/>
                <w:szCs w:val="18"/>
                <w:lang w:val="en-GB"/>
              </w:rPr>
            </w:pPr>
            <w:r>
              <w:rPr>
                <w:lang w:val="en-GB"/>
              </w:rPr>
              <w:t>E</w:t>
            </w:r>
            <w:r>
              <w:rPr>
                <w:vertAlign w:val="subscript"/>
                <w:lang w:val="en-GB"/>
              </w:rPr>
              <w:t>PM2.5</w:t>
            </w:r>
          </w:p>
        </w:tc>
        <w:tc>
          <w:tcPr>
            <w:tcW w:w="1134" w:type="dxa"/>
            <w:shd w:val="clear" w:color="auto" w:fill="FFFFFF"/>
          </w:tcPr>
          <w:p w14:paraId="4D02AC27" w14:textId="74657445" w:rsidR="008C7A09" w:rsidRDefault="008C7A09" w:rsidP="008C7A09">
            <w:pPr>
              <w:pStyle w:val="CETBodytext"/>
              <w:ind w:right="-1"/>
              <w:rPr>
                <w:lang w:val="en-GB"/>
              </w:rPr>
            </w:pPr>
            <w:r>
              <w:rPr>
                <w:lang w:val="en-GB"/>
              </w:rPr>
              <w:t>E</w:t>
            </w:r>
            <w:r>
              <w:rPr>
                <w:vertAlign w:val="subscript"/>
                <w:lang w:val="en-GB"/>
              </w:rPr>
              <w:t>PM10</w:t>
            </w:r>
            <w:r w:rsidRPr="008C7A09">
              <w:rPr>
                <w:lang w:val="en-GB"/>
              </w:rPr>
              <w:t>+E</w:t>
            </w:r>
            <w:r>
              <w:rPr>
                <w:vertAlign w:val="subscript"/>
                <w:lang w:val="en-GB"/>
              </w:rPr>
              <w:t>U,PM10</w:t>
            </w:r>
          </w:p>
        </w:tc>
      </w:tr>
    </w:tbl>
    <w:p w14:paraId="5A7CDC02" w14:textId="4D1F0767" w:rsidR="00BB056E" w:rsidRDefault="00966FED" w:rsidP="00D04A8D">
      <w:pPr>
        <w:pStyle w:val="CETListbullets"/>
        <w:ind w:left="0" w:firstLine="0"/>
      </w:pPr>
      <w:r>
        <w:t xml:space="preserve">Now it is possible to estimate global emissions overtime exploiting simple matrix operations. The matrix Et is now defined, according to Eq. 7. </w:t>
      </w:r>
    </w:p>
    <w:tbl>
      <w:tblPr>
        <w:tblW w:w="5000" w:type="pct"/>
        <w:tblLook w:val="04A0" w:firstRow="1" w:lastRow="0" w:firstColumn="1" w:lastColumn="0" w:noHBand="0" w:noVBand="1"/>
      </w:tblPr>
      <w:tblGrid>
        <w:gridCol w:w="8188"/>
        <w:gridCol w:w="815"/>
      </w:tblGrid>
      <w:tr w:rsidR="00A819D5" w:rsidRPr="00B57B36" w14:paraId="1BB23B04" w14:textId="77777777" w:rsidTr="00843A3D">
        <w:tc>
          <w:tcPr>
            <w:tcW w:w="8188" w:type="dxa"/>
            <w:shd w:val="clear" w:color="auto" w:fill="auto"/>
            <w:vAlign w:val="center"/>
          </w:tcPr>
          <w:p w14:paraId="5194BACE" w14:textId="72937318" w:rsidR="00A819D5" w:rsidRPr="00E810D1" w:rsidRDefault="00A37552" w:rsidP="00843A3D">
            <w:pPr>
              <w:pStyle w:val="CETEquatio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=G'∙(P</m:t>
                </m:r>
                <m:r>
                  <w:rPr>
                    <w:rFonts w:ascii="Cambria Math" w:hAnsi="Cambria Math"/>
                  </w:rPr>
                  <m:t>∙</m:t>
                </m:r>
                <m:r>
                  <w:rPr>
                    <w:rFonts w:ascii="Cambria Math" w:hAnsi="Cambria Math"/>
                  </w:rPr>
                  <m:t>E∙t)</m:t>
                </m:r>
              </m:oMath>
            </m:oMathPara>
          </w:p>
        </w:tc>
        <w:tc>
          <w:tcPr>
            <w:tcW w:w="815" w:type="dxa"/>
            <w:shd w:val="clear" w:color="auto" w:fill="auto"/>
            <w:vAlign w:val="center"/>
          </w:tcPr>
          <w:p w14:paraId="51CF6067" w14:textId="5A667690" w:rsidR="00A819D5" w:rsidRPr="00B57B36" w:rsidRDefault="00A819D5" w:rsidP="00843A3D">
            <w:pPr>
              <w:pStyle w:val="CETEquation"/>
              <w:jc w:val="right"/>
            </w:pPr>
            <w:r w:rsidRPr="00B57B36">
              <w:t>(</w:t>
            </w:r>
            <w:r w:rsidR="00BB056E">
              <w:t>7</w:t>
            </w:r>
            <w:r w:rsidRPr="00B57B36">
              <w:t>)</w:t>
            </w:r>
          </w:p>
        </w:tc>
      </w:tr>
    </w:tbl>
    <w:p w14:paraId="45D5B101" w14:textId="50BB5BF4" w:rsidR="00DA43A3" w:rsidRDefault="008564A6" w:rsidP="00D04A8D">
      <w:pPr>
        <w:pStyle w:val="CETListbullets"/>
        <w:ind w:left="0" w:firstLine="0"/>
      </w:pPr>
      <w:r>
        <w:t>Where</w:t>
      </w:r>
      <w:r w:rsidR="004039E1">
        <w:t xml:space="preserve"> ‘ indicates the transposed matrix and </w:t>
      </w:r>
      <w:r>
        <w:t xml:space="preserve">t is the number of days for each time period identified in the Gantt diagram (if </w:t>
      </w:r>
      <w:r w:rsidR="004039E1">
        <w:t>defined in</w:t>
      </w:r>
      <w:r>
        <w:t xml:space="preserve"> month</w:t>
      </w:r>
      <w:r w:rsidR="004039E1">
        <w:t>s</w:t>
      </w:r>
      <w:r>
        <w:t xml:space="preserve">, usually t </w:t>
      </w:r>
      <w:r w:rsidR="004039E1">
        <w:t>can be considered</w:t>
      </w:r>
      <w:r>
        <w:t xml:space="preserve"> equal to 24 days).</w:t>
      </w:r>
      <w:r w:rsidR="00966FED">
        <w:t xml:space="preserve"> The matrix E</w:t>
      </w:r>
      <w:r w:rsidR="00966FED" w:rsidRPr="008564A6">
        <w:rPr>
          <w:vertAlign w:val="subscript"/>
        </w:rPr>
        <w:t>T</w:t>
      </w:r>
      <w:r w:rsidR="00966FED">
        <w:t xml:space="preserve"> contains important information: due to its structure, it contains for each time step defined in the Gantt table the overall emissions for each pollutant. In this way, it is possible to instantly identify the potentially most critical time steps of the worksite.</w:t>
      </w:r>
    </w:p>
    <w:p w14:paraId="215F4BB4" w14:textId="76628CC9" w:rsidR="001278AA" w:rsidRPr="00B57B36" w:rsidRDefault="001278AA" w:rsidP="001278AA">
      <w:pPr>
        <w:pStyle w:val="CETTabletitle"/>
      </w:pPr>
      <w:r w:rsidRPr="00B57B36">
        <w:t xml:space="preserve">Table </w:t>
      </w:r>
      <w:r>
        <w:t>4</w:t>
      </w:r>
      <w:r w:rsidRPr="00B57B36">
        <w:t xml:space="preserve">: </w:t>
      </w:r>
      <w:r>
        <w:t>Example of a E</w:t>
      </w:r>
      <w:r w:rsidRPr="001278AA">
        <w:rPr>
          <w:vertAlign w:val="subscript"/>
        </w:rPr>
        <w:t>T</w:t>
      </w:r>
      <w:r>
        <w:t xml:space="preserve"> matrix translated into a table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5"/>
        <w:gridCol w:w="991"/>
        <w:gridCol w:w="1077"/>
        <w:gridCol w:w="1065"/>
        <w:gridCol w:w="2791"/>
        <w:gridCol w:w="2648"/>
      </w:tblGrid>
      <w:tr w:rsidR="001278AA" w:rsidRPr="00B57B36" w14:paraId="135703C6" w14:textId="77777777" w:rsidTr="00474C9F">
        <w:tc>
          <w:tcPr>
            <w:tcW w:w="122" w:type="pct"/>
            <w:tcBorders>
              <w:top w:val="single" w:sz="12" w:space="0" w:color="008000"/>
              <w:bottom w:val="single" w:sz="6" w:space="0" w:color="008000"/>
            </w:tcBorders>
            <w:shd w:val="clear" w:color="auto" w:fill="FFFFFF"/>
          </w:tcPr>
          <w:p w14:paraId="5FE7F502" w14:textId="77777777" w:rsidR="001278AA" w:rsidRPr="00B57B36" w:rsidRDefault="001278AA" w:rsidP="00843A3D">
            <w:pPr>
              <w:pStyle w:val="CETBodytext"/>
              <w:rPr>
                <w:lang w:val="en-GB"/>
              </w:rPr>
            </w:pPr>
          </w:p>
        </w:tc>
        <w:tc>
          <w:tcPr>
            <w:tcW w:w="564" w:type="pct"/>
            <w:tcBorders>
              <w:top w:val="single" w:sz="12" w:space="0" w:color="008000"/>
              <w:bottom w:val="single" w:sz="6" w:space="0" w:color="008000"/>
            </w:tcBorders>
            <w:shd w:val="clear" w:color="auto" w:fill="FFFFFF"/>
          </w:tcPr>
          <w:p w14:paraId="60AF258A" w14:textId="3A1A505D" w:rsidR="001278AA" w:rsidRPr="00B57B36" w:rsidRDefault="001278AA" w:rsidP="00843A3D">
            <w:pPr>
              <w:pStyle w:val="CETBodytext"/>
              <w:rPr>
                <w:lang w:val="en-GB"/>
              </w:rPr>
            </w:pPr>
            <w:r>
              <w:rPr>
                <w:lang w:val="en-GB"/>
              </w:rPr>
              <w:t>CO [g]</w:t>
            </w:r>
          </w:p>
        </w:tc>
        <w:tc>
          <w:tcPr>
            <w:tcW w:w="613" w:type="pct"/>
            <w:tcBorders>
              <w:top w:val="single" w:sz="12" w:space="0" w:color="008000"/>
              <w:bottom w:val="single" w:sz="6" w:space="0" w:color="008000"/>
            </w:tcBorders>
            <w:shd w:val="clear" w:color="auto" w:fill="FFFFFF"/>
          </w:tcPr>
          <w:p w14:paraId="3A401AD7" w14:textId="43256842" w:rsidR="001278AA" w:rsidRPr="00B57B36" w:rsidRDefault="001278AA" w:rsidP="00843A3D">
            <w:pPr>
              <w:pStyle w:val="CETBodytext"/>
              <w:rPr>
                <w:lang w:val="en-GB"/>
              </w:rPr>
            </w:pPr>
            <w:r>
              <w:rPr>
                <w:lang w:val="en-GB"/>
              </w:rPr>
              <w:t>NOx [g]</w:t>
            </w:r>
          </w:p>
        </w:tc>
        <w:tc>
          <w:tcPr>
            <w:tcW w:w="606" w:type="pct"/>
            <w:tcBorders>
              <w:top w:val="single" w:sz="12" w:space="0" w:color="008000"/>
              <w:bottom w:val="single" w:sz="6" w:space="0" w:color="008000"/>
            </w:tcBorders>
            <w:shd w:val="clear" w:color="auto" w:fill="FFFFFF"/>
          </w:tcPr>
          <w:p w14:paraId="48527FAC" w14:textId="3279E01F" w:rsidR="001278AA" w:rsidRPr="00B57B36" w:rsidRDefault="001278AA" w:rsidP="00843A3D">
            <w:pPr>
              <w:pStyle w:val="CETBodytext"/>
              <w:ind w:right="-1"/>
              <w:rPr>
                <w:rFonts w:cs="Arial"/>
                <w:szCs w:val="18"/>
                <w:lang w:val="en-GB"/>
              </w:rPr>
            </w:pPr>
            <w:r>
              <w:rPr>
                <w:rFonts w:cs="Arial"/>
                <w:szCs w:val="18"/>
                <w:lang w:val="en-GB"/>
              </w:rPr>
              <w:t xml:space="preserve">SOx </w:t>
            </w:r>
            <w:r>
              <w:rPr>
                <w:lang w:val="en-GB"/>
              </w:rPr>
              <w:t>[g]</w:t>
            </w:r>
          </w:p>
        </w:tc>
        <w:tc>
          <w:tcPr>
            <w:tcW w:w="1588" w:type="pct"/>
            <w:tcBorders>
              <w:top w:val="single" w:sz="12" w:space="0" w:color="008000"/>
              <w:bottom w:val="single" w:sz="6" w:space="0" w:color="008000"/>
            </w:tcBorders>
            <w:shd w:val="clear" w:color="auto" w:fill="FFFFFF"/>
          </w:tcPr>
          <w:p w14:paraId="1FF8D3F6" w14:textId="3017EA2A" w:rsidR="001278AA" w:rsidRPr="00B57B36" w:rsidRDefault="001278AA" w:rsidP="00843A3D">
            <w:pPr>
              <w:pStyle w:val="CETBodytext"/>
              <w:ind w:right="-1"/>
              <w:rPr>
                <w:rFonts w:cs="Arial"/>
                <w:szCs w:val="18"/>
                <w:lang w:val="en-GB"/>
              </w:rPr>
            </w:pPr>
            <w:r>
              <w:rPr>
                <w:rFonts w:cs="Arial"/>
                <w:szCs w:val="18"/>
                <w:lang w:val="en-GB"/>
              </w:rPr>
              <w:t xml:space="preserve">PM2.5 </w:t>
            </w:r>
            <w:r>
              <w:rPr>
                <w:lang w:val="en-GB"/>
              </w:rPr>
              <w:t>[g]</w:t>
            </w:r>
          </w:p>
        </w:tc>
        <w:tc>
          <w:tcPr>
            <w:tcW w:w="1507" w:type="pct"/>
            <w:tcBorders>
              <w:top w:val="single" w:sz="12" w:space="0" w:color="008000"/>
              <w:bottom w:val="single" w:sz="6" w:space="0" w:color="008000"/>
            </w:tcBorders>
            <w:shd w:val="clear" w:color="auto" w:fill="FFFFFF"/>
          </w:tcPr>
          <w:p w14:paraId="27E83C1E" w14:textId="451DA905" w:rsidR="001278AA" w:rsidRDefault="001278AA" w:rsidP="00843A3D">
            <w:pPr>
              <w:pStyle w:val="CETBodytext"/>
              <w:ind w:right="-1"/>
              <w:rPr>
                <w:rFonts w:cs="Arial"/>
                <w:szCs w:val="18"/>
                <w:lang w:val="en-GB"/>
              </w:rPr>
            </w:pPr>
            <w:r>
              <w:rPr>
                <w:rFonts w:cs="Arial"/>
                <w:szCs w:val="18"/>
                <w:lang w:val="en-GB"/>
              </w:rPr>
              <w:t xml:space="preserve">PM10 </w:t>
            </w:r>
            <w:r>
              <w:rPr>
                <w:lang w:val="en-GB"/>
              </w:rPr>
              <w:t>[g]</w:t>
            </w:r>
          </w:p>
        </w:tc>
      </w:tr>
      <w:tr w:rsidR="001278AA" w:rsidRPr="00B57B36" w14:paraId="74FB4DBE" w14:textId="77777777" w:rsidTr="00474C9F">
        <w:tc>
          <w:tcPr>
            <w:tcW w:w="122" w:type="pct"/>
            <w:shd w:val="clear" w:color="auto" w:fill="FFFFFF"/>
          </w:tcPr>
          <w:p w14:paraId="0C38713D" w14:textId="0D658208" w:rsidR="001278AA" w:rsidRPr="00B57B36" w:rsidRDefault="001278AA" w:rsidP="00843A3D">
            <w:pPr>
              <w:pStyle w:val="CETBodytext"/>
              <w:rPr>
                <w:lang w:val="en-GB"/>
              </w:rPr>
            </w:pPr>
            <w:r>
              <w:rPr>
                <w:lang w:val="en-GB"/>
              </w:rPr>
              <w:t>t1</w:t>
            </w:r>
          </w:p>
        </w:tc>
        <w:tc>
          <w:tcPr>
            <w:tcW w:w="564" w:type="pct"/>
            <w:shd w:val="clear" w:color="auto" w:fill="FFFFFF"/>
          </w:tcPr>
          <w:p w14:paraId="6C5CEE60" w14:textId="0E011BB9" w:rsidR="001278AA" w:rsidRPr="00B57B36" w:rsidRDefault="001278AA" w:rsidP="00843A3D">
            <w:pPr>
              <w:pStyle w:val="CETBodytext"/>
              <w:rPr>
                <w:lang w:val="en-GB"/>
              </w:rPr>
            </w:pPr>
            <w:r>
              <w:rPr>
                <w:rFonts w:cs="Arial"/>
                <w:lang w:val="en-GB"/>
              </w:rPr>
              <w:t>t∑</w:t>
            </w:r>
            <w:r>
              <w:rPr>
                <w:lang w:val="en-GB"/>
              </w:rPr>
              <w:t>(E</w:t>
            </w:r>
            <w:r w:rsidRPr="001278AA">
              <w:rPr>
                <w:vertAlign w:val="subscript"/>
                <w:lang w:val="en-GB"/>
              </w:rPr>
              <w:t>CO</w:t>
            </w:r>
            <w:r>
              <w:rPr>
                <w:vertAlign w:val="subscript"/>
                <w:lang w:val="en-GB"/>
              </w:rPr>
              <w:t>,1</w:t>
            </w:r>
            <w:r>
              <w:rPr>
                <w:lang w:val="en-GB"/>
              </w:rPr>
              <w:t>)</w:t>
            </w:r>
          </w:p>
        </w:tc>
        <w:tc>
          <w:tcPr>
            <w:tcW w:w="613" w:type="pct"/>
            <w:shd w:val="clear" w:color="auto" w:fill="FFFFFF"/>
          </w:tcPr>
          <w:p w14:paraId="4431C213" w14:textId="58D90A4F" w:rsidR="001278AA" w:rsidRPr="00B57B36" w:rsidRDefault="001278AA" w:rsidP="00843A3D">
            <w:pPr>
              <w:pStyle w:val="CETBodytext"/>
              <w:rPr>
                <w:lang w:val="en-GB"/>
              </w:rPr>
            </w:pPr>
            <w:r>
              <w:rPr>
                <w:rFonts w:cs="Arial"/>
                <w:lang w:val="en-GB"/>
              </w:rPr>
              <w:t>t∑</w:t>
            </w:r>
            <w:r>
              <w:rPr>
                <w:lang w:val="en-GB"/>
              </w:rPr>
              <w:t>(E</w:t>
            </w:r>
            <w:r w:rsidR="008B1592">
              <w:rPr>
                <w:vertAlign w:val="subscript"/>
                <w:lang w:val="en-GB"/>
              </w:rPr>
              <w:t>NOx</w:t>
            </w:r>
            <w:r>
              <w:rPr>
                <w:vertAlign w:val="subscript"/>
                <w:lang w:val="en-GB"/>
              </w:rPr>
              <w:t>,1</w:t>
            </w:r>
            <w:r>
              <w:rPr>
                <w:lang w:val="en-GB"/>
              </w:rPr>
              <w:t>)</w:t>
            </w:r>
          </w:p>
        </w:tc>
        <w:tc>
          <w:tcPr>
            <w:tcW w:w="606" w:type="pct"/>
            <w:shd w:val="clear" w:color="auto" w:fill="FFFFFF"/>
          </w:tcPr>
          <w:p w14:paraId="43EF2DA4" w14:textId="0FACC18E" w:rsidR="001278AA" w:rsidRPr="00B57B36" w:rsidRDefault="001278AA" w:rsidP="00843A3D">
            <w:pPr>
              <w:pStyle w:val="CETBodytext"/>
              <w:ind w:right="-1"/>
              <w:rPr>
                <w:rFonts w:cs="Arial"/>
                <w:szCs w:val="18"/>
                <w:lang w:val="en-GB"/>
              </w:rPr>
            </w:pPr>
            <w:r>
              <w:rPr>
                <w:rFonts w:cs="Arial"/>
                <w:lang w:val="en-GB"/>
              </w:rPr>
              <w:t>t∑</w:t>
            </w:r>
            <w:r>
              <w:rPr>
                <w:lang w:val="en-GB"/>
              </w:rPr>
              <w:t>(E</w:t>
            </w:r>
            <w:r w:rsidR="008B1592">
              <w:rPr>
                <w:vertAlign w:val="subscript"/>
                <w:lang w:val="en-GB"/>
              </w:rPr>
              <w:t>SOx</w:t>
            </w:r>
            <w:r>
              <w:rPr>
                <w:vertAlign w:val="subscript"/>
                <w:lang w:val="en-GB"/>
              </w:rPr>
              <w:t>,1</w:t>
            </w:r>
            <w:r>
              <w:rPr>
                <w:lang w:val="en-GB"/>
              </w:rPr>
              <w:t>)</w:t>
            </w:r>
          </w:p>
        </w:tc>
        <w:tc>
          <w:tcPr>
            <w:tcW w:w="1588" w:type="pct"/>
            <w:shd w:val="clear" w:color="auto" w:fill="FFFFFF"/>
          </w:tcPr>
          <w:p w14:paraId="49B6C525" w14:textId="3280A570" w:rsidR="001278AA" w:rsidRPr="00B57B36" w:rsidRDefault="001278AA" w:rsidP="00843A3D">
            <w:pPr>
              <w:pStyle w:val="CETBodytext"/>
              <w:ind w:right="-1"/>
              <w:rPr>
                <w:rFonts w:cs="Arial"/>
                <w:szCs w:val="18"/>
                <w:lang w:val="en-GB"/>
              </w:rPr>
            </w:pPr>
            <w:r>
              <w:rPr>
                <w:rFonts w:cs="Arial"/>
                <w:lang w:val="en-GB"/>
              </w:rPr>
              <w:t>t∑</w:t>
            </w:r>
            <w:r>
              <w:rPr>
                <w:lang w:val="en-GB"/>
              </w:rPr>
              <w:t>(E</w:t>
            </w:r>
            <w:r w:rsidR="00FA2F57">
              <w:rPr>
                <w:vertAlign w:val="subscript"/>
                <w:lang w:val="en-GB"/>
              </w:rPr>
              <w:t>PM2.5</w:t>
            </w:r>
            <w:r>
              <w:rPr>
                <w:vertAlign w:val="subscript"/>
                <w:lang w:val="en-GB"/>
              </w:rPr>
              <w:t>,1</w:t>
            </w:r>
            <w:r w:rsidR="00FA2F57" w:rsidRPr="00FA2F57">
              <w:rPr>
                <w:lang w:val="en-GB"/>
              </w:rPr>
              <w:t>+ E</w:t>
            </w:r>
            <w:r w:rsidR="00FA2F57" w:rsidRPr="00FA2F57">
              <w:rPr>
                <w:vertAlign w:val="subscript"/>
                <w:lang w:val="en-GB"/>
              </w:rPr>
              <w:t>2.5</w:t>
            </w:r>
            <w:r w:rsidR="00FA2F57">
              <w:rPr>
                <w:vertAlign w:val="subscript"/>
                <w:lang w:val="en-GB"/>
              </w:rPr>
              <w:t>,1</w:t>
            </w:r>
            <w:r w:rsidR="00FA2F57">
              <w:rPr>
                <w:lang w:val="en-GB"/>
              </w:rPr>
              <w:t>+E</w:t>
            </w:r>
            <w:r w:rsidR="00FA2F57" w:rsidRPr="00FA2F57">
              <w:rPr>
                <w:vertAlign w:val="subscript"/>
                <w:lang w:val="en-GB"/>
              </w:rPr>
              <w:t>p2.5</w:t>
            </w:r>
            <w:r w:rsidR="00FA2F57">
              <w:rPr>
                <w:vertAlign w:val="subscript"/>
                <w:lang w:val="en-GB"/>
              </w:rPr>
              <w:t>,1</w:t>
            </w:r>
            <w:r>
              <w:rPr>
                <w:lang w:val="en-GB"/>
              </w:rPr>
              <w:t>)</w:t>
            </w:r>
          </w:p>
        </w:tc>
        <w:tc>
          <w:tcPr>
            <w:tcW w:w="1507" w:type="pct"/>
            <w:shd w:val="clear" w:color="auto" w:fill="FFFFFF"/>
          </w:tcPr>
          <w:p w14:paraId="03B5EABF" w14:textId="538309EB" w:rsidR="001278AA" w:rsidRDefault="001278AA" w:rsidP="00843A3D">
            <w:pPr>
              <w:pStyle w:val="CETBodytext"/>
              <w:ind w:right="-1"/>
              <w:rPr>
                <w:lang w:val="en-GB"/>
              </w:rPr>
            </w:pPr>
            <w:r>
              <w:rPr>
                <w:rFonts w:cs="Arial"/>
                <w:lang w:val="en-GB"/>
              </w:rPr>
              <w:t>t</w:t>
            </w:r>
            <w:r w:rsidR="00FA2F57">
              <w:rPr>
                <w:rFonts w:cs="Arial"/>
                <w:lang w:val="en-GB"/>
              </w:rPr>
              <w:t>∑</w:t>
            </w:r>
            <w:r w:rsidR="00FA2F57">
              <w:rPr>
                <w:lang w:val="en-GB"/>
              </w:rPr>
              <w:t>(E</w:t>
            </w:r>
            <w:r w:rsidR="00FA2F57">
              <w:rPr>
                <w:vertAlign w:val="subscript"/>
                <w:lang w:val="en-GB"/>
              </w:rPr>
              <w:t>PM10,1</w:t>
            </w:r>
            <w:r w:rsidR="00FA2F57" w:rsidRPr="00FA2F57">
              <w:rPr>
                <w:lang w:val="en-GB"/>
              </w:rPr>
              <w:t>+ E</w:t>
            </w:r>
            <w:r w:rsidR="00FA2F57">
              <w:rPr>
                <w:vertAlign w:val="subscript"/>
                <w:lang w:val="en-GB"/>
              </w:rPr>
              <w:t>10,1</w:t>
            </w:r>
            <w:r w:rsidR="00FA2F57">
              <w:rPr>
                <w:lang w:val="en-GB"/>
              </w:rPr>
              <w:t>+E</w:t>
            </w:r>
            <w:r w:rsidR="00FA2F57" w:rsidRPr="00FA2F57">
              <w:rPr>
                <w:vertAlign w:val="subscript"/>
                <w:lang w:val="en-GB"/>
              </w:rPr>
              <w:t>p</w:t>
            </w:r>
            <w:r w:rsidR="00FA2F57">
              <w:rPr>
                <w:vertAlign w:val="subscript"/>
                <w:lang w:val="en-GB"/>
              </w:rPr>
              <w:t>10,1</w:t>
            </w:r>
            <w:r w:rsidR="00FA2F57">
              <w:rPr>
                <w:lang w:val="en-GB"/>
              </w:rPr>
              <w:t>)</w:t>
            </w:r>
          </w:p>
        </w:tc>
      </w:tr>
      <w:tr w:rsidR="001278AA" w:rsidRPr="00B57B36" w14:paraId="4971CDE5" w14:textId="77777777" w:rsidTr="00474C9F">
        <w:tc>
          <w:tcPr>
            <w:tcW w:w="122" w:type="pct"/>
            <w:shd w:val="clear" w:color="auto" w:fill="FFFFFF"/>
          </w:tcPr>
          <w:p w14:paraId="67E2603E" w14:textId="24F43A2C" w:rsidR="001278AA" w:rsidRPr="00B57B36" w:rsidRDefault="001278AA" w:rsidP="00843A3D">
            <w:pPr>
              <w:pStyle w:val="CETBodytext"/>
              <w:ind w:right="-1"/>
              <w:rPr>
                <w:rFonts w:cs="Arial"/>
                <w:szCs w:val="18"/>
                <w:lang w:val="en-GB"/>
              </w:rPr>
            </w:pPr>
            <w:r>
              <w:rPr>
                <w:rFonts w:cs="Arial"/>
                <w:szCs w:val="18"/>
                <w:lang w:val="en-GB"/>
              </w:rPr>
              <w:t>t2</w:t>
            </w:r>
          </w:p>
        </w:tc>
        <w:tc>
          <w:tcPr>
            <w:tcW w:w="564" w:type="pct"/>
            <w:shd w:val="clear" w:color="auto" w:fill="FFFFFF"/>
          </w:tcPr>
          <w:p w14:paraId="72930BDA" w14:textId="6ED38CEC" w:rsidR="001278AA" w:rsidRPr="00B57B36" w:rsidRDefault="001278AA" w:rsidP="00843A3D">
            <w:pPr>
              <w:pStyle w:val="CETBodytext"/>
              <w:ind w:right="-1"/>
              <w:rPr>
                <w:rFonts w:cs="Arial"/>
                <w:szCs w:val="18"/>
                <w:lang w:val="en-GB"/>
              </w:rPr>
            </w:pPr>
            <w:r>
              <w:rPr>
                <w:rFonts w:cs="Arial"/>
                <w:lang w:val="en-GB"/>
              </w:rPr>
              <w:t>t∑</w:t>
            </w:r>
            <w:r>
              <w:rPr>
                <w:lang w:val="en-GB"/>
              </w:rPr>
              <w:t>(E</w:t>
            </w:r>
            <w:r w:rsidRPr="001278AA">
              <w:rPr>
                <w:vertAlign w:val="subscript"/>
                <w:lang w:val="en-GB"/>
              </w:rPr>
              <w:t>CO</w:t>
            </w:r>
            <w:r>
              <w:rPr>
                <w:vertAlign w:val="subscript"/>
                <w:lang w:val="en-GB"/>
              </w:rPr>
              <w:t>,2</w:t>
            </w:r>
            <w:r>
              <w:rPr>
                <w:lang w:val="en-GB"/>
              </w:rPr>
              <w:t>)</w:t>
            </w:r>
          </w:p>
        </w:tc>
        <w:tc>
          <w:tcPr>
            <w:tcW w:w="613" w:type="pct"/>
            <w:shd w:val="clear" w:color="auto" w:fill="FFFFFF"/>
          </w:tcPr>
          <w:p w14:paraId="0E3AA887" w14:textId="320DD68C" w:rsidR="001278AA" w:rsidRPr="00B57B36" w:rsidRDefault="001278AA" w:rsidP="00843A3D">
            <w:pPr>
              <w:pStyle w:val="CETBodytext"/>
              <w:ind w:right="-1"/>
              <w:rPr>
                <w:rFonts w:cs="Arial"/>
                <w:szCs w:val="18"/>
                <w:lang w:val="en-GB"/>
              </w:rPr>
            </w:pPr>
            <w:r>
              <w:rPr>
                <w:rFonts w:cs="Arial"/>
                <w:lang w:val="en-GB"/>
              </w:rPr>
              <w:t>t∑</w:t>
            </w:r>
            <w:r>
              <w:rPr>
                <w:lang w:val="en-GB"/>
              </w:rPr>
              <w:t>(E</w:t>
            </w:r>
            <w:r w:rsidR="008B1592">
              <w:rPr>
                <w:vertAlign w:val="subscript"/>
                <w:lang w:val="en-GB"/>
              </w:rPr>
              <w:t>NOx</w:t>
            </w:r>
            <w:r>
              <w:rPr>
                <w:vertAlign w:val="subscript"/>
                <w:lang w:val="en-GB"/>
              </w:rPr>
              <w:t>,2</w:t>
            </w:r>
            <w:r>
              <w:rPr>
                <w:lang w:val="en-GB"/>
              </w:rPr>
              <w:t>)</w:t>
            </w:r>
          </w:p>
        </w:tc>
        <w:tc>
          <w:tcPr>
            <w:tcW w:w="606" w:type="pct"/>
            <w:shd w:val="clear" w:color="auto" w:fill="FFFFFF"/>
          </w:tcPr>
          <w:p w14:paraId="7B60001B" w14:textId="5A7C2777" w:rsidR="001278AA" w:rsidRPr="00B57B36" w:rsidRDefault="001278AA" w:rsidP="00843A3D">
            <w:pPr>
              <w:pStyle w:val="CETBodytext"/>
              <w:ind w:right="-1"/>
              <w:rPr>
                <w:rFonts w:cs="Arial"/>
                <w:szCs w:val="18"/>
                <w:lang w:val="en-GB"/>
              </w:rPr>
            </w:pPr>
            <w:r>
              <w:rPr>
                <w:rFonts w:cs="Arial"/>
                <w:lang w:val="en-GB"/>
              </w:rPr>
              <w:t>t∑</w:t>
            </w:r>
            <w:r>
              <w:rPr>
                <w:lang w:val="en-GB"/>
              </w:rPr>
              <w:t>(E</w:t>
            </w:r>
            <w:r w:rsidR="008B1592">
              <w:rPr>
                <w:vertAlign w:val="subscript"/>
                <w:lang w:val="en-GB"/>
              </w:rPr>
              <w:t>SOx</w:t>
            </w:r>
            <w:r>
              <w:rPr>
                <w:vertAlign w:val="subscript"/>
                <w:lang w:val="en-GB"/>
              </w:rPr>
              <w:t>,2</w:t>
            </w:r>
            <w:r>
              <w:rPr>
                <w:lang w:val="en-GB"/>
              </w:rPr>
              <w:t>)</w:t>
            </w:r>
          </w:p>
        </w:tc>
        <w:tc>
          <w:tcPr>
            <w:tcW w:w="1588" w:type="pct"/>
            <w:shd w:val="clear" w:color="auto" w:fill="FFFFFF"/>
          </w:tcPr>
          <w:p w14:paraId="2CF10D70" w14:textId="5CCE1CB6" w:rsidR="001278AA" w:rsidRPr="00B57B36" w:rsidRDefault="00FA2F57" w:rsidP="00843A3D">
            <w:pPr>
              <w:pStyle w:val="CETBodytext"/>
              <w:ind w:right="-1"/>
              <w:rPr>
                <w:rFonts w:cs="Arial"/>
                <w:szCs w:val="18"/>
                <w:lang w:val="en-GB"/>
              </w:rPr>
            </w:pPr>
            <w:r>
              <w:rPr>
                <w:rFonts w:cs="Arial"/>
                <w:lang w:val="en-GB"/>
              </w:rPr>
              <w:t>t∑</w:t>
            </w:r>
            <w:r>
              <w:rPr>
                <w:lang w:val="en-GB"/>
              </w:rPr>
              <w:t>(E</w:t>
            </w:r>
            <w:r>
              <w:rPr>
                <w:vertAlign w:val="subscript"/>
                <w:lang w:val="en-GB"/>
              </w:rPr>
              <w:t>PM2.5,2</w:t>
            </w:r>
            <w:r w:rsidRPr="00FA2F57">
              <w:rPr>
                <w:lang w:val="en-GB"/>
              </w:rPr>
              <w:t>+ E</w:t>
            </w:r>
            <w:r w:rsidRPr="00FA2F57">
              <w:rPr>
                <w:vertAlign w:val="subscript"/>
                <w:lang w:val="en-GB"/>
              </w:rPr>
              <w:t>2.5</w:t>
            </w:r>
            <w:r>
              <w:rPr>
                <w:vertAlign w:val="subscript"/>
                <w:lang w:val="en-GB"/>
              </w:rPr>
              <w:t>,2</w:t>
            </w:r>
            <w:r>
              <w:rPr>
                <w:lang w:val="en-GB"/>
              </w:rPr>
              <w:t>+E</w:t>
            </w:r>
            <w:r w:rsidRPr="00FA2F57">
              <w:rPr>
                <w:vertAlign w:val="subscript"/>
                <w:lang w:val="en-GB"/>
              </w:rPr>
              <w:t>p2.5</w:t>
            </w:r>
            <w:r>
              <w:rPr>
                <w:vertAlign w:val="subscript"/>
                <w:lang w:val="en-GB"/>
              </w:rPr>
              <w:t>,2</w:t>
            </w:r>
            <w:r>
              <w:rPr>
                <w:lang w:val="en-GB"/>
              </w:rPr>
              <w:t>)</w:t>
            </w:r>
          </w:p>
        </w:tc>
        <w:tc>
          <w:tcPr>
            <w:tcW w:w="1507" w:type="pct"/>
            <w:shd w:val="clear" w:color="auto" w:fill="FFFFFF"/>
          </w:tcPr>
          <w:p w14:paraId="369D3E75" w14:textId="70D88D10" w:rsidR="001278AA" w:rsidRDefault="00FA2F57" w:rsidP="00843A3D">
            <w:pPr>
              <w:pStyle w:val="CETBodytext"/>
              <w:ind w:right="-1"/>
              <w:rPr>
                <w:lang w:val="en-GB"/>
              </w:rPr>
            </w:pPr>
            <w:r>
              <w:rPr>
                <w:rFonts w:cs="Arial"/>
                <w:lang w:val="en-GB"/>
              </w:rPr>
              <w:t>t∑</w:t>
            </w:r>
            <w:r>
              <w:rPr>
                <w:lang w:val="en-GB"/>
              </w:rPr>
              <w:t>(E</w:t>
            </w:r>
            <w:r>
              <w:rPr>
                <w:vertAlign w:val="subscript"/>
                <w:lang w:val="en-GB"/>
              </w:rPr>
              <w:t>PM10,2</w:t>
            </w:r>
            <w:r w:rsidRPr="00FA2F57">
              <w:rPr>
                <w:lang w:val="en-GB"/>
              </w:rPr>
              <w:t>+ E</w:t>
            </w:r>
            <w:r>
              <w:rPr>
                <w:vertAlign w:val="subscript"/>
                <w:lang w:val="en-GB"/>
              </w:rPr>
              <w:t>10,2</w:t>
            </w:r>
            <w:r>
              <w:rPr>
                <w:lang w:val="en-GB"/>
              </w:rPr>
              <w:t>+E</w:t>
            </w:r>
            <w:r w:rsidRPr="00FA2F57">
              <w:rPr>
                <w:vertAlign w:val="subscript"/>
                <w:lang w:val="en-GB"/>
              </w:rPr>
              <w:t>p</w:t>
            </w:r>
            <w:r>
              <w:rPr>
                <w:vertAlign w:val="subscript"/>
                <w:lang w:val="en-GB"/>
              </w:rPr>
              <w:t>10,2</w:t>
            </w:r>
            <w:r>
              <w:rPr>
                <w:lang w:val="en-GB"/>
              </w:rPr>
              <w:t>)</w:t>
            </w:r>
          </w:p>
        </w:tc>
      </w:tr>
      <w:tr w:rsidR="001278AA" w:rsidRPr="00B57B36" w14:paraId="4A5DF2C5" w14:textId="77777777" w:rsidTr="00474C9F">
        <w:tc>
          <w:tcPr>
            <w:tcW w:w="122" w:type="pct"/>
            <w:shd w:val="clear" w:color="auto" w:fill="FFFFFF"/>
          </w:tcPr>
          <w:p w14:paraId="2DF4974B" w14:textId="56EE1119" w:rsidR="001278AA" w:rsidRDefault="001278AA" w:rsidP="00843A3D">
            <w:pPr>
              <w:pStyle w:val="CETBodytext"/>
              <w:ind w:right="-1"/>
              <w:rPr>
                <w:rFonts w:cs="Arial"/>
                <w:szCs w:val="18"/>
                <w:lang w:val="en-GB"/>
              </w:rPr>
            </w:pPr>
            <w:r>
              <w:rPr>
                <w:rFonts w:cs="Arial"/>
                <w:szCs w:val="18"/>
                <w:lang w:val="en-GB"/>
              </w:rPr>
              <w:t>t3</w:t>
            </w:r>
          </w:p>
        </w:tc>
        <w:tc>
          <w:tcPr>
            <w:tcW w:w="564" w:type="pct"/>
            <w:shd w:val="clear" w:color="auto" w:fill="FFFFFF"/>
          </w:tcPr>
          <w:p w14:paraId="1B5CEE91" w14:textId="4F9562E7" w:rsidR="001278AA" w:rsidRPr="00B57B36" w:rsidRDefault="001278AA" w:rsidP="00843A3D">
            <w:pPr>
              <w:pStyle w:val="CETBodytext"/>
              <w:ind w:right="-1"/>
              <w:rPr>
                <w:rFonts w:cs="Arial"/>
                <w:szCs w:val="18"/>
                <w:lang w:val="en-GB"/>
              </w:rPr>
            </w:pPr>
            <w:r>
              <w:rPr>
                <w:rFonts w:cs="Arial"/>
                <w:lang w:val="en-GB"/>
              </w:rPr>
              <w:t>t∑</w:t>
            </w:r>
            <w:r>
              <w:rPr>
                <w:lang w:val="en-GB"/>
              </w:rPr>
              <w:t>(E</w:t>
            </w:r>
            <w:r w:rsidRPr="001278AA">
              <w:rPr>
                <w:vertAlign w:val="subscript"/>
                <w:lang w:val="en-GB"/>
              </w:rPr>
              <w:t>CO</w:t>
            </w:r>
            <w:r>
              <w:rPr>
                <w:vertAlign w:val="subscript"/>
                <w:lang w:val="en-GB"/>
              </w:rPr>
              <w:t>,3</w:t>
            </w:r>
            <w:r>
              <w:rPr>
                <w:lang w:val="en-GB"/>
              </w:rPr>
              <w:t>)</w:t>
            </w:r>
          </w:p>
        </w:tc>
        <w:tc>
          <w:tcPr>
            <w:tcW w:w="613" w:type="pct"/>
            <w:shd w:val="clear" w:color="auto" w:fill="FFFFFF"/>
          </w:tcPr>
          <w:p w14:paraId="5738EDBE" w14:textId="269CF30B" w:rsidR="001278AA" w:rsidRPr="00B57B36" w:rsidRDefault="001278AA" w:rsidP="00843A3D">
            <w:pPr>
              <w:pStyle w:val="CETBodytext"/>
              <w:ind w:right="-1"/>
              <w:rPr>
                <w:rFonts w:cs="Arial"/>
                <w:szCs w:val="18"/>
                <w:lang w:val="en-GB"/>
              </w:rPr>
            </w:pPr>
            <w:r>
              <w:rPr>
                <w:rFonts w:cs="Arial"/>
                <w:lang w:val="en-GB"/>
              </w:rPr>
              <w:t>t∑</w:t>
            </w:r>
            <w:r>
              <w:rPr>
                <w:lang w:val="en-GB"/>
              </w:rPr>
              <w:t>(E</w:t>
            </w:r>
            <w:r w:rsidR="008B1592">
              <w:rPr>
                <w:vertAlign w:val="subscript"/>
                <w:lang w:val="en-GB"/>
              </w:rPr>
              <w:t>NOx</w:t>
            </w:r>
            <w:r>
              <w:rPr>
                <w:vertAlign w:val="subscript"/>
                <w:lang w:val="en-GB"/>
              </w:rPr>
              <w:t>,3</w:t>
            </w:r>
            <w:r>
              <w:rPr>
                <w:lang w:val="en-GB"/>
              </w:rPr>
              <w:t>)</w:t>
            </w:r>
          </w:p>
        </w:tc>
        <w:tc>
          <w:tcPr>
            <w:tcW w:w="606" w:type="pct"/>
            <w:shd w:val="clear" w:color="auto" w:fill="FFFFFF"/>
          </w:tcPr>
          <w:p w14:paraId="3E056D49" w14:textId="5257A07C" w:rsidR="001278AA" w:rsidRPr="00B57B36" w:rsidRDefault="001278AA" w:rsidP="00843A3D">
            <w:pPr>
              <w:pStyle w:val="CETBodytext"/>
              <w:ind w:right="-1"/>
              <w:rPr>
                <w:rFonts w:cs="Arial"/>
                <w:szCs w:val="18"/>
                <w:lang w:val="en-GB"/>
              </w:rPr>
            </w:pPr>
            <w:r>
              <w:rPr>
                <w:rFonts w:cs="Arial"/>
                <w:lang w:val="en-GB"/>
              </w:rPr>
              <w:t>t∑</w:t>
            </w:r>
            <w:r>
              <w:rPr>
                <w:lang w:val="en-GB"/>
              </w:rPr>
              <w:t>(E</w:t>
            </w:r>
            <w:r w:rsidR="008B1592">
              <w:rPr>
                <w:vertAlign w:val="subscript"/>
                <w:lang w:val="en-GB"/>
              </w:rPr>
              <w:t>SOx</w:t>
            </w:r>
            <w:r>
              <w:rPr>
                <w:vertAlign w:val="subscript"/>
                <w:lang w:val="en-GB"/>
              </w:rPr>
              <w:t>,3</w:t>
            </w:r>
            <w:r>
              <w:rPr>
                <w:lang w:val="en-GB"/>
              </w:rPr>
              <w:t>)</w:t>
            </w:r>
          </w:p>
        </w:tc>
        <w:tc>
          <w:tcPr>
            <w:tcW w:w="1588" w:type="pct"/>
            <w:shd w:val="clear" w:color="auto" w:fill="FFFFFF"/>
          </w:tcPr>
          <w:p w14:paraId="713E6C7F" w14:textId="0F60E44B" w:rsidR="001278AA" w:rsidRPr="00B57B36" w:rsidRDefault="00FA2F57" w:rsidP="00843A3D">
            <w:pPr>
              <w:pStyle w:val="CETBodytext"/>
              <w:ind w:right="-1"/>
              <w:rPr>
                <w:rFonts w:cs="Arial"/>
                <w:szCs w:val="18"/>
                <w:lang w:val="en-GB"/>
              </w:rPr>
            </w:pPr>
            <w:r>
              <w:rPr>
                <w:rFonts w:cs="Arial"/>
                <w:lang w:val="en-GB"/>
              </w:rPr>
              <w:t>t∑</w:t>
            </w:r>
            <w:r>
              <w:rPr>
                <w:lang w:val="en-GB"/>
              </w:rPr>
              <w:t>(E</w:t>
            </w:r>
            <w:r>
              <w:rPr>
                <w:vertAlign w:val="subscript"/>
                <w:lang w:val="en-GB"/>
              </w:rPr>
              <w:t>PM2.5,3</w:t>
            </w:r>
            <w:r w:rsidRPr="00FA2F57">
              <w:rPr>
                <w:lang w:val="en-GB"/>
              </w:rPr>
              <w:t>+ E</w:t>
            </w:r>
            <w:r w:rsidRPr="00FA2F57">
              <w:rPr>
                <w:vertAlign w:val="subscript"/>
                <w:lang w:val="en-GB"/>
              </w:rPr>
              <w:t>2.5</w:t>
            </w:r>
            <w:r>
              <w:rPr>
                <w:vertAlign w:val="subscript"/>
                <w:lang w:val="en-GB"/>
              </w:rPr>
              <w:t>,3</w:t>
            </w:r>
            <w:r>
              <w:rPr>
                <w:lang w:val="en-GB"/>
              </w:rPr>
              <w:t>+E</w:t>
            </w:r>
            <w:r w:rsidRPr="00FA2F57">
              <w:rPr>
                <w:vertAlign w:val="subscript"/>
                <w:lang w:val="en-GB"/>
              </w:rPr>
              <w:t>p2.5</w:t>
            </w:r>
            <w:r>
              <w:rPr>
                <w:vertAlign w:val="subscript"/>
                <w:lang w:val="en-GB"/>
              </w:rPr>
              <w:t>,3</w:t>
            </w:r>
            <w:r>
              <w:rPr>
                <w:lang w:val="en-GB"/>
              </w:rPr>
              <w:t>)</w:t>
            </w:r>
          </w:p>
        </w:tc>
        <w:tc>
          <w:tcPr>
            <w:tcW w:w="1507" w:type="pct"/>
            <w:shd w:val="clear" w:color="auto" w:fill="FFFFFF"/>
          </w:tcPr>
          <w:p w14:paraId="02D54252" w14:textId="38D54D98" w:rsidR="001278AA" w:rsidRDefault="00FA2F57" w:rsidP="00843A3D">
            <w:pPr>
              <w:pStyle w:val="CETBodytext"/>
              <w:ind w:right="-1"/>
              <w:rPr>
                <w:lang w:val="en-GB"/>
              </w:rPr>
            </w:pPr>
            <w:r>
              <w:rPr>
                <w:rFonts w:cs="Arial"/>
                <w:lang w:val="en-GB"/>
              </w:rPr>
              <w:t>t∑</w:t>
            </w:r>
            <w:r>
              <w:rPr>
                <w:lang w:val="en-GB"/>
              </w:rPr>
              <w:t>(E</w:t>
            </w:r>
            <w:r>
              <w:rPr>
                <w:vertAlign w:val="subscript"/>
                <w:lang w:val="en-GB"/>
              </w:rPr>
              <w:t>PM10,3</w:t>
            </w:r>
            <w:r w:rsidRPr="00FA2F57">
              <w:rPr>
                <w:lang w:val="en-GB"/>
              </w:rPr>
              <w:t>+ E</w:t>
            </w:r>
            <w:r>
              <w:rPr>
                <w:vertAlign w:val="subscript"/>
                <w:lang w:val="en-GB"/>
              </w:rPr>
              <w:t>10,3</w:t>
            </w:r>
            <w:r>
              <w:rPr>
                <w:lang w:val="en-GB"/>
              </w:rPr>
              <w:t>+E</w:t>
            </w:r>
            <w:r w:rsidRPr="00FA2F57">
              <w:rPr>
                <w:vertAlign w:val="subscript"/>
                <w:lang w:val="en-GB"/>
              </w:rPr>
              <w:t>p</w:t>
            </w:r>
            <w:r>
              <w:rPr>
                <w:vertAlign w:val="subscript"/>
                <w:lang w:val="en-GB"/>
              </w:rPr>
              <w:t>10,3</w:t>
            </w:r>
            <w:r>
              <w:rPr>
                <w:lang w:val="en-GB"/>
              </w:rPr>
              <w:t>)</w:t>
            </w:r>
          </w:p>
        </w:tc>
      </w:tr>
      <w:tr w:rsidR="001278AA" w:rsidRPr="00B57B36" w14:paraId="7E8682A2" w14:textId="77777777" w:rsidTr="00474C9F">
        <w:tc>
          <w:tcPr>
            <w:tcW w:w="122" w:type="pct"/>
            <w:shd w:val="clear" w:color="auto" w:fill="FFFFFF"/>
          </w:tcPr>
          <w:p w14:paraId="4552D153" w14:textId="205B6EA2" w:rsidR="001278AA" w:rsidRDefault="001278AA" w:rsidP="00843A3D">
            <w:pPr>
              <w:pStyle w:val="CETBodytext"/>
              <w:ind w:right="-1"/>
              <w:rPr>
                <w:rFonts w:cs="Arial"/>
                <w:szCs w:val="18"/>
                <w:lang w:val="en-GB"/>
              </w:rPr>
            </w:pPr>
            <w:r>
              <w:rPr>
                <w:rFonts w:cs="Arial"/>
                <w:szCs w:val="18"/>
                <w:lang w:val="en-GB"/>
              </w:rPr>
              <w:t>t4</w:t>
            </w:r>
          </w:p>
        </w:tc>
        <w:tc>
          <w:tcPr>
            <w:tcW w:w="564" w:type="pct"/>
            <w:shd w:val="clear" w:color="auto" w:fill="FFFFFF"/>
          </w:tcPr>
          <w:p w14:paraId="1535483A" w14:textId="6BBBA561" w:rsidR="001278AA" w:rsidRDefault="001278AA" w:rsidP="00843A3D">
            <w:pPr>
              <w:pStyle w:val="CETBodytext"/>
              <w:ind w:right="-1"/>
              <w:rPr>
                <w:lang w:val="en-GB"/>
              </w:rPr>
            </w:pPr>
            <w:r>
              <w:rPr>
                <w:rFonts w:cs="Arial"/>
                <w:lang w:val="en-GB"/>
              </w:rPr>
              <w:t>t∑</w:t>
            </w:r>
            <w:r>
              <w:rPr>
                <w:lang w:val="en-GB"/>
              </w:rPr>
              <w:t>(E</w:t>
            </w:r>
            <w:r w:rsidRPr="001278AA">
              <w:rPr>
                <w:vertAlign w:val="subscript"/>
                <w:lang w:val="en-GB"/>
              </w:rPr>
              <w:t>CO</w:t>
            </w:r>
            <w:r>
              <w:rPr>
                <w:vertAlign w:val="subscript"/>
                <w:lang w:val="en-GB"/>
              </w:rPr>
              <w:t>,4</w:t>
            </w:r>
            <w:r>
              <w:rPr>
                <w:lang w:val="en-GB"/>
              </w:rPr>
              <w:t>)</w:t>
            </w:r>
          </w:p>
        </w:tc>
        <w:tc>
          <w:tcPr>
            <w:tcW w:w="613" w:type="pct"/>
            <w:shd w:val="clear" w:color="auto" w:fill="FFFFFF"/>
          </w:tcPr>
          <w:p w14:paraId="3820A233" w14:textId="0F2CE81F" w:rsidR="001278AA" w:rsidRDefault="001278AA" w:rsidP="00843A3D">
            <w:pPr>
              <w:pStyle w:val="CETBodytext"/>
              <w:ind w:right="-1"/>
              <w:rPr>
                <w:lang w:val="en-GB"/>
              </w:rPr>
            </w:pPr>
            <w:r>
              <w:rPr>
                <w:rFonts w:cs="Arial"/>
                <w:lang w:val="en-GB"/>
              </w:rPr>
              <w:t>t∑</w:t>
            </w:r>
            <w:r>
              <w:rPr>
                <w:lang w:val="en-GB"/>
              </w:rPr>
              <w:t>(E</w:t>
            </w:r>
            <w:r w:rsidR="008B1592">
              <w:rPr>
                <w:vertAlign w:val="subscript"/>
                <w:lang w:val="en-GB"/>
              </w:rPr>
              <w:t>NOx</w:t>
            </w:r>
            <w:r>
              <w:rPr>
                <w:vertAlign w:val="subscript"/>
                <w:lang w:val="en-GB"/>
              </w:rPr>
              <w:t>,4</w:t>
            </w:r>
            <w:r>
              <w:rPr>
                <w:lang w:val="en-GB"/>
              </w:rPr>
              <w:t>)</w:t>
            </w:r>
          </w:p>
        </w:tc>
        <w:tc>
          <w:tcPr>
            <w:tcW w:w="606" w:type="pct"/>
            <w:shd w:val="clear" w:color="auto" w:fill="FFFFFF"/>
          </w:tcPr>
          <w:p w14:paraId="56FB6328" w14:textId="57843004" w:rsidR="001278AA" w:rsidRDefault="001278AA" w:rsidP="00843A3D">
            <w:pPr>
              <w:pStyle w:val="CETBodytext"/>
              <w:ind w:right="-1"/>
              <w:rPr>
                <w:lang w:val="en-GB"/>
              </w:rPr>
            </w:pPr>
            <w:r>
              <w:rPr>
                <w:rFonts w:cs="Arial"/>
                <w:lang w:val="en-GB"/>
              </w:rPr>
              <w:t>t∑</w:t>
            </w:r>
            <w:r>
              <w:rPr>
                <w:lang w:val="en-GB"/>
              </w:rPr>
              <w:t>(E</w:t>
            </w:r>
            <w:r w:rsidR="008B1592">
              <w:rPr>
                <w:vertAlign w:val="subscript"/>
                <w:lang w:val="en-GB"/>
              </w:rPr>
              <w:t>SOx</w:t>
            </w:r>
            <w:r>
              <w:rPr>
                <w:vertAlign w:val="subscript"/>
                <w:lang w:val="en-GB"/>
              </w:rPr>
              <w:t>,4</w:t>
            </w:r>
            <w:r>
              <w:rPr>
                <w:lang w:val="en-GB"/>
              </w:rPr>
              <w:t>)</w:t>
            </w:r>
          </w:p>
        </w:tc>
        <w:tc>
          <w:tcPr>
            <w:tcW w:w="1588" w:type="pct"/>
            <w:shd w:val="clear" w:color="auto" w:fill="FFFFFF"/>
          </w:tcPr>
          <w:p w14:paraId="0517CD34" w14:textId="075FD62E" w:rsidR="001278AA" w:rsidRDefault="00FA2F57" w:rsidP="00843A3D">
            <w:pPr>
              <w:pStyle w:val="CETBodytext"/>
              <w:ind w:right="-1"/>
              <w:rPr>
                <w:lang w:val="en-GB"/>
              </w:rPr>
            </w:pPr>
            <w:r>
              <w:rPr>
                <w:rFonts w:cs="Arial"/>
                <w:lang w:val="en-GB"/>
              </w:rPr>
              <w:t>t∑</w:t>
            </w:r>
            <w:r>
              <w:rPr>
                <w:lang w:val="en-GB"/>
              </w:rPr>
              <w:t>(E</w:t>
            </w:r>
            <w:r>
              <w:rPr>
                <w:vertAlign w:val="subscript"/>
                <w:lang w:val="en-GB"/>
              </w:rPr>
              <w:t>PM2.5,4</w:t>
            </w:r>
            <w:r w:rsidRPr="00FA2F57">
              <w:rPr>
                <w:lang w:val="en-GB"/>
              </w:rPr>
              <w:t>+ E</w:t>
            </w:r>
            <w:r w:rsidRPr="00FA2F57">
              <w:rPr>
                <w:vertAlign w:val="subscript"/>
                <w:lang w:val="en-GB"/>
              </w:rPr>
              <w:t>2.5</w:t>
            </w:r>
            <w:r>
              <w:rPr>
                <w:vertAlign w:val="subscript"/>
                <w:lang w:val="en-GB"/>
              </w:rPr>
              <w:t>,4</w:t>
            </w:r>
            <w:r>
              <w:rPr>
                <w:lang w:val="en-GB"/>
              </w:rPr>
              <w:t>+E</w:t>
            </w:r>
            <w:r w:rsidRPr="00FA2F57">
              <w:rPr>
                <w:vertAlign w:val="subscript"/>
                <w:lang w:val="en-GB"/>
              </w:rPr>
              <w:t>p2.5</w:t>
            </w:r>
            <w:r>
              <w:rPr>
                <w:vertAlign w:val="subscript"/>
                <w:lang w:val="en-GB"/>
              </w:rPr>
              <w:t>,4</w:t>
            </w:r>
            <w:r>
              <w:rPr>
                <w:lang w:val="en-GB"/>
              </w:rPr>
              <w:t>)</w:t>
            </w:r>
          </w:p>
        </w:tc>
        <w:tc>
          <w:tcPr>
            <w:tcW w:w="1507" w:type="pct"/>
            <w:shd w:val="clear" w:color="auto" w:fill="FFFFFF"/>
          </w:tcPr>
          <w:p w14:paraId="7D27E4EE" w14:textId="3F2F1A41" w:rsidR="001278AA" w:rsidRDefault="00FA2F57" w:rsidP="00843A3D">
            <w:pPr>
              <w:pStyle w:val="CETBodytext"/>
              <w:ind w:right="-1"/>
              <w:rPr>
                <w:lang w:val="en-GB"/>
              </w:rPr>
            </w:pPr>
            <w:r>
              <w:rPr>
                <w:rFonts w:cs="Arial"/>
                <w:lang w:val="en-GB"/>
              </w:rPr>
              <w:t>t∑</w:t>
            </w:r>
            <w:r>
              <w:rPr>
                <w:lang w:val="en-GB"/>
              </w:rPr>
              <w:t>(E</w:t>
            </w:r>
            <w:r>
              <w:rPr>
                <w:vertAlign w:val="subscript"/>
                <w:lang w:val="en-GB"/>
              </w:rPr>
              <w:t>PM10,4</w:t>
            </w:r>
            <w:r w:rsidRPr="00FA2F57">
              <w:rPr>
                <w:lang w:val="en-GB"/>
              </w:rPr>
              <w:t>+ E</w:t>
            </w:r>
            <w:r>
              <w:rPr>
                <w:vertAlign w:val="subscript"/>
                <w:lang w:val="en-GB"/>
              </w:rPr>
              <w:t>10,4</w:t>
            </w:r>
            <w:r>
              <w:rPr>
                <w:lang w:val="en-GB"/>
              </w:rPr>
              <w:t>+E</w:t>
            </w:r>
            <w:r w:rsidRPr="00FA2F57">
              <w:rPr>
                <w:vertAlign w:val="subscript"/>
                <w:lang w:val="en-GB"/>
              </w:rPr>
              <w:t>p</w:t>
            </w:r>
            <w:r>
              <w:rPr>
                <w:vertAlign w:val="subscript"/>
                <w:lang w:val="en-GB"/>
              </w:rPr>
              <w:t>10,4</w:t>
            </w:r>
            <w:r>
              <w:rPr>
                <w:lang w:val="en-GB"/>
              </w:rPr>
              <w:t>)</w:t>
            </w:r>
          </w:p>
        </w:tc>
      </w:tr>
    </w:tbl>
    <w:p w14:paraId="05BFF304" w14:textId="77777777" w:rsidR="008B1592" w:rsidRPr="00B57B36" w:rsidRDefault="008B1592" w:rsidP="00D04A8D">
      <w:pPr>
        <w:pStyle w:val="CETListbullets"/>
        <w:ind w:left="0" w:firstLine="0"/>
      </w:pPr>
    </w:p>
    <w:p w14:paraId="1F96CA21" w14:textId="137C07DD" w:rsidR="00600535" w:rsidRPr="00B57B36" w:rsidRDefault="00735052" w:rsidP="00FA5F5F">
      <w:pPr>
        <w:pStyle w:val="CETheadingx"/>
      </w:pPr>
      <w:r>
        <w:t>Emission profiles</w:t>
      </w:r>
    </w:p>
    <w:p w14:paraId="3F499643" w14:textId="5ADC89EC" w:rsidR="00F86E7C" w:rsidRDefault="005F47E9" w:rsidP="00600535">
      <w:pPr>
        <w:pStyle w:val="CETBodytext"/>
        <w:rPr>
          <w:lang w:val="en-GB"/>
        </w:rPr>
      </w:pPr>
      <w:r>
        <w:rPr>
          <w:lang w:val="en-GB"/>
        </w:rPr>
        <w:t xml:space="preserve">Once global emissions have been identified, it is possible to proceed forward by resolving the concentration profile overtime on the zone interested by the worksites. This can be carried out by applying a dedicated mathematical model suited for simulating airborne pollutants dispersion. </w:t>
      </w:r>
      <w:r w:rsidR="00896B25">
        <w:rPr>
          <w:lang w:val="en-GB"/>
        </w:rPr>
        <w:t>The Environmental Protection Agency regularly uploads recommended mathematical models to estimate</w:t>
      </w:r>
      <w:r w:rsidR="005A5C80">
        <w:rPr>
          <w:lang w:val="en-GB"/>
        </w:rPr>
        <w:t xml:space="preserve"> (EPA, 2017)</w:t>
      </w:r>
      <w:r w:rsidR="00896B25">
        <w:rPr>
          <w:lang w:val="en-GB"/>
        </w:rPr>
        <w:t>. Based on the authors knowledge and experience, for these kind</w:t>
      </w:r>
      <w:r w:rsidR="005A5C80">
        <w:rPr>
          <w:lang w:val="en-GB"/>
        </w:rPr>
        <w:t>s</w:t>
      </w:r>
      <w:r w:rsidR="00896B25">
        <w:rPr>
          <w:lang w:val="en-GB"/>
        </w:rPr>
        <w:t xml:space="preserve"> of activities both Gaussian models</w:t>
      </w:r>
      <w:r w:rsidR="00F24D60">
        <w:rPr>
          <w:lang w:val="en-GB"/>
        </w:rPr>
        <w:t xml:space="preserve"> (Copelli et al., 2019)</w:t>
      </w:r>
      <w:r w:rsidR="00896B25">
        <w:rPr>
          <w:lang w:val="en-GB"/>
        </w:rPr>
        <w:t xml:space="preserve"> and Lagrangian ones (such as CALPUFF), are suited for a proper emissions profile determination.</w:t>
      </w:r>
      <w:r w:rsidR="00A819D5">
        <w:rPr>
          <w:lang w:val="en-GB"/>
        </w:rPr>
        <w:t xml:space="preserve"> A correct implementation of such codes requires a series of necessary steps, which include</w:t>
      </w:r>
      <w:r>
        <w:rPr>
          <w:lang w:val="en-GB"/>
        </w:rPr>
        <w:t>:</w:t>
      </w:r>
      <w:r w:rsidR="00A819D5">
        <w:rPr>
          <w:lang w:val="en-GB"/>
        </w:rPr>
        <w:t xml:space="preserve"> geological characterization of the simulated zone, meteorological data assessment, emissions characterization. </w:t>
      </w:r>
      <w:r w:rsidR="0017509C">
        <w:rPr>
          <w:lang w:val="en-GB"/>
        </w:rPr>
        <w:t>Emission</w:t>
      </w:r>
      <w:r w:rsidR="00A819D5">
        <w:rPr>
          <w:lang w:val="en-GB"/>
        </w:rPr>
        <w:t xml:space="preserve"> sou</w:t>
      </w:r>
      <w:r w:rsidR="004039E1">
        <w:rPr>
          <w:lang w:val="en-GB"/>
        </w:rPr>
        <w:t>r</w:t>
      </w:r>
      <w:r w:rsidR="00A819D5">
        <w:rPr>
          <w:lang w:val="en-GB"/>
        </w:rPr>
        <w:t>ces definition will be focused on, since the other steps can be completed with the use of well-known database and models.</w:t>
      </w:r>
    </w:p>
    <w:p w14:paraId="2C70DA42" w14:textId="7C07F465" w:rsidR="0072108A" w:rsidRDefault="0072108A" w:rsidP="00600535">
      <w:pPr>
        <w:pStyle w:val="CETBodytext"/>
        <w:rPr>
          <w:lang w:val="en-GB"/>
        </w:rPr>
      </w:pPr>
      <w:r>
        <w:rPr>
          <w:lang w:val="en-GB"/>
        </w:rPr>
        <w:t>Point emissions</w:t>
      </w:r>
      <w:r w:rsidR="004039E1">
        <w:rPr>
          <w:lang w:val="en-GB"/>
        </w:rPr>
        <w:t xml:space="preserve"> are single machines, such as drills, excavators. They must be simply placed at the location they are supposed to be placed, and the emission factor (usually in g/h) must be defined. Such data are already known from the matrices E and P. </w:t>
      </w:r>
      <w:r>
        <w:rPr>
          <w:lang w:val="en-GB"/>
        </w:rPr>
        <w:t>Areal emissions</w:t>
      </w:r>
      <w:r w:rsidR="004039E1">
        <w:rPr>
          <w:lang w:val="en-GB"/>
        </w:rPr>
        <w:t xml:space="preserve"> are represented by excavations, in terms of both pure excavation operation and extracted soil stacked. In this case, the emission factor should be expressed in g/h/m², so information about excavation site size must be recovered or deduced. Finally, linear emission are mainly roads, both paved and unpaved.</w:t>
      </w:r>
      <w:r w:rsidR="005C2631">
        <w:rPr>
          <w:lang w:val="en-GB"/>
        </w:rPr>
        <w:t xml:space="preserve"> In this case, the emission factors should be divided into the length of the road</w:t>
      </w:r>
      <w:r w:rsidR="00BE444B">
        <w:rPr>
          <w:lang w:val="en-GB"/>
        </w:rPr>
        <w:t>s</w:t>
      </w:r>
      <w:r w:rsidR="005C2631">
        <w:rPr>
          <w:lang w:val="en-GB"/>
        </w:rPr>
        <w:t xml:space="preserve"> used each day.</w:t>
      </w:r>
    </w:p>
    <w:p w14:paraId="353262AB" w14:textId="0F569AE3" w:rsidR="00F24D60" w:rsidRPr="00F86E7C" w:rsidRDefault="00F24D60" w:rsidP="00F86E7C">
      <w:pPr>
        <w:pStyle w:val="CETBodytext"/>
        <w:rPr>
          <w:lang w:val="en-GB"/>
        </w:rPr>
      </w:pPr>
      <w:r>
        <w:rPr>
          <w:lang w:val="en-GB"/>
        </w:rPr>
        <w:t xml:space="preserve">Once the model is resolved, concentration profiles overtime can be evaluated, and </w:t>
      </w:r>
      <w:r w:rsidR="005C2631">
        <w:rPr>
          <w:lang w:val="en-GB"/>
        </w:rPr>
        <w:t>during</w:t>
      </w:r>
      <w:r>
        <w:rPr>
          <w:lang w:val="en-GB"/>
        </w:rPr>
        <w:t xml:space="preserve"> post-processing important data can be evaluated to continue with the risk assessment, such as percentiles, time weighted means and absolute maxima.</w:t>
      </w:r>
    </w:p>
    <w:p w14:paraId="40E876AC" w14:textId="7C9514DC" w:rsidR="00D04A8D" w:rsidRDefault="00735052" w:rsidP="00D04A8D">
      <w:pPr>
        <w:pStyle w:val="CETheadingx"/>
      </w:pPr>
      <w:r>
        <w:t>Risk assessment</w:t>
      </w:r>
    </w:p>
    <w:p w14:paraId="38D8D2E8" w14:textId="47145FDD" w:rsidR="0072108A" w:rsidRDefault="005C2631" w:rsidP="0072108A">
      <w:pPr>
        <w:pStyle w:val="CETBodytext"/>
      </w:pPr>
      <w:r>
        <w:t>M</w:t>
      </w:r>
      <w:r w:rsidR="0072108A">
        <w:t>ethodologies and techniques used in health risk assessment are firmly established (WHO, 2021).  The assessment of human health risk requires identification, compilation and integration of information on the health hazards of a chemical, human exposure to the chemical, and the relationships between exposure, dose and adverse effects.</w:t>
      </w:r>
      <w:r w:rsidR="00B36AA0">
        <w:t xml:space="preserve"> </w:t>
      </w:r>
      <w:r w:rsidR="0072108A">
        <w:t xml:space="preserve">The purpose of the hazard identification step is to determine the hazardous properties of the chemical released during the with all the different phases of worksite activities. </w:t>
      </w:r>
    </w:p>
    <w:p w14:paraId="711FD383" w14:textId="2CD83141" w:rsidR="0072108A" w:rsidRDefault="0072108A" w:rsidP="0072108A">
      <w:pPr>
        <w:pStyle w:val="CETBodytext"/>
      </w:pPr>
      <w:r>
        <w:t xml:space="preserve">Hazard characterization and related guideline value identification is used to obtain a reference value for the chemical that matches the route and duration of exposure (for example, inhalation and long-term exposure). </w:t>
      </w:r>
      <w:r>
        <w:lastRenderedPageBreak/>
        <w:t xml:space="preserve">Guidance and guideline values are normally the result of hazard characterizations and involve dose–response assessment. Then, </w:t>
      </w:r>
      <w:r w:rsidR="009310B6">
        <w:t xml:space="preserve">through an </w:t>
      </w:r>
      <w:r>
        <w:t xml:space="preserve">exposure assessment </w:t>
      </w:r>
      <w:r w:rsidR="009310B6">
        <w:t>it is possible to define</w:t>
      </w:r>
      <w:r>
        <w:t xml:space="preserve"> the most likely routes, pathways, duration, frequency and intensity of exposure that can be relevant for the potentially exposed workers </w:t>
      </w:r>
      <w:r w:rsidR="009310B6">
        <w:t>and population</w:t>
      </w:r>
      <w:r>
        <w:t xml:space="preserve">. </w:t>
      </w:r>
    </w:p>
    <w:p w14:paraId="29E6BD26" w14:textId="77777777" w:rsidR="00B2548D" w:rsidRDefault="0072108A" w:rsidP="00D04A8D">
      <w:pPr>
        <w:pStyle w:val="CETBodytext"/>
      </w:pPr>
      <w:r>
        <w:t xml:space="preserve">In the final step </w:t>
      </w:r>
      <w:r w:rsidR="005C2631">
        <w:t>of</w:t>
      </w:r>
      <w:r>
        <w:t xml:space="preserve"> the hazard identification, hazard characterization and exposure information are combined to yield a statement of risk.</w:t>
      </w:r>
      <w:r w:rsidR="00B2548D">
        <w:t xml:space="preserve"> </w:t>
      </w:r>
      <w:r>
        <w:t>The risk for the exposed population</w:t>
      </w:r>
      <w:r w:rsidR="005C2631">
        <w:t xml:space="preserve">/operators </w:t>
      </w:r>
      <w:r>
        <w:t xml:space="preserve">can depend on many </w:t>
      </w:r>
      <w:r w:rsidR="001050F5">
        <w:t>aspects, but the most important are</w:t>
      </w:r>
      <w:r w:rsidR="00B2548D">
        <w:t>:</w:t>
      </w:r>
      <w:r w:rsidR="001050F5">
        <w:t xml:space="preserve"> </w:t>
      </w:r>
      <w:r>
        <w:t>concentration of the toxic chemical at the point of exposure</w:t>
      </w:r>
      <w:r w:rsidR="001050F5">
        <w:t>, t</w:t>
      </w:r>
      <w:r>
        <w:t>ype of exposure and the intake pathway</w:t>
      </w:r>
      <w:r w:rsidR="00C11349">
        <w:t>,</w:t>
      </w:r>
      <w:r w:rsidR="001050F5">
        <w:t xml:space="preserve"> </w:t>
      </w:r>
      <w:r>
        <w:t>duration of exposure (from minute to decades)</w:t>
      </w:r>
      <w:r w:rsidR="001050F5">
        <w:t>,</w:t>
      </w:r>
      <w:r>
        <w:t xml:space="preserve"> toxicity of the released substance distinguished in chemical that have chronic effects and cancerogenic impacts</w:t>
      </w:r>
      <w:r w:rsidR="001050F5">
        <w:t>, and v</w:t>
      </w:r>
      <w:r>
        <w:t>ulnerability of the exposed person</w:t>
      </w:r>
      <w:r w:rsidR="001050F5">
        <w:t>.</w:t>
      </w:r>
      <w:r w:rsidR="00B2548D">
        <w:t xml:space="preserve"> </w:t>
      </w:r>
    </w:p>
    <w:p w14:paraId="68440F91" w14:textId="4FF29FBC" w:rsidR="0072108A" w:rsidRPr="00D04A8D" w:rsidRDefault="0072108A" w:rsidP="00D04A8D">
      <w:pPr>
        <w:pStyle w:val="CETBodytext"/>
      </w:pPr>
      <w:r>
        <w:t>Considering the chemicals that can induce chronic effect, the risk is calculate</w:t>
      </w:r>
      <w:r w:rsidR="005C2631">
        <w:t>d</w:t>
      </w:r>
      <w:r>
        <w:t xml:space="preserve"> consider</w:t>
      </w:r>
      <w:r w:rsidR="005C2631">
        <w:t>ing</w:t>
      </w:r>
      <w:r>
        <w:t xml:space="preserve"> the dose assumed </w:t>
      </w:r>
      <w:r w:rsidR="005C2631">
        <w:t>over</w:t>
      </w:r>
      <w:r>
        <w:t xml:space="preserve"> a specific period. This value can be compared with the reference threshold of tolerance (e.g. in the short term: Immediately Dangerous To Life or Health (IDLH) Values; Threshold Limit Values (TLV), Permissible Exposure Limit (PEL), or in the long period: Reference dose (RfD) or Reference concentration (RfC)).</w:t>
      </w:r>
      <w:r w:rsidR="00F86E7C">
        <w:t xml:space="preserve"> </w:t>
      </w:r>
      <w:r w:rsidR="005C2631">
        <w:t xml:space="preserve">Note that the definition of </w:t>
      </w:r>
      <w:r w:rsidR="00B36AA0">
        <w:t>dose can be estimated with the knowledge of the concentrations at which a human subject is exposed</w:t>
      </w:r>
      <w:r w:rsidR="005C2631">
        <w:t xml:space="preserve">. So, the </w:t>
      </w:r>
      <w:r w:rsidR="00B36AA0">
        <w:t xml:space="preserve">modeling </w:t>
      </w:r>
      <w:r w:rsidR="005C2631">
        <w:t xml:space="preserve">of pollutant dispersions can be </w:t>
      </w:r>
      <w:r w:rsidR="00B36AA0">
        <w:t xml:space="preserve">easily improved by adding specific receptors, for which a concentration overtime curve can be defined. Hence, the expected daily dose can be easily defined. </w:t>
      </w:r>
    </w:p>
    <w:p w14:paraId="68D26B83" w14:textId="77777777" w:rsidR="00600535" w:rsidRPr="00B57B36" w:rsidRDefault="00600535" w:rsidP="00600535">
      <w:pPr>
        <w:pStyle w:val="CETHeading1"/>
        <w:rPr>
          <w:lang w:val="en-GB"/>
        </w:rPr>
      </w:pPr>
      <w:r w:rsidRPr="00B57B36">
        <w:rPr>
          <w:lang w:val="en-GB"/>
        </w:rPr>
        <w:t>Conclusions</w:t>
      </w:r>
    </w:p>
    <w:p w14:paraId="52DAFDE0" w14:textId="0AA5E06D" w:rsidR="001D0CFB" w:rsidRDefault="005C2631" w:rsidP="00600535">
      <w:pPr>
        <w:pStyle w:val="CETBodytext"/>
        <w:rPr>
          <w:lang w:val="en-GB"/>
        </w:rPr>
      </w:pPr>
      <w:r>
        <w:rPr>
          <w:lang w:val="en-GB"/>
        </w:rPr>
        <w:t xml:space="preserve">In this work, a theoretical general method to estimate environmental and health impact of worksites is proposed. </w:t>
      </w:r>
      <w:r w:rsidR="0017509C">
        <w:rPr>
          <w:lang w:val="en-GB"/>
        </w:rPr>
        <w:t xml:space="preserve">The method involves well-established literature methods for the establishment of emission factors and used information which are already known at the level of worksite operations definition and assessment. With a </w:t>
      </w:r>
      <w:r w:rsidR="00E54394">
        <w:rPr>
          <w:lang w:val="en-GB"/>
        </w:rPr>
        <w:t>good structure, global emissions are easily identified with the use of simple matrix operations. The same information can be also easily used to implement a mathematical model to address the level of exposure of specific receptors, leading to a precise health risk assessment for workers or exposed citizens.</w:t>
      </w:r>
      <w:r w:rsidR="00B36AA0" w:rsidRPr="00B36AA0">
        <w:t xml:space="preserve"> </w:t>
      </w:r>
      <w:r w:rsidR="002F0615">
        <w:t xml:space="preserve">Clearly, </w:t>
      </w:r>
      <w:r w:rsidR="00B36AA0">
        <w:t xml:space="preserve">a description of all aspects that characterize the risk assessment activities </w:t>
      </w:r>
      <w:r w:rsidR="009310B6">
        <w:t>is</w:t>
      </w:r>
      <w:r w:rsidR="00B36AA0">
        <w:t xml:space="preserve"> more complex and requires a more extensive description. However, it is reasonable to assume that the current level of detail is sufficient to highlight how the risk assessment associated to the release of toxic substances during worksite activities may be a valid approach to support decision-making process about the definition of worksite management strategies that can mitigate and minimize the potential risk for workers and people living nearby the worksite.</w:t>
      </w:r>
      <w:r w:rsidR="00E54394">
        <w:rPr>
          <w:lang w:val="en-GB"/>
        </w:rPr>
        <w:t xml:space="preserve"> </w:t>
      </w:r>
      <w:r w:rsidR="009310B6">
        <w:rPr>
          <w:lang w:val="en-GB"/>
        </w:rPr>
        <w:t>It will be interesting for future works to include comprehensive research with a real case study, along with in-site air contaminants analyses, in order to validate the effective potential of the proposed method.</w:t>
      </w:r>
    </w:p>
    <w:p w14:paraId="03507984" w14:textId="58AF4929" w:rsidR="00600535" w:rsidRPr="00B57B36" w:rsidRDefault="00600535" w:rsidP="00D04A8D">
      <w:pPr>
        <w:pStyle w:val="CETReference"/>
      </w:pPr>
      <w:r w:rsidRPr="00B57B36">
        <w:t>References</w:t>
      </w:r>
    </w:p>
    <w:p w14:paraId="46EFC074" w14:textId="77777777" w:rsidR="00E54394" w:rsidRPr="00F24D60" w:rsidRDefault="00E54394" w:rsidP="00F24D60">
      <w:pPr>
        <w:pStyle w:val="CETReferencetext"/>
      </w:pPr>
      <w:bookmarkStart w:id="0" w:name="_Hlk90889111"/>
      <w:r w:rsidRPr="00F24D60">
        <w:t>Copelli S., Barozzi M., Fumagalli A.,</w:t>
      </w:r>
      <w:r>
        <w:t xml:space="preserve"> Derudi M.,</w:t>
      </w:r>
      <w:r w:rsidRPr="00F24D60">
        <w:t xml:space="preserve"> </w:t>
      </w:r>
      <w:r>
        <w:t>2019,</w:t>
      </w:r>
      <w:r w:rsidRPr="00F24D60">
        <w:t xml:space="preserve"> Application of a Gaussian Model to Simulate Contaminants</w:t>
      </w:r>
      <w:r>
        <w:t xml:space="preserve"> </w:t>
      </w:r>
      <w:r w:rsidRPr="00F24D60">
        <w:t>Dispersion in Industrial Accidents</w:t>
      </w:r>
      <w:r>
        <w:t>, Chemical Engineering Transactions, 77, 799-804.</w:t>
      </w:r>
    </w:p>
    <w:p w14:paraId="76B6F47C" w14:textId="77777777" w:rsidR="00E54394" w:rsidRDefault="00E54394" w:rsidP="00E65B91">
      <w:pPr>
        <w:pStyle w:val="CETReferencetext"/>
      </w:pPr>
      <w:r w:rsidRPr="00E632B9">
        <w:t xml:space="preserve">Directive 2008/50/EC </w:t>
      </w:r>
      <w:bookmarkEnd w:id="0"/>
      <w:r w:rsidRPr="00E632B9">
        <w:t>of the European Parliament and of the Council of 21 May 2008 on ambient air quality and cleaner air for Europe</w:t>
      </w:r>
    </w:p>
    <w:p w14:paraId="63CE2AC9" w14:textId="77777777" w:rsidR="00E54394" w:rsidRDefault="00E54394" w:rsidP="005A5C80">
      <w:pPr>
        <w:pStyle w:val="CETReferencetext"/>
      </w:pPr>
      <w:r>
        <w:t>Environmental Protection Agency, 2017, Revisions to the Guideline on Air Quality Models: Enhancements to the AERMOD Dispersion Modeling System and Incorporation of Approaches To Address Ozone and Fine Particulate Matter &lt;</w:t>
      </w:r>
      <w:r w:rsidRPr="0098312E">
        <w:t xml:space="preserve">epa.gov/sites/default/files/2020-09/documents/appw_17.pdf </w:t>
      </w:r>
      <w:r>
        <w:t>&gt; accessed 20.12.2021</w:t>
      </w:r>
    </w:p>
    <w:p w14:paraId="774C5707" w14:textId="77777777" w:rsidR="00E54394" w:rsidRDefault="00E54394" w:rsidP="00BF22D1">
      <w:pPr>
        <w:pStyle w:val="CETReferencetext"/>
      </w:pPr>
      <w:r>
        <w:t>Giunta M., 2020, Assessment of the environmental impact of road construction: Modelling and prediction of fine particulate matter emissions, Building and Environment, 176, 106865</w:t>
      </w:r>
    </w:p>
    <w:p w14:paraId="46B3AAF8" w14:textId="77777777" w:rsidR="00E54394" w:rsidRDefault="00E54394" w:rsidP="009817E9">
      <w:pPr>
        <w:pStyle w:val="CETReferencetext"/>
      </w:pPr>
      <w:r w:rsidRPr="009817E9">
        <w:rPr>
          <w:lang w:val="en-US"/>
        </w:rPr>
        <w:t xml:space="preserve">Giunta M., Lo Bosco D., Leonardi G., Scopelliti F., </w:t>
      </w:r>
      <w:r>
        <w:rPr>
          <w:lang w:val="en-US"/>
        </w:rPr>
        <w:t xml:space="preserve">2019, </w:t>
      </w:r>
      <w:r>
        <w:t>Estimation of Gas and Dust Emissions in Construction Sites of a Motorway Project, Sustainability, 11, 7218</w:t>
      </w:r>
    </w:p>
    <w:p w14:paraId="75B2B6A5" w14:textId="77777777" w:rsidR="00E54394" w:rsidRDefault="00E54394" w:rsidP="0092252A">
      <w:pPr>
        <w:pStyle w:val="CETReferencetext"/>
      </w:pPr>
      <w:r>
        <w:t>Lepert P., Brillet F., 2009, The overall effects of road works on global warming gas emissions,</w:t>
      </w:r>
      <w:r w:rsidRPr="0092252A">
        <w:t xml:space="preserve"> Transportation Research Part D</w:t>
      </w:r>
      <w:r>
        <w:t>,</w:t>
      </w:r>
      <w:r w:rsidRPr="0092252A">
        <w:t xml:space="preserve"> 14</w:t>
      </w:r>
      <w:r>
        <w:t xml:space="preserve">, </w:t>
      </w:r>
      <w:r w:rsidRPr="0092252A">
        <w:t>576–584</w:t>
      </w:r>
    </w:p>
    <w:p w14:paraId="6415CDE0" w14:textId="77777777" w:rsidR="00E54394" w:rsidRDefault="00E54394" w:rsidP="00BF22D1">
      <w:pPr>
        <w:pStyle w:val="CETReferencetext"/>
      </w:pPr>
      <w:r>
        <w:t>South Coast AQMD, Off-road Mobile Source Emission Factors, &lt;aqmd.gov/home/rules-compliance/ceqa/air-quality-analysis-handbook/off-road-mobile-source-emission-factors&gt; accessed 22/12/2021.</w:t>
      </w:r>
    </w:p>
    <w:p w14:paraId="338806FB" w14:textId="77777777" w:rsidR="00E54394" w:rsidRDefault="00E54394" w:rsidP="00BF22D1">
      <w:pPr>
        <w:pStyle w:val="CETReferencetext"/>
      </w:pPr>
      <w:r>
        <w:t>U.S. Environmental Protection Agency - Office of Transportation and Air Quality, 2008, Average In-Use Emissions from Heavy-Duty Tracks, &lt;</w:t>
      </w:r>
      <w:r w:rsidRPr="007C4B5C">
        <w:t xml:space="preserve"> https://nepis.epa.gov/Exe/ZyPDF.cgi/P100EVY6.PDF?Dockey=P100EVY6.PDF</w:t>
      </w:r>
      <w:r>
        <w:t>&gt; accessed 22/12/2021.</w:t>
      </w:r>
    </w:p>
    <w:p w14:paraId="0480A7A6" w14:textId="77777777" w:rsidR="00E54394" w:rsidRDefault="00E54394" w:rsidP="00BF22D1">
      <w:pPr>
        <w:pStyle w:val="CETReferencetext"/>
      </w:pPr>
      <w:r>
        <w:t>U.S. Environmental Protection Agency, 2007 - “AP 42, Volume I, Fifth Edition” &lt;epa.gov/ttn/chief/ap42&gt; accessed 22/12/2021.</w:t>
      </w:r>
    </w:p>
    <w:p w14:paraId="19C4FC68" w14:textId="462BEBA9" w:rsidR="004628D2" w:rsidRPr="009817E9" w:rsidRDefault="00E54394" w:rsidP="00C11349">
      <w:pPr>
        <w:pStyle w:val="CETReferencetext"/>
      </w:pPr>
      <w:r w:rsidRPr="0072108A">
        <w:t>World Health Organization</w:t>
      </w:r>
      <w:r>
        <w:t>,</w:t>
      </w:r>
      <w:r w:rsidRPr="0072108A">
        <w:t xml:space="preserve"> 2021,</w:t>
      </w:r>
      <w:r>
        <w:t xml:space="preserve"> </w:t>
      </w:r>
      <w:r w:rsidRPr="0072108A">
        <w:t xml:space="preserve">WHO Human Health Risk Assessment Toolkit: Chemical Hazards, second edition (IPCS armonization project document, no. 8) </w:t>
      </w:r>
    </w:p>
    <w:sectPr w:rsidR="004628D2" w:rsidRPr="009817E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4297" w14:textId="77777777" w:rsidR="00A37552" w:rsidRDefault="00A37552" w:rsidP="004F5E36">
      <w:r>
        <w:separator/>
      </w:r>
    </w:p>
  </w:endnote>
  <w:endnote w:type="continuationSeparator" w:id="0">
    <w:p w14:paraId="505659BE" w14:textId="77777777" w:rsidR="00A37552" w:rsidRDefault="00A375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B864" w14:textId="77777777" w:rsidR="00A37552" w:rsidRDefault="00A37552" w:rsidP="004F5E36">
      <w:r>
        <w:separator/>
      </w:r>
    </w:p>
  </w:footnote>
  <w:footnote w:type="continuationSeparator" w:id="0">
    <w:p w14:paraId="72A7488D" w14:textId="77777777" w:rsidR="00A37552" w:rsidRDefault="00A3755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17742C"/>
    <w:multiLevelType w:val="hybridMultilevel"/>
    <w:tmpl w:val="28663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5043869">
    <w:abstractNumId w:val="10"/>
  </w:num>
  <w:num w:numId="2" w16cid:durableId="670065517">
    <w:abstractNumId w:val="8"/>
  </w:num>
  <w:num w:numId="3" w16cid:durableId="1584408889">
    <w:abstractNumId w:val="3"/>
  </w:num>
  <w:num w:numId="4" w16cid:durableId="1047334367">
    <w:abstractNumId w:val="2"/>
  </w:num>
  <w:num w:numId="5" w16cid:durableId="1849559205">
    <w:abstractNumId w:val="1"/>
  </w:num>
  <w:num w:numId="6" w16cid:durableId="877816519">
    <w:abstractNumId w:val="0"/>
  </w:num>
  <w:num w:numId="7" w16cid:durableId="617835319">
    <w:abstractNumId w:val="9"/>
  </w:num>
  <w:num w:numId="8" w16cid:durableId="476918285">
    <w:abstractNumId w:val="7"/>
  </w:num>
  <w:num w:numId="9" w16cid:durableId="1050885691">
    <w:abstractNumId w:val="6"/>
  </w:num>
  <w:num w:numId="10" w16cid:durableId="1625504078">
    <w:abstractNumId w:val="5"/>
  </w:num>
  <w:num w:numId="11" w16cid:durableId="1349914654">
    <w:abstractNumId w:val="4"/>
  </w:num>
  <w:num w:numId="12" w16cid:durableId="1479685671">
    <w:abstractNumId w:val="18"/>
  </w:num>
  <w:num w:numId="13" w16cid:durableId="195510575">
    <w:abstractNumId w:val="12"/>
  </w:num>
  <w:num w:numId="14" w16cid:durableId="685600221">
    <w:abstractNumId w:val="19"/>
  </w:num>
  <w:num w:numId="15" w16cid:durableId="54621791">
    <w:abstractNumId w:val="21"/>
  </w:num>
  <w:num w:numId="16" w16cid:durableId="726759354">
    <w:abstractNumId w:val="20"/>
  </w:num>
  <w:num w:numId="17" w16cid:durableId="637957896">
    <w:abstractNumId w:val="11"/>
  </w:num>
  <w:num w:numId="18" w16cid:durableId="402026340">
    <w:abstractNumId w:val="12"/>
    <w:lvlOverride w:ilvl="0">
      <w:startOverride w:val="1"/>
    </w:lvlOverride>
  </w:num>
  <w:num w:numId="19" w16cid:durableId="1188984762">
    <w:abstractNumId w:val="16"/>
  </w:num>
  <w:num w:numId="20" w16cid:durableId="965476936">
    <w:abstractNumId w:val="15"/>
  </w:num>
  <w:num w:numId="21" w16cid:durableId="521633346">
    <w:abstractNumId w:val="14"/>
  </w:num>
  <w:num w:numId="22" w16cid:durableId="262223919">
    <w:abstractNumId w:val="13"/>
  </w:num>
  <w:num w:numId="23" w16cid:durableId="18811677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00E"/>
    <w:rsid w:val="000052FB"/>
    <w:rsid w:val="000117CB"/>
    <w:rsid w:val="0001540F"/>
    <w:rsid w:val="0003148D"/>
    <w:rsid w:val="00031EEC"/>
    <w:rsid w:val="00051566"/>
    <w:rsid w:val="00052DF5"/>
    <w:rsid w:val="000623F0"/>
    <w:rsid w:val="00062A9A"/>
    <w:rsid w:val="00065058"/>
    <w:rsid w:val="00086C39"/>
    <w:rsid w:val="000A03B2"/>
    <w:rsid w:val="000D0268"/>
    <w:rsid w:val="000D34BE"/>
    <w:rsid w:val="000E102F"/>
    <w:rsid w:val="000E36F1"/>
    <w:rsid w:val="000E3A73"/>
    <w:rsid w:val="000E414A"/>
    <w:rsid w:val="000F093C"/>
    <w:rsid w:val="000F787B"/>
    <w:rsid w:val="001050F5"/>
    <w:rsid w:val="00106F3C"/>
    <w:rsid w:val="0012091F"/>
    <w:rsid w:val="00126BC2"/>
    <w:rsid w:val="001278AA"/>
    <w:rsid w:val="001308B6"/>
    <w:rsid w:val="0013121F"/>
    <w:rsid w:val="001313B2"/>
    <w:rsid w:val="00131FE6"/>
    <w:rsid w:val="0013263F"/>
    <w:rsid w:val="001331DF"/>
    <w:rsid w:val="00134DE4"/>
    <w:rsid w:val="0014034D"/>
    <w:rsid w:val="00144D16"/>
    <w:rsid w:val="00150E59"/>
    <w:rsid w:val="00152DE3"/>
    <w:rsid w:val="001544B9"/>
    <w:rsid w:val="00164CF9"/>
    <w:rsid w:val="001667A6"/>
    <w:rsid w:val="00167512"/>
    <w:rsid w:val="0017509C"/>
    <w:rsid w:val="00184AD6"/>
    <w:rsid w:val="0019192C"/>
    <w:rsid w:val="001A4AF7"/>
    <w:rsid w:val="001B0349"/>
    <w:rsid w:val="001B1E93"/>
    <w:rsid w:val="001B65C1"/>
    <w:rsid w:val="001C684B"/>
    <w:rsid w:val="001D0CFB"/>
    <w:rsid w:val="001D53FC"/>
    <w:rsid w:val="001E3926"/>
    <w:rsid w:val="001F07FE"/>
    <w:rsid w:val="001F42A5"/>
    <w:rsid w:val="001F7B9D"/>
    <w:rsid w:val="00201C93"/>
    <w:rsid w:val="002224B4"/>
    <w:rsid w:val="002421E8"/>
    <w:rsid w:val="002447EF"/>
    <w:rsid w:val="00251550"/>
    <w:rsid w:val="002527F7"/>
    <w:rsid w:val="00260FDC"/>
    <w:rsid w:val="00263B05"/>
    <w:rsid w:val="00264B3A"/>
    <w:rsid w:val="0027221A"/>
    <w:rsid w:val="00275B61"/>
    <w:rsid w:val="002801A5"/>
    <w:rsid w:val="00280FAF"/>
    <w:rsid w:val="00282656"/>
    <w:rsid w:val="00283CD7"/>
    <w:rsid w:val="00296B83"/>
    <w:rsid w:val="002970BA"/>
    <w:rsid w:val="002B1A0E"/>
    <w:rsid w:val="002B4015"/>
    <w:rsid w:val="002B78CE"/>
    <w:rsid w:val="002C2FB6"/>
    <w:rsid w:val="002E5FA7"/>
    <w:rsid w:val="002F0615"/>
    <w:rsid w:val="002F3309"/>
    <w:rsid w:val="003008CE"/>
    <w:rsid w:val="003009B7"/>
    <w:rsid w:val="00300E56"/>
    <w:rsid w:val="0030469C"/>
    <w:rsid w:val="00321CA6"/>
    <w:rsid w:val="00323763"/>
    <w:rsid w:val="00334C09"/>
    <w:rsid w:val="00346A97"/>
    <w:rsid w:val="003620FD"/>
    <w:rsid w:val="00364C94"/>
    <w:rsid w:val="003723D4"/>
    <w:rsid w:val="00381905"/>
    <w:rsid w:val="00384CC8"/>
    <w:rsid w:val="003871FD"/>
    <w:rsid w:val="003A1E30"/>
    <w:rsid w:val="003A2829"/>
    <w:rsid w:val="003A7D1C"/>
    <w:rsid w:val="003B304B"/>
    <w:rsid w:val="003B3146"/>
    <w:rsid w:val="003B6B42"/>
    <w:rsid w:val="003D04CC"/>
    <w:rsid w:val="003E3333"/>
    <w:rsid w:val="003F015E"/>
    <w:rsid w:val="00400414"/>
    <w:rsid w:val="004039E1"/>
    <w:rsid w:val="0041446B"/>
    <w:rsid w:val="0044329C"/>
    <w:rsid w:val="00453E24"/>
    <w:rsid w:val="00457456"/>
    <w:rsid w:val="004577FE"/>
    <w:rsid w:val="00457B9C"/>
    <w:rsid w:val="0046164A"/>
    <w:rsid w:val="004628D2"/>
    <w:rsid w:val="00462DCD"/>
    <w:rsid w:val="004648AD"/>
    <w:rsid w:val="004703A9"/>
    <w:rsid w:val="00474C9F"/>
    <w:rsid w:val="004760DE"/>
    <w:rsid w:val="004763D7"/>
    <w:rsid w:val="00484FE7"/>
    <w:rsid w:val="004A004E"/>
    <w:rsid w:val="004A24CF"/>
    <w:rsid w:val="004C3D1D"/>
    <w:rsid w:val="004C4313"/>
    <w:rsid w:val="004C7913"/>
    <w:rsid w:val="004D09C6"/>
    <w:rsid w:val="004D5EA1"/>
    <w:rsid w:val="004E436B"/>
    <w:rsid w:val="004E4DD6"/>
    <w:rsid w:val="004F5E36"/>
    <w:rsid w:val="00507B47"/>
    <w:rsid w:val="00507BEF"/>
    <w:rsid w:val="00507CC9"/>
    <w:rsid w:val="005119A5"/>
    <w:rsid w:val="005278B7"/>
    <w:rsid w:val="00532016"/>
    <w:rsid w:val="00532B3F"/>
    <w:rsid w:val="005346C8"/>
    <w:rsid w:val="00537DDA"/>
    <w:rsid w:val="00543E7D"/>
    <w:rsid w:val="00547A68"/>
    <w:rsid w:val="005531C9"/>
    <w:rsid w:val="00553C12"/>
    <w:rsid w:val="005665F2"/>
    <w:rsid w:val="00570C43"/>
    <w:rsid w:val="00585E18"/>
    <w:rsid w:val="00585EA7"/>
    <w:rsid w:val="00590441"/>
    <w:rsid w:val="0059454D"/>
    <w:rsid w:val="005A5C80"/>
    <w:rsid w:val="005B2110"/>
    <w:rsid w:val="005B61E6"/>
    <w:rsid w:val="005C2631"/>
    <w:rsid w:val="005C3B9E"/>
    <w:rsid w:val="005C77E1"/>
    <w:rsid w:val="005D668A"/>
    <w:rsid w:val="005D6A2F"/>
    <w:rsid w:val="005E1A82"/>
    <w:rsid w:val="005E794C"/>
    <w:rsid w:val="005E7CD6"/>
    <w:rsid w:val="005F0A28"/>
    <w:rsid w:val="005F0E5E"/>
    <w:rsid w:val="005F47E9"/>
    <w:rsid w:val="00600535"/>
    <w:rsid w:val="00610CD6"/>
    <w:rsid w:val="00620DEE"/>
    <w:rsid w:val="00621F92"/>
    <w:rsid w:val="00622116"/>
    <w:rsid w:val="0062280A"/>
    <w:rsid w:val="00625639"/>
    <w:rsid w:val="00631B33"/>
    <w:rsid w:val="0064184D"/>
    <w:rsid w:val="006422CC"/>
    <w:rsid w:val="00660E3E"/>
    <w:rsid w:val="00662E74"/>
    <w:rsid w:val="00680C23"/>
    <w:rsid w:val="00693766"/>
    <w:rsid w:val="006A3281"/>
    <w:rsid w:val="006B09D5"/>
    <w:rsid w:val="006B4888"/>
    <w:rsid w:val="006C2E45"/>
    <w:rsid w:val="006C359C"/>
    <w:rsid w:val="006C5579"/>
    <w:rsid w:val="006D6E8B"/>
    <w:rsid w:val="006E737D"/>
    <w:rsid w:val="006F6A0D"/>
    <w:rsid w:val="00713973"/>
    <w:rsid w:val="00720A24"/>
    <w:rsid w:val="0072108A"/>
    <w:rsid w:val="00732386"/>
    <w:rsid w:val="00735052"/>
    <w:rsid w:val="0073514D"/>
    <w:rsid w:val="00743DBF"/>
    <w:rsid w:val="007447F3"/>
    <w:rsid w:val="0075499F"/>
    <w:rsid w:val="007661C8"/>
    <w:rsid w:val="0077098D"/>
    <w:rsid w:val="007931FA"/>
    <w:rsid w:val="00794C71"/>
    <w:rsid w:val="007A0A3D"/>
    <w:rsid w:val="007A3F60"/>
    <w:rsid w:val="007A4861"/>
    <w:rsid w:val="007A7BBA"/>
    <w:rsid w:val="007B0C50"/>
    <w:rsid w:val="007B48F9"/>
    <w:rsid w:val="007C1A43"/>
    <w:rsid w:val="007C4B5C"/>
    <w:rsid w:val="0080013E"/>
    <w:rsid w:val="00813288"/>
    <w:rsid w:val="008168FC"/>
    <w:rsid w:val="00830996"/>
    <w:rsid w:val="008345F1"/>
    <w:rsid w:val="0085531F"/>
    <w:rsid w:val="008564A6"/>
    <w:rsid w:val="00865B07"/>
    <w:rsid w:val="008667EA"/>
    <w:rsid w:val="0087637F"/>
    <w:rsid w:val="00892AD5"/>
    <w:rsid w:val="00896B25"/>
    <w:rsid w:val="008A1512"/>
    <w:rsid w:val="008A1796"/>
    <w:rsid w:val="008B1592"/>
    <w:rsid w:val="008C7A09"/>
    <w:rsid w:val="008D32B9"/>
    <w:rsid w:val="008D433B"/>
    <w:rsid w:val="008E566E"/>
    <w:rsid w:val="008E663B"/>
    <w:rsid w:val="0090161A"/>
    <w:rsid w:val="00901EB6"/>
    <w:rsid w:val="00904C62"/>
    <w:rsid w:val="0092252A"/>
    <w:rsid w:val="00922BA8"/>
    <w:rsid w:val="00924DAC"/>
    <w:rsid w:val="00927058"/>
    <w:rsid w:val="009310B6"/>
    <w:rsid w:val="00942343"/>
    <w:rsid w:val="00942750"/>
    <w:rsid w:val="009436CE"/>
    <w:rsid w:val="009450CE"/>
    <w:rsid w:val="009468B8"/>
    <w:rsid w:val="00947179"/>
    <w:rsid w:val="0095164B"/>
    <w:rsid w:val="009519D9"/>
    <w:rsid w:val="00954090"/>
    <w:rsid w:val="009573E7"/>
    <w:rsid w:val="00963E05"/>
    <w:rsid w:val="00966FED"/>
    <w:rsid w:val="00967843"/>
    <w:rsid w:val="00967D54"/>
    <w:rsid w:val="00971028"/>
    <w:rsid w:val="009817E9"/>
    <w:rsid w:val="00993B84"/>
    <w:rsid w:val="00993CFF"/>
    <w:rsid w:val="00996483"/>
    <w:rsid w:val="00996F5A"/>
    <w:rsid w:val="009A2970"/>
    <w:rsid w:val="009B041A"/>
    <w:rsid w:val="009B4521"/>
    <w:rsid w:val="009C37C3"/>
    <w:rsid w:val="009C7C86"/>
    <w:rsid w:val="009D2FF7"/>
    <w:rsid w:val="009E21C7"/>
    <w:rsid w:val="009E7884"/>
    <w:rsid w:val="009E788A"/>
    <w:rsid w:val="009F0E08"/>
    <w:rsid w:val="00A06EA0"/>
    <w:rsid w:val="00A1763D"/>
    <w:rsid w:val="00A17CEC"/>
    <w:rsid w:val="00A20B4C"/>
    <w:rsid w:val="00A2741D"/>
    <w:rsid w:val="00A27EF0"/>
    <w:rsid w:val="00A37552"/>
    <w:rsid w:val="00A42361"/>
    <w:rsid w:val="00A50B20"/>
    <w:rsid w:val="00A51390"/>
    <w:rsid w:val="00A60D13"/>
    <w:rsid w:val="00A72745"/>
    <w:rsid w:val="00A76EFC"/>
    <w:rsid w:val="00A819D5"/>
    <w:rsid w:val="00A91010"/>
    <w:rsid w:val="00A956D2"/>
    <w:rsid w:val="00A97F29"/>
    <w:rsid w:val="00AA702E"/>
    <w:rsid w:val="00AB0964"/>
    <w:rsid w:val="00AB5011"/>
    <w:rsid w:val="00AB5D56"/>
    <w:rsid w:val="00AB7BD6"/>
    <w:rsid w:val="00AC7368"/>
    <w:rsid w:val="00AC7F19"/>
    <w:rsid w:val="00AD16B9"/>
    <w:rsid w:val="00AE377D"/>
    <w:rsid w:val="00AF0EBA"/>
    <w:rsid w:val="00B02C8A"/>
    <w:rsid w:val="00B15750"/>
    <w:rsid w:val="00B17FBD"/>
    <w:rsid w:val="00B2548D"/>
    <w:rsid w:val="00B315A6"/>
    <w:rsid w:val="00B31813"/>
    <w:rsid w:val="00B31D87"/>
    <w:rsid w:val="00B33365"/>
    <w:rsid w:val="00B358BB"/>
    <w:rsid w:val="00B36AA0"/>
    <w:rsid w:val="00B57B36"/>
    <w:rsid w:val="00B57E6F"/>
    <w:rsid w:val="00B8686D"/>
    <w:rsid w:val="00B93F69"/>
    <w:rsid w:val="00B97CAD"/>
    <w:rsid w:val="00BA6790"/>
    <w:rsid w:val="00BB056E"/>
    <w:rsid w:val="00BB1DDC"/>
    <w:rsid w:val="00BC010B"/>
    <w:rsid w:val="00BC30C9"/>
    <w:rsid w:val="00BD077D"/>
    <w:rsid w:val="00BE3E58"/>
    <w:rsid w:val="00BE444B"/>
    <w:rsid w:val="00BE501D"/>
    <w:rsid w:val="00BF22D1"/>
    <w:rsid w:val="00C01616"/>
    <w:rsid w:val="00C0162B"/>
    <w:rsid w:val="00C068ED"/>
    <w:rsid w:val="00C11349"/>
    <w:rsid w:val="00C22E0C"/>
    <w:rsid w:val="00C345B1"/>
    <w:rsid w:val="00C40142"/>
    <w:rsid w:val="00C41D6F"/>
    <w:rsid w:val="00C50C11"/>
    <w:rsid w:val="00C52C3C"/>
    <w:rsid w:val="00C57182"/>
    <w:rsid w:val="00C57863"/>
    <w:rsid w:val="00C60D84"/>
    <w:rsid w:val="00C655FD"/>
    <w:rsid w:val="00C75407"/>
    <w:rsid w:val="00C870A8"/>
    <w:rsid w:val="00C93F4E"/>
    <w:rsid w:val="00C94434"/>
    <w:rsid w:val="00CA0D75"/>
    <w:rsid w:val="00CA1C95"/>
    <w:rsid w:val="00CA5A9C"/>
    <w:rsid w:val="00CC4C20"/>
    <w:rsid w:val="00CD2BAF"/>
    <w:rsid w:val="00CD3517"/>
    <w:rsid w:val="00CD5FE2"/>
    <w:rsid w:val="00CE7C68"/>
    <w:rsid w:val="00D02B4C"/>
    <w:rsid w:val="00D040C4"/>
    <w:rsid w:val="00D04A8D"/>
    <w:rsid w:val="00D33B1F"/>
    <w:rsid w:val="00D46B7E"/>
    <w:rsid w:val="00D57C84"/>
    <w:rsid w:val="00D6057D"/>
    <w:rsid w:val="00D836C5"/>
    <w:rsid w:val="00D84576"/>
    <w:rsid w:val="00DA1399"/>
    <w:rsid w:val="00DA24C6"/>
    <w:rsid w:val="00DA43A3"/>
    <w:rsid w:val="00DA4D7B"/>
    <w:rsid w:val="00DC399C"/>
    <w:rsid w:val="00DD670C"/>
    <w:rsid w:val="00DE264A"/>
    <w:rsid w:val="00DF5072"/>
    <w:rsid w:val="00DF5455"/>
    <w:rsid w:val="00DF703F"/>
    <w:rsid w:val="00DF7566"/>
    <w:rsid w:val="00E02D18"/>
    <w:rsid w:val="00E041E7"/>
    <w:rsid w:val="00E23CA1"/>
    <w:rsid w:val="00E409A8"/>
    <w:rsid w:val="00E50C12"/>
    <w:rsid w:val="00E54394"/>
    <w:rsid w:val="00E632B9"/>
    <w:rsid w:val="00E65B91"/>
    <w:rsid w:val="00E7209D"/>
    <w:rsid w:val="00E72EAD"/>
    <w:rsid w:val="00E74C0F"/>
    <w:rsid w:val="00E77223"/>
    <w:rsid w:val="00E810D1"/>
    <w:rsid w:val="00E8528B"/>
    <w:rsid w:val="00E85B94"/>
    <w:rsid w:val="00E978D0"/>
    <w:rsid w:val="00EA4613"/>
    <w:rsid w:val="00EA7F91"/>
    <w:rsid w:val="00EB1523"/>
    <w:rsid w:val="00EC0E49"/>
    <w:rsid w:val="00EC101F"/>
    <w:rsid w:val="00EC1D9F"/>
    <w:rsid w:val="00EE0131"/>
    <w:rsid w:val="00EE17B0"/>
    <w:rsid w:val="00EF06D9"/>
    <w:rsid w:val="00F00A09"/>
    <w:rsid w:val="00F24D60"/>
    <w:rsid w:val="00F30C64"/>
    <w:rsid w:val="00F32BA2"/>
    <w:rsid w:val="00F32CDB"/>
    <w:rsid w:val="00F46E22"/>
    <w:rsid w:val="00F500BA"/>
    <w:rsid w:val="00F565FE"/>
    <w:rsid w:val="00F63A70"/>
    <w:rsid w:val="00F7534E"/>
    <w:rsid w:val="00F86E7C"/>
    <w:rsid w:val="00FA21D0"/>
    <w:rsid w:val="00FA2F57"/>
    <w:rsid w:val="00FA520A"/>
    <w:rsid w:val="00FA5F5F"/>
    <w:rsid w:val="00FB1357"/>
    <w:rsid w:val="00FB730C"/>
    <w:rsid w:val="00FC2695"/>
    <w:rsid w:val="00FC3E03"/>
    <w:rsid w:val="00FC3FC1"/>
    <w:rsid w:val="00FE253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6A5FD8E6-AABA-4A01-88D4-A713ED2E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3D04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14207</TotalTime>
  <Pages>6</Pages>
  <Words>3674</Words>
  <Characters>20946</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Barozzi Marco</cp:lastModifiedBy>
  <cp:revision>92</cp:revision>
  <cp:lastPrinted>2015-05-12T18:31:00Z</cp:lastPrinted>
  <dcterms:created xsi:type="dcterms:W3CDTF">2017-11-20T08:58:00Z</dcterms:created>
  <dcterms:modified xsi:type="dcterms:W3CDTF">2022-05-07T23:52:00Z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