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D7C0366" w:rsidR="00E978D0" w:rsidRPr="002B7E5C" w:rsidRDefault="00104943" w:rsidP="00E978D0">
      <w:pPr>
        <w:pStyle w:val="CETTitle"/>
        <w:rPr>
          <w:color w:val="FF0000"/>
        </w:rPr>
      </w:pPr>
      <w:r w:rsidRPr="00104943">
        <w:rPr>
          <w:color w:val="FF0000"/>
        </w:rPr>
        <w:lastRenderedPageBreak/>
        <w:t>Use of Encapsulated Antimicrobial Substances in Innovative Litter Plastic Bag designed for Medical Waste and Litter with Significant Antimicrobial Load</w:t>
      </w:r>
      <w:r w:rsidR="00356A80" w:rsidRPr="002B7E5C">
        <w:rPr>
          <w:color w:val="FF0000"/>
        </w:rPr>
        <w:t xml:space="preserve"> </w:t>
      </w:r>
      <w:bookmarkStart w:id="0" w:name="_GoBack"/>
      <w:bookmarkEnd w:id="0"/>
    </w:p>
    <w:p w14:paraId="0488FED2" w14:textId="660421AC" w:rsidR="00B57E6F" w:rsidRPr="00B57B36" w:rsidRDefault="0029316E" w:rsidP="00B57E6F">
      <w:pPr>
        <w:pStyle w:val="CETAuthors"/>
      </w:pPr>
      <w:r w:rsidRPr="0029316E">
        <w:t>Marina Stramarkou</w:t>
      </w:r>
      <w:r w:rsidRPr="0029316E">
        <w:rPr>
          <w:vertAlign w:val="superscript"/>
        </w:rPr>
        <w:t>a</w:t>
      </w:r>
      <w:r w:rsidRPr="00B57B36">
        <w:rPr>
          <w:vertAlign w:val="superscript"/>
        </w:rPr>
        <w:t>,</w:t>
      </w:r>
      <w:r w:rsidRPr="00B57B36">
        <w:t>*</w:t>
      </w:r>
      <w:r>
        <w:t>, Sofia Papadaki</w:t>
      </w:r>
      <w:r w:rsidRPr="0029316E">
        <w:rPr>
          <w:vertAlign w:val="superscript"/>
        </w:rPr>
        <w:t>a</w:t>
      </w:r>
      <w:r>
        <w:t>, Ioanna Thanassoulia</w:t>
      </w:r>
      <w:r w:rsidRPr="0029316E">
        <w:rPr>
          <w:vertAlign w:val="superscript"/>
        </w:rPr>
        <w:t>b</w:t>
      </w:r>
      <w:r>
        <w:t>, Magdalini Krokida</w:t>
      </w:r>
      <w:r w:rsidRPr="0029316E">
        <w:rPr>
          <w:vertAlign w:val="superscript"/>
        </w:rPr>
        <w:t>a</w:t>
      </w:r>
      <w:r>
        <w:t xml:space="preserve"> </w:t>
      </w:r>
    </w:p>
    <w:p w14:paraId="6B2D21B3" w14:textId="26E46905" w:rsidR="00B57E6F" w:rsidRPr="00B57B36" w:rsidRDefault="00B57E6F" w:rsidP="00B57E6F">
      <w:pPr>
        <w:pStyle w:val="CETAddress"/>
      </w:pPr>
      <w:r w:rsidRPr="00B57B36">
        <w:rPr>
          <w:vertAlign w:val="superscript"/>
        </w:rPr>
        <w:t>a</w:t>
      </w:r>
      <w:r w:rsidR="0029316E">
        <w:t xml:space="preserve"> </w:t>
      </w:r>
      <w:r w:rsidR="0029316E" w:rsidRPr="0029316E">
        <w:t>School of Chemical Engineering, National Technical University of Athens, 9 Iroon Polytechneiou, Zografou Campus, 15780, Athens, Greece</w:t>
      </w:r>
    </w:p>
    <w:p w14:paraId="709B0F70" w14:textId="77777777" w:rsidR="0029316E" w:rsidRDefault="00B57E6F" w:rsidP="0029316E">
      <w:pPr>
        <w:pStyle w:val="CETAddress"/>
        <w:rPr>
          <w:bCs/>
          <w:i/>
        </w:rPr>
      </w:pPr>
      <w:r w:rsidRPr="00B57B36">
        <w:rPr>
          <w:vertAlign w:val="superscript"/>
        </w:rPr>
        <w:t>b</w:t>
      </w:r>
      <w:r w:rsidR="0029316E" w:rsidRPr="0029316E">
        <w:rPr>
          <w:bCs/>
          <w:i/>
        </w:rPr>
        <w:t xml:space="preserve"> </w:t>
      </w:r>
      <w:r w:rsidR="0029316E" w:rsidRPr="0029316E">
        <w:rPr>
          <w:bCs/>
        </w:rPr>
        <w:t>Achaika Plastics S.A., Egion, Greece</w:t>
      </w:r>
    </w:p>
    <w:p w14:paraId="53CF742B" w14:textId="77777777" w:rsidR="00983419" w:rsidRPr="00317B3A" w:rsidRDefault="00983419" w:rsidP="0029316E">
      <w:pPr>
        <w:pStyle w:val="CETAddress"/>
      </w:pPr>
    </w:p>
    <w:p w14:paraId="345973D8" w14:textId="5A289213" w:rsidR="00983419" w:rsidRPr="0071521D" w:rsidRDefault="00983419" w:rsidP="00600535">
      <w:pPr>
        <w:pStyle w:val="CETBodytext"/>
        <w:rPr>
          <w:lang w:val="en-GB"/>
        </w:rPr>
      </w:pPr>
      <w:r w:rsidRPr="00983419">
        <w:rPr>
          <w:lang w:val="en-GB"/>
        </w:rPr>
        <w:t>Healthcare activity inevitably generates waste, which contains pathogens in sufficient concentrations and poses risks for workers who manage it, public health and environment. The main sources of such waste are health units, such as hospitals, pharmacies, diagnostic centres, as well as, research centres and laboratories concerned with medical procedures. According to World Health Organization, 10</w:t>
      </w:r>
      <w:r w:rsidR="00006014" w:rsidRPr="002B7E5C">
        <w:rPr>
          <w:color w:val="FF0000"/>
          <w:lang w:val="en-GB"/>
        </w:rPr>
        <w:t xml:space="preserve"> </w:t>
      </w:r>
      <w:r w:rsidRPr="002B7E5C">
        <w:rPr>
          <w:color w:val="FF0000"/>
          <w:lang w:val="en-GB"/>
        </w:rPr>
        <w:t xml:space="preserve">% </w:t>
      </w:r>
      <w:r w:rsidRPr="00983419">
        <w:rPr>
          <w:lang w:val="en-GB"/>
        </w:rPr>
        <w:t>to 25</w:t>
      </w:r>
      <w:r w:rsidR="00006014">
        <w:rPr>
          <w:lang w:val="en-GB"/>
        </w:rPr>
        <w:t xml:space="preserve"> </w:t>
      </w:r>
      <w:r w:rsidRPr="002B7E5C">
        <w:rPr>
          <w:color w:val="FF0000"/>
          <w:lang w:val="en-GB"/>
        </w:rPr>
        <w:t>%</w:t>
      </w:r>
      <w:r w:rsidRPr="00983419">
        <w:rPr>
          <w:lang w:val="en-GB"/>
        </w:rPr>
        <w:t xml:space="preserve"> of healthcare waste is infectious and hazardous. Therefore good waste management practices that will minimize not only the negative effects of this waste in human health, but also the  risk of infections in waste collection and disposal sites, are necessary. In this framework, the development of a litter low density polyethylene (LDPE) bag with encapsulated antimicrobial substances from oregano essential oil</w:t>
      </w:r>
      <w:r w:rsidR="00EC23C9">
        <w:rPr>
          <w:lang w:val="en-GB"/>
        </w:rPr>
        <w:t xml:space="preserve"> (OEO)</w:t>
      </w:r>
      <w:r w:rsidRPr="00983419">
        <w:rPr>
          <w:lang w:val="en-GB"/>
        </w:rPr>
        <w:t xml:space="preserve"> and organic extract of citrus bioflavonoids (</w:t>
      </w:r>
      <w:proofErr w:type="spellStart"/>
      <w:r w:rsidRPr="00983419">
        <w:rPr>
          <w:lang w:val="en-GB"/>
        </w:rPr>
        <w:t>flavomix</w:t>
      </w:r>
      <w:proofErr w:type="spellEnd"/>
      <w:r w:rsidRPr="00983419">
        <w:rPr>
          <w:lang w:val="en-GB"/>
        </w:rPr>
        <w:t>) through extrusion was performed. The encapsulated agents were gradually released into the inner content of the bag, neutralizing the studied contained microbes. The encapsulated structures were evaluated using Differential Scanning Calorimetry (DSC). The encapsulation efficiency</w:t>
      </w:r>
      <w:r w:rsidR="008E0FC4">
        <w:rPr>
          <w:lang w:val="en-GB"/>
        </w:rPr>
        <w:t xml:space="preserve"> (EE)</w:t>
      </w:r>
      <w:r w:rsidRPr="00983419">
        <w:rPr>
          <w:lang w:val="en-GB"/>
        </w:rPr>
        <w:t xml:space="preserve">, as well as the controlled release of the encapsulated compounds, </w:t>
      </w:r>
      <w:proofErr w:type="gramStart"/>
      <w:r w:rsidRPr="00983419">
        <w:rPr>
          <w:lang w:val="en-GB"/>
        </w:rPr>
        <w:t>were</w:t>
      </w:r>
      <w:proofErr w:type="gramEnd"/>
      <w:r w:rsidRPr="00983419">
        <w:rPr>
          <w:lang w:val="en-GB"/>
        </w:rPr>
        <w:t xml:space="preserve"> determined using Ultraviolet–visible spectroscopy (UV-VIS). The gradual release of the encapsulated antimicrobial agents was studied by storing the produced polymers under controlled conditions of temperature- radiation (20</w:t>
      </w:r>
      <w:r w:rsidR="00006014">
        <w:rPr>
          <w:lang w:val="en-GB"/>
        </w:rPr>
        <w:t xml:space="preserve"> </w:t>
      </w:r>
      <w:r w:rsidRPr="002B7E5C">
        <w:rPr>
          <w:color w:val="FF0000"/>
          <w:vertAlign w:val="superscript"/>
          <w:lang w:val="el-GR"/>
        </w:rPr>
        <w:t>ο</w:t>
      </w:r>
      <w:r w:rsidRPr="002B7E5C">
        <w:rPr>
          <w:color w:val="FF0000"/>
          <w:lang w:val="en-GB"/>
        </w:rPr>
        <w:t>C</w:t>
      </w:r>
      <w:r w:rsidRPr="00983419">
        <w:rPr>
          <w:lang w:val="en-GB"/>
        </w:rPr>
        <w:t>-</w:t>
      </w:r>
      <w:r w:rsidR="00623D86">
        <w:rPr>
          <w:lang w:val="en-GB"/>
        </w:rPr>
        <w:t xml:space="preserve"> </w:t>
      </w:r>
      <w:r w:rsidRPr="00983419">
        <w:rPr>
          <w:lang w:val="en-GB"/>
        </w:rPr>
        <w:t xml:space="preserve">darkness and </w:t>
      </w:r>
      <w:proofErr w:type="gramStart"/>
      <w:r w:rsidRPr="00983419">
        <w:rPr>
          <w:lang w:val="en-GB"/>
        </w:rPr>
        <w:t>45</w:t>
      </w:r>
      <w:r w:rsidR="00006014">
        <w:rPr>
          <w:lang w:val="en-GB"/>
        </w:rPr>
        <w:t xml:space="preserve"> </w:t>
      </w:r>
      <w:r w:rsidRPr="002B7E5C">
        <w:rPr>
          <w:color w:val="FF0000"/>
          <w:vertAlign w:val="superscript"/>
          <w:lang w:val="el-GR"/>
        </w:rPr>
        <w:t>ο</w:t>
      </w:r>
      <w:r w:rsidRPr="002B7E5C">
        <w:rPr>
          <w:color w:val="FF0000"/>
          <w:lang w:val="en-GB"/>
        </w:rPr>
        <w:t>C</w:t>
      </w:r>
      <w:r w:rsidRPr="00983419">
        <w:rPr>
          <w:lang w:val="en-GB"/>
        </w:rPr>
        <w:t>-</w:t>
      </w:r>
      <w:r w:rsidR="00623D86">
        <w:rPr>
          <w:lang w:val="en-GB"/>
        </w:rPr>
        <w:t xml:space="preserve"> </w:t>
      </w:r>
      <w:r w:rsidRPr="00983419">
        <w:rPr>
          <w:lang w:val="en-GB"/>
        </w:rPr>
        <w:t>light</w:t>
      </w:r>
      <w:proofErr w:type="gramEnd"/>
      <w:r w:rsidRPr="00983419">
        <w:rPr>
          <w:lang w:val="en-GB"/>
        </w:rPr>
        <w:t>) and humidity (relative humidity- RH 35, 70 and 95</w:t>
      </w:r>
      <w:r w:rsidR="00006014">
        <w:rPr>
          <w:lang w:val="en-GB"/>
        </w:rPr>
        <w:t xml:space="preserve"> </w:t>
      </w:r>
      <w:r w:rsidRPr="002B7E5C">
        <w:rPr>
          <w:color w:val="FF0000"/>
          <w:lang w:val="en-GB"/>
        </w:rPr>
        <w:t>%</w:t>
      </w:r>
      <w:r w:rsidRPr="00983419">
        <w:rPr>
          <w:lang w:val="en-GB"/>
        </w:rPr>
        <w:t xml:space="preserve">) for 60 days. The results showed that </w:t>
      </w:r>
      <w:r w:rsidR="008E0FC4">
        <w:rPr>
          <w:lang w:val="en-GB"/>
        </w:rPr>
        <w:t xml:space="preserve">EE </w:t>
      </w:r>
      <w:r w:rsidR="006262B1">
        <w:rPr>
          <w:lang w:val="en-GB"/>
        </w:rPr>
        <w:t>was higher than 70</w:t>
      </w:r>
      <w:r w:rsidR="00006014">
        <w:rPr>
          <w:lang w:val="en-GB"/>
        </w:rPr>
        <w:t xml:space="preserve"> </w:t>
      </w:r>
      <w:r w:rsidR="006262B1" w:rsidRPr="002B7E5C">
        <w:rPr>
          <w:color w:val="FF0000"/>
          <w:lang w:val="en-GB"/>
        </w:rPr>
        <w:t>%</w:t>
      </w:r>
      <w:r w:rsidRPr="006262B1">
        <w:rPr>
          <w:lang w:val="en-GB"/>
        </w:rPr>
        <w:t>.</w:t>
      </w:r>
      <w:r w:rsidRPr="00983419">
        <w:rPr>
          <w:lang w:val="en-GB"/>
        </w:rPr>
        <w:t xml:space="preserve"> The 60-days analysis exhibited that elevated temperature (45</w:t>
      </w:r>
      <w:r w:rsidR="00006014">
        <w:rPr>
          <w:lang w:val="en-GB"/>
        </w:rPr>
        <w:t xml:space="preserve"> </w:t>
      </w:r>
      <w:r w:rsidRPr="002B7E5C">
        <w:rPr>
          <w:color w:val="FF0000"/>
          <w:vertAlign w:val="superscript"/>
          <w:lang w:val="el-GR"/>
        </w:rPr>
        <w:t>ο</w:t>
      </w:r>
      <w:r w:rsidRPr="002B7E5C">
        <w:rPr>
          <w:color w:val="FF0000"/>
          <w:lang w:val="en-GB"/>
        </w:rPr>
        <w:t>C</w:t>
      </w:r>
      <w:r w:rsidRPr="00983419">
        <w:rPr>
          <w:lang w:val="en-GB"/>
        </w:rPr>
        <w:t>) and humidity (95</w:t>
      </w:r>
      <w:r w:rsidR="00006014">
        <w:rPr>
          <w:lang w:val="en-GB"/>
        </w:rPr>
        <w:t xml:space="preserve"> </w:t>
      </w:r>
      <w:r w:rsidRPr="002B7E5C">
        <w:rPr>
          <w:color w:val="FF0000"/>
          <w:lang w:val="en-GB"/>
        </w:rPr>
        <w:t>%</w:t>
      </w:r>
      <w:r w:rsidRPr="00983419">
        <w:rPr>
          <w:lang w:val="en-GB"/>
        </w:rPr>
        <w:t xml:space="preserve"> RH) values led to increased release. Finally, the produced films have the potential to be applied in medical waste and the gradual release of the antimicrobial agents will ensure the elimination of contained microbes.  </w:t>
      </w:r>
    </w:p>
    <w:p w14:paraId="476B2F2E" w14:textId="77777777" w:rsidR="00600535" w:rsidRDefault="00600535" w:rsidP="00600535">
      <w:pPr>
        <w:pStyle w:val="CETHeading1"/>
        <w:rPr>
          <w:lang w:val="el-GR"/>
        </w:rPr>
      </w:pPr>
      <w:r w:rsidRPr="00B57B36">
        <w:rPr>
          <w:lang w:val="en-GB"/>
        </w:rPr>
        <w:t>Introduction</w:t>
      </w:r>
    </w:p>
    <w:p w14:paraId="57F9F61B" w14:textId="3E6F8F48" w:rsidR="009E78B8" w:rsidRPr="0081613C" w:rsidRDefault="00BB798E" w:rsidP="009E78B8">
      <w:pPr>
        <w:pStyle w:val="aff8"/>
        <w:tabs>
          <w:tab w:val="clear" w:pos="7100"/>
        </w:tabs>
        <w:spacing w:after="200" w:line="276" w:lineRule="auto"/>
        <w:ind w:left="0"/>
        <w:rPr>
          <w:rFonts w:cs="Arial"/>
          <w:szCs w:val="18"/>
        </w:rPr>
      </w:pPr>
      <w:r w:rsidRPr="0081613C">
        <w:t>H</w:t>
      </w:r>
      <w:r w:rsidR="00166FBD" w:rsidRPr="0081613C">
        <w:t xml:space="preserve">ealthcare waste </w:t>
      </w:r>
      <w:r w:rsidR="0028743D" w:rsidRPr="0081613C">
        <w:t xml:space="preserve">(HCW) </w:t>
      </w:r>
      <w:r w:rsidR="009B51DF" w:rsidRPr="0081613C">
        <w:t xml:space="preserve">includes </w:t>
      </w:r>
      <w:r w:rsidR="00166FBD" w:rsidRPr="0081613C">
        <w:t>a wide range of materials, from used syringes to body parts, diagno</w:t>
      </w:r>
      <w:r w:rsidRPr="0081613C">
        <w:t>stic samples, blood, chemicals and radioactive material</w:t>
      </w:r>
      <w:r w:rsidR="00CC32F1" w:rsidRPr="0081613C">
        <w:t xml:space="preserve"> </w:t>
      </w:r>
      <w:r w:rsidR="00CC32F1" w:rsidRPr="00E10D8C">
        <w:rPr>
          <w:color w:val="FF0000"/>
        </w:rPr>
        <w:fldChar w:fldCharType="begin" w:fldLock="1"/>
      </w:r>
      <w:r w:rsidR="00FE58B3" w:rsidRPr="00E10D8C">
        <w:rPr>
          <w:color w:val="FF0000"/>
        </w:rPr>
        <w:instrText>ADDIN CSL_CITATION {"citationItems":[{"id":"ITEM-1","itemData":{"DOI":"10.2991/ijcis.2018.125905685","ISSN":"18756883","abstract":"Healthcare waste (HCW) management has become a major environmental and public-health concern especially in developing countries, and therefore, it has been receiving increasing attention from both industrial practitioners and researcher in recent years. Selection of the optimal treatment technology for HCW is regarded as an intricate multi-criteria decision-making problem involving conflicting and intertwined qualitative as well as quantitative evaluative criteria. To address this decision problem, we develop an integrated decision support framework based on decision-making trial and evaluation laboratory (DEMATEL), intuitionistic fuzzy ANP, and intuitionistic fuzzy AHP. The DEMATEL method determines the influences of main factors and criteria and produces a network relationship map while the ANP method calculates the degree of interrelationship among evaluative criteria and obtains their relative weights. The AHP method assesses the HCW treatment alternatives over evaluative criteria. The experts’ opinions are collected in form of intuitionistic fuzzy preference relations as they are effective in capturing uncertainty and hesitancy involved in decision-makers’ judgment. We also develop a priority method to derive nonfuzzy weights from the intuitionistic fuzzy preference relations. To validate the feasibility of the proposed approach, a case study is carried out on the selection of optimum HCW treatment technology for Chhattisgarh, India. The analyses of the results indicate that the proposed integrated multi-criteria decision making (MCDM) framework effectively handles the issue of HCW treatment technology selection in uncertain environments.","author":[{"dropping-particle":"","family":"Hinduja","given":"Akshay","non-dropping-particle":"","parse-names":false,"suffix":""},{"dropping-particle":"","family":"Pandey","given":"Manju","non-dropping-particle":"","parse-names":false,"suffix":""}],"container-title":"International Journal of Computational Intelligence Systems","id":"ITEM-1","issued":{"date-parts":[["2018"]]},"title":"Assessment of healthcare waste treatment alternatives using an integrated decision support framework","type":"article-journal"},"uris":["http://www.mendeley.com/documents/?uuid=8fd0b1b5-4991-41d1-8adb-d32ad6e02d04"]}],"mendeley":{"formattedCitation":"(Hinduja and Pandey, 2018)","plainTextFormattedCitation":"(Hinduja and Pandey, 2018)","previouslyFormattedCitation":"(Hinduja and Pandey, 2018)"},"properties":{"noteIndex":0},"schema":"https://github.com/citation-style-language/schema/raw/master/csl-citation.json"}</w:instrText>
      </w:r>
      <w:r w:rsidR="00CC32F1" w:rsidRPr="00E10D8C">
        <w:rPr>
          <w:color w:val="FF0000"/>
        </w:rPr>
        <w:fldChar w:fldCharType="separate"/>
      </w:r>
      <w:r w:rsidR="00CC32F1" w:rsidRPr="00E10D8C">
        <w:rPr>
          <w:noProof/>
          <w:color w:val="FF0000"/>
        </w:rPr>
        <w:t>(Hinduja and Pandey, 2018)</w:t>
      </w:r>
      <w:r w:rsidR="00CC32F1" w:rsidRPr="00E10D8C">
        <w:rPr>
          <w:color w:val="FF0000"/>
        </w:rPr>
        <w:fldChar w:fldCharType="end"/>
      </w:r>
      <w:r w:rsidRPr="00E10D8C">
        <w:rPr>
          <w:color w:val="FF0000"/>
        </w:rPr>
        <w:t>,</w:t>
      </w:r>
      <w:r w:rsidRPr="0081613C">
        <w:t xml:space="preserve"> </w:t>
      </w:r>
      <w:r w:rsidR="00B568B1" w:rsidRPr="0081613C">
        <w:t>generated by processes of healthcare units, such as hospitals</w:t>
      </w:r>
      <w:r w:rsidR="009B51DF" w:rsidRPr="0081613C">
        <w:t xml:space="preserve"> and</w:t>
      </w:r>
      <w:r w:rsidR="00B568B1" w:rsidRPr="0081613C">
        <w:t xml:space="preserve"> clinics</w:t>
      </w:r>
      <w:r w:rsidR="009B51DF" w:rsidRPr="0081613C">
        <w:t>,</w:t>
      </w:r>
      <w:r w:rsidR="00B568B1" w:rsidRPr="0081613C">
        <w:t xml:space="preserve"> as well as, research centres and laboratories concerned with medical procedures </w:t>
      </w:r>
      <w:r w:rsidR="00166FBD" w:rsidRPr="00E10D8C">
        <w:rPr>
          <w:color w:val="FF0000"/>
        </w:rPr>
        <w:fldChar w:fldCharType="begin" w:fldLock="1"/>
      </w:r>
      <w:r w:rsidR="00FE58B3" w:rsidRPr="00E10D8C">
        <w:rPr>
          <w:color w:val="FF0000"/>
        </w:rPr>
        <w:instrText>ADDIN CSL_CITATION {"citationItems":[{"id":"ITEM-1","itemData":{"DOI":"10.1016/j.jhazmat.2021.126724","ISSN":"18733336","abstract":"Improper healthcare waste (HCW) management poses significant risks to the environment, human health, and socio-economic sustainability due to the infectious and hazardous nature of HCW. This research aims at rendering a comprehensive landscape of the body of research on HCW management by (i) mapping the scientific development of HCW research, (ii) identifying the prominent HCW research themes and trends, and (iii) providing a research agenda for HCW management towards a circular economy (CE) transition and sustainable environment. The analysis revealed four dominant HCW research themes: (1) HCW minimization, sustainable management, and policy-making; (2) HCW incineration and its associated environmental impacts; (3) hazardous HCW management practices; and (4) HCW handling and occupational safety and training. The results showed that the healthcare industry, despite its potential to contribute to the CE transition, has been overlooked in the CE discourse due to the single-use mindset of the healthcare industry in the wake of the infectious, toxic, and hazardous nature of HCW streams. The findings shed light on the HCW management domain by uncovering the current status of HCW research, highlighting the existing gaps and challenges, and providing potential avenues for further research towards a CE transition in the healthcare industry and HCW management.","author":[{"dropping-particle":"","family":"Ranjbari","given":"Meisam","non-dropping-particle":"","parse-names":false,"suffix":""},{"dropping-particle":"","family":"Shams Esfandabadi","given":"Zahra","non-dropping-particle":"","parse-names":false,"suffix":""},{"dropping-particle":"","family":"Shevchenko","given":"Tetiana","non-dropping-particle":"","parse-names":false,"suffix":""},{"dropping-particle":"","family":"Chassagnon-Haned","given":"Naciba","non-dropping-particle":"","parse-names":false,"suffix":""},{"dropping-particle":"","family":"Peng","given":"Wanxi","non-dropping-particle":"","parse-names":false,"suffix":""},{"dropping-particle":"","family":"Tabatabaei","given":"Meisam","non-dropping-particle":"","parse-names":false,"suffix":""},{"dropping-particle":"","family":"Aghbashlo","given":"Mortaza","non-dropping-particle":"","parse-names":false,"suffix":""}],"container-title":"Journal of Hazardous Materials","id":"ITEM-1","issued":{"date-parts":[["2022"]]},"title":"Mapping healthcare waste management research: Past evolution, current challenges, and future perspectives towards a circular economy transition","type":"article-journal"},"uris":["http://www.mendeley.com/documents/?uuid=17ab07e9-31b5-46e2-8e78-386ccdf8cc8e"]}],"mendeley":{"formattedCitation":"(Ranjbari &lt;i&gt;et al.&lt;/i&gt;, 2022)","plainTextFormattedCitation":"(Ranjbari et al., 2022)","previouslyFormattedCitation":"(Ranjbari &lt;i&gt;et al.&lt;/i&gt;, 2022)"},"properties":{"noteIndex":0},"schema":"https://github.com/citation-style-language/schema/raw/master/csl-citation.json"}</w:instrText>
      </w:r>
      <w:r w:rsidR="00166FBD" w:rsidRPr="00E10D8C">
        <w:rPr>
          <w:color w:val="FF0000"/>
        </w:rPr>
        <w:fldChar w:fldCharType="separate"/>
      </w:r>
      <w:r w:rsidR="00FE58B3" w:rsidRPr="00E10D8C">
        <w:rPr>
          <w:noProof/>
          <w:color w:val="FF0000"/>
        </w:rPr>
        <w:t>(Ranjbari et al., 2022)</w:t>
      </w:r>
      <w:r w:rsidR="00166FBD" w:rsidRPr="00E10D8C">
        <w:rPr>
          <w:color w:val="FF0000"/>
        </w:rPr>
        <w:fldChar w:fldCharType="end"/>
      </w:r>
      <w:r w:rsidR="00166FBD" w:rsidRPr="00E10D8C">
        <w:rPr>
          <w:color w:val="FF0000"/>
        </w:rPr>
        <w:t>.</w:t>
      </w:r>
      <w:r w:rsidR="00166FBD" w:rsidRPr="0081613C">
        <w:t xml:space="preserve"> </w:t>
      </w:r>
      <w:r w:rsidR="002A544F" w:rsidRPr="0081613C">
        <w:rPr>
          <w:szCs w:val="18"/>
        </w:rPr>
        <w:t xml:space="preserve">Based on estimations </w:t>
      </w:r>
      <w:r w:rsidR="002A544F" w:rsidRPr="0081613C">
        <w:t xml:space="preserve">provided by </w:t>
      </w:r>
      <w:r w:rsidR="00FE58B3" w:rsidRPr="0081613C">
        <w:t>World Health Organization (</w:t>
      </w:r>
      <w:r w:rsidR="002A544F" w:rsidRPr="0081613C">
        <w:t>WHO</w:t>
      </w:r>
      <w:r w:rsidR="00FE58B3" w:rsidRPr="0081613C">
        <w:t>)</w:t>
      </w:r>
      <w:r w:rsidR="00CC32F1" w:rsidRPr="0081613C">
        <w:t xml:space="preserve"> </w:t>
      </w:r>
      <w:r w:rsidR="00CC32F1" w:rsidRPr="0081613C">
        <w:fldChar w:fldCharType="begin" w:fldLock="1"/>
      </w:r>
      <w:r w:rsidR="00CC32F1" w:rsidRPr="0081613C">
        <w:instrText>ADDIN CSL_CITATION {"citationItems":[{"id":"ITEM-1","itemData":{"ISBN":"978 92 4 154856 4","abstract":"Abstract. lation of 1,803 1- to 10-year-old children in a rural area near Calcutta where both Necator americanus and Ancylostoma duodenale were prevalent. Hookworm infection was studied over a 22-month period in 31â€”49%of a popu Half of the children were infected before age 5 and 90% were infected by age 9, when the mean egg count reached 2,000 eggs/g of feces. Infection was significantly heavier and more prevalent among males than among females, and greater among Muslims than among Hindus. These differences were apparent in children less than 2 years of age. Numerical factors were devised to adjust fecal egg counts for both the smaller fecal output of children and the increased dilution of eggs in watery feces as compared to formed feces. It is proposed that egg counts from 1- to 3-year-olds be mul tiplied by 0.3, those from 4- to 6-year-olds by 0.5, those from 7- to 9-year-olds by 0.6, and those from 10 to l2-year-olds by 0.7; differences in mean egg density among various fecal consistencies produced factors of 1, 1.5, 2, 3, and 3.5 by which the egg counts in formed, mushy-formed, mushy, mushy-diarrheic, and diarrheic feces should be increased.","author":[{"dropping-particle":"","family":"WHO","given":"","non-dropping-particle":"","parse-names":false,"suffix":""}],"container-title":"World Health Organization","id":"ITEM-1","issued":{"date-parts":[["2014"]]},"title":"Safe management of wastes from health-care activities - edited by CHARTIER, Yves et al.","type":"article-journal"},"uris":["http://www.mendeley.com/documents/?uuid=9ffbd51d-6414-4ea7-ab1f-30fffed74890"]}],"mendeley":{"formattedCitation":"(WHO, 2014)","plainTextFormattedCitation":"(WHO, 2014)","previouslyFormattedCitation":"(WHO, 2014)"},"properties":{"noteIndex":0},"schema":"https://github.com/citation-style-language/schema/raw/master/csl-citation.json"}</w:instrText>
      </w:r>
      <w:r w:rsidR="00CC32F1" w:rsidRPr="0081613C">
        <w:fldChar w:fldCharType="separate"/>
      </w:r>
      <w:r w:rsidR="00CC32F1" w:rsidRPr="0081613C">
        <w:rPr>
          <w:noProof/>
        </w:rPr>
        <w:t>(WHO, 2014)</w:t>
      </w:r>
      <w:r w:rsidR="00CC32F1" w:rsidRPr="0081613C">
        <w:fldChar w:fldCharType="end"/>
      </w:r>
      <w:r w:rsidR="002A544F" w:rsidRPr="0081613C">
        <w:t xml:space="preserve">, </w:t>
      </w:r>
      <w:r w:rsidR="009B51DF" w:rsidRPr="0081613C">
        <w:t xml:space="preserve">HCW </w:t>
      </w:r>
      <w:r w:rsidR="002A544F" w:rsidRPr="0081613C">
        <w:rPr>
          <w:szCs w:val="18"/>
        </w:rPr>
        <w:t xml:space="preserve">streams are divided to </w:t>
      </w:r>
      <w:r w:rsidR="00780840" w:rsidRPr="0081613C">
        <w:rPr>
          <w:szCs w:val="18"/>
        </w:rPr>
        <w:t xml:space="preserve">non-hazardous </w:t>
      </w:r>
      <w:r w:rsidR="002A544F" w:rsidRPr="0081613C">
        <w:rPr>
          <w:szCs w:val="18"/>
        </w:rPr>
        <w:t xml:space="preserve">and </w:t>
      </w:r>
      <w:r w:rsidR="00780840" w:rsidRPr="0081613C">
        <w:rPr>
          <w:szCs w:val="18"/>
        </w:rPr>
        <w:t xml:space="preserve">hazardous </w:t>
      </w:r>
      <w:r w:rsidR="002A544F" w:rsidRPr="0081613C">
        <w:rPr>
          <w:szCs w:val="18"/>
        </w:rPr>
        <w:t xml:space="preserve">fractions, </w:t>
      </w:r>
      <w:r w:rsidR="002A544F" w:rsidRPr="0081613C">
        <w:t xml:space="preserve">constituting </w:t>
      </w:r>
      <w:r w:rsidR="00780840" w:rsidRPr="0081613C">
        <w:rPr>
          <w:szCs w:val="18"/>
        </w:rPr>
        <w:t>75-90</w:t>
      </w:r>
      <w:r w:rsidR="00006014" w:rsidRPr="0081613C">
        <w:rPr>
          <w:szCs w:val="18"/>
        </w:rPr>
        <w:t xml:space="preserve"> </w:t>
      </w:r>
      <w:r w:rsidR="00780840" w:rsidRPr="00220297">
        <w:rPr>
          <w:color w:val="FF0000"/>
          <w:szCs w:val="18"/>
        </w:rPr>
        <w:t>%</w:t>
      </w:r>
      <w:r w:rsidR="00780840" w:rsidRPr="0081613C">
        <w:rPr>
          <w:szCs w:val="18"/>
        </w:rPr>
        <w:t xml:space="preserve"> and </w:t>
      </w:r>
      <w:r w:rsidR="002A544F" w:rsidRPr="0081613C">
        <w:rPr>
          <w:szCs w:val="18"/>
        </w:rPr>
        <w:t>10–25</w:t>
      </w:r>
      <w:r w:rsidR="00006014" w:rsidRPr="0081613C">
        <w:rPr>
          <w:szCs w:val="18"/>
        </w:rPr>
        <w:t xml:space="preserve"> </w:t>
      </w:r>
      <w:r w:rsidR="002A544F" w:rsidRPr="00220297">
        <w:rPr>
          <w:color w:val="FF0000"/>
          <w:szCs w:val="18"/>
        </w:rPr>
        <w:t>%</w:t>
      </w:r>
      <w:r w:rsidR="002A544F" w:rsidRPr="0081613C">
        <w:rPr>
          <w:szCs w:val="18"/>
        </w:rPr>
        <w:t xml:space="preserve"> </w:t>
      </w:r>
      <w:r w:rsidR="002A544F" w:rsidRPr="0081613C">
        <w:t>of the total HCW amount, respectively</w:t>
      </w:r>
      <w:r w:rsidR="002A544F" w:rsidRPr="0081613C">
        <w:rPr>
          <w:szCs w:val="18"/>
        </w:rPr>
        <w:t xml:space="preserve"> </w:t>
      </w:r>
      <w:r w:rsidR="002A544F" w:rsidRPr="00E10D8C">
        <w:rPr>
          <w:color w:val="FF0000"/>
          <w:szCs w:val="18"/>
        </w:rPr>
        <w:fldChar w:fldCharType="begin" w:fldLock="1"/>
      </w:r>
      <w:r w:rsidR="00CC32F1" w:rsidRPr="00E10D8C">
        <w:rPr>
          <w:color w:val="FF0000"/>
          <w:szCs w:val="18"/>
        </w:rPr>
        <w:instrText>ADDIN CSL_CITATION {"citationItems":[{"id":"ITEM-1","itemData":{"DOI":"10.1016/j.jhazmat.2021.126724","ISSN":"18733336","abstract":"Improper healthcare waste (HCW) management poses significant risks to the environment, human health, and socio-economic sustainability due to the infectious and hazardous nature of HCW. This research aims at rendering a comprehensive landscape of the body of research on HCW management by (i) mapping the scientific development of HCW research, (ii) identifying the prominent HCW research themes and trends, and (iii) providing a research agenda for HCW management towards a circular economy (CE) transition and sustainable environment. The analysis revealed four dominant HCW research themes: (1) HCW minimization, sustainable management, and policy-making; (2) HCW incineration and its associated environmental impacts; (3) hazardous HCW management practices; and (4) HCW handling and occupational safety and training. The results showed that the healthcare industry, despite its potential to contribute to the CE transition, has been overlooked in the CE discourse due to the single-use mindset of the healthcare industry in the wake of the infectious, toxic, and hazardous nature of HCW streams. The findings shed light on the HCW management domain by uncovering the current status of HCW research, highlighting the existing gaps and challenges, and providing potential avenues for further research towards a CE transition in the healthcare industry and HCW management.","author":[{"dropping-particle":"","family":"Ranjbari","given":"Meisam","non-dropping-particle":"","parse-names":false,"suffix":""},{"dropping-particle":"","family":"Shams Esfandabadi","given":"Zahra","non-dropping-particle":"","parse-names":false,"suffix":""},{"dropping-particle":"","family":"Shevchenko","given":"Tetiana","non-dropping-particle":"","parse-names":false,"suffix":""},{"dropping-particle":"","family":"Chassagnon-Haned","given":"Naciba","non-dropping-particle":"","parse-names":false,"suffix":""},{"dropping-particle":"","family":"Peng","given":"Wanxi","non-dropping-particle":"","parse-names":false,"suffix":""},{"dropping-particle":"","family":"Tabatabaei","given":"Meisam","non-dropping-particle":"","parse-names":false,"suffix":""},{"dropping-particle":"","family":"Aghbashlo","given":"Mortaza","non-dropping-particle":"","parse-names":false,"suffix":""}],"container-title":"Journal of Hazardous Materials","id":"ITEM-1","issued":{"date-parts":[["2022"]]},"title":"Mapping healthcare waste management research: Past evolution, current challenges, and future perspectives towards a circular economy transition","type":"article-journal"},"uris":["http://www.mendeley.com/documents/?uuid=17ab07e9-31b5-46e2-8e78-386ccdf8cc8e"]}],"mendeley":{"formattedCitation":"(Ranjbari &lt;i&gt;et al.&lt;/i&gt;, 2022)","plainTextFormattedCitation":"(Ranjbari et al., 2022)","previouslyFormattedCitation":"(Ranjbari &lt;i&gt;et al.&lt;/i&gt;, 2022)"},"properties":{"noteIndex":0},"schema":"https://github.com/citation-style-language/schema/raw/master/csl-citation.json"}</w:instrText>
      </w:r>
      <w:r w:rsidR="002A544F" w:rsidRPr="00E10D8C">
        <w:rPr>
          <w:color w:val="FF0000"/>
          <w:szCs w:val="18"/>
        </w:rPr>
        <w:fldChar w:fldCharType="separate"/>
      </w:r>
      <w:r w:rsidR="00CC32F1" w:rsidRPr="00E10D8C">
        <w:rPr>
          <w:noProof/>
          <w:color w:val="FF0000"/>
          <w:szCs w:val="18"/>
        </w:rPr>
        <w:t>(Ranjbari et al., 2022)</w:t>
      </w:r>
      <w:r w:rsidR="002A544F" w:rsidRPr="00E10D8C">
        <w:rPr>
          <w:color w:val="FF0000"/>
          <w:szCs w:val="18"/>
        </w:rPr>
        <w:fldChar w:fldCharType="end"/>
      </w:r>
      <w:r w:rsidR="002A544F" w:rsidRPr="0081613C">
        <w:rPr>
          <w:szCs w:val="18"/>
        </w:rPr>
        <w:t xml:space="preserve">. </w:t>
      </w:r>
      <w:r w:rsidR="007E392B" w:rsidRPr="0081613C">
        <w:rPr>
          <w:rFonts w:cs="Arial"/>
          <w:szCs w:val="18"/>
        </w:rPr>
        <w:t xml:space="preserve">The non-hazardous </w:t>
      </w:r>
      <w:r w:rsidR="00866612" w:rsidRPr="0081613C">
        <w:rPr>
          <w:rFonts w:cs="Arial"/>
          <w:szCs w:val="18"/>
        </w:rPr>
        <w:t xml:space="preserve">fraction </w:t>
      </w:r>
      <w:r w:rsidR="007E392B" w:rsidRPr="0081613C">
        <w:rPr>
          <w:rFonts w:cs="Arial"/>
          <w:szCs w:val="18"/>
        </w:rPr>
        <w:t xml:space="preserve">comprises of waste </w:t>
      </w:r>
      <w:r w:rsidR="009B51DF" w:rsidRPr="0081613C">
        <w:rPr>
          <w:rFonts w:cs="Arial"/>
          <w:szCs w:val="18"/>
        </w:rPr>
        <w:t>produce</w:t>
      </w:r>
      <w:r w:rsidR="007E392B" w:rsidRPr="0081613C">
        <w:rPr>
          <w:rFonts w:cs="Arial"/>
          <w:szCs w:val="18"/>
        </w:rPr>
        <w:t xml:space="preserve">d principally from the kitchen, the administration and the housekeeping within the healthcare facilities </w:t>
      </w:r>
      <w:r w:rsidR="00FE58B3" w:rsidRPr="00E10D8C">
        <w:rPr>
          <w:rFonts w:cs="Arial"/>
          <w:color w:val="FF0000"/>
          <w:szCs w:val="18"/>
        </w:rPr>
        <w:fldChar w:fldCharType="begin" w:fldLock="1"/>
      </w:r>
      <w:r w:rsidR="00FE58B3" w:rsidRPr="00E10D8C">
        <w:rPr>
          <w:rFonts w:cs="Arial"/>
          <w:color w:val="FF0000"/>
          <w:szCs w:val="18"/>
        </w:rPr>
        <w:instrText>ADDIN CSL_CITATION {"citationItems":[{"id":"ITEM-1","itemData":{"DOI":"10.1186/s12889-017-4794-6","ISSN":"14712458","PMID":"28946876","abstract":"Background: Adequate management of healthcare waste (HCW) is a prerequisite for efficient delivery of healthcare services. In Nigeria, there are several constraints militating against proper management of HCW. This is raising some environmental concerns among stakeholders in the health sector. In this study, we analyzed the practices of HCW management and determinants of risky/safe indices of HCW disposal. Methods: The study used the 2013/2014 Service Delivery Indicator (SDI) data that were collected from 2480 healthcare facilities in Nigeria. Descriptive statistics, Principal Component Analysis (PCA) and Ordinary Least Square (OLS) regression were used to analyze the data. Results: The results showed that 52.20% and 38.21% of the sampled healthcare facilities from Cross River and Bauchi states possessed guidelines for HCW management, respectively. Trainings on management of HCW were attended by 67.18% and 53.19% of the healthcare facilities from Cross River and Imo states, respectively. Also, 32.32% and 29.50% of healthcare facilities from rural and urban areas previously sent some of their staff members for trainings on HCW management, respectively. Sharp and non-sharp HCW were burnt in protected pits in 45.40% and 45.36% of all the sampled healthcare facilities, respectively. Incinerators were reported to be functional in only 2.06% of the total healthcare facilities. In Bauchi and Kebbi states, 23.58% and 21.05% of the healthcare facilities respectively burnt sharp HCW without any protection. Using PCA, computed risky indices for disposal of sharp HCW were highest in Bayelsa state (0.3070) and Kebbi state (0.2172), while indices of risky disposal of non-sharp HCW were highest in Bayelsa state (0.2868) and Osun state (0.2652). The OLS results showed that at 5% level of significance, possession of medical waste disposal guidelines, staff trainings on HCW management, traveling hours from the facilities to local headquarters and being located in rural areas significantly influenced indices of risky/safe medical waste disposal (p &lt; 0.05). Conclusion: The study concluded that there was low compliance with standard HCW management. It was recommended that possession of HCW management guidelines, staff training on HCW disposal and provision of requisite equipment for proper treatment of HCW would promote environmental safety in HCW disposal.","author":[{"dropping-particle":"","family":"Oyekale","given":"Abayomi Samuel","non-dropping-particle":"","parse-names":false,"suffix":""},{"dropping-particle":"","family":"Oyekale","given":"Tolulope Olayemi","non-dropping-particle":"","parse-names":false,"suffix":""}],"container-title":"BMC Public Health","id":"ITEM-1","issued":{"date-parts":[["2017"]]},"title":"Healthcare waste management practices and safety indicators in Nigeria","type":"article-journal"},"uris":["http://www.mendeley.com/documents/?uuid=47dfd3e9-546d-4a6a-bf16-4782e3daeca2"]}],"mendeley":{"formattedCitation":"(Oyekale and Oyekale, 2017)","plainTextFormattedCitation":"(Oyekale and Oyekale, 2017)","previouslyFormattedCitation":"(Oyekale and Oyekale, 2017)"},"properties":{"noteIndex":0},"schema":"https://github.com/citation-style-language/schema/raw/master/csl-citation.json"}</w:instrText>
      </w:r>
      <w:r w:rsidR="00FE58B3" w:rsidRPr="00E10D8C">
        <w:rPr>
          <w:rFonts w:cs="Arial"/>
          <w:color w:val="FF0000"/>
          <w:szCs w:val="18"/>
        </w:rPr>
        <w:fldChar w:fldCharType="separate"/>
      </w:r>
      <w:r w:rsidR="00FE58B3" w:rsidRPr="00E10D8C">
        <w:rPr>
          <w:rFonts w:cs="Arial"/>
          <w:noProof/>
          <w:color w:val="FF0000"/>
          <w:szCs w:val="18"/>
        </w:rPr>
        <w:t>(Oyekale and Oyekale, 2017)</w:t>
      </w:r>
      <w:r w:rsidR="00FE58B3" w:rsidRPr="00E10D8C">
        <w:rPr>
          <w:rFonts w:cs="Arial"/>
          <w:color w:val="FF0000"/>
          <w:szCs w:val="18"/>
        </w:rPr>
        <w:fldChar w:fldCharType="end"/>
      </w:r>
      <w:r w:rsidR="00FE58B3" w:rsidRPr="00E10D8C">
        <w:rPr>
          <w:rFonts w:cs="Arial"/>
          <w:color w:val="FF0000"/>
          <w:szCs w:val="18"/>
        </w:rPr>
        <w:t xml:space="preserve"> </w:t>
      </w:r>
      <w:r w:rsidR="007E392B" w:rsidRPr="00E10D8C">
        <w:rPr>
          <w:rFonts w:cs="Arial"/>
          <w:color w:val="FF0000"/>
          <w:szCs w:val="18"/>
        </w:rPr>
        <w:t>a</w:t>
      </w:r>
      <w:r w:rsidR="007E392B" w:rsidRPr="0081613C">
        <w:rPr>
          <w:rFonts w:cs="Arial"/>
          <w:szCs w:val="18"/>
        </w:rPr>
        <w:t>nd its treatment can be along with the municipal solid waste</w:t>
      </w:r>
      <w:r w:rsidR="00CD6F6B" w:rsidRPr="0081613C">
        <w:rPr>
          <w:rFonts w:cs="Arial"/>
          <w:szCs w:val="18"/>
        </w:rPr>
        <w:t xml:space="preserve"> </w:t>
      </w:r>
      <w:r w:rsidR="00CD6F6B" w:rsidRPr="0081613C">
        <w:fldChar w:fldCharType="begin" w:fldLock="1"/>
      </w:r>
      <w:r w:rsidR="00FE58B3" w:rsidRPr="0081613C">
        <w:instrText>ADDIN CSL_CITATION {"citationItems":[{"id":"ITEM-1","itemData":{"DOI":"10.2991/ijcis.2018.125905685","ISSN":"18756883","abstract":"Healthcare waste (HCW) management has become a major environmental and public-health concern especially in developing countries, and therefore, it has been receiving increasing attention from both industrial practitioners and researcher in recent years. Selection of the optimal treatment technology for HCW is regarded as an intricate multi-criteria decision-making problem involving conflicting and intertwined qualitative as well as quantitative evaluative criteria. To address this decision problem, we develop an integrated decision support framework based on decision-making trial and evaluation laboratory (DEMATEL), intuitionistic fuzzy ANP, and intuitionistic fuzzy AHP. The DEMATEL method determines the influences of main factors and criteria and produces a network relationship map while the ANP method calculates the degree of interrelationship among evaluative criteria and obtains their relative weights. The AHP method assesses the HCW treatment alternatives over evaluative criteria. The experts’ opinions are collected in form of intuitionistic fuzzy preference relations as they are effective in capturing uncertainty and hesitancy involved in decision-makers’ judgment. We also develop a priority method to derive nonfuzzy weights from the intuitionistic fuzzy preference relations. To validate the feasibility of the proposed approach, a case study is carried out on the selection of optimum HCW treatment technology for Chhattisgarh, India. The analyses of the results indicate that the proposed integrated multi-criteria decision making (MCDM) framework effectively handles the issue of HCW treatment technology selection in uncertain environments.","author":[{"dropping-particle":"","family":"Hinduja","given":"Akshay","non-dropping-particle":"","parse-names":false,"suffix":""},{"dropping-particle":"","family":"Pandey","given":"Manju","non-dropping-particle":"","parse-names":false,"suffix":""}],"container-title":"International Journal of Computational Intelligence Systems","id":"ITEM-1","issued":{"date-parts":[["2018"]]},"title":"Assessment of healthcare waste treatment alternatives using an integrated decision support framework","type":"article-journal"},"uris":["http://www.mendeley.com/documents/?uuid=da724808-6815-41de-8424-67d4b0bc5f4b"]}],"mendeley":{"formattedCitation":"(Hinduja and Pandey, 2018)","plainTextFormattedCitation":"(Hinduja and Pandey, 2018)","previouslyFormattedCitation":"(Hinduja and Pandey, 2018)"},"properties":{"noteIndex":0},"schema":"https://github.com/citation-style-language/schema/raw/master/csl-citation.json"}</w:instrText>
      </w:r>
      <w:r w:rsidR="00CD6F6B" w:rsidRPr="0081613C">
        <w:fldChar w:fldCharType="separate"/>
      </w:r>
      <w:r w:rsidR="00FE58B3" w:rsidRPr="0081613C">
        <w:rPr>
          <w:noProof/>
        </w:rPr>
        <w:t>(Hinduja and Pandey, 2018)</w:t>
      </w:r>
      <w:r w:rsidR="00CD6F6B" w:rsidRPr="0081613C">
        <w:fldChar w:fldCharType="end"/>
      </w:r>
      <w:r w:rsidR="00CD6F6B" w:rsidRPr="0081613C">
        <w:t>.</w:t>
      </w:r>
      <w:r w:rsidR="007E392B" w:rsidRPr="0081613C">
        <w:rPr>
          <w:rFonts w:cs="Arial"/>
          <w:szCs w:val="18"/>
        </w:rPr>
        <w:t xml:space="preserve"> Contrarily, </w:t>
      </w:r>
      <w:r w:rsidR="00866612" w:rsidRPr="0081613C">
        <w:rPr>
          <w:rFonts w:cs="Arial"/>
          <w:szCs w:val="18"/>
        </w:rPr>
        <w:t xml:space="preserve">the hazardous fraction includes </w:t>
      </w:r>
      <w:r w:rsidR="00866612" w:rsidRPr="0081613C">
        <w:t xml:space="preserve">highly infectious or toxic radioactive materials </w:t>
      </w:r>
      <w:r w:rsidR="00FE58B3" w:rsidRPr="00E10D8C">
        <w:rPr>
          <w:color w:val="FF0000"/>
        </w:rPr>
        <w:fldChar w:fldCharType="begin" w:fldLock="1"/>
      </w:r>
      <w:r w:rsidR="00FE58B3" w:rsidRPr="00E10D8C">
        <w:rPr>
          <w:color w:val="FF0000"/>
        </w:rPr>
        <w:instrText>ADDIN CSL_CITATION {"citationItems":[{"id":"ITEM-1","itemData":{"DOI":"10.1186/s12889-017-4794-6","ISSN":"14712458","PMID":"28946876","abstract":"Background: Adequate management of healthcare waste (HCW) is a prerequisite for efficient delivery of healthcare services. In Nigeria, there are several constraints militating against proper management of HCW. This is raising some environmental concerns among stakeholders in the health sector. In this study, we analyzed the practices of HCW management and determinants of risky/safe indices of HCW disposal. Methods: The study used the 2013/2014 Service Delivery Indicator (SDI) data that were collected from 2480 healthcare facilities in Nigeria. Descriptive statistics, Principal Component Analysis (PCA) and Ordinary Least Square (OLS) regression were used to analyze the data. Results: The results showed that 52.20% and 38.21% of the sampled healthcare facilities from Cross River and Bauchi states possessed guidelines for HCW management, respectively. Trainings on management of HCW were attended by 67.18% and 53.19% of the healthcare facilities from Cross River and Imo states, respectively. Also, 32.32% and 29.50% of healthcare facilities from rural and urban areas previously sent some of their staff members for trainings on HCW management, respectively. Sharp and non-sharp HCW were burnt in protected pits in 45.40% and 45.36% of all the sampled healthcare facilities, respectively. Incinerators were reported to be functional in only 2.06% of the total healthcare facilities. In Bauchi and Kebbi states, 23.58% and 21.05% of the healthcare facilities respectively burnt sharp HCW without any protection. Using PCA, computed risky indices for disposal of sharp HCW were highest in Bayelsa state (0.3070) and Kebbi state (0.2172), while indices of risky disposal of non-sharp HCW were highest in Bayelsa state (0.2868) and Osun state (0.2652). The OLS results showed that at 5% level of significance, possession of medical waste disposal guidelines, staff trainings on HCW management, traveling hours from the facilities to local headquarters and being located in rural areas significantly influenced indices of risky/safe medical waste disposal (p &lt; 0.05). Conclusion: The study concluded that there was low compliance with standard HCW management. It was recommended that possession of HCW management guidelines, staff training on HCW disposal and provision of requisite equipment for proper treatment of HCW would promote environmental safety in HCW disposal.","author":[{"dropping-particle":"","family":"Oyekale","given":"Abayomi Samuel","non-dropping-particle":"","parse-names":false,"suffix":""},{"dropping-particle":"","family":"Oyekale","given":"Tolulope Olayemi","non-dropping-particle":"","parse-names":false,"suffix":""}],"container-title":"BMC Public Health","id":"ITEM-1","issued":{"date-parts":[["2017"]]},"title":"Healthcare waste management practices and safety indicators in Nigeria","type":"article-journal"},"uris":["http://www.mendeley.com/documents/?uuid=47dfd3e9-546d-4a6a-bf16-4782e3daeca2"]}],"mendeley":{"formattedCitation":"(Oyekale and Oyekale, 2017)","plainTextFormattedCitation":"(Oyekale and Oyekale, 2017)","previouslyFormattedCitation":"(Oyekale and Oyekale, 2017)"},"properties":{"noteIndex":0},"schema":"https://github.com/citation-style-language/schema/raw/master/csl-citation.json"}</w:instrText>
      </w:r>
      <w:r w:rsidR="00FE58B3" w:rsidRPr="00E10D8C">
        <w:rPr>
          <w:color w:val="FF0000"/>
        </w:rPr>
        <w:fldChar w:fldCharType="separate"/>
      </w:r>
      <w:r w:rsidR="00FE58B3" w:rsidRPr="00E10D8C">
        <w:rPr>
          <w:noProof/>
          <w:color w:val="FF0000"/>
        </w:rPr>
        <w:t>(Oyekale and Oyekale, 2017)</w:t>
      </w:r>
      <w:r w:rsidR="00FE58B3" w:rsidRPr="00E10D8C">
        <w:rPr>
          <w:color w:val="FF0000"/>
        </w:rPr>
        <w:fldChar w:fldCharType="end"/>
      </w:r>
      <w:r w:rsidR="00FE58B3" w:rsidRPr="00E10D8C">
        <w:rPr>
          <w:color w:val="FF0000"/>
        </w:rPr>
        <w:t xml:space="preserve"> </w:t>
      </w:r>
      <w:r w:rsidR="00866612" w:rsidRPr="0081613C">
        <w:t>and it requires a separate and precise management; otherwise it can present various h</w:t>
      </w:r>
      <w:r w:rsidR="00CD6F6B" w:rsidRPr="0081613C">
        <w:t>ealth and environmental threats</w:t>
      </w:r>
      <w:r w:rsidR="007E392B" w:rsidRPr="0081613C">
        <w:rPr>
          <w:rFonts w:cs="Arial"/>
          <w:szCs w:val="18"/>
        </w:rPr>
        <w:t xml:space="preserve"> </w:t>
      </w:r>
      <w:r w:rsidR="00CD6F6B" w:rsidRPr="00E10D8C">
        <w:rPr>
          <w:rFonts w:cs="Arial"/>
          <w:color w:val="FF0000"/>
          <w:szCs w:val="18"/>
        </w:rPr>
        <w:fldChar w:fldCharType="begin" w:fldLock="1"/>
      </w:r>
      <w:r w:rsidR="00FE58B3" w:rsidRPr="00E10D8C">
        <w:rPr>
          <w:rFonts w:cs="Arial"/>
          <w:color w:val="FF0000"/>
          <w:szCs w:val="18"/>
        </w:rPr>
        <w:instrText>ADDIN CSL_CITATION {"citationItems":[{"id":"ITEM-1","itemData":{"DOI":"10.2991/ijcis.2018.125905685","ISSN":"18756883","abstract":"Healthcare waste (HCW) management has become a major environmental and public-health concern especially in developing countries, and therefore, it has been receiving increasing attention from both industrial practitioners and researcher in recent years. Selection of the optimal treatment technology for HCW is regarded as an intricate multi-criteria decision-making problem involving conflicting and intertwined qualitative as well as quantitative evaluative criteria. To address this decision problem, we develop an integrated decision support framework based on decision-making trial and evaluation laboratory (DEMATEL), intuitionistic fuzzy ANP, and intuitionistic fuzzy AHP. The DEMATEL method determines the influences of main factors and criteria and produces a network relationship map while the ANP method calculates the degree of interrelationship among evaluative criteria and obtains their relative weights. The AHP method assesses the HCW treatment alternatives over evaluative criteria. The experts’ opinions are collected in form of intuitionistic fuzzy preference relations as they are effective in capturing uncertainty and hesitancy involved in decision-makers’ judgment. We also develop a priority method to derive nonfuzzy weights from the intuitionistic fuzzy preference relations. To validate the feasibility of the proposed approach, a case study is carried out on the selection of optimum HCW treatment technology for Chhattisgarh, India. The analyses of the results indicate that the proposed integrated multi-criteria decision making (MCDM) framework effectively handles the issue of HCW treatment technology selection in uncertain environments.","author":[{"dropping-particle":"","family":"Hinduja","given":"Akshay","non-dropping-particle":"","parse-names":false,"suffix":""},{"dropping-particle":"","family":"Pandey","given":"Manju","non-dropping-particle":"","parse-names":false,"suffix":""}],"container-title":"International Journal of Computational Intelligence Systems","id":"ITEM-1","issued":{"date-parts":[["2018"]]},"title":"Assessment of healthcare waste treatment alternatives using an integrated decision support framework","type":"article-journal"},"uris":["http://www.mendeley.com/documents/?uuid=da724808-6815-41de-8424-67d4b0bc5f4b"]}],"mendeley":{"formattedCitation":"(Hinduja and Pandey, 2018)","plainTextFormattedCitation":"(Hinduja and Pandey, 2018)","previouslyFormattedCitation":"(Hinduja and Pandey, 2018)"},"properties":{"noteIndex":0},"schema":"https://github.com/citation-style-language/schema/raw/master/csl-citation.json"}</w:instrText>
      </w:r>
      <w:r w:rsidR="00CD6F6B" w:rsidRPr="00E10D8C">
        <w:rPr>
          <w:rFonts w:cs="Arial"/>
          <w:color w:val="FF0000"/>
          <w:szCs w:val="18"/>
        </w:rPr>
        <w:fldChar w:fldCharType="separate"/>
      </w:r>
      <w:r w:rsidR="00FE58B3" w:rsidRPr="00E10D8C">
        <w:rPr>
          <w:rFonts w:cs="Arial"/>
          <w:noProof/>
          <w:color w:val="FF0000"/>
          <w:szCs w:val="18"/>
        </w:rPr>
        <w:t>(Hinduja and Pandey, 2018)</w:t>
      </w:r>
      <w:r w:rsidR="00CD6F6B" w:rsidRPr="00E10D8C">
        <w:rPr>
          <w:rFonts w:cs="Arial"/>
          <w:color w:val="FF0000"/>
          <w:szCs w:val="18"/>
        </w:rPr>
        <w:fldChar w:fldCharType="end"/>
      </w:r>
      <w:r w:rsidR="00CD6F6B" w:rsidRPr="0081613C">
        <w:rPr>
          <w:rFonts w:cs="Arial"/>
          <w:szCs w:val="18"/>
        </w:rPr>
        <w:t>.</w:t>
      </w:r>
    </w:p>
    <w:p w14:paraId="477187AA" w14:textId="773993A3" w:rsidR="00B84F74" w:rsidRPr="0081613C" w:rsidRDefault="009E78B8" w:rsidP="00B84F74">
      <w:pPr>
        <w:pStyle w:val="aff8"/>
        <w:tabs>
          <w:tab w:val="clear" w:pos="7100"/>
        </w:tabs>
        <w:spacing w:after="200" w:line="276" w:lineRule="auto"/>
        <w:ind w:left="0"/>
      </w:pPr>
      <w:r w:rsidRPr="0081613C">
        <w:rPr>
          <w:rFonts w:cs="Arial"/>
          <w:szCs w:val="18"/>
        </w:rPr>
        <w:t>The increasing population index</w:t>
      </w:r>
      <w:r w:rsidR="00FE58B3" w:rsidRPr="0081613C">
        <w:rPr>
          <w:rFonts w:cs="Arial"/>
          <w:szCs w:val="18"/>
        </w:rPr>
        <w:t xml:space="preserve"> </w:t>
      </w:r>
      <w:r w:rsidR="00FE58B3" w:rsidRPr="0081613C">
        <w:rPr>
          <w:rFonts w:cs="Arial"/>
          <w:szCs w:val="18"/>
        </w:rPr>
        <w:fldChar w:fldCharType="begin" w:fldLock="1"/>
      </w:r>
      <w:r w:rsidR="00FE58B3" w:rsidRPr="0081613C">
        <w:rPr>
          <w:rFonts w:cs="Arial"/>
          <w:szCs w:val="18"/>
        </w:rPr>
        <w:instrText>ADDIN CSL_CITATION {"citationItems":[{"id":"ITEM-1","itemData":{"DOI":"10.1016/j.jhazmat.2021.126724","ISSN":"18733336","abstract":"Improper healthcare waste (HCW) management poses significant risks to the environment, human health, and socio-economic sustainability due to the infectious and hazardous nature of HCW. This research aims at rendering a comprehensive landscape of the body of research on HCW management by (i) mapping the scientific development of HCW research, (ii) identifying the prominent HCW research themes and trends, and (iii) providing a research agenda for HCW management towards a circular economy (CE) transition and sustainable environment. The analysis revealed four dominant HCW research themes: (1) HCW minimization, sustainable management, and policy-making; (2) HCW incineration and its associated environmental impacts; (3) hazardous HCW management practices; and (4) HCW handling and occupational safety and training. The results showed that the healthcare industry, despite its potential to contribute to the CE transition, has been overlooked in the CE discourse due to the single-use mindset of the healthcare industry in the wake of the infectious, toxic, and hazardous nature of HCW streams. The findings shed light on the HCW management domain by uncovering the current status of HCW research, highlighting the existing gaps and challenges, and providing potential avenues for further research towards a CE transition in the healthcare industry and HCW management.","author":[{"dropping-particle":"","family":"Ranjbari","given":"Meisam","non-dropping-particle":"","parse-names":false,"suffix":""},{"dropping-particle":"","family":"Shams Esfandabadi","given":"Zahra","non-dropping-particle":"","parse-names":false,"suffix":""},{"dropping-particle":"","family":"Shevchenko","given":"Tetiana","non-dropping-particle":"","parse-names":false,"suffix":""},{"dropping-particle":"","family":"Chassagnon-Haned","given":"Naciba","non-dropping-particle":"","parse-names":false,"suffix":""},{"dropping-particle":"","family":"Peng","given":"Wanxi","non-dropping-particle":"","parse-names":false,"suffix":""},{"dropping-particle":"","family":"Tabatabaei","given":"Meisam","non-dropping-particle":"","parse-names":false,"suffix":""},{"dropping-particle":"","family":"Aghbashlo","given":"Mortaza","non-dropping-particle":"","parse-names":false,"suffix":""}],"container-title":"Journal of Hazardous Materials","id":"ITEM-1","issued":{"date-parts":[["2022"]]},"title":"Mapping healthcare waste management research: Past evolution, current challenges, and future perspectives towards a circular economy transition","type":"article-journal"},"uris":["http://www.mendeley.com/documents/?uuid=17ab07e9-31b5-46e2-8e78-386ccdf8cc8e"]}],"mendeley":{"formattedCitation":"(Ranjbari &lt;i&gt;et al.&lt;/i&gt;, 2022)","plainTextFormattedCitation":"(Ranjbari et al., 2022)","previouslyFormattedCitation":"(Ranjbari &lt;i&gt;et al.&lt;/i&gt;, 2022)"},"properties":{"noteIndex":0},"schema":"https://github.com/citation-style-language/schema/raw/master/csl-citation.json"}</w:instrText>
      </w:r>
      <w:r w:rsidR="00FE58B3" w:rsidRPr="0081613C">
        <w:rPr>
          <w:rFonts w:cs="Arial"/>
          <w:szCs w:val="18"/>
        </w:rPr>
        <w:fldChar w:fldCharType="separate"/>
      </w:r>
      <w:r w:rsidR="00FE58B3" w:rsidRPr="00E10D8C">
        <w:rPr>
          <w:rFonts w:cs="Arial"/>
          <w:noProof/>
          <w:color w:val="FF0000"/>
          <w:szCs w:val="18"/>
        </w:rPr>
        <w:t>(Ranjbari et al., 2022</w:t>
      </w:r>
      <w:r w:rsidR="00FE58B3" w:rsidRPr="0081613C">
        <w:rPr>
          <w:rFonts w:cs="Arial"/>
          <w:noProof/>
          <w:szCs w:val="18"/>
        </w:rPr>
        <w:t>)</w:t>
      </w:r>
      <w:r w:rsidR="00FE58B3" w:rsidRPr="0081613C">
        <w:rPr>
          <w:rFonts w:cs="Arial"/>
          <w:szCs w:val="18"/>
        </w:rPr>
        <w:fldChar w:fldCharType="end"/>
      </w:r>
      <w:r w:rsidR="00827EE6" w:rsidRPr="0081613C">
        <w:rPr>
          <w:rFonts w:cs="Arial"/>
          <w:szCs w:val="18"/>
        </w:rPr>
        <w:t>, in conjunction with</w:t>
      </w:r>
      <w:r w:rsidRPr="0081613C">
        <w:rPr>
          <w:rFonts w:cs="Arial"/>
          <w:szCs w:val="18"/>
        </w:rPr>
        <w:t xml:space="preserve"> the rapidly aging population and the improved access to healthcare services</w:t>
      </w:r>
      <w:r w:rsidR="00827EE6" w:rsidRPr="0081613C">
        <w:rPr>
          <w:rFonts w:cs="Arial"/>
          <w:szCs w:val="18"/>
        </w:rPr>
        <w:t>,</w:t>
      </w:r>
      <w:r w:rsidRPr="0081613C">
        <w:rPr>
          <w:rFonts w:cs="Arial"/>
          <w:szCs w:val="18"/>
        </w:rPr>
        <w:t xml:space="preserve"> results in t</w:t>
      </w:r>
      <w:r w:rsidR="00166FBD" w:rsidRPr="0081613C">
        <w:rPr>
          <w:rFonts w:cs="Arial"/>
          <w:szCs w:val="18"/>
        </w:rPr>
        <w:t xml:space="preserve">he </w:t>
      </w:r>
      <w:r w:rsidR="0028743D" w:rsidRPr="0081613C">
        <w:rPr>
          <w:rFonts w:cs="Arial"/>
          <w:szCs w:val="18"/>
        </w:rPr>
        <w:t>fast</w:t>
      </w:r>
      <w:r w:rsidRPr="0081613C">
        <w:rPr>
          <w:rFonts w:cs="Arial"/>
          <w:szCs w:val="18"/>
        </w:rPr>
        <w:t xml:space="preserve"> growth</w:t>
      </w:r>
      <w:r w:rsidR="0028743D" w:rsidRPr="0081613C">
        <w:rPr>
          <w:rFonts w:cs="Arial"/>
          <w:szCs w:val="18"/>
        </w:rPr>
        <w:t xml:space="preserve"> </w:t>
      </w:r>
      <w:r w:rsidRPr="0081613C">
        <w:rPr>
          <w:rFonts w:cs="Arial"/>
          <w:szCs w:val="18"/>
        </w:rPr>
        <w:t xml:space="preserve">of </w:t>
      </w:r>
      <w:r w:rsidR="00827EE6" w:rsidRPr="0081613C">
        <w:rPr>
          <w:rFonts w:cs="Arial"/>
          <w:szCs w:val="18"/>
        </w:rPr>
        <w:t>healthcare industry, which in turn leads to a steady global increment of HCW production by 2–3</w:t>
      </w:r>
      <w:r w:rsidR="00006014" w:rsidRPr="0081613C">
        <w:rPr>
          <w:rFonts w:cs="Arial"/>
          <w:szCs w:val="18"/>
        </w:rPr>
        <w:t xml:space="preserve"> </w:t>
      </w:r>
      <w:r w:rsidR="00827EE6" w:rsidRPr="00E10D8C">
        <w:rPr>
          <w:rFonts w:cs="Arial"/>
          <w:color w:val="FF0000"/>
          <w:szCs w:val="18"/>
        </w:rPr>
        <w:t xml:space="preserve">% </w:t>
      </w:r>
      <w:r w:rsidR="00827EE6" w:rsidRPr="00E10D8C">
        <w:rPr>
          <w:rFonts w:cs="Arial"/>
          <w:color w:val="FF0000"/>
          <w:szCs w:val="18"/>
        </w:rPr>
        <w:fldChar w:fldCharType="begin" w:fldLock="1"/>
      </w:r>
      <w:r w:rsidR="0081613C" w:rsidRPr="00E10D8C">
        <w:rPr>
          <w:rFonts w:cs="Arial"/>
          <w:color w:val="FF0000"/>
          <w:szCs w:val="18"/>
        </w:rPr>
        <w:instrText>ADDIN CSL_CITATION {"citationItems":[{"id":"ITEM-1","itemData":{"DOI":"10.3390/su9020220","ISSN":"20711050","abstract":"This paper examines the dependence of the healthcare waste (HCW) generation rate on several social-economic and environmental parameters. Correlations were calculated between the quantities of healthcare waste generated (expressed in kg/bed/day) versus economic indices (GDP, healthcare expenditure per capita), social indices (HDI, IHDI, MPI, life expectancy, mean years of schooling, HIV prevalence, deaths due to tuberculosis and malaria, and under five mortality rate), and an environmental sustainability index (total CO2 emissions) from 42 countries worldwide. The statistical analysis included the examination of the normality of the data and the formation of linear multiple regression models to further investigate the correlation between those indices and HCW generation rates. Pearson and Spearman correlation coefficients were also calculated for all pairwise comparisons. Results showed that the life expectancy, the HDI, the mean years of schooling and the CO2 emissions positively affect the HCW generation rates and can be used as statistical predictors of those rates. The resulting best reduced regression model included the life expectancy and the CO2 emissions and explained 85% of the variability of the response.","author":[{"dropping-particle":"","family":"Minoglou","given":"Minas","non-dropping-particle":"","parse-names":false,"suffix":""},{"dropping-particle":"","family":"Gerassimidou","given":"Spyridoula","non-dropping-particle":"","parse-names":false,"suffix":""},{"dropping-particle":"","family":"Komilis","given":"Dimitrios","non-dropping-particle":"","parse-names":false,"suffix":""}],"container-title":"Sustainability (Switzerland)","id":"ITEM-1","issued":{"date-parts":[["2017"]]},"title":"Healthcare waste generation worldwide and its dependence on socio-economic and environmental factors","type":"article-journal"},"uris":["http://www.mendeley.com/documents/?uuid=7cff763d-30f0-42fd-a926-51f60481ff60"]}],"mendeley":{"formattedCitation":"(Minoglou, Gerassimidou and Komilis, 2017)","manualFormatting":"(Minoglou et al., 2017)","plainTextFormattedCitation":"(Minoglou, Gerassimidou and Komilis, 2017)","previouslyFormattedCitation":"(Minoglou, Gerassimidou and Komilis, 2017)"},"properties":{"noteIndex":0},"schema":"https://github.com/citation-style-language/schema/raw/master/csl-citation.json"}</w:instrText>
      </w:r>
      <w:r w:rsidR="00827EE6" w:rsidRPr="00E10D8C">
        <w:rPr>
          <w:rFonts w:cs="Arial"/>
          <w:color w:val="FF0000"/>
          <w:szCs w:val="18"/>
        </w:rPr>
        <w:fldChar w:fldCharType="separate"/>
      </w:r>
      <w:r w:rsidR="00FE58B3" w:rsidRPr="00E10D8C">
        <w:rPr>
          <w:rFonts w:cs="Arial"/>
          <w:noProof/>
          <w:color w:val="FF0000"/>
          <w:szCs w:val="18"/>
        </w:rPr>
        <w:t>(Minoglou</w:t>
      </w:r>
      <w:r w:rsidR="0081613C" w:rsidRPr="00E10D8C">
        <w:rPr>
          <w:rFonts w:cs="Arial"/>
          <w:noProof/>
          <w:color w:val="FF0000"/>
          <w:szCs w:val="18"/>
        </w:rPr>
        <w:t xml:space="preserve"> et al.</w:t>
      </w:r>
      <w:r w:rsidR="00FE58B3" w:rsidRPr="00E10D8C">
        <w:rPr>
          <w:rFonts w:cs="Arial"/>
          <w:noProof/>
          <w:color w:val="FF0000"/>
          <w:szCs w:val="18"/>
        </w:rPr>
        <w:t>, 2017)</w:t>
      </w:r>
      <w:r w:rsidR="00827EE6" w:rsidRPr="00E10D8C">
        <w:rPr>
          <w:rFonts w:cs="Arial"/>
          <w:color w:val="FF0000"/>
          <w:szCs w:val="18"/>
        </w:rPr>
        <w:fldChar w:fldCharType="end"/>
      </w:r>
      <w:r w:rsidR="00827EE6" w:rsidRPr="0081613C">
        <w:rPr>
          <w:rFonts w:cs="Arial"/>
          <w:szCs w:val="18"/>
        </w:rPr>
        <w:t>.</w:t>
      </w:r>
      <w:r w:rsidR="00F254F7" w:rsidRPr="0081613C">
        <w:rPr>
          <w:rFonts w:cs="Arial"/>
          <w:szCs w:val="18"/>
        </w:rPr>
        <w:t xml:space="preserve"> As a consequence, its management is a major challenge worldwide </w:t>
      </w:r>
      <w:r w:rsidR="0076438B" w:rsidRPr="0081613C">
        <w:rPr>
          <w:rFonts w:cs="Arial"/>
          <w:szCs w:val="18"/>
        </w:rPr>
        <w:t xml:space="preserve">since a significant percentage of HCW contains </w:t>
      </w:r>
      <w:r w:rsidR="00F0486E" w:rsidRPr="0081613C">
        <w:rPr>
          <w:rFonts w:cs="Arial"/>
          <w:szCs w:val="18"/>
        </w:rPr>
        <w:t xml:space="preserve">infectious and hazardous </w:t>
      </w:r>
      <w:r w:rsidR="0076438B" w:rsidRPr="0081613C">
        <w:rPr>
          <w:rFonts w:cs="Arial"/>
          <w:szCs w:val="18"/>
        </w:rPr>
        <w:t>pathogenic agents</w:t>
      </w:r>
      <w:r w:rsidR="004C66D1" w:rsidRPr="0081613C">
        <w:rPr>
          <w:rFonts w:cs="Arial"/>
          <w:szCs w:val="18"/>
        </w:rPr>
        <w:t>.</w:t>
      </w:r>
      <w:r w:rsidR="0076438B" w:rsidRPr="0081613C">
        <w:rPr>
          <w:rFonts w:cs="Arial"/>
          <w:szCs w:val="18"/>
        </w:rPr>
        <w:t xml:space="preserve"> Specifically, i</w:t>
      </w:r>
      <w:r w:rsidR="00076DF4" w:rsidRPr="0081613C">
        <w:rPr>
          <w:rFonts w:cs="Arial"/>
          <w:szCs w:val="18"/>
        </w:rPr>
        <w:t>nappropriate management of HCW and its included microbes</w:t>
      </w:r>
      <w:r w:rsidR="00076DF4" w:rsidRPr="004C66D1">
        <w:rPr>
          <w:rFonts w:cs="Arial"/>
          <w:szCs w:val="18"/>
        </w:rPr>
        <w:t xml:space="preserve"> </w:t>
      </w:r>
      <w:r w:rsidR="0081613C" w:rsidRPr="0081613C">
        <w:rPr>
          <w:rFonts w:cs="Arial"/>
          <w:szCs w:val="18"/>
        </w:rPr>
        <w:lastRenderedPageBreak/>
        <w:fldChar w:fldCharType="begin" w:fldLock="1"/>
      </w:r>
      <w:r w:rsidR="0081613C" w:rsidRPr="0081613C">
        <w:rPr>
          <w:rFonts w:cs="Arial"/>
          <w:szCs w:val="18"/>
        </w:rPr>
        <w:instrText>ADDIN CSL_CITATION {"citationItems":[{"id":"ITEM-1","itemData":{"DOI":"10.1109/ACCESS.2019.2940540","ISSN":"21693536","abstract":"Waste produced from medical facilities systems incorporates a blend of dangerous waste which can posture dangers to humans and ecological receptors. Lacking administration of healthcare waste can prompt hazard to medicinal service specialists, patients, public health, communities and the wider environment. Hence, proper management of healthcare waste is imperative to reduce the associated health and environment risk. In this paper, we extend the MULTIMOORA decision making method with intuitionistic hesitant fuzzy set to evaluate the healthcare waste treatment methods. Intuitionistic hesitant fuzzy set is a generalized form of a hesitant fuzzy set. Intuitionistic hesitant fuzzy set considers the uncertainty of data in a single framework and take more information into account. The MULTIMOORA method consists of three parts namely the ratio system, reference point approach and the full multiplicative form. In the optimal ranking methods, the IHF-MULTIMOORA method is uncomplicated it is able to be used practically with high dimension intuitionistic hesitant fuzzy sets. For pathological, pharmaceutical, sharp, solid and chemical wastes, the preferred waste disposal methods are deep burial, incineration, autoclave, deep burial, and chemical disinfection, respectively.","author":[{"dropping-particle":"","family":"Geetha","given":"Selvaraj","non-dropping-particle":"","parse-names":false,"suffix":""},{"dropping-particle":"","family":"Narayanamoorthy","given":"Samayan","non-dropping-particle":"","parse-names":false,"suffix":""},{"dropping-particle":"","family":"Kang","given":"Daekook","non-dropping-particle":"","parse-names":false,"suffix":""},{"dropping-particle":"","family":"Kureethara","given":"Joseph Varghese","non-dropping-particle":"","parse-names":false,"suffix":""}],"container-title":"IEEE Access","id":"ITEM-1","issued":{"date-parts":[["2019"]]},"title":"A Novel Assessment of Healthcare Waste Disposal Methods: Intuitionistic Hesitant Fuzzy MULTIMOORA Decision Making Approach","type":"article-journal"},"uris":["http://www.mendeley.com/documents/?uuid=b1289247-43d8-453e-ae93-7efe1383ac71"]}],"mendeley":{"formattedCitation":"(Geetha &lt;i&gt;et al.&lt;/i&gt;, 2019)","plainTextFormattedCitation":"(Geetha et al., 2019)","previouslyFormattedCitation":"(Geetha &lt;i&gt;et al.&lt;/i&gt;, 2019)"},"properties":{"noteIndex":0},"schema":"https://github.com/citation-style-language/schema/raw/master/csl-citation.json"}</w:instrText>
      </w:r>
      <w:r w:rsidR="0081613C" w:rsidRPr="0081613C">
        <w:rPr>
          <w:rFonts w:cs="Arial"/>
          <w:szCs w:val="18"/>
        </w:rPr>
        <w:fldChar w:fldCharType="separate"/>
      </w:r>
      <w:r w:rsidR="0081613C" w:rsidRPr="0081613C">
        <w:rPr>
          <w:rFonts w:cs="Arial"/>
          <w:noProof/>
          <w:szCs w:val="18"/>
        </w:rPr>
        <w:t>(Geetha et al., 2019)</w:t>
      </w:r>
      <w:r w:rsidR="0081613C" w:rsidRPr="0081613C">
        <w:rPr>
          <w:rFonts w:cs="Arial"/>
          <w:szCs w:val="18"/>
        </w:rPr>
        <w:fldChar w:fldCharType="end"/>
      </w:r>
      <w:r w:rsidR="0081613C" w:rsidRPr="0081613C">
        <w:rPr>
          <w:rFonts w:cs="Arial"/>
          <w:szCs w:val="18"/>
        </w:rPr>
        <w:t xml:space="preserve"> </w:t>
      </w:r>
      <w:r w:rsidR="00076DF4" w:rsidRPr="0081613C">
        <w:rPr>
          <w:rFonts w:cs="Arial"/>
          <w:szCs w:val="18"/>
        </w:rPr>
        <w:t>can not only</w:t>
      </w:r>
      <w:r w:rsidR="00076DF4" w:rsidRPr="0081613C">
        <w:t xml:space="preserve"> lead to toxic effects</w:t>
      </w:r>
      <w:r w:rsidR="004C66D1" w:rsidRPr="0081613C">
        <w:t xml:space="preserve">, infections and </w:t>
      </w:r>
      <w:r w:rsidR="00076DF4" w:rsidRPr="0081613C">
        <w:t xml:space="preserve">transmission of diseases to the healthcare personnel, waste handlers, patients and the community, but also </w:t>
      </w:r>
      <w:r w:rsidR="004C66D1" w:rsidRPr="0081613C">
        <w:t xml:space="preserve">cause </w:t>
      </w:r>
      <w:r w:rsidR="00076DF4" w:rsidRPr="0081613C">
        <w:t>environmental pollution</w:t>
      </w:r>
      <w:r w:rsidR="004C66D1" w:rsidRPr="0081613C">
        <w:rPr>
          <w:rFonts w:cs="Arial"/>
          <w:szCs w:val="18"/>
        </w:rPr>
        <w:t xml:space="preserve"> </w:t>
      </w:r>
      <w:r w:rsidR="004C66D1" w:rsidRPr="0081613C">
        <w:rPr>
          <w:rFonts w:cs="Arial"/>
          <w:szCs w:val="18"/>
        </w:rPr>
        <w:fldChar w:fldCharType="begin" w:fldLock="1"/>
      </w:r>
      <w:r w:rsidR="00FE2B41">
        <w:rPr>
          <w:rFonts w:cs="Arial"/>
          <w:szCs w:val="18"/>
        </w:rPr>
        <w:instrText>ADDIN CSL_CITATION {"citationItems":[{"id":"ITEM-1","itemData":{"DOI":"10.2991/ijcis.2018.125905685","ISSN":"18756883","abstract":"Healthcare waste (HCW) management has become a major environmental and public-health concern especially in developing countries, and therefore, it has been receiving increasing attention from both industrial practitioners and researcher in recent years. Selection of the optimal treatment technology for HCW is regarded as an intricate multi-criteria decision-making problem involving conflicting and intertwined qualitative as well as quantitative evaluative criteria. To address this decision problem, we develop an integrated decision support framework based on decision-making trial and evaluation laboratory (DEMATEL), intuitionistic fuzzy ANP, and intuitionistic fuzzy AHP. The DEMATEL method determines the influences of main factors and criteria and produces a network relationship map while the ANP method calculates the degree of interrelationship among evaluative criteria and obtains their relative weights. The AHP method assesses the HCW treatment alternatives over evaluative criteria. The experts’ opinions are collected in form of intuitionistic fuzzy preference relations as they are effective in capturing uncertainty and hesitancy involved in decision-makers’ judgment. We also develop a priority method to derive nonfuzzy weights from the intuitionistic fuzzy preference relations. To validate the feasibility of the proposed approach, a case study is carried out on the selection of optimum HCW treatment technology for Chhattisgarh, India. The analyses of the results indicate that the proposed integrated multi-criteria decision making (MCDM) framework effectively handles the issue of HCW treatment technology selection in uncertain environments.","author":[{"dropping-particle":"","family":"Hinduja","given":"Akshay","non-dropping-particle":"","parse-names":false,"suffix":""},{"dropping-particle":"","family":"Pandey","given":"Manju","non-dropping-particle":"","parse-names":false,"suffix":""}],"container-title":"International Journal of Computational Intelligence Systems","id":"ITEM-1","issued":{"date-parts":[["2018"]]},"title":"Assessment of healthcare waste treatment alternatives using an integrated decision support framework","type":"article-journal"},"uris":["http://www.mendeley.com/documents/?uuid=da724808-6815-41de-8424-67d4b0bc5f4b"]}],"mendeley":{"formattedCitation":"(Hinduja and Pandey, 2018)","plainTextFormattedCitation":"(Hinduja and Pandey, 2018)","previouslyFormattedCitation":"(Hinduja and Pandey, 2018)"},"properties":{"noteIndex":0},"schema":"https://github.com/citation-style-language/schema/raw/master/csl-citation.json"}</w:instrText>
      </w:r>
      <w:r w:rsidR="004C66D1" w:rsidRPr="0081613C">
        <w:rPr>
          <w:rFonts w:cs="Arial"/>
          <w:szCs w:val="18"/>
        </w:rPr>
        <w:fldChar w:fldCharType="separate"/>
      </w:r>
      <w:r w:rsidR="0081613C" w:rsidRPr="0081613C">
        <w:rPr>
          <w:rFonts w:cs="Arial"/>
          <w:noProof/>
          <w:szCs w:val="18"/>
        </w:rPr>
        <w:t>(Hinduja and Pandey, 2018)</w:t>
      </w:r>
      <w:r w:rsidR="004C66D1" w:rsidRPr="0081613C">
        <w:rPr>
          <w:rFonts w:cs="Arial"/>
          <w:szCs w:val="18"/>
        </w:rPr>
        <w:fldChar w:fldCharType="end"/>
      </w:r>
      <w:r w:rsidR="004C66D1" w:rsidRPr="0081613C">
        <w:rPr>
          <w:rFonts w:cs="Arial"/>
          <w:szCs w:val="18"/>
        </w:rPr>
        <w:t xml:space="preserve">. Therefore, </w:t>
      </w:r>
      <w:r w:rsidR="004C66D1" w:rsidRPr="0081613C">
        <w:t xml:space="preserve">efficient management practices that will minimize the microbial load and thus </w:t>
      </w:r>
      <w:r w:rsidR="00916ECF" w:rsidRPr="0081613C">
        <w:t xml:space="preserve">many </w:t>
      </w:r>
      <w:r w:rsidR="004C66D1" w:rsidRPr="0081613C">
        <w:t xml:space="preserve">negative effects of this waste are necessary. </w:t>
      </w:r>
    </w:p>
    <w:p w14:paraId="05318C0C" w14:textId="0E5FC260" w:rsidR="0050684D" w:rsidRPr="00FE2B41" w:rsidRDefault="00916ECF" w:rsidP="0050684D">
      <w:pPr>
        <w:pStyle w:val="aff8"/>
        <w:tabs>
          <w:tab w:val="clear" w:pos="7100"/>
        </w:tabs>
        <w:spacing w:after="200" w:line="276" w:lineRule="auto"/>
        <w:ind w:left="0"/>
        <w:rPr>
          <w:szCs w:val="18"/>
        </w:rPr>
      </w:pPr>
      <w:r w:rsidRPr="00FE2B41">
        <w:rPr>
          <w:szCs w:val="18"/>
        </w:rPr>
        <w:t xml:space="preserve">Essential oils </w:t>
      </w:r>
      <w:r w:rsidR="002F2774" w:rsidRPr="00FE2B41">
        <w:rPr>
          <w:szCs w:val="18"/>
        </w:rPr>
        <w:t>(E</w:t>
      </w:r>
      <w:r w:rsidR="002734BE" w:rsidRPr="00FE2B41">
        <w:rPr>
          <w:szCs w:val="18"/>
        </w:rPr>
        <w:t>O</w:t>
      </w:r>
      <w:r w:rsidR="002F2774" w:rsidRPr="00FE2B41">
        <w:rPr>
          <w:szCs w:val="18"/>
        </w:rPr>
        <w:t xml:space="preserve">s) </w:t>
      </w:r>
      <w:r w:rsidRPr="00FE2B41">
        <w:rPr>
          <w:szCs w:val="18"/>
        </w:rPr>
        <w:t>derived from plants are known to possess high levels of antimicrobial</w:t>
      </w:r>
      <w:r w:rsidR="002F2774" w:rsidRPr="00FE2B41">
        <w:rPr>
          <w:szCs w:val="18"/>
        </w:rPr>
        <w:t xml:space="preserve"> activity </w:t>
      </w:r>
      <w:r w:rsidR="002F2774" w:rsidRPr="00FE2B41">
        <w:rPr>
          <w:rFonts w:cs="Arial"/>
          <w:color w:val="000000"/>
          <w:szCs w:val="18"/>
        </w:rPr>
        <w:fldChar w:fldCharType="begin" w:fldLock="1"/>
      </w:r>
      <w:r w:rsidR="00243735" w:rsidRPr="00FE2B41">
        <w:rPr>
          <w:rFonts w:cs="Arial"/>
          <w:color w:val="000000"/>
          <w:szCs w:val="18"/>
        </w:rPr>
        <w:instrText>ADDIN CSL_CITATION {"citationItems":[{"id":"ITEM-1","itemData":{"DOI":"10.1021/jf950540t","ISSN":"00218561","abstract":"Three Origanum essential oils, Origanum vulgare ssp. hirtum, Origanum dictamnus, and a commercially available Origanum oil, were analyzed by gas chromatography-mass spectrometry (GC-MS) and showed a high content of carvacrol, thymol, γ-terpinene, and p-cymene representing 73.7%, 92.8%, and 87.78% of the total oil, respectively. The three essential oils exhibited high levels of antimicrobial activity against eight strains of Gram-positive and Gram-negative bacteria. Among the major components of the three oils, carvacrol and thymol exhibited the highest levels of antimicrobial activity, while their biosynthetic precursors γ-terpinene and p-cymene were inactive. The essential oil of O. vulgare ssp. hirtum was extremely bactericidal at 1/4000 dilution and even at dilutions as high as 1/50000 caused considerable decrease in bacterial growth rates. The same essential oil also exhibited high levels of cytotoxicity against four permanent animal cell lines including two derived from human cancers.","author":[{"dropping-particle":"","family":"Sivropoulou","given":"Afroditi","non-dropping-particle":"","parse-names":false,"suffix":""},{"dropping-particle":"","family":"Papanikolaou","given":"Eleni","non-dropping-particle":"","parse-names":false,"suffix":""},{"dropping-particle":"","family":"Nikolaou","given":"Constantina","non-dropping-particle":"","parse-names":false,"suffix":""},{"dropping-particle":"","family":"Kokkini","given":"Stella","non-dropping-particle":"","parse-names":false,"suffix":""},{"dropping-particle":"","family":"Lanaras","given":"Thomas","non-dropping-particle":"","parse-names":false,"suffix":""},{"dropping-particle":"","family":"Arsenakis","given":"Minas","non-dropping-particle":"","parse-names":false,"suffix":""}],"container-title":"Journal of Agricultural and Food Chemistry","id":"ITEM-1","issued":{"date-parts":[["1996"]]},"title":"Antimicrobial and cytotoxic activities of Origanum essential oils","type":"article-journal"},"uris":["http://www.mendeley.com/documents/?uuid=12a19e91-308a-40bc-b41b-84ae7cd4224b"]}],"mendeley":{"formattedCitation":"(Sivropoulou &lt;i&gt;et al.&lt;/i&gt;, 1996)","plainTextFormattedCitation":"(Sivropoulou et al., 1996)","previouslyFormattedCitation":"(Sivropoulou &lt;i&gt;et al.&lt;/i&gt;, 1996)"},"properties":{"noteIndex":0},"schema":"https://github.com/citation-style-language/schema/raw/master/csl-citation.json"}</w:instrText>
      </w:r>
      <w:r w:rsidR="002F2774" w:rsidRPr="00FE2B41">
        <w:rPr>
          <w:rFonts w:cs="Arial"/>
          <w:color w:val="000000"/>
          <w:szCs w:val="18"/>
        </w:rPr>
        <w:fldChar w:fldCharType="separate"/>
      </w:r>
      <w:r w:rsidR="00317B3A" w:rsidRPr="00FE2B41">
        <w:rPr>
          <w:rFonts w:cs="Arial"/>
          <w:noProof/>
          <w:color w:val="000000"/>
          <w:szCs w:val="18"/>
        </w:rPr>
        <w:t>(Sivropoulou et al., 1996)</w:t>
      </w:r>
      <w:r w:rsidR="002F2774" w:rsidRPr="00FE2B41">
        <w:rPr>
          <w:rFonts w:cs="Arial"/>
          <w:color w:val="000000"/>
          <w:szCs w:val="18"/>
        </w:rPr>
        <w:fldChar w:fldCharType="end"/>
      </w:r>
      <w:r w:rsidR="002F2774" w:rsidRPr="00FE2B41">
        <w:rPr>
          <w:szCs w:val="18"/>
        </w:rPr>
        <w:t xml:space="preserve">. </w:t>
      </w:r>
      <w:r w:rsidR="002F2774" w:rsidRPr="00FE2B41">
        <w:rPr>
          <w:rFonts w:cs="Arial"/>
          <w:szCs w:val="18"/>
          <w:shd w:val="clear" w:color="auto" w:fill="FFFFFF"/>
        </w:rPr>
        <w:t xml:space="preserve">Numerous in vitro and in vivo researches have </w:t>
      </w:r>
      <w:r w:rsidR="000E30A9" w:rsidRPr="00FE2B41">
        <w:rPr>
          <w:rFonts w:cs="Arial"/>
          <w:szCs w:val="18"/>
          <w:shd w:val="clear" w:color="auto" w:fill="FFFFFF"/>
        </w:rPr>
        <w:t xml:space="preserve">determined </w:t>
      </w:r>
      <w:r w:rsidR="002F2774" w:rsidRPr="00FE2B41">
        <w:rPr>
          <w:rFonts w:cs="Arial"/>
          <w:szCs w:val="18"/>
          <w:shd w:val="clear" w:color="auto" w:fill="FFFFFF"/>
        </w:rPr>
        <w:t>the antibacterial, antiviral and antifungal properties of EOs</w:t>
      </w:r>
      <w:r w:rsidRPr="00FE2B41">
        <w:rPr>
          <w:rFonts w:cs="Arial"/>
          <w:szCs w:val="18"/>
        </w:rPr>
        <w:t xml:space="preserve"> </w:t>
      </w:r>
      <w:r w:rsidR="002F2774" w:rsidRPr="00FE2B41">
        <w:rPr>
          <w:rFonts w:cs="Arial"/>
          <w:szCs w:val="18"/>
        </w:rPr>
        <w:fldChar w:fldCharType="begin" w:fldLock="1"/>
      </w:r>
      <w:r w:rsidR="00243735" w:rsidRPr="00FE2B41">
        <w:rPr>
          <w:rFonts w:cs="Arial"/>
          <w:szCs w:val="18"/>
        </w:rPr>
        <w:instrText>ADDIN CSL_CITATION {"citationItems":[{"id":"ITEM-1","itemData":{"DOI":"10.3390/molecules22060989","ISSN":"14203049","PMID":"28613267","abstract":"Essential oils of oregano are widely recognized for their antimicrobial activity, as well as their antiviral and antifungal properties. Nevertheless, recent investigations have demonstrated that these compounds are also potent antioxidant, anti-inflammatory, antidiabetic and cancer suppressor agents. These properties of oregano essential oils are of potential interest to the food, cosmetic and pharmaceutical industries. The aim of this manuscript is to review the latest evidence regarding essential oils of oregano and their beneficial effects on health.","author":[{"dropping-particle":"","family":"Leyva-López","given":"Nayely","non-dropping-particle":"","parse-names":false,"suffix":""},{"dropping-particle":"","family":"Gutiérrez-Grijalva","given":"Erick P.","non-dropping-particle":"","parse-names":false,"suffix":""},{"dropping-particle":"","family":"Vazquez-Olivo","given":"Gabriela","non-dropping-particle":"","parse-names":false,"suffix":""},{"dropping-particle":"","family":"Heredia","given":"J. Basilio","non-dropping-particle":"","parse-names":false,"suffix":""}],"container-title":"Molecules","id":"ITEM-1","issued":{"date-parts":[["2017"]]},"title":"Essential oils of oregano: Biological activity beyond their antimicrobial properties","type":"article"},"uris":["http://www.mendeley.com/documents/?uuid=51862a44-2ea5-4c6c-85cf-e13e28b399f7"]}],"mendeley":{"formattedCitation":"(Leyva-López &lt;i&gt;et al.&lt;/i&gt;, 2017)","plainTextFormattedCitation":"(Leyva-López et al., 2017)","previouslyFormattedCitation":"(Leyva-López &lt;i&gt;et al.&lt;/i&gt;, 2017)"},"properties":{"noteIndex":0},"schema":"https://github.com/citation-style-language/schema/raw/master/csl-citation.json"}</w:instrText>
      </w:r>
      <w:r w:rsidR="002F2774" w:rsidRPr="00FE2B41">
        <w:rPr>
          <w:rFonts w:cs="Arial"/>
          <w:szCs w:val="18"/>
        </w:rPr>
        <w:fldChar w:fldCharType="separate"/>
      </w:r>
      <w:r w:rsidR="00317B3A" w:rsidRPr="00FE2B41">
        <w:rPr>
          <w:rFonts w:cs="Arial"/>
          <w:noProof/>
          <w:szCs w:val="18"/>
        </w:rPr>
        <w:t>(Leyva-López et al., 2017)</w:t>
      </w:r>
      <w:r w:rsidR="002F2774" w:rsidRPr="00FE2B41">
        <w:rPr>
          <w:rFonts w:cs="Arial"/>
          <w:szCs w:val="18"/>
        </w:rPr>
        <w:fldChar w:fldCharType="end"/>
      </w:r>
      <w:r w:rsidR="002F2774" w:rsidRPr="00FE2B41">
        <w:rPr>
          <w:rFonts w:cs="Arial"/>
          <w:szCs w:val="18"/>
        </w:rPr>
        <w:t>.</w:t>
      </w:r>
      <w:r w:rsidR="002734BE" w:rsidRPr="00FE2B41">
        <w:rPr>
          <w:rFonts w:cs="Arial"/>
          <w:szCs w:val="18"/>
        </w:rPr>
        <w:t xml:space="preserve"> Among them, </w:t>
      </w:r>
      <w:r w:rsidR="00B84F74" w:rsidRPr="00FE2B41">
        <w:rPr>
          <w:rFonts w:cs="Arial"/>
          <w:iCs/>
          <w:color w:val="000000"/>
          <w:szCs w:val="18"/>
        </w:rPr>
        <w:t xml:space="preserve">oregano </w:t>
      </w:r>
      <w:r w:rsidR="00B84F74" w:rsidRPr="00FE2B41">
        <w:rPr>
          <w:rFonts w:cs="Arial"/>
          <w:color w:val="000000"/>
          <w:szCs w:val="18"/>
        </w:rPr>
        <w:t xml:space="preserve">essential oils (OEO) are the most studied </w:t>
      </w:r>
      <w:r w:rsidR="00FE2B41" w:rsidRPr="00E10D8C">
        <w:rPr>
          <w:rFonts w:cs="Arial"/>
          <w:color w:val="FF0000"/>
          <w:szCs w:val="18"/>
        </w:rPr>
        <w:fldChar w:fldCharType="begin" w:fldLock="1"/>
      </w:r>
      <w:r w:rsidR="00FE2B41" w:rsidRPr="00E10D8C">
        <w:rPr>
          <w:rFonts w:cs="Arial"/>
          <w:color w:val="FF0000"/>
          <w:szCs w:val="18"/>
        </w:rPr>
        <w:instrText>ADDIN CSL_CITATION {"citationItems":[{"id":"ITEM-1","itemData":{"DOI":"10.3390/molecules22060989","ISSN":"14203049","PMID":"28613267","abstract":"Essential oils of oregano are widely recognized for their antimicrobial activity, as well as their antiviral and antifungal properties. Nevertheless, recent investigations have demonstrated that these compounds are also potent antioxidant, anti-inflammatory, antidiabetic and cancer suppressor agents. These properties of oregano essential oils are of potential interest to the food, cosmetic and pharmaceutical industries. The aim of this manuscript is to review the latest evidence regarding essential oils of oregano and their beneficial effects on health.","author":[{"dropping-particle":"","family":"Leyva-López","given":"Nayely","non-dropping-particle":"","parse-names":false,"suffix":""},{"dropping-particle":"","family":"Gutiérrez-Grijalva","given":"Erick P.","non-dropping-particle":"","parse-names":false,"suffix":""},{"dropping-particle":"","family":"Vazquez-Olivo","given":"Gabriela","non-dropping-particle":"","parse-names":false,"suffix":""},{"dropping-particle":"","family":"Heredia","given":"J. Basilio","non-dropping-particle":"","parse-names":false,"suffix":""}],"container-title":"Molecules","id":"ITEM-1","issued":{"date-parts":[["2017"]]},"title":"Essential oils of oregano: Biological activity beyond their antimicrobial properties","type":"article"},"uris":["http://www.mendeley.com/documents/?uuid=51862a44-2ea5-4c6c-85cf-e13e28b399f7"]}],"mendeley":{"formattedCitation":"(Leyva-López &lt;i&gt;et al.&lt;/i&gt;, 2017)","plainTextFormattedCitation":"(Leyva-López et al., 2017)","previouslyFormattedCitation":"(Leyva-López &lt;i&gt;et al.&lt;/i&gt;, 2017)"},"properties":{"noteIndex":0},"schema":"https://github.com/citation-style-language/schema/raw/master/csl-citation.json"}</w:instrText>
      </w:r>
      <w:r w:rsidR="00FE2B41" w:rsidRPr="00E10D8C">
        <w:rPr>
          <w:rFonts w:cs="Arial"/>
          <w:color w:val="FF0000"/>
          <w:szCs w:val="18"/>
        </w:rPr>
        <w:fldChar w:fldCharType="separate"/>
      </w:r>
      <w:r w:rsidR="00FE2B41" w:rsidRPr="00E10D8C">
        <w:rPr>
          <w:rFonts w:cs="Arial"/>
          <w:noProof/>
          <w:color w:val="FF0000"/>
          <w:szCs w:val="18"/>
        </w:rPr>
        <w:t>(Leyva-López et al., 2017)</w:t>
      </w:r>
      <w:r w:rsidR="00FE2B41" w:rsidRPr="00E10D8C">
        <w:rPr>
          <w:rFonts w:cs="Arial"/>
          <w:color w:val="FF0000"/>
          <w:szCs w:val="18"/>
        </w:rPr>
        <w:fldChar w:fldCharType="end"/>
      </w:r>
      <w:r w:rsidR="00FE2B41" w:rsidRPr="00E10D8C">
        <w:rPr>
          <w:rFonts w:cs="Arial"/>
          <w:color w:val="FF0000"/>
          <w:szCs w:val="18"/>
        </w:rPr>
        <w:t xml:space="preserve"> </w:t>
      </w:r>
      <w:r w:rsidR="00B84F74" w:rsidRPr="00FE2B41">
        <w:rPr>
          <w:rFonts w:cs="Arial"/>
          <w:color w:val="000000"/>
          <w:szCs w:val="18"/>
        </w:rPr>
        <w:t xml:space="preserve">since they are reported to </w:t>
      </w:r>
      <w:r w:rsidR="007965A8" w:rsidRPr="00FE2B41">
        <w:rPr>
          <w:szCs w:val="18"/>
        </w:rPr>
        <w:t>manifest th</w:t>
      </w:r>
      <w:r w:rsidR="000A6BF4" w:rsidRPr="00FE2B41">
        <w:rPr>
          <w:szCs w:val="18"/>
        </w:rPr>
        <w:t xml:space="preserve">e broadest and highest activity </w:t>
      </w:r>
      <w:r w:rsidR="007965A8" w:rsidRPr="00FE2B41">
        <w:rPr>
          <w:szCs w:val="18"/>
        </w:rPr>
        <w:t xml:space="preserve">against </w:t>
      </w:r>
      <w:r w:rsidR="00B84F74" w:rsidRPr="00FE2B41">
        <w:rPr>
          <w:rFonts w:cs="Arial"/>
          <w:color w:val="000000"/>
          <w:szCs w:val="18"/>
        </w:rPr>
        <w:t xml:space="preserve">Gram-positive and Gram-negative bacteria, such as </w:t>
      </w:r>
      <w:r w:rsidR="00B84F74" w:rsidRPr="00FE2B41">
        <w:rPr>
          <w:rFonts w:cs="Arial"/>
          <w:szCs w:val="18"/>
        </w:rPr>
        <w:t>Staphylococcus aureus</w:t>
      </w:r>
      <w:r w:rsidR="007965A8" w:rsidRPr="00FE2B41">
        <w:rPr>
          <w:rFonts w:cs="Arial"/>
          <w:szCs w:val="18"/>
        </w:rPr>
        <w:t>,</w:t>
      </w:r>
      <w:r w:rsidR="00B84F74" w:rsidRPr="00FE2B41">
        <w:rPr>
          <w:rFonts w:cs="Arial"/>
          <w:szCs w:val="18"/>
        </w:rPr>
        <w:t xml:space="preserve"> Staphylococcus epidermidis</w:t>
      </w:r>
      <w:r w:rsidR="007965A8" w:rsidRPr="00FE2B41">
        <w:rPr>
          <w:rFonts w:cs="Arial"/>
          <w:szCs w:val="18"/>
        </w:rPr>
        <w:t xml:space="preserve">, </w:t>
      </w:r>
      <w:r w:rsidR="00B84F74" w:rsidRPr="00FE2B41">
        <w:rPr>
          <w:rFonts w:cs="Arial"/>
          <w:szCs w:val="18"/>
        </w:rPr>
        <w:t xml:space="preserve">Escherichia coli, Enterobacter cloacae, </w:t>
      </w:r>
      <w:proofErr w:type="spellStart"/>
      <w:r w:rsidR="00B84F74" w:rsidRPr="00FE2B41">
        <w:rPr>
          <w:rFonts w:cs="Arial"/>
          <w:szCs w:val="18"/>
        </w:rPr>
        <w:t>Klebsiella</w:t>
      </w:r>
      <w:proofErr w:type="spellEnd"/>
      <w:r w:rsidR="00B84F74" w:rsidRPr="00FE2B41">
        <w:rPr>
          <w:rFonts w:cs="Arial"/>
          <w:szCs w:val="18"/>
        </w:rPr>
        <w:t xml:space="preserve"> pneumoniae, Pseudomonas aeruginosa, </w:t>
      </w:r>
      <w:r w:rsidR="00B84F74" w:rsidRPr="00FE2B41">
        <w:rPr>
          <w:rStyle w:val="affa"/>
          <w:rFonts w:cs="Arial"/>
          <w:szCs w:val="18"/>
        </w:rPr>
        <w:t>Salmonella</w:t>
      </w:r>
      <w:r w:rsidR="007965A8" w:rsidRPr="00FE2B41">
        <w:rPr>
          <w:rFonts w:cs="Arial"/>
          <w:iCs/>
          <w:szCs w:val="18"/>
        </w:rPr>
        <w:t xml:space="preserve"> typhimurium, Rhizobium </w:t>
      </w:r>
      <w:proofErr w:type="spellStart"/>
      <w:r w:rsidR="007965A8" w:rsidRPr="00FE2B41">
        <w:rPr>
          <w:rFonts w:cs="Arial"/>
          <w:iCs/>
          <w:szCs w:val="18"/>
        </w:rPr>
        <w:t>leguminosarum</w:t>
      </w:r>
      <w:proofErr w:type="spellEnd"/>
      <w:r w:rsidR="007965A8" w:rsidRPr="00FE2B41">
        <w:rPr>
          <w:rFonts w:cs="Arial"/>
          <w:szCs w:val="18"/>
        </w:rPr>
        <w:t> and </w:t>
      </w:r>
      <w:r w:rsidR="007965A8" w:rsidRPr="00FE2B41">
        <w:rPr>
          <w:rFonts w:cs="Arial"/>
          <w:iCs/>
          <w:szCs w:val="18"/>
        </w:rPr>
        <w:t>Bacillus subtilis</w:t>
      </w:r>
      <w:r w:rsidR="007965A8" w:rsidRPr="00FE2B41">
        <w:rPr>
          <w:rFonts w:cs="Arial"/>
          <w:szCs w:val="18"/>
        </w:rPr>
        <w:t xml:space="preserve"> </w:t>
      </w:r>
      <w:r w:rsidR="007965A8" w:rsidRPr="00E10D8C">
        <w:rPr>
          <w:rFonts w:cs="Arial"/>
          <w:color w:val="FF0000"/>
          <w:szCs w:val="18"/>
        </w:rPr>
        <w:fldChar w:fldCharType="begin" w:fldLock="1"/>
      </w:r>
      <w:r w:rsidR="00B45265" w:rsidRPr="00E10D8C">
        <w:rPr>
          <w:rFonts w:cs="Arial"/>
          <w:color w:val="FF0000"/>
          <w:szCs w:val="18"/>
        </w:rPr>
        <w:instrText>ADDIN CSL_CITATION {"citationItems":[{"id":"ITEM-1","itemData":{"DOI":"10.1021/jf950540t","ISSN":"00218561","abstract":"Three Origanum essential oils, Origanum vulgare ssp. hirtum, Origanum dictamnus, and a commercially available Origanum oil, were analyzed by gas chromatography-mass spectrometry (GC-MS) and showed a high content of carvacrol, thymol, γ-terpinene, and p-cymene representing 73.7%, 92.8%, and 87.78% of the total oil, respectively. The three essential oils exhibited high levels of antimicrobial activity against eight strains of Gram-positive and Gram-negative bacteria. Among the major components of the three oils, carvacrol and thymol exhibited the highest levels of antimicrobial activity, while their biosynthetic precursors γ-terpinene and p-cymene were inactive. The essential oil of O. vulgare ssp. hirtum was extremely bactericidal at 1/4000 dilution and even at dilutions as high as 1/50000 caused considerable decrease in bacterial growth rates. The same essential oil also exhibited high levels of cytotoxicity against four permanent animal cell lines including two derived from human cancers.","author":[{"dropping-particle":"","family":"Sivropoulou","given":"Afroditi","non-dropping-particle":"","parse-names":false,"suffix":""},{"dropping-particle":"","family":"Papanikolaou","given":"Eleni","non-dropping-particle":"","parse-names":false,"suffix":""},{"dropping-particle":"","family":"Nikolaou","given":"Constantina","non-dropping-particle":"","parse-names":false,"suffix":""},{"dropping-particle":"","family":"Kokkini","given":"Stella","non-dropping-particle":"","parse-names":false,"suffix":""},{"dropping-particle":"","family":"Lanaras","given":"Thomas","non-dropping-particle":"","parse-names":false,"suffix":""},{"dropping-particle":"","family":"Arsenakis","given":"Minas","non-dropping-particle":"","parse-names":false,"suffix":""}],"container-title":"Journal of Agricultural and Food Chemistry","id":"ITEM-1","issued":{"date-parts":[["1996"]]},"title":"Antimicrobial and cytotoxic activities of Origanum essential oils","type":"article-journal"},"uris":["http://www.mendeley.com/documents/?uuid=12a19e91-308a-40bc-b41b-84ae7cd4224b"]}],"mendeley":{"formattedCitation":"(Sivropoulou &lt;i&gt;et al.&lt;/i&gt;, 1996)","plainTextFormattedCitation":"(Sivropoulou et al., 1996)","previouslyFormattedCitation":"(Sivropoulou &lt;i&gt;et al.&lt;/i&gt;, 1996)"},"properties":{"noteIndex":0},"schema":"https://github.com/citation-style-language/schema/raw/master/csl-citation.json"}</w:instrText>
      </w:r>
      <w:r w:rsidR="007965A8" w:rsidRPr="00E10D8C">
        <w:rPr>
          <w:rFonts w:cs="Arial"/>
          <w:color w:val="FF0000"/>
          <w:szCs w:val="18"/>
        </w:rPr>
        <w:fldChar w:fldCharType="separate"/>
      </w:r>
      <w:r w:rsidR="00FE2B41" w:rsidRPr="00E10D8C">
        <w:rPr>
          <w:rFonts w:cs="Arial"/>
          <w:noProof/>
          <w:color w:val="FF0000"/>
          <w:szCs w:val="18"/>
        </w:rPr>
        <w:t>(Sivropoulou et al., 1996)</w:t>
      </w:r>
      <w:r w:rsidR="007965A8" w:rsidRPr="00E10D8C">
        <w:rPr>
          <w:rFonts w:cs="Arial"/>
          <w:color w:val="FF0000"/>
          <w:szCs w:val="18"/>
        </w:rPr>
        <w:fldChar w:fldCharType="end"/>
      </w:r>
      <w:r w:rsidR="007965A8" w:rsidRPr="00E10D8C">
        <w:rPr>
          <w:rFonts w:cs="Arial"/>
          <w:color w:val="FF0000"/>
          <w:szCs w:val="18"/>
        </w:rPr>
        <w:t>, as</w:t>
      </w:r>
      <w:r w:rsidR="007965A8" w:rsidRPr="00FE2B41">
        <w:rPr>
          <w:rFonts w:cs="Arial"/>
          <w:szCs w:val="18"/>
        </w:rPr>
        <w:t xml:space="preserve"> well as </w:t>
      </w:r>
      <w:r w:rsidR="00B84F74" w:rsidRPr="00FE2B41">
        <w:rPr>
          <w:szCs w:val="18"/>
        </w:rPr>
        <w:t xml:space="preserve">against the pathogenic fungi Candida </w:t>
      </w:r>
      <w:proofErr w:type="spellStart"/>
      <w:r w:rsidR="00B84F74" w:rsidRPr="00FE2B41">
        <w:rPr>
          <w:szCs w:val="18"/>
        </w:rPr>
        <w:t>albicans</w:t>
      </w:r>
      <w:proofErr w:type="spellEnd"/>
      <w:r w:rsidR="00B84F74" w:rsidRPr="00FE2B41">
        <w:rPr>
          <w:szCs w:val="18"/>
        </w:rPr>
        <w:t xml:space="preserve">, Candida </w:t>
      </w:r>
      <w:proofErr w:type="spellStart"/>
      <w:r w:rsidR="00B84F74" w:rsidRPr="00FE2B41">
        <w:rPr>
          <w:szCs w:val="18"/>
        </w:rPr>
        <w:t>tropicalis</w:t>
      </w:r>
      <w:proofErr w:type="spellEnd"/>
      <w:r w:rsidR="00B84F74" w:rsidRPr="00FE2B41">
        <w:rPr>
          <w:szCs w:val="18"/>
        </w:rPr>
        <w:t xml:space="preserve">, and </w:t>
      </w:r>
      <w:proofErr w:type="spellStart"/>
      <w:r w:rsidR="00B84F74" w:rsidRPr="00FE2B41">
        <w:rPr>
          <w:szCs w:val="18"/>
        </w:rPr>
        <w:t>Torulopsis</w:t>
      </w:r>
      <w:proofErr w:type="spellEnd"/>
      <w:r w:rsidR="00B84F74" w:rsidRPr="00FE2B41">
        <w:rPr>
          <w:szCs w:val="18"/>
        </w:rPr>
        <w:t xml:space="preserve"> </w:t>
      </w:r>
      <w:proofErr w:type="spellStart"/>
      <w:r w:rsidR="00B84F74" w:rsidRPr="00FE2B41">
        <w:rPr>
          <w:szCs w:val="18"/>
        </w:rPr>
        <w:t>glabrata</w:t>
      </w:r>
      <w:proofErr w:type="spellEnd"/>
      <w:r w:rsidR="00B84F74" w:rsidRPr="00FE2B41">
        <w:rPr>
          <w:szCs w:val="18"/>
        </w:rPr>
        <w:t xml:space="preserve"> </w:t>
      </w:r>
      <w:r w:rsidR="007965A8" w:rsidRPr="00FE2B41">
        <w:rPr>
          <w:szCs w:val="18"/>
        </w:rPr>
        <w:fldChar w:fldCharType="begin" w:fldLock="1"/>
      </w:r>
      <w:r w:rsidR="00243735" w:rsidRPr="00FE2B41">
        <w:rPr>
          <w:szCs w:val="18"/>
        </w:rPr>
        <w:instrText>ADDIN CSL_CITATION {"citationItems":[{"id":"ITEM-1","itemData":{"DOI":"10.1021/jf001494m","ISSN":"00218561","PMID":"11559104","abstract":"The essential oils obtained from the aerial parts of Origanum scabrum and Origaum microphyllum, both endemic species in Greece, were analyzed by means of GC and GC-MS. Forty-eight constituents were identified, representing 98.59 and 98.66% of the oils, respectively. Carvacrol, terpinen-4-ol, linalool, sabinene, α-terpinene, and γ-terpinene were found as the major components. Furthermore, both samples exhibited a very interesting antimicrobial profile after they were tested against six Gram-negative and -positive bacteria and three pathogenic fungi.","author":[{"dropping-particle":"","family":"Aligiannis","given":"N.","non-dropping-particle":"","parse-names":false,"suffix":""},{"dropping-particle":"","family":"Kalpoutzakis","given":"E.","non-dropping-particle":"","parse-names":false,"suffix":""},{"dropping-particle":"","family":"Mitaku","given":"Sofia","non-dropping-particle":"","parse-names":false,"suffix":""},{"dropping-particle":"","family":"Chinou","given":"Ioanna B.","non-dropping-particle":"","parse-names":false,"suffix":""}],"container-title":"Journal of Agricultural and Food Chemistry","id":"ITEM-1","issued":{"date-parts":[["2001"]]},"title":"Composition and antimicrobial activity of the essential oils of two Origanum species","type":"article-journal"},"uris":["http://www.mendeley.com/documents/?uuid=2288f8ce-7fc8-461e-93d4-aa16ebc9f89e"]}],"mendeley":{"formattedCitation":"(Aligiannis &lt;i&gt;et al.&lt;/i&gt;, 2001)","plainTextFormattedCitation":"(Aligiannis et al., 2001)","previouslyFormattedCitation":"(Aligiannis &lt;i&gt;et al.&lt;/i&gt;, 2001)"},"properties":{"noteIndex":0},"schema":"https://github.com/citation-style-language/schema/raw/master/csl-citation.json"}</w:instrText>
      </w:r>
      <w:r w:rsidR="007965A8" w:rsidRPr="00FE2B41">
        <w:rPr>
          <w:szCs w:val="18"/>
        </w:rPr>
        <w:fldChar w:fldCharType="separate"/>
      </w:r>
      <w:r w:rsidR="00317B3A" w:rsidRPr="00FE2B41">
        <w:rPr>
          <w:noProof/>
          <w:szCs w:val="18"/>
        </w:rPr>
        <w:t>(Aligiannis et al., 2001)</w:t>
      </w:r>
      <w:r w:rsidR="007965A8" w:rsidRPr="00FE2B41">
        <w:rPr>
          <w:szCs w:val="18"/>
        </w:rPr>
        <w:fldChar w:fldCharType="end"/>
      </w:r>
      <w:r w:rsidR="007965A8" w:rsidRPr="00FE2B41">
        <w:rPr>
          <w:szCs w:val="18"/>
        </w:rPr>
        <w:t xml:space="preserve">. The </w:t>
      </w:r>
      <w:r w:rsidR="00FD370D" w:rsidRPr="00FE2B41">
        <w:rPr>
          <w:szCs w:val="18"/>
        </w:rPr>
        <w:t xml:space="preserve">strong </w:t>
      </w:r>
      <w:r w:rsidR="007965A8" w:rsidRPr="00FE2B41">
        <w:rPr>
          <w:szCs w:val="18"/>
        </w:rPr>
        <w:t xml:space="preserve">activity of </w:t>
      </w:r>
      <w:r w:rsidR="00FD370D" w:rsidRPr="00FE2B41">
        <w:rPr>
          <w:szCs w:val="18"/>
        </w:rPr>
        <w:t xml:space="preserve">OEO </w:t>
      </w:r>
      <w:r w:rsidR="00F0486E" w:rsidRPr="00FE2B41">
        <w:rPr>
          <w:szCs w:val="18"/>
        </w:rPr>
        <w:t xml:space="preserve">can be attributed </w:t>
      </w:r>
      <w:r w:rsidR="007965A8" w:rsidRPr="00FE2B41">
        <w:rPr>
          <w:szCs w:val="18"/>
        </w:rPr>
        <w:t xml:space="preserve">to the existence </w:t>
      </w:r>
      <w:r w:rsidR="00FD370D" w:rsidRPr="00FE2B41">
        <w:rPr>
          <w:szCs w:val="18"/>
        </w:rPr>
        <w:t xml:space="preserve">of phenolic compounds, and mainly </w:t>
      </w:r>
      <w:proofErr w:type="spellStart"/>
      <w:r w:rsidR="00FD370D" w:rsidRPr="00FE2B41">
        <w:rPr>
          <w:szCs w:val="18"/>
        </w:rPr>
        <w:t>carvacrol</w:t>
      </w:r>
      <w:proofErr w:type="spellEnd"/>
      <w:r w:rsidR="00FD370D" w:rsidRPr="00FE2B41">
        <w:rPr>
          <w:szCs w:val="18"/>
        </w:rPr>
        <w:t xml:space="preserve"> and thymol, which are </w:t>
      </w:r>
      <w:r w:rsidR="00F0486E" w:rsidRPr="00FE2B41">
        <w:rPr>
          <w:szCs w:val="18"/>
        </w:rPr>
        <w:t xml:space="preserve">its </w:t>
      </w:r>
      <w:r w:rsidR="00FD370D" w:rsidRPr="00FE2B41">
        <w:rPr>
          <w:szCs w:val="18"/>
        </w:rPr>
        <w:t>major constituents at an approximate percentage of 50</w:t>
      </w:r>
      <w:r w:rsidR="00006014" w:rsidRPr="00FE2B41">
        <w:rPr>
          <w:szCs w:val="18"/>
        </w:rPr>
        <w:t xml:space="preserve"> </w:t>
      </w:r>
      <w:r w:rsidR="00FD370D" w:rsidRPr="00FE2B41">
        <w:rPr>
          <w:szCs w:val="18"/>
        </w:rPr>
        <w:t xml:space="preserve">% </w:t>
      </w:r>
      <w:r w:rsidR="00FD370D" w:rsidRPr="00FE2B41">
        <w:rPr>
          <w:szCs w:val="18"/>
        </w:rPr>
        <w:fldChar w:fldCharType="begin" w:fldLock="1"/>
      </w:r>
      <w:r w:rsidR="00243735" w:rsidRPr="00FE2B41">
        <w:rPr>
          <w:szCs w:val="18"/>
        </w:rPr>
        <w:instrText>ADDIN CSL_CITATION {"citationItems":[{"id":"ITEM-1","itemData":{"DOI":"10.1021/jf001494m","ISSN":"00218561","PMID":"11559104","abstract":"The essential oils obtained from the aerial parts of Origanum scabrum and Origaum microphyllum, both endemic species in Greece, were analyzed by means of GC and GC-MS. Forty-eight constituents were identified, representing 98.59 and 98.66% of the oils, respectively. Carvacrol, terpinen-4-ol, linalool, sabinene, α-terpinene, and γ-terpinene were found as the major components. Furthermore, both samples exhibited a very interesting antimicrobial profile after they were tested against six Gram-negative and -positive bacteria and three pathogenic fungi.","author":[{"dropping-particle":"","family":"Aligiannis","given":"N.","non-dropping-particle":"","parse-names":false,"suffix":""},{"dropping-particle":"","family":"Kalpoutzakis","given":"E.","non-dropping-particle":"","parse-names":false,"suffix":""},{"dropping-particle":"","family":"Mitaku","given":"Sofia","non-dropping-particle":"","parse-names":false,"suffix":""},{"dropping-particle":"","family":"Chinou","given":"Ioanna B.","non-dropping-particle":"","parse-names":false,"suffix":""}],"container-title":"Journal of Agricultural and Food Chemistry","id":"ITEM-1","issued":{"date-parts":[["2001"]]},"title":"Composition and antimicrobial activity of the essential oils of two Origanum species","type":"article-journal"},"uris":["http://www.mendeley.com/documents/?uuid=2288f8ce-7fc8-461e-93d4-aa16ebc9f89e"]}],"mendeley":{"formattedCitation":"(Aligiannis &lt;i&gt;et al.&lt;/i&gt;, 2001)","plainTextFormattedCitation":"(Aligiannis et al., 2001)","previouslyFormattedCitation":"(Aligiannis &lt;i&gt;et al.&lt;/i&gt;, 2001)"},"properties":{"noteIndex":0},"schema":"https://github.com/citation-style-language/schema/raw/master/csl-citation.json"}</w:instrText>
      </w:r>
      <w:r w:rsidR="00FD370D" w:rsidRPr="00FE2B41">
        <w:rPr>
          <w:szCs w:val="18"/>
        </w:rPr>
        <w:fldChar w:fldCharType="separate"/>
      </w:r>
      <w:r w:rsidR="00317B3A" w:rsidRPr="00FE2B41">
        <w:rPr>
          <w:noProof/>
          <w:szCs w:val="18"/>
        </w:rPr>
        <w:t>(Aligiannis et al., 2001)</w:t>
      </w:r>
      <w:r w:rsidR="00FD370D" w:rsidRPr="00FE2B41">
        <w:rPr>
          <w:szCs w:val="18"/>
        </w:rPr>
        <w:fldChar w:fldCharType="end"/>
      </w:r>
      <w:r w:rsidR="00B72495" w:rsidRPr="00FE2B41">
        <w:rPr>
          <w:szCs w:val="18"/>
        </w:rPr>
        <w:t>.</w:t>
      </w:r>
    </w:p>
    <w:p w14:paraId="19562884" w14:textId="226C652A" w:rsidR="00D90221" w:rsidRDefault="000A6BF4" w:rsidP="00D90221">
      <w:pPr>
        <w:pStyle w:val="aff8"/>
        <w:tabs>
          <w:tab w:val="clear" w:pos="7100"/>
        </w:tabs>
        <w:spacing w:after="200" w:line="276" w:lineRule="auto"/>
        <w:ind w:left="0"/>
      </w:pPr>
      <w:r w:rsidRPr="0050684D">
        <w:rPr>
          <w:szCs w:val="18"/>
        </w:rPr>
        <w:t xml:space="preserve">In </w:t>
      </w:r>
      <w:r w:rsidRPr="00B45265">
        <w:rPr>
          <w:szCs w:val="18"/>
        </w:rPr>
        <w:t xml:space="preserve">general, </w:t>
      </w:r>
      <w:r w:rsidR="0050684D" w:rsidRPr="00B45265">
        <w:rPr>
          <w:szCs w:val="18"/>
        </w:rPr>
        <w:t>phenolic compounds are often linked to antimicrobial effects and are related to interactions with the cell membrane of microbes</w:t>
      </w:r>
      <w:r w:rsidR="00E25823" w:rsidRPr="00B45265">
        <w:rPr>
          <w:szCs w:val="18"/>
        </w:rPr>
        <w:t>.</w:t>
      </w:r>
      <w:r w:rsidR="0050684D" w:rsidRPr="00B45265">
        <w:rPr>
          <w:szCs w:val="18"/>
        </w:rPr>
        <w:t xml:space="preserve"> </w:t>
      </w:r>
      <w:r w:rsidR="00E25823" w:rsidRPr="00B45265">
        <w:rPr>
          <w:szCs w:val="18"/>
        </w:rPr>
        <w:t xml:space="preserve">Flavonoids are one of the largest class of polyphenolic secondary metabolites and they are synthesized by plants in response to microbial infection </w:t>
      </w:r>
      <w:r w:rsidR="00E25823" w:rsidRPr="00B45265">
        <w:rPr>
          <w:szCs w:val="18"/>
        </w:rPr>
        <w:fldChar w:fldCharType="begin" w:fldLock="1"/>
      </w:r>
      <w:r w:rsidR="00FE2B41" w:rsidRPr="00B45265">
        <w:rPr>
          <w:szCs w:val="18"/>
        </w:rPr>
        <w:instrText>ADDIN CSL_CITATION {"citationItems":[{"id":"ITEM-1","itemData":{"DOI":"10.1007/s11101-018-9591-z","ISSN":"1572980X","abstract":"Flavonoids are one of the largest classes of small molecular secondary metabolites produced in different parts of the plant. They display a wide range of pharmacological and beneficial health effects for humans, which include, among others, antioxidative activity, free radical scavenging capacity, coronary heart disease prevention and antiatherosclerotic, hepatoprotective, anti-inflammatory, and anticancer activities. Hence, flavonoids are gaining high attention from the pharmaceutical and healthcare industries. Notably, plants synthesize flavonoids in response to microbial infection, and these compounds have been found to be a potent antimicrobial agent against a wide range of pathogenic microorganisms in vitro. Antimicrobial action of flavonoids results from their various biological activities, which may not seem very specific at first. There are, however, promising antibacterial flavonoids that are able not only to selectively target bacterial cells, but also to inhibit virulence factors, as well as other forms of microbial threats, e.g. biofilm formation. Moreover, some plant flavonoids manifest ability to reverse the antibiotic resistance and enhance action of the current antibiotic drugs. Hence, the development and application of flavonoid-based drugs could be a promising approach for antibiotic-resistant infections. This review aims to improve our understanding of the biological and molecular roles of plant flavonoids, focusing mostly on their antimicrobial activities.","author":[{"dropping-particle":"","family":"Górniak","given":"Ireneusz","non-dropping-particle":"","parse-names":false,"suffix":""},{"dropping-particle":"","family":"Bartoszewski","given":"Rafał","non-dropping-particle":"","parse-names":false,"suffix":""},{"dropping-particle":"","family":"Króliczewski","given":"Jarosław","non-dropping-particle":"","parse-names":false,"suffix":""}],"container-title":"Phytochemistry Reviews","id":"ITEM-1","issued":{"date-parts":[["2019"]]},"title":"Comprehensive review of antimicrobial activities of plant flavonoids","type":"article"},"uris":["http://www.mendeley.com/documents/?uuid=320fa133-7179-4e92-ba11-448d4e8e8ca6"]}],"mendeley":{"formattedCitation":"(Górniak, Bartoszewski and Króliczewski, 2019)","manualFormatting":"(Górniaket al., 2019)","plainTextFormattedCitation":"(Górniak, Bartoszewski and Króliczewski, 2019)","previouslyFormattedCitation":"(Górniak, Bartoszewski and Króliczewski, 2019)"},"properties":{"noteIndex":0},"schema":"https://github.com/citation-style-language/schema/raw/master/csl-citation.json"}</w:instrText>
      </w:r>
      <w:r w:rsidR="00E25823" w:rsidRPr="00B45265">
        <w:rPr>
          <w:szCs w:val="18"/>
        </w:rPr>
        <w:fldChar w:fldCharType="separate"/>
      </w:r>
      <w:r w:rsidR="00FE2B41" w:rsidRPr="00B45265">
        <w:rPr>
          <w:noProof/>
          <w:szCs w:val="18"/>
        </w:rPr>
        <w:t>(Górniaket al.</w:t>
      </w:r>
      <w:r w:rsidR="00317B3A" w:rsidRPr="00B45265">
        <w:rPr>
          <w:noProof/>
          <w:szCs w:val="18"/>
        </w:rPr>
        <w:t>, 2019)</w:t>
      </w:r>
      <w:r w:rsidR="00E25823" w:rsidRPr="00B45265">
        <w:rPr>
          <w:szCs w:val="18"/>
        </w:rPr>
        <w:fldChar w:fldCharType="end"/>
      </w:r>
      <w:r w:rsidR="00E25823" w:rsidRPr="00B45265">
        <w:rPr>
          <w:szCs w:val="18"/>
        </w:rPr>
        <w:t xml:space="preserve">. Especially citrus flavonoids have been found to be an antiviral and antimicrobial agent against a wide range of pathogenic microorganisms </w:t>
      </w:r>
      <w:r w:rsidR="00E25823" w:rsidRPr="00B45265">
        <w:rPr>
          <w:szCs w:val="18"/>
        </w:rPr>
        <w:fldChar w:fldCharType="begin" w:fldLock="1"/>
      </w:r>
      <w:r w:rsidR="00E10D8C">
        <w:rPr>
          <w:szCs w:val="18"/>
        </w:rPr>
        <w:instrText>ADDIN CSL_CITATION {"citationItems":[{"id":"ITEM-1","itemData":{"DOI":"10.1016/j.foodchem.2006.11.054","ISSN":"03088146","abstract":"Epidemiological studies have shown an inverse relationship between dietary flavonoid intakes and cardiovascular diseases. Citrus fruits are the main winter fruits consumed in the Mediterranean diet, so they are the main source of dietary flavonoids. The possible beneficial effects are due, not only to the high amounts of vitamins and minerals, but also to the antioxidant properties of their flavonoids. Dietary flavonoids may help to supplement the body antioxidant defences against free radicals. These compounds' possible beneficial effects are due to their antioxidant activity, which is related to the development of atherosclerosis and cancer, and to anti-inflammatory and antimicrobial activity. The present review summarizes the existing bibliography on biological and pharmacological studies of Citrus flavonoids, both in vitro and in vivo. © 2006 Elsevier Ltd. All rights reserved.","author":[{"dropping-particle":"","family":"Tripoli","given":"Elisa","non-dropping-particle":"","parse-names":false,"suffix":""},{"dropping-particle":"La","family":"Guardia","given":"Maurizio","non-dropping-particle":"","parse-names":false,"suffix":""},{"dropping-particle":"","family":"Giammanco","given":"Santo","non-dropping-particle":"","parse-names":false,"suffix":""},{"dropping-particle":"Di","family":"Majo","given":"Danila","non-dropping-particle":"","parse-names":false,"suffix":""},{"dropping-particle":"","family":"Giammanco","given":"Marco","non-dropping-particle":"","parse-names":false,"suffix":""}],"container-title":"Food Chemistry","id":"ITEM-1","issued":{"date-parts":[["2007"]]},"title":"Citrus flavonoids: Molecular structure, biological activity and nutritional properties: A review","type":"article-journal"},"uris":["http://www.mendeley.com/documents/?uuid=e09c3519-38f1-4bde-b8af-9e501aee8f9a"]}],"mendeley":{"formattedCitation":"(Tripoli &lt;i&gt;et al.&lt;/i&gt;, 2007)","plainTextFormattedCitation":"(Tripoli et al., 2007)","previouslyFormattedCitation":"(Tripoli &lt;i&gt;et al.&lt;/i&gt;, 2007)"},"properties":{"noteIndex":0},"schema":"https://github.com/citation-style-language/schema/raw/master/csl-citation.json"}</w:instrText>
      </w:r>
      <w:r w:rsidR="00E25823" w:rsidRPr="00B45265">
        <w:rPr>
          <w:szCs w:val="18"/>
        </w:rPr>
        <w:fldChar w:fldCharType="separate"/>
      </w:r>
      <w:r w:rsidR="00B45265" w:rsidRPr="00B45265">
        <w:rPr>
          <w:noProof/>
          <w:szCs w:val="18"/>
        </w:rPr>
        <w:t>(Tripoli et al., 2007)</w:t>
      </w:r>
      <w:r w:rsidR="00E25823" w:rsidRPr="00B45265">
        <w:rPr>
          <w:szCs w:val="18"/>
        </w:rPr>
        <w:fldChar w:fldCharType="end"/>
      </w:r>
      <w:r w:rsidR="00E25823" w:rsidRPr="00B45265">
        <w:rPr>
          <w:szCs w:val="18"/>
        </w:rPr>
        <w:t>.</w:t>
      </w:r>
      <w:r w:rsidR="003A48B0" w:rsidRPr="00B45265">
        <w:rPr>
          <w:szCs w:val="18"/>
        </w:rPr>
        <w:t>Thanks</w:t>
      </w:r>
      <w:r w:rsidR="003A48B0">
        <w:rPr>
          <w:szCs w:val="18"/>
        </w:rPr>
        <w:t xml:space="preserve"> to these properties,</w:t>
      </w:r>
      <w:r w:rsidR="003A48B0">
        <w:rPr>
          <w:rFonts w:ascii="Segoe UI" w:eastAsiaTheme="minorHAnsi" w:hAnsi="Segoe UI" w:cs="Segoe UI"/>
          <w:color w:val="212121"/>
          <w:sz w:val="22"/>
          <w:szCs w:val="22"/>
          <w:shd w:val="clear" w:color="auto" w:fill="FFFFFF"/>
        </w:rPr>
        <w:t xml:space="preserve"> </w:t>
      </w:r>
      <w:r w:rsidR="003A48B0" w:rsidRPr="003A48B0">
        <w:rPr>
          <w:szCs w:val="18"/>
        </w:rPr>
        <w:t>a natural, organic extract</w:t>
      </w:r>
      <w:r w:rsidR="003A48B0">
        <w:rPr>
          <w:szCs w:val="18"/>
        </w:rPr>
        <w:t xml:space="preserve"> </w:t>
      </w:r>
      <w:r w:rsidR="003A48B0" w:rsidRPr="00983419">
        <w:t>of citrus bioflavonoids (</w:t>
      </w:r>
      <w:proofErr w:type="spellStart"/>
      <w:r w:rsidR="003A48B0" w:rsidRPr="00983419">
        <w:t>flavomix</w:t>
      </w:r>
      <w:proofErr w:type="spellEnd"/>
      <w:r w:rsidR="003A48B0" w:rsidRPr="00983419">
        <w:t>)</w:t>
      </w:r>
      <w:r w:rsidR="003A48B0">
        <w:t xml:space="preserve"> was used in our study</w:t>
      </w:r>
      <w:r w:rsidR="00D90221">
        <w:t xml:space="preserve"> in order to study its contribution to the elimination of microbes contained in medical waste.</w:t>
      </w:r>
    </w:p>
    <w:p w14:paraId="6F129941" w14:textId="5B4433F5" w:rsidR="00B34984" w:rsidRPr="00B45265" w:rsidRDefault="00D90221" w:rsidP="00916ECF">
      <w:pPr>
        <w:pStyle w:val="aff8"/>
        <w:tabs>
          <w:tab w:val="clear" w:pos="7100"/>
        </w:tabs>
        <w:spacing w:after="200" w:line="276" w:lineRule="auto"/>
        <w:ind w:left="0"/>
      </w:pPr>
      <w:r w:rsidRPr="00B45265">
        <w:t xml:space="preserve">Nevertheless, the direct application of essential oils </w:t>
      </w:r>
      <w:r w:rsidR="00B34984" w:rsidRPr="00B45265">
        <w:t xml:space="preserve">and extracts for the purpose of the study </w:t>
      </w:r>
      <w:r w:rsidRPr="00B45265">
        <w:t>is not effective since</w:t>
      </w:r>
      <w:r w:rsidR="00B34984" w:rsidRPr="00B45265">
        <w:t xml:space="preserve"> they are </w:t>
      </w:r>
      <w:proofErr w:type="spellStart"/>
      <w:r w:rsidR="00B34984" w:rsidRPr="00B45265">
        <w:t>thermolabile</w:t>
      </w:r>
      <w:proofErr w:type="spellEnd"/>
      <w:r w:rsidR="00B34984" w:rsidRPr="00B45265">
        <w:t xml:space="preserve"> and highly volatile, which </w:t>
      </w:r>
      <w:r w:rsidRPr="00B45265">
        <w:t xml:space="preserve">leads to rapid degradation of their active substances and, hence, to low persistence of their antimicrobial effects. </w:t>
      </w:r>
      <w:r w:rsidR="00EB6EFA" w:rsidRPr="00B45265">
        <w:t xml:space="preserve">A method that is capable of protecting essential oils from volatile losses and of offering a controlled and continuous release of their active substances, is encapsulation </w:t>
      </w:r>
      <w:r w:rsidR="00EB6EFA" w:rsidRPr="00B45265">
        <w:fldChar w:fldCharType="begin" w:fldLock="1"/>
      </w:r>
      <w:r w:rsidR="00243735" w:rsidRPr="00B45265">
        <w:instrText>ADDIN CSL_CITATION {"citationItems":[{"id":"ITEM-1","itemData":{"DOI":"10.1007/s10924-020-01760-5","ISSN":"15728919","abstract":"In recent years, there is an increasing demand for replacing hazardous agrochemicals in intensive farming systems with natural pesticides, such as essential oils. Essential oils are sources of antimicrobial compounds and have the potential to combat weeds, pathogens and insects. Their use in greenhouse cultures seems promising, but their action is very rapid due to their high volatility. The aim of the current study was the encapsulation of essential oils into biopolymers for enhancing their efficiency and controlling their release. The essential oil of Rosemarinus officinalis (rosemary) (REO) was encapsulated in zein and polylactic acid (PLA) using electrohydrodynamic processing (EHD) and extrusion. The effect of various process parameters was evaluated through scanning electron microscopy (SEM), differential scanning calorimetry (DSC) and Attenuated Total Reflectance FT-IR Spectroscopy (ATR-FTIR). Ultraviolet–visible spectroscopy (UV–VIS) determined the encapsulation efficiency. The stability and release of encapsulated compounds was also tested during their storage in controlled conditions. The examined encapsulation parameters affected in different ways the morphology and properties of the structures. Encapsulation efficiency was in the range of 70–90% with EHD presenting the highest values. ATR-FTIR analysis confirmed the presence of REO in the structures. The produced structures offer great potential to be incorporated in greenhouse films to replace agrochemicals.","author":[{"dropping-particle":"","family":"Stramarkou","given":"Marina","non-dropping-particle":"","parse-names":false,"suffix":""},{"dropping-particle":"","family":"Oikonomopoulou","given":"Vasiliki","non-dropping-particle":"","parse-names":false,"suffix":""},{"dropping-particle":"","family":"Missirli","given":"Theodora","non-dropping-particle":"","parse-names":false,"suffix":""},{"dropping-particle":"","family":"Thanassoulia","given":"Ioanna","non-dropping-particle":"","parse-names":false,"suffix":""},{"dropping-particle":"","family":"Krokida","given":"Magdalini","non-dropping-particle":"","parse-names":false,"suffix":""}],"container-title":"Journal of Polymers and the Environment","id":"ITEM-1","issued":{"date-parts":[["2020"]]},"title":"Encapsulation of Rosemary Essential Oil into Biodegradable Polymers for Application in Crop Management","type":"article-journal"},"uris":["http://www.mendeley.com/documents/?uuid=35e5a90f-5b13-4d94-bbc0-342ff8c89586"]}],"mendeley":{"formattedCitation":"(Stramarkou &lt;i&gt;et al.&lt;/i&gt;, 2020)","plainTextFormattedCitation":"(Stramarkou et al., 2020)","previouslyFormattedCitation":"(Stramarkou &lt;i&gt;et al.&lt;/i&gt;, 2020)"},"properties":{"noteIndex":0},"schema":"https://github.com/citation-style-language/schema/raw/master/csl-citation.json"}</w:instrText>
      </w:r>
      <w:r w:rsidR="00EB6EFA" w:rsidRPr="00B45265">
        <w:fldChar w:fldCharType="separate"/>
      </w:r>
      <w:r w:rsidR="00317B3A" w:rsidRPr="00B45265">
        <w:rPr>
          <w:noProof/>
        </w:rPr>
        <w:t>(Stramarkou et al., 2020)</w:t>
      </w:r>
      <w:r w:rsidR="00EB6EFA" w:rsidRPr="00B45265">
        <w:fldChar w:fldCharType="end"/>
      </w:r>
      <w:r w:rsidR="00EB6EFA" w:rsidRPr="00B45265">
        <w:t>.</w:t>
      </w:r>
    </w:p>
    <w:p w14:paraId="33AD54CA" w14:textId="445A639A" w:rsidR="003C542D" w:rsidRPr="00B45265" w:rsidRDefault="00EB6EFA" w:rsidP="003C542D">
      <w:pPr>
        <w:pStyle w:val="aff8"/>
        <w:tabs>
          <w:tab w:val="clear" w:pos="7100"/>
        </w:tabs>
        <w:spacing w:after="200" w:line="276" w:lineRule="auto"/>
        <w:ind w:left="0"/>
      </w:pPr>
      <w:r w:rsidRPr="00B45265">
        <w:t xml:space="preserve">Extrusion </w:t>
      </w:r>
      <w:r w:rsidR="00153406" w:rsidRPr="00B45265">
        <w:t xml:space="preserve">is a cost effective, continuous and environmentally friendly </w:t>
      </w:r>
      <w:r w:rsidR="00780840" w:rsidRPr="00B45265">
        <w:t xml:space="preserve">encapsulation </w:t>
      </w:r>
      <w:r w:rsidR="00153406" w:rsidRPr="00B45265">
        <w:t xml:space="preserve">technique </w:t>
      </w:r>
      <w:r w:rsidR="00780840" w:rsidRPr="00B45265">
        <w:t>that produces</w:t>
      </w:r>
      <w:r w:rsidR="00153406" w:rsidRPr="00B45265">
        <w:t xml:space="preserve"> small particle </w:t>
      </w:r>
      <w:proofErr w:type="spellStart"/>
      <w:r w:rsidR="00153406" w:rsidRPr="00B45265">
        <w:t>extrudates</w:t>
      </w:r>
      <w:proofErr w:type="spellEnd"/>
      <w:r w:rsidR="00153406" w:rsidRPr="00B45265">
        <w:t>, which can be easily utilised and release in a controlled way the bioactive compounds, improving their shelf life</w:t>
      </w:r>
      <w:r w:rsidR="00F0486E" w:rsidRPr="00B45265">
        <w:t xml:space="preserve"> </w:t>
      </w:r>
      <w:r w:rsidR="00F0486E" w:rsidRPr="00B45265">
        <w:fldChar w:fldCharType="begin" w:fldLock="1"/>
      </w:r>
      <w:r w:rsidR="00243735" w:rsidRPr="00B45265">
        <w:instrText>ADDIN CSL_CITATION {"citationItems":[{"id":"ITEM-1","itemData":{"DOI":"10.1080/10408398.2020.1793724","ISSN":"15497852","PMID":"32729723","abstract":"This review described and explains the encapsulation of bioactive compounds by extrusion technologies. Bioactive compounds have many health benefits, but several drawbacks such as a high organoleptic impact due to the bitterness and acrid taste of some compounds, and limited shelf life reduce the utilization of bioactive compounds in food. Encapsulation of bioactive compounds to prevent their several drawbacks and to increase their utilization in food has been achieved by ‘extrusion’ technology. The extrusion technologies discussed in the review are hot-melt extrusion, melt injection extrusion process, co-extrusion, and electrostatic extrusion. Extrusion technology as a mode of encapsulation of bioactive compounds as increased the number of bioactive compounds that can be encapsulated. Also, extrusion technology helps to reduce the particle size of encapsulated bioactive compounds which increase their application in the food industry. The reduction in the particle size of the extrudate helps to increase the shelf life of encapsulated bioactive compounds and aid-controlled release in the targeted site in the body.","author":[{"dropping-particle":"","family":"Bamidele","given":"Oluwaseun P.","non-dropping-particle":"","parse-names":false,"suffix":""},{"dropping-particle":"","family":"Emmambux","given":"Mohammad Naushad","non-dropping-particle":"","parse-names":false,"suffix":""}],"container-title":"Critical Reviews in Food Science and Nutrition","id":"ITEM-1","issued":{"date-parts":[["2021"]]},"title":"Encapsulation of bioactive compounds by “extrusion” technologies: a review","type":"article"},"uris":["http://www.mendeley.com/documents/?uuid=ecdd1be8-5c39-418d-8068-13363d654140"]}],"mendeley":{"formattedCitation":"(Bamidele and Emmambux, 2021)","plainTextFormattedCitation":"(Bamidele and Emmambux, 2021)","previouslyFormattedCitation":"(Bamidele and Emmambux, 2021)"},"properties":{"noteIndex":0},"schema":"https://github.com/citation-style-language/schema/raw/master/csl-citation.json"}</w:instrText>
      </w:r>
      <w:r w:rsidR="00F0486E" w:rsidRPr="00B45265">
        <w:fldChar w:fldCharType="separate"/>
      </w:r>
      <w:r w:rsidR="00317B3A" w:rsidRPr="00B45265">
        <w:rPr>
          <w:noProof/>
        </w:rPr>
        <w:t>(Bamidele and Emmambux, 2021)</w:t>
      </w:r>
      <w:r w:rsidR="00F0486E" w:rsidRPr="00B45265">
        <w:fldChar w:fldCharType="end"/>
      </w:r>
      <w:r w:rsidR="00153406" w:rsidRPr="00B45265">
        <w:t>.</w:t>
      </w:r>
      <w:r w:rsidR="00780840" w:rsidRPr="00B45265">
        <w:t xml:space="preserve"> </w:t>
      </w:r>
      <w:r w:rsidRPr="00B45265">
        <w:t xml:space="preserve">The matrix material used in encapsulation can affect the </w:t>
      </w:r>
      <w:r w:rsidR="00842D48" w:rsidRPr="00B45265">
        <w:t xml:space="preserve">process </w:t>
      </w:r>
      <w:r w:rsidRPr="00B45265">
        <w:t xml:space="preserve">efficiency and the characteristics of the final product </w:t>
      </w:r>
      <w:r w:rsidRPr="00B45265">
        <w:fldChar w:fldCharType="begin" w:fldLock="1"/>
      </w:r>
      <w:r w:rsidR="00243735" w:rsidRPr="00B45265">
        <w:instrText>ADDIN CSL_CITATION {"citationItems":[{"id":"ITEM-1","itemData":{"DOI":"10.1007/s10924-020-01760-5","ISSN":"15728919","abstract":"In recent years, there is an increasing demand for replacing hazardous agrochemicals in intensive farming systems with natural pesticides, such as essential oils. Essential oils are sources of antimicrobial compounds and have the potential to combat weeds, pathogens and insects. Their use in greenhouse cultures seems promising, but their action is very rapid due to their high volatility. The aim of the current study was the encapsulation of essential oils into biopolymers for enhancing their efficiency and controlling their release. The essential oil of Rosemarinus officinalis (rosemary) (REO) was encapsulated in zein and polylactic acid (PLA) using electrohydrodynamic processing (EHD) and extrusion. The effect of various process parameters was evaluated through scanning electron microscopy (SEM), differential scanning calorimetry (DSC) and Attenuated Total Reflectance FT-IR Spectroscopy (ATR-FTIR). Ultraviolet–visible spectroscopy (UV–VIS) determined the encapsulation efficiency. The stability and release of encapsulated compounds was also tested during their storage in controlled conditions. The examined encapsulation parameters affected in different ways the morphology and properties of the structures. Encapsulation efficiency was in the range of 70–90% with EHD presenting the highest values. ATR-FTIR analysis confirmed the presence of REO in the structures. The produced structures offer great potential to be incorporated in greenhouse films to replace agrochemicals.","author":[{"dropping-particle":"","family":"Stramarkou","given":"Marina","non-dropping-particle":"","parse-names":false,"suffix":""},{"dropping-particle":"","family":"Oikonomopoulou","given":"Vasiliki","non-dropping-particle":"","parse-names":false,"suffix":""},{"dropping-particle":"","family":"Missirli","given":"Theodora","non-dropping-particle":"","parse-names":false,"suffix":""},{"dropping-particle":"","family":"Thanassoulia","given":"Ioanna","non-dropping-particle":"","parse-names":false,"suffix":""},{"dropping-particle":"","family":"Krokida","given":"Magdalini","non-dropping-particle":"","parse-names":false,"suffix":""}],"container-title":"Journal of Polymers and the Environment","id":"ITEM-1","issued":{"date-parts":[["2020"]]},"title":"Encapsulation of Rosemary Essential Oil into Biodegradable Polymers for Application in Crop Management","type":"article-journal"},"uris":["http://www.mendeley.com/documents/?uuid=447eca51-e8d6-43cc-98de-a8e0cb3e9eb1"]}],"mendeley":{"formattedCitation":"(Stramarkou &lt;i&gt;et al.&lt;/i&gt;, 2020)","plainTextFormattedCitation":"(Stramarkou et al., 2020)","previouslyFormattedCitation":"(Stramarkou &lt;i&gt;et al.&lt;/i&gt;, 2020)"},"properties":{"noteIndex":0},"schema":"https://github.com/citation-style-language/schema/raw/master/csl-citation.json"}</w:instrText>
      </w:r>
      <w:r w:rsidRPr="00B45265">
        <w:fldChar w:fldCharType="separate"/>
      </w:r>
      <w:r w:rsidR="00317B3A" w:rsidRPr="00B45265">
        <w:rPr>
          <w:noProof/>
        </w:rPr>
        <w:t>(Stramarkou et al., 2020)</w:t>
      </w:r>
      <w:r w:rsidRPr="00B45265">
        <w:fldChar w:fldCharType="end"/>
      </w:r>
      <w:r w:rsidRPr="00B45265">
        <w:t xml:space="preserve">. </w:t>
      </w:r>
      <w:r w:rsidR="00842D48" w:rsidRPr="00B45265">
        <w:t xml:space="preserve">Low density polyethylene (LDPE) is widely used as a polymer matrix in antimicrobial packaging thanks to its acceptable flexibility, transparency, easy </w:t>
      </w:r>
      <w:proofErr w:type="spellStart"/>
      <w:r w:rsidR="00842D48" w:rsidRPr="00B45265">
        <w:t>processability</w:t>
      </w:r>
      <w:proofErr w:type="spellEnd"/>
      <w:r w:rsidR="00842D48" w:rsidRPr="00B45265">
        <w:t xml:space="preserve">, thermal stability, environmentally recyclability and low cost </w:t>
      </w:r>
      <w:r w:rsidR="00842D48" w:rsidRPr="00B45265">
        <w:fldChar w:fldCharType="begin" w:fldLock="1"/>
      </w:r>
      <w:r w:rsidR="00243735" w:rsidRPr="00B45265">
        <w:instrText>ADDIN CSL_CITATION {"citationItems":[{"id":"ITEM-1","itemData":{"DOI":"10.1007/s11947-010-0329-1","ISSN":"19355149","abstract":"Colloidal silver nanoparticles with a size of 5.5 ± 1.1 nm were prepared by chemical reduction using polyethylene glycol (PEG). Silver nanoparticles were incorporated into low-density polyethylene (LDPE) by melt blending and subsequent hot pressing at 140 °C to produce nanocomposite film with an average thickness of 0. 7 mm. PEG was added at 5% weight of polymer as a compatibilizer agent in order to prevent agglomeration and provide uniform distribution of nanoparticles in polymer matrix. Antimicrobial activity of silver nanocomposites against Escherichia coli ATCC 13706, Staphylococcus aureus ATCC12600, and Candida albicans ATCC10231 was evaluated by semi-qualitative agar diffusion test and quantitative dynamic shake flask test. Mechanical properties of nanocomposites were not significantly different from silver-free LDPE-containing PEG films (p &gt; 0.05), and silver nanoparticles did not form chemical bonding with the polymer. LDPE-silver nanocomposite samples by more than 6.69 ppm silver nanoparticles showed considerable antimicrobial clear zone. LDPE-silver nanocomposite affected growth kinetic parameters of the examined bacteria and is more efficient on S. aureus than E. coli. Polyethylene-silver nanocomposites containing 22.64 ppm silver nanoparticles could reduce 57.8% growth rate and 23.3% maximum bacterial concentration and increase 35.8% lag time of S. aureus. This study shows the potential use of LDPE-silver nanocomposite as antimicrobial active film. Antimicrobial efficiency of silver nanocomposite depends on silver nanoparticles concentration; however, high level of silver nanoparticles may lead to weakening of mechanical properties. © 2010 Springer Science + Business Media, LLC.","author":[{"dropping-particle":"","family":"Jokar","given":"Maryam","non-dropping-particle":"","parse-names":false,"suffix":""},{"dropping-particle":"","family":"Abdul Rahman","given":"Russly","non-dropping-particle":"","parse-names":false,"suffix":""},{"dropping-particle":"","family":"Ibrahim","given":"Nor Azowa","non-dropping-particle":"","parse-names":false,"suffix":""},{"dropping-particle":"","family":"Abdullah","given":"Luqman Chuah","non-dropping-particle":"","parse-names":false,"suffix":""},{"dropping-particle":"","family":"Tan","given":"Chin Ping","non-dropping-particle":"","parse-names":false,"suffix":""}],"container-title":"Food and Bioprocess Technology","id":"ITEM-1","issued":{"date-parts":[["2012"]]},"title":"Melt Production and Antimicrobial Efficiency of Low-Density Polyethylene (LDPE)-Silver Nanocomposite Film","type":"article-journal"},"uris":["http://www.mendeley.com/documents/?uuid=c6ec9db1-a377-44fa-9ed2-d8da88bee8d6"]}],"mendeley":{"formattedCitation":"(Jokar &lt;i&gt;et al.&lt;/i&gt;, 2012)","plainTextFormattedCitation":"(Jokar et al., 2012)","previouslyFormattedCitation":"(Jokar &lt;i&gt;et al.&lt;/i&gt;, 2012)"},"properties":{"noteIndex":0},"schema":"https://github.com/citation-style-language/schema/raw/master/csl-citation.json"}</w:instrText>
      </w:r>
      <w:r w:rsidR="00842D48" w:rsidRPr="00B45265">
        <w:fldChar w:fldCharType="separate"/>
      </w:r>
      <w:r w:rsidR="00317B3A" w:rsidRPr="00B45265">
        <w:rPr>
          <w:noProof/>
        </w:rPr>
        <w:t>(Jokar et al., 2012)</w:t>
      </w:r>
      <w:r w:rsidR="00842D48" w:rsidRPr="00B45265">
        <w:fldChar w:fldCharType="end"/>
      </w:r>
      <w:r w:rsidR="00842D48" w:rsidRPr="00B45265">
        <w:t xml:space="preserve">. </w:t>
      </w:r>
    </w:p>
    <w:p w14:paraId="4DEF83A4" w14:textId="384820A7" w:rsidR="00EB6EFA" w:rsidRDefault="000E30A9" w:rsidP="003C542D">
      <w:pPr>
        <w:pStyle w:val="aff8"/>
        <w:tabs>
          <w:tab w:val="clear" w:pos="7100"/>
        </w:tabs>
        <w:spacing w:after="200" w:line="276" w:lineRule="auto"/>
        <w:ind w:left="0"/>
      </w:pPr>
      <w:r>
        <w:t xml:space="preserve">The aim of this study is </w:t>
      </w:r>
      <w:r w:rsidR="002734BE" w:rsidRPr="00983419">
        <w:t xml:space="preserve">the development of a litter bag </w:t>
      </w:r>
      <w:r w:rsidR="002734BE">
        <w:t xml:space="preserve">from </w:t>
      </w:r>
      <w:r w:rsidR="002734BE" w:rsidRPr="00E10D8C">
        <w:rPr>
          <w:color w:val="FF0000"/>
        </w:rPr>
        <w:t>LDPE</w:t>
      </w:r>
      <w:r w:rsidR="00623D86">
        <w:t xml:space="preserve"> </w:t>
      </w:r>
      <w:r w:rsidR="002734BE" w:rsidRPr="00983419">
        <w:t xml:space="preserve">with encapsulated antimicrobial substances </w:t>
      </w:r>
      <w:r>
        <w:t>that can be applied</w:t>
      </w:r>
      <w:r w:rsidRPr="0029316E">
        <w:t xml:space="preserve"> in medical waste and litter with significant antimicrobial load</w:t>
      </w:r>
      <w:r>
        <w:t xml:space="preserve">. The encapsulation of the antimicrobial agents </w:t>
      </w:r>
      <w:r w:rsidR="002734BE" w:rsidRPr="00983419">
        <w:t xml:space="preserve">from </w:t>
      </w:r>
      <w:r w:rsidR="00837AF1">
        <w:t>OEO</w:t>
      </w:r>
      <w:r w:rsidR="002734BE" w:rsidRPr="00983419">
        <w:t xml:space="preserve"> and </w:t>
      </w:r>
      <w:proofErr w:type="spellStart"/>
      <w:r w:rsidR="001C706E">
        <w:t>flavomix</w:t>
      </w:r>
      <w:proofErr w:type="spellEnd"/>
      <w:r w:rsidR="002734BE" w:rsidRPr="00983419">
        <w:t xml:space="preserve"> </w:t>
      </w:r>
      <w:r w:rsidRPr="00983419">
        <w:t xml:space="preserve">was performed </w:t>
      </w:r>
      <w:r w:rsidR="002734BE" w:rsidRPr="00983419">
        <w:t>through extrusion</w:t>
      </w:r>
      <w:r w:rsidR="003C542D">
        <w:t>, while changing the antimicrobial agent concentration (%), the extrusion temperature (</w:t>
      </w:r>
      <w:proofErr w:type="spellStart"/>
      <w:r w:rsidR="003C542D" w:rsidRPr="003C542D">
        <w:rPr>
          <w:vertAlign w:val="superscript"/>
        </w:rPr>
        <w:t>o</w:t>
      </w:r>
      <w:r w:rsidR="003C542D">
        <w:t>C</w:t>
      </w:r>
      <w:proofErr w:type="spellEnd"/>
      <w:r w:rsidR="003C542D">
        <w:t xml:space="preserve">) and the </w:t>
      </w:r>
      <w:r w:rsidR="003C542D" w:rsidRPr="003C542D">
        <w:t xml:space="preserve">screw rotation speed </w:t>
      </w:r>
      <w:r w:rsidR="003C542D">
        <w:t>(rpm)</w:t>
      </w:r>
      <w:r w:rsidR="002734BE" w:rsidRPr="00983419">
        <w:t>. The encapsulated antimicrobial agents were gradually released into the inner content of the bag, neutralizing the microbes</w:t>
      </w:r>
      <w:r w:rsidR="002734BE">
        <w:t xml:space="preserve"> of the contained waste</w:t>
      </w:r>
      <w:r>
        <w:t xml:space="preserve">. The produced polymers were stored </w:t>
      </w:r>
      <w:r w:rsidRPr="00983419">
        <w:t xml:space="preserve">under controlled conditions of temperature- radiation and humidity </w:t>
      </w:r>
      <w:r>
        <w:t>for 60 days in order to study t</w:t>
      </w:r>
      <w:r w:rsidRPr="00983419">
        <w:t>he gradual release of the encapsulated antimicrobial agents</w:t>
      </w:r>
      <w:r>
        <w:t xml:space="preserve">. </w:t>
      </w:r>
      <w:r w:rsidR="002734BE" w:rsidRPr="00983419">
        <w:t>The encapsulated structures</w:t>
      </w:r>
      <w:r>
        <w:t xml:space="preserve"> </w:t>
      </w:r>
      <w:r w:rsidR="002734BE" w:rsidRPr="00983419">
        <w:t xml:space="preserve">were evaluated </w:t>
      </w:r>
      <w:r>
        <w:t xml:space="preserve">in terms of their thermal behaviour </w:t>
      </w:r>
      <w:r w:rsidR="002734BE" w:rsidRPr="00983419">
        <w:t xml:space="preserve">using </w:t>
      </w:r>
      <w:r w:rsidR="009A1E37">
        <w:t>DSC</w:t>
      </w:r>
      <w:r w:rsidR="008E0FC4">
        <w:t>. EE</w:t>
      </w:r>
      <w:r w:rsidR="009A1E37">
        <w:t xml:space="preserve"> was </w:t>
      </w:r>
      <w:r w:rsidR="002734BE" w:rsidRPr="00983419">
        <w:t xml:space="preserve">determined using </w:t>
      </w:r>
      <w:r w:rsidR="00467508">
        <w:t>UV-VIS spectroscopy</w:t>
      </w:r>
      <w:r w:rsidR="00EB6EFA">
        <w:t>.</w:t>
      </w:r>
    </w:p>
    <w:p w14:paraId="5741900F" w14:textId="333B3EA5" w:rsidR="00453E24" w:rsidRPr="000A6BF4" w:rsidRDefault="00983419" w:rsidP="000A6BF4">
      <w:pPr>
        <w:pStyle w:val="CETHeading1"/>
        <w:rPr>
          <w:lang w:val="en-GB"/>
        </w:rPr>
      </w:pPr>
      <w:r w:rsidRPr="000A6BF4">
        <w:rPr>
          <w:lang w:val="en-GB"/>
        </w:rPr>
        <w:t>Ma</w:t>
      </w:r>
      <w:r w:rsidR="00103895">
        <w:rPr>
          <w:lang w:val="en-GB"/>
        </w:rPr>
        <w:t>terials and m</w:t>
      </w:r>
      <w:r w:rsidRPr="000A6BF4">
        <w:rPr>
          <w:lang w:val="en-GB"/>
        </w:rPr>
        <w:t>ethods</w:t>
      </w:r>
    </w:p>
    <w:p w14:paraId="6F2B8879" w14:textId="6F2FF774" w:rsidR="00EC23C9" w:rsidRDefault="00623D86" w:rsidP="00983419">
      <w:pPr>
        <w:pStyle w:val="aff8"/>
        <w:ind w:left="0"/>
      </w:pPr>
      <w:r>
        <w:t>LDPE,</w:t>
      </w:r>
      <w:r w:rsidR="00983419" w:rsidRPr="0062170E">
        <w:t xml:space="preserve"> obtained from ACHAIKA PLASTICS SA,</w:t>
      </w:r>
      <w:r w:rsidR="00983419" w:rsidRPr="00627778">
        <w:t xml:space="preserve"> </w:t>
      </w:r>
      <w:r w:rsidR="00983419" w:rsidRPr="00E90868">
        <w:t>w</w:t>
      </w:r>
      <w:r>
        <w:t>as</w:t>
      </w:r>
      <w:r w:rsidR="00983419" w:rsidRPr="00E90868">
        <w:t xml:space="preserve"> used </w:t>
      </w:r>
      <w:r w:rsidR="00983419">
        <w:t>as matri</w:t>
      </w:r>
      <w:r w:rsidR="00EC23C9">
        <w:t>x</w:t>
      </w:r>
      <w:r w:rsidR="00983419">
        <w:t xml:space="preserve"> </w:t>
      </w:r>
      <w:r w:rsidR="00983419" w:rsidRPr="00E90868">
        <w:t>for t</w:t>
      </w:r>
      <w:r w:rsidR="00983419" w:rsidRPr="00495CA5">
        <w:t>he production of</w:t>
      </w:r>
      <w:r w:rsidR="00EC23C9">
        <w:t xml:space="preserve"> the extruded pellets, whereas</w:t>
      </w:r>
      <w:r w:rsidR="00837AF1">
        <w:t xml:space="preserve"> OEO</w:t>
      </w:r>
      <w:r w:rsidR="00983419" w:rsidRPr="00495CA5">
        <w:t xml:space="preserve">, purchased from </w:t>
      </w:r>
      <w:r w:rsidR="005C4CAA" w:rsidRPr="005C4CAA">
        <w:t>Organic Essential Oils-</w:t>
      </w:r>
      <w:proofErr w:type="spellStart"/>
      <w:r w:rsidR="005C4CAA" w:rsidRPr="005C4CAA">
        <w:t>Zoi</w:t>
      </w:r>
      <w:proofErr w:type="spellEnd"/>
      <w:r w:rsidR="005C4CAA" w:rsidRPr="005C4CAA">
        <w:t xml:space="preserve"> </w:t>
      </w:r>
      <w:proofErr w:type="spellStart"/>
      <w:r w:rsidR="005C4CAA" w:rsidRPr="005C4CAA">
        <w:t>Filippou</w:t>
      </w:r>
      <w:proofErr w:type="spellEnd"/>
      <w:r w:rsidR="005C4CAA" w:rsidRPr="005C4CAA">
        <w:t xml:space="preserve"> MEPE</w:t>
      </w:r>
      <w:r w:rsidR="00EC23C9">
        <w:t xml:space="preserve">, and </w:t>
      </w:r>
      <w:proofErr w:type="spellStart"/>
      <w:r w:rsidR="001C706E">
        <w:t>flavomix</w:t>
      </w:r>
      <w:proofErr w:type="spellEnd"/>
      <w:r w:rsidR="00EC23C9">
        <w:t xml:space="preserve"> in powder, purchased from </w:t>
      </w:r>
      <w:r w:rsidR="00C5636D" w:rsidRPr="00C5636D">
        <w:t>POLYPAN GROUP SA, Greece</w:t>
      </w:r>
      <w:r w:rsidR="00EC23C9">
        <w:t>, were</w:t>
      </w:r>
      <w:r w:rsidR="00983419" w:rsidRPr="00495CA5">
        <w:t xml:space="preserve"> used as </w:t>
      </w:r>
      <w:r w:rsidR="00EC23C9">
        <w:t xml:space="preserve">antimicrobial </w:t>
      </w:r>
      <w:r w:rsidR="00983419" w:rsidRPr="00495CA5">
        <w:t>agent</w:t>
      </w:r>
      <w:r w:rsidR="00EC23C9">
        <w:t>s</w:t>
      </w:r>
      <w:r w:rsidR="00983419" w:rsidRPr="00495CA5">
        <w:t xml:space="preserve">. </w:t>
      </w:r>
      <w:r w:rsidR="000400EE" w:rsidRPr="006262B1">
        <w:t>Petroleum ether was</w:t>
      </w:r>
      <w:r w:rsidR="00983419" w:rsidRPr="006262B1">
        <w:t xml:space="preserve"> purchased from Sigma Aldrich.</w:t>
      </w:r>
    </w:p>
    <w:p w14:paraId="7D45EA02" w14:textId="3D115F11" w:rsidR="00983419" w:rsidRDefault="00EC23C9" w:rsidP="00EC23C9">
      <w:pPr>
        <w:pStyle w:val="CETheadingx"/>
      </w:pPr>
      <w:r>
        <w:t>Extrusion</w:t>
      </w:r>
      <w:r w:rsidR="00983419">
        <w:t xml:space="preserve"> </w:t>
      </w:r>
    </w:p>
    <w:p w14:paraId="25849C89" w14:textId="6D04E89A" w:rsidR="00D40044" w:rsidRDefault="00EC23C9" w:rsidP="00EC23C9">
      <w:pPr>
        <w:pStyle w:val="CETBodytext"/>
      </w:pPr>
      <w:r w:rsidRPr="001B0927">
        <w:t xml:space="preserve">The development of the </w:t>
      </w:r>
      <w:r w:rsidR="008E0FC4">
        <w:t xml:space="preserve">polymers </w:t>
      </w:r>
      <w:r w:rsidRPr="001B0927">
        <w:t xml:space="preserve">with the encapsulated antimicrobial agents </w:t>
      </w:r>
      <w:r w:rsidR="001B0927" w:rsidRPr="001B0927">
        <w:rPr>
          <w:lang w:val="en-GB"/>
        </w:rPr>
        <w:t xml:space="preserve">of </w:t>
      </w:r>
      <w:r w:rsidR="00837AF1">
        <w:rPr>
          <w:lang w:val="en-GB"/>
        </w:rPr>
        <w:t>OEO</w:t>
      </w:r>
      <w:r w:rsidR="001B0927" w:rsidRPr="001B0927">
        <w:rPr>
          <w:lang w:val="en-GB"/>
        </w:rPr>
        <w:t xml:space="preserve"> and </w:t>
      </w:r>
      <w:proofErr w:type="spellStart"/>
      <w:r w:rsidR="001B0927" w:rsidRPr="001B0927">
        <w:rPr>
          <w:lang w:val="en-GB"/>
        </w:rPr>
        <w:t>flavomix</w:t>
      </w:r>
      <w:proofErr w:type="spellEnd"/>
      <w:r w:rsidR="001B0927" w:rsidRPr="001B0927">
        <w:rPr>
          <w:lang w:val="en-GB"/>
        </w:rPr>
        <w:t xml:space="preserve"> </w:t>
      </w:r>
      <w:r w:rsidRPr="001B0927">
        <w:t xml:space="preserve">was performed using a twin-screw extruder (Prism </w:t>
      </w:r>
      <w:proofErr w:type="spellStart"/>
      <w:r w:rsidRPr="001B0927">
        <w:t>Eurolab</w:t>
      </w:r>
      <w:proofErr w:type="spellEnd"/>
      <w:r w:rsidRPr="001B0927">
        <w:t>, model KX-16HC, Staffordshire, UK).</w:t>
      </w:r>
      <w:r w:rsidR="001B0927">
        <w:t xml:space="preserve"> The </w:t>
      </w:r>
      <w:r w:rsidR="001B0927" w:rsidRPr="00CA6E59">
        <w:t>extruder was initially preheated and its last zone was set at two studied temperatures: 180 and 200</w:t>
      </w:r>
      <w:r w:rsidR="00006014">
        <w:t xml:space="preserve"> </w:t>
      </w:r>
      <w:proofErr w:type="spellStart"/>
      <w:r w:rsidR="001B0927" w:rsidRPr="00CA6E59">
        <w:rPr>
          <w:vertAlign w:val="superscript"/>
        </w:rPr>
        <w:t>o</w:t>
      </w:r>
      <w:r w:rsidR="001B0927" w:rsidRPr="00CA6E59">
        <w:t>C.</w:t>
      </w:r>
      <w:proofErr w:type="spellEnd"/>
      <w:r w:rsidR="001B0927" w:rsidRPr="00CA6E59">
        <w:t xml:space="preserve"> When temperatures in </w:t>
      </w:r>
      <w:r w:rsidR="009A1E37">
        <w:t>t</w:t>
      </w:r>
      <w:r w:rsidR="001B0927" w:rsidRPr="00CA6E59">
        <w:t xml:space="preserve">he extruder were stabilized, </w:t>
      </w:r>
      <w:r w:rsidR="001B0927" w:rsidRPr="00E10D8C">
        <w:rPr>
          <w:color w:val="FF0000"/>
        </w:rPr>
        <w:t>LDPE</w:t>
      </w:r>
      <w:r w:rsidR="001B0927" w:rsidRPr="00CA6E59">
        <w:t xml:space="preserve"> was introduced in the feeder, whereas OEO in liquid state and </w:t>
      </w:r>
      <w:proofErr w:type="spellStart"/>
      <w:r w:rsidR="001B0927" w:rsidRPr="00CA6E59">
        <w:t>flavomix</w:t>
      </w:r>
      <w:proofErr w:type="spellEnd"/>
      <w:r w:rsidR="001B0927" w:rsidRPr="00CA6E59">
        <w:t xml:space="preserve"> in solid state were introduced in the last zone</w:t>
      </w:r>
      <w:r w:rsidR="00D40044" w:rsidRPr="00CA6E59">
        <w:t xml:space="preserve"> </w:t>
      </w:r>
      <w:r w:rsidR="00D40044" w:rsidRPr="00CA6E59">
        <w:rPr>
          <w:lang w:val="en-GB"/>
        </w:rPr>
        <w:t xml:space="preserve">so that the </w:t>
      </w:r>
      <w:r w:rsidR="00CA6E59" w:rsidRPr="00CA6E59">
        <w:rPr>
          <w:lang w:val="en-GB"/>
        </w:rPr>
        <w:t>concentration</w:t>
      </w:r>
      <w:r w:rsidR="00103895">
        <w:rPr>
          <w:lang w:val="en-GB"/>
        </w:rPr>
        <w:t>s</w:t>
      </w:r>
      <w:r w:rsidR="00CA6E59" w:rsidRPr="00CA6E59">
        <w:rPr>
          <w:lang w:val="en-GB"/>
        </w:rPr>
        <w:t xml:space="preserve"> of antimicrobials in the final </w:t>
      </w:r>
      <w:r w:rsidR="00D40044" w:rsidRPr="00CA6E59">
        <w:rPr>
          <w:lang w:val="en-GB"/>
        </w:rPr>
        <w:t>polymer</w:t>
      </w:r>
      <w:r w:rsidR="00CA6E59" w:rsidRPr="00CA6E59">
        <w:rPr>
          <w:lang w:val="en-GB"/>
        </w:rPr>
        <w:t xml:space="preserve">s </w:t>
      </w:r>
      <w:r w:rsidR="00CA6E59" w:rsidRPr="00CA6E59">
        <w:rPr>
          <w:lang w:val="en-GB"/>
        </w:rPr>
        <w:lastRenderedPageBreak/>
        <w:t>are 10 and 20</w:t>
      </w:r>
      <w:r w:rsidR="00006014">
        <w:rPr>
          <w:lang w:val="en-GB"/>
        </w:rPr>
        <w:t xml:space="preserve"> </w:t>
      </w:r>
      <w:r w:rsidR="00CA6E59" w:rsidRPr="00CA6E59">
        <w:rPr>
          <w:lang w:val="en-GB"/>
        </w:rPr>
        <w:t>%</w:t>
      </w:r>
      <w:r w:rsidR="001B0927" w:rsidRPr="00CA6E59">
        <w:t xml:space="preserve">. </w:t>
      </w:r>
      <w:r w:rsidR="00D40044" w:rsidRPr="00CA6E59">
        <w:t xml:space="preserve">The extruder operated at two screw rotation speeds: </w:t>
      </w:r>
      <w:r w:rsidR="00D40044" w:rsidRPr="00CA6E59">
        <w:rPr>
          <w:lang w:val="en-GB"/>
        </w:rPr>
        <w:t>50 and 70 rpm</w:t>
      </w:r>
      <w:r w:rsidR="00D40044" w:rsidRPr="00CA6E59">
        <w:t xml:space="preserve"> and s</w:t>
      </w:r>
      <w:r w:rsidR="001B0927" w:rsidRPr="00CA6E59">
        <w:t>crew torque was recorded during</w:t>
      </w:r>
      <w:r w:rsidR="00D40044" w:rsidRPr="00CA6E59">
        <w:t xml:space="preserve"> the process</w:t>
      </w:r>
      <w:r w:rsidR="001B0927" w:rsidRPr="00CA6E59">
        <w:t>.</w:t>
      </w:r>
      <w:r w:rsidR="00D40044" w:rsidRPr="00CA6E59">
        <w:t xml:space="preserve"> The </w:t>
      </w:r>
      <w:r w:rsidR="00CA6E59" w:rsidRPr="00CA6E59">
        <w:t xml:space="preserve">various operation conditions that were selected after preliminary experiments are presented in Table 1. </w:t>
      </w:r>
    </w:p>
    <w:p w14:paraId="24665E83" w14:textId="2C4E6816" w:rsidR="00CA6E59" w:rsidRDefault="00CA6E59" w:rsidP="00694FA0">
      <w:pPr>
        <w:pStyle w:val="CETCaption"/>
        <w:spacing w:after="80"/>
      </w:pPr>
      <w:proofErr w:type="gramStart"/>
      <w:r w:rsidRPr="005774C0">
        <w:t>Table 1.</w:t>
      </w:r>
      <w:proofErr w:type="gramEnd"/>
      <w:r w:rsidRPr="005774C0">
        <w:t xml:space="preserve"> </w:t>
      </w:r>
      <w:r>
        <w:t xml:space="preserve">Extrusion conditions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993"/>
      </w:tblGrid>
      <w:tr w:rsidR="00CA6E59" w:rsidRPr="00B57B36" w14:paraId="58E8C5C4" w14:textId="77777777" w:rsidTr="003C542D">
        <w:tc>
          <w:tcPr>
            <w:tcW w:w="3969" w:type="dxa"/>
            <w:tcBorders>
              <w:top w:val="single" w:sz="12" w:space="0" w:color="008000"/>
              <w:bottom w:val="single" w:sz="6" w:space="0" w:color="008000"/>
            </w:tcBorders>
            <w:shd w:val="clear" w:color="auto" w:fill="FFFFFF"/>
            <w:vAlign w:val="center"/>
          </w:tcPr>
          <w:p w14:paraId="064496CB" w14:textId="58B85962" w:rsidR="00CA6E59" w:rsidRPr="00372DB8" w:rsidRDefault="00CA6E59" w:rsidP="003C542D">
            <w:pPr>
              <w:pStyle w:val="CETBodytext"/>
            </w:pPr>
            <w:r>
              <w:t>Extrusion Parameters</w:t>
            </w:r>
          </w:p>
        </w:tc>
        <w:tc>
          <w:tcPr>
            <w:tcW w:w="993" w:type="dxa"/>
            <w:tcBorders>
              <w:top w:val="single" w:sz="12" w:space="0" w:color="008000"/>
              <w:bottom w:val="single" w:sz="6" w:space="0" w:color="008000"/>
            </w:tcBorders>
            <w:shd w:val="clear" w:color="auto" w:fill="FFFFFF"/>
            <w:vAlign w:val="center"/>
          </w:tcPr>
          <w:p w14:paraId="10599D00" w14:textId="628A2EAB" w:rsidR="00CA6E59" w:rsidRPr="00372DB8" w:rsidRDefault="00CA6E59" w:rsidP="003C542D">
            <w:pPr>
              <w:pStyle w:val="CETBodytext"/>
            </w:pPr>
            <w:r>
              <w:t>Values</w:t>
            </w:r>
          </w:p>
        </w:tc>
      </w:tr>
      <w:tr w:rsidR="00CA6E59" w:rsidRPr="00B57B36" w14:paraId="0F7D1334" w14:textId="77777777" w:rsidTr="003C542D">
        <w:tc>
          <w:tcPr>
            <w:tcW w:w="3969" w:type="dxa"/>
            <w:shd w:val="clear" w:color="auto" w:fill="FFFFFF"/>
          </w:tcPr>
          <w:p w14:paraId="74F7D5F4" w14:textId="103D1251" w:rsidR="00CA6E59" w:rsidRPr="00B57B36" w:rsidRDefault="00CA6E59" w:rsidP="003C542D">
            <w:pPr>
              <w:pStyle w:val="CETBodytext"/>
              <w:rPr>
                <w:lang w:val="en-GB"/>
              </w:rPr>
            </w:pPr>
            <w:r>
              <w:t>Essential Oil concentration (%)</w:t>
            </w:r>
          </w:p>
        </w:tc>
        <w:tc>
          <w:tcPr>
            <w:tcW w:w="993" w:type="dxa"/>
            <w:shd w:val="clear" w:color="auto" w:fill="FFFFFF"/>
          </w:tcPr>
          <w:p w14:paraId="62D7E51A" w14:textId="6E67823B" w:rsidR="00CA6E59" w:rsidRPr="00F63001" w:rsidRDefault="00CA6E59" w:rsidP="003C542D">
            <w:pPr>
              <w:pStyle w:val="CETBodytext"/>
              <w:rPr>
                <w:color w:val="FF0000"/>
                <w:lang w:val="en-GB"/>
              </w:rPr>
            </w:pPr>
            <w:r>
              <w:t>10, 20</w:t>
            </w:r>
          </w:p>
        </w:tc>
      </w:tr>
      <w:tr w:rsidR="00CA6E59" w:rsidRPr="00B57B36" w14:paraId="386BF384" w14:textId="77777777" w:rsidTr="003C542D">
        <w:tc>
          <w:tcPr>
            <w:tcW w:w="3969" w:type="dxa"/>
            <w:shd w:val="clear" w:color="auto" w:fill="FFFFFF"/>
          </w:tcPr>
          <w:p w14:paraId="4C5675ED" w14:textId="7FDD11F7" w:rsidR="00CA6E59" w:rsidRPr="00B57B36" w:rsidRDefault="00CA6E59" w:rsidP="003C542D">
            <w:pPr>
              <w:pStyle w:val="CETBodytext"/>
              <w:ind w:right="-1"/>
              <w:rPr>
                <w:rFonts w:cs="Arial"/>
                <w:szCs w:val="18"/>
                <w:lang w:val="en-GB"/>
              </w:rPr>
            </w:pPr>
            <w:r w:rsidRPr="007731D5">
              <w:t>Temperature (</w:t>
            </w:r>
            <w:proofErr w:type="spellStart"/>
            <w:r w:rsidRPr="00CA6E59">
              <w:rPr>
                <w:vertAlign w:val="superscript"/>
              </w:rPr>
              <w:t>o</w:t>
            </w:r>
            <w:r w:rsidRPr="007731D5">
              <w:t>C</w:t>
            </w:r>
            <w:proofErr w:type="spellEnd"/>
            <w:r w:rsidRPr="007731D5">
              <w:t>)</w:t>
            </w:r>
          </w:p>
        </w:tc>
        <w:tc>
          <w:tcPr>
            <w:tcW w:w="993" w:type="dxa"/>
            <w:shd w:val="clear" w:color="auto" w:fill="FFFFFF"/>
          </w:tcPr>
          <w:p w14:paraId="2BF6DC3E" w14:textId="306903F5" w:rsidR="00CA6E59" w:rsidRPr="00F63001" w:rsidRDefault="00CA6E59" w:rsidP="00CA6E59">
            <w:pPr>
              <w:pStyle w:val="CETBodytext"/>
              <w:ind w:right="-1"/>
              <w:rPr>
                <w:rFonts w:cs="Arial"/>
                <w:color w:val="FF0000"/>
                <w:szCs w:val="18"/>
                <w:lang w:val="en-GB"/>
              </w:rPr>
            </w:pPr>
            <w:r w:rsidRPr="007731D5">
              <w:t>180, 200</w:t>
            </w:r>
          </w:p>
        </w:tc>
      </w:tr>
      <w:tr w:rsidR="00CA6E59" w:rsidRPr="00B57B36" w14:paraId="3FF4975A" w14:textId="77777777" w:rsidTr="003C542D">
        <w:tc>
          <w:tcPr>
            <w:tcW w:w="3969" w:type="dxa"/>
            <w:shd w:val="clear" w:color="auto" w:fill="FFFFFF"/>
          </w:tcPr>
          <w:p w14:paraId="2069E340" w14:textId="71766FC9" w:rsidR="00CA6E59" w:rsidRPr="00B57B36" w:rsidRDefault="00CA6E59" w:rsidP="003C542D">
            <w:pPr>
              <w:pStyle w:val="CETBodytext"/>
              <w:ind w:right="-1"/>
              <w:rPr>
                <w:rFonts w:cs="Arial"/>
                <w:szCs w:val="18"/>
                <w:lang w:val="en-GB"/>
              </w:rPr>
            </w:pPr>
            <w:r w:rsidRPr="00426904">
              <w:t>Screw Rotation speed (rpm)</w:t>
            </w:r>
          </w:p>
        </w:tc>
        <w:tc>
          <w:tcPr>
            <w:tcW w:w="993" w:type="dxa"/>
            <w:shd w:val="clear" w:color="auto" w:fill="FFFFFF"/>
          </w:tcPr>
          <w:p w14:paraId="193FCEFE" w14:textId="2981E10E" w:rsidR="00CA6E59" w:rsidRPr="00F63001" w:rsidRDefault="00CA6E59" w:rsidP="00CA6E59">
            <w:pPr>
              <w:pStyle w:val="CETBodytext"/>
              <w:ind w:right="-1"/>
              <w:rPr>
                <w:rFonts w:cs="Arial"/>
                <w:color w:val="FF0000"/>
                <w:szCs w:val="18"/>
                <w:lang w:val="en-GB"/>
              </w:rPr>
            </w:pPr>
            <w:r>
              <w:t>50, 70</w:t>
            </w:r>
          </w:p>
        </w:tc>
      </w:tr>
    </w:tbl>
    <w:p w14:paraId="043EF6AA" w14:textId="6D084E12" w:rsidR="00167BC2" w:rsidRDefault="00167BC2" w:rsidP="00D265DF">
      <w:pPr>
        <w:pStyle w:val="CETheadingx"/>
      </w:pPr>
      <w:r>
        <w:t>Determination of Encapsulation Efficiency</w:t>
      </w:r>
      <w:r w:rsidR="000400EE" w:rsidRPr="000400EE">
        <w:rPr>
          <w:lang w:val="en-GB"/>
        </w:rPr>
        <w:t xml:space="preserve"> (</w:t>
      </w:r>
      <w:r w:rsidR="000400EE">
        <w:rPr>
          <w:lang w:val="el-GR"/>
        </w:rPr>
        <w:t>ΕΕ</w:t>
      </w:r>
      <w:r w:rsidR="000400EE" w:rsidRPr="000400EE">
        <w:rPr>
          <w:lang w:val="en-GB"/>
        </w:rPr>
        <w:t>)</w:t>
      </w:r>
      <w:r>
        <w:t xml:space="preserve"> </w:t>
      </w:r>
    </w:p>
    <w:p w14:paraId="0C63853D" w14:textId="7EB1186E" w:rsidR="00356A80" w:rsidRPr="00356A80" w:rsidRDefault="008E0FC4" w:rsidP="00C65F83">
      <w:pPr>
        <w:pStyle w:val="CETBodytext"/>
      </w:pPr>
      <w:r>
        <w:t xml:space="preserve">The determination of EE </w:t>
      </w:r>
      <w:r w:rsidR="003B2450">
        <w:t>of the produced p</w:t>
      </w:r>
      <w:r>
        <w:t>olymers</w:t>
      </w:r>
      <w:r w:rsidR="003B2450">
        <w:t xml:space="preserve"> </w:t>
      </w:r>
      <w:r w:rsidR="002A0542">
        <w:t xml:space="preserve">was achieved by </w:t>
      </w:r>
      <w:proofErr w:type="spellStart"/>
      <w:r w:rsidR="002A0542" w:rsidRPr="00495CA5">
        <w:t>Soxhlet</w:t>
      </w:r>
      <w:proofErr w:type="spellEnd"/>
      <w:r w:rsidR="002A0542" w:rsidRPr="00495CA5">
        <w:t xml:space="preserve"> extraction</w:t>
      </w:r>
      <w:r w:rsidR="003B2450">
        <w:t xml:space="preserve"> and UV-Vis spectrophotometry. Specifically, the </w:t>
      </w:r>
      <w:r>
        <w:t>polymers</w:t>
      </w:r>
      <w:r w:rsidR="003B2450">
        <w:t xml:space="preserve"> with the encapsulated antimicrobial agents were extracted for 50 min u</w:t>
      </w:r>
      <w:r w:rsidR="000400EE">
        <w:t>sing petroleum ether as solvent. T</w:t>
      </w:r>
      <w:r w:rsidR="003B2450">
        <w:t xml:space="preserve">he developed extracts, after reaching room temperature, were titrated and </w:t>
      </w:r>
      <w:r w:rsidR="000400EE">
        <w:t xml:space="preserve">their absorbance was measured from 190 to 790 nm </w:t>
      </w:r>
      <w:r w:rsidR="000400EE" w:rsidRPr="00495CA5">
        <w:t>using the UV-Vis photometer (</w:t>
      </w:r>
      <w:proofErr w:type="spellStart"/>
      <w:r w:rsidR="000400EE" w:rsidRPr="00495CA5">
        <w:t>Espectrofotometro</w:t>
      </w:r>
      <w:proofErr w:type="spellEnd"/>
      <w:r w:rsidR="000400EE" w:rsidRPr="00495CA5">
        <w:t xml:space="preserve"> UV-M51, Bel Photonics, </w:t>
      </w:r>
      <w:proofErr w:type="gramStart"/>
      <w:r w:rsidR="000400EE" w:rsidRPr="00276C3C">
        <w:t>Italy</w:t>
      </w:r>
      <w:proofErr w:type="gramEnd"/>
      <w:r w:rsidR="000400EE" w:rsidRPr="00276C3C">
        <w:t>)</w:t>
      </w:r>
      <w:r w:rsidR="000400EE">
        <w:t xml:space="preserve"> in order to initially calculate the </w:t>
      </w:r>
      <w:r w:rsidR="000400EE" w:rsidRPr="00CB2A13">
        <w:t xml:space="preserve">amount of </w:t>
      </w:r>
      <w:r w:rsidR="000400EE">
        <w:t xml:space="preserve">the non-encapsulated </w:t>
      </w:r>
      <w:r w:rsidR="000400EE" w:rsidRPr="00E10D8C">
        <w:rPr>
          <w:color w:val="FF0000"/>
        </w:rPr>
        <w:t>OEO</w:t>
      </w:r>
      <w:r w:rsidR="000400EE">
        <w:t xml:space="preserve"> and </w:t>
      </w:r>
      <w:proofErr w:type="spellStart"/>
      <w:r w:rsidR="000400EE">
        <w:t>flavomix</w:t>
      </w:r>
      <w:proofErr w:type="spellEnd"/>
      <w:r w:rsidR="000400EE">
        <w:t xml:space="preserve">. </w:t>
      </w:r>
      <w:r w:rsidR="000400EE" w:rsidRPr="00495CA5">
        <w:t xml:space="preserve">The non-encapsulated </w:t>
      </w:r>
      <w:r w:rsidR="000400EE">
        <w:t>agents were</w:t>
      </w:r>
      <w:r w:rsidR="000400EE" w:rsidRPr="00495CA5">
        <w:t xml:space="preserve"> quantified by use of</w:t>
      </w:r>
      <w:r w:rsidR="000400EE">
        <w:t xml:space="preserve"> standard curve of pure </w:t>
      </w:r>
      <w:r w:rsidR="000400EE" w:rsidRPr="00E10D8C">
        <w:rPr>
          <w:color w:val="FF0000"/>
        </w:rPr>
        <w:t>OEO</w:t>
      </w:r>
      <w:r w:rsidR="000400EE">
        <w:t xml:space="preserve"> and </w:t>
      </w:r>
      <w:proofErr w:type="spellStart"/>
      <w:r w:rsidR="000400EE">
        <w:t>flavomix</w:t>
      </w:r>
      <w:proofErr w:type="spellEnd"/>
      <w:r w:rsidR="000400EE">
        <w:t xml:space="preserve"> </w:t>
      </w:r>
      <w:r w:rsidR="000400EE" w:rsidRPr="00060857">
        <w:t>diluted</w:t>
      </w:r>
      <w:r w:rsidR="000400EE">
        <w:t xml:space="preserve"> to different concentrations. EE</w:t>
      </w:r>
      <w:r w:rsidR="000400EE" w:rsidRPr="00CB2A13">
        <w:t xml:space="preserve"> was calculated</w:t>
      </w:r>
      <w:r w:rsidR="000400EE">
        <w:t xml:space="preserve"> using the following Equation. </w:t>
      </w:r>
    </w:p>
    <w:p w14:paraId="38478A27" w14:textId="48131F1C" w:rsidR="000400EE" w:rsidRPr="00356A80" w:rsidRDefault="000400EE" w:rsidP="00CC32F1">
      <w:pPr>
        <w:pStyle w:val="aff8"/>
        <w:spacing w:before="120" w:after="120"/>
        <w:ind w:left="0"/>
        <w:jc w:val="right"/>
      </w:pPr>
      <m:oMath>
        <m:r>
          <w:rPr>
            <w:rFonts w:ascii="Cambria Math" w:hAnsi="Cambria Math"/>
          </w:rPr>
          <m:t xml:space="preserve">EE </m:t>
        </m:r>
        <m:d>
          <m:dPr>
            <m:ctrlPr>
              <w:rPr>
                <w:rFonts w:ascii="Cambria Math" w:hAnsi="Cambria Math"/>
                <w:i/>
              </w:rPr>
            </m:ctrlPr>
          </m:dPr>
          <m:e>
            <m:r>
              <w:rPr>
                <w:rFonts w:ascii="Cambria Math" w:hAnsi="Cambria Math"/>
              </w:rPr>
              <m:t>%</m:t>
            </m:r>
          </m:e>
        </m:d>
        <m:r>
          <w:rPr>
            <w:rFonts w:ascii="Cambria Math" w:hAnsi="Cambria Math"/>
          </w:rPr>
          <m:t xml:space="preserve">= </m:t>
        </m:r>
        <m:f>
          <m:fPr>
            <m:ctrlPr>
              <w:rPr>
                <w:rFonts w:ascii="Cambria Math" w:hAnsi="Cambria Math"/>
                <w:i/>
              </w:rPr>
            </m:ctrlPr>
          </m:fPr>
          <m:num>
            <m:r>
              <w:rPr>
                <w:rFonts w:ascii="Cambria Math" w:hAnsi="Cambria Math"/>
              </w:rPr>
              <m:t>encapsulated EO quantity</m:t>
            </m:r>
            <m:d>
              <m:dPr>
                <m:ctrlPr>
                  <w:rPr>
                    <w:rFonts w:ascii="Cambria Math" w:hAnsi="Cambria Math"/>
                    <w:i/>
                  </w:rPr>
                </m:ctrlPr>
              </m:dPr>
              <m:e>
                <m:r>
                  <w:rPr>
                    <w:rFonts w:ascii="Cambria Math" w:hAnsi="Cambria Math"/>
                  </w:rPr>
                  <m:t>mL</m:t>
                </m:r>
              </m:e>
            </m:d>
          </m:num>
          <m:den>
            <m:r>
              <w:rPr>
                <w:rFonts w:ascii="Cambria Math" w:hAnsi="Cambria Math"/>
              </w:rPr>
              <m:t>EO initial quantity</m:t>
            </m:r>
            <m:d>
              <m:dPr>
                <m:ctrlPr>
                  <w:rPr>
                    <w:rFonts w:ascii="Cambria Math" w:hAnsi="Cambria Math"/>
                    <w:i/>
                  </w:rPr>
                </m:ctrlPr>
              </m:dPr>
              <m:e>
                <m:r>
                  <w:rPr>
                    <w:rFonts w:ascii="Cambria Math" w:hAnsi="Cambria Math"/>
                  </w:rPr>
                  <m:t>mL</m:t>
                </m:r>
              </m:e>
            </m:d>
          </m:den>
        </m:f>
        <m:r>
          <w:rPr>
            <w:rFonts w:ascii="Cambria Math" w:hAnsi="Cambria Math"/>
          </w:rPr>
          <m:t xml:space="preserve"> ∙100 %</m:t>
        </m:r>
      </m:oMath>
      <w:r w:rsidR="00356A80">
        <w:t xml:space="preserve">                                                                                       </w:t>
      </w:r>
      <w:r w:rsidR="00356A80" w:rsidRPr="00E10D8C">
        <w:rPr>
          <w:color w:val="FF0000"/>
        </w:rPr>
        <w:t xml:space="preserve">             (1)</w:t>
      </w:r>
    </w:p>
    <w:p w14:paraId="4BB0548D" w14:textId="3CB68589" w:rsidR="003B2450" w:rsidRDefault="000400EE" w:rsidP="002A0542">
      <w:pPr>
        <w:pStyle w:val="aff8"/>
        <w:ind w:left="0"/>
      </w:pPr>
      <w:r w:rsidRPr="00276C3C">
        <w:t>The measuremen</w:t>
      </w:r>
      <w:r>
        <w:t>ts were carried out in duplicate</w:t>
      </w:r>
      <w:r w:rsidRPr="00276C3C">
        <w:t>.</w:t>
      </w:r>
    </w:p>
    <w:p w14:paraId="62838E5B" w14:textId="06D4F59F" w:rsidR="00167BC2" w:rsidRDefault="00167BC2" w:rsidP="00D265DF">
      <w:pPr>
        <w:pStyle w:val="CETheadingx"/>
      </w:pPr>
      <w:r>
        <w:t>Differential Scanning Calorimetry</w:t>
      </w:r>
      <w:r w:rsidR="00103895">
        <w:t xml:space="preserve"> (DSC)</w:t>
      </w:r>
    </w:p>
    <w:p w14:paraId="738715E2" w14:textId="53A51844" w:rsidR="003C6005" w:rsidRDefault="003C6005" w:rsidP="00D265DF">
      <w:pPr>
        <w:pStyle w:val="CETBodytext"/>
      </w:pPr>
      <w:r w:rsidRPr="003C6005">
        <w:t xml:space="preserve">The thermal transitions of the </w:t>
      </w:r>
      <w:r w:rsidR="002A0542">
        <w:t xml:space="preserve">produced </w:t>
      </w:r>
      <w:r w:rsidR="008E0FC4">
        <w:t>polymers</w:t>
      </w:r>
      <w:r w:rsidR="002A0542">
        <w:t xml:space="preserve"> with the two encapsulated antimicrobial agents and the non- encapsulated </w:t>
      </w:r>
      <w:r w:rsidR="008E0FC4">
        <w:t>polymers</w:t>
      </w:r>
      <w:r w:rsidR="002A0542">
        <w:t xml:space="preserve"> </w:t>
      </w:r>
      <w:r w:rsidRPr="003C6005">
        <w:t xml:space="preserve">were studied by Differential Scanning Calorimetry (DSC) (Perkin Elmer DSC 6, CT, USA), using </w:t>
      </w:r>
      <w:proofErr w:type="spellStart"/>
      <w:r w:rsidRPr="003C6005">
        <w:t>Pyris</w:t>
      </w:r>
      <w:proofErr w:type="spellEnd"/>
      <w:r w:rsidRPr="003C6005">
        <w:t xml:space="preserve"> 6 software. Nitrogen gas was used at a flow rate of 20 mL/min to create an inert atmosphere. </w:t>
      </w:r>
      <w:r>
        <w:t xml:space="preserve">10 </w:t>
      </w:r>
      <w:r w:rsidRPr="003C6005">
        <w:t xml:space="preserve">mg of each sample were sealed in an </w:t>
      </w:r>
      <w:proofErr w:type="spellStart"/>
      <w:r w:rsidRPr="003C6005">
        <w:t>aluminium</w:t>
      </w:r>
      <w:proofErr w:type="spellEnd"/>
      <w:r w:rsidRPr="003C6005">
        <w:t xml:space="preserve"> sample carrier, which was inserted into the DSC. A blank, sealed sampler was used as a reference. The </w:t>
      </w:r>
      <w:r>
        <w:t xml:space="preserve">temperature program that the samples were subjected </w:t>
      </w:r>
      <w:r w:rsidR="002A0542">
        <w:t xml:space="preserve">to </w:t>
      </w:r>
      <w:r>
        <w:t>consisted of three cycles:</w:t>
      </w:r>
    </w:p>
    <w:p w14:paraId="11846EE4" w14:textId="16AC30B8" w:rsidR="003C6005" w:rsidRDefault="002A0542" w:rsidP="003C6005">
      <w:pPr>
        <w:pStyle w:val="CETBodytext"/>
        <w:numPr>
          <w:ilvl w:val="0"/>
          <w:numId w:val="23"/>
        </w:numPr>
      </w:pPr>
      <w:r>
        <w:t xml:space="preserve">Heating from 0 </w:t>
      </w:r>
      <w:r w:rsidRPr="002B7E5C">
        <w:rPr>
          <w:color w:val="FF0000"/>
        </w:rPr>
        <w:t>°C</w:t>
      </w:r>
      <w:r w:rsidRPr="002A0542">
        <w:t xml:space="preserve"> </w:t>
      </w:r>
      <w:r>
        <w:t>to 25</w:t>
      </w:r>
      <w:r w:rsidRPr="003C6005">
        <w:t>0</w:t>
      </w:r>
      <w:r w:rsidR="00006014">
        <w:t xml:space="preserve"> </w:t>
      </w:r>
      <w:r w:rsidRPr="002B7E5C">
        <w:rPr>
          <w:color w:val="FF0000"/>
        </w:rPr>
        <w:t xml:space="preserve">°C </w:t>
      </w:r>
      <w:r w:rsidRPr="003C6005">
        <w:t>at a rate of 5</w:t>
      </w:r>
      <w:r w:rsidR="00006014">
        <w:t xml:space="preserve"> </w:t>
      </w:r>
      <w:r w:rsidRPr="002B7E5C">
        <w:rPr>
          <w:color w:val="FF0000"/>
        </w:rPr>
        <w:t>°C</w:t>
      </w:r>
      <w:r w:rsidRPr="003C6005">
        <w:t>/min</w:t>
      </w:r>
      <w:r>
        <w:t xml:space="preserve"> (1</w:t>
      </w:r>
      <w:r w:rsidRPr="002A0542">
        <w:rPr>
          <w:vertAlign w:val="superscript"/>
        </w:rPr>
        <w:t>st</w:t>
      </w:r>
      <w:r>
        <w:t xml:space="preserve"> heating cycle)</w:t>
      </w:r>
    </w:p>
    <w:p w14:paraId="0D476670" w14:textId="1A42FB37" w:rsidR="002A0542" w:rsidRDefault="002A0542" w:rsidP="002A0542">
      <w:pPr>
        <w:pStyle w:val="CETBodytext"/>
        <w:numPr>
          <w:ilvl w:val="0"/>
          <w:numId w:val="23"/>
        </w:numPr>
      </w:pPr>
      <w:r>
        <w:t>Cooling from 25</w:t>
      </w:r>
      <w:r w:rsidRPr="003C6005">
        <w:t>0</w:t>
      </w:r>
      <w:r w:rsidR="00006014">
        <w:t xml:space="preserve"> </w:t>
      </w:r>
      <w:r w:rsidRPr="002B7E5C">
        <w:rPr>
          <w:color w:val="FF0000"/>
        </w:rPr>
        <w:t xml:space="preserve">°C </w:t>
      </w:r>
      <w:r>
        <w:t xml:space="preserve">to </w:t>
      </w:r>
      <w:r w:rsidRPr="002B7E5C">
        <w:rPr>
          <w:color w:val="FF0000"/>
        </w:rPr>
        <w:t xml:space="preserve">0 °C </w:t>
      </w:r>
      <w:r w:rsidRPr="003C6005">
        <w:t>at a rate of 5</w:t>
      </w:r>
      <w:r w:rsidR="00006014">
        <w:t xml:space="preserve"> </w:t>
      </w:r>
      <w:r w:rsidRPr="002B7E5C">
        <w:rPr>
          <w:color w:val="FF0000"/>
        </w:rPr>
        <w:t>°C</w:t>
      </w:r>
      <w:r w:rsidRPr="003C6005">
        <w:t>/min</w:t>
      </w:r>
    </w:p>
    <w:p w14:paraId="74F0A1B3" w14:textId="6284C33E" w:rsidR="003C6005" w:rsidRDefault="002A0542" w:rsidP="00D265DF">
      <w:pPr>
        <w:pStyle w:val="CETBodytext"/>
        <w:numPr>
          <w:ilvl w:val="0"/>
          <w:numId w:val="23"/>
        </w:numPr>
      </w:pPr>
      <w:r>
        <w:t>Heating from 0</w:t>
      </w:r>
      <w:r w:rsidRPr="002B7E5C">
        <w:rPr>
          <w:color w:val="FF0000"/>
        </w:rPr>
        <w:t xml:space="preserve"> °C </w:t>
      </w:r>
      <w:r>
        <w:t>to 25</w:t>
      </w:r>
      <w:r w:rsidRPr="003C6005">
        <w:t>0</w:t>
      </w:r>
      <w:r w:rsidR="00006014">
        <w:t xml:space="preserve"> </w:t>
      </w:r>
      <w:r w:rsidRPr="002B7E5C">
        <w:rPr>
          <w:color w:val="FF0000"/>
        </w:rPr>
        <w:t xml:space="preserve">°C </w:t>
      </w:r>
      <w:r w:rsidRPr="003C6005">
        <w:t>at a rate of 5</w:t>
      </w:r>
      <w:r w:rsidR="00006014" w:rsidRPr="002B7E5C">
        <w:rPr>
          <w:color w:val="FF0000"/>
        </w:rPr>
        <w:t xml:space="preserve"> </w:t>
      </w:r>
      <w:r w:rsidRPr="002B7E5C">
        <w:rPr>
          <w:color w:val="FF0000"/>
        </w:rPr>
        <w:t>°C</w:t>
      </w:r>
      <w:r w:rsidRPr="003C6005">
        <w:t>/min</w:t>
      </w:r>
      <w:r>
        <w:t xml:space="preserve"> (2</w:t>
      </w:r>
      <w:r w:rsidRPr="002A0542">
        <w:rPr>
          <w:vertAlign w:val="superscript"/>
        </w:rPr>
        <w:t>nd</w:t>
      </w:r>
      <w:r>
        <w:t xml:space="preserve"> heating cycle)</w:t>
      </w:r>
    </w:p>
    <w:p w14:paraId="726AD9B8" w14:textId="1F7F9FA3" w:rsidR="00AB2D6A" w:rsidRPr="00D265DF" w:rsidRDefault="003C6005" w:rsidP="00D265DF">
      <w:pPr>
        <w:pStyle w:val="CETBodytext"/>
      </w:pPr>
      <w:r w:rsidRPr="003C6005">
        <w:t>The measur</w:t>
      </w:r>
      <w:r>
        <w:t>ements were carried out in du</w:t>
      </w:r>
      <w:r w:rsidRPr="003C6005">
        <w:t>plicate.</w:t>
      </w:r>
    </w:p>
    <w:p w14:paraId="3C8B09BE" w14:textId="428DC644" w:rsidR="00167BC2" w:rsidRDefault="00167BC2" w:rsidP="00D265DF">
      <w:pPr>
        <w:pStyle w:val="CETheadingx"/>
        <w:rPr>
          <w:lang w:val="en-GB"/>
        </w:rPr>
      </w:pPr>
      <w:r>
        <w:rPr>
          <w:lang w:val="en-GB"/>
        </w:rPr>
        <w:t>Evaluation of shelf life</w:t>
      </w:r>
    </w:p>
    <w:p w14:paraId="26AD85F7" w14:textId="2EB26B62" w:rsidR="00D265DF" w:rsidRPr="00041462" w:rsidRDefault="00D265DF" w:rsidP="00C65F83">
      <w:pPr>
        <w:pStyle w:val="CETBodytext"/>
        <w:rPr>
          <w:lang w:val="en-GB"/>
        </w:rPr>
      </w:pPr>
      <w:r w:rsidRPr="00A94592">
        <w:t xml:space="preserve">The </w:t>
      </w:r>
      <w:r w:rsidRPr="00F93843">
        <w:t>optimal p</w:t>
      </w:r>
      <w:r w:rsidR="00BB2002" w:rsidRPr="00F93843">
        <w:t>olymers</w:t>
      </w:r>
      <w:r w:rsidRPr="00F93843">
        <w:t xml:space="preserve"> were stored </w:t>
      </w:r>
      <w:r w:rsidR="003C6005" w:rsidRPr="00F93843">
        <w:t>under controlled conditions of temperature- radiation (20</w:t>
      </w:r>
      <w:r w:rsidR="00006014">
        <w:t xml:space="preserve"> </w:t>
      </w:r>
      <w:proofErr w:type="spellStart"/>
      <w:r w:rsidR="003C6005" w:rsidRPr="00220297">
        <w:rPr>
          <w:color w:val="FF0000"/>
          <w:vertAlign w:val="superscript"/>
        </w:rPr>
        <w:t>ο</w:t>
      </w:r>
      <w:r w:rsidR="003C6005" w:rsidRPr="00220297">
        <w:rPr>
          <w:color w:val="FF0000"/>
        </w:rPr>
        <w:t>C</w:t>
      </w:r>
      <w:proofErr w:type="spellEnd"/>
      <w:r w:rsidR="003C6005" w:rsidRPr="00F93843">
        <w:t>-</w:t>
      </w:r>
      <w:r w:rsidR="002A2108">
        <w:t xml:space="preserve"> </w:t>
      </w:r>
      <w:r w:rsidR="003C6005" w:rsidRPr="00F93843">
        <w:t xml:space="preserve">darkness and </w:t>
      </w:r>
      <w:proofErr w:type="gramStart"/>
      <w:r w:rsidR="003C6005" w:rsidRPr="00F93843">
        <w:t>45</w:t>
      </w:r>
      <w:r w:rsidR="00006014">
        <w:t xml:space="preserve"> </w:t>
      </w:r>
      <w:proofErr w:type="spellStart"/>
      <w:r w:rsidR="003C6005" w:rsidRPr="00220297">
        <w:rPr>
          <w:color w:val="FF0000"/>
          <w:vertAlign w:val="superscript"/>
        </w:rPr>
        <w:t>ο</w:t>
      </w:r>
      <w:r w:rsidR="003C6005" w:rsidRPr="00220297">
        <w:rPr>
          <w:color w:val="FF0000"/>
        </w:rPr>
        <w:t>C</w:t>
      </w:r>
      <w:proofErr w:type="spellEnd"/>
      <w:r w:rsidR="003C6005" w:rsidRPr="00F93843">
        <w:t>-</w:t>
      </w:r>
      <w:r w:rsidR="00B45265">
        <w:t xml:space="preserve"> </w:t>
      </w:r>
      <w:r w:rsidR="003C6005" w:rsidRPr="00F93843">
        <w:t>light</w:t>
      </w:r>
      <w:proofErr w:type="gramEnd"/>
      <w:r w:rsidR="003C6005" w:rsidRPr="00F93843">
        <w:t>) and humidity (RH 35, 70 and 95</w:t>
      </w:r>
      <w:r w:rsidR="00006014">
        <w:t xml:space="preserve"> </w:t>
      </w:r>
      <w:r w:rsidR="003C6005" w:rsidRPr="00F93843">
        <w:t xml:space="preserve">%) for 60 days. </w:t>
      </w:r>
      <w:r w:rsidRPr="00F93843">
        <w:t xml:space="preserve">During storage, </w:t>
      </w:r>
      <w:r w:rsidR="003C6005" w:rsidRPr="00F93843">
        <w:t>EE</w:t>
      </w:r>
      <w:r w:rsidRPr="00F93843">
        <w:t xml:space="preserve"> of the </w:t>
      </w:r>
      <w:r w:rsidR="003C6005" w:rsidRPr="00F93843">
        <w:t xml:space="preserve">two antimicrobial agents, namely </w:t>
      </w:r>
      <w:r w:rsidR="002A2108" w:rsidRPr="00E10D8C">
        <w:rPr>
          <w:color w:val="FF0000"/>
        </w:rPr>
        <w:t>OEO</w:t>
      </w:r>
      <w:r w:rsidR="001C706E">
        <w:t xml:space="preserve"> </w:t>
      </w:r>
      <w:r w:rsidR="002A2108">
        <w:t xml:space="preserve">and </w:t>
      </w:r>
      <w:proofErr w:type="spellStart"/>
      <w:r w:rsidR="002A2108">
        <w:t>flavomix</w:t>
      </w:r>
      <w:proofErr w:type="spellEnd"/>
      <w:r w:rsidR="002A2108">
        <w:t>,</w:t>
      </w:r>
      <w:r w:rsidR="003C6005" w:rsidRPr="00F93843">
        <w:t xml:space="preserve"> </w:t>
      </w:r>
      <w:r w:rsidRPr="00F93843">
        <w:t>was studied over time at regular intervals (</w:t>
      </w:r>
      <w:r w:rsidR="003C6005" w:rsidRPr="00F93843">
        <w:t xml:space="preserve">2, </w:t>
      </w:r>
      <w:r w:rsidRPr="00F93843">
        <w:t>5, 10, 20</w:t>
      </w:r>
      <w:r w:rsidR="003C6005" w:rsidRPr="00F93843">
        <w:t>, 30</w:t>
      </w:r>
      <w:r w:rsidRPr="00F93843">
        <w:t xml:space="preserve"> an</w:t>
      </w:r>
      <w:r w:rsidR="003C6005" w:rsidRPr="00F93843">
        <w:t>d 6</w:t>
      </w:r>
      <w:r w:rsidRPr="00F93843">
        <w:t xml:space="preserve">0 days) and was calculated </w:t>
      </w:r>
      <w:r w:rsidR="000400EE" w:rsidRPr="00F93843">
        <w:t xml:space="preserve">as described in </w:t>
      </w:r>
      <w:r w:rsidR="00041462" w:rsidRPr="00F93843">
        <w:t>Section 2</w:t>
      </w:r>
      <w:r w:rsidR="00BB2002" w:rsidRPr="00F93843">
        <w:t>.2</w:t>
      </w:r>
      <w:r w:rsidR="00041462" w:rsidRPr="00F93843">
        <w:t>.</w:t>
      </w:r>
      <w:r w:rsidR="000400EE" w:rsidRPr="00F93843">
        <w:t xml:space="preserve"> The</w:t>
      </w:r>
      <w:r w:rsidR="000400EE" w:rsidRPr="00276C3C">
        <w:t xml:space="preserve"> measuremen</w:t>
      </w:r>
      <w:r w:rsidR="000400EE">
        <w:t>ts were conducted in duplicate</w:t>
      </w:r>
      <w:r w:rsidR="000400EE" w:rsidRPr="00276C3C">
        <w:t>.</w:t>
      </w:r>
    </w:p>
    <w:p w14:paraId="53FBFF49" w14:textId="1FA76617" w:rsidR="00167BC2" w:rsidRPr="006262B1" w:rsidRDefault="00103895" w:rsidP="00D265DF">
      <w:pPr>
        <w:pStyle w:val="CETheadingx"/>
        <w:rPr>
          <w:lang w:val="el-GR"/>
        </w:rPr>
      </w:pPr>
      <w:r>
        <w:rPr>
          <w:lang w:val="en-GB"/>
        </w:rPr>
        <w:t>Statistical a</w:t>
      </w:r>
      <w:r w:rsidR="00167BC2" w:rsidRPr="006262B1">
        <w:rPr>
          <w:lang w:val="en-GB"/>
        </w:rPr>
        <w:t>nalysis</w:t>
      </w:r>
    </w:p>
    <w:p w14:paraId="7D46290C" w14:textId="5C73E3CC" w:rsidR="00983419" w:rsidRPr="00A0656B" w:rsidRDefault="00D265DF" w:rsidP="00C65F83">
      <w:pPr>
        <w:pStyle w:val="CETBodytext"/>
        <w:rPr>
          <w:lang w:val="en-GB"/>
        </w:rPr>
      </w:pPr>
      <w:r w:rsidRPr="006262B1">
        <w:t xml:space="preserve">One-way and factorial analysis of variance (ANOVA) was applied in order to </w:t>
      </w:r>
      <w:proofErr w:type="spellStart"/>
      <w:r w:rsidRPr="006262B1">
        <w:t>analyse</w:t>
      </w:r>
      <w:proofErr w:type="spellEnd"/>
      <w:r w:rsidRPr="006262B1">
        <w:t xml:space="preserve"> the differences between the produced </w:t>
      </w:r>
      <w:r w:rsidR="008E0FC4" w:rsidRPr="006262B1">
        <w:t>polymers</w:t>
      </w:r>
      <w:r w:rsidRPr="006262B1">
        <w:t>. Tukey’s range test (a=0.05) was applied and all the statistical tests were performed with</w:t>
      </w:r>
      <w:r w:rsidR="006262B1" w:rsidRPr="006262B1">
        <w:t xml:space="preserve"> STATISTICA software (version 13.6</w:t>
      </w:r>
      <w:r w:rsidRPr="006262B1">
        <w:t xml:space="preserve">, </w:t>
      </w:r>
      <w:proofErr w:type="spellStart"/>
      <w:r w:rsidRPr="006262B1">
        <w:t>StatSoft</w:t>
      </w:r>
      <w:r w:rsidRPr="006262B1">
        <w:rPr>
          <w:vertAlign w:val="superscript"/>
        </w:rPr>
        <w:t>®</w:t>
      </w:r>
      <w:r w:rsidRPr="006262B1">
        <w:t>Inc</w:t>
      </w:r>
      <w:proofErr w:type="spellEnd"/>
      <w:r w:rsidRPr="006262B1">
        <w:t>., Palo Alto, USA).</w:t>
      </w:r>
    </w:p>
    <w:p w14:paraId="677EBFF0" w14:textId="25ACE9AD" w:rsidR="00600535" w:rsidRDefault="00103895" w:rsidP="00600535">
      <w:pPr>
        <w:pStyle w:val="CETHeading1"/>
        <w:tabs>
          <w:tab w:val="clear" w:pos="360"/>
          <w:tab w:val="right" w:pos="7100"/>
        </w:tabs>
        <w:jc w:val="both"/>
        <w:rPr>
          <w:lang w:val="en-GB"/>
        </w:rPr>
      </w:pPr>
      <w:r>
        <w:rPr>
          <w:lang w:val="en-GB"/>
        </w:rPr>
        <w:t>Results and d</w:t>
      </w:r>
      <w:r w:rsidR="00983419">
        <w:rPr>
          <w:lang w:val="en-GB"/>
        </w:rPr>
        <w:t>iscussion</w:t>
      </w:r>
    </w:p>
    <w:p w14:paraId="4283D314" w14:textId="094D4783" w:rsidR="00356A80" w:rsidRDefault="00A576C1" w:rsidP="00780840">
      <w:pPr>
        <w:pStyle w:val="CETBodytext"/>
        <w:rPr>
          <w:lang w:val="en-GB"/>
        </w:rPr>
      </w:pPr>
      <w:r>
        <w:rPr>
          <w:lang w:val="en-GB"/>
        </w:rPr>
        <w:t xml:space="preserve">The encapsulation </w:t>
      </w:r>
      <w:r w:rsidRPr="00641C98">
        <w:rPr>
          <w:lang w:val="en-GB"/>
        </w:rPr>
        <w:t>efficiencies for</w:t>
      </w:r>
      <w:r>
        <w:rPr>
          <w:lang w:val="en-GB"/>
        </w:rPr>
        <w:t xml:space="preserve"> the</w:t>
      </w:r>
      <w:r w:rsidRPr="00641C98">
        <w:rPr>
          <w:lang w:val="en-GB"/>
        </w:rPr>
        <w:t xml:space="preserve"> </w:t>
      </w:r>
      <w:r w:rsidR="006A0D15">
        <w:rPr>
          <w:lang w:val="en-GB"/>
        </w:rPr>
        <w:t xml:space="preserve">polymers </w:t>
      </w:r>
      <w:r w:rsidRPr="00641C98">
        <w:rPr>
          <w:lang w:val="en-GB"/>
        </w:rPr>
        <w:t xml:space="preserve">with </w:t>
      </w:r>
      <w:r>
        <w:rPr>
          <w:lang w:val="en-GB"/>
        </w:rPr>
        <w:t xml:space="preserve">the encapsulated </w:t>
      </w:r>
      <w:r w:rsidR="00837AF1" w:rsidRPr="00E10D8C">
        <w:rPr>
          <w:color w:val="FF0000"/>
          <w:lang w:val="en-GB"/>
        </w:rPr>
        <w:t>OEO</w:t>
      </w:r>
      <w:r>
        <w:rPr>
          <w:lang w:val="en-GB"/>
        </w:rPr>
        <w:t xml:space="preserve"> </w:t>
      </w:r>
      <w:r w:rsidR="001C706E">
        <w:rPr>
          <w:lang w:val="en-GB"/>
        </w:rPr>
        <w:t xml:space="preserve">and </w:t>
      </w:r>
      <w:proofErr w:type="spellStart"/>
      <w:r w:rsidR="001C706E">
        <w:rPr>
          <w:lang w:val="en-GB"/>
        </w:rPr>
        <w:t>f</w:t>
      </w:r>
      <w:r w:rsidRPr="00641C98">
        <w:rPr>
          <w:lang w:val="en-GB"/>
        </w:rPr>
        <w:t>lavomix</w:t>
      </w:r>
      <w:proofErr w:type="spellEnd"/>
      <w:r w:rsidRPr="00641C98">
        <w:rPr>
          <w:lang w:val="en-GB"/>
        </w:rPr>
        <w:t xml:space="preserve"> </w:t>
      </w:r>
      <w:r>
        <w:rPr>
          <w:lang w:val="en-GB"/>
        </w:rPr>
        <w:t xml:space="preserve">produced under </w:t>
      </w:r>
      <w:r w:rsidRPr="00641C98">
        <w:rPr>
          <w:lang w:val="en-GB"/>
        </w:rPr>
        <w:t xml:space="preserve">various conditions </w:t>
      </w:r>
      <w:r>
        <w:rPr>
          <w:lang w:val="en-GB"/>
        </w:rPr>
        <w:t xml:space="preserve">of </w:t>
      </w:r>
      <w:r w:rsidRPr="00E10D8C">
        <w:rPr>
          <w:color w:val="FF0000"/>
          <w:lang w:val="en-GB"/>
        </w:rPr>
        <w:t>OEO</w:t>
      </w:r>
      <w:r>
        <w:rPr>
          <w:lang w:val="en-GB"/>
        </w:rPr>
        <w:t xml:space="preserve"> and </w:t>
      </w:r>
      <w:proofErr w:type="spellStart"/>
      <w:r>
        <w:rPr>
          <w:lang w:val="en-GB"/>
        </w:rPr>
        <w:t>flavomix</w:t>
      </w:r>
      <w:proofErr w:type="spellEnd"/>
      <w:r>
        <w:rPr>
          <w:lang w:val="en-GB"/>
        </w:rPr>
        <w:t xml:space="preserve"> concentration, screw rotation speed and temperature, </w:t>
      </w:r>
      <w:r w:rsidRPr="00641C98">
        <w:rPr>
          <w:lang w:val="en-GB"/>
        </w:rPr>
        <w:t>are shown in Tables</w:t>
      </w:r>
      <w:r w:rsidR="004F41FB">
        <w:rPr>
          <w:lang w:val="en-GB"/>
        </w:rPr>
        <w:t xml:space="preserve"> 2 and 3, respectively</w:t>
      </w:r>
      <w:r w:rsidRPr="00641C98">
        <w:rPr>
          <w:lang w:val="en-GB"/>
        </w:rPr>
        <w:t>.</w:t>
      </w:r>
    </w:p>
    <w:p w14:paraId="6125C083" w14:textId="1ADE33B5" w:rsidR="004F41FB" w:rsidRPr="00850637" w:rsidRDefault="004F41FB" w:rsidP="004F41FB">
      <w:pPr>
        <w:pStyle w:val="CETBodytext"/>
        <w:rPr>
          <w:lang w:val="en-GB"/>
        </w:rPr>
      </w:pPr>
      <w:r>
        <w:rPr>
          <w:lang w:val="en-GB"/>
        </w:rPr>
        <w:t>The encapsulation</w:t>
      </w:r>
      <w:r w:rsidRPr="00641C98">
        <w:rPr>
          <w:lang w:val="en-GB"/>
        </w:rPr>
        <w:t xml:space="preserve"> rate </w:t>
      </w:r>
      <w:r>
        <w:rPr>
          <w:lang w:val="en-GB"/>
        </w:rPr>
        <w:t xml:space="preserve">of </w:t>
      </w:r>
      <w:r w:rsidR="00623D86" w:rsidRPr="00E10D8C">
        <w:rPr>
          <w:color w:val="FF0000"/>
          <w:lang w:val="en-GB"/>
        </w:rPr>
        <w:t>OEO</w:t>
      </w:r>
      <w:r w:rsidR="00623D86">
        <w:rPr>
          <w:lang w:val="en-GB"/>
        </w:rPr>
        <w:t xml:space="preserve"> </w:t>
      </w:r>
      <w:r>
        <w:rPr>
          <w:lang w:val="en-GB"/>
        </w:rPr>
        <w:t>polymer</w:t>
      </w:r>
      <w:r w:rsidRPr="00641C98">
        <w:rPr>
          <w:lang w:val="en-GB"/>
        </w:rPr>
        <w:t xml:space="preserve">s is on average for all </w:t>
      </w:r>
      <w:r>
        <w:rPr>
          <w:lang w:val="en-GB"/>
        </w:rPr>
        <w:t xml:space="preserve">studied </w:t>
      </w:r>
      <w:r w:rsidRPr="00641C98">
        <w:rPr>
          <w:lang w:val="en-GB"/>
        </w:rPr>
        <w:t>conditions equal to 67.4</w:t>
      </w:r>
      <w:r>
        <w:rPr>
          <w:lang w:val="en-GB"/>
        </w:rPr>
        <w:t xml:space="preserve"> </w:t>
      </w:r>
      <w:r w:rsidRPr="00641C98">
        <w:rPr>
          <w:lang w:val="en-GB"/>
        </w:rPr>
        <w:t xml:space="preserve">%, while the corresponding rate </w:t>
      </w:r>
      <w:r>
        <w:rPr>
          <w:lang w:val="en-GB"/>
        </w:rPr>
        <w:t>of the polymer</w:t>
      </w:r>
      <w:r w:rsidRPr="00641C98">
        <w:rPr>
          <w:lang w:val="en-GB"/>
        </w:rPr>
        <w:t>s</w:t>
      </w:r>
      <w:r>
        <w:rPr>
          <w:lang w:val="en-GB"/>
        </w:rPr>
        <w:t xml:space="preserve"> with </w:t>
      </w:r>
      <w:proofErr w:type="spellStart"/>
      <w:r>
        <w:rPr>
          <w:lang w:val="en-GB"/>
        </w:rPr>
        <w:t>f</w:t>
      </w:r>
      <w:r w:rsidRPr="00641C98">
        <w:rPr>
          <w:lang w:val="en-GB"/>
        </w:rPr>
        <w:t>lavomix</w:t>
      </w:r>
      <w:proofErr w:type="spellEnd"/>
      <w:r w:rsidRPr="00641C98">
        <w:rPr>
          <w:lang w:val="en-GB"/>
        </w:rPr>
        <w:t xml:space="preserve"> is ​​higher by 3.5</w:t>
      </w:r>
      <w:r>
        <w:rPr>
          <w:lang w:val="en-GB"/>
        </w:rPr>
        <w:t xml:space="preserve"> </w:t>
      </w:r>
      <w:r w:rsidRPr="00641C98">
        <w:rPr>
          <w:lang w:val="en-GB"/>
        </w:rPr>
        <w:t>% and equal to 70.9</w:t>
      </w:r>
      <w:r>
        <w:rPr>
          <w:lang w:val="en-GB"/>
        </w:rPr>
        <w:t xml:space="preserve"> </w:t>
      </w:r>
      <w:r w:rsidRPr="00641C98">
        <w:rPr>
          <w:lang w:val="en-GB"/>
        </w:rPr>
        <w:t xml:space="preserve">%. The difference between </w:t>
      </w:r>
      <w:r>
        <w:rPr>
          <w:lang w:val="en-GB"/>
        </w:rPr>
        <w:t>the EEs of</w:t>
      </w:r>
      <w:r w:rsidRPr="00641C98">
        <w:rPr>
          <w:lang w:val="en-GB"/>
        </w:rPr>
        <w:t xml:space="preserve"> the two antimicrobial agents is probably due to their</w:t>
      </w:r>
      <w:r w:rsidRPr="008D4B2F">
        <w:rPr>
          <w:lang w:val="en-GB"/>
        </w:rPr>
        <w:t xml:space="preserve"> </w:t>
      </w:r>
      <w:r>
        <w:rPr>
          <w:lang w:val="en-GB"/>
        </w:rPr>
        <w:t>form</w:t>
      </w:r>
      <w:r w:rsidRPr="00641C98">
        <w:rPr>
          <w:lang w:val="en-GB"/>
        </w:rPr>
        <w:t xml:space="preserve">. Specifically, </w:t>
      </w:r>
      <w:proofErr w:type="spellStart"/>
      <w:r>
        <w:rPr>
          <w:lang w:val="en-GB"/>
        </w:rPr>
        <w:t>f</w:t>
      </w:r>
      <w:r w:rsidRPr="00641C98">
        <w:rPr>
          <w:lang w:val="en-GB"/>
        </w:rPr>
        <w:t>lavomix</w:t>
      </w:r>
      <w:proofErr w:type="spellEnd"/>
      <w:r w:rsidRPr="00641C98">
        <w:rPr>
          <w:lang w:val="en-GB"/>
        </w:rPr>
        <w:t xml:space="preserve"> was in solid powder form, while </w:t>
      </w:r>
      <w:r w:rsidR="00837AF1" w:rsidRPr="00E10D8C">
        <w:rPr>
          <w:color w:val="FF0000"/>
          <w:lang w:val="en-GB"/>
        </w:rPr>
        <w:t>OEO</w:t>
      </w:r>
      <w:r w:rsidR="00837AF1">
        <w:rPr>
          <w:lang w:val="en-GB"/>
        </w:rPr>
        <w:t xml:space="preserve"> </w:t>
      </w:r>
      <w:r w:rsidRPr="00641C98">
        <w:rPr>
          <w:lang w:val="en-GB"/>
        </w:rPr>
        <w:t xml:space="preserve">was added to the extruder as a liquid extract. At high </w:t>
      </w:r>
      <w:r>
        <w:rPr>
          <w:lang w:val="en-GB"/>
        </w:rPr>
        <w:t xml:space="preserve">operating </w:t>
      </w:r>
      <w:r w:rsidRPr="00641C98">
        <w:rPr>
          <w:lang w:val="en-GB"/>
        </w:rPr>
        <w:t xml:space="preserve">temperatures, small amounts of oil may evaporate and there may be losses. This is also confirmed by the fact that the </w:t>
      </w:r>
      <w:r>
        <w:rPr>
          <w:lang w:val="en-GB"/>
        </w:rPr>
        <w:t>polymer</w:t>
      </w:r>
      <w:r w:rsidRPr="00641C98">
        <w:rPr>
          <w:lang w:val="en-GB"/>
        </w:rPr>
        <w:t>s</w:t>
      </w:r>
      <w:r>
        <w:rPr>
          <w:lang w:val="en-GB"/>
        </w:rPr>
        <w:t xml:space="preserve"> produced at</w:t>
      </w:r>
      <w:r w:rsidRPr="00641C98">
        <w:rPr>
          <w:lang w:val="en-GB"/>
        </w:rPr>
        <w:t xml:space="preserve"> lower temperature</w:t>
      </w:r>
      <w:r>
        <w:rPr>
          <w:lang w:val="en-GB"/>
        </w:rPr>
        <w:t>s</w:t>
      </w:r>
      <w:r w:rsidRPr="00641C98">
        <w:rPr>
          <w:lang w:val="en-GB"/>
        </w:rPr>
        <w:t xml:space="preserve"> and screw rotation spee</w:t>
      </w:r>
      <w:r>
        <w:rPr>
          <w:lang w:val="en-GB"/>
        </w:rPr>
        <w:t xml:space="preserve">ds showed </w:t>
      </w:r>
      <w:r w:rsidRPr="00641C98">
        <w:rPr>
          <w:lang w:val="en-GB"/>
        </w:rPr>
        <w:t xml:space="preserve">higher </w:t>
      </w:r>
      <w:r>
        <w:rPr>
          <w:lang w:val="en-GB"/>
        </w:rPr>
        <w:t>EE</w:t>
      </w:r>
      <w:r w:rsidRPr="00641C98">
        <w:rPr>
          <w:lang w:val="en-GB"/>
        </w:rPr>
        <w:t xml:space="preserve">. In general, the best production conditions for both antimicrobials were at screw speed of 50 rpm and extrusion temperature of 180 </w:t>
      </w:r>
      <w:proofErr w:type="spellStart"/>
      <w:r w:rsidRPr="00B6348E">
        <w:rPr>
          <w:vertAlign w:val="superscript"/>
          <w:lang w:val="en-GB"/>
        </w:rPr>
        <w:lastRenderedPageBreak/>
        <w:t>o</w:t>
      </w:r>
      <w:r>
        <w:rPr>
          <w:lang w:val="en-GB"/>
        </w:rPr>
        <w:t>C.</w:t>
      </w:r>
      <w:proofErr w:type="spellEnd"/>
      <w:r>
        <w:rPr>
          <w:lang w:val="en-GB"/>
        </w:rPr>
        <w:t xml:space="preserve"> The abovementioned </w:t>
      </w:r>
      <w:r w:rsidRPr="00641C98">
        <w:rPr>
          <w:lang w:val="en-GB"/>
        </w:rPr>
        <w:t xml:space="preserve">combination of conditions was also the most easily manageable </w:t>
      </w:r>
      <w:r w:rsidRPr="00850637">
        <w:rPr>
          <w:lang w:val="en-GB"/>
        </w:rPr>
        <w:t>without the occurrence of any interruption during the process.</w:t>
      </w:r>
    </w:p>
    <w:p w14:paraId="31CB5918" w14:textId="346937E1" w:rsidR="004F41FB" w:rsidRPr="008D16B2" w:rsidRDefault="004F41FB" w:rsidP="00780840">
      <w:pPr>
        <w:pStyle w:val="CETBodytext"/>
        <w:rPr>
          <w:lang w:val="en-GB"/>
        </w:rPr>
      </w:pPr>
      <w:r w:rsidRPr="00850637">
        <w:rPr>
          <w:lang w:val="en-GB"/>
        </w:rPr>
        <w:t xml:space="preserve">Based on literature, natural polymer films and </w:t>
      </w:r>
      <w:r w:rsidRPr="00E10D8C">
        <w:rPr>
          <w:color w:val="FF0000"/>
          <w:lang w:val="en-GB"/>
        </w:rPr>
        <w:t>LDPE</w:t>
      </w:r>
      <w:r w:rsidRPr="00850637">
        <w:rPr>
          <w:lang w:val="en-GB"/>
        </w:rPr>
        <w:t xml:space="preserve"> films containing antimicrobial agents from essential oils </w:t>
      </w:r>
      <w:r w:rsidR="00E10D8C" w:rsidRPr="00E10D8C">
        <w:rPr>
          <w:color w:val="FF0000"/>
          <w:lang w:val="en-GB"/>
        </w:rPr>
        <w:fldChar w:fldCharType="begin" w:fldLock="1"/>
      </w:r>
      <w:r w:rsidR="00E10D8C" w:rsidRPr="00E10D8C">
        <w:rPr>
          <w:color w:val="FF0000"/>
          <w:lang w:val="en-GB"/>
        </w:rPr>
        <w:instrText>ADDIN CSL_CITATION {"citationItems":[{"id":"ITEM-1","itemData":{"DOI":"10.1016/j.ijbiomac.2020.04.139","ISSN":"18790003","PMID":"32380104","abstract":"A novel active LDPE/TPS nanocomposite films containing date palm seed extracts (Kabkab variety) were developed using D-optimal mixture design. 20 different blends of components including LDPE, TPS, Cloisite 20A, PE-g-MA, EDTA and date palm seed extract in different proportions were prepared. Using trace and counter plots the effects of each component on the mechanical and antibacterial properties of the composites were studied. The results showed that the films containing a mixture of date seed extract and EDTA had notable antibacterial activity against E. coli and S. aureus; however, these components weakened the mechanical properties of the prepared films. At the same time Cloisite 20A nanoparticles strengthened the films mechanical properties. The optimized formulation for the overall best antibacterial and mechanical properties was 67.5 wt% for LDPE, 4.1 wt% for date seed extract, 2.8 wt% for Cloisite 20A and 2.5 wt% for EDTA. The studied properties of the manufactured film samples were close to the values predicted by the model.","author":[{"dropping-particle":"","family":"Radfar","given":"Ramin","non-dropping-particle":"","parse-names":false,"suffix":""},{"dropping-particle":"","family":"Hosseini","given":"Hedayat","non-dropping-particle":"","parse-names":false,"suffix":""},{"dropping-particle":"","family":"Farhoodi","given":"Mehdi","non-dropping-particle":"","parse-names":false,"suffix":""},{"dropping-particle":"","family":"Ghasemi","given":"Ismail","non-dropping-particle":"","parse-names":false,"suffix":""},{"dropping-particle":"","family":"Średnicka-Tober","given":"Dominika","non-dropping-particle":"","parse-names":false,"suffix":""},{"dropping-particle":"","family":"Shamloo","given":"Ehsan","non-dropping-particle":"","parse-names":false,"suffix":""},{"dropping-particle":"","family":"Mousavi Khaneghah","given":"Amin","non-dropping-particle":"","parse-names":false,"suffix":""}],"container-title":"International Journal of Biological Macromolecules","id":"ITEM-1","issued":{"date-parts":[["2020"]]},"page":"790-799","publisher":"Elsevier B.V.","title":"Optimization of antibacterial and mechanical properties of an active LDPE/starch/nanoclay nanocomposite film incorporated with date palm seed extract using D-optimal mixture design approach","type":"article-journal","volume":"158"},"uris":["http://www.mendeley.com/documents/?uuid=f0b5a237-d57e-467a-930e-04d1a1f11d52"]}],"mendeley":{"formattedCitation":"(Radfar &lt;i&gt;et al.&lt;/i&gt;, 2020)","plainTextFormattedCitation":"(Radfar et al., 2020)","previouslyFormattedCitation":"(Radfar &lt;i&gt;et al.&lt;/i&gt;, 2020)"},"properties":{"noteIndex":0},"schema":"https://github.com/citation-style-language/schema/raw/master/csl-citation.json"}</w:instrText>
      </w:r>
      <w:r w:rsidR="00E10D8C" w:rsidRPr="00E10D8C">
        <w:rPr>
          <w:color w:val="FF0000"/>
          <w:lang w:val="en-GB"/>
        </w:rPr>
        <w:fldChar w:fldCharType="separate"/>
      </w:r>
      <w:r w:rsidR="00E10D8C" w:rsidRPr="00E10D8C">
        <w:rPr>
          <w:noProof/>
          <w:color w:val="FF0000"/>
          <w:lang w:val="en-GB"/>
        </w:rPr>
        <w:t>(Radfar et al., 2020)</w:t>
      </w:r>
      <w:r w:rsidR="00E10D8C" w:rsidRPr="00E10D8C">
        <w:rPr>
          <w:color w:val="FF0000"/>
          <w:lang w:val="en-GB"/>
        </w:rPr>
        <w:fldChar w:fldCharType="end"/>
      </w:r>
      <w:r w:rsidR="00E10D8C" w:rsidRPr="00E10D8C">
        <w:rPr>
          <w:color w:val="FF0000"/>
          <w:lang w:val="en-GB"/>
        </w:rPr>
        <w:t xml:space="preserve"> </w:t>
      </w:r>
      <w:r w:rsidRPr="00E10D8C">
        <w:rPr>
          <w:lang w:val="en-GB"/>
        </w:rPr>
        <w:t xml:space="preserve">and seed extracts </w:t>
      </w:r>
      <w:r w:rsidR="00E10D8C" w:rsidRPr="00E10D8C">
        <w:rPr>
          <w:color w:val="FF0000"/>
          <w:lang w:val="en-GB"/>
        </w:rPr>
        <w:fldChar w:fldCharType="begin" w:fldLock="1"/>
      </w:r>
      <w:r w:rsidR="00E10D8C" w:rsidRPr="00E10D8C">
        <w:rPr>
          <w:color w:val="FF0000"/>
          <w:lang w:val="en-GB"/>
        </w:rPr>
        <w:instrText>ADDIN CSL_CITATION {"citationItems":[{"id":"ITEM-1","itemData":{"DOI":"10.1016/j.ijbiomac.2012.08.026","ISSN":"01418130","PMID":"22959956","abstract":"The present work was aimed at characterizing biodegradable composite kappa-carrageenan films incorporated with Satureja hortensis (SEO) in terms of their physical, optical, mechanical, barrier and antioxidant properties. Also, in a comparative study, we sought to evaluate the antimicrobial effectiveness of these films against five pathogens. The films' water vapor barrier properties were found to improve considerably upon the addition of SEO. Carrageenan composite films were less resistant to breakage, more flexible and more opaque with lower gloss than the control film. These results can be explained by the film's microstructure, which was analyzed by atomic force microscopy and scanning electron microscopy. The films incorporating SEO showed good antioxidant properties; this effect was greatly improved when the proportion of added SEO was 3%. Films with SEO effectively inhibited the five microorganisms tested. The results of the present study suggest that SEO as a natural antibacterial agent can potentially be used in packaging a wide range of food products, particularly those that are highly oxidative and microbial sensitive. © 2012 Elsevier B.V.","author":[{"dropping-particle":"","family":"Shojaee-Aliabadi","given":"Saeedeh","non-dropping-particle":"","parse-names":false,"suffix":""},{"dropping-particle":"","family":"Hosseini","given":"Hedayat","non-dropping-particle":"","parse-names":false,"suffix":""},{"dropping-particle":"","family":"Mohammadifar","given":"Mohammad Amin","non-dropping-particle":"","parse-names":false,"suffix":""},{"dropping-particle":"","family":"Mohammadi","given":"Abdorreza","non-dropping-particle":"","parse-names":false,"suffix":""},{"dropping-particle":"","family":"Ghasemlou","given":"Mehran","non-dropping-particle":"","parse-names":false,"suffix":""},{"dropping-particle":"","family":"Ojagh","given":"Seyed Mahdi","non-dropping-particle":"","parse-names":false,"suffix":""},{"dropping-particle":"","family":"Hosseini","given":"Seyede Marzieh","non-dropping-particle":"","parse-names":false,"suffix":""},{"dropping-particle":"","family":"Khaksar","given":"Ramin","non-dropping-particle":"","parse-names":false,"suffix":""}],"container-title":"International Journal of Biological Macromolecules","id":"ITEM-1","issue":"1","issued":{"date-parts":[["2013"]]},"page":"116-124","publisher":"Elsevier B.V.","title":"Characterization of antioxidant-antimicrobial κ-carrageenan films containing Satureja hortensis essential oil","type":"article-journal","volume":"52"},"uris":["http://www.mendeley.com/documents/?uuid=dd8e6e87-8b0f-4d4b-9697-93f290aa08e9"]}],"mendeley":{"formattedCitation":"(Shojaee-Aliabadi &lt;i&gt;et al.&lt;/i&gt;, 2013)","plainTextFormattedCitation":"(Shojaee-Aliabadi et al., 2013)"},"properties":{"noteIndex":0},"schema":"https://github.com/citation-style-language/schema/raw/master/csl-citation.json"}</w:instrText>
      </w:r>
      <w:r w:rsidR="00E10D8C" w:rsidRPr="00E10D8C">
        <w:rPr>
          <w:color w:val="FF0000"/>
          <w:lang w:val="en-GB"/>
        </w:rPr>
        <w:fldChar w:fldCharType="separate"/>
      </w:r>
      <w:r w:rsidR="00E10D8C" w:rsidRPr="00E10D8C">
        <w:rPr>
          <w:noProof/>
          <w:color w:val="FF0000"/>
          <w:lang w:val="en-GB"/>
        </w:rPr>
        <w:t>(Shojaee-Aliabadi et al., 2013)</w:t>
      </w:r>
      <w:r w:rsidR="00E10D8C" w:rsidRPr="00E10D8C">
        <w:rPr>
          <w:color w:val="FF0000"/>
          <w:lang w:val="en-GB"/>
        </w:rPr>
        <w:fldChar w:fldCharType="end"/>
      </w:r>
      <w:r w:rsidR="00E10D8C">
        <w:rPr>
          <w:lang w:val="en-GB"/>
        </w:rPr>
        <w:t xml:space="preserve"> </w:t>
      </w:r>
      <w:r w:rsidRPr="00B45265">
        <w:rPr>
          <w:lang w:val="en-GB"/>
        </w:rPr>
        <w:t>with the same or even lower encapsulation efficiency show</w:t>
      </w:r>
      <w:r w:rsidR="00E10D8C">
        <w:rPr>
          <w:lang w:val="en-GB"/>
        </w:rPr>
        <w:t xml:space="preserve"> notable antimicrobial activity</w:t>
      </w:r>
      <w:r w:rsidRPr="00B45265">
        <w:rPr>
          <w:lang w:val="en-GB"/>
        </w:rPr>
        <w:fldChar w:fldCharType="begin" w:fldLock="1"/>
      </w:r>
      <w:r w:rsidRPr="00B45265">
        <w:rPr>
          <w:lang w:val="en-GB"/>
        </w:rPr>
        <w:instrText>ADDIN CSL_CITATION {"citationItems":[{"id":"ITEM-1","itemData":{"DOI":"10.1016/j.ijbiomac.2020.04.139","ISSN":"18790003","PMID":"32380104","abstract":"A novel active LDPE/TPS nanocomposite films containing date palm seed extracts (Kabkab variety) were developed using D-optimal mixture design. 20 different blends of components including LDPE, TPS, Cloisite 20A, PE-g-MA, EDTA and date palm seed extract in different proportions were prepared. Using trace and counter plots the effects of each component on the mechanical and antibacterial properties of the composites were studied. The results showed that the films containing a mixture of date seed extract and EDTA had notable antibacterial activity against E. coli and S. aureus; however, these components weakened the mechanical properties of the prepared films. At the same time Cloisite 20A nanoparticles strengthened the films mechanical properties. The optimized formulation for the overall best antibacterial and mechanical properties was 67.5 wt% for LDPE, 4.1 wt% for date seed extract, 2.8 wt% for Cloisite 20A and 2.5 wt% for EDTA. The studied properties of the manufactured film samples were close to the values predicted by the model.","author":[{"dropping-particle":"","family":"Radfar","given":"Ramin","non-dropping-particle":"","parse-names":false,"suffix":""},{"dropping-particle":"","family":"Hosseini","given":"Hedayat","non-dropping-particle":"","parse-names":false,"suffix":""},{"dropping-particle":"","family":"Farhoodi","given":"Mehdi","non-dropping-particle":"","parse-names":false,"suffix":""},{"dropping-particle":"","family":"Ghasemi","given":"Ismail","non-dropping-particle":"","parse-names":false,"suffix":""},{"dropping-particle":"","family":"Średnicka-Tober","given":"Dominika","non-dropping-particle":"","parse-names":false,"suffix":""},{"dropping-particle":"","family":"Shamloo","given":"Ehsan","non-dropping-particle":"","parse-names":false,"suffix":""},{"dropping-particle":"","family":"Mousavi Khaneghah","given":"Amin","non-dropping-particle":"","parse-names":false,"suffix":""}],"container-title":"International Journal of Biological Macromolecules","id":"ITEM-1","issued":{"date-parts":[["2020"]]},"page":"790-799","publisher":"Elsevier B.V.","title":"Optimization of antibacterial and mechanical properties of an active LDPE/starch/nanoclay nanocomposite film incorporated with date palm seed extract using D-optimal mixture design approach","type":"article-journal","volume":"158"},"uris":["http://www.mendeley.com/documents/?uuid=f0b5a237-d57e-467a-930e-04d1a1f11d52"]},{"id":"ITEM-2","itemData":{"DOI":"10.1016/j.ijbiomac.2012.08.026","ISSN":"01418130","PMID":"22959956","abstract":"The present work was aimed at characterizing biodegradable composite kappa-carrageenan films incorporated with Satureja hortensis (SEO) in terms of their physical, optical, mechanical, barrier and antioxidant properties. Also, in a comparative study, we sought to evaluate the antimicrobial effectiveness of these films against five pathogens. The films' water vapor barrier properties were found to improve considerably upon the addition of SEO. Carrageenan composite films were less resistant to breakage, more flexible and more opaque with lower gloss than the control film. These results can be explained by the film's microstructure, which was analyzed by atomic force microscopy and scanning electron microscopy. The films incorporating SEO showed good antioxidant properties; this effect was greatly improved when the proportion of added SEO was 3%. Films with SEO effectively inhibited the five microorganisms tested. The results of the present study suggest that SEO as a natural antibacterial agent can potentially be used in packaging a wide range of food products, particularly those that are highly oxidative and microbial sensitive. © 2012 Elsevier B.V.","author":[{"dropping-particle":"","family":"Shojaee-Aliabadi","given":"Saeedeh","non-dropping-particle":"","parse-names":false,"suffix":""},{"dropping-particle":"","family":"Hosseini","given":"Hedayat","non-dropping-particle":"","parse-names":false,"suffix":""},{"dropping-particle":"","family":"Mohammadifar","given":"Mohammad Amin","non-dropping-particle":"","parse-names":false,"suffix":""},{"dropping-particle":"","family":"Mohammadi","given":"Abdorreza","non-dropping-particle":"","parse-names":false,"suffix":""},{"dropping-particle":"","family":"Ghasemlou","given":"Mehran","non-dropping-particle":"","parse-names":false,"suffix":""},{"dropping-particle":"","family":"Ojagh","given":"Seyed Mahdi","non-dropping-particle":"","parse-names":false,"suffix":""},{"dropping-particle":"","family":"Hosseini","given":"Seyede Marzieh","non-dropping-particle":"","parse-names":false,"suffix":""},{"dropping-particle":"","family":"Khaksar","given":"Ramin","non-dropping-particle":"","parse-names":false,"suffix":""}],"container-title":"International Journal of Biological Macromolecules","id":"ITEM-2","issue":"1","issued":{"date-parts":[["2013"]]},"page":"116-124","publisher":"Elsevier B.V.","title":"Characterization of antioxidant-antimicrobial κ-carrageenan films containing Satureja hortensis essential oil","type":"article-journal","volume":"52"},"uris":["http://www.mendeley.com/documents/?uuid=dd8e6e87-8b0f-4d4b-9697-93f290aa08e9"]}],"mendeley":{"formattedCitation":"(Shojaee-Aliabadi &lt;i&gt;et al.&lt;/i&gt;, 2013; Radfar &lt;i&gt;et al.&lt;/i&gt;, 2020)","plainTextFormattedCitation":"(Shojaee-Aliabadi et al., 2013; Radfar et al., 2020)","previouslyFormattedCitation":"(Shojaee-Aliabadi &lt;i&gt;et al.&lt;/i&gt;, 2013; Radfar &lt;i&gt;et al.&lt;/i&gt;, 2020)"},"properties":{"noteIndex":0},"schema":"https://github.com/citation-style-language/schema/raw/master/csl-citation.json"}</w:instrText>
      </w:r>
      <w:r w:rsidRPr="00B45265">
        <w:rPr>
          <w:lang w:val="en-GB"/>
        </w:rPr>
        <w:fldChar w:fldCharType="end"/>
      </w:r>
      <w:r w:rsidRPr="00B45265">
        <w:rPr>
          <w:lang w:val="en-GB"/>
        </w:rPr>
        <w:t>. In</w:t>
      </w:r>
      <w:r w:rsidRPr="00850637">
        <w:rPr>
          <w:lang w:val="en-GB"/>
        </w:rPr>
        <w:t xml:space="preserve"> </w:t>
      </w:r>
      <w:r w:rsidRPr="00B45265">
        <w:rPr>
          <w:lang w:val="en-GB"/>
        </w:rPr>
        <w:t xml:space="preserve">fact, </w:t>
      </w:r>
      <w:r w:rsidRPr="00B45265">
        <w:rPr>
          <w:iCs/>
          <w:lang w:val="en-GB"/>
        </w:rPr>
        <w:t xml:space="preserve">thanks to the addition of the agents, which consist of high percentages of phenolic compounds like </w:t>
      </w:r>
      <w:r w:rsidR="00837AF1" w:rsidRPr="00E10D8C">
        <w:rPr>
          <w:iCs/>
          <w:color w:val="FF0000"/>
          <w:lang w:val="en-GB"/>
        </w:rPr>
        <w:t>OEO</w:t>
      </w:r>
      <w:r w:rsidR="00837AF1" w:rsidRPr="00B45265">
        <w:rPr>
          <w:iCs/>
          <w:lang w:val="en-GB"/>
        </w:rPr>
        <w:t xml:space="preserve"> </w:t>
      </w:r>
      <w:r w:rsidRPr="00B45265">
        <w:rPr>
          <w:iCs/>
          <w:lang w:val="en-GB"/>
        </w:rPr>
        <w:t xml:space="preserve">and </w:t>
      </w:r>
      <w:proofErr w:type="spellStart"/>
      <w:r w:rsidRPr="00B45265">
        <w:rPr>
          <w:iCs/>
          <w:lang w:val="en-GB"/>
        </w:rPr>
        <w:t>flavomix</w:t>
      </w:r>
      <w:proofErr w:type="spellEnd"/>
      <w:r w:rsidRPr="00B45265">
        <w:rPr>
          <w:iCs/>
          <w:lang w:val="en-GB"/>
        </w:rPr>
        <w:t xml:space="preserve"> that were used in our study,</w:t>
      </w:r>
      <w:r w:rsidRPr="00B45265">
        <w:rPr>
          <w:lang w:val="en-GB"/>
        </w:rPr>
        <w:t xml:space="preserve"> the films of </w:t>
      </w:r>
      <w:r w:rsidRPr="00B45265">
        <w:rPr>
          <w:noProof/>
          <w:lang w:val="en-GB"/>
        </w:rPr>
        <w:t>Shojaee-Aliabadi</w:t>
      </w:r>
      <w:r w:rsidRPr="00B45265">
        <w:rPr>
          <w:lang w:val="en-GB"/>
        </w:rPr>
        <w:t xml:space="preserve"> </w:t>
      </w:r>
      <w:r w:rsidRPr="00B45265">
        <w:rPr>
          <w:lang w:val="en-GB"/>
        </w:rPr>
        <w:fldChar w:fldCharType="begin" w:fldLock="1"/>
      </w:r>
      <w:r w:rsidRPr="00B45265">
        <w:rPr>
          <w:lang w:val="en-GB"/>
        </w:rPr>
        <w:instrText>ADDIN CSL_CITATION {"citationItems":[{"id":"ITEM-1","itemData":{"DOI":"10.1016/j.ijbiomac.2012.08.026","ISSN":"01418130","PMID":"22959956","abstract":"The present work was aimed at characterizing biodegradable composite kappa-carrageenan films incorporated with Satureja hortensis (SEO) in terms of their physical, optical, mechanical, barrier and antioxidant properties. Also, in a comparative study, we sought to evaluate the antimicrobial effectiveness of these films against five pathogens. The films' water vapor barrier properties were found to improve considerably upon the addition of SEO. Carrageenan composite films were less resistant to breakage, more flexible and more opaque with lower gloss than the control film. These results can be explained by the film's microstructure, which was analyzed by atomic force microscopy and scanning electron microscopy. The films incorporating SEO showed good antioxidant properties; this effect was greatly improved when the proportion of added SEO was 3%. Films with SEO effectively inhibited the five microorganisms tested. The results of the present study suggest that SEO as a natural antibacterial agent can potentially be used in packaging a wide range of food products, particularly those that are highly oxidative and microbial sensitive. © 2012 Elsevier B.V.","author":[{"dropping-particle":"","family":"Shojaee-Aliabadi","given":"Saeedeh","non-dropping-particle":"","parse-names":false,"suffix":""},{"dropping-particle":"","family":"Hosseini","given":"Hedayat","non-dropping-particle":"","parse-names":false,"suffix":""},{"dropping-particle":"","family":"Mohammadifar","given":"Mohammad Amin","non-dropping-particle":"","parse-names":false,"suffix":""},{"dropping-particle":"","family":"Mohammadi","given":"Abdorreza","non-dropping-particle":"","parse-names":false,"suffix":""},{"dropping-particle":"","family":"Ghasemlou","given":"Mehran","non-dropping-particle":"","parse-names":false,"suffix":""},{"dropping-particle":"","family":"Ojagh","given":"Seyed Mahdi","non-dropping-particle":"","parse-names":false,"suffix":""},{"dropping-particle":"","family":"Hosseini","given":"Seyede Marzieh","non-dropping-particle":"","parse-names":false,"suffix":""},{"dropping-particle":"","family":"Khaksar","given":"Ramin","non-dropping-particle":"","parse-names":false,"suffix":""}],"container-title":"International Journal of Biological Macromolecules","id":"ITEM-1","issue":"1","issued":{"date-parts":[["2013"]]},"page":"116-124","publisher":"Elsevier B.V.","title":"Characterization of antioxidant-antimicrobial κ-carrageenan films containing Satureja hortensis essential oil","type":"article-journal","volume":"52"},"uris":["http://www.mendeley.com/documents/?uuid=dd8e6e87-8b0f-4d4b-9697-93f290aa08e9"]}],"mendeley":{"formattedCitation":"(Shojaee-Aliabadi &lt;i&gt;et al.&lt;/i&gt;, 2013)","plainTextFormattedCitation":"(Shojaee-Aliabadi et al., 2013)","previouslyFormattedCitation":"(Shojaee-Aliabadi &lt;i&gt;et al.&lt;/i&gt;, 2013)"},"properties":{"noteIndex":0},"schema":"https://github.com/citation-style-language/schema/raw/master/csl-citation.json"}</w:instrText>
      </w:r>
      <w:r w:rsidRPr="00B45265">
        <w:rPr>
          <w:lang w:val="en-GB"/>
        </w:rPr>
        <w:fldChar w:fldCharType="separate"/>
      </w:r>
      <w:r w:rsidRPr="00B45265">
        <w:rPr>
          <w:noProof/>
          <w:lang w:val="en-GB"/>
        </w:rPr>
        <w:t>(Shojaee-Aliabadi et al., 2013)</w:t>
      </w:r>
      <w:r w:rsidRPr="00B45265">
        <w:rPr>
          <w:lang w:val="en-GB"/>
        </w:rPr>
        <w:fldChar w:fldCharType="end"/>
      </w:r>
      <w:r w:rsidRPr="00B45265">
        <w:rPr>
          <w:lang w:val="en-GB"/>
        </w:rPr>
        <w:t xml:space="preserve"> and </w:t>
      </w:r>
      <w:r w:rsidRPr="00B45265">
        <w:rPr>
          <w:noProof/>
          <w:lang w:val="en-GB"/>
        </w:rPr>
        <w:t>Radfar</w:t>
      </w:r>
      <w:r w:rsidRPr="00B45265">
        <w:rPr>
          <w:lang w:val="en-GB"/>
        </w:rPr>
        <w:t xml:space="preserve"> </w:t>
      </w:r>
      <w:r w:rsidRPr="00B45265">
        <w:rPr>
          <w:lang w:val="en-GB"/>
        </w:rPr>
        <w:fldChar w:fldCharType="begin" w:fldLock="1"/>
      </w:r>
      <w:r w:rsidRPr="00B45265">
        <w:rPr>
          <w:lang w:val="en-GB"/>
        </w:rPr>
        <w:instrText>ADDIN CSL_CITATION {"citationItems":[{"id":"ITEM-1","itemData":{"DOI":"10.1016/j.ijbiomac.2020.04.139","ISSN":"18790003","PMID":"32380104","abstract":"A novel active LDPE/TPS nanocomposite films containing date palm seed extracts (Kabkab variety) were developed using D-optimal mixture design. 20 different blends of components including LDPE, TPS, Cloisite 20A, PE-g-MA, EDTA and date palm seed extract in different proportions were prepared. Using trace and counter plots the effects of each component on the mechanical and antibacterial properties of the composites were studied. The results showed that the films containing a mixture of date seed extract and EDTA had notable antibacterial activity against E. coli and S. aureus; however, these components weakened the mechanical properties of the prepared films. At the same time Cloisite 20A nanoparticles strengthened the films mechanical properties. The optimized formulation for the overall best antibacterial and mechanical properties was 67.5 wt% for LDPE, 4.1 wt% for date seed extract, 2.8 wt% for Cloisite 20A and 2.5 wt% for EDTA. The studied properties of the manufactured film samples were close to the values predicted by the model.","author":[{"dropping-particle":"","family":"Radfar","given":"Ramin","non-dropping-particle":"","parse-names":false,"suffix":""},{"dropping-particle":"","family":"Hosseini","given":"Hedayat","non-dropping-particle":"","parse-names":false,"suffix":""},{"dropping-particle":"","family":"Farhoodi","given":"Mehdi","non-dropping-particle":"","parse-names":false,"suffix":""},{"dropping-particle":"","family":"Ghasemi","given":"Ismail","non-dropping-particle":"","parse-names":false,"suffix":""},{"dropping-particle":"","family":"Średnicka-Tober","given":"Dominika","non-dropping-particle":"","parse-names":false,"suffix":""},{"dropping-particle":"","family":"Shamloo","given":"Ehsan","non-dropping-particle":"","parse-names":false,"suffix":""},{"dropping-particle":"","family":"Mousavi Khaneghah","given":"Amin","non-dropping-particle":"","parse-names":false,"suffix":""}],"container-title":"International Journal of Biological Macromolecules","id":"ITEM-1","issued":{"date-parts":[["2020"]]},"page":"790-799","publisher":"Elsevier B.V.","title":"Optimization of antibacterial and mechanical properties of an active LDPE/starch/nanoclay nanocomposite film incorporated with date palm seed extract using D-optimal mixture design approach","type":"article-journal","volume":"158"},"uris":["http://www.mendeley.com/documents/?uuid=f0b5a237-d57e-467a-930e-04d1a1f11d52"]}],"mendeley":{"formattedCitation":"(Radfar &lt;i&gt;et al.&lt;/i&gt;, 2020)","plainTextFormattedCitation":"(Radfar et al., 2020)","previouslyFormattedCitation":"(Radfar &lt;i&gt;et al.&lt;/i&gt;, 2020)"},"properties":{"noteIndex":0},"schema":"https://github.com/citation-style-language/schema/raw/master/csl-citation.json"}</w:instrText>
      </w:r>
      <w:r w:rsidRPr="00B45265">
        <w:rPr>
          <w:lang w:val="en-GB"/>
        </w:rPr>
        <w:fldChar w:fldCharType="separate"/>
      </w:r>
      <w:r w:rsidRPr="00B45265">
        <w:rPr>
          <w:noProof/>
          <w:lang w:val="en-GB"/>
        </w:rPr>
        <w:t>(Radfar et al., 2020)</w:t>
      </w:r>
      <w:r w:rsidRPr="00B45265">
        <w:rPr>
          <w:lang w:val="en-GB"/>
        </w:rPr>
        <w:fldChar w:fldCharType="end"/>
      </w:r>
      <w:r w:rsidRPr="00850637">
        <w:rPr>
          <w:lang w:val="en-GB"/>
        </w:rPr>
        <w:t xml:space="preserve"> could inhibit the growth of Gram-negative </w:t>
      </w:r>
      <w:r w:rsidRPr="00850637">
        <w:rPr>
          <w:i/>
          <w:lang w:val="en-GB"/>
        </w:rPr>
        <w:t>E. coli</w:t>
      </w:r>
      <w:r w:rsidRPr="00850637">
        <w:rPr>
          <w:lang w:val="en-GB"/>
        </w:rPr>
        <w:t xml:space="preserve"> and </w:t>
      </w:r>
      <w:r w:rsidRPr="00850637">
        <w:rPr>
          <w:i/>
          <w:iCs/>
          <w:lang w:val="en-GB"/>
        </w:rPr>
        <w:t xml:space="preserve">S. aureus, </w:t>
      </w:r>
      <w:r w:rsidRPr="00850637">
        <w:rPr>
          <w:iCs/>
          <w:lang w:val="en-GB"/>
        </w:rPr>
        <w:t>the two</w:t>
      </w:r>
      <w:r w:rsidRPr="00850637">
        <w:rPr>
          <w:i/>
          <w:iCs/>
          <w:lang w:val="en-GB"/>
        </w:rPr>
        <w:t xml:space="preserve"> </w:t>
      </w:r>
      <w:r w:rsidRPr="00850637">
        <w:rPr>
          <w:iCs/>
          <w:lang w:val="en-GB"/>
        </w:rPr>
        <w:t xml:space="preserve">most common found microbes in medical </w:t>
      </w:r>
      <w:r w:rsidRPr="008D16B2">
        <w:rPr>
          <w:iCs/>
          <w:lang w:val="en-GB"/>
        </w:rPr>
        <w:t xml:space="preserve">waste </w:t>
      </w:r>
      <w:r w:rsidRPr="008D16B2">
        <w:rPr>
          <w:iCs/>
          <w:lang w:val="en-GB"/>
        </w:rPr>
        <w:fldChar w:fldCharType="begin" w:fldLock="1"/>
      </w:r>
      <w:r w:rsidR="009A20BA" w:rsidRPr="008D16B2">
        <w:rPr>
          <w:iCs/>
          <w:lang w:val="en-GB"/>
        </w:rPr>
        <w:instrText>ADDIN CSL_CITATION {"citationItems":[{"id":"ITEM-1","itemData":{"author":[{"dropping-particle":"","family":"Saini","given":"Savita","non-dropping-particle":"","parse-names":false,"suffix":""},{"dropping-particle":"","family":"Das","given":"Bimal K","non-dropping-particle":"","parse-names":false,"suffix":""},{"dropping-particle":"","family":"Kapil","given":"Arti","non-dropping-particle":"","parse-names":false,"suffix":""},{"dropping-particle":"","family":"Nagarajan","given":"Shyama S","non-dropping-particle":"","parse-names":false,"suffix":""},{"dropping-particle":"","family":"Sarma","given":"R K","non-dropping-particle":"","parse-names":false,"suffix":""}],"id":"ITEM-1","issue":"4","issued":{"date-parts":[["2004"]]},"page":"2-5","title":"THE STUDY OF BACTERIAL FLORA OF DIFFERENT TYPES IN HOSPITAL WASTE: EVALUATION OF WASTE TREATMENT AT AIIMS HOSPITAL, NEW DELHI","type":"article-journal","volume":"35"},"uris":["http://www.mendeley.com/documents/?uuid=88031be6-98b4-447f-9857-a9f01eb138ee"]},{"id":"ITEM-2","itemData":{"DOI":"10.3390/ijerph10020556","ISSN":"16604601","PMID":"23435587","abstract":"The present study was undertaken to determine the bacterial agents present in various clinical solid wastes, general waste and clinical sharp waste. The waste was collected from different wards/units in a healthcare facility in Penang Island, Malaysia. The presence of bacterial agents in clinical and general waste was determined using the conventional bacteria identification methods. Several pathogenic bacteria including opportunistic bacterial agent such as Pseudomonas aeruginosa, Salmonella spp., Klebsiella pneumoniae, Serratia marcescens, Acinetobacter baumannii, Staphylococcus aureus, Staphylococcus epidermidis, Enterococcus faecalis, Streptococcus pyogenes were detected in clinical solid wastes. The presence of specific pathogenic bacterial strains in clinical sharp waste was determined using 16s rDNA analysis. In this study, several nosocomial pathogenic bacteria strains of Escherichia coli, Klebsiella pneumoniae, Proteus mirabilis, Lysinibacillus sphaericus, Serratia marcescens, and Staphylococcus aureus were detected in clinical sharp waste. The present study suggests that waste generated from healthcare facilities should be sterilized at the point of generation in order to eliminate nosocomial infections from the general waste or either of the clinical wastes. © 2013 by the authors; licensee MDPI, Basel, Switzerland.","author":[{"dropping-particle":"","family":"Sohrab Hossain","given":"Md","non-dropping-particle":"","parse-names":false,"suffix":""},{"dropping-particle":"","family":"Ab Rahman","given":"Nik Norulaini Nik","non-dropping-particle":"","parse-names":false,"suffix":""},{"dropping-particle":"","family":"Balakrishnan","given":"Venugopal","non-dropping-particle":"","parse-names":false,"suffix":""},{"dropping-particle":"","family":"Puvanesuaran","given":"Vignesh R.","non-dropping-particle":"","parse-names":false,"suffix":""},{"dropping-particle":"","family":"Zaidul Islam Sarker","given":"Md","non-dropping-particle":"","parse-names":false,"suffix":""},{"dropping-particle":"","family":"Ab Kadir","given":"Mohd Omar","non-dropping-particle":"","parse-names":false,"suffix":""}],"container-title":"International Journal of Environmental Research and Public Health","id":"ITEM-2","issue":"2","issued":{"date-parts":[["2013"]]},"page":"556-567","title":"Infectious risk assessment of unsafe handling practices and management of clinical solid waste","type":"article-journal","volume":"10"},"uris":["http://www.mendeley.com/documents/?uuid=359e1eab-1478-457c-8736-dcd6ee8f66e8"]}],"mendeley":{"formattedCitation":"(Saini &lt;i&gt;et al.&lt;/i&gt;, 2004; Sohrab Hossain &lt;i&gt;et al.&lt;/i&gt;, 2013)","plainTextFormattedCitation":"(Saini et al., 2004; Sohrab Hossain et al., 2013)","previouslyFormattedCitation":"(Saini &lt;i&gt;et al.&lt;/i&gt;, 2004; Sohrab Hossain &lt;i&gt;et al.&lt;/i&gt;, 2013)"},"properties":{"noteIndex":0},"schema":"https://github.com/citation-style-language/schema/raw/master/csl-citation.json"}</w:instrText>
      </w:r>
      <w:r w:rsidRPr="008D16B2">
        <w:rPr>
          <w:iCs/>
          <w:lang w:val="en-GB"/>
        </w:rPr>
        <w:fldChar w:fldCharType="separate"/>
      </w:r>
      <w:r w:rsidRPr="008D16B2">
        <w:rPr>
          <w:iCs/>
          <w:noProof/>
          <w:lang w:val="en-GB"/>
        </w:rPr>
        <w:t>(Saini et al., 2004; Sohrab Hossain et al., 2013)</w:t>
      </w:r>
      <w:r w:rsidRPr="008D16B2">
        <w:rPr>
          <w:iCs/>
          <w:lang w:val="en-GB"/>
        </w:rPr>
        <w:fldChar w:fldCharType="end"/>
      </w:r>
      <w:r w:rsidRPr="008D16B2">
        <w:rPr>
          <w:iCs/>
          <w:lang w:val="en-GB"/>
        </w:rPr>
        <w:t xml:space="preserve">. </w:t>
      </w:r>
    </w:p>
    <w:p w14:paraId="59207992" w14:textId="77777777" w:rsidR="002A2108" w:rsidRDefault="002A2108" w:rsidP="002A2108">
      <w:pPr>
        <w:pStyle w:val="CETCaption"/>
        <w:spacing w:after="0"/>
        <w:jc w:val="left"/>
      </w:pPr>
      <w:proofErr w:type="gramStart"/>
      <w:r>
        <w:t>Table 2</w:t>
      </w:r>
      <w:r w:rsidRPr="005774C0">
        <w:t>.</w:t>
      </w:r>
      <w:proofErr w:type="gramEnd"/>
      <w:r w:rsidRPr="005774C0">
        <w:t xml:space="preserve"> </w:t>
      </w:r>
      <w:proofErr w:type="gramStart"/>
      <w:r>
        <w:t>Encapsulation efficiencies (EE, %) of LDPE         Table 3</w:t>
      </w:r>
      <w:r w:rsidRPr="005774C0">
        <w:t>.</w:t>
      </w:r>
      <w:proofErr w:type="gramEnd"/>
      <w:r w:rsidRPr="005774C0">
        <w:t xml:space="preserve"> </w:t>
      </w:r>
      <w:r>
        <w:t>Encapsulation efficiencies (EE, %) of LDPE</w:t>
      </w:r>
    </w:p>
    <w:p w14:paraId="4DE4BB44" w14:textId="4171DC09" w:rsidR="002A2108" w:rsidRDefault="002A2108" w:rsidP="002A2108">
      <w:pPr>
        <w:pStyle w:val="CETCaption"/>
        <w:spacing w:before="0" w:after="0"/>
        <w:jc w:val="left"/>
      </w:pPr>
      <w:proofErr w:type="gramStart"/>
      <w:r>
        <w:t>polymers</w:t>
      </w:r>
      <w:proofErr w:type="gramEnd"/>
      <w:r>
        <w:t xml:space="preserve"> with 10 and 20</w:t>
      </w:r>
      <w:r w:rsidR="00220297">
        <w:t xml:space="preserve"> </w:t>
      </w:r>
      <w:r w:rsidRPr="00220297">
        <w:rPr>
          <w:color w:val="FF0000"/>
        </w:rPr>
        <w:t>%</w:t>
      </w:r>
      <w:r>
        <w:t xml:space="preserve"> </w:t>
      </w:r>
      <w:r w:rsidR="00837AF1" w:rsidRPr="00E10D8C">
        <w:rPr>
          <w:color w:val="FF0000"/>
        </w:rPr>
        <w:t xml:space="preserve">OEO </w:t>
      </w:r>
      <w:r w:rsidR="00837AF1">
        <w:t xml:space="preserve">produced     </w:t>
      </w:r>
      <w:r>
        <w:t xml:space="preserve">    </w:t>
      </w:r>
      <w:r w:rsidR="00220297">
        <w:t xml:space="preserve">                </w:t>
      </w:r>
      <w:r>
        <w:t xml:space="preserve">polymers with 10 and 20 </w:t>
      </w:r>
      <w:r w:rsidRPr="00220297">
        <w:rPr>
          <w:color w:val="FF0000"/>
        </w:rPr>
        <w:t>%</w:t>
      </w:r>
      <w:r>
        <w:t xml:space="preserve"> </w:t>
      </w:r>
      <w:proofErr w:type="spellStart"/>
      <w:r>
        <w:t>flavomix</w:t>
      </w:r>
      <w:proofErr w:type="spellEnd"/>
      <w:r>
        <w:t xml:space="preserve"> produced</w:t>
      </w:r>
    </w:p>
    <w:p w14:paraId="5AF108C0" w14:textId="74D75231" w:rsidR="002A2108" w:rsidRDefault="002A2108" w:rsidP="002A2108">
      <w:pPr>
        <w:pStyle w:val="CETCaption"/>
        <w:spacing w:before="0" w:after="0"/>
        <w:jc w:val="left"/>
      </w:pPr>
      <w:proofErr w:type="gramStart"/>
      <w:r>
        <w:t>at</w:t>
      </w:r>
      <w:proofErr w:type="gramEnd"/>
      <w:r>
        <w:t xml:space="preserve"> screw rotation speeds of 50 and 70 rpm         </w:t>
      </w:r>
      <w:r w:rsidR="00837AF1">
        <w:t xml:space="preserve">                </w:t>
      </w:r>
      <w:r>
        <w:t>at screw rotation speeds of 50 and 70 rpm and</w:t>
      </w:r>
    </w:p>
    <w:p w14:paraId="6BE9A0EA" w14:textId="77614F80" w:rsidR="002A2108" w:rsidRDefault="002A2108" w:rsidP="002A2108">
      <w:pPr>
        <w:pStyle w:val="CETCaption"/>
        <w:spacing w:before="0" w:after="0"/>
        <w:jc w:val="left"/>
      </w:pPr>
      <w:proofErr w:type="gramStart"/>
      <w:r>
        <w:t>and</w:t>
      </w:r>
      <w:proofErr w:type="gramEnd"/>
      <w:r>
        <w:t xml:space="preserve"> extrusion temperatures of </w:t>
      </w:r>
      <w:r w:rsidRPr="00694FA0">
        <w:t>180 and 200</w:t>
      </w:r>
      <w:r w:rsidR="00220297">
        <w:t xml:space="preserve"> </w:t>
      </w:r>
      <w:proofErr w:type="spellStart"/>
      <w:r w:rsidRPr="00220297">
        <w:rPr>
          <w:color w:val="FF0000"/>
          <w:vertAlign w:val="superscript"/>
        </w:rPr>
        <w:t>ο</w:t>
      </w:r>
      <w:r w:rsidRPr="00220297">
        <w:rPr>
          <w:color w:val="FF0000"/>
        </w:rPr>
        <w:t>C</w:t>
      </w:r>
      <w:proofErr w:type="spellEnd"/>
      <w:r w:rsidR="004F41FB">
        <w:t>.</w:t>
      </w:r>
      <w:r>
        <w:t xml:space="preserve">                   </w:t>
      </w:r>
      <w:proofErr w:type="gramStart"/>
      <w:r>
        <w:t>extrusion</w:t>
      </w:r>
      <w:proofErr w:type="gramEnd"/>
      <w:r>
        <w:t xml:space="preserve"> temperatures of </w:t>
      </w:r>
      <w:r w:rsidRPr="00694FA0">
        <w:t>180 and 200</w:t>
      </w:r>
      <w:r w:rsidR="00220297">
        <w:t xml:space="preserve"> </w:t>
      </w:r>
      <w:proofErr w:type="spellStart"/>
      <w:r w:rsidRPr="00220297">
        <w:rPr>
          <w:color w:val="FF0000"/>
          <w:vertAlign w:val="superscript"/>
        </w:rPr>
        <w:t>ο</w:t>
      </w:r>
      <w:r w:rsidRPr="00220297">
        <w:rPr>
          <w:color w:val="FF0000"/>
        </w:rPr>
        <w:t>C</w:t>
      </w:r>
      <w:proofErr w:type="spellEnd"/>
      <w:r w:rsidR="004F41FB">
        <w:t>.</w:t>
      </w:r>
    </w:p>
    <w:p w14:paraId="3E9C69AA" w14:textId="6AB00E5A" w:rsidR="004F41FB" w:rsidRPr="002B7E5C" w:rsidRDefault="004F41FB" w:rsidP="00894FD5">
      <w:pPr>
        <w:pStyle w:val="CETTabletitle"/>
        <w:spacing w:before="0" w:after="0"/>
        <w:rPr>
          <w:color w:val="FF0000"/>
        </w:rPr>
      </w:pPr>
      <w:r w:rsidRPr="002B7E5C">
        <w:rPr>
          <w:color w:val="FF0000"/>
        </w:rPr>
        <w:t xml:space="preserve">Values not sharing the same superscript are                      Values not sharing the same superscript are </w:t>
      </w:r>
    </w:p>
    <w:p w14:paraId="118E808B" w14:textId="1A134349" w:rsidR="004F41FB" w:rsidRPr="002B7E5C" w:rsidRDefault="004F41FB" w:rsidP="004F41FB">
      <w:pPr>
        <w:pStyle w:val="CETTabletitle"/>
        <w:spacing w:before="0"/>
        <w:rPr>
          <w:color w:val="FF0000"/>
        </w:rPr>
      </w:pPr>
      <w:proofErr w:type="gramStart"/>
      <w:r w:rsidRPr="002B7E5C">
        <w:rPr>
          <w:color w:val="FF0000"/>
        </w:rPr>
        <w:t>significantly</w:t>
      </w:r>
      <w:proofErr w:type="gramEnd"/>
      <w:r w:rsidRPr="002B7E5C">
        <w:rPr>
          <w:color w:val="FF0000"/>
        </w:rPr>
        <w:t xml:space="preserve"> different</w:t>
      </w:r>
      <w:r w:rsidR="002B7E5C" w:rsidRPr="002B7E5C">
        <w:rPr>
          <w:color w:val="FF0000"/>
        </w:rPr>
        <w:t xml:space="preserve"> (p&lt;0.05)</w:t>
      </w:r>
      <w:r w:rsidRPr="002B7E5C">
        <w:rPr>
          <w:color w:val="FF0000"/>
        </w:rPr>
        <w:t xml:space="preserve">.                           </w:t>
      </w:r>
      <w:r w:rsidR="002B7E5C" w:rsidRPr="002B7E5C">
        <w:rPr>
          <w:color w:val="FF0000"/>
        </w:rPr>
        <w:t xml:space="preserve">                  </w:t>
      </w:r>
      <w:proofErr w:type="gramStart"/>
      <w:r w:rsidRPr="002B7E5C">
        <w:rPr>
          <w:color w:val="FF0000"/>
        </w:rPr>
        <w:t>significantly</w:t>
      </w:r>
      <w:proofErr w:type="gramEnd"/>
      <w:r w:rsidRPr="002B7E5C">
        <w:rPr>
          <w:color w:val="FF0000"/>
        </w:rPr>
        <w:t xml:space="preserve"> different</w:t>
      </w:r>
      <w:r w:rsidR="002B7E5C" w:rsidRPr="002B7E5C">
        <w:rPr>
          <w:color w:val="FF0000"/>
        </w:rPr>
        <w:t xml:space="preserve"> (p&lt;0.05)</w:t>
      </w:r>
      <w:r w:rsidRPr="002B7E5C">
        <w:rPr>
          <w:color w:val="FF0000"/>
        </w:rPr>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993"/>
        <w:gridCol w:w="1134"/>
        <w:gridCol w:w="850"/>
      </w:tblGrid>
      <w:tr w:rsidR="002A2108" w:rsidRPr="00780840" w14:paraId="490E2011" w14:textId="77777777" w:rsidTr="00894FD5">
        <w:trPr>
          <w:trHeight w:val="683"/>
        </w:trPr>
        <w:tc>
          <w:tcPr>
            <w:tcW w:w="1134" w:type="dxa"/>
            <w:tcBorders>
              <w:top w:val="single" w:sz="12" w:space="0" w:color="008000"/>
              <w:bottom w:val="single" w:sz="6" w:space="0" w:color="008000"/>
            </w:tcBorders>
            <w:shd w:val="clear" w:color="auto" w:fill="FFFFFF"/>
            <w:vAlign w:val="center"/>
          </w:tcPr>
          <w:p w14:paraId="7CCF11D0" w14:textId="77777777" w:rsidR="002A2108" w:rsidRPr="00780840" w:rsidRDefault="002A2108" w:rsidP="00894FD5">
            <w:pPr>
              <w:pStyle w:val="CETBodytext"/>
              <w:jc w:val="center"/>
            </w:pPr>
            <w:r w:rsidRPr="00780840">
              <w:t>OEO concentration (%)</w:t>
            </w:r>
          </w:p>
        </w:tc>
        <w:tc>
          <w:tcPr>
            <w:tcW w:w="993" w:type="dxa"/>
            <w:tcBorders>
              <w:top w:val="single" w:sz="12" w:space="0" w:color="008000"/>
              <w:bottom w:val="single" w:sz="6" w:space="0" w:color="008000"/>
            </w:tcBorders>
            <w:shd w:val="clear" w:color="auto" w:fill="FFFFFF"/>
            <w:vAlign w:val="center"/>
          </w:tcPr>
          <w:p w14:paraId="2EEB4C7A" w14:textId="77777777" w:rsidR="002A2108" w:rsidRPr="00780840" w:rsidRDefault="002A2108" w:rsidP="00894FD5">
            <w:pPr>
              <w:pStyle w:val="CETBodytext"/>
              <w:jc w:val="center"/>
            </w:pPr>
            <w:r w:rsidRPr="00780840">
              <w:t>Screw Rotation speed (rpm)</w:t>
            </w:r>
          </w:p>
        </w:tc>
        <w:tc>
          <w:tcPr>
            <w:tcW w:w="1134" w:type="dxa"/>
            <w:tcBorders>
              <w:top w:val="single" w:sz="12" w:space="0" w:color="008000"/>
              <w:bottom w:val="single" w:sz="6" w:space="0" w:color="008000"/>
            </w:tcBorders>
            <w:shd w:val="clear" w:color="auto" w:fill="FFFFFF"/>
            <w:vAlign w:val="center"/>
          </w:tcPr>
          <w:p w14:paraId="13E1BE2A" w14:textId="77777777" w:rsidR="002A2108" w:rsidRPr="00780840" w:rsidRDefault="002A2108" w:rsidP="00894FD5">
            <w:pPr>
              <w:pStyle w:val="CETBodytext"/>
              <w:jc w:val="center"/>
            </w:pPr>
            <w:r w:rsidRPr="00780840">
              <w:t>Temperature (</w:t>
            </w:r>
            <w:proofErr w:type="spellStart"/>
            <w:r w:rsidRPr="00780840">
              <w:rPr>
                <w:vertAlign w:val="superscript"/>
              </w:rPr>
              <w:t>o</w:t>
            </w:r>
            <w:r w:rsidRPr="00780840">
              <w:t>C</w:t>
            </w:r>
            <w:proofErr w:type="spellEnd"/>
            <w:r w:rsidRPr="00780840">
              <w:t>)</w:t>
            </w:r>
          </w:p>
        </w:tc>
        <w:tc>
          <w:tcPr>
            <w:tcW w:w="850" w:type="dxa"/>
            <w:tcBorders>
              <w:top w:val="single" w:sz="12" w:space="0" w:color="008000"/>
              <w:bottom w:val="single" w:sz="6" w:space="0" w:color="008000"/>
            </w:tcBorders>
            <w:shd w:val="clear" w:color="auto" w:fill="FFFFFF"/>
            <w:vAlign w:val="center"/>
          </w:tcPr>
          <w:p w14:paraId="5648FC91" w14:textId="77777777" w:rsidR="002A2108" w:rsidRPr="00780840" w:rsidRDefault="002A2108" w:rsidP="00894FD5">
            <w:pPr>
              <w:pStyle w:val="CETBodytext"/>
              <w:jc w:val="center"/>
            </w:pPr>
            <w:r>
              <w:t>EE</w:t>
            </w:r>
            <w:r w:rsidRPr="00780840">
              <w:t xml:space="preserve"> (%)</w:t>
            </w:r>
          </w:p>
        </w:tc>
      </w:tr>
      <w:tr w:rsidR="002A2108" w:rsidRPr="00780840" w14:paraId="7AB6F435" w14:textId="77777777" w:rsidTr="00894FD5">
        <w:trPr>
          <w:trHeight w:val="225"/>
        </w:trPr>
        <w:tc>
          <w:tcPr>
            <w:tcW w:w="1134" w:type="dxa"/>
            <w:vMerge w:val="restart"/>
            <w:shd w:val="clear" w:color="auto" w:fill="FFFFFF"/>
            <w:vAlign w:val="center"/>
          </w:tcPr>
          <w:p w14:paraId="3DF0FA67" w14:textId="77777777" w:rsidR="002A2108" w:rsidRPr="00780840" w:rsidRDefault="002A2108" w:rsidP="00894FD5">
            <w:pPr>
              <w:pStyle w:val="CETBodytext"/>
              <w:jc w:val="center"/>
            </w:pPr>
            <w:r w:rsidRPr="00780840">
              <w:t>10</w:t>
            </w:r>
          </w:p>
          <w:p w14:paraId="60C30D2B" w14:textId="77777777" w:rsidR="002A2108" w:rsidRPr="00780840" w:rsidRDefault="002A2108" w:rsidP="00894FD5">
            <w:pPr>
              <w:pStyle w:val="CETBodytext"/>
              <w:jc w:val="center"/>
            </w:pPr>
          </w:p>
        </w:tc>
        <w:tc>
          <w:tcPr>
            <w:tcW w:w="993" w:type="dxa"/>
            <w:vMerge w:val="restart"/>
            <w:shd w:val="clear" w:color="auto" w:fill="FFFFFF"/>
            <w:vAlign w:val="center"/>
          </w:tcPr>
          <w:p w14:paraId="35DD1CF6" w14:textId="77777777" w:rsidR="002A2108" w:rsidRPr="00780840" w:rsidRDefault="002A2108" w:rsidP="00894FD5">
            <w:pPr>
              <w:pStyle w:val="CETBodytext"/>
              <w:jc w:val="center"/>
            </w:pPr>
            <w:r w:rsidRPr="00780840">
              <w:t>50</w:t>
            </w:r>
          </w:p>
        </w:tc>
        <w:tc>
          <w:tcPr>
            <w:tcW w:w="1134" w:type="dxa"/>
            <w:shd w:val="clear" w:color="auto" w:fill="FFFFFF"/>
            <w:vAlign w:val="center"/>
          </w:tcPr>
          <w:p w14:paraId="7EACEA3F" w14:textId="77777777" w:rsidR="002A2108" w:rsidRPr="00780840" w:rsidRDefault="002A2108" w:rsidP="00894FD5">
            <w:pPr>
              <w:pStyle w:val="CETBodytext"/>
              <w:jc w:val="center"/>
            </w:pPr>
            <w:r w:rsidRPr="00780840">
              <w:t>1</w:t>
            </w:r>
            <w:r w:rsidRPr="00780840">
              <w:rPr>
                <w:lang w:val="el-GR"/>
              </w:rPr>
              <w:t>8</w:t>
            </w:r>
            <w:r w:rsidRPr="00780840">
              <w:t>0</w:t>
            </w:r>
          </w:p>
        </w:tc>
        <w:tc>
          <w:tcPr>
            <w:tcW w:w="850" w:type="dxa"/>
            <w:shd w:val="clear" w:color="auto" w:fill="FFFFFF"/>
            <w:vAlign w:val="center"/>
          </w:tcPr>
          <w:p w14:paraId="4AA36DC5" w14:textId="77777777" w:rsidR="002A2108" w:rsidRPr="00051C5C" w:rsidRDefault="002A2108" w:rsidP="00894FD5">
            <w:pPr>
              <w:pStyle w:val="CETBodytext"/>
              <w:jc w:val="center"/>
              <w:rPr>
                <w:lang w:val="en-GB"/>
              </w:rPr>
            </w:pPr>
            <w:r w:rsidRPr="00780840">
              <w:rPr>
                <w:lang w:val="el-GR"/>
              </w:rPr>
              <w:t>70</w:t>
            </w:r>
            <w:proofErr w:type="spellStart"/>
            <w:r w:rsidRPr="002F484F">
              <w:rPr>
                <w:vertAlign w:val="superscript"/>
                <w:lang w:val="en-GB"/>
              </w:rPr>
              <w:t>a,b</w:t>
            </w:r>
            <w:proofErr w:type="spellEnd"/>
            <w:r w:rsidRPr="002F484F">
              <w:rPr>
                <w:vertAlign w:val="superscript"/>
                <w:lang w:val="en-GB"/>
              </w:rPr>
              <w:t xml:space="preserve"> </w:t>
            </w:r>
            <w:r w:rsidRPr="00051C5C">
              <w:rPr>
                <w:u w:val="single"/>
                <w:lang w:val="en-GB"/>
              </w:rPr>
              <w:t>+</w:t>
            </w:r>
            <w:r>
              <w:rPr>
                <w:lang w:val="en-GB"/>
              </w:rPr>
              <w:t>1.1</w:t>
            </w:r>
          </w:p>
        </w:tc>
      </w:tr>
      <w:tr w:rsidR="002A2108" w:rsidRPr="00780840" w14:paraId="461661EF" w14:textId="77777777" w:rsidTr="00894FD5">
        <w:trPr>
          <w:trHeight w:val="142"/>
        </w:trPr>
        <w:tc>
          <w:tcPr>
            <w:tcW w:w="1134" w:type="dxa"/>
            <w:vMerge/>
            <w:shd w:val="clear" w:color="auto" w:fill="FFFFFF"/>
          </w:tcPr>
          <w:p w14:paraId="57C386B2" w14:textId="77777777" w:rsidR="002A2108" w:rsidRPr="00780840" w:rsidRDefault="002A2108" w:rsidP="00894FD5">
            <w:pPr>
              <w:pStyle w:val="CETBodytext"/>
              <w:jc w:val="center"/>
            </w:pPr>
          </w:p>
        </w:tc>
        <w:tc>
          <w:tcPr>
            <w:tcW w:w="993" w:type="dxa"/>
            <w:vMerge/>
            <w:shd w:val="clear" w:color="auto" w:fill="FFFFFF"/>
            <w:vAlign w:val="center"/>
          </w:tcPr>
          <w:p w14:paraId="031334CF" w14:textId="77777777" w:rsidR="002A2108" w:rsidRPr="00780840" w:rsidRDefault="002A2108" w:rsidP="00894FD5">
            <w:pPr>
              <w:pStyle w:val="CETBodytext"/>
              <w:jc w:val="center"/>
            </w:pPr>
          </w:p>
        </w:tc>
        <w:tc>
          <w:tcPr>
            <w:tcW w:w="1134" w:type="dxa"/>
            <w:shd w:val="clear" w:color="auto" w:fill="FFFFFF"/>
            <w:vAlign w:val="center"/>
          </w:tcPr>
          <w:p w14:paraId="12DD8A05" w14:textId="77777777" w:rsidR="002A2108" w:rsidRPr="00780840" w:rsidRDefault="002A2108" w:rsidP="00894FD5">
            <w:pPr>
              <w:pStyle w:val="CETBodytext"/>
              <w:jc w:val="center"/>
            </w:pPr>
            <w:r w:rsidRPr="00780840">
              <w:t>20</w:t>
            </w:r>
            <w:r w:rsidRPr="00780840">
              <w:rPr>
                <w:lang w:val="el-GR"/>
              </w:rPr>
              <w:t>0</w:t>
            </w:r>
          </w:p>
        </w:tc>
        <w:tc>
          <w:tcPr>
            <w:tcW w:w="850" w:type="dxa"/>
            <w:shd w:val="clear" w:color="auto" w:fill="FFFFFF"/>
            <w:vAlign w:val="center"/>
          </w:tcPr>
          <w:p w14:paraId="5804AAB9" w14:textId="77777777" w:rsidR="002A2108" w:rsidRPr="00051C5C" w:rsidRDefault="002A2108" w:rsidP="00894FD5">
            <w:pPr>
              <w:pStyle w:val="CETBodytext"/>
              <w:jc w:val="center"/>
              <w:rPr>
                <w:lang w:val="en-GB"/>
              </w:rPr>
            </w:pPr>
            <w:r w:rsidRPr="00780840">
              <w:t>6</w:t>
            </w:r>
            <w:r w:rsidRPr="00780840">
              <w:rPr>
                <w:lang w:val="el-GR"/>
              </w:rPr>
              <w:t>3</w:t>
            </w:r>
            <w:proofErr w:type="spellStart"/>
            <w:r>
              <w:rPr>
                <w:vertAlign w:val="superscript"/>
                <w:lang w:val="en-GB"/>
              </w:rPr>
              <w:t>c,d</w:t>
            </w:r>
            <w:proofErr w:type="spellEnd"/>
            <w:r>
              <w:rPr>
                <w:lang w:val="en-GB"/>
              </w:rPr>
              <w:t xml:space="preserve"> </w:t>
            </w:r>
            <w:r w:rsidRPr="00051C5C">
              <w:rPr>
                <w:u w:val="single"/>
                <w:lang w:val="en-GB"/>
              </w:rPr>
              <w:t>+</w:t>
            </w:r>
            <w:r>
              <w:rPr>
                <w:u w:val="single"/>
                <w:lang w:val="en-GB"/>
              </w:rPr>
              <w:t xml:space="preserve"> </w:t>
            </w:r>
            <w:r>
              <w:rPr>
                <w:lang w:val="en-GB"/>
              </w:rPr>
              <w:t>0.5</w:t>
            </w:r>
          </w:p>
        </w:tc>
      </w:tr>
      <w:tr w:rsidR="002A2108" w:rsidRPr="00780840" w14:paraId="255A7506" w14:textId="77777777" w:rsidTr="00894FD5">
        <w:trPr>
          <w:trHeight w:val="142"/>
        </w:trPr>
        <w:tc>
          <w:tcPr>
            <w:tcW w:w="1134" w:type="dxa"/>
            <w:vMerge/>
            <w:shd w:val="clear" w:color="auto" w:fill="FFFFFF"/>
          </w:tcPr>
          <w:p w14:paraId="63B7E8C9" w14:textId="77777777" w:rsidR="002A2108" w:rsidRPr="00780840" w:rsidRDefault="002A2108" w:rsidP="00894FD5">
            <w:pPr>
              <w:pStyle w:val="CETBodytext"/>
              <w:jc w:val="center"/>
            </w:pPr>
          </w:p>
        </w:tc>
        <w:tc>
          <w:tcPr>
            <w:tcW w:w="993" w:type="dxa"/>
            <w:vMerge w:val="restart"/>
            <w:shd w:val="clear" w:color="auto" w:fill="FFFFFF"/>
            <w:vAlign w:val="center"/>
          </w:tcPr>
          <w:p w14:paraId="216A547E" w14:textId="77777777" w:rsidR="002A2108" w:rsidRPr="00780840" w:rsidRDefault="002A2108" w:rsidP="00894FD5">
            <w:pPr>
              <w:pStyle w:val="CETBodytext"/>
              <w:jc w:val="center"/>
            </w:pPr>
            <w:r w:rsidRPr="00780840">
              <w:t>70</w:t>
            </w:r>
          </w:p>
        </w:tc>
        <w:tc>
          <w:tcPr>
            <w:tcW w:w="1134" w:type="dxa"/>
            <w:shd w:val="clear" w:color="auto" w:fill="FFFFFF"/>
            <w:vAlign w:val="center"/>
          </w:tcPr>
          <w:p w14:paraId="073827B7" w14:textId="77777777" w:rsidR="002A2108" w:rsidRPr="00780840" w:rsidRDefault="002A2108" w:rsidP="00894FD5">
            <w:pPr>
              <w:pStyle w:val="CETBodytext"/>
              <w:jc w:val="center"/>
            </w:pPr>
            <w:r w:rsidRPr="00780840">
              <w:t>1</w:t>
            </w:r>
            <w:r w:rsidRPr="00780840">
              <w:rPr>
                <w:lang w:val="el-GR"/>
              </w:rPr>
              <w:t>8</w:t>
            </w:r>
            <w:r w:rsidRPr="00780840">
              <w:t>0</w:t>
            </w:r>
          </w:p>
        </w:tc>
        <w:tc>
          <w:tcPr>
            <w:tcW w:w="850" w:type="dxa"/>
            <w:shd w:val="clear" w:color="auto" w:fill="FFFFFF"/>
            <w:vAlign w:val="center"/>
          </w:tcPr>
          <w:p w14:paraId="105844F7" w14:textId="77777777" w:rsidR="002A2108" w:rsidRPr="00780840" w:rsidRDefault="002A2108" w:rsidP="00894FD5">
            <w:pPr>
              <w:pStyle w:val="CETBodytext"/>
              <w:jc w:val="center"/>
            </w:pPr>
            <w:r w:rsidRPr="00780840">
              <w:t>6</w:t>
            </w:r>
            <w:r w:rsidRPr="00780840">
              <w:rPr>
                <w:lang w:val="el-GR"/>
              </w:rPr>
              <w:t>6</w:t>
            </w:r>
            <w:proofErr w:type="spellStart"/>
            <w:r>
              <w:rPr>
                <w:vertAlign w:val="superscript"/>
                <w:lang w:val="en-GB"/>
              </w:rPr>
              <w:t>c,e</w:t>
            </w:r>
            <w:proofErr w:type="spellEnd"/>
            <w:r>
              <w:rPr>
                <w:lang w:val="en-GB"/>
              </w:rPr>
              <w:t xml:space="preserve"> </w:t>
            </w:r>
            <w:r w:rsidRPr="00051C5C">
              <w:rPr>
                <w:u w:val="single"/>
                <w:lang w:val="en-GB"/>
              </w:rPr>
              <w:t>+</w:t>
            </w:r>
            <w:r>
              <w:rPr>
                <w:u w:val="single"/>
                <w:lang w:val="en-GB"/>
              </w:rPr>
              <w:t xml:space="preserve"> </w:t>
            </w:r>
            <w:r>
              <w:rPr>
                <w:lang w:val="en-GB"/>
              </w:rPr>
              <w:t>1.2</w:t>
            </w:r>
          </w:p>
        </w:tc>
      </w:tr>
      <w:tr w:rsidR="002A2108" w:rsidRPr="00780840" w14:paraId="38265DD1" w14:textId="77777777" w:rsidTr="00894FD5">
        <w:trPr>
          <w:trHeight w:val="142"/>
        </w:trPr>
        <w:tc>
          <w:tcPr>
            <w:tcW w:w="1134" w:type="dxa"/>
            <w:vMerge/>
            <w:shd w:val="clear" w:color="auto" w:fill="FFFFFF"/>
          </w:tcPr>
          <w:p w14:paraId="1A4830FD" w14:textId="77777777" w:rsidR="002A2108" w:rsidRPr="00780840" w:rsidRDefault="002A2108" w:rsidP="00894FD5">
            <w:pPr>
              <w:pStyle w:val="CETBodytext"/>
              <w:jc w:val="center"/>
            </w:pPr>
          </w:p>
        </w:tc>
        <w:tc>
          <w:tcPr>
            <w:tcW w:w="993" w:type="dxa"/>
            <w:vMerge/>
            <w:shd w:val="clear" w:color="auto" w:fill="FFFFFF"/>
            <w:vAlign w:val="center"/>
          </w:tcPr>
          <w:p w14:paraId="5E8C0A2A" w14:textId="77777777" w:rsidR="002A2108" w:rsidRPr="00780840" w:rsidRDefault="002A2108" w:rsidP="00894FD5">
            <w:pPr>
              <w:pStyle w:val="CETBodytext"/>
              <w:jc w:val="center"/>
            </w:pPr>
          </w:p>
        </w:tc>
        <w:tc>
          <w:tcPr>
            <w:tcW w:w="1134" w:type="dxa"/>
            <w:shd w:val="clear" w:color="auto" w:fill="FFFFFF"/>
            <w:vAlign w:val="center"/>
          </w:tcPr>
          <w:p w14:paraId="3D6EC633" w14:textId="77777777" w:rsidR="002A2108" w:rsidRPr="00780840" w:rsidRDefault="002A2108" w:rsidP="00894FD5">
            <w:pPr>
              <w:pStyle w:val="CETBodytext"/>
              <w:jc w:val="center"/>
            </w:pPr>
            <w:r w:rsidRPr="00780840">
              <w:rPr>
                <w:lang w:val="el-GR"/>
              </w:rPr>
              <w:t>200</w:t>
            </w:r>
          </w:p>
        </w:tc>
        <w:tc>
          <w:tcPr>
            <w:tcW w:w="850" w:type="dxa"/>
            <w:shd w:val="clear" w:color="auto" w:fill="FFFFFF"/>
            <w:vAlign w:val="center"/>
          </w:tcPr>
          <w:p w14:paraId="5DB65D4E" w14:textId="77777777" w:rsidR="002A2108" w:rsidRPr="00780840" w:rsidRDefault="002A2108" w:rsidP="00894FD5">
            <w:pPr>
              <w:pStyle w:val="CETBodytext"/>
              <w:jc w:val="center"/>
            </w:pPr>
            <w:r w:rsidRPr="00780840">
              <w:t>6</w:t>
            </w:r>
            <w:r w:rsidRPr="00780840">
              <w:rPr>
                <w:lang w:val="el-GR"/>
              </w:rPr>
              <w:t>0</w:t>
            </w:r>
            <w:r>
              <w:rPr>
                <w:vertAlign w:val="superscript"/>
                <w:lang w:val="en-GB"/>
              </w:rPr>
              <w:t>d</w:t>
            </w:r>
            <w:r>
              <w:rPr>
                <w:lang w:val="en-GB"/>
              </w:rPr>
              <w:t xml:space="preserve"> </w:t>
            </w:r>
            <w:r w:rsidRPr="00051C5C">
              <w:rPr>
                <w:u w:val="single"/>
                <w:lang w:val="en-GB"/>
              </w:rPr>
              <w:t>+</w:t>
            </w:r>
            <w:r>
              <w:rPr>
                <w:u w:val="single"/>
                <w:lang w:val="en-GB"/>
              </w:rPr>
              <w:t xml:space="preserve"> </w:t>
            </w:r>
            <w:r>
              <w:rPr>
                <w:lang w:val="en-GB"/>
              </w:rPr>
              <w:t>1.0</w:t>
            </w:r>
          </w:p>
        </w:tc>
      </w:tr>
      <w:tr w:rsidR="002A2108" w:rsidRPr="00780840" w14:paraId="23094D93" w14:textId="77777777" w:rsidTr="00894FD5">
        <w:trPr>
          <w:trHeight w:val="225"/>
        </w:trPr>
        <w:tc>
          <w:tcPr>
            <w:tcW w:w="1134" w:type="dxa"/>
            <w:vMerge w:val="restart"/>
            <w:shd w:val="clear" w:color="auto" w:fill="FFFFFF"/>
            <w:vAlign w:val="center"/>
          </w:tcPr>
          <w:p w14:paraId="32E9E4A8" w14:textId="77777777" w:rsidR="002A2108" w:rsidRPr="00780840" w:rsidRDefault="002A2108" w:rsidP="00894FD5">
            <w:pPr>
              <w:pStyle w:val="CETBodytext"/>
              <w:jc w:val="center"/>
            </w:pPr>
            <w:r w:rsidRPr="00780840">
              <w:t>20</w:t>
            </w:r>
          </w:p>
          <w:p w14:paraId="51F5D0AE" w14:textId="77777777" w:rsidR="002A2108" w:rsidRPr="00780840" w:rsidRDefault="002A2108" w:rsidP="00894FD5">
            <w:pPr>
              <w:pStyle w:val="CETBodytext"/>
              <w:jc w:val="center"/>
            </w:pPr>
          </w:p>
        </w:tc>
        <w:tc>
          <w:tcPr>
            <w:tcW w:w="993" w:type="dxa"/>
            <w:vMerge w:val="restart"/>
            <w:shd w:val="clear" w:color="auto" w:fill="FFFFFF"/>
            <w:vAlign w:val="center"/>
          </w:tcPr>
          <w:p w14:paraId="5E538045" w14:textId="77777777" w:rsidR="002A2108" w:rsidRPr="00780840" w:rsidRDefault="002A2108" w:rsidP="00894FD5">
            <w:pPr>
              <w:pStyle w:val="CETBodytext"/>
              <w:jc w:val="center"/>
            </w:pPr>
            <w:r w:rsidRPr="00780840">
              <w:t>50</w:t>
            </w:r>
          </w:p>
        </w:tc>
        <w:tc>
          <w:tcPr>
            <w:tcW w:w="1134" w:type="dxa"/>
            <w:shd w:val="clear" w:color="auto" w:fill="FFFFFF"/>
            <w:vAlign w:val="center"/>
          </w:tcPr>
          <w:p w14:paraId="446CC7D5" w14:textId="77777777" w:rsidR="002A2108" w:rsidRPr="00780840" w:rsidRDefault="002A2108" w:rsidP="00894FD5">
            <w:pPr>
              <w:pStyle w:val="CETBodytext"/>
              <w:jc w:val="center"/>
            </w:pPr>
            <w:r w:rsidRPr="00780840">
              <w:t>1</w:t>
            </w:r>
            <w:r w:rsidRPr="00780840">
              <w:rPr>
                <w:lang w:val="el-GR"/>
              </w:rPr>
              <w:t>8</w:t>
            </w:r>
            <w:r w:rsidRPr="00780840">
              <w:t>0</w:t>
            </w:r>
          </w:p>
        </w:tc>
        <w:tc>
          <w:tcPr>
            <w:tcW w:w="850" w:type="dxa"/>
            <w:shd w:val="clear" w:color="auto" w:fill="FFFFFF"/>
            <w:vAlign w:val="center"/>
          </w:tcPr>
          <w:p w14:paraId="1C3B1E62" w14:textId="77777777" w:rsidR="002A2108" w:rsidRPr="00780840" w:rsidRDefault="002A2108" w:rsidP="00894FD5">
            <w:pPr>
              <w:pStyle w:val="CETBodytext"/>
              <w:jc w:val="center"/>
            </w:pPr>
            <w:r w:rsidRPr="00780840">
              <w:t>7</w:t>
            </w:r>
            <w:r w:rsidRPr="00780840">
              <w:rPr>
                <w:lang w:val="el-GR"/>
              </w:rPr>
              <w:t>5</w:t>
            </w:r>
            <w:r>
              <w:rPr>
                <w:vertAlign w:val="superscript"/>
                <w:lang w:val="en-GB"/>
              </w:rPr>
              <w:t>f</w:t>
            </w:r>
            <w:r w:rsidRPr="002F484F">
              <w:rPr>
                <w:vertAlign w:val="superscript"/>
                <w:lang w:val="en-GB"/>
              </w:rPr>
              <w:t xml:space="preserve"> </w:t>
            </w:r>
            <w:r w:rsidRPr="00051C5C">
              <w:rPr>
                <w:u w:val="single"/>
                <w:lang w:val="en-GB"/>
              </w:rPr>
              <w:t>+</w:t>
            </w:r>
            <w:r>
              <w:rPr>
                <w:lang w:val="en-GB"/>
              </w:rPr>
              <w:t xml:space="preserve"> 0.9</w:t>
            </w:r>
          </w:p>
        </w:tc>
      </w:tr>
      <w:tr w:rsidR="002A2108" w:rsidRPr="00780840" w14:paraId="562EFAE8" w14:textId="77777777" w:rsidTr="00894FD5">
        <w:trPr>
          <w:trHeight w:val="142"/>
        </w:trPr>
        <w:tc>
          <w:tcPr>
            <w:tcW w:w="1134" w:type="dxa"/>
            <w:vMerge/>
            <w:shd w:val="clear" w:color="auto" w:fill="FFFFFF"/>
          </w:tcPr>
          <w:p w14:paraId="36F1CE2E" w14:textId="77777777" w:rsidR="002A2108" w:rsidRPr="00780840" w:rsidRDefault="002A2108" w:rsidP="00894FD5">
            <w:pPr>
              <w:pStyle w:val="CETBodytext"/>
              <w:jc w:val="center"/>
            </w:pPr>
          </w:p>
        </w:tc>
        <w:tc>
          <w:tcPr>
            <w:tcW w:w="993" w:type="dxa"/>
            <w:vMerge/>
            <w:shd w:val="clear" w:color="auto" w:fill="FFFFFF"/>
            <w:vAlign w:val="center"/>
          </w:tcPr>
          <w:p w14:paraId="757F8304" w14:textId="77777777" w:rsidR="002A2108" w:rsidRPr="00780840" w:rsidRDefault="002A2108" w:rsidP="00894FD5">
            <w:pPr>
              <w:pStyle w:val="CETBodytext"/>
              <w:jc w:val="center"/>
            </w:pPr>
          </w:p>
        </w:tc>
        <w:tc>
          <w:tcPr>
            <w:tcW w:w="1134" w:type="dxa"/>
            <w:shd w:val="clear" w:color="auto" w:fill="FFFFFF"/>
            <w:vAlign w:val="center"/>
          </w:tcPr>
          <w:p w14:paraId="37D21528" w14:textId="77777777" w:rsidR="002A2108" w:rsidRPr="00780840" w:rsidRDefault="002A2108" w:rsidP="00894FD5">
            <w:pPr>
              <w:pStyle w:val="CETBodytext"/>
              <w:jc w:val="center"/>
            </w:pPr>
            <w:r w:rsidRPr="00780840">
              <w:t>20</w:t>
            </w:r>
            <w:r w:rsidRPr="00780840">
              <w:rPr>
                <w:lang w:val="el-GR"/>
              </w:rPr>
              <w:t>0</w:t>
            </w:r>
          </w:p>
        </w:tc>
        <w:tc>
          <w:tcPr>
            <w:tcW w:w="850" w:type="dxa"/>
            <w:shd w:val="clear" w:color="auto" w:fill="FFFFFF"/>
            <w:vAlign w:val="center"/>
          </w:tcPr>
          <w:p w14:paraId="11827E2B" w14:textId="77777777" w:rsidR="002A2108" w:rsidRPr="00780840" w:rsidRDefault="002A2108" w:rsidP="00894FD5">
            <w:pPr>
              <w:pStyle w:val="CETBodytext"/>
              <w:jc w:val="center"/>
            </w:pPr>
            <w:r w:rsidRPr="00780840">
              <w:rPr>
                <w:lang w:val="el-GR"/>
              </w:rPr>
              <w:t>68</w:t>
            </w:r>
            <w:proofErr w:type="spellStart"/>
            <w:r w:rsidRPr="002F484F">
              <w:rPr>
                <w:vertAlign w:val="superscript"/>
                <w:lang w:val="en-GB"/>
              </w:rPr>
              <w:t>b</w:t>
            </w:r>
            <w:r>
              <w:rPr>
                <w:vertAlign w:val="superscript"/>
                <w:lang w:val="en-GB"/>
              </w:rPr>
              <w:t>,e</w:t>
            </w:r>
            <w:proofErr w:type="spellEnd"/>
            <w:r w:rsidRPr="002F484F">
              <w:rPr>
                <w:vertAlign w:val="superscript"/>
                <w:lang w:val="en-GB"/>
              </w:rPr>
              <w:t xml:space="preserve"> </w:t>
            </w:r>
            <w:r w:rsidRPr="00051C5C">
              <w:rPr>
                <w:u w:val="single"/>
                <w:lang w:val="en-GB"/>
              </w:rPr>
              <w:t>+</w:t>
            </w:r>
            <w:r>
              <w:rPr>
                <w:lang w:val="en-GB"/>
              </w:rPr>
              <w:t xml:space="preserve"> 0.9</w:t>
            </w:r>
          </w:p>
        </w:tc>
      </w:tr>
      <w:tr w:rsidR="002A2108" w:rsidRPr="00780840" w14:paraId="6BBBFC47" w14:textId="77777777" w:rsidTr="00894FD5">
        <w:trPr>
          <w:trHeight w:val="142"/>
        </w:trPr>
        <w:tc>
          <w:tcPr>
            <w:tcW w:w="1134" w:type="dxa"/>
            <w:vMerge/>
            <w:shd w:val="clear" w:color="auto" w:fill="FFFFFF"/>
          </w:tcPr>
          <w:p w14:paraId="635C7477" w14:textId="77777777" w:rsidR="002A2108" w:rsidRPr="00780840" w:rsidRDefault="002A2108" w:rsidP="00894FD5">
            <w:pPr>
              <w:pStyle w:val="CETBodytext"/>
              <w:jc w:val="center"/>
            </w:pPr>
          </w:p>
        </w:tc>
        <w:tc>
          <w:tcPr>
            <w:tcW w:w="993" w:type="dxa"/>
            <w:vMerge w:val="restart"/>
            <w:shd w:val="clear" w:color="auto" w:fill="FFFFFF"/>
            <w:vAlign w:val="center"/>
          </w:tcPr>
          <w:p w14:paraId="6CECDF6E" w14:textId="77777777" w:rsidR="002A2108" w:rsidRPr="00780840" w:rsidRDefault="002A2108" w:rsidP="00894FD5">
            <w:pPr>
              <w:pStyle w:val="CETBodytext"/>
              <w:jc w:val="center"/>
            </w:pPr>
            <w:r w:rsidRPr="00780840">
              <w:t>70</w:t>
            </w:r>
          </w:p>
        </w:tc>
        <w:tc>
          <w:tcPr>
            <w:tcW w:w="1134" w:type="dxa"/>
            <w:shd w:val="clear" w:color="auto" w:fill="FFFFFF"/>
            <w:vAlign w:val="center"/>
          </w:tcPr>
          <w:p w14:paraId="564475DF" w14:textId="77777777" w:rsidR="002A2108" w:rsidRPr="00780840" w:rsidRDefault="002A2108" w:rsidP="00894FD5">
            <w:pPr>
              <w:pStyle w:val="CETBodytext"/>
              <w:jc w:val="center"/>
            </w:pPr>
            <w:r w:rsidRPr="00780840">
              <w:t>1</w:t>
            </w:r>
            <w:r w:rsidRPr="00780840">
              <w:rPr>
                <w:lang w:val="el-GR"/>
              </w:rPr>
              <w:t>8</w:t>
            </w:r>
            <w:r w:rsidRPr="00780840">
              <w:t>0</w:t>
            </w:r>
          </w:p>
        </w:tc>
        <w:tc>
          <w:tcPr>
            <w:tcW w:w="850" w:type="dxa"/>
            <w:shd w:val="clear" w:color="auto" w:fill="FFFFFF"/>
            <w:vAlign w:val="center"/>
          </w:tcPr>
          <w:p w14:paraId="1B6AD00B" w14:textId="77777777" w:rsidR="002A2108" w:rsidRPr="00780840" w:rsidRDefault="002A2108" w:rsidP="00894FD5">
            <w:pPr>
              <w:pStyle w:val="CETBodytext"/>
              <w:jc w:val="center"/>
            </w:pPr>
            <w:r w:rsidRPr="00780840">
              <w:rPr>
                <w:lang w:val="el-GR"/>
              </w:rPr>
              <w:t>73</w:t>
            </w:r>
            <w:proofErr w:type="spellStart"/>
            <w:r>
              <w:rPr>
                <w:vertAlign w:val="superscript"/>
                <w:lang w:val="en-GB"/>
              </w:rPr>
              <w:t>a,f</w:t>
            </w:r>
            <w:proofErr w:type="spellEnd"/>
            <w:r w:rsidRPr="002F484F">
              <w:rPr>
                <w:vertAlign w:val="superscript"/>
                <w:lang w:val="en-GB"/>
              </w:rPr>
              <w:t xml:space="preserve"> </w:t>
            </w:r>
            <w:r w:rsidRPr="00051C5C">
              <w:rPr>
                <w:u w:val="single"/>
                <w:lang w:val="en-GB"/>
              </w:rPr>
              <w:t>+</w:t>
            </w:r>
            <w:r>
              <w:rPr>
                <w:lang w:val="en-GB"/>
              </w:rPr>
              <w:t xml:space="preserve"> 1.2</w:t>
            </w:r>
          </w:p>
        </w:tc>
      </w:tr>
      <w:tr w:rsidR="002A2108" w:rsidRPr="00780840" w14:paraId="0295DFBF" w14:textId="77777777" w:rsidTr="00894FD5">
        <w:trPr>
          <w:trHeight w:val="142"/>
        </w:trPr>
        <w:tc>
          <w:tcPr>
            <w:tcW w:w="1134" w:type="dxa"/>
            <w:vMerge/>
            <w:shd w:val="clear" w:color="auto" w:fill="FFFFFF"/>
          </w:tcPr>
          <w:p w14:paraId="25CA182C" w14:textId="77777777" w:rsidR="002A2108" w:rsidRPr="00780840" w:rsidRDefault="002A2108" w:rsidP="00894FD5">
            <w:pPr>
              <w:pStyle w:val="CETBodytext"/>
              <w:jc w:val="center"/>
            </w:pPr>
          </w:p>
        </w:tc>
        <w:tc>
          <w:tcPr>
            <w:tcW w:w="993" w:type="dxa"/>
            <w:vMerge/>
            <w:shd w:val="clear" w:color="auto" w:fill="FFFFFF"/>
          </w:tcPr>
          <w:p w14:paraId="550E0482" w14:textId="77777777" w:rsidR="002A2108" w:rsidRPr="00780840" w:rsidRDefault="002A2108" w:rsidP="00894FD5">
            <w:pPr>
              <w:pStyle w:val="CETBodytext"/>
              <w:jc w:val="center"/>
            </w:pPr>
          </w:p>
        </w:tc>
        <w:tc>
          <w:tcPr>
            <w:tcW w:w="1134" w:type="dxa"/>
            <w:shd w:val="clear" w:color="auto" w:fill="FFFFFF"/>
            <w:vAlign w:val="center"/>
          </w:tcPr>
          <w:p w14:paraId="15CFD5BB" w14:textId="77777777" w:rsidR="002A2108" w:rsidRPr="00780840" w:rsidRDefault="002A2108" w:rsidP="00894FD5">
            <w:pPr>
              <w:pStyle w:val="CETBodytext"/>
              <w:jc w:val="center"/>
            </w:pPr>
            <w:r w:rsidRPr="00780840">
              <w:rPr>
                <w:lang w:val="el-GR"/>
              </w:rPr>
              <w:t>200</w:t>
            </w:r>
          </w:p>
        </w:tc>
        <w:tc>
          <w:tcPr>
            <w:tcW w:w="850" w:type="dxa"/>
            <w:shd w:val="clear" w:color="auto" w:fill="FFFFFF"/>
            <w:vAlign w:val="center"/>
          </w:tcPr>
          <w:p w14:paraId="61472CFD" w14:textId="77777777" w:rsidR="002A2108" w:rsidRPr="00780840" w:rsidRDefault="002A2108" w:rsidP="00894FD5">
            <w:pPr>
              <w:pStyle w:val="CETBodytext"/>
              <w:jc w:val="center"/>
            </w:pPr>
            <w:r w:rsidRPr="00780840">
              <w:t>6</w:t>
            </w:r>
            <w:r w:rsidRPr="00780840">
              <w:rPr>
                <w:lang w:val="el-GR"/>
              </w:rPr>
              <w:t>4</w:t>
            </w:r>
            <w:r>
              <w:rPr>
                <w:vertAlign w:val="superscript"/>
                <w:lang w:val="en-GB"/>
              </w:rPr>
              <w:t>c</w:t>
            </w:r>
            <w:r w:rsidRPr="002F484F">
              <w:rPr>
                <w:vertAlign w:val="superscript"/>
                <w:lang w:val="en-GB"/>
              </w:rPr>
              <w:t xml:space="preserve"> </w:t>
            </w:r>
            <w:r w:rsidRPr="00051C5C">
              <w:rPr>
                <w:u w:val="single"/>
                <w:lang w:val="en-GB"/>
              </w:rPr>
              <w:t>+</w:t>
            </w:r>
            <w:r>
              <w:rPr>
                <w:lang w:val="en-GB"/>
              </w:rPr>
              <w:t xml:space="preserve"> 1.0</w:t>
            </w:r>
          </w:p>
        </w:tc>
      </w:tr>
    </w:tbl>
    <w:tbl>
      <w:tblPr>
        <w:tblpPr w:leftFromText="180" w:rightFromText="180" w:vertAnchor="text" w:horzAnchor="margin" w:tblpXSpec="right" w:tblpY="-2571"/>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993"/>
        <w:gridCol w:w="1134"/>
        <w:gridCol w:w="1033"/>
      </w:tblGrid>
      <w:tr w:rsidR="002A2108" w:rsidRPr="00780840" w14:paraId="50520F50" w14:textId="77777777" w:rsidTr="00894FD5">
        <w:trPr>
          <w:trHeight w:val="456"/>
        </w:trPr>
        <w:tc>
          <w:tcPr>
            <w:tcW w:w="1134" w:type="dxa"/>
            <w:tcBorders>
              <w:top w:val="single" w:sz="12" w:space="0" w:color="008000"/>
              <w:bottom w:val="single" w:sz="6" w:space="0" w:color="008000"/>
            </w:tcBorders>
            <w:shd w:val="clear" w:color="auto" w:fill="FFFFFF"/>
            <w:vAlign w:val="center"/>
          </w:tcPr>
          <w:p w14:paraId="4AB56333" w14:textId="77777777" w:rsidR="002A2108" w:rsidRPr="00780840" w:rsidRDefault="002A2108" w:rsidP="00894FD5">
            <w:pPr>
              <w:pStyle w:val="CETBodytext"/>
              <w:jc w:val="center"/>
              <w:rPr>
                <w:lang w:val="en-GB"/>
              </w:rPr>
            </w:pPr>
            <w:proofErr w:type="spellStart"/>
            <w:r w:rsidRPr="00780840">
              <w:rPr>
                <w:lang w:val="en-GB"/>
              </w:rPr>
              <w:t>Flavomix</w:t>
            </w:r>
            <w:proofErr w:type="spellEnd"/>
            <w:r w:rsidRPr="00780840">
              <w:rPr>
                <w:lang w:val="en-GB"/>
              </w:rPr>
              <w:t xml:space="preserve"> concentration (%)</w:t>
            </w:r>
          </w:p>
        </w:tc>
        <w:tc>
          <w:tcPr>
            <w:tcW w:w="993" w:type="dxa"/>
            <w:tcBorders>
              <w:top w:val="single" w:sz="12" w:space="0" w:color="008000"/>
              <w:bottom w:val="single" w:sz="6" w:space="0" w:color="008000"/>
            </w:tcBorders>
            <w:shd w:val="clear" w:color="auto" w:fill="FFFFFF"/>
            <w:vAlign w:val="center"/>
          </w:tcPr>
          <w:p w14:paraId="2BAB79F1" w14:textId="77777777" w:rsidR="002A2108" w:rsidRPr="00780840" w:rsidRDefault="002A2108" w:rsidP="00894FD5">
            <w:pPr>
              <w:pStyle w:val="CETBodytext"/>
              <w:jc w:val="center"/>
            </w:pPr>
            <w:r w:rsidRPr="00780840">
              <w:t>Screw Rotation speed (rpm)</w:t>
            </w:r>
          </w:p>
        </w:tc>
        <w:tc>
          <w:tcPr>
            <w:tcW w:w="1134" w:type="dxa"/>
            <w:tcBorders>
              <w:top w:val="single" w:sz="12" w:space="0" w:color="008000"/>
              <w:bottom w:val="single" w:sz="6" w:space="0" w:color="008000"/>
            </w:tcBorders>
            <w:shd w:val="clear" w:color="auto" w:fill="FFFFFF"/>
            <w:vAlign w:val="center"/>
          </w:tcPr>
          <w:p w14:paraId="6C71D7EF" w14:textId="77777777" w:rsidR="002A2108" w:rsidRPr="00780840" w:rsidRDefault="002A2108" w:rsidP="00894FD5">
            <w:pPr>
              <w:pStyle w:val="CETBodytext"/>
              <w:jc w:val="center"/>
            </w:pPr>
            <w:r w:rsidRPr="00780840">
              <w:t>Temperature (</w:t>
            </w:r>
            <w:proofErr w:type="spellStart"/>
            <w:r w:rsidRPr="00780840">
              <w:rPr>
                <w:vertAlign w:val="superscript"/>
              </w:rPr>
              <w:t>o</w:t>
            </w:r>
            <w:r w:rsidRPr="00780840">
              <w:t>C</w:t>
            </w:r>
            <w:proofErr w:type="spellEnd"/>
            <w:r w:rsidRPr="00780840">
              <w:t>)</w:t>
            </w:r>
          </w:p>
        </w:tc>
        <w:tc>
          <w:tcPr>
            <w:tcW w:w="1033" w:type="dxa"/>
            <w:tcBorders>
              <w:top w:val="single" w:sz="12" w:space="0" w:color="008000"/>
              <w:bottom w:val="single" w:sz="6" w:space="0" w:color="008000"/>
            </w:tcBorders>
            <w:shd w:val="clear" w:color="auto" w:fill="FFFFFF"/>
            <w:vAlign w:val="center"/>
          </w:tcPr>
          <w:p w14:paraId="6675CD4E" w14:textId="77777777" w:rsidR="002A2108" w:rsidRPr="00780840" w:rsidRDefault="002A2108" w:rsidP="00894FD5">
            <w:pPr>
              <w:pStyle w:val="CETBodytext"/>
              <w:jc w:val="center"/>
            </w:pPr>
            <w:proofErr w:type="gramStart"/>
            <w:r>
              <w:t>EE</w:t>
            </w:r>
            <w:r w:rsidRPr="00780840">
              <w:t>(</w:t>
            </w:r>
            <w:proofErr w:type="gramEnd"/>
            <w:r w:rsidRPr="00780840">
              <w:t>%)</w:t>
            </w:r>
          </w:p>
        </w:tc>
      </w:tr>
      <w:tr w:rsidR="002A2108" w:rsidRPr="00780840" w14:paraId="7D7F3AC1" w14:textId="77777777" w:rsidTr="00894FD5">
        <w:trPr>
          <w:trHeight w:val="228"/>
        </w:trPr>
        <w:tc>
          <w:tcPr>
            <w:tcW w:w="1134" w:type="dxa"/>
            <w:vMerge w:val="restart"/>
            <w:shd w:val="clear" w:color="auto" w:fill="FFFFFF"/>
            <w:vAlign w:val="center"/>
          </w:tcPr>
          <w:p w14:paraId="77225211" w14:textId="77777777" w:rsidR="002A2108" w:rsidRPr="00780840" w:rsidRDefault="002A2108" w:rsidP="00894FD5">
            <w:pPr>
              <w:pStyle w:val="CETBodytext"/>
              <w:jc w:val="center"/>
              <w:rPr>
                <w:lang w:val="en-GB"/>
              </w:rPr>
            </w:pPr>
            <w:r w:rsidRPr="00780840">
              <w:t>10</w:t>
            </w:r>
          </w:p>
          <w:p w14:paraId="7AB3467D" w14:textId="77777777" w:rsidR="002A2108" w:rsidRPr="00780840" w:rsidRDefault="002A2108" w:rsidP="00894FD5">
            <w:pPr>
              <w:pStyle w:val="CETBodytext"/>
              <w:jc w:val="center"/>
              <w:rPr>
                <w:lang w:val="en-GB"/>
              </w:rPr>
            </w:pPr>
          </w:p>
        </w:tc>
        <w:tc>
          <w:tcPr>
            <w:tcW w:w="993" w:type="dxa"/>
            <w:vMerge w:val="restart"/>
            <w:shd w:val="clear" w:color="auto" w:fill="FFFFFF"/>
            <w:vAlign w:val="center"/>
          </w:tcPr>
          <w:p w14:paraId="4AA43467" w14:textId="77777777" w:rsidR="002A2108" w:rsidRPr="00780840" w:rsidRDefault="002A2108" w:rsidP="00894FD5">
            <w:pPr>
              <w:pStyle w:val="CETBodytext"/>
              <w:jc w:val="center"/>
              <w:rPr>
                <w:lang w:val="en-GB"/>
              </w:rPr>
            </w:pPr>
            <w:r w:rsidRPr="00780840">
              <w:t>50</w:t>
            </w:r>
          </w:p>
        </w:tc>
        <w:tc>
          <w:tcPr>
            <w:tcW w:w="1134" w:type="dxa"/>
            <w:shd w:val="clear" w:color="auto" w:fill="FFFFFF"/>
            <w:vAlign w:val="center"/>
          </w:tcPr>
          <w:p w14:paraId="187B2B29" w14:textId="77777777" w:rsidR="002A2108" w:rsidRPr="00780840" w:rsidRDefault="002A2108" w:rsidP="00894FD5">
            <w:pPr>
              <w:pStyle w:val="CETBodytext"/>
              <w:jc w:val="center"/>
            </w:pPr>
            <w:r w:rsidRPr="00780840">
              <w:t>1</w:t>
            </w:r>
            <w:r w:rsidRPr="00780840">
              <w:rPr>
                <w:lang w:val="el-GR"/>
              </w:rPr>
              <w:t>8</w:t>
            </w:r>
            <w:r w:rsidRPr="00780840">
              <w:t>0</w:t>
            </w:r>
          </w:p>
        </w:tc>
        <w:tc>
          <w:tcPr>
            <w:tcW w:w="1033" w:type="dxa"/>
            <w:shd w:val="clear" w:color="auto" w:fill="FFFFFF"/>
          </w:tcPr>
          <w:p w14:paraId="48339245" w14:textId="77777777" w:rsidR="002A2108" w:rsidRPr="00780840" w:rsidRDefault="002A2108" w:rsidP="00894FD5">
            <w:pPr>
              <w:pStyle w:val="CETBodytext"/>
              <w:jc w:val="center"/>
            </w:pPr>
            <w:r w:rsidRPr="00780840">
              <w:rPr>
                <w:lang w:val="el-GR"/>
              </w:rPr>
              <w:t>73</w:t>
            </w:r>
            <w:proofErr w:type="spellStart"/>
            <w:r>
              <w:rPr>
                <w:vertAlign w:val="superscript"/>
                <w:lang w:val="en-GB"/>
              </w:rPr>
              <w:t>a,c</w:t>
            </w:r>
            <w:proofErr w:type="spellEnd"/>
            <w:r w:rsidRPr="002F484F">
              <w:rPr>
                <w:vertAlign w:val="superscript"/>
                <w:lang w:val="en-GB"/>
              </w:rPr>
              <w:t xml:space="preserve"> </w:t>
            </w:r>
            <w:r>
              <w:rPr>
                <w:lang w:val="en-GB"/>
              </w:rPr>
              <w:t xml:space="preserve"> </w:t>
            </w:r>
            <w:r w:rsidRPr="00051C5C">
              <w:rPr>
                <w:u w:val="single"/>
                <w:lang w:val="en-GB"/>
              </w:rPr>
              <w:t>+</w:t>
            </w:r>
            <w:r>
              <w:rPr>
                <w:lang w:val="en-GB"/>
              </w:rPr>
              <w:t xml:space="preserve"> 0.9</w:t>
            </w:r>
          </w:p>
        </w:tc>
      </w:tr>
      <w:tr w:rsidR="002A2108" w:rsidRPr="00780840" w14:paraId="5C5117B7" w14:textId="77777777" w:rsidTr="00894FD5">
        <w:trPr>
          <w:trHeight w:val="144"/>
        </w:trPr>
        <w:tc>
          <w:tcPr>
            <w:tcW w:w="1134" w:type="dxa"/>
            <w:vMerge/>
            <w:shd w:val="clear" w:color="auto" w:fill="FFFFFF"/>
          </w:tcPr>
          <w:p w14:paraId="14FDE837" w14:textId="77777777" w:rsidR="002A2108" w:rsidRPr="00780840" w:rsidRDefault="002A2108" w:rsidP="00894FD5">
            <w:pPr>
              <w:pStyle w:val="CETBodytext"/>
              <w:jc w:val="center"/>
              <w:rPr>
                <w:lang w:val="en-GB"/>
              </w:rPr>
            </w:pPr>
          </w:p>
        </w:tc>
        <w:tc>
          <w:tcPr>
            <w:tcW w:w="993" w:type="dxa"/>
            <w:vMerge/>
            <w:shd w:val="clear" w:color="auto" w:fill="FFFFFF"/>
            <w:vAlign w:val="center"/>
          </w:tcPr>
          <w:p w14:paraId="6BC2413F" w14:textId="77777777" w:rsidR="002A2108" w:rsidRPr="00780840" w:rsidRDefault="002A2108" w:rsidP="00894FD5">
            <w:pPr>
              <w:pStyle w:val="CETBodytext"/>
              <w:jc w:val="center"/>
              <w:rPr>
                <w:lang w:val="en-GB"/>
              </w:rPr>
            </w:pPr>
          </w:p>
        </w:tc>
        <w:tc>
          <w:tcPr>
            <w:tcW w:w="1134" w:type="dxa"/>
            <w:shd w:val="clear" w:color="auto" w:fill="FFFFFF"/>
            <w:vAlign w:val="center"/>
          </w:tcPr>
          <w:p w14:paraId="164E01BB" w14:textId="77777777" w:rsidR="002A2108" w:rsidRPr="00780840" w:rsidRDefault="002A2108" w:rsidP="00894FD5">
            <w:pPr>
              <w:pStyle w:val="CETBodytext"/>
              <w:jc w:val="center"/>
            </w:pPr>
            <w:r w:rsidRPr="00780840">
              <w:t>20</w:t>
            </w:r>
            <w:r w:rsidRPr="00780840">
              <w:rPr>
                <w:lang w:val="el-GR"/>
              </w:rPr>
              <w:t>0</w:t>
            </w:r>
          </w:p>
        </w:tc>
        <w:tc>
          <w:tcPr>
            <w:tcW w:w="1033" w:type="dxa"/>
            <w:shd w:val="clear" w:color="auto" w:fill="FFFFFF"/>
          </w:tcPr>
          <w:p w14:paraId="49A50F84" w14:textId="77777777" w:rsidR="002A2108" w:rsidRPr="00780840" w:rsidRDefault="002A2108" w:rsidP="00894FD5">
            <w:pPr>
              <w:pStyle w:val="CETBodytext"/>
              <w:jc w:val="center"/>
            </w:pPr>
            <w:r w:rsidRPr="00780840">
              <w:rPr>
                <w:lang w:val="el-GR"/>
              </w:rPr>
              <w:t>71</w:t>
            </w:r>
            <w:proofErr w:type="spellStart"/>
            <w:r w:rsidRPr="002F484F">
              <w:rPr>
                <w:vertAlign w:val="superscript"/>
                <w:lang w:val="en-GB"/>
              </w:rPr>
              <w:t>a,b</w:t>
            </w:r>
            <w:proofErr w:type="spellEnd"/>
            <w:r w:rsidRPr="002F484F">
              <w:rPr>
                <w:vertAlign w:val="superscript"/>
                <w:lang w:val="en-GB"/>
              </w:rPr>
              <w:t xml:space="preserve"> </w:t>
            </w:r>
            <w:r>
              <w:rPr>
                <w:lang w:val="en-GB"/>
              </w:rPr>
              <w:t xml:space="preserve"> </w:t>
            </w:r>
            <w:r w:rsidRPr="00051C5C">
              <w:rPr>
                <w:u w:val="single"/>
                <w:lang w:val="en-GB"/>
              </w:rPr>
              <w:t>+</w:t>
            </w:r>
            <w:r>
              <w:rPr>
                <w:lang w:val="en-GB"/>
              </w:rPr>
              <w:t xml:space="preserve"> 1.0</w:t>
            </w:r>
          </w:p>
        </w:tc>
      </w:tr>
      <w:tr w:rsidR="002A2108" w:rsidRPr="00780840" w14:paraId="14425A2A" w14:textId="77777777" w:rsidTr="00894FD5">
        <w:trPr>
          <w:trHeight w:val="144"/>
        </w:trPr>
        <w:tc>
          <w:tcPr>
            <w:tcW w:w="1134" w:type="dxa"/>
            <w:vMerge/>
            <w:shd w:val="clear" w:color="auto" w:fill="FFFFFF"/>
          </w:tcPr>
          <w:p w14:paraId="2E079C60" w14:textId="77777777" w:rsidR="002A2108" w:rsidRPr="00780840" w:rsidRDefault="002A2108" w:rsidP="00894FD5">
            <w:pPr>
              <w:pStyle w:val="CETBodytext"/>
              <w:jc w:val="center"/>
              <w:rPr>
                <w:lang w:val="en-GB"/>
              </w:rPr>
            </w:pPr>
          </w:p>
        </w:tc>
        <w:tc>
          <w:tcPr>
            <w:tcW w:w="993" w:type="dxa"/>
            <w:vMerge w:val="restart"/>
            <w:shd w:val="clear" w:color="auto" w:fill="FFFFFF"/>
            <w:vAlign w:val="center"/>
          </w:tcPr>
          <w:p w14:paraId="7506E0FE" w14:textId="77777777" w:rsidR="002A2108" w:rsidRPr="00780840" w:rsidRDefault="002A2108" w:rsidP="00894FD5">
            <w:pPr>
              <w:pStyle w:val="CETBodytext"/>
              <w:jc w:val="center"/>
              <w:rPr>
                <w:lang w:val="en-GB"/>
              </w:rPr>
            </w:pPr>
            <w:r w:rsidRPr="00780840">
              <w:t>70</w:t>
            </w:r>
          </w:p>
        </w:tc>
        <w:tc>
          <w:tcPr>
            <w:tcW w:w="1134" w:type="dxa"/>
            <w:shd w:val="clear" w:color="auto" w:fill="FFFFFF"/>
            <w:vAlign w:val="center"/>
          </w:tcPr>
          <w:p w14:paraId="23F2737A" w14:textId="77777777" w:rsidR="002A2108" w:rsidRPr="00780840" w:rsidRDefault="002A2108" w:rsidP="00894FD5">
            <w:pPr>
              <w:pStyle w:val="CETBodytext"/>
              <w:jc w:val="center"/>
            </w:pPr>
            <w:r w:rsidRPr="00780840">
              <w:t>1</w:t>
            </w:r>
            <w:r w:rsidRPr="00780840">
              <w:rPr>
                <w:lang w:val="el-GR"/>
              </w:rPr>
              <w:t>8</w:t>
            </w:r>
            <w:r w:rsidRPr="00780840">
              <w:t>0</w:t>
            </w:r>
          </w:p>
        </w:tc>
        <w:tc>
          <w:tcPr>
            <w:tcW w:w="1033" w:type="dxa"/>
            <w:shd w:val="clear" w:color="auto" w:fill="FFFFFF"/>
          </w:tcPr>
          <w:p w14:paraId="2744C4E5" w14:textId="77777777" w:rsidR="002A2108" w:rsidRPr="00780840" w:rsidRDefault="002A2108" w:rsidP="00894FD5">
            <w:pPr>
              <w:pStyle w:val="CETBodytext"/>
              <w:jc w:val="center"/>
            </w:pPr>
            <w:r w:rsidRPr="00780840">
              <w:rPr>
                <w:lang w:val="el-GR"/>
              </w:rPr>
              <w:t>69</w:t>
            </w:r>
            <w:r w:rsidRPr="002F484F">
              <w:rPr>
                <w:vertAlign w:val="superscript"/>
                <w:lang w:val="en-GB"/>
              </w:rPr>
              <w:t xml:space="preserve">b </w:t>
            </w:r>
            <w:r>
              <w:rPr>
                <w:lang w:val="en-GB"/>
              </w:rPr>
              <w:t xml:space="preserve"> </w:t>
            </w:r>
            <w:r w:rsidRPr="00051C5C">
              <w:rPr>
                <w:u w:val="single"/>
                <w:lang w:val="en-GB"/>
              </w:rPr>
              <w:t>+</w:t>
            </w:r>
            <w:r>
              <w:rPr>
                <w:lang w:val="en-GB"/>
              </w:rPr>
              <w:t xml:space="preserve"> 1.1</w:t>
            </w:r>
          </w:p>
        </w:tc>
      </w:tr>
      <w:tr w:rsidR="002A2108" w:rsidRPr="00780840" w14:paraId="1A10D2A5" w14:textId="77777777" w:rsidTr="00894FD5">
        <w:trPr>
          <w:trHeight w:val="144"/>
        </w:trPr>
        <w:tc>
          <w:tcPr>
            <w:tcW w:w="1134" w:type="dxa"/>
            <w:vMerge/>
            <w:shd w:val="clear" w:color="auto" w:fill="FFFFFF"/>
          </w:tcPr>
          <w:p w14:paraId="5089AFFC" w14:textId="77777777" w:rsidR="002A2108" w:rsidRPr="00780840" w:rsidRDefault="002A2108" w:rsidP="00894FD5">
            <w:pPr>
              <w:pStyle w:val="CETBodytext"/>
              <w:jc w:val="center"/>
            </w:pPr>
          </w:p>
        </w:tc>
        <w:tc>
          <w:tcPr>
            <w:tcW w:w="993" w:type="dxa"/>
            <w:vMerge/>
            <w:shd w:val="clear" w:color="auto" w:fill="FFFFFF"/>
            <w:vAlign w:val="center"/>
          </w:tcPr>
          <w:p w14:paraId="4D312F43" w14:textId="77777777" w:rsidR="002A2108" w:rsidRPr="00780840" w:rsidRDefault="002A2108" w:rsidP="00894FD5">
            <w:pPr>
              <w:pStyle w:val="CETBodytext"/>
              <w:jc w:val="center"/>
            </w:pPr>
          </w:p>
        </w:tc>
        <w:tc>
          <w:tcPr>
            <w:tcW w:w="1134" w:type="dxa"/>
            <w:shd w:val="clear" w:color="auto" w:fill="FFFFFF"/>
            <w:vAlign w:val="center"/>
          </w:tcPr>
          <w:p w14:paraId="72EEF993" w14:textId="77777777" w:rsidR="002A2108" w:rsidRPr="00780840" w:rsidRDefault="002A2108" w:rsidP="00894FD5">
            <w:pPr>
              <w:pStyle w:val="CETBodytext"/>
              <w:jc w:val="center"/>
            </w:pPr>
            <w:r w:rsidRPr="00780840">
              <w:rPr>
                <w:lang w:val="el-GR"/>
              </w:rPr>
              <w:t>200</w:t>
            </w:r>
          </w:p>
        </w:tc>
        <w:tc>
          <w:tcPr>
            <w:tcW w:w="1033" w:type="dxa"/>
            <w:shd w:val="clear" w:color="auto" w:fill="FFFFFF"/>
          </w:tcPr>
          <w:p w14:paraId="54E96D3E" w14:textId="77777777" w:rsidR="002A2108" w:rsidRPr="00780840" w:rsidRDefault="002A2108" w:rsidP="00894FD5">
            <w:pPr>
              <w:pStyle w:val="CETBodytext"/>
              <w:jc w:val="center"/>
            </w:pPr>
            <w:r w:rsidRPr="00780840">
              <w:rPr>
                <w:lang w:val="el-GR"/>
              </w:rPr>
              <w:t>68</w:t>
            </w:r>
            <w:r w:rsidRPr="002F484F">
              <w:rPr>
                <w:vertAlign w:val="superscript"/>
                <w:lang w:val="en-GB"/>
              </w:rPr>
              <w:t xml:space="preserve">b </w:t>
            </w:r>
            <w:r>
              <w:rPr>
                <w:lang w:val="en-GB"/>
              </w:rPr>
              <w:t xml:space="preserve"> </w:t>
            </w:r>
            <w:r w:rsidRPr="00051C5C">
              <w:rPr>
                <w:u w:val="single"/>
                <w:lang w:val="en-GB"/>
              </w:rPr>
              <w:t>+</w:t>
            </w:r>
            <w:r>
              <w:rPr>
                <w:lang w:val="en-GB"/>
              </w:rPr>
              <w:t xml:space="preserve"> 1.1</w:t>
            </w:r>
          </w:p>
        </w:tc>
      </w:tr>
      <w:tr w:rsidR="002A2108" w:rsidRPr="00780840" w14:paraId="59A74231" w14:textId="77777777" w:rsidTr="00894FD5">
        <w:trPr>
          <w:trHeight w:val="216"/>
        </w:trPr>
        <w:tc>
          <w:tcPr>
            <w:tcW w:w="1134" w:type="dxa"/>
            <w:vMerge w:val="restart"/>
            <w:shd w:val="clear" w:color="auto" w:fill="FFFFFF"/>
            <w:vAlign w:val="center"/>
          </w:tcPr>
          <w:p w14:paraId="126DC5BB" w14:textId="77777777" w:rsidR="002A2108" w:rsidRPr="00780840" w:rsidRDefault="002A2108" w:rsidP="00894FD5">
            <w:pPr>
              <w:pStyle w:val="CETBodytext"/>
              <w:jc w:val="center"/>
            </w:pPr>
            <w:r w:rsidRPr="00780840">
              <w:t>20</w:t>
            </w:r>
          </w:p>
          <w:p w14:paraId="18475CD8" w14:textId="77777777" w:rsidR="002A2108" w:rsidRPr="00780840" w:rsidRDefault="002A2108" w:rsidP="00894FD5">
            <w:pPr>
              <w:pStyle w:val="CETBodytext"/>
              <w:jc w:val="center"/>
            </w:pPr>
          </w:p>
        </w:tc>
        <w:tc>
          <w:tcPr>
            <w:tcW w:w="993" w:type="dxa"/>
            <w:vMerge w:val="restart"/>
            <w:shd w:val="clear" w:color="auto" w:fill="FFFFFF"/>
            <w:vAlign w:val="center"/>
          </w:tcPr>
          <w:p w14:paraId="04C19002" w14:textId="77777777" w:rsidR="002A2108" w:rsidRPr="00780840" w:rsidRDefault="002A2108" w:rsidP="00894FD5">
            <w:pPr>
              <w:pStyle w:val="CETBodytext"/>
              <w:jc w:val="center"/>
            </w:pPr>
            <w:r w:rsidRPr="00780840">
              <w:t>50</w:t>
            </w:r>
          </w:p>
        </w:tc>
        <w:tc>
          <w:tcPr>
            <w:tcW w:w="1134" w:type="dxa"/>
            <w:shd w:val="clear" w:color="auto" w:fill="FFFFFF"/>
            <w:vAlign w:val="center"/>
          </w:tcPr>
          <w:p w14:paraId="10BE3F6C" w14:textId="77777777" w:rsidR="002A2108" w:rsidRPr="00780840" w:rsidRDefault="002A2108" w:rsidP="00894FD5">
            <w:pPr>
              <w:pStyle w:val="CETBodytext"/>
              <w:jc w:val="center"/>
            </w:pPr>
            <w:r w:rsidRPr="00780840">
              <w:t>1</w:t>
            </w:r>
            <w:r w:rsidRPr="00780840">
              <w:rPr>
                <w:lang w:val="el-GR"/>
              </w:rPr>
              <w:t>8</w:t>
            </w:r>
            <w:r w:rsidRPr="00780840">
              <w:t>0</w:t>
            </w:r>
          </w:p>
        </w:tc>
        <w:tc>
          <w:tcPr>
            <w:tcW w:w="1033" w:type="dxa"/>
            <w:shd w:val="clear" w:color="auto" w:fill="FFFFFF"/>
          </w:tcPr>
          <w:p w14:paraId="6D93C987" w14:textId="77777777" w:rsidR="002A2108" w:rsidRPr="00780840" w:rsidRDefault="002A2108" w:rsidP="00894FD5">
            <w:pPr>
              <w:pStyle w:val="CETBodytext"/>
              <w:jc w:val="center"/>
            </w:pPr>
            <w:r w:rsidRPr="00780840">
              <w:t>7</w:t>
            </w:r>
            <w:r w:rsidRPr="00780840">
              <w:rPr>
                <w:lang w:val="el-GR"/>
              </w:rPr>
              <w:t>4</w:t>
            </w:r>
            <w:r>
              <w:rPr>
                <w:vertAlign w:val="superscript"/>
                <w:lang w:val="en-GB"/>
              </w:rPr>
              <w:t>a</w:t>
            </w:r>
            <w:r>
              <w:rPr>
                <w:lang w:val="en-GB"/>
              </w:rPr>
              <w:t xml:space="preserve"> </w:t>
            </w:r>
            <w:r w:rsidRPr="00051C5C">
              <w:rPr>
                <w:u w:val="single"/>
                <w:lang w:val="en-GB"/>
              </w:rPr>
              <w:t>+</w:t>
            </w:r>
            <w:r>
              <w:rPr>
                <w:lang w:val="en-GB"/>
              </w:rPr>
              <w:t xml:space="preserve"> 1.2</w:t>
            </w:r>
          </w:p>
        </w:tc>
      </w:tr>
      <w:tr w:rsidR="002A2108" w:rsidRPr="00780840" w14:paraId="3CEF9274" w14:textId="77777777" w:rsidTr="00894FD5">
        <w:trPr>
          <w:trHeight w:val="144"/>
        </w:trPr>
        <w:tc>
          <w:tcPr>
            <w:tcW w:w="1134" w:type="dxa"/>
            <w:vMerge/>
            <w:shd w:val="clear" w:color="auto" w:fill="FFFFFF"/>
          </w:tcPr>
          <w:p w14:paraId="00A33F46" w14:textId="77777777" w:rsidR="002A2108" w:rsidRPr="00780840" w:rsidRDefault="002A2108" w:rsidP="00894FD5">
            <w:pPr>
              <w:pStyle w:val="CETBodytext"/>
              <w:jc w:val="center"/>
            </w:pPr>
          </w:p>
        </w:tc>
        <w:tc>
          <w:tcPr>
            <w:tcW w:w="993" w:type="dxa"/>
            <w:vMerge/>
            <w:shd w:val="clear" w:color="auto" w:fill="FFFFFF"/>
            <w:vAlign w:val="center"/>
          </w:tcPr>
          <w:p w14:paraId="11BF225F" w14:textId="77777777" w:rsidR="002A2108" w:rsidRPr="00780840" w:rsidRDefault="002A2108" w:rsidP="00894FD5">
            <w:pPr>
              <w:pStyle w:val="CETBodytext"/>
              <w:jc w:val="center"/>
            </w:pPr>
          </w:p>
        </w:tc>
        <w:tc>
          <w:tcPr>
            <w:tcW w:w="1134" w:type="dxa"/>
            <w:shd w:val="clear" w:color="auto" w:fill="FFFFFF"/>
            <w:vAlign w:val="center"/>
          </w:tcPr>
          <w:p w14:paraId="6C9643FE" w14:textId="77777777" w:rsidR="002A2108" w:rsidRPr="00780840" w:rsidRDefault="002A2108" w:rsidP="00894FD5">
            <w:pPr>
              <w:pStyle w:val="CETBodytext"/>
              <w:jc w:val="center"/>
            </w:pPr>
            <w:r w:rsidRPr="00780840">
              <w:t>20</w:t>
            </w:r>
            <w:r w:rsidRPr="00780840">
              <w:rPr>
                <w:lang w:val="el-GR"/>
              </w:rPr>
              <w:t>0</w:t>
            </w:r>
          </w:p>
        </w:tc>
        <w:tc>
          <w:tcPr>
            <w:tcW w:w="1033" w:type="dxa"/>
            <w:shd w:val="clear" w:color="auto" w:fill="FFFFFF"/>
          </w:tcPr>
          <w:p w14:paraId="5BBB566E" w14:textId="77777777" w:rsidR="002A2108" w:rsidRPr="00780840" w:rsidRDefault="002A2108" w:rsidP="00894FD5">
            <w:pPr>
              <w:pStyle w:val="CETBodytext"/>
              <w:jc w:val="center"/>
            </w:pPr>
            <w:r w:rsidRPr="00780840">
              <w:rPr>
                <w:lang w:val="el-GR"/>
              </w:rPr>
              <w:t>73</w:t>
            </w:r>
            <w:r w:rsidRPr="002F484F">
              <w:rPr>
                <w:vertAlign w:val="superscript"/>
                <w:lang w:val="en-GB"/>
              </w:rPr>
              <w:t xml:space="preserve"> </w:t>
            </w:r>
            <w:proofErr w:type="spellStart"/>
            <w:r>
              <w:rPr>
                <w:vertAlign w:val="superscript"/>
                <w:lang w:val="en-GB"/>
              </w:rPr>
              <w:t>a,c</w:t>
            </w:r>
            <w:proofErr w:type="spellEnd"/>
            <w:r w:rsidRPr="002F484F">
              <w:rPr>
                <w:vertAlign w:val="superscript"/>
                <w:lang w:val="en-GB"/>
              </w:rPr>
              <w:t xml:space="preserve"> </w:t>
            </w:r>
            <w:r>
              <w:rPr>
                <w:lang w:val="en-GB"/>
              </w:rPr>
              <w:t xml:space="preserve"> </w:t>
            </w:r>
            <w:r w:rsidRPr="00051C5C">
              <w:rPr>
                <w:u w:val="single"/>
                <w:lang w:val="en-GB"/>
              </w:rPr>
              <w:t>+</w:t>
            </w:r>
            <w:r>
              <w:rPr>
                <w:lang w:val="en-GB"/>
              </w:rPr>
              <w:t xml:space="preserve"> 0.6</w:t>
            </w:r>
          </w:p>
        </w:tc>
      </w:tr>
      <w:tr w:rsidR="002A2108" w:rsidRPr="00780840" w14:paraId="22D7A17A" w14:textId="77777777" w:rsidTr="00894FD5">
        <w:trPr>
          <w:trHeight w:val="144"/>
        </w:trPr>
        <w:tc>
          <w:tcPr>
            <w:tcW w:w="1134" w:type="dxa"/>
            <w:vMerge/>
            <w:shd w:val="clear" w:color="auto" w:fill="FFFFFF"/>
          </w:tcPr>
          <w:p w14:paraId="4DD23379" w14:textId="77777777" w:rsidR="002A2108" w:rsidRPr="00780840" w:rsidRDefault="002A2108" w:rsidP="00894FD5">
            <w:pPr>
              <w:pStyle w:val="CETBodytext"/>
              <w:jc w:val="center"/>
            </w:pPr>
          </w:p>
        </w:tc>
        <w:tc>
          <w:tcPr>
            <w:tcW w:w="993" w:type="dxa"/>
            <w:vMerge w:val="restart"/>
            <w:shd w:val="clear" w:color="auto" w:fill="FFFFFF"/>
            <w:vAlign w:val="center"/>
          </w:tcPr>
          <w:p w14:paraId="140D7FCD" w14:textId="77777777" w:rsidR="002A2108" w:rsidRPr="00780840" w:rsidRDefault="002A2108" w:rsidP="00894FD5">
            <w:pPr>
              <w:pStyle w:val="CETBodytext"/>
              <w:jc w:val="center"/>
            </w:pPr>
            <w:r w:rsidRPr="00780840">
              <w:t>70</w:t>
            </w:r>
          </w:p>
        </w:tc>
        <w:tc>
          <w:tcPr>
            <w:tcW w:w="1134" w:type="dxa"/>
            <w:shd w:val="clear" w:color="auto" w:fill="FFFFFF"/>
            <w:vAlign w:val="center"/>
          </w:tcPr>
          <w:p w14:paraId="64ECA2F4" w14:textId="77777777" w:rsidR="002A2108" w:rsidRPr="00780840" w:rsidRDefault="002A2108" w:rsidP="00894FD5">
            <w:pPr>
              <w:pStyle w:val="CETBodytext"/>
              <w:jc w:val="center"/>
            </w:pPr>
            <w:r w:rsidRPr="00780840">
              <w:t>1</w:t>
            </w:r>
            <w:r w:rsidRPr="00780840">
              <w:rPr>
                <w:lang w:val="el-GR"/>
              </w:rPr>
              <w:t>8</w:t>
            </w:r>
            <w:r w:rsidRPr="00780840">
              <w:t>0</w:t>
            </w:r>
          </w:p>
        </w:tc>
        <w:tc>
          <w:tcPr>
            <w:tcW w:w="1033" w:type="dxa"/>
            <w:shd w:val="clear" w:color="auto" w:fill="FFFFFF"/>
          </w:tcPr>
          <w:p w14:paraId="65344F6B" w14:textId="77777777" w:rsidR="002A2108" w:rsidRPr="00780840" w:rsidRDefault="002A2108" w:rsidP="00894FD5">
            <w:pPr>
              <w:pStyle w:val="CETBodytext"/>
              <w:jc w:val="center"/>
            </w:pPr>
            <w:r w:rsidRPr="00780840">
              <w:rPr>
                <w:lang w:val="el-GR"/>
              </w:rPr>
              <w:t>70</w:t>
            </w:r>
            <w:proofErr w:type="spellStart"/>
            <w:r>
              <w:rPr>
                <w:vertAlign w:val="superscript"/>
                <w:lang w:val="en-GB"/>
              </w:rPr>
              <w:t>c,b</w:t>
            </w:r>
            <w:proofErr w:type="spellEnd"/>
            <w:r w:rsidRPr="002F484F">
              <w:rPr>
                <w:vertAlign w:val="superscript"/>
                <w:lang w:val="en-GB"/>
              </w:rPr>
              <w:t xml:space="preserve"> </w:t>
            </w:r>
            <w:r>
              <w:rPr>
                <w:lang w:val="en-GB"/>
              </w:rPr>
              <w:t xml:space="preserve"> </w:t>
            </w:r>
            <w:r w:rsidRPr="00051C5C">
              <w:rPr>
                <w:u w:val="single"/>
                <w:lang w:val="en-GB"/>
              </w:rPr>
              <w:t>+</w:t>
            </w:r>
            <w:r>
              <w:rPr>
                <w:lang w:val="en-GB"/>
              </w:rPr>
              <w:t xml:space="preserve"> 1.3</w:t>
            </w:r>
          </w:p>
        </w:tc>
      </w:tr>
      <w:tr w:rsidR="002A2108" w:rsidRPr="00780840" w14:paraId="4F4E3ECF" w14:textId="77777777" w:rsidTr="00894FD5">
        <w:trPr>
          <w:trHeight w:val="144"/>
        </w:trPr>
        <w:tc>
          <w:tcPr>
            <w:tcW w:w="1134" w:type="dxa"/>
            <w:vMerge/>
            <w:shd w:val="clear" w:color="auto" w:fill="FFFFFF"/>
          </w:tcPr>
          <w:p w14:paraId="455A847C" w14:textId="77777777" w:rsidR="002A2108" w:rsidRPr="00780840" w:rsidRDefault="002A2108" w:rsidP="00894FD5">
            <w:pPr>
              <w:pStyle w:val="CETBodytext"/>
              <w:jc w:val="center"/>
            </w:pPr>
          </w:p>
        </w:tc>
        <w:tc>
          <w:tcPr>
            <w:tcW w:w="993" w:type="dxa"/>
            <w:vMerge/>
            <w:shd w:val="clear" w:color="auto" w:fill="FFFFFF"/>
          </w:tcPr>
          <w:p w14:paraId="3C99679B" w14:textId="77777777" w:rsidR="002A2108" w:rsidRPr="00780840" w:rsidRDefault="002A2108" w:rsidP="00894FD5">
            <w:pPr>
              <w:pStyle w:val="CETBodytext"/>
              <w:jc w:val="center"/>
            </w:pPr>
          </w:p>
        </w:tc>
        <w:tc>
          <w:tcPr>
            <w:tcW w:w="1134" w:type="dxa"/>
            <w:shd w:val="clear" w:color="auto" w:fill="FFFFFF"/>
            <w:vAlign w:val="center"/>
          </w:tcPr>
          <w:p w14:paraId="642887FD" w14:textId="77777777" w:rsidR="002A2108" w:rsidRPr="00780840" w:rsidRDefault="002A2108" w:rsidP="00894FD5">
            <w:pPr>
              <w:pStyle w:val="CETBodytext"/>
              <w:jc w:val="center"/>
            </w:pPr>
            <w:r w:rsidRPr="00780840">
              <w:rPr>
                <w:lang w:val="el-GR"/>
              </w:rPr>
              <w:t>200</w:t>
            </w:r>
          </w:p>
        </w:tc>
        <w:tc>
          <w:tcPr>
            <w:tcW w:w="1033" w:type="dxa"/>
            <w:shd w:val="clear" w:color="auto" w:fill="FFFFFF"/>
          </w:tcPr>
          <w:p w14:paraId="01F5D738" w14:textId="77777777" w:rsidR="002A2108" w:rsidRPr="00780840" w:rsidRDefault="002A2108" w:rsidP="00894FD5">
            <w:pPr>
              <w:pStyle w:val="CETBodytext"/>
              <w:jc w:val="center"/>
            </w:pPr>
            <w:r w:rsidRPr="00780840">
              <w:rPr>
                <w:lang w:val="el-GR"/>
              </w:rPr>
              <w:t>69</w:t>
            </w:r>
            <w:r w:rsidRPr="002F484F">
              <w:rPr>
                <w:vertAlign w:val="superscript"/>
                <w:lang w:val="en-GB"/>
              </w:rPr>
              <w:t xml:space="preserve">b </w:t>
            </w:r>
            <w:r>
              <w:rPr>
                <w:lang w:val="en-GB"/>
              </w:rPr>
              <w:t xml:space="preserve"> </w:t>
            </w:r>
            <w:r w:rsidRPr="00051C5C">
              <w:rPr>
                <w:u w:val="single"/>
                <w:lang w:val="en-GB"/>
              </w:rPr>
              <w:t>+</w:t>
            </w:r>
            <w:r>
              <w:rPr>
                <w:lang w:val="en-GB"/>
              </w:rPr>
              <w:t xml:space="preserve"> 1.1</w:t>
            </w:r>
          </w:p>
        </w:tc>
      </w:tr>
    </w:tbl>
    <w:p w14:paraId="07CC5F46" w14:textId="77777777" w:rsidR="002A2108" w:rsidRPr="008D4B2F" w:rsidRDefault="002A2108" w:rsidP="002A2108">
      <w:pPr>
        <w:pStyle w:val="CETBodytext"/>
        <w:rPr>
          <w:sz w:val="2"/>
        </w:rPr>
      </w:pPr>
    </w:p>
    <w:p w14:paraId="667CB8B1" w14:textId="77777777" w:rsidR="00356A80" w:rsidRPr="002A2108" w:rsidRDefault="00356A80" w:rsidP="004C033C">
      <w:pPr>
        <w:pStyle w:val="CETBodytext"/>
        <w:rPr>
          <w:lang w:val="en-GB"/>
        </w:rPr>
      </w:pPr>
    </w:p>
    <w:p w14:paraId="03FC81BD" w14:textId="1E01FC53" w:rsidR="004C033C" w:rsidRDefault="004C033C" w:rsidP="004C033C">
      <w:r w:rsidRPr="00850637">
        <w:t>The thermal transitions of the encapsulation complexes</w:t>
      </w:r>
      <w:r>
        <w:t xml:space="preserve"> and of</w:t>
      </w:r>
      <w:r w:rsidRPr="006A0D15">
        <w:t xml:space="preserve"> </w:t>
      </w:r>
      <w:r>
        <w:t>the plain LDPE polymer</w:t>
      </w:r>
      <w:r w:rsidRPr="00B6348E">
        <w:t xml:space="preserve"> were </w:t>
      </w:r>
      <w:r>
        <w:t xml:space="preserve">evaluated through </w:t>
      </w:r>
      <w:r w:rsidR="009A1E37">
        <w:t>DSC</w:t>
      </w:r>
      <w:r>
        <w:t xml:space="preserve"> in order to investigate whether the addition of </w:t>
      </w:r>
      <w:r w:rsidRPr="00E10D8C">
        <w:rPr>
          <w:color w:val="FF0000"/>
        </w:rPr>
        <w:t xml:space="preserve">OEO and </w:t>
      </w:r>
      <w:proofErr w:type="spellStart"/>
      <w:r>
        <w:t>flavomix</w:t>
      </w:r>
      <w:proofErr w:type="spellEnd"/>
      <w:r>
        <w:t xml:space="preserve"> affects the thermal behaviour of LDPE. </w:t>
      </w:r>
      <w:r w:rsidR="009A1E37">
        <w:t>T</w:t>
      </w:r>
      <w:r>
        <w:t xml:space="preserve">wo heating cycles were carried out since the aim of the first </w:t>
      </w:r>
      <w:r w:rsidR="009A1E37">
        <w:t xml:space="preserve">one </w:t>
      </w:r>
      <w:r>
        <w:t xml:space="preserve">was the removal of </w:t>
      </w:r>
      <w:r w:rsidRPr="00BF2947">
        <w:t xml:space="preserve">the </w:t>
      </w:r>
      <w:r w:rsidR="009A1E37">
        <w:t>polymers</w:t>
      </w:r>
      <w:r w:rsidR="009A1E37" w:rsidRPr="00BF2947">
        <w:t xml:space="preserve"> </w:t>
      </w:r>
      <w:r w:rsidRPr="00BF2947">
        <w:t>thermal history</w:t>
      </w:r>
      <w:r>
        <w:t xml:space="preserve">. </w:t>
      </w:r>
      <w:r w:rsidRPr="00BF2947">
        <w:t xml:space="preserve">As calculated from the second heating cycle, the melting point (Tm) of LDPE, i.e. the temperature at which the solid is converted to </w:t>
      </w:r>
      <w:r>
        <w:t>an isotropic liquid, wa</w:t>
      </w:r>
      <w:r w:rsidRPr="00BF2947">
        <w:t>s 11</w:t>
      </w:r>
      <w:r>
        <w:t>6.7</w:t>
      </w:r>
      <w:r w:rsidRPr="00BF2947">
        <w:t xml:space="preserve"> </w:t>
      </w:r>
      <w:r w:rsidRPr="00220297">
        <w:rPr>
          <w:color w:val="FF0000"/>
          <w:vertAlign w:val="superscript"/>
          <w:lang w:val="el-GR"/>
        </w:rPr>
        <w:t>ο</w:t>
      </w:r>
      <w:r w:rsidRPr="00220297">
        <w:rPr>
          <w:color w:val="FF0000"/>
        </w:rPr>
        <w:t>C</w:t>
      </w:r>
      <w:r w:rsidRPr="00BF2947">
        <w:t>, while the melting points of the p</w:t>
      </w:r>
      <w:r>
        <w:t>olymers</w:t>
      </w:r>
      <w:r w:rsidRPr="00BF2947">
        <w:t xml:space="preserve"> with the enc</w:t>
      </w:r>
      <w:r>
        <w:t>apsulated</w:t>
      </w:r>
      <w:r w:rsidRPr="00BF2947">
        <w:t xml:space="preserve"> antimicrobials of </w:t>
      </w:r>
      <w:r w:rsidRPr="00E10D8C">
        <w:rPr>
          <w:color w:val="FF0000"/>
        </w:rPr>
        <w:t xml:space="preserve">OEO </w:t>
      </w:r>
      <w:r>
        <w:t xml:space="preserve">and </w:t>
      </w:r>
      <w:proofErr w:type="spellStart"/>
      <w:r>
        <w:t>f</w:t>
      </w:r>
      <w:r w:rsidRPr="00BF2947">
        <w:t>lavomix</w:t>
      </w:r>
      <w:proofErr w:type="spellEnd"/>
      <w:r w:rsidRPr="00BF2947">
        <w:t xml:space="preserve"> are </w:t>
      </w:r>
      <w:r>
        <w:t xml:space="preserve">presented </w:t>
      </w:r>
      <w:r w:rsidRPr="00BF2947">
        <w:t>in Tables</w:t>
      </w:r>
      <w:r>
        <w:t xml:space="preserve"> 4 and 5</w:t>
      </w:r>
      <w:r w:rsidRPr="00BF2947">
        <w:t>.</w:t>
      </w:r>
      <w:r w:rsidRPr="00371853">
        <w:t xml:space="preserve"> </w:t>
      </w:r>
    </w:p>
    <w:p w14:paraId="4EECC298" w14:textId="1AE88F2B" w:rsidR="00837AF1" w:rsidRDefault="004C033C" w:rsidP="004C033C">
      <w:pPr>
        <w:pStyle w:val="CETCaption"/>
        <w:spacing w:after="0"/>
      </w:pPr>
      <w:proofErr w:type="gramStart"/>
      <w:r>
        <w:t>Table 4</w:t>
      </w:r>
      <w:r w:rsidRPr="005774C0">
        <w:t>.</w:t>
      </w:r>
      <w:proofErr w:type="gramEnd"/>
      <w:r w:rsidRPr="005774C0">
        <w:t xml:space="preserve"> </w:t>
      </w:r>
      <w:r>
        <w:t xml:space="preserve">Melting points (Tm, </w:t>
      </w:r>
      <w:proofErr w:type="spellStart"/>
      <w:proofErr w:type="gramStart"/>
      <w:r w:rsidRPr="00220297">
        <w:rPr>
          <w:color w:val="FF0000"/>
          <w:vertAlign w:val="superscript"/>
        </w:rPr>
        <w:t>o</w:t>
      </w:r>
      <w:r w:rsidRPr="00220297">
        <w:rPr>
          <w:color w:val="FF0000"/>
        </w:rPr>
        <w:t>C</w:t>
      </w:r>
      <w:proofErr w:type="spellEnd"/>
      <w:r>
        <w:t xml:space="preserve"> )</w:t>
      </w:r>
      <w:proofErr w:type="gramEnd"/>
      <w:r>
        <w:t xml:space="preserve"> of LDPE  </w:t>
      </w:r>
      <w:r w:rsidR="00837AF1">
        <w:t xml:space="preserve">                      Table 5</w:t>
      </w:r>
      <w:r w:rsidR="00837AF1" w:rsidRPr="005774C0">
        <w:t xml:space="preserve">. </w:t>
      </w:r>
      <w:r w:rsidR="00837AF1">
        <w:t xml:space="preserve">Melting points (Tm, </w:t>
      </w:r>
      <w:proofErr w:type="spellStart"/>
      <w:proofErr w:type="gramStart"/>
      <w:r w:rsidR="00837AF1" w:rsidRPr="00371853">
        <w:rPr>
          <w:vertAlign w:val="superscript"/>
        </w:rPr>
        <w:t>o</w:t>
      </w:r>
      <w:r w:rsidR="00837AF1">
        <w:t>C</w:t>
      </w:r>
      <w:proofErr w:type="spellEnd"/>
      <w:r w:rsidR="00837AF1">
        <w:t xml:space="preserve"> )</w:t>
      </w:r>
      <w:proofErr w:type="gramEnd"/>
      <w:r w:rsidR="00837AF1">
        <w:t xml:space="preserve"> of LDPE</w:t>
      </w:r>
    </w:p>
    <w:p w14:paraId="5CF3B505" w14:textId="4F4B682E" w:rsidR="004C033C" w:rsidRDefault="00837AF1" w:rsidP="00837AF1">
      <w:pPr>
        <w:pStyle w:val="CETCaption"/>
        <w:spacing w:before="0" w:after="0"/>
      </w:pPr>
      <w:proofErr w:type="gramStart"/>
      <w:r>
        <w:t>polymers</w:t>
      </w:r>
      <w:proofErr w:type="gramEnd"/>
      <w:r>
        <w:t xml:space="preserve"> </w:t>
      </w:r>
      <w:r w:rsidR="004C033C">
        <w:t>with 10 and 20</w:t>
      </w:r>
      <w:r w:rsidR="00006014">
        <w:t xml:space="preserve"> </w:t>
      </w:r>
      <w:r w:rsidR="004C033C" w:rsidRPr="00220297">
        <w:rPr>
          <w:color w:val="FF0000"/>
        </w:rPr>
        <w:t>%</w:t>
      </w:r>
      <w:r w:rsidR="004C033C">
        <w:t xml:space="preserve"> </w:t>
      </w:r>
      <w:r w:rsidRPr="00E10D8C">
        <w:rPr>
          <w:color w:val="FF0000"/>
        </w:rPr>
        <w:t xml:space="preserve">OEO </w:t>
      </w:r>
      <w:r>
        <w:t>produced</w:t>
      </w:r>
      <w:r w:rsidR="004C033C">
        <w:t xml:space="preserve">                   </w:t>
      </w:r>
      <w:r>
        <w:t xml:space="preserve">   </w:t>
      </w:r>
      <w:r w:rsidR="004C033C">
        <w:t xml:space="preserve">polymers with 10 and 20 </w:t>
      </w:r>
      <w:r w:rsidR="004C033C" w:rsidRPr="00220297">
        <w:rPr>
          <w:color w:val="FF0000"/>
        </w:rPr>
        <w:t>%</w:t>
      </w:r>
      <w:r w:rsidR="004C033C">
        <w:t xml:space="preserve"> </w:t>
      </w:r>
      <w:proofErr w:type="spellStart"/>
      <w:r w:rsidR="004C033C">
        <w:t>flavomix</w:t>
      </w:r>
      <w:proofErr w:type="spellEnd"/>
      <w:r w:rsidR="004C033C">
        <w:t xml:space="preserve"> produced</w:t>
      </w:r>
    </w:p>
    <w:p w14:paraId="0C7476D5" w14:textId="62C58784" w:rsidR="004C033C" w:rsidRDefault="004C033C" w:rsidP="004C033C">
      <w:pPr>
        <w:pStyle w:val="CETCaption"/>
        <w:spacing w:before="0" w:after="0"/>
      </w:pPr>
      <w:proofErr w:type="gramStart"/>
      <w:r>
        <w:t>at</w:t>
      </w:r>
      <w:proofErr w:type="gramEnd"/>
      <w:r>
        <w:t xml:space="preserve"> screw rotation speeds of 50 and 70 rpm        </w:t>
      </w:r>
      <w:r w:rsidR="00837AF1">
        <w:t xml:space="preserve">               </w:t>
      </w:r>
      <w:r>
        <w:t>at screw rotation speeds of 50 and 70 rpm and</w:t>
      </w:r>
    </w:p>
    <w:p w14:paraId="6205348F" w14:textId="70ADA23E" w:rsidR="002A2108" w:rsidRDefault="004C033C" w:rsidP="002A2108">
      <w:pPr>
        <w:pStyle w:val="CETCaption"/>
        <w:spacing w:before="0" w:after="0"/>
      </w:pPr>
      <w:proofErr w:type="gramStart"/>
      <w:r>
        <w:t>and</w:t>
      </w:r>
      <w:proofErr w:type="gramEnd"/>
      <w:r>
        <w:t xml:space="preserve"> extrusion temperatures of </w:t>
      </w:r>
      <w:r w:rsidRPr="00694FA0">
        <w:t>180 and 200</w:t>
      </w:r>
      <w:r w:rsidR="00006014">
        <w:t xml:space="preserve"> </w:t>
      </w:r>
      <w:proofErr w:type="spellStart"/>
      <w:r w:rsidRPr="00220297">
        <w:rPr>
          <w:color w:val="FF0000"/>
          <w:vertAlign w:val="superscript"/>
        </w:rPr>
        <w:t>ο</w:t>
      </w:r>
      <w:r w:rsidRPr="00220297">
        <w:rPr>
          <w:color w:val="FF0000"/>
        </w:rPr>
        <w:t>C</w:t>
      </w:r>
      <w:proofErr w:type="spellEnd"/>
      <w:r w:rsidR="00837AF1">
        <w:t xml:space="preserve">                 </w:t>
      </w:r>
      <w:r>
        <w:t xml:space="preserve">extrusion temperatures of </w:t>
      </w:r>
      <w:r w:rsidRPr="00694FA0">
        <w:t xml:space="preserve">180 and </w:t>
      </w:r>
      <w:r w:rsidRPr="00220297">
        <w:rPr>
          <w:color w:val="FF0000"/>
        </w:rPr>
        <w:t>200</w:t>
      </w:r>
      <w:r w:rsidR="00006014" w:rsidRPr="00220297">
        <w:rPr>
          <w:color w:val="FF0000"/>
        </w:rPr>
        <w:t xml:space="preserve"> </w:t>
      </w:r>
      <w:proofErr w:type="spellStart"/>
      <w:r w:rsidRPr="00220297">
        <w:rPr>
          <w:color w:val="FF0000"/>
          <w:vertAlign w:val="superscript"/>
        </w:rPr>
        <w:t>ο</w:t>
      </w:r>
      <w:r w:rsidRPr="00220297">
        <w:rPr>
          <w:color w:val="FF0000"/>
        </w:rPr>
        <w:t>C</w:t>
      </w:r>
      <w:proofErr w:type="spellEnd"/>
    </w:p>
    <w:p w14:paraId="33A4F23E" w14:textId="0EDEE6FD" w:rsidR="004F41FB" w:rsidRPr="002B7E5C" w:rsidRDefault="004F41FB" w:rsidP="004F41FB">
      <w:pPr>
        <w:pStyle w:val="CETTabletitle"/>
        <w:spacing w:before="0" w:after="0"/>
        <w:rPr>
          <w:color w:val="FF0000"/>
        </w:rPr>
      </w:pPr>
      <w:r w:rsidRPr="002B7E5C">
        <w:rPr>
          <w:color w:val="FF0000"/>
        </w:rPr>
        <w:t xml:space="preserve">Values not sharing the same superscript are </w:t>
      </w:r>
      <w:r w:rsidR="002B7E5C" w:rsidRPr="002B7E5C">
        <w:rPr>
          <w:color w:val="FF0000"/>
        </w:rPr>
        <w:t xml:space="preserve">                   </w:t>
      </w:r>
      <w:r w:rsidRPr="002B7E5C">
        <w:rPr>
          <w:color w:val="FF0000"/>
        </w:rPr>
        <w:t xml:space="preserve">Values not sharing the same superscript are </w:t>
      </w:r>
    </w:p>
    <w:p w14:paraId="4AFC0998" w14:textId="4D698719" w:rsidR="00717EB2" w:rsidRPr="002B7E5C" w:rsidRDefault="004F41FB" w:rsidP="004F41FB">
      <w:pPr>
        <w:pStyle w:val="CETTabletitle"/>
        <w:spacing w:before="0"/>
        <w:rPr>
          <w:color w:val="FF0000"/>
        </w:rPr>
      </w:pPr>
      <w:proofErr w:type="gramStart"/>
      <w:r w:rsidRPr="002B7E5C">
        <w:rPr>
          <w:color w:val="FF0000"/>
        </w:rPr>
        <w:t>significantly</w:t>
      </w:r>
      <w:proofErr w:type="gramEnd"/>
      <w:r w:rsidRPr="002B7E5C">
        <w:rPr>
          <w:color w:val="FF0000"/>
        </w:rPr>
        <w:t xml:space="preserve"> different</w:t>
      </w:r>
      <w:r w:rsidR="002B7E5C" w:rsidRPr="002B7E5C">
        <w:rPr>
          <w:color w:val="FF0000"/>
        </w:rPr>
        <w:t xml:space="preserve"> (p&lt;0.05)</w:t>
      </w:r>
      <w:r w:rsidRPr="002B7E5C">
        <w:rPr>
          <w:color w:val="FF0000"/>
        </w:rPr>
        <w:t xml:space="preserve">.                         </w:t>
      </w:r>
      <w:r w:rsidR="002B7E5C" w:rsidRPr="002B7E5C">
        <w:rPr>
          <w:color w:val="FF0000"/>
        </w:rPr>
        <w:t xml:space="preserve">                 </w:t>
      </w:r>
      <w:proofErr w:type="gramStart"/>
      <w:r w:rsidRPr="002B7E5C">
        <w:rPr>
          <w:color w:val="FF0000"/>
        </w:rPr>
        <w:t>significantly</w:t>
      </w:r>
      <w:proofErr w:type="gramEnd"/>
      <w:r w:rsidRPr="002B7E5C">
        <w:rPr>
          <w:color w:val="FF0000"/>
        </w:rPr>
        <w:t xml:space="preserve"> different</w:t>
      </w:r>
      <w:r w:rsidR="002B7E5C" w:rsidRPr="002B7E5C">
        <w:rPr>
          <w:color w:val="FF0000"/>
        </w:rPr>
        <w:t xml:space="preserve"> (p&lt;0.05)</w:t>
      </w:r>
      <w:r w:rsidRPr="002B7E5C">
        <w:rPr>
          <w:color w:val="FF0000"/>
        </w:rPr>
        <w:t>.</w:t>
      </w:r>
    </w:p>
    <w:tbl>
      <w:tblPr>
        <w:tblW w:w="8676" w:type="dxa"/>
        <w:jc w:val="center"/>
        <w:tblInd w:w="426"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01"/>
        <w:gridCol w:w="992"/>
        <w:gridCol w:w="850"/>
        <w:gridCol w:w="1113"/>
        <w:gridCol w:w="284"/>
        <w:gridCol w:w="1102"/>
        <w:gridCol w:w="1134"/>
        <w:gridCol w:w="992"/>
        <w:gridCol w:w="1108"/>
      </w:tblGrid>
      <w:tr w:rsidR="004C033C" w:rsidRPr="00B57B36" w14:paraId="69183408" w14:textId="77777777" w:rsidTr="00D83494">
        <w:trPr>
          <w:trHeight w:val="554"/>
          <w:jc w:val="center"/>
        </w:trPr>
        <w:tc>
          <w:tcPr>
            <w:tcW w:w="1101" w:type="dxa"/>
            <w:tcBorders>
              <w:top w:val="single" w:sz="12" w:space="0" w:color="008000"/>
              <w:bottom w:val="single" w:sz="6" w:space="0" w:color="008000"/>
            </w:tcBorders>
            <w:shd w:val="clear" w:color="auto" w:fill="FFFFFF"/>
            <w:vAlign w:val="center"/>
          </w:tcPr>
          <w:p w14:paraId="76CDD13F" w14:textId="77777777" w:rsidR="004C033C" w:rsidRPr="00641C98" w:rsidRDefault="004C033C" w:rsidP="004C033C">
            <w:pPr>
              <w:pStyle w:val="CETBodytext"/>
              <w:jc w:val="center"/>
              <w:rPr>
                <w:lang w:val="en-GB"/>
              </w:rPr>
            </w:pPr>
            <w:r>
              <w:rPr>
                <w:lang w:val="en-GB"/>
              </w:rPr>
              <w:t>OEO concentration (%)</w:t>
            </w:r>
          </w:p>
        </w:tc>
        <w:tc>
          <w:tcPr>
            <w:tcW w:w="992" w:type="dxa"/>
            <w:tcBorders>
              <w:top w:val="single" w:sz="12" w:space="0" w:color="008000"/>
              <w:bottom w:val="single" w:sz="6" w:space="0" w:color="008000"/>
            </w:tcBorders>
            <w:shd w:val="clear" w:color="auto" w:fill="FFFFFF"/>
            <w:vAlign w:val="center"/>
          </w:tcPr>
          <w:p w14:paraId="50E15519" w14:textId="77777777" w:rsidR="004C033C" w:rsidRPr="00372DB8" w:rsidRDefault="004C033C" w:rsidP="004C033C">
            <w:pPr>
              <w:pStyle w:val="CETBodytext"/>
              <w:jc w:val="center"/>
            </w:pPr>
            <w:r w:rsidRPr="00426904">
              <w:t>Screw Rotation speed (rpm)</w:t>
            </w:r>
          </w:p>
        </w:tc>
        <w:tc>
          <w:tcPr>
            <w:tcW w:w="850" w:type="dxa"/>
            <w:tcBorders>
              <w:top w:val="single" w:sz="12" w:space="0" w:color="008000"/>
              <w:bottom w:val="single" w:sz="6" w:space="0" w:color="008000"/>
            </w:tcBorders>
            <w:shd w:val="clear" w:color="auto" w:fill="FFFFFF"/>
            <w:vAlign w:val="center"/>
          </w:tcPr>
          <w:p w14:paraId="6F8A799E" w14:textId="77777777" w:rsidR="004C033C" w:rsidRDefault="004C033C" w:rsidP="004C033C">
            <w:pPr>
              <w:pStyle w:val="CETBodytext"/>
              <w:jc w:val="center"/>
            </w:pPr>
            <w:r>
              <w:t>Tempera-</w:t>
            </w:r>
            <w:proofErr w:type="spellStart"/>
            <w:r>
              <w:t>ture</w:t>
            </w:r>
            <w:proofErr w:type="spellEnd"/>
            <w:r>
              <w:t xml:space="preserve"> (</w:t>
            </w:r>
            <w:proofErr w:type="spellStart"/>
            <w:r w:rsidRPr="00641C98">
              <w:rPr>
                <w:vertAlign w:val="superscript"/>
              </w:rPr>
              <w:t>o</w:t>
            </w:r>
            <w:r>
              <w:t>C</w:t>
            </w:r>
            <w:proofErr w:type="spellEnd"/>
            <w:r>
              <w:t>)</w:t>
            </w:r>
          </w:p>
        </w:tc>
        <w:tc>
          <w:tcPr>
            <w:tcW w:w="1113" w:type="dxa"/>
            <w:tcBorders>
              <w:top w:val="single" w:sz="12" w:space="0" w:color="008000"/>
              <w:bottom w:val="single" w:sz="6" w:space="0" w:color="008000"/>
            </w:tcBorders>
            <w:shd w:val="clear" w:color="auto" w:fill="FFFFFF"/>
            <w:vAlign w:val="center"/>
          </w:tcPr>
          <w:p w14:paraId="2E68A4ED" w14:textId="77777777" w:rsidR="004C033C" w:rsidRDefault="004C033C" w:rsidP="004C033C">
            <w:pPr>
              <w:pStyle w:val="CETBodytext"/>
              <w:jc w:val="center"/>
            </w:pPr>
            <w:r>
              <w:rPr>
                <w:lang w:val="en-GB"/>
              </w:rPr>
              <w:t>Melting point (T</w:t>
            </w:r>
            <w:r w:rsidRPr="00371853">
              <w:rPr>
                <w:vertAlign w:val="subscript"/>
                <w:lang w:val="en-GB"/>
              </w:rPr>
              <w:t>m</w:t>
            </w:r>
            <w:r>
              <w:rPr>
                <w:lang w:val="en-GB"/>
              </w:rPr>
              <w:t>)</w:t>
            </w:r>
            <w:r>
              <w:t xml:space="preserve"> (</w:t>
            </w:r>
            <w:proofErr w:type="spellStart"/>
            <w:r w:rsidRPr="00371853">
              <w:rPr>
                <w:vertAlign w:val="superscript"/>
              </w:rPr>
              <w:t>o</w:t>
            </w:r>
            <w:r>
              <w:t>C</w:t>
            </w:r>
            <w:proofErr w:type="spellEnd"/>
            <w:r>
              <w:t>)</w:t>
            </w:r>
          </w:p>
        </w:tc>
        <w:tc>
          <w:tcPr>
            <w:tcW w:w="284" w:type="dxa"/>
            <w:vMerge w:val="restart"/>
            <w:tcBorders>
              <w:top w:val="nil"/>
              <w:bottom w:val="nil"/>
            </w:tcBorders>
            <w:shd w:val="clear" w:color="auto" w:fill="FFFFFF"/>
            <w:vAlign w:val="center"/>
          </w:tcPr>
          <w:p w14:paraId="7F8BDBC1" w14:textId="19A2408C" w:rsidR="004C033C" w:rsidRDefault="004C033C" w:rsidP="004C033C">
            <w:pPr>
              <w:pStyle w:val="CETBodytext"/>
              <w:jc w:val="center"/>
              <w:rPr>
                <w:lang w:val="en-GB"/>
              </w:rPr>
            </w:pPr>
          </w:p>
          <w:p w14:paraId="23EA0286" w14:textId="77777777" w:rsidR="004C033C" w:rsidRPr="004C033C" w:rsidRDefault="004C033C" w:rsidP="004C033C">
            <w:pPr>
              <w:pStyle w:val="CETBodytext"/>
              <w:jc w:val="center"/>
              <w:rPr>
                <w:lang w:val="en-GB"/>
              </w:rPr>
            </w:pPr>
          </w:p>
          <w:p w14:paraId="4A779C65" w14:textId="77777777" w:rsidR="004C033C" w:rsidRPr="004C033C" w:rsidRDefault="004C033C" w:rsidP="004C033C">
            <w:pPr>
              <w:pStyle w:val="CETBodytext"/>
              <w:jc w:val="center"/>
              <w:rPr>
                <w:lang w:val="en-GB"/>
              </w:rPr>
            </w:pPr>
          </w:p>
          <w:p w14:paraId="0092EA25" w14:textId="69B79E1D" w:rsidR="004C033C" w:rsidRDefault="004C033C" w:rsidP="004C033C">
            <w:pPr>
              <w:pStyle w:val="CETBodytext"/>
              <w:jc w:val="center"/>
              <w:rPr>
                <w:lang w:val="en-GB"/>
              </w:rPr>
            </w:pPr>
          </w:p>
          <w:p w14:paraId="4439AD0E" w14:textId="77777777" w:rsidR="004C033C" w:rsidRPr="004C033C" w:rsidRDefault="004C033C" w:rsidP="004C033C">
            <w:pPr>
              <w:pStyle w:val="CETBodytext"/>
              <w:jc w:val="center"/>
              <w:rPr>
                <w:lang w:val="en-GB"/>
              </w:rPr>
            </w:pPr>
          </w:p>
        </w:tc>
        <w:tc>
          <w:tcPr>
            <w:tcW w:w="1102" w:type="dxa"/>
            <w:tcBorders>
              <w:top w:val="single" w:sz="12" w:space="0" w:color="008000"/>
              <w:bottom w:val="single" w:sz="6" w:space="0" w:color="008000"/>
            </w:tcBorders>
            <w:shd w:val="clear" w:color="auto" w:fill="FFFFFF"/>
            <w:vAlign w:val="center"/>
          </w:tcPr>
          <w:p w14:paraId="337A7C24" w14:textId="77777777" w:rsidR="004C033C" w:rsidRDefault="004C033C" w:rsidP="004C033C">
            <w:pPr>
              <w:pStyle w:val="CETBodytext"/>
              <w:jc w:val="center"/>
              <w:rPr>
                <w:lang w:val="en-GB"/>
              </w:rPr>
            </w:pPr>
            <w:proofErr w:type="spellStart"/>
            <w:r>
              <w:rPr>
                <w:lang w:val="en-GB"/>
              </w:rPr>
              <w:t>Flavomix</w:t>
            </w:r>
            <w:proofErr w:type="spellEnd"/>
            <w:r>
              <w:rPr>
                <w:lang w:val="en-GB"/>
              </w:rPr>
              <w:t xml:space="preserve"> concentration (%)</w:t>
            </w:r>
          </w:p>
        </w:tc>
        <w:tc>
          <w:tcPr>
            <w:tcW w:w="1134" w:type="dxa"/>
            <w:tcBorders>
              <w:top w:val="single" w:sz="12" w:space="0" w:color="008000"/>
              <w:bottom w:val="single" w:sz="6" w:space="0" w:color="008000"/>
            </w:tcBorders>
            <w:shd w:val="clear" w:color="auto" w:fill="FFFFFF"/>
            <w:vAlign w:val="center"/>
          </w:tcPr>
          <w:p w14:paraId="7CF942D2" w14:textId="77777777" w:rsidR="004C033C" w:rsidRDefault="004C033C" w:rsidP="004C033C">
            <w:pPr>
              <w:pStyle w:val="CETBodytext"/>
              <w:jc w:val="center"/>
              <w:rPr>
                <w:lang w:val="en-GB"/>
              </w:rPr>
            </w:pPr>
            <w:r w:rsidRPr="00426904">
              <w:t>Screw Rotation speed (rpm)</w:t>
            </w:r>
          </w:p>
        </w:tc>
        <w:tc>
          <w:tcPr>
            <w:tcW w:w="992" w:type="dxa"/>
            <w:tcBorders>
              <w:top w:val="single" w:sz="12" w:space="0" w:color="008000"/>
              <w:bottom w:val="single" w:sz="6" w:space="0" w:color="008000"/>
            </w:tcBorders>
            <w:shd w:val="clear" w:color="auto" w:fill="FFFFFF"/>
            <w:vAlign w:val="center"/>
          </w:tcPr>
          <w:p w14:paraId="01857904" w14:textId="4F1A3805" w:rsidR="004C033C" w:rsidRDefault="004C033C" w:rsidP="004C033C">
            <w:pPr>
              <w:pStyle w:val="CETBodytext"/>
              <w:jc w:val="center"/>
              <w:rPr>
                <w:lang w:val="en-GB"/>
              </w:rPr>
            </w:pPr>
            <w:r>
              <w:t>Tempera</w:t>
            </w:r>
            <w:r w:rsidR="00D83494">
              <w:t>-</w:t>
            </w:r>
            <w:proofErr w:type="spellStart"/>
            <w:r>
              <w:t>ture</w:t>
            </w:r>
            <w:proofErr w:type="spellEnd"/>
            <w:r>
              <w:t xml:space="preserve"> (</w:t>
            </w:r>
            <w:proofErr w:type="spellStart"/>
            <w:r w:rsidRPr="00641C98">
              <w:rPr>
                <w:vertAlign w:val="superscript"/>
              </w:rPr>
              <w:t>o</w:t>
            </w:r>
            <w:r>
              <w:t>C</w:t>
            </w:r>
            <w:proofErr w:type="spellEnd"/>
            <w:r>
              <w:t>)</w:t>
            </w:r>
          </w:p>
        </w:tc>
        <w:tc>
          <w:tcPr>
            <w:tcW w:w="1108" w:type="dxa"/>
            <w:tcBorders>
              <w:top w:val="single" w:sz="12" w:space="0" w:color="008000"/>
              <w:bottom w:val="single" w:sz="6" w:space="0" w:color="008000"/>
            </w:tcBorders>
            <w:shd w:val="clear" w:color="auto" w:fill="FFFFFF"/>
            <w:vAlign w:val="center"/>
          </w:tcPr>
          <w:p w14:paraId="78803257" w14:textId="77777777" w:rsidR="004C033C" w:rsidRDefault="004C033C" w:rsidP="004C033C">
            <w:pPr>
              <w:pStyle w:val="CETBodytext"/>
              <w:jc w:val="center"/>
              <w:rPr>
                <w:lang w:val="en-GB"/>
              </w:rPr>
            </w:pPr>
            <w:r w:rsidRPr="001D2A89">
              <w:rPr>
                <w:lang w:val="en-GB"/>
              </w:rPr>
              <w:t>Melting point (T</w:t>
            </w:r>
            <w:r w:rsidRPr="001D2A89">
              <w:rPr>
                <w:vertAlign w:val="subscript"/>
                <w:lang w:val="en-GB"/>
              </w:rPr>
              <w:t>m</w:t>
            </w:r>
            <w:r w:rsidRPr="001D2A89">
              <w:rPr>
                <w:lang w:val="en-GB"/>
              </w:rPr>
              <w:t>)</w:t>
            </w:r>
            <w:r w:rsidRPr="001D2A89">
              <w:t xml:space="preserve"> (</w:t>
            </w:r>
            <w:proofErr w:type="spellStart"/>
            <w:r w:rsidRPr="001D2A89">
              <w:rPr>
                <w:vertAlign w:val="superscript"/>
              </w:rPr>
              <w:t>o</w:t>
            </w:r>
            <w:r w:rsidRPr="001D2A89">
              <w:t>C</w:t>
            </w:r>
            <w:proofErr w:type="spellEnd"/>
            <w:r w:rsidRPr="001D2A89">
              <w:t>)</w:t>
            </w:r>
          </w:p>
        </w:tc>
      </w:tr>
      <w:tr w:rsidR="00D83494" w:rsidRPr="00B57B36" w14:paraId="346752BC" w14:textId="77777777" w:rsidTr="00031923">
        <w:trPr>
          <w:trHeight w:val="352"/>
          <w:jc w:val="center"/>
        </w:trPr>
        <w:tc>
          <w:tcPr>
            <w:tcW w:w="1101" w:type="dxa"/>
            <w:vMerge w:val="restart"/>
            <w:tcBorders>
              <w:top w:val="nil"/>
            </w:tcBorders>
            <w:shd w:val="clear" w:color="auto" w:fill="FFFFFF"/>
            <w:vAlign w:val="center"/>
          </w:tcPr>
          <w:p w14:paraId="60910905" w14:textId="77777777" w:rsidR="00D83494" w:rsidRPr="00B57B36" w:rsidRDefault="00D83494" w:rsidP="004C033C">
            <w:pPr>
              <w:pStyle w:val="CETBodytext"/>
              <w:jc w:val="center"/>
              <w:rPr>
                <w:lang w:val="en-GB"/>
              </w:rPr>
            </w:pPr>
            <w:r>
              <w:t>10</w:t>
            </w:r>
          </w:p>
          <w:p w14:paraId="3713F728" w14:textId="77777777" w:rsidR="00D83494" w:rsidRPr="00B57B36" w:rsidRDefault="00D83494" w:rsidP="004C033C">
            <w:pPr>
              <w:pStyle w:val="CETBodytext"/>
              <w:ind w:right="-1"/>
              <w:jc w:val="center"/>
              <w:rPr>
                <w:lang w:val="en-GB"/>
              </w:rPr>
            </w:pPr>
          </w:p>
        </w:tc>
        <w:tc>
          <w:tcPr>
            <w:tcW w:w="992" w:type="dxa"/>
            <w:vMerge w:val="restart"/>
            <w:tcBorders>
              <w:top w:val="nil"/>
            </w:tcBorders>
            <w:shd w:val="clear" w:color="auto" w:fill="FFFFFF"/>
            <w:vAlign w:val="center"/>
          </w:tcPr>
          <w:p w14:paraId="13FD9A6B" w14:textId="77777777" w:rsidR="00D83494" w:rsidRPr="00F63001" w:rsidRDefault="00D83494" w:rsidP="004C033C">
            <w:pPr>
              <w:pStyle w:val="CETBodytext"/>
              <w:jc w:val="center"/>
              <w:rPr>
                <w:color w:val="FF0000"/>
                <w:lang w:val="en-GB"/>
              </w:rPr>
            </w:pPr>
            <w:r>
              <w:t>50</w:t>
            </w:r>
          </w:p>
        </w:tc>
        <w:tc>
          <w:tcPr>
            <w:tcW w:w="850" w:type="dxa"/>
            <w:tcBorders>
              <w:top w:val="nil"/>
            </w:tcBorders>
            <w:shd w:val="clear" w:color="auto" w:fill="FFFFFF"/>
            <w:vAlign w:val="center"/>
          </w:tcPr>
          <w:p w14:paraId="0319A908" w14:textId="77777777" w:rsidR="00D83494" w:rsidRDefault="00D83494" w:rsidP="00D83494">
            <w:pPr>
              <w:pStyle w:val="CETBodytext"/>
              <w:spacing w:line="240" w:lineRule="auto"/>
              <w:jc w:val="center"/>
            </w:pPr>
            <w:r w:rsidRPr="00F30F46">
              <w:t>1</w:t>
            </w:r>
            <w:r w:rsidRPr="008D76B6">
              <w:rPr>
                <w:lang w:val="en-GB"/>
              </w:rPr>
              <w:t>8</w:t>
            </w:r>
            <w:r w:rsidRPr="00F30F46">
              <w:t>0</w:t>
            </w:r>
          </w:p>
        </w:tc>
        <w:tc>
          <w:tcPr>
            <w:tcW w:w="1113" w:type="dxa"/>
            <w:tcBorders>
              <w:top w:val="nil"/>
            </w:tcBorders>
            <w:shd w:val="clear" w:color="auto" w:fill="FFFFFF"/>
            <w:vAlign w:val="center"/>
          </w:tcPr>
          <w:p w14:paraId="263E8600" w14:textId="5F15BA3B" w:rsidR="00D83494" w:rsidRPr="004C033C" w:rsidRDefault="00D83494" w:rsidP="00D83494">
            <w:pPr>
              <w:pStyle w:val="CETBodytext"/>
              <w:spacing w:line="240" w:lineRule="auto"/>
              <w:jc w:val="center"/>
            </w:pPr>
            <w:r w:rsidRPr="00300375">
              <w:t>110.6</w:t>
            </w:r>
            <w:r w:rsidR="00DF4FD4" w:rsidRPr="002F484F">
              <w:rPr>
                <w:vertAlign w:val="superscript"/>
                <w:lang w:val="en-GB"/>
              </w:rPr>
              <w:t xml:space="preserve"> a</w:t>
            </w:r>
            <w:r w:rsidRPr="00300375">
              <w:t xml:space="preserve"> </w:t>
            </w:r>
            <w:r w:rsidRPr="00451D85">
              <w:rPr>
                <w:u w:val="single"/>
              </w:rPr>
              <w:t>+</w:t>
            </w:r>
            <w:r>
              <w:t xml:space="preserve"> 1.2</w:t>
            </w:r>
          </w:p>
        </w:tc>
        <w:tc>
          <w:tcPr>
            <w:tcW w:w="284" w:type="dxa"/>
            <w:vMerge/>
            <w:tcBorders>
              <w:top w:val="nil"/>
              <w:bottom w:val="nil"/>
            </w:tcBorders>
            <w:shd w:val="clear" w:color="auto" w:fill="FFFFFF"/>
            <w:vAlign w:val="center"/>
          </w:tcPr>
          <w:p w14:paraId="7695C784" w14:textId="77777777" w:rsidR="00D83494" w:rsidRPr="00300375" w:rsidRDefault="00D83494" w:rsidP="004C033C">
            <w:pPr>
              <w:pStyle w:val="CETBodytext"/>
              <w:jc w:val="center"/>
            </w:pPr>
          </w:p>
        </w:tc>
        <w:tc>
          <w:tcPr>
            <w:tcW w:w="1102" w:type="dxa"/>
            <w:vMerge w:val="restart"/>
            <w:shd w:val="clear" w:color="auto" w:fill="FFFFFF"/>
            <w:vAlign w:val="center"/>
          </w:tcPr>
          <w:p w14:paraId="6B1403EF" w14:textId="77777777" w:rsidR="00D83494" w:rsidRPr="00B57B36" w:rsidRDefault="00D83494" w:rsidP="004C033C">
            <w:pPr>
              <w:pStyle w:val="CETBodytext"/>
              <w:jc w:val="center"/>
              <w:rPr>
                <w:lang w:val="en-GB"/>
              </w:rPr>
            </w:pPr>
            <w:r>
              <w:t>10</w:t>
            </w:r>
          </w:p>
          <w:p w14:paraId="79E7D597" w14:textId="77777777" w:rsidR="00D83494" w:rsidRPr="00300375" w:rsidRDefault="00D83494" w:rsidP="004C033C">
            <w:pPr>
              <w:pStyle w:val="CETBodytext"/>
              <w:jc w:val="center"/>
            </w:pPr>
          </w:p>
        </w:tc>
        <w:tc>
          <w:tcPr>
            <w:tcW w:w="1134" w:type="dxa"/>
            <w:vMerge w:val="restart"/>
            <w:shd w:val="clear" w:color="auto" w:fill="FFFFFF"/>
            <w:vAlign w:val="center"/>
          </w:tcPr>
          <w:p w14:paraId="4DFA061A" w14:textId="77777777" w:rsidR="00D83494" w:rsidRPr="00300375" w:rsidRDefault="00D83494" w:rsidP="004C033C">
            <w:pPr>
              <w:pStyle w:val="CETBodytext"/>
              <w:jc w:val="center"/>
            </w:pPr>
            <w:r>
              <w:t>50</w:t>
            </w:r>
          </w:p>
        </w:tc>
        <w:tc>
          <w:tcPr>
            <w:tcW w:w="992" w:type="dxa"/>
            <w:shd w:val="clear" w:color="auto" w:fill="FFFFFF"/>
            <w:vAlign w:val="center"/>
          </w:tcPr>
          <w:p w14:paraId="0BC90437" w14:textId="77777777" w:rsidR="00D83494" w:rsidRPr="00300375" w:rsidRDefault="00D83494" w:rsidP="004C033C">
            <w:pPr>
              <w:pStyle w:val="CETBodytext"/>
              <w:jc w:val="center"/>
            </w:pPr>
            <w:r w:rsidRPr="00F30F46">
              <w:t>1</w:t>
            </w:r>
            <w:r w:rsidRPr="008D76B6">
              <w:rPr>
                <w:lang w:val="en-GB"/>
              </w:rPr>
              <w:t>8</w:t>
            </w:r>
            <w:r w:rsidRPr="00F30F46">
              <w:t>0</w:t>
            </w:r>
          </w:p>
        </w:tc>
        <w:tc>
          <w:tcPr>
            <w:tcW w:w="1108" w:type="dxa"/>
            <w:shd w:val="clear" w:color="auto" w:fill="FFFFFF"/>
            <w:vAlign w:val="center"/>
          </w:tcPr>
          <w:p w14:paraId="7C529C77" w14:textId="3DBC8547" w:rsidR="00D83494" w:rsidRPr="004C033C" w:rsidRDefault="00D83494" w:rsidP="004C033C">
            <w:pPr>
              <w:pStyle w:val="CETBodytext"/>
              <w:jc w:val="center"/>
            </w:pPr>
            <w:r w:rsidRPr="001D2A89">
              <w:rPr>
                <w:lang w:val="en-GB"/>
              </w:rPr>
              <w:t>116.8</w:t>
            </w:r>
            <w:r w:rsidR="00862C24" w:rsidRPr="002F484F">
              <w:rPr>
                <w:vertAlign w:val="superscript"/>
                <w:lang w:val="en-GB"/>
              </w:rPr>
              <w:t xml:space="preserve"> a</w:t>
            </w:r>
            <w:r w:rsidRPr="001D2A89">
              <w:t xml:space="preserve"> </w:t>
            </w:r>
            <w:r w:rsidRPr="001D2A89">
              <w:rPr>
                <w:u w:val="single"/>
              </w:rPr>
              <w:t>+</w:t>
            </w:r>
            <w:r w:rsidRPr="001D2A89">
              <w:t xml:space="preserve"> 0.9</w:t>
            </w:r>
          </w:p>
        </w:tc>
      </w:tr>
      <w:tr w:rsidR="00D83494" w:rsidRPr="00B57B36" w14:paraId="7496D225" w14:textId="77777777" w:rsidTr="00D83494">
        <w:trPr>
          <w:trHeight w:val="68"/>
          <w:jc w:val="center"/>
        </w:trPr>
        <w:tc>
          <w:tcPr>
            <w:tcW w:w="1101" w:type="dxa"/>
            <w:vMerge/>
            <w:tcBorders>
              <w:top w:val="nil"/>
            </w:tcBorders>
            <w:shd w:val="clear" w:color="auto" w:fill="FFFFFF"/>
            <w:vAlign w:val="center"/>
          </w:tcPr>
          <w:p w14:paraId="7ADDC412" w14:textId="77777777" w:rsidR="00D83494" w:rsidRPr="00B57B36" w:rsidRDefault="00D83494" w:rsidP="004C033C">
            <w:pPr>
              <w:pStyle w:val="CETBodytext"/>
              <w:ind w:right="-1"/>
              <w:jc w:val="center"/>
              <w:rPr>
                <w:rFonts w:cs="Arial"/>
                <w:szCs w:val="18"/>
                <w:lang w:val="en-GB"/>
              </w:rPr>
            </w:pPr>
          </w:p>
        </w:tc>
        <w:tc>
          <w:tcPr>
            <w:tcW w:w="992" w:type="dxa"/>
            <w:vMerge/>
            <w:tcBorders>
              <w:top w:val="nil"/>
            </w:tcBorders>
            <w:shd w:val="clear" w:color="auto" w:fill="FFFFFF"/>
            <w:vAlign w:val="center"/>
          </w:tcPr>
          <w:p w14:paraId="28B7D536" w14:textId="77777777" w:rsidR="00D83494" w:rsidRPr="00F63001" w:rsidRDefault="00D83494" w:rsidP="004C033C">
            <w:pPr>
              <w:pStyle w:val="CETBodytext"/>
              <w:ind w:right="-1"/>
              <w:jc w:val="center"/>
              <w:rPr>
                <w:rFonts w:cs="Arial"/>
                <w:color w:val="FF0000"/>
                <w:szCs w:val="18"/>
                <w:lang w:val="en-GB"/>
              </w:rPr>
            </w:pPr>
          </w:p>
        </w:tc>
        <w:tc>
          <w:tcPr>
            <w:tcW w:w="850" w:type="dxa"/>
            <w:shd w:val="clear" w:color="auto" w:fill="FFFFFF"/>
            <w:vAlign w:val="center"/>
          </w:tcPr>
          <w:p w14:paraId="2F7B3709" w14:textId="77777777" w:rsidR="00D83494" w:rsidRPr="007731D5" w:rsidRDefault="00D83494" w:rsidP="00D83494">
            <w:pPr>
              <w:pStyle w:val="CETBodytext"/>
              <w:spacing w:line="240" w:lineRule="auto"/>
              <w:ind w:right="-1"/>
              <w:jc w:val="center"/>
            </w:pPr>
            <w:r w:rsidRPr="00F30F46">
              <w:t>20</w:t>
            </w:r>
            <w:r w:rsidRPr="008D76B6">
              <w:rPr>
                <w:lang w:val="en-GB"/>
              </w:rPr>
              <w:t>0</w:t>
            </w:r>
          </w:p>
        </w:tc>
        <w:tc>
          <w:tcPr>
            <w:tcW w:w="1113" w:type="dxa"/>
            <w:shd w:val="clear" w:color="auto" w:fill="FFFFFF"/>
            <w:vAlign w:val="center"/>
          </w:tcPr>
          <w:p w14:paraId="24FB1383" w14:textId="23C1F90B" w:rsidR="00D83494" w:rsidRPr="00300375" w:rsidRDefault="00D83494" w:rsidP="00D83494">
            <w:pPr>
              <w:pStyle w:val="CETBodytext"/>
              <w:spacing w:line="240" w:lineRule="auto"/>
              <w:ind w:right="-1"/>
              <w:jc w:val="center"/>
            </w:pPr>
            <w:r>
              <w:t>110.3</w:t>
            </w:r>
            <w:r w:rsidR="00DF4FD4" w:rsidRPr="002F484F">
              <w:rPr>
                <w:vertAlign w:val="superscript"/>
                <w:lang w:val="en-GB"/>
              </w:rPr>
              <w:t xml:space="preserve"> a</w:t>
            </w:r>
            <w:r>
              <w:t xml:space="preserve"> </w:t>
            </w:r>
            <w:r w:rsidRPr="00451D85">
              <w:rPr>
                <w:u w:val="single"/>
              </w:rPr>
              <w:t>+</w:t>
            </w:r>
            <w:r>
              <w:t xml:space="preserve"> 0.8</w:t>
            </w:r>
          </w:p>
        </w:tc>
        <w:tc>
          <w:tcPr>
            <w:tcW w:w="284" w:type="dxa"/>
            <w:tcBorders>
              <w:top w:val="nil"/>
              <w:bottom w:val="nil"/>
            </w:tcBorders>
            <w:shd w:val="clear" w:color="auto" w:fill="FFFFFF"/>
            <w:vAlign w:val="center"/>
          </w:tcPr>
          <w:p w14:paraId="4F2847C1" w14:textId="77777777" w:rsidR="00D83494" w:rsidRDefault="00D83494" w:rsidP="004C033C">
            <w:pPr>
              <w:pStyle w:val="CETBodytext"/>
              <w:ind w:right="-1"/>
              <w:jc w:val="center"/>
            </w:pPr>
          </w:p>
        </w:tc>
        <w:tc>
          <w:tcPr>
            <w:tcW w:w="1102" w:type="dxa"/>
            <w:vMerge/>
            <w:shd w:val="clear" w:color="auto" w:fill="FFFFFF"/>
            <w:vAlign w:val="center"/>
          </w:tcPr>
          <w:p w14:paraId="575595AC" w14:textId="77777777" w:rsidR="00D83494" w:rsidRDefault="00D83494" w:rsidP="004C033C">
            <w:pPr>
              <w:pStyle w:val="CETBodytext"/>
              <w:ind w:right="-1"/>
              <w:jc w:val="center"/>
            </w:pPr>
          </w:p>
        </w:tc>
        <w:tc>
          <w:tcPr>
            <w:tcW w:w="1134" w:type="dxa"/>
            <w:vMerge/>
            <w:shd w:val="clear" w:color="auto" w:fill="FFFFFF"/>
            <w:vAlign w:val="center"/>
          </w:tcPr>
          <w:p w14:paraId="095BCA2B" w14:textId="77777777" w:rsidR="00D83494" w:rsidRDefault="00D83494" w:rsidP="004C033C">
            <w:pPr>
              <w:pStyle w:val="CETBodytext"/>
              <w:ind w:right="-1"/>
              <w:jc w:val="center"/>
            </w:pPr>
          </w:p>
        </w:tc>
        <w:tc>
          <w:tcPr>
            <w:tcW w:w="992" w:type="dxa"/>
            <w:shd w:val="clear" w:color="auto" w:fill="FFFFFF"/>
            <w:vAlign w:val="center"/>
          </w:tcPr>
          <w:p w14:paraId="21678F91" w14:textId="77777777" w:rsidR="00D83494" w:rsidRDefault="00D83494" w:rsidP="004C033C">
            <w:pPr>
              <w:pStyle w:val="CETBodytext"/>
              <w:ind w:right="-1"/>
              <w:jc w:val="center"/>
            </w:pPr>
            <w:r w:rsidRPr="00F30F46">
              <w:t>20</w:t>
            </w:r>
            <w:r w:rsidRPr="008D76B6">
              <w:rPr>
                <w:lang w:val="en-GB"/>
              </w:rPr>
              <w:t>0</w:t>
            </w:r>
          </w:p>
        </w:tc>
        <w:tc>
          <w:tcPr>
            <w:tcW w:w="1108" w:type="dxa"/>
            <w:shd w:val="clear" w:color="auto" w:fill="FFFFFF"/>
            <w:vAlign w:val="center"/>
          </w:tcPr>
          <w:p w14:paraId="1CFB6D24" w14:textId="0451C3B2" w:rsidR="00D83494" w:rsidRDefault="00D83494" w:rsidP="004C033C">
            <w:pPr>
              <w:pStyle w:val="CETBodytext"/>
              <w:ind w:right="-1"/>
              <w:jc w:val="center"/>
            </w:pPr>
            <w:r w:rsidRPr="001D2A89">
              <w:rPr>
                <w:lang w:val="en-GB"/>
              </w:rPr>
              <w:t>116.7</w:t>
            </w:r>
            <w:r w:rsidR="00862C24" w:rsidRPr="002F484F">
              <w:rPr>
                <w:vertAlign w:val="superscript"/>
                <w:lang w:val="en-GB"/>
              </w:rPr>
              <w:t xml:space="preserve"> a</w:t>
            </w:r>
            <w:r w:rsidRPr="001D2A89">
              <w:t xml:space="preserve"> </w:t>
            </w:r>
            <w:r w:rsidRPr="001D2A89">
              <w:rPr>
                <w:u w:val="single"/>
              </w:rPr>
              <w:t>+</w:t>
            </w:r>
            <w:r w:rsidRPr="001D2A89">
              <w:t xml:space="preserve"> 0.8</w:t>
            </w:r>
          </w:p>
        </w:tc>
      </w:tr>
      <w:tr w:rsidR="00D83494" w:rsidRPr="00B57B36" w14:paraId="2AF025D3" w14:textId="77777777" w:rsidTr="00D83494">
        <w:trPr>
          <w:trHeight w:val="20"/>
          <w:jc w:val="center"/>
        </w:trPr>
        <w:tc>
          <w:tcPr>
            <w:tcW w:w="1101" w:type="dxa"/>
            <w:vMerge/>
            <w:tcBorders>
              <w:top w:val="nil"/>
            </w:tcBorders>
            <w:shd w:val="clear" w:color="auto" w:fill="FFFFFF"/>
            <w:vAlign w:val="center"/>
          </w:tcPr>
          <w:p w14:paraId="5908CE00" w14:textId="77777777" w:rsidR="00D83494" w:rsidRPr="00B57B36" w:rsidRDefault="00D83494" w:rsidP="004C033C">
            <w:pPr>
              <w:pStyle w:val="CETBodytext"/>
              <w:ind w:right="-1"/>
              <w:jc w:val="center"/>
              <w:rPr>
                <w:rFonts w:cs="Arial"/>
                <w:szCs w:val="18"/>
                <w:lang w:val="en-GB"/>
              </w:rPr>
            </w:pPr>
          </w:p>
        </w:tc>
        <w:tc>
          <w:tcPr>
            <w:tcW w:w="992" w:type="dxa"/>
            <w:vMerge w:val="restart"/>
            <w:shd w:val="clear" w:color="auto" w:fill="FFFFFF"/>
            <w:vAlign w:val="center"/>
          </w:tcPr>
          <w:p w14:paraId="41D3B9E1" w14:textId="77777777" w:rsidR="00D83494" w:rsidRPr="00F63001" w:rsidRDefault="00D83494" w:rsidP="004C033C">
            <w:pPr>
              <w:pStyle w:val="CETBodytext"/>
              <w:ind w:right="-1"/>
              <w:jc w:val="center"/>
              <w:rPr>
                <w:rFonts w:cs="Arial"/>
                <w:color w:val="FF0000"/>
                <w:szCs w:val="18"/>
                <w:lang w:val="en-GB"/>
              </w:rPr>
            </w:pPr>
            <w:r>
              <w:t>70</w:t>
            </w:r>
          </w:p>
        </w:tc>
        <w:tc>
          <w:tcPr>
            <w:tcW w:w="850" w:type="dxa"/>
            <w:shd w:val="clear" w:color="auto" w:fill="FFFFFF"/>
            <w:vAlign w:val="center"/>
          </w:tcPr>
          <w:p w14:paraId="728ECB72" w14:textId="77777777" w:rsidR="00D83494" w:rsidRDefault="00D83494" w:rsidP="004C033C">
            <w:pPr>
              <w:pStyle w:val="CETBodytext"/>
              <w:ind w:right="-1"/>
              <w:jc w:val="center"/>
            </w:pPr>
            <w:r w:rsidRPr="00F30F46">
              <w:t>1</w:t>
            </w:r>
            <w:r w:rsidRPr="008D76B6">
              <w:rPr>
                <w:lang w:val="en-GB"/>
              </w:rPr>
              <w:t>8</w:t>
            </w:r>
            <w:r w:rsidRPr="00F30F46">
              <w:t>0</w:t>
            </w:r>
          </w:p>
        </w:tc>
        <w:tc>
          <w:tcPr>
            <w:tcW w:w="1113" w:type="dxa"/>
            <w:shd w:val="clear" w:color="auto" w:fill="FFFFFF"/>
            <w:vAlign w:val="center"/>
          </w:tcPr>
          <w:p w14:paraId="6B1FC507" w14:textId="2078E073" w:rsidR="00D83494" w:rsidRPr="00300375" w:rsidRDefault="00D83494" w:rsidP="004C033C">
            <w:pPr>
              <w:pStyle w:val="CETBodytext"/>
              <w:ind w:right="-1"/>
              <w:jc w:val="center"/>
            </w:pPr>
            <w:r>
              <w:t>110.3</w:t>
            </w:r>
            <w:r w:rsidR="00DF4FD4" w:rsidRPr="002F484F">
              <w:rPr>
                <w:vertAlign w:val="superscript"/>
                <w:lang w:val="en-GB"/>
              </w:rPr>
              <w:t xml:space="preserve"> a</w:t>
            </w:r>
            <w:r>
              <w:t xml:space="preserve"> </w:t>
            </w:r>
            <w:r w:rsidRPr="00451D85">
              <w:rPr>
                <w:u w:val="single"/>
              </w:rPr>
              <w:t>+</w:t>
            </w:r>
            <w:r>
              <w:t xml:space="preserve"> 0.6</w:t>
            </w:r>
          </w:p>
        </w:tc>
        <w:tc>
          <w:tcPr>
            <w:tcW w:w="284" w:type="dxa"/>
            <w:tcBorders>
              <w:top w:val="nil"/>
              <w:bottom w:val="nil"/>
            </w:tcBorders>
            <w:shd w:val="clear" w:color="auto" w:fill="FFFFFF"/>
            <w:vAlign w:val="center"/>
          </w:tcPr>
          <w:p w14:paraId="3CD69E0C" w14:textId="77777777" w:rsidR="00D83494" w:rsidRDefault="00D83494" w:rsidP="004C033C">
            <w:pPr>
              <w:pStyle w:val="CETBodytext"/>
              <w:ind w:right="-1"/>
              <w:jc w:val="center"/>
            </w:pPr>
          </w:p>
        </w:tc>
        <w:tc>
          <w:tcPr>
            <w:tcW w:w="1102" w:type="dxa"/>
            <w:vMerge/>
            <w:shd w:val="clear" w:color="auto" w:fill="FFFFFF"/>
            <w:vAlign w:val="center"/>
          </w:tcPr>
          <w:p w14:paraId="1079F99F" w14:textId="77777777" w:rsidR="00D83494" w:rsidRDefault="00D83494" w:rsidP="004C033C">
            <w:pPr>
              <w:pStyle w:val="CETBodytext"/>
              <w:ind w:right="-1"/>
              <w:jc w:val="center"/>
            </w:pPr>
          </w:p>
        </w:tc>
        <w:tc>
          <w:tcPr>
            <w:tcW w:w="1134" w:type="dxa"/>
            <w:vMerge w:val="restart"/>
            <w:shd w:val="clear" w:color="auto" w:fill="FFFFFF"/>
            <w:vAlign w:val="center"/>
          </w:tcPr>
          <w:p w14:paraId="3269F246" w14:textId="77777777" w:rsidR="00D83494" w:rsidRDefault="00D83494" w:rsidP="004C033C">
            <w:pPr>
              <w:pStyle w:val="CETBodytext"/>
              <w:ind w:right="-1"/>
              <w:jc w:val="center"/>
            </w:pPr>
            <w:r>
              <w:t>70</w:t>
            </w:r>
          </w:p>
        </w:tc>
        <w:tc>
          <w:tcPr>
            <w:tcW w:w="992" w:type="dxa"/>
            <w:shd w:val="clear" w:color="auto" w:fill="FFFFFF"/>
            <w:vAlign w:val="center"/>
          </w:tcPr>
          <w:p w14:paraId="25803309" w14:textId="77777777" w:rsidR="00D83494" w:rsidRDefault="00D83494" w:rsidP="004C033C">
            <w:pPr>
              <w:pStyle w:val="CETBodytext"/>
              <w:ind w:right="-1"/>
              <w:jc w:val="center"/>
            </w:pPr>
            <w:r w:rsidRPr="00F30F46">
              <w:t>1</w:t>
            </w:r>
            <w:r w:rsidRPr="008D76B6">
              <w:rPr>
                <w:lang w:val="en-GB"/>
              </w:rPr>
              <w:t>8</w:t>
            </w:r>
            <w:r w:rsidRPr="00F30F46">
              <w:t>0</w:t>
            </w:r>
          </w:p>
        </w:tc>
        <w:tc>
          <w:tcPr>
            <w:tcW w:w="1108" w:type="dxa"/>
            <w:shd w:val="clear" w:color="auto" w:fill="FFFFFF"/>
            <w:vAlign w:val="center"/>
          </w:tcPr>
          <w:p w14:paraId="42329E4F" w14:textId="4FCD4168" w:rsidR="00D83494" w:rsidRDefault="00D83494" w:rsidP="004C033C">
            <w:pPr>
              <w:pStyle w:val="CETBodytext"/>
              <w:ind w:right="-1"/>
              <w:jc w:val="center"/>
            </w:pPr>
            <w:r w:rsidRPr="001D2A89">
              <w:rPr>
                <w:lang w:val="en-GB"/>
              </w:rPr>
              <w:t>116.1</w:t>
            </w:r>
            <w:r w:rsidR="00862C24" w:rsidRPr="002F484F">
              <w:rPr>
                <w:vertAlign w:val="superscript"/>
                <w:lang w:val="en-GB"/>
              </w:rPr>
              <w:t xml:space="preserve"> a</w:t>
            </w:r>
            <w:r w:rsidRPr="001D2A89">
              <w:t xml:space="preserve"> </w:t>
            </w:r>
            <w:r w:rsidRPr="001D2A89">
              <w:rPr>
                <w:u w:val="single"/>
              </w:rPr>
              <w:t>+</w:t>
            </w:r>
            <w:r w:rsidRPr="001D2A89">
              <w:t xml:space="preserve"> 1.1</w:t>
            </w:r>
          </w:p>
        </w:tc>
      </w:tr>
      <w:tr w:rsidR="00D83494" w:rsidRPr="00B57B36" w14:paraId="725B5813" w14:textId="77777777" w:rsidTr="00D83494">
        <w:trPr>
          <w:trHeight w:val="68"/>
          <w:jc w:val="center"/>
        </w:trPr>
        <w:tc>
          <w:tcPr>
            <w:tcW w:w="1101" w:type="dxa"/>
            <w:vMerge/>
            <w:tcBorders>
              <w:top w:val="nil"/>
            </w:tcBorders>
            <w:shd w:val="clear" w:color="auto" w:fill="FFFFFF"/>
            <w:vAlign w:val="center"/>
          </w:tcPr>
          <w:p w14:paraId="59E7E36C" w14:textId="77777777" w:rsidR="00D83494" w:rsidRPr="00426904" w:rsidRDefault="00D83494" w:rsidP="004C033C">
            <w:pPr>
              <w:pStyle w:val="CETBodytext"/>
              <w:ind w:right="-1"/>
              <w:jc w:val="center"/>
            </w:pPr>
          </w:p>
        </w:tc>
        <w:tc>
          <w:tcPr>
            <w:tcW w:w="992" w:type="dxa"/>
            <w:vMerge/>
            <w:shd w:val="clear" w:color="auto" w:fill="FFFFFF"/>
            <w:vAlign w:val="center"/>
          </w:tcPr>
          <w:p w14:paraId="300C82EC" w14:textId="77777777" w:rsidR="00D83494" w:rsidRDefault="00D83494" w:rsidP="004C033C">
            <w:pPr>
              <w:pStyle w:val="CETBodytext"/>
              <w:ind w:right="-1"/>
              <w:jc w:val="center"/>
            </w:pPr>
          </w:p>
        </w:tc>
        <w:tc>
          <w:tcPr>
            <w:tcW w:w="850" w:type="dxa"/>
            <w:shd w:val="clear" w:color="auto" w:fill="FFFFFF"/>
            <w:vAlign w:val="center"/>
          </w:tcPr>
          <w:p w14:paraId="6B0765A8" w14:textId="77777777" w:rsidR="00D83494" w:rsidRDefault="00D83494" w:rsidP="004C033C">
            <w:pPr>
              <w:pStyle w:val="CETBodytext"/>
              <w:ind w:right="-1"/>
              <w:jc w:val="center"/>
            </w:pPr>
            <w:r w:rsidRPr="008D76B6">
              <w:rPr>
                <w:lang w:val="en-GB"/>
              </w:rPr>
              <w:t>200</w:t>
            </w:r>
          </w:p>
        </w:tc>
        <w:tc>
          <w:tcPr>
            <w:tcW w:w="1113" w:type="dxa"/>
            <w:shd w:val="clear" w:color="auto" w:fill="FFFFFF"/>
            <w:vAlign w:val="center"/>
          </w:tcPr>
          <w:p w14:paraId="15D3DAA4" w14:textId="44CC0A5C" w:rsidR="00D83494" w:rsidRPr="00300375" w:rsidRDefault="00D83494" w:rsidP="004C033C">
            <w:pPr>
              <w:pStyle w:val="CETBodytext"/>
              <w:ind w:right="-1"/>
              <w:jc w:val="center"/>
            </w:pPr>
            <w:r w:rsidRPr="00300375">
              <w:t>109.</w:t>
            </w:r>
            <w:r>
              <w:t>9</w:t>
            </w:r>
            <w:r w:rsidR="00DF4FD4" w:rsidRPr="002F484F">
              <w:rPr>
                <w:vertAlign w:val="superscript"/>
                <w:lang w:val="en-GB"/>
              </w:rPr>
              <w:t xml:space="preserve"> a</w:t>
            </w:r>
            <w:r>
              <w:t xml:space="preserve"> </w:t>
            </w:r>
            <w:r w:rsidRPr="00451D85">
              <w:rPr>
                <w:u w:val="single"/>
              </w:rPr>
              <w:t>+</w:t>
            </w:r>
            <w:r>
              <w:t xml:space="preserve"> 0.4</w:t>
            </w:r>
          </w:p>
        </w:tc>
        <w:tc>
          <w:tcPr>
            <w:tcW w:w="284" w:type="dxa"/>
            <w:tcBorders>
              <w:top w:val="nil"/>
              <w:bottom w:val="nil"/>
            </w:tcBorders>
            <w:shd w:val="clear" w:color="auto" w:fill="FFFFFF"/>
            <w:vAlign w:val="center"/>
          </w:tcPr>
          <w:p w14:paraId="7B777BBF" w14:textId="77777777" w:rsidR="00D83494" w:rsidRPr="00300375" w:rsidRDefault="00D83494" w:rsidP="004C033C">
            <w:pPr>
              <w:pStyle w:val="CETBodytext"/>
              <w:ind w:right="-1"/>
              <w:jc w:val="center"/>
            </w:pPr>
          </w:p>
        </w:tc>
        <w:tc>
          <w:tcPr>
            <w:tcW w:w="1102" w:type="dxa"/>
            <w:vMerge/>
            <w:shd w:val="clear" w:color="auto" w:fill="FFFFFF"/>
            <w:vAlign w:val="center"/>
          </w:tcPr>
          <w:p w14:paraId="31D35B1A" w14:textId="77777777" w:rsidR="00D83494" w:rsidRPr="00300375" w:rsidRDefault="00D83494" w:rsidP="004C033C">
            <w:pPr>
              <w:pStyle w:val="CETBodytext"/>
              <w:ind w:right="-1"/>
              <w:jc w:val="center"/>
            </w:pPr>
          </w:p>
        </w:tc>
        <w:tc>
          <w:tcPr>
            <w:tcW w:w="1134" w:type="dxa"/>
            <w:vMerge/>
            <w:shd w:val="clear" w:color="auto" w:fill="FFFFFF"/>
            <w:vAlign w:val="center"/>
          </w:tcPr>
          <w:p w14:paraId="145AD315" w14:textId="77777777" w:rsidR="00D83494" w:rsidRPr="00300375" w:rsidRDefault="00D83494" w:rsidP="004C033C">
            <w:pPr>
              <w:pStyle w:val="CETBodytext"/>
              <w:ind w:right="-1"/>
              <w:jc w:val="center"/>
            </w:pPr>
          </w:p>
        </w:tc>
        <w:tc>
          <w:tcPr>
            <w:tcW w:w="992" w:type="dxa"/>
            <w:shd w:val="clear" w:color="auto" w:fill="FFFFFF"/>
            <w:vAlign w:val="center"/>
          </w:tcPr>
          <w:p w14:paraId="7B608FE9" w14:textId="77777777" w:rsidR="00D83494" w:rsidRPr="00300375" w:rsidRDefault="00D83494" w:rsidP="004C033C">
            <w:pPr>
              <w:pStyle w:val="CETBodytext"/>
              <w:ind w:right="-1"/>
              <w:jc w:val="center"/>
            </w:pPr>
            <w:r w:rsidRPr="008D76B6">
              <w:rPr>
                <w:lang w:val="en-GB"/>
              </w:rPr>
              <w:t>200</w:t>
            </w:r>
          </w:p>
        </w:tc>
        <w:tc>
          <w:tcPr>
            <w:tcW w:w="1108" w:type="dxa"/>
            <w:shd w:val="clear" w:color="auto" w:fill="FFFFFF"/>
            <w:vAlign w:val="center"/>
          </w:tcPr>
          <w:p w14:paraId="427DE231" w14:textId="10530009" w:rsidR="00D83494" w:rsidRPr="00300375" w:rsidRDefault="00D83494" w:rsidP="004C033C">
            <w:pPr>
              <w:pStyle w:val="CETBodytext"/>
              <w:ind w:right="-1"/>
              <w:jc w:val="center"/>
            </w:pPr>
            <w:r w:rsidRPr="001D2A89">
              <w:rPr>
                <w:lang w:val="en-GB"/>
              </w:rPr>
              <w:t>116.6</w:t>
            </w:r>
            <w:r w:rsidR="00862C24" w:rsidRPr="002F484F">
              <w:rPr>
                <w:vertAlign w:val="superscript"/>
                <w:lang w:val="en-GB"/>
              </w:rPr>
              <w:t xml:space="preserve"> a</w:t>
            </w:r>
            <w:r w:rsidRPr="001D2A89">
              <w:t xml:space="preserve"> </w:t>
            </w:r>
            <w:r w:rsidRPr="001D2A89">
              <w:rPr>
                <w:u w:val="single"/>
              </w:rPr>
              <w:t>+</w:t>
            </w:r>
            <w:r w:rsidRPr="001D2A89">
              <w:t xml:space="preserve"> 1.2</w:t>
            </w:r>
          </w:p>
        </w:tc>
      </w:tr>
      <w:tr w:rsidR="00D83494" w:rsidRPr="00B57B36" w14:paraId="0846A45E" w14:textId="77777777" w:rsidTr="00D83494">
        <w:trPr>
          <w:trHeight w:val="224"/>
          <w:jc w:val="center"/>
        </w:trPr>
        <w:tc>
          <w:tcPr>
            <w:tcW w:w="1101" w:type="dxa"/>
            <w:vMerge w:val="restart"/>
            <w:shd w:val="clear" w:color="auto" w:fill="FFFFFF"/>
            <w:vAlign w:val="center"/>
          </w:tcPr>
          <w:p w14:paraId="354ECEC8" w14:textId="77777777" w:rsidR="00D83494" w:rsidRPr="00426904" w:rsidRDefault="00D83494" w:rsidP="004C033C">
            <w:pPr>
              <w:pStyle w:val="CETBodytext"/>
              <w:ind w:right="-1"/>
              <w:jc w:val="center"/>
            </w:pPr>
            <w:r>
              <w:t>20</w:t>
            </w:r>
          </w:p>
          <w:p w14:paraId="2B5FAE7E" w14:textId="77777777" w:rsidR="00D83494" w:rsidRPr="00426904" w:rsidRDefault="00D83494" w:rsidP="004C033C">
            <w:pPr>
              <w:pStyle w:val="CETBodytext"/>
              <w:ind w:right="-1"/>
              <w:jc w:val="center"/>
            </w:pPr>
          </w:p>
        </w:tc>
        <w:tc>
          <w:tcPr>
            <w:tcW w:w="992" w:type="dxa"/>
            <w:vMerge w:val="restart"/>
            <w:shd w:val="clear" w:color="auto" w:fill="FFFFFF"/>
            <w:vAlign w:val="center"/>
          </w:tcPr>
          <w:p w14:paraId="10B5D777" w14:textId="77777777" w:rsidR="00D83494" w:rsidRDefault="00D83494" w:rsidP="004C033C">
            <w:pPr>
              <w:pStyle w:val="CETBodytext"/>
              <w:ind w:right="-1"/>
              <w:jc w:val="center"/>
            </w:pPr>
            <w:r>
              <w:t>50</w:t>
            </w:r>
          </w:p>
        </w:tc>
        <w:tc>
          <w:tcPr>
            <w:tcW w:w="850" w:type="dxa"/>
            <w:shd w:val="clear" w:color="auto" w:fill="FFFFFF"/>
            <w:vAlign w:val="center"/>
          </w:tcPr>
          <w:p w14:paraId="2B17B2D8" w14:textId="77777777" w:rsidR="00D83494" w:rsidRDefault="00D83494" w:rsidP="004C033C">
            <w:pPr>
              <w:pStyle w:val="CETBodytext"/>
              <w:ind w:right="-1"/>
              <w:jc w:val="center"/>
            </w:pPr>
            <w:r w:rsidRPr="00F30F46">
              <w:t>1</w:t>
            </w:r>
            <w:r w:rsidRPr="008D76B6">
              <w:rPr>
                <w:lang w:val="en-GB"/>
              </w:rPr>
              <w:t>8</w:t>
            </w:r>
            <w:r w:rsidRPr="00F30F46">
              <w:t>0</w:t>
            </w:r>
          </w:p>
        </w:tc>
        <w:tc>
          <w:tcPr>
            <w:tcW w:w="1113" w:type="dxa"/>
            <w:shd w:val="clear" w:color="auto" w:fill="FFFFFF"/>
            <w:vAlign w:val="center"/>
          </w:tcPr>
          <w:p w14:paraId="28A3A499" w14:textId="06358563" w:rsidR="00D83494" w:rsidRPr="004C033C" w:rsidRDefault="00D83494" w:rsidP="004C033C">
            <w:pPr>
              <w:pStyle w:val="CETBodytext"/>
              <w:ind w:right="-1"/>
              <w:jc w:val="center"/>
            </w:pPr>
            <w:r>
              <w:t>109.4</w:t>
            </w:r>
            <w:r w:rsidR="00DF4FD4" w:rsidRPr="002F484F">
              <w:rPr>
                <w:vertAlign w:val="superscript"/>
                <w:lang w:val="en-GB"/>
              </w:rPr>
              <w:t xml:space="preserve"> a</w:t>
            </w:r>
            <w:r>
              <w:t xml:space="preserve"> </w:t>
            </w:r>
            <w:r w:rsidRPr="00451D85">
              <w:rPr>
                <w:u w:val="single"/>
              </w:rPr>
              <w:t>+</w:t>
            </w:r>
            <w:r>
              <w:t xml:space="preserve"> 1.1</w:t>
            </w:r>
          </w:p>
        </w:tc>
        <w:tc>
          <w:tcPr>
            <w:tcW w:w="284" w:type="dxa"/>
            <w:tcBorders>
              <w:top w:val="nil"/>
              <w:bottom w:val="nil"/>
            </w:tcBorders>
            <w:shd w:val="clear" w:color="auto" w:fill="FFFFFF"/>
            <w:vAlign w:val="center"/>
          </w:tcPr>
          <w:p w14:paraId="4FDB44E7" w14:textId="77777777" w:rsidR="00D83494" w:rsidRDefault="00D83494" w:rsidP="004C033C">
            <w:pPr>
              <w:pStyle w:val="CETBodytext"/>
              <w:ind w:right="-1"/>
              <w:jc w:val="center"/>
            </w:pPr>
          </w:p>
        </w:tc>
        <w:tc>
          <w:tcPr>
            <w:tcW w:w="1102" w:type="dxa"/>
            <w:vMerge w:val="restart"/>
            <w:shd w:val="clear" w:color="auto" w:fill="FFFFFF"/>
            <w:vAlign w:val="center"/>
          </w:tcPr>
          <w:p w14:paraId="29EF1F19" w14:textId="77777777" w:rsidR="00D83494" w:rsidRPr="00426904" w:rsidRDefault="00D83494" w:rsidP="004C033C">
            <w:pPr>
              <w:pStyle w:val="CETBodytext"/>
              <w:ind w:right="-1"/>
              <w:jc w:val="center"/>
            </w:pPr>
            <w:r>
              <w:t>20</w:t>
            </w:r>
          </w:p>
          <w:p w14:paraId="5588B901" w14:textId="77777777" w:rsidR="00D83494" w:rsidRDefault="00D83494" w:rsidP="004C033C">
            <w:pPr>
              <w:pStyle w:val="CETBodytext"/>
              <w:ind w:right="-1"/>
              <w:jc w:val="center"/>
            </w:pPr>
          </w:p>
        </w:tc>
        <w:tc>
          <w:tcPr>
            <w:tcW w:w="1134" w:type="dxa"/>
            <w:vMerge w:val="restart"/>
            <w:shd w:val="clear" w:color="auto" w:fill="FFFFFF"/>
            <w:vAlign w:val="center"/>
          </w:tcPr>
          <w:p w14:paraId="792E3AAB" w14:textId="77777777" w:rsidR="00D83494" w:rsidRDefault="00D83494" w:rsidP="004C033C">
            <w:pPr>
              <w:pStyle w:val="CETBodytext"/>
              <w:ind w:right="-1"/>
              <w:jc w:val="center"/>
            </w:pPr>
            <w:r>
              <w:t>50</w:t>
            </w:r>
          </w:p>
        </w:tc>
        <w:tc>
          <w:tcPr>
            <w:tcW w:w="992" w:type="dxa"/>
            <w:shd w:val="clear" w:color="auto" w:fill="FFFFFF"/>
            <w:vAlign w:val="center"/>
          </w:tcPr>
          <w:p w14:paraId="7D8DB41E" w14:textId="77777777" w:rsidR="00D83494" w:rsidRDefault="00D83494" w:rsidP="004C033C">
            <w:pPr>
              <w:pStyle w:val="CETBodytext"/>
              <w:ind w:right="-1"/>
              <w:jc w:val="center"/>
            </w:pPr>
            <w:r w:rsidRPr="00F30F46">
              <w:t>1</w:t>
            </w:r>
            <w:r w:rsidRPr="008D76B6">
              <w:rPr>
                <w:lang w:val="en-GB"/>
              </w:rPr>
              <w:t>8</w:t>
            </w:r>
            <w:r w:rsidRPr="00F30F46">
              <w:t>0</w:t>
            </w:r>
          </w:p>
        </w:tc>
        <w:tc>
          <w:tcPr>
            <w:tcW w:w="1108" w:type="dxa"/>
            <w:shd w:val="clear" w:color="auto" w:fill="FFFFFF"/>
            <w:vAlign w:val="center"/>
          </w:tcPr>
          <w:p w14:paraId="4043E8CC" w14:textId="5B351729" w:rsidR="00D83494" w:rsidRDefault="00D83494" w:rsidP="004C033C">
            <w:pPr>
              <w:pStyle w:val="CETBodytext"/>
              <w:ind w:right="-1"/>
              <w:jc w:val="center"/>
            </w:pPr>
            <w:r w:rsidRPr="001D2A89">
              <w:rPr>
                <w:lang w:val="en-GB"/>
              </w:rPr>
              <w:t>116.2</w:t>
            </w:r>
            <w:r w:rsidR="00862C24" w:rsidRPr="002F484F">
              <w:rPr>
                <w:vertAlign w:val="superscript"/>
                <w:lang w:val="en-GB"/>
              </w:rPr>
              <w:t xml:space="preserve"> a</w:t>
            </w:r>
            <w:r w:rsidRPr="001D2A89">
              <w:t xml:space="preserve"> </w:t>
            </w:r>
            <w:r w:rsidRPr="001D2A89">
              <w:rPr>
                <w:u w:val="single"/>
              </w:rPr>
              <w:t>+</w:t>
            </w:r>
            <w:r w:rsidRPr="001D2A89">
              <w:t xml:space="preserve"> 1.2</w:t>
            </w:r>
          </w:p>
        </w:tc>
      </w:tr>
      <w:tr w:rsidR="00D83494" w:rsidRPr="00B57B36" w14:paraId="12027161" w14:textId="77777777" w:rsidTr="00D83494">
        <w:trPr>
          <w:trHeight w:val="20"/>
          <w:jc w:val="center"/>
        </w:trPr>
        <w:tc>
          <w:tcPr>
            <w:tcW w:w="1101" w:type="dxa"/>
            <w:vMerge/>
            <w:shd w:val="clear" w:color="auto" w:fill="FFFFFF"/>
            <w:vAlign w:val="center"/>
          </w:tcPr>
          <w:p w14:paraId="191C5DDA" w14:textId="77777777" w:rsidR="00D83494" w:rsidRPr="00426904" w:rsidRDefault="00D83494" w:rsidP="004C033C">
            <w:pPr>
              <w:pStyle w:val="CETBodytext"/>
              <w:ind w:right="-1"/>
              <w:jc w:val="center"/>
            </w:pPr>
          </w:p>
        </w:tc>
        <w:tc>
          <w:tcPr>
            <w:tcW w:w="992" w:type="dxa"/>
            <w:vMerge/>
            <w:shd w:val="clear" w:color="auto" w:fill="FFFFFF"/>
            <w:vAlign w:val="center"/>
          </w:tcPr>
          <w:p w14:paraId="70493468" w14:textId="77777777" w:rsidR="00D83494" w:rsidRDefault="00D83494" w:rsidP="004C033C">
            <w:pPr>
              <w:pStyle w:val="CETBodytext"/>
              <w:ind w:right="-1"/>
              <w:jc w:val="center"/>
            </w:pPr>
          </w:p>
        </w:tc>
        <w:tc>
          <w:tcPr>
            <w:tcW w:w="850" w:type="dxa"/>
            <w:shd w:val="clear" w:color="auto" w:fill="FFFFFF"/>
            <w:vAlign w:val="center"/>
          </w:tcPr>
          <w:p w14:paraId="436C6D2C" w14:textId="77777777" w:rsidR="00D83494" w:rsidRDefault="00D83494" w:rsidP="004C033C">
            <w:pPr>
              <w:pStyle w:val="CETBodytext"/>
              <w:ind w:right="-1"/>
              <w:jc w:val="center"/>
            </w:pPr>
            <w:r w:rsidRPr="00F30F46">
              <w:t>20</w:t>
            </w:r>
            <w:r w:rsidRPr="008D76B6">
              <w:rPr>
                <w:lang w:val="en-GB"/>
              </w:rPr>
              <w:t>0</w:t>
            </w:r>
          </w:p>
        </w:tc>
        <w:tc>
          <w:tcPr>
            <w:tcW w:w="1113" w:type="dxa"/>
            <w:shd w:val="clear" w:color="auto" w:fill="FFFFFF"/>
            <w:vAlign w:val="center"/>
          </w:tcPr>
          <w:p w14:paraId="31A50056" w14:textId="26A869E0" w:rsidR="00D83494" w:rsidRPr="00300375" w:rsidRDefault="00D83494" w:rsidP="004C033C">
            <w:pPr>
              <w:pStyle w:val="CETBodytext"/>
              <w:ind w:right="-1"/>
              <w:jc w:val="center"/>
            </w:pPr>
            <w:r>
              <w:t>109.0</w:t>
            </w:r>
            <w:r w:rsidR="00DF4FD4" w:rsidRPr="002F484F">
              <w:rPr>
                <w:vertAlign w:val="superscript"/>
                <w:lang w:val="en-GB"/>
              </w:rPr>
              <w:t xml:space="preserve"> a</w:t>
            </w:r>
            <w:r>
              <w:t xml:space="preserve"> </w:t>
            </w:r>
            <w:r w:rsidRPr="00451D85">
              <w:rPr>
                <w:u w:val="single"/>
              </w:rPr>
              <w:t>+</w:t>
            </w:r>
            <w:r>
              <w:t xml:space="preserve"> 1.3</w:t>
            </w:r>
          </w:p>
        </w:tc>
        <w:tc>
          <w:tcPr>
            <w:tcW w:w="284" w:type="dxa"/>
            <w:tcBorders>
              <w:top w:val="nil"/>
              <w:bottom w:val="nil"/>
            </w:tcBorders>
            <w:shd w:val="clear" w:color="auto" w:fill="FFFFFF"/>
            <w:vAlign w:val="center"/>
          </w:tcPr>
          <w:p w14:paraId="220AA46F" w14:textId="77777777" w:rsidR="00D83494" w:rsidRDefault="00D83494" w:rsidP="004C033C">
            <w:pPr>
              <w:pStyle w:val="CETBodytext"/>
              <w:ind w:right="-1"/>
              <w:jc w:val="center"/>
            </w:pPr>
          </w:p>
        </w:tc>
        <w:tc>
          <w:tcPr>
            <w:tcW w:w="1102" w:type="dxa"/>
            <w:vMerge/>
            <w:shd w:val="clear" w:color="auto" w:fill="FFFFFF"/>
            <w:vAlign w:val="center"/>
          </w:tcPr>
          <w:p w14:paraId="0D52EADA" w14:textId="77777777" w:rsidR="00D83494" w:rsidRDefault="00D83494" w:rsidP="004C033C">
            <w:pPr>
              <w:pStyle w:val="CETBodytext"/>
              <w:ind w:right="-1"/>
              <w:jc w:val="center"/>
            </w:pPr>
          </w:p>
        </w:tc>
        <w:tc>
          <w:tcPr>
            <w:tcW w:w="1134" w:type="dxa"/>
            <w:vMerge/>
            <w:shd w:val="clear" w:color="auto" w:fill="FFFFFF"/>
            <w:vAlign w:val="center"/>
          </w:tcPr>
          <w:p w14:paraId="41086D56" w14:textId="77777777" w:rsidR="00D83494" w:rsidRDefault="00D83494" w:rsidP="004C033C">
            <w:pPr>
              <w:pStyle w:val="CETBodytext"/>
              <w:ind w:right="-1"/>
              <w:jc w:val="center"/>
            </w:pPr>
          </w:p>
        </w:tc>
        <w:tc>
          <w:tcPr>
            <w:tcW w:w="992" w:type="dxa"/>
            <w:shd w:val="clear" w:color="auto" w:fill="FFFFFF"/>
            <w:vAlign w:val="center"/>
          </w:tcPr>
          <w:p w14:paraId="7B57424C" w14:textId="77777777" w:rsidR="00D83494" w:rsidRDefault="00D83494" w:rsidP="004C033C">
            <w:pPr>
              <w:pStyle w:val="CETBodytext"/>
              <w:ind w:right="-1"/>
              <w:jc w:val="center"/>
            </w:pPr>
            <w:r w:rsidRPr="00F30F46">
              <w:t>20</w:t>
            </w:r>
            <w:r w:rsidRPr="008D76B6">
              <w:rPr>
                <w:lang w:val="en-GB"/>
              </w:rPr>
              <w:t>0</w:t>
            </w:r>
          </w:p>
        </w:tc>
        <w:tc>
          <w:tcPr>
            <w:tcW w:w="1108" w:type="dxa"/>
            <w:shd w:val="clear" w:color="auto" w:fill="FFFFFF"/>
            <w:vAlign w:val="center"/>
          </w:tcPr>
          <w:p w14:paraId="5D975771" w14:textId="1EC65B16" w:rsidR="00D83494" w:rsidRDefault="00D83494" w:rsidP="004C033C">
            <w:pPr>
              <w:pStyle w:val="CETBodytext"/>
              <w:ind w:right="-1"/>
              <w:jc w:val="center"/>
            </w:pPr>
            <w:r w:rsidRPr="001D2A89">
              <w:rPr>
                <w:lang w:val="en-GB"/>
              </w:rPr>
              <w:t>116.7</w:t>
            </w:r>
            <w:r w:rsidR="00862C24" w:rsidRPr="002F484F">
              <w:rPr>
                <w:vertAlign w:val="superscript"/>
                <w:lang w:val="en-GB"/>
              </w:rPr>
              <w:t xml:space="preserve"> a</w:t>
            </w:r>
            <w:r w:rsidRPr="001D2A89">
              <w:t xml:space="preserve"> </w:t>
            </w:r>
            <w:r w:rsidRPr="001D2A89">
              <w:rPr>
                <w:u w:val="single"/>
              </w:rPr>
              <w:t>+</w:t>
            </w:r>
            <w:r w:rsidRPr="001D2A89">
              <w:t xml:space="preserve"> 1.0</w:t>
            </w:r>
          </w:p>
        </w:tc>
      </w:tr>
      <w:tr w:rsidR="00D83494" w:rsidRPr="00B57B36" w14:paraId="79CCB3DF" w14:textId="77777777" w:rsidTr="00D83494">
        <w:trPr>
          <w:trHeight w:val="20"/>
          <w:jc w:val="center"/>
        </w:trPr>
        <w:tc>
          <w:tcPr>
            <w:tcW w:w="1101" w:type="dxa"/>
            <w:vMerge/>
            <w:shd w:val="clear" w:color="auto" w:fill="FFFFFF"/>
            <w:vAlign w:val="center"/>
          </w:tcPr>
          <w:p w14:paraId="02C45C3A" w14:textId="77777777" w:rsidR="00D83494" w:rsidRPr="00426904" w:rsidRDefault="00D83494" w:rsidP="004C033C">
            <w:pPr>
              <w:pStyle w:val="CETBodytext"/>
              <w:ind w:right="-1"/>
              <w:jc w:val="center"/>
            </w:pPr>
          </w:p>
        </w:tc>
        <w:tc>
          <w:tcPr>
            <w:tcW w:w="992" w:type="dxa"/>
            <w:vMerge w:val="restart"/>
            <w:shd w:val="clear" w:color="auto" w:fill="FFFFFF"/>
            <w:vAlign w:val="center"/>
          </w:tcPr>
          <w:p w14:paraId="4212C336" w14:textId="77777777" w:rsidR="00D83494" w:rsidRDefault="00D83494" w:rsidP="004C033C">
            <w:pPr>
              <w:pStyle w:val="CETBodytext"/>
              <w:ind w:right="-1"/>
              <w:jc w:val="center"/>
            </w:pPr>
            <w:r>
              <w:t>70</w:t>
            </w:r>
          </w:p>
        </w:tc>
        <w:tc>
          <w:tcPr>
            <w:tcW w:w="850" w:type="dxa"/>
            <w:shd w:val="clear" w:color="auto" w:fill="FFFFFF"/>
            <w:vAlign w:val="center"/>
          </w:tcPr>
          <w:p w14:paraId="64D7B38D" w14:textId="77777777" w:rsidR="00D83494" w:rsidRDefault="00D83494" w:rsidP="004C033C">
            <w:pPr>
              <w:pStyle w:val="CETBodytext"/>
              <w:ind w:right="-1"/>
              <w:jc w:val="center"/>
            </w:pPr>
            <w:r w:rsidRPr="00F30F46">
              <w:t>1</w:t>
            </w:r>
            <w:r w:rsidRPr="008D76B6">
              <w:rPr>
                <w:lang w:val="en-GB"/>
              </w:rPr>
              <w:t>8</w:t>
            </w:r>
            <w:r w:rsidRPr="00F30F46">
              <w:t>0</w:t>
            </w:r>
          </w:p>
        </w:tc>
        <w:tc>
          <w:tcPr>
            <w:tcW w:w="1113" w:type="dxa"/>
            <w:shd w:val="clear" w:color="auto" w:fill="FFFFFF"/>
            <w:vAlign w:val="center"/>
          </w:tcPr>
          <w:p w14:paraId="42101D43" w14:textId="6112B383" w:rsidR="00D83494" w:rsidRPr="00300375" w:rsidRDefault="00D83494" w:rsidP="004C033C">
            <w:pPr>
              <w:pStyle w:val="CETBodytext"/>
              <w:ind w:right="-1"/>
              <w:jc w:val="center"/>
            </w:pPr>
            <w:r>
              <w:t>109.2</w:t>
            </w:r>
            <w:r w:rsidR="00DF4FD4" w:rsidRPr="002F484F">
              <w:rPr>
                <w:vertAlign w:val="superscript"/>
                <w:lang w:val="en-GB"/>
              </w:rPr>
              <w:t xml:space="preserve"> a</w:t>
            </w:r>
            <w:r>
              <w:t xml:space="preserve"> </w:t>
            </w:r>
            <w:r w:rsidRPr="00451D85">
              <w:rPr>
                <w:u w:val="single"/>
              </w:rPr>
              <w:t>+</w:t>
            </w:r>
            <w:r>
              <w:t xml:space="preserve"> 1.1</w:t>
            </w:r>
          </w:p>
        </w:tc>
        <w:tc>
          <w:tcPr>
            <w:tcW w:w="284" w:type="dxa"/>
            <w:tcBorders>
              <w:top w:val="nil"/>
              <w:bottom w:val="nil"/>
            </w:tcBorders>
            <w:shd w:val="clear" w:color="auto" w:fill="FFFFFF"/>
            <w:vAlign w:val="center"/>
          </w:tcPr>
          <w:p w14:paraId="7F3F6289" w14:textId="77777777" w:rsidR="00D83494" w:rsidRDefault="00D83494" w:rsidP="004C033C">
            <w:pPr>
              <w:pStyle w:val="CETBodytext"/>
              <w:ind w:right="-1"/>
              <w:jc w:val="center"/>
            </w:pPr>
          </w:p>
        </w:tc>
        <w:tc>
          <w:tcPr>
            <w:tcW w:w="1102" w:type="dxa"/>
            <w:vMerge/>
            <w:shd w:val="clear" w:color="auto" w:fill="FFFFFF"/>
            <w:vAlign w:val="center"/>
          </w:tcPr>
          <w:p w14:paraId="3DB421BF" w14:textId="77777777" w:rsidR="00D83494" w:rsidRDefault="00D83494" w:rsidP="004C033C">
            <w:pPr>
              <w:pStyle w:val="CETBodytext"/>
              <w:ind w:right="-1"/>
              <w:jc w:val="center"/>
            </w:pPr>
          </w:p>
        </w:tc>
        <w:tc>
          <w:tcPr>
            <w:tcW w:w="1134" w:type="dxa"/>
            <w:vMerge w:val="restart"/>
            <w:shd w:val="clear" w:color="auto" w:fill="FFFFFF"/>
            <w:vAlign w:val="center"/>
          </w:tcPr>
          <w:p w14:paraId="427F7F84" w14:textId="77777777" w:rsidR="00D83494" w:rsidRDefault="00D83494" w:rsidP="004C033C">
            <w:pPr>
              <w:pStyle w:val="CETBodytext"/>
              <w:ind w:right="-1"/>
              <w:jc w:val="center"/>
            </w:pPr>
            <w:r>
              <w:t>70</w:t>
            </w:r>
          </w:p>
        </w:tc>
        <w:tc>
          <w:tcPr>
            <w:tcW w:w="992" w:type="dxa"/>
            <w:shd w:val="clear" w:color="auto" w:fill="FFFFFF"/>
            <w:vAlign w:val="center"/>
          </w:tcPr>
          <w:p w14:paraId="304BD0B5" w14:textId="77777777" w:rsidR="00D83494" w:rsidRDefault="00D83494" w:rsidP="004C033C">
            <w:pPr>
              <w:pStyle w:val="CETBodytext"/>
              <w:ind w:right="-1"/>
              <w:jc w:val="center"/>
            </w:pPr>
            <w:r w:rsidRPr="00F30F46">
              <w:t>1</w:t>
            </w:r>
            <w:r w:rsidRPr="008D76B6">
              <w:rPr>
                <w:lang w:val="en-GB"/>
              </w:rPr>
              <w:t>8</w:t>
            </w:r>
            <w:r w:rsidRPr="00F30F46">
              <w:t>0</w:t>
            </w:r>
          </w:p>
        </w:tc>
        <w:tc>
          <w:tcPr>
            <w:tcW w:w="1108" w:type="dxa"/>
            <w:shd w:val="clear" w:color="auto" w:fill="FFFFFF"/>
            <w:vAlign w:val="center"/>
          </w:tcPr>
          <w:p w14:paraId="67927CDA" w14:textId="3B2D59D3" w:rsidR="00D83494" w:rsidRDefault="00D83494" w:rsidP="004C033C">
            <w:pPr>
              <w:pStyle w:val="CETBodytext"/>
              <w:ind w:right="-1"/>
              <w:jc w:val="center"/>
            </w:pPr>
            <w:r w:rsidRPr="001D2A89">
              <w:rPr>
                <w:lang w:val="en-GB"/>
              </w:rPr>
              <w:t>116.2</w:t>
            </w:r>
            <w:r w:rsidR="00862C24" w:rsidRPr="002F484F">
              <w:rPr>
                <w:vertAlign w:val="superscript"/>
                <w:lang w:val="en-GB"/>
              </w:rPr>
              <w:t xml:space="preserve"> a</w:t>
            </w:r>
            <w:r w:rsidR="00862C24">
              <w:rPr>
                <w:vertAlign w:val="superscript"/>
                <w:lang w:val="en-GB"/>
              </w:rPr>
              <w:t xml:space="preserve"> </w:t>
            </w:r>
            <w:r w:rsidRPr="001D2A89">
              <w:rPr>
                <w:u w:val="single"/>
              </w:rPr>
              <w:t>+</w:t>
            </w:r>
            <w:r w:rsidRPr="001D2A89">
              <w:t xml:space="preserve"> 1.1</w:t>
            </w:r>
          </w:p>
        </w:tc>
      </w:tr>
      <w:tr w:rsidR="00D83494" w:rsidRPr="00B57B36" w14:paraId="209BE6D5" w14:textId="77777777" w:rsidTr="00467508">
        <w:trPr>
          <w:trHeight w:val="68"/>
          <w:jc w:val="center"/>
        </w:trPr>
        <w:tc>
          <w:tcPr>
            <w:tcW w:w="1101" w:type="dxa"/>
            <w:vMerge/>
            <w:shd w:val="clear" w:color="auto" w:fill="FFFFFF"/>
            <w:vAlign w:val="center"/>
          </w:tcPr>
          <w:p w14:paraId="3D1D7BCE" w14:textId="77777777" w:rsidR="00D83494" w:rsidRPr="00426904" w:rsidRDefault="00D83494" w:rsidP="004C033C">
            <w:pPr>
              <w:pStyle w:val="CETBodytext"/>
              <w:ind w:right="-1"/>
              <w:jc w:val="center"/>
            </w:pPr>
          </w:p>
        </w:tc>
        <w:tc>
          <w:tcPr>
            <w:tcW w:w="992" w:type="dxa"/>
            <w:vMerge/>
            <w:shd w:val="clear" w:color="auto" w:fill="FFFFFF"/>
            <w:vAlign w:val="center"/>
          </w:tcPr>
          <w:p w14:paraId="2F23692D" w14:textId="77777777" w:rsidR="00D83494" w:rsidRDefault="00D83494" w:rsidP="004C033C">
            <w:pPr>
              <w:pStyle w:val="CETBodytext"/>
              <w:ind w:right="-1"/>
              <w:jc w:val="center"/>
            </w:pPr>
          </w:p>
        </w:tc>
        <w:tc>
          <w:tcPr>
            <w:tcW w:w="850" w:type="dxa"/>
            <w:shd w:val="clear" w:color="auto" w:fill="FFFFFF"/>
            <w:vAlign w:val="center"/>
          </w:tcPr>
          <w:p w14:paraId="7C86A6EE" w14:textId="77777777" w:rsidR="00D83494" w:rsidRDefault="00D83494" w:rsidP="004C033C">
            <w:pPr>
              <w:pStyle w:val="CETBodytext"/>
              <w:ind w:right="-1"/>
              <w:jc w:val="center"/>
            </w:pPr>
            <w:r w:rsidRPr="008D76B6">
              <w:rPr>
                <w:lang w:val="en-GB"/>
              </w:rPr>
              <w:t>200</w:t>
            </w:r>
          </w:p>
        </w:tc>
        <w:tc>
          <w:tcPr>
            <w:tcW w:w="1113" w:type="dxa"/>
            <w:shd w:val="clear" w:color="auto" w:fill="FFFFFF"/>
            <w:vAlign w:val="center"/>
          </w:tcPr>
          <w:p w14:paraId="54BEF285" w14:textId="5B60635D" w:rsidR="00D83494" w:rsidRPr="00300375" w:rsidRDefault="00D83494" w:rsidP="004C033C">
            <w:pPr>
              <w:pStyle w:val="CETBodytext"/>
              <w:ind w:right="-1"/>
              <w:jc w:val="center"/>
            </w:pPr>
            <w:r>
              <w:t>109.2</w:t>
            </w:r>
            <w:r w:rsidR="00DF4FD4" w:rsidRPr="002F484F">
              <w:rPr>
                <w:vertAlign w:val="superscript"/>
                <w:lang w:val="en-GB"/>
              </w:rPr>
              <w:t xml:space="preserve"> a</w:t>
            </w:r>
            <w:r>
              <w:t xml:space="preserve"> </w:t>
            </w:r>
            <w:r w:rsidRPr="00451D85">
              <w:rPr>
                <w:u w:val="single"/>
              </w:rPr>
              <w:t>+</w:t>
            </w:r>
            <w:r>
              <w:t xml:space="preserve"> 0.9</w:t>
            </w:r>
          </w:p>
        </w:tc>
        <w:tc>
          <w:tcPr>
            <w:tcW w:w="284" w:type="dxa"/>
            <w:tcBorders>
              <w:top w:val="nil"/>
              <w:bottom w:val="nil"/>
            </w:tcBorders>
            <w:shd w:val="clear" w:color="auto" w:fill="FFFFFF"/>
            <w:vAlign w:val="center"/>
          </w:tcPr>
          <w:p w14:paraId="3C6AAE1C" w14:textId="77777777" w:rsidR="00D83494" w:rsidRDefault="00D83494" w:rsidP="004C033C">
            <w:pPr>
              <w:pStyle w:val="CETBodytext"/>
              <w:ind w:right="-1"/>
              <w:jc w:val="center"/>
            </w:pPr>
          </w:p>
        </w:tc>
        <w:tc>
          <w:tcPr>
            <w:tcW w:w="1102" w:type="dxa"/>
            <w:vMerge/>
            <w:shd w:val="clear" w:color="auto" w:fill="FFFFFF"/>
            <w:vAlign w:val="center"/>
          </w:tcPr>
          <w:p w14:paraId="63A6412F" w14:textId="77777777" w:rsidR="00D83494" w:rsidRDefault="00D83494" w:rsidP="004C033C">
            <w:pPr>
              <w:pStyle w:val="CETBodytext"/>
              <w:ind w:right="-1"/>
              <w:jc w:val="center"/>
            </w:pPr>
          </w:p>
        </w:tc>
        <w:tc>
          <w:tcPr>
            <w:tcW w:w="1134" w:type="dxa"/>
            <w:vMerge/>
            <w:shd w:val="clear" w:color="auto" w:fill="FFFFFF"/>
            <w:vAlign w:val="center"/>
          </w:tcPr>
          <w:p w14:paraId="7C1FA02E" w14:textId="77777777" w:rsidR="00D83494" w:rsidRDefault="00D83494" w:rsidP="004C033C">
            <w:pPr>
              <w:pStyle w:val="CETBodytext"/>
              <w:ind w:right="-1"/>
              <w:jc w:val="center"/>
            </w:pPr>
          </w:p>
        </w:tc>
        <w:tc>
          <w:tcPr>
            <w:tcW w:w="992" w:type="dxa"/>
            <w:shd w:val="clear" w:color="auto" w:fill="FFFFFF"/>
            <w:vAlign w:val="center"/>
          </w:tcPr>
          <w:p w14:paraId="64510B6E" w14:textId="77777777" w:rsidR="00D83494" w:rsidRDefault="00D83494" w:rsidP="004C033C">
            <w:pPr>
              <w:pStyle w:val="CETBodytext"/>
              <w:ind w:right="-1"/>
              <w:jc w:val="center"/>
            </w:pPr>
            <w:r w:rsidRPr="008D76B6">
              <w:rPr>
                <w:lang w:val="en-GB"/>
              </w:rPr>
              <w:t>200</w:t>
            </w:r>
          </w:p>
        </w:tc>
        <w:tc>
          <w:tcPr>
            <w:tcW w:w="1108" w:type="dxa"/>
            <w:shd w:val="clear" w:color="auto" w:fill="FFFFFF"/>
            <w:vAlign w:val="center"/>
          </w:tcPr>
          <w:p w14:paraId="14306B95" w14:textId="50083F84" w:rsidR="00D83494" w:rsidRDefault="00D83494" w:rsidP="004C033C">
            <w:pPr>
              <w:pStyle w:val="CETBodytext"/>
              <w:ind w:right="-1"/>
              <w:jc w:val="center"/>
            </w:pPr>
            <w:r w:rsidRPr="001D2A89">
              <w:rPr>
                <w:lang w:val="en-GB"/>
              </w:rPr>
              <w:t>116.1</w:t>
            </w:r>
            <w:r w:rsidR="00862C24" w:rsidRPr="002F484F">
              <w:rPr>
                <w:vertAlign w:val="superscript"/>
                <w:lang w:val="en-GB"/>
              </w:rPr>
              <w:t xml:space="preserve"> a</w:t>
            </w:r>
            <w:r w:rsidRPr="001D2A89">
              <w:t xml:space="preserve"> </w:t>
            </w:r>
            <w:r w:rsidRPr="001D2A89">
              <w:rPr>
                <w:u w:val="single"/>
              </w:rPr>
              <w:t>+</w:t>
            </w:r>
            <w:r w:rsidRPr="001D2A89">
              <w:t xml:space="preserve"> 0.7</w:t>
            </w:r>
          </w:p>
        </w:tc>
      </w:tr>
    </w:tbl>
    <w:p w14:paraId="2D5DB7EE" w14:textId="77777777" w:rsidR="006B1BE1" w:rsidRPr="004C033C" w:rsidRDefault="006B1BE1" w:rsidP="00641C98">
      <w:pPr>
        <w:pStyle w:val="CETBodytext"/>
        <w:rPr>
          <w:sz w:val="8"/>
          <w:lang w:val="en-GB"/>
        </w:rPr>
      </w:pPr>
    </w:p>
    <w:p w14:paraId="62560435" w14:textId="3EC0AA6C" w:rsidR="00AB2D6A" w:rsidRPr="008D16B2" w:rsidRDefault="00AB2D6A" w:rsidP="004C033C">
      <w:r>
        <w:t>T</w:t>
      </w:r>
      <w:r w:rsidRPr="00371853">
        <w:t xml:space="preserve">he melting point of the polymer after </w:t>
      </w:r>
      <w:r>
        <w:t xml:space="preserve">the </w:t>
      </w:r>
      <w:r w:rsidRPr="00371853">
        <w:t xml:space="preserve">encapsulation of </w:t>
      </w:r>
      <w:r>
        <w:t xml:space="preserve">OEO was </w:t>
      </w:r>
      <w:r w:rsidRPr="00371853">
        <w:t xml:space="preserve">decreased by </w:t>
      </w:r>
      <w:r>
        <w:t xml:space="preserve">7.0 </w:t>
      </w:r>
      <w:proofErr w:type="spellStart"/>
      <w:r w:rsidRPr="00B70254">
        <w:rPr>
          <w:vertAlign w:val="superscript"/>
        </w:rPr>
        <w:t>o</w:t>
      </w:r>
      <w:r w:rsidRPr="00371853">
        <w:t>C</w:t>
      </w:r>
      <w:proofErr w:type="spellEnd"/>
      <w:r w:rsidRPr="00371853">
        <w:t xml:space="preserve">, while the </w:t>
      </w:r>
      <w:r w:rsidR="00026C3E">
        <w:t xml:space="preserve">Tm </w:t>
      </w:r>
      <w:r w:rsidRPr="00371853">
        <w:t xml:space="preserve">of </w:t>
      </w:r>
      <w:proofErr w:type="spellStart"/>
      <w:r>
        <w:t>f</w:t>
      </w:r>
      <w:r w:rsidRPr="00371853">
        <w:t>lavomix</w:t>
      </w:r>
      <w:proofErr w:type="spellEnd"/>
      <w:r w:rsidRPr="00371853">
        <w:t xml:space="preserve"> polymer </w:t>
      </w:r>
      <w:r>
        <w:t>was decreased slightly by 0.6</w:t>
      </w:r>
      <w:r w:rsidRPr="00371853">
        <w:t xml:space="preserve"> </w:t>
      </w:r>
      <w:proofErr w:type="spellStart"/>
      <w:r w:rsidRPr="00B70254">
        <w:rPr>
          <w:vertAlign w:val="superscript"/>
        </w:rPr>
        <w:t>o</w:t>
      </w:r>
      <w:r>
        <w:t>C</w:t>
      </w:r>
      <w:r w:rsidRPr="00371853">
        <w:t>.</w:t>
      </w:r>
      <w:proofErr w:type="spellEnd"/>
      <w:r>
        <w:t xml:space="preserve"> </w:t>
      </w:r>
      <w:r w:rsidRPr="00135604">
        <w:t xml:space="preserve">The </w:t>
      </w:r>
      <w:r>
        <w:t xml:space="preserve">reduced Tm </w:t>
      </w:r>
      <w:r w:rsidR="008D16B2">
        <w:t xml:space="preserve">values after the addition of </w:t>
      </w:r>
      <w:r w:rsidR="008D16B2">
        <w:rPr>
          <w:lang w:val="el-GR"/>
        </w:rPr>
        <w:t>Ο</w:t>
      </w:r>
      <w:r w:rsidR="008D16B2">
        <w:t>EO are</w:t>
      </w:r>
      <w:r w:rsidR="00026C3E">
        <w:t xml:space="preserve"> a consequence of </w:t>
      </w:r>
      <w:r w:rsidRPr="00135604">
        <w:t>polymer and essential oil interactions</w:t>
      </w:r>
      <w:r>
        <w:t xml:space="preserve">. The </w:t>
      </w:r>
      <w:r w:rsidR="00026C3E">
        <w:t xml:space="preserve">operating </w:t>
      </w:r>
      <w:r>
        <w:t xml:space="preserve">parameters do not affect the thermal </w:t>
      </w:r>
      <w:r w:rsidRPr="008D16B2">
        <w:lastRenderedPageBreak/>
        <w:t xml:space="preserve">behaviour since </w:t>
      </w:r>
      <w:r w:rsidR="00026C3E" w:rsidRPr="008D16B2">
        <w:t xml:space="preserve">the differences among Tm </w:t>
      </w:r>
      <w:r w:rsidRPr="008D16B2">
        <w:t xml:space="preserve">of the polymers produced when employing different operating conditions is in the range of </w:t>
      </w:r>
      <w:r w:rsidR="00026C3E" w:rsidRPr="008D16B2">
        <w:t>the standard deviations</w:t>
      </w:r>
      <w:r w:rsidRPr="008D16B2">
        <w:t>. In addition, the two different concentrations of the antimicrobials (10</w:t>
      </w:r>
      <w:r w:rsidR="00006014" w:rsidRPr="008D16B2">
        <w:t xml:space="preserve"> </w:t>
      </w:r>
      <w:r w:rsidRPr="008D16B2">
        <w:t>% and 20</w:t>
      </w:r>
      <w:r w:rsidR="00006014" w:rsidRPr="008D16B2">
        <w:t xml:space="preserve"> </w:t>
      </w:r>
      <w:r w:rsidRPr="008D16B2">
        <w:t xml:space="preserve">%) </w:t>
      </w:r>
      <w:r w:rsidRPr="008D16B2">
        <w:rPr>
          <w:lang w:val="en-US"/>
        </w:rPr>
        <w:t xml:space="preserve">decreased to a negligible degree </w:t>
      </w:r>
      <w:r w:rsidRPr="008D16B2">
        <w:rPr>
          <w:rFonts w:cstheme="minorHAnsi"/>
        </w:rPr>
        <w:t>Tm values</w:t>
      </w:r>
      <w:r w:rsidRPr="008D16B2">
        <w:rPr>
          <w:lang w:val="en-US"/>
        </w:rPr>
        <w:t xml:space="preserve"> (1.1</w:t>
      </w:r>
      <w:r w:rsidR="00006014" w:rsidRPr="008D16B2">
        <w:rPr>
          <w:lang w:val="en-US"/>
        </w:rPr>
        <w:t xml:space="preserve"> </w:t>
      </w:r>
      <w:r w:rsidRPr="00220297">
        <w:rPr>
          <w:rFonts w:cstheme="minorHAnsi"/>
          <w:color w:val="FF0000"/>
        </w:rPr>
        <w:t>°C</w:t>
      </w:r>
      <w:r w:rsidRPr="008D16B2">
        <w:rPr>
          <w:rFonts w:cstheme="minorHAnsi"/>
        </w:rPr>
        <w:t xml:space="preserve"> for </w:t>
      </w:r>
      <w:r w:rsidRPr="00E10D8C">
        <w:rPr>
          <w:rFonts w:cstheme="minorHAnsi"/>
          <w:color w:val="FF0000"/>
        </w:rPr>
        <w:t>OEO</w:t>
      </w:r>
      <w:r w:rsidRPr="008D16B2">
        <w:rPr>
          <w:rFonts w:cstheme="minorHAnsi"/>
        </w:rPr>
        <w:t xml:space="preserve"> polymers and 0.3</w:t>
      </w:r>
      <w:r w:rsidR="00006014" w:rsidRPr="008D16B2">
        <w:rPr>
          <w:rFonts w:cstheme="minorHAnsi"/>
        </w:rPr>
        <w:t xml:space="preserve"> </w:t>
      </w:r>
      <w:r w:rsidRPr="00220297">
        <w:rPr>
          <w:rFonts w:cstheme="minorHAnsi"/>
          <w:color w:val="FF0000"/>
        </w:rPr>
        <w:t>°C</w:t>
      </w:r>
      <w:r w:rsidRPr="008D16B2">
        <w:rPr>
          <w:rFonts w:cstheme="minorHAnsi"/>
        </w:rPr>
        <w:t xml:space="preserve"> for </w:t>
      </w:r>
      <w:proofErr w:type="spellStart"/>
      <w:r w:rsidRPr="008D16B2">
        <w:rPr>
          <w:rFonts w:cstheme="minorHAnsi"/>
        </w:rPr>
        <w:t>flavomix</w:t>
      </w:r>
      <w:proofErr w:type="spellEnd"/>
      <w:r w:rsidRPr="008D16B2">
        <w:rPr>
          <w:rFonts w:cstheme="minorHAnsi"/>
        </w:rPr>
        <w:t xml:space="preserve"> polymers) </w:t>
      </w:r>
      <w:r w:rsidRPr="008D16B2">
        <w:t>as Tm is a characteristic property of the polymer and polymer content did not alter. This was also observed in our previous study of glass transition temperature (</w:t>
      </w:r>
      <w:proofErr w:type="spellStart"/>
      <w:r w:rsidRPr="008D16B2">
        <w:t>Tg</w:t>
      </w:r>
      <w:proofErr w:type="spellEnd"/>
      <w:r w:rsidRPr="008D16B2">
        <w:t xml:space="preserve">) of PLA with encapsulated rosemary essential oil </w:t>
      </w:r>
      <w:r w:rsidRPr="008D16B2">
        <w:fldChar w:fldCharType="begin" w:fldLock="1"/>
      </w:r>
      <w:r w:rsidR="00243735" w:rsidRPr="008D16B2">
        <w:instrText>ADDIN CSL_CITATION {"citationItems":[{"id":"ITEM-1","itemData":{"DOI":"10.1007/s10924-020-01760-5","ISSN":"15728919","abstract":"In recent years, there is an increasing demand for replacing hazardous agrochemicals in intensive farming systems with natural pesticides, such as essential oils. Essential oils are sources of antimicrobial compounds and have the potential to combat weeds, pathogens and insects. Their use in greenhouse cultures seems promising, but their action is very rapid due to their high volatility. The aim of the current study was the encapsulation of essential oils into biopolymers for enhancing their efficiency and controlling their release. The essential oil of Rosemarinus officinalis (rosemary) (REO) was encapsulated in zein and polylactic acid (PLA) using electrohydrodynamic processing (EHD) and extrusion. The effect of various process parameters was evaluated through scanning electron microscopy (SEM), differential scanning calorimetry (DSC) and Attenuated Total Reflectance FT-IR Spectroscopy (ATR-FTIR). Ultraviolet–visible spectroscopy (UV–VIS) determined the encapsulation efficiency. The stability and release of encapsulated compounds was also tested during their storage in controlled conditions. The examined encapsulation parameters affected in different ways the morphology and properties of the structures. Encapsulation efficiency was in the range of 70–90% with EHD presenting the highest values. ATR-FTIR analysis confirmed the presence of REO in the structures. The produced structures offer great potential to be incorporated in greenhouse films to replace agrochemicals.","author":[{"dropping-particle":"","family":"Stramarkou","given":"Marina","non-dropping-particle":"","parse-names":false,"suffix":""},{"dropping-particle":"","family":"Oikonomopoulou","given":"Vasiliki","non-dropping-particle":"","parse-names":false,"suffix":""},{"dropping-particle":"","family":"Missirli","given":"Theodora","non-dropping-particle":"","parse-names":false,"suffix":""},{"dropping-particle":"","family":"Thanassoulia","given":"Ioanna","non-dropping-particle":"","parse-names":false,"suffix":""},{"dropping-particle":"","family":"Krokida","given":"Magdalini","non-dropping-particle":"","parse-names":false,"suffix":""}],"container-title":"Journal of Polymers and the Environment","id":"ITEM-1","issued":{"date-parts":[["2020"]]},"title":"Encapsulation of Rosemary Essential Oil into Biodegradable Polymers for Application in Crop Management","type":"article-journal"},"uris":["http://www.mendeley.com/documents/?uuid=35e5a90f-5b13-4d94-bbc0-342ff8c89586"]}],"mendeley":{"formattedCitation":"(Stramarkou &lt;i&gt;et al.&lt;/i&gt;, 2020)","plainTextFormattedCitation":"(Stramarkou et al., 2020)","previouslyFormattedCitation":"(Stramarkou &lt;i&gt;et al.&lt;/i&gt;, 2020)"},"properties":{"noteIndex":0},"schema":"https://github.com/citation-style-language/schema/raw/master/csl-citation.json"}</w:instrText>
      </w:r>
      <w:r w:rsidRPr="008D16B2">
        <w:fldChar w:fldCharType="separate"/>
      </w:r>
      <w:r w:rsidR="00317B3A" w:rsidRPr="008D16B2">
        <w:rPr>
          <w:noProof/>
        </w:rPr>
        <w:t>(Stramarkou et al., 2020)</w:t>
      </w:r>
      <w:r w:rsidRPr="008D16B2">
        <w:fldChar w:fldCharType="end"/>
      </w:r>
      <w:r w:rsidRPr="008D16B2">
        <w:t xml:space="preserve">. </w:t>
      </w:r>
    </w:p>
    <w:p w14:paraId="20DBEE28" w14:textId="627CF83F" w:rsidR="009A20BA" w:rsidRPr="008D16B2" w:rsidRDefault="005B62DA" w:rsidP="00842135">
      <w:pPr>
        <w:pStyle w:val="CETBodytext"/>
        <w:rPr>
          <w:noProof/>
          <w:lang w:val="en-GB" w:eastAsia="en-GB"/>
        </w:rPr>
      </w:pPr>
      <w:r w:rsidRPr="008D16B2">
        <w:rPr>
          <w:lang w:val="en-GB"/>
        </w:rPr>
        <w:t xml:space="preserve">Finally, the shelf life of </w:t>
      </w:r>
      <w:r w:rsidR="00467508" w:rsidRPr="008D16B2">
        <w:rPr>
          <w:lang w:val="en-GB"/>
        </w:rPr>
        <w:t>20</w:t>
      </w:r>
      <w:r w:rsidR="00006014" w:rsidRPr="008D16B2">
        <w:rPr>
          <w:lang w:val="en-GB"/>
        </w:rPr>
        <w:t xml:space="preserve"> </w:t>
      </w:r>
      <w:r w:rsidR="00467508" w:rsidRPr="00220297">
        <w:rPr>
          <w:color w:val="FF0000"/>
          <w:lang w:val="en-GB"/>
        </w:rPr>
        <w:t>%</w:t>
      </w:r>
      <w:r w:rsidR="00467508" w:rsidRPr="008D16B2">
        <w:rPr>
          <w:lang w:val="en-GB"/>
        </w:rPr>
        <w:t xml:space="preserve"> </w:t>
      </w:r>
      <w:r w:rsidR="00467508" w:rsidRPr="00E10D8C">
        <w:rPr>
          <w:color w:val="FF0000"/>
          <w:lang w:val="en-GB"/>
        </w:rPr>
        <w:t>OEO</w:t>
      </w:r>
      <w:r w:rsidR="00467508" w:rsidRPr="008D16B2">
        <w:rPr>
          <w:lang w:val="en-GB"/>
        </w:rPr>
        <w:t xml:space="preserve"> and 20</w:t>
      </w:r>
      <w:r w:rsidR="00006014" w:rsidRPr="008D16B2">
        <w:rPr>
          <w:lang w:val="en-GB"/>
        </w:rPr>
        <w:t xml:space="preserve"> </w:t>
      </w:r>
      <w:r w:rsidR="00467508" w:rsidRPr="00220297">
        <w:rPr>
          <w:color w:val="FF0000"/>
          <w:lang w:val="en-GB"/>
        </w:rPr>
        <w:t>%</w:t>
      </w:r>
      <w:r w:rsidR="00467508" w:rsidRPr="008D16B2">
        <w:rPr>
          <w:lang w:val="en-GB"/>
        </w:rPr>
        <w:t xml:space="preserve"> </w:t>
      </w:r>
      <w:proofErr w:type="spellStart"/>
      <w:r w:rsidR="00467508" w:rsidRPr="008D16B2">
        <w:rPr>
          <w:lang w:val="en-GB"/>
        </w:rPr>
        <w:t>flavomix</w:t>
      </w:r>
      <w:proofErr w:type="spellEnd"/>
      <w:r w:rsidR="00467508" w:rsidRPr="008D16B2">
        <w:rPr>
          <w:lang w:val="en-GB"/>
        </w:rPr>
        <w:t xml:space="preserve"> </w:t>
      </w:r>
      <w:r w:rsidR="00DF6FD8" w:rsidRPr="008D16B2">
        <w:rPr>
          <w:lang w:val="en-GB"/>
        </w:rPr>
        <w:t>polymers</w:t>
      </w:r>
      <w:r w:rsidR="00467508" w:rsidRPr="008D16B2">
        <w:rPr>
          <w:lang w:val="en-GB"/>
        </w:rPr>
        <w:t xml:space="preserve"> (produced at screw speed of 50 rpm and extrusion temperature of 180 </w:t>
      </w:r>
      <w:proofErr w:type="spellStart"/>
      <w:r w:rsidR="00467508" w:rsidRPr="008D16B2">
        <w:rPr>
          <w:vertAlign w:val="superscript"/>
          <w:lang w:val="en-GB"/>
        </w:rPr>
        <w:t>o</w:t>
      </w:r>
      <w:r w:rsidR="00467508" w:rsidRPr="008D16B2">
        <w:rPr>
          <w:lang w:val="en-GB"/>
        </w:rPr>
        <w:t>C</w:t>
      </w:r>
      <w:proofErr w:type="spellEnd"/>
      <w:r w:rsidR="00467508" w:rsidRPr="008D16B2">
        <w:rPr>
          <w:lang w:val="en-GB"/>
        </w:rPr>
        <w:t>)</w:t>
      </w:r>
      <w:r w:rsidR="00DF6FD8" w:rsidRPr="008D16B2">
        <w:rPr>
          <w:lang w:val="en-GB"/>
        </w:rPr>
        <w:t xml:space="preserve"> </w:t>
      </w:r>
      <w:r w:rsidRPr="008D16B2">
        <w:rPr>
          <w:lang w:val="en-GB"/>
        </w:rPr>
        <w:t xml:space="preserve">was determined by storing them under </w:t>
      </w:r>
      <w:r w:rsidR="00DF6FD8" w:rsidRPr="008D16B2">
        <w:t>controlled conditions of temperature- radiation (20</w:t>
      </w:r>
      <w:r w:rsidR="00006014" w:rsidRPr="008D16B2">
        <w:t xml:space="preserve"> </w:t>
      </w:r>
      <w:proofErr w:type="spellStart"/>
      <w:r w:rsidR="00DF6FD8" w:rsidRPr="00220297">
        <w:rPr>
          <w:color w:val="FF0000"/>
          <w:vertAlign w:val="superscript"/>
        </w:rPr>
        <w:t>ο</w:t>
      </w:r>
      <w:r w:rsidR="00DF6FD8" w:rsidRPr="00220297">
        <w:rPr>
          <w:color w:val="FF0000"/>
        </w:rPr>
        <w:t>C</w:t>
      </w:r>
      <w:proofErr w:type="spellEnd"/>
      <w:r w:rsidR="00DF6FD8" w:rsidRPr="008D16B2">
        <w:t>-darkness and 45</w:t>
      </w:r>
      <w:r w:rsidR="00006014" w:rsidRPr="008D16B2">
        <w:t xml:space="preserve"> </w:t>
      </w:r>
      <w:proofErr w:type="spellStart"/>
      <w:r w:rsidR="00DF6FD8" w:rsidRPr="00220297">
        <w:rPr>
          <w:color w:val="FF0000"/>
          <w:vertAlign w:val="superscript"/>
        </w:rPr>
        <w:t>ο</w:t>
      </w:r>
      <w:r w:rsidR="00DF6FD8" w:rsidRPr="00220297">
        <w:rPr>
          <w:color w:val="FF0000"/>
        </w:rPr>
        <w:t>C</w:t>
      </w:r>
      <w:proofErr w:type="spellEnd"/>
      <w:r w:rsidR="00DF6FD8" w:rsidRPr="008D16B2">
        <w:t xml:space="preserve">-light) and </w:t>
      </w:r>
      <w:r w:rsidR="008E0FC4" w:rsidRPr="008D16B2">
        <w:t>relative humidity</w:t>
      </w:r>
      <w:r w:rsidR="00DF6FD8" w:rsidRPr="008D16B2">
        <w:t xml:space="preserve"> </w:t>
      </w:r>
      <w:r w:rsidR="008E0FC4" w:rsidRPr="008D16B2">
        <w:t>(</w:t>
      </w:r>
      <w:r w:rsidR="00DF6FD8" w:rsidRPr="008D16B2">
        <w:t>RH 35, 70 and 95</w:t>
      </w:r>
      <w:r w:rsidR="00006014" w:rsidRPr="008D16B2">
        <w:t xml:space="preserve"> </w:t>
      </w:r>
      <w:r w:rsidR="00DF6FD8" w:rsidRPr="00220297">
        <w:rPr>
          <w:color w:val="FF0000"/>
        </w:rPr>
        <w:t>%</w:t>
      </w:r>
      <w:r w:rsidR="00DF6FD8" w:rsidRPr="008D16B2">
        <w:t xml:space="preserve">) for 60 days and calculating </w:t>
      </w:r>
      <w:r w:rsidR="008E0FC4" w:rsidRPr="008D16B2">
        <w:t xml:space="preserve">EE </w:t>
      </w:r>
      <w:r w:rsidR="00DF6FD8" w:rsidRPr="008D16B2">
        <w:t>over time at regular intervals (2, 5, 10, 20, 30 and 60 days)</w:t>
      </w:r>
      <w:r w:rsidR="00C65F83" w:rsidRPr="008D16B2">
        <w:rPr>
          <w:lang w:val="en-GB"/>
        </w:rPr>
        <w:t>.</w:t>
      </w:r>
      <w:r w:rsidR="00AB2D6A" w:rsidRPr="008D16B2">
        <w:rPr>
          <w:lang w:val="en-GB"/>
        </w:rPr>
        <w:t xml:space="preserve"> The results of </w:t>
      </w:r>
      <w:r w:rsidR="00AB2D6A" w:rsidRPr="00E10D8C">
        <w:rPr>
          <w:color w:val="FF0000"/>
          <w:lang w:val="en-GB"/>
        </w:rPr>
        <w:t>OEO</w:t>
      </w:r>
      <w:r w:rsidR="00AB2D6A" w:rsidRPr="008D16B2">
        <w:rPr>
          <w:lang w:val="en-GB"/>
        </w:rPr>
        <w:t xml:space="preserve"> and </w:t>
      </w:r>
      <w:proofErr w:type="spellStart"/>
      <w:r w:rsidR="00AB2D6A" w:rsidRPr="008D16B2">
        <w:rPr>
          <w:lang w:val="en-GB"/>
        </w:rPr>
        <w:t>flavomix</w:t>
      </w:r>
      <w:proofErr w:type="spellEnd"/>
      <w:r w:rsidR="00AB2D6A" w:rsidRPr="008D16B2">
        <w:rPr>
          <w:lang w:val="en-GB"/>
        </w:rPr>
        <w:t xml:space="preserve"> polymers are demonstrated </w:t>
      </w:r>
      <w:r w:rsidR="00D83494" w:rsidRPr="008D16B2">
        <w:rPr>
          <w:lang w:val="en-GB"/>
        </w:rPr>
        <w:t>in Figure 1a,</w:t>
      </w:r>
      <w:r w:rsidR="002B7E5C">
        <w:rPr>
          <w:lang w:val="en-GB"/>
        </w:rPr>
        <w:t xml:space="preserve"> </w:t>
      </w:r>
      <w:r w:rsidR="00D83494" w:rsidRPr="008D16B2">
        <w:rPr>
          <w:lang w:val="en-GB"/>
        </w:rPr>
        <w:t>1b</w:t>
      </w:r>
      <w:r w:rsidR="00AB2D6A" w:rsidRPr="008D16B2">
        <w:rPr>
          <w:lang w:val="en-GB"/>
        </w:rPr>
        <w:t xml:space="preserve"> and</w:t>
      </w:r>
      <w:r w:rsidR="00D83494" w:rsidRPr="008D16B2">
        <w:rPr>
          <w:lang w:val="en-GB"/>
        </w:rPr>
        <w:t xml:space="preserve"> 1c,</w:t>
      </w:r>
      <w:r w:rsidR="002B7E5C">
        <w:rPr>
          <w:lang w:val="en-GB"/>
        </w:rPr>
        <w:t xml:space="preserve"> </w:t>
      </w:r>
      <w:r w:rsidR="00D83494" w:rsidRPr="008D16B2">
        <w:rPr>
          <w:lang w:val="en-GB"/>
        </w:rPr>
        <w:t>1d</w:t>
      </w:r>
      <w:r w:rsidR="00AB2D6A" w:rsidRPr="008D16B2">
        <w:rPr>
          <w:lang w:val="en-GB"/>
        </w:rPr>
        <w:t>, respectively.</w:t>
      </w:r>
      <w:r w:rsidR="00AB2D6A" w:rsidRPr="008D16B2">
        <w:rPr>
          <w:noProof/>
          <w:lang w:val="en-GB" w:eastAsia="en-GB"/>
        </w:rPr>
        <w:t xml:space="preserve"> </w:t>
      </w:r>
    </w:p>
    <w:p w14:paraId="5A38A242" w14:textId="7F407948" w:rsidR="004F41FB" w:rsidRDefault="009A20BA" w:rsidP="009A20BA">
      <w:pPr>
        <w:pStyle w:val="CETBodytext"/>
        <w:spacing w:before="240"/>
        <w:rPr>
          <w:noProof/>
          <w:lang w:val="en-GB" w:eastAsia="en-GB"/>
        </w:rPr>
      </w:pPr>
      <w:r>
        <w:rPr>
          <w:noProof/>
          <w:lang w:val="en-GB" w:eastAsia="en-GB"/>
        </w:rPr>
        <mc:AlternateContent>
          <mc:Choice Requires="wps">
            <w:drawing>
              <wp:anchor distT="0" distB="0" distL="114300" distR="114300" simplePos="0" relativeHeight="251669504" behindDoc="0" locked="0" layoutInCell="1" allowOverlap="1" wp14:anchorId="24348919" wp14:editId="4302B183">
                <wp:simplePos x="0" y="0"/>
                <wp:positionH relativeFrom="column">
                  <wp:posOffset>2790825</wp:posOffset>
                </wp:positionH>
                <wp:positionV relativeFrom="paragraph">
                  <wp:posOffset>1739900</wp:posOffset>
                </wp:positionV>
                <wp:extent cx="342900" cy="220980"/>
                <wp:effectExtent l="0" t="0" r="19050" b="2667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0980"/>
                        </a:xfrm>
                        <a:prstGeom prst="rect">
                          <a:avLst/>
                        </a:prstGeom>
                        <a:solidFill>
                          <a:srgbClr val="FFFFFF"/>
                        </a:solidFill>
                        <a:ln w="9525">
                          <a:solidFill>
                            <a:schemeClr val="tx1"/>
                          </a:solidFill>
                          <a:miter lim="800000"/>
                          <a:headEnd/>
                          <a:tailEnd/>
                        </a:ln>
                      </wps:spPr>
                      <wps:txbx>
                        <w:txbxContent>
                          <w:p w14:paraId="76AE83F6" w14:textId="77777777" w:rsidR="00894FD5" w:rsidRPr="001954AE" w:rsidRDefault="00894FD5" w:rsidP="004F41FB">
                            <w:pPr>
                              <w:rPr>
                                <w:sz w:val="16"/>
                                <w:lang w:val="el-GR"/>
                              </w:rPr>
                            </w:pPr>
                            <w:r>
                              <w:rPr>
                                <w:sz w:val="16"/>
                              </w:rPr>
                              <w:t>(b</w:t>
                            </w:r>
                            <w:r w:rsidRPr="001954AE">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19.75pt;margin-top:137pt;width:27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" strokecolor="black [3213]">
                <v:textbox>
                  <w:txbxContent>
                    <w:p w14:paraId="76AE83F6" w14:textId="77777777" w:rsidR="00894FD5" w:rsidRPr="001954AE" w:rsidRDefault="00894FD5" w:rsidP="004F41FB">
                      <w:pPr>
                        <w:rPr>
                          <w:sz w:val="16"/>
                          <w:lang w:val="el-GR"/>
                        </w:rPr>
                      </w:pPr>
                      <w:r>
                        <w:rPr>
                          <w:sz w:val="16"/>
                        </w:rPr>
                        <w:t>(b</w:t>
                      </w:r>
                      <w:r w:rsidRPr="001954AE">
                        <w:rPr>
                          <w:sz w:val="16"/>
                        </w:rPr>
                        <w:t>)</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31E5E547" wp14:editId="6779B431">
                <wp:simplePos x="0" y="0"/>
                <wp:positionH relativeFrom="column">
                  <wp:posOffset>1905</wp:posOffset>
                </wp:positionH>
                <wp:positionV relativeFrom="paragraph">
                  <wp:posOffset>1741170</wp:posOffset>
                </wp:positionV>
                <wp:extent cx="342900" cy="220980"/>
                <wp:effectExtent l="0" t="0" r="19050" b="26670"/>
                <wp:wrapNone/>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0980"/>
                        </a:xfrm>
                        <a:prstGeom prst="rect">
                          <a:avLst/>
                        </a:prstGeom>
                        <a:solidFill>
                          <a:srgbClr val="FFFFFF"/>
                        </a:solidFill>
                        <a:ln w="9525">
                          <a:solidFill>
                            <a:schemeClr val="tx1"/>
                          </a:solidFill>
                          <a:miter lim="800000"/>
                          <a:headEnd/>
                          <a:tailEnd/>
                        </a:ln>
                      </wps:spPr>
                      <wps:txbx>
                        <w:txbxContent>
                          <w:p w14:paraId="646C35FE" w14:textId="77777777" w:rsidR="00894FD5" w:rsidRPr="001954AE" w:rsidRDefault="00894FD5" w:rsidP="004F41FB">
                            <w:pPr>
                              <w:rPr>
                                <w:sz w:val="16"/>
                                <w:lang w:val="el-GR"/>
                              </w:rPr>
                            </w:pPr>
                            <w:r w:rsidRPr="001954AE">
                              <w:rPr>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137.1pt;width:27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" strokecolor="black [3213]">
                <v:textbox>
                  <w:txbxContent>
                    <w:p w14:paraId="646C35FE" w14:textId="77777777" w:rsidR="00894FD5" w:rsidRPr="001954AE" w:rsidRDefault="00894FD5" w:rsidP="004F41FB">
                      <w:pPr>
                        <w:rPr>
                          <w:sz w:val="16"/>
                          <w:lang w:val="el-GR"/>
                        </w:rPr>
                      </w:pPr>
                      <w:r w:rsidRPr="001954AE">
                        <w:rPr>
                          <w:sz w:val="16"/>
                        </w:rPr>
                        <w:t>(a)</w:t>
                      </w:r>
                    </w:p>
                  </w:txbxContent>
                </v:textbox>
              </v:shape>
            </w:pict>
          </mc:Fallback>
        </mc:AlternateContent>
      </w:r>
      <w:r w:rsidR="00837AF1">
        <w:rPr>
          <w:noProof/>
          <w:lang w:val="en-GB" w:eastAsia="en-GB"/>
        </w:rPr>
        <w:drawing>
          <wp:inline distT="0" distB="0" distL="0" distR="0" wp14:anchorId="287BC1F6" wp14:editId="772F3DEC">
            <wp:extent cx="2761615" cy="1810385"/>
            <wp:effectExtent l="0" t="0" r="635"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1615" cy="1810385"/>
                    </a:xfrm>
                    <a:prstGeom prst="rect">
                      <a:avLst/>
                    </a:prstGeom>
                    <a:noFill/>
                  </pic:spPr>
                </pic:pic>
              </a:graphicData>
            </a:graphic>
          </wp:inline>
        </w:drawing>
      </w:r>
      <w:r w:rsidR="004F41FB">
        <w:rPr>
          <w:noProof/>
          <w:lang w:val="en-GB" w:eastAsia="en-GB"/>
        </w:rPr>
        <w:t xml:space="preserve"> </w:t>
      </w:r>
      <w:r w:rsidR="004F41FB">
        <w:rPr>
          <w:noProof/>
          <w:lang w:val="en-GB" w:eastAsia="en-GB"/>
        </w:rPr>
        <w:drawing>
          <wp:inline distT="0" distB="0" distL="0" distR="0" wp14:anchorId="029F4017" wp14:editId="1BDC796E">
            <wp:extent cx="2761615" cy="1810385"/>
            <wp:effectExtent l="0" t="0" r="63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615" cy="1810385"/>
                    </a:xfrm>
                    <a:prstGeom prst="rect">
                      <a:avLst/>
                    </a:prstGeom>
                    <a:noFill/>
                  </pic:spPr>
                </pic:pic>
              </a:graphicData>
            </a:graphic>
          </wp:inline>
        </w:drawing>
      </w:r>
    </w:p>
    <w:p w14:paraId="35FF2FEA" w14:textId="63715D95" w:rsidR="004F41FB" w:rsidRDefault="00837AF1" w:rsidP="00842135">
      <w:pPr>
        <w:pStyle w:val="CETBodytext"/>
        <w:rPr>
          <w:noProof/>
          <w:lang w:val="en-GB" w:eastAsia="en-GB"/>
        </w:rPr>
      </w:pPr>
      <w:r>
        <w:rPr>
          <w:noProof/>
          <w:lang w:val="en-GB" w:eastAsia="en-GB"/>
        </w:rPr>
        <mc:AlternateContent>
          <mc:Choice Requires="wps">
            <w:drawing>
              <wp:anchor distT="0" distB="0" distL="114300" distR="114300" simplePos="0" relativeHeight="251673600" behindDoc="0" locked="0" layoutInCell="1" allowOverlap="1" wp14:anchorId="1A788A2C" wp14:editId="2345180D">
                <wp:simplePos x="0" y="0"/>
                <wp:positionH relativeFrom="column">
                  <wp:posOffset>2798445</wp:posOffset>
                </wp:positionH>
                <wp:positionV relativeFrom="paragraph">
                  <wp:posOffset>1574800</wp:posOffset>
                </wp:positionV>
                <wp:extent cx="342900" cy="220980"/>
                <wp:effectExtent l="0" t="0" r="19050" b="26670"/>
                <wp:wrapNone/>
                <wp:docPr id="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0980"/>
                        </a:xfrm>
                        <a:prstGeom prst="rect">
                          <a:avLst/>
                        </a:prstGeom>
                        <a:solidFill>
                          <a:srgbClr val="FFFFFF"/>
                        </a:solidFill>
                        <a:ln w="9525">
                          <a:solidFill>
                            <a:schemeClr val="tx1"/>
                          </a:solidFill>
                          <a:miter lim="800000"/>
                          <a:headEnd/>
                          <a:tailEnd/>
                        </a:ln>
                      </wps:spPr>
                      <wps:txbx>
                        <w:txbxContent>
                          <w:p w14:paraId="21684573" w14:textId="77777777" w:rsidR="00894FD5" w:rsidRPr="001954AE" w:rsidRDefault="00894FD5" w:rsidP="00837AF1">
                            <w:pPr>
                              <w:rPr>
                                <w:sz w:val="16"/>
                                <w:lang w:val="el-GR"/>
                              </w:rPr>
                            </w:pPr>
                            <w:r>
                              <w:rPr>
                                <w:sz w:val="16"/>
                              </w:rPr>
                              <w:t>(d</w:t>
                            </w:r>
                            <w:r w:rsidRPr="001954AE">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0.35pt;margin-top:124pt;width:27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" strokecolor="black [3213]">
                <v:textbox>
                  <w:txbxContent>
                    <w:p w14:paraId="21684573" w14:textId="77777777" w:rsidR="00894FD5" w:rsidRPr="001954AE" w:rsidRDefault="00894FD5" w:rsidP="00837AF1">
                      <w:pPr>
                        <w:rPr>
                          <w:sz w:val="16"/>
                          <w:lang w:val="el-GR"/>
                        </w:rPr>
                      </w:pPr>
                      <w:r>
                        <w:rPr>
                          <w:sz w:val="16"/>
                        </w:rPr>
                        <w:t>(d</w:t>
                      </w:r>
                      <w:r w:rsidRPr="001954AE">
                        <w:rPr>
                          <w:sz w:val="16"/>
                        </w:rPr>
                        <w:t>)</w:t>
                      </w:r>
                    </w:p>
                  </w:txbxContent>
                </v:textbox>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60FD1793" wp14:editId="2FAF5E13">
                <wp:simplePos x="0" y="0"/>
                <wp:positionH relativeFrom="column">
                  <wp:posOffset>1905</wp:posOffset>
                </wp:positionH>
                <wp:positionV relativeFrom="paragraph">
                  <wp:posOffset>1574800</wp:posOffset>
                </wp:positionV>
                <wp:extent cx="342900" cy="220980"/>
                <wp:effectExtent l="0" t="0" r="19050" b="26670"/>
                <wp:wrapNone/>
                <wp:docPr id="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0980"/>
                        </a:xfrm>
                        <a:prstGeom prst="rect">
                          <a:avLst/>
                        </a:prstGeom>
                        <a:solidFill>
                          <a:srgbClr val="FFFFFF"/>
                        </a:solidFill>
                        <a:ln w="9525">
                          <a:solidFill>
                            <a:schemeClr val="tx1"/>
                          </a:solidFill>
                          <a:miter lim="800000"/>
                          <a:headEnd/>
                          <a:tailEnd/>
                        </a:ln>
                      </wps:spPr>
                      <wps:txbx>
                        <w:txbxContent>
                          <w:p w14:paraId="5741F44F" w14:textId="77777777" w:rsidR="00894FD5" w:rsidRPr="001954AE" w:rsidRDefault="00894FD5" w:rsidP="00837AF1">
                            <w:pPr>
                              <w:rPr>
                                <w:sz w:val="16"/>
                                <w:lang w:val="el-GR"/>
                              </w:rPr>
                            </w:pPr>
                            <w:r>
                              <w:rPr>
                                <w:sz w:val="16"/>
                              </w:rPr>
                              <w:t>(c</w:t>
                            </w:r>
                            <w:r w:rsidRPr="001954AE">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124pt;width:27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" strokecolor="black [3213]">
                <v:textbox>
                  <w:txbxContent>
                    <w:p w14:paraId="5741F44F" w14:textId="77777777" w:rsidR="00894FD5" w:rsidRPr="001954AE" w:rsidRDefault="00894FD5" w:rsidP="00837AF1">
                      <w:pPr>
                        <w:rPr>
                          <w:sz w:val="16"/>
                          <w:lang w:val="el-GR"/>
                        </w:rPr>
                      </w:pPr>
                      <w:r>
                        <w:rPr>
                          <w:sz w:val="16"/>
                        </w:rPr>
                        <w:t>(c</w:t>
                      </w:r>
                      <w:r w:rsidRPr="001954AE">
                        <w:rPr>
                          <w:sz w:val="16"/>
                        </w:rPr>
                        <w:t>)</w:t>
                      </w:r>
                    </w:p>
                  </w:txbxContent>
                </v:textbox>
              </v:shape>
            </w:pict>
          </mc:Fallback>
        </mc:AlternateContent>
      </w:r>
      <w:r>
        <w:rPr>
          <w:noProof/>
          <w:lang w:val="en-GB" w:eastAsia="en-GB"/>
        </w:rPr>
        <w:drawing>
          <wp:inline distT="0" distB="0" distL="0" distR="0" wp14:anchorId="156DBC76" wp14:editId="6AF5A0E7">
            <wp:extent cx="2767965" cy="1810385"/>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7965" cy="1810385"/>
                    </a:xfrm>
                    <a:prstGeom prst="rect">
                      <a:avLst/>
                    </a:prstGeom>
                    <a:noFill/>
                  </pic:spPr>
                </pic:pic>
              </a:graphicData>
            </a:graphic>
          </wp:inline>
        </w:drawing>
      </w:r>
      <w:r>
        <w:rPr>
          <w:noProof/>
          <w:lang w:val="en-GB" w:eastAsia="en-GB"/>
        </w:rPr>
        <w:t xml:space="preserve"> </w:t>
      </w:r>
      <w:r>
        <w:rPr>
          <w:noProof/>
          <w:lang w:val="en-GB" w:eastAsia="en-GB"/>
        </w:rPr>
        <w:drawing>
          <wp:inline distT="0" distB="0" distL="0" distR="0" wp14:anchorId="77B64DC6" wp14:editId="0A79C5F3">
            <wp:extent cx="2767965" cy="1810385"/>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7965" cy="1810385"/>
                    </a:xfrm>
                    <a:prstGeom prst="rect">
                      <a:avLst/>
                    </a:prstGeom>
                    <a:noFill/>
                  </pic:spPr>
                </pic:pic>
              </a:graphicData>
            </a:graphic>
          </wp:inline>
        </w:drawing>
      </w:r>
    </w:p>
    <w:p w14:paraId="7EE871F3" w14:textId="60387BB8" w:rsidR="00C65F83" w:rsidRDefault="008E0FC4" w:rsidP="00467508">
      <w:pPr>
        <w:pStyle w:val="CETCaption"/>
        <w:spacing w:after="120"/>
      </w:pPr>
      <w:proofErr w:type="gramStart"/>
      <w:r>
        <w:t>Figure 1</w:t>
      </w:r>
      <w:r w:rsidRPr="005774C0">
        <w:t>.</w:t>
      </w:r>
      <w:proofErr w:type="gramEnd"/>
      <w:r w:rsidRPr="005774C0">
        <w:t xml:space="preserve"> </w:t>
      </w:r>
      <w:r>
        <w:t>Enca</w:t>
      </w:r>
      <w:r w:rsidRPr="00DF6FD8">
        <w:t>psulation efficiency</w:t>
      </w:r>
      <w:r w:rsidR="00103895">
        <w:t xml:space="preserve"> (EE, %)</w:t>
      </w:r>
      <w:r w:rsidRPr="00DF6FD8">
        <w:t xml:space="preserve"> of </w:t>
      </w:r>
      <w:r>
        <w:t xml:space="preserve">(a) LDPE </w:t>
      </w:r>
      <w:r w:rsidRPr="00DF6FD8">
        <w:t>polymers</w:t>
      </w:r>
      <w:r>
        <w:t xml:space="preserve"> with </w:t>
      </w:r>
      <w:r w:rsidR="00837AF1" w:rsidRPr="00E10D8C">
        <w:rPr>
          <w:color w:val="FF0000"/>
        </w:rPr>
        <w:t>OEO</w:t>
      </w:r>
      <w:r w:rsidRPr="00E10D8C">
        <w:rPr>
          <w:color w:val="FF0000"/>
        </w:rPr>
        <w:t xml:space="preserve"> </w:t>
      </w:r>
      <w:r>
        <w:t>stored at 20</w:t>
      </w:r>
      <w:r w:rsidRPr="00842135">
        <w:rPr>
          <w:vertAlign w:val="superscript"/>
        </w:rPr>
        <w:t xml:space="preserve"> </w:t>
      </w:r>
      <w:r w:rsidR="00006014">
        <w:rPr>
          <w:vertAlign w:val="superscript"/>
        </w:rPr>
        <w:t xml:space="preserve"> </w:t>
      </w:r>
      <w:proofErr w:type="spellStart"/>
      <w:r w:rsidRPr="00220297">
        <w:rPr>
          <w:color w:val="FF0000"/>
          <w:vertAlign w:val="superscript"/>
        </w:rPr>
        <w:t>ο</w:t>
      </w:r>
      <w:r w:rsidRPr="00220297">
        <w:rPr>
          <w:color w:val="FF0000"/>
        </w:rPr>
        <w:t>C</w:t>
      </w:r>
      <w:proofErr w:type="spellEnd"/>
      <w:r>
        <w:t xml:space="preserve"> and darkness, (b)</w:t>
      </w:r>
      <w:r w:rsidRPr="00842135">
        <w:t xml:space="preserve"> </w:t>
      </w:r>
      <w:r>
        <w:t xml:space="preserve">LDPE </w:t>
      </w:r>
      <w:r w:rsidRPr="00DF6FD8">
        <w:t>polymers</w:t>
      </w:r>
      <w:r>
        <w:t xml:space="preserve"> with </w:t>
      </w:r>
      <w:r w:rsidR="00837AF1" w:rsidRPr="00E10D8C">
        <w:rPr>
          <w:color w:val="FF0000"/>
        </w:rPr>
        <w:t>OEO</w:t>
      </w:r>
      <w:r>
        <w:t xml:space="preserve"> stored at </w:t>
      </w:r>
      <w:r w:rsidRPr="00DF6FD8">
        <w:t>45</w:t>
      </w:r>
      <w:r w:rsidR="00006014">
        <w:t xml:space="preserve"> </w:t>
      </w:r>
      <w:proofErr w:type="spellStart"/>
      <w:r w:rsidRPr="00220297">
        <w:rPr>
          <w:color w:val="FF0000"/>
          <w:vertAlign w:val="superscript"/>
        </w:rPr>
        <w:t>ο</w:t>
      </w:r>
      <w:r w:rsidRPr="00220297">
        <w:rPr>
          <w:color w:val="FF0000"/>
        </w:rPr>
        <w:t>C</w:t>
      </w:r>
      <w:proofErr w:type="spellEnd"/>
      <w:r>
        <w:t xml:space="preserve"> and </w:t>
      </w:r>
      <w:r w:rsidRPr="00DF6FD8">
        <w:t>light</w:t>
      </w:r>
      <w:r>
        <w:t xml:space="preserve">, (c) LDPE </w:t>
      </w:r>
      <w:r w:rsidRPr="00DF6FD8">
        <w:t>polymers</w:t>
      </w:r>
      <w:r>
        <w:t xml:space="preserve"> with </w:t>
      </w:r>
      <w:proofErr w:type="spellStart"/>
      <w:r>
        <w:t>flavomix</w:t>
      </w:r>
      <w:proofErr w:type="spellEnd"/>
      <w:r w:rsidRPr="00842135">
        <w:t xml:space="preserve"> </w:t>
      </w:r>
      <w:r>
        <w:t>stored at 20</w:t>
      </w:r>
      <w:r w:rsidRPr="00842135">
        <w:rPr>
          <w:vertAlign w:val="superscript"/>
        </w:rPr>
        <w:t xml:space="preserve"> </w:t>
      </w:r>
      <w:r w:rsidR="00006014">
        <w:rPr>
          <w:vertAlign w:val="superscript"/>
        </w:rPr>
        <w:t xml:space="preserve"> </w:t>
      </w:r>
      <w:proofErr w:type="spellStart"/>
      <w:r w:rsidRPr="00220297">
        <w:rPr>
          <w:color w:val="FF0000"/>
          <w:vertAlign w:val="superscript"/>
        </w:rPr>
        <w:t>ο</w:t>
      </w:r>
      <w:r w:rsidRPr="00220297">
        <w:rPr>
          <w:color w:val="FF0000"/>
        </w:rPr>
        <w:t>C</w:t>
      </w:r>
      <w:proofErr w:type="spellEnd"/>
      <w:r>
        <w:t xml:space="preserve"> and darkness,(d) LDPE </w:t>
      </w:r>
      <w:r w:rsidRPr="00DF6FD8">
        <w:t>polymers</w:t>
      </w:r>
      <w:r>
        <w:t xml:space="preserve"> with </w:t>
      </w:r>
      <w:proofErr w:type="spellStart"/>
      <w:r>
        <w:t>flavomix</w:t>
      </w:r>
      <w:proofErr w:type="spellEnd"/>
      <w:r w:rsidRPr="00842135">
        <w:t xml:space="preserve"> </w:t>
      </w:r>
      <w:r>
        <w:t>stored at</w:t>
      </w:r>
      <w:r w:rsidRPr="00842135">
        <w:t xml:space="preserve"> </w:t>
      </w:r>
      <w:r w:rsidRPr="00DF6FD8">
        <w:t>45</w:t>
      </w:r>
      <w:r w:rsidR="00006014">
        <w:t xml:space="preserve"> </w:t>
      </w:r>
      <w:proofErr w:type="spellStart"/>
      <w:r w:rsidRPr="00220297">
        <w:rPr>
          <w:color w:val="FF0000"/>
          <w:vertAlign w:val="superscript"/>
        </w:rPr>
        <w:t>ο</w:t>
      </w:r>
      <w:r w:rsidRPr="00220297">
        <w:rPr>
          <w:color w:val="FF0000"/>
        </w:rPr>
        <w:t>C</w:t>
      </w:r>
      <w:proofErr w:type="spellEnd"/>
      <w:r>
        <w:t xml:space="preserve"> and </w:t>
      </w:r>
      <w:r w:rsidRPr="00DF6FD8">
        <w:t>light</w:t>
      </w:r>
      <w:r>
        <w:t xml:space="preserve">, during </w:t>
      </w:r>
      <w:r w:rsidRPr="00DF6FD8">
        <w:t>2, 5, 10, 20, 30 and 6</w:t>
      </w:r>
      <w:r>
        <w:t>0 days</w:t>
      </w:r>
      <w:r w:rsidRPr="00DF6FD8">
        <w:t>.</w:t>
      </w:r>
    </w:p>
    <w:p w14:paraId="21F9181C" w14:textId="59C46EFF" w:rsidR="00467508" w:rsidRDefault="00467508" w:rsidP="00C65F83">
      <w:pPr>
        <w:pStyle w:val="CETBodytext"/>
        <w:rPr>
          <w:lang w:val="en-GB"/>
        </w:rPr>
      </w:pPr>
      <w:r>
        <w:rPr>
          <w:lang w:val="en-GB"/>
        </w:rPr>
        <w:t>T</w:t>
      </w:r>
      <w:r w:rsidR="00C65F83" w:rsidRPr="00842135">
        <w:rPr>
          <w:lang w:val="en-GB"/>
        </w:rPr>
        <w:t xml:space="preserve">he </w:t>
      </w:r>
      <w:r w:rsidR="00F93843">
        <w:rPr>
          <w:lang w:val="en-GB"/>
        </w:rPr>
        <w:t xml:space="preserve">rise </w:t>
      </w:r>
      <w:r w:rsidR="00C65F83" w:rsidRPr="00842135">
        <w:rPr>
          <w:lang w:val="en-GB"/>
        </w:rPr>
        <w:t xml:space="preserve">of </w:t>
      </w:r>
      <w:r>
        <w:rPr>
          <w:lang w:val="en-GB"/>
        </w:rPr>
        <w:t xml:space="preserve">relative </w:t>
      </w:r>
      <w:r w:rsidR="00C65F83" w:rsidRPr="00842135">
        <w:rPr>
          <w:lang w:val="en-GB"/>
        </w:rPr>
        <w:t xml:space="preserve">humidity and temperature-radiation in the storage environment, </w:t>
      </w:r>
      <w:r w:rsidR="00842135" w:rsidRPr="00842135">
        <w:rPr>
          <w:lang w:val="en-GB"/>
        </w:rPr>
        <w:t xml:space="preserve">leads to a decrease in </w:t>
      </w:r>
      <w:r w:rsidR="008E0FC4">
        <w:rPr>
          <w:lang w:val="en-GB"/>
        </w:rPr>
        <w:t xml:space="preserve">EE </w:t>
      </w:r>
      <w:r w:rsidR="00C65F83" w:rsidRPr="00842135">
        <w:rPr>
          <w:lang w:val="en-GB"/>
        </w:rPr>
        <w:t xml:space="preserve">of </w:t>
      </w:r>
      <w:r w:rsidR="00842135" w:rsidRPr="00842135">
        <w:rPr>
          <w:lang w:val="en-GB"/>
        </w:rPr>
        <w:t xml:space="preserve">both </w:t>
      </w:r>
      <w:r w:rsidR="00C65F83" w:rsidRPr="00842135">
        <w:rPr>
          <w:lang w:val="en-GB"/>
        </w:rPr>
        <w:t>antimicrobial</w:t>
      </w:r>
      <w:r w:rsidR="00D83494" w:rsidRPr="00842135">
        <w:rPr>
          <w:lang w:val="en-GB"/>
        </w:rPr>
        <w:t>s</w:t>
      </w:r>
      <w:r w:rsidR="00C65F83" w:rsidRPr="00842135">
        <w:rPr>
          <w:lang w:val="en-GB"/>
        </w:rPr>
        <w:t xml:space="preserve"> from the polymeric </w:t>
      </w:r>
      <w:r w:rsidR="00842135" w:rsidRPr="00842135">
        <w:rPr>
          <w:lang w:val="en-GB"/>
        </w:rPr>
        <w:t xml:space="preserve">matrix. </w:t>
      </w:r>
      <w:r w:rsidRPr="00842135">
        <w:rPr>
          <w:lang w:val="en-GB"/>
        </w:rPr>
        <w:t xml:space="preserve">Temperature </w:t>
      </w:r>
      <w:r w:rsidR="004B5C9F">
        <w:rPr>
          <w:lang w:val="en-GB"/>
        </w:rPr>
        <w:t>and light play</w:t>
      </w:r>
      <w:r w:rsidRPr="00842135">
        <w:rPr>
          <w:lang w:val="en-GB"/>
        </w:rPr>
        <w:t xml:space="preserve"> a very important role in the release of </w:t>
      </w:r>
      <w:r>
        <w:rPr>
          <w:lang w:val="en-GB"/>
        </w:rPr>
        <w:t>the antimicrobials</w:t>
      </w:r>
      <w:r w:rsidR="003E491B">
        <w:rPr>
          <w:lang w:val="en-GB"/>
        </w:rPr>
        <w:t>, with polymers at 45</w:t>
      </w:r>
      <w:r w:rsidR="00006014">
        <w:rPr>
          <w:lang w:val="en-GB"/>
        </w:rPr>
        <w:t xml:space="preserve"> </w:t>
      </w:r>
      <w:proofErr w:type="spellStart"/>
      <w:r w:rsidR="003E491B" w:rsidRPr="00220297">
        <w:rPr>
          <w:color w:val="FF0000"/>
          <w:vertAlign w:val="superscript"/>
          <w:lang w:val="en-GB"/>
        </w:rPr>
        <w:t>ο</w:t>
      </w:r>
      <w:r w:rsidR="003E491B" w:rsidRPr="00220297">
        <w:rPr>
          <w:color w:val="FF0000"/>
          <w:lang w:val="en-GB"/>
        </w:rPr>
        <w:t>C</w:t>
      </w:r>
      <w:proofErr w:type="spellEnd"/>
      <w:r w:rsidR="003E491B">
        <w:rPr>
          <w:lang w:val="en-GB"/>
        </w:rPr>
        <w:t xml:space="preserve"> having an average </w:t>
      </w:r>
      <w:r w:rsidR="004B5C9F">
        <w:rPr>
          <w:lang w:val="en-GB"/>
        </w:rPr>
        <w:t xml:space="preserve">EE </w:t>
      </w:r>
      <w:r w:rsidR="003E491B">
        <w:rPr>
          <w:lang w:val="en-GB"/>
        </w:rPr>
        <w:t xml:space="preserve">value of </w:t>
      </w:r>
      <w:r w:rsidR="004B5C9F">
        <w:rPr>
          <w:lang w:val="en-GB"/>
        </w:rPr>
        <w:t>28.0</w:t>
      </w:r>
      <w:r w:rsidR="00006014">
        <w:rPr>
          <w:lang w:val="en-GB"/>
        </w:rPr>
        <w:t xml:space="preserve"> </w:t>
      </w:r>
      <w:r w:rsidR="004B5C9F">
        <w:rPr>
          <w:lang w:val="en-GB"/>
        </w:rPr>
        <w:t>% on</w:t>
      </w:r>
      <w:r w:rsidR="003E491B">
        <w:rPr>
          <w:lang w:val="en-GB"/>
        </w:rPr>
        <w:t xml:space="preserve"> the 60</w:t>
      </w:r>
      <w:r w:rsidR="003E491B" w:rsidRPr="003E491B">
        <w:rPr>
          <w:vertAlign w:val="superscript"/>
          <w:lang w:val="en-GB"/>
        </w:rPr>
        <w:t>th</w:t>
      </w:r>
      <w:r w:rsidR="003E491B">
        <w:rPr>
          <w:lang w:val="en-GB"/>
        </w:rPr>
        <w:t xml:space="preserve"> day, whereas the respective value at 20</w:t>
      </w:r>
      <w:r w:rsidR="003E491B" w:rsidRPr="003E491B">
        <w:rPr>
          <w:vertAlign w:val="superscript"/>
          <w:lang w:val="en-GB"/>
        </w:rPr>
        <w:t xml:space="preserve"> </w:t>
      </w:r>
      <w:proofErr w:type="spellStart"/>
      <w:r w:rsidR="003E491B" w:rsidRPr="002B7E5C">
        <w:rPr>
          <w:color w:val="FF0000"/>
          <w:vertAlign w:val="superscript"/>
          <w:lang w:val="en-GB"/>
        </w:rPr>
        <w:t>ο</w:t>
      </w:r>
      <w:r w:rsidR="003E491B" w:rsidRPr="002B7E5C">
        <w:rPr>
          <w:color w:val="FF0000"/>
          <w:lang w:val="en-GB"/>
        </w:rPr>
        <w:t>C</w:t>
      </w:r>
      <w:proofErr w:type="spellEnd"/>
      <w:r w:rsidR="003E491B">
        <w:rPr>
          <w:lang w:val="en-GB"/>
        </w:rPr>
        <w:t xml:space="preserve"> is</w:t>
      </w:r>
      <w:r w:rsidR="004B5C9F">
        <w:rPr>
          <w:lang w:val="en-GB"/>
        </w:rPr>
        <w:t xml:space="preserve"> 40.8</w:t>
      </w:r>
      <w:r w:rsidR="00006014">
        <w:rPr>
          <w:lang w:val="en-GB"/>
        </w:rPr>
        <w:t xml:space="preserve"> </w:t>
      </w:r>
      <w:r w:rsidR="004B5C9F">
        <w:rPr>
          <w:lang w:val="en-GB"/>
        </w:rPr>
        <w:t>%</w:t>
      </w:r>
      <w:r w:rsidR="003E491B">
        <w:rPr>
          <w:lang w:val="en-GB"/>
        </w:rPr>
        <w:t xml:space="preserve"> </w:t>
      </w:r>
      <w:r w:rsidR="004B5C9F">
        <w:rPr>
          <w:lang w:val="en-GB"/>
        </w:rPr>
        <w:t>Humidity during storage is also a crucial factor and this is evident at 45</w:t>
      </w:r>
      <w:r w:rsidR="004B5C9F" w:rsidRPr="004B5C9F">
        <w:rPr>
          <w:vertAlign w:val="superscript"/>
          <w:lang w:val="en-GB"/>
        </w:rPr>
        <w:t xml:space="preserve"> </w:t>
      </w:r>
      <w:proofErr w:type="spellStart"/>
      <w:r w:rsidR="004B5C9F" w:rsidRPr="00026C3E">
        <w:rPr>
          <w:vertAlign w:val="superscript"/>
          <w:lang w:val="en-GB"/>
        </w:rPr>
        <w:t>ο</w:t>
      </w:r>
      <w:r w:rsidR="004B5C9F" w:rsidRPr="00220297">
        <w:rPr>
          <w:color w:val="FF0000"/>
          <w:lang w:val="en-GB"/>
        </w:rPr>
        <w:t>C</w:t>
      </w:r>
      <w:proofErr w:type="spellEnd"/>
      <w:r w:rsidR="004B5C9F">
        <w:rPr>
          <w:lang w:val="en-GB"/>
        </w:rPr>
        <w:t xml:space="preserve"> from the beginning of storage. In the case </w:t>
      </w:r>
      <w:r w:rsidR="004B5C9F" w:rsidRPr="00E10D8C">
        <w:rPr>
          <w:color w:val="FF0000"/>
          <w:lang w:val="en-GB"/>
        </w:rPr>
        <w:t xml:space="preserve">of OEO </w:t>
      </w:r>
      <w:r w:rsidR="004B5C9F">
        <w:rPr>
          <w:lang w:val="en-GB"/>
        </w:rPr>
        <w:t>polymer, the average differences between 35</w:t>
      </w:r>
      <w:r w:rsidR="00006014">
        <w:rPr>
          <w:lang w:val="en-GB"/>
        </w:rPr>
        <w:t xml:space="preserve"> </w:t>
      </w:r>
      <w:r w:rsidR="004B5C9F" w:rsidRPr="00220297">
        <w:rPr>
          <w:color w:val="FF0000"/>
          <w:lang w:val="en-GB"/>
        </w:rPr>
        <w:t>%</w:t>
      </w:r>
      <w:r w:rsidR="004B5C9F">
        <w:rPr>
          <w:lang w:val="en-GB"/>
        </w:rPr>
        <w:t xml:space="preserve"> and 70</w:t>
      </w:r>
      <w:r w:rsidR="00006014">
        <w:rPr>
          <w:lang w:val="en-GB"/>
        </w:rPr>
        <w:t xml:space="preserve"> </w:t>
      </w:r>
      <w:r w:rsidR="004B5C9F">
        <w:rPr>
          <w:lang w:val="en-GB"/>
        </w:rPr>
        <w:t>% and 35</w:t>
      </w:r>
      <w:r w:rsidR="00006014">
        <w:rPr>
          <w:lang w:val="en-GB"/>
        </w:rPr>
        <w:t xml:space="preserve"> </w:t>
      </w:r>
      <w:r w:rsidR="004B5C9F" w:rsidRPr="00220297">
        <w:rPr>
          <w:color w:val="FF0000"/>
          <w:lang w:val="en-GB"/>
        </w:rPr>
        <w:t>%</w:t>
      </w:r>
      <w:r w:rsidR="004B5C9F">
        <w:rPr>
          <w:lang w:val="en-GB"/>
        </w:rPr>
        <w:t xml:space="preserve"> and 98</w:t>
      </w:r>
      <w:r w:rsidR="00006014">
        <w:rPr>
          <w:lang w:val="en-GB"/>
        </w:rPr>
        <w:t xml:space="preserve"> </w:t>
      </w:r>
      <w:r w:rsidR="004B5C9F" w:rsidRPr="00220297">
        <w:rPr>
          <w:color w:val="FF0000"/>
          <w:lang w:val="en-GB"/>
        </w:rPr>
        <w:t>%</w:t>
      </w:r>
      <w:r w:rsidR="004B5C9F">
        <w:rPr>
          <w:lang w:val="en-GB"/>
        </w:rPr>
        <w:t xml:space="preserve"> RH are 20</w:t>
      </w:r>
      <w:r w:rsidR="00006014">
        <w:rPr>
          <w:lang w:val="en-GB"/>
        </w:rPr>
        <w:t xml:space="preserve"> </w:t>
      </w:r>
      <w:r w:rsidR="004B5C9F" w:rsidRPr="00220297">
        <w:rPr>
          <w:color w:val="FF0000"/>
          <w:lang w:val="en-GB"/>
        </w:rPr>
        <w:t>%</w:t>
      </w:r>
      <w:r w:rsidR="004B5C9F">
        <w:rPr>
          <w:lang w:val="en-GB"/>
        </w:rPr>
        <w:t xml:space="preserve"> and 23.8</w:t>
      </w:r>
      <w:r w:rsidR="00006014">
        <w:rPr>
          <w:lang w:val="en-GB"/>
        </w:rPr>
        <w:t xml:space="preserve"> </w:t>
      </w:r>
      <w:r w:rsidR="004B5C9F" w:rsidRPr="00220297">
        <w:rPr>
          <w:color w:val="FF0000"/>
          <w:lang w:val="en-GB"/>
        </w:rPr>
        <w:t>%</w:t>
      </w:r>
      <w:r w:rsidR="004B5C9F">
        <w:rPr>
          <w:lang w:val="en-GB"/>
        </w:rPr>
        <w:t>, respectively</w:t>
      </w:r>
      <w:r w:rsidR="00FD0B8F">
        <w:rPr>
          <w:lang w:val="en-GB"/>
        </w:rPr>
        <w:t xml:space="preserve">. </w:t>
      </w:r>
      <w:r w:rsidR="003E491B">
        <w:rPr>
          <w:lang w:val="en-GB"/>
        </w:rPr>
        <w:t>C</w:t>
      </w:r>
      <w:r w:rsidR="00F93843">
        <w:rPr>
          <w:lang w:val="en-GB"/>
        </w:rPr>
        <w:t xml:space="preserve">omparing </w:t>
      </w:r>
      <w:r w:rsidR="00C65F83" w:rsidRPr="00842135">
        <w:rPr>
          <w:lang w:val="en-GB"/>
        </w:rPr>
        <w:t xml:space="preserve">the </w:t>
      </w:r>
      <w:r w:rsidR="00F93843" w:rsidRPr="00842135">
        <w:rPr>
          <w:lang w:val="en-GB"/>
        </w:rPr>
        <w:t>behaviour</w:t>
      </w:r>
      <w:r w:rsidR="00C65F83" w:rsidRPr="00842135">
        <w:rPr>
          <w:lang w:val="en-GB"/>
        </w:rPr>
        <w:t xml:space="preserve"> of the two antimicrobial agents, </w:t>
      </w:r>
      <w:r w:rsidRPr="00E10D8C">
        <w:rPr>
          <w:color w:val="FF0000"/>
          <w:lang w:val="en-GB"/>
        </w:rPr>
        <w:t>OEO</w:t>
      </w:r>
      <w:r>
        <w:rPr>
          <w:lang w:val="en-GB"/>
        </w:rPr>
        <w:t xml:space="preserve"> polymer </w:t>
      </w:r>
      <w:r w:rsidR="00F93843">
        <w:rPr>
          <w:lang w:val="en-GB"/>
        </w:rPr>
        <w:t>demonstrates higher and faster release rate in the first days of storage</w:t>
      </w:r>
      <w:r w:rsidR="003E491B">
        <w:rPr>
          <w:lang w:val="en-GB"/>
        </w:rPr>
        <w:t xml:space="preserve">, especially at high </w:t>
      </w:r>
      <w:proofErr w:type="spellStart"/>
      <w:r w:rsidR="003E491B">
        <w:rPr>
          <w:lang w:val="en-GB"/>
        </w:rPr>
        <w:t>humidities</w:t>
      </w:r>
      <w:proofErr w:type="spellEnd"/>
      <w:r w:rsidR="00F93843" w:rsidRPr="00842135">
        <w:rPr>
          <w:lang w:val="en-GB"/>
        </w:rPr>
        <w:t xml:space="preserve"> and temperature, while in the following days</w:t>
      </w:r>
      <w:r w:rsidR="003E491B">
        <w:rPr>
          <w:lang w:val="en-GB"/>
        </w:rPr>
        <w:t>, the rate is decreased reaching</w:t>
      </w:r>
      <w:r w:rsidR="00F93843">
        <w:rPr>
          <w:lang w:val="en-GB"/>
        </w:rPr>
        <w:t xml:space="preserve"> a</w:t>
      </w:r>
      <w:r w:rsidR="003E491B">
        <w:rPr>
          <w:lang w:val="en-GB"/>
        </w:rPr>
        <w:t>lmost a</w:t>
      </w:r>
      <w:r w:rsidR="00F93843">
        <w:rPr>
          <w:lang w:val="en-GB"/>
        </w:rPr>
        <w:t xml:space="preserve"> </w:t>
      </w:r>
      <w:r w:rsidR="003E491B">
        <w:rPr>
          <w:lang w:val="en-GB"/>
        </w:rPr>
        <w:t>steady</w:t>
      </w:r>
      <w:r w:rsidR="00F93843">
        <w:rPr>
          <w:lang w:val="en-GB"/>
        </w:rPr>
        <w:t xml:space="preserve"> state</w:t>
      </w:r>
      <w:r w:rsidR="003E491B">
        <w:rPr>
          <w:lang w:val="en-GB"/>
        </w:rPr>
        <w:t xml:space="preserve">. </w:t>
      </w:r>
      <w:r w:rsidR="00C65F83" w:rsidRPr="00842135">
        <w:rPr>
          <w:lang w:val="en-GB"/>
        </w:rPr>
        <w:t xml:space="preserve">This may be </w:t>
      </w:r>
      <w:r w:rsidR="003E491B">
        <w:rPr>
          <w:lang w:val="en-GB"/>
        </w:rPr>
        <w:t xml:space="preserve">attributed </w:t>
      </w:r>
      <w:r w:rsidR="00C65F83" w:rsidRPr="00842135">
        <w:rPr>
          <w:lang w:val="en-GB"/>
        </w:rPr>
        <w:t xml:space="preserve">to the </w:t>
      </w:r>
      <w:r w:rsidR="00F93843">
        <w:rPr>
          <w:lang w:val="en-GB"/>
        </w:rPr>
        <w:t xml:space="preserve">liquid </w:t>
      </w:r>
      <w:r w:rsidR="003E491B">
        <w:rPr>
          <w:lang w:val="en-GB"/>
        </w:rPr>
        <w:t xml:space="preserve">form </w:t>
      </w:r>
      <w:r w:rsidR="00C65F83" w:rsidRPr="00842135">
        <w:rPr>
          <w:lang w:val="en-GB"/>
        </w:rPr>
        <w:t>of</w:t>
      </w:r>
      <w:r w:rsidR="003E491B">
        <w:rPr>
          <w:lang w:val="en-GB"/>
        </w:rPr>
        <w:t xml:space="preserve"> </w:t>
      </w:r>
      <w:r w:rsidR="003E491B" w:rsidRPr="00E10D8C">
        <w:rPr>
          <w:color w:val="FF0000"/>
          <w:lang w:val="en-GB"/>
        </w:rPr>
        <w:t>OEO</w:t>
      </w:r>
      <w:r w:rsidR="00C65F83" w:rsidRPr="00E10D8C">
        <w:rPr>
          <w:color w:val="FF0000"/>
          <w:lang w:val="en-GB"/>
        </w:rPr>
        <w:t>,</w:t>
      </w:r>
      <w:r w:rsidR="00C65F83" w:rsidRPr="00842135">
        <w:rPr>
          <w:lang w:val="en-GB"/>
        </w:rPr>
        <w:t xml:space="preserve"> which in the first days is greatly affected by high temperatures and humidity and i</w:t>
      </w:r>
      <w:r w:rsidR="004B5C9F">
        <w:rPr>
          <w:lang w:val="en-GB"/>
        </w:rPr>
        <w:t xml:space="preserve">s released in large quantities. </w:t>
      </w:r>
      <w:r w:rsidR="00C65F83" w:rsidRPr="00842135">
        <w:rPr>
          <w:lang w:val="en-GB"/>
        </w:rPr>
        <w:t xml:space="preserve">On the contrary, in the case </w:t>
      </w:r>
      <w:r w:rsidR="003E491B">
        <w:rPr>
          <w:lang w:val="en-GB"/>
        </w:rPr>
        <w:t xml:space="preserve">of </w:t>
      </w:r>
      <w:proofErr w:type="spellStart"/>
      <w:r w:rsidR="003E491B">
        <w:rPr>
          <w:lang w:val="en-GB"/>
        </w:rPr>
        <w:t>f</w:t>
      </w:r>
      <w:r w:rsidR="00C65F83" w:rsidRPr="00842135">
        <w:rPr>
          <w:lang w:val="en-GB"/>
        </w:rPr>
        <w:t>lavomix</w:t>
      </w:r>
      <w:proofErr w:type="spellEnd"/>
      <w:r w:rsidR="003E491B">
        <w:rPr>
          <w:lang w:val="en-GB"/>
        </w:rPr>
        <w:t xml:space="preserve"> polymer</w:t>
      </w:r>
      <w:r w:rsidR="00C65F83" w:rsidRPr="00842135">
        <w:rPr>
          <w:lang w:val="en-GB"/>
        </w:rPr>
        <w:t xml:space="preserve">, the release is continuous </w:t>
      </w:r>
      <w:r w:rsidR="003E491B">
        <w:rPr>
          <w:lang w:val="en-GB"/>
        </w:rPr>
        <w:t xml:space="preserve">during the 60 examined days. </w:t>
      </w:r>
    </w:p>
    <w:p w14:paraId="68D26B83" w14:textId="77777777" w:rsidR="00600535" w:rsidRDefault="00600535" w:rsidP="00600535">
      <w:pPr>
        <w:pStyle w:val="CETHeading1"/>
        <w:rPr>
          <w:lang w:val="en-GB"/>
        </w:rPr>
      </w:pPr>
      <w:r w:rsidRPr="00B57B36">
        <w:rPr>
          <w:lang w:val="en-GB"/>
        </w:rPr>
        <w:t>Conclusions</w:t>
      </w:r>
    </w:p>
    <w:p w14:paraId="15594D6B" w14:textId="178C71F4" w:rsidR="00026C3E" w:rsidRPr="008015CF" w:rsidRDefault="0086697C" w:rsidP="00317B3A">
      <w:pPr>
        <w:pStyle w:val="CETBodytext"/>
      </w:pPr>
      <w:r w:rsidRPr="008015CF">
        <w:t xml:space="preserve">In conclusion, </w:t>
      </w:r>
      <w:r w:rsidR="00F828CF" w:rsidRPr="00E10D8C">
        <w:rPr>
          <w:color w:val="FF0000"/>
          <w:lang w:val="en-GB"/>
        </w:rPr>
        <w:t>LDPE</w:t>
      </w:r>
      <w:r w:rsidR="00F828CF" w:rsidRPr="008015CF">
        <w:rPr>
          <w:lang w:val="en-GB"/>
        </w:rPr>
        <w:t xml:space="preserve"> films with encapsulated antimicrobial substances from </w:t>
      </w:r>
      <w:r w:rsidR="00837AF1">
        <w:rPr>
          <w:lang w:val="en-GB"/>
        </w:rPr>
        <w:t>OEO</w:t>
      </w:r>
      <w:r w:rsidR="00F828CF" w:rsidRPr="008015CF">
        <w:rPr>
          <w:lang w:val="en-GB"/>
        </w:rPr>
        <w:t xml:space="preserve"> and </w:t>
      </w:r>
      <w:proofErr w:type="spellStart"/>
      <w:r w:rsidR="00F828CF" w:rsidRPr="008015CF">
        <w:rPr>
          <w:lang w:val="en-GB"/>
        </w:rPr>
        <w:t>flavomix</w:t>
      </w:r>
      <w:proofErr w:type="spellEnd"/>
      <w:r w:rsidR="0070145E" w:rsidRPr="008015CF">
        <w:rPr>
          <w:lang w:val="en-GB"/>
        </w:rPr>
        <w:t xml:space="preserve"> through extrusion under various conditions were developed. T</w:t>
      </w:r>
      <w:r w:rsidR="00F828CF" w:rsidRPr="008015CF">
        <w:rPr>
          <w:lang w:val="en-GB"/>
        </w:rPr>
        <w:t xml:space="preserve">he ideal production conditions for both antimicrobials were at </w:t>
      </w:r>
      <w:r w:rsidR="0070145E" w:rsidRPr="008015CF">
        <w:rPr>
          <w:lang w:val="en-GB"/>
        </w:rPr>
        <w:t>addition of 20</w:t>
      </w:r>
      <w:r w:rsidR="00006014">
        <w:rPr>
          <w:lang w:val="en-GB"/>
        </w:rPr>
        <w:t xml:space="preserve"> </w:t>
      </w:r>
      <w:r w:rsidR="0070145E" w:rsidRPr="008015CF">
        <w:rPr>
          <w:lang w:val="en-GB"/>
        </w:rPr>
        <w:t xml:space="preserve">% antimicrobial agent, </w:t>
      </w:r>
      <w:r w:rsidR="00F828CF" w:rsidRPr="008015CF">
        <w:rPr>
          <w:lang w:val="en-GB"/>
        </w:rPr>
        <w:t xml:space="preserve">screw speed of 50 rpm and extrusion temperature of 180 </w:t>
      </w:r>
      <w:proofErr w:type="spellStart"/>
      <w:r w:rsidR="00F828CF" w:rsidRPr="008015CF">
        <w:rPr>
          <w:vertAlign w:val="superscript"/>
          <w:lang w:val="en-GB"/>
        </w:rPr>
        <w:t>o</w:t>
      </w:r>
      <w:r w:rsidR="00F828CF" w:rsidRPr="008015CF">
        <w:rPr>
          <w:lang w:val="en-GB"/>
        </w:rPr>
        <w:t>C</w:t>
      </w:r>
      <w:r w:rsidR="0070145E" w:rsidRPr="008015CF">
        <w:rPr>
          <w:lang w:val="en-GB"/>
        </w:rPr>
        <w:t>.</w:t>
      </w:r>
      <w:proofErr w:type="spellEnd"/>
      <w:r w:rsidR="0070145E" w:rsidRPr="008015CF">
        <w:rPr>
          <w:lang w:val="en-GB"/>
        </w:rPr>
        <w:t xml:space="preserve"> T</w:t>
      </w:r>
      <w:r w:rsidRPr="008015CF">
        <w:t xml:space="preserve">he </w:t>
      </w:r>
      <w:r w:rsidRPr="008015CF">
        <w:lastRenderedPageBreak/>
        <w:t>studied storage conditions heavily affect</w:t>
      </w:r>
      <w:r w:rsidR="0070145E" w:rsidRPr="008015CF">
        <w:t>ed</w:t>
      </w:r>
      <w:r w:rsidRPr="008015CF">
        <w:t xml:space="preserve"> the release rate of the</w:t>
      </w:r>
      <w:r w:rsidR="0070145E" w:rsidRPr="008015CF">
        <w:t xml:space="preserve"> antimicrobials agents</w:t>
      </w:r>
      <w:r w:rsidRPr="008015CF">
        <w:t xml:space="preserve"> from the polymeric matrix during time, with extreme RH and temperature achieving their faster release. Finally, the produced films have the potential to be applied in medical waste and the gradual release of the antimicrobial agents will ensure the reduction of contained microbes.  </w:t>
      </w:r>
    </w:p>
    <w:p w14:paraId="459D05E6" w14:textId="77777777" w:rsidR="00600535" w:rsidRPr="00B57B36" w:rsidRDefault="00600535" w:rsidP="00600535">
      <w:pPr>
        <w:pStyle w:val="CETAcknowledgementstitle"/>
      </w:pPr>
      <w:r w:rsidRPr="008015CF">
        <w:t>Acknowledgments</w:t>
      </w:r>
    </w:p>
    <w:p w14:paraId="33F8138F" w14:textId="3F227A54" w:rsidR="00600535" w:rsidRPr="00B70254" w:rsidRDefault="0029316E" w:rsidP="00600535">
      <w:pPr>
        <w:pStyle w:val="CETBodytext"/>
        <w:rPr>
          <w:szCs w:val="18"/>
          <w:lang w:val="en-GB"/>
        </w:rPr>
      </w:pPr>
      <w:r w:rsidRPr="00B70254">
        <w:rPr>
          <w:szCs w:val="18"/>
          <w:lang w:val="en-GB"/>
        </w:rPr>
        <w:t xml:space="preserve">The work was co-financed by the European Regional Development Fund of the European Union and Greek national funds through the Operational Program Competitiveness, Entrepreneurship and Innovation, under the call RESEARCH– CREATE – INNOVATE (project code Τ2ΕDΚ-04762). </w:t>
      </w:r>
    </w:p>
    <w:p w14:paraId="0E9C9F9A" w14:textId="24B7238F" w:rsidR="006F17C6" w:rsidRPr="009A20BA" w:rsidRDefault="00600535" w:rsidP="009A20BA">
      <w:pPr>
        <w:pStyle w:val="CETReference"/>
      </w:pPr>
      <w:r w:rsidRPr="00B57B36">
        <w:t>References</w:t>
      </w:r>
    </w:p>
    <w:p w14:paraId="0F350337" w14:textId="2071A02B" w:rsidR="006F17C6" w:rsidRPr="002B7E5C" w:rsidRDefault="00894FD5" w:rsidP="006F17C6">
      <w:pPr>
        <w:widowControl w:val="0"/>
        <w:autoSpaceDE w:val="0"/>
        <w:autoSpaceDN w:val="0"/>
        <w:adjustRightInd w:val="0"/>
        <w:spacing w:line="240" w:lineRule="auto"/>
        <w:ind w:left="284" w:hanging="284"/>
        <w:rPr>
          <w:color w:val="FF0000"/>
          <w:sz w:val="16"/>
        </w:rPr>
      </w:pPr>
      <w:proofErr w:type="spellStart"/>
      <w:r w:rsidRPr="002B7E5C">
        <w:rPr>
          <w:color w:val="FF0000"/>
          <w:sz w:val="16"/>
        </w:rPr>
        <w:t>Aligiannis</w:t>
      </w:r>
      <w:proofErr w:type="spellEnd"/>
      <w:r w:rsidR="006F17C6" w:rsidRPr="002B7E5C">
        <w:rPr>
          <w:color w:val="FF0000"/>
          <w:sz w:val="16"/>
        </w:rPr>
        <w:t xml:space="preserve"> N., </w:t>
      </w:r>
      <w:proofErr w:type="spellStart"/>
      <w:r w:rsidR="006F17C6" w:rsidRPr="002B7E5C">
        <w:rPr>
          <w:color w:val="FF0000"/>
          <w:sz w:val="16"/>
        </w:rPr>
        <w:t>Kalpoutzakis</w:t>
      </w:r>
      <w:proofErr w:type="spellEnd"/>
      <w:r w:rsidR="006F17C6" w:rsidRPr="002B7E5C">
        <w:rPr>
          <w:color w:val="FF0000"/>
          <w:sz w:val="16"/>
        </w:rPr>
        <w:t xml:space="preserve"> E., </w:t>
      </w:r>
      <w:proofErr w:type="spellStart"/>
      <w:r w:rsidR="006F17C6" w:rsidRPr="002B7E5C">
        <w:rPr>
          <w:color w:val="FF0000"/>
          <w:sz w:val="16"/>
        </w:rPr>
        <w:t>Mitaku</w:t>
      </w:r>
      <w:proofErr w:type="spellEnd"/>
      <w:r w:rsidR="006F17C6" w:rsidRPr="002B7E5C">
        <w:rPr>
          <w:color w:val="FF0000"/>
          <w:sz w:val="16"/>
        </w:rPr>
        <w:t xml:space="preserve"> S. </w:t>
      </w:r>
      <w:proofErr w:type="spellStart"/>
      <w:r w:rsidR="006F17C6" w:rsidRPr="002B7E5C">
        <w:rPr>
          <w:color w:val="FF0000"/>
          <w:sz w:val="16"/>
        </w:rPr>
        <w:t>Chinou</w:t>
      </w:r>
      <w:proofErr w:type="spellEnd"/>
      <w:r w:rsidR="006F17C6" w:rsidRPr="002B7E5C">
        <w:rPr>
          <w:color w:val="FF0000"/>
          <w:sz w:val="16"/>
        </w:rPr>
        <w:t xml:space="preserve"> I.B., 2001, Composition and antimicrobial activity of the essential oils of two </w:t>
      </w:r>
      <w:proofErr w:type="spellStart"/>
      <w:r w:rsidR="006F17C6" w:rsidRPr="002B7E5C">
        <w:rPr>
          <w:color w:val="FF0000"/>
          <w:sz w:val="16"/>
        </w:rPr>
        <w:t>Origanum</w:t>
      </w:r>
      <w:proofErr w:type="spellEnd"/>
      <w:r w:rsidR="006F17C6" w:rsidRPr="002B7E5C">
        <w:rPr>
          <w:color w:val="FF0000"/>
          <w:sz w:val="16"/>
        </w:rPr>
        <w:t xml:space="preserve"> species, Journal of Agricultural and Food Chemistry, </w:t>
      </w:r>
      <w:r w:rsidR="0042264F" w:rsidRPr="002B7E5C">
        <w:rPr>
          <w:color w:val="FF0000"/>
          <w:sz w:val="16"/>
        </w:rPr>
        <w:t xml:space="preserve">49(9), </w:t>
      </w:r>
      <w:r w:rsidR="006F17C6" w:rsidRPr="002B7E5C">
        <w:rPr>
          <w:color w:val="FF0000"/>
          <w:sz w:val="16"/>
        </w:rPr>
        <w:t xml:space="preserve">4168-70. </w:t>
      </w:r>
    </w:p>
    <w:p w14:paraId="7FC90A07" w14:textId="0F09C645" w:rsidR="006F17C6" w:rsidRPr="002B7E5C" w:rsidRDefault="006F17C6" w:rsidP="006F17C6">
      <w:pPr>
        <w:widowControl w:val="0"/>
        <w:autoSpaceDE w:val="0"/>
        <w:autoSpaceDN w:val="0"/>
        <w:adjustRightInd w:val="0"/>
        <w:spacing w:line="240" w:lineRule="auto"/>
        <w:ind w:left="284" w:hanging="284"/>
        <w:rPr>
          <w:color w:val="FF0000"/>
          <w:sz w:val="16"/>
        </w:rPr>
      </w:pPr>
      <w:proofErr w:type="spellStart"/>
      <w:r w:rsidRPr="002B7E5C">
        <w:rPr>
          <w:color w:val="FF0000"/>
          <w:sz w:val="16"/>
        </w:rPr>
        <w:t>Bamid</w:t>
      </w:r>
      <w:r w:rsidR="00894FD5" w:rsidRPr="002B7E5C">
        <w:rPr>
          <w:color w:val="FF0000"/>
          <w:sz w:val="16"/>
        </w:rPr>
        <w:t>ele</w:t>
      </w:r>
      <w:proofErr w:type="spellEnd"/>
      <w:r w:rsidRPr="002B7E5C">
        <w:rPr>
          <w:color w:val="FF0000"/>
          <w:sz w:val="16"/>
        </w:rPr>
        <w:t xml:space="preserve"> O. P., </w:t>
      </w:r>
      <w:proofErr w:type="spellStart"/>
      <w:r w:rsidRPr="002B7E5C">
        <w:rPr>
          <w:color w:val="FF0000"/>
          <w:sz w:val="16"/>
        </w:rPr>
        <w:t>Emmambux</w:t>
      </w:r>
      <w:proofErr w:type="spellEnd"/>
      <w:r w:rsidRPr="002B7E5C">
        <w:rPr>
          <w:color w:val="FF0000"/>
          <w:sz w:val="16"/>
        </w:rPr>
        <w:t>, M. N., 2021, Encapsulation of bioactive compounds by “extrusion” technologies: a review, Critical Reviews in Food Science and Nutrition,</w:t>
      </w:r>
      <w:r w:rsidRPr="002B7E5C">
        <w:rPr>
          <w:color w:val="FF0000"/>
        </w:rPr>
        <w:t xml:space="preserve"> </w:t>
      </w:r>
      <w:r w:rsidR="0042264F" w:rsidRPr="002B7E5C">
        <w:rPr>
          <w:color w:val="FF0000"/>
          <w:sz w:val="16"/>
        </w:rPr>
        <w:t xml:space="preserve">61(18), </w:t>
      </w:r>
      <w:r w:rsidRPr="002B7E5C">
        <w:rPr>
          <w:color w:val="FF0000"/>
          <w:sz w:val="16"/>
        </w:rPr>
        <w:t>3100-3118.</w:t>
      </w:r>
    </w:p>
    <w:p w14:paraId="39FC4184" w14:textId="5096F761" w:rsidR="006F17C6" w:rsidRPr="002B7E5C" w:rsidRDefault="00894FD5" w:rsidP="006F17C6">
      <w:pPr>
        <w:widowControl w:val="0"/>
        <w:autoSpaceDE w:val="0"/>
        <w:autoSpaceDN w:val="0"/>
        <w:adjustRightInd w:val="0"/>
        <w:spacing w:line="240" w:lineRule="auto"/>
        <w:ind w:left="284" w:hanging="284"/>
        <w:rPr>
          <w:color w:val="FF0000"/>
          <w:sz w:val="16"/>
        </w:rPr>
      </w:pPr>
      <w:proofErr w:type="spellStart"/>
      <w:r w:rsidRPr="002B7E5C">
        <w:rPr>
          <w:color w:val="FF0000"/>
          <w:sz w:val="16"/>
        </w:rPr>
        <w:t>Geetha</w:t>
      </w:r>
      <w:proofErr w:type="spellEnd"/>
      <w:r w:rsidR="0042264F" w:rsidRPr="002B7E5C">
        <w:rPr>
          <w:color w:val="FF0000"/>
          <w:sz w:val="16"/>
        </w:rPr>
        <w:t xml:space="preserve"> S., </w:t>
      </w:r>
      <w:proofErr w:type="spellStart"/>
      <w:r w:rsidR="0042264F" w:rsidRPr="002B7E5C">
        <w:rPr>
          <w:color w:val="FF0000"/>
          <w:sz w:val="16"/>
        </w:rPr>
        <w:t>Narayanamoorthy</w:t>
      </w:r>
      <w:proofErr w:type="spellEnd"/>
      <w:r w:rsidR="0042264F" w:rsidRPr="002B7E5C">
        <w:rPr>
          <w:color w:val="FF0000"/>
          <w:sz w:val="16"/>
        </w:rPr>
        <w:t xml:space="preserve"> S., Kang D</w:t>
      </w:r>
      <w:r w:rsidR="006F17C6" w:rsidRPr="002B7E5C">
        <w:rPr>
          <w:color w:val="FF0000"/>
          <w:sz w:val="16"/>
        </w:rPr>
        <w:t>.</w:t>
      </w:r>
      <w:r w:rsidR="0042264F" w:rsidRPr="002B7E5C">
        <w:rPr>
          <w:color w:val="FF0000"/>
          <w:sz w:val="16"/>
        </w:rPr>
        <w:t xml:space="preserve">, </w:t>
      </w:r>
      <w:proofErr w:type="spellStart"/>
      <w:r w:rsidR="0042264F" w:rsidRPr="002B7E5C">
        <w:rPr>
          <w:color w:val="FF0000"/>
          <w:sz w:val="16"/>
        </w:rPr>
        <w:t>Kureethara</w:t>
      </w:r>
      <w:proofErr w:type="spellEnd"/>
      <w:r w:rsidR="006F17C6" w:rsidRPr="002B7E5C">
        <w:rPr>
          <w:color w:val="FF0000"/>
          <w:sz w:val="16"/>
        </w:rPr>
        <w:t xml:space="preserve"> </w:t>
      </w:r>
      <w:r w:rsidR="0042264F" w:rsidRPr="002B7E5C">
        <w:rPr>
          <w:color w:val="FF0000"/>
          <w:sz w:val="16"/>
        </w:rPr>
        <w:t xml:space="preserve">J. V., 2019, </w:t>
      </w:r>
      <w:r w:rsidR="006F17C6" w:rsidRPr="002B7E5C">
        <w:rPr>
          <w:color w:val="FF0000"/>
          <w:sz w:val="16"/>
        </w:rPr>
        <w:t>A Novel Assessment of Healthcare Waste Disposal Methods: Intuitionistic Hesitant Fuzzy MULTIMOORA Decisio</w:t>
      </w:r>
      <w:r w:rsidR="0042264F" w:rsidRPr="002B7E5C">
        <w:rPr>
          <w:color w:val="FF0000"/>
          <w:sz w:val="16"/>
        </w:rPr>
        <w:t>n Making Approach’, IEEE Access, 7, 130283-130299.</w:t>
      </w:r>
      <w:r w:rsidR="006F17C6" w:rsidRPr="002B7E5C">
        <w:rPr>
          <w:color w:val="FF0000"/>
          <w:sz w:val="16"/>
        </w:rPr>
        <w:t xml:space="preserve"> </w:t>
      </w:r>
    </w:p>
    <w:p w14:paraId="1C7DC1D0" w14:textId="23572BC0" w:rsidR="0042264F" w:rsidRPr="002B7E5C" w:rsidRDefault="00894FD5" w:rsidP="006F17C6">
      <w:pPr>
        <w:widowControl w:val="0"/>
        <w:autoSpaceDE w:val="0"/>
        <w:autoSpaceDN w:val="0"/>
        <w:adjustRightInd w:val="0"/>
        <w:spacing w:line="240" w:lineRule="auto"/>
        <w:ind w:left="284" w:hanging="284"/>
        <w:rPr>
          <w:color w:val="FF0000"/>
          <w:sz w:val="16"/>
        </w:rPr>
      </w:pPr>
      <w:proofErr w:type="spellStart"/>
      <w:proofErr w:type="gramStart"/>
      <w:r w:rsidRPr="002B7E5C">
        <w:rPr>
          <w:color w:val="FF0000"/>
          <w:sz w:val="16"/>
        </w:rPr>
        <w:t>Górniak</w:t>
      </w:r>
      <w:proofErr w:type="spellEnd"/>
      <w:r w:rsidR="0042264F" w:rsidRPr="002B7E5C">
        <w:rPr>
          <w:color w:val="FF0000"/>
          <w:sz w:val="16"/>
        </w:rPr>
        <w:t xml:space="preserve"> I., Bartoszewski, R., </w:t>
      </w:r>
      <w:proofErr w:type="spellStart"/>
      <w:r w:rsidR="0042264F" w:rsidRPr="002B7E5C">
        <w:rPr>
          <w:color w:val="FF0000"/>
          <w:sz w:val="16"/>
        </w:rPr>
        <w:t>Króliczewski</w:t>
      </w:r>
      <w:proofErr w:type="spellEnd"/>
      <w:r w:rsidR="0042264F" w:rsidRPr="002B7E5C">
        <w:rPr>
          <w:color w:val="FF0000"/>
          <w:sz w:val="16"/>
        </w:rPr>
        <w:t>, J., 2019, Comprehensive review of antimicrobial activities of plant flavonoids.</w:t>
      </w:r>
      <w:proofErr w:type="gramEnd"/>
      <w:r w:rsidR="0042264F" w:rsidRPr="002B7E5C">
        <w:rPr>
          <w:color w:val="FF0000"/>
          <w:sz w:val="16"/>
        </w:rPr>
        <w:t xml:space="preserve"> </w:t>
      </w:r>
      <w:proofErr w:type="spellStart"/>
      <w:r w:rsidR="0042264F" w:rsidRPr="002B7E5C">
        <w:rPr>
          <w:color w:val="FF0000"/>
          <w:sz w:val="16"/>
        </w:rPr>
        <w:t>Phytochemistry</w:t>
      </w:r>
      <w:proofErr w:type="spellEnd"/>
      <w:r w:rsidR="0042264F" w:rsidRPr="002B7E5C">
        <w:rPr>
          <w:color w:val="FF0000"/>
          <w:sz w:val="16"/>
        </w:rPr>
        <w:t xml:space="preserve"> Reviews, 18, 241–272.</w:t>
      </w:r>
    </w:p>
    <w:p w14:paraId="10735DDC" w14:textId="473BB000" w:rsidR="006F17C6" w:rsidRPr="002B7E5C" w:rsidRDefault="00894FD5" w:rsidP="006F17C6">
      <w:pPr>
        <w:widowControl w:val="0"/>
        <w:autoSpaceDE w:val="0"/>
        <w:autoSpaceDN w:val="0"/>
        <w:adjustRightInd w:val="0"/>
        <w:spacing w:line="240" w:lineRule="auto"/>
        <w:ind w:left="284" w:hanging="284"/>
        <w:rPr>
          <w:color w:val="FF0000"/>
          <w:sz w:val="16"/>
        </w:rPr>
      </w:pPr>
      <w:proofErr w:type="spellStart"/>
      <w:r w:rsidRPr="002B7E5C">
        <w:rPr>
          <w:color w:val="FF0000"/>
          <w:sz w:val="16"/>
        </w:rPr>
        <w:t>Hinduja</w:t>
      </w:r>
      <w:proofErr w:type="spellEnd"/>
      <w:r w:rsidR="0042264F" w:rsidRPr="002B7E5C">
        <w:rPr>
          <w:color w:val="FF0000"/>
          <w:sz w:val="16"/>
        </w:rPr>
        <w:t xml:space="preserve"> A., Pandey, M., 2018, </w:t>
      </w:r>
      <w:r w:rsidR="006F17C6" w:rsidRPr="002B7E5C">
        <w:rPr>
          <w:color w:val="FF0000"/>
          <w:sz w:val="16"/>
        </w:rPr>
        <w:t>Assessment of healthcare waste treatment alternatives using an integr</w:t>
      </w:r>
      <w:r w:rsidR="0042264F" w:rsidRPr="002B7E5C">
        <w:rPr>
          <w:color w:val="FF0000"/>
          <w:sz w:val="16"/>
        </w:rPr>
        <w:t>ated decision support framework</w:t>
      </w:r>
      <w:r w:rsidR="006F17C6" w:rsidRPr="002B7E5C">
        <w:rPr>
          <w:color w:val="FF0000"/>
          <w:sz w:val="16"/>
        </w:rPr>
        <w:t>, International Journal of Com</w:t>
      </w:r>
      <w:r w:rsidR="0042264F" w:rsidRPr="002B7E5C">
        <w:rPr>
          <w:color w:val="FF0000"/>
          <w:sz w:val="16"/>
        </w:rPr>
        <w:t>putational Intelligence Systems,</w:t>
      </w:r>
      <w:r w:rsidR="006F17C6" w:rsidRPr="002B7E5C">
        <w:rPr>
          <w:color w:val="FF0000"/>
          <w:sz w:val="16"/>
        </w:rPr>
        <w:t xml:space="preserve"> </w:t>
      </w:r>
      <w:r w:rsidR="0042264F" w:rsidRPr="002B7E5C">
        <w:rPr>
          <w:color w:val="FF0000"/>
          <w:sz w:val="16"/>
        </w:rPr>
        <w:t>12(1), 318-333.</w:t>
      </w:r>
    </w:p>
    <w:p w14:paraId="34E4828F" w14:textId="0C8BF942" w:rsidR="006F17C6" w:rsidRPr="002B7E5C" w:rsidRDefault="00894FD5" w:rsidP="006F17C6">
      <w:pPr>
        <w:widowControl w:val="0"/>
        <w:autoSpaceDE w:val="0"/>
        <w:autoSpaceDN w:val="0"/>
        <w:adjustRightInd w:val="0"/>
        <w:spacing w:line="240" w:lineRule="auto"/>
        <w:ind w:left="284" w:hanging="284"/>
        <w:rPr>
          <w:color w:val="FF0000"/>
          <w:sz w:val="16"/>
        </w:rPr>
      </w:pPr>
      <w:proofErr w:type="spellStart"/>
      <w:r w:rsidRPr="002B7E5C">
        <w:rPr>
          <w:color w:val="FF0000"/>
          <w:sz w:val="16"/>
        </w:rPr>
        <w:t>Jokar</w:t>
      </w:r>
      <w:proofErr w:type="spellEnd"/>
      <w:r w:rsidR="0042264F" w:rsidRPr="002B7E5C">
        <w:rPr>
          <w:color w:val="FF0000"/>
          <w:sz w:val="16"/>
        </w:rPr>
        <w:t xml:space="preserve"> M., </w:t>
      </w:r>
      <w:proofErr w:type="spellStart"/>
      <w:r w:rsidR="0042264F" w:rsidRPr="002B7E5C">
        <w:rPr>
          <w:color w:val="FF0000"/>
          <w:sz w:val="16"/>
        </w:rPr>
        <w:t>Russly</w:t>
      </w:r>
      <w:proofErr w:type="spellEnd"/>
      <w:r w:rsidR="0042264F" w:rsidRPr="002B7E5C">
        <w:rPr>
          <w:color w:val="FF0000"/>
          <w:sz w:val="16"/>
        </w:rPr>
        <w:t xml:space="preserve"> A.R., Ibrahim N.A., Abdullah L.C., Tan C.P., 2012, </w:t>
      </w:r>
      <w:r w:rsidR="006F17C6" w:rsidRPr="002B7E5C">
        <w:rPr>
          <w:color w:val="FF0000"/>
          <w:sz w:val="16"/>
        </w:rPr>
        <w:t>Melt Production and Antimicrobial Efficiency of Low-Density Polyethylene (LDPE)-S</w:t>
      </w:r>
      <w:r w:rsidR="0042264F" w:rsidRPr="002B7E5C">
        <w:rPr>
          <w:color w:val="FF0000"/>
          <w:sz w:val="16"/>
        </w:rPr>
        <w:t>ilver Nanocomposite Film</w:t>
      </w:r>
      <w:r w:rsidR="006F17C6" w:rsidRPr="002B7E5C">
        <w:rPr>
          <w:color w:val="FF0000"/>
          <w:sz w:val="16"/>
        </w:rPr>
        <w:t xml:space="preserve">, </w:t>
      </w:r>
      <w:r w:rsidR="0042264F" w:rsidRPr="002B7E5C">
        <w:rPr>
          <w:color w:val="FF0000"/>
          <w:sz w:val="16"/>
        </w:rPr>
        <w:t>Food and Bioprocess Technology, 5(2), 719-728.</w:t>
      </w:r>
    </w:p>
    <w:p w14:paraId="3D718649" w14:textId="11663C0E" w:rsidR="006F17C6" w:rsidRPr="002B7E5C" w:rsidRDefault="00894FD5" w:rsidP="006F17C6">
      <w:pPr>
        <w:widowControl w:val="0"/>
        <w:autoSpaceDE w:val="0"/>
        <w:autoSpaceDN w:val="0"/>
        <w:adjustRightInd w:val="0"/>
        <w:spacing w:line="240" w:lineRule="auto"/>
        <w:ind w:left="284" w:hanging="284"/>
        <w:rPr>
          <w:color w:val="FF0000"/>
          <w:sz w:val="16"/>
        </w:rPr>
      </w:pPr>
      <w:r w:rsidRPr="002B7E5C">
        <w:rPr>
          <w:color w:val="FF0000"/>
          <w:sz w:val="16"/>
        </w:rPr>
        <w:t>Leyva-</w:t>
      </w:r>
      <w:proofErr w:type="spellStart"/>
      <w:r w:rsidRPr="002B7E5C">
        <w:rPr>
          <w:color w:val="FF0000"/>
          <w:sz w:val="16"/>
        </w:rPr>
        <w:t>López</w:t>
      </w:r>
      <w:proofErr w:type="spellEnd"/>
      <w:r w:rsidR="006A30F6" w:rsidRPr="002B7E5C">
        <w:rPr>
          <w:color w:val="FF0000"/>
          <w:sz w:val="16"/>
        </w:rPr>
        <w:t xml:space="preserve"> N., Gutiérrez-</w:t>
      </w:r>
      <w:proofErr w:type="spellStart"/>
      <w:r w:rsidR="006A30F6" w:rsidRPr="002B7E5C">
        <w:rPr>
          <w:color w:val="FF0000"/>
          <w:sz w:val="16"/>
        </w:rPr>
        <w:t>Grijalva</w:t>
      </w:r>
      <w:proofErr w:type="spellEnd"/>
      <w:r w:rsidR="006A30F6" w:rsidRPr="002B7E5C">
        <w:rPr>
          <w:color w:val="FF0000"/>
          <w:sz w:val="16"/>
        </w:rPr>
        <w:t xml:space="preserve"> E.P., Vazquez-</w:t>
      </w:r>
      <w:proofErr w:type="spellStart"/>
      <w:r w:rsidR="006A30F6" w:rsidRPr="002B7E5C">
        <w:rPr>
          <w:color w:val="FF0000"/>
          <w:sz w:val="16"/>
        </w:rPr>
        <w:t>Olivo</w:t>
      </w:r>
      <w:proofErr w:type="spellEnd"/>
      <w:r w:rsidR="006A30F6" w:rsidRPr="002B7E5C">
        <w:rPr>
          <w:color w:val="FF0000"/>
          <w:sz w:val="16"/>
        </w:rPr>
        <w:t xml:space="preserve"> G., Heredia J.B., 2017, </w:t>
      </w:r>
      <w:r w:rsidR="006F17C6" w:rsidRPr="002B7E5C">
        <w:rPr>
          <w:color w:val="FF0000"/>
          <w:sz w:val="16"/>
        </w:rPr>
        <w:t>Essential oils of oregano: Biological activity beyond</w:t>
      </w:r>
      <w:r w:rsidR="006A30F6" w:rsidRPr="002B7E5C">
        <w:rPr>
          <w:color w:val="FF0000"/>
          <w:sz w:val="16"/>
        </w:rPr>
        <w:t xml:space="preserve"> their antimicrobial properties</w:t>
      </w:r>
      <w:r w:rsidR="006C182B" w:rsidRPr="002B7E5C">
        <w:rPr>
          <w:color w:val="FF0000"/>
          <w:sz w:val="16"/>
        </w:rPr>
        <w:t>, Molecules</w:t>
      </w:r>
      <w:r w:rsidR="006C182B" w:rsidRPr="002B7E5C">
        <w:rPr>
          <w:color w:val="FF0000"/>
        </w:rPr>
        <w:t xml:space="preserve">, </w:t>
      </w:r>
      <w:r w:rsidR="006C182B" w:rsidRPr="002B7E5C">
        <w:rPr>
          <w:color w:val="FF0000"/>
          <w:sz w:val="16"/>
        </w:rPr>
        <w:t>22(6): 989.</w:t>
      </w:r>
    </w:p>
    <w:p w14:paraId="47396C4C" w14:textId="5CDBC31A" w:rsidR="006F17C6" w:rsidRPr="002B7E5C" w:rsidRDefault="006F17C6" w:rsidP="006F17C6">
      <w:pPr>
        <w:widowControl w:val="0"/>
        <w:autoSpaceDE w:val="0"/>
        <w:autoSpaceDN w:val="0"/>
        <w:adjustRightInd w:val="0"/>
        <w:spacing w:line="240" w:lineRule="auto"/>
        <w:ind w:left="284" w:hanging="284"/>
        <w:rPr>
          <w:color w:val="FF0000"/>
          <w:sz w:val="16"/>
        </w:rPr>
      </w:pPr>
      <w:proofErr w:type="spellStart"/>
      <w:proofErr w:type="gramStart"/>
      <w:r w:rsidRPr="002B7E5C">
        <w:rPr>
          <w:color w:val="FF0000"/>
          <w:sz w:val="16"/>
        </w:rPr>
        <w:t>Mino</w:t>
      </w:r>
      <w:r w:rsidR="00894FD5" w:rsidRPr="002B7E5C">
        <w:rPr>
          <w:color w:val="FF0000"/>
          <w:sz w:val="16"/>
        </w:rPr>
        <w:t>glou</w:t>
      </w:r>
      <w:proofErr w:type="spellEnd"/>
      <w:r w:rsidR="006C182B" w:rsidRPr="002B7E5C">
        <w:rPr>
          <w:color w:val="FF0000"/>
          <w:sz w:val="16"/>
        </w:rPr>
        <w:t xml:space="preserve"> M., </w:t>
      </w:r>
      <w:proofErr w:type="spellStart"/>
      <w:r w:rsidR="006C182B" w:rsidRPr="002B7E5C">
        <w:rPr>
          <w:color w:val="FF0000"/>
          <w:sz w:val="16"/>
        </w:rPr>
        <w:t>Gerassimidou</w:t>
      </w:r>
      <w:proofErr w:type="spellEnd"/>
      <w:r w:rsidR="006C182B" w:rsidRPr="002B7E5C">
        <w:rPr>
          <w:color w:val="FF0000"/>
          <w:sz w:val="16"/>
        </w:rPr>
        <w:t xml:space="preserve">, S., </w:t>
      </w:r>
      <w:proofErr w:type="spellStart"/>
      <w:r w:rsidR="006C182B" w:rsidRPr="002B7E5C">
        <w:rPr>
          <w:color w:val="FF0000"/>
          <w:sz w:val="16"/>
        </w:rPr>
        <w:t>Komilis</w:t>
      </w:r>
      <w:proofErr w:type="spellEnd"/>
      <w:r w:rsidR="006C182B" w:rsidRPr="002B7E5C">
        <w:rPr>
          <w:color w:val="FF0000"/>
          <w:sz w:val="16"/>
        </w:rPr>
        <w:t xml:space="preserve">, D., 2017, </w:t>
      </w:r>
      <w:r w:rsidRPr="002B7E5C">
        <w:rPr>
          <w:color w:val="FF0000"/>
          <w:sz w:val="16"/>
        </w:rPr>
        <w:t>Healthcare waste generation worldwide and its dependence on socio-eco</w:t>
      </w:r>
      <w:r w:rsidR="006C182B" w:rsidRPr="002B7E5C">
        <w:rPr>
          <w:color w:val="FF0000"/>
          <w:sz w:val="16"/>
        </w:rPr>
        <w:t>nomic and environmental factors</w:t>
      </w:r>
      <w:r w:rsidRPr="002B7E5C">
        <w:rPr>
          <w:color w:val="FF0000"/>
          <w:sz w:val="16"/>
        </w:rPr>
        <w:t>, Sustainability (Switzerland)</w:t>
      </w:r>
      <w:r w:rsidR="006C182B" w:rsidRPr="002B7E5C">
        <w:rPr>
          <w:color w:val="FF0000"/>
          <w:sz w:val="16"/>
        </w:rPr>
        <w:t>, 9(2), 220</w:t>
      </w:r>
      <w:r w:rsidRPr="002B7E5C">
        <w:rPr>
          <w:color w:val="FF0000"/>
          <w:sz w:val="16"/>
        </w:rPr>
        <w:t>.</w:t>
      </w:r>
      <w:proofErr w:type="gramEnd"/>
      <w:r w:rsidRPr="002B7E5C">
        <w:rPr>
          <w:color w:val="FF0000"/>
          <w:sz w:val="16"/>
        </w:rPr>
        <w:t xml:space="preserve"> </w:t>
      </w:r>
    </w:p>
    <w:p w14:paraId="00FC67EB" w14:textId="16962F03" w:rsidR="006F17C6" w:rsidRPr="002B7E5C" w:rsidRDefault="006C182B" w:rsidP="006F17C6">
      <w:pPr>
        <w:widowControl w:val="0"/>
        <w:autoSpaceDE w:val="0"/>
        <w:autoSpaceDN w:val="0"/>
        <w:adjustRightInd w:val="0"/>
        <w:spacing w:line="240" w:lineRule="auto"/>
        <w:ind w:left="284" w:hanging="284"/>
        <w:rPr>
          <w:color w:val="FF0000"/>
          <w:sz w:val="16"/>
        </w:rPr>
      </w:pPr>
      <w:proofErr w:type="spellStart"/>
      <w:proofErr w:type="gramStart"/>
      <w:r w:rsidRPr="002B7E5C">
        <w:rPr>
          <w:color w:val="FF0000"/>
          <w:sz w:val="16"/>
        </w:rPr>
        <w:t>Oyekale</w:t>
      </w:r>
      <w:proofErr w:type="spellEnd"/>
      <w:r w:rsidRPr="002B7E5C">
        <w:rPr>
          <w:color w:val="FF0000"/>
          <w:sz w:val="16"/>
        </w:rPr>
        <w:t xml:space="preserve">, A. S., </w:t>
      </w:r>
      <w:proofErr w:type="spellStart"/>
      <w:r w:rsidRPr="002B7E5C">
        <w:rPr>
          <w:color w:val="FF0000"/>
          <w:sz w:val="16"/>
        </w:rPr>
        <w:t>Oyekale</w:t>
      </w:r>
      <w:proofErr w:type="spellEnd"/>
      <w:r w:rsidRPr="002B7E5C">
        <w:rPr>
          <w:color w:val="FF0000"/>
          <w:sz w:val="16"/>
        </w:rPr>
        <w:t xml:space="preserve">, T. O., 2017, </w:t>
      </w:r>
      <w:r w:rsidR="006F17C6" w:rsidRPr="002B7E5C">
        <w:rPr>
          <w:color w:val="FF0000"/>
          <w:sz w:val="16"/>
        </w:rPr>
        <w:t>Healthcare waste management practices a</w:t>
      </w:r>
      <w:r w:rsidRPr="002B7E5C">
        <w:rPr>
          <w:color w:val="FF0000"/>
          <w:sz w:val="16"/>
        </w:rPr>
        <w:t>nd safety indicators in Nigeria</w:t>
      </w:r>
      <w:r w:rsidR="006F17C6" w:rsidRPr="002B7E5C">
        <w:rPr>
          <w:color w:val="FF0000"/>
          <w:sz w:val="16"/>
        </w:rPr>
        <w:t>, BMC Public Health</w:t>
      </w:r>
      <w:r w:rsidRPr="002B7E5C">
        <w:rPr>
          <w:color w:val="FF0000"/>
          <w:sz w:val="16"/>
        </w:rPr>
        <w:t>, 17, 740.</w:t>
      </w:r>
      <w:proofErr w:type="gramEnd"/>
      <w:r w:rsidRPr="002B7E5C">
        <w:rPr>
          <w:color w:val="FF0000"/>
          <w:sz w:val="16"/>
        </w:rPr>
        <w:t xml:space="preserve"> </w:t>
      </w:r>
    </w:p>
    <w:p w14:paraId="6E2B60B5" w14:textId="61026EC8" w:rsidR="006F17C6" w:rsidRPr="002B7E5C" w:rsidRDefault="00894FD5" w:rsidP="006F17C6">
      <w:pPr>
        <w:widowControl w:val="0"/>
        <w:autoSpaceDE w:val="0"/>
        <w:autoSpaceDN w:val="0"/>
        <w:adjustRightInd w:val="0"/>
        <w:spacing w:line="240" w:lineRule="auto"/>
        <w:ind w:left="284" w:hanging="284"/>
        <w:rPr>
          <w:color w:val="FF0000"/>
          <w:sz w:val="16"/>
        </w:rPr>
      </w:pPr>
      <w:proofErr w:type="spellStart"/>
      <w:r w:rsidRPr="002B7E5C">
        <w:rPr>
          <w:color w:val="FF0000"/>
          <w:sz w:val="16"/>
        </w:rPr>
        <w:t>Radfar</w:t>
      </w:r>
      <w:proofErr w:type="spellEnd"/>
      <w:r w:rsidR="006F17C6" w:rsidRPr="002B7E5C">
        <w:rPr>
          <w:color w:val="FF0000"/>
          <w:sz w:val="16"/>
        </w:rPr>
        <w:t xml:space="preserve"> R. </w:t>
      </w:r>
      <w:r w:rsidR="006C182B" w:rsidRPr="002B7E5C">
        <w:rPr>
          <w:color w:val="FF0000"/>
          <w:sz w:val="16"/>
        </w:rPr>
        <w:t xml:space="preserve">Hosseini H., </w:t>
      </w:r>
      <w:proofErr w:type="spellStart"/>
      <w:r w:rsidR="006C182B" w:rsidRPr="002B7E5C">
        <w:rPr>
          <w:color w:val="FF0000"/>
          <w:sz w:val="16"/>
        </w:rPr>
        <w:t>Farhodi</w:t>
      </w:r>
      <w:proofErr w:type="spellEnd"/>
      <w:r w:rsidR="006C182B" w:rsidRPr="002B7E5C">
        <w:rPr>
          <w:color w:val="FF0000"/>
          <w:sz w:val="16"/>
        </w:rPr>
        <w:t xml:space="preserve"> M., </w:t>
      </w:r>
      <w:proofErr w:type="spellStart"/>
      <w:r w:rsidR="006C182B" w:rsidRPr="002B7E5C">
        <w:rPr>
          <w:color w:val="FF0000"/>
          <w:sz w:val="16"/>
        </w:rPr>
        <w:t>Ghasemi</w:t>
      </w:r>
      <w:proofErr w:type="spellEnd"/>
      <w:r w:rsidR="006C182B" w:rsidRPr="002B7E5C">
        <w:rPr>
          <w:color w:val="FF0000"/>
          <w:sz w:val="16"/>
        </w:rPr>
        <w:t xml:space="preserve"> I., </w:t>
      </w:r>
      <w:proofErr w:type="spellStart"/>
      <w:r w:rsidR="006C182B" w:rsidRPr="002B7E5C">
        <w:rPr>
          <w:color w:val="FF0000"/>
          <w:sz w:val="16"/>
        </w:rPr>
        <w:t>Średnicka-Tober</w:t>
      </w:r>
      <w:proofErr w:type="spellEnd"/>
      <w:r w:rsidR="006C182B" w:rsidRPr="002B7E5C">
        <w:rPr>
          <w:color w:val="FF0000"/>
          <w:sz w:val="16"/>
        </w:rPr>
        <w:t xml:space="preserve"> D., </w:t>
      </w:r>
      <w:proofErr w:type="spellStart"/>
      <w:r w:rsidR="006C182B" w:rsidRPr="002B7E5C">
        <w:rPr>
          <w:color w:val="FF0000"/>
          <w:sz w:val="16"/>
        </w:rPr>
        <w:t>Shamloo</w:t>
      </w:r>
      <w:proofErr w:type="spellEnd"/>
      <w:r w:rsidR="006C182B" w:rsidRPr="002B7E5C">
        <w:rPr>
          <w:color w:val="FF0000"/>
          <w:sz w:val="16"/>
        </w:rPr>
        <w:t xml:space="preserve"> E., </w:t>
      </w:r>
      <w:proofErr w:type="spellStart"/>
      <w:r w:rsidR="006C182B" w:rsidRPr="002B7E5C">
        <w:rPr>
          <w:color w:val="FF0000"/>
          <w:sz w:val="16"/>
        </w:rPr>
        <w:t>Khaneghah</w:t>
      </w:r>
      <w:proofErr w:type="spellEnd"/>
      <w:r w:rsidR="006C182B" w:rsidRPr="002B7E5C">
        <w:rPr>
          <w:color w:val="FF0000"/>
          <w:sz w:val="16"/>
        </w:rPr>
        <w:t xml:space="preserve"> A.M., 2020, </w:t>
      </w:r>
      <w:r w:rsidR="006F17C6" w:rsidRPr="002B7E5C">
        <w:rPr>
          <w:color w:val="FF0000"/>
          <w:sz w:val="16"/>
        </w:rPr>
        <w:t>Optimization of antibacterial and mechanical properties of an active LDPE/starch/</w:t>
      </w:r>
      <w:proofErr w:type="spellStart"/>
      <w:r w:rsidR="006F17C6" w:rsidRPr="002B7E5C">
        <w:rPr>
          <w:color w:val="FF0000"/>
          <w:sz w:val="16"/>
        </w:rPr>
        <w:t>nanoclay</w:t>
      </w:r>
      <w:proofErr w:type="spellEnd"/>
      <w:r w:rsidR="006F17C6" w:rsidRPr="002B7E5C">
        <w:rPr>
          <w:color w:val="FF0000"/>
          <w:sz w:val="16"/>
        </w:rPr>
        <w:t xml:space="preserve"> nanocomposite film incorporated with date palm seed extract using D-</w:t>
      </w:r>
      <w:r w:rsidR="006C182B" w:rsidRPr="002B7E5C">
        <w:rPr>
          <w:color w:val="FF0000"/>
          <w:sz w:val="16"/>
        </w:rPr>
        <w:t>optimal mixture design approach</w:t>
      </w:r>
      <w:r w:rsidR="006F17C6" w:rsidRPr="002B7E5C">
        <w:rPr>
          <w:color w:val="FF0000"/>
          <w:sz w:val="16"/>
        </w:rPr>
        <w:t xml:space="preserve">, International Journal of Biological Macromolecules. Elsevier B.V., 158, </w:t>
      </w:r>
      <w:r w:rsidR="006C182B" w:rsidRPr="002B7E5C">
        <w:rPr>
          <w:color w:val="FF0000"/>
          <w:sz w:val="16"/>
        </w:rPr>
        <w:t>790–799</w:t>
      </w:r>
      <w:r w:rsidR="006F17C6" w:rsidRPr="002B7E5C">
        <w:rPr>
          <w:color w:val="FF0000"/>
          <w:sz w:val="16"/>
        </w:rPr>
        <w:t>.</w:t>
      </w:r>
    </w:p>
    <w:p w14:paraId="112A04C2" w14:textId="7357483A" w:rsidR="006F17C6" w:rsidRPr="002B7E5C" w:rsidRDefault="00894FD5" w:rsidP="006C182B">
      <w:pPr>
        <w:widowControl w:val="0"/>
        <w:autoSpaceDE w:val="0"/>
        <w:autoSpaceDN w:val="0"/>
        <w:adjustRightInd w:val="0"/>
        <w:spacing w:line="240" w:lineRule="auto"/>
        <w:ind w:left="284" w:hanging="284"/>
        <w:rPr>
          <w:color w:val="FF0000"/>
          <w:sz w:val="16"/>
        </w:rPr>
      </w:pPr>
      <w:proofErr w:type="spellStart"/>
      <w:r w:rsidRPr="002B7E5C">
        <w:rPr>
          <w:color w:val="FF0000"/>
          <w:sz w:val="16"/>
        </w:rPr>
        <w:t>Ranjbari</w:t>
      </w:r>
      <w:proofErr w:type="spellEnd"/>
      <w:r w:rsidR="006C182B" w:rsidRPr="002B7E5C">
        <w:rPr>
          <w:color w:val="FF0000"/>
          <w:sz w:val="16"/>
        </w:rPr>
        <w:t xml:space="preserve"> M., </w:t>
      </w:r>
      <w:proofErr w:type="spellStart"/>
      <w:r w:rsidR="006C182B" w:rsidRPr="002B7E5C">
        <w:rPr>
          <w:color w:val="FF0000"/>
          <w:sz w:val="16"/>
        </w:rPr>
        <w:t>Esfandabadi</w:t>
      </w:r>
      <w:proofErr w:type="spellEnd"/>
      <w:r w:rsidR="006C182B" w:rsidRPr="002B7E5C">
        <w:rPr>
          <w:color w:val="FF0000"/>
          <w:sz w:val="16"/>
        </w:rPr>
        <w:t xml:space="preserve"> Z.S., Shevchenko T., </w:t>
      </w:r>
      <w:proofErr w:type="spellStart"/>
      <w:r w:rsidR="006C182B" w:rsidRPr="002B7E5C">
        <w:rPr>
          <w:color w:val="FF0000"/>
          <w:sz w:val="16"/>
        </w:rPr>
        <w:t>Chassagnon-Haned</w:t>
      </w:r>
      <w:proofErr w:type="spellEnd"/>
      <w:r w:rsidR="006C182B" w:rsidRPr="002B7E5C">
        <w:rPr>
          <w:color w:val="FF0000"/>
          <w:sz w:val="16"/>
        </w:rPr>
        <w:t xml:space="preserve"> N., Peng W., </w:t>
      </w:r>
      <w:proofErr w:type="spellStart"/>
      <w:r w:rsidR="006C182B" w:rsidRPr="002B7E5C">
        <w:rPr>
          <w:color w:val="FF0000"/>
          <w:sz w:val="16"/>
        </w:rPr>
        <w:t>Tabatabaei</w:t>
      </w:r>
      <w:proofErr w:type="spellEnd"/>
      <w:r w:rsidR="006C182B" w:rsidRPr="002B7E5C">
        <w:rPr>
          <w:color w:val="FF0000"/>
          <w:sz w:val="16"/>
        </w:rPr>
        <w:t xml:space="preserve"> M., </w:t>
      </w:r>
      <w:proofErr w:type="spellStart"/>
      <w:r w:rsidR="006C182B" w:rsidRPr="002B7E5C">
        <w:rPr>
          <w:color w:val="FF0000"/>
          <w:sz w:val="16"/>
        </w:rPr>
        <w:t>Aghbashlo</w:t>
      </w:r>
      <w:proofErr w:type="spellEnd"/>
      <w:r w:rsidR="006C182B" w:rsidRPr="002B7E5C">
        <w:rPr>
          <w:color w:val="FF0000"/>
          <w:sz w:val="16"/>
        </w:rPr>
        <w:t xml:space="preserve"> M., 2022, </w:t>
      </w:r>
      <w:r w:rsidR="006F17C6" w:rsidRPr="002B7E5C">
        <w:rPr>
          <w:color w:val="FF0000"/>
          <w:sz w:val="16"/>
        </w:rPr>
        <w:t>Mapping healthcare waste management research: Past evolution, current challenges, and future perspectives towards a circular economy transition, Journal of Hazardous Materials</w:t>
      </w:r>
      <w:r w:rsidR="006C182B" w:rsidRPr="002B7E5C">
        <w:rPr>
          <w:color w:val="FF0000"/>
          <w:sz w:val="16"/>
        </w:rPr>
        <w:t>,</w:t>
      </w:r>
      <w:r w:rsidR="006C182B" w:rsidRPr="002B7E5C">
        <w:rPr>
          <w:color w:val="FF0000"/>
        </w:rPr>
        <w:t xml:space="preserve"> </w:t>
      </w:r>
      <w:r w:rsidR="006C182B" w:rsidRPr="002B7E5C">
        <w:rPr>
          <w:color w:val="FF0000"/>
          <w:sz w:val="16"/>
        </w:rPr>
        <w:t>422, 126724</w:t>
      </w:r>
      <w:r w:rsidR="006F17C6" w:rsidRPr="002B7E5C">
        <w:rPr>
          <w:color w:val="FF0000"/>
          <w:sz w:val="16"/>
        </w:rPr>
        <w:t xml:space="preserve">. </w:t>
      </w:r>
    </w:p>
    <w:p w14:paraId="14052F04" w14:textId="4F4E1A73" w:rsidR="006F17C6" w:rsidRPr="002B7E5C" w:rsidRDefault="006C182B" w:rsidP="00894FD5">
      <w:pPr>
        <w:widowControl w:val="0"/>
        <w:autoSpaceDE w:val="0"/>
        <w:autoSpaceDN w:val="0"/>
        <w:adjustRightInd w:val="0"/>
        <w:spacing w:line="240" w:lineRule="auto"/>
        <w:ind w:left="284" w:hanging="284"/>
        <w:rPr>
          <w:color w:val="FF0000"/>
          <w:sz w:val="16"/>
        </w:rPr>
      </w:pPr>
      <w:r w:rsidRPr="002B7E5C">
        <w:rPr>
          <w:color w:val="FF0000"/>
          <w:sz w:val="16"/>
        </w:rPr>
        <w:t xml:space="preserve">Saini, S. </w:t>
      </w:r>
      <w:r w:rsidR="00894FD5" w:rsidRPr="002B7E5C">
        <w:rPr>
          <w:color w:val="FF0000"/>
          <w:sz w:val="16"/>
        </w:rPr>
        <w:t xml:space="preserve">Das B.K., Kapil A., </w:t>
      </w:r>
      <w:proofErr w:type="spellStart"/>
      <w:r w:rsidR="00894FD5" w:rsidRPr="002B7E5C">
        <w:rPr>
          <w:color w:val="FF0000"/>
          <w:sz w:val="16"/>
        </w:rPr>
        <w:t>Nagarajan</w:t>
      </w:r>
      <w:proofErr w:type="spellEnd"/>
      <w:r w:rsidR="00894FD5" w:rsidRPr="002B7E5C">
        <w:rPr>
          <w:color w:val="FF0000"/>
          <w:sz w:val="16"/>
        </w:rPr>
        <w:t xml:space="preserve"> S.S., </w:t>
      </w:r>
      <w:proofErr w:type="spellStart"/>
      <w:r w:rsidR="00894FD5" w:rsidRPr="002B7E5C">
        <w:rPr>
          <w:color w:val="FF0000"/>
          <w:sz w:val="16"/>
        </w:rPr>
        <w:t>Sarma</w:t>
      </w:r>
      <w:proofErr w:type="spellEnd"/>
      <w:r w:rsidR="00894FD5" w:rsidRPr="002B7E5C">
        <w:rPr>
          <w:color w:val="FF0000"/>
          <w:sz w:val="16"/>
        </w:rPr>
        <w:t xml:space="preserve"> R.K., </w:t>
      </w:r>
      <w:r w:rsidRPr="002B7E5C">
        <w:rPr>
          <w:color w:val="FF0000"/>
          <w:sz w:val="16"/>
        </w:rPr>
        <w:t xml:space="preserve">2004, </w:t>
      </w:r>
      <w:proofErr w:type="gramStart"/>
      <w:r w:rsidRPr="002B7E5C">
        <w:rPr>
          <w:color w:val="FF0000"/>
          <w:sz w:val="16"/>
        </w:rPr>
        <w:t>The</w:t>
      </w:r>
      <w:proofErr w:type="gramEnd"/>
      <w:r w:rsidRPr="002B7E5C">
        <w:rPr>
          <w:color w:val="FF0000"/>
          <w:sz w:val="16"/>
        </w:rPr>
        <w:t xml:space="preserve"> study of bacterial flora of different types in hospital waste: evaluation of waste treatment at </w:t>
      </w:r>
      <w:proofErr w:type="spellStart"/>
      <w:r w:rsidRPr="002B7E5C">
        <w:rPr>
          <w:color w:val="FF0000"/>
          <w:sz w:val="16"/>
        </w:rPr>
        <w:t>Aiims</w:t>
      </w:r>
      <w:proofErr w:type="spellEnd"/>
      <w:r w:rsidRPr="002B7E5C">
        <w:rPr>
          <w:color w:val="FF0000"/>
          <w:sz w:val="16"/>
        </w:rPr>
        <w:t xml:space="preserve"> Hospital, New Delhi</w:t>
      </w:r>
      <w:r w:rsidR="00894FD5" w:rsidRPr="002B7E5C">
        <w:rPr>
          <w:color w:val="FF0000"/>
        </w:rPr>
        <w:t xml:space="preserve"> </w:t>
      </w:r>
      <w:r w:rsidR="00894FD5" w:rsidRPr="002B7E5C">
        <w:rPr>
          <w:color w:val="FF0000"/>
          <w:sz w:val="16"/>
        </w:rPr>
        <w:t xml:space="preserve">Southeast Asian J Trop Med Public Health, </w:t>
      </w:r>
      <w:r w:rsidR="006F17C6" w:rsidRPr="002B7E5C">
        <w:rPr>
          <w:color w:val="FF0000"/>
          <w:sz w:val="16"/>
        </w:rPr>
        <w:t>35(4), 2–5.</w:t>
      </w:r>
    </w:p>
    <w:p w14:paraId="25E96A32" w14:textId="0EEDCB95" w:rsidR="006F17C6" w:rsidRPr="002B7E5C" w:rsidRDefault="00894FD5" w:rsidP="006F17C6">
      <w:pPr>
        <w:widowControl w:val="0"/>
        <w:autoSpaceDE w:val="0"/>
        <w:autoSpaceDN w:val="0"/>
        <w:adjustRightInd w:val="0"/>
        <w:spacing w:line="240" w:lineRule="auto"/>
        <w:ind w:left="284" w:hanging="284"/>
        <w:rPr>
          <w:color w:val="FF0000"/>
          <w:sz w:val="16"/>
        </w:rPr>
      </w:pPr>
      <w:proofErr w:type="spellStart"/>
      <w:r w:rsidRPr="002B7E5C">
        <w:rPr>
          <w:color w:val="FF0000"/>
          <w:sz w:val="16"/>
        </w:rPr>
        <w:t>Shojaee-Aliabadi</w:t>
      </w:r>
      <w:proofErr w:type="spellEnd"/>
      <w:r w:rsidR="006F17C6" w:rsidRPr="002B7E5C">
        <w:rPr>
          <w:color w:val="FF0000"/>
          <w:sz w:val="16"/>
        </w:rPr>
        <w:t xml:space="preserve"> S.</w:t>
      </w:r>
      <w:r w:rsidRPr="002B7E5C">
        <w:rPr>
          <w:color w:val="FF0000"/>
          <w:sz w:val="16"/>
        </w:rPr>
        <w:t xml:space="preserve">, Hosseini H., </w:t>
      </w:r>
      <w:proofErr w:type="spellStart"/>
      <w:r w:rsidRPr="002B7E5C">
        <w:rPr>
          <w:color w:val="FF0000"/>
          <w:sz w:val="16"/>
        </w:rPr>
        <w:t>Mohammadifar</w:t>
      </w:r>
      <w:proofErr w:type="spellEnd"/>
      <w:r w:rsidRPr="002B7E5C">
        <w:rPr>
          <w:color w:val="FF0000"/>
          <w:sz w:val="16"/>
        </w:rPr>
        <w:t xml:space="preserve"> M.A., </w:t>
      </w:r>
      <w:proofErr w:type="spellStart"/>
      <w:r w:rsidRPr="002B7E5C">
        <w:rPr>
          <w:color w:val="FF0000"/>
          <w:sz w:val="16"/>
        </w:rPr>
        <w:t>Mohammadi</w:t>
      </w:r>
      <w:proofErr w:type="spellEnd"/>
      <w:r w:rsidRPr="002B7E5C">
        <w:rPr>
          <w:color w:val="FF0000"/>
          <w:sz w:val="16"/>
        </w:rPr>
        <w:t xml:space="preserve"> A., </w:t>
      </w:r>
      <w:proofErr w:type="spellStart"/>
      <w:r w:rsidRPr="002B7E5C">
        <w:rPr>
          <w:color w:val="FF0000"/>
          <w:sz w:val="16"/>
        </w:rPr>
        <w:t>Ghasemlou</w:t>
      </w:r>
      <w:proofErr w:type="spellEnd"/>
      <w:r w:rsidRPr="002B7E5C">
        <w:rPr>
          <w:color w:val="FF0000"/>
          <w:sz w:val="16"/>
        </w:rPr>
        <w:t xml:space="preserve"> M., </w:t>
      </w:r>
      <w:proofErr w:type="spellStart"/>
      <w:r w:rsidRPr="002B7E5C">
        <w:rPr>
          <w:color w:val="FF0000"/>
          <w:sz w:val="16"/>
        </w:rPr>
        <w:t>Ojagh</w:t>
      </w:r>
      <w:proofErr w:type="spellEnd"/>
      <w:r w:rsidRPr="002B7E5C">
        <w:rPr>
          <w:color w:val="FF0000"/>
          <w:sz w:val="16"/>
        </w:rPr>
        <w:t xml:space="preserve"> S.M., Hosseini S.M., </w:t>
      </w:r>
      <w:proofErr w:type="spellStart"/>
      <w:r w:rsidRPr="002B7E5C">
        <w:rPr>
          <w:color w:val="FF0000"/>
          <w:sz w:val="16"/>
        </w:rPr>
        <w:t>Khaksar</w:t>
      </w:r>
      <w:proofErr w:type="spellEnd"/>
      <w:r w:rsidRPr="002B7E5C">
        <w:rPr>
          <w:color w:val="FF0000"/>
          <w:sz w:val="16"/>
        </w:rPr>
        <w:t xml:space="preserve"> R., 2013, </w:t>
      </w:r>
      <w:r w:rsidR="006F17C6" w:rsidRPr="002B7E5C">
        <w:rPr>
          <w:color w:val="FF0000"/>
          <w:sz w:val="16"/>
        </w:rPr>
        <w:t xml:space="preserve">Characterization of antioxidant-antimicrobial κ-carrageenan films containing </w:t>
      </w:r>
      <w:proofErr w:type="spellStart"/>
      <w:r w:rsidR="006F17C6" w:rsidRPr="002B7E5C">
        <w:rPr>
          <w:color w:val="FF0000"/>
          <w:sz w:val="16"/>
        </w:rPr>
        <w:t>Satureja</w:t>
      </w:r>
      <w:proofErr w:type="spellEnd"/>
      <w:r w:rsidR="006F17C6" w:rsidRPr="002B7E5C">
        <w:rPr>
          <w:color w:val="FF0000"/>
          <w:sz w:val="16"/>
        </w:rPr>
        <w:t xml:space="preserve"> </w:t>
      </w:r>
      <w:proofErr w:type="spellStart"/>
      <w:r w:rsidR="006F17C6" w:rsidRPr="002B7E5C">
        <w:rPr>
          <w:color w:val="FF0000"/>
          <w:sz w:val="16"/>
        </w:rPr>
        <w:t>hortensis</w:t>
      </w:r>
      <w:proofErr w:type="spellEnd"/>
      <w:r w:rsidR="006F17C6" w:rsidRPr="002B7E5C">
        <w:rPr>
          <w:color w:val="FF0000"/>
          <w:sz w:val="16"/>
        </w:rPr>
        <w:t xml:space="preserve"> essential oil’, International Journ</w:t>
      </w:r>
      <w:r w:rsidRPr="002B7E5C">
        <w:rPr>
          <w:color w:val="FF0000"/>
          <w:sz w:val="16"/>
        </w:rPr>
        <w:t>al of Biological Macromolecules,</w:t>
      </w:r>
      <w:r w:rsidR="006F17C6" w:rsidRPr="002B7E5C">
        <w:rPr>
          <w:color w:val="FF0000"/>
          <w:sz w:val="16"/>
        </w:rPr>
        <w:t xml:space="preserve"> 52(1), 116–124. </w:t>
      </w:r>
    </w:p>
    <w:p w14:paraId="069BCD6B" w14:textId="464B98FC" w:rsidR="006F17C6" w:rsidRPr="002B7E5C" w:rsidRDefault="00894FD5" w:rsidP="006F17C6">
      <w:pPr>
        <w:widowControl w:val="0"/>
        <w:autoSpaceDE w:val="0"/>
        <w:autoSpaceDN w:val="0"/>
        <w:adjustRightInd w:val="0"/>
        <w:spacing w:line="240" w:lineRule="auto"/>
        <w:ind w:left="284" w:hanging="284"/>
        <w:rPr>
          <w:color w:val="FF0000"/>
          <w:sz w:val="16"/>
        </w:rPr>
      </w:pPr>
      <w:proofErr w:type="spellStart"/>
      <w:r w:rsidRPr="002B7E5C">
        <w:rPr>
          <w:color w:val="FF0000"/>
          <w:sz w:val="16"/>
        </w:rPr>
        <w:t>Sivropoulou</w:t>
      </w:r>
      <w:proofErr w:type="spellEnd"/>
      <w:r w:rsidRPr="002B7E5C">
        <w:rPr>
          <w:color w:val="FF0000"/>
          <w:sz w:val="16"/>
        </w:rPr>
        <w:t xml:space="preserve"> A., </w:t>
      </w:r>
      <w:proofErr w:type="spellStart"/>
      <w:r w:rsidRPr="002B7E5C">
        <w:rPr>
          <w:color w:val="FF0000"/>
          <w:sz w:val="16"/>
        </w:rPr>
        <w:t>Papanikolaou</w:t>
      </w:r>
      <w:proofErr w:type="spellEnd"/>
      <w:r w:rsidRPr="002B7E5C">
        <w:rPr>
          <w:color w:val="FF0000"/>
          <w:sz w:val="16"/>
        </w:rPr>
        <w:t xml:space="preserve"> E., Nikolaou C., </w:t>
      </w:r>
      <w:proofErr w:type="spellStart"/>
      <w:r w:rsidRPr="002B7E5C">
        <w:rPr>
          <w:color w:val="FF0000"/>
          <w:sz w:val="16"/>
        </w:rPr>
        <w:t>Kokkini</w:t>
      </w:r>
      <w:proofErr w:type="spellEnd"/>
      <w:r w:rsidRPr="002B7E5C">
        <w:rPr>
          <w:color w:val="FF0000"/>
          <w:sz w:val="16"/>
        </w:rPr>
        <w:t xml:space="preserve"> S., </w:t>
      </w:r>
      <w:proofErr w:type="spellStart"/>
      <w:r w:rsidRPr="002B7E5C">
        <w:rPr>
          <w:color w:val="FF0000"/>
          <w:sz w:val="16"/>
        </w:rPr>
        <w:t>Lanaras</w:t>
      </w:r>
      <w:proofErr w:type="spellEnd"/>
      <w:r w:rsidRPr="002B7E5C">
        <w:rPr>
          <w:color w:val="FF0000"/>
          <w:sz w:val="16"/>
        </w:rPr>
        <w:t xml:space="preserve"> T. </w:t>
      </w:r>
      <w:proofErr w:type="spellStart"/>
      <w:r w:rsidRPr="002B7E5C">
        <w:rPr>
          <w:color w:val="FF0000"/>
          <w:sz w:val="16"/>
        </w:rPr>
        <w:t>Arsenakis</w:t>
      </w:r>
      <w:proofErr w:type="spellEnd"/>
      <w:r w:rsidRPr="002B7E5C">
        <w:rPr>
          <w:color w:val="FF0000"/>
          <w:sz w:val="16"/>
        </w:rPr>
        <w:t xml:space="preserve"> M., </w:t>
      </w:r>
      <w:r w:rsidR="006F17C6" w:rsidRPr="002B7E5C">
        <w:rPr>
          <w:color w:val="FF0000"/>
          <w:sz w:val="16"/>
        </w:rPr>
        <w:t>1996</w:t>
      </w:r>
      <w:r w:rsidRPr="002B7E5C">
        <w:rPr>
          <w:color w:val="FF0000"/>
          <w:sz w:val="16"/>
        </w:rPr>
        <w:t xml:space="preserve">, </w:t>
      </w:r>
      <w:r w:rsidR="006F17C6" w:rsidRPr="002B7E5C">
        <w:rPr>
          <w:color w:val="FF0000"/>
          <w:sz w:val="16"/>
        </w:rPr>
        <w:t>Antimicrobial and cytotoxic activi</w:t>
      </w:r>
      <w:r w:rsidRPr="002B7E5C">
        <w:rPr>
          <w:color w:val="FF0000"/>
          <w:sz w:val="16"/>
        </w:rPr>
        <w:t xml:space="preserve">ties of </w:t>
      </w:r>
      <w:proofErr w:type="spellStart"/>
      <w:r w:rsidRPr="002B7E5C">
        <w:rPr>
          <w:color w:val="FF0000"/>
          <w:sz w:val="16"/>
        </w:rPr>
        <w:t>Origanum</w:t>
      </w:r>
      <w:proofErr w:type="spellEnd"/>
      <w:r w:rsidRPr="002B7E5C">
        <w:rPr>
          <w:color w:val="FF0000"/>
          <w:sz w:val="16"/>
        </w:rPr>
        <w:t xml:space="preserve"> essential oils</w:t>
      </w:r>
      <w:r w:rsidR="006F17C6" w:rsidRPr="002B7E5C">
        <w:rPr>
          <w:color w:val="FF0000"/>
          <w:sz w:val="16"/>
        </w:rPr>
        <w:t>, Journal of Agricultural and Food Chemist</w:t>
      </w:r>
      <w:r w:rsidRPr="002B7E5C">
        <w:rPr>
          <w:color w:val="FF0000"/>
          <w:sz w:val="16"/>
        </w:rPr>
        <w:t>ry, 44, 5, 1202–1205</w:t>
      </w:r>
      <w:r w:rsidR="006F17C6" w:rsidRPr="002B7E5C">
        <w:rPr>
          <w:color w:val="FF0000"/>
          <w:sz w:val="16"/>
        </w:rPr>
        <w:t>.</w:t>
      </w:r>
    </w:p>
    <w:p w14:paraId="22243FC4" w14:textId="7D721B29" w:rsidR="006F17C6" w:rsidRPr="002B7E5C" w:rsidRDefault="00894FD5" w:rsidP="006F17C6">
      <w:pPr>
        <w:widowControl w:val="0"/>
        <w:autoSpaceDE w:val="0"/>
        <w:autoSpaceDN w:val="0"/>
        <w:adjustRightInd w:val="0"/>
        <w:spacing w:line="240" w:lineRule="auto"/>
        <w:ind w:left="284" w:hanging="284"/>
        <w:rPr>
          <w:color w:val="FF0000"/>
          <w:sz w:val="16"/>
        </w:rPr>
      </w:pPr>
      <w:r w:rsidRPr="002B7E5C">
        <w:rPr>
          <w:color w:val="FF0000"/>
          <w:sz w:val="16"/>
        </w:rPr>
        <w:t xml:space="preserve">Hossain MS, Rahman NN, </w:t>
      </w:r>
      <w:proofErr w:type="spellStart"/>
      <w:r w:rsidRPr="002B7E5C">
        <w:rPr>
          <w:color w:val="FF0000"/>
          <w:sz w:val="16"/>
        </w:rPr>
        <w:t>Balakrishnan</w:t>
      </w:r>
      <w:proofErr w:type="spellEnd"/>
      <w:r w:rsidRPr="002B7E5C">
        <w:rPr>
          <w:color w:val="FF0000"/>
          <w:sz w:val="16"/>
        </w:rPr>
        <w:t xml:space="preserve"> V, </w:t>
      </w:r>
      <w:proofErr w:type="spellStart"/>
      <w:r w:rsidRPr="002B7E5C">
        <w:rPr>
          <w:color w:val="FF0000"/>
          <w:sz w:val="16"/>
        </w:rPr>
        <w:t>Puvanesuaran</w:t>
      </w:r>
      <w:proofErr w:type="spellEnd"/>
      <w:r w:rsidRPr="002B7E5C">
        <w:rPr>
          <w:color w:val="FF0000"/>
          <w:sz w:val="16"/>
        </w:rPr>
        <w:t xml:space="preserve"> VR, </w:t>
      </w:r>
      <w:proofErr w:type="spellStart"/>
      <w:r w:rsidRPr="002B7E5C">
        <w:rPr>
          <w:color w:val="FF0000"/>
          <w:sz w:val="16"/>
        </w:rPr>
        <w:t>Sarker</w:t>
      </w:r>
      <w:proofErr w:type="spellEnd"/>
      <w:r w:rsidRPr="002B7E5C">
        <w:rPr>
          <w:color w:val="FF0000"/>
          <w:sz w:val="16"/>
        </w:rPr>
        <w:t xml:space="preserve"> MZ, </w:t>
      </w:r>
      <w:proofErr w:type="spellStart"/>
      <w:r w:rsidRPr="002B7E5C">
        <w:rPr>
          <w:color w:val="FF0000"/>
          <w:sz w:val="16"/>
        </w:rPr>
        <w:t>Kadir</w:t>
      </w:r>
      <w:proofErr w:type="spellEnd"/>
      <w:r w:rsidRPr="002B7E5C">
        <w:rPr>
          <w:color w:val="FF0000"/>
          <w:sz w:val="16"/>
        </w:rPr>
        <w:t xml:space="preserve"> MO. 2013, Infectious risk assessment of unsafe handling practices and mana</w:t>
      </w:r>
      <w:r w:rsidR="004D241D" w:rsidRPr="002B7E5C">
        <w:rPr>
          <w:color w:val="FF0000"/>
          <w:sz w:val="16"/>
        </w:rPr>
        <w:t xml:space="preserve">gement of clinical solid waste, </w:t>
      </w:r>
      <w:r w:rsidR="006F17C6" w:rsidRPr="002B7E5C">
        <w:rPr>
          <w:color w:val="FF0000"/>
          <w:sz w:val="16"/>
        </w:rPr>
        <w:t xml:space="preserve">International Journal of Environmental Research and Public Health, 10(2), 556–567. </w:t>
      </w:r>
    </w:p>
    <w:p w14:paraId="63AEF707" w14:textId="1D88FEAA" w:rsidR="006F17C6" w:rsidRPr="002B7E5C" w:rsidRDefault="004D241D" w:rsidP="006F17C6">
      <w:pPr>
        <w:widowControl w:val="0"/>
        <w:autoSpaceDE w:val="0"/>
        <w:autoSpaceDN w:val="0"/>
        <w:adjustRightInd w:val="0"/>
        <w:spacing w:line="240" w:lineRule="auto"/>
        <w:ind w:left="284" w:hanging="284"/>
        <w:rPr>
          <w:color w:val="FF0000"/>
          <w:sz w:val="16"/>
        </w:rPr>
      </w:pPr>
      <w:r w:rsidRPr="002B7E5C">
        <w:rPr>
          <w:color w:val="FF0000"/>
          <w:sz w:val="16"/>
        </w:rPr>
        <w:t>Stramarkou</w:t>
      </w:r>
      <w:r w:rsidR="006F17C6" w:rsidRPr="002B7E5C">
        <w:rPr>
          <w:color w:val="FF0000"/>
          <w:sz w:val="16"/>
        </w:rPr>
        <w:t xml:space="preserve"> M. </w:t>
      </w:r>
      <w:r w:rsidRPr="002B7E5C">
        <w:rPr>
          <w:color w:val="FF0000"/>
          <w:sz w:val="16"/>
        </w:rPr>
        <w:t xml:space="preserve">Oikonomopoulou, V., Missirli, T., </w:t>
      </w:r>
      <w:proofErr w:type="spellStart"/>
      <w:r w:rsidRPr="002B7E5C">
        <w:rPr>
          <w:color w:val="FF0000"/>
          <w:sz w:val="16"/>
        </w:rPr>
        <w:t>Thanassoulia</w:t>
      </w:r>
      <w:proofErr w:type="spellEnd"/>
      <w:r w:rsidRPr="002B7E5C">
        <w:rPr>
          <w:color w:val="FF0000"/>
          <w:sz w:val="16"/>
        </w:rPr>
        <w:t xml:space="preserve"> I., </w:t>
      </w:r>
      <w:proofErr w:type="spellStart"/>
      <w:r w:rsidRPr="002B7E5C">
        <w:rPr>
          <w:color w:val="FF0000"/>
          <w:sz w:val="16"/>
        </w:rPr>
        <w:t>Krokida</w:t>
      </w:r>
      <w:proofErr w:type="spellEnd"/>
      <w:r w:rsidRPr="002B7E5C">
        <w:rPr>
          <w:color w:val="FF0000"/>
          <w:sz w:val="16"/>
        </w:rPr>
        <w:t xml:space="preserve"> M., 2020, </w:t>
      </w:r>
      <w:r w:rsidR="006F17C6" w:rsidRPr="002B7E5C">
        <w:rPr>
          <w:color w:val="FF0000"/>
          <w:sz w:val="16"/>
        </w:rPr>
        <w:t>Encapsulation of Rosemary Essential Oil into Biodegradable Polymers for</w:t>
      </w:r>
      <w:r w:rsidRPr="002B7E5C">
        <w:rPr>
          <w:color w:val="FF0000"/>
          <w:sz w:val="16"/>
        </w:rPr>
        <w:t xml:space="preserve"> Application in Crop Management</w:t>
      </w:r>
      <w:r w:rsidR="006F17C6" w:rsidRPr="002B7E5C">
        <w:rPr>
          <w:color w:val="FF0000"/>
          <w:sz w:val="16"/>
        </w:rPr>
        <w:t xml:space="preserve">, Journal of Polymers and the Environment. </w:t>
      </w:r>
      <w:r w:rsidRPr="002B7E5C">
        <w:rPr>
          <w:bCs/>
          <w:color w:val="FF0000"/>
          <w:sz w:val="16"/>
        </w:rPr>
        <w:t> 28</w:t>
      </w:r>
      <w:r w:rsidRPr="002B7E5C">
        <w:rPr>
          <w:color w:val="FF0000"/>
          <w:sz w:val="16"/>
        </w:rPr>
        <w:t>, 2161–2177.</w:t>
      </w:r>
    </w:p>
    <w:p w14:paraId="4A47A38E" w14:textId="6DE38683" w:rsidR="006F17C6" w:rsidRPr="002B7E5C" w:rsidRDefault="006F17C6" w:rsidP="006F17C6">
      <w:pPr>
        <w:widowControl w:val="0"/>
        <w:autoSpaceDE w:val="0"/>
        <w:autoSpaceDN w:val="0"/>
        <w:adjustRightInd w:val="0"/>
        <w:spacing w:line="240" w:lineRule="auto"/>
        <w:ind w:left="284" w:hanging="284"/>
        <w:rPr>
          <w:color w:val="FF0000"/>
          <w:sz w:val="16"/>
        </w:rPr>
      </w:pPr>
      <w:r w:rsidRPr="002B7E5C">
        <w:rPr>
          <w:color w:val="FF0000"/>
          <w:sz w:val="16"/>
        </w:rPr>
        <w:t>Tripoli E.</w:t>
      </w:r>
      <w:r w:rsidR="004D241D" w:rsidRPr="002B7E5C">
        <w:rPr>
          <w:color w:val="FF0000"/>
          <w:sz w:val="16"/>
        </w:rPr>
        <w:t xml:space="preserve">, La Guardia M., </w:t>
      </w:r>
      <w:proofErr w:type="spellStart"/>
      <w:r w:rsidR="004D241D" w:rsidRPr="002B7E5C">
        <w:rPr>
          <w:color w:val="FF0000"/>
          <w:sz w:val="16"/>
        </w:rPr>
        <w:t>Giammanco</w:t>
      </w:r>
      <w:proofErr w:type="spellEnd"/>
      <w:r w:rsidR="004D241D" w:rsidRPr="002B7E5C">
        <w:rPr>
          <w:color w:val="FF0000"/>
          <w:sz w:val="16"/>
        </w:rPr>
        <w:t xml:space="preserve"> S., Di </w:t>
      </w:r>
      <w:proofErr w:type="spellStart"/>
      <w:r w:rsidR="004D241D" w:rsidRPr="002B7E5C">
        <w:rPr>
          <w:color w:val="FF0000"/>
          <w:sz w:val="16"/>
        </w:rPr>
        <w:t>Majo</w:t>
      </w:r>
      <w:proofErr w:type="spellEnd"/>
      <w:r w:rsidR="004D241D" w:rsidRPr="002B7E5C">
        <w:rPr>
          <w:color w:val="FF0000"/>
          <w:sz w:val="16"/>
        </w:rPr>
        <w:t xml:space="preserve"> D., </w:t>
      </w:r>
      <w:proofErr w:type="spellStart"/>
      <w:r w:rsidR="004D241D" w:rsidRPr="002B7E5C">
        <w:rPr>
          <w:color w:val="FF0000"/>
          <w:sz w:val="16"/>
        </w:rPr>
        <w:t>Giammanco</w:t>
      </w:r>
      <w:proofErr w:type="spellEnd"/>
      <w:r w:rsidR="004D241D" w:rsidRPr="002B7E5C">
        <w:rPr>
          <w:color w:val="FF0000"/>
          <w:sz w:val="16"/>
        </w:rPr>
        <w:t xml:space="preserve"> M., 2007, </w:t>
      </w:r>
      <w:r w:rsidRPr="002B7E5C">
        <w:rPr>
          <w:color w:val="FF0000"/>
          <w:sz w:val="16"/>
        </w:rPr>
        <w:t>Citrus flavonoids: Molecular structure, biological activity and nutritional properties: A review, Fo</w:t>
      </w:r>
      <w:r w:rsidR="004D241D" w:rsidRPr="002B7E5C">
        <w:rPr>
          <w:color w:val="FF0000"/>
          <w:sz w:val="16"/>
        </w:rPr>
        <w:t>od Chemistry, 104(“), 466-479.</w:t>
      </w:r>
    </w:p>
    <w:p w14:paraId="395A5A86" w14:textId="3F70ED7B" w:rsidR="006F17C6" w:rsidRPr="002B7E5C" w:rsidRDefault="004D241D" w:rsidP="006F17C6">
      <w:pPr>
        <w:widowControl w:val="0"/>
        <w:autoSpaceDE w:val="0"/>
        <w:autoSpaceDN w:val="0"/>
        <w:adjustRightInd w:val="0"/>
        <w:spacing w:line="240" w:lineRule="auto"/>
        <w:ind w:left="284" w:hanging="284"/>
        <w:rPr>
          <w:color w:val="FF0000"/>
          <w:sz w:val="16"/>
        </w:rPr>
      </w:pPr>
      <w:proofErr w:type="gramStart"/>
      <w:r w:rsidRPr="002B7E5C">
        <w:rPr>
          <w:color w:val="FF0000"/>
          <w:sz w:val="16"/>
        </w:rPr>
        <w:t xml:space="preserve">WHO, 2014, </w:t>
      </w:r>
      <w:r w:rsidR="006F17C6" w:rsidRPr="002B7E5C">
        <w:rPr>
          <w:color w:val="FF0000"/>
          <w:sz w:val="16"/>
        </w:rPr>
        <w:t xml:space="preserve">Safe management of wastes from health-care activities - </w:t>
      </w:r>
      <w:r w:rsidRPr="002B7E5C">
        <w:rPr>
          <w:color w:val="FF0000"/>
          <w:sz w:val="16"/>
        </w:rPr>
        <w:t>edited by CHARTIER, Yves et al.</w:t>
      </w:r>
      <w:r w:rsidR="006F17C6" w:rsidRPr="002B7E5C">
        <w:rPr>
          <w:color w:val="FF0000"/>
          <w:sz w:val="16"/>
        </w:rPr>
        <w:t>, World Health Organization.</w:t>
      </w:r>
      <w:proofErr w:type="gramEnd"/>
    </w:p>
    <w:p w14:paraId="088947E1" w14:textId="77777777" w:rsidR="006F17C6" w:rsidRPr="008D76B6" w:rsidRDefault="006F17C6" w:rsidP="006F17C6">
      <w:pPr>
        <w:widowControl w:val="0"/>
        <w:autoSpaceDE w:val="0"/>
        <w:autoSpaceDN w:val="0"/>
        <w:adjustRightInd w:val="0"/>
        <w:spacing w:line="240" w:lineRule="auto"/>
        <w:ind w:left="284" w:hanging="284"/>
        <w:rPr>
          <w:sz w:val="16"/>
        </w:rPr>
      </w:pPr>
    </w:p>
    <w:sectPr w:rsidR="006F17C6" w:rsidRPr="008D76B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84C26" w14:textId="77777777" w:rsidR="00D2350E" w:rsidRDefault="00D2350E" w:rsidP="004F5E36">
      <w:r>
        <w:separator/>
      </w:r>
    </w:p>
  </w:endnote>
  <w:endnote w:type="continuationSeparator" w:id="0">
    <w:p w14:paraId="6B3D80A4" w14:textId="77777777" w:rsidR="00D2350E" w:rsidRDefault="00D2350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6FDD0" w14:textId="77777777" w:rsidR="00D2350E" w:rsidRDefault="00D2350E" w:rsidP="004F5E36">
      <w:r>
        <w:separator/>
      </w:r>
    </w:p>
  </w:footnote>
  <w:footnote w:type="continuationSeparator" w:id="0">
    <w:p w14:paraId="7289FF91" w14:textId="77777777" w:rsidR="00D2350E" w:rsidRDefault="00D2350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8F30ED"/>
    <w:multiLevelType w:val="hybridMultilevel"/>
    <w:tmpl w:val="BB228F46"/>
    <w:lvl w:ilvl="0" w:tplc="B76AE3D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014"/>
    <w:rsid w:val="000117CB"/>
    <w:rsid w:val="00017B73"/>
    <w:rsid w:val="00026C3E"/>
    <w:rsid w:val="0003148D"/>
    <w:rsid w:val="00031923"/>
    <w:rsid w:val="00031EEC"/>
    <w:rsid w:val="000400EE"/>
    <w:rsid w:val="00041462"/>
    <w:rsid w:val="00051566"/>
    <w:rsid w:val="00051C5C"/>
    <w:rsid w:val="00062A9A"/>
    <w:rsid w:val="00065058"/>
    <w:rsid w:val="00066AB7"/>
    <w:rsid w:val="00071283"/>
    <w:rsid w:val="00076DF4"/>
    <w:rsid w:val="00086C39"/>
    <w:rsid w:val="000969E2"/>
    <w:rsid w:val="000A03B2"/>
    <w:rsid w:val="000A6BF4"/>
    <w:rsid w:val="000D0268"/>
    <w:rsid w:val="000D34BE"/>
    <w:rsid w:val="000E102F"/>
    <w:rsid w:val="000E30A9"/>
    <w:rsid w:val="000E36F1"/>
    <w:rsid w:val="000E3A73"/>
    <w:rsid w:val="000E414A"/>
    <w:rsid w:val="000F093C"/>
    <w:rsid w:val="000F787B"/>
    <w:rsid w:val="00103895"/>
    <w:rsid w:val="00104943"/>
    <w:rsid w:val="0012091F"/>
    <w:rsid w:val="00126BC2"/>
    <w:rsid w:val="001308B6"/>
    <w:rsid w:val="0013121F"/>
    <w:rsid w:val="00131FE6"/>
    <w:rsid w:val="0013263F"/>
    <w:rsid w:val="001331DF"/>
    <w:rsid w:val="00134DE4"/>
    <w:rsid w:val="00135604"/>
    <w:rsid w:val="0014034D"/>
    <w:rsid w:val="00144D16"/>
    <w:rsid w:val="00150E59"/>
    <w:rsid w:val="00152DE3"/>
    <w:rsid w:val="00153406"/>
    <w:rsid w:val="00164CF9"/>
    <w:rsid w:val="001667A6"/>
    <w:rsid w:val="00166FBD"/>
    <w:rsid w:val="001676DC"/>
    <w:rsid w:val="00167BC2"/>
    <w:rsid w:val="00184AD6"/>
    <w:rsid w:val="001954AE"/>
    <w:rsid w:val="001A4AF7"/>
    <w:rsid w:val="001B0349"/>
    <w:rsid w:val="001B0927"/>
    <w:rsid w:val="001B1E93"/>
    <w:rsid w:val="001B65C1"/>
    <w:rsid w:val="001C684B"/>
    <w:rsid w:val="001C706E"/>
    <w:rsid w:val="001D0CFB"/>
    <w:rsid w:val="001D2A89"/>
    <w:rsid w:val="001D53FC"/>
    <w:rsid w:val="001D59B3"/>
    <w:rsid w:val="001F42A5"/>
    <w:rsid w:val="001F7B9D"/>
    <w:rsid w:val="00201C93"/>
    <w:rsid w:val="00220297"/>
    <w:rsid w:val="002224B4"/>
    <w:rsid w:val="00243735"/>
    <w:rsid w:val="002447EF"/>
    <w:rsid w:val="00251550"/>
    <w:rsid w:val="00263B05"/>
    <w:rsid w:val="00267CBC"/>
    <w:rsid w:val="0027221A"/>
    <w:rsid w:val="002734BE"/>
    <w:rsid w:val="00275B61"/>
    <w:rsid w:val="00280FAF"/>
    <w:rsid w:val="00282656"/>
    <w:rsid w:val="0028743D"/>
    <w:rsid w:val="0029316E"/>
    <w:rsid w:val="00293509"/>
    <w:rsid w:val="00296B83"/>
    <w:rsid w:val="002A0542"/>
    <w:rsid w:val="002A2108"/>
    <w:rsid w:val="002A544F"/>
    <w:rsid w:val="002B4015"/>
    <w:rsid w:val="002B78CE"/>
    <w:rsid w:val="002B7E5C"/>
    <w:rsid w:val="002C2FB6"/>
    <w:rsid w:val="002E5FA7"/>
    <w:rsid w:val="002F2774"/>
    <w:rsid w:val="002F3309"/>
    <w:rsid w:val="002F484F"/>
    <w:rsid w:val="00300375"/>
    <w:rsid w:val="003008CE"/>
    <w:rsid w:val="003009B7"/>
    <w:rsid w:val="00300E56"/>
    <w:rsid w:val="0030469C"/>
    <w:rsid w:val="00317B3A"/>
    <w:rsid w:val="00321CA6"/>
    <w:rsid w:val="00323763"/>
    <w:rsid w:val="003252B2"/>
    <w:rsid w:val="0033490A"/>
    <w:rsid w:val="00334C09"/>
    <w:rsid w:val="00356A80"/>
    <w:rsid w:val="00371853"/>
    <w:rsid w:val="003723D4"/>
    <w:rsid w:val="00381905"/>
    <w:rsid w:val="00384CC8"/>
    <w:rsid w:val="003871FD"/>
    <w:rsid w:val="003A1E30"/>
    <w:rsid w:val="003A2829"/>
    <w:rsid w:val="003A48B0"/>
    <w:rsid w:val="003A7D1C"/>
    <w:rsid w:val="003B2450"/>
    <w:rsid w:val="003B304B"/>
    <w:rsid w:val="003B3146"/>
    <w:rsid w:val="003C542D"/>
    <w:rsid w:val="003C6005"/>
    <w:rsid w:val="003E073C"/>
    <w:rsid w:val="003E491B"/>
    <w:rsid w:val="003F015E"/>
    <w:rsid w:val="003F7C4D"/>
    <w:rsid w:val="00400414"/>
    <w:rsid w:val="0041446B"/>
    <w:rsid w:val="0042264F"/>
    <w:rsid w:val="0044329C"/>
    <w:rsid w:val="00451D85"/>
    <w:rsid w:val="00453E24"/>
    <w:rsid w:val="00457456"/>
    <w:rsid w:val="004577FE"/>
    <w:rsid w:val="00457B9C"/>
    <w:rsid w:val="0046164A"/>
    <w:rsid w:val="004628D2"/>
    <w:rsid w:val="00462DCD"/>
    <w:rsid w:val="004648AD"/>
    <w:rsid w:val="00467508"/>
    <w:rsid w:val="004703A9"/>
    <w:rsid w:val="004760DE"/>
    <w:rsid w:val="004763D7"/>
    <w:rsid w:val="004877B3"/>
    <w:rsid w:val="004A004E"/>
    <w:rsid w:val="004A24CF"/>
    <w:rsid w:val="004B5C9F"/>
    <w:rsid w:val="004C033C"/>
    <w:rsid w:val="004C3D1D"/>
    <w:rsid w:val="004C66D1"/>
    <w:rsid w:val="004C7913"/>
    <w:rsid w:val="004D241D"/>
    <w:rsid w:val="004E4DD6"/>
    <w:rsid w:val="004F41FB"/>
    <w:rsid w:val="004F5E36"/>
    <w:rsid w:val="0050684D"/>
    <w:rsid w:val="00506AD0"/>
    <w:rsid w:val="00507B47"/>
    <w:rsid w:val="00507BEF"/>
    <w:rsid w:val="00507CC9"/>
    <w:rsid w:val="0051057C"/>
    <w:rsid w:val="005119A5"/>
    <w:rsid w:val="005278B7"/>
    <w:rsid w:val="00532016"/>
    <w:rsid w:val="005346C8"/>
    <w:rsid w:val="00543E7D"/>
    <w:rsid w:val="00547A68"/>
    <w:rsid w:val="005531C9"/>
    <w:rsid w:val="00570C43"/>
    <w:rsid w:val="005B2110"/>
    <w:rsid w:val="005B61E6"/>
    <w:rsid w:val="005B62DA"/>
    <w:rsid w:val="005C4CAA"/>
    <w:rsid w:val="005C77E1"/>
    <w:rsid w:val="005C7DBC"/>
    <w:rsid w:val="005D668A"/>
    <w:rsid w:val="005D6A2F"/>
    <w:rsid w:val="005E1A82"/>
    <w:rsid w:val="005E794C"/>
    <w:rsid w:val="005F0A28"/>
    <w:rsid w:val="005F0E5E"/>
    <w:rsid w:val="00600535"/>
    <w:rsid w:val="00610CD6"/>
    <w:rsid w:val="00620DEE"/>
    <w:rsid w:val="00621F92"/>
    <w:rsid w:val="0062280A"/>
    <w:rsid w:val="00623D86"/>
    <w:rsid w:val="00625639"/>
    <w:rsid w:val="006262B1"/>
    <w:rsid w:val="00631B33"/>
    <w:rsid w:val="0064184D"/>
    <w:rsid w:val="00641C98"/>
    <w:rsid w:val="006422CC"/>
    <w:rsid w:val="00651E1C"/>
    <w:rsid w:val="00660E3E"/>
    <w:rsid w:val="00662E74"/>
    <w:rsid w:val="00680C23"/>
    <w:rsid w:val="00693766"/>
    <w:rsid w:val="00694FA0"/>
    <w:rsid w:val="006A0D15"/>
    <w:rsid w:val="006A30F6"/>
    <w:rsid w:val="006A3281"/>
    <w:rsid w:val="006B1BE1"/>
    <w:rsid w:val="006B4888"/>
    <w:rsid w:val="006C182B"/>
    <w:rsid w:val="006C2E45"/>
    <w:rsid w:val="006C359C"/>
    <w:rsid w:val="006C5579"/>
    <w:rsid w:val="006D6E8B"/>
    <w:rsid w:val="006E737D"/>
    <w:rsid w:val="006F17C6"/>
    <w:rsid w:val="006F5347"/>
    <w:rsid w:val="0070145E"/>
    <w:rsid w:val="00713973"/>
    <w:rsid w:val="0071521D"/>
    <w:rsid w:val="00717EB2"/>
    <w:rsid w:val="00720A24"/>
    <w:rsid w:val="00730EF4"/>
    <w:rsid w:val="00732386"/>
    <w:rsid w:val="0073514D"/>
    <w:rsid w:val="007447F3"/>
    <w:rsid w:val="0075499F"/>
    <w:rsid w:val="00754EC3"/>
    <w:rsid w:val="0076438B"/>
    <w:rsid w:val="007661C8"/>
    <w:rsid w:val="0077098D"/>
    <w:rsid w:val="00780840"/>
    <w:rsid w:val="00791931"/>
    <w:rsid w:val="007931FA"/>
    <w:rsid w:val="007965A8"/>
    <w:rsid w:val="007A4861"/>
    <w:rsid w:val="007A7BBA"/>
    <w:rsid w:val="007B0C50"/>
    <w:rsid w:val="007B48F9"/>
    <w:rsid w:val="007C1A43"/>
    <w:rsid w:val="007E392B"/>
    <w:rsid w:val="0080013E"/>
    <w:rsid w:val="008015CF"/>
    <w:rsid w:val="00813288"/>
    <w:rsid w:val="0081613C"/>
    <w:rsid w:val="008168FC"/>
    <w:rsid w:val="00827EE6"/>
    <w:rsid w:val="00830996"/>
    <w:rsid w:val="008345F1"/>
    <w:rsid w:val="00837AF1"/>
    <w:rsid w:val="00841636"/>
    <w:rsid w:val="00842135"/>
    <w:rsid w:val="008426B8"/>
    <w:rsid w:val="00842D48"/>
    <w:rsid w:val="00850637"/>
    <w:rsid w:val="00862C24"/>
    <w:rsid w:val="00865B07"/>
    <w:rsid w:val="00866612"/>
    <w:rsid w:val="008667EA"/>
    <w:rsid w:val="0086697C"/>
    <w:rsid w:val="0087637F"/>
    <w:rsid w:val="00892AD5"/>
    <w:rsid w:val="00894FD5"/>
    <w:rsid w:val="008A1512"/>
    <w:rsid w:val="008B12E3"/>
    <w:rsid w:val="008C141A"/>
    <w:rsid w:val="008D16B2"/>
    <w:rsid w:val="008D32B9"/>
    <w:rsid w:val="008D433B"/>
    <w:rsid w:val="008D4B2F"/>
    <w:rsid w:val="008D76B6"/>
    <w:rsid w:val="008E0FC4"/>
    <w:rsid w:val="008E566E"/>
    <w:rsid w:val="0090161A"/>
    <w:rsid w:val="00901EB6"/>
    <w:rsid w:val="00904C62"/>
    <w:rsid w:val="00916ECF"/>
    <w:rsid w:val="00922BA8"/>
    <w:rsid w:val="00924DAC"/>
    <w:rsid w:val="00925DA2"/>
    <w:rsid w:val="00927058"/>
    <w:rsid w:val="00942588"/>
    <w:rsid w:val="00942750"/>
    <w:rsid w:val="009450CE"/>
    <w:rsid w:val="00947179"/>
    <w:rsid w:val="0095164B"/>
    <w:rsid w:val="00954090"/>
    <w:rsid w:val="009573E7"/>
    <w:rsid w:val="00963E05"/>
    <w:rsid w:val="00967843"/>
    <w:rsid w:val="00967D54"/>
    <w:rsid w:val="00971028"/>
    <w:rsid w:val="00983419"/>
    <w:rsid w:val="00993B84"/>
    <w:rsid w:val="00996483"/>
    <w:rsid w:val="00996F5A"/>
    <w:rsid w:val="009A1E37"/>
    <w:rsid w:val="009A20BA"/>
    <w:rsid w:val="009B041A"/>
    <w:rsid w:val="009B51DF"/>
    <w:rsid w:val="009C37C3"/>
    <w:rsid w:val="009C7C86"/>
    <w:rsid w:val="009D2118"/>
    <w:rsid w:val="009D2FF7"/>
    <w:rsid w:val="009E7884"/>
    <w:rsid w:val="009E788A"/>
    <w:rsid w:val="009E78B8"/>
    <w:rsid w:val="009F0E08"/>
    <w:rsid w:val="00A0656B"/>
    <w:rsid w:val="00A1763D"/>
    <w:rsid w:val="00A17CEC"/>
    <w:rsid w:val="00A27EF0"/>
    <w:rsid w:val="00A42361"/>
    <w:rsid w:val="00A50B20"/>
    <w:rsid w:val="00A50C39"/>
    <w:rsid w:val="00A51390"/>
    <w:rsid w:val="00A5262D"/>
    <w:rsid w:val="00A576C1"/>
    <w:rsid w:val="00A60D13"/>
    <w:rsid w:val="00A61BDC"/>
    <w:rsid w:val="00A63A65"/>
    <w:rsid w:val="00A72745"/>
    <w:rsid w:val="00A76EFC"/>
    <w:rsid w:val="00A91010"/>
    <w:rsid w:val="00A97F29"/>
    <w:rsid w:val="00AA6170"/>
    <w:rsid w:val="00AA702E"/>
    <w:rsid w:val="00AB0964"/>
    <w:rsid w:val="00AB2D6A"/>
    <w:rsid w:val="00AB5011"/>
    <w:rsid w:val="00AC7368"/>
    <w:rsid w:val="00AD16B9"/>
    <w:rsid w:val="00AE377D"/>
    <w:rsid w:val="00AF0EBA"/>
    <w:rsid w:val="00B02C8A"/>
    <w:rsid w:val="00B17FBD"/>
    <w:rsid w:val="00B315A6"/>
    <w:rsid w:val="00B31813"/>
    <w:rsid w:val="00B33365"/>
    <w:rsid w:val="00B34984"/>
    <w:rsid w:val="00B45265"/>
    <w:rsid w:val="00B51906"/>
    <w:rsid w:val="00B568B1"/>
    <w:rsid w:val="00B57B36"/>
    <w:rsid w:val="00B57E6F"/>
    <w:rsid w:val="00B6348E"/>
    <w:rsid w:val="00B656F4"/>
    <w:rsid w:val="00B70254"/>
    <w:rsid w:val="00B72495"/>
    <w:rsid w:val="00B84F74"/>
    <w:rsid w:val="00B8686D"/>
    <w:rsid w:val="00B93F69"/>
    <w:rsid w:val="00BB1DDC"/>
    <w:rsid w:val="00BB2002"/>
    <w:rsid w:val="00BB798E"/>
    <w:rsid w:val="00BC30C9"/>
    <w:rsid w:val="00BD077D"/>
    <w:rsid w:val="00BE3E58"/>
    <w:rsid w:val="00BF2947"/>
    <w:rsid w:val="00C01616"/>
    <w:rsid w:val="00C0162B"/>
    <w:rsid w:val="00C05986"/>
    <w:rsid w:val="00C068ED"/>
    <w:rsid w:val="00C22E0C"/>
    <w:rsid w:val="00C33B32"/>
    <w:rsid w:val="00C345B1"/>
    <w:rsid w:val="00C40142"/>
    <w:rsid w:val="00C52C3C"/>
    <w:rsid w:val="00C5636D"/>
    <w:rsid w:val="00C57182"/>
    <w:rsid w:val="00C57863"/>
    <w:rsid w:val="00C655FD"/>
    <w:rsid w:val="00C65F83"/>
    <w:rsid w:val="00C75407"/>
    <w:rsid w:val="00C870A8"/>
    <w:rsid w:val="00C94434"/>
    <w:rsid w:val="00CA0D75"/>
    <w:rsid w:val="00CA1C95"/>
    <w:rsid w:val="00CA5A9C"/>
    <w:rsid w:val="00CA6E59"/>
    <w:rsid w:val="00CC32F1"/>
    <w:rsid w:val="00CC4C20"/>
    <w:rsid w:val="00CD0CF4"/>
    <w:rsid w:val="00CD2DFA"/>
    <w:rsid w:val="00CD3517"/>
    <w:rsid w:val="00CD5FE2"/>
    <w:rsid w:val="00CD6F6B"/>
    <w:rsid w:val="00CE7C68"/>
    <w:rsid w:val="00D02B4C"/>
    <w:rsid w:val="00D040C4"/>
    <w:rsid w:val="00D2350E"/>
    <w:rsid w:val="00D265DF"/>
    <w:rsid w:val="00D40044"/>
    <w:rsid w:val="00D46B7E"/>
    <w:rsid w:val="00D57C84"/>
    <w:rsid w:val="00D6057D"/>
    <w:rsid w:val="00D83494"/>
    <w:rsid w:val="00D836C5"/>
    <w:rsid w:val="00D84576"/>
    <w:rsid w:val="00D90221"/>
    <w:rsid w:val="00DA1399"/>
    <w:rsid w:val="00DA24C6"/>
    <w:rsid w:val="00DA4D7B"/>
    <w:rsid w:val="00DE264A"/>
    <w:rsid w:val="00DF4FD4"/>
    <w:rsid w:val="00DF5072"/>
    <w:rsid w:val="00DF6FD8"/>
    <w:rsid w:val="00E02D18"/>
    <w:rsid w:val="00E041E7"/>
    <w:rsid w:val="00E10D8C"/>
    <w:rsid w:val="00E23CA1"/>
    <w:rsid w:val="00E25823"/>
    <w:rsid w:val="00E409A8"/>
    <w:rsid w:val="00E50C12"/>
    <w:rsid w:val="00E65B91"/>
    <w:rsid w:val="00E7209D"/>
    <w:rsid w:val="00E72EAD"/>
    <w:rsid w:val="00E77223"/>
    <w:rsid w:val="00E8528B"/>
    <w:rsid w:val="00E85B94"/>
    <w:rsid w:val="00E978D0"/>
    <w:rsid w:val="00EA4613"/>
    <w:rsid w:val="00EA7F91"/>
    <w:rsid w:val="00EB1523"/>
    <w:rsid w:val="00EB19BA"/>
    <w:rsid w:val="00EB6EFA"/>
    <w:rsid w:val="00EC0E49"/>
    <w:rsid w:val="00EC101F"/>
    <w:rsid w:val="00EC1D9F"/>
    <w:rsid w:val="00EC23C9"/>
    <w:rsid w:val="00EC4A2A"/>
    <w:rsid w:val="00EC7E02"/>
    <w:rsid w:val="00EE0131"/>
    <w:rsid w:val="00EE17B0"/>
    <w:rsid w:val="00EF06D9"/>
    <w:rsid w:val="00F0486E"/>
    <w:rsid w:val="00F254F7"/>
    <w:rsid w:val="00F30C64"/>
    <w:rsid w:val="00F32BA2"/>
    <w:rsid w:val="00F32CDB"/>
    <w:rsid w:val="00F367D5"/>
    <w:rsid w:val="00F565FE"/>
    <w:rsid w:val="00F63A70"/>
    <w:rsid w:val="00F7534E"/>
    <w:rsid w:val="00F828CF"/>
    <w:rsid w:val="00F93843"/>
    <w:rsid w:val="00FA21D0"/>
    <w:rsid w:val="00FA5F5F"/>
    <w:rsid w:val="00FB730C"/>
    <w:rsid w:val="00FC2695"/>
    <w:rsid w:val="00FC3E03"/>
    <w:rsid w:val="00FC3FC1"/>
    <w:rsid w:val="00FD0B8F"/>
    <w:rsid w:val="00FD370D"/>
    <w:rsid w:val="00FE2B41"/>
    <w:rsid w:val="00FE58B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aliases w:val="CET Top_page"/>
    <w:rsid w:val="0028743D"/>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Char"/>
    <w:uiPriority w:val="99"/>
    <w:semiHidden/>
    <w:unhideWhenUsed/>
    <w:rsid w:val="000D34BE"/>
    <w:pPr>
      <w:spacing w:line="240" w:lineRule="auto"/>
    </w:pPr>
    <w:rPr>
      <w:rFonts w:ascii="Tahoma" w:hAnsi="Tahoma" w:cs="Tahoma"/>
      <w:sz w:val="16"/>
      <w:szCs w:val="16"/>
    </w:rPr>
  </w:style>
  <w:style w:type="character" w:customStyle="1" w:styleId="Char">
    <w:name w:val="Κείμενο πλαισίου Char"/>
    <w:basedOn w:val="a2"/>
    <w:link w:val="a6"/>
    <w:uiPriority w:val="99"/>
    <w:semiHidden/>
    <w:rsid w:val="000D34BE"/>
    <w:rPr>
      <w:rFonts w:ascii="Tahoma" w:hAnsi="Tahoma" w:cs="Tahoma"/>
      <w:sz w:val="16"/>
      <w:szCs w:val="16"/>
    </w:rPr>
  </w:style>
  <w:style w:type="paragraph" w:styleId="a7">
    <w:name w:val="Bibliography"/>
    <w:basedOn w:val="CETReferencetext"/>
    <w:uiPriority w:val="37"/>
    <w:unhideWhenUsed/>
    <w:rsid w:val="00631B33"/>
    <w:pPr>
      <w:spacing w:line="240" w:lineRule="auto"/>
      <w:ind w:left="720" w:hanging="720"/>
    </w:pPr>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Σώμα κείμενου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Σώμα κείμενου 3 Char"/>
    <w:basedOn w:val="a2"/>
    <w:link w:val="32"/>
    <w:uiPriority w:val="99"/>
    <w:semiHidden/>
    <w:rsid w:val="0003148D"/>
    <w:rPr>
      <w:sz w:val="16"/>
      <w:szCs w:val="16"/>
    </w:rPr>
  </w:style>
  <w:style w:type="paragraph" w:styleId="a8">
    <w:name w:val="Body Text"/>
    <w:basedOn w:val="a1"/>
    <w:link w:val="Char0"/>
    <w:uiPriority w:val="99"/>
    <w:semiHidden/>
    <w:unhideWhenUsed/>
    <w:rsid w:val="0003148D"/>
    <w:pPr>
      <w:spacing w:after="120"/>
    </w:pPr>
  </w:style>
  <w:style w:type="character" w:customStyle="1" w:styleId="Char0">
    <w:name w:val="Σώμα κειμένου Char"/>
    <w:basedOn w:val="a2"/>
    <w:link w:val="a8"/>
    <w:uiPriority w:val="99"/>
    <w:semiHidden/>
    <w:rsid w:val="0003148D"/>
  </w:style>
  <w:style w:type="paragraph" w:styleId="a9">
    <w:name w:val="Date"/>
    <w:basedOn w:val="a1"/>
    <w:next w:val="a1"/>
    <w:link w:val="Char1"/>
    <w:uiPriority w:val="99"/>
    <w:semiHidden/>
    <w:unhideWhenUsed/>
    <w:rsid w:val="0003148D"/>
  </w:style>
  <w:style w:type="character" w:customStyle="1" w:styleId="Char1">
    <w:name w:val="Ημερομηνία Char"/>
    <w:basedOn w:val="a2"/>
    <w:link w:val="a9"/>
    <w:uiPriority w:val="99"/>
    <w:semiHidden/>
    <w:rsid w:val="0003148D"/>
  </w:style>
  <w:style w:type="paragraph" w:styleId="aa">
    <w:name w:val="caption"/>
    <w:basedOn w:val="a1"/>
    <w:next w:val="a1"/>
    <w:uiPriority w:val="35"/>
    <w:semiHidden/>
    <w:unhideWhenUsed/>
    <w:qFormat/>
    <w:rsid w:val="0003148D"/>
    <w:pPr>
      <w:spacing w:line="240" w:lineRule="auto"/>
    </w:pPr>
    <w:rPr>
      <w:b/>
      <w:bCs/>
      <w:color w:val="4F81BD" w:themeColor="accent1"/>
      <w:szCs w:val="18"/>
    </w:rPr>
  </w:style>
  <w:style w:type="paragraph" w:styleId="ab">
    <w:name w:val="List"/>
    <w:basedOn w:val="a1"/>
    <w:uiPriority w:val="99"/>
    <w:semiHidden/>
    <w:unhideWhenUsed/>
    <w:rsid w:val="0003148D"/>
    <w:pPr>
      <w:ind w:left="283" w:hanging="283"/>
      <w:contextualSpacing/>
    </w:pPr>
  </w:style>
  <w:style w:type="paragraph" w:styleId="23">
    <w:name w:val="List 2"/>
    <w:basedOn w:val="a1"/>
    <w:uiPriority w:val="99"/>
    <w:semiHidden/>
    <w:unhideWhenUsed/>
    <w:rsid w:val="0003148D"/>
    <w:pPr>
      <w:ind w:left="566" w:hanging="283"/>
      <w:contextualSpacing/>
    </w:pPr>
  </w:style>
  <w:style w:type="paragraph" w:styleId="33">
    <w:name w:val="List 3"/>
    <w:basedOn w:val="a1"/>
    <w:uiPriority w:val="99"/>
    <w:semiHidden/>
    <w:unhideWhenUsed/>
    <w:rsid w:val="0003148D"/>
    <w:pPr>
      <w:ind w:left="849" w:hanging="283"/>
      <w:contextualSpacing/>
    </w:pPr>
  </w:style>
  <w:style w:type="paragraph" w:styleId="42">
    <w:name w:val="List 4"/>
    <w:basedOn w:val="a1"/>
    <w:uiPriority w:val="99"/>
    <w:semiHidden/>
    <w:unhideWhenUsed/>
    <w:rsid w:val="0003148D"/>
    <w:pPr>
      <w:ind w:left="1132" w:hanging="283"/>
      <w:contextualSpacing/>
    </w:pPr>
  </w:style>
  <w:style w:type="paragraph" w:styleId="52">
    <w:name w:val="List 5"/>
    <w:basedOn w:val="a1"/>
    <w:uiPriority w:val="99"/>
    <w:semiHidden/>
    <w:unhideWhenUsed/>
    <w:rsid w:val="0003148D"/>
    <w:pPr>
      <w:ind w:left="1415" w:hanging="283"/>
      <w:contextualSpacing/>
    </w:pPr>
  </w:style>
  <w:style w:type="paragraph" w:styleId="ac">
    <w:name w:val="List Continue"/>
    <w:basedOn w:val="a1"/>
    <w:uiPriority w:val="99"/>
    <w:semiHidden/>
    <w:unhideWhenUsed/>
    <w:rsid w:val="0003148D"/>
    <w:pPr>
      <w:spacing w:after="120"/>
      <w:ind w:left="283"/>
      <w:contextualSpacing/>
    </w:pPr>
  </w:style>
  <w:style w:type="paragraph" w:styleId="24">
    <w:name w:val="List Continue 2"/>
    <w:basedOn w:val="a1"/>
    <w:uiPriority w:val="99"/>
    <w:semiHidden/>
    <w:unhideWhenUsed/>
    <w:rsid w:val="0003148D"/>
    <w:pPr>
      <w:spacing w:after="120"/>
      <w:ind w:left="566"/>
      <w:contextualSpacing/>
    </w:pPr>
  </w:style>
  <w:style w:type="paragraph" w:styleId="34">
    <w:name w:val="List Continue 3"/>
    <w:basedOn w:val="a1"/>
    <w:uiPriority w:val="99"/>
    <w:semiHidden/>
    <w:unhideWhenUsed/>
    <w:rsid w:val="0003148D"/>
    <w:pPr>
      <w:spacing w:after="120"/>
      <w:ind w:left="849"/>
      <w:contextualSpacing/>
    </w:pPr>
  </w:style>
  <w:style w:type="paragraph" w:styleId="43">
    <w:name w:val="List Continue 4"/>
    <w:basedOn w:val="a1"/>
    <w:uiPriority w:val="99"/>
    <w:semiHidden/>
    <w:unhideWhenUsed/>
    <w:rsid w:val="0003148D"/>
    <w:pPr>
      <w:spacing w:after="120"/>
      <w:ind w:left="1132"/>
      <w:contextualSpacing/>
    </w:pPr>
  </w:style>
  <w:style w:type="paragraph" w:styleId="53">
    <w:name w:val="List Continue 5"/>
    <w:basedOn w:val="a1"/>
    <w:uiPriority w:val="99"/>
    <w:semiHidden/>
    <w:unhideWhenUsed/>
    <w:rsid w:val="0003148D"/>
    <w:pPr>
      <w:spacing w:after="120"/>
      <w:ind w:left="1415"/>
      <w:contextualSpacing/>
    </w:pPr>
  </w:style>
  <w:style w:type="paragraph" w:styleId="ad">
    <w:name w:val="Signature"/>
    <w:basedOn w:val="a1"/>
    <w:link w:val="Char2"/>
    <w:uiPriority w:val="99"/>
    <w:semiHidden/>
    <w:unhideWhenUsed/>
    <w:rsid w:val="0003148D"/>
    <w:pPr>
      <w:spacing w:line="240" w:lineRule="auto"/>
      <w:ind w:left="4252"/>
    </w:pPr>
  </w:style>
  <w:style w:type="character" w:customStyle="1" w:styleId="Char2">
    <w:name w:val="Υπογραφή Char"/>
    <w:basedOn w:val="a2"/>
    <w:link w:val="ad"/>
    <w:uiPriority w:val="99"/>
    <w:semiHidden/>
    <w:rsid w:val="0003148D"/>
  </w:style>
  <w:style w:type="paragraph" w:styleId="ae">
    <w:name w:val="E-mail Signature"/>
    <w:basedOn w:val="a1"/>
    <w:link w:val="Char3"/>
    <w:uiPriority w:val="99"/>
    <w:semiHidden/>
    <w:unhideWhenUsed/>
    <w:rsid w:val="0003148D"/>
    <w:pPr>
      <w:spacing w:line="240" w:lineRule="auto"/>
    </w:pPr>
  </w:style>
  <w:style w:type="character" w:customStyle="1" w:styleId="Char3">
    <w:name w:val="Υπογραφή ηλεκτρονικού ταχυδρομείου Char"/>
    <w:basedOn w:val="a2"/>
    <w:link w:val="ae"/>
    <w:uiPriority w:val="99"/>
    <w:semiHidden/>
    <w:rsid w:val="0003148D"/>
  </w:style>
  <w:style w:type="paragraph" w:styleId="af">
    <w:name w:val="Salutation"/>
    <w:basedOn w:val="a1"/>
    <w:next w:val="a1"/>
    <w:link w:val="Char4"/>
    <w:uiPriority w:val="99"/>
    <w:semiHidden/>
    <w:unhideWhenUsed/>
    <w:rsid w:val="0003148D"/>
  </w:style>
  <w:style w:type="character" w:customStyle="1" w:styleId="Char4">
    <w:name w:val="Χαιρετισμός Char"/>
    <w:basedOn w:val="a2"/>
    <w:link w:val="af"/>
    <w:uiPriority w:val="99"/>
    <w:semiHidden/>
    <w:rsid w:val="0003148D"/>
  </w:style>
  <w:style w:type="paragraph" w:styleId="af0">
    <w:name w:val="Closing"/>
    <w:basedOn w:val="a1"/>
    <w:link w:val="Char5"/>
    <w:uiPriority w:val="99"/>
    <w:semiHidden/>
    <w:unhideWhenUsed/>
    <w:rsid w:val="0003148D"/>
    <w:pPr>
      <w:spacing w:line="240" w:lineRule="auto"/>
      <w:ind w:left="4252"/>
    </w:pPr>
  </w:style>
  <w:style w:type="character" w:customStyle="1" w:styleId="Char5">
    <w:name w:val="Κλείσιμο Char"/>
    <w:basedOn w:val="a2"/>
    <w:link w:val="af0"/>
    <w:uiPriority w:val="99"/>
    <w:semiHidden/>
    <w:rsid w:val="0003148D"/>
  </w:style>
  <w:style w:type="paragraph" w:styleId="11">
    <w:name w:val="index 1"/>
    <w:basedOn w:val="a1"/>
    <w:next w:val="a1"/>
    <w:autoRedefine/>
    <w:uiPriority w:val="99"/>
    <w:semiHidden/>
    <w:unhideWhenUsed/>
    <w:rsid w:val="0003148D"/>
    <w:pPr>
      <w:spacing w:line="240" w:lineRule="auto"/>
      <w:ind w:left="220" w:hanging="220"/>
    </w:pPr>
  </w:style>
  <w:style w:type="paragraph" w:styleId="25">
    <w:name w:val="index 2"/>
    <w:basedOn w:val="a1"/>
    <w:next w:val="a1"/>
    <w:autoRedefine/>
    <w:uiPriority w:val="99"/>
    <w:semiHidden/>
    <w:unhideWhenUsed/>
    <w:rsid w:val="0003148D"/>
    <w:pPr>
      <w:spacing w:line="240" w:lineRule="auto"/>
      <w:ind w:left="440" w:hanging="220"/>
    </w:pPr>
  </w:style>
  <w:style w:type="paragraph" w:styleId="35">
    <w:name w:val="index 3"/>
    <w:basedOn w:val="a1"/>
    <w:next w:val="a1"/>
    <w:autoRedefine/>
    <w:uiPriority w:val="99"/>
    <w:semiHidden/>
    <w:unhideWhenUsed/>
    <w:rsid w:val="0003148D"/>
    <w:pPr>
      <w:spacing w:line="240" w:lineRule="auto"/>
      <w:ind w:left="660" w:hanging="220"/>
    </w:pPr>
  </w:style>
  <w:style w:type="paragraph" w:styleId="44">
    <w:name w:val="index 4"/>
    <w:basedOn w:val="a1"/>
    <w:next w:val="a1"/>
    <w:autoRedefine/>
    <w:uiPriority w:val="99"/>
    <w:semiHidden/>
    <w:unhideWhenUsed/>
    <w:rsid w:val="0003148D"/>
    <w:pPr>
      <w:spacing w:line="240" w:lineRule="auto"/>
      <w:ind w:left="880" w:hanging="220"/>
    </w:pPr>
  </w:style>
  <w:style w:type="paragraph" w:styleId="54">
    <w:name w:val="index 5"/>
    <w:basedOn w:val="a1"/>
    <w:next w:val="a1"/>
    <w:autoRedefine/>
    <w:uiPriority w:val="99"/>
    <w:semiHidden/>
    <w:unhideWhenUsed/>
    <w:rsid w:val="0003148D"/>
    <w:pPr>
      <w:spacing w:line="240" w:lineRule="auto"/>
      <w:ind w:left="1100" w:hanging="220"/>
    </w:pPr>
  </w:style>
  <w:style w:type="paragraph" w:styleId="60">
    <w:name w:val="index 6"/>
    <w:basedOn w:val="a1"/>
    <w:next w:val="a1"/>
    <w:autoRedefine/>
    <w:uiPriority w:val="99"/>
    <w:semiHidden/>
    <w:unhideWhenUsed/>
    <w:rsid w:val="0003148D"/>
    <w:pPr>
      <w:spacing w:line="240" w:lineRule="auto"/>
      <w:ind w:left="1320" w:hanging="220"/>
    </w:pPr>
  </w:style>
  <w:style w:type="paragraph" w:styleId="70">
    <w:name w:val="index 7"/>
    <w:basedOn w:val="a1"/>
    <w:next w:val="a1"/>
    <w:autoRedefine/>
    <w:uiPriority w:val="99"/>
    <w:semiHidden/>
    <w:unhideWhenUsed/>
    <w:rsid w:val="0003148D"/>
    <w:pPr>
      <w:spacing w:line="240" w:lineRule="auto"/>
      <w:ind w:left="1540" w:hanging="220"/>
    </w:pPr>
  </w:style>
  <w:style w:type="paragraph" w:styleId="80">
    <w:name w:val="index 8"/>
    <w:basedOn w:val="a1"/>
    <w:next w:val="a1"/>
    <w:autoRedefine/>
    <w:uiPriority w:val="99"/>
    <w:semiHidden/>
    <w:unhideWhenUsed/>
    <w:rsid w:val="0003148D"/>
    <w:pPr>
      <w:spacing w:line="240" w:lineRule="auto"/>
      <w:ind w:left="1760" w:hanging="220"/>
    </w:pPr>
  </w:style>
  <w:style w:type="paragraph" w:styleId="90">
    <w:name w:val="index 9"/>
    <w:basedOn w:val="a1"/>
    <w:next w:val="a1"/>
    <w:autoRedefine/>
    <w:uiPriority w:val="99"/>
    <w:semiHidden/>
    <w:unhideWhenUsed/>
    <w:rsid w:val="0003148D"/>
    <w:pPr>
      <w:spacing w:line="240" w:lineRule="auto"/>
      <w:ind w:left="1980" w:hanging="220"/>
    </w:pPr>
  </w:style>
  <w:style w:type="paragraph" w:styleId="af1">
    <w:name w:val="table of figures"/>
    <w:basedOn w:val="a1"/>
    <w:next w:val="a1"/>
    <w:uiPriority w:val="99"/>
    <w:semiHidden/>
    <w:unhideWhenUsed/>
    <w:rsid w:val="0003148D"/>
  </w:style>
  <w:style w:type="paragraph" w:styleId="af2">
    <w:name w:val="table of authorities"/>
    <w:basedOn w:val="a1"/>
    <w:next w:val="a1"/>
    <w:uiPriority w:val="99"/>
    <w:semiHidden/>
    <w:unhideWhenUsed/>
    <w:rsid w:val="0003148D"/>
    <w:pPr>
      <w:ind w:left="220" w:hanging="220"/>
    </w:pPr>
  </w:style>
  <w:style w:type="paragraph" w:styleId="af3">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rsid w:val="0003148D"/>
    <w:pPr>
      <w:spacing w:line="240" w:lineRule="auto"/>
    </w:pPr>
    <w:rPr>
      <w:i/>
      <w:iCs/>
    </w:rPr>
  </w:style>
  <w:style w:type="character" w:customStyle="1" w:styleId="HTMLChar">
    <w:name w:val="Διεύθυνση HTML Char"/>
    <w:basedOn w:val="a2"/>
    <w:link w:val="HTML"/>
    <w:uiPriority w:val="99"/>
    <w:semiHidden/>
    <w:rsid w:val="0003148D"/>
    <w:rPr>
      <w:i/>
      <w:iCs/>
    </w:rPr>
  </w:style>
  <w:style w:type="paragraph" w:styleId="af4">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5">
    <w:name w:val="Message Header"/>
    <w:basedOn w:val="a1"/>
    <w:link w:val="Char6"/>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Κεφαλίδα μηνύματος Char"/>
    <w:basedOn w:val="a2"/>
    <w:link w:val="af5"/>
    <w:uiPriority w:val="99"/>
    <w:semiHidden/>
    <w:rsid w:val="0003148D"/>
    <w:rPr>
      <w:rFonts w:asciiTheme="majorHAnsi" w:eastAsiaTheme="majorEastAsia" w:hAnsiTheme="majorHAnsi" w:cstheme="majorBidi"/>
      <w:sz w:val="24"/>
      <w:szCs w:val="24"/>
      <w:shd w:val="pct20" w:color="auto" w:fill="auto"/>
    </w:rPr>
  </w:style>
  <w:style w:type="paragraph" w:styleId="af6">
    <w:name w:val="Note Heading"/>
    <w:basedOn w:val="a1"/>
    <w:next w:val="a1"/>
    <w:link w:val="Char7"/>
    <w:uiPriority w:val="99"/>
    <w:semiHidden/>
    <w:unhideWhenUsed/>
    <w:rsid w:val="0003148D"/>
    <w:pPr>
      <w:spacing w:line="240" w:lineRule="auto"/>
    </w:pPr>
  </w:style>
  <w:style w:type="character" w:customStyle="1" w:styleId="Char7">
    <w:name w:val="Επικεφαλίδα σημείωσης Char"/>
    <w:basedOn w:val="a2"/>
    <w:link w:val="af6"/>
    <w:uiPriority w:val="99"/>
    <w:semiHidden/>
    <w:rsid w:val="0003148D"/>
  </w:style>
  <w:style w:type="paragraph" w:styleId="af7">
    <w:name w:val="Document Map"/>
    <w:basedOn w:val="a1"/>
    <w:link w:val="Char8"/>
    <w:uiPriority w:val="99"/>
    <w:semiHidden/>
    <w:unhideWhenUsed/>
    <w:rsid w:val="0003148D"/>
    <w:pPr>
      <w:spacing w:line="240" w:lineRule="auto"/>
    </w:pPr>
    <w:rPr>
      <w:rFonts w:ascii="Tahoma" w:hAnsi="Tahoma" w:cs="Tahoma"/>
      <w:sz w:val="16"/>
      <w:szCs w:val="16"/>
    </w:rPr>
  </w:style>
  <w:style w:type="character" w:customStyle="1" w:styleId="Char8">
    <w:name w:val="Χάρτης εγγράφου Char"/>
    <w:basedOn w:val="a2"/>
    <w:link w:val="af7"/>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
    <w:name w:val="HTML Preformatted"/>
    <w:basedOn w:val="a1"/>
    <w:link w:val="-HTMLChar"/>
    <w:uiPriority w:val="99"/>
    <w:semiHidden/>
    <w:unhideWhenUsed/>
    <w:rsid w:val="0003148D"/>
    <w:pPr>
      <w:spacing w:line="240" w:lineRule="auto"/>
    </w:pPr>
    <w:rPr>
      <w:rFonts w:ascii="Consolas" w:hAnsi="Consolas" w:cs="Consolas"/>
    </w:rPr>
  </w:style>
  <w:style w:type="character" w:customStyle="1" w:styleId="-HTMLChar">
    <w:name w:val="Προ-διαμορφωμένο HTML Char"/>
    <w:basedOn w:val="a2"/>
    <w:link w:val="-HTML"/>
    <w:uiPriority w:val="99"/>
    <w:semiHidden/>
    <w:rsid w:val="0003148D"/>
    <w:rPr>
      <w:rFonts w:ascii="Consolas" w:hAnsi="Consolas" w:cs="Consolas"/>
      <w:sz w:val="20"/>
      <w:szCs w:val="20"/>
    </w:rPr>
  </w:style>
  <w:style w:type="paragraph" w:styleId="af8">
    <w:name w:val="Body Text First Indent"/>
    <w:basedOn w:val="a8"/>
    <w:link w:val="Char9"/>
    <w:uiPriority w:val="99"/>
    <w:semiHidden/>
    <w:unhideWhenUsed/>
    <w:rsid w:val="0003148D"/>
    <w:pPr>
      <w:spacing w:after="200"/>
      <w:ind w:firstLine="360"/>
    </w:pPr>
  </w:style>
  <w:style w:type="character" w:customStyle="1" w:styleId="Char9">
    <w:name w:val="Σώμα κείμενου Πρώτη Εσοχή Char"/>
    <w:basedOn w:val="Char0"/>
    <w:link w:val="af8"/>
    <w:uiPriority w:val="99"/>
    <w:semiHidden/>
    <w:rsid w:val="0003148D"/>
  </w:style>
  <w:style w:type="paragraph" w:styleId="af9">
    <w:name w:val="Body Text Indent"/>
    <w:basedOn w:val="a1"/>
    <w:link w:val="Chara"/>
    <w:uiPriority w:val="99"/>
    <w:semiHidden/>
    <w:unhideWhenUsed/>
    <w:rsid w:val="0003148D"/>
    <w:pPr>
      <w:spacing w:after="120"/>
      <w:ind w:left="283"/>
    </w:pPr>
  </w:style>
  <w:style w:type="character" w:customStyle="1" w:styleId="Chara">
    <w:name w:val="Σώμα κείμενου με εσοχή Char"/>
    <w:basedOn w:val="a2"/>
    <w:link w:val="af9"/>
    <w:uiPriority w:val="99"/>
    <w:semiHidden/>
    <w:rsid w:val="0003148D"/>
  </w:style>
  <w:style w:type="paragraph" w:styleId="26">
    <w:name w:val="Body Text First Indent 2"/>
    <w:basedOn w:val="af9"/>
    <w:link w:val="2Char1"/>
    <w:uiPriority w:val="99"/>
    <w:semiHidden/>
    <w:unhideWhenUsed/>
    <w:rsid w:val="0003148D"/>
    <w:pPr>
      <w:spacing w:after="200"/>
      <w:ind w:left="360" w:firstLine="360"/>
    </w:pPr>
  </w:style>
  <w:style w:type="character" w:customStyle="1" w:styleId="2Char1">
    <w:name w:val="Σώμα κείμενου Πρώτη Εσοχή 2 Char"/>
    <w:basedOn w:val="Chara"/>
    <w:link w:val="26"/>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7">
    <w:name w:val="Body Text Indent 2"/>
    <w:basedOn w:val="a1"/>
    <w:link w:val="2Char2"/>
    <w:uiPriority w:val="99"/>
    <w:semiHidden/>
    <w:unhideWhenUsed/>
    <w:rsid w:val="0003148D"/>
    <w:pPr>
      <w:spacing w:after="120" w:line="480" w:lineRule="auto"/>
      <w:ind w:left="283"/>
    </w:pPr>
  </w:style>
  <w:style w:type="character" w:customStyle="1" w:styleId="2Char2">
    <w:name w:val="Σώμα κείμενου με εσοχή 2 Char"/>
    <w:basedOn w:val="a2"/>
    <w:link w:val="27"/>
    <w:uiPriority w:val="99"/>
    <w:semiHidden/>
    <w:rsid w:val="0003148D"/>
  </w:style>
  <w:style w:type="paragraph" w:styleId="36">
    <w:name w:val="Body Text Indent 3"/>
    <w:basedOn w:val="a1"/>
    <w:link w:val="3Char1"/>
    <w:uiPriority w:val="99"/>
    <w:semiHidden/>
    <w:unhideWhenUsed/>
    <w:rsid w:val="0003148D"/>
    <w:pPr>
      <w:spacing w:after="120"/>
      <w:ind w:left="283"/>
    </w:pPr>
    <w:rPr>
      <w:sz w:val="16"/>
      <w:szCs w:val="16"/>
    </w:rPr>
  </w:style>
  <w:style w:type="character" w:customStyle="1" w:styleId="3Char1">
    <w:name w:val="Σώμα κείμενου με εσοχή 3 Char"/>
    <w:basedOn w:val="a2"/>
    <w:link w:val="36"/>
    <w:uiPriority w:val="99"/>
    <w:semiHidden/>
    <w:rsid w:val="0003148D"/>
    <w:rPr>
      <w:sz w:val="16"/>
      <w:szCs w:val="16"/>
    </w:rPr>
  </w:style>
  <w:style w:type="paragraph" w:styleId="afa">
    <w:name w:val="Normal Indent"/>
    <w:basedOn w:val="a1"/>
    <w:uiPriority w:val="99"/>
    <w:semiHidden/>
    <w:unhideWhenUsed/>
    <w:rsid w:val="0003148D"/>
    <w:pPr>
      <w:ind w:left="720"/>
    </w:pPr>
  </w:style>
  <w:style w:type="paragraph" w:styleId="afb">
    <w:name w:val="annotation text"/>
    <w:basedOn w:val="a1"/>
    <w:link w:val="Charb"/>
    <w:uiPriority w:val="99"/>
    <w:unhideWhenUsed/>
    <w:rsid w:val="0003148D"/>
    <w:pPr>
      <w:spacing w:line="240" w:lineRule="auto"/>
    </w:pPr>
  </w:style>
  <w:style w:type="character" w:customStyle="1" w:styleId="Charb">
    <w:name w:val="Κείμενο σχολίου Char"/>
    <w:basedOn w:val="a2"/>
    <w:link w:val="afb"/>
    <w:uiPriority w:val="99"/>
    <w:rsid w:val="0003148D"/>
    <w:rPr>
      <w:sz w:val="20"/>
      <w:szCs w:val="20"/>
    </w:rPr>
  </w:style>
  <w:style w:type="paragraph" w:styleId="afc">
    <w:name w:val="annotation subject"/>
    <w:basedOn w:val="afb"/>
    <w:next w:val="afb"/>
    <w:link w:val="Charc"/>
    <w:uiPriority w:val="99"/>
    <w:semiHidden/>
    <w:unhideWhenUsed/>
    <w:rsid w:val="0003148D"/>
    <w:rPr>
      <w:b/>
      <w:bCs/>
    </w:rPr>
  </w:style>
  <w:style w:type="character" w:customStyle="1" w:styleId="Charc">
    <w:name w:val="Θέμα σχολίου Char"/>
    <w:basedOn w:val="Charb"/>
    <w:link w:val="afc"/>
    <w:uiPriority w:val="99"/>
    <w:semiHidden/>
    <w:rsid w:val="0003148D"/>
    <w:rPr>
      <w:b/>
      <w:bCs/>
      <w:sz w:val="20"/>
      <w:szCs w:val="20"/>
    </w:rPr>
  </w:style>
  <w:style w:type="paragraph" w:styleId="12">
    <w:name w:val="toc 1"/>
    <w:basedOn w:val="a1"/>
    <w:next w:val="a1"/>
    <w:autoRedefine/>
    <w:uiPriority w:val="39"/>
    <w:semiHidden/>
    <w:unhideWhenUsed/>
    <w:rsid w:val="0003148D"/>
    <w:pPr>
      <w:spacing w:after="100"/>
    </w:pPr>
  </w:style>
  <w:style w:type="paragraph" w:styleId="28">
    <w:name w:val="toc 2"/>
    <w:basedOn w:val="a1"/>
    <w:next w:val="a1"/>
    <w:autoRedefine/>
    <w:uiPriority w:val="39"/>
    <w:semiHidden/>
    <w:unhideWhenUsed/>
    <w:rsid w:val="0003148D"/>
    <w:pPr>
      <w:spacing w:after="100"/>
      <w:ind w:left="220"/>
    </w:pPr>
  </w:style>
  <w:style w:type="paragraph" w:styleId="37">
    <w:name w:val="toc 3"/>
    <w:basedOn w:val="a1"/>
    <w:next w:val="a1"/>
    <w:autoRedefine/>
    <w:uiPriority w:val="39"/>
    <w:semiHidden/>
    <w:unhideWhenUsed/>
    <w:rsid w:val="0003148D"/>
    <w:pPr>
      <w:spacing w:after="100"/>
      <w:ind w:left="440"/>
    </w:pPr>
  </w:style>
  <w:style w:type="paragraph" w:styleId="45">
    <w:name w:val="toc 4"/>
    <w:basedOn w:val="a1"/>
    <w:next w:val="a1"/>
    <w:autoRedefine/>
    <w:uiPriority w:val="39"/>
    <w:semiHidden/>
    <w:unhideWhenUsed/>
    <w:rsid w:val="0003148D"/>
    <w:pPr>
      <w:spacing w:after="100"/>
      <w:ind w:left="660"/>
    </w:pPr>
  </w:style>
  <w:style w:type="paragraph" w:styleId="55">
    <w:name w:val="toc 5"/>
    <w:basedOn w:val="a1"/>
    <w:next w:val="a1"/>
    <w:autoRedefine/>
    <w:uiPriority w:val="39"/>
    <w:semiHidden/>
    <w:unhideWhenUsed/>
    <w:rsid w:val="0003148D"/>
    <w:pPr>
      <w:spacing w:after="100"/>
      <w:ind w:left="880"/>
    </w:pPr>
  </w:style>
  <w:style w:type="paragraph" w:styleId="61">
    <w:name w:val="toc 6"/>
    <w:basedOn w:val="a1"/>
    <w:next w:val="a1"/>
    <w:autoRedefine/>
    <w:uiPriority w:val="39"/>
    <w:semiHidden/>
    <w:unhideWhenUsed/>
    <w:rsid w:val="0003148D"/>
    <w:pPr>
      <w:spacing w:after="100"/>
      <w:ind w:left="1100"/>
    </w:pPr>
  </w:style>
  <w:style w:type="paragraph" w:styleId="71">
    <w:name w:val="toc 7"/>
    <w:basedOn w:val="a1"/>
    <w:next w:val="a1"/>
    <w:autoRedefine/>
    <w:uiPriority w:val="39"/>
    <w:semiHidden/>
    <w:unhideWhenUsed/>
    <w:rsid w:val="0003148D"/>
    <w:pPr>
      <w:spacing w:after="100"/>
      <w:ind w:left="1320"/>
    </w:pPr>
  </w:style>
  <w:style w:type="paragraph" w:styleId="81">
    <w:name w:val="toc 8"/>
    <w:basedOn w:val="a1"/>
    <w:next w:val="a1"/>
    <w:autoRedefine/>
    <w:uiPriority w:val="39"/>
    <w:semiHidden/>
    <w:unhideWhenUsed/>
    <w:rsid w:val="0003148D"/>
    <w:pPr>
      <w:spacing w:after="100"/>
      <w:ind w:left="1540"/>
    </w:pPr>
  </w:style>
  <w:style w:type="paragraph" w:styleId="91">
    <w:name w:val="toc 9"/>
    <w:basedOn w:val="a1"/>
    <w:next w:val="a1"/>
    <w:autoRedefine/>
    <w:uiPriority w:val="39"/>
    <w:semiHidden/>
    <w:unhideWhenUsed/>
    <w:rsid w:val="0003148D"/>
    <w:pPr>
      <w:spacing w:after="100"/>
      <w:ind w:left="1760"/>
    </w:pPr>
  </w:style>
  <w:style w:type="paragraph" w:styleId="afd">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Κείμενο μακροεντολής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rsid w:val="0003148D"/>
    <w:pPr>
      <w:spacing w:line="240" w:lineRule="auto"/>
    </w:pPr>
    <w:rPr>
      <w:rFonts w:ascii="Consolas" w:hAnsi="Consolas" w:cs="Consolas"/>
      <w:sz w:val="21"/>
      <w:szCs w:val="21"/>
    </w:rPr>
  </w:style>
  <w:style w:type="character" w:customStyle="1" w:styleId="Chare">
    <w:name w:val="Απλό κείμενο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rsid w:val="0003148D"/>
    <w:pPr>
      <w:spacing w:line="240" w:lineRule="auto"/>
    </w:pPr>
  </w:style>
  <w:style w:type="character" w:customStyle="1" w:styleId="Charf">
    <w:name w:val="Κείμενο υποσημείωσης Char"/>
    <w:basedOn w:val="a2"/>
    <w:link w:val="aff0"/>
    <w:uiPriority w:val="99"/>
    <w:semiHidden/>
    <w:rsid w:val="0003148D"/>
    <w:rPr>
      <w:sz w:val="20"/>
      <w:szCs w:val="20"/>
    </w:rPr>
  </w:style>
  <w:style w:type="paragraph" w:styleId="aff1">
    <w:name w:val="endnote text"/>
    <w:basedOn w:val="a1"/>
    <w:link w:val="Charf0"/>
    <w:uiPriority w:val="99"/>
    <w:semiHidden/>
    <w:unhideWhenUsed/>
    <w:rsid w:val="0003148D"/>
    <w:pPr>
      <w:spacing w:line="240" w:lineRule="auto"/>
    </w:pPr>
  </w:style>
  <w:style w:type="character" w:customStyle="1" w:styleId="Charf0">
    <w:name w:val="Κείμενο σημείωσης τέλους Char"/>
    <w:basedOn w:val="a2"/>
    <w:link w:val="aff1"/>
    <w:uiPriority w:val="99"/>
    <w:semiHidden/>
    <w:rsid w:val="0003148D"/>
    <w:rPr>
      <w:sz w:val="20"/>
      <w:szCs w:val="20"/>
    </w:rPr>
  </w:style>
  <w:style w:type="character" w:customStyle="1" w:styleId="1Char">
    <w:name w:val="Επικεφαλίδα 1 Char"/>
    <w:basedOn w:val="a2"/>
    <w:link w:val="10"/>
    <w:uiPriority w:val="9"/>
    <w:rsid w:val="004F5E36"/>
    <w:rPr>
      <w:rFonts w:ascii="Arial" w:eastAsia="Times New Roman" w:hAnsi="Arial" w:cs="Times New Roman"/>
      <w:b/>
      <w:sz w:val="20"/>
      <w:szCs w:val="20"/>
      <w:lang w:val="en-GB"/>
    </w:rPr>
  </w:style>
  <w:style w:type="character" w:customStyle="1" w:styleId="2Char">
    <w:name w:val="Επικεφαλίδα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Επικεφαλίδα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rsid w:val="0003148D"/>
    <w:rPr>
      <w:rFonts w:asciiTheme="majorHAnsi" w:eastAsiaTheme="majorEastAsia" w:hAnsiTheme="majorHAnsi" w:cstheme="majorBidi"/>
      <w:b/>
      <w:bCs/>
    </w:rPr>
  </w:style>
  <w:style w:type="paragraph" w:styleId="aff3">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4">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5">
    <w:name w:val="header"/>
    <w:basedOn w:val="a1"/>
    <w:link w:val="Charf1"/>
    <w:uiPriority w:val="99"/>
    <w:unhideWhenUsed/>
    <w:rsid w:val="005278B7"/>
    <w:pPr>
      <w:tabs>
        <w:tab w:val="clear" w:pos="7100"/>
        <w:tab w:val="center" w:pos="4819"/>
        <w:tab w:val="right" w:pos="9638"/>
      </w:tabs>
      <w:spacing w:line="240" w:lineRule="auto"/>
    </w:pPr>
  </w:style>
  <w:style w:type="character" w:customStyle="1" w:styleId="Charf1">
    <w:name w:val="Κεφαλίδα Char"/>
    <w:basedOn w:val="a2"/>
    <w:link w:val="aff5"/>
    <w:uiPriority w:val="99"/>
    <w:rsid w:val="005278B7"/>
    <w:rPr>
      <w:rFonts w:ascii="Arial" w:eastAsia="Times New Roman" w:hAnsi="Arial" w:cs="Times New Roman"/>
      <w:sz w:val="18"/>
      <w:szCs w:val="20"/>
      <w:lang w:val="en-GB"/>
    </w:rPr>
  </w:style>
  <w:style w:type="paragraph" w:styleId="aff6">
    <w:name w:val="footer"/>
    <w:basedOn w:val="a1"/>
    <w:link w:val="Charf2"/>
    <w:uiPriority w:val="99"/>
    <w:unhideWhenUsed/>
    <w:rsid w:val="005278B7"/>
    <w:pPr>
      <w:tabs>
        <w:tab w:val="clear" w:pos="7100"/>
        <w:tab w:val="center" w:pos="4819"/>
        <w:tab w:val="right" w:pos="9638"/>
      </w:tabs>
      <w:spacing w:line="240" w:lineRule="auto"/>
    </w:pPr>
  </w:style>
  <w:style w:type="character" w:customStyle="1" w:styleId="Charf2">
    <w:name w:val="Υποσέλιδο Char"/>
    <w:basedOn w:val="a2"/>
    <w:link w:val="aff6"/>
    <w:uiPriority w:val="99"/>
    <w:rsid w:val="005278B7"/>
    <w:rPr>
      <w:rFonts w:ascii="Arial" w:eastAsia="Times New Roman" w:hAnsi="Arial" w:cs="Times New Roman"/>
      <w:sz w:val="18"/>
      <w:szCs w:val="20"/>
      <w:lang w:val="en-GB"/>
    </w:rPr>
  </w:style>
  <w:style w:type="table" w:styleId="aff7">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8">
    <w:name w:val="List Paragraph"/>
    <w:basedOn w:val="a1"/>
    <w:uiPriority w:val="34"/>
    <w:rsid w:val="00280FAF"/>
    <w:pPr>
      <w:ind w:left="720"/>
      <w:contextualSpacing/>
    </w:pPr>
  </w:style>
  <w:style w:type="character" w:styleId="aff9">
    <w:name w:val="Placeholder Text"/>
    <w:basedOn w:val="a2"/>
    <w:uiPriority w:val="99"/>
    <w:semiHidden/>
    <w:rsid w:val="00D265DF"/>
    <w:rPr>
      <w:color w:val="808080"/>
    </w:rPr>
  </w:style>
  <w:style w:type="table" w:styleId="-6">
    <w:name w:val="Light Shading Accent 6"/>
    <w:basedOn w:val="a3"/>
    <w:uiPriority w:val="60"/>
    <w:rsid w:val="00F367D5"/>
    <w:pPr>
      <w:spacing w:after="0" w:line="240" w:lineRule="auto"/>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a">
    <w:name w:val="Emphasis"/>
    <w:basedOn w:val="a2"/>
    <w:uiPriority w:val="20"/>
    <w:qFormat/>
    <w:rsid w:val="00B84F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aliases w:val="CET Top_page"/>
    <w:rsid w:val="0028743D"/>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Char"/>
    <w:uiPriority w:val="99"/>
    <w:semiHidden/>
    <w:unhideWhenUsed/>
    <w:rsid w:val="000D34BE"/>
    <w:pPr>
      <w:spacing w:line="240" w:lineRule="auto"/>
    </w:pPr>
    <w:rPr>
      <w:rFonts w:ascii="Tahoma" w:hAnsi="Tahoma" w:cs="Tahoma"/>
      <w:sz w:val="16"/>
      <w:szCs w:val="16"/>
    </w:rPr>
  </w:style>
  <w:style w:type="character" w:customStyle="1" w:styleId="Char">
    <w:name w:val="Κείμενο πλαισίου Char"/>
    <w:basedOn w:val="a2"/>
    <w:link w:val="a6"/>
    <w:uiPriority w:val="99"/>
    <w:semiHidden/>
    <w:rsid w:val="000D34BE"/>
    <w:rPr>
      <w:rFonts w:ascii="Tahoma" w:hAnsi="Tahoma" w:cs="Tahoma"/>
      <w:sz w:val="16"/>
      <w:szCs w:val="16"/>
    </w:rPr>
  </w:style>
  <w:style w:type="paragraph" w:styleId="a7">
    <w:name w:val="Bibliography"/>
    <w:basedOn w:val="CETReferencetext"/>
    <w:uiPriority w:val="37"/>
    <w:unhideWhenUsed/>
    <w:rsid w:val="00631B33"/>
    <w:pPr>
      <w:spacing w:line="240" w:lineRule="auto"/>
      <w:ind w:left="720" w:hanging="720"/>
    </w:pPr>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Σώμα κείμενου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Σώμα κείμενου 3 Char"/>
    <w:basedOn w:val="a2"/>
    <w:link w:val="32"/>
    <w:uiPriority w:val="99"/>
    <w:semiHidden/>
    <w:rsid w:val="0003148D"/>
    <w:rPr>
      <w:sz w:val="16"/>
      <w:szCs w:val="16"/>
    </w:rPr>
  </w:style>
  <w:style w:type="paragraph" w:styleId="a8">
    <w:name w:val="Body Text"/>
    <w:basedOn w:val="a1"/>
    <w:link w:val="Char0"/>
    <w:uiPriority w:val="99"/>
    <w:semiHidden/>
    <w:unhideWhenUsed/>
    <w:rsid w:val="0003148D"/>
    <w:pPr>
      <w:spacing w:after="120"/>
    </w:pPr>
  </w:style>
  <w:style w:type="character" w:customStyle="1" w:styleId="Char0">
    <w:name w:val="Σώμα κειμένου Char"/>
    <w:basedOn w:val="a2"/>
    <w:link w:val="a8"/>
    <w:uiPriority w:val="99"/>
    <w:semiHidden/>
    <w:rsid w:val="0003148D"/>
  </w:style>
  <w:style w:type="paragraph" w:styleId="a9">
    <w:name w:val="Date"/>
    <w:basedOn w:val="a1"/>
    <w:next w:val="a1"/>
    <w:link w:val="Char1"/>
    <w:uiPriority w:val="99"/>
    <w:semiHidden/>
    <w:unhideWhenUsed/>
    <w:rsid w:val="0003148D"/>
  </w:style>
  <w:style w:type="character" w:customStyle="1" w:styleId="Char1">
    <w:name w:val="Ημερομηνία Char"/>
    <w:basedOn w:val="a2"/>
    <w:link w:val="a9"/>
    <w:uiPriority w:val="99"/>
    <w:semiHidden/>
    <w:rsid w:val="0003148D"/>
  </w:style>
  <w:style w:type="paragraph" w:styleId="aa">
    <w:name w:val="caption"/>
    <w:basedOn w:val="a1"/>
    <w:next w:val="a1"/>
    <w:uiPriority w:val="35"/>
    <w:semiHidden/>
    <w:unhideWhenUsed/>
    <w:qFormat/>
    <w:rsid w:val="0003148D"/>
    <w:pPr>
      <w:spacing w:line="240" w:lineRule="auto"/>
    </w:pPr>
    <w:rPr>
      <w:b/>
      <w:bCs/>
      <w:color w:val="4F81BD" w:themeColor="accent1"/>
      <w:szCs w:val="18"/>
    </w:rPr>
  </w:style>
  <w:style w:type="paragraph" w:styleId="ab">
    <w:name w:val="List"/>
    <w:basedOn w:val="a1"/>
    <w:uiPriority w:val="99"/>
    <w:semiHidden/>
    <w:unhideWhenUsed/>
    <w:rsid w:val="0003148D"/>
    <w:pPr>
      <w:ind w:left="283" w:hanging="283"/>
      <w:contextualSpacing/>
    </w:pPr>
  </w:style>
  <w:style w:type="paragraph" w:styleId="23">
    <w:name w:val="List 2"/>
    <w:basedOn w:val="a1"/>
    <w:uiPriority w:val="99"/>
    <w:semiHidden/>
    <w:unhideWhenUsed/>
    <w:rsid w:val="0003148D"/>
    <w:pPr>
      <w:ind w:left="566" w:hanging="283"/>
      <w:contextualSpacing/>
    </w:pPr>
  </w:style>
  <w:style w:type="paragraph" w:styleId="33">
    <w:name w:val="List 3"/>
    <w:basedOn w:val="a1"/>
    <w:uiPriority w:val="99"/>
    <w:semiHidden/>
    <w:unhideWhenUsed/>
    <w:rsid w:val="0003148D"/>
    <w:pPr>
      <w:ind w:left="849" w:hanging="283"/>
      <w:contextualSpacing/>
    </w:pPr>
  </w:style>
  <w:style w:type="paragraph" w:styleId="42">
    <w:name w:val="List 4"/>
    <w:basedOn w:val="a1"/>
    <w:uiPriority w:val="99"/>
    <w:semiHidden/>
    <w:unhideWhenUsed/>
    <w:rsid w:val="0003148D"/>
    <w:pPr>
      <w:ind w:left="1132" w:hanging="283"/>
      <w:contextualSpacing/>
    </w:pPr>
  </w:style>
  <w:style w:type="paragraph" w:styleId="52">
    <w:name w:val="List 5"/>
    <w:basedOn w:val="a1"/>
    <w:uiPriority w:val="99"/>
    <w:semiHidden/>
    <w:unhideWhenUsed/>
    <w:rsid w:val="0003148D"/>
    <w:pPr>
      <w:ind w:left="1415" w:hanging="283"/>
      <w:contextualSpacing/>
    </w:pPr>
  </w:style>
  <w:style w:type="paragraph" w:styleId="ac">
    <w:name w:val="List Continue"/>
    <w:basedOn w:val="a1"/>
    <w:uiPriority w:val="99"/>
    <w:semiHidden/>
    <w:unhideWhenUsed/>
    <w:rsid w:val="0003148D"/>
    <w:pPr>
      <w:spacing w:after="120"/>
      <w:ind w:left="283"/>
      <w:contextualSpacing/>
    </w:pPr>
  </w:style>
  <w:style w:type="paragraph" w:styleId="24">
    <w:name w:val="List Continue 2"/>
    <w:basedOn w:val="a1"/>
    <w:uiPriority w:val="99"/>
    <w:semiHidden/>
    <w:unhideWhenUsed/>
    <w:rsid w:val="0003148D"/>
    <w:pPr>
      <w:spacing w:after="120"/>
      <w:ind w:left="566"/>
      <w:contextualSpacing/>
    </w:pPr>
  </w:style>
  <w:style w:type="paragraph" w:styleId="34">
    <w:name w:val="List Continue 3"/>
    <w:basedOn w:val="a1"/>
    <w:uiPriority w:val="99"/>
    <w:semiHidden/>
    <w:unhideWhenUsed/>
    <w:rsid w:val="0003148D"/>
    <w:pPr>
      <w:spacing w:after="120"/>
      <w:ind w:left="849"/>
      <w:contextualSpacing/>
    </w:pPr>
  </w:style>
  <w:style w:type="paragraph" w:styleId="43">
    <w:name w:val="List Continue 4"/>
    <w:basedOn w:val="a1"/>
    <w:uiPriority w:val="99"/>
    <w:semiHidden/>
    <w:unhideWhenUsed/>
    <w:rsid w:val="0003148D"/>
    <w:pPr>
      <w:spacing w:after="120"/>
      <w:ind w:left="1132"/>
      <w:contextualSpacing/>
    </w:pPr>
  </w:style>
  <w:style w:type="paragraph" w:styleId="53">
    <w:name w:val="List Continue 5"/>
    <w:basedOn w:val="a1"/>
    <w:uiPriority w:val="99"/>
    <w:semiHidden/>
    <w:unhideWhenUsed/>
    <w:rsid w:val="0003148D"/>
    <w:pPr>
      <w:spacing w:after="120"/>
      <w:ind w:left="1415"/>
      <w:contextualSpacing/>
    </w:pPr>
  </w:style>
  <w:style w:type="paragraph" w:styleId="ad">
    <w:name w:val="Signature"/>
    <w:basedOn w:val="a1"/>
    <w:link w:val="Char2"/>
    <w:uiPriority w:val="99"/>
    <w:semiHidden/>
    <w:unhideWhenUsed/>
    <w:rsid w:val="0003148D"/>
    <w:pPr>
      <w:spacing w:line="240" w:lineRule="auto"/>
      <w:ind w:left="4252"/>
    </w:pPr>
  </w:style>
  <w:style w:type="character" w:customStyle="1" w:styleId="Char2">
    <w:name w:val="Υπογραφή Char"/>
    <w:basedOn w:val="a2"/>
    <w:link w:val="ad"/>
    <w:uiPriority w:val="99"/>
    <w:semiHidden/>
    <w:rsid w:val="0003148D"/>
  </w:style>
  <w:style w:type="paragraph" w:styleId="ae">
    <w:name w:val="E-mail Signature"/>
    <w:basedOn w:val="a1"/>
    <w:link w:val="Char3"/>
    <w:uiPriority w:val="99"/>
    <w:semiHidden/>
    <w:unhideWhenUsed/>
    <w:rsid w:val="0003148D"/>
    <w:pPr>
      <w:spacing w:line="240" w:lineRule="auto"/>
    </w:pPr>
  </w:style>
  <w:style w:type="character" w:customStyle="1" w:styleId="Char3">
    <w:name w:val="Υπογραφή ηλεκτρονικού ταχυδρομείου Char"/>
    <w:basedOn w:val="a2"/>
    <w:link w:val="ae"/>
    <w:uiPriority w:val="99"/>
    <w:semiHidden/>
    <w:rsid w:val="0003148D"/>
  </w:style>
  <w:style w:type="paragraph" w:styleId="af">
    <w:name w:val="Salutation"/>
    <w:basedOn w:val="a1"/>
    <w:next w:val="a1"/>
    <w:link w:val="Char4"/>
    <w:uiPriority w:val="99"/>
    <w:semiHidden/>
    <w:unhideWhenUsed/>
    <w:rsid w:val="0003148D"/>
  </w:style>
  <w:style w:type="character" w:customStyle="1" w:styleId="Char4">
    <w:name w:val="Χαιρετισμός Char"/>
    <w:basedOn w:val="a2"/>
    <w:link w:val="af"/>
    <w:uiPriority w:val="99"/>
    <w:semiHidden/>
    <w:rsid w:val="0003148D"/>
  </w:style>
  <w:style w:type="paragraph" w:styleId="af0">
    <w:name w:val="Closing"/>
    <w:basedOn w:val="a1"/>
    <w:link w:val="Char5"/>
    <w:uiPriority w:val="99"/>
    <w:semiHidden/>
    <w:unhideWhenUsed/>
    <w:rsid w:val="0003148D"/>
    <w:pPr>
      <w:spacing w:line="240" w:lineRule="auto"/>
      <w:ind w:left="4252"/>
    </w:pPr>
  </w:style>
  <w:style w:type="character" w:customStyle="1" w:styleId="Char5">
    <w:name w:val="Κλείσιμο Char"/>
    <w:basedOn w:val="a2"/>
    <w:link w:val="af0"/>
    <w:uiPriority w:val="99"/>
    <w:semiHidden/>
    <w:rsid w:val="0003148D"/>
  </w:style>
  <w:style w:type="paragraph" w:styleId="11">
    <w:name w:val="index 1"/>
    <w:basedOn w:val="a1"/>
    <w:next w:val="a1"/>
    <w:autoRedefine/>
    <w:uiPriority w:val="99"/>
    <w:semiHidden/>
    <w:unhideWhenUsed/>
    <w:rsid w:val="0003148D"/>
    <w:pPr>
      <w:spacing w:line="240" w:lineRule="auto"/>
      <w:ind w:left="220" w:hanging="220"/>
    </w:pPr>
  </w:style>
  <w:style w:type="paragraph" w:styleId="25">
    <w:name w:val="index 2"/>
    <w:basedOn w:val="a1"/>
    <w:next w:val="a1"/>
    <w:autoRedefine/>
    <w:uiPriority w:val="99"/>
    <w:semiHidden/>
    <w:unhideWhenUsed/>
    <w:rsid w:val="0003148D"/>
    <w:pPr>
      <w:spacing w:line="240" w:lineRule="auto"/>
      <w:ind w:left="440" w:hanging="220"/>
    </w:pPr>
  </w:style>
  <w:style w:type="paragraph" w:styleId="35">
    <w:name w:val="index 3"/>
    <w:basedOn w:val="a1"/>
    <w:next w:val="a1"/>
    <w:autoRedefine/>
    <w:uiPriority w:val="99"/>
    <w:semiHidden/>
    <w:unhideWhenUsed/>
    <w:rsid w:val="0003148D"/>
    <w:pPr>
      <w:spacing w:line="240" w:lineRule="auto"/>
      <w:ind w:left="660" w:hanging="220"/>
    </w:pPr>
  </w:style>
  <w:style w:type="paragraph" w:styleId="44">
    <w:name w:val="index 4"/>
    <w:basedOn w:val="a1"/>
    <w:next w:val="a1"/>
    <w:autoRedefine/>
    <w:uiPriority w:val="99"/>
    <w:semiHidden/>
    <w:unhideWhenUsed/>
    <w:rsid w:val="0003148D"/>
    <w:pPr>
      <w:spacing w:line="240" w:lineRule="auto"/>
      <w:ind w:left="880" w:hanging="220"/>
    </w:pPr>
  </w:style>
  <w:style w:type="paragraph" w:styleId="54">
    <w:name w:val="index 5"/>
    <w:basedOn w:val="a1"/>
    <w:next w:val="a1"/>
    <w:autoRedefine/>
    <w:uiPriority w:val="99"/>
    <w:semiHidden/>
    <w:unhideWhenUsed/>
    <w:rsid w:val="0003148D"/>
    <w:pPr>
      <w:spacing w:line="240" w:lineRule="auto"/>
      <w:ind w:left="1100" w:hanging="220"/>
    </w:pPr>
  </w:style>
  <w:style w:type="paragraph" w:styleId="60">
    <w:name w:val="index 6"/>
    <w:basedOn w:val="a1"/>
    <w:next w:val="a1"/>
    <w:autoRedefine/>
    <w:uiPriority w:val="99"/>
    <w:semiHidden/>
    <w:unhideWhenUsed/>
    <w:rsid w:val="0003148D"/>
    <w:pPr>
      <w:spacing w:line="240" w:lineRule="auto"/>
      <w:ind w:left="1320" w:hanging="220"/>
    </w:pPr>
  </w:style>
  <w:style w:type="paragraph" w:styleId="70">
    <w:name w:val="index 7"/>
    <w:basedOn w:val="a1"/>
    <w:next w:val="a1"/>
    <w:autoRedefine/>
    <w:uiPriority w:val="99"/>
    <w:semiHidden/>
    <w:unhideWhenUsed/>
    <w:rsid w:val="0003148D"/>
    <w:pPr>
      <w:spacing w:line="240" w:lineRule="auto"/>
      <w:ind w:left="1540" w:hanging="220"/>
    </w:pPr>
  </w:style>
  <w:style w:type="paragraph" w:styleId="80">
    <w:name w:val="index 8"/>
    <w:basedOn w:val="a1"/>
    <w:next w:val="a1"/>
    <w:autoRedefine/>
    <w:uiPriority w:val="99"/>
    <w:semiHidden/>
    <w:unhideWhenUsed/>
    <w:rsid w:val="0003148D"/>
    <w:pPr>
      <w:spacing w:line="240" w:lineRule="auto"/>
      <w:ind w:left="1760" w:hanging="220"/>
    </w:pPr>
  </w:style>
  <w:style w:type="paragraph" w:styleId="90">
    <w:name w:val="index 9"/>
    <w:basedOn w:val="a1"/>
    <w:next w:val="a1"/>
    <w:autoRedefine/>
    <w:uiPriority w:val="99"/>
    <w:semiHidden/>
    <w:unhideWhenUsed/>
    <w:rsid w:val="0003148D"/>
    <w:pPr>
      <w:spacing w:line="240" w:lineRule="auto"/>
      <w:ind w:left="1980" w:hanging="220"/>
    </w:pPr>
  </w:style>
  <w:style w:type="paragraph" w:styleId="af1">
    <w:name w:val="table of figures"/>
    <w:basedOn w:val="a1"/>
    <w:next w:val="a1"/>
    <w:uiPriority w:val="99"/>
    <w:semiHidden/>
    <w:unhideWhenUsed/>
    <w:rsid w:val="0003148D"/>
  </w:style>
  <w:style w:type="paragraph" w:styleId="af2">
    <w:name w:val="table of authorities"/>
    <w:basedOn w:val="a1"/>
    <w:next w:val="a1"/>
    <w:uiPriority w:val="99"/>
    <w:semiHidden/>
    <w:unhideWhenUsed/>
    <w:rsid w:val="0003148D"/>
    <w:pPr>
      <w:ind w:left="220" w:hanging="220"/>
    </w:pPr>
  </w:style>
  <w:style w:type="paragraph" w:styleId="af3">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rsid w:val="0003148D"/>
    <w:pPr>
      <w:spacing w:line="240" w:lineRule="auto"/>
    </w:pPr>
    <w:rPr>
      <w:i/>
      <w:iCs/>
    </w:rPr>
  </w:style>
  <w:style w:type="character" w:customStyle="1" w:styleId="HTMLChar">
    <w:name w:val="Διεύθυνση HTML Char"/>
    <w:basedOn w:val="a2"/>
    <w:link w:val="HTML"/>
    <w:uiPriority w:val="99"/>
    <w:semiHidden/>
    <w:rsid w:val="0003148D"/>
    <w:rPr>
      <w:i/>
      <w:iCs/>
    </w:rPr>
  </w:style>
  <w:style w:type="paragraph" w:styleId="af4">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5">
    <w:name w:val="Message Header"/>
    <w:basedOn w:val="a1"/>
    <w:link w:val="Char6"/>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Κεφαλίδα μηνύματος Char"/>
    <w:basedOn w:val="a2"/>
    <w:link w:val="af5"/>
    <w:uiPriority w:val="99"/>
    <w:semiHidden/>
    <w:rsid w:val="0003148D"/>
    <w:rPr>
      <w:rFonts w:asciiTheme="majorHAnsi" w:eastAsiaTheme="majorEastAsia" w:hAnsiTheme="majorHAnsi" w:cstheme="majorBidi"/>
      <w:sz w:val="24"/>
      <w:szCs w:val="24"/>
      <w:shd w:val="pct20" w:color="auto" w:fill="auto"/>
    </w:rPr>
  </w:style>
  <w:style w:type="paragraph" w:styleId="af6">
    <w:name w:val="Note Heading"/>
    <w:basedOn w:val="a1"/>
    <w:next w:val="a1"/>
    <w:link w:val="Char7"/>
    <w:uiPriority w:val="99"/>
    <w:semiHidden/>
    <w:unhideWhenUsed/>
    <w:rsid w:val="0003148D"/>
    <w:pPr>
      <w:spacing w:line="240" w:lineRule="auto"/>
    </w:pPr>
  </w:style>
  <w:style w:type="character" w:customStyle="1" w:styleId="Char7">
    <w:name w:val="Επικεφαλίδα σημείωσης Char"/>
    <w:basedOn w:val="a2"/>
    <w:link w:val="af6"/>
    <w:uiPriority w:val="99"/>
    <w:semiHidden/>
    <w:rsid w:val="0003148D"/>
  </w:style>
  <w:style w:type="paragraph" w:styleId="af7">
    <w:name w:val="Document Map"/>
    <w:basedOn w:val="a1"/>
    <w:link w:val="Char8"/>
    <w:uiPriority w:val="99"/>
    <w:semiHidden/>
    <w:unhideWhenUsed/>
    <w:rsid w:val="0003148D"/>
    <w:pPr>
      <w:spacing w:line="240" w:lineRule="auto"/>
    </w:pPr>
    <w:rPr>
      <w:rFonts w:ascii="Tahoma" w:hAnsi="Tahoma" w:cs="Tahoma"/>
      <w:sz w:val="16"/>
      <w:szCs w:val="16"/>
    </w:rPr>
  </w:style>
  <w:style w:type="character" w:customStyle="1" w:styleId="Char8">
    <w:name w:val="Χάρτης εγγράφου Char"/>
    <w:basedOn w:val="a2"/>
    <w:link w:val="af7"/>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
    <w:name w:val="HTML Preformatted"/>
    <w:basedOn w:val="a1"/>
    <w:link w:val="-HTMLChar"/>
    <w:uiPriority w:val="99"/>
    <w:semiHidden/>
    <w:unhideWhenUsed/>
    <w:rsid w:val="0003148D"/>
    <w:pPr>
      <w:spacing w:line="240" w:lineRule="auto"/>
    </w:pPr>
    <w:rPr>
      <w:rFonts w:ascii="Consolas" w:hAnsi="Consolas" w:cs="Consolas"/>
    </w:rPr>
  </w:style>
  <w:style w:type="character" w:customStyle="1" w:styleId="-HTMLChar">
    <w:name w:val="Προ-διαμορφωμένο HTML Char"/>
    <w:basedOn w:val="a2"/>
    <w:link w:val="-HTML"/>
    <w:uiPriority w:val="99"/>
    <w:semiHidden/>
    <w:rsid w:val="0003148D"/>
    <w:rPr>
      <w:rFonts w:ascii="Consolas" w:hAnsi="Consolas" w:cs="Consolas"/>
      <w:sz w:val="20"/>
      <w:szCs w:val="20"/>
    </w:rPr>
  </w:style>
  <w:style w:type="paragraph" w:styleId="af8">
    <w:name w:val="Body Text First Indent"/>
    <w:basedOn w:val="a8"/>
    <w:link w:val="Char9"/>
    <w:uiPriority w:val="99"/>
    <w:semiHidden/>
    <w:unhideWhenUsed/>
    <w:rsid w:val="0003148D"/>
    <w:pPr>
      <w:spacing w:after="200"/>
      <w:ind w:firstLine="360"/>
    </w:pPr>
  </w:style>
  <w:style w:type="character" w:customStyle="1" w:styleId="Char9">
    <w:name w:val="Σώμα κείμενου Πρώτη Εσοχή Char"/>
    <w:basedOn w:val="Char0"/>
    <w:link w:val="af8"/>
    <w:uiPriority w:val="99"/>
    <w:semiHidden/>
    <w:rsid w:val="0003148D"/>
  </w:style>
  <w:style w:type="paragraph" w:styleId="af9">
    <w:name w:val="Body Text Indent"/>
    <w:basedOn w:val="a1"/>
    <w:link w:val="Chara"/>
    <w:uiPriority w:val="99"/>
    <w:semiHidden/>
    <w:unhideWhenUsed/>
    <w:rsid w:val="0003148D"/>
    <w:pPr>
      <w:spacing w:after="120"/>
      <w:ind w:left="283"/>
    </w:pPr>
  </w:style>
  <w:style w:type="character" w:customStyle="1" w:styleId="Chara">
    <w:name w:val="Σώμα κείμενου με εσοχή Char"/>
    <w:basedOn w:val="a2"/>
    <w:link w:val="af9"/>
    <w:uiPriority w:val="99"/>
    <w:semiHidden/>
    <w:rsid w:val="0003148D"/>
  </w:style>
  <w:style w:type="paragraph" w:styleId="26">
    <w:name w:val="Body Text First Indent 2"/>
    <w:basedOn w:val="af9"/>
    <w:link w:val="2Char1"/>
    <w:uiPriority w:val="99"/>
    <w:semiHidden/>
    <w:unhideWhenUsed/>
    <w:rsid w:val="0003148D"/>
    <w:pPr>
      <w:spacing w:after="200"/>
      <w:ind w:left="360" w:firstLine="360"/>
    </w:pPr>
  </w:style>
  <w:style w:type="character" w:customStyle="1" w:styleId="2Char1">
    <w:name w:val="Σώμα κείμενου Πρώτη Εσοχή 2 Char"/>
    <w:basedOn w:val="Chara"/>
    <w:link w:val="26"/>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7">
    <w:name w:val="Body Text Indent 2"/>
    <w:basedOn w:val="a1"/>
    <w:link w:val="2Char2"/>
    <w:uiPriority w:val="99"/>
    <w:semiHidden/>
    <w:unhideWhenUsed/>
    <w:rsid w:val="0003148D"/>
    <w:pPr>
      <w:spacing w:after="120" w:line="480" w:lineRule="auto"/>
      <w:ind w:left="283"/>
    </w:pPr>
  </w:style>
  <w:style w:type="character" w:customStyle="1" w:styleId="2Char2">
    <w:name w:val="Σώμα κείμενου με εσοχή 2 Char"/>
    <w:basedOn w:val="a2"/>
    <w:link w:val="27"/>
    <w:uiPriority w:val="99"/>
    <w:semiHidden/>
    <w:rsid w:val="0003148D"/>
  </w:style>
  <w:style w:type="paragraph" w:styleId="36">
    <w:name w:val="Body Text Indent 3"/>
    <w:basedOn w:val="a1"/>
    <w:link w:val="3Char1"/>
    <w:uiPriority w:val="99"/>
    <w:semiHidden/>
    <w:unhideWhenUsed/>
    <w:rsid w:val="0003148D"/>
    <w:pPr>
      <w:spacing w:after="120"/>
      <w:ind w:left="283"/>
    </w:pPr>
    <w:rPr>
      <w:sz w:val="16"/>
      <w:szCs w:val="16"/>
    </w:rPr>
  </w:style>
  <w:style w:type="character" w:customStyle="1" w:styleId="3Char1">
    <w:name w:val="Σώμα κείμενου με εσοχή 3 Char"/>
    <w:basedOn w:val="a2"/>
    <w:link w:val="36"/>
    <w:uiPriority w:val="99"/>
    <w:semiHidden/>
    <w:rsid w:val="0003148D"/>
    <w:rPr>
      <w:sz w:val="16"/>
      <w:szCs w:val="16"/>
    </w:rPr>
  </w:style>
  <w:style w:type="paragraph" w:styleId="afa">
    <w:name w:val="Normal Indent"/>
    <w:basedOn w:val="a1"/>
    <w:uiPriority w:val="99"/>
    <w:semiHidden/>
    <w:unhideWhenUsed/>
    <w:rsid w:val="0003148D"/>
    <w:pPr>
      <w:ind w:left="720"/>
    </w:pPr>
  </w:style>
  <w:style w:type="paragraph" w:styleId="afb">
    <w:name w:val="annotation text"/>
    <w:basedOn w:val="a1"/>
    <w:link w:val="Charb"/>
    <w:uiPriority w:val="99"/>
    <w:unhideWhenUsed/>
    <w:rsid w:val="0003148D"/>
    <w:pPr>
      <w:spacing w:line="240" w:lineRule="auto"/>
    </w:pPr>
  </w:style>
  <w:style w:type="character" w:customStyle="1" w:styleId="Charb">
    <w:name w:val="Κείμενο σχολίου Char"/>
    <w:basedOn w:val="a2"/>
    <w:link w:val="afb"/>
    <w:uiPriority w:val="99"/>
    <w:rsid w:val="0003148D"/>
    <w:rPr>
      <w:sz w:val="20"/>
      <w:szCs w:val="20"/>
    </w:rPr>
  </w:style>
  <w:style w:type="paragraph" w:styleId="afc">
    <w:name w:val="annotation subject"/>
    <w:basedOn w:val="afb"/>
    <w:next w:val="afb"/>
    <w:link w:val="Charc"/>
    <w:uiPriority w:val="99"/>
    <w:semiHidden/>
    <w:unhideWhenUsed/>
    <w:rsid w:val="0003148D"/>
    <w:rPr>
      <w:b/>
      <w:bCs/>
    </w:rPr>
  </w:style>
  <w:style w:type="character" w:customStyle="1" w:styleId="Charc">
    <w:name w:val="Θέμα σχολίου Char"/>
    <w:basedOn w:val="Charb"/>
    <w:link w:val="afc"/>
    <w:uiPriority w:val="99"/>
    <w:semiHidden/>
    <w:rsid w:val="0003148D"/>
    <w:rPr>
      <w:b/>
      <w:bCs/>
      <w:sz w:val="20"/>
      <w:szCs w:val="20"/>
    </w:rPr>
  </w:style>
  <w:style w:type="paragraph" w:styleId="12">
    <w:name w:val="toc 1"/>
    <w:basedOn w:val="a1"/>
    <w:next w:val="a1"/>
    <w:autoRedefine/>
    <w:uiPriority w:val="39"/>
    <w:semiHidden/>
    <w:unhideWhenUsed/>
    <w:rsid w:val="0003148D"/>
    <w:pPr>
      <w:spacing w:after="100"/>
    </w:pPr>
  </w:style>
  <w:style w:type="paragraph" w:styleId="28">
    <w:name w:val="toc 2"/>
    <w:basedOn w:val="a1"/>
    <w:next w:val="a1"/>
    <w:autoRedefine/>
    <w:uiPriority w:val="39"/>
    <w:semiHidden/>
    <w:unhideWhenUsed/>
    <w:rsid w:val="0003148D"/>
    <w:pPr>
      <w:spacing w:after="100"/>
      <w:ind w:left="220"/>
    </w:pPr>
  </w:style>
  <w:style w:type="paragraph" w:styleId="37">
    <w:name w:val="toc 3"/>
    <w:basedOn w:val="a1"/>
    <w:next w:val="a1"/>
    <w:autoRedefine/>
    <w:uiPriority w:val="39"/>
    <w:semiHidden/>
    <w:unhideWhenUsed/>
    <w:rsid w:val="0003148D"/>
    <w:pPr>
      <w:spacing w:after="100"/>
      <w:ind w:left="440"/>
    </w:pPr>
  </w:style>
  <w:style w:type="paragraph" w:styleId="45">
    <w:name w:val="toc 4"/>
    <w:basedOn w:val="a1"/>
    <w:next w:val="a1"/>
    <w:autoRedefine/>
    <w:uiPriority w:val="39"/>
    <w:semiHidden/>
    <w:unhideWhenUsed/>
    <w:rsid w:val="0003148D"/>
    <w:pPr>
      <w:spacing w:after="100"/>
      <w:ind w:left="660"/>
    </w:pPr>
  </w:style>
  <w:style w:type="paragraph" w:styleId="55">
    <w:name w:val="toc 5"/>
    <w:basedOn w:val="a1"/>
    <w:next w:val="a1"/>
    <w:autoRedefine/>
    <w:uiPriority w:val="39"/>
    <w:semiHidden/>
    <w:unhideWhenUsed/>
    <w:rsid w:val="0003148D"/>
    <w:pPr>
      <w:spacing w:after="100"/>
      <w:ind w:left="880"/>
    </w:pPr>
  </w:style>
  <w:style w:type="paragraph" w:styleId="61">
    <w:name w:val="toc 6"/>
    <w:basedOn w:val="a1"/>
    <w:next w:val="a1"/>
    <w:autoRedefine/>
    <w:uiPriority w:val="39"/>
    <w:semiHidden/>
    <w:unhideWhenUsed/>
    <w:rsid w:val="0003148D"/>
    <w:pPr>
      <w:spacing w:after="100"/>
      <w:ind w:left="1100"/>
    </w:pPr>
  </w:style>
  <w:style w:type="paragraph" w:styleId="71">
    <w:name w:val="toc 7"/>
    <w:basedOn w:val="a1"/>
    <w:next w:val="a1"/>
    <w:autoRedefine/>
    <w:uiPriority w:val="39"/>
    <w:semiHidden/>
    <w:unhideWhenUsed/>
    <w:rsid w:val="0003148D"/>
    <w:pPr>
      <w:spacing w:after="100"/>
      <w:ind w:left="1320"/>
    </w:pPr>
  </w:style>
  <w:style w:type="paragraph" w:styleId="81">
    <w:name w:val="toc 8"/>
    <w:basedOn w:val="a1"/>
    <w:next w:val="a1"/>
    <w:autoRedefine/>
    <w:uiPriority w:val="39"/>
    <w:semiHidden/>
    <w:unhideWhenUsed/>
    <w:rsid w:val="0003148D"/>
    <w:pPr>
      <w:spacing w:after="100"/>
      <w:ind w:left="1540"/>
    </w:pPr>
  </w:style>
  <w:style w:type="paragraph" w:styleId="91">
    <w:name w:val="toc 9"/>
    <w:basedOn w:val="a1"/>
    <w:next w:val="a1"/>
    <w:autoRedefine/>
    <w:uiPriority w:val="39"/>
    <w:semiHidden/>
    <w:unhideWhenUsed/>
    <w:rsid w:val="0003148D"/>
    <w:pPr>
      <w:spacing w:after="100"/>
      <w:ind w:left="1760"/>
    </w:pPr>
  </w:style>
  <w:style w:type="paragraph" w:styleId="afd">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Κείμενο μακροεντολής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rsid w:val="0003148D"/>
    <w:pPr>
      <w:spacing w:line="240" w:lineRule="auto"/>
    </w:pPr>
    <w:rPr>
      <w:rFonts w:ascii="Consolas" w:hAnsi="Consolas" w:cs="Consolas"/>
      <w:sz w:val="21"/>
      <w:szCs w:val="21"/>
    </w:rPr>
  </w:style>
  <w:style w:type="character" w:customStyle="1" w:styleId="Chare">
    <w:name w:val="Απλό κείμενο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rsid w:val="0003148D"/>
    <w:pPr>
      <w:spacing w:line="240" w:lineRule="auto"/>
    </w:pPr>
  </w:style>
  <w:style w:type="character" w:customStyle="1" w:styleId="Charf">
    <w:name w:val="Κείμενο υποσημείωσης Char"/>
    <w:basedOn w:val="a2"/>
    <w:link w:val="aff0"/>
    <w:uiPriority w:val="99"/>
    <w:semiHidden/>
    <w:rsid w:val="0003148D"/>
    <w:rPr>
      <w:sz w:val="20"/>
      <w:szCs w:val="20"/>
    </w:rPr>
  </w:style>
  <w:style w:type="paragraph" w:styleId="aff1">
    <w:name w:val="endnote text"/>
    <w:basedOn w:val="a1"/>
    <w:link w:val="Charf0"/>
    <w:uiPriority w:val="99"/>
    <w:semiHidden/>
    <w:unhideWhenUsed/>
    <w:rsid w:val="0003148D"/>
    <w:pPr>
      <w:spacing w:line="240" w:lineRule="auto"/>
    </w:pPr>
  </w:style>
  <w:style w:type="character" w:customStyle="1" w:styleId="Charf0">
    <w:name w:val="Κείμενο σημείωσης τέλους Char"/>
    <w:basedOn w:val="a2"/>
    <w:link w:val="aff1"/>
    <w:uiPriority w:val="99"/>
    <w:semiHidden/>
    <w:rsid w:val="0003148D"/>
    <w:rPr>
      <w:sz w:val="20"/>
      <w:szCs w:val="20"/>
    </w:rPr>
  </w:style>
  <w:style w:type="character" w:customStyle="1" w:styleId="1Char">
    <w:name w:val="Επικεφαλίδα 1 Char"/>
    <w:basedOn w:val="a2"/>
    <w:link w:val="10"/>
    <w:uiPriority w:val="9"/>
    <w:rsid w:val="004F5E36"/>
    <w:rPr>
      <w:rFonts w:ascii="Arial" w:eastAsia="Times New Roman" w:hAnsi="Arial" w:cs="Times New Roman"/>
      <w:b/>
      <w:sz w:val="20"/>
      <w:szCs w:val="20"/>
      <w:lang w:val="en-GB"/>
    </w:rPr>
  </w:style>
  <w:style w:type="character" w:customStyle="1" w:styleId="2Char">
    <w:name w:val="Επικεφαλίδα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Επικεφαλίδα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rsid w:val="0003148D"/>
    <w:rPr>
      <w:rFonts w:asciiTheme="majorHAnsi" w:eastAsiaTheme="majorEastAsia" w:hAnsiTheme="majorHAnsi" w:cstheme="majorBidi"/>
      <w:b/>
      <w:bCs/>
    </w:rPr>
  </w:style>
  <w:style w:type="paragraph" w:styleId="aff3">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4">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5">
    <w:name w:val="header"/>
    <w:basedOn w:val="a1"/>
    <w:link w:val="Charf1"/>
    <w:uiPriority w:val="99"/>
    <w:unhideWhenUsed/>
    <w:rsid w:val="005278B7"/>
    <w:pPr>
      <w:tabs>
        <w:tab w:val="clear" w:pos="7100"/>
        <w:tab w:val="center" w:pos="4819"/>
        <w:tab w:val="right" w:pos="9638"/>
      </w:tabs>
      <w:spacing w:line="240" w:lineRule="auto"/>
    </w:pPr>
  </w:style>
  <w:style w:type="character" w:customStyle="1" w:styleId="Charf1">
    <w:name w:val="Κεφαλίδα Char"/>
    <w:basedOn w:val="a2"/>
    <w:link w:val="aff5"/>
    <w:uiPriority w:val="99"/>
    <w:rsid w:val="005278B7"/>
    <w:rPr>
      <w:rFonts w:ascii="Arial" w:eastAsia="Times New Roman" w:hAnsi="Arial" w:cs="Times New Roman"/>
      <w:sz w:val="18"/>
      <w:szCs w:val="20"/>
      <w:lang w:val="en-GB"/>
    </w:rPr>
  </w:style>
  <w:style w:type="paragraph" w:styleId="aff6">
    <w:name w:val="footer"/>
    <w:basedOn w:val="a1"/>
    <w:link w:val="Charf2"/>
    <w:uiPriority w:val="99"/>
    <w:unhideWhenUsed/>
    <w:rsid w:val="005278B7"/>
    <w:pPr>
      <w:tabs>
        <w:tab w:val="clear" w:pos="7100"/>
        <w:tab w:val="center" w:pos="4819"/>
        <w:tab w:val="right" w:pos="9638"/>
      </w:tabs>
      <w:spacing w:line="240" w:lineRule="auto"/>
    </w:pPr>
  </w:style>
  <w:style w:type="character" w:customStyle="1" w:styleId="Charf2">
    <w:name w:val="Υποσέλιδο Char"/>
    <w:basedOn w:val="a2"/>
    <w:link w:val="aff6"/>
    <w:uiPriority w:val="99"/>
    <w:rsid w:val="005278B7"/>
    <w:rPr>
      <w:rFonts w:ascii="Arial" w:eastAsia="Times New Roman" w:hAnsi="Arial" w:cs="Times New Roman"/>
      <w:sz w:val="18"/>
      <w:szCs w:val="20"/>
      <w:lang w:val="en-GB"/>
    </w:rPr>
  </w:style>
  <w:style w:type="table" w:styleId="aff7">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8">
    <w:name w:val="List Paragraph"/>
    <w:basedOn w:val="a1"/>
    <w:uiPriority w:val="34"/>
    <w:rsid w:val="00280FAF"/>
    <w:pPr>
      <w:ind w:left="720"/>
      <w:contextualSpacing/>
    </w:pPr>
  </w:style>
  <w:style w:type="character" w:styleId="aff9">
    <w:name w:val="Placeholder Text"/>
    <w:basedOn w:val="a2"/>
    <w:uiPriority w:val="99"/>
    <w:semiHidden/>
    <w:rsid w:val="00D265DF"/>
    <w:rPr>
      <w:color w:val="808080"/>
    </w:rPr>
  </w:style>
  <w:style w:type="table" w:styleId="-6">
    <w:name w:val="Light Shading Accent 6"/>
    <w:basedOn w:val="a3"/>
    <w:uiPriority w:val="60"/>
    <w:rsid w:val="00F367D5"/>
    <w:pPr>
      <w:spacing w:after="0" w:line="240" w:lineRule="auto"/>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a">
    <w:name w:val="Emphasis"/>
    <w:basedOn w:val="a2"/>
    <w:uiPriority w:val="20"/>
    <w:qFormat/>
    <w:rsid w:val="00B84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540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41689976">
      <w:bodyDiv w:val="1"/>
      <w:marLeft w:val="0"/>
      <w:marRight w:val="0"/>
      <w:marTop w:val="0"/>
      <w:marBottom w:val="0"/>
      <w:divBdr>
        <w:top w:val="none" w:sz="0" w:space="0" w:color="auto"/>
        <w:left w:val="none" w:sz="0" w:space="0" w:color="auto"/>
        <w:bottom w:val="none" w:sz="0" w:space="0" w:color="auto"/>
        <w:right w:val="none" w:sz="0" w:space="0" w:color="auto"/>
      </w:divBdr>
      <w:divsChild>
        <w:div w:id="762187055">
          <w:marLeft w:val="0"/>
          <w:marRight w:val="0"/>
          <w:marTop w:val="0"/>
          <w:marBottom w:val="0"/>
          <w:divBdr>
            <w:top w:val="none" w:sz="0" w:space="0" w:color="auto"/>
            <w:left w:val="none" w:sz="0" w:space="0" w:color="auto"/>
            <w:bottom w:val="none" w:sz="0" w:space="0" w:color="auto"/>
            <w:right w:val="none" w:sz="0" w:space="0" w:color="auto"/>
          </w:divBdr>
          <w:divsChild>
            <w:div w:id="3771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6650">
      <w:bodyDiv w:val="1"/>
      <w:marLeft w:val="0"/>
      <w:marRight w:val="0"/>
      <w:marTop w:val="0"/>
      <w:marBottom w:val="0"/>
      <w:divBdr>
        <w:top w:val="none" w:sz="0" w:space="0" w:color="auto"/>
        <w:left w:val="none" w:sz="0" w:space="0" w:color="auto"/>
        <w:bottom w:val="none" w:sz="0" w:space="0" w:color="auto"/>
        <w:right w:val="none" w:sz="0" w:space="0" w:color="auto"/>
      </w:divBdr>
      <w:divsChild>
        <w:div w:id="18630576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80249001">
      <w:bodyDiv w:val="1"/>
      <w:marLeft w:val="0"/>
      <w:marRight w:val="0"/>
      <w:marTop w:val="0"/>
      <w:marBottom w:val="0"/>
      <w:divBdr>
        <w:top w:val="none" w:sz="0" w:space="0" w:color="auto"/>
        <w:left w:val="none" w:sz="0" w:space="0" w:color="auto"/>
        <w:bottom w:val="none" w:sz="0" w:space="0" w:color="auto"/>
        <w:right w:val="none" w:sz="0" w:space="0" w:color="auto"/>
      </w:divBdr>
    </w:div>
    <w:div w:id="193705128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32D9-E91F-402E-BFFF-2306D97E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16662</Words>
  <Characters>94975</Characters>
  <Application>Microsoft Office Word</Application>
  <DocSecurity>0</DocSecurity>
  <Lines>791</Lines>
  <Paragraphs>222</Paragraphs>
  <ScaleCrop>false</ScaleCrop>
  <HeadingPairs>
    <vt:vector size="6" baseType="variant">
      <vt:variant>
        <vt:lpstr>Τίτλος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Marina Stramarkou</cp:lastModifiedBy>
  <cp:revision>16</cp:revision>
  <cp:lastPrinted>2015-05-12T18:31:00Z</cp:lastPrinted>
  <dcterms:created xsi:type="dcterms:W3CDTF">2022-02-04T23:04:00Z</dcterms:created>
  <dcterms:modified xsi:type="dcterms:W3CDTF">2022-02-06T14:25:00Z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076bbdf9-985c-3dce-af81-3ed73065db33</vt:lpwstr>
  </property>
  <property fmtid="{D5CDD505-2E9C-101B-9397-08002B2CF9AE}" pid="6" name="Mendeley Citation Style_1">
    <vt:lpwstr>http://www.zotero.org/styles/harvard-cite-them-right</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http://www.zotero.org/styles/harvard-cite-them-right</vt:lpwstr>
  </property>
  <property fmtid="{D5CDD505-2E9C-101B-9397-08002B2CF9AE}" pid="12" name="Mendeley Recent Style Name 2_1">
    <vt:lpwstr>Cite Them Right 10th edition - Harvard</vt:lpwstr>
  </property>
  <property fmtid="{D5CDD505-2E9C-101B-9397-08002B2CF9AE}" pid="13" name="Mendeley Recent Style Id 3_1">
    <vt:lpwstr>http://csl.mendeley.com/styles/455497581/cultural-studies-of-science-education</vt:lpwstr>
  </property>
  <property fmtid="{D5CDD505-2E9C-101B-9397-08002B2CF9AE}" pid="14" name="Mendeley Recent Style Name 3_1">
    <vt:lpwstr>Cultural Studies of Science Education - marina stramarkou</vt:lpwstr>
  </property>
  <property fmtid="{D5CDD505-2E9C-101B-9397-08002B2CF9AE}" pid="15" name="Mendeley Recent Style Id 4_1">
    <vt:lpwstr>https://csl.mendeley.com/styles/455497581/ieee</vt:lpwstr>
  </property>
  <property fmtid="{D5CDD505-2E9C-101B-9397-08002B2CF9AE}" pid="16" name="Mendeley Recent Style Name 4_1">
    <vt:lpwstr>IEEE - marina stramarkou</vt:lpwstr>
  </property>
  <property fmtid="{D5CDD505-2E9C-101B-9397-08002B2CF9AE}" pid="17" name="Mendeley Recent Style Id 5_1">
    <vt:lpwstr>http://www.zotero.org/styles/modern-language-association</vt:lpwstr>
  </property>
  <property fmtid="{D5CDD505-2E9C-101B-9397-08002B2CF9AE}" pid="18" name="Mendeley Recent Style Name 5_1">
    <vt:lpwstr>Modern Language Association 8th edition</vt:lpwstr>
  </property>
  <property fmtid="{D5CDD505-2E9C-101B-9397-08002B2CF9AE}" pid="19" name="Mendeley Recent Style Id 6_1">
    <vt:lpwstr>http://www.zotero.org/styles/national-library-of-medicine</vt:lpwstr>
  </property>
  <property fmtid="{D5CDD505-2E9C-101B-9397-08002B2CF9AE}" pid="20" name="Mendeley Recent Style Name 6_1">
    <vt:lpwstr>National Library of Medicine</vt:lpwstr>
  </property>
  <property fmtid="{D5CDD505-2E9C-101B-9397-08002B2CF9AE}" pid="21" name="Mendeley Recent Style Id 7_1">
    <vt:lpwstr>http://www.zotero.org/styles/nature</vt:lpwstr>
  </property>
  <property fmtid="{D5CDD505-2E9C-101B-9397-08002B2CF9AE}" pid="22" name="Mendeley Recent Style Name 7_1">
    <vt:lpwstr>Nature</vt:lpwstr>
  </property>
  <property fmtid="{D5CDD505-2E9C-101B-9397-08002B2CF9AE}" pid="23" name="Mendeley Recent Style Id 8_1">
    <vt:lpwstr>http://www.zotero.org/styles/taylor-and-francis-council-of-science-editors-author-date</vt:lpwstr>
  </property>
  <property fmtid="{D5CDD505-2E9C-101B-9397-08002B2CF9AE}" pid="24" name="Mendeley Recent Style Name 8_1">
    <vt:lpwstr>Taylor &amp; Francis - Council of Science Editors (author-date)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