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54CD108" w14:textId="77777777" w:rsidR="00036968" w:rsidRDefault="00036968" w:rsidP="00036968">
      <w:pPr>
        <w:pStyle w:val="CETBodytext"/>
        <w:spacing w:line="240" w:lineRule="auto"/>
        <w:jc w:val="center"/>
        <w:rPr>
          <w:sz w:val="28"/>
        </w:rPr>
      </w:pPr>
    </w:p>
    <w:p w14:paraId="1A853116" w14:textId="77777777" w:rsidR="00637BA9" w:rsidRDefault="00637BA9" w:rsidP="00036968">
      <w:pPr>
        <w:pStyle w:val="CETBodytext"/>
        <w:spacing w:line="240" w:lineRule="auto"/>
        <w:jc w:val="center"/>
        <w:rPr>
          <w:sz w:val="28"/>
        </w:rPr>
      </w:pPr>
    </w:p>
    <w:p w14:paraId="6DF2C3C2" w14:textId="52985A94" w:rsidR="00036968" w:rsidRPr="004C4E7E" w:rsidRDefault="00036968" w:rsidP="00036968">
      <w:pPr>
        <w:pStyle w:val="CETBodytext"/>
        <w:spacing w:line="240" w:lineRule="auto"/>
        <w:jc w:val="center"/>
        <w:rPr>
          <w:sz w:val="28"/>
        </w:rPr>
      </w:pPr>
      <w:r w:rsidRPr="004C4E7E">
        <w:rPr>
          <w:sz w:val="28"/>
        </w:rPr>
        <w:t xml:space="preserve">Reduction of the rate of accidents at work through the implementation </w:t>
      </w:r>
      <w:r w:rsidRPr="0095360C">
        <w:rPr>
          <w:sz w:val="28"/>
        </w:rPr>
        <w:t>of a</w:t>
      </w:r>
      <w:r w:rsidR="003E7CA3" w:rsidRPr="0095360C">
        <w:rPr>
          <w:sz w:val="28"/>
        </w:rPr>
        <w:t>n</w:t>
      </w:r>
      <w:r w:rsidRPr="0095360C">
        <w:rPr>
          <w:sz w:val="28"/>
        </w:rPr>
        <w:t xml:space="preserve"> Occupational </w:t>
      </w:r>
      <w:r w:rsidRPr="004C4E7E">
        <w:rPr>
          <w:sz w:val="28"/>
        </w:rPr>
        <w:t>Safety and Health Management System</w:t>
      </w:r>
      <w:r w:rsidR="0095360C">
        <w:rPr>
          <w:sz w:val="28"/>
        </w:rPr>
        <w:t xml:space="preserve"> (OSHS)</w:t>
      </w:r>
      <w:r w:rsidRPr="004C4E7E">
        <w:rPr>
          <w:sz w:val="28"/>
        </w:rPr>
        <w:t xml:space="preserve"> in the industrial electromechanical industry.</w:t>
      </w:r>
    </w:p>
    <w:p w14:paraId="321F7010" w14:textId="77777777" w:rsidR="008B33B2" w:rsidRPr="00036968" w:rsidRDefault="008B33B2" w:rsidP="008B33B2">
      <w:pPr>
        <w:pStyle w:val="CETAuthors"/>
        <w:rPr>
          <w:lang w:val="en-US"/>
        </w:rPr>
      </w:pPr>
    </w:p>
    <w:p w14:paraId="7B1AF112" w14:textId="7FFEE711" w:rsidR="008B33B2" w:rsidRPr="000919AF" w:rsidRDefault="008B33B2" w:rsidP="008B33B2">
      <w:pPr>
        <w:pStyle w:val="CETAuthors"/>
        <w:jc w:val="center"/>
        <w:rPr>
          <w:lang w:val="es-PE"/>
        </w:rPr>
      </w:pPr>
      <w:r w:rsidRPr="00287839">
        <w:rPr>
          <w:lang w:val="es-PE"/>
        </w:rPr>
        <w:t xml:space="preserve">Jefrie </w:t>
      </w:r>
      <w:r w:rsidR="00745D03" w:rsidRPr="00287839">
        <w:rPr>
          <w:lang w:val="es-PE"/>
        </w:rPr>
        <w:t>Prínce</w:t>
      </w:r>
      <w:r w:rsidRPr="00287839">
        <w:rPr>
          <w:lang w:val="es-PE"/>
        </w:rPr>
        <w:t xml:space="preserve"> Grandez , Rosario</w:t>
      </w:r>
      <w:r w:rsidR="00745D03" w:rsidRPr="00287839">
        <w:rPr>
          <w:lang w:val="es-PE"/>
        </w:rPr>
        <w:t xml:space="preserve"> del Pilar </w:t>
      </w:r>
      <w:r>
        <w:rPr>
          <w:lang w:val="es-PE"/>
        </w:rPr>
        <w:t xml:space="preserve">López Padilla </w:t>
      </w:r>
      <w:r w:rsidRPr="0089436A">
        <w:rPr>
          <w:vertAlign w:val="superscript"/>
          <w:lang w:val="es-PE"/>
        </w:rPr>
        <w:t>*</w:t>
      </w:r>
      <w:r>
        <w:rPr>
          <w:lang w:val="es-PE"/>
        </w:rPr>
        <w:t>,</w:t>
      </w:r>
      <w:r w:rsidRPr="000919AF">
        <w:rPr>
          <w:lang w:val="es-PE"/>
        </w:rPr>
        <w:t xml:space="preserve"> </w:t>
      </w:r>
      <w:r w:rsidRPr="0089436A">
        <w:rPr>
          <w:lang w:val="es-PE"/>
        </w:rPr>
        <w:t>Elmer Benites</w:t>
      </w:r>
      <w:r>
        <w:rPr>
          <w:lang w:val="es-PE"/>
        </w:rPr>
        <w:t>-Alfaro</w:t>
      </w:r>
    </w:p>
    <w:p w14:paraId="20BBDDFF" w14:textId="7A39F309" w:rsidR="008B33B2" w:rsidRPr="00FC4003" w:rsidRDefault="008B33B2" w:rsidP="008B33B2">
      <w:pPr>
        <w:pStyle w:val="CETAddress"/>
        <w:rPr>
          <w:lang w:val="es-PE"/>
        </w:rPr>
      </w:pPr>
      <w:r w:rsidRPr="00FC4003">
        <w:rPr>
          <w:lang w:val="es-PE"/>
        </w:rPr>
        <w:t xml:space="preserve">Universidad </w:t>
      </w:r>
      <w:r w:rsidR="0015309B" w:rsidRPr="00FC4003">
        <w:rPr>
          <w:lang w:val="es-PE"/>
        </w:rPr>
        <w:t xml:space="preserve"> </w:t>
      </w:r>
      <w:r w:rsidRPr="00FC4003">
        <w:rPr>
          <w:lang w:val="es-PE"/>
        </w:rPr>
        <w:t xml:space="preserve">César Vallejo, Av. Alfredo Mendiola 6232 Los Olivos Lima 15314, Perú </w:t>
      </w:r>
    </w:p>
    <w:p w14:paraId="62403595" w14:textId="77777777" w:rsidR="008B33B2" w:rsidRPr="00A27F9E" w:rsidRDefault="008B33B2" w:rsidP="008B33B2">
      <w:pPr>
        <w:pStyle w:val="CETemail"/>
        <w:rPr>
          <w:lang w:val="en-US"/>
        </w:rPr>
      </w:pPr>
      <w:r w:rsidRPr="00A27F9E">
        <w:rPr>
          <w:lang w:val="en-US"/>
        </w:rPr>
        <w:t>*corresponding: rlopezp@ucv.edu.pe</w:t>
      </w:r>
    </w:p>
    <w:p w14:paraId="26C9DABA" w14:textId="5212C261" w:rsidR="00036968" w:rsidRPr="00A23918" w:rsidRDefault="00036968" w:rsidP="00036968">
      <w:pPr>
        <w:pStyle w:val="CETBodytext"/>
        <w:spacing w:line="240" w:lineRule="auto"/>
      </w:pPr>
      <w:r w:rsidRPr="004C4E7E">
        <w:t xml:space="preserve">Accidents at </w:t>
      </w:r>
      <w:r w:rsidRPr="00A23918">
        <w:t xml:space="preserve">work in industry </w:t>
      </w:r>
      <w:r w:rsidR="00A717C2" w:rsidRPr="00A23918">
        <w:t xml:space="preserve">are </w:t>
      </w:r>
      <w:r w:rsidRPr="00A23918">
        <w:t>important factors that must be addressed</w:t>
      </w:r>
      <w:r w:rsidR="00A717C2" w:rsidRPr="00A23918">
        <w:t>. They</w:t>
      </w:r>
      <w:r w:rsidRPr="00A23918">
        <w:t xml:space="preserve"> often occur </w:t>
      </w:r>
      <w:r w:rsidR="00A717C2" w:rsidRPr="00A23918">
        <w:t>because</w:t>
      </w:r>
      <w:r w:rsidRPr="00A23918">
        <w:t xml:space="preserve"> of the lack of a management system in place. In the electromechanical industry it requires the observance of these procedures because it is an activity where many equipment and mechanical tools are employed and operators must comply with established protocols so that regrettable accidents do not happen. The research aimed to reduce the rate of </w:t>
      </w:r>
      <w:r w:rsidR="00A27F9E" w:rsidRPr="00A23918">
        <w:t xml:space="preserve">occupational accidents </w:t>
      </w:r>
      <w:r w:rsidRPr="00A23918">
        <w:t>of employees of an industrial electromechanical company through the implementation of a Management System of Safety and Health at Work.</w:t>
      </w:r>
      <w:r w:rsidR="004B6EEA">
        <w:t xml:space="preserve"> </w:t>
      </w:r>
      <w:r w:rsidRPr="00A23918">
        <w:t>The method consisted of identifying the probable causes of accidents at work for 10 weeks</w:t>
      </w:r>
      <w:r w:rsidR="00A27F9E" w:rsidRPr="00A23918">
        <w:t>. A</w:t>
      </w:r>
      <w:r w:rsidRPr="00A23918">
        <w:t xml:space="preserve"> new </w:t>
      </w:r>
      <w:r w:rsidR="0091786A" w:rsidRPr="00A23918">
        <w:t>Occupational S</w:t>
      </w:r>
      <w:r w:rsidRPr="00A23918">
        <w:t xml:space="preserve">afety and </w:t>
      </w:r>
      <w:r w:rsidR="0091786A" w:rsidRPr="00A23918">
        <w:t>H</w:t>
      </w:r>
      <w:r w:rsidRPr="00A23918">
        <w:t xml:space="preserve">ealth </w:t>
      </w:r>
      <w:r w:rsidR="0091786A" w:rsidRPr="00A23918">
        <w:t>M</w:t>
      </w:r>
      <w:r w:rsidRPr="00A23918">
        <w:t xml:space="preserve">anagement </w:t>
      </w:r>
      <w:r w:rsidR="0091786A" w:rsidRPr="00A23918">
        <w:t>S</w:t>
      </w:r>
      <w:r w:rsidRPr="00A23918">
        <w:t xml:space="preserve">ystem was proposed and implemented taking into account 5 phases: policy, scope, planning, implementation and verification. As a result, after implementation, </w:t>
      </w:r>
      <w:r w:rsidR="0091786A" w:rsidRPr="00A23918">
        <w:t>there was a</w:t>
      </w:r>
      <w:r w:rsidRPr="00A23918">
        <w:t xml:space="preserve"> reduction in occupational accidents </w:t>
      </w:r>
      <w:r w:rsidR="0091786A" w:rsidRPr="00A23918">
        <w:t xml:space="preserve">of about </w:t>
      </w:r>
      <w:r w:rsidRPr="00A23918">
        <w:t>87.5% (from 8 accidents</w:t>
      </w:r>
      <w:r w:rsidR="0091786A" w:rsidRPr="00A23918">
        <w:t xml:space="preserve"> to </w:t>
      </w:r>
      <w:r w:rsidRPr="00A23918">
        <w:t>1). This also confirms the need to manage the activities in a company in order to establish normality in the productive processes and</w:t>
      </w:r>
      <w:r w:rsidR="00A27F9E" w:rsidRPr="00A23918">
        <w:t xml:space="preserve"> guarantee the</w:t>
      </w:r>
      <w:r w:rsidRPr="00A23918">
        <w:t xml:space="preserve"> health of</w:t>
      </w:r>
      <w:r w:rsidR="0091786A" w:rsidRPr="00A23918">
        <w:t xml:space="preserve"> workers.</w:t>
      </w:r>
      <w:r w:rsidRPr="00A23918">
        <w:t xml:space="preserve"> </w:t>
      </w:r>
    </w:p>
    <w:p w14:paraId="54548CF0" w14:textId="28D8DB87" w:rsidR="008B33B2" w:rsidRPr="00A23918" w:rsidRDefault="008B33B2" w:rsidP="008B33B2">
      <w:pPr>
        <w:pStyle w:val="CETBodytext"/>
        <w:spacing w:line="240" w:lineRule="auto"/>
      </w:pPr>
    </w:p>
    <w:p w14:paraId="476B2F2E" w14:textId="77777777" w:rsidR="00600535" w:rsidRPr="00A23918" w:rsidRDefault="00600535" w:rsidP="00600535">
      <w:pPr>
        <w:pStyle w:val="CETHeading1"/>
        <w:rPr>
          <w:lang w:val="en-GB"/>
        </w:rPr>
      </w:pPr>
      <w:r w:rsidRPr="00A23918">
        <w:rPr>
          <w:lang w:val="en-GB"/>
        </w:rPr>
        <w:t>Introduction</w:t>
      </w:r>
    </w:p>
    <w:p w14:paraId="5FC0DA5F" w14:textId="08F4D3E1" w:rsidR="007C0569" w:rsidRPr="0095360C" w:rsidRDefault="007C0569" w:rsidP="00FE287F">
      <w:pPr>
        <w:pStyle w:val="CETBodytext"/>
      </w:pPr>
      <w:r w:rsidRPr="0095360C">
        <w:t xml:space="preserve">Responsible companies base their activities on </w:t>
      </w:r>
      <w:r w:rsidR="00F115DF" w:rsidRPr="0095360C">
        <w:t>a</w:t>
      </w:r>
      <w:r w:rsidRPr="0095360C">
        <w:t xml:space="preserve"> good performance of their employees and to achieve these objectives one aspect is the well-being of the people who work in it, especially </w:t>
      </w:r>
      <w:r w:rsidR="008B1797" w:rsidRPr="0095360C">
        <w:t xml:space="preserve">those </w:t>
      </w:r>
      <w:r w:rsidRPr="0095360C">
        <w:t>related to not suffering accidents at work resulting in delay</w:t>
      </w:r>
      <w:r w:rsidR="00F115DF" w:rsidRPr="0095360C">
        <w:t>s</w:t>
      </w:r>
      <w:r w:rsidRPr="0095360C">
        <w:t xml:space="preserve"> in productive activities</w:t>
      </w:r>
      <w:r w:rsidR="008B1797" w:rsidRPr="0095360C">
        <w:t xml:space="preserve"> because of</w:t>
      </w:r>
      <w:r w:rsidRPr="0095360C">
        <w:t xml:space="preserve"> social, human and economic cost</w:t>
      </w:r>
      <w:r w:rsidR="008B1797" w:rsidRPr="0095360C">
        <w:t xml:space="preserve"> they represent</w:t>
      </w:r>
      <w:r w:rsidRPr="0095360C">
        <w:t xml:space="preserve"> to the organization (ILO, s. f.). The metal industry</w:t>
      </w:r>
      <w:r w:rsidR="00F115DF" w:rsidRPr="0095360C">
        <w:t xml:space="preserve"> due to the nature of</w:t>
      </w:r>
      <w:r w:rsidRPr="0095360C">
        <w:t xml:space="preserve"> </w:t>
      </w:r>
      <w:r w:rsidR="00F115DF" w:rsidRPr="0095360C">
        <w:t>their</w:t>
      </w:r>
      <w:r w:rsidRPr="0095360C">
        <w:t xml:space="preserve"> activities</w:t>
      </w:r>
      <w:r w:rsidR="008B1797" w:rsidRPr="0095360C">
        <w:t xml:space="preserve"> has </w:t>
      </w:r>
      <w:r w:rsidRPr="0095360C">
        <w:t>a considerable rate of accidents at work due to the failure to implement a management system for safety and health at work (SGSST)</w:t>
      </w:r>
      <w:r w:rsidR="00F115DF" w:rsidRPr="0095360C">
        <w:t>. I</w:t>
      </w:r>
      <w:r w:rsidRPr="0095360C">
        <w:t>n Peru</w:t>
      </w:r>
      <w:r w:rsidR="008B1797" w:rsidRPr="0095360C">
        <w:t xml:space="preserve">, </w:t>
      </w:r>
      <w:r w:rsidR="0018683B" w:rsidRPr="0095360C">
        <w:t>for</w:t>
      </w:r>
      <w:r w:rsidR="008B1797" w:rsidRPr="0095360C">
        <w:t xml:space="preserve"> September 2021,</w:t>
      </w:r>
      <w:r w:rsidRPr="0095360C">
        <w:t xml:space="preserve"> </w:t>
      </w:r>
      <w:r w:rsidR="0018683B" w:rsidRPr="0095360C">
        <w:t xml:space="preserve">it was reported </w:t>
      </w:r>
      <w:r w:rsidRPr="0095360C">
        <w:t>11 fatal accidents, 2184 accidents at work, 62 dangerous incidents and 8 occupational diseases to the Ministry of Labour (MTPE, 2021).</w:t>
      </w:r>
    </w:p>
    <w:p w14:paraId="33710A46" w14:textId="77777777" w:rsidR="0018683B" w:rsidRPr="00A23918" w:rsidRDefault="0018683B" w:rsidP="00FE287F">
      <w:pPr>
        <w:pStyle w:val="CETBodytext"/>
      </w:pPr>
    </w:p>
    <w:p w14:paraId="0486613B" w14:textId="34EF9CA6" w:rsidR="007C0569" w:rsidRPr="007C0569" w:rsidRDefault="007C0569" w:rsidP="00FE287F">
      <w:pPr>
        <w:pStyle w:val="CETBodytext"/>
      </w:pPr>
      <w:r w:rsidRPr="00A23918">
        <w:t>In the world, according to a study by the World Health Organization (WHO) in conjunction with the International Labour Organization (ILO), work-related diseases and injuries caused 1.9 million deaths between 2000 and 2016; the main factors are</w:t>
      </w:r>
      <w:r w:rsidR="00F115DF" w:rsidRPr="00A23918">
        <w:t xml:space="preserve">: </w:t>
      </w:r>
      <w:r w:rsidRPr="00A23918">
        <w:t>exposure to long working hours and workplace exposure to air pollution, asthmagens, carcinogens, ergonomics risks, and noise (Diaz Dumont et al., 2020).</w:t>
      </w:r>
    </w:p>
    <w:p w14:paraId="324CCB6F" w14:textId="77777777" w:rsidR="007C0569" w:rsidRPr="007C0569" w:rsidRDefault="007C0569" w:rsidP="00FE287F">
      <w:pPr>
        <w:pStyle w:val="CETBodytext"/>
      </w:pPr>
    </w:p>
    <w:p w14:paraId="4725213D" w14:textId="577E6AE3" w:rsidR="007C0569" w:rsidRPr="00367660" w:rsidRDefault="0018683B" w:rsidP="00FE287F">
      <w:pPr>
        <w:pStyle w:val="CETBodytext"/>
      </w:pPr>
      <w:r w:rsidRPr="00A23918">
        <w:t>Many</w:t>
      </w:r>
      <w:r w:rsidR="007C0569" w:rsidRPr="00A23918">
        <w:t xml:space="preserve"> companies support the implementation of these systems </w:t>
      </w:r>
      <w:r w:rsidR="007D3D70" w:rsidRPr="00A23918">
        <w:t>because of l</w:t>
      </w:r>
      <w:r w:rsidR="00F115DF" w:rsidRPr="00A23918">
        <w:t>e</w:t>
      </w:r>
      <w:r w:rsidR="007C0569" w:rsidRPr="00A23918">
        <w:t>gal, economic and</w:t>
      </w:r>
      <w:r w:rsidR="007D3D70" w:rsidRPr="00A23918">
        <w:t xml:space="preserve"> benefits of a </w:t>
      </w:r>
      <w:r w:rsidR="007C0569" w:rsidRPr="00A23918">
        <w:t xml:space="preserve">good image </w:t>
      </w:r>
      <w:r w:rsidR="007D3D70" w:rsidRPr="00A23918">
        <w:t>for the organizations</w:t>
      </w:r>
      <w:r w:rsidR="007C0569" w:rsidRPr="00A23918">
        <w:t xml:space="preserve"> (Gadea García, 2016), also the improvement of the corporate </w:t>
      </w:r>
      <w:r w:rsidR="00A223B0" w:rsidRPr="00A23918">
        <w:t>as a</w:t>
      </w:r>
      <w:r w:rsidR="007C0569" w:rsidRPr="00A23918">
        <w:t xml:space="preserve"> socially responsible company that seeks sustainable human development </w:t>
      </w:r>
      <w:r w:rsidR="00A223B0" w:rsidRPr="00A23918">
        <w:t xml:space="preserve">for the improvement of the </w:t>
      </w:r>
      <w:r w:rsidR="007C0569" w:rsidRPr="00A23918">
        <w:t>quality of life of workers</w:t>
      </w:r>
      <w:r w:rsidR="007D3D70" w:rsidRPr="00A23918">
        <w:t xml:space="preserve">. </w:t>
      </w:r>
      <w:r w:rsidR="007C0569" w:rsidRPr="00A23918">
        <w:t>(López,</w:t>
      </w:r>
      <w:r w:rsidR="0095360C">
        <w:t xml:space="preserve"> </w:t>
      </w:r>
      <w:r w:rsidR="007C0569" w:rsidRPr="00A23918">
        <w:t>2016)</w:t>
      </w:r>
      <w:r w:rsidR="007D3D70" w:rsidRPr="00A23918">
        <w:t>.</w:t>
      </w:r>
      <w:r w:rsidR="00367660">
        <w:t xml:space="preserve"> </w:t>
      </w:r>
      <w:r w:rsidR="00367660" w:rsidRPr="00367660">
        <w:t>On the other hand, occupational safety management systems are implemented in many different industries such as dairy, among others</w:t>
      </w:r>
      <w:r w:rsidR="00367660">
        <w:t xml:space="preserve"> (Mont</w:t>
      </w:r>
      <w:r w:rsidR="00367660" w:rsidRPr="00367660">
        <w:rPr>
          <w:rFonts w:cs="Arial"/>
          <w:szCs w:val="24"/>
        </w:rPr>
        <w:t>ano Angie et al., 2020)</w:t>
      </w:r>
      <w:r w:rsidR="00367660">
        <w:rPr>
          <w:rFonts w:cs="Arial"/>
          <w:szCs w:val="24"/>
        </w:rPr>
        <w:t>.</w:t>
      </w:r>
    </w:p>
    <w:p w14:paraId="7186B1E5" w14:textId="4E804DCF" w:rsidR="007C44C1" w:rsidRDefault="007C44C1" w:rsidP="007C44C1">
      <w:pPr>
        <w:pStyle w:val="CETHeading1"/>
      </w:pPr>
      <w:r>
        <w:t>Met</w:t>
      </w:r>
      <w:r w:rsidR="007C0569">
        <w:t xml:space="preserve">hodology </w:t>
      </w:r>
    </w:p>
    <w:p w14:paraId="79DFE06D" w14:textId="6A692363" w:rsidR="00AA096B" w:rsidRDefault="007C0569" w:rsidP="007C44C1">
      <w:pPr>
        <w:pStyle w:val="CETBodytext"/>
      </w:pPr>
      <w:r w:rsidRPr="007C0569">
        <w:t>The research consisted of a basic evaluation of the way</w:t>
      </w:r>
      <w:r w:rsidR="007D3D70">
        <w:t xml:space="preserve"> as</w:t>
      </w:r>
      <w:r w:rsidRPr="007C0569">
        <w:t xml:space="preserve"> occupational safety and health activities of a company were managed in the area of industrial electromechanics</w:t>
      </w:r>
      <w:r w:rsidR="007D3D70">
        <w:t xml:space="preserve"> </w:t>
      </w:r>
      <w:r w:rsidR="009F3AD7">
        <w:t>making</w:t>
      </w:r>
      <w:r w:rsidR="007D3D70" w:rsidRPr="009F3AD7">
        <w:t xml:space="preserve"> a register of</w:t>
      </w:r>
      <w:r w:rsidRPr="009F3AD7">
        <w:t xml:space="preserve"> accidents at work that </w:t>
      </w:r>
      <w:r w:rsidRPr="009F3AD7">
        <w:lastRenderedPageBreak/>
        <w:t>occurred in 10 weeks. Subsequently, the same evaluation was carried out in a second</w:t>
      </w:r>
      <w:r w:rsidRPr="007C0569">
        <w:t xml:space="preserve"> phase, after the implementation of an Occupational Safety and Health Management System (OSH</w:t>
      </w:r>
      <w:r w:rsidR="009F3AD7">
        <w:t>S</w:t>
      </w:r>
      <w:r w:rsidRPr="007C0569">
        <w:t>) and the improvement in management was evaluated.</w:t>
      </w:r>
    </w:p>
    <w:p w14:paraId="3ACB6C41" w14:textId="77777777" w:rsidR="007C0569" w:rsidRPr="007C0569" w:rsidRDefault="007C0569" w:rsidP="007C44C1">
      <w:pPr>
        <w:pStyle w:val="CETBodytext"/>
      </w:pPr>
    </w:p>
    <w:p w14:paraId="2355FF4D" w14:textId="13700CF2" w:rsidR="007C44C1" w:rsidRPr="00951F25" w:rsidRDefault="00D60AE1" w:rsidP="00600535">
      <w:pPr>
        <w:pStyle w:val="CETBodytext"/>
      </w:pPr>
      <w:r w:rsidRPr="00951F25">
        <w:rPr>
          <w:rStyle w:val="CETheadingxCarattere"/>
          <w:lang w:val="en-US"/>
        </w:rPr>
        <w:t xml:space="preserve">2.1 </w:t>
      </w:r>
      <w:r w:rsidR="00951F25" w:rsidRPr="00951F25">
        <w:rPr>
          <w:rStyle w:val="CETheadingxCarattere"/>
          <w:lang w:val="en-US"/>
        </w:rPr>
        <w:t>Indicators</w:t>
      </w:r>
      <w:r w:rsidR="00AA096B" w:rsidRPr="00951F25">
        <w:t>:</w:t>
      </w:r>
    </w:p>
    <w:p w14:paraId="0C196011" w14:textId="77777777" w:rsidR="00D60AE1" w:rsidRPr="00951F25" w:rsidRDefault="00D60AE1" w:rsidP="00600535">
      <w:pPr>
        <w:pStyle w:val="CETBodytext"/>
      </w:pPr>
    </w:p>
    <w:p w14:paraId="2B35D80A" w14:textId="63126000" w:rsidR="007C0569" w:rsidRPr="003243D8" w:rsidRDefault="007C0569" w:rsidP="00600535">
      <w:pPr>
        <w:pStyle w:val="CETBodytext"/>
        <w:rPr>
          <w:rFonts w:cs="Arial"/>
        </w:rPr>
      </w:pPr>
      <w:r w:rsidRPr="00296FF7">
        <w:rPr>
          <w:rFonts w:cs="Arial"/>
          <w:b/>
        </w:rPr>
        <w:t>Occupational Health</w:t>
      </w:r>
      <w:r w:rsidRPr="00296FF7">
        <w:rPr>
          <w:rFonts w:cs="Arial"/>
        </w:rPr>
        <w:t xml:space="preserve">: </w:t>
      </w:r>
      <w:r w:rsidR="00951F25" w:rsidRPr="00296FF7">
        <w:rPr>
          <w:rFonts w:cs="Arial"/>
        </w:rPr>
        <w:t xml:space="preserve">It </w:t>
      </w:r>
      <w:r w:rsidRPr="00296FF7">
        <w:rPr>
          <w:rFonts w:cs="Arial"/>
        </w:rPr>
        <w:t xml:space="preserve">was evaluated with the indicator of occupational medical examinations (IEO), </w:t>
      </w:r>
      <w:proofErr w:type="gramStart"/>
      <w:r w:rsidR="003243D8" w:rsidRPr="003243D8">
        <w:rPr>
          <w:rFonts w:cs="Arial"/>
        </w:rPr>
        <w:t>Eq(</w:t>
      </w:r>
      <w:proofErr w:type="gramEnd"/>
      <w:r w:rsidR="003243D8" w:rsidRPr="003243D8">
        <w:rPr>
          <w:rFonts w:cs="Arial"/>
        </w:rPr>
        <w:t>1</w:t>
      </w:r>
      <w:r w:rsidR="001A6C2A" w:rsidRPr="003243D8">
        <w:rPr>
          <w:rFonts w:cs="Arial"/>
        </w:rPr>
        <w:t>)</w:t>
      </w:r>
      <w:r w:rsidR="001A6C2A" w:rsidRPr="003243D8">
        <w:t xml:space="preserve"> </w:t>
      </w:r>
      <w:r w:rsidR="001A6C2A" w:rsidRPr="003243D8">
        <w:rPr>
          <w:rFonts w:cs="Arial"/>
        </w:rPr>
        <w:t>was</w:t>
      </w:r>
      <w:r w:rsidR="003243D8" w:rsidRPr="003243D8">
        <w:rPr>
          <w:rFonts w:cs="Arial"/>
        </w:rPr>
        <w:t xml:space="preserve"> used</w:t>
      </w:r>
      <w:r w:rsidR="001A6C2A">
        <w:rPr>
          <w:rFonts w:cs="Arial"/>
        </w:rPr>
        <w:t>.</w:t>
      </w:r>
    </w:p>
    <w:p w14:paraId="250AA63D" w14:textId="77777777" w:rsidR="0095360C" w:rsidRPr="00296FF7" w:rsidRDefault="0095360C" w:rsidP="00600535">
      <w:pPr>
        <w:pStyle w:val="CETBodytext"/>
        <w:rPr>
          <w:rFonts w:cs="Arial"/>
        </w:rPr>
      </w:pPr>
    </w:p>
    <w:p w14:paraId="24F22848" w14:textId="1D6A57EB" w:rsidR="00890EB5" w:rsidRPr="003243D8" w:rsidRDefault="005D4370" w:rsidP="003255E8">
      <w:pPr>
        <w:pStyle w:val="CETBodytext"/>
        <w:jc w:val="left"/>
        <w:rPr>
          <w:rFonts w:cs="Arial"/>
        </w:rPr>
      </w:pPr>
      <m:oMath>
        <m:r>
          <w:rPr>
            <w:rFonts w:ascii="Cambria Math" w:hAnsi="Cambria Math" w:cs="Arial"/>
            <w:lang w:val="es-PE"/>
          </w:rPr>
          <m:t>IEO</m:t>
        </m:r>
        <m:r>
          <m:rPr>
            <m:sty m:val="p"/>
          </m:rPr>
          <w:rPr>
            <w:rFonts w:ascii="Cambria Math" w:hAnsi="Cambria Math" w:cs="Arial"/>
          </w:rPr>
          <m:t>=</m:t>
        </m:r>
        <m:f>
          <m:fPr>
            <m:ctrlPr>
              <w:rPr>
                <w:rFonts w:ascii="Cambria Math" w:hAnsi="Cambria Math" w:cs="Arial"/>
                <w:lang w:val="es-PE"/>
              </w:rPr>
            </m:ctrlPr>
          </m:fPr>
          <m:num>
            <m:r>
              <m:rPr>
                <m:sty m:val="p"/>
              </m:rPr>
              <w:rPr>
                <w:rFonts w:ascii="Cambria Math" w:hAnsi="Cambria Math" w:cs="Arial"/>
              </w:rPr>
              <m:t>Number of occupational medical examinations performed     *   100</m:t>
            </m:r>
          </m:num>
          <m:den>
            <m:r>
              <m:rPr>
                <m:sty m:val="p"/>
              </m:rPr>
              <w:rPr>
                <w:rFonts w:ascii="Cambria Math" w:hAnsi="Cambria Math" w:cs="Arial"/>
              </w:rPr>
              <m:t>Number of occupational medical examinations scheduled in 10 weeks</m:t>
            </m:r>
          </m:den>
        </m:f>
      </m:oMath>
      <w:r w:rsidR="003243D8" w:rsidRPr="003243D8">
        <w:rPr>
          <w:rFonts w:cs="Arial"/>
        </w:rPr>
        <w:t xml:space="preserve">             </w:t>
      </w:r>
      <w:proofErr w:type="gramStart"/>
      <w:r w:rsidR="003243D8" w:rsidRPr="003243D8">
        <w:rPr>
          <w:rFonts w:cs="Arial"/>
        </w:rPr>
        <w:t>Eq(</w:t>
      </w:r>
      <w:proofErr w:type="gramEnd"/>
      <w:r w:rsidR="003243D8" w:rsidRPr="003243D8">
        <w:rPr>
          <w:rFonts w:cs="Arial"/>
        </w:rPr>
        <w:t>1)</w:t>
      </w:r>
    </w:p>
    <w:p w14:paraId="0AA277DB" w14:textId="77777777" w:rsidR="007C44C1" w:rsidRPr="003243D8" w:rsidRDefault="007C44C1" w:rsidP="003255E8">
      <w:pPr>
        <w:pStyle w:val="CETBodytext"/>
        <w:jc w:val="left"/>
        <w:rPr>
          <w:rFonts w:cs="Arial"/>
        </w:rPr>
      </w:pPr>
    </w:p>
    <w:p w14:paraId="6DC9961B" w14:textId="77777777" w:rsidR="00296FF7" w:rsidRPr="003243D8" w:rsidRDefault="00296FF7" w:rsidP="00600535">
      <w:pPr>
        <w:pStyle w:val="CETBodytext"/>
        <w:rPr>
          <w:rFonts w:cs="Arial"/>
          <w:b/>
        </w:rPr>
      </w:pPr>
    </w:p>
    <w:p w14:paraId="18DAE200" w14:textId="5940B967" w:rsidR="007C44C1" w:rsidRPr="00296FF7" w:rsidRDefault="007C0569" w:rsidP="003243D8">
      <w:pPr>
        <w:pStyle w:val="CETBodytext"/>
        <w:numPr>
          <w:ilvl w:val="0"/>
          <w:numId w:val="32"/>
        </w:numPr>
        <w:rPr>
          <w:rFonts w:cs="Arial"/>
        </w:rPr>
      </w:pPr>
      <w:r w:rsidRPr="00296FF7">
        <w:rPr>
          <w:rFonts w:cs="Arial"/>
          <w:b/>
        </w:rPr>
        <w:t>Planning</w:t>
      </w:r>
      <w:r w:rsidRPr="00296FF7">
        <w:rPr>
          <w:rFonts w:cs="Arial"/>
        </w:rPr>
        <w:t xml:space="preserve">: Taking into account the hazard identification and risk assessment (IIPER) indicator, </w:t>
      </w:r>
      <w:bookmarkStart w:id="0" w:name="_Hlk91844951"/>
      <w:proofErr w:type="gramStart"/>
      <w:r w:rsidR="001A6C2A" w:rsidRPr="001A6C2A">
        <w:rPr>
          <w:rFonts w:cs="Arial"/>
        </w:rPr>
        <w:t>Eq(</w:t>
      </w:r>
      <w:proofErr w:type="gramEnd"/>
      <w:r w:rsidR="001A6C2A">
        <w:rPr>
          <w:rFonts w:cs="Arial"/>
        </w:rPr>
        <w:t>2</w:t>
      </w:r>
      <w:r w:rsidR="001A6C2A" w:rsidRPr="001A6C2A">
        <w:rPr>
          <w:rFonts w:cs="Arial"/>
        </w:rPr>
        <w:t>) was used</w:t>
      </w:r>
      <w:r w:rsidR="001A6C2A">
        <w:rPr>
          <w:rFonts w:cs="Arial"/>
        </w:rPr>
        <w:t>.</w:t>
      </w:r>
    </w:p>
    <w:bookmarkEnd w:id="0"/>
    <w:p w14:paraId="1DBA64F1" w14:textId="77777777" w:rsidR="007C0569" w:rsidRPr="00296FF7" w:rsidRDefault="007C0569" w:rsidP="00600535">
      <w:pPr>
        <w:pStyle w:val="CETBodytext"/>
        <w:rPr>
          <w:rFonts w:cs="Arial"/>
        </w:rPr>
      </w:pPr>
    </w:p>
    <w:p w14:paraId="2D62BECC" w14:textId="75DA8AE3" w:rsidR="003255E8" w:rsidRPr="001A6C2A" w:rsidRDefault="00FE1DBC" w:rsidP="003255E8">
      <w:pPr>
        <w:pStyle w:val="CETBodytext"/>
        <w:rPr>
          <w:rFonts w:cs="Arial"/>
        </w:rPr>
      </w:pPr>
      <m:oMath>
        <m:r>
          <w:rPr>
            <w:rFonts w:ascii="Cambria Math" w:hAnsi="Cambria Math" w:cs="Arial"/>
            <w:lang w:val="es-PE"/>
          </w:rPr>
          <m:t>IIPER</m:t>
        </m:r>
        <m:r>
          <m:rPr>
            <m:sty m:val="p"/>
          </m:rPr>
          <w:rPr>
            <w:rFonts w:ascii="Cambria Math" w:hAnsi="Cambria Math" w:cs="Arial"/>
          </w:rPr>
          <m:t>=</m:t>
        </m:r>
        <m:f>
          <m:fPr>
            <m:ctrlPr>
              <w:rPr>
                <w:rFonts w:ascii="Cambria Math" w:hAnsi="Cambria Math" w:cs="Arial"/>
                <w:lang w:val="es-PE"/>
              </w:rPr>
            </m:ctrlPr>
          </m:fPr>
          <m:num>
            <m:r>
              <m:rPr>
                <m:sty m:val="p"/>
              </m:rPr>
              <w:rPr>
                <w:rFonts w:ascii="Cambria Math" w:hAnsi="Cambria Math" w:cs="Arial"/>
              </w:rPr>
              <m:t>IPER N°made*100</m:t>
            </m:r>
          </m:num>
          <m:den>
            <m:r>
              <m:rPr>
                <m:sty m:val="p"/>
              </m:rPr>
              <w:rPr>
                <w:rFonts w:ascii="Cambria Math" w:hAnsi="Cambria Math" w:cs="Arial"/>
              </w:rPr>
              <m:t>IPER N°programmed in 10 weeks</m:t>
            </m:r>
          </m:den>
        </m:f>
      </m:oMath>
      <w:r w:rsidR="001A6C2A" w:rsidRPr="001A6C2A">
        <w:rPr>
          <w:rFonts w:cs="Arial"/>
        </w:rPr>
        <w:t xml:space="preserve"> </w:t>
      </w:r>
      <w:r w:rsidR="001A6C2A">
        <w:rPr>
          <w:rFonts w:cs="Arial"/>
        </w:rPr>
        <w:t xml:space="preserve">         </w:t>
      </w:r>
      <w:r w:rsidR="001A6C2A" w:rsidRPr="001A6C2A">
        <w:rPr>
          <w:rFonts w:cs="Arial"/>
        </w:rPr>
        <w:t>Eq(</w:t>
      </w:r>
      <w:r w:rsidR="001A6C2A">
        <w:rPr>
          <w:rFonts w:cs="Arial"/>
        </w:rPr>
        <w:t>2</w:t>
      </w:r>
      <w:r w:rsidR="001A6C2A" w:rsidRPr="001A6C2A">
        <w:rPr>
          <w:rFonts w:cs="Arial"/>
        </w:rPr>
        <w:t>)</w:t>
      </w:r>
    </w:p>
    <w:p w14:paraId="0E56983A" w14:textId="77777777" w:rsidR="007C44C1" w:rsidRPr="001A6C2A" w:rsidRDefault="007C44C1" w:rsidP="00600535">
      <w:pPr>
        <w:pStyle w:val="CETBodytext"/>
        <w:rPr>
          <w:rFonts w:cs="Arial"/>
        </w:rPr>
      </w:pPr>
    </w:p>
    <w:p w14:paraId="39EC6215" w14:textId="77777777" w:rsidR="00296FF7" w:rsidRDefault="00296FF7" w:rsidP="00600535">
      <w:pPr>
        <w:pStyle w:val="CETBodytext"/>
        <w:rPr>
          <w:rFonts w:cs="Arial"/>
          <w:b/>
        </w:rPr>
      </w:pPr>
    </w:p>
    <w:p w14:paraId="3B25A6D4" w14:textId="17A2DA31" w:rsidR="007C0569" w:rsidRPr="00296FF7" w:rsidRDefault="007C0569" w:rsidP="003243D8">
      <w:pPr>
        <w:pStyle w:val="CETBodytext"/>
        <w:numPr>
          <w:ilvl w:val="0"/>
          <w:numId w:val="31"/>
        </w:numPr>
        <w:rPr>
          <w:rFonts w:cs="Arial"/>
        </w:rPr>
      </w:pPr>
      <w:r w:rsidRPr="00296FF7">
        <w:rPr>
          <w:rFonts w:cs="Arial"/>
          <w:b/>
        </w:rPr>
        <w:t>Implementation and decision-making</w:t>
      </w:r>
      <w:r w:rsidRPr="00296FF7">
        <w:rPr>
          <w:rFonts w:cs="Arial"/>
        </w:rPr>
        <w:t>: The indicator training in the company was considered.</w:t>
      </w:r>
      <w:r w:rsidR="001A6C2A" w:rsidRPr="001A6C2A">
        <w:t xml:space="preserve"> </w:t>
      </w:r>
      <w:proofErr w:type="gramStart"/>
      <w:r w:rsidR="001A6C2A" w:rsidRPr="001A6C2A">
        <w:rPr>
          <w:rFonts w:cs="Arial"/>
        </w:rPr>
        <w:t>Eq(</w:t>
      </w:r>
      <w:proofErr w:type="gramEnd"/>
      <w:r w:rsidR="001A6C2A">
        <w:rPr>
          <w:rFonts w:cs="Arial"/>
        </w:rPr>
        <w:t>3</w:t>
      </w:r>
      <w:r w:rsidR="001A6C2A" w:rsidRPr="001A6C2A">
        <w:rPr>
          <w:rFonts w:cs="Arial"/>
        </w:rPr>
        <w:t>) was used</w:t>
      </w:r>
      <w:r w:rsidR="001A6C2A">
        <w:rPr>
          <w:rFonts w:cs="Arial"/>
        </w:rPr>
        <w:t xml:space="preserve"> .</w:t>
      </w:r>
    </w:p>
    <w:p w14:paraId="0377C3BA" w14:textId="77777777" w:rsidR="00951F25" w:rsidRPr="00296FF7" w:rsidRDefault="00951F25" w:rsidP="00600535">
      <w:pPr>
        <w:pStyle w:val="CETBodytext"/>
        <w:rPr>
          <w:rFonts w:cs="Arial"/>
        </w:rPr>
      </w:pPr>
    </w:p>
    <w:p w14:paraId="7D614392" w14:textId="3703FD43" w:rsidR="00EA0CA9" w:rsidRPr="001A6C2A" w:rsidRDefault="00EA0CA9" w:rsidP="00600535">
      <w:pPr>
        <w:pStyle w:val="CETBodytext"/>
        <w:rPr>
          <w:rFonts w:cs="Arial"/>
        </w:rPr>
      </w:pPr>
      <m:oMath>
        <m:r>
          <w:rPr>
            <w:rFonts w:ascii="Cambria Math" w:hAnsi="Cambria Math" w:cs="Arial"/>
            <w:lang w:val="es-PE"/>
          </w:rPr>
          <m:t>x</m:t>
        </m:r>
        <m:r>
          <m:rPr>
            <m:sty m:val="p"/>
          </m:rPr>
          <w:rPr>
            <w:rFonts w:ascii="Cambria Math" w:hAnsi="Cambria Math" w:cs="Arial"/>
          </w:rPr>
          <m:t>=</m:t>
        </m:r>
        <m:f>
          <m:fPr>
            <m:ctrlPr>
              <w:rPr>
                <w:rFonts w:ascii="Cambria Math" w:hAnsi="Cambria Math" w:cs="Arial"/>
                <w:lang w:val="es-PE"/>
              </w:rPr>
            </m:ctrlPr>
          </m:fPr>
          <m:num>
            <m:r>
              <m:rPr>
                <m:sty m:val="p"/>
              </m:rPr>
              <w:rPr>
                <w:rFonts w:ascii="Cambria Math" w:hAnsi="Cambria Math" w:cs="Arial"/>
              </w:rPr>
              <m:t>Hours of effective training*100</m:t>
            </m:r>
          </m:num>
          <m:den>
            <m:r>
              <m:rPr>
                <m:sty m:val="p"/>
              </m:rPr>
              <w:rPr>
                <w:rFonts w:ascii="Cambria Math" w:hAnsi="Cambria Math" w:cs="Arial"/>
              </w:rPr>
              <m:t>Total training hours scheduled in 10 weeks</m:t>
            </m:r>
          </m:den>
        </m:f>
      </m:oMath>
      <w:r w:rsidR="001A6C2A" w:rsidRPr="001A6C2A">
        <w:rPr>
          <w:rFonts w:cs="Arial"/>
        </w:rPr>
        <w:t xml:space="preserve"> </w:t>
      </w:r>
      <w:r w:rsidR="001A6C2A">
        <w:rPr>
          <w:rFonts w:cs="Arial"/>
        </w:rPr>
        <w:t xml:space="preserve">       </w:t>
      </w:r>
      <w:proofErr w:type="gramStart"/>
      <w:r w:rsidR="001A6C2A" w:rsidRPr="001A6C2A">
        <w:rPr>
          <w:rFonts w:cs="Arial"/>
        </w:rPr>
        <w:t>Eq(</w:t>
      </w:r>
      <w:proofErr w:type="gramEnd"/>
      <w:r w:rsidR="001A6C2A">
        <w:rPr>
          <w:rFonts w:cs="Arial"/>
        </w:rPr>
        <w:t>3</w:t>
      </w:r>
      <w:r w:rsidR="001A6C2A" w:rsidRPr="001A6C2A">
        <w:rPr>
          <w:rFonts w:cs="Arial"/>
        </w:rPr>
        <w:t>)</w:t>
      </w:r>
    </w:p>
    <w:p w14:paraId="5F2229AF" w14:textId="3CA5FB56" w:rsidR="00EA0CA9" w:rsidRPr="001A6C2A" w:rsidRDefault="00EA0CA9" w:rsidP="00600535">
      <w:pPr>
        <w:pStyle w:val="CETBodytext"/>
        <w:rPr>
          <w:rFonts w:cs="Arial"/>
        </w:rPr>
      </w:pPr>
    </w:p>
    <w:p w14:paraId="50095ABF" w14:textId="30466524" w:rsidR="001A6C2A" w:rsidRPr="001A6C2A" w:rsidRDefault="007C0569" w:rsidP="001A6C2A">
      <w:pPr>
        <w:pStyle w:val="Paragrafoelenco"/>
        <w:numPr>
          <w:ilvl w:val="0"/>
          <w:numId w:val="31"/>
        </w:numPr>
        <w:rPr>
          <w:rFonts w:cs="Arial"/>
          <w:lang w:val="en-US"/>
        </w:rPr>
      </w:pPr>
      <w:r w:rsidRPr="001A6C2A">
        <w:rPr>
          <w:rFonts w:cs="Arial"/>
          <w:b/>
        </w:rPr>
        <w:t>Monitoring</w:t>
      </w:r>
      <w:r w:rsidRPr="001A6C2A">
        <w:rPr>
          <w:rFonts w:cs="Arial"/>
        </w:rPr>
        <w:t>: It was evaluated with the indicator of inspections carried out (IM)</w:t>
      </w:r>
      <w:r w:rsidR="001A6C2A" w:rsidRPr="001A6C2A">
        <w:rPr>
          <w:rFonts w:cs="Arial"/>
        </w:rPr>
        <w:t xml:space="preserve">, </w:t>
      </w:r>
      <w:proofErr w:type="gramStart"/>
      <w:r w:rsidR="001A6C2A" w:rsidRPr="001A6C2A">
        <w:rPr>
          <w:rFonts w:cs="Arial"/>
          <w:lang w:val="en-US"/>
        </w:rPr>
        <w:t>Eq(</w:t>
      </w:r>
      <w:proofErr w:type="gramEnd"/>
      <w:r w:rsidR="001A6C2A">
        <w:rPr>
          <w:rFonts w:cs="Arial"/>
          <w:lang w:val="en-US"/>
        </w:rPr>
        <w:t>4</w:t>
      </w:r>
      <w:r w:rsidR="001A6C2A" w:rsidRPr="001A6C2A">
        <w:rPr>
          <w:rFonts w:cs="Arial"/>
          <w:lang w:val="en-US"/>
        </w:rPr>
        <w:t>) was used</w:t>
      </w:r>
      <w:r w:rsidR="001A6C2A">
        <w:rPr>
          <w:rFonts w:cs="Arial"/>
          <w:lang w:val="en-US"/>
        </w:rPr>
        <w:t>.</w:t>
      </w:r>
    </w:p>
    <w:p w14:paraId="377ACEF9" w14:textId="11EB222A" w:rsidR="00E23368" w:rsidRPr="00296FF7" w:rsidRDefault="00E23368" w:rsidP="001A6C2A">
      <w:pPr>
        <w:pStyle w:val="CETBodytext"/>
        <w:ind w:left="720"/>
        <w:rPr>
          <w:rFonts w:cs="Arial"/>
        </w:rPr>
      </w:pPr>
    </w:p>
    <w:p w14:paraId="4DA77D26" w14:textId="77777777" w:rsidR="007C0569" w:rsidRPr="00296FF7" w:rsidRDefault="007C0569" w:rsidP="00600535">
      <w:pPr>
        <w:pStyle w:val="CETBodytext"/>
        <w:rPr>
          <w:rFonts w:cs="Arial"/>
        </w:rPr>
      </w:pPr>
    </w:p>
    <w:p w14:paraId="677C1D94" w14:textId="29964ECA" w:rsidR="00EA0CA9" w:rsidRPr="001A6C2A" w:rsidRDefault="00FE1DBC" w:rsidP="00600535">
      <w:pPr>
        <w:pStyle w:val="CETBodytext"/>
        <w:rPr>
          <w:rFonts w:cs="Arial"/>
        </w:rPr>
      </w:pPr>
      <m:oMath>
        <m:r>
          <w:rPr>
            <w:rFonts w:ascii="Cambria Math" w:hAnsi="Cambria Math" w:cs="Arial"/>
            <w:lang w:val="es-PE"/>
          </w:rPr>
          <m:t>IM</m:t>
        </m:r>
        <m:r>
          <m:rPr>
            <m:sty m:val="p"/>
          </m:rPr>
          <w:rPr>
            <w:rFonts w:ascii="Cambria Math" w:hAnsi="Cambria Math" w:cs="Arial"/>
          </w:rPr>
          <m:t>=</m:t>
        </m:r>
        <m:f>
          <m:fPr>
            <m:ctrlPr>
              <w:rPr>
                <w:rFonts w:ascii="Cambria Math" w:hAnsi="Cambria Math" w:cs="Arial"/>
                <w:lang w:val="es-PE"/>
              </w:rPr>
            </m:ctrlPr>
          </m:fPr>
          <m:num>
            <m:r>
              <m:rPr>
                <m:sty m:val="p"/>
              </m:rPr>
              <w:rPr>
                <w:rFonts w:ascii="Cambria Math" w:hAnsi="Cambria Math" w:cs="Arial"/>
              </w:rPr>
              <m:t>Numbers of inspections*100</m:t>
            </m:r>
          </m:num>
          <m:den>
            <m:r>
              <m:rPr>
                <m:sty m:val="p"/>
              </m:rPr>
              <w:rPr>
                <w:rFonts w:ascii="Cambria Math" w:hAnsi="Cambria Math" w:cs="Arial"/>
              </w:rPr>
              <m:t>Number of inspections scheduled in 10 weeks</m:t>
            </m:r>
          </m:den>
        </m:f>
      </m:oMath>
      <w:r w:rsidR="001A6C2A" w:rsidRPr="001A6C2A">
        <w:rPr>
          <w:rFonts w:cs="Arial"/>
        </w:rPr>
        <w:t xml:space="preserve"> </w:t>
      </w:r>
      <w:r w:rsidR="001A6C2A">
        <w:rPr>
          <w:rFonts w:cs="Arial"/>
        </w:rPr>
        <w:t xml:space="preserve">       </w:t>
      </w:r>
      <w:proofErr w:type="gramStart"/>
      <w:r w:rsidR="001A6C2A" w:rsidRPr="001A6C2A">
        <w:rPr>
          <w:rFonts w:cs="Arial"/>
        </w:rPr>
        <w:t>Eq(</w:t>
      </w:r>
      <w:proofErr w:type="gramEnd"/>
      <w:r w:rsidR="001A6C2A">
        <w:rPr>
          <w:rFonts w:cs="Arial"/>
        </w:rPr>
        <w:t>4</w:t>
      </w:r>
      <w:r w:rsidR="001A6C2A" w:rsidRPr="001A6C2A">
        <w:rPr>
          <w:rFonts w:cs="Arial"/>
        </w:rPr>
        <w:t>)</w:t>
      </w:r>
    </w:p>
    <w:p w14:paraId="2F10F87D" w14:textId="3919B09F" w:rsidR="00EA0CA9" w:rsidRPr="001A6C2A" w:rsidRDefault="00EA0CA9" w:rsidP="00600535">
      <w:pPr>
        <w:pStyle w:val="CETBodytext"/>
        <w:rPr>
          <w:rFonts w:cs="Arial"/>
        </w:rPr>
      </w:pPr>
    </w:p>
    <w:p w14:paraId="686A6E14" w14:textId="77777777" w:rsidR="00296FF7" w:rsidRDefault="00296FF7" w:rsidP="00600535">
      <w:pPr>
        <w:pStyle w:val="CETBodytext"/>
        <w:rPr>
          <w:rFonts w:cs="Arial"/>
          <w:b/>
        </w:rPr>
      </w:pPr>
    </w:p>
    <w:p w14:paraId="39804C2D" w14:textId="065970BB" w:rsidR="001A6C2A" w:rsidRPr="001A6C2A" w:rsidRDefault="00806165" w:rsidP="001A6C2A">
      <w:pPr>
        <w:pStyle w:val="Paragrafoelenco"/>
        <w:numPr>
          <w:ilvl w:val="0"/>
          <w:numId w:val="31"/>
        </w:numPr>
        <w:rPr>
          <w:rFonts w:cs="Arial"/>
          <w:lang w:val="en-US"/>
        </w:rPr>
      </w:pPr>
      <w:r w:rsidRPr="001A6C2A">
        <w:rPr>
          <w:rFonts w:cs="Arial"/>
          <w:b/>
        </w:rPr>
        <w:t>The Audit:</w:t>
      </w:r>
      <w:r w:rsidRPr="001A6C2A">
        <w:rPr>
          <w:rFonts w:cs="Arial"/>
        </w:rPr>
        <w:t xml:space="preserve"> The rate of audits performed was determined, </w:t>
      </w:r>
      <w:proofErr w:type="gramStart"/>
      <w:r w:rsidR="001A6C2A" w:rsidRPr="001A6C2A">
        <w:rPr>
          <w:rFonts w:cs="Arial"/>
          <w:lang w:val="en-US"/>
        </w:rPr>
        <w:t>Eq(</w:t>
      </w:r>
      <w:proofErr w:type="gramEnd"/>
      <w:r w:rsidR="001A6C2A">
        <w:rPr>
          <w:rFonts w:cs="Arial"/>
          <w:lang w:val="en-US"/>
        </w:rPr>
        <w:t>5</w:t>
      </w:r>
      <w:r w:rsidR="001A6C2A" w:rsidRPr="001A6C2A">
        <w:rPr>
          <w:rFonts w:cs="Arial"/>
          <w:lang w:val="en-US"/>
        </w:rPr>
        <w:t>) was used</w:t>
      </w:r>
      <w:r w:rsidR="001A6C2A">
        <w:rPr>
          <w:rFonts w:cs="Arial"/>
          <w:lang w:val="en-US"/>
        </w:rPr>
        <w:t>.</w:t>
      </w:r>
    </w:p>
    <w:p w14:paraId="5EDBD7CB" w14:textId="09F73983" w:rsidR="00806165" w:rsidRPr="00296FF7" w:rsidRDefault="00806165" w:rsidP="00FC4003">
      <w:pPr>
        <w:pStyle w:val="CETBodytext"/>
        <w:ind w:left="720"/>
        <w:rPr>
          <w:rFonts w:cs="Arial"/>
        </w:rPr>
      </w:pPr>
    </w:p>
    <w:p w14:paraId="1775EBE8" w14:textId="77777777" w:rsidR="00806165" w:rsidRPr="00296FF7" w:rsidRDefault="00806165" w:rsidP="00600535">
      <w:pPr>
        <w:pStyle w:val="CETBodytext"/>
        <w:rPr>
          <w:rFonts w:cs="Arial"/>
        </w:rPr>
      </w:pPr>
    </w:p>
    <w:p w14:paraId="5E349611" w14:textId="2187FEE6" w:rsidR="00797AD9" w:rsidRPr="001A6C2A" w:rsidRDefault="0019495E" w:rsidP="00600535">
      <w:pPr>
        <w:pStyle w:val="CETBodytext"/>
        <w:rPr>
          <w:rFonts w:cs="Arial"/>
        </w:rPr>
      </w:pPr>
      <m:oMath>
        <m:r>
          <w:rPr>
            <w:rFonts w:ascii="Cambria Math" w:hAnsi="Cambria Math" w:cs="Arial"/>
            <w:lang w:val="es-PE"/>
          </w:rPr>
          <m:t>IA</m:t>
        </m:r>
        <m:r>
          <m:rPr>
            <m:sty m:val="p"/>
          </m:rPr>
          <w:rPr>
            <w:rFonts w:ascii="Cambria Math" w:hAnsi="Cambria Math" w:cs="Arial"/>
          </w:rPr>
          <m:t>=</m:t>
        </m:r>
        <m:f>
          <m:fPr>
            <m:ctrlPr>
              <w:rPr>
                <w:rFonts w:ascii="Cambria Math" w:hAnsi="Cambria Math" w:cs="Arial"/>
                <w:lang w:val="es-PE"/>
              </w:rPr>
            </m:ctrlPr>
          </m:fPr>
          <m:num>
            <m:r>
              <m:rPr>
                <m:sty m:val="p"/>
              </m:rPr>
              <w:rPr>
                <w:rFonts w:ascii="Cambria Math" w:hAnsi="Cambria Math" w:cs="Arial"/>
              </w:rPr>
              <m:t>Number of audit made*100</m:t>
            </m:r>
          </m:num>
          <m:den>
            <m:r>
              <m:rPr>
                <m:sty m:val="p"/>
              </m:rPr>
              <w:rPr>
                <w:rFonts w:ascii="Cambria Math" w:hAnsi="Cambria Math" w:cs="Arial"/>
              </w:rPr>
              <m:t>Planned audits (HODELPE) in 10 weeks</m:t>
            </m:r>
          </m:den>
        </m:f>
      </m:oMath>
      <w:r w:rsidR="001A6C2A" w:rsidRPr="001A6C2A">
        <w:rPr>
          <w:rFonts w:cs="Arial"/>
        </w:rPr>
        <w:t xml:space="preserve"> </w:t>
      </w:r>
      <w:r w:rsidR="001A6C2A">
        <w:rPr>
          <w:rFonts w:cs="Arial"/>
        </w:rPr>
        <w:t xml:space="preserve">           </w:t>
      </w:r>
      <w:proofErr w:type="gramStart"/>
      <w:r w:rsidR="001A6C2A" w:rsidRPr="001A6C2A">
        <w:rPr>
          <w:rFonts w:cs="Arial"/>
        </w:rPr>
        <w:t>Eq(</w:t>
      </w:r>
      <w:proofErr w:type="gramEnd"/>
      <w:r w:rsidR="001A6C2A">
        <w:rPr>
          <w:rFonts w:cs="Arial"/>
        </w:rPr>
        <w:t>5</w:t>
      </w:r>
      <w:r w:rsidR="001A6C2A" w:rsidRPr="001A6C2A">
        <w:rPr>
          <w:rFonts w:cs="Arial"/>
        </w:rPr>
        <w:t>)</w:t>
      </w:r>
    </w:p>
    <w:p w14:paraId="3AA75366" w14:textId="77777777" w:rsidR="0019495E" w:rsidRPr="00806165" w:rsidRDefault="0019495E" w:rsidP="00600535">
      <w:pPr>
        <w:pStyle w:val="CETBodytext"/>
      </w:pPr>
    </w:p>
    <w:p w14:paraId="6331B6F9" w14:textId="47B53305" w:rsidR="00EA0CA9" w:rsidRPr="00806165" w:rsidRDefault="00EA0CA9" w:rsidP="00600535">
      <w:pPr>
        <w:pStyle w:val="CETBodytext"/>
      </w:pPr>
    </w:p>
    <w:p w14:paraId="0D7311E6" w14:textId="3ABFBD8F" w:rsidR="00797AD9" w:rsidRPr="00806165" w:rsidRDefault="00D60AE1" w:rsidP="00600535">
      <w:pPr>
        <w:pStyle w:val="CETBodytext"/>
      </w:pPr>
      <w:r w:rsidRPr="00806165">
        <w:rPr>
          <w:rStyle w:val="CETheadingxCarattere"/>
          <w:lang w:val="en-US"/>
        </w:rPr>
        <w:t xml:space="preserve">2.2 </w:t>
      </w:r>
      <w:r w:rsidR="00806165" w:rsidRPr="00806165">
        <w:rPr>
          <w:rStyle w:val="CETheadingxCarattere"/>
          <w:lang w:val="en-US"/>
        </w:rPr>
        <w:t>In assessing accidents at work, the following were taken into account:</w:t>
      </w:r>
    </w:p>
    <w:p w14:paraId="04DF9168" w14:textId="0FD9E554" w:rsidR="00797AD9" w:rsidRPr="00806165" w:rsidRDefault="00797AD9" w:rsidP="00600535">
      <w:pPr>
        <w:pStyle w:val="CETBodytext"/>
      </w:pPr>
    </w:p>
    <w:p w14:paraId="7995ACBC" w14:textId="59ABADAA" w:rsidR="001C354C" w:rsidRDefault="00806165" w:rsidP="00600535">
      <w:pPr>
        <w:pStyle w:val="CETBodytext"/>
      </w:pPr>
      <w:r w:rsidRPr="00806165">
        <w:t>Temporary disability accidents: Determined by the number of accidents occurring after 10 weeks of evaluation.</w:t>
      </w:r>
    </w:p>
    <w:p w14:paraId="2A3234D7" w14:textId="77777777" w:rsidR="00806165" w:rsidRPr="00806165" w:rsidRDefault="00806165" w:rsidP="00600535">
      <w:pPr>
        <w:pStyle w:val="CETBodytext"/>
      </w:pPr>
    </w:p>
    <w:p w14:paraId="04FDA918" w14:textId="7C1F0F5E" w:rsidR="001C354C" w:rsidRDefault="00806165" w:rsidP="00600535">
      <w:pPr>
        <w:pStyle w:val="CETBodytext"/>
      </w:pPr>
      <w:r w:rsidRPr="00806165">
        <w:t>Accident frequency (AF): measured by the accident frequency index</w:t>
      </w:r>
      <w:r w:rsidR="001A6C2A">
        <w:t xml:space="preserve">, </w:t>
      </w:r>
      <w:proofErr w:type="gramStart"/>
      <w:r w:rsidR="001A6C2A" w:rsidRPr="001A6C2A">
        <w:rPr>
          <w:rFonts w:cs="Arial"/>
        </w:rPr>
        <w:t>Eq(</w:t>
      </w:r>
      <w:proofErr w:type="gramEnd"/>
      <w:r w:rsidR="001A6C2A">
        <w:rPr>
          <w:rFonts w:cs="Arial"/>
        </w:rPr>
        <w:t>6</w:t>
      </w:r>
      <w:r w:rsidR="001A6C2A" w:rsidRPr="001A6C2A">
        <w:rPr>
          <w:rFonts w:cs="Arial"/>
        </w:rPr>
        <w:t>) was used</w:t>
      </w:r>
      <w:r w:rsidR="001A6C2A">
        <w:rPr>
          <w:rFonts w:cs="Arial"/>
        </w:rPr>
        <w:t>.</w:t>
      </w:r>
    </w:p>
    <w:p w14:paraId="0B7E5A5C" w14:textId="77777777" w:rsidR="00806165" w:rsidRPr="00806165" w:rsidRDefault="00806165" w:rsidP="00600535">
      <w:pPr>
        <w:pStyle w:val="CETBodytext"/>
      </w:pPr>
    </w:p>
    <w:p w14:paraId="23397CB5" w14:textId="0265E568" w:rsidR="001C354C" w:rsidRPr="001A6C2A" w:rsidRDefault="0019495E" w:rsidP="00600535">
      <w:pPr>
        <w:pStyle w:val="CETBodytext"/>
      </w:pPr>
      <m:oMath>
        <m:r>
          <w:rPr>
            <w:rFonts w:ascii="Cambria Math" w:hAnsi="Cambria Math" w:cs="Cambria Math"/>
            <w:lang w:val="es-PE"/>
          </w:rPr>
          <m:t>AF</m:t>
        </m:r>
        <m:r>
          <m:rPr>
            <m:sty m:val="p"/>
          </m:rPr>
          <w:rPr>
            <w:rFonts w:ascii="Cambria Math" w:hAnsi="Cambria Math" w:cs="Cambria Math"/>
          </w:rPr>
          <m:t>=</m:t>
        </m:r>
        <m:f>
          <m:fPr>
            <m:ctrlPr>
              <w:rPr>
                <w:rFonts w:ascii="Cambria Math" w:hAnsi="Cambria Math"/>
                <w:lang w:val="es-PE"/>
              </w:rPr>
            </m:ctrlPr>
          </m:fPr>
          <m:num>
            <m:r>
              <m:rPr>
                <m:sty m:val="p"/>
              </m:rPr>
              <w:rPr>
                <w:rFonts w:ascii="Cambria Math" w:hAnsi="Cambria Math" w:cs="Cambria Math"/>
              </w:rPr>
              <m:t>Number of registered accidents*100</m:t>
            </m:r>
          </m:num>
          <m:den>
            <m:r>
              <m:rPr>
                <m:sty m:val="p"/>
              </m:rPr>
              <w:rPr>
                <w:rFonts w:ascii="Cambria Math" w:hAnsi="Cambria Math" w:cs="Cambria Math"/>
              </w:rPr>
              <m:t>Number of hours worked in 10 weeks</m:t>
            </m:r>
          </m:den>
        </m:f>
      </m:oMath>
      <w:r w:rsidR="001A6C2A" w:rsidRPr="001A6C2A">
        <w:t xml:space="preserve"> </w:t>
      </w:r>
      <w:r w:rsidR="001A6C2A">
        <w:t xml:space="preserve">       </w:t>
      </w:r>
      <w:proofErr w:type="gramStart"/>
      <w:r w:rsidR="001A6C2A" w:rsidRPr="001A6C2A">
        <w:rPr>
          <w:rFonts w:cs="Arial"/>
        </w:rPr>
        <w:t>Eq(</w:t>
      </w:r>
      <w:proofErr w:type="gramEnd"/>
      <w:r w:rsidR="001A6C2A">
        <w:rPr>
          <w:rFonts w:cs="Arial"/>
        </w:rPr>
        <w:t>6</w:t>
      </w:r>
      <w:r w:rsidR="001A6C2A" w:rsidRPr="001A6C2A">
        <w:rPr>
          <w:rFonts w:cs="Arial"/>
        </w:rPr>
        <w:t>)</w:t>
      </w:r>
    </w:p>
    <w:p w14:paraId="50D61C0B" w14:textId="5A70D829" w:rsidR="00EA0CA9" w:rsidRPr="001A6C2A" w:rsidRDefault="00EA0CA9" w:rsidP="00600535">
      <w:pPr>
        <w:pStyle w:val="CETBodytext"/>
      </w:pPr>
    </w:p>
    <w:p w14:paraId="71A911A1" w14:textId="3C7D501C" w:rsidR="00806165" w:rsidRPr="00806165" w:rsidRDefault="00806165" w:rsidP="00600535">
      <w:pPr>
        <w:pStyle w:val="CETBodytext"/>
      </w:pPr>
      <w:r w:rsidRPr="00806165">
        <w:t xml:space="preserve">The study population corresponded to the 20 people who work in a company of the category of industrial electromechanical service, whose main activities are </w:t>
      </w:r>
      <w:r w:rsidR="00951F25" w:rsidRPr="00A23918">
        <w:t xml:space="preserve">to </w:t>
      </w:r>
      <w:r w:rsidRPr="00A23918">
        <w:t xml:space="preserve">manufacture of mechanical parts, metal structures, helical threads, CNC lathe service, CNC machining center and related services </w:t>
      </w:r>
      <w:r w:rsidR="00951F25" w:rsidRPr="00A23918">
        <w:t xml:space="preserve">for </w:t>
      </w:r>
      <w:r w:rsidRPr="00A23918">
        <w:t xml:space="preserve">the industrial, metallurgical, mining, construction and </w:t>
      </w:r>
      <w:r w:rsidR="00951F25" w:rsidRPr="00A23918">
        <w:t>boiler-making</w:t>
      </w:r>
      <w:r w:rsidRPr="00A23918">
        <w:t xml:space="preserve"> sector.</w:t>
      </w:r>
    </w:p>
    <w:p w14:paraId="39F906AD" w14:textId="77777777" w:rsidR="00806165" w:rsidRDefault="00806165" w:rsidP="00806165">
      <w:pPr>
        <w:pStyle w:val="CETHeading1"/>
      </w:pPr>
      <w:r>
        <w:lastRenderedPageBreak/>
        <w:t>Results</w:t>
      </w:r>
    </w:p>
    <w:p w14:paraId="188BEB38" w14:textId="3ED48039" w:rsidR="004F40A5" w:rsidRPr="00806165" w:rsidRDefault="00BE2944" w:rsidP="00806165">
      <w:pPr>
        <w:pStyle w:val="CETHeading1"/>
        <w:numPr>
          <w:ilvl w:val="0"/>
          <w:numId w:val="0"/>
        </w:numPr>
      </w:pPr>
      <w:r w:rsidRPr="00806165">
        <w:rPr>
          <w:rStyle w:val="CETheadingxCarattere"/>
          <w:b/>
          <w:lang w:val="en-US"/>
        </w:rPr>
        <w:t xml:space="preserve">3.1 </w:t>
      </w:r>
      <w:r w:rsidR="00806165" w:rsidRPr="00806165">
        <w:rPr>
          <w:rStyle w:val="CETheadingxCarattere"/>
          <w:b/>
          <w:lang w:val="en-US"/>
        </w:rPr>
        <w:t>Occupational Safety and Health Management System</w:t>
      </w:r>
      <w:r w:rsidR="009F3AD7">
        <w:rPr>
          <w:rStyle w:val="CETheadingxCarattere"/>
          <w:b/>
          <w:lang w:val="en-US"/>
        </w:rPr>
        <w:t xml:space="preserve"> (OSHS)</w:t>
      </w:r>
      <w:r w:rsidR="00806165" w:rsidRPr="00806165">
        <w:rPr>
          <w:rStyle w:val="CETheadingxCarattere"/>
          <w:b/>
          <w:lang w:val="en-US"/>
        </w:rPr>
        <w:t>:</w:t>
      </w:r>
    </w:p>
    <w:p w14:paraId="59FBA9D0" w14:textId="65C327E0" w:rsidR="00736406" w:rsidRDefault="00806165" w:rsidP="00FC213A">
      <w:pPr>
        <w:pStyle w:val="CETBodytext"/>
      </w:pPr>
      <w:r w:rsidRPr="00806165">
        <w:t xml:space="preserve">The information based on the indicators collected before and after the implementation of the proposal for a new Occupational Safety and Health Management </w:t>
      </w:r>
      <w:r w:rsidR="004B6EEA" w:rsidRPr="00806165">
        <w:t xml:space="preserve">System </w:t>
      </w:r>
      <w:r w:rsidR="004B6EEA">
        <w:t>(</w:t>
      </w:r>
      <w:r w:rsidR="009F3AD7">
        <w:t xml:space="preserve">OSHS) </w:t>
      </w:r>
      <w:r w:rsidRPr="00806165">
        <w:t>is presented, taking into account the following dimensions and indicators:</w:t>
      </w:r>
    </w:p>
    <w:p w14:paraId="5A63A9D0" w14:textId="3C76891F" w:rsidR="009F3AD7" w:rsidRDefault="009F3AD7" w:rsidP="00FC213A">
      <w:pPr>
        <w:pStyle w:val="CETBodytext"/>
      </w:pPr>
    </w:p>
    <w:p w14:paraId="18DEDCC1" w14:textId="2699409A" w:rsidR="00197A9C" w:rsidRDefault="00197A9C" w:rsidP="00197A9C">
      <w:pPr>
        <w:pStyle w:val="CETListbullets"/>
        <w:numPr>
          <w:ilvl w:val="0"/>
          <w:numId w:val="22"/>
        </w:numPr>
      </w:pPr>
      <w:r w:rsidRPr="00197A9C">
        <w:t xml:space="preserve">Occupational Health: </w:t>
      </w:r>
    </w:p>
    <w:p w14:paraId="60502551" w14:textId="77777777" w:rsidR="009F3AD7" w:rsidRDefault="009F3AD7" w:rsidP="009F3AD7">
      <w:pPr>
        <w:pStyle w:val="CETListbullets"/>
        <w:ind w:left="0" w:firstLine="0"/>
      </w:pPr>
    </w:p>
    <w:p w14:paraId="24983958" w14:textId="77777777" w:rsidR="0095360C" w:rsidRDefault="00197A9C" w:rsidP="00197A9C">
      <w:pPr>
        <w:pStyle w:val="CETListbullets"/>
        <w:ind w:left="0" w:firstLine="0"/>
      </w:pPr>
      <w:r w:rsidRPr="00197A9C">
        <w:t xml:space="preserve">Table 1 shows the indicator of compliance of occupational medical examinations before (during the months of August, September, October and November 2017) and after the launch of the </w:t>
      </w:r>
      <w:r w:rsidR="009F3AD7" w:rsidRPr="00973665">
        <w:rPr>
          <w:lang w:val="en-US"/>
        </w:rPr>
        <w:t>OSHS</w:t>
      </w:r>
      <w:r w:rsidR="009F3AD7" w:rsidRPr="00197A9C">
        <w:t xml:space="preserve"> </w:t>
      </w:r>
      <w:r w:rsidRPr="00197A9C">
        <w:t xml:space="preserve">from February to April 2018) during the 10 weeks of study, with 100% compliance for the stage after the implementation of the </w:t>
      </w:r>
      <w:r w:rsidR="009F3AD7" w:rsidRPr="00973665">
        <w:rPr>
          <w:lang w:val="en-US"/>
        </w:rPr>
        <w:t>OSHS</w:t>
      </w:r>
      <w:r w:rsidR="009F3AD7" w:rsidRPr="00197A9C">
        <w:t xml:space="preserve"> </w:t>
      </w:r>
      <w:r w:rsidRPr="00197A9C">
        <w:t>proposal, compared to 0% before.</w:t>
      </w:r>
    </w:p>
    <w:p w14:paraId="73073A19" w14:textId="77777777" w:rsidR="0095360C" w:rsidRDefault="0095360C" w:rsidP="00197A9C">
      <w:pPr>
        <w:pStyle w:val="CETListbullets"/>
        <w:ind w:left="0" w:firstLine="0"/>
      </w:pPr>
    </w:p>
    <w:p w14:paraId="0F6A327B" w14:textId="39104888" w:rsidR="005A2155" w:rsidRDefault="005A2155" w:rsidP="0095360C">
      <w:pPr>
        <w:pStyle w:val="CETListbullets"/>
        <w:numPr>
          <w:ilvl w:val="0"/>
          <w:numId w:val="30"/>
        </w:numPr>
        <w:ind w:left="426" w:hanging="426"/>
      </w:pPr>
      <w:r w:rsidRPr="0013529F">
        <w:t>Plann</w:t>
      </w:r>
      <w:r w:rsidR="0095360C">
        <w:t>ing</w:t>
      </w:r>
      <w:r w:rsidRPr="0013529F">
        <w:t>:</w:t>
      </w:r>
    </w:p>
    <w:p w14:paraId="05958F57" w14:textId="4B3D82FD" w:rsidR="00197A9C" w:rsidRPr="003E7CA3" w:rsidRDefault="00197A9C" w:rsidP="00951F25">
      <w:pPr>
        <w:pStyle w:val="CETTabletitle"/>
        <w:jc w:val="both"/>
        <w:rPr>
          <w:i w:val="0"/>
          <w:lang w:val="en-US"/>
        </w:rPr>
      </w:pPr>
      <w:r w:rsidRPr="00197A9C">
        <w:rPr>
          <w:i w:val="0"/>
          <w:lang w:val="en-US"/>
        </w:rPr>
        <w:t xml:space="preserve">Regarding the process of identifying hazards and risks of the company’s activities through the formulation of the IPER matrix, with the application of the GSS this aspect was improved, from 39.61% to 86.54% compliance. </w:t>
      </w:r>
      <w:r w:rsidR="00951F25" w:rsidRPr="00A23918">
        <w:rPr>
          <w:i w:val="0"/>
          <w:lang w:val="en-US"/>
        </w:rPr>
        <w:t>D</w:t>
      </w:r>
      <w:r w:rsidRPr="00A23918">
        <w:rPr>
          <w:i w:val="0"/>
          <w:lang w:val="en-US"/>
        </w:rPr>
        <w:t>etail</w:t>
      </w:r>
      <w:r w:rsidR="00951F25" w:rsidRPr="00A23918">
        <w:rPr>
          <w:i w:val="0"/>
          <w:lang w:val="en-US"/>
        </w:rPr>
        <w:t>s</w:t>
      </w:r>
      <w:r w:rsidRPr="00A23918">
        <w:rPr>
          <w:i w:val="0"/>
          <w:lang w:val="en-US"/>
        </w:rPr>
        <w:t xml:space="preserve"> f</w:t>
      </w:r>
      <w:r w:rsidRPr="003E7CA3">
        <w:rPr>
          <w:i w:val="0"/>
          <w:lang w:val="en-US"/>
        </w:rPr>
        <w:t>or</w:t>
      </w:r>
      <w:r w:rsidR="00406EB8">
        <w:rPr>
          <w:i w:val="0"/>
          <w:lang w:val="en-US"/>
        </w:rPr>
        <w:t xml:space="preserve"> a</w:t>
      </w:r>
      <w:r w:rsidRPr="003E7CA3">
        <w:rPr>
          <w:i w:val="0"/>
          <w:lang w:val="en-US"/>
        </w:rPr>
        <w:t xml:space="preserve"> 10 weeks </w:t>
      </w:r>
      <w:r w:rsidR="00951F25">
        <w:rPr>
          <w:i w:val="0"/>
          <w:lang w:val="en-US"/>
        </w:rPr>
        <w:t xml:space="preserve">period of evaluation is </w:t>
      </w:r>
      <w:r w:rsidRPr="003E7CA3">
        <w:rPr>
          <w:i w:val="0"/>
          <w:lang w:val="en-US"/>
        </w:rPr>
        <w:t>presented in Table 1.</w:t>
      </w:r>
    </w:p>
    <w:p w14:paraId="05C23A23" w14:textId="32B7E5B5" w:rsidR="003871CC" w:rsidRPr="00197A9C" w:rsidRDefault="00736406" w:rsidP="00736406">
      <w:pPr>
        <w:pStyle w:val="CETTabletitle"/>
        <w:rPr>
          <w:lang w:val="en-US"/>
        </w:rPr>
      </w:pPr>
      <w:r w:rsidRPr="00197A9C">
        <w:rPr>
          <w:lang w:val="en-US"/>
        </w:rPr>
        <w:t>Tabl</w:t>
      </w:r>
      <w:r w:rsidR="00197A9C">
        <w:rPr>
          <w:lang w:val="en-US"/>
        </w:rPr>
        <w:t>e</w:t>
      </w:r>
      <w:r w:rsidRPr="00197A9C">
        <w:rPr>
          <w:lang w:val="en-US"/>
        </w:rPr>
        <w:t xml:space="preserve"> </w:t>
      </w:r>
      <w:r>
        <w:fldChar w:fldCharType="begin"/>
      </w:r>
      <w:r w:rsidRPr="00197A9C">
        <w:rPr>
          <w:lang w:val="en-US"/>
        </w:rPr>
        <w:instrText xml:space="preserve"> SEQ Tabla \* ARABIC </w:instrText>
      </w:r>
      <w:r>
        <w:fldChar w:fldCharType="separate"/>
      </w:r>
      <w:r w:rsidR="007470CD">
        <w:rPr>
          <w:noProof/>
          <w:lang w:val="en-US"/>
        </w:rPr>
        <w:t>1</w:t>
      </w:r>
      <w:r>
        <w:fldChar w:fldCharType="end"/>
      </w:r>
      <w:r w:rsidRPr="00197A9C">
        <w:rPr>
          <w:lang w:val="en-US"/>
        </w:rPr>
        <w:t xml:space="preserve"> </w:t>
      </w:r>
      <w:r w:rsidR="00197A9C" w:rsidRPr="00197A9C">
        <w:rPr>
          <w:lang w:val="en-US"/>
        </w:rPr>
        <w:t xml:space="preserve">Compliance with Occupational Medical Examinations and identification of hazards and risks before and after the implementation of the </w:t>
      </w:r>
      <w:r w:rsidR="009F3AD7" w:rsidRPr="00973665">
        <w:rPr>
          <w:lang w:val="en-US"/>
        </w:rPr>
        <w:t>OSHS</w:t>
      </w:r>
      <w:r w:rsidR="009F3AD7" w:rsidRPr="00197A9C">
        <w:rPr>
          <w:lang w:val="en-US"/>
        </w:rPr>
        <w:t xml:space="preserve"> </w:t>
      </w:r>
    </w:p>
    <w:tbl>
      <w:tblPr>
        <w:tblW w:w="849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27"/>
        <w:gridCol w:w="660"/>
        <w:gridCol w:w="806"/>
        <w:gridCol w:w="979"/>
        <w:gridCol w:w="1021"/>
        <w:gridCol w:w="623"/>
        <w:gridCol w:w="806"/>
        <w:gridCol w:w="979"/>
        <w:gridCol w:w="795"/>
      </w:tblGrid>
      <w:tr w:rsidR="00150D87" w:rsidRPr="00B57B36" w14:paraId="53BE361D" w14:textId="77777777" w:rsidTr="007F3250">
        <w:trPr>
          <w:trHeight w:val="611"/>
        </w:trPr>
        <w:tc>
          <w:tcPr>
            <w:tcW w:w="1827" w:type="dxa"/>
            <w:tcBorders>
              <w:top w:val="single" w:sz="12" w:space="0" w:color="008000"/>
              <w:bottom w:val="single" w:sz="6" w:space="0" w:color="008000"/>
            </w:tcBorders>
            <w:shd w:val="clear" w:color="auto" w:fill="FFFFFF"/>
          </w:tcPr>
          <w:p w14:paraId="3F5ECEDE" w14:textId="77777777" w:rsidR="00EA740F" w:rsidRPr="00197A9C" w:rsidRDefault="00EA740F" w:rsidP="0095360C">
            <w:pPr>
              <w:pStyle w:val="CETBodytext"/>
              <w:ind w:right="-1"/>
              <w:jc w:val="center"/>
              <w:rPr>
                <w:rFonts w:cs="Arial"/>
                <w:sz w:val="16"/>
                <w:szCs w:val="16"/>
              </w:rPr>
            </w:pPr>
          </w:p>
        </w:tc>
        <w:tc>
          <w:tcPr>
            <w:tcW w:w="3466" w:type="dxa"/>
            <w:gridSpan w:val="4"/>
            <w:tcBorders>
              <w:top w:val="single" w:sz="12" w:space="0" w:color="008000"/>
              <w:bottom w:val="single" w:sz="6" w:space="0" w:color="008000"/>
            </w:tcBorders>
            <w:shd w:val="clear" w:color="auto" w:fill="FFFFFF"/>
          </w:tcPr>
          <w:p w14:paraId="6194189A" w14:textId="4205EE7F" w:rsidR="00EA740F" w:rsidRPr="00197A9C" w:rsidRDefault="00197A9C" w:rsidP="0095360C">
            <w:pPr>
              <w:pStyle w:val="CETBodytext"/>
              <w:ind w:right="-1"/>
              <w:jc w:val="center"/>
              <w:rPr>
                <w:rFonts w:cs="Arial"/>
                <w:sz w:val="16"/>
                <w:szCs w:val="16"/>
              </w:rPr>
            </w:pPr>
            <w:r w:rsidRPr="00197A9C">
              <w:rPr>
                <w:rFonts w:cs="Arial"/>
                <w:sz w:val="16"/>
                <w:szCs w:val="16"/>
              </w:rPr>
              <w:t>Before</w:t>
            </w:r>
          </w:p>
          <w:p w14:paraId="3AC26ABD" w14:textId="7240D228" w:rsidR="00EA740F" w:rsidRPr="00197A9C" w:rsidRDefault="00EA740F" w:rsidP="0095360C">
            <w:pPr>
              <w:pStyle w:val="CETBodytext"/>
              <w:ind w:right="-1"/>
              <w:jc w:val="center"/>
              <w:rPr>
                <w:rFonts w:cs="Arial"/>
                <w:sz w:val="16"/>
                <w:szCs w:val="16"/>
              </w:rPr>
            </w:pPr>
            <w:r w:rsidRPr="00197A9C">
              <w:rPr>
                <w:rFonts w:cs="Arial"/>
                <w:sz w:val="16"/>
                <w:szCs w:val="16"/>
              </w:rPr>
              <w:t xml:space="preserve"> (</w:t>
            </w:r>
            <w:r w:rsidR="00197A9C" w:rsidRPr="00197A9C">
              <w:rPr>
                <w:sz w:val="16"/>
                <w:szCs w:val="16"/>
              </w:rPr>
              <w:t>August, September, October, November 2017</w:t>
            </w:r>
            <w:r w:rsidR="00197A9C">
              <w:rPr>
                <w:sz w:val="16"/>
                <w:szCs w:val="16"/>
              </w:rPr>
              <w:t>)</w:t>
            </w:r>
          </w:p>
        </w:tc>
        <w:tc>
          <w:tcPr>
            <w:tcW w:w="3203" w:type="dxa"/>
            <w:gridSpan w:val="4"/>
            <w:tcBorders>
              <w:top w:val="single" w:sz="12" w:space="0" w:color="008000"/>
              <w:bottom w:val="single" w:sz="6" w:space="0" w:color="008000"/>
            </w:tcBorders>
            <w:shd w:val="clear" w:color="auto" w:fill="FFFFFF"/>
          </w:tcPr>
          <w:p w14:paraId="0BC403B7" w14:textId="76219F82" w:rsidR="00EA740F" w:rsidRPr="005A2155" w:rsidRDefault="00197A9C" w:rsidP="0095360C">
            <w:pPr>
              <w:pStyle w:val="CETBodytext"/>
              <w:ind w:right="-1"/>
              <w:jc w:val="center"/>
              <w:rPr>
                <w:rFonts w:cs="Arial"/>
                <w:sz w:val="16"/>
                <w:szCs w:val="16"/>
                <w:lang w:val="en-GB"/>
              </w:rPr>
            </w:pPr>
            <w:r>
              <w:rPr>
                <w:rFonts w:cs="Arial"/>
                <w:sz w:val="16"/>
                <w:szCs w:val="16"/>
                <w:lang w:val="en-GB"/>
              </w:rPr>
              <w:t>After</w:t>
            </w:r>
          </w:p>
          <w:p w14:paraId="4F859BFE" w14:textId="50CCBDED" w:rsidR="00EA740F" w:rsidRPr="005A2155" w:rsidRDefault="00EA740F" w:rsidP="0095360C">
            <w:pPr>
              <w:pStyle w:val="CETBodytext"/>
              <w:ind w:right="-1"/>
              <w:jc w:val="center"/>
              <w:rPr>
                <w:rFonts w:cs="Arial"/>
                <w:sz w:val="16"/>
                <w:szCs w:val="16"/>
                <w:lang w:val="en-GB"/>
              </w:rPr>
            </w:pPr>
            <w:r w:rsidRPr="005A2155">
              <w:rPr>
                <w:rFonts w:cs="Arial"/>
                <w:sz w:val="16"/>
                <w:szCs w:val="16"/>
                <w:lang w:val="en-GB"/>
              </w:rPr>
              <w:t>(</w:t>
            </w:r>
            <w:r w:rsidR="00197A9C" w:rsidRPr="00197A9C">
              <w:rPr>
                <w:rFonts w:cs="Arial"/>
                <w:sz w:val="16"/>
                <w:szCs w:val="16"/>
                <w:lang w:val="en-GB"/>
              </w:rPr>
              <w:t>February, March, April 2018</w:t>
            </w:r>
            <w:r w:rsidRPr="005A2155">
              <w:rPr>
                <w:rFonts w:cs="Arial"/>
                <w:sz w:val="16"/>
                <w:szCs w:val="16"/>
                <w:lang w:val="en-GB"/>
              </w:rPr>
              <w:t>)</w:t>
            </w:r>
          </w:p>
        </w:tc>
      </w:tr>
      <w:tr w:rsidR="009A24E4" w:rsidRPr="00B57B36" w14:paraId="6BDBB28D" w14:textId="77777777" w:rsidTr="007F3250">
        <w:trPr>
          <w:trHeight w:val="351"/>
        </w:trPr>
        <w:tc>
          <w:tcPr>
            <w:tcW w:w="1827" w:type="dxa"/>
            <w:tcBorders>
              <w:top w:val="single" w:sz="12" w:space="0" w:color="008000"/>
              <w:bottom w:val="single" w:sz="6" w:space="0" w:color="008000"/>
            </w:tcBorders>
            <w:shd w:val="clear" w:color="auto" w:fill="FFFFFF"/>
          </w:tcPr>
          <w:p w14:paraId="44531729" w14:textId="4A9F25B3" w:rsidR="00150D87" w:rsidRPr="005A2155" w:rsidRDefault="00305734" w:rsidP="00305734">
            <w:pPr>
              <w:pStyle w:val="CETBodytext"/>
              <w:jc w:val="center"/>
              <w:rPr>
                <w:sz w:val="16"/>
                <w:szCs w:val="16"/>
                <w:lang w:val="en-GB"/>
              </w:rPr>
            </w:pPr>
            <w:r>
              <w:rPr>
                <w:sz w:val="16"/>
                <w:szCs w:val="16"/>
                <w:lang w:val="en-GB"/>
              </w:rPr>
              <w:t xml:space="preserve">Dimensions </w:t>
            </w:r>
            <w:r w:rsidR="00197A9C" w:rsidRPr="00197A9C">
              <w:rPr>
                <w:sz w:val="16"/>
                <w:szCs w:val="16"/>
                <w:lang w:val="en-GB"/>
              </w:rPr>
              <w:t>SGSST</w:t>
            </w:r>
          </w:p>
        </w:tc>
        <w:tc>
          <w:tcPr>
            <w:tcW w:w="660" w:type="dxa"/>
            <w:tcBorders>
              <w:top w:val="single" w:sz="12" w:space="0" w:color="008000"/>
              <w:bottom w:val="single" w:sz="6" w:space="0" w:color="008000"/>
            </w:tcBorders>
            <w:shd w:val="clear" w:color="auto" w:fill="FFFFFF"/>
            <w:vAlign w:val="center"/>
          </w:tcPr>
          <w:p w14:paraId="78FC4204" w14:textId="4C485563" w:rsidR="00150D87" w:rsidRPr="005A2155" w:rsidRDefault="00197A9C" w:rsidP="00150D87">
            <w:pPr>
              <w:pStyle w:val="CETBodytext"/>
              <w:jc w:val="center"/>
              <w:rPr>
                <w:sz w:val="16"/>
                <w:szCs w:val="16"/>
                <w:lang w:val="en-GB"/>
              </w:rPr>
            </w:pPr>
            <w:r>
              <w:rPr>
                <w:sz w:val="16"/>
                <w:szCs w:val="16"/>
                <w:lang w:val="en-GB"/>
              </w:rPr>
              <w:t>Weeks</w:t>
            </w:r>
          </w:p>
        </w:tc>
        <w:tc>
          <w:tcPr>
            <w:tcW w:w="806" w:type="dxa"/>
            <w:tcBorders>
              <w:top w:val="single" w:sz="12" w:space="0" w:color="008000"/>
              <w:bottom w:val="single" w:sz="6" w:space="0" w:color="008000"/>
            </w:tcBorders>
            <w:shd w:val="clear" w:color="auto" w:fill="FFFFFF"/>
            <w:vAlign w:val="center"/>
          </w:tcPr>
          <w:p w14:paraId="007D790F" w14:textId="6623BEC1" w:rsidR="00150D87" w:rsidRPr="005A2155" w:rsidRDefault="00197A9C" w:rsidP="00197A9C">
            <w:pPr>
              <w:pStyle w:val="CETBodytext"/>
              <w:jc w:val="center"/>
              <w:rPr>
                <w:sz w:val="16"/>
                <w:szCs w:val="16"/>
                <w:lang w:val="en-GB"/>
              </w:rPr>
            </w:pPr>
            <w:r>
              <w:rPr>
                <w:sz w:val="16"/>
                <w:szCs w:val="16"/>
                <w:lang w:val="en-GB"/>
              </w:rPr>
              <w:t>Made</w:t>
            </w:r>
            <w:r w:rsidR="00150D87" w:rsidRPr="005A2155">
              <w:rPr>
                <w:sz w:val="16"/>
                <w:szCs w:val="16"/>
                <w:lang w:val="en-GB"/>
              </w:rPr>
              <w:t xml:space="preserve"> (Nro)</w:t>
            </w:r>
          </w:p>
        </w:tc>
        <w:tc>
          <w:tcPr>
            <w:tcW w:w="979" w:type="dxa"/>
            <w:tcBorders>
              <w:top w:val="single" w:sz="12" w:space="0" w:color="008000"/>
              <w:bottom w:val="single" w:sz="6" w:space="0" w:color="008000"/>
            </w:tcBorders>
            <w:shd w:val="clear" w:color="auto" w:fill="FFFFFF"/>
            <w:vAlign w:val="center"/>
          </w:tcPr>
          <w:p w14:paraId="6899F39D" w14:textId="68DDE605" w:rsidR="00150D87" w:rsidRPr="005A2155" w:rsidRDefault="00150D87" w:rsidP="00197A9C">
            <w:pPr>
              <w:pStyle w:val="CETBodytext"/>
              <w:ind w:right="-1"/>
              <w:jc w:val="center"/>
              <w:rPr>
                <w:rFonts w:cs="Arial"/>
                <w:sz w:val="16"/>
                <w:szCs w:val="16"/>
                <w:lang w:val="en-GB"/>
              </w:rPr>
            </w:pPr>
            <w:r w:rsidRPr="005A2155">
              <w:rPr>
                <w:rFonts w:cs="Arial"/>
                <w:sz w:val="16"/>
                <w:szCs w:val="16"/>
                <w:lang w:val="en-GB"/>
              </w:rPr>
              <w:t>P</w:t>
            </w:r>
            <w:r w:rsidR="00197A9C">
              <w:rPr>
                <w:rFonts w:cs="Arial"/>
                <w:sz w:val="16"/>
                <w:szCs w:val="16"/>
                <w:lang w:val="en-GB"/>
              </w:rPr>
              <w:t>lanned</w:t>
            </w:r>
            <w:r w:rsidRPr="005A2155">
              <w:rPr>
                <w:rFonts w:cs="Arial"/>
                <w:sz w:val="16"/>
                <w:szCs w:val="16"/>
                <w:lang w:val="en-GB"/>
              </w:rPr>
              <w:t xml:space="preserve"> (Nro)</w:t>
            </w:r>
          </w:p>
        </w:tc>
        <w:tc>
          <w:tcPr>
            <w:tcW w:w="1019" w:type="dxa"/>
            <w:tcBorders>
              <w:top w:val="single" w:sz="12" w:space="0" w:color="008000"/>
              <w:bottom w:val="single" w:sz="6" w:space="0" w:color="008000"/>
            </w:tcBorders>
            <w:shd w:val="clear" w:color="auto" w:fill="FFFFFF"/>
            <w:vAlign w:val="center"/>
          </w:tcPr>
          <w:p w14:paraId="7523AC98" w14:textId="53FEB109" w:rsidR="00150D87" w:rsidRPr="005A2155" w:rsidRDefault="00197A9C" w:rsidP="00150D87">
            <w:pPr>
              <w:pStyle w:val="CETBodytext"/>
              <w:ind w:right="-1"/>
              <w:jc w:val="center"/>
              <w:rPr>
                <w:rFonts w:cs="Arial"/>
                <w:sz w:val="16"/>
                <w:szCs w:val="16"/>
                <w:lang w:val="en-GB"/>
              </w:rPr>
            </w:pPr>
            <w:r>
              <w:rPr>
                <w:rFonts w:cs="Arial"/>
                <w:sz w:val="16"/>
                <w:szCs w:val="16"/>
                <w:lang w:val="en-GB"/>
              </w:rPr>
              <w:t>Indicators</w:t>
            </w:r>
          </w:p>
        </w:tc>
        <w:tc>
          <w:tcPr>
            <w:tcW w:w="623" w:type="dxa"/>
            <w:tcBorders>
              <w:top w:val="single" w:sz="12" w:space="0" w:color="008000"/>
              <w:bottom w:val="single" w:sz="6" w:space="0" w:color="008000"/>
            </w:tcBorders>
            <w:shd w:val="clear" w:color="auto" w:fill="FFFFFF"/>
            <w:vAlign w:val="center"/>
          </w:tcPr>
          <w:p w14:paraId="66EF9739" w14:textId="3B2D23EA" w:rsidR="00150D87" w:rsidRPr="005A2155" w:rsidRDefault="00197A9C" w:rsidP="00150D87">
            <w:pPr>
              <w:pStyle w:val="CETBodytext"/>
              <w:ind w:right="-1"/>
              <w:jc w:val="center"/>
              <w:rPr>
                <w:rFonts w:cs="Arial"/>
                <w:sz w:val="16"/>
                <w:szCs w:val="16"/>
                <w:lang w:val="en-GB"/>
              </w:rPr>
            </w:pPr>
            <w:r>
              <w:rPr>
                <w:sz w:val="16"/>
                <w:szCs w:val="16"/>
                <w:lang w:val="en-GB"/>
              </w:rPr>
              <w:t>Weeks</w:t>
            </w:r>
          </w:p>
        </w:tc>
        <w:tc>
          <w:tcPr>
            <w:tcW w:w="806" w:type="dxa"/>
            <w:tcBorders>
              <w:top w:val="single" w:sz="12" w:space="0" w:color="008000"/>
              <w:bottom w:val="single" w:sz="6" w:space="0" w:color="008000"/>
            </w:tcBorders>
            <w:shd w:val="clear" w:color="auto" w:fill="FFFFFF"/>
            <w:vAlign w:val="center"/>
          </w:tcPr>
          <w:p w14:paraId="108948D7" w14:textId="0D53A0F3" w:rsidR="00150D87" w:rsidRPr="005A2155" w:rsidRDefault="00197A9C" w:rsidP="00150D87">
            <w:pPr>
              <w:pStyle w:val="CETBodytext"/>
              <w:ind w:right="-1"/>
              <w:jc w:val="center"/>
              <w:rPr>
                <w:rFonts w:cs="Arial"/>
                <w:sz w:val="16"/>
                <w:szCs w:val="16"/>
                <w:lang w:val="en-GB"/>
              </w:rPr>
            </w:pPr>
            <w:r>
              <w:rPr>
                <w:sz w:val="16"/>
                <w:szCs w:val="16"/>
                <w:lang w:val="en-GB"/>
              </w:rPr>
              <w:t>Made</w:t>
            </w:r>
            <w:r w:rsidR="00150D87" w:rsidRPr="005A2155">
              <w:rPr>
                <w:sz w:val="16"/>
                <w:szCs w:val="16"/>
                <w:lang w:val="en-GB"/>
              </w:rPr>
              <w:t xml:space="preserve"> (Nro)</w:t>
            </w:r>
          </w:p>
        </w:tc>
        <w:tc>
          <w:tcPr>
            <w:tcW w:w="979" w:type="dxa"/>
            <w:tcBorders>
              <w:top w:val="single" w:sz="12" w:space="0" w:color="008000"/>
              <w:bottom w:val="single" w:sz="6" w:space="0" w:color="008000"/>
            </w:tcBorders>
            <w:shd w:val="clear" w:color="auto" w:fill="FFFFFF"/>
            <w:vAlign w:val="center"/>
          </w:tcPr>
          <w:p w14:paraId="7DBC1F7E" w14:textId="13FA4D3F" w:rsidR="00150D87" w:rsidRPr="005A2155" w:rsidRDefault="00197A9C" w:rsidP="00197A9C">
            <w:pPr>
              <w:pStyle w:val="CETBodytext"/>
              <w:ind w:right="-1"/>
              <w:jc w:val="center"/>
              <w:rPr>
                <w:rFonts w:cs="Arial"/>
                <w:sz w:val="16"/>
                <w:szCs w:val="16"/>
                <w:lang w:val="en-GB"/>
              </w:rPr>
            </w:pPr>
            <w:r>
              <w:rPr>
                <w:rFonts w:cs="Arial"/>
                <w:sz w:val="16"/>
                <w:szCs w:val="16"/>
                <w:lang w:val="en-GB"/>
              </w:rPr>
              <w:t>Planned</w:t>
            </w:r>
            <w:r w:rsidR="00150D87" w:rsidRPr="005A2155">
              <w:rPr>
                <w:rFonts w:cs="Arial"/>
                <w:sz w:val="16"/>
                <w:szCs w:val="16"/>
                <w:lang w:val="en-GB"/>
              </w:rPr>
              <w:t xml:space="preserve"> (Nro)</w:t>
            </w:r>
          </w:p>
        </w:tc>
        <w:tc>
          <w:tcPr>
            <w:tcW w:w="793" w:type="dxa"/>
            <w:tcBorders>
              <w:top w:val="single" w:sz="12" w:space="0" w:color="008000"/>
              <w:bottom w:val="single" w:sz="6" w:space="0" w:color="008000"/>
            </w:tcBorders>
            <w:shd w:val="clear" w:color="auto" w:fill="FFFFFF"/>
            <w:vAlign w:val="center"/>
          </w:tcPr>
          <w:p w14:paraId="3511183D" w14:textId="32057611" w:rsidR="00150D87" w:rsidRPr="005A2155" w:rsidRDefault="00197A9C" w:rsidP="00150D87">
            <w:pPr>
              <w:pStyle w:val="CETBodytext"/>
              <w:ind w:right="-1"/>
              <w:jc w:val="center"/>
              <w:rPr>
                <w:rFonts w:cs="Arial"/>
                <w:sz w:val="16"/>
                <w:szCs w:val="16"/>
                <w:lang w:val="en-GB"/>
              </w:rPr>
            </w:pPr>
            <w:r>
              <w:rPr>
                <w:rFonts w:cs="Arial"/>
                <w:sz w:val="16"/>
                <w:szCs w:val="16"/>
                <w:lang w:val="en-GB"/>
              </w:rPr>
              <w:t>Indicators</w:t>
            </w:r>
          </w:p>
        </w:tc>
      </w:tr>
      <w:tr w:rsidR="009A24E4" w:rsidRPr="00B57B36" w14:paraId="58304108" w14:textId="77777777" w:rsidTr="007F3250">
        <w:trPr>
          <w:trHeight w:val="430"/>
        </w:trPr>
        <w:tc>
          <w:tcPr>
            <w:tcW w:w="1827" w:type="dxa"/>
            <w:shd w:val="clear" w:color="auto" w:fill="FFFFFF"/>
          </w:tcPr>
          <w:p w14:paraId="1AA75CC4" w14:textId="5E5EE75A" w:rsidR="00150D87" w:rsidRPr="00197A9C" w:rsidRDefault="00197A9C" w:rsidP="00150D87">
            <w:pPr>
              <w:pStyle w:val="CETBodytext"/>
              <w:rPr>
                <w:sz w:val="16"/>
                <w:szCs w:val="16"/>
              </w:rPr>
            </w:pPr>
            <w:r w:rsidRPr="00197A9C">
              <w:rPr>
                <w:sz w:val="16"/>
                <w:szCs w:val="16"/>
              </w:rPr>
              <w:t>Occupational Health</w:t>
            </w:r>
            <w:r w:rsidR="00150D87" w:rsidRPr="00197A9C">
              <w:rPr>
                <w:sz w:val="16"/>
                <w:szCs w:val="16"/>
              </w:rPr>
              <w:t>:</w:t>
            </w:r>
          </w:p>
          <w:p w14:paraId="6931F082" w14:textId="6577FD58" w:rsidR="00150D87" w:rsidRPr="00197A9C" w:rsidRDefault="00197A9C" w:rsidP="00150D87">
            <w:pPr>
              <w:pStyle w:val="CETBodytext"/>
              <w:rPr>
                <w:sz w:val="16"/>
                <w:szCs w:val="16"/>
              </w:rPr>
            </w:pPr>
            <w:r w:rsidRPr="00197A9C">
              <w:rPr>
                <w:sz w:val="14"/>
                <w:szCs w:val="14"/>
              </w:rPr>
              <w:t>Compliance with Occupational Medical Examinations</w:t>
            </w:r>
          </w:p>
        </w:tc>
        <w:tc>
          <w:tcPr>
            <w:tcW w:w="660" w:type="dxa"/>
            <w:shd w:val="clear" w:color="auto" w:fill="FFFFFF"/>
            <w:vAlign w:val="center"/>
          </w:tcPr>
          <w:p w14:paraId="340D6BE8" w14:textId="11ABD2AC" w:rsidR="00150D87" w:rsidRPr="005A2155" w:rsidRDefault="00150D87" w:rsidP="00150D87">
            <w:pPr>
              <w:pStyle w:val="CETBodytext"/>
              <w:jc w:val="center"/>
              <w:rPr>
                <w:sz w:val="16"/>
                <w:szCs w:val="16"/>
                <w:lang w:val="en-GB"/>
              </w:rPr>
            </w:pPr>
            <w:r w:rsidRPr="005A2155">
              <w:rPr>
                <w:sz w:val="16"/>
                <w:szCs w:val="16"/>
                <w:lang w:val="en-GB"/>
              </w:rPr>
              <w:t>10</w:t>
            </w:r>
          </w:p>
        </w:tc>
        <w:tc>
          <w:tcPr>
            <w:tcW w:w="806" w:type="dxa"/>
            <w:shd w:val="clear" w:color="auto" w:fill="FFFFFF"/>
            <w:vAlign w:val="center"/>
          </w:tcPr>
          <w:p w14:paraId="01F16047" w14:textId="77777777" w:rsidR="00150D87" w:rsidRPr="005A2155" w:rsidRDefault="00150D87" w:rsidP="00150D87">
            <w:pPr>
              <w:pStyle w:val="CETBodytext"/>
              <w:jc w:val="center"/>
              <w:rPr>
                <w:sz w:val="16"/>
                <w:szCs w:val="16"/>
                <w:lang w:val="en-GB"/>
              </w:rPr>
            </w:pPr>
            <w:r w:rsidRPr="005A2155">
              <w:rPr>
                <w:sz w:val="16"/>
                <w:szCs w:val="16"/>
                <w:lang w:val="en-GB"/>
              </w:rPr>
              <w:t>0</w:t>
            </w:r>
          </w:p>
        </w:tc>
        <w:tc>
          <w:tcPr>
            <w:tcW w:w="979" w:type="dxa"/>
            <w:shd w:val="clear" w:color="auto" w:fill="FFFFFF"/>
            <w:vAlign w:val="center"/>
          </w:tcPr>
          <w:p w14:paraId="240731BA" w14:textId="07BDBBB9"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10</w:t>
            </w:r>
          </w:p>
        </w:tc>
        <w:tc>
          <w:tcPr>
            <w:tcW w:w="1019" w:type="dxa"/>
            <w:shd w:val="clear" w:color="auto" w:fill="FFFFFF"/>
            <w:vAlign w:val="center"/>
          </w:tcPr>
          <w:p w14:paraId="6CC67D7D" w14:textId="77777777"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IEO:</w:t>
            </w:r>
          </w:p>
          <w:p w14:paraId="430B6D50" w14:textId="139596CA"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 xml:space="preserve"> 0%</w:t>
            </w:r>
          </w:p>
        </w:tc>
        <w:tc>
          <w:tcPr>
            <w:tcW w:w="623" w:type="dxa"/>
            <w:shd w:val="clear" w:color="auto" w:fill="FFFFFF"/>
            <w:vAlign w:val="center"/>
          </w:tcPr>
          <w:p w14:paraId="06C1813E" w14:textId="5B7AA5DF"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10</w:t>
            </w:r>
          </w:p>
        </w:tc>
        <w:tc>
          <w:tcPr>
            <w:tcW w:w="806" w:type="dxa"/>
            <w:shd w:val="clear" w:color="auto" w:fill="FFFFFF"/>
            <w:vAlign w:val="center"/>
          </w:tcPr>
          <w:p w14:paraId="4887EC28" w14:textId="77777777"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20</w:t>
            </w:r>
          </w:p>
        </w:tc>
        <w:tc>
          <w:tcPr>
            <w:tcW w:w="979" w:type="dxa"/>
            <w:shd w:val="clear" w:color="auto" w:fill="FFFFFF"/>
            <w:vAlign w:val="center"/>
          </w:tcPr>
          <w:p w14:paraId="217BA30F" w14:textId="77777777" w:rsidR="00150D87" w:rsidRPr="005A2155" w:rsidRDefault="00150D87" w:rsidP="00150D87">
            <w:pPr>
              <w:pStyle w:val="CETBodytext"/>
              <w:ind w:right="-1"/>
              <w:jc w:val="center"/>
              <w:rPr>
                <w:rFonts w:cs="Arial"/>
                <w:sz w:val="16"/>
                <w:szCs w:val="16"/>
                <w:lang w:val="en-GB"/>
              </w:rPr>
            </w:pPr>
            <w:r w:rsidRPr="005A2155">
              <w:rPr>
                <w:rFonts w:cs="Arial"/>
                <w:sz w:val="16"/>
                <w:szCs w:val="16"/>
                <w:lang w:val="en-GB"/>
              </w:rPr>
              <w:t>20</w:t>
            </w:r>
          </w:p>
        </w:tc>
        <w:tc>
          <w:tcPr>
            <w:tcW w:w="793" w:type="dxa"/>
            <w:shd w:val="clear" w:color="auto" w:fill="FFFFFF"/>
            <w:vAlign w:val="center"/>
          </w:tcPr>
          <w:p w14:paraId="70BABCF8" w14:textId="77777777" w:rsidR="00197A9C" w:rsidRDefault="00150D87" w:rsidP="00197A9C">
            <w:pPr>
              <w:pStyle w:val="CETBodytext"/>
              <w:ind w:right="-1"/>
              <w:jc w:val="center"/>
              <w:rPr>
                <w:rFonts w:cs="Arial"/>
                <w:sz w:val="16"/>
                <w:szCs w:val="16"/>
                <w:lang w:val="en-GB"/>
              </w:rPr>
            </w:pPr>
            <w:r w:rsidRPr="005A2155">
              <w:rPr>
                <w:rFonts w:cs="Arial"/>
                <w:sz w:val="16"/>
                <w:szCs w:val="16"/>
                <w:lang w:val="en-GB"/>
              </w:rPr>
              <w:t>IEO:</w:t>
            </w:r>
          </w:p>
          <w:p w14:paraId="1F2B38D7" w14:textId="46F06224" w:rsidR="00150D87" w:rsidRPr="005A2155" w:rsidRDefault="00150D87" w:rsidP="00197A9C">
            <w:pPr>
              <w:pStyle w:val="CETBodytext"/>
              <w:ind w:right="-1"/>
              <w:jc w:val="center"/>
              <w:rPr>
                <w:rFonts w:cs="Arial"/>
                <w:sz w:val="16"/>
                <w:szCs w:val="16"/>
                <w:lang w:val="en-GB"/>
              </w:rPr>
            </w:pPr>
            <w:r w:rsidRPr="005A2155">
              <w:rPr>
                <w:rFonts w:cs="Arial"/>
                <w:sz w:val="16"/>
                <w:szCs w:val="16"/>
                <w:lang w:val="en-GB"/>
              </w:rPr>
              <w:t xml:space="preserve"> 100%</w:t>
            </w:r>
          </w:p>
        </w:tc>
      </w:tr>
      <w:tr w:rsidR="005A2155" w:rsidRPr="00CB05DC" w14:paraId="5C0A6A3F" w14:textId="77777777" w:rsidTr="007F3250">
        <w:trPr>
          <w:trHeight w:val="406"/>
        </w:trPr>
        <w:tc>
          <w:tcPr>
            <w:tcW w:w="1827" w:type="dxa"/>
            <w:shd w:val="clear" w:color="auto" w:fill="FFFFFF"/>
          </w:tcPr>
          <w:p w14:paraId="11C52D59" w14:textId="6D10E683" w:rsidR="00150D87" w:rsidRPr="00197A9C" w:rsidRDefault="00150D87" w:rsidP="00150D87">
            <w:pPr>
              <w:pStyle w:val="CETBodytext"/>
              <w:ind w:right="-1"/>
              <w:rPr>
                <w:rFonts w:cs="Arial"/>
                <w:sz w:val="16"/>
                <w:szCs w:val="16"/>
              </w:rPr>
            </w:pPr>
            <w:r w:rsidRPr="00197A9C">
              <w:rPr>
                <w:rFonts w:cs="Arial"/>
                <w:sz w:val="16"/>
                <w:szCs w:val="16"/>
              </w:rPr>
              <w:t>Plan</w:t>
            </w:r>
            <w:r w:rsidR="00197A9C" w:rsidRPr="00197A9C">
              <w:rPr>
                <w:rFonts w:cs="Arial"/>
                <w:sz w:val="16"/>
                <w:szCs w:val="16"/>
              </w:rPr>
              <w:t>n</w:t>
            </w:r>
            <w:r w:rsidRPr="00197A9C">
              <w:rPr>
                <w:rFonts w:cs="Arial"/>
                <w:sz w:val="16"/>
                <w:szCs w:val="16"/>
              </w:rPr>
              <w:t>in</w:t>
            </w:r>
            <w:r w:rsidR="00197A9C" w:rsidRPr="00197A9C">
              <w:rPr>
                <w:rFonts w:cs="Arial"/>
                <w:sz w:val="16"/>
                <w:szCs w:val="16"/>
              </w:rPr>
              <w:t>g</w:t>
            </w:r>
            <w:r w:rsidRPr="00197A9C">
              <w:rPr>
                <w:rFonts w:cs="Arial"/>
                <w:sz w:val="16"/>
                <w:szCs w:val="16"/>
              </w:rPr>
              <w:t>:</w:t>
            </w:r>
          </w:p>
          <w:p w14:paraId="4E43D020" w14:textId="6058C929" w:rsidR="00150D87" w:rsidRPr="00197A9C" w:rsidRDefault="00197A9C" w:rsidP="00150D87">
            <w:pPr>
              <w:pStyle w:val="CETBodytext"/>
              <w:ind w:right="-1"/>
              <w:rPr>
                <w:rFonts w:cs="Arial"/>
                <w:sz w:val="16"/>
                <w:szCs w:val="16"/>
              </w:rPr>
            </w:pPr>
            <w:r w:rsidRPr="00197A9C">
              <w:rPr>
                <w:rFonts w:cs="Arial"/>
                <w:sz w:val="14"/>
                <w:szCs w:val="14"/>
              </w:rPr>
              <w:t>Hazard Identification and Risk Assessment</w:t>
            </w:r>
          </w:p>
        </w:tc>
        <w:tc>
          <w:tcPr>
            <w:tcW w:w="660" w:type="dxa"/>
            <w:shd w:val="clear" w:color="auto" w:fill="FFFFFF"/>
            <w:vAlign w:val="center"/>
          </w:tcPr>
          <w:p w14:paraId="656F8D94" w14:textId="0EC7B4F7"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10</w:t>
            </w:r>
          </w:p>
        </w:tc>
        <w:tc>
          <w:tcPr>
            <w:tcW w:w="806" w:type="dxa"/>
            <w:shd w:val="clear" w:color="auto" w:fill="FFFFFF"/>
            <w:vAlign w:val="center"/>
          </w:tcPr>
          <w:p w14:paraId="03974E9F" w14:textId="350FA5A4"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61</w:t>
            </w:r>
          </w:p>
        </w:tc>
        <w:tc>
          <w:tcPr>
            <w:tcW w:w="979" w:type="dxa"/>
            <w:shd w:val="clear" w:color="auto" w:fill="FFFFFF"/>
            <w:vAlign w:val="center"/>
          </w:tcPr>
          <w:p w14:paraId="5EAFD3CC" w14:textId="55BDEEE6"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154</w:t>
            </w:r>
          </w:p>
        </w:tc>
        <w:tc>
          <w:tcPr>
            <w:tcW w:w="1019" w:type="dxa"/>
            <w:shd w:val="clear" w:color="auto" w:fill="FFFFFF"/>
            <w:vAlign w:val="center"/>
          </w:tcPr>
          <w:p w14:paraId="3420B18F" w14:textId="65487CCF" w:rsidR="00150D87" w:rsidRPr="005A2155" w:rsidRDefault="00150D87" w:rsidP="00150D87">
            <w:pPr>
              <w:pStyle w:val="CETBodytext"/>
              <w:ind w:right="-1"/>
              <w:jc w:val="center"/>
              <w:rPr>
                <w:rFonts w:cs="Arial"/>
                <w:sz w:val="16"/>
                <w:szCs w:val="16"/>
                <w:lang w:val="en-GB"/>
              </w:rPr>
            </w:pPr>
            <w:r w:rsidRPr="005A2155">
              <w:rPr>
                <w:rFonts w:cs="Arial"/>
                <w:sz w:val="16"/>
                <w:szCs w:val="16"/>
                <w:lang w:val="es-PE"/>
              </w:rPr>
              <w:t>IIPER</w:t>
            </w:r>
            <w:r w:rsidRPr="005A2155">
              <w:rPr>
                <w:rFonts w:cs="Arial"/>
                <w:sz w:val="16"/>
                <w:szCs w:val="16"/>
                <w:lang w:val="en-GB"/>
              </w:rPr>
              <w:t>:</w:t>
            </w:r>
          </w:p>
          <w:p w14:paraId="1A5D0F21" w14:textId="665DB61F"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39.61%</w:t>
            </w:r>
          </w:p>
        </w:tc>
        <w:tc>
          <w:tcPr>
            <w:tcW w:w="623" w:type="dxa"/>
            <w:shd w:val="clear" w:color="auto" w:fill="FFFFFF"/>
            <w:vAlign w:val="center"/>
          </w:tcPr>
          <w:p w14:paraId="2A2BBC3F" w14:textId="036DA59F"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10</w:t>
            </w:r>
          </w:p>
        </w:tc>
        <w:tc>
          <w:tcPr>
            <w:tcW w:w="806" w:type="dxa"/>
            <w:shd w:val="clear" w:color="auto" w:fill="FFFFFF"/>
            <w:vAlign w:val="center"/>
          </w:tcPr>
          <w:p w14:paraId="6AE17827" w14:textId="21C853C8"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135</w:t>
            </w:r>
          </w:p>
        </w:tc>
        <w:tc>
          <w:tcPr>
            <w:tcW w:w="979" w:type="dxa"/>
            <w:shd w:val="clear" w:color="auto" w:fill="FFFFFF"/>
            <w:vAlign w:val="center"/>
          </w:tcPr>
          <w:p w14:paraId="66CB6401" w14:textId="2D02D377"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156</w:t>
            </w:r>
          </w:p>
        </w:tc>
        <w:tc>
          <w:tcPr>
            <w:tcW w:w="793" w:type="dxa"/>
            <w:shd w:val="clear" w:color="auto" w:fill="FFFFFF"/>
            <w:vAlign w:val="center"/>
          </w:tcPr>
          <w:p w14:paraId="5A4A6A06" w14:textId="77777777" w:rsidR="00150D87" w:rsidRPr="005A2155" w:rsidRDefault="00150D87" w:rsidP="00150D87">
            <w:pPr>
              <w:pStyle w:val="CETBodytext"/>
              <w:ind w:right="-1"/>
              <w:jc w:val="center"/>
              <w:rPr>
                <w:rFonts w:cs="Arial"/>
                <w:sz w:val="16"/>
                <w:szCs w:val="16"/>
                <w:lang w:val="es-PE"/>
              </w:rPr>
            </w:pPr>
            <w:r w:rsidRPr="005A2155">
              <w:rPr>
                <w:rFonts w:cs="Arial"/>
                <w:sz w:val="16"/>
                <w:szCs w:val="16"/>
                <w:lang w:val="es-PE"/>
              </w:rPr>
              <w:t>IIPER:</w:t>
            </w:r>
          </w:p>
          <w:p w14:paraId="23C873AD" w14:textId="73D25E6A" w:rsidR="00150D87" w:rsidRPr="005A2155" w:rsidRDefault="00150D87" w:rsidP="00150D87">
            <w:pPr>
              <w:pStyle w:val="CETBodytext"/>
              <w:ind w:right="-1"/>
              <w:jc w:val="center"/>
              <w:rPr>
                <w:rFonts w:cs="Arial"/>
                <w:sz w:val="16"/>
                <w:szCs w:val="16"/>
                <w:lang w:val="es-PE"/>
              </w:rPr>
            </w:pPr>
            <w:r w:rsidRPr="005A2155">
              <w:rPr>
                <w:rFonts w:cs="Arial"/>
                <w:sz w:val="16"/>
                <w:szCs w:val="16"/>
                <w:lang w:val="en-GB"/>
              </w:rPr>
              <w:t>86.54%</w:t>
            </w:r>
          </w:p>
        </w:tc>
      </w:tr>
    </w:tbl>
    <w:p w14:paraId="02CE9A12" w14:textId="1BC52155" w:rsidR="005E391A" w:rsidRDefault="005E391A" w:rsidP="00600535">
      <w:pPr>
        <w:pStyle w:val="CETBodytext"/>
        <w:rPr>
          <w:lang w:val="es-PE"/>
        </w:rPr>
      </w:pPr>
    </w:p>
    <w:p w14:paraId="73B1ADAC" w14:textId="2C97D40C" w:rsidR="002255B7" w:rsidRPr="004B6EEA" w:rsidRDefault="002255B7" w:rsidP="00600535">
      <w:pPr>
        <w:pStyle w:val="CETListbullets"/>
        <w:numPr>
          <w:ilvl w:val="0"/>
          <w:numId w:val="27"/>
        </w:numPr>
        <w:rPr>
          <w:lang w:val="en-US"/>
        </w:rPr>
      </w:pPr>
      <w:r w:rsidRPr="004B6EEA">
        <w:rPr>
          <w:lang w:val="en-US"/>
        </w:rPr>
        <w:t>Implementation and decision-making:</w:t>
      </w:r>
    </w:p>
    <w:p w14:paraId="36A6D920" w14:textId="2CE205AA" w:rsidR="002255B7" w:rsidRDefault="002255B7" w:rsidP="00951F25">
      <w:pPr>
        <w:pStyle w:val="CETTabletitle"/>
        <w:jc w:val="both"/>
        <w:rPr>
          <w:i w:val="0"/>
          <w:lang w:val="en-US"/>
        </w:rPr>
      </w:pPr>
      <w:r w:rsidRPr="002255B7">
        <w:rPr>
          <w:i w:val="0"/>
          <w:lang w:val="en-US"/>
        </w:rPr>
        <w:t>An important factor in occupational safety and health management is the training of workers to take responsibility for their work by taking care of their physical and mental integrity. In this sense, the fulfillment of hours of training before and after the implementation of a proposed new</w:t>
      </w:r>
      <w:r w:rsidR="009F3AD7">
        <w:rPr>
          <w:i w:val="0"/>
          <w:lang w:val="en-US"/>
        </w:rPr>
        <w:t xml:space="preserve"> </w:t>
      </w:r>
      <w:r w:rsidR="009F3AD7" w:rsidRPr="00973665">
        <w:rPr>
          <w:lang w:val="en-US"/>
        </w:rPr>
        <w:t>OSHS</w:t>
      </w:r>
      <w:r w:rsidRPr="002255B7">
        <w:rPr>
          <w:i w:val="0"/>
          <w:lang w:val="en-US"/>
        </w:rPr>
        <w:t xml:space="preserve"> was evaluated. The results are shown in Table 2 and Table 3, where it is observed that compliance with this indicator was improved, being from 52.78% to 96.43% the increase in trained workers and from 53.66% before and 96.77% after for the number of hours spent in this activity.</w:t>
      </w:r>
    </w:p>
    <w:p w14:paraId="641922CC" w14:textId="3D00D143" w:rsidR="00B827FD" w:rsidRPr="002255B7" w:rsidRDefault="002255B7" w:rsidP="00496291">
      <w:pPr>
        <w:pStyle w:val="CETTabletitle"/>
        <w:rPr>
          <w:lang w:val="en-US"/>
        </w:rPr>
      </w:pPr>
      <w:r>
        <w:rPr>
          <w:lang w:val="en-US"/>
        </w:rPr>
        <w:t>Table</w:t>
      </w:r>
      <w:r w:rsidR="00496291" w:rsidRPr="002255B7">
        <w:rPr>
          <w:lang w:val="en-US"/>
        </w:rPr>
        <w:t xml:space="preserve"> </w:t>
      </w:r>
      <w:r>
        <w:rPr>
          <w:lang w:val="en-US"/>
        </w:rPr>
        <w:t>2</w:t>
      </w:r>
      <w:r w:rsidR="00496291" w:rsidRPr="002255B7">
        <w:rPr>
          <w:lang w:val="en-US"/>
        </w:rPr>
        <w:t xml:space="preserve"> </w:t>
      </w:r>
      <w:r w:rsidRPr="002255B7">
        <w:rPr>
          <w:lang w:val="en-US"/>
        </w:rPr>
        <w:t xml:space="preserve">Training of personnel prior to implementation of the </w:t>
      </w:r>
      <w:r w:rsidR="00A23918" w:rsidRPr="00973665">
        <w:rPr>
          <w:lang w:val="en-US"/>
        </w:rPr>
        <w:t>OSHS</w:t>
      </w:r>
      <w:r w:rsidR="00A23918" w:rsidRPr="00406EB8">
        <w:rPr>
          <w:highlight w:val="green"/>
          <w:lang w:val="en-US"/>
        </w:rPr>
        <w:t xml:space="preserve"> </w:t>
      </w:r>
    </w:p>
    <w:tbl>
      <w:tblPr>
        <w:tblW w:w="8190"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46"/>
        <w:gridCol w:w="1128"/>
        <w:gridCol w:w="1452"/>
        <w:gridCol w:w="1090"/>
        <w:gridCol w:w="1088"/>
        <w:gridCol w:w="1178"/>
        <w:gridCol w:w="1208"/>
      </w:tblGrid>
      <w:tr w:rsidR="00BF1CBE" w:rsidRPr="00036968" w14:paraId="6FB88B09" w14:textId="77777777" w:rsidTr="007F3250">
        <w:trPr>
          <w:trHeight w:val="1144"/>
        </w:trPr>
        <w:tc>
          <w:tcPr>
            <w:tcW w:w="1046" w:type="dxa"/>
            <w:tcBorders>
              <w:top w:val="single" w:sz="12" w:space="0" w:color="008000"/>
              <w:bottom w:val="single" w:sz="6" w:space="0" w:color="008000"/>
            </w:tcBorders>
            <w:shd w:val="clear" w:color="auto" w:fill="FFFFFF"/>
            <w:vAlign w:val="center"/>
          </w:tcPr>
          <w:p w14:paraId="12818190" w14:textId="11837240" w:rsidR="00BF1CBE" w:rsidRPr="009A24E4" w:rsidRDefault="00BF1CBE" w:rsidP="0095360C">
            <w:pPr>
              <w:pStyle w:val="CETBodytext"/>
              <w:jc w:val="center"/>
              <w:rPr>
                <w:sz w:val="16"/>
                <w:szCs w:val="18"/>
                <w:lang w:val="en-GB"/>
              </w:rPr>
            </w:pPr>
            <w:r w:rsidRPr="009A24E4">
              <w:rPr>
                <w:sz w:val="16"/>
                <w:szCs w:val="18"/>
                <w:lang w:val="en-GB"/>
              </w:rPr>
              <w:t>Ti</w:t>
            </w:r>
            <w:r w:rsidR="002255B7">
              <w:rPr>
                <w:sz w:val="16"/>
                <w:szCs w:val="18"/>
                <w:lang w:val="en-GB"/>
              </w:rPr>
              <w:t>me</w:t>
            </w:r>
          </w:p>
          <w:p w14:paraId="15BB2300" w14:textId="45503331" w:rsidR="00BF1CBE" w:rsidRPr="009A24E4" w:rsidRDefault="00BF1CBE" w:rsidP="002255B7">
            <w:pPr>
              <w:pStyle w:val="CETBodytext"/>
              <w:jc w:val="center"/>
              <w:rPr>
                <w:sz w:val="16"/>
                <w:szCs w:val="18"/>
                <w:lang w:val="en-GB"/>
              </w:rPr>
            </w:pPr>
            <w:r w:rsidRPr="009A24E4">
              <w:rPr>
                <w:sz w:val="16"/>
                <w:szCs w:val="18"/>
                <w:lang w:val="en-GB"/>
              </w:rPr>
              <w:t>(A</w:t>
            </w:r>
            <w:r w:rsidR="002255B7">
              <w:rPr>
                <w:sz w:val="16"/>
                <w:szCs w:val="18"/>
                <w:lang w:val="en-GB"/>
              </w:rPr>
              <w:t>ugust</w:t>
            </w:r>
            <w:r w:rsidRPr="009A24E4">
              <w:rPr>
                <w:sz w:val="16"/>
                <w:szCs w:val="18"/>
                <w:lang w:val="en-GB"/>
              </w:rPr>
              <w:t xml:space="preserve"> </w:t>
            </w:r>
            <w:r w:rsidR="002255B7">
              <w:rPr>
                <w:sz w:val="16"/>
                <w:szCs w:val="18"/>
                <w:lang w:val="en-GB"/>
              </w:rPr>
              <w:t>to</w:t>
            </w:r>
            <w:r w:rsidRPr="009A24E4">
              <w:rPr>
                <w:sz w:val="16"/>
                <w:szCs w:val="18"/>
                <w:lang w:val="en-GB"/>
              </w:rPr>
              <w:t xml:space="preserve"> Nov</w:t>
            </w:r>
            <w:r w:rsidR="002255B7">
              <w:rPr>
                <w:sz w:val="16"/>
                <w:szCs w:val="18"/>
                <w:lang w:val="en-GB"/>
              </w:rPr>
              <w:t>emb</w:t>
            </w:r>
            <w:r w:rsidRPr="009A24E4">
              <w:rPr>
                <w:sz w:val="16"/>
                <w:szCs w:val="18"/>
                <w:lang w:val="en-GB"/>
              </w:rPr>
              <w:t>e</w:t>
            </w:r>
            <w:r w:rsidR="002255B7">
              <w:rPr>
                <w:sz w:val="16"/>
                <w:szCs w:val="18"/>
                <w:lang w:val="en-GB"/>
              </w:rPr>
              <w:t>r</w:t>
            </w:r>
            <w:r w:rsidRPr="009A24E4">
              <w:rPr>
                <w:sz w:val="16"/>
                <w:szCs w:val="18"/>
                <w:lang w:val="en-GB"/>
              </w:rPr>
              <w:t>)</w:t>
            </w:r>
          </w:p>
        </w:tc>
        <w:tc>
          <w:tcPr>
            <w:tcW w:w="1128" w:type="dxa"/>
            <w:tcBorders>
              <w:top w:val="single" w:sz="12" w:space="0" w:color="008000"/>
              <w:bottom w:val="single" w:sz="6" w:space="0" w:color="008000"/>
            </w:tcBorders>
            <w:shd w:val="clear" w:color="auto" w:fill="FFFFFF"/>
            <w:vAlign w:val="center"/>
          </w:tcPr>
          <w:p w14:paraId="0CCC564C" w14:textId="65B0CEC0" w:rsidR="00BF1CBE" w:rsidRPr="009A24E4" w:rsidRDefault="002255B7" w:rsidP="0095360C">
            <w:pPr>
              <w:pStyle w:val="CETBodytext"/>
              <w:ind w:right="-1"/>
              <w:jc w:val="center"/>
              <w:rPr>
                <w:rFonts w:cs="Arial"/>
                <w:sz w:val="16"/>
                <w:szCs w:val="18"/>
                <w:lang w:val="en-GB"/>
              </w:rPr>
            </w:pPr>
            <w:r w:rsidRPr="002255B7">
              <w:rPr>
                <w:rFonts w:cs="Arial"/>
                <w:sz w:val="16"/>
                <w:szCs w:val="18"/>
                <w:lang w:val="en-GB"/>
              </w:rPr>
              <w:t>Number of partners trained</w:t>
            </w:r>
          </w:p>
        </w:tc>
        <w:tc>
          <w:tcPr>
            <w:tcW w:w="1452" w:type="dxa"/>
            <w:tcBorders>
              <w:top w:val="single" w:sz="12" w:space="0" w:color="008000"/>
              <w:bottom w:val="single" w:sz="6" w:space="0" w:color="008000"/>
            </w:tcBorders>
            <w:shd w:val="clear" w:color="auto" w:fill="FFFFFF"/>
            <w:vAlign w:val="center"/>
          </w:tcPr>
          <w:p w14:paraId="6DA61944" w14:textId="57ED15A6" w:rsidR="00BF1CBE" w:rsidRPr="002255B7" w:rsidRDefault="002255B7" w:rsidP="0095360C">
            <w:pPr>
              <w:pStyle w:val="CETBodytext"/>
              <w:ind w:right="-1"/>
              <w:jc w:val="center"/>
              <w:rPr>
                <w:rFonts w:cs="Arial"/>
                <w:sz w:val="16"/>
                <w:szCs w:val="18"/>
              </w:rPr>
            </w:pPr>
            <w:r w:rsidRPr="002255B7">
              <w:rPr>
                <w:rFonts w:cs="Arial"/>
                <w:sz w:val="16"/>
                <w:szCs w:val="18"/>
              </w:rPr>
              <w:t>Number of partners programmed for training</w:t>
            </w:r>
          </w:p>
        </w:tc>
        <w:tc>
          <w:tcPr>
            <w:tcW w:w="1090" w:type="dxa"/>
            <w:tcBorders>
              <w:top w:val="single" w:sz="12" w:space="0" w:color="008000"/>
              <w:bottom w:val="single" w:sz="6" w:space="0" w:color="008000"/>
            </w:tcBorders>
            <w:shd w:val="clear" w:color="auto" w:fill="FFFFFF"/>
            <w:vAlign w:val="center"/>
          </w:tcPr>
          <w:p w14:paraId="18243C51" w14:textId="76675F9D" w:rsidR="00BF1CBE" w:rsidRPr="009A24E4" w:rsidRDefault="002255B7" w:rsidP="0095360C">
            <w:pPr>
              <w:pStyle w:val="CETBodytext"/>
              <w:ind w:right="-1"/>
              <w:jc w:val="center"/>
              <w:rPr>
                <w:rFonts w:cs="Arial"/>
                <w:sz w:val="16"/>
                <w:szCs w:val="18"/>
                <w:lang w:val="en-GB"/>
              </w:rPr>
            </w:pPr>
            <w:r w:rsidRPr="002255B7">
              <w:rPr>
                <w:rFonts w:cs="Arial"/>
                <w:sz w:val="16"/>
                <w:szCs w:val="18"/>
                <w:lang w:val="en-GB"/>
              </w:rPr>
              <w:t>Training rate</w:t>
            </w:r>
          </w:p>
        </w:tc>
        <w:tc>
          <w:tcPr>
            <w:tcW w:w="1088" w:type="dxa"/>
            <w:tcBorders>
              <w:top w:val="single" w:sz="12" w:space="0" w:color="008000"/>
              <w:bottom w:val="single" w:sz="6" w:space="0" w:color="008000"/>
            </w:tcBorders>
            <w:shd w:val="clear" w:color="auto" w:fill="FFFFFF"/>
            <w:vAlign w:val="center"/>
          </w:tcPr>
          <w:p w14:paraId="412AB795" w14:textId="2F5AB089" w:rsidR="00BF1CBE" w:rsidRPr="009A24E4" w:rsidRDefault="002255B7" w:rsidP="0095360C">
            <w:pPr>
              <w:pStyle w:val="CETBodytext"/>
              <w:ind w:right="-1"/>
              <w:jc w:val="center"/>
              <w:rPr>
                <w:rFonts w:cs="Arial"/>
                <w:sz w:val="16"/>
                <w:szCs w:val="18"/>
                <w:lang w:val="en-GB"/>
              </w:rPr>
            </w:pPr>
            <w:r>
              <w:rPr>
                <w:rFonts w:cs="Arial"/>
                <w:sz w:val="16"/>
                <w:szCs w:val="18"/>
                <w:lang w:val="en-GB"/>
              </w:rPr>
              <w:t>Training hours</w:t>
            </w:r>
          </w:p>
        </w:tc>
        <w:tc>
          <w:tcPr>
            <w:tcW w:w="1178" w:type="dxa"/>
            <w:tcBorders>
              <w:top w:val="single" w:sz="12" w:space="0" w:color="008000"/>
              <w:bottom w:val="single" w:sz="6" w:space="0" w:color="008000"/>
            </w:tcBorders>
            <w:shd w:val="clear" w:color="auto" w:fill="FFFFFF"/>
            <w:vAlign w:val="center"/>
          </w:tcPr>
          <w:p w14:paraId="6BD62911" w14:textId="48764218" w:rsidR="00BF1CBE" w:rsidRPr="009A24E4" w:rsidRDefault="002255B7" w:rsidP="0095360C">
            <w:pPr>
              <w:pStyle w:val="CETBodytext"/>
              <w:ind w:right="-1"/>
              <w:jc w:val="center"/>
              <w:rPr>
                <w:rFonts w:cs="Arial"/>
                <w:sz w:val="16"/>
                <w:szCs w:val="18"/>
                <w:lang w:val="en-GB"/>
              </w:rPr>
            </w:pPr>
            <w:r w:rsidRPr="002255B7">
              <w:rPr>
                <w:sz w:val="16"/>
                <w:szCs w:val="18"/>
                <w:lang w:val="en-GB"/>
              </w:rPr>
              <w:t>Scheduled hours of training</w:t>
            </w:r>
          </w:p>
        </w:tc>
        <w:tc>
          <w:tcPr>
            <w:tcW w:w="1208" w:type="dxa"/>
            <w:tcBorders>
              <w:top w:val="single" w:sz="12" w:space="0" w:color="008000"/>
              <w:bottom w:val="single" w:sz="6" w:space="0" w:color="008000"/>
            </w:tcBorders>
            <w:shd w:val="clear" w:color="auto" w:fill="FFFFFF"/>
            <w:vAlign w:val="center"/>
          </w:tcPr>
          <w:p w14:paraId="19767022" w14:textId="3DC893B2" w:rsidR="00BF1CBE" w:rsidRPr="009A24E4" w:rsidRDefault="002255B7" w:rsidP="002255B7">
            <w:pPr>
              <w:pStyle w:val="CETBodytext"/>
              <w:ind w:right="-1"/>
              <w:jc w:val="center"/>
              <w:rPr>
                <w:rFonts w:cs="Arial"/>
                <w:sz w:val="16"/>
                <w:szCs w:val="18"/>
                <w:lang w:val="es-PE"/>
              </w:rPr>
            </w:pPr>
            <w:r>
              <w:rPr>
                <w:rFonts w:cs="Arial"/>
                <w:sz w:val="16"/>
                <w:szCs w:val="18"/>
                <w:lang w:val="es-PE"/>
              </w:rPr>
              <w:t>Training H</w:t>
            </w:r>
            <w:r w:rsidR="00BF1CBE" w:rsidRPr="009A24E4">
              <w:rPr>
                <w:rFonts w:cs="Arial"/>
                <w:sz w:val="16"/>
                <w:szCs w:val="18"/>
                <w:lang w:val="es-PE"/>
              </w:rPr>
              <w:t>o</w:t>
            </w:r>
            <w:r>
              <w:rPr>
                <w:rFonts w:cs="Arial"/>
                <w:sz w:val="16"/>
                <w:szCs w:val="18"/>
                <w:lang w:val="es-PE"/>
              </w:rPr>
              <w:t>urs rate</w:t>
            </w:r>
          </w:p>
        </w:tc>
      </w:tr>
      <w:tr w:rsidR="00BF1CBE" w:rsidRPr="00B57B36" w14:paraId="272BCFE6" w14:textId="77777777" w:rsidTr="007F3250">
        <w:trPr>
          <w:trHeight w:val="754"/>
        </w:trPr>
        <w:tc>
          <w:tcPr>
            <w:tcW w:w="1046" w:type="dxa"/>
            <w:shd w:val="clear" w:color="auto" w:fill="FFFFFF"/>
            <w:vAlign w:val="center"/>
          </w:tcPr>
          <w:p w14:paraId="20ED4CD8" w14:textId="3C95478F" w:rsidR="00BF1CBE" w:rsidRPr="009A24E4" w:rsidRDefault="00BF1CBE" w:rsidP="002255B7">
            <w:pPr>
              <w:pStyle w:val="CETBodytext"/>
              <w:ind w:right="-1"/>
              <w:rPr>
                <w:rFonts w:cs="Arial"/>
                <w:sz w:val="16"/>
                <w:szCs w:val="18"/>
                <w:lang w:val="en-GB"/>
              </w:rPr>
            </w:pPr>
            <w:r w:rsidRPr="009A24E4">
              <w:rPr>
                <w:rFonts w:cs="Arial"/>
                <w:sz w:val="16"/>
                <w:szCs w:val="18"/>
                <w:lang w:val="en-GB"/>
              </w:rPr>
              <w:t xml:space="preserve">10 </w:t>
            </w:r>
            <w:r w:rsidR="002255B7">
              <w:rPr>
                <w:rFonts w:cs="Arial"/>
                <w:sz w:val="16"/>
                <w:szCs w:val="18"/>
                <w:lang w:val="en-GB"/>
              </w:rPr>
              <w:t>weeks</w:t>
            </w:r>
          </w:p>
        </w:tc>
        <w:tc>
          <w:tcPr>
            <w:tcW w:w="1128" w:type="dxa"/>
            <w:shd w:val="clear" w:color="auto" w:fill="FFFFFF"/>
            <w:vAlign w:val="center"/>
          </w:tcPr>
          <w:p w14:paraId="67F3A5C3" w14:textId="1F6E2AF5"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38</w:t>
            </w:r>
          </w:p>
        </w:tc>
        <w:tc>
          <w:tcPr>
            <w:tcW w:w="1452" w:type="dxa"/>
            <w:shd w:val="clear" w:color="auto" w:fill="FFFFFF"/>
            <w:vAlign w:val="center"/>
          </w:tcPr>
          <w:p w14:paraId="5AB4451E" w14:textId="29EE00C1"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72</w:t>
            </w:r>
          </w:p>
        </w:tc>
        <w:tc>
          <w:tcPr>
            <w:tcW w:w="1090" w:type="dxa"/>
            <w:shd w:val="clear" w:color="auto" w:fill="FFFFFF"/>
            <w:vAlign w:val="center"/>
          </w:tcPr>
          <w:p w14:paraId="50CC6BD6" w14:textId="1EFD511D"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52.78%</w:t>
            </w:r>
          </w:p>
        </w:tc>
        <w:tc>
          <w:tcPr>
            <w:tcW w:w="1088" w:type="dxa"/>
            <w:shd w:val="clear" w:color="auto" w:fill="FFFFFF"/>
            <w:vAlign w:val="center"/>
          </w:tcPr>
          <w:p w14:paraId="4D51C5B6" w14:textId="75348C40"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88</w:t>
            </w:r>
          </w:p>
        </w:tc>
        <w:tc>
          <w:tcPr>
            <w:tcW w:w="1178" w:type="dxa"/>
            <w:shd w:val="clear" w:color="auto" w:fill="FFFFFF"/>
            <w:vAlign w:val="center"/>
          </w:tcPr>
          <w:p w14:paraId="7BE6B9F7" w14:textId="5990A14E"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164</w:t>
            </w:r>
          </w:p>
        </w:tc>
        <w:tc>
          <w:tcPr>
            <w:tcW w:w="1208" w:type="dxa"/>
            <w:shd w:val="clear" w:color="auto" w:fill="FFFFFF"/>
            <w:vAlign w:val="center"/>
          </w:tcPr>
          <w:p w14:paraId="0EE5F670" w14:textId="66A41125" w:rsidR="00BF1CBE" w:rsidRPr="009A24E4" w:rsidRDefault="00BF1CBE" w:rsidP="0095360C">
            <w:pPr>
              <w:pStyle w:val="CETBodytext"/>
              <w:ind w:right="-1"/>
              <w:jc w:val="center"/>
              <w:rPr>
                <w:rFonts w:cs="Arial"/>
                <w:sz w:val="16"/>
                <w:szCs w:val="18"/>
                <w:lang w:val="en-GB"/>
              </w:rPr>
            </w:pPr>
            <w:r w:rsidRPr="009A24E4">
              <w:rPr>
                <w:rFonts w:cs="Arial"/>
                <w:sz w:val="16"/>
                <w:szCs w:val="18"/>
                <w:lang w:val="en-GB"/>
              </w:rPr>
              <w:t>53.66%</w:t>
            </w:r>
          </w:p>
        </w:tc>
      </w:tr>
    </w:tbl>
    <w:p w14:paraId="4A8DCBC0" w14:textId="77C2C8A8" w:rsidR="00B827FD" w:rsidRPr="002255B7" w:rsidRDefault="0095360C" w:rsidP="00496291">
      <w:pPr>
        <w:pStyle w:val="CETTabletitle"/>
        <w:rPr>
          <w:lang w:val="en-US"/>
        </w:rPr>
      </w:pPr>
      <w:r>
        <w:rPr>
          <w:lang w:val="en-US"/>
        </w:rPr>
        <w:lastRenderedPageBreak/>
        <w:t>Table</w:t>
      </w:r>
      <w:r w:rsidR="00496291" w:rsidRPr="002255B7">
        <w:rPr>
          <w:lang w:val="en-US"/>
        </w:rPr>
        <w:t xml:space="preserve"> </w:t>
      </w:r>
      <w:r w:rsidR="00433470" w:rsidRPr="002255B7">
        <w:rPr>
          <w:lang w:val="en-US"/>
        </w:rPr>
        <w:t>3</w:t>
      </w:r>
      <w:r w:rsidR="00496291" w:rsidRPr="002255B7">
        <w:rPr>
          <w:lang w:val="en-US"/>
        </w:rPr>
        <w:t xml:space="preserve"> </w:t>
      </w:r>
      <w:r w:rsidR="002255B7" w:rsidRPr="002255B7">
        <w:rPr>
          <w:lang w:val="en-US"/>
        </w:rPr>
        <w:t xml:space="preserve">Staff training after </w:t>
      </w:r>
      <w:r w:rsidR="004B6EEA" w:rsidRPr="00A23918">
        <w:rPr>
          <w:lang w:val="en-US"/>
        </w:rPr>
        <w:t>OSHS implementation</w:t>
      </w:r>
    </w:p>
    <w:tbl>
      <w:tblPr>
        <w:tblW w:w="8044"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44"/>
        <w:gridCol w:w="1127"/>
        <w:gridCol w:w="1451"/>
        <w:gridCol w:w="1089"/>
        <w:gridCol w:w="1086"/>
        <w:gridCol w:w="1161"/>
        <w:gridCol w:w="1086"/>
      </w:tblGrid>
      <w:tr w:rsidR="00637BA9" w:rsidRPr="00036968" w14:paraId="23BF8287" w14:textId="77777777" w:rsidTr="001A6C2A">
        <w:trPr>
          <w:trHeight w:val="1315"/>
        </w:trPr>
        <w:tc>
          <w:tcPr>
            <w:tcW w:w="1044" w:type="dxa"/>
            <w:tcBorders>
              <w:top w:val="single" w:sz="12" w:space="0" w:color="008000"/>
              <w:bottom w:val="single" w:sz="6" w:space="0" w:color="008000"/>
            </w:tcBorders>
            <w:shd w:val="clear" w:color="auto" w:fill="FFFFFF"/>
            <w:vAlign w:val="center"/>
          </w:tcPr>
          <w:p w14:paraId="11B586C3" w14:textId="77777777" w:rsidR="00637BA9" w:rsidRPr="009A24E4" w:rsidRDefault="00637BA9" w:rsidP="002255B7">
            <w:pPr>
              <w:pStyle w:val="CETBodytext"/>
              <w:jc w:val="center"/>
              <w:rPr>
                <w:sz w:val="16"/>
                <w:szCs w:val="18"/>
                <w:lang w:val="en-GB"/>
              </w:rPr>
            </w:pPr>
            <w:r w:rsidRPr="009A24E4">
              <w:rPr>
                <w:sz w:val="16"/>
                <w:szCs w:val="18"/>
                <w:lang w:val="en-GB"/>
              </w:rPr>
              <w:t>Ti</w:t>
            </w:r>
            <w:r>
              <w:rPr>
                <w:sz w:val="16"/>
                <w:szCs w:val="18"/>
                <w:lang w:val="en-GB"/>
              </w:rPr>
              <w:t>me</w:t>
            </w:r>
          </w:p>
          <w:p w14:paraId="4927101D" w14:textId="0621E6CE" w:rsidR="00637BA9" w:rsidRPr="009A24E4" w:rsidRDefault="00637BA9" w:rsidP="002255B7">
            <w:pPr>
              <w:pStyle w:val="CETBodytext"/>
              <w:jc w:val="center"/>
              <w:rPr>
                <w:sz w:val="16"/>
                <w:szCs w:val="18"/>
                <w:lang w:val="en-GB"/>
              </w:rPr>
            </w:pPr>
            <w:r w:rsidRPr="009A24E4">
              <w:rPr>
                <w:sz w:val="16"/>
                <w:szCs w:val="18"/>
                <w:lang w:val="en-GB"/>
              </w:rPr>
              <w:t xml:space="preserve"> (</w:t>
            </w:r>
            <w:r>
              <w:rPr>
                <w:sz w:val="16"/>
                <w:szCs w:val="18"/>
                <w:lang w:val="en-GB"/>
              </w:rPr>
              <w:t>February</w:t>
            </w:r>
            <w:r w:rsidRPr="009A24E4">
              <w:rPr>
                <w:sz w:val="16"/>
                <w:szCs w:val="18"/>
                <w:lang w:val="en-GB"/>
              </w:rPr>
              <w:t xml:space="preserve"> </w:t>
            </w:r>
            <w:r>
              <w:rPr>
                <w:sz w:val="16"/>
                <w:szCs w:val="18"/>
                <w:lang w:val="en-GB"/>
              </w:rPr>
              <w:t>to  Ap</w:t>
            </w:r>
            <w:r w:rsidRPr="009A24E4">
              <w:rPr>
                <w:sz w:val="16"/>
                <w:szCs w:val="18"/>
                <w:lang w:val="en-GB"/>
              </w:rPr>
              <w:t>ril)</w:t>
            </w:r>
          </w:p>
        </w:tc>
        <w:tc>
          <w:tcPr>
            <w:tcW w:w="1127" w:type="dxa"/>
            <w:tcBorders>
              <w:top w:val="single" w:sz="12" w:space="0" w:color="008000"/>
              <w:bottom w:val="single" w:sz="6" w:space="0" w:color="008000"/>
            </w:tcBorders>
            <w:shd w:val="clear" w:color="auto" w:fill="FFFFFF"/>
            <w:vAlign w:val="center"/>
          </w:tcPr>
          <w:p w14:paraId="7AA2157A" w14:textId="2CFEDC19" w:rsidR="00637BA9" w:rsidRPr="009A24E4" w:rsidRDefault="00637BA9" w:rsidP="0095360C">
            <w:pPr>
              <w:pStyle w:val="CETBodytext"/>
              <w:ind w:right="-1"/>
              <w:jc w:val="center"/>
              <w:rPr>
                <w:rFonts w:cs="Arial"/>
                <w:sz w:val="16"/>
                <w:szCs w:val="18"/>
                <w:lang w:val="en-GB"/>
              </w:rPr>
            </w:pPr>
            <w:r w:rsidRPr="002255B7">
              <w:rPr>
                <w:rFonts w:cs="Arial"/>
                <w:sz w:val="16"/>
                <w:szCs w:val="18"/>
                <w:lang w:val="en-GB"/>
              </w:rPr>
              <w:t>Number of partners trained</w:t>
            </w:r>
          </w:p>
        </w:tc>
        <w:tc>
          <w:tcPr>
            <w:tcW w:w="1451" w:type="dxa"/>
            <w:tcBorders>
              <w:top w:val="single" w:sz="12" w:space="0" w:color="008000"/>
              <w:bottom w:val="single" w:sz="6" w:space="0" w:color="008000"/>
            </w:tcBorders>
            <w:shd w:val="clear" w:color="auto" w:fill="FFFFFF"/>
            <w:vAlign w:val="center"/>
          </w:tcPr>
          <w:p w14:paraId="371EED92" w14:textId="0563B6CB" w:rsidR="00637BA9" w:rsidRPr="002255B7" w:rsidRDefault="00637BA9" w:rsidP="0095360C">
            <w:pPr>
              <w:pStyle w:val="CETBodytext"/>
              <w:ind w:right="-1"/>
              <w:jc w:val="center"/>
              <w:rPr>
                <w:rFonts w:cs="Arial"/>
                <w:sz w:val="16"/>
                <w:szCs w:val="18"/>
              </w:rPr>
            </w:pPr>
            <w:r w:rsidRPr="002255B7">
              <w:rPr>
                <w:rFonts w:cs="Arial"/>
                <w:sz w:val="16"/>
                <w:szCs w:val="18"/>
              </w:rPr>
              <w:t>Number of partners programmed for training</w:t>
            </w:r>
          </w:p>
        </w:tc>
        <w:tc>
          <w:tcPr>
            <w:tcW w:w="1089" w:type="dxa"/>
            <w:tcBorders>
              <w:top w:val="single" w:sz="12" w:space="0" w:color="008000"/>
              <w:bottom w:val="single" w:sz="6" w:space="0" w:color="008000"/>
            </w:tcBorders>
            <w:shd w:val="clear" w:color="auto" w:fill="FFFFFF"/>
            <w:vAlign w:val="center"/>
          </w:tcPr>
          <w:p w14:paraId="388CC472" w14:textId="39D58AD5" w:rsidR="00637BA9" w:rsidRPr="009A24E4" w:rsidRDefault="00637BA9" w:rsidP="0095360C">
            <w:pPr>
              <w:pStyle w:val="CETBodytext"/>
              <w:ind w:right="-1"/>
              <w:jc w:val="center"/>
              <w:rPr>
                <w:rFonts w:cs="Arial"/>
                <w:sz w:val="16"/>
                <w:szCs w:val="18"/>
                <w:lang w:val="en-GB"/>
              </w:rPr>
            </w:pPr>
            <w:r w:rsidRPr="00EA771A">
              <w:rPr>
                <w:rFonts w:cs="Arial"/>
                <w:sz w:val="16"/>
                <w:szCs w:val="18"/>
                <w:lang w:val="en-GB"/>
              </w:rPr>
              <w:t>Training rate</w:t>
            </w:r>
          </w:p>
        </w:tc>
        <w:tc>
          <w:tcPr>
            <w:tcW w:w="1086" w:type="dxa"/>
            <w:tcBorders>
              <w:top w:val="single" w:sz="12" w:space="0" w:color="008000"/>
              <w:bottom w:val="single" w:sz="6" w:space="0" w:color="008000"/>
            </w:tcBorders>
            <w:shd w:val="clear" w:color="auto" w:fill="FFFFFF"/>
            <w:vAlign w:val="center"/>
          </w:tcPr>
          <w:p w14:paraId="0B590B0E" w14:textId="07CEA2B1" w:rsidR="00637BA9" w:rsidRPr="009A24E4" w:rsidRDefault="00637BA9" w:rsidP="0095360C">
            <w:pPr>
              <w:pStyle w:val="CETBodytext"/>
              <w:ind w:right="-1"/>
              <w:jc w:val="center"/>
              <w:rPr>
                <w:rFonts w:cs="Arial"/>
                <w:sz w:val="16"/>
                <w:szCs w:val="18"/>
                <w:lang w:val="en-GB"/>
              </w:rPr>
            </w:pPr>
            <w:r>
              <w:rPr>
                <w:rFonts w:cs="Arial"/>
                <w:sz w:val="16"/>
                <w:szCs w:val="18"/>
                <w:lang w:val="en-GB"/>
              </w:rPr>
              <w:t>Training hours</w:t>
            </w:r>
          </w:p>
        </w:tc>
        <w:tc>
          <w:tcPr>
            <w:tcW w:w="1161" w:type="dxa"/>
            <w:tcBorders>
              <w:top w:val="single" w:sz="12" w:space="0" w:color="008000"/>
              <w:bottom w:val="single" w:sz="6" w:space="0" w:color="008000"/>
            </w:tcBorders>
            <w:shd w:val="clear" w:color="auto" w:fill="FFFFFF"/>
            <w:vAlign w:val="center"/>
          </w:tcPr>
          <w:p w14:paraId="7209D00E" w14:textId="4C10FF17" w:rsidR="00637BA9" w:rsidRPr="009A24E4" w:rsidRDefault="00637BA9" w:rsidP="0095360C">
            <w:pPr>
              <w:pStyle w:val="CETBodytext"/>
              <w:ind w:right="-1"/>
              <w:jc w:val="center"/>
              <w:rPr>
                <w:rFonts w:cs="Arial"/>
                <w:sz w:val="16"/>
                <w:szCs w:val="18"/>
                <w:lang w:val="en-GB"/>
              </w:rPr>
            </w:pPr>
            <w:r w:rsidRPr="002255B7">
              <w:rPr>
                <w:sz w:val="16"/>
                <w:szCs w:val="18"/>
                <w:lang w:val="en-GB"/>
              </w:rPr>
              <w:t>Scheduled hours of training</w:t>
            </w:r>
          </w:p>
        </w:tc>
        <w:tc>
          <w:tcPr>
            <w:tcW w:w="1086" w:type="dxa"/>
            <w:tcBorders>
              <w:top w:val="single" w:sz="12" w:space="0" w:color="008000"/>
              <w:bottom w:val="single" w:sz="6" w:space="0" w:color="008000"/>
            </w:tcBorders>
            <w:shd w:val="clear" w:color="auto" w:fill="FFFFFF"/>
            <w:vAlign w:val="center"/>
          </w:tcPr>
          <w:p w14:paraId="7D7F9D39" w14:textId="61D1E39C" w:rsidR="00637BA9" w:rsidRPr="009A24E4" w:rsidRDefault="00637BA9" w:rsidP="0095360C">
            <w:pPr>
              <w:pStyle w:val="CETBodytext"/>
              <w:ind w:right="-1"/>
              <w:jc w:val="center"/>
              <w:rPr>
                <w:rFonts w:cs="Arial"/>
                <w:sz w:val="16"/>
                <w:szCs w:val="18"/>
                <w:lang w:val="es-PE"/>
              </w:rPr>
            </w:pPr>
            <w:r>
              <w:rPr>
                <w:rFonts w:cs="Arial"/>
                <w:sz w:val="16"/>
                <w:szCs w:val="18"/>
                <w:lang w:val="es-PE"/>
              </w:rPr>
              <w:t>Training H</w:t>
            </w:r>
            <w:r w:rsidRPr="009A24E4">
              <w:rPr>
                <w:rFonts w:cs="Arial"/>
                <w:sz w:val="16"/>
                <w:szCs w:val="18"/>
                <w:lang w:val="es-PE"/>
              </w:rPr>
              <w:t>o</w:t>
            </w:r>
            <w:r>
              <w:rPr>
                <w:rFonts w:cs="Arial"/>
                <w:sz w:val="16"/>
                <w:szCs w:val="18"/>
                <w:lang w:val="es-PE"/>
              </w:rPr>
              <w:t>urs rate</w:t>
            </w:r>
          </w:p>
        </w:tc>
      </w:tr>
      <w:tr w:rsidR="00637BA9" w:rsidRPr="009A24E4" w14:paraId="6833CDC9" w14:textId="77777777" w:rsidTr="001A6C2A">
        <w:trPr>
          <w:trHeight w:val="694"/>
        </w:trPr>
        <w:tc>
          <w:tcPr>
            <w:tcW w:w="1044" w:type="dxa"/>
            <w:shd w:val="clear" w:color="auto" w:fill="FFFFFF"/>
            <w:vAlign w:val="center"/>
          </w:tcPr>
          <w:p w14:paraId="04FF4166" w14:textId="5EE15747" w:rsidR="00637BA9" w:rsidRPr="009A24E4" w:rsidRDefault="00637BA9" w:rsidP="0095360C">
            <w:pPr>
              <w:pStyle w:val="CETBodytext"/>
              <w:ind w:right="-1"/>
              <w:rPr>
                <w:rFonts w:cs="Arial"/>
                <w:sz w:val="16"/>
                <w:szCs w:val="18"/>
                <w:lang w:val="en-GB"/>
              </w:rPr>
            </w:pPr>
            <w:r>
              <w:rPr>
                <w:rFonts w:cs="Arial"/>
                <w:sz w:val="16"/>
                <w:szCs w:val="18"/>
                <w:lang w:val="en-GB"/>
              </w:rPr>
              <w:t>10 weeks</w:t>
            </w:r>
          </w:p>
        </w:tc>
        <w:tc>
          <w:tcPr>
            <w:tcW w:w="1127" w:type="dxa"/>
            <w:shd w:val="clear" w:color="auto" w:fill="FFFFFF"/>
            <w:vAlign w:val="center"/>
          </w:tcPr>
          <w:p w14:paraId="4F7C9D0D" w14:textId="44B8DE59"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81</w:t>
            </w:r>
          </w:p>
        </w:tc>
        <w:tc>
          <w:tcPr>
            <w:tcW w:w="1451" w:type="dxa"/>
            <w:shd w:val="clear" w:color="auto" w:fill="FFFFFF"/>
            <w:vAlign w:val="center"/>
          </w:tcPr>
          <w:p w14:paraId="7AA1E1FF" w14:textId="5D8F997B"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84</w:t>
            </w:r>
          </w:p>
        </w:tc>
        <w:tc>
          <w:tcPr>
            <w:tcW w:w="1089" w:type="dxa"/>
            <w:shd w:val="clear" w:color="auto" w:fill="FFFFFF"/>
            <w:vAlign w:val="center"/>
          </w:tcPr>
          <w:p w14:paraId="2F67F185" w14:textId="7D189BFF"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96.43%</w:t>
            </w:r>
          </w:p>
        </w:tc>
        <w:tc>
          <w:tcPr>
            <w:tcW w:w="1086" w:type="dxa"/>
            <w:shd w:val="clear" w:color="auto" w:fill="FFFFFF"/>
            <w:vAlign w:val="center"/>
          </w:tcPr>
          <w:p w14:paraId="41A934C9" w14:textId="5A2FEE83"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180</w:t>
            </w:r>
          </w:p>
        </w:tc>
        <w:tc>
          <w:tcPr>
            <w:tcW w:w="1161" w:type="dxa"/>
            <w:shd w:val="clear" w:color="auto" w:fill="FFFFFF"/>
            <w:vAlign w:val="center"/>
          </w:tcPr>
          <w:p w14:paraId="135AE913" w14:textId="377F89B5"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186</w:t>
            </w:r>
          </w:p>
        </w:tc>
        <w:tc>
          <w:tcPr>
            <w:tcW w:w="1086" w:type="dxa"/>
            <w:shd w:val="clear" w:color="auto" w:fill="FFFFFF"/>
            <w:vAlign w:val="center"/>
          </w:tcPr>
          <w:p w14:paraId="21AC4084" w14:textId="1BE41BB5" w:rsidR="00637BA9" w:rsidRPr="009A24E4" w:rsidRDefault="00637BA9" w:rsidP="0095360C">
            <w:pPr>
              <w:pStyle w:val="CETBodytext"/>
              <w:ind w:right="-1"/>
              <w:jc w:val="center"/>
              <w:rPr>
                <w:rFonts w:cs="Arial"/>
                <w:sz w:val="16"/>
                <w:szCs w:val="18"/>
                <w:lang w:val="en-GB"/>
              </w:rPr>
            </w:pPr>
            <w:r w:rsidRPr="009A24E4">
              <w:rPr>
                <w:rFonts w:cs="Arial"/>
                <w:sz w:val="16"/>
                <w:szCs w:val="18"/>
                <w:lang w:val="en-GB"/>
              </w:rPr>
              <w:t>96.77%</w:t>
            </w:r>
          </w:p>
        </w:tc>
      </w:tr>
    </w:tbl>
    <w:p w14:paraId="055E3BF2" w14:textId="77777777" w:rsidR="00433470" w:rsidRDefault="00433470" w:rsidP="00433470">
      <w:pPr>
        <w:pStyle w:val="CETListbullets"/>
        <w:ind w:left="360" w:firstLine="0"/>
      </w:pPr>
    </w:p>
    <w:p w14:paraId="0D3031D6" w14:textId="5903ECD4" w:rsidR="00B827FD" w:rsidRDefault="004E55E0" w:rsidP="004E55E0">
      <w:pPr>
        <w:pStyle w:val="CETListbullets"/>
        <w:numPr>
          <w:ilvl w:val="0"/>
          <w:numId w:val="27"/>
        </w:numPr>
      </w:pPr>
      <w:r w:rsidRPr="004E55E0">
        <w:t>Inspections and Monitoring</w:t>
      </w:r>
    </w:p>
    <w:p w14:paraId="06A1674C" w14:textId="77777777" w:rsidR="00406EB8" w:rsidRDefault="00406EB8" w:rsidP="00406EB8">
      <w:pPr>
        <w:pStyle w:val="CETListbullets"/>
        <w:ind w:left="0" w:firstLine="0"/>
      </w:pPr>
    </w:p>
    <w:p w14:paraId="154F9174" w14:textId="247E39CE" w:rsidR="004E55E0" w:rsidRDefault="00406EB8" w:rsidP="00600535">
      <w:pPr>
        <w:pStyle w:val="CETBodytext"/>
      </w:pPr>
      <w:r>
        <w:t>I</w:t>
      </w:r>
      <w:r w:rsidR="004E55E0" w:rsidRPr="004E55E0">
        <w:t xml:space="preserve">nspections were scheduled to verify compliance with </w:t>
      </w:r>
      <w:r w:rsidR="00A23918" w:rsidRPr="00A23918">
        <w:t xml:space="preserve">OSHS </w:t>
      </w:r>
      <w:r w:rsidR="004E55E0" w:rsidRPr="00A23918">
        <w:t xml:space="preserve">-mandated activities. Table 4 shows the results of compliance with inspections and monitoring carried out in the 10 weeks before and then in the 10 weeks after the implementation of the </w:t>
      </w:r>
      <w:r w:rsidR="00A23918" w:rsidRPr="00A23918">
        <w:t>OSHS</w:t>
      </w:r>
      <w:r w:rsidR="004E55E0" w:rsidRPr="00A23918">
        <w:t>. The comparison indicates that an improvement in this aspect was obtained of 59.71% before to 97.44% after.</w:t>
      </w:r>
    </w:p>
    <w:p w14:paraId="51E0CC7B" w14:textId="79047FC2" w:rsidR="004E55E0" w:rsidRDefault="004E55E0" w:rsidP="00600535">
      <w:pPr>
        <w:pStyle w:val="CETBodytext"/>
      </w:pPr>
    </w:p>
    <w:p w14:paraId="56E391E7" w14:textId="728D1A18" w:rsidR="00433470" w:rsidRDefault="004E55E0" w:rsidP="00433470">
      <w:pPr>
        <w:pStyle w:val="CETListbullets"/>
        <w:numPr>
          <w:ilvl w:val="0"/>
          <w:numId w:val="27"/>
        </w:numPr>
      </w:pPr>
      <w:r>
        <w:t>Audit</w:t>
      </w:r>
    </w:p>
    <w:p w14:paraId="746914C8" w14:textId="7C60AD9B" w:rsidR="004E55E0" w:rsidRDefault="004E55E0" w:rsidP="002A37F3">
      <w:pPr>
        <w:pStyle w:val="CETTabletitle"/>
        <w:rPr>
          <w:i w:val="0"/>
          <w:lang w:val="en-US"/>
        </w:rPr>
      </w:pPr>
      <w:r w:rsidRPr="004E55E0">
        <w:rPr>
          <w:i w:val="0"/>
          <w:lang w:val="en-US"/>
        </w:rPr>
        <w:t>Internal audit is an essential activity in a</w:t>
      </w:r>
      <w:r w:rsidR="00A23918">
        <w:rPr>
          <w:i w:val="0"/>
          <w:lang w:val="en-US"/>
        </w:rPr>
        <w:t>n</w:t>
      </w:r>
      <w:r w:rsidRPr="004E55E0">
        <w:rPr>
          <w:i w:val="0"/>
          <w:lang w:val="en-US"/>
        </w:rPr>
        <w:t xml:space="preserve"> </w:t>
      </w:r>
      <w:r w:rsidR="00A23918" w:rsidRPr="00A23918">
        <w:rPr>
          <w:lang w:val="en-US"/>
        </w:rPr>
        <w:t>OSHS</w:t>
      </w:r>
      <w:r w:rsidRPr="00A23918">
        <w:rPr>
          <w:i w:val="0"/>
          <w:lang w:val="en-US"/>
        </w:rPr>
        <w:t>. Table 4 shows the level of compliance in 10 weeks before with 33.33% and after the implementation of the SGSST</w:t>
      </w:r>
      <w:r w:rsidRPr="004E55E0">
        <w:rPr>
          <w:i w:val="0"/>
          <w:lang w:val="en-US"/>
        </w:rPr>
        <w:t xml:space="preserve"> with 100%.</w:t>
      </w:r>
    </w:p>
    <w:p w14:paraId="79024630" w14:textId="5263EFAC" w:rsidR="002A37F3" w:rsidRPr="00305734" w:rsidRDefault="002A37F3" w:rsidP="002A37F3">
      <w:pPr>
        <w:pStyle w:val="CETTabletitle"/>
        <w:rPr>
          <w:lang w:val="en-US"/>
        </w:rPr>
      </w:pPr>
      <w:r w:rsidRPr="00305734">
        <w:rPr>
          <w:lang w:val="en-US"/>
        </w:rPr>
        <w:t>Tabl</w:t>
      </w:r>
      <w:r w:rsidR="00305734">
        <w:rPr>
          <w:lang w:val="en-US"/>
        </w:rPr>
        <w:t>e</w:t>
      </w:r>
      <w:r w:rsidRPr="00305734">
        <w:rPr>
          <w:lang w:val="en-US"/>
        </w:rPr>
        <w:t xml:space="preserve"> </w:t>
      </w:r>
      <w:r w:rsidR="00433470" w:rsidRPr="00305734">
        <w:rPr>
          <w:lang w:val="en-US"/>
        </w:rPr>
        <w:t>4</w:t>
      </w:r>
      <w:r w:rsidRPr="00305734">
        <w:rPr>
          <w:lang w:val="en-US"/>
        </w:rPr>
        <w:t xml:space="preserve"> </w:t>
      </w:r>
      <w:r w:rsidR="00305734" w:rsidRPr="00305734">
        <w:rPr>
          <w:lang w:val="en-US"/>
        </w:rPr>
        <w:t xml:space="preserve">Comparison of inspection compliance and monitoring and Audits before and after implementation of the </w:t>
      </w:r>
      <w:r w:rsidR="00A23918" w:rsidRPr="00973665">
        <w:rPr>
          <w:lang w:val="en-US"/>
        </w:rPr>
        <w:t>OSHS</w:t>
      </w:r>
      <w:r w:rsidR="00A23918" w:rsidRPr="00406EB8">
        <w:rPr>
          <w:highlight w:val="green"/>
          <w:lang w:val="en-US"/>
        </w:rPr>
        <w:t xml:space="preserve"> </w:t>
      </w:r>
    </w:p>
    <w:tbl>
      <w:tblPr>
        <w:tblW w:w="873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96"/>
        <w:gridCol w:w="665"/>
        <w:gridCol w:w="812"/>
        <w:gridCol w:w="986"/>
        <w:gridCol w:w="1123"/>
        <w:gridCol w:w="726"/>
        <w:gridCol w:w="812"/>
        <w:gridCol w:w="986"/>
        <w:gridCol w:w="929"/>
      </w:tblGrid>
      <w:tr w:rsidR="00305734" w:rsidRPr="003839D1" w14:paraId="28134603" w14:textId="77777777" w:rsidTr="007F3250">
        <w:trPr>
          <w:trHeight w:val="438"/>
        </w:trPr>
        <w:tc>
          <w:tcPr>
            <w:tcW w:w="1696" w:type="dxa"/>
            <w:tcBorders>
              <w:top w:val="single" w:sz="12" w:space="0" w:color="008000"/>
              <w:bottom w:val="single" w:sz="6" w:space="0" w:color="008000"/>
            </w:tcBorders>
            <w:shd w:val="clear" w:color="auto" w:fill="FFFFFF"/>
          </w:tcPr>
          <w:p w14:paraId="3E5F3B83" w14:textId="77777777" w:rsidR="00305734" w:rsidRPr="003839D1" w:rsidRDefault="00305734" w:rsidP="0095360C">
            <w:pPr>
              <w:pStyle w:val="CETBodytext"/>
              <w:ind w:right="-1"/>
              <w:jc w:val="center"/>
              <w:rPr>
                <w:rFonts w:cs="Arial"/>
                <w:sz w:val="16"/>
                <w:szCs w:val="16"/>
              </w:rPr>
            </w:pPr>
          </w:p>
        </w:tc>
        <w:tc>
          <w:tcPr>
            <w:tcW w:w="3586" w:type="dxa"/>
            <w:gridSpan w:val="4"/>
            <w:tcBorders>
              <w:top w:val="single" w:sz="12" w:space="0" w:color="008000"/>
              <w:bottom w:val="single" w:sz="6" w:space="0" w:color="008000"/>
            </w:tcBorders>
            <w:shd w:val="clear" w:color="auto" w:fill="FFFFFF"/>
          </w:tcPr>
          <w:p w14:paraId="40CD92C0" w14:textId="77777777" w:rsidR="00305734" w:rsidRPr="003839D1" w:rsidRDefault="00305734" w:rsidP="0095360C">
            <w:pPr>
              <w:pStyle w:val="CETBodytext"/>
              <w:ind w:right="-1"/>
              <w:jc w:val="center"/>
              <w:rPr>
                <w:rFonts w:cs="Arial"/>
                <w:sz w:val="16"/>
                <w:szCs w:val="16"/>
              </w:rPr>
            </w:pPr>
            <w:r w:rsidRPr="003839D1">
              <w:rPr>
                <w:rFonts w:cs="Arial"/>
                <w:sz w:val="16"/>
                <w:szCs w:val="16"/>
              </w:rPr>
              <w:t>Before</w:t>
            </w:r>
          </w:p>
          <w:p w14:paraId="152FA7BF" w14:textId="2983B428" w:rsidR="00305734" w:rsidRPr="003839D1" w:rsidRDefault="00305734" w:rsidP="0095360C">
            <w:pPr>
              <w:pStyle w:val="CETBodytext"/>
              <w:ind w:right="-1"/>
              <w:jc w:val="center"/>
              <w:rPr>
                <w:rFonts w:cs="Arial"/>
                <w:sz w:val="16"/>
                <w:szCs w:val="16"/>
              </w:rPr>
            </w:pPr>
            <w:r w:rsidRPr="003839D1">
              <w:rPr>
                <w:rFonts w:cs="Arial"/>
                <w:sz w:val="16"/>
                <w:szCs w:val="16"/>
              </w:rPr>
              <w:t xml:space="preserve"> (</w:t>
            </w:r>
            <w:r w:rsidRPr="003839D1">
              <w:rPr>
                <w:sz w:val="16"/>
                <w:szCs w:val="16"/>
              </w:rPr>
              <w:t>August, September, October, November 2017)</w:t>
            </w:r>
          </w:p>
        </w:tc>
        <w:tc>
          <w:tcPr>
            <w:tcW w:w="3453" w:type="dxa"/>
            <w:gridSpan w:val="4"/>
            <w:tcBorders>
              <w:top w:val="single" w:sz="12" w:space="0" w:color="008000"/>
              <w:bottom w:val="single" w:sz="6" w:space="0" w:color="008000"/>
            </w:tcBorders>
            <w:shd w:val="clear" w:color="auto" w:fill="FFFFFF"/>
          </w:tcPr>
          <w:p w14:paraId="59DA8204" w14:textId="77777777" w:rsidR="00305734" w:rsidRPr="003839D1" w:rsidRDefault="00305734" w:rsidP="0095360C">
            <w:pPr>
              <w:pStyle w:val="CETBodytext"/>
              <w:ind w:right="-1"/>
              <w:jc w:val="center"/>
              <w:rPr>
                <w:rFonts w:cs="Arial"/>
                <w:sz w:val="16"/>
                <w:szCs w:val="16"/>
              </w:rPr>
            </w:pPr>
            <w:r w:rsidRPr="003839D1">
              <w:rPr>
                <w:rFonts w:cs="Arial"/>
                <w:sz w:val="16"/>
                <w:szCs w:val="16"/>
              </w:rPr>
              <w:t>After</w:t>
            </w:r>
          </w:p>
          <w:p w14:paraId="0792DC1F" w14:textId="2EBAB024" w:rsidR="00305734" w:rsidRPr="003839D1" w:rsidRDefault="00305734" w:rsidP="0095360C">
            <w:pPr>
              <w:pStyle w:val="CETBodytext"/>
              <w:ind w:right="-1"/>
              <w:jc w:val="center"/>
              <w:rPr>
                <w:rFonts w:cs="Arial"/>
                <w:sz w:val="16"/>
                <w:szCs w:val="16"/>
              </w:rPr>
            </w:pPr>
            <w:r w:rsidRPr="003839D1">
              <w:rPr>
                <w:rFonts w:cs="Arial"/>
                <w:sz w:val="16"/>
                <w:szCs w:val="16"/>
              </w:rPr>
              <w:t>(February, March, April 2018)</w:t>
            </w:r>
          </w:p>
        </w:tc>
      </w:tr>
      <w:tr w:rsidR="00305734" w:rsidRPr="003839D1" w14:paraId="1C6ACC77" w14:textId="77777777" w:rsidTr="007F3250">
        <w:trPr>
          <w:trHeight w:val="831"/>
        </w:trPr>
        <w:tc>
          <w:tcPr>
            <w:tcW w:w="1696" w:type="dxa"/>
            <w:tcBorders>
              <w:top w:val="single" w:sz="12" w:space="0" w:color="008000"/>
              <w:bottom w:val="single" w:sz="6" w:space="0" w:color="008000"/>
            </w:tcBorders>
            <w:shd w:val="clear" w:color="auto" w:fill="FFFFFF"/>
          </w:tcPr>
          <w:p w14:paraId="0671B623" w14:textId="582DF036" w:rsidR="00305734" w:rsidRPr="003839D1" w:rsidRDefault="00F8364C" w:rsidP="0095360C">
            <w:pPr>
              <w:pStyle w:val="CETBodytext"/>
              <w:jc w:val="center"/>
              <w:rPr>
                <w:sz w:val="16"/>
                <w:szCs w:val="16"/>
              </w:rPr>
            </w:pPr>
            <w:r>
              <w:rPr>
                <w:sz w:val="16"/>
                <w:szCs w:val="16"/>
              </w:rPr>
              <w:t>Dimension</w:t>
            </w:r>
            <w:r w:rsidR="00305734" w:rsidRPr="003839D1">
              <w:rPr>
                <w:sz w:val="16"/>
                <w:szCs w:val="16"/>
              </w:rPr>
              <w:t>s del SGSST</w:t>
            </w:r>
          </w:p>
        </w:tc>
        <w:tc>
          <w:tcPr>
            <w:tcW w:w="665" w:type="dxa"/>
            <w:tcBorders>
              <w:top w:val="single" w:sz="12" w:space="0" w:color="008000"/>
              <w:bottom w:val="single" w:sz="6" w:space="0" w:color="008000"/>
            </w:tcBorders>
            <w:shd w:val="clear" w:color="auto" w:fill="FFFFFF"/>
            <w:vAlign w:val="center"/>
          </w:tcPr>
          <w:p w14:paraId="53651669" w14:textId="561423D9" w:rsidR="00305734" w:rsidRPr="003839D1" w:rsidRDefault="00305734" w:rsidP="0095360C">
            <w:pPr>
              <w:pStyle w:val="CETBodytext"/>
              <w:jc w:val="center"/>
              <w:rPr>
                <w:sz w:val="16"/>
                <w:szCs w:val="16"/>
              </w:rPr>
            </w:pPr>
            <w:r w:rsidRPr="003839D1">
              <w:rPr>
                <w:sz w:val="16"/>
                <w:szCs w:val="16"/>
              </w:rPr>
              <w:t>Weeks</w:t>
            </w:r>
          </w:p>
        </w:tc>
        <w:tc>
          <w:tcPr>
            <w:tcW w:w="812" w:type="dxa"/>
            <w:tcBorders>
              <w:top w:val="single" w:sz="12" w:space="0" w:color="008000"/>
              <w:bottom w:val="single" w:sz="6" w:space="0" w:color="008000"/>
            </w:tcBorders>
            <w:shd w:val="clear" w:color="auto" w:fill="FFFFFF"/>
            <w:vAlign w:val="center"/>
          </w:tcPr>
          <w:p w14:paraId="68198EBD" w14:textId="7853251C" w:rsidR="00305734" w:rsidRPr="003839D1" w:rsidRDefault="00305734" w:rsidP="0095360C">
            <w:pPr>
              <w:pStyle w:val="CETBodytext"/>
              <w:jc w:val="center"/>
              <w:rPr>
                <w:sz w:val="16"/>
                <w:szCs w:val="16"/>
              </w:rPr>
            </w:pPr>
            <w:r w:rsidRPr="003839D1">
              <w:rPr>
                <w:sz w:val="16"/>
                <w:szCs w:val="16"/>
              </w:rPr>
              <w:t>Made (</w:t>
            </w:r>
            <w:r w:rsidR="00296FF7">
              <w:rPr>
                <w:sz w:val="16"/>
                <w:szCs w:val="16"/>
              </w:rPr>
              <w:t>amount</w:t>
            </w:r>
            <w:r w:rsidRPr="003839D1">
              <w:rPr>
                <w:sz w:val="16"/>
                <w:szCs w:val="16"/>
              </w:rPr>
              <w:t>)</w:t>
            </w:r>
          </w:p>
        </w:tc>
        <w:tc>
          <w:tcPr>
            <w:tcW w:w="986" w:type="dxa"/>
            <w:tcBorders>
              <w:top w:val="single" w:sz="12" w:space="0" w:color="008000"/>
              <w:bottom w:val="single" w:sz="6" w:space="0" w:color="008000"/>
            </w:tcBorders>
            <w:shd w:val="clear" w:color="auto" w:fill="FFFFFF"/>
            <w:vAlign w:val="center"/>
          </w:tcPr>
          <w:p w14:paraId="3785C546" w14:textId="1290013D" w:rsidR="00305734" w:rsidRPr="003839D1" w:rsidRDefault="00305734" w:rsidP="0095360C">
            <w:pPr>
              <w:pStyle w:val="CETBodytext"/>
              <w:ind w:right="-1"/>
              <w:jc w:val="center"/>
              <w:rPr>
                <w:rFonts w:cs="Arial"/>
                <w:sz w:val="16"/>
                <w:szCs w:val="16"/>
              </w:rPr>
            </w:pPr>
            <w:r w:rsidRPr="003839D1">
              <w:rPr>
                <w:rFonts w:cs="Arial"/>
                <w:sz w:val="16"/>
                <w:szCs w:val="16"/>
              </w:rPr>
              <w:t>Planned (</w:t>
            </w:r>
            <w:r w:rsidR="00296FF7">
              <w:rPr>
                <w:sz w:val="16"/>
                <w:szCs w:val="16"/>
              </w:rPr>
              <w:t>amount</w:t>
            </w:r>
            <w:r w:rsidRPr="003839D1">
              <w:rPr>
                <w:rFonts w:cs="Arial"/>
                <w:sz w:val="16"/>
                <w:szCs w:val="16"/>
              </w:rPr>
              <w:t>)</w:t>
            </w:r>
          </w:p>
        </w:tc>
        <w:tc>
          <w:tcPr>
            <w:tcW w:w="1122" w:type="dxa"/>
            <w:tcBorders>
              <w:top w:val="single" w:sz="12" w:space="0" w:color="008000"/>
              <w:bottom w:val="single" w:sz="6" w:space="0" w:color="008000"/>
            </w:tcBorders>
            <w:shd w:val="clear" w:color="auto" w:fill="FFFFFF"/>
            <w:vAlign w:val="center"/>
          </w:tcPr>
          <w:p w14:paraId="21EDD564" w14:textId="1C2B3C32" w:rsidR="00305734" w:rsidRPr="003839D1" w:rsidRDefault="00305734" w:rsidP="00305734">
            <w:pPr>
              <w:pStyle w:val="CETBodytext"/>
              <w:ind w:right="-1"/>
              <w:jc w:val="center"/>
              <w:rPr>
                <w:rFonts w:cs="Arial"/>
                <w:sz w:val="16"/>
                <w:szCs w:val="16"/>
              </w:rPr>
            </w:pPr>
            <w:r w:rsidRPr="003839D1">
              <w:rPr>
                <w:rFonts w:cs="Arial"/>
                <w:sz w:val="16"/>
                <w:szCs w:val="16"/>
              </w:rPr>
              <w:t>Indicator</w:t>
            </w:r>
            <w:r w:rsidR="00E812EB">
              <w:rPr>
                <w:rFonts w:cs="Arial"/>
                <w:sz w:val="16"/>
                <w:szCs w:val="16"/>
              </w:rPr>
              <w:t>’</w:t>
            </w:r>
            <w:r w:rsidRPr="003839D1">
              <w:rPr>
                <w:rFonts w:cs="Arial"/>
                <w:sz w:val="16"/>
                <w:szCs w:val="16"/>
              </w:rPr>
              <w:t>s compliance</w:t>
            </w:r>
          </w:p>
        </w:tc>
        <w:tc>
          <w:tcPr>
            <w:tcW w:w="726" w:type="dxa"/>
            <w:tcBorders>
              <w:top w:val="single" w:sz="12" w:space="0" w:color="008000"/>
              <w:bottom w:val="single" w:sz="6" w:space="0" w:color="008000"/>
            </w:tcBorders>
            <w:shd w:val="clear" w:color="auto" w:fill="FFFFFF"/>
            <w:vAlign w:val="center"/>
          </w:tcPr>
          <w:p w14:paraId="3C201154" w14:textId="2ABB6C40" w:rsidR="00305734" w:rsidRPr="003839D1" w:rsidRDefault="00305734" w:rsidP="0095360C">
            <w:pPr>
              <w:pStyle w:val="CETBodytext"/>
              <w:ind w:right="-1"/>
              <w:jc w:val="center"/>
              <w:rPr>
                <w:rFonts w:cs="Arial"/>
                <w:sz w:val="16"/>
                <w:szCs w:val="16"/>
              </w:rPr>
            </w:pPr>
            <w:r w:rsidRPr="003839D1">
              <w:rPr>
                <w:sz w:val="16"/>
                <w:szCs w:val="16"/>
              </w:rPr>
              <w:t>Weeks</w:t>
            </w:r>
          </w:p>
        </w:tc>
        <w:tc>
          <w:tcPr>
            <w:tcW w:w="812" w:type="dxa"/>
            <w:tcBorders>
              <w:top w:val="single" w:sz="12" w:space="0" w:color="008000"/>
              <w:bottom w:val="single" w:sz="6" w:space="0" w:color="008000"/>
            </w:tcBorders>
            <w:shd w:val="clear" w:color="auto" w:fill="FFFFFF"/>
            <w:vAlign w:val="center"/>
          </w:tcPr>
          <w:p w14:paraId="35459F9A" w14:textId="53AC58CC" w:rsidR="00305734" w:rsidRPr="003839D1" w:rsidRDefault="00305734" w:rsidP="0095360C">
            <w:pPr>
              <w:pStyle w:val="CETBodytext"/>
              <w:ind w:right="-1"/>
              <w:jc w:val="center"/>
              <w:rPr>
                <w:rFonts w:cs="Arial"/>
                <w:sz w:val="16"/>
                <w:szCs w:val="16"/>
              </w:rPr>
            </w:pPr>
            <w:r w:rsidRPr="003839D1">
              <w:rPr>
                <w:sz w:val="16"/>
                <w:szCs w:val="16"/>
              </w:rPr>
              <w:t>Made (</w:t>
            </w:r>
            <w:r w:rsidR="00296FF7">
              <w:rPr>
                <w:sz w:val="16"/>
                <w:szCs w:val="16"/>
              </w:rPr>
              <w:t>amount</w:t>
            </w:r>
            <w:r w:rsidRPr="003839D1">
              <w:rPr>
                <w:sz w:val="16"/>
                <w:szCs w:val="16"/>
              </w:rPr>
              <w:t>)</w:t>
            </w:r>
          </w:p>
        </w:tc>
        <w:tc>
          <w:tcPr>
            <w:tcW w:w="986" w:type="dxa"/>
            <w:tcBorders>
              <w:top w:val="single" w:sz="12" w:space="0" w:color="008000"/>
              <w:bottom w:val="single" w:sz="6" w:space="0" w:color="008000"/>
            </w:tcBorders>
            <w:shd w:val="clear" w:color="auto" w:fill="FFFFFF"/>
            <w:vAlign w:val="center"/>
          </w:tcPr>
          <w:p w14:paraId="4B08B9DA" w14:textId="06A30A9A" w:rsidR="00305734" w:rsidRPr="003839D1" w:rsidRDefault="00305734" w:rsidP="00305734">
            <w:pPr>
              <w:pStyle w:val="CETBodytext"/>
              <w:ind w:right="-1"/>
              <w:jc w:val="center"/>
              <w:rPr>
                <w:rFonts w:cs="Arial"/>
                <w:sz w:val="16"/>
                <w:szCs w:val="16"/>
              </w:rPr>
            </w:pPr>
            <w:r w:rsidRPr="003839D1">
              <w:rPr>
                <w:rFonts w:cs="Arial"/>
                <w:sz w:val="16"/>
                <w:szCs w:val="16"/>
              </w:rPr>
              <w:t>Planned (</w:t>
            </w:r>
            <w:r w:rsidR="00296FF7">
              <w:rPr>
                <w:sz w:val="16"/>
                <w:szCs w:val="16"/>
              </w:rPr>
              <w:t>amount</w:t>
            </w:r>
            <w:r w:rsidRPr="003839D1">
              <w:rPr>
                <w:rFonts w:cs="Arial"/>
                <w:sz w:val="16"/>
                <w:szCs w:val="16"/>
              </w:rPr>
              <w:t>)</w:t>
            </w:r>
          </w:p>
        </w:tc>
        <w:tc>
          <w:tcPr>
            <w:tcW w:w="928" w:type="dxa"/>
            <w:tcBorders>
              <w:top w:val="single" w:sz="12" w:space="0" w:color="008000"/>
              <w:bottom w:val="single" w:sz="6" w:space="0" w:color="008000"/>
            </w:tcBorders>
            <w:shd w:val="clear" w:color="auto" w:fill="FFFFFF"/>
            <w:vAlign w:val="center"/>
          </w:tcPr>
          <w:p w14:paraId="28CEB10B" w14:textId="6E2A30D9" w:rsidR="00305734" w:rsidRPr="003839D1" w:rsidRDefault="003839D1" w:rsidP="0095360C">
            <w:pPr>
              <w:pStyle w:val="CETBodytext"/>
              <w:ind w:right="-1"/>
              <w:jc w:val="center"/>
              <w:rPr>
                <w:rFonts w:cs="Arial"/>
                <w:sz w:val="16"/>
                <w:szCs w:val="16"/>
              </w:rPr>
            </w:pPr>
            <w:r w:rsidRPr="003839D1">
              <w:rPr>
                <w:rFonts w:cs="Arial"/>
                <w:sz w:val="16"/>
                <w:szCs w:val="16"/>
              </w:rPr>
              <w:t>Indicator’s</w:t>
            </w:r>
            <w:r w:rsidR="00305734" w:rsidRPr="003839D1">
              <w:rPr>
                <w:rFonts w:cs="Arial"/>
                <w:sz w:val="16"/>
                <w:szCs w:val="16"/>
              </w:rPr>
              <w:t xml:space="preserve"> compliance</w:t>
            </w:r>
          </w:p>
        </w:tc>
      </w:tr>
      <w:tr w:rsidR="00CB704F" w:rsidRPr="003839D1" w14:paraId="2CEB8ED7" w14:textId="77777777" w:rsidTr="00E812EB">
        <w:trPr>
          <w:trHeight w:val="438"/>
        </w:trPr>
        <w:tc>
          <w:tcPr>
            <w:tcW w:w="1696" w:type="dxa"/>
            <w:shd w:val="clear" w:color="auto" w:fill="FFFFFF"/>
          </w:tcPr>
          <w:p w14:paraId="59334D71" w14:textId="00FD0CBE" w:rsidR="00CB704F" w:rsidRPr="003839D1" w:rsidRDefault="00305734" w:rsidP="00C856AA">
            <w:pPr>
              <w:pStyle w:val="CETBodytext"/>
              <w:jc w:val="left"/>
              <w:rPr>
                <w:sz w:val="14"/>
                <w:szCs w:val="14"/>
              </w:rPr>
            </w:pPr>
            <w:r w:rsidRPr="003839D1">
              <w:rPr>
                <w:sz w:val="14"/>
                <w:szCs w:val="14"/>
              </w:rPr>
              <w:t>Occupational Health: compliance with inspections and monitoring</w:t>
            </w:r>
          </w:p>
        </w:tc>
        <w:tc>
          <w:tcPr>
            <w:tcW w:w="665" w:type="dxa"/>
            <w:shd w:val="clear" w:color="auto" w:fill="FFFFFF"/>
            <w:vAlign w:val="center"/>
          </w:tcPr>
          <w:p w14:paraId="202EDAC5" w14:textId="77777777" w:rsidR="00CB704F" w:rsidRPr="003839D1" w:rsidRDefault="00CB704F" w:rsidP="00CB704F">
            <w:pPr>
              <w:pStyle w:val="CETBodytext"/>
              <w:jc w:val="center"/>
              <w:rPr>
                <w:sz w:val="16"/>
                <w:szCs w:val="16"/>
              </w:rPr>
            </w:pPr>
            <w:r w:rsidRPr="003839D1">
              <w:rPr>
                <w:sz w:val="16"/>
                <w:szCs w:val="16"/>
              </w:rPr>
              <w:t>10</w:t>
            </w:r>
          </w:p>
        </w:tc>
        <w:tc>
          <w:tcPr>
            <w:tcW w:w="812" w:type="dxa"/>
            <w:shd w:val="clear" w:color="auto" w:fill="FFFFFF"/>
            <w:vAlign w:val="center"/>
          </w:tcPr>
          <w:p w14:paraId="408B6E90" w14:textId="4501561B" w:rsidR="00CB704F" w:rsidRPr="003839D1" w:rsidRDefault="00CB704F" w:rsidP="00E812EB">
            <w:pPr>
              <w:pStyle w:val="CETBodytext"/>
              <w:jc w:val="center"/>
              <w:rPr>
                <w:sz w:val="16"/>
                <w:szCs w:val="16"/>
              </w:rPr>
            </w:pPr>
            <w:r w:rsidRPr="003839D1">
              <w:rPr>
                <w:sz w:val="16"/>
                <w:szCs w:val="16"/>
              </w:rPr>
              <w:t>163</w:t>
            </w:r>
          </w:p>
        </w:tc>
        <w:tc>
          <w:tcPr>
            <w:tcW w:w="986" w:type="dxa"/>
            <w:shd w:val="clear" w:color="auto" w:fill="FFFFFF"/>
            <w:vAlign w:val="center"/>
          </w:tcPr>
          <w:p w14:paraId="401D7097" w14:textId="460DF1C5" w:rsidR="00CB704F" w:rsidRPr="003839D1" w:rsidRDefault="00CB704F" w:rsidP="00E812EB">
            <w:pPr>
              <w:pStyle w:val="CETBodytext"/>
              <w:ind w:right="-1"/>
              <w:jc w:val="center"/>
              <w:rPr>
                <w:rFonts w:cs="Arial"/>
                <w:sz w:val="16"/>
                <w:szCs w:val="16"/>
              </w:rPr>
            </w:pPr>
            <w:r w:rsidRPr="003839D1">
              <w:rPr>
                <w:sz w:val="16"/>
                <w:szCs w:val="16"/>
              </w:rPr>
              <w:t>273</w:t>
            </w:r>
          </w:p>
        </w:tc>
        <w:tc>
          <w:tcPr>
            <w:tcW w:w="1122" w:type="dxa"/>
            <w:shd w:val="clear" w:color="auto" w:fill="FFFFFF"/>
          </w:tcPr>
          <w:p w14:paraId="31E60CF0" w14:textId="77777777" w:rsidR="00CB704F" w:rsidRPr="003839D1" w:rsidRDefault="00CB704F" w:rsidP="00CB704F">
            <w:pPr>
              <w:pStyle w:val="CETBodytext"/>
              <w:ind w:right="-1"/>
              <w:jc w:val="center"/>
              <w:rPr>
                <w:sz w:val="16"/>
                <w:szCs w:val="16"/>
              </w:rPr>
            </w:pPr>
            <w:r w:rsidRPr="003839D1">
              <w:rPr>
                <w:sz w:val="16"/>
                <w:szCs w:val="16"/>
              </w:rPr>
              <w:t>IM</w:t>
            </w:r>
          </w:p>
          <w:p w14:paraId="5D9AA458" w14:textId="5A5CB704" w:rsidR="00CB704F" w:rsidRPr="003839D1" w:rsidRDefault="00CB704F" w:rsidP="00CB704F">
            <w:pPr>
              <w:pStyle w:val="CETBodytext"/>
              <w:ind w:right="-1"/>
              <w:jc w:val="center"/>
              <w:rPr>
                <w:rFonts w:cs="Arial"/>
                <w:sz w:val="16"/>
                <w:szCs w:val="16"/>
              </w:rPr>
            </w:pPr>
            <w:r w:rsidRPr="003839D1">
              <w:rPr>
                <w:sz w:val="16"/>
                <w:szCs w:val="16"/>
              </w:rPr>
              <w:t>59.71%</w:t>
            </w:r>
          </w:p>
        </w:tc>
        <w:tc>
          <w:tcPr>
            <w:tcW w:w="726" w:type="dxa"/>
            <w:shd w:val="clear" w:color="auto" w:fill="FFFFFF"/>
            <w:vAlign w:val="center"/>
          </w:tcPr>
          <w:p w14:paraId="109FAA06" w14:textId="77777777" w:rsidR="00CB704F" w:rsidRPr="003839D1" w:rsidRDefault="00CB704F" w:rsidP="00E812EB">
            <w:pPr>
              <w:pStyle w:val="CETBodytext"/>
              <w:ind w:right="-1"/>
              <w:jc w:val="center"/>
              <w:rPr>
                <w:rFonts w:cs="Arial"/>
                <w:sz w:val="16"/>
                <w:szCs w:val="16"/>
              </w:rPr>
            </w:pPr>
            <w:r w:rsidRPr="003839D1">
              <w:rPr>
                <w:rFonts w:cs="Arial"/>
                <w:sz w:val="16"/>
                <w:szCs w:val="16"/>
              </w:rPr>
              <w:t>10</w:t>
            </w:r>
          </w:p>
        </w:tc>
        <w:tc>
          <w:tcPr>
            <w:tcW w:w="812" w:type="dxa"/>
            <w:shd w:val="clear" w:color="auto" w:fill="FFFFFF"/>
            <w:vAlign w:val="center"/>
          </w:tcPr>
          <w:p w14:paraId="584A6ACA" w14:textId="5D5FEA8E" w:rsidR="00CB704F" w:rsidRPr="003839D1" w:rsidRDefault="00CB704F" w:rsidP="00E812EB">
            <w:pPr>
              <w:pStyle w:val="CETBodytext"/>
              <w:ind w:right="-1"/>
              <w:jc w:val="center"/>
              <w:rPr>
                <w:rFonts w:cs="Arial"/>
                <w:sz w:val="16"/>
                <w:szCs w:val="16"/>
              </w:rPr>
            </w:pPr>
            <w:r w:rsidRPr="003839D1">
              <w:rPr>
                <w:sz w:val="16"/>
                <w:szCs w:val="16"/>
              </w:rPr>
              <w:t>266</w:t>
            </w:r>
          </w:p>
        </w:tc>
        <w:tc>
          <w:tcPr>
            <w:tcW w:w="986" w:type="dxa"/>
            <w:shd w:val="clear" w:color="auto" w:fill="FFFFFF"/>
            <w:vAlign w:val="center"/>
          </w:tcPr>
          <w:p w14:paraId="39EFB394" w14:textId="3FA7852E" w:rsidR="00CB704F" w:rsidRPr="003839D1" w:rsidRDefault="00CB704F" w:rsidP="00E812EB">
            <w:pPr>
              <w:pStyle w:val="CETBodytext"/>
              <w:ind w:right="-1"/>
              <w:jc w:val="center"/>
              <w:rPr>
                <w:rFonts w:cs="Arial"/>
                <w:sz w:val="16"/>
                <w:szCs w:val="16"/>
              </w:rPr>
            </w:pPr>
            <w:r w:rsidRPr="003839D1">
              <w:rPr>
                <w:sz w:val="16"/>
                <w:szCs w:val="16"/>
              </w:rPr>
              <w:t>273</w:t>
            </w:r>
          </w:p>
        </w:tc>
        <w:tc>
          <w:tcPr>
            <w:tcW w:w="928" w:type="dxa"/>
            <w:shd w:val="clear" w:color="auto" w:fill="FFFFFF"/>
          </w:tcPr>
          <w:p w14:paraId="217A59DC" w14:textId="6DD607E3" w:rsidR="00CB704F" w:rsidRPr="003839D1" w:rsidRDefault="00CB704F" w:rsidP="00CB704F">
            <w:pPr>
              <w:pStyle w:val="CETBodytext"/>
              <w:ind w:right="-1"/>
              <w:jc w:val="center"/>
              <w:rPr>
                <w:sz w:val="16"/>
                <w:szCs w:val="16"/>
              </w:rPr>
            </w:pPr>
            <w:r w:rsidRPr="003839D1">
              <w:rPr>
                <w:sz w:val="16"/>
                <w:szCs w:val="16"/>
              </w:rPr>
              <w:t>IM:</w:t>
            </w:r>
          </w:p>
          <w:p w14:paraId="3BC919B2" w14:textId="445C9031" w:rsidR="00CB704F" w:rsidRPr="003839D1" w:rsidRDefault="00F8364C" w:rsidP="00CB704F">
            <w:pPr>
              <w:pStyle w:val="CETBodytext"/>
              <w:ind w:right="-1"/>
              <w:jc w:val="center"/>
              <w:rPr>
                <w:rFonts w:cs="Arial"/>
                <w:sz w:val="16"/>
                <w:szCs w:val="16"/>
              </w:rPr>
            </w:pPr>
            <w:r>
              <w:rPr>
                <w:sz w:val="16"/>
                <w:szCs w:val="16"/>
              </w:rPr>
              <w:t>9</w:t>
            </w:r>
            <w:r w:rsidR="00CB704F" w:rsidRPr="003839D1">
              <w:rPr>
                <w:sz w:val="16"/>
                <w:szCs w:val="16"/>
              </w:rPr>
              <w:t>7.44%</w:t>
            </w:r>
          </w:p>
        </w:tc>
      </w:tr>
      <w:tr w:rsidR="00224A56" w:rsidRPr="003839D1" w14:paraId="6EE08CE3" w14:textId="77777777" w:rsidTr="00E812EB">
        <w:trPr>
          <w:trHeight w:val="412"/>
        </w:trPr>
        <w:tc>
          <w:tcPr>
            <w:tcW w:w="1696" w:type="dxa"/>
            <w:shd w:val="clear" w:color="auto" w:fill="FFFFFF"/>
          </w:tcPr>
          <w:p w14:paraId="4A62FAA3" w14:textId="6DD5BF21" w:rsidR="00CB704F" w:rsidRPr="003839D1" w:rsidRDefault="00305734" w:rsidP="00C856AA">
            <w:pPr>
              <w:pStyle w:val="CETBodytext"/>
              <w:ind w:right="-1"/>
              <w:jc w:val="left"/>
              <w:rPr>
                <w:rFonts w:cs="Arial"/>
                <w:sz w:val="14"/>
                <w:szCs w:val="14"/>
              </w:rPr>
            </w:pPr>
            <w:r w:rsidRPr="003839D1">
              <w:rPr>
                <w:rFonts w:cs="Arial"/>
                <w:sz w:val="14"/>
                <w:szCs w:val="14"/>
              </w:rPr>
              <w:t>Audit: compliance with audits</w:t>
            </w:r>
          </w:p>
        </w:tc>
        <w:tc>
          <w:tcPr>
            <w:tcW w:w="665" w:type="dxa"/>
            <w:shd w:val="clear" w:color="auto" w:fill="FFFFFF"/>
            <w:vAlign w:val="center"/>
          </w:tcPr>
          <w:p w14:paraId="52361ADA" w14:textId="6D25CEEB" w:rsidR="00CB704F" w:rsidRPr="003839D1" w:rsidRDefault="00DA1B58" w:rsidP="00CB704F">
            <w:pPr>
              <w:pStyle w:val="CETBodytext"/>
              <w:ind w:right="-1"/>
              <w:jc w:val="center"/>
              <w:rPr>
                <w:rFonts w:cs="Arial"/>
                <w:sz w:val="16"/>
                <w:szCs w:val="16"/>
              </w:rPr>
            </w:pPr>
            <w:r w:rsidRPr="003839D1">
              <w:rPr>
                <w:rFonts w:cs="Arial"/>
                <w:sz w:val="16"/>
                <w:szCs w:val="16"/>
              </w:rPr>
              <w:t>10</w:t>
            </w:r>
          </w:p>
        </w:tc>
        <w:tc>
          <w:tcPr>
            <w:tcW w:w="812" w:type="dxa"/>
            <w:shd w:val="clear" w:color="auto" w:fill="FFFFFF"/>
            <w:vAlign w:val="center"/>
          </w:tcPr>
          <w:p w14:paraId="00B0FCA8" w14:textId="7407832B" w:rsidR="00CB704F" w:rsidRPr="003839D1" w:rsidRDefault="00CB704F" w:rsidP="00E812EB">
            <w:pPr>
              <w:pStyle w:val="CETBodytext"/>
              <w:ind w:right="-1"/>
              <w:jc w:val="center"/>
              <w:rPr>
                <w:rFonts w:cs="Arial"/>
                <w:sz w:val="16"/>
                <w:szCs w:val="16"/>
              </w:rPr>
            </w:pPr>
            <w:r w:rsidRPr="003839D1">
              <w:rPr>
                <w:rFonts w:cs="Arial"/>
                <w:sz w:val="16"/>
                <w:szCs w:val="16"/>
              </w:rPr>
              <w:t>1</w:t>
            </w:r>
          </w:p>
        </w:tc>
        <w:tc>
          <w:tcPr>
            <w:tcW w:w="986" w:type="dxa"/>
            <w:shd w:val="clear" w:color="auto" w:fill="FFFFFF"/>
            <w:vAlign w:val="center"/>
          </w:tcPr>
          <w:p w14:paraId="20D97C3F" w14:textId="5F400BE5" w:rsidR="00CB704F" w:rsidRPr="003839D1" w:rsidRDefault="00CB704F" w:rsidP="00E812EB">
            <w:pPr>
              <w:pStyle w:val="CETBodytext"/>
              <w:ind w:right="-1"/>
              <w:jc w:val="center"/>
              <w:rPr>
                <w:rFonts w:cs="Arial"/>
                <w:sz w:val="16"/>
                <w:szCs w:val="16"/>
              </w:rPr>
            </w:pPr>
            <w:r w:rsidRPr="003839D1">
              <w:rPr>
                <w:rFonts w:cs="Arial"/>
                <w:sz w:val="16"/>
                <w:szCs w:val="16"/>
              </w:rPr>
              <w:t>3</w:t>
            </w:r>
          </w:p>
        </w:tc>
        <w:tc>
          <w:tcPr>
            <w:tcW w:w="1122" w:type="dxa"/>
            <w:shd w:val="clear" w:color="auto" w:fill="FFFFFF"/>
            <w:vAlign w:val="center"/>
          </w:tcPr>
          <w:p w14:paraId="56D04097" w14:textId="77777777" w:rsidR="00CB704F" w:rsidRPr="003839D1" w:rsidRDefault="00CB704F" w:rsidP="00CB704F">
            <w:pPr>
              <w:pStyle w:val="CETBodytext"/>
              <w:ind w:right="-1"/>
              <w:jc w:val="center"/>
              <w:rPr>
                <w:rFonts w:cs="Arial"/>
                <w:sz w:val="16"/>
                <w:szCs w:val="16"/>
              </w:rPr>
            </w:pPr>
            <w:r w:rsidRPr="003839D1">
              <w:rPr>
                <w:rFonts w:cs="Arial"/>
                <w:sz w:val="16"/>
                <w:szCs w:val="16"/>
              </w:rPr>
              <w:t>IA:</w:t>
            </w:r>
          </w:p>
          <w:p w14:paraId="1A67A17D" w14:textId="7BAA7ED2" w:rsidR="00CB704F" w:rsidRPr="003839D1" w:rsidRDefault="00CB704F" w:rsidP="00CB704F">
            <w:pPr>
              <w:pStyle w:val="CETBodytext"/>
              <w:ind w:right="-1"/>
              <w:jc w:val="center"/>
              <w:rPr>
                <w:rFonts w:cs="Arial"/>
                <w:sz w:val="16"/>
                <w:szCs w:val="16"/>
              </w:rPr>
            </w:pPr>
            <w:r w:rsidRPr="003839D1">
              <w:rPr>
                <w:rFonts w:cs="Arial"/>
                <w:sz w:val="16"/>
                <w:szCs w:val="16"/>
              </w:rPr>
              <w:t>33.33%</w:t>
            </w:r>
          </w:p>
        </w:tc>
        <w:tc>
          <w:tcPr>
            <w:tcW w:w="726" w:type="dxa"/>
            <w:shd w:val="clear" w:color="auto" w:fill="FFFFFF"/>
            <w:vAlign w:val="center"/>
          </w:tcPr>
          <w:p w14:paraId="14AAF0E9" w14:textId="6ECCB238" w:rsidR="00CB704F" w:rsidRPr="003839D1" w:rsidRDefault="00DA1B58" w:rsidP="00E812EB">
            <w:pPr>
              <w:pStyle w:val="CETBodytext"/>
              <w:ind w:right="-1"/>
              <w:jc w:val="center"/>
              <w:rPr>
                <w:rFonts w:cs="Arial"/>
                <w:sz w:val="16"/>
                <w:szCs w:val="16"/>
              </w:rPr>
            </w:pPr>
            <w:r w:rsidRPr="003839D1">
              <w:rPr>
                <w:rFonts w:cs="Arial"/>
                <w:sz w:val="16"/>
                <w:szCs w:val="16"/>
              </w:rPr>
              <w:t>10</w:t>
            </w:r>
          </w:p>
        </w:tc>
        <w:tc>
          <w:tcPr>
            <w:tcW w:w="812" w:type="dxa"/>
            <w:shd w:val="clear" w:color="auto" w:fill="FFFFFF"/>
            <w:vAlign w:val="center"/>
          </w:tcPr>
          <w:p w14:paraId="7CE8CC78" w14:textId="0AEB1F24" w:rsidR="00CB704F" w:rsidRPr="003839D1" w:rsidRDefault="00CB704F" w:rsidP="00E812EB">
            <w:pPr>
              <w:pStyle w:val="CETBodytext"/>
              <w:ind w:right="-1"/>
              <w:jc w:val="center"/>
              <w:rPr>
                <w:rFonts w:cs="Arial"/>
                <w:sz w:val="16"/>
                <w:szCs w:val="16"/>
              </w:rPr>
            </w:pPr>
            <w:r w:rsidRPr="003839D1">
              <w:rPr>
                <w:rFonts w:cs="Arial"/>
                <w:sz w:val="16"/>
                <w:szCs w:val="16"/>
              </w:rPr>
              <w:t>3</w:t>
            </w:r>
          </w:p>
        </w:tc>
        <w:tc>
          <w:tcPr>
            <w:tcW w:w="986" w:type="dxa"/>
            <w:shd w:val="clear" w:color="auto" w:fill="FFFFFF"/>
            <w:vAlign w:val="center"/>
          </w:tcPr>
          <w:p w14:paraId="09F90FC8" w14:textId="791658DA" w:rsidR="00CB704F" w:rsidRPr="003839D1" w:rsidRDefault="00CB704F" w:rsidP="00E812EB">
            <w:pPr>
              <w:pStyle w:val="CETBodytext"/>
              <w:ind w:right="-1"/>
              <w:jc w:val="center"/>
              <w:rPr>
                <w:rFonts w:cs="Arial"/>
                <w:sz w:val="16"/>
                <w:szCs w:val="16"/>
              </w:rPr>
            </w:pPr>
            <w:r w:rsidRPr="003839D1">
              <w:rPr>
                <w:rFonts w:cs="Arial"/>
                <w:sz w:val="16"/>
                <w:szCs w:val="16"/>
              </w:rPr>
              <w:t>3</w:t>
            </w:r>
          </w:p>
        </w:tc>
        <w:tc>
          <w:tcPr>
            <w:tcW w:w="928" w:type="dxa"/>
            <w:shd w:val="clear" w:color="auto" w:fill="FFFFFF"/>
          </w:tcPr>
          <w:p w14:paraId="7D0ED638" w14:textId="77777777" w:rsidR="00CB704F" w:rsidRPr="003839D1" w:rsidRDefault="00CB704F" w:rsidP="00CB704F">
            <w:pPr>
              <w:pStyle w:val="CETBodytext"/>
              <w:ind w:right="-1"/>
              <w:jc w:val="center"/>
              <w:rPr>
                <w:rFonts w:cs="Arial"/>
                <w:sz w:val="16"/>
                <w:szCs w:val="16"/>
              </w:rPr>
            </w:pPr>
            <w:r w:rsidRPr="003839D1">
              <w:rPr>
                <w:rFonts w:cs="Arial"/>
                <w:sz w:val="16"/>
                <w:szCs w:val="16"/>
              </w:rPr>
              <w:t>IA:</w:t>
            </w:r>
          </w:p>
          <w:p w14:paraId="36BF95BF" w14:textId="030BF6FC" w:rsidR="00CB704F" w:rsidRPr="003839D1" w:rsidRDefault="00CB704F" w:rsidP="00CB704F">
            <w:pPr>
              <w:pStyle w:val="CETBodytext"/>
              <w:ind w:right="-1"/>
              <w:jc w:val="center"/>
              <w:rPr>
                <w:rFonts w:cs="Arial"/>
                <w:sz w:val="16"/>
                <w:szCs w:val="16"/>
              </w:rPr>
            </w:pPr>
            <w:r w:rsidRPr="003839D1">
              <w:rPr>
                <w:rFonts w:cs="Arial"/>
                <w:sz w:val="16"/>
                <w:szCs w:val="16"/>
              </w:rPr>
              <w:t>100%</w:t>
            </w:r>
          </w:p>
        </w:tc>
      </w:tr>
    </w:tbl>
    <w:p w14:paraId="61B21E77" w14:textId="278E8531" w:rsidR="00B827FD" w:rsidRDefault="00B827FD" w:rsidP="00600535">
      <w:pPr>
        <w:pStyle w:val="CETBodytext"/>
        <w:rPr>
          <w:lang w:val="es-PE"/>
        </w:rPr>
      </w:pPr>
    </w:p>
    <w:p w14:paraId="3F8BF857" w14:textId="00D36268" w:rsidR="00305734" w:rsidRDefault="00305734" w:rsidP="00494016">
      <w:pPr>
        <w:pStyle w:val="CETTabletitle"/>
        <w:rPr>
          <w:i w:val="0"/>
          <w:lang w:val="en-US"/>
        </w:rPr>
      </w:pPr>
      <w:r w:rsidRPr="00305734">
        <w:rPr>
          <w:i w:val="0"/>
          <w:lang w:val="en-US"/>
        </w:rPr>
        <w:t xml:space="preserve">The Inspection and Monitoring Program after the implementation of the </w:t>
      </w:r>
      <w:r w:rsidR="0003638F">
        <w:rPr>
          <w:i w:val="0"/>
          <w:lang w:val="en-US"/>
        </w:rPr>
        <w:t>OSHS</w:t>
      </w:r>
      <w:r w:rsidRPr="00305734">
        <w:rPr>
          <w:i w:val="0"/>
          <w:lang w:val="en-US"/>
        </w:rPr>
        <w:t xml:space="preserve"> was shaped by the activities shown in Table 5.</w:t>
      </w:r>
    </w:p>
    <w:p w14:paraId="3BA223EF" w14:textId="7D4D32D7" w:rsidR="00973665" w:rsidRDefault="00305734" w:rsidP="00600535">
      <w:pPr>
        <w:pStyle w:val="CETBodytext"/>
        <w:rPr>
          <w:i/>
        </w:rPr>
      </w:pPr>
      <w:r w:rsidRPr="00305734">
        <w:rPr>
          <w:i/>
        </w:rPr>
        <w:t xml:space="preserve">Table 5 Inspection and monitoring program after </w:t>
      </w:r>
      <w:r w:rsidR="00A23918" w:rsidRPr="00973665">
        <w:t>OSHS</w:t>
      </w:r>
      <w:r w:rsidRPr="00305734">
        <w:rPr>
          <w:i/>
        </w:rPr>
        <w:t xml:space="preserve"> implementation</w:t>
      </w:r>
    </w:p>
    <w:p w14:paraId="53EEE698" w14:textId="197C69DB" w:rsidR="00AE3097" w:rsidRDefault="00AE3097" w:rsidP="00600535">
      <w:pPr>
        <w:pStyle w:val="CETBodytext"/>
      </w:pPr>
    </w:p>
    <w:tbl>
      <w:tblPr>
        <w:tblW w:w="5000" w:type="pct"/>
        <w:tblCellMar>
          <w:left w:w="70" w:type="dxa"/>
          <w:right w:w="70" w:type="dxa"/>
        </w:tblCellMar>
        <w:tblLook w:val="04A0" w:firstRow="1" w:lastRow="0" w:firstColumn="1" w:lastColumn="0" w:noHBand="0" w:noVBand="1"/>
      </w:tblPr>
      <w:tblGrid>
        <w:gridCol w:w="934"/>
        <w:gridCol w:w="1020"/>
        <w:gridCol w:w="841"/>
        <w:gridCol w:w="942"/>
        <w:gridCol w:w="234"/>
        <w:gridCol w:w="336"/>
        <w:gridCol w:w="370"/>
        <w:gridCol w:w="307"/>
        <w:gridCol w:w="329"/>
        <w:gridCol w:w="324"/>
        <w:gridCol w:w="313"/>
        <w:gridCol w:w="318"/>
        <w:gridCol w:w="318"/>
        <w:gridCol w:w="368"/>
        <w:gridCol w:w="335"/>
        <w:gridCol w:w="318"/>
        <w:gridCol w:w="285"/>
        <w:gridCol w:w="389"/>
        <w:gridCol w:w="646"/>
      </w:tblGrid>
      <w:tr w:rsidR="0095360C" w:rsidRPr="003839D1" w14:paraId="32019145" w14:textId="77777777" w:rsidTr="0095360C">
        <w:trPr>
          <w:trHeight w:val="225"/>
        </w:trPr>
        <w:tc>
          <w:tcPr>
            <w:tcW w:w="477" w:type="pct"/>
            <w:vMerge w:val="restart"/>
            <w:tcBorders>
              <w:top w:val="single" w:sz="12" w:space="0" w:color="339966"/>
              <w:left w:val="nil"/>
              <w:bottom w:val="single" w:sz="12" w:space="0" w:color="339966"/>
              <w:right w:val="nil"/>
            </w:tcBorders>
            <w:shd w:val="clear" w:color="auto" w:fill="auto"/>
            <w:noWrap/>
            <w:vAlign w:val="center"/>
            <w:hideMark/>
          </w:tcPr>
          <w:p w14:paraId="1CF2B2CC"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OBJECTIVE</w:t>
            </w:r>
          </w:p>
        </w:tc>
        <w:tc>
          <w:tcPr>
            <w:tcW w:w="522" w:type="pct"/>
            <w:vMerge w:val="restart"/>
            <w:tcBorders>
              <w:top w:val="single" w:sz="12" w:space="0" w:color="339966"/>
              <w:left w:val="nil"/>
              <w:bottom w:val="single" w:sz="12" w:space="0" w:color="339966"/>
              <w:right w:val="nil"/>
            </w:tcBorders>
            <w:shd w:val="clear" w:color="auto" w:fill="auto"/>
            <w:vAlign w:val="center"/>
            <w:hideMark/>
          </w:tcPr>
          <w:p w14:paraId="25C1FBF3"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ACTIVITY</w:t>
            </w:r>
          </w:p>
        </w:tc>
        <w:tc>
          <w:tcPr>
            <w:tcW w:w="429" w:type="pct"/>
            <w:vMerge w:val="restart"/>
            <w:tcBorders>
              <w:top w:val="single" w:sz="12" w:space="0" w:color="339966"/>
              <w:left w:val="nil"/>
              <w:bottom w:val="single" w:sz="12" w:space="0" w:color="339966"/>
              <w:right w:val="nil"/>
            </w:tcBorders>
            <w:shd w:val="clear" w:color="auto" w:fill="auto"/>
            <w:vAlign w:val="center"/>
            <w:hideMark/>
          </w:tcPr>
          <w:p w14:paraId="1DEB69D4"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DETAIL</w:t>
            </w:r>
          </w:p>
        </w:tc>
        <w:tc>
          <w:tcPr>
            <w:tcW w:w="482" w:type="pct"/>
            <w:vMerge w:val="restart"/>
            <w:tcBorders>
              <w:top w:val="single" w:sz="12" w:space="0" w:color="339966"/>
              <w:left w:val="nil"/>
              <w:bottom w:val="single" w:sz="12" w:space="0" w:color="339966"/>
              <w:right w:val="nil"/>
            </w:tcBorders>
            <w:shd w:val="clear" w:color="auto" w:fill="auto"/>
            <w:vAlign w:val="center"/>
            <w:hideMark/>
          </w:tcPr>
          <w:p w14:paraId="6B47A79B"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 xml:space="preserve"> STAFF INVOLVED</w:t>
            </w:r>
          </w:p>
        </w:tc>
        <w:tc>
          <w:tcPr>
            <w:tcW w:w="118" w:type="pct"/>
            <w:tcBorders>
              <w:top w:val="single" w:sz="12" w:space="0" w:color="339966"/>
              <w:left w:val="nil"/>
              <w:bottom w:val="nil"/>
              <w:right w:val="nil"/>
            </w:tcBorders>
            <w:shd w:val="clear" w:color="auto" w:fill="auto"/>
            <w:noWrap/>
            <w:vAlign w:val="bottom"/>
            <w:hideMark/>
          </w:tcPr>
          <w:p w14:paraId="36F5CAFD"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r w:rsidRPr="003839D1">
              <w:rPr>
                <w:rFonts w:cs="Arial"/>
                <w:b/>
                <w:bCs/>
                <w:color w:val="000000"/>
                <w:sz w:val="14"/>
                <w:szCs w:val="14"/>
                <w:lang w:val="en-US" w:eastAsia="es-PE"/>
              </w:rPr>
              <w:t> </w:t>
            </w:r>
          </w:p>
        </w:tc>
        <w:tc>
          <w:tcPr>
            <w:tcW w:w="2645" w:type="pct"/>
            <w:gridSpan w:val="13"/>
            <w:tcBorders>
              <w:top w:val="single" w:sz="12" w:space="0" w:color="339966"/>
              <w:left w:val="nil"/>
              <w:bottom w:val="nil"/>
              <w:right w:val="nil"/>
            </w:tcBorders>
            <w:shd w:val="clear" w:color="auto" w:fill="auto"/>
            <w:noWrap/>
            <w:vAlign w:val="bottom"/>
            <w:hideMark/>
          </w:tcPr>
          <w:p w14:paraId="0E79121F"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SCHEDULE</w:t>
            </w:r>
          </w:p>
        </w:tc>
        <w:tc>
          <w:tcPr>
            <w:tcW w:w="327" w:type="pct"/>
            <w:tcBorders>
              <w:top w:val="single" w:sz="12" w:space="0" w:color="339966"/>
              <w:left w:val="nil"/>
              <w:bottom w:val="nil"/>
              <w:right w:val="nil"/>
            </w:tcBorders>
            <w:shd w:val="clear" w:color="auto" w:fill="auto"/>
            <w:noWrap/>
            <w:vAlign w:val="bottom"/>
            <w:hideMark/>
          </w:tcPr>
          <w:p w14:paraId="55B8EA4E"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r w:rsidRPr="003839D1">
              <w:rPr>
                <w:rFonts w:cs="Arial"/>
                <w:b/>
                <w:bCs/>
                <w:color w:val="000000"/>
                <w:sz w:val="14"/>
                <w:szCs w:val="14"/>
                <w:lang w:val="en-US" w:eastAsia="es-PE"/>
              </w:rPr>
              <w:t> </w:t>
            </w:r>
          </w:p>
        </w:tc>
      </w:tr>
      <w:tr w:rsidR="0095360C" w:rsidRPr="003839D1" w14:paraId="44B00E91" w14:textId="77777777" w:rsidTr="0095360C">
        <w:trPr>
          <w:trHeight w:val="255"/>
        </w:trPr>
        <w:tc>
          <w:tcPr>
            <w:tcW w:w="477" w:type="pct"/>
            <w:vMerge/>
            <w:tcBorders>
              <w:top w:val="single" w:sz="12" w:space="0" w:color="339966"/>
              <w:left w:val="nil"/>
              <w:bottom w:val="single" w:sz="12" w:space="0" w:color="339966"/>
              <w:right w:val="nil"/>
            </w:tcBorders>
            <w:vAlign w:val="center"/>
            <w:hideMark/>
          </w:tcPr>
          <w:p w14:paraId="012EE33B"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522" w:type="pct"/>
            <w:vMerge/>
            <w:tcBorders>
              <w:top w:val="single" w:sz="12" w:space="0" w:color="339966"/>
              <w:left w:val="nil"/>
              <w:bottom w:val="single" w:sz="12" w:space="0" w:color="339966"/>
              <w:right w:val="nil"/>
            </w:tcBorders>
            <w:vAlign w:val="center"/>
            <w:hideMark/>
          </w:tcPr>
          <w:p w14:paraId="7ECFF5C4"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429" w:type="pct"/>
            <w:vMerge/>
            <w:tcBorders>
              <w:top w:val="single" w:sz="12" w:space="0" w:color="339966"/>
              <w:left w:val="nil"/>
              <w:bottom w:val="single" w:sz="12" w:space="0" w:color="339966"/>
              <w:right w:val="nil"/>
            </w:tcBorders>
            <w:vAlign w:val="center"/>
            <w:hideMark/>
          </w:tcPr>
          <w:p w14:paraId="0B146E46"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482" w:type="pct"/>
            <w:vMerge/>
            <w:tcBorders>
              <w:top w:val="single" w:sz="12" w:space="0" w:color="339966"/>
              <w:left w:val="nil"/>
              <w:bottom w:val="single" w:sz="12" w:space="0" w:color="339966"/>
              <w:right w:val="nil"/>
            </w:tcBorders>
            <w:vAlign w:val="center"/>
            <w:hideMark/>
          </w:tcPr>
          <w:p w14:paraId="29D71B12"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118" w:type="pct"/>
            <w:tcBorders>
              <w:top w:val="single" w:sz="12" w:space="0" w:color="339966"/>
              <w:left w:val="nil"/>
              <w:bottom w:val="single" w:sz="12" w:space="0" w:color="339966"/>
              <w:right w:val="nil"/>
            </w:tcBorders>
            <w:shd w:val="clear" w:color="auto" w:fill="auto"/>
            <w:noWrap/>
            <w:vAlign w:val="bottom"/>
            <w:hideMark/>
          </w:tcPr>
          <w:p w14:paraId="3C363863"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r w:rsidRPr="003839D1">
              <w:rPr>
                <w:rFonts w:cs="Arial"/>
                <w:b/>
                <w:bCs/>
                <w:color w:val="000000"/>
                <w:sz w:val="14"/>
                <w:szCs w:val="14"/>
                <w:lang w:val="en-US" w:eastAsia="es-PE"/>
              </w:rPr>
              <w:t> </w:t>
            </w:r>
          </w:p>
        </w:tc>
        <w:tc>
          <w:tcPr>
            <w:tcW w:w="1016" w:type="pct"/>
            <w:gridSpan w:val="5"/>
            <w:tcBorders>
              <w:top w:val="single" w:sz="12" w:space="0" w:color="339966"/>
              <w:left w:val="nil"/>
              <w:bottom w:val="single" w:sz="12" w:space="0" w:color="339966"/>
              <w:right w:val="nil"/>
            </w:tcBorders>
            <w:shd w:val="clear" w:color="auto" w:fill="auto"/>
            <w:noWrap/>
            <w:vAlign w:val="bottom"/>
            <w:hideMark/>
          </w:tcPr>
          <w:p w14:paraId="071E064F"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2017</w:t>
            </w:r>
          </w:p>
        </w:tc>
        <w:tc>
          <w:tcPr>
            <w:tcW w:w="1628" w:type="pct"/>
            <w:gridSpan w:val="8"/>
            <w:tcBorders>
              <w:top w:val="single" w:sz="12" w:space="0" w:color="339966"/>
              <w:left w:val="nil"/>
              <w:bottom w:val="single" w:sz="12" w:space="0" w:color="339966"/>
              <w:right w:val="nil"/>
            </w:tcBorders>
            <w:shd w:val="clear" w:color="auto" w:fill="auto"/>
            <w:noWrap/>
            <w:vAlign w:val="bottom"/>
            <w:hideMark/>
          </w:tcPr>
          <w:p w14:paraId="25E4BE19"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2018</w:t>
            </w:r>
          </w:p>
        </w:tc>
        <w:tc>
          <w:tcPr>
            <w:tcW w:w="327" w:type="pct"/>
            <w:tcBorders>
              <w:top w:val="single" w:sz="12" w:space="0" w:color="339966"/>
              <w:left w:val="nil"/>
              <w:bottom w:val="single" w:sz="12" w:space="0" w:color="339966"/>
              <w:right w:val="nil"/>
            </w:tcBorders>
            <w:shd w:val="clear" w:color="auto" w:fill="auto"/>
            <w:vAlign w:val="bottom"/>
            <w:hideMark/>
          </w:tcPr>
          <w:p w14:paraId="535D7DCD"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r w:rsidRPr="003839D1">
              <w:rPr>
                <w:rFonts w:cs="Arial"/>
                <w:b/>
                <w:bCs/>
                <w:color w:val="000000"/>
                <w:sz w:val="14"/>
                <w:szCs w:val="14"/>
                <w:lang w:val="en-US" w:eastAsia="es-PE"/>
              </w:rPr>
              <w:t> </w:t>
            </w:r>
          </w:p>
        </w:tc>
      </w:tr>
      <w:tr w:rsidR="0095360C" w:rsidRPr="003839D1" w14:paraId="2CC3AB50" w14:textId="77777777" w:rsidTr="0095360C">
        <w:trPr>
          <w:trHeight w:val="390"/>
        </w:trPr>
        <w:tc>
          <w:tcPr>
            <w:tcW w:w="477" w:type="pct"/>
            <w:vMerge/>
            <w:tcBorders>
              <w:top w:val="single" w:sz="12" w:space="0" w:color="339966"/>
              <w:left w:val="nil"/>
              <w:bottom w:val="single" w:sz="12" w:space="0" w:color="339966"/>
              <w:right w:val="nil"/>
            </w:tcBorders>
            <w:vAlign w:val="center"/>
            <w:hideMark/>
          </w:tcPr>
          <w:p w14:paraId="312BBC80"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522" w:type="pct"/>
            <w:vMerge/>
            <w:tcBorders>
              <w:top w:val="single" w:sz="12" w:space="0" w:color="339966"/>
              <w:left w:val="nil"/>
              <w:bottom w:val="single" w:sz="12" w:space="0" w:color="339966"/>
              <w:right w:val="nil"/>
            </w:tcBorders>
            <w:vAlign w:val="center"/>
            <w:hideMark/>
          </w:tcPr>
          <w:p w14:paraId="75EB3C95"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429" w:type="pct"/>
            <w:vMerge/>
            <w:tcBorders>
              <w:top w:val="single" w:sz="12" w:space="0" w:color="339966"/>
              <w:left w:val="nil"/>
              <w:bottom w:val="single" w:sz="12" w:space="0" w:color="339966"/>
              <w:right w:val="nil"/>
            </w:tcBorders>
            <w:vAlign w:val="center"/>
            <w:hideMark/>
          </w:tcPr>
          <w:p w14:paraId="5C802846"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482" w:type="pct"/>
            <w:vMerge/>
            <w:tcBorders>
              <w:top w:val="single" w:sz="12" w:space="0" w:color="339966"/>
              <w:left w:val="nil"/>
              <w:bottom w:val="single" w:sz="12" w:space="0" w:color="339966"/>
              <w:right w:val="nil"/>
            </w:tcBorders>
            <w:vAlign w:val="center"/>
            <w:hideMark/>
          </w:tcPr>
          <w:p w14:paraId="3B95E0EB" w14:textId="77777777" w:rsidR="0095360C" w:rsidRPr="003839D1" w:rsidRDefault="0095360C" w:rsidP="0095360C">
            <w:pPr>
              <w:tabs>
                <w:tab w:val="clear" w:pos="7100"/>
              </w:tabs>
              <w:spacing w:line="240" w:lineRule="auto"/>
              <w:jc w:val="left"/>
              <w:rPr>
                <w:rFonts w:cs="Arial"/>
                <w:b/>
                <w:bCs/>
                <w:color w:val="000000"/>
                <w:sz w:val="14"/>
                <w:szCs w:val="14"/>
                <w:lang w:val="en-US" w:eastAsia="es-PE"/>
              </w:rPr>
            </w:pPr>
          </w:p>
        </w:tc>
        <w:tc>
          <w:tcPr>
            <w:tcW w:w="118" w:type="pct"/>
            <w:tcBorders>
              <w:top w:val="nil"/>
              <w:left w:val="nil"/>
              <w:bottom w:val="single" w:sz="12" w:space="0" w:color="339966"/>
              <w:right w:val="nil"/>
            </w:tcBorders>
            <w:shd w:val="clear" w:color="auto" w:fill="auto"/>
            <w:noWrap/>
            <w:vAlign w:val="center"/>
            <w:hideMark/>
          </w:tcPr>
          <w:p w14:paraId="7FE268E4"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 </w:t>
            </w:r>
          </w:p>
        </w:tc>
        <w:tc>
          <w:tcPr>
            <w:tcW w:w="206" w:type="pct"/>
            <w:tcBorders>
              <w:top w:val="nil"/>
              <w:left w:val="nil"/>
              <w:bottom w:val="single" w:sz="12" w:space="0" w:color="339966"/>
              <w:right w:val="nil"/>
            </w:tcBorders>
            <w:shd w:val="clear" w:color="auto" w:fill="auto"/>
            <w:noWrap/>
            <w:vAlign w:val="center"/>
            <w:hideMark/>
          </w:tcPr>
          <w:p w14:paraId="2BDEE4A5"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Aug</w:t>
            </w:r>
          </w:p>
        </w:tc>
        <w:tc>
          <w:tcPr>
            <w:tcW w:w="225" w:type="pct"/>
            <w:tcBorders>
              <w:top w:val="nil"/>
              <w:left w:val="nil"/>
              <w:bottom w:val="single" w:sz="12" w:space="0" w:color="339966"/>
              <w:right w:val="nil"/>
            </w:tcBorders>
            <w:shd w:val="clear" w:color="auto" w:fill="auto"/>
            <w:noWrap/>
            <w:vAlign w:val="center"/>
            <w:hideMark/>
          </w:tcPr>
          <w:p w14:paraId="20F6647C"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Sept</w:t>
            </w:r>
          </w:p>
        </w:tc>
        <w:tc>
          <w:tcPr>
            <w:tcW w:w="185" w:type="pct"/>
            <w:tcBorders>
              <w:top w:val="nil"/>
              <w:left w:val="nil"/>
              <w:bottom w:val="single" w:sz="12" w:space="0" w:color="339966"/>
              <w:right w:val="nil"/>
            </w:tcBorders>
            <w:shd w:val="clear" w:color="auto" w:fill="auto"/>
            <w:noWrap/>
            <w:vAlign w:val="center"/>
            <w:hideMark/>
          </w:tcPr>
          <w:p w14:paraId="2779BB05"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Oct</w:t>
            </w:r>
          </w:p>
        </w:tc>
        <w:tc>
          <w:tcPr>
            <w:tcW w:w="202" w:type="pct"/>
            <w:tcBorders>
              <w:top w:val="nil"/>
              <w:left w:val="nil"/>
              <w:bottom w:val="single" w:sz="12" w:space="0" w:color="339966"/>
              <w:right w:val="nil"/>
            </w:tcBorders>
            <w:shd w:val="clear" w:color="auto" w:fill="auto"/>
            <w:noWrap/>
            <w:vAlign w:val="center"/>
            <w:hideMark/>
          </w:tcPr>
          <w:p w14:paraId="04087DB8"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Nov</w:t>
            </w:r>
          </w:p>
        </w:tc>
        <w:tc>
          <w:tcPr>
            <w:tcW w:w="198" w:type="pct"/>
            <w:tcBorders>
              <w:top w:val="nil"/>
              <w:left w:val="nil"/>
              <w:bottom w:val="single" w:sz="12" w:space="0" w:color="339966"/>
              <w:right w:val="nil"/>
            </w:tcBorders>
            <w:shd w:val="clear" w:color="auto" w:fill="auto"/>
            <w:noWrap/>
            <w:vAlign w:val="center"/>
            <w:hideMark/>
          </w:tcPr>
          <w:p w14:paraId="54CBB995"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Dec</w:t>
            </w:r>
          </w:p>
        </w:tc>
        <w:tc>
          <w:tcPr>
            <w:tcW w:w="190" w:type="pct"/>
            <w:tcBorders>
              <w:top w:val="nil"/>
              <w:left w:val="nil"/>
              <w:bottom w:val="single" w:sz="12" w:space="0" w:color="339966"/>
              <w:right w:val="nil"/>
            </w:tcBorders>
            <w:shd w:val="clear" w:color="auto" w:fill="auto"/>
            <w:noWrap/>
            <w:vAlign w:val="center"/>
            <w:hideMark/>
          </w:tcPr>
          <w:p w14:paraId="269B7CBF"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Jan</w:t>
            </w:r>
          </w:p>
        </w:tc>
        <w:tc>
          <w:tcPr>
            <w:tcW w:w="194" w:type="pct"/>
            <w:tcBorders>
              <w:top w:val="nil"/>
              <w:left w:val="nil"/>
              <w:bottom w:val="single" w:sz="12" w:space="0" w:color="339966"/>
              <w:right w:val="nil"/>
            </w:tcBorders>
            <w:shd w:val="clear" w:color="auto" w:fill="auto"/>
            <w:noWrap/>
            <w:vAlign w:val="center"/>
            <w:hideMark/>
          </w:tcPr>
          <w:p w14:paraId="360D6947"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Feb</w:t>
            </w:r>
          </w:p>
        </w:tc>
        <w:tc>
          <w:tcPr>
            <w:tcW w:w="194" w:type="pct"/>
            <w:tcBorders>
              <w:top w:val="nil"/>
              <w:left w:val="nil"/>
              <w:bottom w:val="single" w:sz="12" w:space="0" w:color="339966"/>
              <w:right w:val="nil"/>
            </w:tcBorders>
            <w:shd w:val="clear" w:color="auto" w:fill="auto"/>
            <w:noWrap/>
            <w:vAlign w:val="center"/>
            <w:hideMark/>
          </w:tcPr>
          <w:p w14:paraId="3B8CA3FB"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Mar</w:t>
            </w:r>
          </w:p>
        </w:tc>
        <w:tc>
          <w:tcPr>
            <w:tcW w:w="236" w:type="pct"/>
            <w:tcBorders>
              <w:top w:val="nil"/>
              <w:left w:val="nil"/>
              <w:bottom w:val="single" w:sz="12" w:space="0" w:color="339966"/>
              <w:right w:val="nil"/>
            </w:tcBorders>
            <w:shd w:val="clear" w:color="auto" w:fill="auto"/>
            <w:noWrap/>
            <w:vAlign w:val="center"/>
            <w:hideMark/>
          </w:tcPr>
          <w:p w14:paraId="1D7BB033"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April</w:t>
            </w:r>
          </w:p>
        </w:tc>
        <w:tc>
          <w:tcPr>
            <w:tcW w:w="206" w:type="pct"/>
            <w:tcBorders>
              <w:top w:val="nil"/>
              <w:left w:val="nil"/>
              <w:bottom w:val="single" w:sz="12" w:space="0" w:color="339966"/>
              <w:right w:val="nil"/>
            </w:tcBorders>
            <w:shd w:val="clear" w:color="auto" w:fill="auto"/>
            <w:noWrap/>
            <w:vAlign w:val="center"/>
            <w:hideMark/>
          </w:tcPr>
          <w:p w14:paraId="2D234A1A"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May</w:t>
            </w:r>
          </w:p>
        </w:tc>
        <w:tc>
          <w:tcPr>
            <w:tcW w:w="194" w:type="pct"/>
            <w:tcBorders>
              <w:top w:val="nil"/>
              <w:left w:val="nil"/>
              <w:bottom w:val="single" w:sz="12" w:space="0" w:color="339966"/>
              <w:right w:val="nil"/>
            </w:tcBorders>
            <w:shd w:val="clear" w:color="auto" w:fill="auto"/>
            <w:noWrap/>
            <w:vAlign w:val="center"/>
            <w:hideMark/>
          </w:tcPr>
          <w:p w14:paraId="3DDE9C6A"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Jun</w:t>
            </w:r>
          </w:p>
        </w:tc>
        <w:tc>
          <w:tcPr>
            <w:tcW w:w="170" w:type="pct"/>
            <w:tcBorders>
              <w:top w:val="nil"/>
              <w:left w:val="nil"/>
              <w:bottom w:val="single" w:sz="12" w:space="0" w:color="339966"/>
              <w:right w:val="nil"/>
            </w:tcBorders>
            <w:shd w:val="clear" w:color="auto" w:fill="auto"/>
            <w:noWrap/>
            <w:vAlign w:val="center"/>
            <w:hideMark/>
          </w:tcPr>
          <w:p w14:paraId="2023679A"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Jul</w:t>
            </w:r>
          </w:p>
        </w:tc>
        <w:tc>
          <w:tcPr>
            <w:tcW w:w="247" w:type="pct"/>
            <w:tcBorders>
              <w:top w:val="nil"/>
              <w:left w:val="nil"/>
              <w:bottom w:val="single" w:sz="12" w:space="0" w:color="339966"/>
              <w:right w:val="single" w:sz="4" w:space="0" w:color="339966"/>
            </w:tcBorders>
            <w:shd w:val="clear" w:color="auto" w:fill="auto"/>
            <w:noWrap/>
            <w:vAlign w:val="center"/>
            <w:hideMark/>
          </w:tcPr>
          <w:p w14:paraId="094A314D" w14:textId="77777777" w:rsidR="0095360C" w:rsidRPr="003839D1" w:rsidRDefault="0095360C" w:rsidP="0095360C">
            <w:pPr>
              <w:tabs>
                <w:tab w:val="clear" w:pos="7100"/>
              </w:tabs>
              <w:spacing w:line="240" w:lineRule="auto"/>
              <w:jc w:val="center"/>
              <w:rPr>
                <w:rFonts w:cs="Arial"/>
                <w:b/>
                <w:bCs/>
                <w:color w:val="000000"/>
                <w:sz w:val="10"/>
                <w:szCs w:val="10"/>
                <w:lang w:val="en-US" w:eastAsia="es-PE"/>
              </w:rPr>
            </w:pPr>
            <w:r w:rsidRPr="003839D1">
              <w:rPr>
                <w:rFonts w:cs="Arial"/>
                <w:b/>
                <w:bCs/>
                <w:color w:val="000000"/>
                <w:sz w:val="10"/>
                <w:szCs w:val="10"/>
                <w:lang w:val="en-US" w:eastAsia="es-PE"/>
              </w:rPr>
              <w:t>Total</w:t>
            </w:r>
          </w:p>
        </w:tc>
        <w:tc>
          <w:tcPr>
            <w:tcW w:w="327" w:type="pct"/>
            <w:tcBorders>
              <w:top w:val="nil"/>
              <w:left w:val="nil"/>
              <w:bottom w:val="single" w:sz="12" w:space="0" w:color="339966"/>
              <w:right w:val="nil"/>
            </w:tcBorders>
            <w:shd w:val="clear" w:color="auto" w:fill="auto"/>
            <w:vAlign w:val="center"/>
            <w:hideMark/>
          </w:tcPr>
          <w:p w14:paraId="7E520CD8" w14:textId="77777777" w:rsidR="0095360C" w:rsidRPr="003839D1" w:rsidRDefault="0095360C" w:rsidP="0095360C">
            <w:pPr>
              <w:tabs>
                <w:tab w:val="clear" w:pos="7100"/>
              </w:tabs>
              <w:spacing w:line="240" w:lineRule="auto"/>
              <w:jc w:val="center"/>
              <w:rPr>
                <w:rFonts w:cs="Arial"/>
                <w:b/>
                <w:bCs/>
                <w:color w:val="000000"/>
                <w:sz w:val="14"/>
                <w:szCs w:val="14"/>
                <w:lang w:val="en-US" w:eastAsia="es-PE"/>
              </w:rPr>
            </w:pPr>
            <w:r w:rsidRPr="003839D1">
              <w:rPr>
                <w:rFonts w:cs="Arial"/>
                <w:b/>
                <w:bCs/>
                <w:color w:val="000000"/>
                <w:sz w:val="14"/>
                <w:szCs w:val="14"/>
                <w:lang w:val="en-US" w:eastAsia="es-PE"/>
              </w:rPr>
              <w:t>REAL%</w:t>
            </w:r>
          </w:p>
        </w:tc>
      </w:tr>
      <w:tr w:rsidR="0095360C" w:rsidRPr="003839D1" w14:paraId="02A73BC9" w14:textId="77777777" w:rsidTr="0095360C">
        <w:trPr>
          <w:trHeight w:val="282"/>
        </w:trPr>
        <w:tc>
          <w:tcPr>
            <w:tcW w:w="477" w:type="pct"/>
            <w:vMerge w:val="restart"/>
            <w:tcBorders>
              <w:top w:val="nil"/>
              <w:left w:val="nil"/>
              <w:bottom w:val="single" w:sz="12" w:space="0" w:color="339966"/>
              <w:right w:val="nil"/>
            </w:tcBorders>
            <w:shd w:val="clear" w:color="auto" w:fill="auto"/>
            <w:vAlign w:val="center"/>
            <w:hideMark/>
          </w:tcPr>
          <w:p w14:paraId="698FE4A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Verify compliance with standards, procedures and controls required to strengthen the safety and health system and achieve the objectives set</w:t>
            </w:r>
          </w:p>
        </w:tc>
        <w:tc>
          <w:tcPr>
            <w:tcW w:w="522" w:type="pct"/>
            <w:vMerge w:val="restart"/>
            <w:tcBorders>
              <w:top w:val="nil"/>
              <w:left w:val="nil"/>
              <w:bottom w:val="nil"/>
              <w:right w:val="nil"/>
            </w:tcBorders>
            <w:shd w:val="clear" w:color="auto" w:fill="auto"/>
            <w:vAlign w:val="center"/>
            <w:hideMark/>
          </w:tcPr>
          <w:p w14:paraId="50444E56"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Internal audit</w:t>
            </w:r>
          </w:p>
        </w:tc>
        <w:tc>
          <w:tcPr>
            <w:tcW w:w="429" w:type="pct"/>
            <w:vMerge w:val="restart"/>
            <w:tcBorders>
              <w:top w:val="nil"/>
              <w:left w:val="nil"/>
              <w:bottom w:val="nil"/>
              <w:right w:val="nil"/>
            </w:tcBorders>
            <w:shd w:val="clear" w:color="auto" w:fill="auto"/>
            <w:vAlign w:val="center"/>
            <w:hideMark/>
          </w:tcPr>
          <w:p w14:paraId="677E076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Audit will be conducted</w:t>
            </w:r>
          </w:p>
        </w:tc>
        <w:tc>
          <w:tcPr>
            <w:tcW w:w="482" w:type="pct"/>
            <w:vMerge w:val="restart"/>
            <w:tcBorders>
              <w:top w:val="nil"/>
              <w:left w:val="nil"/>
              <w:bottom w:val="nil"/>
              <w:right w:val="nil"/>
            </w:tcBorders>
            <w:shd w:val="clear" w:color="auto" w:fill="auto"/>
            <w:vAlign w:val="center"/>
            <w:hideMark/>
          </w:tcPr>
          <w:p w14:paraId="68EE727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1EAA826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E5A236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25" w:type="pct"/>
            <w:tcBorders>
              <w:top w:val="nil"/>
              <w:left w:val="nil"/>
              <w:bottom w:val="nil"/>
              <w:right w:val="nil"/>
            </w:tcBorders>
            <w:shd w:val="clear" w:color="auto" w:fill="auto"/>
            <w:noWrap/>
            <w:vAlign w:val="center"/>
            <w:hideMark/>
          </w:tcPr>
          <w:p w14:paraId="330C184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85" w:type="pct"/>
            <w:tcBorders>
              <w:top w:val="nil"/>
              <w:left w:val="nil"/>
              <w:bottom w:val="nil"/>
              <w:right w:val="nil"/>
            </w:tcBorders>
            <w:shd w:val="clear" w:color="auto" w:fill="auto"/>
            <w:noWrap/>
            <w:vAlign w:val="center"/>
            <w:hideMark/>
          </w:tcPr>
          <w:p w14:paraId="720C460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02" w:type="pct"/>
            <w:tcBorders>
              <w:top w:val="nil"/>
              <w:left w:val="nil"/>
              <w:bottom w:val="nil"/>
              <w:right w:val="nil"/>
            </w:tcBorders>
            <w:shd w:val="clear" w:color="auto" w:fill="auto"/>
            <w:noWrap/>
            <w:vAlign w:val="center"/>
            <w:hideMark/>
          </w:tcPr>
          <w:p w14:paraId="5BE7DD3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8" w:type="pct"/>
            <w:tcBorders>
              <w:top w:val="nil"/>
              <w:left w:val="nil"/>
              <w:bottom w:val="nil"/>
              <w:right w:val="nil"/>
            </w:tcBorders>
            <w:shd w:val="clear" w:color="auto" w:fill="auto"/>
            <w:noWrap/>
            <w:vAlign w:val="center"/>
            <w:hideMark/>
          </w:tcPr>
          <w:p w14:paraId="691DD93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0" w:type="pct"/>
            <w:tcBorders>
              <w:top w:val="nil"/>
              <w:left w:val="nil"/>
              <w:bottom w:val="nil"/>
              <w:right w:val="nil"/>
            </w:tcBorders>
            <w:shd w:val="clear" w:color="auto" w:fill="auto"/>
            <w:noWrap/>
            <w:vAlign w:val="center"/>
            <w:hideMark/>
          </w:tcPr>
          <w:p w14:paraId="3922540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4" w:type="pct"/>
            <w:tcBorders>
              <w:top w:val="nil"/>
              <w:left w:val="nil"/>
              <w:bottom w:val="nil"/>
              <w:right w:val="nil"/>
            </w:tcBorders>
            <w:shd w:val="clear" w:color="auto" w:fill="auto"/>
            <w:noWrap/>
            <w:vAlign w:val="center"/>
            <w:hideMark/>
          </w:tcPr>
          <w:p w14:paraId="74FEEDA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72F020B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01231E4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3B4CC2D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4" w:type="pct"/>
            <w:tcBorders>
              <w:top w:val="nil"/>
              <w:left w:val="nil"/>
              <w:bottom w:val="nil"/>
              <w:right w:val="nil"/>
            </w:tcBorders>
            <w:shd w:val="clear" w:color="auto" w:fill="auto"/>
            <w:noWrap/>
            <w:vAlign w:val="center"/>
            <w:hideMark/>
          </w:tcPr>
          <w:p w14:paraId="0ADB651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70" w:type="pct"/>
            <w:tcBorders>
              <w:top w:val="nil"/>
              <w:left w:val="nil"/>
              <w:bottom w:val="nil"/>
              <w:right w:val="nil"/>
            </w:tcBorders>
            <w:shd w:val="clear" w:color="auto" w:fill="auto"/>
            <w:noWrap/>
            <w:vAlign w:val="center"/>
            <w:hideMark/>
          </w:tcPr>
          <w:p w14:paraId="1DC0C32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47" w:type="pct"/>
            <w:tcBorders>
              <w:top w:val="nil"/>
              <w:left w:val="nil"/>
              <w:bottom w:val="nil"/>
              <w:right w:val="nil"/>
            </w:tcBorders>
            <w:shd w:val="clear" w:color="auto" w:fill="auto"/>
            <w:noWrap/>
            <w:vAlign w:val="center"/>
            <w:hideMark/>
          </w:tcPr>
          <w:p w14:paraId="070C36D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7AA0B75C"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03F9A022" w14:textId="77777777" w:rsidTr="0095360C">
        <w:trPr>
          <w:trHeight w:val="420"/>
        </w:trPr>
        <w:tc>
          <w:tcPr>
            <w:tcW w:w="477" w:type="pct"/>
            <w:vMerge/>
            <w:tcBorders>
              <w:top w:val="nil"/>
              <w:left w:val="nil"/>
              <w:bottom w:val="single" w:sz="12" w:space="0" w:color="339966"/>
              <w:right w:val="nil"/>
            </w:tcBorders>
            <w:vAlign w:val="center"/>
            <w:hideMark/>
          </w:tcPr>
          <w:p w14:paraId="64AD4F21"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67C19F4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0A081BB2"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741B3847"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534AF9F9"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7E649AC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493800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59A3EA1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058EBF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E62557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4D75F9D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1FFABE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087309E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40507B6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6A99E72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D45450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55767F3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3DFBB1C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7BE10E97"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6D69986C" w14:textId="77777777" w:rsidTr="0095360C">
        <w:trPr>
          <w:trHeight w:val="390"/>
        </w:trPr>
        <w:tc>
          <w:tcPr>
            <w:tcW w:w="477" w:type="pct"/>
            <w:vMerge/>
            <w:tcBorders>
              <w:top w:val="nil"/>
              <w:left w:val="nil"/>
              <w:bottom w:val="single" w:sz="12" w:space="0" w:color="339966"/>
              <w:right w:val="nil"/>
            </w:tcBorders>
            <w:vAlign w:val="center"/>
            <w:hideMark/>
          </w:tcPr>
          <w:p w14:paraId="1A80F3C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6014A7FA"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External audit</w:t>
            </w:r>
          </w:p>
        </w:tc>
        <w:tc>
          <w:tcPr>
            <w:tcW w:w="429" w:type="pct"/>
            <w:vMerge w:val="restart"/>
            <w:tcBorders>
              <w:top w:val="nil"/>
              <w:left w:val="nil"/>
              <w:bottom w:val="nil"/>
              <w:right w:val="nil"/>
            </w:tcBorders>
            <w:shd w:val="clear" w:color="auto" w:fill="auto"/>
            <w:vAlign w:val="center"/>
            <w:hideMark/>
          </w:tcPr>
          <w:p w14:paraId="137D12B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Audit will be conducted</w:t>
            </w:r>
          </w:p>
        </w:tc>
        <w:tc>
          <w:tcPr>
            <w:tcW w:w="482" w:type="pct"/>
            <w:vMerge w:val="restart"/>
            <w:tcBorders>
              <w:top w:val="nil"/>
              <w:left w:val="nil"/>
              <w:bottom w:val="nil"/>
              <w:right w:val="nil"/>
            </w:tcBorders>
            <w:shd w:val="clear" w:color="auto" w:fill="auto"/>
            <w:vAlign w:val="center"/>
            <w:hideMark/>
          </w:tcPr>
          <w:p w14:paraId="4044AC3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OSH Supervisor and Company personnel</w:t>
            </w:r>
          </w:p>
        </w:tc>
        <w:tc>
          <w:tcPr>
            <w:tcW w:w="118" w:type="pct"/>
            <w:tcBorders>
              <w:top w:val="nil"/>
              <w:left w:val="nil"/>
              <w:bottom w:val="nil"/>
              <w:right w:val="nil"/>
            </w:tcBorders>
            <w:shd w:val="clear" w:color="auto" w:fill="auto"/>
            <w:noWrap/>
            <w:vAlign w:val="center"/>
            <w:hideMark/>
          </w:tcPr>
          <w:p w14:paraId="25904FE4"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2C55AC5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6DC1E05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1C78BA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1F451B5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3936059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68811B7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C06909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62E7040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5393037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49F9EF6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461710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793AA92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A784E8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54697991"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0E44B47B" w14:textId="77777777" w:rsidTr="0095360C">
        <w:trPr>
          <w:trHeight w:val="600"/>
        </w:trPr>
        <w:tc>
          <w:tcPr>
            <w:tcW w:w="477" w:type="pct"/>
            <w:vMerge/>
            <w:tcBorders>
              <w:top w:val="nil"/>
              <w:left w:val="nil"/>
              <w:bottom w:val="single" w:sz="12" w:space="0" w:color="339966"/>
              <w:right w:val="nil"/>
            </w:tcBorders>
            <w:vAlign w:val="center"/>
            <w:hideMark/>
          </w:tcPr>
          <w:p w14:paraId="070964E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0E7049D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04CD4367"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519F83C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6F8F86CA"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7032EC3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6C9DDFE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7FA3E24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4D2DC37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FB1AE0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0E6E736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E4CF72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9B16AE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165E14E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3255A41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A85A21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3A8E12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0D1FB2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229D7957"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2262D796" w14:textId="77777777" w:rsidTr="0095360C">
        <w:trPr>
          <w:trHeight w:val="199"/>
        </w:trPr>
        <w:tc>
          <w:tcPr>
            <w:tcW w:w="477" w:type="pct"/>
            <w:vMerge/>
            <w:tcBorders>
              <w:top w:val="nil"/>
              <w:left w:val="nil"/>
              <w:bottom w:val="single" w:sz="12" w:space="0" w:color="339966"/>
              <w:right w:val="nil"/>
            </w:tcBorders>
            <w:vAlign w:val="center"/>
            <w:hideMark/>
          </w:tcPr>
          <w:p w14:paraId="7CCC9D2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50B61CDD"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Physical Agent Monitoring: Noise</w:t>
            </w:r>
          </w:p>
        </w:tc>
        <w:tc>
          <w:tcPr>
            <w:tcW w:w="429" w:type="pct"/>
            <w:vMerge w:val="restart"/>
            <w:tcBorders>
              <w:top w:val="nil"/>
              <w:left w:val="nil"/>
              <w:bottom w:val="nil"/>
              <w:right w:val="nil"/>
            </w:tcBorders>
            <w:shd w:val="clear" w:color="auto" w:fill="auto"/>
            <w:vAlign w:val="center"/>
            <w:hideMark/>
          </w:tcPr>
          <w:p w14:paraId="757E249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To carry out at the factory´s facilities</w:t>
            </w:r>
          </w:p>
        </w:tc>
        <w:tc>
          <w:tcPr>
            <w:tcW w:w="482" w:type="pct"/>
            <w:vMerge w:val="restart"/>
            <w:tcBorders>
              <w:top w:val="nil"/>
              <w:left w:val="nil"/>
              <w:bottom w:val="nil"/>
              <w:right w:val="nil"/>
            </w:tcBorders>
            <w:shd w:val="clear" w:color="auto" w:fill="auto"/>
            <w:vAlign w:val="center"/>
            <w:hideMark/>
          </w:tcPr>
          <w:p w14:paraId="034DF08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60110557"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806D17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089DD00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2942F05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80C0CB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51513FD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350A259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151FF6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1C1016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0460334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799BD04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99146E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055AA89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0201C4E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18EB9FEC"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13CD4938" w14:textId="77777777" w:rsidTr="0095360C">
        <w:trPr>
          <w:trHeight w:val="495"/>
        </w:trPr>
        <w:tc>
          <w:tcPr>
            <w:tcW w:w="477" w:type="pct"/>
            <w:vMerge/>
            <w:tcBorders>
              <w:top w:val="nil"/>
              <w:left w:val="nil"/>
              <w:bottom w:val="single" w:sz="12" w:space="0" w:color="339966"/>
              <w:right w:val="nil"/>
            </w:tcBorders>
            <w:vAlign w:val="center"/>
            <w:hideMark/>
          </w:tcPr>
          <w:p w14:paraId="44F55E7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14361EA7"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7B42A63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46EF52A3"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66421C24"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113E849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26727EB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1172DEE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EDD5FB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0DAEB51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0267297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AAEDE2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18E285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35AD45E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535E80C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B7F73C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388EA6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0694BD0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13252A1D"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7D3F11B7" w14:textId="77777777" w:rsidTr="0095360C">
        <w:trPr>
          <w:trHeight w:val="300"/>
        </w:trPr>
        <w:tc>
          <w:tcPr>
            <w:tcW w:w="477" w:type="pct"/>
            <w:vMerge/>
            <w:tcBorders>
              <w:top w:val="nil"/>
              <w:left w:val="nil"/>
              <w:bottom w:val="single" w:sz="12" w:space="0" w:color="339966"/>
              <w:right w:val="nil"/>
            </w:tcBorders>
            <w:vAlign w:val="center"/>
            <w:hideMark/>
          </w:tcPr>
          <w:p w14:paraId="457EA30A"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26418B3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Physical Agent Monitoring: Luminosity</w:t>
            </w:r>
          </w:p>
        </w:tc>
        <w:tc>
          <w:tcPr>
            <w:tcW w:w="429" w:type="pct"/>
            <w:vMerge w:val="restart"/>
            <w:tcBorders>
              <w:top w:val="nil"/>
              <w:left w:val="nil"/>
              <w:bottom w:val="nil"/>
              <w:right w:val="nil"/>
            </w:tcBorders>
            <w:shd w:val="clear" w:color="auto" w:fill="auto"/>
            <w:vAlign w:val="center"/>
            <w:hideMark/>
          </w:tcPr>
          <w:p w14:paraId="3B870CA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To carry out at the factory´s facilities</w:t>
            </w:r>
          </w:p>
        </w:tc>
        <w:tc>
          <w:tcPr>
            <w:tcW w:w="482" w:type="pct"/>
            <w:vMerge w:val="restart"/>
            <w:tcBorders>
              <w:top w:val="nil"/>
              <w:left w:val="nil"/>
              <w:bottom w:val="nil"/>
              <w:right w:val="nil"/>
            </w:tcBorders>
            <w:shd w:val="clear" w:color="auto" w:fill="auto"/>
            <w:vAlign w:val="center"/>
            <w:hideMark/>
          </w:tcPr>
          <w:p w14:paraId="46FE5C8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2730A7C6"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10A10CA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0D6F459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0CCE94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501D15B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06D6E2A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7CC2D9F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A2FDD3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947ACE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4DC0ECC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7D48D72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E73B25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678E6B8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DC020D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2EB8A92E"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2425F825" w14:textId="77777777" w:rsidTr="0095360C">
        <w:trPr>
          <w:trHeight w:val="390"/>
        </w:trPr>
        <w:tc>
          <w:tcPr>
            <w:tcW w:w="477" w:type="pct"/>
            <w:vMerge/>
            <w:tcBorders>
              <w:top w:val="nil"/>
              <w:left w:val="nil"/>
              <w:bottom w:val="single" w:sz="12" w:space="0" w:color="339966"/>
              <w:right w:val="nil"/>
            </w:tcBorders>
            <w:vAlign w:val="center"/>
            <w:hideMark/>
          </w:tcPr>
          <w:p w14:paraId="779788AC"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0B631D9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7473852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0EC8B5DD"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44F5A0B3"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1E22BC7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35A4AEA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9CCB72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D9A0F8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A52A42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7F6F6A0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043081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69A8F7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027E566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43C520D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C89517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3B06202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750CA31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00D91C79"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58BED8AD" w14:textId="77777777" w:rsidTr="0095360C">
        <w:trPr>
          <w:trHeight w:val="300"/>
        </w:trPr>
        <w:tc>
          <w:tcPr>
            <w:tcW w:w="477" w:type="pct"/>
            <w:vMerge/>
            <w:tcBorders>
              <w:top w:val="nil"/>
              <w:left w:val="nil"/>
              <w:bottom w:val="single" w:sz="12" w:space="0" w:color="339966"/>
              <w:right w:val="nil"/>
            </w:tcBorders>
            <w:vAlign w:val="center"/>
            <w:hideMark/>
          </w:tcPr>
          <w:p w14:paraId="5FAD610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19706117"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Monitoring of Chemical  Agents</w:t>
            </w:r>
          </w:p>
        </w:tc>
        <w:tc>
          <w:tcPr>
            <w:tcW w:w="429" w:type="pct"/>
            <w:vMerge w:val="restart"/>
            <w:tcBorders>
              <w:top w:val="nil"/>
              <w:left w:val="nil"/>
              <w:bottom w:val="nil"/>
              <w:right w:val="nil"/>
            </w:tcBorders>
            <w:shd w:val="clear" w:color="auto" w:fill="auto"/>
            <w:vAlign w:val="center"/>
            <w:hideMark/>
          </w:tcPr>
          <w:p w14:paraId="07495DD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To be carry out at the factory´s facilities</w:t>
            </w:r>
          </w:p>
        </w:tc>
        <w:tc>
          <w:tcPr>
            <w:tcW w:w="482" w:type="pct"/>
            <w:vMerge w:val="restart"/>
            <w:tcBorders>
              <w:top w:val="nil"/>
              <w:left w:val="nil"/>
              <w:bottom w:val="nil"/>
              <w:right w:val="nil"/>
            </w:tcBorders>
            <w:shd w:val="clear" w:color="auto" w:fill="auto"/>
            <w:vAlign w:val="center"/>
            <w:hideMark/>
          </w:tcPr>
          <w:p w14:paraId="24A0BFB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45E7B070"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6468942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1B0953D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FE35D7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608574B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7ADAC20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35527FE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9028AD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194B7C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315B92E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211E9B0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E2F2F5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633812D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7937B41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6903FAF1"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50E98D6C" w14:textId="77777777" w:rsidTr="0095360C">
        <w:trPr>
          <w:trHeight w:val="360"/>
        </w:trPr>
        <w:tc>
          <w:tcPr>
            <w:tcW w:w="477" w:type="pct"/>
            <w:vMerge/>
            <w:tcBorders>
              <w:top w:val="nil"/>
              <w:left w:val="nil"/>
              <w:bottom w:val="single" w:sz="12" w:space="0" w:color="339966"/>
              <w:right w:val="nil"/>
            </w:tcBorders>
            <w:vAlign w:val="center"/>
            <w:hideMark/>
          </w:tcPr>
          <w:p w14:paraId="2C8B389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7407E21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6D7933EA"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5DC9949D"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19572793"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3F95F26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680C4C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50B3B4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5AEDD2D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70BF010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6A96A7A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0ABA51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3E925E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625F810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04E6DF2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80B0E8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4B38BEC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AFB0C6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6C173217"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3E3B32D0" w14:textId="77777777" w:rsidTr="0095360C">
        <w:trPr>
          <w:trHeight w:val="300"/>
        </w:trPr>
        <w:tc>
          <w:tcPr>
            <w:tcW w:w="477" w:type="pct"/>
            <w:vMerge/>
            <w:tcBorders>
              <w:top w:val="nil"/>
              <w:left w:val="nil"/>
              <w:bottom w:val="single" w:sz="12" w:space="0" w:color="339966"/>
              <w:right w:val="nil"/>
            </w:tcBorders>
            <w:vAlign w:val="center"/>
            <w:hideMark/>
          </w:tcPr>
          <w:p w14:paraId="2AE345D2"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6BFA5E1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Psychosocial Risk Monitoring</w:t>
            </w:r>
          </w:p>
        </w:tc>
        <w:tc>
          <w:tcPr>
            <w:tcW w:w="429" w:type="pct"/>
            <w:vMerge w:val="restart"/>
            <w:tcBorders>
              <w:top w:val="nil"/>
              <w:left w:val="nil"/>
              <w:bottom w:val="nil"/>
              <w:right w:val="nil"/>
            </w:tcBorders>
            <w:shd w:val="clear" w:color="auto" w:fill="auto"/>
            <w:vAlign w:val="center"/>
            <w:hideMark/>
          </w:tcPr>
          <w:p w14:paraId="7EF9235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To carry out at the factory´s facilities</w:t>
            </w:r>
          </w:p>
        </w:tc>
        <w:tc>
          <w:tcPr>
            <w:tcW w:w="482" w:type="pct"/>
            <w:vMerge w:val="restart"/>
            <w:tcBorders>
              <w:top w:val="nil"/>
              <w:left w:val="nil"/>
              <w:bottom w:val="nil"/>
              <w:right w:val="nil"/>
            </w:tcBorders>
            <w:shd w:val="clear" w:color="auto" w:fill="auto"/>
            <w:vAlign w:val="center"/>
            <w:hideMark/>
          </w:tcPr>
          <w:p w14:paraId="36CD082F"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72BFD59A"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44726FA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5332DE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77563B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D7E568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72CAD2C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6A053D0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6028DC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B05140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5CDD63F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345119B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654DF5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2109069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724E9D9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4D01197A"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2F305085" w14:textId="77777777" w:rsidTr="0095360C">
        <w:trPr>
          <w:trHeight w:val="372"/>
        </w:trPr>
        <w:tc>
          <w:tcPr>
            <w:tcW w:w="477" w:type="pct"/>
            <w:vMerge/>
            <w:tcBorders>
              <w:top w:val="nil"/>
              <w:left w:val="nil"/>
              <w:bottom w:val="single" w:sz="12" w:space="0" w:color="339966"/>
              <w:right w:val="nil"/>
            </w:tcBorders>
            <w:vAlign w:val="center"/>
            <w:hideMark/>
          </w:tcPr>
          <w:p w14:paraId="00193912"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62AF236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73EE2BA4"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130D186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786E21E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34185A4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254B9C0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60AD6A4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7D3B07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0F258A5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2E380B0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70C284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8729EC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1042612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5D970B9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6A4463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6726AC2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1A858B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426170C7"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7C9CBCC5" w14:textId="77777777" w:rsidTr="0095360C">
        <w:trPr>
          <w:trHeight w:val="300"/>
        </w:trPr>
        <w:tc>
          <w:tcPr>
            <w:tcW w:w="477" w:type="pct"/>
            <w:vMerge/>
            <w:tcBorders>
              <w:top w:val="nil"/>
              <w:left w:val="nil"/>
              <w:bottom w:val="single" w:sz="12" w:space="0" w:color="339966"/>
              <w:right w:val="nil"/>
            </w:tcBorders>
            <w:vAlign w:val="center"/>
            <w:hideMark/>
          </w:tcPr>
          <w:p w14:paraId="6B8DCA11"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398DE084"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 xml:space="preserve">Monitoring of </w:t>
            </w:r>
            <w:proofErr w:type="spellStart"/>
            <w:r w:rsidRPr="003839D1">
              <w:rPr>
                <w:rFonts w:cs="Arial"/>
                <w:color w:val="000000"/>
                <w:sz w:val="14"/>
                <w:szCs w:val="14"/>
                <w:lang w:val="en-US" w:eastAsia="es-PE"/>
              </w:rPr>
              <w:t>Disergonomic</w:t>
            </w:r>
            <w:proofErr w:type="spellEnd"/>
            <w:r w:rsidRPr="003839D1">
              <w:rPr>
                <w:rFonts w:cs="Arial"/>
                <w:color w:val="000000"/>
                <w:sz w:val="14"/>
                <w:szCs w:val="14"/>
                <w:lang w:val="en-US" w:eastAsia="es-PE"/>
              </w:rPr>
              <w:t xml:space="preserve"> Risk </w:t>
            </w:r>
          </w:p>
        </w:tc>
        <w:tc>
          <w:tcPr>
            <w:tcW w:w="429" w:type="pct"/>
            <w:vMerge w:val="restart"/>
            <w:tcBorders>
              <w:top w:val="nil"/>
              <w:left w:val="nil"/>
              <w:bottom w:val="nil"/>
              <w:right w:val="nil"/>
            </w:tcBorders>
            <w:shd w:val="clear" w:color="auto" w:fill="auto"/>
            <w:vAlign w:val="center"/>
            <w:hideMark/>
          </w:tcPr>
          <w:p w14:paraId="12EB08D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To carry out at the factory´s facilities</w:t>
            </w:r>
          </w:p>
        </w:tc>
        <w:tc>
          <w:tcPr>
            <w:tcW w:w="482" w:type="pct"/>
            <w:vMerge w:val="restart"/>
            <w:tcBorders>
              <w:top w:val="nil"/>
              <w:left w:val="nil"/>
              <w:bottom w:val="nil"/>
              <w:right w:val="nil"/>
            </w:tcBorders>
            <w:shd w:val="clear" w:color="auto" w:fill="auto"/>
            <w:vAlign w:val="center"/>
            <w:hideMark/>
          </w:tcPr>
          <w:p w14:paraId="5DBECE43"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7BFBB5F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2814FA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35D8871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EC4432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5A50CA9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878EF2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027A8A8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220FFB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6FFACF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099B25C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2005C11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7CCD81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28898F5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404CD8E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5F2A80D1"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3708DAA1" w14:textId="77777777" w:rsidTr="0095360C">
        <w:trPr>
          <w:trHeight w:val="570"/>
        </w:trPr>
        <w:tc>
          <w:tcPr>
            <w:tcW w:w="477" w:type="pct"/>
            <w:vMerge/>
            <w:tcBorders>
              <w:top w:val="nil"/>
              <w:left w:val="nil"/>
              <w:bottom w:val="single" w:sz="12" w:space="0" w:color="339966"/>
              <w:right w:val="nil"/>
            </w:tcBorders>
            <w:vAlign w:val="center"/>
            <w:hideMark/>
          </w:tcPr>
          <w:p w14:paraId="2402D28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1B53030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5AA7B453"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6EBDC85D"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01BC8D6D"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398A48D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091858F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618C5F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F6F088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1A698D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4F42C86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00FC04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7507D5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35E4939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1CFF222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2CD4C1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8EDE59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798E227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5CCCC75B"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52D68200" w14:textId="77777777" w:rsidTr="0095360C">
        <w:trPr>
          <w:trHeight w:val="405"/>
        </w:trPr>
        <w:tc>
          <w:tcPr>
            <w:tcW w:w="477" w:type="pct"/>
            <w:vMerge/>
            <w:tcBorders>
              <w:top w:val="nil"/>
              <w:left w:val="nil"/>
              <w:bottom w:val="single" w:sz="12" w:space="0" w:color="339966"/>
              <w:right w:val="nil"/>
            </w:tcBorders>
            <w:vAlign w:val="center"/>
            <w:hideMark/>
          </w:tcPr>
          <w:p w14:paraId="69B833E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5AABB720"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Equipment Inspections, Machines, Tools</w:t>
            </w:r>
          </w:p>
        </w:tc>
        <w:tc>
          <w:tcPr>
            <w:tcW w:w="429" w:type="pct"/>
            <w:vMerge w:val="restart"/>
            <w:tcBorders>
              <w:top w:val="nil"/>
              <w:left w:val="nil"/>
              <w:bottom w:val="nil"/>
              <w:right w:val="nil"/>
            </w:tcBorders>
            <w:shd w:val="clear" w:color="auto" w:fill="auto"/>
            <w:vAlign w:val="center"/>
            <w:hideMark/>
          </w:tcPr>
          <w:p w14:paraId="089D25C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0FBF5DB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3B7B438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2DB145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29A76C0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16E8F58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22045D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2B23FE0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1ED44F5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1F4D1C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820FEA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64D66FC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118B5C6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A654C0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0B21F27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305ED3B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1</w:t>
            </w:r>
          </w:p>
        </w:tc>
        <w:tc>
          <w:tcPr>
            <w:tcW w:w="327" w:type="pct"/>
            <w:tcBorders>
              <w:top w:val="nil"/>
              <w:left w:val="nil"/>
              <w:bottom w:val="nil"/>
              <w:right w:val="nil"/>
            </w:tcBorders>
            <w:shd w:val="clear" w:color="auto" w:fill="auto"/>
            <w:noWrap/>
            <w:vAlign w:val="center"/>
            <w:hideMark/>
          </w:tcPr>
          <w:p w14:paraId="40ECADDB"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2D832039" w14:textId="77777777" w:rsidTr="0095360C">
        <w:trPr>
          <w:trHeight w:val="675"/>
        </w:trPr>
        <w:tc>
          <w:tcPr>
            <w:tcW w:w="477" w:type="pct"/>
            <w:vMerge/>
            <w:tcBorders>
              <w:top w:val="nil"/>
              <w:left w:val="nil"/>
              <w:bottom w:val="single" w:sz="12" w:space="0" w:color="339966"/>
              <w:right w:val="nil"/>
            </w:tcBorders>
            <w:vAlign w:val="center"/>
            <w:hideMark/>
          </w:tcPr>
          <w:p w14:paraId="0A4612D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3D4E927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0A557B1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0C60842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6DBB126D"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3CBED14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F6EE64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5C863EE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2528652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19BD9AA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19E3D55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47B183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15C814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36" w:type="pct"/>
            <w:tcBorders>
              <w:top w:val="nil"/>
              <w:left w:val="nil"/>
              <w:bottom w:val="nil"/>
              <w:right w:val="nil"/>
            </w:tcBorders>
            <w:shd w:val="clear" w:color="auto" w:fill="auto"/>
            <w:noWrap/>
            <w:vAlign w:val="center"/>
            <w:hideMark/>
          </w:tcPr>
          <w:p w14:paraId="24D9047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6" w:type="pct"/>
            <w:tcBorders>
              <w:top w:val="nil"/>
              <w:left w:val="nil"/>
              <w:bottom w:val="nil"/>
              <w:right w:val="nil"/>
            </w:tcBorders>
            <w:shd w:val="clear" w:color="auto" w:fill="auto"/>
            <w:noWrap/>
            <w:vAlign w:val="center"/>
            <w:hideMark/>
          </w:tcPr>
          <w:p w14:paraId="348E455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107063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585CC7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4900AC7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0</w:t>
            </w:r>
          </w:p>
        </w:tc>
        <w:tc>
          <w:tcPr>
            <w:tcW w:w="327" w:type="pct"/>
            <w:tcBorders>
              <w:top w:val="nil"/>
              <w:left w:val="nil"/>
              <w:bottom w:val="nil"/>
              <w:right w:val="nil"/>
            </w:tcBorders>
            <w:shd w:val="clear" w:color="auto" w:fill="auto"/>
            <w:noWrap/>
            <w:vAlign w:val="center"/>
            <w:hideMark/>
          </w:tcPr>
          <w:p w14:paraId="39E551E2"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0%</w:t>
            </w:r>
          </w:p>
        </w:tc>
      </w:tr>
      <w:tr w:rsidR="0095360C" w:rsidRPr="003839D1" w14:paraId="6AB78C7D" w14:textId="77777777" w:rsidTr="0095360C">
        <w:trPr>
          <w:trHeight w:val="420"/>
        </w:trPr>
        <w:tc>
          <w:tcPr>
            <w:tcW w:w="477" w:type="pct"/>
            <w:vMerge/>
            <w:tcBorders>
              <w:top w:val="nil"/>
              <w:left w:val="nil"/>
              <w:bottom w:val="single" w:sz="12" w:space="0" w:color="339966"/>
              <w:right w:val="nil"/>
            </w:tcBorders>
            <w:vAlign w:val="center"/>
            <w:hideMark/>
          </w:tcPr>
          <w:p w14:paraId="1A77EB5F"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000000" w:fill="FFFFFF"/>
            <w:vAlign w:val="center"/>
            <w:hideMark/>
          </w:tcPr>
          <w:p w14:paraId="058D6BFD"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Inspections of lift elements (25)</w:t>
            </w:r>
          </w:p>
        </w:tc>
        <w:tc>
          <w:tcPr>
            <w:tcW w:w="429" w:type="pct"/>
            <w:vMerge w:val="restart"/>
            <w:tcBorders>
              <w:top w:val="nil"/>
              <w:left w:val="nil"/>
              <w:bottom w:val="nil"/>
              <w:right w:val="nil"/>
            </w:tcBorders>
            <w:shd w:val="clear" w:color="auto" w:fill="auto"/>
            <w:vAlign w:val="center"/>
            <w:hideMark/>
          </w:tcPr>
          <w:p w14:paraId="1D747F8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194D6E3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4A89AD03"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1EBF2A0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26BD060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3C9CCAB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661A246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13F34D4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77E93A3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96A64F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11B0E2B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49F5CDF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75EC180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D62E2C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55A3513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756EE81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3AC9CC83"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6CAD8926" w14:textId="77777777" w:rsidTr="0095360C">
        <w:trPr>
          <w:trHeight w:val="435"/>
        </w:trPr>
        <w:tc>
          <w:tcPr>
            <w:tcW w:w="477" w:type="pct"/>
            <w:vMerge/>
            <w:tcBorders>
              <w:top w:val="nil"/>
              <w:left w:val="nil"/>
              <w:bottom w:val="single" w:sz="12" w:space="0" w:color="339966"/>
              <w:right w:val="nil"/>
            </w:tcBorders>
            <w:vAlign w:val="center"/>
            <w:hideMark/>
          </w:tcPr>
          <w:p w14:paraId="1E957B84"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67B04434"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70356324"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4B295DA1"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0CF9C594"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651D7B4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3710568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8D5125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12CCF5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5F1B50F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35FDE01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78A62F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43046A3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1B6A8AF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6161927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73D120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7CE8BFB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080F224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47A3A995"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5DB86C20" w14:textId="77777777" w:rsidTr="0095360C">
        <w:trPr>
          <w:trHeight w:val="390"/>
        </w:trPr>
        <w:tc>
          <w:tcPr>
            <w:tcW w:w="477" w:type="pct"/>
            <w:vMerge/>
            <w:tcBorders>
              <w:top w:val="nil"/>
              <w:left w:val="nil"/>
              <w:bottom w:val="single" w:sz="12" w:space="0" w:color="339966"/>
              <w:right w:val="nil"/>
            </w:tcBorders>
            <w:vAlign w:val="center"/>
            <w:hideMark/>
          </w:tcPr>
          <w:p w14:paraId="587376B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000000" w:fill="FFFFFF"/>
            <w:vAlign w:val="center"/>
            <w:hideMark/>
          </w:tcPr>
          <w:p w14:paraId="609DD9FD"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Control of fire extinguishers (13)</w:t>
            </w:r>
          </w:p>
        </w:tc>
        <w:tc>
          <w:tcPr>
            <w:tcW w:w="429" w:type="pct"/>
            <w:vMerge w:val="restart"/>
            <w:tcBorders>
              <w:top w:val="nil"/>
              <w:left w:val="nil"/>
              <w:bottom w:val="nil"/>
              <w:right w:val="nil"/>
            </w:tcBorders>
            <w:shd w:val="clear" w:color="auto" w:fill="auto"/>
            <w:vAlign w:val="center"/>
            <w:hideMark/>
          </w:tcPr>
          <w:p w14:paraId="22C0AFC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552347B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roofErr w:type="spellStart"/>
            <w:r w:rsidRPr="003839D1">
              <w:rPr>
                <w:rFonts w:cs="Arial"/>
                <w:color w:val="000000"/>
                <w:sz w:val="14"/>
                <w:szCs w:val="14"/>
                <w:lang w:val="en-US" w:eastAsia="es-PE"/>
              </w:rPr>
              <w:t>Semisa</w:t>
            </w:r>
            <w:proofErr w:type="spellEnd"/>
            <w:r w:rsidRPr="003839D1">
              <w:rPr>
                <w:rFonts w:cs="Arial"/>
                <w:color w:val="000000"/>
                <w:sz w:val="14"/>
                <w:szCs w:val="14"/>
                <w:lang w:val="en-US" w:eastAsia="es-PE"/>
              </w:rPr>
              <w:t xml:space="preserve"> Company personnel</w:t>
            </w:r>
          </w:p>
        </w:tc>
        <w:tc>
          <w:tcPr>
            <w:tcW w:w="118" w:type="pct"/>
            <w:tcBorders>
              <w:top w:val="nil"/>
              <w:left w:val="nil"/>
              <w:bottom w:val="nil"/>
              <w:right w:val="nil"/>
            </w:tcBorders>
            <w:shd w:val="clear" w:color="auto" w:fill="auto"/>
            <w:noWrap/>
            <w:vAlign w:val="center"/>
            <w:hideMark/>
          </w:tcPr>
          <w:p w14:paraId="4583380F"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560A659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67E889B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5EF89B0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260626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46AC548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5C34691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1B1376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66A666C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18C167F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4EBD29E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9FD098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0B62BFD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66660EA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744D8A1D"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18A7D808" w14:textId="77777777" w:rsidTr="0095360C">
        <w:trPr>
          <w:trHeight w:val="345"/>
        </w:trPr>
        <w:tc>
          <w:tcPr>
            <w:tcW w:w="477" w:type="pct"/>
            <w:vMerge/>
            <w:tcBorders>
              <w:top w:val="nil"/>
              <w:left w:val="nil"/>
              <w:bottom w:val="single" w:sz="12" w:space="0" w:color="339966"/>
              <w:right w:val="nil"/>
            </w:tcBorders>
            <w:vAlign w:val="center"/>
            <w:hideMark/>
          </w:tcPr>
          <w:p w14:paraId="0718EF8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62AACB96"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4D5131C0"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3EEE810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5ED96B38"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55F3369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6E81D9E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69162B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1284BA4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08EA3D2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1D3916C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22C863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7125103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35EB147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167C41C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7F4BD3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430B06B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190CCB3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1ADC835A"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1B851951" w14:textId="77777777" w:rsidTr="0095360C">
        <w:trPr>
          <w:trHeight w:val="300"/>
        </w:trPr>
        <w:tc>
          <w:tcPr>
            <w:tcW w:w="477" w:type="pct"/>
            <w:vMerge/>
            <w:tcBorders>
              <w:top w:val="nil"/>
              <w:left w:val="nil"/>
              <w:bottom w:val="single" w:sz="12" w:space="0" w:color="339966"/>
              <w:right w:val="nil"/>
            </w:tcBorders>
            <w:vAlign w:val="center"/>
            <w:hideMark/>
          </w:tcPr>
          <w:p w14:paraId="7A17778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000000" w:fill="FFFFFF"/>
            <w:vAlign w:val="center"/>
            <w:hideMark/>
          </w:tcPr>
          <w:p w14:paraId="71527BD1"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Work stations</w:t>
            </w:r>
          </w:p>
        </w:tc>
        <w:tc>
          <w:tcPr>
            <w:tcW w:w="429" w:type="pct"/>
            <w:vMerge w:val="restart"/>
            <w:tcBorders>
              <w:top w:val="nil"/>
              <w:left w:val="nil"/>
              <w:bottom w:val="nil"/>
              <w:right w:val="nil"/>
            </w:tcBorders>
            <w:shd w:val="clear" w:color="auto" w:fill="auto"/>
            <w:vAlign w:val="center"/>
            <w:hideMark/>
          </w:tcPr>
          <w:p w14:paraId="0464FD1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314DE7B8"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Maintenance personnel</w:t>
            </w:r>
          </w:p>
        </w:tc>
        <w:tc>
          <w:tcPr>
            <w:tcW w:w="118" w:type="pct"/>
            <w:tcBorders>
              <w:top w:val="nil"/>
              <w:left w:val="nil"/>
              <w:bottom w:val="nil"/>
              <w:right w:val="nil"/>
            </w:tcBorders>
            <w:shd w:val="clear" w:color="auto" w:fill="auto"/>
            <w:noWrap/>
            <w:vAlign w:val="center"/>
            <w:hideMark/>
          </w:tcPr>
          <w:p w14:paraId="14BF5690"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B68883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443D63E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022EF6F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5EC5AF0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0D8BA6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75749D0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5B8B63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6A3316F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4504403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4F216DC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07E452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730211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2C7352F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5F42AA1E"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0326DD32" w14:textId="77777777" w:rsidTr="0095360C">
        <w:trPr>
          <w:trHeight w:val="225"/>
        </w:trPr>
        <w:tc>
          <w:tcPr>
            <w:tcW w:w="477" w:type="pct"/>
            <w:vMerge/>
            <w:tcBorders>
              <w:top w:val="nil"/>
              <w:left w:val="nil"/>
              <w:bottom w:val="single" w:sz="12" w:space="0" w:color="339966"/>
              <w:right w:val="nil"/>
            </w:tcBorders>
            <w:vAlign w:val="center"/>
            <w:hideMark/>
          </w:tcPr>
          <w:p w14:paraId="5C28F8CA"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2ADD3859"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03C77571"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15F131F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61178AC1"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5F32F1C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4071DC5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6B1FFF2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458B6DE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11050E5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0A02FE8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FEAAD3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59034D8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6EC2F3C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480E5C0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69EC55D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2AA73F1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6D2CA24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645A9C31"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11950679" w14:textId="77777777" w:rsidTr="0095360C">
        <w:trPr>
          <w:trHeight w:val="300"/>
        </w:trPr>
        <w:tc>
          <w:tcPr>
            <w:tcW w:w="477" w:type="pct"/>
            <w:vMerge/>
            <w:tcBorders>
              <w:top w:val="nil"/>
              <w:left w:val="nil"/>
              <w:bottom w:val="single" w:sz="12" w:space="0" w:color="339966"/>
              <w:right w:val="nil"/>
            </w:tcBorders>
            <w:vAlign w:val="center"/>
            <w:hideMark/>
          </w:tcPr>
          <w:p w14:paraId="05006F08"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7CB02B4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Warehouse</w:t>
            </w:r>
          </w:p>
        </w:tc>
        <w:tc>
          <w:tcPr>
            <w:tcW w:w="429" w:type="pct"/>
            <w:vMerge w:val="restart"/>
            <w:tcBorders>
              <w:top w:val="nil"/>
              <w:left w:val="nil"/>
              <w:bottom w:val="nil"/>
              <w:right w:val="nil"/>
            </w:tcBorders>
            <w:shd w:val="clear" w:color="auto" w:fill="auto"/>
            <w:vAlign w:val="center"/>
            <w:hideMark/>
          </w:tcPr>
          <w:p w14:paraId="0D79E59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18697BBE"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Maintenance personnel</w:t>
            </w:r>
          </w:p>
        </w:tc>
        <w:tc>
          <w:tcPr>
            <w:tcW w:w="118" w:type="pct"/>
            <w:tcBorders>
              <w:top w:val="nil"/>
              <w:left w:val="nil"/>
              <w:bottom w:val="nil"/>
              <w:right w:val="nil"/>
            </w:tcBorders>
            <w:shd w:val="clear" w:color="auto" w:fill="auto"/>
            <w:noWrap/>
            <w:vAlign w:val="center"/>
            <w:hideMark/>
          </w:tcPr>
          <w:p w14:paraId="21BCF01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68540B9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B4E244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7FD3ACD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769B5CB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4141E9B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18B02C0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39970AB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72833BC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2F99936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31B8497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5E6D71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03D628B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49E466B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5A448451"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1D874C2D" w14:textId="77777777" w:rsidTr="0095360C">
        <w:trPr>
          <w:trHeight w:val="225"/>
        </w:trPr>
        <w:tc>
          <w:tcPr>
            <w:tcW w:w="477" w:type="pct"/>
            <w:vMerge/>
            <w:tcBorders>
              <w:top w:val="nil"/>
              <w:left w:val="nil"/>
              <w:bottom w:val="single" w:sz="12" w:space="0" w:color="339966"/>
              <w:right w:val="nil"/>
            </w:tcBorders>
            <w:vAlign w:val="center"/>
            <w:hideMark/>
          </w:tcPr>
          <w:p w14:paraId="1D260AC7"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57783E52"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3AFBBB50"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664DB8A3"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4EB1377B"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7FAA4398"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41F01D3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339DE90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4C026D4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14279A5C"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4E59732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58A417D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2A34013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281FF1A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6C86568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78B16D9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49C6859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5FFFA0D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2</w:t>
            </w:r>
          </w:p>
        </w:tc>
        <w:tc>
          <w:tcPr>
            <w:tcW w:w="327" w:type="pct"/>
            <w:tcBorders>
              <w:top w:val="nil"/>
              <w:left w:val="nil"/>
              <w:bottom w:val="nil"/>
              <w:right w:val="nil"/>
            </w:tcBorders>
            <w:shd w:val="clear" w:color="auto" w:fill="auto"/>
            <w:noWrap/>
            <w:vAlign w:val="center"/>
            <w:hideMark/>
          </w:tcPr>
          <w:p w14:paraId="6CCA074F"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3B7389FC" w14:textId="77777777" w:rsidTr="0095360C">
        <w:trPr>
          <w:trHeight w:val="300"/>
        </w:trPr>
        <w:tc>
          <w:tcPr>
            <w:tcW w:w="477" w:type="pct"/>
            <w:vMerge/>
            <w:tcBorders>
              <w:top w:val="nil"/>
              <w:left w:val="nil"/>
              <w:bottom w:val="single" w:sz="12" w:space="0" w:color="339966"/>
              <w:right w:val="nil"/>
            </w:tcBorders>
            <w:vAlign w:val="center"/>
            <w:hideMark/>
          </w:tcPr>
          <w:p w14:paraId="6A82122B"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nil"/>
              <w:right w:val="nil"/>
            </w:tcBorders>
            <w:shd w:val="clear" w:color="auto" w:fill="auto"/>
            <w:vAlign w:val="center"/>
            <w:hideMark/>
          </w:tcPr>
          <w:p w14:paraId="1AFFE1D3"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 xml:space="preserve">Administrative </w:t>
            </w:r>
            <w:proofErr w:type="spellStart"/>
            <w:r w:rsidRPr="003839D1">
              <w:rPr>
                <w:rFonts w:cs="Arial"/>
                <w:color w:val="000000"/>
                <w:sz w:val="14"/>
                <w:szCs w:val="14"/>
                <w:lang w:val="en-US" w:eastAsia="es-PE"/>
              </w:rPr>
              <w:t>Ofices</w:t>
            </w:r>
            <w:proofErr w:type="spellEnd"/>
          </w:p>
        </w:tc>
        <w:tc>
          <w:tcPr>
            <w:tcW w:w="429" w:type="pct"/>
            <w:vMerge w:val="restart"/>
            <w:tcBorders>
              <w:top w:val="nil"/>
              <w:left w:val="nil"/>
              <w:bottom w:val="nil"/>
              <w:right w:val="nil"/>
            </w:tcBorders>
            <w:shd w:val="clear" w:color="auto" w:fill="auto"/>
            <w:vAlign w:val="center"/>
            <w:hideMark/>
          </w:tcPr>
          <w:p w14:paraId="65872C3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nil"/>
              <w:right w:val="nil"/>
            </w:tcBorders>
            <w:shd w:val="clear" w:color="auto" w:fill="auto"/>
            <w:vAlign w:val="center"/>
            <w:hideMark/>
          </w:tcPr>
          <w:p w14:paraId="0DB7847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 xml:space="preserve">Office </w:t>
            </w:r>
            <w:proofErr w:type="spellStart"/>
            <w:r w:rsidRPr="003839D1">
              <w:rPr>
                <w:rFonts w:cs="Arial"/>
                <w:color w:val="000000"/>
                <w:sz w:val="14"/>
                <w:szCs w:val="14"/>
                <w:lang w:val="en-US" w:eastAsia="es-PE"/>
              </w:rPr>
              <w:t>Staf</w:t>
            </w:r>
            <w:proofErr w:type="spellEnd"/>
          </w:p>
        </w:tc>
        <w:tc>
          <w:tcPr>
            <w:tcW w:w="118" w:type="pct"/>
            <w:tcBorders>
              <w:top w:val="nil"/>
              <w:left w:val="nil"/>
              <w:bottom w:val="nil"/>
              <w:right w:val="nil"/>
            </w:tcBorders>
            <w:shd w:val="clear" w:color="auto" w:fill="auto"/>
            <w:noWrap/>
            <w:vAlign w:val="center"/>
            <w:hideMark/>
          </w:tcPr>
          <w:p w14:paraId="5462485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597EDDE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73145AC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6EEC9A4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05E68E6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78F1B05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6B07499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19FA22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341C090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32935C7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5A4EEB9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20AFE53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16F8D95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63B6326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5FB84673"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6D26D640" w14:textId="77777777" w:rsidTr="0095360C">
        <w:trPr>
          <w:trHeight w:val="225"/>
        </w:trPr>
        <w:tc>
          <w:tcPr>
            <w:tcW w:w="477" w:type="pct"/>
            <w:vMerge/>
            <w:tcBorders>
              <w:top w:val="nil"/>
              <w:left w:val="nil"/>
              <w:bottom w:val="single" w:sz="12" w:space="0" w:color="339966"/>
              <w:right w:val="nil"/>
            </w:tcBorders>
            <w:vAlign w:val="center"/>
            <w:hideMark/>
          </w:tcPr>
          <w:p w14:paraId="5A816B14"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nil"/>
              <w:right w:val="nil"/>
            </w:tcBorders>
            <w:vAlign w:val="center"/>
            <w:hideMark/>
          </w:tcPr>
          <w:p w14:paraId="31F5B2A3"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nil"/>
              <w:right w:val="nil"/>
            </w:tcBorders>
            <w:vAlign w:val="center"/>
            <w:hideMark/>
          </w:tcPr>
          <w:p w14:paraId="39D2DEEC"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nil"/>
              <w:right w:val="nil"/>
            </w:tcBorders>
            <w:vAlign w:val="center"/>
            <w:hideMark/>
          </w:tcPr>
          <w:p w14:paraId="69BED70D"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nil"/>
              <w:right w:val="nil"/>
            </w:tcBorders>
            <w:shd w:val="clear" w:color="auto" w:fill="auto"/>
            <w:noWrap/>
            <w:vAlign w:val="center"/>
            <w:hideMark/>
          </w:tcPr>
          <w:p w14:paraId="594D0D53"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nil"/>
              <w:right w:val="nil"/>
            </w:tcBorders>
            <w:shd w:val="clear" w:color="auto" w:fill="auto"/>
            <w:noWrap/>
            <w:vAlign w:val="center"/>
            <w:hideMark/>
          </w:tcPr>
          <w:p w14:paraId="7C050FC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693C25D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438427A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3FF32D1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6F16380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4271435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E31E4D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2B24930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352835C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62A2DCE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1D01F8D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6FB519C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11AB3C9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714131F7"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632D594B" w14:textId="77777777" w:rsidTr="0095360C">
        <w:trPr>
          <w:trHeight w:val="300"/>
        </w:trPr>
        <w:tc>
          <w:tcPr>
            <w:tcW w:w="477" w:type="pct"/>
            <w:vMerge/>
            <w:tcBorders>
              <w:top w:val="nil"/>
              <w:left w:val="nil"/>
              <w:bottom w:val="single" w:sz="12" w:space="0" w:color="339966"/>
              <w:right w:val="nil"/>
            </w:tcBorders>
            <w:vAlign w:val="center"/>
            <w:hideMark/>
          </w:tcPr>
          <w:p w14:paraId="05F64951"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val="restart"/>
            <w:tcBorders>
              <w:top w:val="nil"/>
              <w:left w:val="nil"/>
              <w:bottom w:val="single" w:sz="12" w:space="0" w:color="339966"/>
              <w:right w:val="nil"/>
            </w:tcBorders>
            <w:shd w:val="clear" w:color="auto" w:fill="auto"/>
            <w:vAlign w:val="center"/>
            <w:hideMark/>
          </w:tcPr>
          <w:p w14:paraId="546769D6"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Inspection of  personal safety equipment (20)</w:t>
            </w:r>
          </w:p>
        </w:tc>
        <w:tc>
          <w:tcPr>
            <w:tcW w:w="429" w:type="pct"/>
            <w:vMerge w:val="restart"/>
            <w:tcBorders>
              <w:top w:val="nil"/>
              <w:left w:val="nil"/>
              <w:bottom w:val="single" w:sz="12" w:space="0" w:color="339966"/>
              <w:right w:val="nil"/>
            </w:tcBorders>
            <w:shd w:val="clear" w:color="auto" w:fill="auto"/>
            <w:vAlign w:val="center"/>
            <w:hideMark/>
          </w:tcPr>
          <w:p w14:paraId="1E54268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xml:space="preserve">Monthly inspections </w:t>
            </w:r>
          </w:p>
        </w:tc>
        <w:tc>
          <w:tcPr>
            <w:tcW w:w="482" w:type="pct"/>
            <w:vMerge w:val="restart"/>
            <w:tcBorders>
              <w:top w:val="nil"/>
              <w:left w:val="nil"/>
              <w:bottom w:val="single" w:sz="12" w:space="0" w:color="339966"/>
              <w:right w:val="nil"/>
            </w:tcBorders>
            <w:shd w:val="clear" w:color="auto" w:fill="auto"/>
            <w:vAlign w:val="center"/>
            <w:hideMark/>
          </w:tcPr>
          <w:p w14:paraId="1D572FE9"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Maintenance personnel</w:t>
            </w:r>
          </w:p>
        </w:tc>
        <w:tc>
          <w:tcPr>
            <w:tcW w:w="118" w:type="pct"/>
            <w:tcBorders>
              <w:top w:val="nil"/>
              <w:left w:val="nil"/>
              <w:bottom w:val="nil"/>
              <w:right w:val="nil"/>
            </w:tcBorders>
            <w:shd w:val="clear" w:color="auto" w:fill="auto"/>
            <w:noWrap/>
            <w:vAlign w:val="center"/>
            <w:hideMark/>
          </w:tcPr>
          <w:p w14:paraId="34D5C4D4"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P</w:t>
            </w:r>
          </w:p>
        </w:tc>
        <w:tc>
          <w:tcPr>
            <w:tcW w:w="206" w:type="pct"/>
            <w:tcBorders>
              <w:top w:val="nil"/>
              <w:left w:val="nil"/>
              <w:bottom w:val="nil"/>
              <w:right w:val="nil"/>
            </w:tcBorders>
            <w:shd w:val="clear" w:color="auto" w:fill="auto"/>
            <w:noWrap/>
            <w:vAlign w:val="center"/>
            <w:hideMark/>
          </w:tcPr>
          <w:p w14:paraId="07ECC1ED"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25" w:type="pct"/>
            <w:tcBorders>
              <w:top w:val="nil"/>
              <w:left w:val="nil"/>
              <w:bottom w:val="nil"/>
              <w:right w:val="nil"/>
            </w:tcBorders>
            <w:shd w:val="clear" w:color="auto" w:fill="auto"/>
            <w:noWrap/>
            <w:vAlign w:val="center"/>
            <w:hideMark/>
          </w:tcPr>
          <w:p w14:paraId="20D84A7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85" w:type="pct"/>
            <w:tcBorders>
              <w:top w:val="nil"/>
              <w:left w:val="nil"/>
              <w:bottom w:val="nil"/>
              <w:right w:val="nil"/>
            </w:tcBorders>
            <w:shd w:val="clear" w:color="auto" w:fill="auto"/>
            <w:noWrap/>
            <w:vAlign w:val="center"/>
            <w:hideMark/>
          </w:tcPr>
          <w:p w14:paraId="24AD4E8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02" w:type="pct"/>
            <w:tcBorders>
              <w:top w:val="nil"/>
              <w:left w:val="nil"/>
              <w:bottom w:val="nil"/>
              <w:right w:val="nil"/>
            </w:tcBorders>
            <w:shd w:val="clear" w:color="auto" w:fill="auto"/>
            <w:noWrap/>
            <w:vAlign w:val="center"/>
            <w:hideMark/>
          </w:tcPr>
          <w:p w14:paraId="27AAA40E"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8" w:type="pct"/>
            <w:tcBorders>
              <w:top w:val="nil"/>
              <w:left w:val="nil"/>
              <w:bottom w:val="nil"/>
              <w:right w:val="nil"/>
            </w:tcBorders>
            <w:shd w:val="clear" w:color="auto" w:fill="auto"/>
            <w:noWrap/>
            <w:vAlign w:val="center"/>
            <w:hideMark/>
          </w:tcPr>
          <w:p w14:paraId="58646F1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0" w:type="pct"/>
            <w:tcBorders>
              <w:top w:val="nil"/>
              <w:left w:val="nil"/>
              <w:bottom w:val="nil"/>
              <w:right w:val="nil"/>
            </w:tcBorders>
            <w:shd w:val="clear" w:color="auto" w:fill="auto"/>
            <w:noWrap/>
            <w:vAlign w:val="center"/>
            <w:hideMark/>
          </w:tcPr>
          <w:p w14:paraId="2006ECE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44BAECB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nil"/>
              <w:right w:val="nil"/>
            </w:tcBorders>
            <w:shd w:val="clear" w:color="auto" w:fill="auto"/>
            <w:noWrap/>
            <w:vAlign w:val="center"/>
            <w:hideMark/>
          </w:tcPr>
          <w:p w14:paraId="521865C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nil"/>
              <w:right w:val="nil"/>
            </w:tcBorders>
            <w:shd w:val="clear" w:color="auto" w:fill="auto"/>
            <w:noWrap/>
            <w:vAlign w:val="center"/>
            <w:hideMark/>
          </w:tcPr>
          <w:p w14:paraId="0D0449D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nil"/>
              <w:right w:val="nil"/>
            </w:tcBorders>
            <w:shd w:val="clear" w:color="auto" w:fill="auto"/>
            <w:noWrap/>
            <w:vAlign w:val="center"/>
            <w:hideMark/>
          </w:tcPr>
          <w:p w14:paraId="7891CE2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94" w:type="pct"/>
            <w:tcBorders>
              <w:top w:val="nil"/>
              <w:left w:val="nil"/>
              <w:bottom w:val="nil"/>
              <w:right w:val="nil"/>
            </w:tcBorders>
            <w:shd w:val="clear" w:color="auto" w:fill="auto"/>
            <w:noWrap/>
            <w:vAlign w:val="center"/>
            <w:hideMark/>
          </w:tcPr>
          <w:p w14:paraId="0C9F144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170" w:type="pct"/>
            <w:tcBorders>
              <w:top w:val="nil"/>
              <w:left w:val="nil"/>
              <w:bottom w:val="nil"/>
              <w:right w:val="nil"/>
            </w:tcBorders>
            <w:shd w:val="clear" w:color="auto" w:fill="auto"/>
            <w:noWrap/>
            <w:vAlign w:val="center"/>
            <w:hideMark/>
          </w:tcPr>
          <w:p w14:paraId="4DD9946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p>
        </w:tc>
        <w:tc>
          <w:tcPr>
            <w:tcW w:w="247" w:type="pct"/>
            <w:tcBorders>
              <w:top w:val="nil"/>
              <w:left w:val="nil"/>
              <w:bottom w:val="nil"/>
              <w:right w:val="nil"/>
            </w:tcBorders>
            <w:shd w:val="clear" w:color="auto" w:fill="auto"/>
            <w:noWrap/>
            <w:vAlign w:val="center"/>
            <w:hideMark/>
          </w:tcPr>
          <w:p w14:paraId="2F1E03A3"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nil"/>
              <w:right w:val="nil"/>
            </w:tcBorders>
            <w:shd w:val="clear" w:color="auto" w:fill="auto"/>
            <w:noWrap/>
            <w:vAlign w:val="center"/>
            <w:hideMark/>
          </w:tcPr>
          <w:p w14:paraId="2D7E591C"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r w:rsidR="0095360C" w:rsidRPr="003839D1" w14:paraId="2F86F961" w14:textId="77777777" w:rsidTr="0095360C">
        <w:trPr>
          <w:trHeight w:val="390"/>
        </w:trPr>
        <w:tc>
          <w:tcPr>
            <w:tcW w:w="477" w:type="pct"/>
            <w:vMerge/>
            <w:tcBorders>
              <w:top w:val="nil"/>
              <w:left w:val="nil"/>
              <w:bottom w:val="single" w:sz="12" w:space="0" w:color="339966"/>
              <w:right w:val="nil"/>
            </w:tcBorders>
            <w:vAlign w:val="center"/>
            <w:hideMark/>
          </w:tcPr>
          <w:p w14:paraId="5DC76F1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522" w:type="pct"/>
            <w:vMerge/>
            <w:tcBorders>
              <w:top w:val="nil"/>
              <w:left w:val="nil"/>
              <w:bottom w:val="single" w:sz="12" w:space="0" w:color="339966"/>
              <w:right w:val="nil"/>
            </w:tcBorders>
            <w:vAlign w:val="center"/>
            <w:hideMark/>
          </w:tcPr>
          <w:p w14:paraId="46FD547E"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29" w:type="pct"/>
            <w:vMerge/>
            <w:tcBorders>
              <w:top w:val="nil"/>
              <w:left w:val="nil"/>
              <w:bottom w:val="single" w:sz="12" w:space="0" w:color="339966"/>
              <w:right w:val="nil"/>
            </w:tcBorders>
            <w:vAlign w:val="center"/>
            <w:hideMark/>
          </w:tcPr>
          <w:p w14:paraId="7F9F33C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482" w:type="pct"/>
            <w:vMerge/>
            <w:tcBorders>
              <w:top w:val="nil"/>
              <w:left w:val="nil"/>
              <w:bottom w:val="single" w:sz="12" w:space="0" w:color="339966"/>
              <w:right w:val="nil"/>
            </w:tcBorders>
            <w:vAlign w:val="center"/>
            <w:hideMark/>
          </w:tcPr>
          <w:p w14:paraId="19921025" w14:textId="77777777" w:rsidR="0095360C" w:rsidRPr="003839D1" w:rsidRDefault="0095360C" w:rsidP="0095360C">
            <w:pPr>
              <w:tabs>
                <w:tab w:val="clear" w:pos="7100"/>
              </w:tabs>
              <w:spacing w:line="240" w:lineRule="auto"/>
              <w:jc w:val="left"/>
              <w:rPr>
                <w:rFonts w:cs="Arial"/>
                <w:color w:val="000000"/>
                <w:sz w:val="14"/>
                <w:szCs w:val="14"/>
                <w:lang w:val="en-US" w:eastAsia="es-PE"/>
              </w:rPr>
            </w:pPr>
          </w:p>
        </w:tc>
        <w:tc>
          <w:tcPr>
            <w:tcW w:w="118" w:type="pct"/>
            <w:tcBorders>
              <w:top w:val="nil"/>
              <w:left w:val="nil"/>
              <w:bottom w:val="single" w:sz="12" w:space="0" w:color="339966"/>
              <w:right w:val="nil"/>
            </w:tcBorders>
            <w:shd w:val="clear" w:color="auto" w:fill="auto"/>
            <w:noWrap/>
            <w:vAlign w:val="center"/>
            <w:hideMark/>
          </w:tcPr>
          <w:p w14:paraId="13820D6C" w14:textId="77777777" w:rsidR="0095360C" w:rsidRPr="003839D1" w:rsidRDefault="0095360C" w:rsidP="0095360C">
            <w:pPr>
              <w:tabs>
                <w:tab w:val="clear" w:pos="7100"/>
              </w:tabs>
              <w:spacing w:line="240" w:lineRule="auto"/>
              <w:jc w:val="left"/>
              <w:rPr>
                <w:rFonts w:cs="Arial"/>
                <w:color w:val="000000"/>
                <w:sz w:val="14"/>
                <w:szCs w:val="14"/>
                <w:lang w:val="en-US" w:eastAsia="es-PE"/>
              </w:rPr>
            </w:pPr>
            <w:r w:rsidRPr="003839D1">
              <w:rPr>
                <w:rFonts w:cs="Arial"/>
                <w:color w:val="000000"/>
                <w:sz w:val="14"/>
                <w:szCs w:val="14"/>
                <w:lang w:val="en-US" w:eastAsia="es-PE"/>
              </w:rPr>
              <w:t>E</w:t>
            </w:r>
          </w:p>
        </w:tc>
        <w:tc>
          <w:tcPr>
            <w:tcW w:w="206" w:type="pct"/>
            <w:tcBorders>
              <w:top w:val="nil"/>
              <w:left w:val="nil"/>
              <w:bottom w:val="single" w:sz="12" w:space="0" w:color="339966"/>
              <w:right w:val="nil"/>
            </w:tcBorders>
            <w:shd w:val="clear" w:color="auto" w:fill="auto"/>
            <w:noWrap/>
            <w:vAlign w:val="center"/>
            <w:hideMark/>
          </w:tcPr>
          <w:p w14:paraId="7F49A1A0"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25" w:type="pct"/>
            <w:tcBorders>
              <w:top w:val="nil"/>
              <w:left w:val="nil"/>
              <w:bottom w:val="single" w:sz="12" w:space="0" w:color="339966"/>
              <w:right w:val="nil"/>
            </w:tcBorders>
            <w:shd w:val="clear" w:color="auto" w:fill="auto"/>
            <w:noWrap/>
            <w:vAlign w:val="center"/>
            <w:hideMark/>
          </w:tcPr>
          <w:p w14:paraId="46CA7C92"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85" w:type="pct"/>
            <w:tcBorders>
              <w:top w:val="nil"/>
              <w:left w:val="nil"/>
              <w:bottom w:val="single" w:sz="12" w:space="0" w:color="339966"/>
              <w:right w:val="nil"/>
            </w:tcBorders>
            <w:shd w:val="clear" w:color="auto" w:fill="auto"/>
            <w:noWrap/>
            <w:vAlign w:val="center"/>
            <w:hideMark/>
          </w:tcPr>
          <w:p w14:paraId="6119DA35"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02" w:type="pct"/>
            <w:tcBorders>
              <w:top w:val="nil"/>
              <w:left w:val="nil"/>
              <w:bottom w:val="single" w:sz="12" w:space="0" w:color="339966"/>
              <w:right w:val="nil"/>
            </w:tcBorders>
            <w:shd w:val="clear" w:color="auto" w:fill="auto"/>
            <w:noWrap/>
            <w:vAlign w:val="center"/>
            <w:hideMark/>
          </w:tcPr>
          <w:p w14:paraId="37D5160B"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8" w:type="pct"/>
            <w:tcBorders>
              <w:top w:val="nil"/>
              <w:left w:val="nil"/>
              <w:bottom w:val="single" w:sz="12" w:space="0" w:color="339966"/>
              <w:right w:val="nil"/>
            </w:tcBorders>
            <w:shd w:val="clear" w:color="auto" w:fill="auto"/>
            <w:noWrap/>
            <w:vAlign w:val="center"/>
            <w:hideMark/>
          </w:tcPr>
          <w:p w14:paraId="04BB885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0" w:type="pct"/>
            <w:tcBorders>
              <w:top w:val="nil"/>
              <w:left w:val="nil"/>
              <w:bottom w:val="single" w:sz="12" w:space="0" w:color="339966"/>
              <w:right w:val="nil"/>
            </w:tcBorders>
            <w:shd w:val="clear" w:color="auto" w:fill="auto"/>
            <w:noWrap/>
            <w:vAlign w:val="center"/>
            <w:hideMark/>
          </w:tcPr>
          <w:p w14:paraId="2969BA4F"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4" w:type="pct"/>
            <w:tcBorders>
              <w:top w:val="nil"/>
              <w:left w:val="nil"/>
              <w:bottom w:val="single" w:sz="12" w:space="0" w:color="339966"/>
              <w:right w:val="nil"/>
            </w:tcBorders>
            <w:shd w:val="clear" w:color="auto" w:fill="auto"/>
            <w:noWrap/>
            <w:vAlign w:val="center"/>
            <w:hideMark/>
          </w:tcPr>
          <w:p w14:paraId="581D4097"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194" w:type="pct"/>
            <w:tcBorders>
              <w:top w:val="nil"/>
              <w:left w:val="nil"/>
              <w:bottom w:val="single" w:sz="12" w:space="0" w:color="339966"/>
              <w:right w:val="nil"/>
            </w:tcBorders>
            <w:shd w:val="clear" w:color="auto" w:fill="auto"/>
            <w:noWrap/>
            <w:vAlign w:val="center"/>
            <w:hideMark/>
          </w:tcPr>
          <w:p w14:paraId="7543BD2A"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36" w:type="pct"/>
            <w:tcBorders>
              <w:top w:val="nil"/>
              <w:left w:val="nil"/>
              <w:bottom w:val="single" w:sz="12" w:space="0" w:color="339966"/>
              <w:right w:val="nil"/>
            </w:tcBorders>
            <w:shd w:val="clear" w:color="auto" w:fill="auto"/>
            <w:noWrap/>
            <w:vAlign w:val="center"/>
            <w:hideMark/>
          </w:tcPr>
          <w:p w14:paraId="42BCEC11"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x</w:t>
            </w:r>
          </w:p>
        </w:tc>
        <w:tc>
          <w:tcPr>
            <w:tcW w:w="206" w:type="pct"/>
            <w:tcBorders>
              <w:top w:val="nil"/>
              <w:left w:val="nil"/>
              <w:bottom w:val="single" w:sz="12" w:space="0" w:color="339966"/>
              <w:right w:val="nil"/>
            </w:tcBorders>
            <w:shd w:val="clear" w:color="auto" w:fill="auto"/>
            <w:noWrap/>
            <w:vAlign w:val="center"/>
            <w:hideMark/>
          </w:tcPr>
          <w:p w14:paraId="64B9331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94" w:type="pct"/>
            <w:tcBorders>
              <w:top w:val="nil"/>
              <w:left w:val="nil"/>
              <w:bottom w:val="single" w:sz="12" w:space="0" w:color="339966"/>
              <w:right w:val="nil"/>
            </w:tcBorders>
            <w:shd w:val="clear" w:color="auto" w:fill="auto"/>
            <w:noWrap/>
            <w:vAlign w:val="center"/>
            <w:hideMark/>
          </w:tcPr>
          <w:p w14:paraId="2FEA27A4"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170" w:type="pct"/>
            <w:tcBorders>
              <w:top w:val="nil"/>
              <w:left w:val="nil"/>
              <w:bottom w:val="single" w:sz="12" w:space="0" w:color="339966"/>
              <w:right w:val="nil"/>
            </w:tcBorders>
            <w:shd w:val="clear" w:color="auto" w:fill="auto"/>
            <w:noWrap/>
            <w:vAlign w:val="center"/>
            <w:hideMark/>
          </w:tcPr>
          <w:p w14:paraId="44FF8516"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 </w:t>
            </w:r>
          </w:p>
        </w:tc>
        <w:tc>
          <w:tcPr>
            <w:tcW w:w="247" w:type="pct"/>
            <w:tcBorders>
              <w:top w:val="nil"/>
              <w:left w:val="nil"/>
              <w:bottom w:val="single" w:sz="12" w:space="0" w:color="339966"/>
              <w:right w:val="nil"/>
            </w:tcBorders>
            <w:shd w:val="clear" w:color="auto" w:fill="auto"/>
            <w:noWrap/>
            <w:vAlign w:val="center"/>
            <w:hideMark/>
          </w:tcPr>
          <w:p w14:paraId="19A173E9" w14:textId="77777777" w:rsidR="0095360C" w:rsidRPr="003839D1" w:rsidRDefault="0095360C" w:rsidP="0095360C">
            <w:pPr>
              <w:tabs>
                <w:tab w:val="clear" w:pos="7100"/>
              </w:tabs>
              <w:spacing w:line="240" w:lineRule="auto"/>
              <w:jc w:val="center"/>
              <w:rPr>
                <w:rFonts w:cs="Arial"/>
                <w:color w:val="000000"/>
                <w:sz w:val="14"/>
                <w:szCs w:val="14"/>
                <w:lang w:val="en-US" w:eastAsia="es-PE"/>
              </w:rPr>
            </w:pPr>
            <w:r w:rsidRPr="003839D1">
              <w:rPr>
                <w:rFonts w:cs="Arial"/>
                <w:color w:val="000000"/>
                <w:sz w:val="14"/>
                <w:szCs w:val="14"/>
                <w:lang w:val="en-US" w:eastAsia="es-PE"/>
              </w:rPr>
              <w:t>3</w:t>
            </w:r>
          </w:p>
        </w:tc>
        <w:tc>
          <w:tcPr>
            <w:tcW w:w="327" w:type="pct"/>
            <w:tcBorders>
              <w:top w:val="nil"/>
              <w:left w:val="nil"/>
              <w:bottom w:val="single" w:sz="12" w:space="0" w:color="339966"/>
              <w:right w:val="nil"/>
            </w:tcBorders>
            <w:shd w:val="clear" w:color="auto" w:fill="auto"/>
            <w:noWrap/>
            <w:vAlign w:val="center"/>
            <w:hideMark/>
          </w:tcPr>
          <w:p w14:paraId="61E88018" w14:textId="77777777" w:rsidR="0095360C" w:rsidRPr="003839D1" w:rsidRDefault="0095360C" w:rsidP="0095360C">
            <w:pPr>
              <w:tabs>
                <w:tab w:val="clear" w:pos="7100"/>
              </w:tabs>
              <w:spacing w:line="240" w:lineRule="auto"/>
              <w:jc w:val="right"/>
              <w:rPr>
                <w:rFonts w:cs="Arial"/>
                <w:color w:val="000000"/>
                <w:sz w:val="14"/>
                <w:szCs w:val="14"/>
                <w:lang w:val="en-US" w:eastAsia="es-PE"/>
              </w:rPr>
            </w:pPr>
            <w:r w:rsidRPr="003839D1">
              <w:rPr>
                <w:rFonts w:cs="Arial"/>
                <w:color w:val="000000"/>
                <w:sz w:val="14"/>
                <w:szCs w:val="14"/>
                <w:lang w:val="en-US" w:eastAsia="es-PE"/>
              </w:rPr>
              <w:t>100%</w:t>
            </w:r>
          </w:p>
        </w:tc>
      </w:tr>
    </w:tbl>
    <w:p w14:paraId="548CA9DA" w14:textId="77777777" w:rsidR="0095360C" w:rsidRPr="00305734" w:rsidRDefault="0095360C" w:rsidP="00600535">
      <w:pPr>
        <w:pStyle w:val="CETBodytext"/>
      </w:pPr>
    </w:p>
    <w:p w14:paraId="504EB2BF" w14:textId="77777777" w:rsidR="00AE3097" w:rsidRPr="00305734" w:rsidRDefault="00AE3097" w:rsidP="00600535">
      <w:pPr>
        <w:pStyle w:val="CETBodytext"/>
      </w:pPr>
    </w:p>
    <w:p w14:paraId="7FEA6A31" w14:textId="2F0A6A9D" w:rsidR="00B827FD" w:rsidRPr="00472411" w:rsidRDefault="0013529F" w:rsidP="00BE2944">
      <w:pPr>
        <w:pStyle w:val="CETheadingx"/>
        <w:numPr>
          <w:ilvl w:val="0"/>
          <w:numId w:val="0"/>
        </w:numPr>
        <w:ind w:left="360" w:hanging="360"/>
        <w:rPr>
          <w:lang w:val="en-US"/>
        </w:rPr>
      </w:pPr>
      <w:r w:rsidRPr="00472411">
        <w:rPr>
          <w:lang w:val="en-US"/>
        </w:rPr>
        <w:t xml:space="preserve">3.2 </w:t>
      </w:r>
      <w:r w:rsidR="00472411" w:rsidRPr="00472411">
        <w:rPr>
          <w:lang w:val="en-US"/>
        </w:rPr>
        <w:t>Accident</w:t>
      </w:r>
      <w:r w:rsidR="00E62233" w:rsidRPr="00472411">
        <w:rPr>
          <w:lang w:val="en-US"/>
        </w:rPr>
        <w:t xml:space="preserve">s </w:t>
      </w:r>
      <w:r w:rsidR="00472411" w:rsidRPr="00472411">
        <w:rPr>
          <w:lang w:val="en-US"/>
        </w:rPr>
        <w:t>at works</w:t>
      </w:r>
    </w:p>
    <w:p w14:paraId="47817E3F" w14:textId="20EB67E8" w:rsidR="00E62233" w:rsidRDefault="00305734" w:rsidP="00600535">
      <w:pPr>
        <w:pStyle w:val="CETBodytext"/>
      </w:pPr>
      <w:r w:rsidRPr="00305734">
        <w:t>The results measured around this variable were taking into account accidents with temporary disability and permanent disability.</w:t>
      </w:r>
    </w:p>
    <w:p w14:paraId="01FDE5FC" w14:textId="77777777" w:rsidR="00472411" w:rsidRPr="00305734" w:rsidRDefault="00472411" w:rsidP="00600535">
      <w:pPr>
        <w:pStyle w:val="CETBodytext"/>
      </w:pPr>
    </w:p>
    <w:p w14:paraId="3CD41428" w14:textId="77777777" w:rsidR="00472411" w:rsidRDefault="00472411" w:rsidP="000F391D">
      <w:pPr>
        <w:pStyle w:val="CETBodytext"/>
      </w:pPr>
      <w:r w:rsidRPr="007F3250">
        <w:rPr>
          <w:b/>
          <w:bCs/>
          <w:i/>
          <w:iCs/>
        </w:rPr>
        <w:t>Accidents of temporary disability</w:t>
      </w:r>
      <w:r w:rsidRPr="00472411">
        <w:t xml:space="preserve">: </w:t>
      </w:r>
    </w:p>
    <w:p w14:paraId="3FD0F399" w14:textId="0E329547" w:rsidR="00304A79" w:rsidRPr="00472411" w:rsidRDefault="00472411" w:rsidP="000F391D">
      <w:pPr>
        <w:pStyle w:val="CETBodytext"/>
      </w:pPr>
      <w:r w:rsidRPr="00472411">
        <w:t xml:space="preserve">Table 6 shows that before the proposed </w:t>
      </w:r>
      <w:r w:rsidR="000B021A" w:rsidRPr="00973665">
        <w:t>OSHS</w:t>
      </w:r>
      <w:r w:rsidR="000B021A" w:rsidRPr="00472411">
        <w:t xml:space="preserve"> was</w:t>
      </w:r>
      <w:r w:rsidRPr="00472411">
        <w:t xml:space="preserve"> implemented in the 10 weeks of monitoring, there were 8 accidents with temporary incapacity of workers; Also, after the implantation of the </w:t>
      </w:r>
      <w:r w:rsidR="000B021A" w:rsidRPr="00973665">
        <w:t>OSHS</w:t>
      </w:r>
      <w:r w:rsidR="000B021A">
        <w:t>,</w:t>
      </w:r>
      <w:r w:rsidR="000B021A" w:rsidRPr="00472411">
        <w:t xml:space="preserve"> only</w:t>
      </w:r>
      <w:r w:rsidRPr="00472411">
        <w:t xml:space="preserve"> 1 accident occurred. The frequency that they mean is also present. It is found that an initial accident frequency of 0.0741% is reduced to 0.009% (reduction of 87.50%).</w:t>
      </w:r>
    </w:p>
    <w:p w14:paraId="316FE218" w14:textId="0E86F006" w:rsidR="0013529F" w:rsidRPr="00472411" w:rsidRDefault="00251D47" w:rsidP="00251D47">
      <w:pPr>
        <w:pStyle w:val="CETTabletitle"/>
        <w:rPr>
          <w:lang w:val="en-US"/>
        </w:rPr>
      </w:pPr>
      <w:r w:rsidRPr="00472411">
        <w:rPr>
          <w:lang w:val="en-US"/>
        </w:rPr>
        <w:t xml:space="preserve">Tabla </w:t>
      </w:r>
      <w:r w:rsidR="00A53F31" w:rsidRPr="00472411">
        <w:rPr>
          <w:lang w:val="en-US"/>
        </w:rPr>
        <w:t>6</w:t>
      </w:r>
      <w:r w:rsidRPr="00472411">
        <w:rPr>
          <w:lang w:val="en-US"/>
        </w:rPr>
        <w:t xml:space="preserve"> </w:t>
      </w:r>
      <w:r w:rsidR="00472411" w:rsidRPr="00472411">
        <w:rPr>
          <w:lang w:val="en-US"/>
        </w:rPr>
        <w:t xml:space="preserve">Accidents with temporary disability before and after </w:t>
      </w:r>
      <w:r w:rsidR="00A23918" w:rsidRPr="00973665">
        <w:rPr>
          <w:lang w:val="en-US"/>
        </w:rPr>
        <w:t>OSHS</w:t>
      </w:r>
      <w:r w:rsidR="00A23918" w:rsidRPr="00472411">
        <w:rPr>
          <w:lang w:val="en-US"/>
        </w:rPr>
        <w:t xml:space="preserve"> </w:t>
      </w:r>
      <w:r w:rsidR="00472411" w:rsidRPr="00472411">
        <w:rPr>
          <w:lang w:val="en-US"/>
        </w:rPr>
        <w:t>implementation</w:t>
      </w:r>
    </w:p>
    <w:tbl>
      <w:tblPr>
        <w:tblW w:w="8132"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326"/>
        <w:gridCol w:w="1474"/>
        <w:gridCol w:w="1258"/>
        <w:gridCol w:w="1394"/>
        <w:gridCol w:w="1179"/>
        <w:gridCol w:w="1501"/>
      </w:tblGrid>
      <w:tr w:rsidR="0013289B" w:rsidRPr="00BF1CBE" w14:paraId="34E48BF8" w14:textId="77777777" w:rsidTr="007F3250">
        <w:trPr>
          <w:trHeight w:val="63"/>
        </w:trPr>
        <w:tc>
          <w:tcPr>
            <w:tcW w:w="4058" w:type="dxa"/>
            <w:gridSpan w:val="3"/>
            <w:tcBorders>
              <w:top w:val="single" w:sz="12" w:space="0" w:color="008000"/>
              <w:bottom w:val="single" w:sz="6" w:space="0" w:color="008000"/>
            </w:tcBorders>
            <w:shd w:val="clear" w:color="auto" w:fill="FFFFFF"/>
            <w:vAlign w:val="center"/>
          </w:tcPr>
          <w:p w14:paraId="0CE2C753" w14:textId="0B0584A4" w:rsidR="0013289B" w:rsidRPr="00C764F3" w:rsidRDefault="005F5977" w:rsidP="0095360C">
            <w:pPr>
              <w:pStyle w:val="CETBodytext"/>
              <w:ind w:right="-1"/>
              <w:jc w:val="center"/>
              <w:rPr>
                <w:rFonts w:cs="Arial"/>
                <w:szCs w:val="18"/>
                <w:lang w:val="es-PE"/>
              </w:rPr>
            </w:pPr>
            <w:r>
              <w:rPr>
                <w:rFonts w:cs="Arial"/>
                <w:szCs w:val="18"/>
                <w:lang w:val="es-PE"/>
              </w:rPr>
              <w:t>Before</w:t>
            </w:r>
          </w:p>
        </w:tc>
        <w:tc>
          <w:tcPr>
            <w:tcW w:w="4074" w:type="dxa"/>
            <w:gridSpan w:val="3"/>
            <w:tcBorders>
              <w:top w:val="single" w:sz="12" w:space="0" w:color="008000"/>
              <w:bottom w:val="single" w:sz="6" w:space="0" w:color="008000"/>
            </w:tcBorders>
            <w:shd w:val="clear" w:color="auto" w:fill="FFFFFF"/>
            <w:vAlign w:val="center"/>
          </w:tcPr>
          <w:p w14:paraId="73057EF6" w14:textId="64CD1903" w:rsidR="0013289B" w:rsidRPr="00C764F3" w:rsidRDefault="005F5977" w:rsidP="0095360C">
            <w:pPr>
              <w:pStyle w:val="CETBodytext"/>
              <w:ind w:right="-1"/>
              <w:jc w:val="center"/>
              <w:rPr>
                <w:rFonts w:cs="Arial"/>
                <w:szCs w:val="18"/>
                <w:lang w:val="es-PE"/>
              </w:rPr>
            </w:pPr>
            <w:r>
              <w:rPr>
                <w:rFonts w:cs="Arial"/>
                <w:szCs w:val="18"/>
                <w:lang w:val="es-PE"/>
              </w:rPr>
              <w:t>After</w:t>
            </w:r>
          </w:p>
        </w:tc>
      </w:tr>
      <w:tr w:rsidR="0013289B" w:rsidRPr="00973665" w14:paraId="789FAEB6" w14:textId="77777777" w:rsidTr="007F3250">
        <w:trPr>
          <w:trHeight w:val="222"/>
        </w:trPr>
        <w:tc>
          <w:tcPr>
            <w:tcW w:w="1326" w:type="dxa"/>
            <w:tcBorders>
              <w:top w:val="single" w:sz="12" w:space="0" w:color="008000"/>
              <w:bottom w:val="single" w:sz="6" w:space="0" w:color="008000"/>
            </w:tcBorders>
            <w:shd w:val="clear" w:color="auto" w:fill="FFFFFF"/>
            <w:vAlign w:val="center"/>
          </w:tcPr>
          <w:p w14:paraId="3EDA7273" w14:textId="753B786D" w:rsidR="0013289B" w:rsidRPr="00A27F9E" w:rsidRDefault="005F5977" w:rsidP="0013289B">
            <w:pPr>
              <w:pStyle w:val="CETBodytext"/>
              <w:jc w:val="center"/>
              <w:rPr>
                <w:sz w:val="16"/>
                <w:szCs w:val="16"/>
                <w:lang w:val="en-GB"/>
              </w:rPr>
            </w:pPr>
            <w:r w:rsidRPr="00A27F9E">
              <w:rPr>
                <w:sz w:val="16"/>
                <w:szCs w:val="16"/>
                <w:lang w:val="en-GB"/>
              </w:rPr>
              <w:t>Time</w:t>
            </w:r>
          </w:p>
          <w:p w14:paraId="5D6578F2" w14:textId="03A6206B" w:rsidR="0013289B" w:rsidRPr="00471677" w:rsidRDefault="00DB105C" w:rsidP="00A27F9E">
            <w:pPr>
              <w:pStyle w:val="CETBodytext"/>
              <w:jc w:val="center"/>
              <w:rPr>
                <w:sz w:val="16"/>
                <w:szCs w:val="18"/>
                <w:lang w:val="en-GB"/>
              </w:rPr>
            </w:pPr>
            <w:r w:rsidRPr="00A27F9E">
              <w:rPr>
                <w:sz w:val="16"/>
                <w:szCs w:val="16"/>
                <w:lang w:val="en-GB"/>
              </w:rPr>
              <w:t>(</w:t>
            </w:r>
            <w:r w:rsidR="003839D1" w:rsidRPr="00A27F9E">
              <w:rPr>
                <w:sz w:val="16"/>
                <w:szCs w:val="16"/>
                <w:lang w:val="en-GB"/>
              </w:rPr>
              <w:t>August to</w:t>
            </w:r>
            <w:r w:rsidR="005F5977" w:rsidRPr="00A27F9E">
              <w:rPr>
                <w:sz w:val="16"/>
                <w:szCs w:val="16"/>
                <w:lang w:val="en-GB"/>
              </w:rPr>
              <w:t xml:space="preserve"> Nov</w:t>
            </w:r>
            <w:r w:rsidRPr="00A27F9E">
              <w:rPr>
                <w:sz w:val="16"/>
                <w:szCs w:val="16"/>
                <w:lang w:val="en-GB"/>
              </w:rPr>
              <w:t>emb</w:t>
            </w:r>
            <w:r w:rsidR="00A27F9E" w:rsidRPr="00A27F9E">
              <w:rPr>
                <w:sz w:val="16"/>
                <w:szCs w:val="16"/>
                <w:lang w:val="en-GB"/>
              </w:rPr>
              <w:t>e</w:t>
            </w:r>
            <w:r w:rsidRPr="00A27F9E">
              <w:rPr>
                <w:sz w:val="16"/>
                <w:szCs w:val="16"/>
                <w:lang w:val="en-GB"/>
              </w:rPr>
              <w:t>r</w:t>
            </w:r>
            <w:r w:rsidR="00A27F9E" w:rsidRPr="00A27F9E">
              <w:rPr>
                <w:sz w:val="16"/>
                <w:szCs w:val="16"/>
                <w:lang w:val="en-GB"/>
              </w:rPr>
              <w:t xml:space="preserve"> 2017</w:t>
            </w:r>
            <w:r w:rsidRPr="00A27F9E">
              <w:rPr>
                <w:sz w:val="16"/>
                <w:szCs w:val="16"/>
                <w:lang w:val="en-GB"/>
              </w:rPr>
              <w:t>)</w:t>
            </w:r>
          </w:p>
        </w:tc>
        <w:tc>
          <w:tcPr>
            <w:tcW w:w="1474" w:type="dxa"/>
            <w:tcBorders>
              <w:top w:val="single" w:sz="12" w:space="0" w:color="008000"/>
              <w:bottom w:val="single" w:sz="6" w:space="0" w:color="008000"/>
            </w:tcBorders>
            <w:shd w:val="clear" w:color="auto" w:fill="FFFFFF"/>
            <w:vAlign w:val="center"/>
          </w:tcPr>
          <w:p w14:paraId="18DDCD95" w14:textId="6214ED72" w:rsidR="0013289B" w:rsidRPr="00973665" w:rsidRDefault="00973665" w:rsidP="0013289B">
            <w:pPr>
              <w:pStyle w:val="CETBodytext"/>
              <w:ind w:right="-1"/>
              <w:jc w:val="center"/>
              <w:rPr>
                <w:rFonts w:cs="Arial"/>
                <w:sz w:val="16"/>
                <w:szCs w:val="18"/>
              </w:rPr>
            </w:pPr>
            <w:r w:rsidRPr="00973665">
              <w:rPr>
                <w:rFonts w:cs="Arial"/>
                <w:sz w:val="16"/>
                <w:szCs w:val="18"/>
              </w:rPr>
              <w:t>Number of accidents with temporary incapacity</w:t>
            </w:r>
          </w:p>
        </w:tc>
        <w:tc>
          <w:tcPr>
            <w:tcW w:w="1256" w:type="dxa"/>
            <w:tcBorders>
              <w:top w:val="single" w:sz="12" w:space="0" w:color="008000"/>
              <w:bottom w:val="single" w:sz="6" w:space="0" w:color="008000"/>
            </w:tcBorders>
            <w:shd w:val="clear" w:color="auto" w:fill="FFFFFF"/>
            <w:vAlign w:val="center"/>
          </w:tcPr>
          <w:p w14:paraId="668E47A3" w14:textId="105519E4" w:rsidR="0013289B" w:rsidRPr="00973665" w:rsidRDefault="00973665" w:rsidP="0013289B">
            <w:pPr>
              <w:pStyle w:val="CETBodytext"/>
              <w:ind w:right="-1"/>
              <w:jc w:val="center"/>
              <w:rPr>
                <w:rFonts w:cs="Arial"/>
                <w:sz w:val="16"/>
                <w:szCs w:val="18"/>
              </w:rPr>
            </w:pPr>
            <w:r w:rsidRPr="00973665">
              <w:rPr>
                <w:rFonts w:cs="Arial"/>
                <w:sz w:val="16"/>
                <w:szCs w:val="18"/>
              </w:rPr>
              <w:t>Frequency of accidents with temporary incapacity (AF)</w:t>
            </w:r>
          </w:p>
        </w:tc>
        <w:tc>
          <w:tcPr>
            <w:tcW w:w="1394" w:type="dxa"/>
            <w:tcBorders>
              <w:top w:val="single" w:sz="12" w:space="0" w:color="008000"/>
              <w:bottom w:val="single" w:sz="6" w:space="0" w:color="008000"/>
            </w:tcBorders>
            <w:shd w:val="clear" w:color="auto" w:fill="FFFFFF"/>
            <w:vAlign w:val="center"/>
          </w:tcPr>
          <w:p w14:paraId="7B5F30D9" w14:textId="59D12B61" w:rsidR="0013289B" w:rsidRPr="00471677" w:rsidRDefault="00973665" w:rsidP="0013289B">
            <w:pPr>
              <w:pStyle w:val="CETBodytext"/>
              <w:jc w:val="center"/>
              <w:rPr>
                <w:sz w:val="16"/>
                <w:szCs w:val="18"/>
                <w:lang w:val="en-GB"/>
              </w:rPr>
            </w:pPr>
            <w:r>
              <w:rPr>
                <w:sz w:val="16"/>
                <w:szCs w:val="18"/>
                <w:lang w:val="en-GB"/>
              </w:rPr>
              <w:t>Time</w:t>
            </w:r>
          </w:p>
          <w:p w14:paraId="0DE1DF9C" w14:textId="03FDC9F4" w:rsidR="0013289B" w:rsidRPr="00471677" w:rsidRDefault="00973665" w:rsidP="00973665">
            <w:pPr>
              <w:pStyle w:val="CETBodytext"/>
              <w:ind w:right="-1"/>
              <w:jc w:val="center"/>
              <w:rPr>
                <w:rFonts w:cs="Arial"/>
                <w:sz w:val="16"/>
                <w:szCs w:val="18"/>
                <w:lang w:val="en-GB"/>
              </w:rPr>
            </w:pPr>
            <w:r>
              <w:rPr>
                <w:sz w:val="16"/>
                <w:szCs w:val="18"/>
                <w:lang w:val="en-GB"/>
              </w:rPr>
              <w:t xml:space="preserve">(February </w:t>
            </w:r>
            <w:r w:rsidR="00A27F9E">
              <w:rPr>
                <w:sz w:val="16"/>
                <w:szCs w:val="18"/>
                <w:lang w:val="en-GB"/>
              </w:rPr>
              <w:t>–</w:t>
            </w:r>
            <w:r>
              <w:rPr>
                <w:sz w:val="16"/>
                <w:szCs w:val="18"/>
                <w:lang w:val="en-GB"/>
              </w:rPr>
              <w:t xml:space="preserve"> Ap</w:t>
            </w:r>
            <w:r w:rsidR="0013289B" w:rsidRPr="00471677">
              <w:rPr>
                <w:sz w:val="16"/>
                <w:szCs w:val="18"/>
                <w:lang w:val="en-GB"/>
              </w:rPr>
              <w:t>ril</w:t>
            </w:r>
            <w:r w:rsidR="00A27F9E">
              <w:rPr>
                <w:sz w:val="16"/>
                <w:szCs w:val="18"/>
                <w:lang w:val="en-GB"/>
              </w:rPr>
              <w:t xml:space="preserve"> 2018</w:t>
            </w:r>
            <w:r w:rsidR="0013289B" w:rsidRPr="00471677">
              <w:rPr>
                <w:sz w:val="16"/>
                <w:szCs w:val="18"/>
                <w:lang w:val="en-GB"/>
              </w:rPr>
              <w:t>)</w:t>
            </w:r>
          </w:p>
        </w:tc>
        <w:tc>
          <w:tcPr>
            <w:tcW w:w="1179" w:type="dxa"/>
            <w:tcBorders>
              <w:top w:val="single" w:sz="12" w:space="0" w:color="008000"/>
              <w:bottom w:val="single" w:sz="6" w:space="0" w:color="008000"/>
            </w:tcBorders>
            <w:shd w:val="clear" w:color="auto" w:fill="FFFFFF"/>
            <w:vAlign w:val="center"/>
          </w:tcPr>
          <w:p w14:paraId="2D4C1101" w14:textId="46EF397F" w:rsidR="0013289B" w:rsidRPr="00973665" w:rsidRDefault="00973665" w:rsidP="0013289B">
            <w:pPr>
              <w:pStyle w:val="CETBodytext"/>
              <w:ind w:right="-1"/>
              <w:jc w:val="center"/>
              <w:rPr>
                <w:rFonts w:cs="Arial"/>
                <w:sz w:val="16"/>
                <w:szCs w:val="18"/>
              </w:rPr>
            </w:pPr>
            <w:r w:rsidRPr="00973665">
              <w:rPr>
                <w:rFonts w:cs="Arial"/>
                <w:sz w:val="16"/>
                <w:szCs w:val="18"/>
              </w:rPr>
              <w:t>Number of accidents with temporary incapacity</w:t>
            </w:r>
          </w:p>
        </w:tc>
        <w:tc>
          <w:tcPr>
            <w:tcW w:w="1500" w:type="dxa"/>
            <w:tcBorders>
              <w:top w:val="single" w:sz="12" w:space="0" w:color="008000"/>
              <w:bottom w:val="single" w:sz="6" w:space="0" w:color="008000"/>
            </w:tcBorders>
            <w:shd w:val="clear" w:color="auto" w:fill="FFFFFF"/>
            <w:vAlign w:val="center"/>
          </w:tcPr>
          <w:p w14:paraId="4475DCAD" w14:textId="2A4224AE" w:rsidR="0013289B" w:rsidRPr="00973665" w:rsidRDefault="00973665" w:rsidP="0013289B">
            <w:pPr>
              <w:pStyle w:val="CETBodytext"/>
              <w:ind w:right="-1"/>
              <w:jc w:val="center"/>
              <w:rPr>
                <w:rFonts w:cs="Arial"/>
                <w:sz w:val="16"/>
                <w:szCs w:val="18"/>
              </w:rPr>
            </w:pPr>
            <w:r w:rsidRPr="00973665">
              <w:rPr>
                <w:rFonts w:cs="Arial"/>
                <w:sz w:val="16"/>
                <w:szCs w:val="18"/>
              </w:rPr>
              <w:t>Frequency of accidents with temporary incapacity (AF)</w:t>
            </w:r>
          </w:p>
        </w:tc>
      </w:tr>
      <w:tr w:rsidR="0013289B" w:rsidRPr="00B57B36" w14:paraId="1495D63C" w14:textId="77777777" w:rsidTr="007F3250">
        <w:trPr>
          <w:trHeight w:val="117"/>
        </w:trPr>
        <w:tc>
          <w:tcPr>
            <w:tcW w:w="1326" w:type="dxa"/>
            <w:shd w:val="clear" w:color="auto" w:fill="FFFFFF"/>
            <w:vAlign w:val="center"/>
          </w:tcPr>
          <w:p w14:paraId="20FE8277" w14:textId="158C8595" w:rsidR="0013289B" w:rsidRPr="00B57B36" w:rsidRDefault="0013289B" w:rsidP="00973665">
            <w:pPr>
              <w:pStyle w:val="CETBodytext"/>
              <w:ind w:right="-1"/>
              <w:rPr>
                <w:rFonts w:cs="Arial"/>
                <w:szCs w:val="18"/>
                <w:lang w:val="en-GB"/>
              </w:rPr>
            </w:pPr>
            <w:r>
              <w:rPr>
                <w:rFonts w:cs="Arial"/>
                <w:szCs w:val="18"/>
                <w:lang w:val="en-GB"/>
              </w:rPr>
              <w:t xml:space="preserve">10 </w:t>
            </w:r>
            <w:r w:rsidR="00973665">
              <w:rPr>
                <w:rFonts w:cs="Arial"/>
                <w:szCs w:val="18"/>
                <w:lang w:val="en-GB"/>
              </w:rPr>
              <w:t>weeks</w:t>
            </w:r>
          </w:p>
        </w:tc>
        <w:tc>
          <w:tcPr>
            <w:tcW w:w="1474" w:type="dxa"/>
            <w:shd w:val="clear" w:color="auto" w:fill="FFFFFF"/>
            <w:vAlign w:val="center"/>
          </w:tcPr>
          <w:p w14:paraId="5EDFDCEE" w14:textId="4690C804" w:rsidR="0013289B" w:rsidRPr="00B57B36" w:rsidRDefault="0013289B" w:rsidP="0095360C">
            <w:pPr>
              <w:pStyle w:val="CETBodytext"/>
              <w:ind w:right="-1"/>
              <w:jc w:val="center"/>
              <w:rPr>
                <w:rFonts w:cs="Arial"/>
                <w:szCs w:val="18"/>
                <w:lang w:val="en-GB"/>
              </w:rPr>
            </w:pPr>
            <w:r>
              <w:rPr>
                <w:rFonts w:cs="Arial"/>
                <w:szCs w:val="18"/>
                <w:lang w:val="en-GB"/>
              </w:rPr>
              <w:t>8</w:t>
            </w:r>
          </w:p>
        </w:tc>
        <w:tc>
          <w:tcPr>
            <w:tcW w:w="1256" w:type="dxa"/>
            <w:shd w:val="clear" w:color="auto" w:fill="FFFFFF"/>
            <w:vAlign w:val="center"/>
          </w:tcPr>
          <w:p w14:paraId="1893D3B9" w14:textId="1F88E899" w:rsidR="0013289B" w:rsidRPr="00B57B36" w:rsidRDefault="0013289B" w:rsidP="0095360C">
            <w:pPr>
              <w:pStyle w:val="CETBodytext"/>
              <w:ind w:right="-1"/>
              <w:jc w:val="center"/>
              <w:rPr>
                <w:rFonts w:cs="Arial"/>
                <w:szCs w:val="18"/>
                <w:lang w:val="en-GB"/>
              </w:rPr>
            </w:pPr>
            <w:r>
              <w:rPr>
                <w:rFonts w:cs="Arial"/>
                <w:szCs w:val="18"/>
                <w:lang w:val="en-GB"/>
              </w:rPr>
              <w:t>0.0741%</w:t>
            </w:r>
          </w:p>
        </w:tc>
        <w:tc>
          <w:tcPr>
            <w:tcW w:w="1394" w:type="dxa"/>
            <w:shd w:val="clear" w:color="auto" w:fill="FFFFFF"/>
            <w:vAlign w:val="center"/>
          </w:tcPr>
          <w:p w14:paraId="7A2E181A" w14:textId="65C6D788" w:rsidR="0013289B" w:rsidRPr="00B57B36" w:rsidRDefault="0013289B" w:rsidP="00973665">
            <w:pPr>
              <w:pStyle w:val="CETBodytext"/>
              <w:ind w:right="-1"/>
              <w:jc w:val="center"/>
              <w:rPr>
                <w:rFonts w:cs="Arial"/>
                <w:szCs w:val="18"/>
                <w:lang w:val="en-GB"/>
              </w:rPr>
            </w:pPr>
            <w:r>
              <w:rPr>
                <w:rFonts w:cs="Arial"/>
                <w:szCs w:val="18"/>
                <w:lang w:val="en-GB"/>
              </w:rPr>
              <w:t xml:space="preserve">10 </w:t>
            </w:r>
            <w:r w:rsidR="00973665">
              <w:rPr>
                <w:rFonts w:cs="Arial"/>
                <w:szCs w:val="18"/>
                <w:lang w:val="en-GB"/>
              </w:rPr>
              <w:t>Weeks</w:t>
            </w:r>
          </w:p>
        </w:tc>
        <w:tc>
          <w:tcPr>
            <w:tcW w:w="1179" w:type="dxa"/>
            <w:shd w:val="clear" w:color="auto" w:fill="FFFFFF"/>
            <w:vAlign w:val="center"/>
          </w:tcPr>
          <w:p w14:paraId="555F8A9D" w14:textId="155356D7" w:rsidR="0013289B" w:rsidRPr="00B57B36" w:rsidRDefault="0013289B" w:rsidP="0095360C">
            <w:pPr>
              <w:pStyle w:val="CETBodytext"/>
              <w:ind w:right="-1"/>
              <w:jc w:val="center"/>
              <w:rPr>
                <w:rFonts w:cs="Arial"/>
                <w:szCs w:val="18"/>
                <w:lang w:val="en-GB"/>
              </w:rPr>
            </w:pPr>
            <w:r>
              <w:rPr>
                <w:rFonts w:cs="Arial"/>
                <w:szCs w:val="18"/>
                <w:lang w:val="en-GB"/>
              </w:rPr>
              <w:t>1</w:t>
            </w:r>
          </w:p>
        </w:tc>
        <w:tc>
          <w:tcPr>
            <w:tcW w:w="1500" w:type="dxa"/>
            <w:shd w:val="clear" w:color="auto" w:fill="FFFFFF"/>
            <w:vAlign w:val="center"/>
          </w:tcPr>
          <w:p w14:paraId="684AB1DA" w14:textId="1EE60AE7" w:rsidR="0013289B" w:rsidRDefault="0013289B" w:rsidP="0095360C">
            <w:pPr>
              <w:pStyle w:val="CETBodytext"/>
              <w:ind w:right="-1"/>
              <w:jc w:val="center"/>
              <w:rPr>
                <w:rFonts w:cs="Arial"/>
                <w:szCs w:val="18"/>
                <w:lang w:val="en-GB"/>
              </w:rPr>
            </w:pPr>
            <w:r>
              <w:rPr>
                <w:rFonts w:cs="Arial"/>
                <w:szCs w:val="18"/>
                <w:lang w:val="en-GB"/>
              </w:rPr>
              <w:t>0.009%</w:t>
            </w:r>
          </w:p>
        </w:tc>
      </w:tr>
    </w:tbl>
    <w:p w14:paraId="23F0237F" w14:textId="77777777" w:rsidR="00C63A6B" w:rsidRDefault="00C63A6B" w:rsidP="00BE2944">
      <w:pPr>
        <w:pStyle w:val="CETheadingx"/>
        <w:numPr>
          <w:ilvl w:val="0"/>
          <w:numId w:val="0"/>
        </w:numPr>
        <w:ind w:left="360"/>
      </w:pPr>
    </w:p>
    <w:p w14:paraId="020297F6" w14:textId="05A2B250" w:rsidR="0013289B" w:rsidRPr="00973665" w:rsidRDefault="00C63A6B" w:rsidP="00BE2944">
      <w:pPr>
        <w:pStyle w:val="CETheadingx"/>
        <w:numPr>
          <w:ilvl w:val="0"/>
          <w:numId w:val="0"/>
        </w:numPr>
        <w:ind w:left="360" w:hanging="360"/>
        <w:rPr>
          <w:lang w:val="en-US"/>
        </w:rPr>
      </w:pPr>
      <w:r w:rsidRPr="00973665">
        <w:rPr>
          <w:lang w:val="en-US"/>
        </w:rPr>
        <w:t xml:space="preserve">3.3 </w:t>
      </w:r>
      <w:r w:rsidR="00973665" w:rsidRPr="00973665">
        <w:rPr>
          <w:lang w:val="en-US"/>
        </w:rPr>
        <w:t>Implementation of Occupational Safety and Health Management System (OSHS) proposal</w:t>
      </w:r>
    </w:p>
    <w:p w14:paraId="4A7ADA44" w14:textId="63B235BC" w:rsidR="00973665" w:rsidRDefault="00973665" w:rsidP="00450AB8">
      <w:pPr>
        <w:pStyle w:val="CETBodytext"/>
      </w:pPr>
      <w:r w:rsidRPr="00973665">
        <w:t xml:space="preserve">The proposed improvement of the </w:t>
      </w:r>
      <w:r w:rsidR="00A23918" w:rsidRPr="00973665">
        <w:t xml:space="preserve">OSHS </w:t>
      </w:r>
      <w:r w:rsidR="00A23918">
        <w:t>t</w:t>
      </w:r>
      <w:r w:rsidRPr="00973665">
        <w:t xml:space="preserve">hat was implemented in the company that resulted in the reduction of accidents at work, followed the guidelines </w:t>
      </w:r>
      <w:r w:rsidRPr="00183E94">
        <w:t>of the company Homologations of Peru that can be found</w:t>
      </w:r>
      <w:r w:rsidRPr="00973665">
        <w:t xml:space="preserve"> in its homologation platform. Table 7 shows the activities programmed in the system that were developed from August 2017 to May 2018.</w:t>
      </w:r>
    </w:p>
    <w:p w14:paraId="1E34C46B" w14:textId="661446A8" w:rsidR="00450AB8" w:rsidRPr="00973665" w:rsidRDefault="00450AB8" w:rsidP="00450AB8">
      <w:pPr>
        <w:pStyle w:val="CETBodytext"/>
      </w:pPr>
      <w:r w:rsidRPr="00973665">
        <w:t xml:space="preserve"> </w:t>
      </w:r>
    </w:p>
    <w:p w14:paraId="0E1BC7F6" w14:textId="6C3D21CB" w:rsidR="0030203E" w:rsidRPr="00973665" w:rsidRDefault="00973665" w:rsidP="00450AB8">
      <w:pPr>
        <w:pStyle w:val="CETBodytext"/>
      </w:pPr>
      <w:r>
        <w:t>Table</w:t>
      </w:r>
      <w:r w:rsidR="0030203E" w:rsidRPr="00973665">
        <w:t xml:space="preserve"> </w:t>
      </w:r>
      <w:r w:rsidR="00A53F31" w:rsidRPr="00973665">
        <w:t>7</w:t>
      </w:r>
      <w:r w:rsidR="0030203E" w:rsidRPr="00973665">
        <w:t xml:space="preserve"> </w:t>
      </w:r>
      <w:r w:rsidRPr="00973665">
        <w:t>Planned and implemented activities of the GSS proposal</w:t>
      </w:r>
    </w:p>
    <w:p w14:paraId="3536C17D" w14:textId="77777777" w:rsidR="00A53F31" w:rsidRPr="00973665" w:rsidRDefault="00A53F31" w:rsidP="00450AB8">
      <w:pPr>
        <w:pStyle w:val="CETBodytext"/>
      </w:pPr>
    </w:p>
    <w:tbl>
      <w:tblPr>
        <w:tblW w:w="5000" w:type="pct"/>
        <w:tblCellMar>
          <w:left w:w="70" w:type="dxa"/>
          <w:right w:w="70" w:type="dxa"/>
        </w:tblCellMar>
        <w:tblLook w:val="04A0" w:firstRow="1" w:lastRow="0" w:firstColumn="1" w:lastColumn="0" w:noHBand="0" w:noVBand="1"/>
      </w:tblPr>
      <w:tblGrid>
        <w:gridCol w:w="627"/>
        <w:gridCol w:w="8300"/>
      </w:tblGrid>
      <w:tr w:rsidR="00183E94" w:rsidRPr="008D7837" w14:paraId="005ADF67" w14:textId="77777777" w:rsidTr="00183E94">
        <w:trPr>
          <w:trHeight w:val="315"/>
        </w:trPr>
        <w:tc>
          <w:tcPr>
            <w:tcW w:w="351" w:type="pct"/>
            <w:tcBorders>
              <w:top w:val="nil"/>
              <w:left w:val="nil"/>
              <w:bottom w:val="single" w:sz="12" w:space="0" w:color="00B050"/>
              <w:right w:val="nil"/>
            </w:tcBorders>
            <w:shd w:val="clear" w:color="auto" w:fill="auto"/>
            <w:noWrap/>
            <w:vAlign w:val="center"/>
            <w:hideMark/>
          </w:tcPr>
          <w:p w14:paraId="60F39692"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w:t>
            </w:r>
          </w:p>
        </w:tc>
        <w:tc>
          <w:tcPr>
            <w:tcW w:w="4649" w:type="pct"/>
            <w:tcBorders>
              <w:top w:val="nil"/>
              <w:left w:val="nil"/>
              <w:bottom w:val="single" w:sz="12" w:space="0" w:color="00B050"/>
              <w:right w:val="nil"/>
            </w:tcBorders>
            <w:shd w:val="clear" w:color="auto" w:fill="auto"/>
            <w:vAlign w:val="center"/>
            <w:hideMark/>
          </w:tcPr>
          <w:p w14:paraId="7BE44C95" w14:textId="77777777" w:rsidR="00183E94" w:rsidRPr="008D7837" w:rsidRDefault="00183E94" w:rsidP="00183E94">
            <w:pPr>
              <w:tabs>
                <w:tab w:val="clear" w:pos="7100"/>
              </w:tabs>
              <w:spacing w:line="240" w:lineRule="auto"/>
              <w:jc w:val="center"/>
              <w:rPr>
                <w:rFonts w:cs="Arial"/>
                <w:b/>
                <w:bCs/>
                <w:color w:val="000000"/>
                <w:szCs w:val="18"/>
                <w:lang w:val="en-US" w:eastAsia="es-PE"/>
              </w:rPr>
            </w:pPr>
            <w:r w:rsidRPr="008D7837">
              <w:rPr>
                <w:rFonts w:cs="Arial"/>
                <w:b/>
                <w:bCs/>
                <w:color w:val="000000"/>
                <w:szCs w:val="18"/>
                <w:lang w:val="en-US" w:eastAsia="es-PE"/>
              </w:rPr>
              <w:t>ACTIVITIES</w:t>
            </w:r>
          </w:p>
        </w:tc>
      </w:tr>
      <w:tr w:rsidR="00183E94" w:rsidRPr="008D7837" w14:paraId="7AACFFB5" w14:textId="77777777" w:rsidTr="00183E94">
        <w:trPr>
          <w:trHeight w:val="315"/>
        </w:trPr>
        <w:tc>
          <w:tcPr>
            <w:tcW w:w="351" w:type="pct"/>
            <w:tcBorders>
              <w:top w:val="nil"/>
              <w:left w:val="nil"/>
              <w:bottom w:val="single" w:sz="12" w:space="0" w:color="00B050"/>
              <w:right w:val="nil"/>
            </w:tcBorders>
            <w:shd w:val="clear" w:color="auto" w:fill="auto"/>
            <w:noWrap/>
            <w:vAlign w:val="center"/>
            <w:hideMark/>
          </w:tcPr>
          <w:p w14:paraId="39391BDB"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w:t>
            </w:r>
          </w:p>
        </w:tc>
        <w:tc>
          <w:tcPr>
            <w:tcW w:w="4649" w:type="pct"/>
            <w:tcBorders>
              <w:top w:val="nil"/>
              <w:left w:val="nil"/>
              <w:bottom w:val="single" w:sz="12" w:space="0" w:color="00B050"/>
              <w:right w:val="nil"/>
            </w:tcBorders>
            <w:shd w:val="clear" w:color="auto" w:fill="auto"/>
            <w:vAlign w:val="center"/>
            <w:hideMark/>
          </w:tcPr>
          <w:p w14:paraId="5EEE6531"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POLITICS</w:t>
            </w:r>
          </w:p>
        </w:tc>
      </w:tr>
      <w:tr w:rsidR="00183E94" w:rsidRPr="008D7837" w14:paraId="4973577A" w14:textId="77777777" w:rsidTr="00183E94">
        <w:trPr>
          <w:trHeight w:val="315"/>
        </w:trPr>
        <w:tc>
          <w:tcPr>
            <w:tcW w:w="351" w:type="pct"/>
            <w:tcBorders>
              <w:top w:val="nil"/>
              <w:left w:val="nil"/>
              <w:bottom w:val="nil"/>
              <w:right w:val="nil"/>
            </w:tcBorders>
            <w:shd w:val="clear" w:color="auto" w:fill="auto"/>
            <w:noWrap/>
            <w:vAlign w:val="center"/>
            <w:hideMark/>
          </w:tcPr>
          <w:p w14:paraId="59DACD1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w:t>
            </w:r>
          </w:p>
        </w:tc>
        <w:tc>
          <w:tcPr>
            <w:tcW w:w="4649" w:type="pct"/>
            <w:tcBorders>
              <w:top w:val="nil"/>
              <w:left w:val="nil"/>
              <w:bottom w:val="nil"/>
              <w:right w:val="nil"/>
            </w:tcBorders>
            <w:shd w:val="clear" w:color="auto" w:fill="auto"/>
            <w:vAlign w:val="center"/>
            <w:hideMark/>
          </w:tcPr>
          <w:p w14:paraId="39FA1138"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Development of occupational safety and health, quality and environmental policies</w:t>
            </w:r>
          </w:p>
        </w:tc>
      </w:tr>
      <w:tr w:rsidR="00183E94" w:rsidRPr="008D7837" w14:paraId="1981A631" w14:textId="77777777" w:rsidTr="00183E94">
        <w:trPr>
          <w:trHeight w:val="270"/>
        </w:trPr>
        <w:tc>
          <w:tcPr>
            <w:tcW w:w="351" w:type="pct"/>
            <w:tcBorders>
              <w:top w:val="nil"/>
              <w:left w:val="nil"/>
              <w:bottom w:val="nil"/>
              <w:right w:val="nil"/>
            </w:tcBorders>
            <w:shd w:val="clear" w:color="auto" w:fill="auto"/>
            <w:noWrap/>
            <w:vAlign w:val="center"/>
            <w:hideMark/>
          </w:tcPr>
          <w:p w14:paraId="68EFBDC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w:t>
            </w:r>
          </w:p>
        </w:tc>
        <w:tc>
          <w:tcPr>
            <w:tcW w:w="4649" w:type="pct"/>
            <w:tcBorders>
              <w:top w:val="nil"/>
              <w:left w:val="nil"/>
              <w:bottom w:val="nil"/>
              <w:right w:val="nil"/>
            </w:tcBorders>
            <w:shd w:val="clear" w:color="auto" w:fill="auto"/>
            <w:vAlign w:val="center"/>
            <w:hideMark/>
          </w:tcPr>
          <w:p w14:paraId="504F9E88"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Communicate the policy to each of the operators and exhibit it</w:t>
            </w:r>
          </w:p>
        </w:tc>
      </w:tr>
      <w:tr w:rsidR="00183E94" w:rsidRPr="008D7837" w14:paraId="50484736" w14:textId="77777777" w:rsidTr="00183E94">
        <w:trPr>
          <w:trHeight w:val="255"/>
        </w:trPr>
        <w:tc>
          <w:tcPr>
            <w:tcW w:w="351" w:type="pct"/>
            <w:tcBorders>
              <w:top w:val="nil"/>
              <w:left w:val="nil"/>
              <w:bottom w:val="nil"/>
              <w:right w:val="nil"/>
            </w:tcBorders>
            <w:shd w:val="clear" w:color="auto" w:fill="auto"/>
            <w:noWrap/>
            <w:vAlign w:val="center"/>
            <w:hideMark/>
          </w:tcPr>
          <w:p w14:paraId="1DD17707"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07CFF720"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SCOPE OF THE SYSTEM</w:t>
            </w:r>
          </w:p>
        </w:tc>
      </w:tr>
      <w:tr w:rsidR="00183E94" w:rsidRPr="008D7837" w14:paraId="31938198" w14:textId="77777777" w:rsidTr="00183E94">
        <w:trPr>
          <w:trHeight w:val="300"/>
        </w:trPr>
        <w:tc>
          <w:tcPr>
            <w:tcW w:w="351" w:type="pct"/>
            <w:tcBorders>
              <w:top w:val="nil"/>
              <w:left w:val="nil"/>
              <w:bottom w:val="nil"/>
              <w:right w:val="nil"/>
            </w:tcBorders>
            <w:shd w:val="clear" w:color="auto" w:fill="auto"/>
            <w:noWrap/>
            <w:vAlign w:val="center"/>
            <w:hideMark/>
          </w:tcPr>
          <w:p w14:paraId="7FE0D27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w:t>
            </w:r>
          </w:p>
        </w:tc>
        <w:tc>
          <w:tcPr>
            <w:tcW w:w="4649" w:type="pct"/>
            <w:tcBorders>
              <w:top w:val="nil"/>
              <w:left w:val="nil"/>
              <w:bottom w:val="nil"/>
              <w:right w:val="nil"/>
            </w:tcBorders>
            <w:shd w:val="clear" w:color="auto" w:fill="auto"/>
            <w:vAlign w:val="center"/>
            <w:hideMark/>
          </w:tcPr>
          <w:p w14:paraId="6EF7C02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formats to be used in the OSH Management System</w:t>
            </w:r>
          </w:p>
        </w:tc>
      </w:tr>
      <w:tr w:rsidR="00183E94" w:rsidRPr="008D7837" w14:paraId="2B0D99B6" w14:textId="77777777" w:rsidTr="00183E94">
        <w:trPr>
          <w:trHeight w:val="255"/>
        </w:trPr>
        <w:tc>
          <w:tcPr>
            <w:tcW w:w="351" w:type="pct"/>
            <w:tcBorders>
              <w:top w:val="nil"/>
              <w:left w:val="nil"/>
              <w:bottom w:val="nil"/>
              <w:right w:val="nil"/>
            </w:tcBorders>
            <w:shd w:val="clear" w:color="auto" w:fill="auto"/>
            <w:noWrap/>
            <w:vAlign w:val="center"/>
            <w:hideMark/>
          </w:tcPr>
          <w:p w14:paraId="02DF6D94"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507B7392"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PLANNIG</w:t>
            </w:r>
          </w:p>
        </w:tc>
      </w:tr>
      <w:tr w:rsidR="00183E94" w:rsidRPr="008D7837" w14:paraId="2A9829E9" w14:textId="77777777" w:rsidTr="00183E94">
        <w:trPr>
          <w:trHeight w:val="255"/>
        </w:trPr>
        <w:tc>
          <w:tcPr>
            <w:tcW w:w="351" w:type="pct"/>
            <w:tcBorders>
              <w:top w:val="nil"/>
              <w:left w:val="nil"/>
              <w:bottom w:val="nil"/>
              <w:right w:val="nil"/>
            </w:tcBorders>
            <w:shd w:val="clear" w:color="auto" w:fill="auto"/>
            <w:noWrap/>
            <w:vAlign w:val="center"/>
            <w:hideMark/>
          </w:tcPr>
          <w:p w14:paraId="43CE944A"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671BA50F"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Linea Base Study</w:t>
            </w:r>
          </w:p>
        </w:tc>
      </w:tr>
      <w:tr w:rsidR="00183E94" w:rsidRPr="008D7837" w14:paraId="55F9749D" w14:textId="77777777" w:rsidTr="00183E94">
        <w:trPr>
          <w:trHeight w:val="285"/>
        </w:trPr>
        <w:tc>
          <w:tcPr>
            <w:tcW w:w="351" w:type="pct"/>
            <w:tcBorders>
              <w:top w:val="nil"/>
              <w:left w:val="nil"/>
              <w:bottom w:val="nil"/>
              <w:right w:val="nil"/>
            </w:tcBorders>
            <w:shd w:val="clear" w:color="auto" w:fill="auto"/>
            <w:noWrap/>
            <w:vAlign w:val="center"/>
            <w:hideMark/>
          </w:tcPr>
          <w:p w14:paraId="2A8C93F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w:t>
            </w:r>
          </w:p>
        </w:tc>
        <w:tc>
          <w:tcPr>
            <w:tcW w:w="4649" w:type="pct"/>
            <w:tcBorders>
              <w:top w:val="nil"/>
              <w:left w:val="nil"/>
              <w:bottom w:val="nil"/>
              <w:right w:val="nil"/>
            </w:tcBorders>
            <w:shd w:val="clear" w:color="auto" w:fill="auto"/>
            <w:vAlign w:val="center"/>
            <w:hideMark/>
          </w:tcPr>
          <w:p w14:paraId="6E15D0D5"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Conduct the baseline study of the OSH Management System</w:t>
            </w:r>
          </w:p>
        </w:tc>
      </w:tr>
      <w:tr w:rsidR="00183E94" w:rsidRPr="008D7837" w14:paraId="11AEEAA8" w14:textId="77777777" w:rsidTr="00183E94">
        <w:trPr>
          <w:trHeight w:val="240"/>
        </w:trPr>
        <w:tc>
          <w:tcPr>
            <w:tcW w:w="351" w:type="pct"/>
            <w:tcBorders>
              <w:top w:val="nil"/>
              <w:left w:val="nil"/>
              <w:bottom w:val="nil"/>
              <w:right w:val="nil"/>
            </w:tcBorders>
            <w:shd w:val="clear" w:color="auto" w:fill="auto"/>
            <w:noWrap/>
            <w:vAlign w:val="center"/>
            <w:hideMark/>
          </w:tcPr>
          <w:p w14:paraId="5DFB80D4"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148A1E09"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Hazard Identification and Risk Assessment</w:t>
            </w:r>
          </w:p>
        </w:tc>
      </w:tr>
      <w:tr w:rsidR="00183E94" w:rsidRPr="008D7837" w14:paraId="7F785B81" w14:textId="77777777" w:rsidTr="00183E94">
        <w:trPr>
          <w:trHeight w:val="255"/>
        </w:trPr>
        <w:tc>
          <w:tcPr>
            <w:tcW w:w="351" w:type="pct"/>
            <w:tcBorders>
              <w:top w:val="nil"/>
              <w:left w:val="nil"/>
              <w:bottom w:val="nil"/>
              <w:right w:val="nil"/>
            </w:tcBorders>
            <w:shd w:val="clear" w:color="auto" w:fill="auto"/>
            <w:noWrap/>
            <w:vAlign w:val="center"/>
            <w:hideMark/>
          </w:tcPr>
          <w:p w14:paraId="7E6CE906"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5</w:t>
            </w:r>
          </w:p>
        </w:tc>
        <w:tc>
          <w:tcPr>
            <w:tcW w:w="4649" w:type="pct"/>
            <w:tcBorders>
              <w:top w:val="nil"/>
              <w:left w:val="nil"/>
              <w:bottom w:val="nil"/>
              <w:right w:val="nil"/>
            </w:tcBorders>
            <w:shd w:val="clear" w:color="auto" w:fill="auto"/>
            <w:vAlign w:val="center"/>
            <w:hideMark/>
          </w:tcPr>
          <w:p w14:paraId="33347BA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the procedure and methodology for developing the IPER</w:t>
            </w:r>
          </w:p>
        </w:tc>
      </w:tr>
      <w:tr w:rsidR="00183E94" w:rsidRPr="008D7837" w14:paraId="72EA2C6B" w14:textId="77777777" w:rsidTr="00183E94">
        <w:trPr>
          <w:trHeight w:val="285"/>
        </w:trPr>
        <w:tc>
          <w:tcPr>
            <w:tcW w:w="351" w:type="pct"/>
            <w:tcBorders>
              <w:top w:val="nil"/>
              <w:left w:val="nil"/>
              <w:bottom w:val="nil"/>
              <w:right w:val="nil"/>
            </w:tcBorders>
            <w:shd w:val="clear" w:color="auto" w:fill="auto"/>
            <w:noWrap/>
            <w:vAlign w:val="center"/>
            <w:hideMark/>
          </w:tcPr>
          <w:p w14:paraId="475B59A7"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6</w:t>
            </w:r>
          </w:p>
        </w:tc>
        <w:tc>
          <w:tcPr>
            <w:tcW w:w="4649" w:type="pct"/>
            <w:tcBorders>
              <w:top w:val="nil"/>
              <w:left w:val="nil"/>
              <w:bottom w:val="nil"/>
              <w:right w:val="nil"/>
            </w:tcBorders>
            <w:shd w:val="clear" w:color="auto" w:fill="auto"/>
            <w:vAlign w:val="center"/>
            <w:hideMark/>
          </w:tcPr>
          <w:p w14:paraId="168B23D4"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IPER for all jobs and work areas</w:t>
            </w:r>
          </w:p>
        </w:tc>
      </w:tr>
      <w:tr w:rsidR="00183E94" w:rsidRPr="008D7837" w14:paraId="0F7EA09F" w14:textId="77777777" w:rsidTr="00183E94">
        <w:trPr>
          <w:trHeight w:val="315"/>
        </w:trPr>
        <w:tc>
          <w:tcPr>
            <w:tcW w:w="351" w:type="pct"/>
            <w:tcBorders>
              <w:top w:val="nil"/>
              <w:left w:val="nil"/>
              <w:bottom w:val="nil"/>
              <w:right w:val="nil"/>
            </w:tcBorders>
            <w:shd w:val="clear" w:color="auto" w:fill="auto"/>
            <w:noWrap/>
            <w:vAlign w:val="center"/>
            <w:hideMark/>
          </w:tcPr>
          <w:p w14:paraId="1CB6EBC0"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7</w:t>
            </w:r>
          </w:p>
        </w:tc>
        <w:tc>
          <w:tcPr>
            <w:tcW w:w="4649" w:type="pct"/>
            <w:tcBorders>
              <w:top w:val="nil"/>
              <w:left w:val="nil"/>
              <w:bottom w:val="nil"/>
              <w:right w:val="nil"/>
            </w:tcBorders>
            <w:shd w:val="clear" w:color="auto" w:fill="auto"/>
            <w:vAlign w:val="center"/>
            <w:hideMark/>
          </w:tcPr>
          <w:p w14:paraId="307EE75D"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IPER records are related to the activities carried out at the premises of the Romero Group companies</w:t>
            </w:r>
          </w:p>
        </w:tc>
      </w:tr>
      <w:tr w:rsidR="00183E94" w:rsidRPr="008D7837" w14:paraId="100C1C97" w14:textId="77777777" w:rsidTr="00183E94">
        <w:trPr>
          <w:trHeight w:val="315"/>
        </w:trPr>
        <w:tc>
          <w:tcPr>
            <w:tcW w:w="351" w:type="pct"/>
            <w:tcBorders>
              <w:top w:val="nil"/>
              <w:left w:val="nil"/>
              <w:bottom w:val="nil"/>
              <w:right w:val="nil"/>
            </w:tcBorders>
            <w:shd w:val="clear" w:color="auto" w:fill="auto"/>
            <w:noWrap/>
            <w:vAlign w:val="center"/>
            <w:hideMark/>
          </w:tcPr>
          <w:p w14:paraId="07E4B255"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8</w:t>
            </w:r>
          </w:p>
        </w:tc>
        <w:tc>
          <w:tcPr>
            <w:tcW w:w="4649" w:type="pct"/>
            <w:tcBorders>
              <w:top w:val="nil"/>
              <w:left w:val="nil"/>
              <w:bottom w:val="nil"/>
              <w:right w:val="nil"/>
            </w:tcBorders>
            <w:shd w:val="clear" w:color="auto" w:fill="auto"/>
            <w:vAlign w:val="center"/>
            <w:hideMark/>
          </w:tcPr>
          <w:p w14:paraId="6B9A0DB0"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the Risk Maps</w:t>
            </w:r>
          </w:p>
        </w:tc>
      </w:tr>
      <w:tr w:rsidR="00183E94" w:rsidRPr="008D7837" w14:paraId="08B6AC86" w14:textId="77777777" w:rsidTr="00183E94">
        <w:trPr>
          <w:trHeight w:val="315"/>
        </w:trPr>
        <w:tc>
          <w:tcPr>
            <w:tcW w:w="351" w:type="pct"/>
            <w:tcBorders>
              <w:top w:val="nil"/>
              <w:left w:val="nil"/>
              <w:bottom w:val="nil"/>
              <w:right w:val="nil"/>
            </w:tcBorders>
            <w:shd w:val="clear" w:color="auto" w:fill="auto"/>
            <w:noWrap/>
            <w:vAlign w:val="center"/>
            <w:hideMark/>
          </w:tcPr>
          <w:p w14:paraId="3BB185E0"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9</w:t>
            </w:r>
          </w:p>
        </w:tc>
        <w:tc>
          <w:tcPr>
            <w:tcW w:w="4649" w:type="pct"/>
            <w:tcBorders>
              <w:top w:val="nil"/>
              <w:left w:val="nil"/>
              <w:bottom w:val="nil"/>
              <w:right w:val="nil"/>
            </w:tcBorders>
            <w:shd w:val="clear" w:color="auto" w:fill="auto"/>
            <w:vAlign w:val="center"/>
            <w:hideMark/>
          </w:tcPr>
          <w:p w14:paraId="2469C4FC"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Publish the Risk Maps in each area of the company</w:t>
            </w:r>
          </w:p>
        </w:tc>
      </w:tr>
      <w:tr w:rsidR="00183E94" w:rsidRPr="008D7837" w14:paraId="374386C6" w14:textId="77777777" w:rsidTr="00183E94">
        <w:trPr>
          <w:trHeight w:val="285"/>
        </w:trPr>
        <w:tc>
          <w:tcPr>
            <w:tcW w:w="351" w:type="pct"/>
            <w:tcBorders>
              <w:top w:val="nil"/>
              <w:left w:val="nil"/>
              <w:bottom w:val="nil"/>
              <w:right w:val="nil"/>
            </w:tcBorders>
            <w:shd w:val="clear" w:color="auto" w:fill="auto"/>
            <w:noWrap/>
            <w:vAlign w:val="center"/>
            <w:hideMark/>
          </w:tcPr>
          <w:p w14:paraId="63055443"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5E7E8866" w14:textId="7AC540EF"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xml:space="preserve">Objectives, Targets and </w:t>
            </w:r>
            <w:r w:rsidR="008D7837" w:rsidRPr="008D7837">
              <w:rPr>
                <w:rFonts w:cs="Arial"/>
                <w:color w:val="000000"/>
                <w:szCs w:val="18"/>
                <w:lang w:val="en-US" w:eastAsia="es-PE"/>
              </w:rPr>
              <w:t>Programmers</w:t>
            </w:r>
          </w:p>
        </w:tc>
      </w:tr>
      <w:tr w:rsidR="00183E94" w:rsidRPr="008D7837" w14:paraId="305B9EEC" w14:textId="77777777" w:rsidTr="00183E94">
        <w:trPr>
          <w:trHeight w:val="255"/>
        </w:trPr>
        <w:tc>
          <w:tcPr>
            <w:tcW w:w="351" w:type="pct"/>
            <w:tcBorders>
              <w:top w:val="nil"/>
              <w:left w:val="nil"/>
              <w:bottom w:val="nil"/>
              <w:right w:val="nil"/>
            </w:tcBorders>
            <w:shd w:val="clear" w:color="auto" w:fill="auto"/>
            <w:noWrap/>
            <w:vAlign w:val="center"/>
            <w:hideMark/>
          </w:tcPr>
          <w:p w14:paraId="34962BF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10</w:t>
            </w:r>
          </w:p>
        </w:tc>
        <w:tc>
          <w:tcPr>
            <w:tcW w:w="4649" w:type="pct"/>
            <w:tcBorders>
              <w:top w:val="nil"/>
              <w:left w:val="nil"/>
              <w:bottom w:val="nil"/>
              <w:right w:val="nil"/>
            </w:tcBorders>
            <w:shd w:val="clear" w:color="auto" w:fill="auto"/>
            <w:vAlign w:val="center"/>
            <w:hideMark/>
          </w:tcPr>
          <w:p w14:paraId="0021EBB1"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Define objectives and goals in the OSH Management System</w:t>
            </w:r>
          </w:p>
        </w:tc>
      </w:tr>
      <w:tr w:rsidR="00183E94" w:rsidRPr="008D7837" w14:paraId="27F14749" w14:textId="77777777" w:rsidTr="00183E94">
        <w:trPr>
          <w:trHeight w:val="315"/>
        </w:trPr>
        <w:tc>
          <w:tcPr>
            <w:tcW w:w="351" w:type="pct"/>
            <w:tcBorders>
              <w:top w:val="nil"/>
              <w:left w:val="nil"/>
              <w:bottom w:val="nil"/>
              <w:right w:val="nil"/>
            </w:tcBorders>
            <w:shd w:val="clear" w:color="auto" w:fill="auto"/>
            <w:noWrap/>
            <w:vAlign w:val="center"/>
            <w:hideMark/>
          </w:tcPr>
          <w:p w14:paraId="45EC915D"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11</w:t>
            </w:r>
          </w:p>
        </w:tc>
        <w:tc>
          <w:tcPr>
            <w:tcW w:w="4649" w:type="pct"/>
            <w:tcBorders>
              <w:top w:val="nil"/>
              <w:left w:val="nil"/>
              <w:bottom w:val="nil"/>
              <w:right w:val="nil"/>
            </w:tcBorders>
            <w:shd w:val="clear" w:color="auto" w:fill="auto"/>
            <w:vAlign w:val="center"/>
            <w:hideMark/>
          </w:tcPr>
          <w:p w14:paraId="1F91658B"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Publish objectives and targets in the OSH Management System in a visible place</w:t>
            </w:r>
          </w:p>
        </w:tc>
      </w:tr>
      <w:tr w:rsidR="00183E94" w:rsidRPr="008D7837" w14:paraId="2990B732" w14:textId="77777777" w:rsidTr="00183E94">
        <w:trPr>
          <w:trHeight w:val="315"/>
        </w:trPr>
        <w:tc>
          <w:tcPr>
            <w:tcW w:w="351" w:type="pct"/>
            <w:tcBorders>
              <w:top w:val="nil"/>
              <w:left w:val="nil"/>
              <w:bottom w:val="nil"/>
              <w:right w:val="nil"/>
            </w:tcBorders>
            <w:shd w:val="clear" w:color="auto" w:fill="auto"/>
            <w:noWrap/>
            <w:vAlign w:val="center"/>
            <w:hideMark/>
          </w:tcPr>
          <w:p w14:paraId="6E48816D"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12</w:t>
            </w:r>
          </w:p>
        </w:tc>
        <w:tc>
          <w:tcPr>
            <w:tcW w:w="4649" w:type="pct"/>
            <w:tcBorders>
              <w:top w:val="nil"/>
              <w:left w:val="nil"/>
              <w:bottom w:val="nil"/>
              <w:right w:val="nil"/>
            </w:tcBorders>
            <w:shd w:val="clear" w:color="auto" w:fill="auto"/>
            <w:vAlign w:val="center"/>
            <w:hideMark/>
          </w:tcPr>
          <w:p w14:paraId="6E9A1E7E" w14:textId="51682B1C"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xml:space="preserve">Develop an Annual </w:t>
            </w:r>
            <w:r w:rsidR="008D7837" w:rsidRPr="008D7837">
              <w:rPr>
                <w:rFonts w:cs="Arial"/>
                <w:color w:val="000000"/>
                <w:szCs w:val="18"/>
                <w:lang w:val="en-US" w:eastAsia="es-PE"/>
              </w:rPr>
              <w:t>Programmer</w:t>
            </w:r>
            <w:r w:rsidRPr="008D7837">
              <w:rPr>
                <w:rFonts w:cs="Arial"/>
                <w:color w:val="000000"/>
                <w:szCs w:val="18"/>
                <w:lang w:val="en-US" w:eastAsia="es-PE"/>
              </w:rPr>
              <w:t xml:space="preserve"> for Safety and Health at Work</w:t>
            </w:r>
          </w:p>
        </w:tc>
      </w:tr>
      <w:tr w:rsidR="00183E94" w:rsidRPr="008D7837" w14:paraId="58CAAFF4" w14:textId="77777777" w:rsidTr="00183E94">
        <w:trPr>
          <w:trHeight w:val="285"/>
        </w:trPr>
        <w:tc>
          <w:tcPr>
            <w:tcW w:w="351" w:type="pct"/>
            <w:tcBorders>
              <w:top w:val="nil"/>
              <w:left w:val="nil"/>
              <w:bottom w:val="nil"/>
              <w:right w:val="nil"/>
            </w:tcBorders>
            <w:shd w:val="clear" w:color="auto" w:fill="auto"/>
            <w:noWrap/>
            <w:vAlign w:val="center"/>
            <w:hideMark/>
          </w:tcPr>
          <w:p w14:paraId="2FD0B08A"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74115A86"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IMPLEMENTATION AND OPERATION</w:t>
            </w:r>
          </w:p>
        </w:tc>
      </w:tr>
      <w:tr w:rsidR="00183E94" w:rsidRPr="008D7837" w14:paraId="7ED839DB" w14:textId="77777777" w:rsidTr="00183E94">
        <w:trPr>
          <w:trHeight w:val="255"/>
        </w:trPr>
        <w:tc>
          <w:tcPr>
            <w:tcW w:w="351" w:type="pct"/>
            <w:tcBorders>
              <w:top w:val="nil"/>
              <w:left w:val="nil"/>
              <w:bottom w:val="nil"/>
              <w:right w:val="nil"/>
            </w:tcBorders>
            <w:shd w:val="clear" w:color="auto" w:fill="auto"/>
            <w:noWrap/>
            <w:vAlign w:val="center"/>
            <w:hideMark/>
          </w:tcPr>
          <w:p w14:paraId="72CD056B"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3E55DBA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Resources, Functions, Responsibility and Authority</w:t>
            </w:r>
          </w:p>
        </w:tc>
      </w:tr>
      <w:tr w:rsidR="00183E94" w:rsidRPr="008D7837" w14:paraId="2E3AA7F6" w14:textId="77777777" w:rsidTr="00183E94">
        <w:trPr>
          <w:trHeight w:val="315"/>
        </w:trPr>
        <w:tc>
          <w:tcPr>
            <w:tcW w:w="351" w:type="pct"/>
            <w:tcBorders>
              <w:top w:val="nil"/>
              <w:left w:val="nil"/>
              <w:bottom w:val="nil"/>
              <w:right w:val="nil"/>
            </w:tcBorders>
            <w:shd w:val="clear" w:color="auto" w:fill="auto"/>
            <w:noWrap/>
            <w:vAlign w:val="center"/>
            <w:hideMark/>
          </w:tcPr>
          <w:p w14:paraId="48307C7F"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13</w:t>
            </w:r>
          </w:p>
        </w:tc>
        <w:tc>
          <w:tcPr>
            <w:tcW w:w="4649" w:type="pct"/>
            <w:tcBorders>
              <w:top w:val="nil"/>
              <w:left w:val="nil"/>
              <w:bottom w:val="nil"/>
              <w:right w:val="nil"/>
            </w:tcBorders>
            <w:shd w:val="clear" w:color="auto" w:fill="auto"/>
            <w:vAlign w:val="center"/>
            <w:hideMark/>
          </w:tcPr>
          <w:p w14:paraId="0724EA3C"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To elaborate an Organigram</w:t>
            </w:r>
          </w:p>
        </w:tc>
      </w:tr>
      <w:tr w:rsidR="00183E94" w:rsidRPr="008D7837" w14:paraId="32101D5A" w14:textId="77777777" w:rsidTr="00183E94">
        <w:trPr>
          <w:trHeight w:val="315"/>
        </w:trPr>
        <w:tc>
          <w:tcPr>
            <w:tcW w:w="351" w:type="pct"/>
            <w:tcBorders>
              <w:top w:val="nil"/>
              <w:left w:val="nil"/>
              <w:bottom w:val="nil"/>
              <w:right w:val="nil"/>
            </w:tcBorders>
            <w:shd w:val="clear" w:color="auto" w:fill="auto"/>
            <w:noWrap/>
            <w:vAlign w:val="center"/>
            <w:hideMark/>
          </w:tcPr>
          <w:p w14:paraId="1B4A49A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14</w:t>
            </w:r>
          </w:p>
        </w:tc>
        <w:tc>
          <w:tcPr>
            <w:tcW w:w="4649" w:type="pct"/>
            <w:tcBorders>
              <w:top w:val="nil"/>
              <w:left w:val="nil"/>
              <w:bottom w:val="nil"/>
              <w:right w:val="nil"/>
            </w:tcBorders>
            <w:shd w:val="clear" w:color="auto" w:fill="auto"/>
            <w:vAlign w:val="center"/>
            <w:hideMark/>
          </w:tcPr>
          <w:p w14:paraId="0BF78759"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Job Manual for all jobs</w:t>
            </w:r>
          </w:p>
        </w:tc>
      </w:tr>
      <w:tr w:rsidR="00183E94" w:rsidRPr="008D7837" w14:paraId="335812C2" w14:textId="77777777" w:rsidTr="00183E94">
        <w:trPr>
          <w:trHeight w:val="315"/>
        </w:trPr>
        <w:tc>
          <w:tcPr>
            <w:tcW w:w="351" w:type="pct"/>
            <w:tcBorders>
              <w:top w:val="nil"/>
              <w:left w:val="nil"/>
              <w:bottom w:val="nil"/>
              <w:right w:val="nil"/>
            </w:tcBorders>
            <w:shd w:val="clear" w:color="auto" w:fill="auto"/>
            <w:noWrap/>
            <w:vAlign w:val="center"/>
            <w:hideMark/>
          </w:tcPr>
          <w:p w14:paraId="2F42CC21"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15</w:t>
            </w:r>
          </w:p>
        </w:tc>
        <w:tc>
          <w:tcPr>
            <w:tcW w:w="4649" w:type="pct"/>
            <w:tcBorders>
              <w:top w:val="nil"/>
              <w:left w:val="nil"/>
              <w:bottom w:val="nil"/>
              <w:right w:val="nil"/>
            </w:tcBorders>
            <w:shd w:val="clear" w:color="auto" w:fill="auto"/>
            <w:vAlign w:val="center"/>
            <w:hideMark/>
          </w:tcPr>
          <w:p w14:paraId="309DDDF0"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Appoint an Employer Representative for the development, implementation and monitoring of SGSST results</w:t>
            </w:r>
          </w:p>
        </w:tc>
      </w:tr>
      <w:tr w:rsidR="00183E94" w:rsidRPr="008D7837" w14:paraId="3315D212" w14:textId="77777777" w:rsidTr="00183E94">
        <w:trPr>
          <w:trHeight w:val="315"/>
        </w:trPr>
        <w:tc>
          <w:tcPr>
            <w:tcW w:w="351" w:type="pct"/>
            <w:tcBorders>
              <w:top w:val="nil"/>
              <w:left w:val="nil"/>
              <w:bottom w:val="nil"/>
              <w:right w:val="nil"/>
            </w:tcBorders>
            <w:shd w:val="clear" w:color="auto" w:fill="auto"/>
            <w:noWrap/>
            <w:vAlign w:val="center"/>
            <w:hideMark/>
          </w:tcPr>
          <w:p w14:paraId="54D47CC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16</w:t>
            </w:r>
          </w:p>
        </w:tc>
        <w:tc>
          <w:tcPr>
            <w:tcW w:w="4649" w:type="pct"/>
            <w:tcBorders>
              <w:top w:val="nil"/>
              <w:left w:val="nil"/>
              <w:bottom w:val="nil"/>
              <w:right w:val="nil"/>
            </w:tcBorders>
            <w:shd w:val="clear" w:color="auto" w:fill="auto"/>
            <w:vAlign w:val="center"/>
            <w:hideMark/>
          </w:tcPr>
          <w:p w14:paraId="76C307F9"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Appoint a Security Supervisor</w:t>
            </w:r>
          </w:p>
        </w:tc>
      </w:tr>
      <w:tr w:rsidR="00183E94" w:rsidRPr="008D7837" w14:paraId="299FDDD7" w14:textId="77777777" w:rsidTr="00183E94">
        <w:trPr>
          <w:trHeight w:val="315"/>
        </w:trPr>
        <w:tc>
          <w:tcPr>
            <w:tcW w:w="351" w:type="pct"/>
            <w:tcBorders>
              <w:top w:val="nil"/>
              <w:left w:val="nil"/>
              <w:bottom w:val="nil"/>
              <w:right w:val="nil"/>
            </w:tcBorders>
            <w:shd w:val="clear" w:color="auto" w:fill="auto"/>
            <w:noWrap/>
            <w:vAlign w:val="center"/>
            <w:hideMark/>
          </w:tcPr>
          <w:p w14:paraId="6728C4B1"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220EB76F"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Competence, Training and Awareness</w:t>
            </w:r>
          </w:p>
        </w:tc>
      </w:tr>
      <w:tr w:rsidR="00183E94" w:rsidRPr="008D7837" w14:paraId="7441FAF5" w14:textId="77777777" w:rsidTr="00183E94">
        <w:trPr>
          <w:trHeight w:val="315"/>
        </w:trPr>
        <w:tc>
          <w:tcPr>
            <w:tcW w:w="351" w:type="pct"/>
            <w:tcBorders>
              <w:top w:val="nil"/>
              <w:left w:val="nil"/>
              <w:bottom w:val="nil"/>
              <w:right w:val="nil"/>
            </w:tcBorders>
            <w:shd w:val="clear" w:color="auto" w:fill="auto"/>
            <w:noWrap/>
            <w:vAlign w:val="center"/>
            <w:hideMark/>
          </w:tcPr>
          <w:p w14:paraId="750E43A4"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17</w:t>
            </w:r>
          </w:p>
        </w:tc>
        <w:tc>
          <w:tcPr>
            <w:tcW w:w="4649" w:type="pct"/>
            <w:tcBorders>
              <w:top w:val="nil"/>
              <w:left w:val="nil"/>
              <w:bottom w:val="nil"/>
              <w:right w:val="nil"/>
            </w:tcBorders>
            <w:shd w:val="clear" w:color="auto" w:fill="auto"/>
            <w:vAlign w:val="center"/>
            <w:hideMark/>
          </w:tcPr>
          <w:p w14:paraId="3F45CFCE"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an Annual Training and Training Program</w:t>
            </w:r>
          </w:p>
        </w:tc>
      </w:tr>
      <w:tr w:rsidR="00183E94" w:rsidRPr="008D7837" w14:paraId="17FCE759" w14:textId="77777777" w:rsidTr="00183E94">
        <w:trPr>
          <w:trHeight w:val="315"/>
        </w:trPr>
        <w:tc>
          <w:tcPr>
            <w:tcW w:w="351" w:type="pct"/>
            <w:tcBorders>
              <w:top w:val="nil"/>
              <w:left w:val="nil"/>
              <w:bottom w:val="nil"/>
              <w:right w:val="nil"/>
            </w:tcBorders>
            <w:shd w:val="clear" w:color="auto" w:fill="auto"/>
            <w:noWrap/>
            <w:vAlign w:val="center"/>
            <w:hideMark/>
          </w:tcPr>
          <w:p w14:paraId="22458324"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18</w:t>
            </w:r>
          </w:p>
        </w:tc>
        <w:tc>
          <w:tcPr>
            <w:tcW w:w="4649" w:type="pct"/>
            <w:tcBorders>
              <w:top w:val="nil"/>
              <w:left w:val="nil"/>
              <w:bottom w:val="nil"/>
              <w:right w:val="nil"/>
            </w:tcBorders>
            <w:shd w:val="clear" w:color="auto" w:fill="auto"/>
            <w:vAlign w:val="center"/>
            <w:hideMark/>
          </w:tcPr>
          <w:p w14:paraId="5FC4B26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an induction plan for new staff</w:t>
            </w:r>
          </w:p>
        </w:tc>
      </w:tr>
      <w:tr w:rsidR="00183E94" w:rsidRPr="008D7837" w14:paraId="7729BBA5" w14:textId="77777777" w:rsidTr="00183E94">
        <w:trPr>
          <w:trHeight w:val="315"/>
        </w:trPr>
        <w:tc>
          <w:tcPr>
            <w:tcW w:w="351" w:type="pct"/>
            <w:tcBorders>
              <w:top w:val="nil"/>
              <w:left w:val="nil"/>
              <w:bottom w:val="nil"/>
              <w:right w:val="nil"/>
            </w:tcBorders>
            <w:shd w:val="clear" w:color="auto" w:fill="auto"/>
            <w:noWrap/>
            <w:vAlign w:val="center"/>
            <w:hideMark/>
          </w:tcPr>
          <w:p w14:paraId="5C43F136"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35898114"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Communication, Participation and Consultation</w:t>
            </w:r>
          </w:p>
        </w:tc>
      </w:tr>
      <w:tr w:rsidR="00183E94" w:rsidRPr="008D7837" w14:paraId="10931123" w14:textId="77777777" w:rsidTr="00183E94">
        <w:trPr>
          <w:trHeight w:val="315"/>
        </w:trPr>
        <w:tc>
          <w:tcPr>
            <w:tcW w:w="351" w:type="pct"/>
            <w:tcBorders>
              <w:top w:val="nil"/>
              <w:left w:val="nil"/>
              <w:bottom w:val="nil"/>
              <w:right w:val="nil"/>
            </w:tcBorders>
            <w:shd w:val="clear" w:color="auto" w:fill="auto"/>
            <w:noWrap/>
            <w:vAlign w:val="center"/>
            <w:hideMark/>
          </w:tcPr>
          <w:p w14:paraId="1710B1E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19</w:t>
            </w:r>
          </w:p>
        </w:tc>
        <w:tc>
          <w:tcPr>
            <w:tcW w:w="4649" w:type="pct"/>
            <w:tcBorders>
              <w:top w:val="nil"/>
              <w:left w:val="nil"/>
              <w:bottom w:val="nil"/>
              <w:right w:val="nil"/>
            </w:tcBorders>
            <w:shd w:val="clear" w:color="auto" w:fill="auto"/>
            <w:vAlign w:val="center"/>
            <w:hideMark/>
          </w:tcPr>
          <w:p w14:paraId="768612FB"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means to ensure communication between staff and management</w:t>
            </w:r>
          </w:p>
        </w:tc>
      </w:tr>
      <w:tr w:rsidR="00183E94" w:rsidRPr="008D7837" w14:paraId="66E24C4F" w14:textId="77777777" w:rsidTr="00183E94">
        <w:trPr>
          <w:trHeight w:val="315"/>
        </w:trPr>
        <w:tc>
          <w:tcPr>
            <w:tcW w:w="351" w:type="pct"/>
            <w:tcBorders>
              <w:top w:val="nil"/>
              <w:left w:val="nil"/>
              <w:bottom w:val="nil"/>
              <w:right w:val="nil"/>
            </w:tcBorders>
            <w:shd w:val="clear" w:color="auto" w:fill="auto"/>
            <w:noWrap/>
            <w:vAlign w:val="center"/>
            <w:hideMark/>
          </w:tcPr>
          <w:p w14:paraId="7505190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20</w:t>
            </w:r>
          </w:p>
        </w:tc>
        <w:tc>
          <w:tcPr>
            <w:tcW w:w="4649" w:type="pct"/>
            <w:tcBorders>
              <w:top w:val="nil"/>
              <w:left w:val="nil"/>
              <w:bottom w:val="nil"/>
              <w:right w:val="nil"/>
            </w:tcBorders>
            <w:shd w:val="clear" w:color="auto" w:fill="auto"/>
            <w:vAlign w:val="center"/>
            <w:hideMark/>
          </w:tcPr>
          <w:p w14:paraId="5F9EB713"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Provide workers with their PPE according to the work they do</w:t>
            </w:r>
          </w:p>
        </w:tc>
      </w:tr>
      <w:tr w:rsidR="00183E94" w:rsidRPr="008D7837" w14:paraId="698E630A" w14:textId="77777777" w:rsidTr="00183E94">
        <w:trPr>
          <w:trHeight w:val="315"/>
        </w:trPr>
        <w:tc>
          <w:tcPr>
            <w:tcW w:w="351" w:type="pct"/>
            <w:tcBorders>
              <w:top w:val="nil"/>
              <w:left w:val="nil"/>
              <w:bottom w:val="nil"/>
              <w:right w:val="nil"/>
            </w:tcBorders>
            <w:shd w:val="clear" w:color="auto" w:fill="auto"/>
            <w:noWrap/>
            <w:vAlign w:val="center"/>
            <w:hideMark/>
          </w:tcPr>
          <w:p w14:paraId="12966EEF"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21</w:t>
            </w:r>
          </w:p>
        </w:tc>
        <w:tc>
          <w:tcPr>
            <w:tcW w:w="4649" w:type="pct"/>
            <w:tcBorders>
              <w:top w:val="nil"/>
              <w:left w:val="nil"/>
              <w:bottom w:val="nil"/>
              <w:right w:val="nil"/>
            </w:tcBorders>
            <w:shd w:val="clear" w:color="auto" w:fill="auto"/>
            <w:vAlign w:val="center"/>
            <w:hideMark/>
          </w:tcPr>
          <w:p w14:paraId="302A8072"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Provide workers with their work uniforms</w:t>
            </w:r>
          </w:p>
        </w:tc>
      </w:tr>
      <w:tr w:rsidR="00183E94" w:rsidRPr="008D7837" w14:paraId="51DC1ED1" w14:textId="77777777" w:rsidTr="00183E94">
        <w:trPr>
          <w:trHeight w:val="315"/>
        </w:trPr>
        <w:tc>
          <w:tcPr>
            <w:tcW w:w="351" w:type="pct"/>
            <w:tcBorders>
              <w:top w:val="nil"/>
              <w:left w:val="nil"/>
              <w:bottom w:val="nil"/>
              <w:right w:val="nil"/>
            </w:tcBorders>
            <w:shd w:val="clear" w:color="auto" w:fill="auto"/>
            <w:noWrap/>
            <w:vAlign w:val="center"/>
            <w:hideMark/>
          </w:tcPr>
          <w:p w14:paraId="167A575E"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6E7677BA"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Documentation</w:t>
            </w:r>
          </w:p>
        </w:tc>
      </w:tr>
      <w:tr w:rsidR="00183E94" w:rsidRPr="008D7837" w14:paraId="5DF5C64E" w14:textId="77777777" w:rsidTr="00183E94">
        <w:trPr>
          <w:trHeight w:val="315"/>
        </w:trPr>
        <w:tc>
          <w:tcPr>
            <w:tcW w:w="351" w:type="pct"/>
            <w:tcBorders>
              <w:top w:val="nil"/>
              <w:left w:val="nil"/>
              <w:bottom w:val="nil"/>
              <w:right w:val="nil"/>
            </w:tcBorders>
            <w:shd w:val="clear" w:color="auto" w:fill="auto"/>
            <w:noWrap/>
            <w:vAlign w:val="center"/>
            <w:hideMark/>
          </w:tcPr>
          <w:p w14:paraId="049728B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22</w:t>
            </w:r>
          </w:p>
        </w:tc>
        <w:tc>
          <w:tcPr>
            <w:tcW w:w="4649" w:type="pct"/>
            <w:tcBorders>
              <w:top w:val="nil"/>
              <w:left w:val="nil"/>
              <w:bottom w:val="nil"/>
              <w:right w:val="nil"/>
            </w:tcBorders>
            <w:shd w:val="clear" w:color="auto" w:fill="auto"/>
            <w:vAlign w:val="center"/>
            <w:hideMark/>
          </w:tcPr>
          <w:p w14:paraId="3600F64D"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the SGSST Handbook</w:t>
            </w:r>
          </w:p>
        </w:tc>
      </w:tr>
      <w:tr w:rsidR="00183E94" w:rsidRPr="008D7837" w14:paraId="6FB750D3" w14:textId="77777777" w:rsidTr="00183E94">
        <w:trPr>
          <w:trHeight w:val="315"/>
        </w:trPr>
        <w:tc>
          <w:tcPr>
            <w:tcW w:w="351" w:type="pct"/>
            <w:tcBorders>
              <w:top w:val="nil"/>
              <w:left w:val="nil"/>
              <w:bottom w:val="nil"/>
              <w:right w:val="nil"/>
            </w:tcBorders>
            <w:shd w:val="clear" w:color="auto" w:fill="auto"/>
            <w:noWrap/>
            <w:vAlign w:val="center"/>
            <w:hideMark/>
          </w:tcPr>
          <w:p w14:paraId="38C5927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23</w:t>
            </w:r>
          </w:p>
        </w:tc>
        <w:tc>
          <w:tcPr>
            <w:tcW w:w="4649" w:type="pct"/>
            <w:tcBorders>
              <w:top w:val="nil"/>
              <w:left w:val="nil"/>
              <w:bottom w:val="nil"/>
              <w:right w:val="nil"/>
            </w:tcBorders>
            <w:shd w:val="clear" w:color="auto" w:fill="auto"/>
            <w:vAlign w:val="center"/>
            <w:hideMark/>
          </w:tcPr>
          <w:p w14:paraId="0E911AA1"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OSH Rules of Procedure</w:t>
            </w:r>
          </w:p>
        </w:tc>
      </w:tr>
      <w:tr w:rsidR="00183E94" w:rsidRPr="008D7837" w14:paraId="503BDEB2" w14:textId="77777777" w:rsidTr="00183E94">
        <w:trPr>
          <w:trHeight w:val="315"/>
        </w:trPr>
        <w:tc>
          <w:tcPr>
            <w:tcW w:w="351" w:type="pct"/>
            <w:tcBorders>
              <w:top w:val="nil"/>
              <w:left w:val="nil"/>
              <w:bottom w:val="nil"/>
              <w:right w:val="nil"/>
            </w:tcBorders>
            <w:shd w:val="clear" w:color="auto" w:fill="auto"/>
            <w:noWrap/>
            <w:vAlign w:val="center"/>
            <w:hideMark/>
          </w:tcPr>
          <w:p w14:paraId="66A4B3A6"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24</w:t>
            </w:r>
          </w:p>
        </w:tc>
        <w:tc>
          <w:tcPr>
            <w:tcW w:w="4649" w:type="pct"/>
            <w:tcBorders>
              <w:top w:val="nil"/>
              <w:left w:val="nil"/>
              <w:bottom w:val="nil"/>
              <w:right w:val="nil"/>
            </w:tcBorders>
            <w:shd w:val="clear" w:color="auto" w:fill="auto"/>
            <w:vAlign w:val="center"/>
            <w:hideMark/>
          </w:tcPr>
          <w:p w14:paraId="578CD10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Prepare a Register with the charges of delivery of the Internal Regulations of SST to the workers</w:t>
            </w:r>
          </w:p>
        </w:tc>
      </w:tr>
      <w:tr w:rsidR="00183E94" w:rsidRPr="008D7837" w14:paraId="68463B21" w14:textId="77777777" w:rsidTr="00183E94">
        <w:trPr>
          <w:trHeight w:val="285"/>
        </w:trPr>
        <w:tc>
          <w:tcPr>
            <w:tcW w:w="351" w:type="pct"/>
            <w:tcBorders>
              <w:top w:val="nil"/>
              <w:left w:val="nil"/>
              <w:bottom w:val="nil"/>
              <w:right w:val="nil"/>
            </w:tcBorders>
            <w:shd w:val="clear" w:color="auto" w:fill="auto"/>
            <w:noWrap/>
            <w:vAlign w:val="center"/>
            <w:hideMark/>
          </w:tcPr>
          <w:p w14:paraId="23DB34BF"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2B835450"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Operational Control</w:t>
            </w:r>
          </w:p>
        </w:tc>
      </w:tr>
      <w:tr w:rsidR="00183E94" w:rsidRPr="008D7837" w14:paraId="2091A424" w14:textId="77777777" w:rsidTr="00183E94">
        <w:trPr>
          <w:trHeight w:val="315"/>
        </w:trPr>
        <w:tc>
          <w:tcPr>
            <w:tcW w:w="351" w:type="pct"/>
            <w:tcBorders>
              <w:top w:val="nil"/>
              <w:left w:val="nil"/>
              <w:bottom w:val="nil"/>
              <w:right w:val="nil"/>
            </w:tcBorders>
            <w:shd w:val="clear" w:color="auto" w:fill="auto"/>
            <w:noWrap/>
            <w:vAlign w:val="center"/>
            <w:hideMark/>
          </w:tcPr>
          <w:p w14:paraId="6957586C"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25</w:t>
            </w:r>
          </w:p>
        </w:tc>
        <w:tc>
          <w:tcPr>
            <w:tcW w:w="4649" w:type="pct"/>
            <w:tcBorders>
              <w:top w:val="nil"/>
              <w:left w:val="nil"/>
              <w:bottom w:val="nil"/>
              <w:right w:val="nil"/>
            </w:tcBorders>
            <w:shd w:val="clear" w:color="auto" w:fill="auto"/>
            <w:vAlign w:val="center"/>
            <w:hideMark/>
          </w:tcPr>
          <w:p w14:paraId="56E8159A"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Developing rules governing the conduct of workers</w:t>
            </w:r>
          </w:p>
        </w:tc>
      </w:tr>
      <w:tr w:rsidR="00183E94" w:rsidRPr="008D7837" w14:paraId="78325750" w14:textId="77777777" w:rsidTr="00183E94">
        <w:trPr>
          <w:trHeight w:val="315"/>
        </w:trPr>
        <w:tc>
          <w:tcPr>
            <w:tcW w:w="351" w:type="pct"/>
            <w:tcBorders>
              <w:top w:val="nil"/>
              <w:left w:val="nil"/>
              <w:bottom w:val="nil"/>
              <w:right w:val="nil"/>
            </w:tcBorders>
            <w:shd w:val="clear" w:color="auto" w:fill="auto"/>
            <w:noWrap/>
            <w:vAlign w:val="center"/>
            <w:hideMark/>
          </w:tcPr>
          <w:p w14:paraId="0E52C1D6"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26</w:t>
            </w:r>
          </w:p>
        </w:tc>
        <w:tc>
          <w:tcPr>
            <w:tcW w:w="4649" w:type="pct"/>
            <w:tcBorders>
              <w:top w:val="nil"/>
              <w:left w:val="nil"/>
              <w:bottom w:val="nil"/>
              <w:right w:val="nil"/>
            </w:tcBorders>
            <w:shd w:val="clear" w:color="auto" w:fill="auto"/>
            <w:vAlign w:val="center"/>
            <w:hideMark/>
          </w:tcPr>
          <w:p w14:paraId="17E2F088"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working procedures and instructions</w:t>
            </w:r>
          </w:p>
        </w:tc>
      </w:tr>
      <w:tr w:rsidR="00183E94" w:rsidRPr="008D7837" w14:paraId="7E9435E4" w14:textId="77777777" w:rsidTr="00183E94">
        <w:trPr>
          <w:trHeight w:val="315"/>
        </w:trPr>
        <w:tc>
          <w:tcPr>
            <w:tcW w:w="351" w:type="pct"/>
            <w:tcBorders>
              <w:top w:val="nil"/>
              <w:left w:val="nil"/>
              <w:bottom w:val="nil"/>
              <w:right w:val="nil"/>
            </w:tcBorders>
            <w:shd w:val="clear" w:color="auto" w:fill="auto"/>
            <w:noWrap/>
            <w:vAlign w:val="center"/>
            <w:hideMark/>
          </w:tcPr>
          <w:p w14:paraId="3E4C83F6"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27</w:t>
            </w:r>
          </w:p>
        </w:tc>
        <w:tc>
          <w:tcPr>
            <w:tcW w:w="4649" w:type="pct"/>
            <w:tcBorders>
              <w:top w:val="nil"/>
              <w:left w:val="nil"/>
              <w:bottom w:val="nil"/>
              <w:right w:val="nil"/>
            </w:tcBorders>
            <w:shd w:val="clear" w:color="auto" w:fill="auto"/>
            <w:vAlign w:val="center"/>
            <w:hideMark/>
          </w:tcPr>
          <w:p w14:paraId="186F3D6D"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Perform pre-use inspections on critical equipment</w:t>
            </w:r>
          </w:p>
        </w:tc>
      </w:tr>
      <w:tr w:rsidR="00183E94" w:rsidRPr="008D7837" w14:paraId="6810E82E" w14:textId="77777777" w:rsidTr="00183E94">
        <w:trPr>
          <w:trHeight w:val="315"/>
        </w:trPr>
        <w:tc>
          <w:tcPr>
            <w:tcW w:w="351" w:type="pct"/>
            <w:tcBorders>
              <w:top w:val="nil"/>
              <w:left w:val="nil"/>
              <w:bottom w:val="nil"/>
              <w:right w:val="nil"/>
            </w:tcBorders>
            <w:shd w:val="clear" w:color="auto" w:fill="auto"/>
            <w:noWrap/>
            <w:vAlign w:val="center"/>
            <w:hideMark/>
          </w:tcPr>
          <w:p w14:paraId="16E46DF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28</w:t>
            </w:r>
          </w:p>
        </w:tc>
        <w:tc>
          <w:tcPr>
            <w:tcW w:w="4649" w:type="pct"/>
            <w:tcBorders>
              <w:top w:val="nil"/>
              <w:left w:val="nil"/>
              <w:bottom w:val="nil"/>
              <w:right w:val="nil"/>
            </w:tcBorders>
            <w:shd w:val="clear" w:color="auto" w:fill="auto"/>
            <w:vAlign w:val="center"/>
            <w:hideMark/>
          </w:tcPr>
          <w:p w14:paraId="545BFD4A"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Having SCTR with both coverages</w:t>
            </w:r>
          </w:p>
        </w:tc>
      </w:tr>
      <w:tr w:rsidR="00183E94" w:rsidRPr="008D7837" w14:paraId="249D7B59" w14:textId="77777777" w:rsidTr="00183E94">
        <w:trPr>
          <w:trHeight w:val="315"/>
        </w:trPr>
        <w:tc>
          <w:tcPr>
            <w:tcW w:w="351" w:type="pct"/>
            <w:tcBorders>
              <w:top w:val="nil"/>
              <w:left w:val="nil"/>
              <w:bottom w:val="nil"/>
              <w:right w:val="nil"/>
            </w:tcBorders>
            <w:shd w:val="clear" w:color="auto" w:fill="auto"/>
            <w:noWrap/>
            <w:vAlign w:val="center"/>
            <w:hideMark/>
          </w:tcPr>
          <w:p w14:paraId="6BA826E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29</w:t>
            </w:r>
          </w:p>
        </w:tc>
        <w:tc>
          <w:tcPr>
            <w:tcW w:w="4649" w:type="pct"/>
            <w:tcBorders>
              <w:top w:val="nil"/>
              <w:left w:val="nil"/>
              <w:bottom w:val="nil"/>
              <w:right w:val="nil"/>
            </w:tcBorders>
            <w:shd w:val="clear" w:color="auto" w:fill="auto"/>
            <w:vAlign w:val="center"/>
            <w:hideMark/>
          </w:tcPr>
          <w:p w14:paraId="2CE9E90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Risk Work Analysis (ATR) and Safe Work Analysis (ATS) procedures</w:t>
            </w:r>
          </w:p>
        </w:tc>
      </w:tr>
      <w:tr w:rsidR="00183E94" w:rsidRPr="008D7837" w14:paraId="5A20791F" w14:textId="77777777" w:rsidTr="00183E94">
        <w:trPr>
          <w:trHeight w:val="315"/>
        </w:trPr>
        <w:tc>
          <w:tcPr>
            <w:tcW w:w="351" w:type="pct"/>
            <w:tcBorders>
              <w:top w:val="nil"/>
              <w:left w:val="nil"/>
              <w:bottom w:val="nil"/>
              <w:right w:val="nil"/>
            </w:tcBorders>
            <w:shd w:val="clear" w:color="auto" w:fill="auto"/>
            <w:noWrap/>
            <w:vAlign w:val="center"/>
            <w:hideMark/>
          </w:tcPr>
          <w:p w14:paraId="4891DBF3"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30</w:t>
            </w:r>
          </w:p>
        </w:tc>
        <w:tc>
          <w:tcPr>
            <w:tcW w:w="4649" w:type="pct"/>
            <w:tcBorders>
              <w:top w:val="nil"/>
              <w:left w:val="nil"/>
              <w:bottom w:val="nil"/>
              <w:right w:val="nil"/>
            </w:tcBorders>
            <w:shd w:val="clear" w:color="auto" w:fill="auto"/>
            <w:vAlign w:val="center"/>
            <w:hideMark/>
          </w:tcPr>
          <w:p w14:paraId="1EAFD238"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Procedure for the Safe Management of Chemical Substances</w:t>
            </w:r>
          </w:p>
        </w:tc>
      </w:tr>
      <w:tr w:rsidR="00183E94" w:rsidRPr="008D7837" w14:paraId="5F06A3C3" w14:textId="77777777" w:rsidTr="00183E94">
        <w:trPr>
          <w:trHeight w:val="315"/>
        </w:trPr>
        <w:tc>
          <w:tcPr>
            <w:tcW w:w="351" w:type="pct"/>
            <w:tcBorders>
              <w:top w:val="nil"/>
              <w:left w:val="nil"/>
              <w:bottom w:val="nil"/>
              <w:right w:val="nil"/>
            </w:tcBorders>
            <w:shd w:val="clear" w:color="auto" w:fill="auto"/>
            <w:noWrap/>
            <w:vAlign w:val="center"/>
            <w:hideMark/>
          </w:tcPr>
          <w:p w14:paraId="2AD37EBE"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0EB208C2"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Emergency Preparedness and response</w:t>
            </w:r>
          </w:p>
        </w:tc>
      </w:tr>
      <w:tr w:rsidR="00183E94" w:rsidRPr="008D7837" w14:paraId="78C6A5C9" w14:textId="77777777" w:rsidTr="00183E94">
        <w:trPr>
          <w:trHeight w:val="315"/>
        </w:trPr>
        <w:tc>
          <w:tcPr>
            <w:tcW w:w="351" w:type="pct"/>
            <w:tcBorders>
              <w:top w:val="nil"/>
              <w:left w:val="nil"/>
              <w:bottom w:val="nil"/>
              <w:right w:val="nil"/>
            </w:tcBorders>
            <w:shd w:val="clear" w:color="auto" w:fill="auto"/>
            <w:noWrap/>
            <w:vAlign w:val="center"/>
            <w:hideMark/>
          </w:tcPr>
          <w:p w14:paraId="1CC54CE7"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31</w:t>
            </w:r>
          </w:p>
        </w:tc>
        <w:tc>
          <w:tcPr>
            <w:tcW w:w="4649" w:type="pct"/>
            <w:tcBorders>
              <w:top w:val="nil"/>
              <w:left w:val="nil"/>
              <w:bottom w:val="nil"/>
              <w:right w:val="nil"/>
            </w:tcBorders>
            <w:shd w:val="clear" w:color="auto" w:fill="auto"/>
            <w:vAlign w:val="center"/>
            <w:hideMark/>
          </w:tcPr>
          <w:p w14:paraId="58240452"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Define contingency plans for each potential emergency</w:t>
            </w:r>
          </w:p>
        </w:tc>
      </w:tr>
      <w:tr w:rsidR="00183E94" w:rsidRPr="008D7837" w14:paraId="4D911003" w14:textId="77777777" w:rsidTr="00183E94">
        <w:trPr>
          <w:trHeight w:val="315"/>
        </w:trPr>
        <w:tc>
          <w:tcPr>
            <w:tcW w:w="351" w:type="pct"/>
            <w:tcBorders>
              <w:top w:val="nil"/>
              <w:left w:val="nil"/>
              <w:bottom w:val="nil"/>
              <w:right w:val="nil"/>
            </w:tcBorders>
            <w:shd w:val="clear" w:color="auto" w:fill="auto"/>
            <w:noWrap/>
            <w:vAlign w:val="center"/>
            <w:hideMark/>
          </w:tcPr>
          <w:p w14:paraId="77D314B7"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32</w:t>
            </w:r>
          </w:p>
        </w:tc>
        <w:tc>
          <w:tcPr>
            <w:tcW w:w="4649" w:type="pct"/>
            <w:tcBorders>
              <w:top w:val="nil"/>
              <w:left w:val="nil"/>
              <w:bottom w:val="nil"/>
              <w:right w:val="nil"/>
            </w:tcBorders>
            <w:shd w:val="clear" w:color="auto" w:fill="auto"/>
            <w:vAlign w:val="center"/>
            <w:hideMark/>
          </w:tcPr>
          <w:p w14:paraId="77CEA4B1"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Organize Brigades to address potential emergencies</w:t>
            </w:r>
          </w:p>
        </w:tc>
      </w:tr>
      <w:tr w:rsidR="00183E94" w:rsidRPr="008D7837" w14:paraId="3B9515A0" w14:textId="77777777" w:rsidTr="00183E94">
        <w:trPr>
          <w:trHeight w:val="315"/>
        </w:trPr>
        <w:tc>
          <w:tcPr>
            <w:tcW w:w="351" w:type="pct"/>
            <w:tcBorders>
              <w:top w:val="nil"/>
              <w:left w:val="nil"/>
              <w:bottom w:val="nil"/>
              <w:right w:val="nil"/>
            </w:tcBorders>
            <w:shd w:val="clear" w:color="auto" w:fill="auto"/>
            <w:noWrap/>
            <w:vAlign w:val="center"/>
            <w:hideMark/>
          </w:tcPr>
          <w:p w14:paraId="51202AB7"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33</w:t>
            </w:r>
          </w:p>
        </w:tc>
        <w:tc>
          <w:tcPr>
            <w:tcW w:w="4649" w:type="pct"/>
            <w:tcBorders>
              <w:top w:val="nil"/>
              <w:left w:val="nil"/>
              <w:bottom w:val="nil"/>
              <w:right w:val="nil"/>
            </w:tcBorders>
            <w:shd w:val="clear" w:color="auto" w:fill="auto"/>
            <w:vAlign w:val="center"/>
            <w:hideMark/>
          </w:tcPr>
          <w:p w14:paraId="5A13905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Procure security equipment to meet a potential emergency</w:t>
            </w:r>
          </w:p>
        </w:tc>
      </w:tr>
      <w:tr w:rsidR="00183E94" w:rsidRPr="008D7837" w14:paraId="2E999C21" w14:textId="77777777" w:rsidTr="00183E94">
        <w:trPr>
          <w:trHeight w:val="270"/>
        </w:trPr>
        <w:tc>
          <w:tcPr>
            <w:tcW w:w="351" w:type="pct"/>
            <w:tcBorders>
              <w:top w:val="nil"/>
              <w:left w:val="nil"/>
              <w:bottom w:val="nil"/>
              <w:right w:val="nil"/>
            </w:tcBorders>
            <w:shd w:val="clear" w:color="auto" w:fill="auto"/>
            <w:noWrap/>
            <w:vAlign w:val="center"/>
            <w:hideMark/>
          </w:tcPr>
          <w:p w14:paraId="616B618E"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6F8A7AE5"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VERIFICATION</w:t>
            </w:r>
          </w:p>
        </w:tc>
      </w:tr>
      <w:tr w:rsidR="00183E94" w:rsidRPr="008D7837" w14:paraId="6F28F0E7" w14:textId="77777777" w:rsidTr="00183E94">
        <w:trPr>
          <w:trHeight w:val="270"/>
        </w:trPr>
        <w:tc>
          <w:tcPr>
            <w:tcW w:w="351" w:type="pct"/>
            <w:tcBorders>
              <w:top w:val="nil"/>
              <w:left w:val="nil"/>
              <w:bottom w:val="nil"/>
              <w:right w:val="nil"/>
            </w:tcBorders>
            <w:shd w:val="clear" w:color="auto" w:fill="auto"/>
            <w:noWrap/>
            <w:vAlign w:val="center"/>
            <w:hideMark/>
          </w:tcPr>
          <w:p w14:paraId="560757E8"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72C448C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Monitoring and measurement</w:t>
            </w:r>
          </w:p>
        </w:tc>
      </w:tr>
      <w:tr w:rsidR="00183E94" w:rsidRPr="008D7837" w14:paraId="387B87E3" w14:textId="77777777" w:rsidTr="00183E94">
        <w:trPr>
          <w:trHeight w:val="270"/>
        </w:trPr>
        <w:tc>
          <w:tcPr>
            <w:tcW w:w="351" w:type="pct"/>
            <w:tcBorders>
              <w:top w:val="nil"/>
              <w:left w:val="nil"/>
              <w:bottom w:val="nil"/>
              <w:right w:val="nil"/>
            </w:tcBorders>
            <w:shd w:val="clear" w:color="auto" w:fill="auto"/>
            <w:noWrap/>
            <w:vAlign w:val="center"/>
            <w:hideMark/>
          </w:tcPr>
          <w:p w14:paraId="10AEBC71"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34</w:t>
            </w:r>
          </w:p>
        </w:tc>
        <w:tc>
          <w:tcPr>
            <w:tcW w:w="4649" w:type="pct"/>
            <w:tcBorders>
              <w:top w:val="nil"/>
              <w:left w:val="nil"/>
              <w:bottom w:val="nil"/>
              <w:right w:val="nil"/>
            </w:tcBorders>
            <w:shd w:val="clear" w:color="auto" w:fill="auto"/>
            <w:vAlign w:val="center"/>
            <w:hideMark/>
          </w:tcPr>
          <w:p w14:paraId="1A7FEB88"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Assessing management performance against OSH objectives</w:t>
            </w:r>
          </w:p>
        </w:tc>
      </w:tr>
      <w:tr w:rsidR="00183E94" w:rsidRPr="008D7837" w14:paraId="6EFCB526" w14:textId="77777777" w:rsidTr="00183E94">
        <w:trPr>
          <w:trHeight w:val="315"/>
        </w:trPr>
        <w:tc>
          <w:tcPr>
            <w:tcW w:w="351" w:type="pct"/>
            <w:tcBorders>
              <w:top w:val="nil"/>
              <w:left w:val="nil"/>
              <w:bottom w:val="nil"/>
              <w:right w:val="nil"/>
            </w:tcBorders>
            <w:shd w:val="clear" w:color="auto" w:fill="auto"/>
            <w:noWrap/>
            <w:vAlign w:val="center"/>
            <w:hideMark/>
          </w:tcPr>
          <w:p w14:paraId="7618F43E"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35</w:t>
            </w:r>
          </w:p>
        </w:tc>
        <w:tc>
          <w:tcPr>
            <w:tcW w:w="4649" w:type="pct"/>
            <w:tcBorders>
              <w:top w:val="nil"/>
              <w:left w:val="nil"/>
              <w:bottom w:val="nil"/>
              <w:right w:val="nil"/>
            </w:tcBorders>
            <w:shd w:val="clear" w:color="auto" w:fill="auto"/>
            <w:vAlign w:val="center"/>
            <w:hideMark/>
          </w:tcPr>
          <w:p w14:paraId="365ED421"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safety and health statistics</w:t>
            </w:r>
          </w:p>
        </w:tc>
      </w:tr>
      <w:tr w:rsidR="00183E94" w:rsidRPr="008D7837" w14:paraId="291762A2" w14:textId="77777777" w:rsidTr="00183E94">
        <w:trPr>
          <w:trHeight w:val="315"/>
        </w:trPr>
        <w:tc>
          <w:tcPr>
            <w:tcW w:w="351" w:type="pct"/>
            <w:tcBorders>
              <w:top w:val="nil"/>
              <w:left w:val="nil"/>
              <w:bottom w:val="nil"/>
              <w:right w:val="nil"/>
            </w:tcBorders>
            <w:shd w:val="clear" w:color="auto" w:fill="auto"/>
            <w:noWrap/>
            <w:vAlign w:val="center"/>
            <w:hideMark/>
          </w:tcPr>
          <w:p w14:paraId="6FBE77BA"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7903FD3F"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Assessment Legal compliance</w:t>
            </w:r>
          </w:p>
        </w:tc>
      </w:tr>
      <w:tr w:rsidR="00183E94" w:rsidRPr="008D7837" w14:paraId="1D3B170F" w14:textId="77777777" w:rsidTr="00183E94">
        <w:trPr>
          <w:trHeight w:val="315"/>
        </w:trPr>
        <w:tc>
          <w:tcPr>
            <w:tcW w:w="351" w:type="pct"/>
            <w:tcBorders>
              <w:top w:val="nil"/>
              <w:left w:val="nil"/>
              <w:bottom w:val="nil"/>
              <w:right w:val="nil"/>
            </w:tcBorders>
            <w:shd w:val="clear" w:color="auto" w:fill="auto"/>
            <w:noWrap/>
            <w:vAlign w:val="center"/>
            <w:hideMark/>
          </w:tcPr>
          <w:p w14:paraId="012FA75D"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36</w:t>
            </w:r>
          </w:p>
        </w:tc>
        <w:tc>
          <w:tcPr>
            <w:tcW w:w="4649" w:type="pct"/>
            <w:tcBorders>
              <w:top w:val="nil"/>
              <w:left w:val="nil"/>
              <w:bottom w:val="nil"/>
              <w:right w:val="nil"/>
            </w:tcBorders>
            <w:shd w:val="clear" w:color="auto" w:fill="auto"/>
            <w:vAlign w:val="center"/>
            <w:hideMark/>
          </w:tcPr>
          <w:p w14:paraId="1C344B5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Verify legal compliance, whether staff are on the payroll or by contract</w:t>
            </w:r>
          </w:p>
        </w:tc>
      </w:tr>
      <w:tr w:rsidR="00183E94" w:rsidRPr="008D7837" w14:paraId="011CD731" w14:textId="77777777" w:rsidTr="00183E94">
        <w:trPr>
          <w:trHeight w:val="315"/>
        </w:trPr>
        <w:tc>
          <w:tcPr>
            <w:tcW w:w="351" w:type="pct"/>
            <w:tcBorders>
              <w:top w:val="nil"/>
              <w:left w:val="nil"/>
              <w:bottom w:val="nil"/>
              <w:right w:val="nil"/>
            </w:tcBorders>
            <w:shd w:val="clear" w:color="auto" w:fill="auto"/>
            <w:noWrap/>
            <w:vAlign w:val="center"/>
            <w:hideMark/>
          </w:tcPr>
          <w:p w14:paraId="7EF0603E"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66A91F26" w14:textId="6249EFCC" w:rsidR="00183E94" w:rsidRPr="008D7837" w:rsidRDefault="008D7837"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Inspections</w:t>
            </w:r>
          </w:p>
        </w:tc>
      </w:tr>
      <w:tr w:rsidR="00183E94" w:rsidRPr="008D7837" w14:paraId="6328EF66" w14:textId="77777777" w:rsidTr="00183E94">
        <w:trPr>
          <w:trHeight w:val="315"/>
        </w:trPr>
        <w:tc>
          <w:tcPr>
            <w:tcW w:w="351" w:type="pct"/>
            <w:tcBorders>
              <w:top w:val="nil"/>
              <w:left w:val="nil"/>
              <w:bottom w:val="nil"/>
              <w:right w:val="nil"/>
            </w:tcBorders>
            <w:shd w:val="clear" w:color="auto" w:fill="auto"/>
            <w:noWrap/>
            <w:vAlign w:val="center"/>
            <w:hideMark/>
          </w:tcPr>
          <w:p w14:paraId="4A7812DF"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37</w:t>
            </w:r>
          </w:p>
        </w:tc>
        <w:tc>
          <w:tcPr>
            <w:tcW w:w="4649" w:type="pct"/>
            <w:tcBorders>
              <w:top w:val="nil"/>
              <w:left w:val="nil"/>
              <w:bottom w:val="nil"/>
              <w:right w:val="nil"/>
            </w:tcBorders>
            <w:shd w:val="clear" w:color="auto" w:fill="auto"/>
            <w:vAlign w:val="center"/>
            <w:hideMark/>
          </w:tcPr>
          <w:p w14:paraId="7B78C4F5"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Conduct safety inspections</w:t>
            </w:r>
          </w:p>
        </w:tc>
      </w:tr>
      <w:tr w:rsidR="00183E94" w:rsidRPr="008D7837" w14:paraId="3D6230E2" w14:textId="77777777" w:rsidTr="00183E94">
        <w:trPr>
          <w:trHeight w:val="315"/>
        </w:trPr>
        <w:tc>
          <w:tcPr>
            <w:tcW w:w="351" w:type="pct"/>
            <w:tcBorders>
              <w:top w:val="nil"/>
              <w:left w:val="nil"/>
              <w:bottom w:val="nil"/>
              <w:right w:val="nil"/>
            </w:tcBorders>
            <w:shd w:val="clear" w:color="auto" w:fill="auto"/>
            <w:noWrap/>
            <w:vAlign w:val="center"/>
            <w:hideMark/>
          </w:tcPr>
          <w:p w14:paraId="34751AC2"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38</w:t>
            </w:r>
          </w:p>
        </w:tc>
        <w:tc>
          <w:tcPr>
            <w:tcW w:w="4649" w:type="pct"/>
            <w:tcBorders>
              <w:top w:val="nil"/>
              <w:left w:val="nil"/>
              <w:bottom w:val="nil"/>
              <w:right w:val="nil"/>
            </w:tcBorders>
            <w:shd w:val="clear" w:color="auto" w:fill="auto"/>
            <w:vAlign w:val="center"/>
            <w:hideMark/>
          </w:tcPr>
          <w:p w14:paraId="0B90643D"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Record the monitoring of physical agents (noise, temperature, luminosity, humidity. Etc.)</w:t>
            </w:r>
          </w:p>
        </w:tc>
      </w:tr>
      <w:tr w:rsidR="00183E94" w:rsidRPr="008D7837" w14:paraId="3D665C0E" w14:textId="77777777" w:rsidTr="00183E94">
        <w:trPr>
          <w:trHeight w:val="315"/>
        </w:trPr>
        <w:tc>
          <w:tcPr>
            <w:tcW w:w="351" w:type="pct"/>
            <w:tcBorders>
              <w:top w:val="nil"/>
              <w:left w:val="nil"/>
              <w:bottom w:val="nil"/>
              <w:right w:val="nil"/>
            </w:tcBorders>
            <w:shd w:val="clear" w:color="auto" w:fill="auto"/>
            <w:noWrap/>
            <w:vAlign w:val="center"/>
            <w:hideMark/>
          </w:tcPr>
          <w:p w14:paraId="7AFA14D5"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39</w:t>
            </w:r>
          </w:p>
        </w:tc>
        <w:tc>
          <w:tcPr>
            <w:tcW w:w="4649" w:type="pct"/>
            <w:tcBorders>
              <w:top w:val="nil"/>
              <w:left w:val="nil"/>
              <w:bottom w:val="nil"/>
              <w:right w:val="nil"/>
            </w:tcBorders>
            <w:shd w:val="clear" w:color="auto" w:fill="auto"/>
            <w:vAlign w:val="center"/>
            <w:hideMark/>
          </w:tcPr>
          <w:p w14:paraId="66FE1B33"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chemical agent monitoring registry</w:t>
            </w:r>
          </w:p>
        </w:tc>
      </w:tr>
      <w:tr w:rsidR="00183E94" w:rsidRPr="008D7837" w14:paraId="2885962E" w14:textId="77777777" w:rsidTr="00183E94">
        <w:trPr>
          <w:trHeight w:val="315"/>
        </w:trPr>
        <w:tc>
          <w:tcPr>
            <w:tcW w:w="351" w:type="pct"/>
            <w:tcBorders>
              <w:top w:val="nil"/>
              <w:left w:val="nil"/>
              <w:bottom w:val="nil"/>
              <w:right w:val="nil"/>
            </w:tcBorders>
            <w:shd w:val="clear" w:color="auto" w:fill="auto"/>
            <w:noWrap/>
            <w:vAlign w:val="center"/>
            <w:hideMark/>
          </w:tcPr>
          <w:p w14:paraId="1AE6477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40</w:t>
            </w:r>
          </w:p>
        </w:tc>
        <w:tc>
          <w:tcPr>
            <w:tcW w:w="4649" w:type="pct"/>
            <w:tcBorders>
              <w:top w:val="nil"/>
              <w:left w:val="nil"/>
              <w:bottom w:val="nil"/>
              <w:right w:val="nil"/>
            </w:tcBorders>
            <w:shd w:val="clear" w:color="auto" w:fill="auto"/>
            <w:vAlign w:val="center"/>
            <w:hideMark/>
          </w:tcPr>
          <w:p w14:paraId="0F50C440"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biological agent monitoring register</w:t>
            </w:r>
          </w:p>
        </w:tc>
      </w:tr>
      <w:tr w:rsidR="00183E94" w:rsidRPr="008D7837" w14:paraId="1F6614B3" w14:textId="77777777" w:rsidTr="00183E94">
        <w:trPr>
          <w:trHeight w:val="315"/>
        </w:trPr>
        <w:tc>
          <w:tcPr>
            <w:tcW w:w="351" w:type="pct"/>
            <w:tcBorders>
              <w:top w:val="nil"/>
              <w:left w:val="nil"/>
              <w:bottom w:val="nil"/>
              <w:right w:val="nil"/>
            </w:tcBorders>
            <w:shd w:val="clear" w:color="auto" w:fill="auto"/>
            <w:noWrap/>
            <w:vAlign w:val="center"/>
            <w:hideMark/>
          </w:tcPr>
          <w:p w14:paraId="27DF2EC4"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41</w:t>
            </w:r>
          </w:p>
        </w:tc>
        <w:tc>
          <w:tcPr>
            <w:tcW w:w="4649" w:type="pct"/>
            <w:tcBorders>
              <w:top w:val="nil"/>
              <w:left w:val="nil"/>
              <w:bottom w:val="nil"/>
              <w:right w:val="nil"/>
            </w:tcBorders>
            <w:shd w:val="clear" w:color="auto" w:fill="auto"/>
            <w:vAlign w:val="center"/>
            <w:hideMark/>
          </w:tcPr>
          <w:p w14:paraId="3811D6B1"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 psychosocial risk factor monitoring registry</w:t>
            </w:r>
          </w:p>
        </w:tc>
      </w:tr>
      <w:tr w:rsidR="00183E94" w:rsidRPr="008D7837" w14:paraId="22D478C2" w14:textId="77777777" w:rsidTr="00183E94">
        <w:trPr>
          <w:trHeight w:val="315"/>
        </w:trPr>
        <w:tc>
          <w:tcPr>
            <w:tcW w:w="351" w:type="pct"/>
            <w:tcBorders>
              <w:top w:val="nil"/>
              <w:left w:val="nil"/>
              <w:bottom w:val="nil"/>
              <w:right w:val="nil"/>
            </w:tcBorders>
            <w:shd w:val="clear" w:color="auto" w:fill="auto"/>
            <w:noWrap/>
            <w:vAlign w:val="center"/>
            <w:hideMark/>
          </w:tcPr>
          <w:p w14:paraId="2A34ED0C"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42</w:t>
            </w:r>
          </w:p>
        </w:tc>
        <w:tc>
          <w:tcPr>
            <w:tcW w:w="4649" w:type="pct"/>
            <w:tcBorders>
              <w:top w:val="nil"/>
              <w:left w:val="nil"/>
              <w:bottom w:val="nil"/>
              <w:right w:val="nil"/>
            </w:tcBorders>
            <w:shd w:val="clear" w:color="auto" w:fill="auto"/>
            <w:vAlign w:val="center"/>
            <w:hideMark/>
          </w:tcPr>
          <w:p w14:paraId="4B76ACEA"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xml:space="preserve">Develop a monitoring record of Risk Factor </w:t>
            </w:r>
            <w:proofErr w:type="spellStart"/>
            <w:r w:rsidRPr="008D7837">
              <w:rPr>
                <w:rFonts w:cs="Arial"/>
                <w:color w:val="000000"/>
                <w:szCs w:val="18"/>
                <w:lang w:val="en-US" w:eastAsia="es-PE"/>
              </w:rPr>
              <w:t>Disergonomic</w:t>
            </w:r>
            <w:proofErr w:type="spellEnd"/>
          </w:p>
        </w:tc>
      </w:tr>
      <w:tr w:rsidR="00183E94" w:rsidRPr="008D7837" w14:paraId="79C6A64C" w14:textId="77777777" w:rsidTr="00183E94">
        <w:trPr>
          <w:trHeight w:val="315"/>
        </w:trPr>
        <w:tc>
          <w:tcPr>
            <w:tcW w:w="351" w:type="pct"/>
            <w:tcBorders>
              <w:top w:val="nil"/>
              <w:left w:val="nil"/>
              <w:bottom w:val="nil"/>
              <w:right w:val="nil"/>
            </w:tcBorders>
            <w:shd w:val="clear" w:color="auto" w:fill="auto"/>
            <w:noWrap/>
            <w:vAlign w:val="center"/>
            <w:hideMark/>
          </w:tcPr>
          <w:p w14:paraId="4C296598"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43</w:t>
            </w:r>
          </w:p>
        </w:tc>
        <w:tc>
          <w:tcPr>
            <w:tcW w:w="4649" w:type="pct"/>
            <w:tcBorders>
              <w:top w:val="nil"/>
              <w:left w:val="nil"/>
              <w:bottom w:val="nil"/>
              <w:right w:val="nil"/>
            </w:tcBorders>
            <w:shd w:val="clear" w:color="auto" w:fill="auto"/>
            <w:vAlign w:val="center"/>
            <w:hideMark/>
          </w:tcPr>
          <w:p w14:paraId="6B2B5E1E"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Have the Calibration Certificates of the work equipment</w:t>
            </w:r>
          </w:p>
        </w:tc>
      </w:tr>
      <w:tr w:rsidR="00183E94" w:rsidRPr="008D7837" w14:paraId="5787121D" w14:textId="77777777" w:rsidTr="00183E94">
        <w:trPr>
          <w:trHeight w:val="315"/>
        </w:trPr>
        <w:tc>
          <w:tcPr>
            <w:tcW w:w="351" w:type="pct"/>
            <w:tcBorders>
              <w:top w:val="nil"/>
              <w:left w:val="nil"/>
              <w:bottom w:val="nil"/>
              <w:right w:val="nil"/>
            </w:tcBorders>
            <w:shd w:val="clear" w:color="auto" w:fill="auto"/>
            <w:noWrap/>
            <w:vAlign w:val="center"/>
            <w:hideMark/>
          </w:tcPr>
          <w:p w14:paraId="54E6A61F"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2F7FDE7C"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Occupational Medical Evaluations (EMO)</w:t>
            </w:r>
          </w:p>
        </w:tc>
      </w:tr>
      <w:tr w:rsidR="00183E94" w:rsidRPr="008D7837" w14:paraId="75336487" w14:textId="77777777" w:rsidTr="00183E94">
        <w:trPr>
          <w:trHeight w:val="315"/>
        </w:trPr>
        <w:tc>
          <w:tcPr>
            <w:tcW w:w="351" w:type="pct"/>
            <w:tcBorders>
              <w:top w:val="nil"/>
              <w:left w:val="nil"/>
              <w:bottom w:val="nil"/>
              <w:right w:val="nil"/>
            </w:tcBorders>
            <w:shd w:val="clear" w:color="auto" w:fill="auto"/>
            <w:noWrap/>
            <w:vAlign w:val="center"/>
            <w:hideMark/>
          </w:tcPr>
          <w:p w14:paraId="73CEBEEB"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44</w:t>
            </w:r>
          </w:p>
        </w:tc>
        <w:tc>
          <w:tcPr>
            <w:tcW w:w="4649" w:type="pct"/>
            <w:tcBorders>
              <w:top w:val="nil"/>
              <w:left w:val="nil"/>
              <w:bottom w:val="nil"/>
              <w:right w:val="nil"/>
            </w:tcBorders>
            <w:shd w:val="clear" w:color="auto" w:fill="auto"/>
            <w:vAlign w:val="center"/>
            <w:hideMark/>
          </w:tcPr>
          <w:p w14:paraId="5D7F3C2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 xml:space="preserve">Conduct an occupational health screening </w:t>
            </w:r>
            <w:proofErr w:type="spellStart"/>
            <w:r w:rsidRPr="008D7837">
              <w:rPr>
                <w:rFonts w:cs="Arial"/>
                <w:color w:val="000000"/>
                <w:szCs w:val="18"/>
                <w:lang w:val="en-US" w:eastAsia="es-PE"/>
              </w:rPr>
              <w:t>programme</w:t>
            </w:r>
            <w:proofErr w:type="spellEnd"/>
          </w:p>
        </w:tc>
      </w:tr>
      <w:tr w:rsidR="00183E94" w:rsidRPr="008D7837" w14:paraId="6CEBBCB2" w14:textId="77777777" w:rsidTr="00183E94">
        <w:trPr>
          <w:trHeight w:val="315"/>
        </w:trPr>
        <w:tc>
          <w:tcPr>
            <w:tcW w:w="351" w:type="pct"/>
            <w:tcBorders>
              <w:top w:val="nil"/>
              <w:left w:val="nil"/>
              <w:bottom w:val="nil"/>
              <w:right w:val="nil"/>
            </w:tcBorders>
            <w:shd w:val="clear" w:color="auto" w:fill="auto"/>
            <w:noWrap/>
            <w:vAlign w:val="center"/>
            <w:hideMark/>
          </w:tcPr>
          <w:p w14:paraId="4FA4905E"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45</w:t>
            </w:r>
          </w:p>
        </w:tc>
        <w:tc>
          <w:tcPr>
            <w:tcW w:w="4649" w:type="pct"/>
            <w:tcBorders>
              <w:top w:val="nil"/>
              <w:left w:val="nil"/>
              <w:bottom w:val="nil"/>
              <w:right w:val="nil"/>
            </w:tcBorders>
            <w:shd w:val="clear" w:color="auto" w:fill="auto"/>
            <w:vAlign w:val="center"/>
            <w:hideMark/>
          </w:tcPr>
          <w:p w14:paraId="7743539E"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Perform occupational medical examinations</w:t>
            </w:r>
          </w:p>
        </w:tc>
      </w:tr>
      <w:tr w:rsidR="00183E94" w:rsidRPr="008D7837" w14:paraId="0BB9A1CD" w14:textId="77777777" w:rsidTr="00183E94">
        <w:trPr>
          <w:trHeight w:val="315"/>
        </w:trPr>
        <w:tc>
          <w:tcPr>
            <w:tcW w:w="351" w:type="pct"/>
            <w:tcBorders>
              <w:top w:val="nil"/>
              <w:left w:val="nil"/>
              <w:bottom w:val="nil"/>
              <w:right w:val="nil"/>
            </w:tcBorders>
            <w:shd w:val="clear" w:color="auto" w:fill="auto"/>
            <w:noWrap/>
            <w:vAlign w:val="center"/>
            <w:hideMark/>
          </w:tcPr>
          <w:p w14:paraId="2AB2F2E0"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46</w:t>
            </w:r>
          </w:p>
        </w:tc>
        <w:tc>
          <w:tcPr>
            <w:tcW w:w="4649" w:type="pct"/>
            <w:tcBorders>
              <w:top w:val="nil"/>
              <w:left w:val="nil"/>
              <w:bottom w:val="nil"/>
              <w:right w:val="nil"/>
            </w:tcBorders>
            <w:shd w:val="clear" w:color="auto" w:fill="auto"/>
            <w:vAlign w:val="center"/>
            <w:hideMark/>
          </w:tcPr>
          <w:p w14:paraId="2E1C38BE"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Handing out occupational medical exams to workers</w:t>
            </w:r>
          </w:p>
        </w:tc>
      </w:tr>
      <w:tr w:rsidR="00183E94" w:rsidRPr="008D7837" w14:paraId="3F5F5162" w14:textId="77777777" w:rsidTr="00183E94">
        <w:trPr>
          <w:trHeight w:val="315"/>
        </w:trPr>
        <w:tc>
          <w:tcPr>
            <w:tcW w:w="351" w:type="pct"/>
            <w:tcBorders>
              <w:top w:val="nil"/>
              <w:left w:val="nil"/>
              <w:bottom w:val="nil"/>
              <w:right w:val="nil"/>
            </w:tcBorders>
            <w:shd w:val="clear" w:color="auto" w:fill="auto"/>
            <w:noWrap/>
            <w:vAlign w:val="center"/>
            <w:hideMark/>
          </w:tcPr>
          <w:p w14:paraId="6B80E19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47</w:t>
            </w:r>
          </w:p>
        </w:tc>
        <w:tc>
          <w:tcPr>
            <w:tcW w:w="4649" w:type="pct"/>
            <w:tcBorders>
              <w:top w:val="nil"/>
              <w:left w:val="nil"/>
              <w:bottom w:val="nil"/>
              <w:right w:val="nil"/>
            </w:tcBorders>
            <w:shd w:val="clear" w:color="auto" w:fill="auto"/>
            <w:vAlign w:val="center"/>
            <w:hideMark/>
          </w:tcPr>
          <w:p w14:paraId="4A5BD09F"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Prepare aptitude reports</w:t>
            </w:r>
          </w:p>
        </w:tc>
      </w:tr>
      <w:tr w:rsidR="00183E94" w:rsidRPr="008D7837" w14:paraId="5FCA7523" w14:textId="77777777" w:rsidTr="00183E94">
        <w:trPr>
          <w:trHeight w:val="315"/>
        </w:trPr>
        <w:tc>
          <w:tcPr>
            <w:tcW w:w="351" w:type="pct"/>
            <w:tcBorders>
              <w:top w:val="nil"/>
              <w:left w:val="nil"/>
              <w:bottom w:val="nil"/>
              <w:right w:val="nil"/>
            </w:tcBorders>
            <w:shd w:val="clear" w:color="auto" w:fill="auto"/>
            <w:noWrap/>
            <w:vAlign w:val="center"/>
            <w:hideMark/>
          </w:tcPr>
          <w:p w14:paraId="46C1EC7A"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48</w:t>
            </w:r>
          </w:p>
        </w:tc>
        <w:tc>
          <w:tcPr>
            <w:tcW w:w="4649" w:type="pct"/>
            <w:tcBorders>
              <w:top w:val="nil"/>
              <w:left w:val="nil"/>
              <w:bottom w:val="nil"/>
              <w:right w:val="nil"/>
            </w:tcBorders>
            <w:shd w:val="clear" w:color="auto" w:fill="auto"/>
            <w:vAlign w:val="center"/>
            <w:hideMark/>
          </w:tcPr>
          <w:p w14:paraId="1899CFED"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Take into account aptitude reports for assigning tasks to staff</w:t>
            </w:r>
          </w:p>
        </w:tc>
      </w:tr>
      <w:tr w:rsidR="00183E94" w:rsidRPr="008D7837" w14:paraId="6495550F" w14:textId="77777777" w:rsidTr="00183E94">
        <w:trPr>
          <w:trHeight w:val="315"/>
        </w:trPr>
        <w:tc>
          <w:tcPr>
            <w:tcW w:w="351" w:type="pct"/>
            <w:tcBorders>
              <w:top w:val="nil"/>
              <w:left w:val="nil"/>
              <w:bottom w:val="nil"/>
              <w:right w:val="nil"/>
            </w:tcBorders>
            <w:shd w:val="clear" w:color="auto" w:fill="auto"/>
            <w:noWrap/>
            <w:vAlign w:val="center"/>
            <w:hideMark/>
          </w:tcPr>
          <w:p w14:paraId="74FCA8D6"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1BE613E1" w14:textId="77777777" w:rsidR="00183E94" w:rsidRPr="008D7837" w:rsidRDefault="00183E94" w:rsidP="00183E94">
            <w:pPr>
              <w:tabs>
                <w:tab w:val="clear" w:pos="7100"/>
              </w:tabs>
              <w:spacing w:line="240" w:lineRule="auto"/>
              <w:jc w:val="left"/>
              <w:rPr>
                <w:rFonts w:cs="Arial"/>
                <w:b/>
                <w:bCs/>
                <w:color w:val="000000"/>
                <w:szCs w:val="18"/>
                <w:lang w:val="en-US" w:eastAsia="es-PE"/>
              </w:rPr>
            </w:pPr>
            <w:r w:rsidRPr="008D7837">
              <w:rPr>
                <w:rFonts w:cs="Arial"/>
                <w:b/>
                <w:bCs/>
                <w:color w:val="000000"/>
                <w:szCs w:val="18"/>
                <w:lang w:val="en-US" w:eastAsia="es-PE"/>
              </w:rPr>
              <w:t>Audit</w:t>
            </w:r>
          </w:p>
        </w:tc>
      </w:tr>
      <w:tr w:rsidR="00183E94" w:rsidRPr="008D7837" w14:paraId="49FBB661" w14:textId="77777777" w:rsidTr="00183E94">
        <w:trPr>
          <w:trHeight w:val="315"/>
        </w:trPr>
        <w:tc>
          <w:tcPr>
            <w:tcW w:w="351" w:type="pct"/>
            <w:tcBorders>
              <w:top w:val="nil"/>
              <w:left w:val="nil"/>
              <w:bottom w:val="nil"/>
              <w:right w:val="nil"/>
            </w:tcBorders>
            <w:shd w:val="clear" w:color="auto" w:fill="auto"/>
            <w:noWrap/>
            <w:vAlign w:val="center"/>
            <w:hideMark/>
          </w:tcPr>
          <w:p w14:paraId="4FED14BD"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49</w:t>
            </w:r>
          </w:p>
        </w:tc>
        <w:tc>
          <w:tcPr>
            <w:tcW w:w="4649" w:type="pct"/>
            <w:tcBorders>
              <w:top w:val="nil"/>
              <w:left w:val="nil"/>
              <w:bottom w:val="nil"/>
              <w:right w:val="nil"/>
            </w:tcBorders>
            <w:shd w:val="clear" w:color="auto" w:fill="auto"/>
            <w:vAlign w:val="center"/>
            <w:hideMark/>
          </w:tcPr>
          <w:p w14:paraId="55416CE7"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Develop an audit procedure</w:t>
            </w:r>
          </w:p>
        </w:tc>
      </w:tr>
      <w:tr w:rsidR="00183E94" w:rsidRPr="008D7837" w14:paraId="20DC457D" w14:textId="77777777" w:rsidTr="00183E94">
        <w:trPr>
          <w:trHeight w:val="315"/>
        </w:trPr>
        <w:tc>
          <w:tcPr>
            <w:tcW w:w="351" w:type="pct"/>
            <w:tcBorders>
              <w:top w:val="nil"/>
              <w:left w:val="nil"/>
              <w:bottom w:val="nil"/>
              <w:right w:val="nil"/>
            </w:tcBorders>
            <w:shd w:val="clear" w:color="auto" w:fill="auto"/>
            <w:noWrap/>
            <w:vAlign w:val="center"/>
            <w:hideMark/>
          </w:tcPr>
          <w:p w14:paraId="5890869F"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50</w:t>
            </w:r>
          </w:p>
        </w:tc>
        <w:tc>
          <w:tcPr>
            <w:tcW w:w="4649" w:type="pct"/>
            <w:tcBorders>
              <w:top w:val="nil"/>
              <w:left w:val="nil"/>
              <w:bottom w:val="nil"/>
              <w:right w:val="nil"/>
            </w:tcBorders>
            <w:shd w:val="clear" w:color="auto" w:fill="auto"/>
            <w:vAlign w:val="center"/>
            <w:hideMark/>
          </w:tcPr>
          <w:p w14:paraId="3B89645E"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Run an External Audit</w:t>
            </w:r>
          </w:p>
        </w:tc>
      </w:tr>
      <w:tr w:rsidR="00183E94" w:rsidRPr="008D7837" w14:paraId="37157B99" w14:textId="77777777" w:rsidTr="00183E94">
        <w:trPr>
          <w:trHeight w:val="315"/>
        </w:trPr>
        <w:tc>
          <w:tcPr>
            <w:tcW w:w="351" w:type="pct"/>
            <w:tcBorders>
              <w:top w:val="nil"/>
              <w:left w:val="nil"/>
              <w:bottom w:val="nil"/>
              <w:right w:val="nil"/>
            </w:tcBorders>
            <w:shd w:val="clear" w:color="auto" w:fill="auto"/>
            <w:noWrap/>
            <w:vAlign w:val="center"/>
            <w:hideMark/>
          </w:tcPr>
          <w:p w14:paraId="3D628FFF" w14:textId="77777777" w:rsidR="00183E94" w:rsidRPr="008D7837" w:rsidRDefault="00183E94" w:rsidP="00183E94">
            <w:pPr>
              <w:tabs>
                <w:tab w:val="clear" w:pos="7100"/>
              </w:tabs>
              <w:spacing w:line="240" w:lineRule="auto"/>
              <w:jc w:val="left"/>
              <w:rPr>
                <w:rFonts w:cs="Arial"/>
                <w:color w:val="000000"/>
                <w:szCs w:val="18"/>
                <w:lang w:val="en-US" w:eastAsia="es-PE"/>
              </w:rPr>
            </w:pPr>
          </w:p>
        </w:tc>
        <w:tc>
          <w:tcPr>
            <w:tcW w:w="4649" w:type="pct"/>
            <w:tcBorders>
              <w:top w:val="nil"/>
              <w:left w:val="nil"/>
              <w:bottom w:val="nil"/>
              <w:right w:val="nil"/>
            </w:tcBorders>
            <w:shd w:val="clear" w:color="auto" w:fill="auto"/>
            <w:vAlign w:val="center"/>
            <w:hideMark/>
          </w:tcPr>
          <w:p w14:paraId="093AFD56"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Accidents investigation</w:t>
            </w:r>
          </w:p>
        </w:tc>
      </w:tr>
      <w:tr w:rsidR="00183E94" w:rsidRPr="008D7837" w14:paraId="64A33F0A" w14:textId="77777777" w:rsidTr="00183E94">
        <w:trPr>
          <w:trHeight w:val="315"/>
        </w:trPr>
        <w:tc>
          <w:tcPr>
            <w:tcW w:w="351" w:type="pct"/>
            <w:tcBorders>
              <w:top w:val="nil"/>
              <w:left w:val="nil"/>
              <w:bottom w:val="single" w:sz="12" w:space="0" w:color="00B050"/>
              <w:right w:val="nil"/>
            </w:tcBorders>
            <w:shd w:val="clear" w:color="auto" w:fill="auto"/>
            <w:noWrap/>
            <w:vAlign w:val="center"/>
            <w:hideMark/>
          </w:tcPr>
          <w:p w14:paraId="4E336EA1" w14:textId="77777777" w:rsidR="00183E94" w:rsidRPr="008D7837" w:rsidRDefault="00183E94" w:rsidP="00183E94">
            <w:pPr>
              <w:tabs>
                <w:tab w:val="clear" w:pos="7100"/>
              </w:tabs>
              <w:spacing w:line="240" w:lineRule="auto"/>
              <w:jc w:val="right"/>
              <w:rPr>
                <w:rFonts w:cs="Arial"/>
                <w:color w:val="000000"/>
                <w:szCs w:val="18"/>
                <w:lang w:val="en-US" w:eastAsia="es-PE"/>
              </w:rPr>
            </w:pPr>
            <w:r w:rsidRPr="008D7837">
              <w:rPr>
                <w:rFonts w:cs="Arial"/>
                <w:color w:val="000000"/>
                <w:szCs w:val="18"/>
                <w:lang w:val="en-US" w:eastAsia="es-PE"/>
              </w:rPr>
              <w:t>51</w:t>
            </w:r>
          </w:p>
        </w:tc>
        <w:tc>
          <w:tcPr>
            <w:tcW w:w="4649" w:type="pct"/>
            <w:tcBorders>
              <w:top w:val="nil"/>
              <w:left w:val="nil"/>
              <w:bottom w:val="single" w:sz="12" w:space="0" w:color="00B050"/>
              <w:right w:val="nil"/>
            </w:tcBorders>
            <w:shd w:val="clear" w:color="auto" w:fill="auto"/>
            <w:vAlign w:val="center"/>
            <w:hideMark/>
          </w:tcPr>
          <w:p w14:paraId="2627EC5C" w14:textId="77777777" w:rsidR="00183E94" w:rsidRPr="008D7837" w:rsidRDefault="00183E94" w:rsidP="00183E94">
            <w:pPr>
              <w:tabs>
                <w:tab w:val="clear" w:pos="7100"/>
              </w:tabs>
              <w:spacing w:line="240" w:lineRule="auto"/>
              <w:jc w:val="left"/>
              <w:rPr>
                <w:rFonts w:cs="Arial"/>
                <w:color w:val="000000"/>
                <w:szCs w:val="18"/>
                <w:lang w:val="en-US" w:eastAsia="es-PE"/>
              </w:rPr>
            </w:pPr>
            <w:r w:rsidRPr="008D7837">
              <w:rPr>
                <w:rFonts w:cs="Arial"/>
                <w:color w:val="000000"/>
                <w:szCs w:val="18"/>
                <w:lang w:val="en-US" w:eastAsia="es-PE"/>
              </w:rPr>
              <w:t>Prepare Register of Occupational Accidents and Diseases</w:t>
            </w:r>
          </w:p>
        </w:tc>
      </w:tr>
    </w:tbl>
    <w:p w14:paraId="33A26CF3" w14:textId="087B2FB2" w:rsidR="00A53F31" w:rsidRDefault="00A53F31" w:rsidP="00450AB8">
      <w:pPr>
        <w:pStyle w:val="CETBodytext"/>
      </w:pPr>
    </w:p>
    <w:p w14:paraId="78E1711D" w14:textId="77777777" w:rsidR="00DB60BD" w:rsidRPr="003E7CA3" w:rsidRDefault="00DB60BD" w:rsidP="00450AB8">
      <w:pPr>
        <w:pStyle w:val="CETBodytext"/>
      </w:pPr>
    </w:p>
    <w:p w14:paraId="7A66C3EA" w14:textId="04916C63" w:rsidR="00C63A6B" w:rsidRPr="00973665" w:rsidRDefault="00C63A6B" w:rsidP="00BE2944">
      <w:pPr>
        <w:pStyle w:val="CETheadingx"/>
        <w:numPr>
          <w:ilvl w:val="0"/>
          <w:numId w:val="0"/>
        </w:numPr>
        <w:ind w:left="360" w:hanging="360"/>
        <w:rPr>
          <w:lang w:val="en-US"/>
        </w:rPr>
      </w:pPr>
      <w:r w:rsidRPr="00973665">
        <w:rPr>
          <w:lang w:val="en-US"/>
        </w:rPr>
        <w:t>4. Discus</w:t>
      </w:r>
      <w:r w:rsidR="00973665" w:rsidRPr="00973665">
        <w:rPr>
          <w:lang w:val="en-US"/>
        </w:rPr>
        <w:t>sio</w:t>
      </w:r>
      <w:r w:rsidRPr="00973665">
        <w:rPr>
          <w:lang w:val="en-US"/>
        </w:rPr>
        <w:t>n</w:t>
      </w:r>
    </w:p>
    <w:p w14:paraId="3A1B3793" w14:textId="3275AFD6" w:rsidR="00973665" w:rsidRDefault="00973665" w:rsidP="007E59D4">
      <w:pPr>
        <w:pStyle w:val="CETBodytext"/>
        <w:spacing w:before="120" w:after="120"/>
      </w:pPr>
      <w:r w:rsidRPr="00973665">
        <w:t xml:space="preserve">The results of the evaluation before and after the implementation of a System of Safety and Health at Work (SGSST) allowed to improve the indicators of training of workers in personal safety issues within their work and operation of the company, which led to improving the productivity of the company, in addition to complying with the country’s regulations (Law 29783 and amending Law 30222). This is a strategy of companies to improve their visibility and confidence to their potential consumers, selling the image of responsible company </w:t>
      </w:r>
      <w:r w:rsidRPr="00973665">
        <w:lastRenderedPageBreak/>
        <w:t>with their collaborators and that in practice brings benefits in improving their processes and compliance with standards such as ISO 45001 (Castiblanco et al., 2020).</w:t>
      </w:r>
      <w:r w:rsidR="003839D1">
        <w:t xml:space="preserve"> </w:t>
      </w:r>
      <w:r w:rsidRPr="00973665">
        <w:t>For a proper implementation of a SGSST, the managerial commitment, participation of all the staff of the organization, diagnosis and planning, continuous improvement and monitoring and measurement must be taken into account (Lopez, 2016)</w:t>
      </w:r>
      <w:r>
        <w:t>.</w:t>
      </w:r>
    </w:p>
    <w:p w14:paraId="6630C4D1" w14:textId="6BA0CE53" w:rsidR="00973665" w:rsidRDefault="00973665" w:rsidP="007E59D4">
      <w:pPr>
        <w:pStyle w:val="CETBodytext"/>
        <w:spacing w:before="120" w:after="120"/>
      </w:pPr>
      <w:r w:rsidRPr="00973665">
        <w:t xml:space="preserve">The study identified that compliance with planned </w:t>
      </w:r>
      <w:r w:rsidR="00A23918" w:rsidRPr="00973665">
        <w:t>programs</w:t>
      </w:r>
      <w:r w:rsidRPr="00973665">
        <w:t xml:space="preserve"> within a management system is very important, the commitment of those administering the system is fundamental to the success of a management system for the safety and health of workers; Also descriptive retrospective studies-Analytic help to realize an efficient baseline to then implement the management system with the relevant improvements that result in a significant decrease of occupational access, problems are overcome by ergonomic and mechanical factors, among others (Karimi et al., 2020)</w:t>
      </w:r>
    </w:p>
    <w:p w14:paraId="189F6089" w14:textId="2ED5B546" w:rsidR="006F1833" w:rsidRPr="00973665" w:rsidRDefault="00973665" w:rsidP="007E59D4">
      <w:pPr>
        <w:pStyle w:val="CETBodytext"/>
        <w:spacing w:before="120" w:after="120"/>
      </w:pPr>
      <w:r w:rsidRPr="00973665">
        <w:t>The most important aspect of the study was the decrease in the cases of accidents with work incapacity of the workers of this company in the category of industrial metallurgy, reducing this indicator from 8 cases to a single case for the same evaluation period (10 weeks) before and after the introduction of a new Occupational Safety and Health System</w:t>
      </w:r>
      <w:r>
        <w:t xml:space="preserve">. </w:t>
      </w:r>
      <w:r w:rsidRPr="00973665">
        <w:t xml:space="preserve">This is due to the continuous improvement of the way in which activities related to work and working conditions were managed, such as the use of protective equipment, awareness of hazards and risks when promptly identified, training, inspections and monitoring of compliance with safety standards. </w:t>
      </w:r>
      <w:r w:rsidR="007E59D4" w:rsidRPr="00973665">
        <w:t>Thus,</w:t>
      </w:r>
      <w:r w:rsidRPr="00973665">
        <w:t xml:space="preserve"> in Korea, a study showed similar results in companies that implemented the KOSHA 18001 system by lowering their accident rate compared to companies that did not (Kim, 2021)</w:t>
      </w:r>
      <w:r w:rsidR="00DD3E39" w:rsidRPr="00973665">
        <w:t>.</w:t>
      </w:r>
    </w:p>
    <w:p w14:paraId="68D26B83" w14:textId="2BEB033E" w:rsidR="00600535" w:rsidRPr="00F54040" w:rsidRDefault="00600535" w:rsidP="00EF40A9">
      <w:pPr>
        <w:pStyle w:val="CETHeading1"/>
        <w:numPr>
          <w:ilvl w:val="1"/>
          <w:numId w:val="26"/>
        </w:numPr>
      </w:pPr>
      <w:r w:rsidRPr="00F54040">
        <w:t>Conclusion</w:t>
      </w:r>
    </w:p>
    <w:p w14:paraId="62E4A906" w14:textId="0D8D3F74" w:rsidR="00973665" w:rsidRPr="00973665" w:rsidRDefault="00973665" w:rsidP="00600535">
      <w:pPr>
        <w:pStyle w:val="CETBodytext"/>
      </w:pPr>
      <w:r w:rsidRPr="00973665">
        <w:t xml:space="preserve">The implementation of a Management System for Safety and Health at Work allowed </w:t>
      </w:r>
      <w:r w:rsidR="00A23918">
        <w:t xml:space="preserve">to </w:t>
      </w:r>
      <w:r w:rsidRPr="00973665">
        <w:t>the company to reduce the frequency rate of accidents with work incapacity by 87.5%</w:t>
      </w:r>
      <w:r w:rsidR="00A23918">
        <w:t xml:space="preserve">. In addition, a </w:t>
      </w:r>
      <w:r w:rsidRPr="00973665">
        <w:t xml:space="preserve">good management reduces the </w:t>
      </w:r>
      <w:r w:rsidR="00A23918" w:rsidRPr="00973665">
        <w:t>absenteeism</w:t>
      </w:r>
      <w:r w:rsidRPr="00973665">
        <w:t xml:space="preserve"> of workers due to illnesses acquired in the course of their activities, avoids financial penalties for non-compliance with legal standards </w:t>
      </w:r>
      <w:r w:rsidR="00A23918">
        <w:t>and</w:t>
      </w:r>
      <w:r w:rsidRPr="00973665">
        <w:t xml:space="preserve"> generating economic benefits and responsible corporate image.</w:t>
      </w:r>
    </w:p>
    <w:p w14:paraId="459D05E6" w14:textId="77777777" w:rsidR="00600535" w:rsidRPr="00973665" w:rsidRDefault="00600535" w:rsidP="00600535">
      <w:pPr>
        <w:pStyle w:val="CETAcknowledgementstitle"/>
        <w:rPr>
          <w:lang w:val="en-US"/>
        </w:rPr>
      </w:pPr>
      <w:r w:rsidRPr="00973665">
        <w:rPr>
          <w:lang w:val="en-US"/>
        </w:rPr>
        <w:t>Acknowledgments</w:t>
      </w:r>
    </w:p>
    <w:p w14:paraId="0F66BF82" w14:textId="77777777" w:rsidR="00973665" w:rsidRDefault="00973665" w:rsidP="00600535">
      <w:pPr>
        <w:pStyle w:val="CETReference"/>
        <w:rPr>
          <w:b w:val="0"/>
          <w:lang w:val="en-US"/>
        </w:rPr>
      </w:pPr>
      <w:r w:rsidRPr="00973665">
        <w:rPr>
          <w:b w:val="0"/>
          <w:lang w:val="en-US"/>
        </w:rPr>
        <w:t>To César Vallejo University for academic support in the development of research.</w:t>
      </w:r>
    </w:p>
    <w:p w14:paraId="023B5535" w14:textId="7BBD613D" w:rsidR="008D7837" w:rsidRPr="00367660" w:rsidRDefault="00600535" w:rsidP="00600535">
      <w:pPr>
        <w:pStyle w:val="CETReference"/>
        <w:rPr>
          <w:lang w:val="en-US"/>
        </w:rPr>
      </w:pPr>
      <w:r w:rsidRPr="00367660">
        <w:rPr>
          <w:lang w:val="en-US"/>
        </w:rPr>
        <w:t>References</w:t>
      </w:r>
    </w:p>
    <w:p w14:paraId="7A474646" w14:textId="64295499" w:rsidR="00BA7977" w:rsidRPr="002F6951" w:rsidRDefault="00D72E9C" w:rsidP="00AF3CF2">
      <w:pPr>
        <w:pStyle w:val="Bibliografia"/>
        <w:spacing w:line="240" w:lineRule="auto"/>
        <w:rPr>
          <w:rFonts w:cs="Arial"/>
          <w:lang w:val="es-PE"/>
        </w:rPr>
      </w:pPr>
      <w:r>
        <w:fldChar w:fldCharType="begin"/>
      </w:r>
      <w:r w:rsidRPr="00367660">
        <w:rPr>
          <w:lang w:val="en-US"/>
        </w:rPr>
        <w:instrText xml:space="preserve"> ADDIN ZOTERO_BIBL {"uncited":[],"omitted":[],"custom":[]} CSL_BIBLIOGRAPHY </w:instrText>
      </w:r>
      <w:r>
        <w:fldChar w:fldCharType="separate"/>
      </w:r>
      <w:r w:rsidR="00BA7977" w:rsidRPr="00367660">
        <w:rPr>
          <w:rFonts w:cs="Arial"/>
          <w:lang w:val="en-US"/>
        </w:rPr>
        <w:t>Castiblanco, Y., Perilla, A., Velasquez, P., &amp; Santis, A.</w:t>
      </w:r>
      <w:r w:rsidR="00367660">
        <w:rPr>
          <w:rFonts w:cs="Arial"/>
          <w:lang w:val="en-US"/>
        </w:rPr>
        <w:t>,</w:t>
      </w:r>
      <w:r w:rsidR="00BA7977" w:rsidRPr="00367660">
        <w:rPr>
          <w:rFonts w:cs="Arial"/>
          <w:lang w:val="en-US"/>
        </w:rPr>
        <w:t xml:space="preserve"> 2020)</w:t>
      </w:r>
      <w:r w:rsidR="00367660">
        <w:rPr>
          <w:rFonts w:cs="Arial"/>
          <w:lang w:val="en-US"/>
        </w:rPr>
        <w:t xml:space="preserve">, </w:t>
      </w:r>
      <w:r w:rsidR="00BA7977" w:rsidRPr="00BA7977">
        <w:rPr>
          <w:rFonts w:cs="Arial"/>
        </w:rPr>
        <w:t xml:space="preserve">Design of occupational health and safety management system based on iso 45001, for a company that manufactures and commercializes low voltage electrical boards. </w:t>
      </w:r>
      <w:r w:rsidR="00BA7977" w:rsidRPr="002F6951">
        <w:rPr>
          <w:rFonts w:cs="Arial"/>
          <w:i/>
          <w:iCs/>
          <w:lang w:val="es-PE"/>
        </w:rPr>
        <w:t>Chemical Engineering Transactions</w:t>
      </w:r>
      <w:r w:rsidR="00BA7977" w:rsidRPr="002F6951">
        <w:rPr>
          <w:rFonts w:cs="Arial"/>
          <w:lang w:val="es-PE"/>
        </w:rPr>
        <w:t xml:space="preserve">, </w:t>
      </w:r>
      <w:r w:rsidR="00BA7977" w:rsidRPr="002F6951">
        <w:rPr>
          <w:rFonts w:cs="Arial"/>
          <w:i/>
          <w:iCs/>
          <w:lang w:val="es-PE"/>
        </w:rPr>
        <w:t>82</w:t>
      </w:r>
      <w:r w:rsidR="00BA7977" w:rsidRPr="002F6951">
        <w:rPr>
          <w:rFonts w:cs="Arial"/>
          <w:lang w:val="es-PE"/>
        </w:rPr>
        <w:t>, 91-96. Scopus. https://doi.org/10.3303/CET2082016</w:t>
      </w:r>
    </w:p>
    <w:p w14:paraId="1B5FEE2F" w14:textId="3A4DBC82" w:rsidR="00BA7977" w:rsidRPr="00BA7977" w:rsidRDefault="00BA7977" w:rsidP="00AF3CF2">
      <w:pPr>
        <w:pStyle w:val="Bibliografia"/>
        <w:spacing w:line="240" w:lineRule="auto"/>
        <w:rPr>
          <w:rFonts w:cs="Arial"/>
          <w:lang w:val="es-PE"/>
        </w:rPr>
      </w:pPr>
      <w:r w:rsidRPr="00367660">
        <w:rPr>
          <w:rFonts w:cs="Arial"/>
          <w:lang w:val="es-PE"/>
        </w:rPr>
        <w:t>Diaz Dumont, J. R., Suarez Mansilla, S. L., Santiago Martinez, R. N., &amp; Bizarro Huaman, E. M.</w:t>
      </w:r>
      <w:r w:rsidR="00367660" w:rsidRPr="00367660">
        <w:rPr>
          <w:rFonts w:cs="Arial"/>
          <w:lang w:val="es-PE"/>
        </w:rPr>
        <w:t xml:space="preserve">, </w:t>
      </w:r>
      <w:r w:rsidRPr="00367660">
        <w:rPr>
          <w:rFonts w:cs="Arial"/>
          <w:lang w:val="es-PE"/>
        </w:rPr>
        <w:t>2020</w:t>
      </w:r>
      <w:r w:rsidR="00367660">
        <w:rPr>
          <w:rFonts w:cs="Arial"/>
          <w:lang w:val="es-PE"/>
        </w:rPr>
        <w:t xml:space="preserve">, </w:t>
      </w:r>
      <w:r w:rsidRPr="00BA7977">
        <w:rPr>
          <w:rFonts w:cs="Arial"/>
          <w:lang w:val="es-PE"/>
        </w:rPr>
        <w:t xml:space="preserve">Accidentes laborales en el Perú: Análisis de la realidad a partir de datos estadísticos. </w:t>
      </w:r>
      <w:r w:rsidRPr="00BA7977">
        <w:rPr>
          <w:rFonts w:cs="Arial"/>
          <w:i/>
          <w:iCs/>
          <w:lang w:val="es-PE"/>
        </w:rPr>
        <w:t>Revista Venezolana de Gerencia</w:t>
      </w:r>
      <w:r w:rsidRPr="00BA7977">
        <w:rPr>
          <w:rFonts w:cs="Arial"/>
          <w:lang w:val="es-PE"/>
        </w:rPr>
        <w:t xml:space="preserve">, </w:t>
      </w:r>
      <w:r w:rsidRPr="00BA7977">
        <w:rPr>
          <w:rFonts w:cs="Arial"/>
          <w:i/>
          <w:iCs/>
          <w:lang w:val="es-PE"/>
        </w:rPr>
        <w:t>25</w:t>
      </w:r>
      <w:r w:rsidRPr="00BA7977">
        <w:rPr>
          <w:rFonts w:cs="Arial"/>
          <w:lang w:val="es-PE"/>
        </w:rPr>
        <w:t>(89), 312-329.</w:t>
      </w:r>
    </w:p>
    <w:p w14:paraId="4A413333" w14:textId="2D680566" w:rsidR="00BA7977" w:rsidRPr="00BA7977" w:rsidRDefault="00BA7977" w:rsidP="00AF3CF2">
      <w:pPr>
        <w:pStyle w:val="Bibliografia"/>
        <w:spacing w:line="240" w:lineRule="auto"/>
        <w:rPr>
          <w:rFonts w:cs="Arial"/>
          <w:lang w:val="es-PE"/>
        </w:rPr>
      </w:pPr>
      <w:r w:rsidRPr="00BA7977">
        <w:rPr>
          <w:rFonts w:cs="Arial"/>
          <w:lang w:val="es-PE"/>
        </w:rPr>
        <w:t>Gadea García, A.</w:t>
      </w:r>
      <w:r w:rsidR="00367660">
        <w:rPr>
          <w:rFonts w:cs="Arial"/>
          <w:lang w:val="es-PE"/>
        </w:rPr>
        <w:t xml:space="preserve">, </w:t>
      </w:r>
      <w:r w:rsidRPr="00BA7977">
        <w:rPr>
          <w:rFonts w:cs="Arial"/>
          <w:lang w:val="es-PE"/>
        </w:rPr>
        <w:t>2016</w:t>
      </w:r>
      <w:r w:rsidR="00367660">
        <w:rPr>
          <w:rFonts w:cs="Arial"/>
          <w:lang w:val="es-PE"/>
        </w:rPr>
        <w:t>,</w:t>
      </w:r>
      <w:r w:rsidRPr="00BA7977">
        <w:rPr>
          <w:rFonts w:cs="Arial"/>
          <w:lang w:val="es-PE"/>
        </w:rPr>
        <w:t xml:space="preserve"> </w:t>
      </w:r>
      <w:r w:rsidRPr="00BA7977">
        <w:rPr>
          <w:rFonts w:cs="Arial"/>
          <w:i/>
          <w:iCs/>
          <w:lang w:val="es-PE"/>
        </w:rPr>
        <w:t>Propuesta para la implementación del sistema de gestión de seguridad y salud en el trabajo en la empresa SUMIT S.A.C</w:t>
      </w:r>
      <w:r w:rsidRPr="00BA7977">
        <w:rPr>
          <w:rFonts w:cs="Arial"/>
          <w:lang w:val="es-PE"/>
        </w:rPr>
        <w:t xml:space="preserve"> [Tesis, Universidad de Lima]. https://doi.org/10.26439/ulima.tesis/3497</w:t>
      </w:r>
    </w:p>
    <w:p w14:paraId="42561939" w14:textId="48F46797" w:rsidR="00BA7977" w:rsidRPr="00BA7977" w:rsidRDefault="00BA7977" w:rsidP="00AF3CF2">
      <w:pPr>
        <w:pStyle w:val="Bibliografia"/>
        <w:spacing w:line="240" w:lineRule="auto"/>
        <w:rPr>
          <w:rFonts w:cs="Arial"/>
        </w:rPr>
      </w:pPr>
      <w:r w:rsidRPr="00367660">
        <w:rPr>
          <w:rFonts w:cs="Arial"/>
          <w:lang w:val="en-US"/>
        </w:rPr>
        <w:t>Karimi, A., Barkhordari, A., Saranjam, B., Abazari, M., &amp; Babaei-Pouya, A.</w:t>
      </w:r>
      <w:r w:rsidR="00367660" w:rsidRPr="00367660">
        <w:rPr>
          <w:rFonts w:cs="Arial"/>
          <w:lang w:val="en-US"/>
        </w:rPr>
        <w:t xml:space="preserve">, </w:t>
      </w:r>
      <w:r w:rsidRPr="00367660">
        <w:rPr>
          <w:rFonts w:cs="Arial"/>
          <w:lang w:val="en-US"/>
        </w:rPr>
        <w:t>2020</w:t>
      </w:r>
      <w:r w:rsidR="00367660" w:rsidRPr="00367660">
        <w:rPr>
          <w:rFonts w:cs="Arial"/>
          <w:lang w:val="en-US"/>
        </w:rPr>
        <w:t xml:space="preserve">, </w:t>
      </w:r>
      <w:r w:rsidR="00367660">
        <w:rPr>
          <w:rFonts w:cs="Arial"/>
          <w:lang w:val="en-US"/>
        </w:rPr>
        <w:t>T</w:t>
      </w:r>
      <w:r w:rsidRPr="00BA7977">
        <w:rPr>
          <w:rFonts w:cs="Arial"/>
        </w:rPr>
        <w:t xml:space="preserve">he effects of implementing an occupational health and safety management system on functional indices: A five-year study in casting industry. </w:t>
      </w:r>
      <w:r w:rsidRPr="00BA7977">
        <w:rPr>
          <w:rFonts w:cs="Arial"/>
          <w:i/>
          <w:iCs/>
        </w:rPr>
        <w:t>Malaysian Journal of Medicine and Health Sciences</w:t>
      </w:r>
      <w:r w:rsidRPr="00BA7977">
        <w:rPr>
          <w:rFonts w:cs="Arial"/>
        </w:rPr>
        <w:t xml:space="preserve">, </w:t>
      </w:r>
      <w:r w:rsidRPr="00BA7977">
        <w:rPr>
          <w:rFonts w:cs="Arial"/>
          <w:i/>
          <w:iCs/>
        </w:rPr>
        <w:t>16</w:t>
      </w:r>
      <w:r w:rsidRPr="00BA7977">
        <w:rPr>
          <w:rFonts w:cs="Arial"/>
        </w:rPr>
        <w:t>(3), 8-14. Scopus.</w:t>
      </w:r>
    </w:p>
    <w:p w14:paraId="7C12768C" w14:textId="3807BAE2" w:rsidR="00BA7977" w:rsidRPr="00BA7977" w:rsidRDefault="00BA7977" w:rsidP="00AF3CF2">
      <w:pPr>
        <w:pStyle w:val="Bibliografia"/>
        <w:spacing w:line="240" w:lineRule="auto"/>
        <w:rPr>
          <w:rFonts w:cs="Arial"/>
          <w:lang w:val="es-PE"/>
        </w:rPr>
      </w:pPr>
      <w:r w:rsidRPr="00BA7977">
        <w:rPr>
          <w:rFonts w:cs="Arial"/>
        </w:rPr>
        <w:t>Kim, K. W.</w:t>
      </w:r>
      <w:r w:rsidR="00367660">
        <w:rPr>
          <w:rFonts w:cs="Arial"/>
        </w:rPr>
        <w:t>, 20</w:t>
      </w:r>
      <w:r w:rsidRPr="00BA7977">
        <w:rPr>
          <w:rFonts w:cs="Arial"/>
        </w:rPr>
        <w:t xml:space="preserve">21. Effect of an occupational health and safety management system based on KOSHA 18001 on industrial accidents. </w:t>
      </w:r>
      <w:r w:rsidRPr="00BA7977">
        <w:rPr>
          <w:rFonts w:cs="Arial"/>
          <w:i/>
          <w:iCs/>
          <w:lang w:val="es-PE"/>
        </w:rPr>
        <w:t>Work</w:t>
      </w:r>
      <w:r w:rsidRPr="00BA7977">
        <w:rPr>
          <w:rFonts w:cs="Arial"/>
          <w:lang w:val="es-PE"/>
        </w:rPr>
        <w:t xml:space="preserve">, </w:t>
      </w:r>
      <w:r w:rsidRPr="00BA7977">
        <w:rPr>
          <w:rFonts w:cs="Arial"/>
          <w:i/>
          <w:iCs/>
          <w:lang w:val="es-PE"/>
        </w:rPr>
        <w:t>68</w:t>
      </w:r>
      <w:r w:rsidRPr="00BA7977">
        <w:rPr>
          <w:rFonts w:cs="Arial"/>
          <w:lang w:val="es-PE"/>
        </w:rPr>
        <w:t>(2), 449-460. Scopus. https://doi.org/10.3233/WOR-203385</w:t>
      </w:r>
    </w:p>
    <w:p w14:paraId="6B5AC6B4" w14:textId="603441AB" w:rsidR="00BA7977" w:rsidRDefault="00BA7977" w:rsidP="00AF3CF2">
      <w:pPr>
        <w:pStyle w:val="Bibliografia"/>
        <w:spacing w:line="240" w:lineRule="auto"/>
        <w:rPr>
          <w:rFonts w:cs="Arial"/>
          <w:lang w:val="es-PE"/>
        </w:rPr>
      </w:pPr>
      <w:r w:rsidRPr="00BA7977">
        <w:rPr>
          <w:rFonts w:cs="Arial"/>
          <w:lang w:val="es-PE"/>
        </w:rPr>
        <w:t>Lopez, A. C. G.</w:t>
      </w:r>
      <w:r w:rsidR="00367660">
        <w:rPr>
          <w:rFonts w:cs="Arial"/>
          <w:lang w:val="es-PE"/>
        </w:rPr>
        <w:t xml:space="preserve">, </w:t>
      </w:r>
      <w:r w:rsidRPr="00BA7977">
        <w:rPr>
          <w:rFonts w:cs="Arial"/>
          <w:lang w:val="es-PE"/>
        </w:rPr>
        <w:t xml:space="preserve">2016, Cinco (5) Factores Que Garantizan Una Adecuada Implementación del SG-SST. </w:t>
      </w:r>
      <w:r w:rsidRPr="00BA7977">
        <w:rPr>
          <w:rFonts w:cs="Arial"/>
          <w:i/>
          <w:iCs/>
          <w:lang w:val="es-PE"/>
        </w:rPr>
        <w:t>Revista Empresarial &amp;amp; Laboral</w:t>
      </w:r>
      <w:r w:rsidRPr="00BA7977">
        <w:rPr>
          <w:rFonts w:cs="Arial"/>
          <w:lang w:val="es-PE"/>
        </w:rPr>
        <w:t>. https://revistaempresarial.com/gestion-humana/seguridad-social/sg-sst/cinco-5-factores-que-garantizan-una-adecuada-implementacion-del-sg-sst/</w:t>
      </w:r>
    </w:p>
    <w:p w14:paraId="082EF856" w14:textId="0DB5AC3C" w:rsidR="00367660" w:rsidRPr="002F6951" w:rsidRDefault="00367660" w:rsidP="00AF3CF2">
      <w:pPr>
        <w:pStyle w:val="Bibliografia"/>
        <w:spacing w:line="240" w:lineRule="auto"/>
        <w:rPr>
          <w:rFonts w:cs="Arial"/>
          <w:lang w:val="es-PE"/>
        </w:rPr>
      </w:pPr>
      <w:r w:rsidRPr="00367660">
        <w:rPr>
          <w:rFonts w:cs="Arial"/>
          <w:lang w:val="en-US"/>
        </w:rPr>
        <w:t xml:space="preserve">Montano Angie, Torres Yeferson, Herrera Eddy, Rincon Johan, Velasquez Pablo, &amp; Santis Angelica, </w:t>
      </w:r>
      <w:r w:rsidRPr="003615BE">
        <w:rPr>
          <w:rFonts w:cs="Arial"/>
        </w:rPr>
        <w:t>2020</w:t>
      </w:r>
      <w:r>
        <w:rPr>
          <w:rFonts w:cs="Arial"/>
        </w:rPr>
        <w:t xml:space="preserve">, </w:t>
      </w:r>
      <w:r w:rsidRPr="003615BE">
        <w:rPr>
          <w:rFonts w:cs="Arial"/>
        </w:rPr>
        <w:t xml:space="preserve">Analysis of the Operational Risk of the Process Pasteurization and Mixing in a Dairy Processing Plant, Using the Hazop Methodology. </w:t>
      </w:r>
      <w:r w:rsidRPr="002F6951">
        <w:rPr>
          <w:rFonts w:cs="Arial"/>
          <w:i/>
          <w:iCs/>
          <w:lang w:val="es-PE"/>
        </w:rPr>
        <w:t>Chemical Engineering Transactions</w:t>
      </w:r>
      <w:r w:rsidRPr="002F6951">
        <w:rPr>
          <w:rFonts w:cs="Arial"/>
          <w:lang w:val="es-PE"/>
        </w:rPr>
        <w:t xml:space="preserve">, </w:t>
      </w:r>
      <w:r w:rsidRPr="002F6951">
        <w:rPr>
          <w:rFonts w:cs="Arial"/>
          <w:i/>
          <w:iCs/>
          <w:lang w:val="es-PE"/>
        </w:rPr>
        <w:t>82</w:t>
      </w:r>
      <w:r w:rsidRPr="002F6951">
        <w:rPr>
          <w:rFonts w:cs="Arial"/>
          <w:lang w:val="es-PE"/>
        </w:rPr>
        <w:t>, 97-102. https://doi.org/10.3303/CET208201</w:t>
      </w:r>
    </w:p>
    <w:p w14:paraId="1485CC52" w14:textId="04883F4B" w:rsidR="00BA7977" w:rsidRPr="00BA7977" w:rsidRDefault="00BA7977" w:rsidP="00AF3CF2">
      <w:pPr>
        <w:pStyle w:val="Bibliografia"/>
        <w:spacing w:line="240" w:lineRule="auto"/>
        <w:rPr>
          <w:rFonts w:cs="Arial"/>
        </w:rPr>
      </w:pPr>
      <w:r w:rsidRPr="00BA7977">
        <w:rPr>
          <w:rFonts w:cs="Arial"/>
          <w:lang w:val="es-PE"/>
        </w:rPr>
        <w:t>MTPE.</w:t>
      </w:r>
      <w:r w:rsidR="00367660">
        <w:rPr>
          <w:rFonts w:cs="Arial"/>
          <w:lang w:val="es-PE"/>
        </w:rPr>
        <w:t xml:space="preserve">, </w:t>
      </w:r>
      <w:r w:rsidRPr="00BA7977">
        <w:rPr>
          <w:rFonts w:cs="Arial"/>
          <w:lang w:val="es-PE"/>
        </w:rPr>
        <w:t>2021</w:t>
      </w:r>
      <w:r w:rsidR="00367660">
        <w:rPr>
          <w:rFonts w:cs="Arial"/>
          <w:lang w:val="es-PE"/>
        </w:rPr>
        <w:t xml:space="preserve">, </w:t>
      </w:r>
      <w:r w:rsidRPr="00BA7977">
        <w:rPr>
          <w:rFonts w:cs="Arial"/>
          <w:i/>
          <w:iCs/>
          <w:lang w:val="es-PE"/>
        </w:rPr>
        <w:t>Notificaciones de accidentes de trabajo, incidentes peligrosos y enfermedades ocupacionales</w:t>
      </w:r>
      <w:r w:rsidRPr="00BA7977">
        <w:rPr>
          <w:rFonts w:cs="Arial"/>
          <w:lang w:val="es-PE"/>
        </w:rPr>
        <w:t xml:space="preserve"> (Nro. 09 Año 10, Boletin Estadístico Mensual Setiembre 2021; p. 29). </w:t>
      </w:r>
      <w:r w:rsidRPr="00BA7977">
        <w:rPr>
          <w:rFonts w:cs="Arial"/>
        </w:rPr>
        <w:t>Ministerio de Trabajo del Perú.</w:t>
      </w:r>
    </w:p>
    <w:p w14:paraId="6BFC330A" w14:textId="77777777" w:rsidR="00BA7977" w:rsidRPr="00BA7977" w:rsidRDefault="00BA7977" w:rsidP="00AF3CF2">
      <w:pPr>
        <w:pStyle w:val="Bibliografia"/>
        <w:spacing w:line="240" w:lineRule="auto"/>
        <w:rPr>
          <w:rFonts w:cs="Arial"/>
          <w:lang w:val="es-PE"/>
        </w:rPr>
      </w:pPr>
      <w:r w:rsidRPr="00BA7977">
        <w:rPr>
          <w:rFonts w:cs="Arial"/>
        </w:rPr>
        <w:t xml:space="preserve">OIT. (s. f.). Safety and health at work. </w:t>
      </w:r>
      <w:r w:rsidRPr="00BA7977">
        <w:rPr>
          <w:rFonts w:cs="Arial"/>
          <w:i/>
          <w:iCs/>
          <w:lang w:val="es-PE"/>
        </w:rPr>
        <w:t>ILOSTAT</w:t>
      </w:r>
      <w:r w:rsidRPr="00BA7977">
        <w:rPr>
          <w:rFonts w:cs="Arial"/>
          <w:lang w:val="es-PE"/>
        </w:rPr>
        <w:t>. Recuperado 25 de diciembre de 2021, de https://ilostat.ilo.org/topics/safety-and-health-at-work/</w:t>
      </w:r>
    </w:p>
    <w:p w14:paraId="494C4F7F" w14:textId="57745F6C" w:rsidR="00D72E9C" w:rsidRPr="00A05372" w:rsidRDefault="00D72E9C" w:rsidP="00AF3CF2">
      <w:pPr>
        <w:pStyle w:val="CETReference"/>
        <w:rPr>
          <w:lang w:val="es-PE"/>
        </w:rPr>
      </w:pPr>
      <w:r>
        <w:fldChar w:fldCharType="end"/>
      </w:r>
    </w:p>
    <w:sectPr w:rsidR="00D72E9C" w:rsidRPr="00A0537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D632" w14:textId="77777777" w:rsidR="00427BA2" w:rsidRDefault="00427BA2" w:rsidP="004F5E36">
      <w:r>
        <w:separator/>
      </w:r>
    </w:p>
  </w:endnote>
  <w:endnote w:type="continuationSeparator" w:id="0">
    <w:p w14:paraId="0E81B0CB" w14:textId="77777777" w:rsidR="00427BA2" w:rsidRDefault="00427B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54A24" w14:textId="77777777" w:rsidR="00427BA2" w:rsidRDefault="00427BA2" w:rsidP="004F5E36">
      <w:r>
        <w:separator/>
      </w:r>
    </w:p>
  </w:footnote>
  <w:footnote w:type="continuationSeparator" w:id="0">
    <w:p w14:paraId="070715E8" w14:textId="77777777" w:rsidR="00427BA2" w:rsidRDefault="00427BA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E0D3334"/>
    <w:multiLevelType w:val="multilevel"/>
    <w:tmpl w:val="C352DA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105884"/>
    <w:multiLevelType w:val="multilevel"/>
    <w:tmpl w:val="A0C0800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18C351A"/>
    <w:multiLevelType w:val="multilevel"/>
    <w:tmpl w:val="A0C0800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438217E"/>
    <w:multiLevelType w:val="multilevel"/>
    <w:tmpl w:val="97BC7F7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B8677D1"/>
    <w:multiLevelType w:val="hybridMultilevel"/>
    <w:tmpl w:val="A1608A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FF233C"/>
    <w:multiLevelType w:val="hybridMultilevel"/>
    <w:tmpl w:val="8E34F6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A657F25"/>
    <w:multiLevelType w:val="hybridMultilevel"/>
    <w:tmpl w:val="12B889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F675FD7"/>
    <w:multiLevelType w:val="multilevel"/>
    <w:tmpl w:val="C6AE7ACE"/>
    <w:lvl w:ilvl="0">
      <w:start w:val="3"/>
      <w:numFmt w:val="decimal"/>
      <w:pStyle w:val="CETheadingx"/>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03795E"/>
    <w:multiLevelType w:val="hybridMultilevel"/>
    <w:tmpl w:val="A1E448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E930546"/>
    <w:multiLevelType w:val="hybridMultilevel"/>
    <w:tmpl w:val="0E7E7CA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560928"/>
    <w:multiLevelType w:val="hybridMultilevel"/>
    <w:tmpl w:val="3F0CFA64"/>
    <w:lvl w:ilvl="0" w:tplc="6F08141A">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158840160">
    <w:abstractNumId w:val="13"/>
  </w:num>
  <w:num w:numId="2" w16cid:durableId="3634374">
    <w:abstractNumId w:val="8"/>
  </w:num>
  <w:num w:numId="3" w16cid:durableId="1071346723">
    <w:abstractNumId w:val="3"/>
  </w:num>
  <w:num w:numId="4" w16cid:durableId="49041826">
    <w:abstractNumId w:val="2"/>
  </w:num>
  <w:num w:numId="5" w16cid:durableId="645399579">
    <w:abstractNumId w:val="1"/>
  </w:num>
  <w:num w:numId="6" w16cid:durableId="472868508">
    <w:abstractNumId w:val="0"/>
  </w:num>
  <w:num w:numId="7" w16cid:durableId="565578168">
    <w:abstractNumId w:val="9"/>
  </w:num>
  <w:num w:numId="8" w16cid:durableId="1583294560">
    <w:abstractNumId w:val="7"/>
  </w:num>
  <w:num w:numId="9" w16cid:durableId="64452981">
    <w:abstractNumId w:val="6"/>
  </w:num>
  <w:num w:numId="10" w16cid:durableId="1032918097">
    <w:abstractNumId w:val="5"/>
  </w:num>
  <w:num w:numId="11" w16cid:durableId="696858153">
    <w:abstractNumId w:val="4"/>
  </w:num>
  <w:num w:numId="12" w16cid:durableId="2026637830">
    <w:abstractNumId w:val="23"/>
  </w:num>
  <w:num w:numId="13" w16cid:durableId="676225473">
    <w:abstractNumId w:val="16"/>
  </w:num>
  <w:num w:numId="14" w16cid:durableId="206112625">
    <w:abstractNumId w:val="24"/>
  </w:num>
  <w:num w:numId="15" w16cid:durableId="496268616">
    <w:abstractNumId w:val="28"/>
  </w:num>
  <w:num w:numId="16" w16cid:durableId="9452315">
    <w:abstractNumId w:val="27"/>
  </w:num>
  <w:num w:numId="17" w16cid:durableId="465246711">
    <w:abstractNumId w:val="15"/>
  </w:num>
  <w:num w:numId="18" w16cid:durableId="1534615054">
    <w:abstractNumId w:val="16"/>
    <w:lvlOverride w:ilvl="0">
      <w:startOverride w:val="1"/>
    </w:lvlOverride>
  </w:num>
  <w:num w:numId="19" w16cid:durableId="1557545295">
    <w:abstractNumId w:val="22"/>
  </w:num>
  <w:num w:numId="20" w16cid:durableId="1313605326">
    <w:abstractNumId w:val="21"/>
  </w:num>
  <w:num w:numId="21" w16cid:durableId="1598948583">
    <w:abstractNumId w:val="19"/>
  </w:num>
  <w:num w:numId="22" w16cid:durableId="35740621">
    <w:abstractNumId w:val="29"/>
  </w:num>
  <w:num w:numId="23" w16cid:durableId="2131238060">
    <w:abstractNumId w:val="12"/>
  </w:num>
  <w:num w:numId="24" w16cid:durableId="2119794198">
    <w:abstractNumId w:val="11"/>
  </w:num>
  <w:num w:numId="25" w16cid:durableId="1980500521">
    <w:abstractNumId w:val="26"/>
  </w:num>
  <w:num w:numId="26" w16cid:durableId="288317811">
    <w:abstractNumId w:val="13"/>
    <w:lvlOverride w:ilvl="0">
      <w:startOverride w:val="1"/>
    </w:lvlOverride>
    <w:lvlOverride w:ilvl="1">
      <w:startOverride w:val="5"/>
    </w:lvlOverride>
  </w:num>
  <w:num w:numId="27" w16cid:durableId="1989554004">
    <w:abstractNumId w:val="18"/>
  </w:num>
  <w:num w:numId="28" w16cid:durableId="1549144660">
    <w:abstractNumId w:val="10"/>
  </w:num>
  <w:num w:numId="29" w16cid:durableId="1547377324">
    <w:abstractNumId w:val="20"/>
  </w:num>
  <w:num w:numId="30" w16cid:durableId="2102607739">
    <w:abstractNumId w:val="25"/>
  </w:num>
  <w:num w:numId="31" w16cid:durableId="925841892">
    <w:abstractNumId w:val="17"/>
  </w:num>
  <w:num w:numId="32" w16cid:durableId="2015759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537"/>
    <w:rsid w:val="0003148D"/>
    <w:rsid w:val="0003638F"/>
    <w:rsid w:val="00036968"/>
    <w:rsid w:val="000427AA"/>
    <w:rsid w:val="00045654"/>
    <w:rsid w:val="00051566"/>
    <w:rsid w:val="00062A9A"/>
    <w:rsid w:val="00065058"/>
    <w:rsid w:val="00066F44"/>
    <w:rsid w:val="000825F1"/>
    <w:rsid w:val="00086C39"/>
    <w:rsid w:val="000A03B2"/>
    <w:rsid w:val="000B021A"/>
    <w:rsid w:val="000B0274"/>
    <w:rsid w:val="000D34BE"/>
    <w:rsid w:val="000E102F"/>
    <w:rsid w:val="000E36F1"/>
    <w:rsid w:val="000E3A73"/>
    <w:rsid w:val="000E414A"/>
    <w:rsid w:val="000F093C"/>
    <w:rsid w:val="000F391D"/>
    <w:rsid w:val="000F5C29"/>
    <w:rsid w:val="000F787B"/>
    <w:rsid w:val="0012091F"/>
    <w:rsid w:val="00126BC2"/>
    <w:rsid w:val="001308B6"/>
    <w:rsid w:val="0013121F"/>
    <w:rsid w:val="00131FE6"/>
    <w:rsid w:val="0013263F"/>
    <w:rsid w:val="0013289B"/>
    <w:rsid w:val="00134DE4"/>
    <w:rsid w:val="0013529F"/>
    <w:rsid w:val="00137454"/>
    <w:rsid w:val="0014034D"/>
    <w:rsid w:val="0014464F"/>
    <w:rsid w:val="00150D87"/>
    <w:rsid w:val="00150E59"/>
    <w:rsid w:val="00152DE3"/>
    <w:rsid w:val="0015309B"/>
    <w:rsid w:val="00163A09"/>
    <w:rsid w:val="00164CF9"/>
    <w:rsid w:val="00180095"/>
    <w:rsid w:val="00180860"/>
    <w:rsid w:val="00183E94"/>
    <w:rsid w:val="00184AD6"/>
    <w:rsid w:val="0018683B"/>
    <w:rsid w:val="00186B80"/>
    <w:rsid w:val="0019495E"/>
    <w:rsid w:val="00197A9C"/>
    <w:rsid w:val="001A1A64"/>
    <w:rsid w:val="001A5B78"/>
    <w:rsid w:val="001A6C2A"/>
    <w:rsid w:val="001B0349"/>
    <w:rsid w:val="001B65C1"/>
    <w:rsid w:val="001C0C3E"/>
    <w:rsid w:val="001C354C"/>
    <w:rsid w:val="001C684B"/>
    <w:rsid w:val="001D53FC"/>
    <w:rsid w:val="001D6640"/>
    <w:rsid w:val="001E2BEA"/>
    <w:rsid w:val="001F42A5"/>
    <w:rsid w:val="001F7B9D"/>
    <w:rsid w:val="002224B4"/>
    <w:rsid w:val="00224A56"/>
    <w:rsid w:val="002255B7"/>
    <w:rsid w:val="002447EF"/>
    <w:rsid w:val="00251550"/>
    <w:rsid w:val="00251D47"/>
    <w:rsid w:val="00260BDF"/>
    <w:rsid w:val="00263B05"/>
    <w:rsid w:val="0027221A"/>
    <w:rsid w:val="00275B61"/>
    <w:rsid w:val="00282656"/>
    <w:rsid w:val="00287839"/>
    <w:rsid w:val="00296B83"/>
    <w:rsid w:val="00296FF7"/>
    <w:rsid w:val="002A1862"/>
    <w:rsid w:val="002A37F3"/>
    <w:rsid w:val="002A40F3"/>
    <w:rsid w:val="002A47F4"/>
    <w:rsid w:val="002B225E"/>
    <w:rsid w:val="002B5D94"/>
    <w:rsid w:val="002B605F"/>
    <w:rsid w:val="002B78CE"/>
    <w:rsid w:val="002C1834"/>
    <w:rsid w:val="002C2DD3"/>
    <w:rsid w:val="002C2FB6"/>
    <w:rsid w:val="002C4095"/>
    <w:rsid w:val="002C7E8A"/>
    <w:rsid w:val="002D03EE"/>
    <w:rsid w:val="002E1AB1"/>
    <w:rsid w:val="002E7025"/>
    <w:rsid w:val="002F6542"/>
    <w:rsid w:val="002F6951"/>
    <w:rsid w:val="003009B7"/>
    <w:rsid w:val="00300E56"/>
    <w:rsid w:val="0030203E"/>
    <w:rsid w:val="0030469C"/>
    <w:rsid w:val="00304A79"/>
    <w:rsid w:val="00305734"/>
    <w:rsid w:val="00321CA6"/>
    <w:rsid w:val="003243D8"/>
    <w:rsid w:val="003255E8"/>
    <w:rsid w:val="00334C09"/>
    <w:rsid w:val="003520F6"/>
    <w:rsid w:val="00367660"/>
    <w:rsid w:val="003723D4"/>
    <w:rsid w:val="003839D1"/>
    <w:rsid w:val="00383F4B"/>
    <w:rsid w:val="00384CC8"/>
    <w:rsid w:val="003871CC"/>
    <w:rsid w:val="003871FD"/>
    <w:rsid w:val="003A03BE"/>
    <w:rsid w:val="003A1E30"/>
    <w:rsid w:val="003A7D1C"/>
    <w:rsid w:val="003B304B"/>
    <w:rsid w:val="003B3146"/>
    <w:rsid w:val="003D1D53"/>
    <w:rsid w:val="003E7CA3"/>
    <w:rsid w:val="003F015E"/>
    <w:rsid w:val="00400414"/>
    <w:rsid w:val="00406EB8"/>
    <w:rsid w:val="0041446B"/>
    <w:rsid w:val="00427BA2"/>
    <w:rsid w:val="00433470"/>
    <w:rsid w:val="0044329C"/>
    <w:rsid w:val="00450AB8"/>
    <w:rsid w:val="004577FE"/>
    <w:rsid w:val="00457B9C"/>
    <w:rsid w:val="0046164A"/>
    <w:rsid w:val="004628D2"/>
    <w:rsid w:val="00462DCD"/>
    <w:rsid w:val="004648AD"/>
    <w:rsid w:val="004703A9"/>
    <w:rsid w:val="00471677"/>
    <w:rsid w:val="00472411"/>
    <w:rsid w:val="004760DE"/>
    <w:rsid w:val="00494016"/>
    <w:rsid w:val="00496291"/>
    <w:rsid w:val="00496F52"/>
    <w:rsid w:val="004A004E"/>
    <w:rsid w:val="004A24CF"/>
    <w:rsid w:val="004B6EEA"/>
    <w:rsid w:val="004C3D1D"/>
    <w:rsid w:val="004C7913"/>
    <w:rsid w:val="004D6793"/>
    <w:rsid w:val="004E31ED"/>
    <w:rsid w:val="004E4DD6"/>
    <w:rsid w:val="004E55E0"/>
    <w:rsid w:val="004E748C"/>
    <w:rsid w:val="004F058E"/>
    <w:rsid w:val="004F0B83"/>
    <w:rsid w:val="004F40A5"/>
    <w:rsid w:val="004F5E36"/>
    <w:rsid w:val="00507B47"/>
    <w:rsid w:val="00507CC9"/>
    <w:rsid w:val="005119A5"/>
    <w:rsid w:val="00516D93"/>
    <w:rsid w:val="005268F8"/>
    <w:rsid w:val="005278B7"/>
    <w:rsid w:val="00532016"/>
    <w:rsid w:val="0053397E"/>
    <w:rsid w:val="005346C8"/>
    <w:rsid w:val="00543E7D"/>
    <w:rsid w:val="00547A68"/>
    <w:rsid w:val="005506EE"/>
    <w:rsid w:val="005531C9"/>
    <w:rsid w:val="00553828"/>
    <w:rsid w:val="005544B7"/>
    <w:rsid w:val="0056093A"/>
    <w:rsid w:val="00584CD8"/>
    <w:rsid w:val="005A2155"/>
    <w:rsid w:val="005A3E9C"/>
    <w:rsid w:val="005B2110"/>
    <w:rsid w:val="005B61E6"/>
    <w:rsid w:val="005C77E1"/>
    <w:rsid w:val="005D32BF"/>
    <w:rsid w:val="005D4370"/>
    <w:rsid w:val="005D6A2F"/>
    <w:rsid w:val="005E1A82"/>
    <w:rsid w:val="005E391A"/>
    <w:rsid w:val="005E794C"/>
    <w:rsid w:val="005F0A28"/>
    <w:rsid w:val="005F0E5E"/>
    <w:rsid w:val="005F5977"/>
    <w:rsid w:val="00600535"/>
    <w:rsid w:val="00610CD6"/>
    <w:rsid w:val="00620C11"/>
    <w:rsid w:val="00620DEE"/>
    <w:rsid w:val="00621F92"/>
    <w:rsid w:val="00625639"/>
    <w:rsid w:val="00631B33"/>
    <w:rsid w:val="00637247"/>
    <w:rsid w:val="00637BA9"/>
    <w:rsid w:val="0064184D"/>
    <w:rsid w:val="00660E3E"/>
    <w:rsid w:val="00662E74"/>
    <w:rsid w:val="00680C23"/>
    <w:rsid w:val="006842C6"/>
    <w:rsid w:val="00693766"/>
    <w:rsid w:val="006A3281"/>
    <w:rsid w:val="006A541A"/>
    <w:rsid w:val="006B4888"/>
    <w:rsid w:val="006C2E45"/>
    <w:rsid w:val="006C359C"/>
    <w:rsid w:val="006C5579"/>
    <w:rsid w:val="006D2646"/>
    <w:rsid w:val="006E737D"/>
    <w:rsid w:val="006F1833"/>
    <w:rsid w:val="00720A24"/>
    <w:rsid w:val="00732386"/>
    <w:rsid w:val="00736406"/>
    <w:rsid w:val="00737416"/>
    <w:rsid w:val="007447F3"/>
    <w:rsid w:val="00745D03"/>
    <w:rsid w:val="007470CD"/>
    <w:rsid w:val="0075499F"/>
    <w:rsid w:val="007661C8"/>
    <w:rsid w:val="0077098D"/>
    <w:rsid w:val="007872B9"/>
    <w:rsid w:val="00795EA0"/>
    <w:rsid w:val="00797AD9"/>
    <w:rsid w:val="007A72DA"/>
    <w:rsid w:val="007A7BBA"/>
    <w:rsid w:val="007B0C50"/>
    <w:rsid w:val="007C0569"/>
    <w:rsid w:val="007C1A43"/>
    <w:rsid w:val="007C44C1"/>
    <w:rsid w:val="007D3D70"/>
    <w:rsid w:val="007E0BCB"/>
    <w:rsid w:val="007E245C"/>
    <w:rsid w:val="007E59D4"/>
    <w:rsid w:val="007F3250"/>
    <w:rsid w:val="00806165"/>
    <w:rsid w:val="00813288"/>
    <w:rsid w:val="00813C20"/>
    <w:rsid w:val="008168FC"/>
    <w:rsid w:val="00830996"/>
    <w:rsid w:val="008345F1"/>
    <w:rsid w:val="00862531"/>
    <w:rsid w:val="00862578"/>
    <w:rsid w:val="00865B07"/>
    <w:rsid w:val="008667EA"/>
    <w:rsid w:val="00873D70"/>
    <w:rsid w:val="00874856"/>
    <w:rsid w:val="0087637F"/>
    <w:rsid w:val="00890EB5"/>
    <w:rsid w:val="00892AD5"/>
    <w:rsid w:val="008A1512"/>
    <w:rsid w:val="008B1797"/>
    <w:rsid w:val="008B33B2"/>
    <w:rsid w:val="008D433B"/>
    <w:rsid w:val="008D7837"/>
    <w:rsid w:val="008E566E"/>
    <w:rsid w:val="0090161A"/>
    <w:rsid w:val="00901EB6"/>
    <w:rsid w:val="00904C62"/>
    <w:rsid w:val="00914585"/>
    <w:rsid w:val="0091786A"/>
    <w:rsid w:val="00924DAC"/>
    <w:rsid w:val="00927058"/>
    <w:rsid w:val="009450CE"/>
    <w:rsid w:val="00947179"/>
    <w:rsid w:val="0095164B"/>
    <w:rsid w:val="00951F25"/>
    <w:rsid w:val="0095360C"/>
    <w:rsid w:val="00954090"/>
    <w:rsid w:val="009573E7"/>
    <w:rsid w:val="00963E05"/>
    <w:rsid w:val="00967D54"/>
    <w:rsid w:val="00973665"/>
    <w:rsid w:val="009830A5"/>
    <w:rsid w:val="00987539"/>
    <w:rsid w:val="00996483"/>
    <w:rsid w:val="00996F5A"/>
    <w:rsid w:val="00997456"/>
    <w:rsid w:val="009A24E4"/>
    <w:rsid w:val="009B041A"/>
    <w:rsid w:val="009C06C3"/>
    <w:rsid w:val="009C7C86"/>
    <w:rsid w:val="009D2FF7"/>
    <w:rsid w:val="009E7884"/>
    <w:rsid w:val="009E788A"/>
    <w:rsid w:val="009F0E08"/>
    <w:rsid w:val="009F3AD7"/>
    <w:rsid w:val="009F3BA7"/>
    <w:rsid w:val="009F7F64"/>
    <w:rsid w:val="00A05372"/>
    <w:rsid w:val="00A110F1"/>
    <w:rsid w:val="00A1763D"/>
    <w:rsid w:val="00A17CEC"/>
    <w:rsid w:val="00A223B0"/>
    <w:rsid w:val="00A23918"/>
    <w:rsid w:val="00A27EF0"/>
    <w:rsid w:val="00A27F9E"/>
    <w:rsid w:val="00A46A01"/>
    <w:rsid w:val="00A50B20"/>
    <w:rsid w:val="00A51390"/>
    <w:rsid w:val="00A52891"/>
    <w:rsid w:val="00A53F31"/>
    <w:rsid w:val="00A60D13"/>
    <w:rsid w:val="00A717C2"/>
    <w:rsid w:val="00A72745"/>
    <w:rsid w:val="00A76EFC"/>
    <w:rsid w:val="00A91010"/>
    <w:rsid w:val="00A9615A"/>
    <w:rsid w:val="00A97F29"/>
    <w:rsid w:val="00AA096B"/>
    <w:rsid w:val="00AA702E"/>
    <w:rsid w:val="00AB0964"/>
    <w:rsid w:val="00AB5011"/>
    <w:rsid w:val="00AC7368"/>
    <w:rsid w:val="00AD16B9"/>
    <w:rsid w:val="00AE2C0F"/>
    <w:rsid w:val="00AE3097"/>
    <w:rsid w:val="00AE377D"/>
    <w:rsid w:val="00AE7C2D"/>
    <w:rsid w:val="00AF109E"/>
    <w:rsid w:val="00AF12EE"/>
    <w:rsid w:val="00AF3CF2"/>
    <w:rsid w:val="00B03A44"/>
    <w:rsid w:val="00B05A1E"/>
    <w:rsid w:val="00B145BF"/>
    <w:rsid w:val="00B17FBD"/>
    <w:rsid w:val="00B315A6"/>
    <w:rsid w:val="00B31813"/>
    <w:rsid w:val="00B33365"/>
    <w:rsid w:val="00B41D7F"/>
    <w:rsid w:val="00B57B36"/>
    <w:rsid w:val="00B74574"/>
    <w:rsid w:val="00B8119C"/>
    <w:rsid w:val="00B827FD"/>
    <w:rsid w:val="00B8686D"/>
    <w:rsid w:val="00B86DCD"/>
    <w:rsid w:val="00BA7977"/>
    <w:rsid w:val="00BC0B0C"/>
    <w:rsid w:val="00BC30C9"/>
    <w:rsid w:val="00BD5728"/>
    <w:rsid w:val="00BE2944"/>
    <w:rsid w:val="00BE3E58"/>
    <w:rsid w:val="00BF0320"/>
    <w:rsid w:val="00BF1CBE"/>
    <w:rsid w:val="00BF2E07"/>
    <w:rsid w:val="00C01616"/>
    <w:rsid w:val="00C0162B"/>
    <w:rsid w:val="00C345B1"/>
    <w:rsid w:val="00C40142"/>
    <w:rsid w:val="00C40B25"/>
    <w:rsid w:val="00C57182"/>
    <w:rsid w:val="00C57863"/>
    <w:rsid w:val="00C63A6B"/>
    <w:rsid w:val="00C655FD"/>
    <w:rsid w:val="00C71FB5"/>
    <w:rsid w:val="00C764F3"/>
    <w:rsid w:val="00C856AA"/>
    <w:rsid w:val="00C870A8"/>
    <w:rsid w:val="00C94434"/>
    <w:rsid w:val="00CA0D75"/>
    <w:rsid w:val="00CA1C95"/>
    <w:rsid w:val="00CA5A9C"/>
    <w:rsid w:val="00CB05DC"/>
    <w:rsid w:val="00CB704F"/>
    <w:rsid w:val="00CB7323"/>
    <w:rsid w:val="00CD5FE2"/>
    <w:rsid w:val="00CE60EB"/>
    <w:rsid w:val="00CE7C68"/>
    <w:rsid w:val="00D02B4C"/>
    <w:rsid w:val="00D040C4"/>
    <w:rsid w:val="00D21D0A"/>
    <w:rsid w:val="00D517F9"/>
    <w:rsid w:val="00D57C84"/>
    <w:rsid w:val="00D6057D"/>
    <w:rsid w:val="00D60AE1"/>
    <w:rsid w:val="00D72E9C"/>
    <w:rsid w:val="00D73A6E"/>
    <w:rsid w:val="00D84576"/>
    <w:rsid w:val="00D873C5"/>
    <w:rsid w:val="00DA1399"/>
    <w:rsid w:val="00DA1B58"/>
    <w:rsid w:val="00DA24C6"/>
    <w:rsid w:val="00DA4D7B"/>
    <w:rsid w:val="00DA65A9"/>
    <w:rsid w:val="00DB105C"/>
    <w:rsid w:val="00DB60BD"/>
    <w:rsid w:val="00DC01F3"/>
    <w:rsid w:val="00DC4562"/>
    <w:rsid w:val="00DC4CAB"/>
    <w:rsid w:val="00DD3E39"/>
    <w:rsid w:val="00DE264A"/>
    <w:rsid w:val="00E02D18"/>
    <w:rsid w:val="00E041E7"/>
    <w:rsid w:val="00E23368"/>
    <w:rsid w:val="00E23CA1"/>
    <w:rsid w:val="00E2429F"/>
    <w:rsid w:val="00E25172"/>
    <w:rsid w:val="00E27BCA"/>
    <w:rsid w:val="00E409A8"/>
    <w:rsid w:val="00E50C12"/>
    <w:rsid w:val="00E57385"/>
    <w:rsid w:val="00E62233"/>
    <w:rsid w:val="00E65B91"/>
    <w:rsid w:val="00E7209D"/>
    <w:rsid w:val="00E77223"/>
    <w:rsid w:val="00E812EB"/>
    <w:rsid w:val="00E8528B"/>
    <w:rsid w:val="00E85B94"/>
    <w:rsid w:val="00E978D0"/>
    <w:rsid w:val="00EA0CA9"/>
    <w:rsid w:val="00EA4613"/>
    <w:rsid w:val="00EA59EE"/>
    <w:rsid w:val="00EA740F"/>
    <w:rsid w:val="00EA771A"/>
    <w:rsid w:val="00EA7F91"/>
    <w:rsid w:val="00EB1523"/>
    <w:rsid w:val="00EC0E49"/>
    <w:rsid w:val="00EC6199"/>
    <w:rsid w:val="00EE0131"/>
    <w:rsid w:val="00EF2394"/>
    <w:rsid w:val="00EF40A9"/>
    <w:rsid w:val="00F03AC4"/>
    <w:rsid w:val="00F03E44"/>
    <w:rsid w:val="00F115DF"/>
    <w:rsid w:val="00F30C64"/>
    <w:rsid w:val="00F32CDB"/>
    <w:rsid w:val="00F3341C"/>
    <w:rsid w:val="00F54040"/>
    <w:rsid w:val="00F63A70"/>
    <w:rsid w:val="00F70075"/>
    <w:rsid w:val="00F81DEC"/>
    <w:rsid w:val="00F8364C"/>
    <w:rsid w:val="00F97CE1"/>
    <w:rsid w:val="00FA21D0"/>
    <w:rsid w:val="00FA2E7A"/>
    <w:rsid w:val="00FA5F5F"/>
    <w:rsid w:val="00FB730C"/>
    <w:rsid w:val="00FC203D"/>
    <w:rsid w:val="00FC213A"/>
    <w:rsid w:val="00FC2695"/>
    <w:rsid w:val="00FC3E03"/>
    <w:rsid w:val="00FC3FC1"/>
    <w:rsid w:val="00FC4003"/>
    <w:rsid w:val="00FD2A8A"/>
    <w:rsid w:val="00FE1DBC"/>
    <w:rsid w:val="00FE287F"/>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24B4F17D-16FE-477C-959F-9E54DC32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E2944"/>
    <w:pPr>
      <w:keepNext/>
      <w:numPr>
        <w:numId w:val="29"/>
      </w:numPr>
      <w:suppressAutoHyphens/>
      <w:spacing w:before="120" w:after="120" w:line="240" w:lineRule="auto"/>
    </w:pPr>
    <w:rPr>
      <w:rFonts w:ascii="Arial" w:eastAsia="Times New Roman" w:hAnsi="Arial" w:cs="Times New Roman"/>
      <w:b/>
      <w:sz w:val="20"/>
      <w:lang w:val="es-P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E2944"/>
    <w:rPr>
      <w:rFonts w:ascii="Arial" w:eastAsia="Times New Roman" w:hAnsi="Arial" w:cs="Times New Roman"/>
      <w:b/>
      <w:sz w:val="20"/>
      <w:lang w:val="es-PE"/>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48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1A6C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803">
      <w:bodyDiv w:val="1"/>
      <w:marLeft w:val="0"/>
      <w:marRight w:val="0"/>
      <w:marTop w:val="0"/>
      <w:marBottom w:val="0"/>
      <w:divBdr>
        <w:top w:val="none" w:sz="0" w:space="0" w:color="auto"/>
        <w:left w:val="none" w:sz="0" w:space="0" w:color="auto"/>
        <w:bottom w:val="none" w:sz="0" w:space="0" w:color="auto"/>
        <w:right w:val="none" w:sz="0" w:space="0" w:color="auto"/>
      </w:divBdr>
    </w:div>
    <w:div w:id="3578622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1591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0FABA-8163-485D-A4BA-775280D1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3265</Words>
  <Characters>18615</Characters>
  <Application>Microsoft Office Word</Application>
  <DocSecurity>0</DocSecurity>
  <Lines>155</Lines>
  <Paragraphs>43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8</cp:revision>
  <cp:lastPrinted>2021-12-31T17:48:00Z</cp:lastPrinted>
  <dcterms:created xsi:type="dcterms:W3CDTF">2022-03-11T20:00:00Z</dcterms:created>
  <dcterms:modified xsi:type="dcterms:W3CDTF">2022-05-05T14:24:00Z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id="SRyhp0pR"/&gt;&lt;style id="http://www.zotero.org/styles/apa" locale="es-ES" hasBibliography="1" bibliographyStyleHasBeenSet="1"/&gt;&lt;prefs&gt;&lt;pref name="fieldType" value="Field"/&gt;&lt;pref name="storeReferen</vt:lpwstr>
  </property>
  <property fmtid="{D5CDD505-2E9C-101B-9397-08002B2CF9AE}" pid="3" name="ZOTERO_PREF_2">
    <vt:lpwstr>ces" value="true"/&gt;&lt;/prefs&gt;&lt;/data&gt;</vt:lpwstr>
  </property>
</Properties>
</file>