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7059BC" w:rsidRDefault="00300E56" w:rsidP="00B57E6F">
            <w:pPr>
              <w:ind w:left="-107"/>
              <w:outlineLvl w:val="2"/>
              <w:rPr>
                <w:rFonts w:ascii="Tahoma" w:hAnsi="Tahoma" w:cs="Tahoma"/>
                <w:bCs/>
                <w:color w:val="000000"/>
                <w:sz w:val="14"/>
                <w:szCs w:val="14"/>
                <w:lang w:val="it-IT" w:eastAsia="it-IT"/>
              </w:rPr>
            </w:pPr>
            <w:r w:rsidRPr="007059BC">
              <w:rPr>
                <w:rFonts w:ascii="Tahoma" w:hAnsi="Tahoma" w:cs="Tahoma"/>
                <w:iCs/>
                <w:color w:val="333333"/>
                <w:sz w:val="14"/>
                <w:szCs w:val="14"/>
                <w:lang w:val="it-IT" w:eastAsia="it-IT"/>
              </w:rPr>
              <w:t xml:space="preserve">Guest </w:t>
            </w:r>
            <w:proofErr w:type="spellStart"/>
            <w:r w:rsidRPr="007059BC">
              <w:rPr>
                <w:rFonts w:ascii="Tahoma" w:hAnsi="Tahoma" w:cs="Tahoma"/>
                <w:iCs/>
                <w:color w:val="333333"/>
                <w:sz w:val="14"/>
                <w:szCs w:val="14"/>
                <w:lang w:val="it-IT" w:eastAsia="it-IT"/>
              </w:rPr>
              <w:t>Editors</w:t>
            </w:r>
            <w:proofErr w:type="spellEnd"/>
            <w:r w:rsidRPr="007059BC">
              <w:rPr>
                <w:rFonts w:ascii="Tahoma" w:hAnsi="Tahoma" w:cs="Tahoma"/>
                <w:iCs/>
                <w:color w:val="333333"/>
                <w:sz w:val="14"/>
                <w:szCs w:val="14"/>
                <w:lang w:val="it-IT" w:eastAsia="it-IT"/>
              </w:rPr>
              <w:t>:</w:t>
            </w:r>
            <w:r w:rsidR="00904C62" w:rsidRPr="007059BC">
              <w:rPr>
                <w:rFonts w:ascii="Tahoma" w:hAnsi="Tahoma" w:cs="Tahoma"/>
                <w:iCs/>
                <w:color w:val="333333"/>
                <w:sz w:val="14"/>
                <w:szCs w:val="14"/>
                <w:lang w:val="it-IT" w:eastAsia="it-IT"/>
              </w:rPr>
              <w:t xml:space="preserve"> </w:t>
            </w:r>
            <w:r w:rsidR="00B57E6F" w:rsidRPr="007059BC">
              <w:rPr>
                <w:rFonts w:ascii="Tahoma" w:hAnsi="Tahoma" w:cs="Tahoma"/>
                <w:color w:val="000000"/>
                <w:sz w:val="14"/>
                <w:szCs w:val="14"/>
                <w:shd w:val="clear" w:color="auto" w:fill="FFFFFF"/>
                <w:lang w:val="it-IT"/>
              </w:rPr>
              <w:t xml:space="preserve">Valerio </w:t>
            </w:r>
            <w:proofErr w:type="spellStart"/>
            <w:r w:rsidR="00B57E6F" w:rsidRPr="007059BC">
              <w:rPr>
                <w:rFonts w:ascii="Tahoma" w:hAnsi="Tahoma" w:cs="Tahoma"/>
                <w:color w:val="000000"/>
                <w:sz w:val="14"/>
                <w:szCs w:val="14"/>
                <w:shd w:val="clear" w:color="auto" w:fill="FFFFFF"/>
                <w:lang w:val="it-IT"/>
              </w:rPr>
              <w:t>Cozzani</w:t>
            </w:r>
            <w:proofErr w:type="spellEnd"/>
            <w:r w:rsidR="00B57E6F" w:rsidRPr="007059BC">
              <w:rPr>
                <w:rFonts w:ascii="Tahoma" w:hAnsi="Tahoma" w:cs="Tahoma"/>
                <w:color w:val="000000"/>
                <w:sz w:val="14"/>
                <w:szCs w:val="14"/>
                <w:shd w:val="clear" w:color="auto" w:fill="FFFFFF"/>
                <w:lang w:val="it-IT"/>
              </w:rPr>
              <w:t xml:space="preserve">, </w:t>
            </w:r>
            <w:r w:rsidR="001331DF" w:rsidRPr="007059BC">
              <w:rPr>
                <w:rFonts w:ascii="Tahoma" w:hAnsi="Tahoma" w:cs="Tahoma"/>
                <w:color w:val="000000"/>
                <w:sz w:val="14"/>
                <w:szCs w:val="14"/>
                <w:shd w:val="clear" w:color="auto" w:fill="FFFFFF"/>
                <w:lang w:val="it-IT"/>
              </w:rPr>
              <w:t>Bruno Fabiano</w:t>
            </w:r>
            <w:r w:rsidR="00B57E6F" w:rsidRPr="007059BC">
              <w:rPr>
                <w:rFonts w:ascii="Tahoma" w:hAnsi="Tahoma" w:cs="Tahoma"/>
                <w:color w:val="000000"/>
                <w:sz w:val="14"/>
                <w:szCs w:val="14"/>
                <w:shd w:val="clear" w:color="auto" w:fill="FFFFFF"/>
                <w:lang w:val="it-IT"/>
              </w:rPr>
              <w:t xml:space="preserve">, </w:t>
            </w:r>
            <w:proofErr w:type="spellStart"/>
            <w:r w:rsidR="00B57E6F" w:rsidRPr="007059BC">
              <w:rPr>
                <w:rFonts w:ascii="Tahoma" w:hAnsi="Tahoma" w:cs="Tahoma"/>
                <w:bCs/>
                <w:color w:val="000000"/>
                <w:sz w:val="14"/>
                <w:szCs w:val="14"/>
                <w:lang w:val="it-IT" w:eastAsia="it-IT"/>
              </w:rPr>
              <w:t>Genserik</w:t>
            </w:r>
            <w:proofErr w:type="spellEnd"/>
            <w:r w:rsidR="00B57E6F" w:rsidRPr="007059BC">
              <w:rPr>
                <w:rFonts w:ascii="Tahoma" w:hAnsi="Tahoma" w:cs="Tahoma"/>
                <w:bCs/>
                <w:color w:val="000000"/>
                <w:sz w:val="14"/>
                <w:szCs w:val="14"/>
                <w:lang w:val="it-IT" w:eastAsia="it-IT"/>
              </w:rPr>
              <w:t xml:space="preserve"> </w:t>
            </w:r>
            <w:proofErr w:type="spellStart"/>
            <w:r w:rsidR="00B57E6F" w:rsidRPr="007059BC">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16879B2E" w14:textId="6B1D2561" w:rsidR="00732B0A" w:rsidRPr="00643558" w:rsidRDefault="00732B0A" w:rsidP="00643558">
      <w:pPr>
        <w:pStyle w:val="CETTitle"/>
      </w:pPr>
      <w:r w:rsidRPr="00643558">
        <w:t>On the Impact of the Equator Principles Compliance: Supporting the Decision Making in Projects</w:t>
      </w:r>
    </w:p>
    <w:p w14:paraId="0488FED2" w14:textId="7E434373" w:rsidR="00B57E6F" w:rsidRPr="000C2A3A" w:rsidRDefault="00B57E6F" w:rsidP="00B57E6F">
      <w:pPr>
        <w:pStyle w:val="CETAuthors"/>
        <w:rPr>
          <w:lang w:val="en-US"/>
        </w:rPr>
      </w:pPr>
    </w:p>
    <w:p w14:paraId="1323589F" w14:textId="2F243632" w:rsidR="00FA596F" w:rsidRDefault="002713EA" w:rsidP="002713EA">
      <w:pPr>
        <w:pStyle w:val="CETAuthors"/>
        <w:ind w:left="360"/>
        <w:rPr>
          <w:lang w:val="it-IT"/>
        </w:rPr>
      </w:pPr>
      <w:r>
        <w:rPr>
          <w:lang w:val="it-IT"/>
        </w:rPr>
        <w:t xml:space="preserve">I. Macci </w:t>
      </w:r>
      <w:r>
        <w:rPr>
          <w:vertAlign w:val="superscript"/>
          <w:lang w:val="it-IT"/>
        </w:rPr>
        <w:t>a,*</w:t>
      </w:r>
      <w:r>
        <w:rPr>
          <w:lang w:val="it-IT"/>
        </w:rPr>
        <w:t xml:space="preserve">, L. Joli </w:t>
      </w:r>
      <w:r>
        <w:rPr>
          <w:vertAlign w:val="superscript"/>
          <w:lang w:val="it-IT"/>
        </w:rPr>
        <w:t>a</w:t>
      </w:r>
      <w:r>
        <w:rPr>
          <w:lang w:val="it-IT"/>
        </w:rPr>
        <w:t xml:space="preserve">, G. Franzoni </w:t>
      </w:r>
      <w:r>
        <w:rPr>
          <w:vertAlign w:val="superscript"/>
          <w:lang w:val="it-IT"/>
        </w:rPr>
        <w:t>a</w:t>
      </w:r>
      <w:r>
        <w:rPr>
          <w:lang w:val="it-IT"/>
        </w:rPr>
        <w:t xml:space="preserve">, M. Rigolio </w:t>
      </w:r>
      <w:r>
        <w:rPr>
          <w:vertAlign w:val="superscript"/>
          <w:lang w:val="it-IT"/>
        </w:rPr>
        <w:t>a</w:t>
      </w:r>
      <w:r>
        <w:rPr>
          <w:lang w:val="it-IT"/>
        </w:rPr>
        <w:t xml:space="preserve">, A. </w:t>
      </w:r>
      <w:r w:rsidR="00FA596F">
        <w:rPr>
          <w:lang w:val="it-IT"/>
        </w:rPr>
        <w:t xml:space="preserve">Frassoldati </w:t>
      </w:r>
      <w:r>
        <w:rPr>
          <w:vertAlign w:val="superscript"/>
          <w:lang w:val="it-IT"/>
        </w:rPr>
        <w:t>b</w:t>
      </w:r>
      <w:r w:rsidR="00FA596F">
        <w:rPr>
          <w:lang w:val="it-IT"/>
        </w:rPr>
        <w:t xml:space="preserve">, </w:t>
      </w:r>
      <w:r w:rsidR="001D5B2C">
        <w:rPr>
          <w:lang w:val="it-IT"/>
        </w:rPr>
        <w:t>G.J.</w:t>
      </w:r>
      <w:r w:rsidR="006141D8">
        <w:rPr>
          <w:lang w:val="it-IT"/>
        </w:rPr>
        <w:t>L.</w:t>
      </w:r>
      <w:r w:rsidR="001D5B2C">
        <w:rPr>
          <w:lang w:val="it-IT"/>
        </w:rPr>
        <w:t xml:space="preserve"> Micheli</w:t>
      </w:r>
      <w:r w:rsidR="00BB3FDE">
        <w:rPr>
          <w:lang w:val="it-IT"/>
        </w:rPr>
        <w:t xml:space="preserve"> </w:t>
      </w:r>
      <w:r>
        <w:rPr>
          <w:vertAlign w:val="superscript"/>
          <w:lang w:val="it-IT"/>
        </w:rPr>
        <w:t>c</w:t>
      </w:r>
      <w:r w:rsidR="001D5B2C">
        <w:rPr>
          <w:lang w:val="it-IT"/>
        </w:rPr>
        <w:t xml:space="preserve"> </w:t>
      </w:r>
    </w:p>
    <w:p w14:paraId="37C05390" w14:textId="366B392B" w:rsidR="001D5B2C" w:rsidRPr="002713EA" w:rsidRDefault="00BB3FDE" w:rsidP="002713EA">
      <w:pPr>
        <w:pStyle w:val="CETAuthors"/>
        <w:ind w:left="630" w:hanging="270"/>
        <w:rPr>
          <w:sz w:val="22"/>
          <w:szCs w:val="22"/>
          <w:lang w:val="it-IT"/>
        </w:rPr>
      </w:pPr>
      <w:r w:rsidRPr="002713EA">
        <w:rPr>
          <w:sz w:val="22"/>
          <w:szCs w:val="22"/>
          <w:vertAlign w:val="superscript"/>
          <w:lang w:val="it-IT"/>
        </w:rPr>
        <w:t xml:space="preserve">a </w:t>
      </w:r>
      <w:r w:rsidR="002713EA" w:rsidRPr="002713EA">
        <w:rPr>
          <w:sz w:val="22"/>
          <w:szCs w:val="22"/>
          <w:vertAlign w:val="superscript"/>
          <w:lang w:val="it-IT"/>
        </w:rPr>
        <w:t xml:space="preserve"> </w:t>
      </w:r>
      <w:r w:rsidR="002713EA" w:rsidRPr="002713EA">
        <w:rPr>
          <w:sz w:val="22"/>
          <w:szCs w:val="22"/>
          <w:lang w:val="it-IT"/>
        </w:rPr>
        <w:t xml:space="preserve"> </w:t>
      </w:r>
      <w:r w:rsidR="002713EA" w:rsidRPr="002713EA">
        <w:rPr>
          <w:sz w:val="22"/>
          <w:szCs w:val="22"/>
          <w:lang w:val="it-IT"/>
        </w:rPr>
        <w:tab/>
      </w:r>
      <w:r w:rsidR="002713EA" w:rsidRPr="000C2A3A">
        <w:rPr>
          <w:sz w:val="22"/>
          <w:szCs w:val="22"/>
          <w:lang w:val="it-IT"/>
        </w:rPr>
        <w:t xml:space="preserve">Tecnimont SpA (Maire Tecnimont Group), Via Gaetano De Castillia 6/A, 20124, Milan, </w:t>
      </w:r>
      <w:r w:rsidR="002713EA">
        <w:rPr>
          <w:sz w:val="22"/>
          <w:szCs w:val="22"/>
          <w:lang w:val="it-IT"/>
        </w:rPr>
        <w:t>Italy</w:t>
      </w:r>
    </w:p>
    <w:p w14:paraId="703B463F" w14:textId="364EF7C4" w:rsidR="00BB3FDE" w:rsidRPr="002713EA" w:rsidRDefault="00BB3FDE" w:rsidP="002713EA">
      <w:pPr>
        <w:pStyle w:val="CETAuthors"/>
        <w:ind w:left="630" w:hanging="270"/>
        <w:rPr>
          <w:sz w:val="22"/>
          <w:szCs w:val="22"/>
          <w:lang w:val="en-US"/>
        </w:rPr>
      </w:pPr>
      <w:r w:rsidRPr="002713EA">
        <w:rPr>
          <w:sz w:val="22"/>
          <w:szCs w:val="22"/>
          <w:vertAlign w:val="superscript"/>
          <w:lang w:val="en-US"/>
        </w:rPr>
        <w:t>b</w:t>
      </w:r>
      <w:r w:rsidRPr="002713EA">
        <w:rPr>
          <w:sz w:val="22"/>
          <w:szCs w:val="22"/>
          <w:lang w:val="en-US"/>
        </w:rPr>
        <w:t xml:space="preserve"> </w:t>
      </w:r>
      <w:r w:rsidR="002713EA">
        <w:rPr>
          <w:sz w:val="22"/>
          <w:szCs w:val="22"/>
          <w:lang w:val="en-US"/>
        </w:rPr>
        <w:tab/>
      </w:r>
      <w:r w:rsidRPr="002713EA">
        <w:rPr>
          <w:sz w:val="22"/>
          <w:szCs w:val="22"/>
          <w:lang w:val="en-US"/>
        </w:rPr>
        <w:t>Politecnico di Milano</w:t>
      </w:r>
      <w:r w:rsidR="002713EA" w:rsidRPr="002713EA">
        <w:rPr>
          <w:sz w:val="22"/>
          <w:szCs w:val="22"/>
          <w:lang w:val="en-US"/>
        </w:rPr>
        <w:t xml:space="preserve">, Department of </w:t>
      </w:r>
      <w:r w:rsidR="002713EA">
        <w:rPr>
          <w:sz w:val="22"/>
          <w:szCs w:val="22"/>
          <w:lang w:val="en-US"/>
        </w:rPr>
        <w:t>Chemi</w:t>
      </w:r>
      <w:r w:rsidR="001D6E45">
        <w:rPr>
          <w:sz w:val="22"/>
          <w:szCs w:val="22"/>
          <w:lang w:val="en-US"/>
        </w:rPr>
        <w:t xml:space="preserve">stry, Materials and Chemical </w:t>
      </w:r>
      <w:r w:rsidR="002713EA" w:rsidRPr="002713EA">
        <w:rPr>
          <w:sz w:val="22"/>
          <w:szCs w:val="22"/>
          <w:lang w:val="en-US"/>
        </w:rPr>
        <w:t>Eng</w:t>
      </w:r>
      <w:r w:rsidR="002713EA">
        <w:rPr>
          <w:sz w:val="22"/>
          <w:szCs w:val="22"/>
          <w:lang w:val="en-US"/>
        </w:rPr>
        <w:t>ineering</w:t>
      </w:r>
      <w:r w:rsidR="001D6E45">
        <w:rPr>
          <w:sz w:val="22"/>
          <w:szCs w:val="22"/>
          <w:lang w:val="en-US"/>
        </w:rPr>
        <w:t xml:space="preserve"> “G. Natta”</w:t>
      </w:r>
    </w:p>
    <w:p w14:paraId="649B5E8F" w14:textId="3239B3C5" w:rsidR="001D5B2C" w:rsidRPr="002713EA" w:rsidRDefault="00BB3FDE" w:rsidP="002713EA">
      <w:pPr>
        <w:pStyle w:val="CETAuthors"/>
        <w:tabs>
          <w:tab w:val="left" w:pos="630"/>
        </w:tabs>
        <w:ind w:left="630" w:hanging="270"/>
        <w:rPr>
          <w:sz w:val="22"/>
          <w:szCs w:val="22"/>
          <w:lang w:val="en-US"/>
        </w:rPr>
      </w:pPr>
      <w:r w:rsidRPr="002713EA">
        <w:rPr>
          <w:sz w:val="22"/>
          <w:szCs w:val="22"/>
          <w:vertAlign w:val="superscript"/>
          <w:lang w:val="en-US"/>
        </w:rPr>
        <w:t>c</w:t>
      </w:r>
      <w:r w:rsidR="002713EA" w:rsidRPr="002713EA">
        <w:rPr>
          <w:sz w:val="22"/>
          <w:szCs w:val="22"/>
          <w:vertAlign w:val="superscript"/>
          <w:lang w:val="en-US"/>
        </w:rPr>
        <w:tab/>
      </w:r>
      <w:r w:rsidR="002713EA" w:rsidRPr="002713EA">
        <w:rPr>
          <w:sz w:val="22"/>
          <w:szCs w:val="22"/>
          <w:lang w:val="en-US"/>
        </w:rPr>
        <w:t>Politecnico di Milano, Department of Management, Economics and Industrial Engin</w:t>
      </w:r>
      <w:r w:rsidR="002713EA">
        <w:rPr>
          <w:sz w:val="22"/>
          <w:szCs w:val="22"/>
          <w:lang w:val="en-US"/>
        </w:rPr>
        <w:t>eering</w:t>
      </w:r>
    </w:p>
    <w:p w14:paraId="2ABDB10B" w14:textId="44F8063B" w:rsidR="0046289D" w:rsidRPr="0046289D" w:rsidRDefault="0046289D" w:rsidP="0046289D">
      <w:pPr>
        <w:pStyle w:val="CETemail"/>
      </w:pPr>
      <w:r w:rsidRPr="0046289D">
        <w:t>i.macci@tecnimont.it</w:t>
      </w:r>
    </w:p>
    <w:p w14:paraId="02FB0A5E" w14:textId="5CE1DCCD" w:rsidR="00EB46F6" w:rsidRPr="00EB46F6" w:rsidRDefault="00EB46F6" w:rsidP="001E145F">
      <w:pPr>
        <w:pStyle w:val="CETBodytext"/>
      </w:pPr>
      <w:r>
        <w:t>The Equator Principles (EP) are international guidelines for project finance</w:t>
      </w:r>
      <w:r w:rsidR="00D00353">
        <w:t>; they</w:t>
      </w:r>
      <w:r w:rsidR="445509B5">
        <w:t xml:space="preserve"> </w:t>
      </w:r>
      <w:r w:rsidR="00D00353">
        <w:t xml:space="preserve">target </w:t>
      </w:r>
      <w:proofErr w:type="gramStart"/>
      <w:r>
        <w:t>socially</w:t>
      </w:r>
      <w:proofErr w:type="gramEnd"/>
      <w:r>
        <w:t xml:space="preserve"> and environmentally responsible projects related to large infrastructures and industrial plants, such as energy plants, oil refineries, mines, </w:t>
      </w:r>
      <w:r w:rsidR="00D00353">
        <w:t>transports,</w:t>
      </w:r>
      <w:r>
        <w:t xml:space="preserve"> and telecommunications infrastructures. The aim of this work is the </w:t>
      </w:r>
      <w:r w:rsidR="00292AF8">
        <w:t xml:space="preserve">set-up </w:t>
      </w:r>
      <w:r>
        <w:t xml:space="preserve">of a methodology </w:t>
      </w:r>
      <w:r w:rsidR="00292AF8">
        <w:t xml:space="preserve">for the assessment of </w:t>
      </w:r>
      <w:r w:rsidR="00D00353">
        <w:t>Green</w:t>
      </w:r>
      <w:r w:rsidR="00461170">
        <w:t>h</w:t>
      </w:r>
      <w:r w:rsidR="00D00353">
        <w:t xml:space="preserve">ouse Gases </w:t>
      </w:r>
      <w:r>
        <w:t xml:space="preserve">(GHG) emissions, that can support the decision-making process of an EPC </w:t>
      </w:r>
      <w:r w:rsidR="00292AF8">
        <w:t xml:space="preserve">Company </w:t>
      </w:r>
      <w:r w:rsidR="00D00353">
        <w:t>when evaluating</w:t>
      </w:r>
      <w:r w:rsidR="00292AF8">
        <w:t xml:space="preserve"> different </w:t>
      </w:r>
      <w:r>
        <w:t>technological alternative</w:t>
      </w:r>
      <w:r w:rsidR="00292AF8">
        <w:t>s</w:t>
      </w:r>
      <w:r>
        <w:t xml:space="preserve">, to </w:t>
      </w:r>
      <w:r w:rsidR="00292AF8">
        <w:t>select the best available</w:t>
      </w:r>
      <w:r w:rsidR="000C2A3A">
        <w:t>,</w:t>
      </w:r>
      <w:r w:rsidR="00292AF8">
        <w:t xml:space="preserve"> </w:t>
      </w:r>
      <w:r w:rsidR="00FC6D21">
        <w:t xml:space="preserve">economically profitable, and </w:t>
      </w:r>
      <w:r w:rsidR="0090609E">
        <w:t>environmentally sustainable</w:t>
      </w:r>
      <w:r w:rsidR="000C2A3A">
        <w:t xml:space="preserve"> option</w:t>
      </w:r>
      <w:r w:rsidR="0090609E">
        <w:t xml:space="preserve">, in line with the application of the </w:t>
      </w:r>
      <w:r w:rsidR="00D00353">
        <w:t>EP.</w:t>
      </w:r>
      <w:r>
        <w:t xml:space="preserve"> </w:t>
      </w:r>
      <w:r w:rsidR="0090609E">
        <w:t>The assessment of the GHG emissions has gained</w:t>
      </w:r>
      <w:r>
        <w:t xml:space="preserve"> importance with the issu</w:t>
      </w:r>
      <w:r w:rsidR="0090609E">
        <w:t>e</w:t>
      </w:r>
      <w:r>
        <w:t xml:space="preserve"> of latest EP’s version (Equator Principles IV, in force since 2021) that require to perform a Climate Change Risk Assessment associated to Projects. The methodology has been applied, as part of an </w:t>
      </w:r>
      <w:r w:rsidR="0090609E">
        <w:t>Energy Efficiency Project</w:t>
      </w:r>
      <w:r>
        <w:t xml:space="preserve">, to </w:t>
      </w:r>
      <w:r w:rsidR="00380D14">
        <w:t xml:space="preserve">two different </w:t>
      </w:r>
      <w:r>
        <w:t>units of a</w:t>
      </w:r>
      <w:r w:rsidR="001C1234">
        <w:t xml:space="preserve">n </w:t>
      </w:r>
      <w:r w:rsidR="00D00353">
        <w:t>existing Propane</w:t>
      </w:r>
      <w:r>
        <w:t xml:space="preserve"> Dehydrogenation (PDH) </w:t>
      </w:r>
      <w:r w:rsidR="0090609E">
        <w:t>Plant built and set into operation by Tecnimont S.p.A. in the last decade</w:t>
      </w:r>
      <w:r>
        <w:t xml:space="preserve">: the steam boiler </w:t>
      </w:r>
      <w:r w:rsidR="00D00353">
        <w:t>system</w:t>
      </w:r>
      <w:r w:rsidR="00380D14">
        <w:t xml:space="preserve"> </w:t>
      </w:r>
      <w:r>
        <w:t>and the main compressors</w:t>
      </w:r>
      <w:r w:rsidR="000C2A3A">
        <w:t xml:space="preserve"> (reactor effluent compressors)</w:t>
      </w:r>
      <w:r>
        <w:t xml:space="preserve">. </w:t>
      </w:r>
      <w:r w:rsidR="0090609E">
        <w:t xml:space="preserve">The </w:t>
      </w:r>
      <w:r w:rsidR="00D00353">
        <w:t>methodology for</w:t>
      </w:r>
      <w:r w:rsidR="00FC6D21">
        <w:t xml:space="preserve"> GHG accounting </w:t>
      </w:r>
      <w:r>
        <w:t xml:space="preserve">has been applied both to the </w:t>
      </w:r>
      <w:r w:rsidR="0090609E">
        <w:t>technical solutions currently implemented</w:t>
      </w:r>
      <w:r>
        <w:t xml:space="preserve"> </w:t>
      </w:r>
      <w:r w:rsidR="00FC6D21">
        <w:t xml:space="preserve">in </w:t>
      </w:r>
      <w:r>
        <w:t>the plant (</w:t>
      </w:r>
      <w:r w:rsidR="00FC6D21">
        <w:t>‘</w:t>
      </w:r>
      <w:r>
        <w:t>base</w:t>
      </w:r>
      <w:r w:rsidR="00FC6D21">
        <w:t>’</w:t>
      </w:r>
      <w:r>
        <w:t xml:space="preserve"> </w:t>
      </w:r>
      <w:r w:rsidR="00FC6D21">
        <w:t>cases</w:t>
      </w:r>
      <w:r>
        <w:t xml:space="preserve">) and </w:t>
      </w:r>
      <w:r w:rsidR="00FC6D21">
        <w:t>hypothetical ‘alternative’ technical solutions</w:t>
      </w:r>
      <w:r w:rsidR="002677FD">
        <w:t xml:space="preserve">, </w:t>
      </w:r>
      <w:r w:rsidR="00FC6D21">
        <w:t>with the final goal to assess</w:t>
      </w:r>
      <w:r>
        <w:t xml:space="preserve"> </w:t>
      </w:r>
      <w:r w:rsidR="00093DFA">
        <w:t xml:space="preserve">efficiency and </w:t>
      </w:r>
      <w:r>
        <w:t xml:space="preserve">effectiveness of the </w:t>
      </w:r>
      <w:r w:rsidR="00093DFA">
        <w:t xml:space="preserve">measures </w:t>
      </w:r>
      <w:r w:rsidR="00FC6D21">
        <w:t xml:space="preserve">that can be </w:t>
      </w:r>
      <w:r w:rsidR="00093DFA">
        <w:t xml:space="preserve">taken </w:t>
      </w:r>
      <w:r>
        <w:t xml:space="preserve">to reduce the emissions. </w:t>
      </w:r>
      <w:r w:rsidR="001C1234">
        <w:t>For each ‘base case</w:t>
      </w:r>
      <w:r w:rsidR="006141D8">
        <w:t>'</w:t>
      </w:r>
      <w:r w:rsidR="001C1234">
        <w:t xml:space="preserve"> and its corresponding ‘alternative solution’ a </w:t>
      </w:r>
      <w:r>
        <w:t xml:space="preserve">cost estimate has been performed too. The results provide useful information both in terms of carbon footprint and </w:t>
      </w:r>
      <w:r w:rsidR="001C1234">
        <w:t xml:space="preserve">the costs related to the </w:t>
      </w:r>
      <w:r>
        <w:t>application of the Equator Principles, even in Projects in which their application is not mandatory</w:t>
      </w:r>
      <w:r w:rsidR="00B76D65">
        <w:t>.</w:t>
      </w:r>
    </w:p>
    <w:p w14:paraId="476B2F2E" w14:textId="5DFD9FCB" w:rsidR="00600535" w:rsidRDefault="00600535" w:rsidP="00600535">
      <w:pPr>
        <w:pStyle w:val="CETHeading1"/>
        <w:rPr>
          <w:lang w:val="en-GB"/>
        </w:rPr>
      </w:pPr>
      <w:r w:rsidRPr="00B57B36">
        <w:rPr>
          <w:lang w:val="en-GB"/>
        </w:rPr>
        <w:t>Introduction</w:t>
      </w:r>
    </w:p>
    <w:p w14:paraId="7ACAAB6F" w14:textId="679D2A42" w:rsidR="008E6FB0" w:rsidRDefault="00D00353" w:rsidP="00576E3A">
      <w:pPr>
        <w:pStyle w:val="CETBodytext"/>
        <w:rPr>
          <w:lang w:val="en-GB"/>
        </w:rPr>
      </w:pPr>
      <w:r>
        <w:t>The Equator Principles (EP)</w:t>
      </w:r>
      <w:r w:rsidR="00651BC7">
        <w:t xml:space="preserve"> </w:t>
      </w:r>
      <w:r>
        <w:t xml:space="preserve">are international guidelines for project finance; they target </w:t>
      </w:r>
      <w:proofErr w:type="gramStart"/>
      <w:r>
        <w:t>socially</w:t>
      </w:r>
      <w:proofErr w:type="gramEnd"/>
      <w:r>
        <w:t xml:space="preserve"> and environmentally responsible projects related to large infrastructures and industrial plants, such as energy plants, oil refineries, mines, transports, and telecommunications infrastructures</w:t>
      </w:r>
      <w:r w:rsidR="00651BC7">
        <w:t xml:space="preserve"> (</w:t>
      </w:r>
      <w:r w:rsidR="00651BC7" w:rsidRPr="00380D14">
        <w:rPr>
          <w:szCs w:val="18"/>
        </w:rPr>
        <w:t>Equator Principles</w:t>
      </w:r>
      <w:r w:rsidR="00651BC7">
        <w:rPr>
          <w:szCs w:val="18"/>
        </w:rPr>
        <w:t>, 2020)</w:t>
      </w:r>
      <w:r>
        <w:t xml:space="preserve">. </w:t>
      </w:r>
      <w:r w:rsidR="004374FD">
        <w:t>A project is defined by the EP as:</w:t>
      </w:r>
      <w:r w:rsidR="00E01533">
        <w:t xml:space="preserve"> </w:t>
      </w:r>
      <w:r w:rsidR="004374FD">
        <w:t>“a development in any sector at an identified location. It includes an expansion or upgrade of an existing operation</w:t>
      </w:r>
      <w:r w:rsidR="00D82B32">
        <w:t>”</w:t>
      </w:r>
      <w:r w:rsidR="004374FD">
        <w:t>.</w:t>
      </w:r>
      <w:r w:rsidR="00463680">
        <w:t xml:space="preserve"> </w:t>
      </w:r>
      <w:r w:rsidR="00463680" w:rsidRPr="3195F864">
        <w:rPr>
          <w:lang w:val="en-GB"/>
        </w:rPr>
        <w:t>The EP are adopted by financial institution</w:t>
      </w:r>
      <w:r w:rsidR="002677FD" w:rsidRPr="3195F864">
        <w:rPr>
          <w:lang w:val="en-GB"/>
        </w:rPr>
        <w:t>s</w:t>
      </w:r>
      <w:r w:rsidR="00463680" w:rsidRPr="3195F864">
        <w:rPr>
          <w:lang w:val="en-GB"/>
        </w:rPr>
        <w:t xml:space="preserve"> on voluntary basis. The adopters are together referred as Equator Principles Financial Institutions (EPFIs). </w:t>
      </w:r>
    </w:p>
    <w:p w14:paraId="5A58D73D" w14:textId="77777777" w:rsidR="00380D14" w:rsidRPr="00576E3A" w:rsidRDefault="00380D14" w:rsidP="00576E3A">
      <w:pPr>
        <w:pStyle w:val="CETBodytext"/>
        <w:rPr>
          <w:lang w:val="en-GB"/>
        </w:rPr>
      </w:pPr>
    </w:p>
    <w:p w14:paraId="69E977DD" w14:textId="33D0C725" w:rsidR="002F02AD" w:rsidRDefault="002F02AD" w:rsidP="002F02AD">
      <w:pPr>
        <w:pStyle w:val="CETBodytext"/>
      </w:pPr>
      <w:r w:rsidRPr="002F02AD">
        <w:lastRenderedPageBreak/>
        <w:t xml:space="preserve">The </w:t>
      </w:r>
      <w:r w:rsidR="003C0993">
        <w:t>concept</w:t>
      </w:r>
      <w:r w:rsidRPr="002F02AD">
        <w:t xml:space="preserve"> of project finance as a method of funding large infrastructure and industrial assets </w:t>
      </w:r>
      <w:r w:rsidR="009A4FC6">
        <w:t>is of primary relevance</w:t>
      </w:r>
      <w:r w:rsidRPr="002F02AD">
        <w:t>. The financing</w:t>
      </w:r>
      <w:r w:rsidR="00021D9B">
        <w:t xml:space="preserve"> </w:t>
      </w:r>
      <w:r w:rsidRPr="002F02AD">
        <w:t>is based solely on predictable and ideally stable cash flows from operations. Since risk is such an important factor in calculating cash flows, risk management plays a critical role in the structuring of projects</w:t>
      </w:r>
      <w:r>
        <w:t xml:space="preserve">. </w:t>
      </w:r>
    </w:p>
    <w:p w14:paraId="3067CA7C" w14:textId="1D461CE6" w:rsidR="008C5DDA" w:rsidRDefault="00685596" w:rsidP="00AF6C33">
      <w:pPr>
        <w:pStyle w:val="CETBodytext"/>
        <w:rPr>
          <w:lang w:val="en-GB"/>
        </w:rPr>
      </w:pPr>
      <w:r w:rsidRPr="00685596">
        <w:rPr>
          <w:lang w:val="en-GB"/>
        </w:rPr>
        <w:t xml:space="preserve">In terms of environmental and social risk the compliance with the EP guarantees the respect of </w:t>
      </w:r>
      <w:r w:rsidR="002677FD" w:rsidRPr="00685596">
        <w:rPr>
          <w:lang w:val="en-GB"/>
        </w:rPr>
        <w:t>internationally</w:t>
      </w:r>
      <w:r w:rsidRPr="00685596">
        <w:rPr>
          <w:lang w:val="en-GB"/>
        </w:rPr>
        <w:t xml:space="preserve"> recognised practices, such as the International Finance Corporation (IFC) Performance Standards, the United Nations Guiding Principles (UNGPs) on Business and Human Rights and the Task </w:t>
      </w:r>
      <w:r w:rsidR="00D00353">
        <w:rPr>
          <w:lang w:val="en-GB"/>
        </w:rPr>
        <w:t>f</w:t>
      </w:r>
      <w:r w:rsidR="00D00353" w:rsidRPr="00685596">
        <w:rPr>
          <w:lang w:val="en-GB"/>
        </w:rPr>
        <w:t xml:space="preserve">orce </w:t>
      </w:r>
      <w:r w:rsidRPr="00685596">
        <w:rPr>
          <w:lang w:val="en-GB"/>
        </w:rPr>
        <w:t>on Climate-</w:t>
      </w:r>
      <w:r w:rsidR="00D00353">
        <w:rPr>
          <w:lang w:val="en-GB"/>
        </w:rPr>
        <w:t>r</w:t>
      </w:r>
      <w:r w:rsidR="00D00353" w:rsidRPr="00685596">
        <w:rPr>
          <w:lang w:val="en-GB"/>
        </w:rPr>
        <w:t xml:space="preserve">elated </w:t>
      </w:r>
      <w:r w:rsidRPr="00685596">
        <w:rPr>
          <w:lang w:val="en-GB"/>
        </w:rPr>
        <w:t>Financial Disclosure (TCFD) Recommendations.</w:t>
      </w:r>
      <w:r w:rsidR="00AF6C33">
        <w:rPr>
          <w:lang w:val="en-GB"/>
        </w:rPr>
        <w:t xml:space="preserve"> </w:t>
      </w:r>
    </w:p>
    <w:p w14:paraId="25CF5FF3" w14:textId="77777777" w:rsidR="00380D14" w:rsidRDefault="00380D14" w:rsidP="00AF6C33">
      <w:pPr>
        <w:pStyle w:val="CETBodytext"/>
        <w:rPr>
          <w:lang w:val="en-GB"/>
        </w:rPr>
      </w:pPr>
    </w:p>
    <w:p w14:paraId="2B4351D0" w14:textId="22C6A377" w:rsidR="001330B4" w:rsidRDefault="00AF6C33" w:rsidP="001330B4">
      <w:pPr>
        <w:pStyle w:val="CETBodytext"/>
        <w:rPr>
          <w:lang w:val="en-GB"/>
        </w:rPr>
      </w:pPr>
      <w:r w:rsidRPr="00AF6C33">
        <w:t>The latest version of the EP (EPIV) requires a Climate Change Risk Assessment. The climate change risk can be defined as the whole of the physical risk and transition risk, which are respectively defined as:</w:t>
      </w:r>
      <w:r>
        <w:t xml:space="preserve"> </w:t>
      </w:r>
      <w:r w:rsidR="0038760F" w:rsidRPr="0038760F">
        <w:rPr>
          <w:lang w:val="en-GB"/>
        </w:rPr>
        <w:t>the</w:t>
      </w:r>
      <w:r w:rsidR="0038760F">
        <w:rPr>
          <w:lang w:val="en-GB"/>
        </w:rPr>
        <w:t xml:space="preserve"> erosion of </w:t>
      </w:r>
      <w:r w:rsidR="0038760F" w:rsidRPr="0038760F">
        <w:rPr>
          <w:lang w:val="en-GB"/>
        </w:rPr>
        <w:t xml:space="preserve">the value of financial assets </w:t>
      </w:r>
      <w:r w:rsidR="0038760F">
        <w:rPr>
          <w:lang w:val="en-GB"/>
        </w:rPr>
        <w:t>due to</w:t>
      </w:r>
      <w:r w:rsidR="0038760F" w:rsidRPr="0038760F">
        <w:rPr>
          <w:lang w:val="en-GB"/>
        </w:rPr>
        <w:t xml:space="preserve"> the increasing severity and frequency of climate-change related extreme weather events, as well as more gradual changes in climate</w:t>
      </w:r>
      <w:r w:rsidR="0038760F">
        <w:rPr>
          <w:lang w:val="en-GB"/>
        </w:rPr>
        <w:t>;</w:t>
      </w:r>
      <w:r w:rsidR="00157401">
        <w:rPr>
          <w:lang w:val="en-GB"/>
        </w:rPr>
        <w:t xml:space="preserve"> and</w:t>
      </w:r>
      <w:r w:rsidR="0038760F">
        <w:rPr>
          <w:lang w:val="en-GB"/>
        </w:rPr>
        <w:t xml:space="preserve"> </w:t>
      </w:r>
      <w:r w:rsidR="00656100">
        <w:rPr>
          <w:lang w:val="en-GB"/>
        </w:rPr>
        <w:t xml:space="preserve">the </w:t>
      </w:r>
      <w:r w:rsidR="008C5DDA">
        <w:rPr>
          <w:lang w:val="en-GB"/>
        </w:rPr>
        <w:t>ability of a project to adjust</w:t>
      </w:r>
      <w:r w:rsidR="008C5DDA" w:rsidRPr="008C5DDA">
        <w:rPr>
          <w:lang w:val="en-GB"/>
        </w:rPr>
        <w:t xml:space="preserve"> towards a low-carbon economy</w:t>
      </w:r>
      <w:r w:rsidR="008C5DDA">
        <w:rPr>
          <w:lang w:val="en-GB"/>
        </w:rPr>
        <w:t xml:space="preserve">. </w:t>
      </w:r>
      <w:r w:rsidR="004976D5" w:rsidRPr="004976D5">
        <w:t>The assessment and management of climate change risk</w:t>
      </w:r>
      <w:r w:rsidR="00875857">
        <w:t xml:space="preserve"> </w:t>
      </w:r>
      <w:r w:rsidR="00875857" w:rsidRPr="004976D5">
        <w:t>of a project</w:t>
      </w:r>
      <w:r w:rsidR="00875857">
        <w:t xml:space="preserve">, </w:t>
      </w:r>
      <w:r w:rsidR="00257A08">
        <w:t xml:space="preserve">achieved </w:t>
      </w:r>
      <w:r w:rsidR="00875857">
        <w:t>by the EP adoption,</w:t>
      </w:r>
      <w:r w:rsidR="004976D5" w:rsidRPr="004976D5">
        <w:t xml:space="preserve"> would entail easier or better access to capital by increasing </w:t>
      </w:r>
      <w:proofErr w:type="gramStart"/>
      <w:r w:rsidR="004976D5" w:rsidRPr="004976D5">
        <w:t>investors’</w:t>
      </w:r>
      <w:proofErr w:type="gramEnd"/>
      <w:r w:rsidR="004976D5" w:rsidRPr="004976D5">
        <w:t xml:space="preserve"> and lenders’ confidence in the </w:t>
      </w:r>
      <w:r w:rsidR="006E42F7">
        <w:t>P</w:t>
      </w:r>
      <w:r w:rsidR="006E42F7" w:rsidRPr="004976D5">
        <w:t>roject</w:t>
      </w:r>
      <w:r w:rsidR="00D9480D">
        <w:t xml:space="preserve"> </w:t>
      </w:r>
      <w:r w:rsidR="006C7994">
        <w:t>(</w:t>
      </w:r>
      <w:r w:rsidR="006C7994" w:rsidRPr="00017815">
        <w:rPr>
          <w:rFonts w:cs="Arial"/>
          <w:szCs w:val="18"/>
        </w:rPr>
        <w:t>TCFD</w:t>
      </w:r>
      <w:r w:rsidR="006C7994">
        <w:rPr>
          <w:rFonts w:cs="Arial"/>
          <w:szCs w:val="18"/>
        </w:rPr>
        <w:t xml:space="preserve">, </w:t>
      </w:r>
      <w:r w:rsidR="006C7994" w:rsidRPr="00017815">
        <w:rPr>
          <w:rFonts w:cs="Arial"/>
          <w:szCs w:val="18"/>
        </w:rPr>
        <w:t xml:space="preserve">2021). </w:t>
      </w:r>
    </w:p>
    <w:p w14:paraId="23EFAACF" w14:textId="6D6A0977" w:rsidR="001330B4" w:rsidRDefault="001C1234" w:rsidP="00E309A7">
      <w:pPr>
        <w:pStyle w:val="CETHeading1"/>
      </w:pPr>
      <w:r>
        <w:t xml:space="preserve">GHG accounting methodology </w:t>
      </w:r>
    </w:p>
    <w:p w14:paraId="2CD34E7B" w14:textId="114A9108" w:rsidR="00770AD3" w:rsidRDefault="00770AD3" w:rsidP="008005FA">
      <w:pPr>
        <w:pStyle w:val="CETBodytext"/>
      </w:pPr>
      <w:r w:rsidRPr="008005FA">
        <w:t xml:space="preserve">One of the main parameters used to assess the environmental impact of the Project is the accounting of the greenhouse gases (GHGs) emissions. </w:t>
      </w:r>
    </w:p>
    <w:p w14:paraId="020A1EC2" w14:textId="77777777" w:rsidR="00252C5F" w:rsidRPr="008005FA" w:rsidRDefault="00252C5F" w:rsidP="008005FA">
      <w:pPr>
        <w:pStyle w:val="CETBodytext"/>
      </w:pPr>
    </w:p>
    <w:p w14:paraId="6AEC2BD5" w14:textId="77777777" w:rsidR="001D730F" w:rsidRPr="001D730F" w:rsidRDefault="001D730F" w:rsidP="001D730F">
      <w:pPr>
        <w:pStyle w:val="CETheadingx"/>
      </w:pPr>
      <w:r w:rsidRPr="001D730F">
        <w:t>International guidelines for GHG accounting: GHG Protocol</w:t>
      </w:r>
    </w:p>
    <w:p w14:paraId="7DF48B7A" w14:textId="20DBFD67" w:rsidR="0028354D" w:rsidRDefault="00B0489C" w:rsidP="00120533">
      <w:pPr>
        <w:pStyle w:val="CETBodytext"/>
      </w:pPr>
      <w:r w:rsidRPr="3195F864">
        <w:rPr>
          <w:lang w:val="en-GB"/>
        </w:rPr>
        <w:t xml:space="preserve">The Greenhouse Gas Protocol </w:t>
      </w:r>
      <w:r w:rsidR="00523E87">
        <w:rPr>
          <w:rFonts w:eastAsiaTheme="minorHAnsi" w:cs="Arial"/>
          <w:szCs w:val="18"/>
        </w:rPr>
        <w:t>(WRI and WBCSD, 20</w:t>
      </w:r>
      <w:r w:rsidR="00852515">
        <w:rPr>
          <w:rFonts w:eastAsiaTheme="minorHAnsi" w:cs="Arial"/>
          <w:szCs w:val="18"/>
        </w:rPr>
        <w:t>04</w:t>
      </w:r>
      <w:r w:rsidR="00523E87">
        <w:rPr>
          <w:rFonts w:eastAsiaTheme="minorHAnsi" w:cs="Arial"/>
          <w:szCs w:val="18"/>
        </w:rPr>
        <w:t xml:space="preserve">) </w:t>
      </w:r>
      <w:r w:rsidRPr="3195F864">
        <w:rPr>
          <w:lang w:val="en-GB"/>
        </w:rPr>
        <w:t>is the most widely used international accounting tool.</w:t>
      </w:r>
      <w:r w:rsidR="00C12B07" w:rsidRPr="3195F864">
        <w:rPr>
          <w:lang w:val="en-GB"/>
        </w:rPr>
        <w:t xml:space="preserve"> </w:t>
      </w:r>
      <w:r w:rsidR="00C12B07">
        <w:t xml:space="preserve">The GHG Protocol standards on “corporate accounting” define how organizations should report the GHG emissions associated with their operations. Specifically, </w:t>
      </w:r>
      <w:r w:rsidR="001D5B2C">
        <w:t>the emissions generated</w:t>
      </w:r>
      <w:r w:rsidR="00C02EE1">
        <w:t xml:space="preserve"> inside a facility owned by a Company</w:t>
      </w:r>
      <w:r w:rsidR="00C12B07">
        <w:t xml:space="preserve"> are divided into “</w:t>
      </w:r>
      <w:r w:rsidR="00C02EE1">
        <w:t>Scopes</w:t>
      </w:r>
      <w:r w:rsidR="00C12B07">
        <w:t>”</w:t>
      </w:r>
      <w:r w:rsidR="00120533">
        <w:t xml:space="preserve">. </w:t>
      </w:r>
      <w:r w:rsidR="00C12B07">
        <w:t>Scope 1</w:t>
      </w:r>
      <w:r w:rsidR="00120533">
        <w:t xml:space="preserve"> are </w:t>
      </w:r>
      <w:r w:rsidR="0028354D">
        <w:t>d</w:t>
      </w:r>
      <w:r w:rsidR="00C12B07">
        <w:t xml:space="preserve">irect GHG emissions </w:t>
      </w:r>
      <w:r w:rsidR="008D446D">
        <w:t>occurring</w:t>
      </w:r>
      <w:r w:rsidR="00C12B07">
        <w:t xml:space="preserve"> from sources that are owned or controlled by the </w:t>
      </w:r>
      <w:r w:rsidR="00C02EE1">
        <w:t>Company</w:t>
      </w:r>
      <w:r w:rsidR="00C12B07">
        <w:t xml:space="preserve">, for example, emissions from combustion in owned or controlled boilers, furnaces, vehicles, </w:t>
      </w:r>
      <w:r w:rsidR="00D00353">
        <w:t>etc</w:t>
      </w:r>
      <w:r w:rsidR="00AC6CE4">
        <w:t xml:space="preserve">., and </w:t>
      </w:r>
      <w:r w:rsidR="00C12B07">
        <w:t>emissions from chemical production in owned or controlled process equipment. Scope 2</w:t>
      </w:r>
      <w:r w:rsidR="00120533">
        <w:t xml:space="preserve"> are</w:t>
      </w:r>
      <w:r w:rsidR="00C12B07">
        <w:t xml:space="preserve"> </w:t>
      </w:r>
      <w:r w:rsidR="0028354D">
        <w:t>i</w:t>
      </w:r>
      <w:r w:rsidR="00C12B07">
        <w:t xml:space="preserve">ndirect GHG emissions </w:t>
      </w:r>
      <w:r w:rsidR="00C02EE1">
        <w:t xml:space="preserve">associated with </w:t>
      </w:r>
      <w:r w:rsidR="00C12B07">
        <w:t xml:space="preserve">the generation </w:t>
      </w:r>
      <w:r w:rsidR="00C02EE1">
        <w:t>of the</w:t>
      </w:r>
      <w:r w:rsidR="00C12B07">
        <w:t xml:space="preserve"> electricity </w:t>
      </w:r>
      <w:r w:rsidR="00C02EE1">
        <w:t>that is purchased by the Company and consumed within the boundaries of the facility</w:t>
      </w:r>
      <w:r w:rsidR="00C12B07">
        <w:t>.</w:t>
      </w:r>
      <w:r w:rsidR="0028354D">
        <w:t xml:space="preserve"> </w:t>
      </w:r>
      <w:r w:rsidR="00C12B07">
        <w:t xml:space="preserve">Scope 2 emissions </w:t>
      </w:r>
      <w:r w:rsidR="001D5B2C">
        <w:t xml:space="preserve">are assumed to </w:t>
      </w:r>
      <w:r w:rsidR="00C12B07">
        <w:t xml:space="preserve">occur at the facility where electricity is </w:t>
      </w:r>
      <w:r w:rsidR="001D5B2C">
        <w:t>consumed</w:t>
      </w:r>
      <w:r w:rsidR="00A013BE">
        <w:t>. The overall annual emissions of a facility (sum of Scope 1 and Scope 2 emissions)</w:t>
      </w:r>
      <w:r w:rsidR="001D5B2C">
        <w:t xml:space="preserve"> </w:t>
      </w:r>
      <w:r w:rsidR="00A013BE">
        <w:t>represent the facility Carbon Footprint</w:t>
      </w:r>
      <w:r w:rsidR="00C12B07">
        <w:t xml:space="preserve">. </w:t>
      </w:r>
      <w:r w:rsidR="001B5155">
        <w:t>Assessment is required by EP for all projects, in all locations, when combined Scope 1 and Scope 2 emissions are expected to be more than 100’000 tons of CO</w:t>
      </w:r>
      <w:r w:rsidR="001B5155" w:rsidRPr="3195F864">
        <w:rPr>
          <w:vertAlign w:val="subscript"/>
        </w:rPr>
        <w:t>2</w:t>
      </w:r>
      <w:r w:rsidR="001B5155">
        <w:t xml:space="preserve"> equivalent annually</w:t>
      </w:r>
      <w:r w:rsidR="001B5155" w:rsidRPr="3195F864">
        <w:rPr>
          <w:i/>
          <w:iCs/>
        </w:rPr>
        <w:t xml:space="preserve"> </w:t>
      </w:r>
      <w:r w:rsidR="001B5155">
        <w:t>(</w:t>
      </w:r>
      <w:r w:rsidR="00AB624C">
        <w:t>Equator Principles</w:t>
      </w:r>
      <w:r w:rsidR="001B5155">
        <w:t>, 2020).</w:t>
      </w:r>
    </w:p>
    <w:p w14:paraId="4B136EFC" w14:textId="77777777" w:rsidR="00461170" w:rsidRPr="00120533" w:rsidRDefault="00461170" w:rsidP="00120533">
      <w:pPr>
        <w:pStyle w:val="CETBodytext"/>
        <w:rPr>
          <w:lang w:val="en-GB"/>
        </w:rPr>
      </w:pPr>
    </w:p>
    <w:p w14:paraId="6A273575" w14:textId="544EA500" w:rsidR="000A5F85" w:rsidRDefault="000A5F85" w:rsidP="000A5F85">
      <w:pPr>
        <w:pStyle w:val="CETheadingx"/>
      </w:pPr>
      <w:r w:rsidRPr="000A5F85">
        <w:t xml:space="preserve">Calculation </w:t>
      </w:r>
      <w:r>
        <w:t>m</w:t>
      </w:r>
      <w:r w:rsidRPr="000A5F85">
        <w:t xml:space="preserve">ethodology </w:t>
      </w:r>
    </w:p>
    <w:p w14:paraId="4619FB73" w14:textId="000113B6" w:rsidR="00C415E6" w:rsidRDefault="00C415E6" w:rsidP="00C415E6">
      <w:pPr>
        <w:pStyle w:val="CETBodytext"/>
        <w:rPr>
          <w:rFonts w:eastAsia="‚l‚r –¾’©"/>
        </w:rPr>
      </w:pPr>
      <w:r w:rsidRPr="3195F864">
        <w:rPr>
          <w:rFonts w:eastAsia="‚l‚r –¾’©"/>
        </w:rPr>
        <w:t xml:space="preserve">The calculation of a carbon </w:t>
      </w:r>
      <w:r w:rsidR="002A34A1" w:rsidRPr="3195F864">
        <w:rPr>
          <w:rFonts w:eastAsia="‚l‚r –¾’©"/>
        </w:rPr>
        <w:t>footprint involves</w:t>
      </w:r>
      <w:r w:rsidRPr="3195F864">
        <w:rPr>
          <w:rFonts w:eastAsia="‚l‚r –¾’©"/>
        </w:rPr>
        <w:t xml:space="preserve"> the following equation, based on IPCC Guidelines</w:t>
      </w:r>
      <w:r w:rsidR="00727769" w:rsidRPr="3195F864">
        <w:rPr>
          <w:rFonts w:eastAsia="‚l‚r –¾’©"/>
        </w:rPr>
        <w:t xml:space="preserve"> </w:t>
      </w:r>
      <w:r w:rsidR="006964E5">
        <w:rPr>
          <w:rFonts w:eastAsia="‚l‚r –¾’©"/>
        </w:rPr>
        <w:t>(2006)</w:t>
      </w:r>
      <w:r w:rsidR="00727769" w:rsidRPr="3195F864">
        <w:rPr>
          <w:rFonts w:eastAsia="‚l‚r –¾’©"/>
        </w:rPr>
        <w:t>:</w:t>
      </w:r>
    </w:p>
    <w:tbl>
      <w:tblPr>
        <w:tblW w:w="5000" w:type="pct"/>
        <w:tblLook w:val="04A0" w:firstRow="1" w:lastRow="0" w:firstColumn="1" w:lastColumn="0" w:noHBand="0" w:noVBand="1"/>
      </w:tblPr>
      <w:tblGrid>
        <w:gridCol w:w="7983"/>
        <w:gridCol w:w="804"/>
      </w:tblGrid>
      <w:tr w:rsidR="00931D9C" w:rsidRPr="00B57B36" w14:paraId="4CE5F324" w14:textId="77777777" w:rsidTr="00AC6CE4">
        <w:tc>
          <w:tcPr>
            <w:tcW w:w="7983" w:type="dxa"/>
            <w:shd w:val="clear" w:color="auto" w:fill="auto"/>
            <w:vAlign w:val="center"/>
          </w:tcPr>
          <w:p w14:paraId="1D2EEA52" w14:textId="2F0E2799" w:rsidR="00931D9C" w:rsidRPr="00931D9C" w:rsidRDefault="00931D9C" w:rsidP="00AC6CE4">
            <w:pPr>
              <w:pStyle w:val="CETEquation"/>
              <w:rPr>
                <w:rFonts w:eastAsia="‚l‚r –¾’©"/>
              </w:rPr>
            </w:pPr>
            <w:r w:rsidRPr="00FC2148">
              <w:rPr>
                <w:rFonts w:eastAsia="‚l‚r –¾’©"/>
              </w:rPr>
              <w:t xml:space="preserve">Carbon footprint emissions = Activity data </w:t>
            </w:r>
            <w:r w:rsidR="00AC6CE4">
              <w:rPr>
                <w:rFonts w:eastAsia="‚l‚r –¾’©" w:cs="Arial"/>
              </w:rPr>
              <w:t>·</w:t>
            </w:r>
            <w:r w:rsidRPr="00FC2148">
              <w:rPr>
                <w:rFonts w:eastAsia="‚l‚r –¾’©"/>
              </w:rPr>
              <w:t xml:space="preserve"> Emissions factor </w:t>
            </w:r>
            <w:r w:rsidR="00AC6CE4">
              <w:rPr>
                <w:rFonts w:eastAsia="‚l‚r –¾’©" w:cs="Arial"/>
              </w:rPr>
              <w:t>·</w:t>
            </w:r>
            <w:r w:rsidRPr="00FC2148">
              <w:rPr>
                <w:rFonts w:eastAsia="‚l‚r –¾’©"/>
              </w:rPr>
              <w:t xml:space="preserve"> Global warming potential</w:t>
            </w:r>
          </w:p>
        </w:tc>
        <w:tc>
          <w:tcPr>
            <w:tcW w:w="804" w:type="dxa"/>
            <w:shd w:val="clear" w:color="auto" w:fill="auto"/>
            <w:vAlign w:val="center"/>
          </w:tcPr>
          <w:p w14:paraId="2BE009D5" w14:textId="77777777" w:rsidR="00931D9C" w:rsidRPr="00B57B36" w:rsidRDefault="00931D9C" w:rsidP="00974DFB">
            <w:pPr>
              <w:pStyle w:val="CETEquation"/>
              <w:jc w:val="right"/>
            </w:pPr>
            <w:r w:rsidRPr="00B57B36">
              <w:t>(1)</w:t>
            </w:r>
          </w:p>
        </w:tc>
      </w:tr>
    </w:tbl>
    <w:p w14:paraId="30727256" w14:textId="4D11F7E5" w:rsidR="00C415E6" w:rsidRPr="00FC2148" w:rsidRDefault="00AC6CE4" w:rsidP="00B87613">
      <w:pPr>
        <w:pStyle w:val="CETBodytext"/>
        <w:rPr>
          <w:rFonts w:eastAsia="‚l‚r –¾’©"/>
        </w:rPr>
      </w:pPr>
      <w:r w:rsidRPr="00AC6CE4">
        <w:rPr>
          <w:rFonts w:eastAsia="‚l‚r –¾’©"/>
        </w:rPr>
        <w:t>Activity data is a quantitative measure of a level of activity that results in GHG emissions</w:t>
      </w:r>
      <w:r w:rsidR="00C415E6" w:rsidRPr="00FC2148">
        <w:rPr>
          <w:rFonts w:eastAsia="‚l‚r –¾’©"/>
        </w:rPr>
        <w:t>, e.g., the combustion of fuel (coal, diesel etc.) or absorbed electrical energy</w:t>
      </w:r>
      <w:r w:rsidR="00B87613">
        <w:rPr>
          <w:rFonts w:eastAsia="‚l‚r –¾’©"/>
        </w:rPr>
        <w:t>.</w:t>
      </w:r>
    </w:p>
    <w:p w14:paraId="1BBA7D5A" w14:textId="1D388892" w:rsidR="00C415E6" w:rsidRPr="00522E7D" w:rsidRDefault="00C415E6" w:rsidP="00522E7D">
      <w:pPr>
        <w:pStyle w:val="CETBodytext"/>
        <w:rPr>
          <w:rFonts w:eastAsia="‚l‚r –¾’©"/>
        </w:rPr>
      </w:pPr>
      <w:r w:rsidRPr="3195F864">
        <w:rPr>
          <w:rFonts w:eastAsia="‚l‚r –¾’©"/>
        </w:rPr>
        <w:t xml:space="preserve">Emission </w:t>
      </w:r>
      <w:r w:rsidR="002A34A1" w:rsidRPr="3195F864">
        <w:rPr>
          <w:rFonts w:eastAsia="‚l‚r –¾’©"/>
        </w:rPr>
        <w:t>factors used</w:t>
      </w:r>
      <w:r w:rsidRPr="3195F864">
        <w:rPr>
          <w:rFonts w:eastAsia="‚l‚r –¾’©"/>
        </w:rPr>
        <w:t xml:space="preserve"> for calculating direct and indirect emissions, </w:t>
      </w:r>
      <w:r w:rsidR="00AC6CE4" w:rsidRPr="3195F864">
        <w:rPr>
          <w:rFonts w:eastAsia="‚l‚r –¾’©"/>
        </w:rPr>
        <w:t xml:space="preserve">allow to convert activity data into GHG emissions data and </w:t>
      </w:r>
      <w:r w:rsidR="002A34A1" w:rsidRPr="3195F864">
        <w:rPr>
          <w:rFonts w:eastAsia="‚l‚r –¾’©"/>
        </w:rPr>
        <w:t>are expressed</w:t>
      </w:r>
      <w:r w:rsidRPr="3195F864">
        <w:rPr>
          <w:rFonts w:eastAsia="‚l‚r –¾’©"/>
        </w:rPr>
        <w:t xml:space="preserve"> in the form of a quantity of a given GHG emitted per unit of energy (t GHG/GJ), fuel (t GHG/t fuel) or a similar measure (kg CO</w:t>
      </w:r>
      <w:r w:rsidRPr="3195F864">
        <w:rPr>
          <w:rFonts w:eastAsia="‚l‚r –¾’©"/>
          <w:vertAlign w:val="subscript"/>
        </w:rPr>
        <w:t>2</w:t>
      </w:r>
      <w:r w:rsidRPr="3195F864">
        <w:rPr>
          <w:rFonts w:eastAsia="‚l‚r –¾’©"/>
        </w:rPr>
        <w:t xml:space="preserve">e/kWh). Emissions factors are reported in databases, </w:t>
      </w:r>
      <w:r w:rsidR="00AC6CE4" w:rsidRPr="3195F864">
        <w:rPr>
          <w:rFonts w:eastAsia="‚l‚r –¾’©"/>
        </w:rPr>
        <w:t xml:space="preserve">such as </w:t>
      </w:r>
      <w:r w:rsidRPr="3195F864">
        <w:rPr>
          <w:rFonts w:eastAsia="‚l‚r –¾’©"/>
        </w:rPr>
        <w:t>the one from</w:t>
      </w:r>
      <w:r w:rsidR="00BB45D3" w:rsidRPr="3195F864">
        <w:rPr>
          <w:rFonts w:eastAsia="‚l‚r –¾’©"/>
        </w:rPr>
        <w:t xml:space="preserve"> the US</w:t>
      </w:r>
      <w:r w:rsidRPr="3195F864">
        <w:rPr>
          <w:rFonts w:eastAsia="‚l‚r –¾’©"/>
        </w:rPr>
        <w:t xml:space="preserve"> Environmental Protection Agenc</w:t>
      </w:r>
      <w:r w:rsidR="00AC6CE4" w:rsidRPr="3195F864">
        <w:rPr>
          <w:rFonts w:eastAsia="‚l‚r –¾’©"/>
        </w:rPr>
        <w:t>y</w:t>
      </w:r>
      <w:r w:rsidRPr="3195F864">
        <w:rPr>
          <w:rFonts w:eastAsia="‚l‚r –¾’©"/>
        </w:rPr>
        <w:t xml:space="preserve"> (EPA).</w:t>
      </w:r>
    </w:p>
    <w:p w14:paraId="7E380F48" w14:textId="3FCFE6F9" w:rsidR="005D4EE7" w:rsidRDefault="00C415E6" w:rsidP="00522E7D">
      <w:pPr>
        <w:pStyle w:val="CETBodytext"/>
        <w:rPr>
          <w:rFonts w:eastAsia="‚l‚r –¾’©"/>
        </w:rPr>
      </w:pPr>
      <w:r w:rsidRPr="3195F864">
        <w:rPr>
          <w:rFonts w:eastAsia="‚l‚r –¾’©"/>
        </w:rPr>
        <w:t>The Global Warming Potential (GWP) of a GHG indicates the amount of warming caused by the</w:t>
      </w:r>
      <w:r w:rsidR="00BB45D3" w:rsidRPr="3195F864">
        <w:rPr>
          <w:rFonts w:eastAsia="‚l‚r –¾’©"/>
        </w:rPr>
        <w:t xml:space="preserve"> emitted</w:t>
      </w:r>
      <w:r w:rsidRPr="3195F864">
        <w:rPr>
          <w:rFonts w:eastAsia="‚l‚r –¾’©"/>
        </w:rPr>
        <w:t xml:space="preserve"> gas over a given period (</w:t>
      </w:r>
      <w:r w:rsidR="00D00353" w:rsidRPr="3195F864">
        <w:rPr>
          <w:rFonts w:eastAsia="‚l‚r –¾’©"/>
        </w:rPr>
        <w:t>typically,</w:t>
      </w:r>
      <w:r w:rsidRPr="3195F864">
        <w:rPr>
          <w:rFonts w:eastAsia="‚l‚r –¾’©"/>
        </w:rPr>
        <w:t xml:space="preserve"> 100 years). These values are a measure to compare the strength of greenhouse effect </w:t>
      </w:r>
      <w:r w:rsidR="00BB45D3" w:rsidRPr="3195F864">
        <w:rPr>
          <w:rFonts w:eastAsia="‚l‚r –¾’©"/>
        </w:rPr>
        <w:t xml:space="preserve">of different emitted gases </w:t>
      </w:r>
      <w:r w:rsidRPr="3195F864">
        <w:rPr>
          <w:rFonts w:eastAsia="‚l‚r –¾’©"/>
        </w:rPr>
        <w:t>relative to carbon dioxide.</w:t>
      </w:r>
      <w:r w:rsidR="00BB45D3" w:rsidRPr="3195F864">
        <w:rPr>
          <w:rFonts w:eastAsia="‚l‚r –¾’©"/>
        </w:rPr>
        <w:t xml:space="preserve"> For example, t</w:t>
      </w:r>
      <w:r w:rsidR="00B76305" w:rsidRPr="3195F864">
        <w:rPr>
          <w:rFonts w:eastAsia="‚l‚r –¾’©"/>
        </w:rPr>
        <w:t>he g</w:t>
      </w:r>
      <w:r w:rsidRPr="3195F864">
        <w:rPr>
          <w:rFonts w:eastAsia="‚l‚r –¾’©"/>
        </w:rPr>
        <w:t xml:space="preserve">lobal warming caused by 1 kg of methane is 28 times the warming caused by the same amount of </w:t>
      </w:r>
      <w:r w:rsidR="00D17027" w:rsidRPr="3195F864">
        <w:rPr>
          <w:rFonts w:eastAsia="‚l‚r –¾’©"/>
        </w:rPr>
        <w:t>CO</w:t>
      </w:r>
      <w:r w:rsidR="00D17027" w:rsidRPr="3195F864">
        <w:rPr>
          <w:rFonts w:eastAsia="‚l‚r –¾’©"/>
          <w:vertAlign w:val="subscript"/>
        </w:rPr>
        <w:t>2</w:t>
      </w:r>
      <w:r w:rsidRPr="3195F864">
        <w:rPr>
          <w:rFonts w:eastAsia="‚l‚r –¾’©"/>
        </w:rPr>
        <w:t xml:space="preserve"> in each period of 100 years. For such reasons, GHG can be expressed in </w:t>
      </w:r>
      <w:r w:rsidR="00D17027" w:rsidRPr="3195F864">
        <w:rPr>
          <w:rFonts w:eastAsia="‚l‚r –¾’©"/>
        </w:rPr>
        <w:t>CO</w:t>
      </w:r>
      <w:r w:rsidR="00D17027" w:rsidRPr="3195F864">
        <w:rPr>
          <w:rFonts w:eastAsia="‚l‚r –¾’©"/>
          <w:vertAlign w:val="subscript"/>
        </w:rPr>
        <w:t>2</w:t>
      </w:r>
      <w:r w:rsidRPr="3195F864">
        <w:rPr>
          <w:rFonts w:eastAsia="‚l‚r –¾’©"/>
        </w:rPr>
        <w:t xml:space="preserve"> ‘equivalent’ (</w:t>
      </w:r>
      <w:r w:rsidR="00D17027" w:rsidRPr="3195F864">
        <w:rPr>
          <w:rFonts w:eastAsia="‚l‚r –¾’©"/>
        </w:rPr>
        <w:t>CO</w:t>
      </w:r>
      <w:r w:rsidR="00D17027" w:rsidRPr="3195F864">
        <w:rPr>
          <w:rFonts w:eastAsia="‚l‚r –¾’©"/>
          <w:vertAlign w:val="subscript"/>
        </w:rPr>
        <w:t>2</w:t>
      </w:r>
      <w:r w:rsidR="005D4EE7" w:rsidRPr="3195F864">
        <w:rPr>
          <w:rFonts w:eastAsia="‚l‚r –¾’©"/>
        </w:rPr>
        <w:t>e</w:t>
      </w:r>
      <w:r w:rsidR="00D00353" w:rsidRPr="3195F864">
        <w:rPr>
          <w:rFonts w:eastAsia="‚l‚r –¾’©"/>
        </w:rPr>
        <w:t xml:space="preserve">), to </w:t>
      </w:r>
      <w:r w:rsidR="002A34A1" w:rsidRPr="3195F864">
        <w:rPr>
          <w:rFonts w:eastAsia="‚l‚r –¾’©"/>
        </w:rPr>
        <w:t>consider the</w:t>
      </w:r>
      <w:r w:rsidR="001C1234" w:rsidRPr="3195F864">
        <w:rPr>
          <w:rFonts w:eastAsia="‚l‚r –¾’©"/>
        </w:rPr>
        <w:t xml:space="preserve"> role of</w:t>
      </w:r>
      <w:r w:rsidRPr="3195F864">
        <w:rPr>
          <w:rFonts w:eastAsia="‚l‚r –¾’©"/>
        </w:rPr>
        <w:t xml:space="preserve"> different greenhouse gases</w:t>
      </w:r>
      <w:r w:rsidR="001C1234" w:rsidRPr="3195F864">
        <w:rPr>
          <w:rFonts w:eastAsia="‚l‚r –¾’©"/>
        </w:rPr>
        <w:t xml:space="preserve"> by using the same unit of </w:t>
      </w:r>
      <w:r w:rsidR="00D00353" w:rsidRPr="3195F864">
        <w:rPr>
          <w:rFonts w:eastAsia="‚l‚r –¾’©"/>
        </w:rPr>
        <w:t>measurement.</w:t>
      </w:r>
      <w:r w:rsidRPr="3195F864">
        <w:rPr>
          <w:rFonts w:eastAsia="‚l‚r –¾’©"/>
        </w:rPr>
        <w:t xml:space="preserve"> </w:t>
      </w:r>
    </w:p>
    <w:p w14:paraId="4DF2E548" w14:textId="79356125" w:rsidR="005D4EE7" w:rsidRDefault="005D4EE7" w:rsidP="005D4EE7">
      <w:pPr>
        <w:pStyle w:val="CETTabletitle"/>
        <w:rPr>
          <w:rFonts w:eastAsia="‚l‚r –¾’©"/>
        </w:rPr>
      </w:pPr>
    </w:p>
    <w:p w14:paraId="0FDCC44D" w14:textId="77777777" w:rsidR="00380D14" w:rsidRPr="00CC1234" w:rsidRDefault="00380D14" w:rsidP="005D4EE7">
      <w:pPr>
        <w:pStyle w:val="CETTabletitle"/>
        <w:rPr>
          <w:rFonts w:eastAsia="‚l‚r –¾’©"/>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0"/>
        <w:gridCol w:w="1350"/>
      </w:tblGrid>
      <w:tr w:rsidR="0017657C" w:rsidRPr="00B57B36" w14:paraId="734C6D2F" w14:textId="77777777" w:rsidTr="009E7A8B">
        <w:tc>
          <w:tcPr>
            <w:tcW w:w="2340" w:type="dxa"/>
            <w:tcBorders>
              <w:top w:val="single" w:sz="12" w:space="0" w:color="008000"/>
              <w:bottom w:val="single" w:sz="6" w:space="0" w:color="008000"/>
            </w:tcBorders>
            <w:shd w:val="clear" w:color="auto" w:fill="FFFFFF"/>
          </w:tcPr>
          <w:p w14:paraId="56680FBD" w14:textId="77777777" w:rsidR="0017657C" w:rsidRPr="00B57B36" w:rsidRDefault="0017657C" w:rsidP="00974DFB">
            <w:pPr>
              <w:pStyle w:val="CETBodytext"/>
              <w:rPr>
                <w:lang w:val="en-GB"/>
              </w:rPr>
            </w:pPr>
            <w:r>
              <w:rPr>
                <w:lang w:val="en-GB"/>
              </w:rPr>
              <w:t>Greenhouse gas</w:t>
            </w:r>
            <w:r w:rsidRPr="00B57B36">
              <w:rPr>
                <w:lang w:val="en-GB"/>
              </w:rPr>
              <w:t xml:space="preserve"> </w:t>
            </w:r>
          </w:p>
        </w:tc>
        <w:tc>
          <w:tcPr>
            <w:tcW w:w="1350" w:type="dxa"/>
            <w:tcBorders>
              <w:top w:val="single" w:sz="12" w:space="0" w:color="008000"/>
              <w:bottom w:val="single" w:sz="6" w:space="0" w:color="008000"/>
            </w:tcBorders>
            <w:shd w:val="clear" w:color="auto" w:fill="FFFFFF"/>
          </w:tcPr>
          <w:p w14:paraId="7130AC3C" w14:textId="77777777" w:rsidR="0017657C" w:rsidRPr="00B57B36" w:rsidRDefault="0017657C" w:rsidP="00974DFB">
            <w:pPr>
              <w:pStyle w:val="CETBodytext"/>
              <w:rPr>
                <w:lang w:val="en-GB"/>
              </w:rPr>
            </w:pPr>
            <w:r>
              <w:rPr>
                <w:lang w:val="en-GB"/>
              </w:rPr>
              <w:t>Global warming potential (GWP)</w:t>
            </w:r>
          </w:p>
        </w:tc>
      </w:tr>
      <w:tr w:rsidR="0017657C" w:rsidRPr="00B57B36" w14:paraId="3004EACD" w14:textId="77777777" w:rsidTr="009E7A8B">
        <w:tc>
          <w:tcPr>
            <w:tcW w:w="2340" w:type="dxa"/>
            <w:shd w:val="clear" w:color="auto" w:fill="FFFFFF"/>
          </w:tcPr>
          <w:p w14:paraId="560599C9" w14:textId="77777777" w:rsidR="0017657C" w:rsidRPr="00B57B36" w:rsidRDefault="0017657C" w:rsidP="00974DFB">
            <w:pPr>
              <w:pStyle w:val="CETBodytext"/>
              <w:rPr>
                <w:lang w:val="en-GB"/>
              </w:rPr>
            </w:pPr>
            <w:r>
              <w:rPr>
                <w:lang w:val="en-GB"/>
              </w:rPr>
              <w:t>Carbon dioxide (CO</w:t>
            </w:r>
            <w:r w:rsidRPr="00C433AB">
              <w:rPr>
                <w:vertAlign w:val="subscript"/>
                <w:lang w:val="en-GB"/>
              </w:rPr>
              <w:t>2</w:t>
            </w:r>
            <w:r>
              <w:rPr>
                <w:lang w:val="en-GB"/>
              </w:rPr>
              <w:t>)</w:t>
            </w:r>
          </w:p>
        </w:tc>
        <w:tc>
          <w:tcPr>
            <w:tcW w:w="1350" w:type="dxa"/>
            <w:shd w:val="clear" w:color="auto" w:fill="FFFFFF"/>
          </w:tcPr>
          <w:p w14:paraId="2FE99BA6" w14:textId="77777777" w:rsidR="0017657C" w:rsidRPr="00B57B36" w:rsidRDefault="0017657C" w:rsidP="00974DFB">
            <w:pPr>
              <w:pStyle w:val="CETBodytext"/>
              <w:rPr>
                <w:lang w:val="en-GB"/>
              </w:rPr>
            </w:pPr>
            <w:r>
              <w:rPr>
                <w:lang w:val="en-GB"/>
              </w:rPr>
              <w:t>1</w:t>
            </w:r>
          </w:p>
        </w:tc>
      </w:tr>
      <w:tr w:rsidR="0017657C" w:rsidRPr="00B57B36" w14:paraId="432F6F34" w14:textId="77777777" w:rsidTr="009E7A8B">
        <w:tc>
          <w:tcPr>
            <w:tcW w:w="2340" w:type="dxa"/>
            <w:shd w:val="clear" w:color="auto" w:fill="FFFFFF"/>
          </w:tcPr>
          <w:p w14:paraId="47B0767D" w14:textId="77777777" w:rsidR="0017657C" w:rsidRPr="00B57B36" w:rsidRDefault="0017657C" w:rsidP="00974DFB">
            <w:pPr>
              <w:pStyle w:val="CETBodytext"/>
              <w:ind w:right="-1"/>
              <w:rPr>
                <w:rFonts w:cs="Arial"/>
                <w:szCs w:val="18"/>
                <w:lang w:val="en-GB"/>
              </w:rPr>
            </w:pPr>
            <w:r>
              <w:rPr>
                <w:rFonts w:cs="Arial"/>
                <w:szCs w:val="18"/>
                <w:lang w:val="en-GB"/>
              </w:rPr>
              <w:t>Methane (CH</w:t>
            </w:r>
            <w:r w:rsidRPr="00C433AB">
              <w:rPr>
                <w:rFonts w:cs="Arial"/>
                <w:szCs w:val="18"/>
                <w:vertAlign w:val="subscript"/>
                <w:lang w:val="en-GB"/>
              </w:rPr>
              <w:t>4</w:t>
            </w:r>
            <w:r>
              <w:rPr>
                <w:rFonts w:cs="Arial"/>
                <w:szCs w:val="18"/>
                <w:lang w:val="en-GB"/>
              </w:rPr>
              <w:t>)</w:t>
            </w:r>
          </w:p>
        </w:tc>
        <w:tc>
          <w:tcPr>
            <w:tcW w:w="1350" w:type="dxa"/>
            <w:shd w:val="clear" w:color="auto" w:fill="FFFFFF"/>
          </w:tcPr>
          <w:p w14:paraId="57BE8634" w14:textId="77777777" w:rsidR="0017657C" w:rsidRPr="00B57B36" w:rsidRDefault="0017657C" w:rsidP="00974DFB">
            <w:pPr>
              <w:pStyle w:val="CETBodytext"/>
              <w:ind w:right="-1"/>
              <w:rPr>
                <w:rFonts w:cs="Arial"/>
                <w:szCs w:val="18"/>
                <w:lang w:val="en-GB"/>
              </w:rPr>
            </w:pPr>
            <w:r>
              <w:rPr>
                <w:rFonts w:cs="Arial"/>
                <w:szCs w:val="18"/>
                <w:lang w:val="en-GB"/>
              </w:rPr>
              <w:t>28</w:t>
            </w:r>
          </w:p>
        </w:tc>
      </w:tr>
      <w:tr w:rsidR="0017657C" w:rsidRPr="00B57B36" w14:paraId="7823FE4D" w14:textId="77777777" w:rsidTr="009E7A8B">
        <w:tc>
          <w:tcPr>
            <w:tcW w:w="2340" w:type="dxa"/>
            <w:shd w:val="clear" w:color="auto" w:fill="FFFFFF"/>
          </w:tcPr>
          <w:p w14:paraId="0DC9F077" w14:textId="77777777" w:rsidR="0017657C" w:rsidRDefault="0017657C" w:rsidP="00974DFB">
            <w:pPr>
              <w:pStyle w:val="CETBodytext"/>
              <w:ind w:right="-1"/>
              <w:rPr>
                <w:rFonts w:cs="Arial"/>
                <w:szCs w:val="18"/>
                <w:lang w:val="en-GB"/>
              </w:rPr>
            </w:pPr>
            <w:r>
              <w:rPr>
                <w:rFonts w:cs="Arial"/>
                <w:szCs w:val="18"/>
                <w:lang w:val="en-GB"/>
              </w:rPr>
              <w:t>Nitrous oxide (N</w:t>
            </w:r>
            <w:r w:rsidRPr="00350160">
              <w:rPr>
                <w:rFonts w:cs="Arial"/>
                <w:szCs w:val="18"/>
                <w:vertAlign w:val="subscript"/>
                <w:lang w:val="en-GB"/>
              </w:rPr>
              <w:t>2</w:t>
            </w:r>
            <w:r>
              <w:rPr>
                <w:rFonts w:cs="Arial"/>
                <w:szCs w:val="18"/>
                <w:lang w:val="en-GB"/>
              </w:rPr>
              <w:t>O)</w:t>
            </w:r>
          </w:p>
        </w:tc>
        <w:tc>
          <w:tcPr>
            <w:tcW w:w="1350" w:type="dxa"/>
            <w:shd w:val="clear" w:color="auto" w:fill="FFFFFF"/>
          </w:tcPr>
          <w:p w14:paraId="171ABF27" w14:textId="77777777" w:rsidR="0017657C" w:rsidRPr="00B57B36" w:rsidRDefault="0017657C" w:rsidP="00974DFB">
            <w:pPr>
              <w:pStyle w:val="CETBodytext"/>
              <w:ind w:right="-1"/>
              <w:rPr>
                <w:rFonts w:cs="Arial"/>
                <w:szCs w:val="18"/>
                <w:lang w:val="en-GB"/>
              </w:rPr>
            </w:pPr>
            <w:r>
              <w:rPr>
                <w:rFonts w:cs="Arial"/>
                <w:szCs w:val="18"/>
                <w:lang w:val="en-GB"/>
              </w:rPr>
              <w:t>265</w:t>
            </w:r>
          </w:p>
        </w:tc>
      </w:tr>
    </w:tbl>
    <w:p w14:paraId="029ECED5" w14:textId="77777777" w:rsidR="00D00353" w:rsidRDefault="00D00353" w:rsidP="00D00353">
      <w:pPr>
        <w:pStyle w:val="CETBodytext"/>
        <w:rPr>
          <w:rFonts w:eastAsia="‚l‚r –¾’©"/>
        </w:rPr>
      </w:pPr>
    </w:p>
    <w:p w14:paraId="3ADA2A0C" w14:textId="61B78634" w:rsidR="00380D14" w:rsidRPr="00380D14" w:rsidRDefault="00380D14" w:rsidP="009E7A8B">
      <w:pPr>
        <w:pStyle w:val="CETBodytext"/>
        <w:spacing w:line="240" w:lineRule="auto"/>
        <w:jc w:val="left"/>
        <w:rPr>
          <w:rFonts w:eastAsia="‚l‚r –¾’©"/>
          <w:i/>
          <w:iCs/>
        </w:rPr>
      </w:pPr>
      <w:r w:rsidRPr="00380D14">
        <w:rPr>
          <w:i/>
          <w:iCs/>
        </w:rPr>
        <w:t xml:space="preserve">Table 1: </w:t>
      </w:r>
      <w:bookmarkStart w:id="0" w:name="_Toc75886674"/>
      <w:r w:rsidRPr="00380D14">
        <w:rPr>
          <w:i/>
          <w:iCs/>
        </w:rPr>
        <w:t>GWP values from IPCC fifth assessment report, 2014 (AR5)</w:t>
      </w:r>
      <w:bookmarkEnd w:id="0"/>
    </w:p>
    <w:p w14:paraId="3A296940" w14:textId="77777777" w:rsidR="00380D14" w:rsidRDefault="00380D14" w:rsidP="00380D14">
      <w:pPr>
        <w:pStyle w:val="CETBodytext"/>
        <w:spacing w:line="240" w:lineRule="auto"/>
        <w:rPr>
          <w:rFonts w:eastAsia="‚l‚r –¾’©"/>
        </w:rPr>
      </w:pPr>
    </w:p>
    <w:p w14:paraId="56E90B58" w14:textId="5E8BF456" w:rsidR="00380D14" w:rsidRDefault="00A013BE">
      <w:pPr>
        <w:pStyle w:val="CETBodytext"/>
        <w:spacing w:line="240" w:lineRule="auto"/>
        <w:rPr>
          <w:rFonts w:eastAsia="‚l‚r –¾’©"/>
        </w:rPr>
      </w:pPr>
      <w:r>
        <w:rPr>
          <w:rFonts w:eastAsia="‚l‚r –¾’©"/>
        </w:rPr>
        <w:t>In practice</w:t>
      </w:r>
      <w:r w:rsidR="00B11540">
        <w:rPr>
          <w:rFonts w:eastAsia="‚l‚r –¾’©"/>
        </w:rPr>
        <w:t>,</w:t>
      </w:r>
      <w:r>
        <w:rPr>
          <w:rFonts w:eastAsia="‚l‚r –¾’©"/>
        </w:rPr>
        <w:t xml:space="preserve"> the calculation of </w:t>
      </w:r>
      <w:r w:rsidR="00B11540">
        <w:rPr>
          <w:rFonts w:eastAsia="‚l‚r –¾’©"/>
        </w:rPr>
        <w:t xml:space="preserve">Scope 1 emissions requires to know the characteristics of the fuels that are burnt inside the facility since, for each fuel, it is necessary to assess the amount and the nature of the GHG that are generated by the combustion. The calculation of Scope 2 emissions is straightforward and is obtained by multiplying the value of the electrical energy </w:t>
      </w:r>
      <w:r w:rsidR="00D500C3">
        <w:rPr>
          <w:rFonts w:eastAsia="‚l‚r –¾’©"/>
        </w:rPr>
        <w:t xml:space="preserve">(MWh) consumed on a yearly basis within the facility by the electricity emission factor. </w:t>
      </w:r>
    </w:p>
    <w:p w14:paraId="56AD2E45" w14:textId="7AA658D0" w:rsidR="00D500C3" w:rsidRDefault="00D500C3" w:rsidP="00380D14">
      <w:pPr>
        <w:pStyle w:val="CETBodytext"/>
        <w:spacing w:line="240" w:lineRule="auto"/>
      </w:pPr>
      <w:r>
        <w:rPr>
          <w:rFonts w:eastAsia="‚l‚r –¾’©"/>
        </w:rPr>
        <w:t xml:space="preserve">This last is </w:t>
      </w:r>
      <w:r>
        <w:rPr>
          <w:shd w:val="clear" w:color="auto" w:fill="FAF9F8"/>
        </w:rPr>
        <w:t xml:space="preserve">highly dependent on the geographic location of the plant, since it results from the fuels mix used for power generation in a specific country or region. </w:t>
      </w:r>
      <w:r>
        <w:t>T</w:t>
      </w:r>
      <w:r>
        <w:rPr>
          <w:shd w:val="clear" w:color="auto" w:fill="FAF9F8"/>
        </w:rPr>
        <w:t xml:space="preserve">he emission factors of electricity may vary </w:t>
      </w:r>
      <w:r>
        <w:t>greatly worldwide</w:t>
      </w:r>
      <w:r>
        <w:rPr>
          <w:shd w:val="clear" w:color="auto" w:fill="FAF9F8"/>
        </w:rPr>
        <w:t>,</w:t>
      </w:r>
      <w:r>
        <w:t xml:space="preserve"> and change the carbon footprint, as better explained </w:t>
      </w:r>
      <w:r w:rsidR="33DA3ADA">
        <w:t xml:space="preserve">fin the discussion of the results of an alternative design solution presented in this paper (para 3.2). </w:t>
      </w:r>
      <w:r>
        <w:rPr>
          <w:shd w:val="clear" w:color="auto" w:fill="FAF9F8"/>
        </w:rPr>
        <w:t>For the present study</w:t>
      </w:r>
      <w:r w:rsidR="00380D14">
        <w:rPr>
          <w:shd w:val="clear" w:color="auto" w:fill="FAF9F8"/>
        </w:rPr>
        <w:t>, related to a</w:t>
      </w:r>
      <w:r>
        <w:rPr>
          <w:shd w:val="clear" w:color="auto" w:fill="FAF9F8"/>
        </w:rPr>
        <w:t xml:space="preserve"> plant located in</w:t>
      </w:r>
      <w:r w:rsidR="00380D14">
        <w:rPr>
          <w:shd w:val="clear" w:color="auto" w:fill="FAF9F8"/>
        </w:rPr>
        <w:t xml:space="preserve"> Russia,</w:t>
      </w:r>
      <w:r>
        <w:rPr>
          <w:shd w:val="clear" w:color="auto" w:fill="FAF9F8"/>
        </w:rPr>
        <w:t xml:space="preserve"> the corresponding emission factor, taken from literature</w:t>
      </w:r>
      <w:r w:rsidR="00727769">
        <w:rPr>
          <w:shd w:val="clear" w:color="auto" w:fill="FAF9F8"/>
        </w:rPr>
        <w:t xml:space="preserve"> </w:t>
      </w:r>
      <w:r w:rsidR="000873F4">
        <w:rPr>
          <w:shd w:val="clear" w:color="auto" w:fill="FAF9F8"/>
        </w:rPr>
        <w:t>(EBRD, 2010)</w:t>
      </w:r>
      <w:r>
        <w:rPr>
          <w:shd w:val="clear" w:color="auto" w:fill="FAF9F8"/>
        </w:rPr>
        <w:t>, is equal to 0.893 tCO</w:t>
      </w:r>
      <w:r>
        <w:rPr>
          <w:sz w:val="15"/>
          <w:szCs w:val="15"/>
          <w:shd w:val="clear" w:color="auto" w:fill="FAF9F8"/>
        </w:rPr>
        <w:t>2</w:t>
      </w:r>
      <w:r>
        <w:rPr>
          <w:shd w:val="clear" w:color="auto" w:fill="FAF9F8"/>
        </w:rPr>
        <w:t>/MWh</w:t>
      </w:r>
      <w:r w:rsidR="00727769">
        <w:rPr>
          <w:shd w:val="clear" w:color="auto" w:fill="FAF9F8"/>
        </w:rPr>
        <w:t>.</w:t>
      </w:r>
    </w:p>
    <w:p w14:paraId="666B65E1" w14:textId="555437C2" w:rsidR="00A013BE" w:rsidRDefault="00A013BE">
      <w:pPr>
        <w:pStyle w:val="CETBodytext"/>
        <w:rPr>
          <w:rFonts w:eastAsia="‚l‚r –¾’©"/>
        </w:rPr>
      </w:pPr>
    </w:p>
    <w:p w14:paraId="2B8D2B07" w14:textId="49F7814C" w:rsidR="00DB6675" w:rsidRPr="00D00353" w:rsidRDefault="00D76CE9" w:rsidP="00380D14">
      <w:pPr>
        <w:pStyle w:val="CETBodytext"/>
        <w:rPr>
          <w:rFonts w:eastAsia="‚l‚r –¾’©"/>
        </w:rPr>
      </w:pPr>
      <w:r w:rsidRPr="3195F864">
        <w:rPr>
          <w:rFonts w:eastAsia="‚l‚r –¾’©"/>
        </w:rPr>
        <w:t>The methodology described above allows t</w:t>
      </w:r>
      <w:r w:rsidR="00E83BB0" w:rsidRPr="3195F864">
        <w:rPr>
          <w:rFonts w:eastAsia="‚l‚r –¾’©"/>
        </w:rPr>
        <w:t>o</w:t>
      </w:r>
      <w:r w:rsidRPr="3195F864">
        <w:rPr>
          <w:rFonts w:eastAsia="‚l‚r –¾’©"/>
        </w:rPr>
        <w:t xml:space="preserve"> assess the plant Carbon Footprint once the overall </w:t>
      </w:r>
      <w:r w:rsidR="00BB3FDE" w:rsidRPr="3195F864">
        <w:rPr>
          <w:rFonts w:eastAsia="‚l‚r –¾’©"/>
        </w:rPr>
        <w:t>inventory</w:t>
      </w:r>
      <w:r w:rsidRPr="3195F864">
        <w:rPr>
          <w:rFonts w:eastAsia="‚l‚r –¾’©"/>
        </w:rPr>
        <w:t xml:space="preserve"> of fuels burnt and electricity consumed on a yearly basis are known. To assess the validity of any alternative design solution with respect to its corresponding solution (‘Base’ case</w:t>
      </w:r>
      <w:r w:rsidR="00412E67" w:rsidRPr="3195F864">
        <w:rPr>
          <w:rFonts w:eastAsia="‚l‚r –¾’©"/>
        </w:rPr>
        <w:t>)</w:t>
      </w:r>
      <w:r w:rsidRPr="3195F864">
        <w:rPr>
          <w:rFonts w:eastAsia="‚l‚r –¾’©"/>
        </w:rPr>
        <w:t xml:space="preserve"> already implemented in the plant, it is necessary to </w:t>
      </w:r>
      <w:r w:rsidR="00412E67" w:rsidRPr="3195F864">
        <w:rPr>
          <w:rFonts w:eastAsia="‚l‚r –¾’©"/>
        </w:rPr>
        <w:t>assess the share of the plant Carbon Footprint associated to each technical solution. To do this</w:t>
      </w:r>
      <w:r w:rsidR="00DB6675" w:rsidRPr="3195F864">
        <w:rPr>
          <w:rFonts w:eastAsia="‚l‚r –¾’©"/>
        </w:rPr>
        <w:t xml:space="preserve">, the plant has been subdivided into different portions. Then, starting from the plant energy, heat and mass overall balances, the amounts of fuels and electrical energy required for one-year operation of each portion of the plant have been computed. These amounts have been converted into an equivalent amount </w:t>
      </w:r>
      <w:r w:rsidR="00E56396" w:rsidRPr="3195F864">
        <w:rPr>
          <w:rFonts w:eastAsia="‚l‚r –¾’©"/>
        </w:rPr>
        <w:t>of</w:t>
      </w:r>
      <w:r w:rsidR="00DB6675" w:rsidRPr="3195F864">
        <w:rPr>
          <w:rFonts w:eastAsia="‚l‚r –¾’©"/>
        </w:rPr>
        <w:t xml:space="preserve"> GHG emissions, by applying the rules set-up in the GHG </w:t>
      </w:r>
      <w:r w:rsidR="00E56396" w:rsidRPr="3195F864">
        <w:rPr>
          <w:rFonts w:eastAsia="‚l‚r –¾’©"/>
        </w:rPr>
        <w:t>P</w:t>
      </w:r>
      <w:r w:rsidR="00DB6675" w:rsidRPr="3195F864">
        <w:rPr>
          <w:rFonts w:eastAsia="‚l‚r –¾’©"/>
        </w:rPr>
        <w:t>rotocol. In this way it is possible to associate to each portion of the plant</w:t>
      </w:r>
      <w:r w:rsidR="00BB45D3" w:rsidRPr="3195F864">
        <w:rPr>
          <w:rFonts w:eastAsia="‚l‚r –¾’©"/>
        </w:rPr>
        <w:t xml:space="preserve"> its share</w:t>
      </w:r>
      <w:r w:rsidR="00DB6675" w:rsidRPr="3195F864">
        <w:rPr>
          <w:rFonts w:eastAsia="‚l‚r –¾’©"/>
        </w:rPr>
        <w:t xml:space="preserve"> of the </w:t>
      </w:r>
      <w:r w:rsidR="004E5AFA" w:rsidRPr="3195F864">
        <w:rPr>
          <w:rFonts w:eastAsia="‚l‚r –¾’©"/>
        </w:rPr>
        <w:t>overall GHG emissions.</w:t>
      </w:r>
    </w:p>
    <w:p w14:paraId="27AE0EAC" w14:textId="69E905B7" w:rsidR="00CF139E" w:rsidRPr="00CF139E" w:rsidRDefault="00CF139E" w:rsidP="00CF139E">
      <w:pPr>
        <w:pStyle w:val="CETHeading1"/>
      </w:pPr>
      <w:r w:rsidRPr="00CF139E">
        <w:t xml:space="preserve">Case Studies </w:t>
      </w:r>
    </w:p>
    <w:p w14:paraId="4A7B8670" w14:textId="6AB09F29" w:rsidR="00685596" w:rsidRDefault="00E91EA5" w:rsidP="00CF139E">
      <w:pPr>
        <w:pStyle w:val="CETBodytext"/>
        <w:rPr>
          <w:rFonts w:eastAsia="‚l‚r –¾’©"/>
        </w:rPr>
      </w:pPr>
      <w:r w:rsidRPr="3195F864">
        <w:rPr>
          <w:rFonts w:eastAsia="‚l‚r –¾’©"/>
        </w:rPr>
        <w:t>T</w:t>
      </w:r>
      <w:r w:rsidR="00CF139E" w:rsidRPr="3195F864">
        <w:rPr>
          <w:rFonts w:eastAsia="‚l‚r –¾’©"/>
        </w:rPr>
        <w:t xml:space="preserve">he </w:t>
      </w:r>
      <w:r w:rsidRPr="3195F864">
        <w:rPr>
          <w:rFonts w:eastAsia="‚l‚r –¾’©"/>
        </w:rPr>
        <w:t xml:space="preserve">abovementioned </w:t>
      </w:r>
      <w:r w:rsidR="00CF139E" w:rsidRPr="3195F864">
        <w:rPr>
          <w:rFonts w:eastAsia="‚l‚r –¾’©"/>
        </w:rPr>
        <w:t xml:space="preserve">methodology </w:t>
      </w:r>
      <w:r w:rsidR="001C1234" w:rsidRPr="3195F864">
        <w:rPr>
          <w:rFonts w:eastAsia="‚l‚r –¾’©"/>
        </w:rPr>
        <w:t xml:space="preserve">has been successfully applied in the frame of </w:t>
      </w:r>
      <w:r w:rsidR="00D00353" w:rsidRPr="3195F864">
        <w:rPr>
          <w:rFonts w:eastAsia="‚l‚r –¾’©"/>
        </w:rPr>
        <w:t>a Project</w:t>
      </w:r>
      <w:r w:rsidR="001C1234" w:rsidRPr="3195F864">
        <w:rPr>
          <w:rFonts w:eastAsia="‚l‚r –¾’©"/>
        </w:rPr>
        <w:t xml:space="preserve"> aiming </w:t>
      </w:r>
      <w:r w:rsidR="00D00353" w:rsidRPr="3195F864">
        <w:rPr>
          <w:rFonts w:eastAsia="‚l‚r –¾’©"/>
        </w:rPr>
        <w:t>at improving</w:t>
      </w:r>
      <w:r w:rsidR="001C1234" w:rsidRPr="3195F864">
        <w:rPr>
          <w:rFonts w:eastAsia="‚l‚r –¾’©"/>
        </w:rPr>
        <w:t xml:space="preserve"> the</w:t>
      </w:r>
      <w:r w:rsidR="00CF139E" w:rsidRPr="3195F864">
        <w:rPr>
          <w:rFonts w:eastAsia="‚l‚r –¾’©"/>
        </w:rPr>
        <w:t xml:space="preserve"> energy efficiency </w:t>
      </w:r>
      <w:r w:rsidR="001C1234" w:rsidRPr="3195F864">
        <w:rPr>
          <w:rFonts w:eastAsia="‚l‚r –¾’©"/>
        </w:rPr>
        <w:t xml:space="preserve">of an </w:t>
      </w:r>
      <w:r w:rsidR="00D00353" w:rsidRPr="3195F864">
        <w:rPr>
          <w:rFonts w:eastAsia="‚l‚r –¾’©"/>
        </w:rPr>
        <w:t>existing Propane</w:t>
      </w:r>
      <w:r w:rsidR="00CF139E" w:rsidRPr="3195F864">
        <w:rPr>
          <w:rFonts w:eastAsia="‚l‚r –¾’©"/>
        </w:rPr>
        <w:t xml:space="preserve"> Dehydrogenation (PDH) plant. </w:t>
      </w:r>
      <w:r w:rsidR="001C1234" w:rsidRPr="3195F864">
        <w:rPr>
          <w:rFonts w:eastAsia="‚l‚r –¾’©"/>
        </w:rPr>
        <w:t>The</w:t>
      </w:r>
      <w:r w:rsidR="00CF139E" w:rsidRPr="3195F864">
        <w:rPr>
          <w:rFonts w:eastAsia="‚l‚r –¾’©"/>
        </w:rPr>
        <w:t xml:space="preserve"> GHG accounting </w:t>
      </w:r>
      <w:r w:rsidR="001C1234" w:rsidRPr="3195F864">
        <w:rPr>
          <w:rFonts w:eastAsia="‚l‚r –¾’©"/>
        </w:rPr>
        <w:t xml:space="preserve">methodology has been </w:t>
      </w:r>
      <w:r w:rsidR="00D00353" w:rsidRPr="3195F864">
        <w:rPr>
          <w:rFonts w:eastAsia="‚l‚r –¾’©"/>
        </w:rPr>
        <w:t>applied either to</w:t>
      </w:r>
      <w:r w:rsidR="00CF139E" w:rsidRPr="3195F864">
        <w:rPr>
          <w:rFonts w:eastAsia="‚l‚r –¾’©"/>
        </w:rPr>
        <w:t xml:space="preserve"> </w:t>
      </w:r>
      <w:r w:rsidR="001C1234" w:rsidRPr="3195F864">
        <w:rPr>
          <w:rFonts w:eastAsia="‚l‚r –¾’©"/>
        </w:rPr>
        <w:t>some existing portions of the plant (‘Base’ cases)</w:t>
      </w:r>
      <w:r w:rsidR="00CF139E" w:rsidRPr="3195F864">
        <w:rPr>
          <w:rFonts w:eastAsia="‚l‚r –¾’©"/>
        </w:rPr>
        <w:t xml:space="preserve">, and Alternative </w:t>
      </w:r>
      <w:r w:rsidR="00B82AAB" w:rsidRPr="3195F864">
        <w:rPr>
          <w:rFonts w:eastAsia="‚l‚r –¾’©"/>
        </w:rPr>
        <w:t xml:space="preserve">design solutions. A technical description of the cases selected and studied is provided in the following. </w:t>
      </w:r>
    </w:p>
    <w:p w14:paraId="78BA0C88" w14:textId="77777777" w:rsidR="00CF139E" w:rsidRPr="00CF139E" w:rsidRDefault="00CF139E" w:rsidP="00CF139E">
      <w:pPr>
        <w:pStyle w:val="CETBodytext"/>
        <w:rPr>
          <w:rFonts w:eastAsia="‚l‚r –¾’©"/>
        </w:rPr>
      </w:pPr>
    </w:p>
    <w:p w14:paraId="3AFADB78" w14:textId="77777777" w:rsidR="00C316D4" w:rsidRPr="00444F08" w:rsidRDefault="00C316D4" w:rsidP="00444F08">
      <w:pPr>
        <w:pStyle w:val="CETheadingx"/>
      </w:pPr>
      <w:r w:rsidRPr="00444F08">
        <w:t xml:space="preserve">Steam Boilers </w:t>
      </w:r>
    </w:p>
    <w:p w14:paraId="17A5A5D2" w14:textId="05FF38DF" w:rsidR="00C316D4" w:rsidRPr="00444F08" w:rsidRDefault="00B82AAB" w:rsidP="00B82AAB">
      <w:pPr>
        <w:pStyle w:val="CETBodytext"/>
      </w:pPr>
      <w:r>
        <w:t>S</w:t>
      </w:r>
      <w:r w:rsidR="00C316D4">
        <w:t xml:space="preserve">tarting from the technical solution in place in the PDH </w:t>
      </w:r>
      <w:r w:rsidR="00D00353">
        <w:t>Unit (</w:t>
      </w:r>
      <w:r w:rsidR="00C316D4">
        <w:t xml:space="preserve">Base Configuration), an alternative solution </w:t>
      </w:r>
      <w:r>
        <w:t xml:space="preserve">has been identified and </w:t>
      </w:r>
      <w:r w:rsidR="00D00353">
        <w:t>studied. For</w:t>
      </w:r>
      <w:r>
        <w:t xml:space="preserve"> both technical solutions (‘Base</w:t>
      </w:r>
      <w:r w:rsidR="002A34A1">
        <w:t>’ and</w:t>
      </w:r>
      <w:r>
        <w:t xml:space="preserve"> ‘Alternative’), the</w:t>
      </w:r>
      <w:r w:rsidR="006141D8">
        <w:t xml:space="preserve"> </w:t>
      </w:r>
      <w:r w:rsidR="003D3DC5">
        <w:t xml:space="preserve">accounting </w:t>
      </w:r>
      <w:r>
        <w:t xml:space="preserve">of GHG emissions has been </w:t>
      </w:r>
      <w:r w:rsidR="00C316D4">
        <w:t>performed assuming</w:t>
      </w:r>
      <w:r w:rsidR="003D3DC5">
        <w:t xml:space="preserve"> </w:t>
      </w:r>
      <w:r w:rsidR="002A34A1">
        <w:t>that the</w:t>
      </w:r>
      <w:r w:rsidR="003D3DC5">
        <w:t xml:space="preserve"> </w:t>
      </w:r>
      <w:r w:rsidR="00C316D4">
        <w:t xml:space="preserve">solution </w:t>
      </w:r>
      <w:r>
        <w:t>was</w:t>
      </w:r>
      <w:r w:rsidR="00C316D4">
        <w:t xml:space="preserve"> </w:t>
      </w:r>
      <w:r>
        <w:t xml:space="preserve">already </w:t>
      </w:r>
      <w:r w:rsidR="00C316D4">
        <w:t>implemented</w:t>
      </w:r>
      <w:r>
        <w:t xml:space="preserve"> in the plant, and the plant in operation, thus neglecting the contribution, in terms of GHG emissions, of the construction operations required for its implementation.</w:t>
      </w:r>
    </w:p>
    <w:p w14:paraId="48D72455" w14:textId="58E8A9B6" w:rsidR="00C316D4" w:rsidRPr="00444F08" w:rsidRDefault="00C316D4" w:rsidP="00FE165B">
      <w:pPr>
        <w:pStyle w:val="CETBodytext"/>
      </w:pPr>
      <w:r>
        <w:t xml:space="preserve">In the Base </w:t>
      </w:r>
      <w:r w:rsidR="002A34A1">
        <w:t>case the</w:t>
      </w:r>
      <w:r w:rsidR="00FB2AAB">
        <w:t xml:space="preserve"> High Pressure</w:t>
      </w:r>
      <w:r>
        <w:t xml:space="preserve"> </w:t>
      </w:r>
      <w:r w:rsidR="00FB2AAB">
        <w:t>(</w:t>
      </w:r>
      <w:r>
        <w:t>HP</w:t>
      </w:r>
      <w:r w:rsidR="00FB2AAB">
        <w:t>)</w:t>
      </w:r>
      <w:r>
        <w:t xml:space="preserve"> Steam Boiler System is composed of three separate HP-Steam boilers, each designed to generate and supply 140 t/h of HP steam. The three boilers use as fuel gas a mixture of process off-gas from PDH process unit and natural gas. </w:t>
      </w:r>
      <w:r w:rsidR="00B82AAB">
        <w:t xml:space="preserve">In this </w:t>
      </w:r>
      <w:r>
        <w:t xml:space="preserve">configuration </w:t>
      </w:r>
      <w:r w:rsidR="00B82AAB">
        <w:t>the</w:t>
      </w:r>
      <w:r>
        <w:t xml:space="preserve"> thermal efficiency </w:t>
      </w:r>
      <w:r w:rsidR="00B82AAB">
        <w:t xml:space="preserve">of </w:t>
      </w:r>
      <w:r>
        <w:t xml:space="preserve">each boiler </w:t>
      </w:r>
      <w:r w:rsidR="00B82AAB">
        <w:t xml:space="preserve">is about </w:t>
      </w:r>
      <w:r>
        <w:t xml:space="preserve">92.5%. Two out of three boilers (A and B) are equipped with </w:t>
      </w:r>
      <w:r w:rsidR="00B82AAB">
        <w:t>forced draft (</w:t>
      </w:r>
      <w:r>
        <w:t>FD</w:t>
      </w:r>
      <w:r w:rsidR="00B82AAB">
        <w:t>)</w:t>
      </w:r>
      <w:r>
        <w:t xml:space="preserve"> fans driven by electric motors, while the FD fan of the third boiler (C) is driven by a steam turbine. In normal operation two boilers (B and C) are running at 100% capacity, while the thermal load of boiler A is adjusted to balance the overall steam demand. The power demand to each FD fan is equal to 565 kW. </w:t>
      </w:r>
      <w:r w:rsidR="006141D8">
        <w:t xml:space="preserve">The </w:t>
      </w:r>
      <w:r w:rsidR="00DE7EDD">
        <w:t>overall</w:t>
      </w:r>
      <w:r w:rsidR="006141D8">
        <w:t xml:space="preserve"> </w:t>
      </w:r>
      <w:r>
        <w:t xml:space="preserve">electric power demand is </w:t>
      </w:r>
      <w:r w:rsidR="00FB2AAB">
        <w:t xml:space="preserve">thus </w:t>
      </w:r>
      <w:r>
        <w:t>1130 kW and HP steam consumption is 10</w:t>
      </w:r>
      <w:r w:rsidR="00FB2AAB">
        <w:t>.</w:t>
      </w:r>
      <w:r>
        <w:t xml:space="preserve">9 </w:t>
      </w:r>
      <w:r w:rsidR="00FB2AAB">
        <w:t>t</w:t>
      </w:r>
      <w:r>
        <w:t>/h.</w:t>
      </w:r>
    </w:p>
    <w:p w14:paraId="0099AFD1" w14:textId="26A42ED7" w:rsidR="00C316D4" w:rsidRPr="00444F08" w:rsidRDefault="00C316D4" w:rsidP="00FE165B">
      <w:pPr>
        <w:pStyle w:val="CETBodytext"/>
      </w:pPr>
      <w:r>
        <w:t xml:space="preserve">In the Alternative case, </w:t>
      </w:r>
      <w:r w:rsidR="00FB2AAB">
        <w:t xml:space="preserve">an </w:t>
      </w:r>
      <w:r>
        <w:t xml:space="preserve">optimized HP Steam Boiler System </w:t>
      </w:r>
      <w:r w:rsidR="00FB2AAB">
        <w:t xml:space="preserve">was evaluated. It </w:t>
      </w:r>
      <w:r>
        <w:t xml:space="preserve">consists of two separate HP steam boilers, each designed to supply 210 t/h of HP steam. For the analysis, the design thermal efficiency of each boiler </w:t>
      </w:r>
      <w:r w:rsidR="00FB2AAB">
        <w:t>was assumed</w:t>
      </w:r>
      <w:r>
        <w:t xml:space="preserve"> equal to 93.5%. Performance data collected during plant operation confirms that thermal efficiency for boilers with capacity </w:t>
      </w:r>
      <w:r w:rsidR="00FB01CB">
        <w:t xml:space="preserve">ranging </w:t>
      </w:r>
      <w:r>
        <w:t xml:space="preserve">from 200 t/h to 300 t/h </w:t>
      </w:r>
      <w:r w:rsidR="00FB01CB">
        <w:t>is</w:t>
      </w:r>
      <w:r>
        <w:t xml:space="preserve"> in the range 93% to 93.5%. Higher </w:t>
      </w:r>
      <w:r>
        <w:lastRenderedPageBreak/>
        <w:t xml:space="preserve">values are </w:t>
      </w:r>
      <w:r w:rsidR="00FB2AAB">
        <w:t xml:space="preserve">thus </w:t>
      </w:r>
      <w:r>
        <w:t xml:space="preserve">considered unrealistic. In this configuration it is assumed that one boiler is equipped with a FD fan driven by electric motor, while the FD fan of the second one is driven by a steam turbine. During normal condition one boiler is running at 100% capacity, while thermal load of the other boiler is adjusted to balance the overall steam demand. FD fan power demand </w:t>
      </w:r>
      <w:r w:rsidR="00FB2AAB">
        <w:t xml:space="preserve">is </w:t>
      </w:r>
      <w:r>
        <w:t>equal to 500 kW. Total electric power demand is 500 kW and HP steam consumption is 9</w:t>
      </w:r>
      <w:r w:rsidR="00FB2AAB">
        <w:t>.</w:t>
      </w:r>
      <w:r>
        <w:t xml:space="preserve">900 </w:t>
      </w:r>
      <w:r w:rsidR="00FB2AAB">
        <w:t>t</w:t>
      </w:r>
      <w:r>
        <w:t xml:space="preserve">/h. </w:t>
      </w:r>
    </w:p>
    <w:p w14:paraId="22FA9DB9" w14:textId="0687A809" w:rsidR="00C316D4" w:rsidRDefault="00C316D4" w:rsidP="00FE165B">
      <w:pPr>
        <w:pStyle w:val="CETBodytext"/>
      </w:pPr>
      <w:r>
        <w:t xml:space="preserve">The Scope 1 emissions arising from the combustion of fuel gas for steam production have been calculated assuming that all the carbon in the fuel gas </w:t>
      </w:r>
      <w:r w:rsidR="00FB2AAB">
        <w:t xml:space="preserve">is </w:t>
      </w:r>
      <w:r>
        <w:t xml:space="preserve">converted to </w:t>
      </w:r>
      <w:r w:rsidR="00BE429D">
        <w:t>CO</w:t>
      </w:r>
      <w:r w:rsidR="00BE429D" w:rsidRPr="3195F864">
        <w:rPr>
          <w:vertAlign w:val="subscript"/>
        </w:rPr>
        <w:t>2</w:t>
      </w:r>
      <w:r>
        <w:t xml:space="preserve">. Scope 2 emissions (associated to the </w:t>
      </w:r>
      <w:r w:rsidR="00412E67">
        <w:t xml:space="preserve">electrical </w:t>
      </w:r>
      <w:r>
        <w:t xml:space="preserve">energy required to move the fan) have been calculated considering </w:t>
      </w:r>
      <w:r w:rsidR="00412E67">
        <w:t xml:space="preserve">the </w:t>
      </w:r>
      <w:r w:rsidR="001D5B2C">
        <w:t xml:space="preserve">electricity </w:t>
      </w:r>
      <w:r>
        <w:t xml:space="preserve">emission factor </w:t>
      </w:r>
      <w:r w:rsidR="00412E67">
        <w:t>(</w:t>
      </w:r>
      <w:r>
        <w:t xml:space="preserve">0.893 </w:t>
      </w:r>
      <w:r w:rsidR="00BE429D">
        <w:t>tCO</w:t>
      </w:r>
      <w:r w:rsidR="00BE429D" w:rsidRPr="3195F864">
        <w:rPr>
          <w:vertAlign w:val="subscript"/>
        </w:rPr>
        <w:t>2</w:t>
      </w:r>
      <w:r>
        <w:t>/MWh</w:t>
      </w:r>
      <w:r w:rsidR="00412E67">
        <w:t xml:space="preserve">) </w:t>
      </w:r>
      <w:r w:rsidR="00461170">
        <w:t>of</w:t>
      </w:r>
      <w:r w:rsidR="00412E67">
        <w:t xml:space="preserve"> the region where the plant is located. </w:t>
      </w:r>
    </w:p>
    <w:p w14:paraId="47A97A09" w14:textId="77777777" w:rsidR="00D00353" w:rsidRPr="00444F08" w:rsidRDefault="00D00353" w:rsidP="00FE165B">
      <w:pPr>
        <w:pStyle w:val="CETBodytext"/>
      </w:pPr>
    </w:p>
    <w:p w14:paraId="1C7AAA7C" w14:textId="45EC01C5" w:rsidR="00C316D4" w:rsidRPr="00FC2148" w:rsidRDefault="00D44628" w:rsidP="009E7A8B">
      <w:pPr>
        <w:keepNext/>
        <w:autoSpaceDE w:val="0"/>
        <w:autoSpaceDN w:val="0"/>
        <w:adjustRightInd w:val="0"/>
        <w:spacing w:line="360" w:lineRule="auto"/>
        <w:jc w:val="left"/>
        <w:rPr>
          <w:rFonts w:ascii="Times New Roman" w:hAnsi="Times New Roman"/>
        </w:rPr>
      </w:pPr>
      <w:r>
        <w:rPr>
          <w:noProof/>
          <w:lang w:val="en-US"/>
        </w:rPr>
        <w:drawing>
          <wp:inline distT="0" distB="0" distL="0" distR="0" wp14:anchorId="13F711FA" wp14:editId="79A1EAE8">
            <wp:extent cx="3086100" cy="2070100"/>
            <wp:effectExtent l="0" t="0" r="0" b="6350"/>
            <wp:docPr id="1" name="Chart 1">
              <a:extLst xmlns:a="http://schemas.openxmlformats.org/drawingml/2006/main">
                <a:ext uri="{FF2B5EF4-FFF2-40B4-BE49-F238E27FC236}">
                  <a16:creationId xmlns:a16="http://schemas.microsoft.com/office/drawing/2014/main" id="{060880BB-2255-4E24-BF2B-B1CAF60FA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15F12D" w14:textId="2B18F40B" w:rsidR="00FE165B" w:rsidRDefault="00C316D4" w:rsidP="009E7A8B">
      <w:pPr>
        <w:pStyle w:val="CETCaption"/>
        <w:jc w:val="left"/>
      </w:pPr>
      <w:r w:rsidRPr="00FE165B">
        <w:t xml:space="preserve">Figure </w:t>
      </w:r>
      <w:r w:rsidR="000D7C53">
        <w:t>1</w:t>
      </w:r>
      <w:r w:rsidRPr="00FE165B">
        <w:t>. Comparison of CO</w:t>
      </w:r>
      <w:r w:rsidRPr="00380D14">
        <w:rPr>
          <w:vertAlign w:val="subscript"/>
        </w:rPr>
        <w:t>2</w:t>
      </w:r>
      <w:r w:rsidRPr="00FE165B">
        <w:t xml:space="preserve"> emissions from the base case and the alternative solutions</w:t>
      </w:r>
    </w:p>
    <w:p w14:paraId="52E755D7" w14:textId="2329A57C" w:rsidR="00C316D4" w:rsidRDefault="00C316D4" w:rsidP="00FE165B">
      <w:pPr>
        <w:pStyle w:val="CETBodytext"/>
      </w:pPr>
      <w:r>
        <w:t>The analy</w:t>
      </w:r>
      <w:r w:rsidR="000C2A3A">
        <w:t>z</w:t>
      </w:r>
      <w:r>
        <w:t xml:space="preserve">ed alternative configuration allows to reduce the fuel consumption by about 1.5%. This reduction, together with the reduction of the power required for the FD fan, turns into an overall saving in terms of </w:t>
      </w:r>
      <w:r w:rsidR="002168B8">
        <w:t>CO</w:t>
      </w:r>
      <w:r w:rsidR="002168B8" w:rsidRPr="3195F864">
        <w:rPr>
          <w:vertAlign w:val="subscript"/>
        </w:rPr>
        <w:t xml:space="preserve">2 </w:t>
      </w:r>
      <w:r>
        <w:t xml:space="preserve">of about 2.4%. Due to the technological limitation on the boiler efficiency, it can be said that the alternative configuration does not produce a </w:t>
      </w:r>
      <w:r w:rsidR="0019555C">
        <w:t>major</w:t>
      </w:r>
      <w:r>
        <w:t xml:space="preserve"> benefit in terms of </w:t>
      </w:r>
      <w:r w:rsidR="00FB01CB">
        <w:t xml:space="preserve">reduction of </w:t>
      </w:r>
      <w:r w:rsidR="002168B8">
        <w:t>CO</w:t>
      </w:r>
      <w:r w:rsidR="002168B8" w:rsidRPr="3195F864">
        <w:rPr>
          <w:vertAlign w:val="subscript"/>
        </w:rPr>
        <w:t xml:space="preserve">2 </w:t>
      </w:r>
      <w:r>
        <w:t>emissions.</w:t>
      </w:r>
    </w:p>
    <w:p w14:paraId="49C0890B" w14:textId="77777777" w:rsidR="000C2A3A" w:rsidRDefault="000C2A3A" w:rsidP="00FE165B">
      <w:pPr>
        <w:pStyle w:val="CETBodytext"/>
      </w:pPr>
    </w:p>
    <w:p w14:paraId="707400E9" w14:textId="6475EB48" w:rsidR="00D6353A" w:rsidRPr="00D6353A" w:rsidRDefault="00F61D06" w:rsidP="00D6353A">
      <w:pPr>
        <w:pStyle w:val="CETBodytext"/>
      </w:pPr>
      <w:r>
        <w:t xml:space="preserve">The assessment of the cost has been performed </w:t>
      </w:r>
      <w:r w:rsidR="00BE61C6">
        <w:t>considering</w:t>
      </w:r>
      <w:r>
        <w:t xml:space="preserve"> </w:t>
      </w:r>
      <w:r w:rsidR="00D6353A">
        <w:t xml:space="preserve">the replacement of three boilers with two </w:t>
      </w:r>
      <w:r w:rsidR="00D00353">
        <w:t xml:space="preserve">boilers and </w:t>
      </w:r>
      <w:r w:rsidR="00BE61C6">
        <w:t xml:space="preserve">by computing, for both </w:t>
      </w:r>
      <w:r w:rsidR="00D00353">
        <w:t xml:space="preserve">the </w:t>
      </w:r>
      <w:r w:rsidR="00BE61C6">
        <w:t xml:space="preserve">base case and </w:t>
      </w:r>
      <w:r w:rsidR="00D00353">
        <w:t xml:space="preserve">the </w:t>
      </w:r>
      <w:r w:rsidR="00BE61C6">
        <w:t>alternative solution, the related key quantities of piles and reinforced concrete structures required for their implementation.</w:t>
      </w:r>
      <w:r w:rsidR="00E55B1A">
        <w:t xml:space="preserve"> </w:t>
      </w:r>
      <w:r w:rsidR="00BE61C6">
        <w:t xml:space="preserve">The alternative solution, slightly environmentally </w:t>
      </w:r>
      <w:r w:rsidR="00C21568">
        <w:t>better</w:t>
      </w:r>
      <w:r w:rsidR="00BE61C6">
        <w:t>, has turned out to be also economically less expensive</w:t>
      </w:r>
      <w:r w:rsidR="00412E67">
        <w:t>, with a cost saving of around 30%</w:t>
      </w:r>
      <w:r w:rsidR="00801DA2">
        <w:t>.</w:t>
      </w:r>
    </w:p>
    <w:p w14:paraId="5430F9D9" w14:textId="75EDEF04" w:rsidR="00BE61C6" w:rsidRDefault="00BE61C6" w:rsidP="00FD6291">
      <w:pPr>
        <w:pStyle w:val="CETBodytext"/>
      </w:pPr>
    </w:p>
    <w:p w14:paraId="2BC5F7D7" w14:textId="77777777" w:rsidR="00BE61C6" w:rsidRPr="00FD6291" w:rsidRDefault="00BE61C6" w:rsidP="00FD6291">
      <w:pPr>
        <w:pStyle w:val="CETBodytext"/>
      </w:pPr>
    </w:p>
    <w:p w14:paraId="0FD50874" w14:textId="27A8100C" w:rsidR="00C316D4" w:rsidRPr="00FE165B" w:rsidRDefault="00C316D4" w:rsidP="00FE165B">
      <w:pPr>
        <w:pStyle w:val="CETheadingx"/>
      </w:pPr>
      <w:r w:rsidRPr="00FE165B">
        <w:t xml:space="preserve">Steam Turbine vs Electrical Motor Compressor </w:t>
      </w:r>
    </w:p>
    <w:p w14:paraId="7AB1FA77" w14:textId="77777777" w:rsidR="00C316D4" w:rsidRPr="00FC2148" w:rsidRDefault="00C316D4" w:rsidP="00FE165B">
      <w:pPr>
        <w:pStyle w:val="CETBodytext"/>
      </w:pPr>
      <w:r w:rsidRPr="00FC2148">
        <w:t>The main compressors of PDH plant are the Reactor Effluent Compressor (located inside the Reaction Section) and the Heat Pump Compressor (located inside the Fractionation Section). In the base case these two compressors are driven by steam turbines. The alternative solution considers that the compressors are driven by electrical motors.</w:t>
      </w:r>
    </w:p>
    <w:p w14:paraId="18E2AD81" w14:textId="4C01F265" w:rsidR="00C316D4" w:rsidRPr="00FC2148" w:rsidRDefault="00C316D4" w:rsidP="00FE165B">
      <w:pPr>
        <w:pStyle w:val="CETBodytext"/>
      </w:pPr>
      <w:r>
        <w:t xml:space="preserve">For the Base configuration, an energy balance on the steam turbine has been performed to evaluate the flowrate of fuel gas needed to produce the steam required to drive the compressor. </w:t>
      </w:r>
      <w:r w:rsidR="003D4BC9">
        <w:t>T</w:t>
      </w:r>
      <w:r>
        <w:t>he CO</w:t>
      </w:r>
      <w:r w:rsidRPr="3195F864">
        <w:rPr>
          <w:vertAlign w:val="subscript"/>
        </w:rPr>
        <w:t>2</w:t>
      </w:r>
      <w:r>
        <w:t xml:space="preserve"> produced in the combustion process has been calculated stoichiometrically assuming the complete combustion of carbon </w:t>
      </w:r>
      <w:r w:rsidR="00380D14">
        <w:t>content</w:t>
      </w:r>
      <w:r w:rsidR="0019555C">
        <w:t xml:space="preserve"> </w:t>
      </w:r>
      <w:r>
        <w:t>present in the fuel gas. For this configuration emissions arise from a stationary combustion in the plant (Scope 1 emissions).</w:t>
      </w:r>
    </w:p>
    <w:p w14:paraId="4B26F485" w14:textId="499C61C8" w:rsidR="00C316D4" w:rsidRDefault="00C316D4" w:rsidP="00FE165B">
      <w:pPr>
        <w:pStyle w:val="CETBodytext"/>
      </w:pPr>
      <w:r>
        <w:t xml:space="preserve">In the Alternative case, the compressors are not driven by </w:t>
      </w:r>
      <w:r w:rsidR="00FB01CB">
        <w:t xml:space="preserve">steam </w:t>
      </w:r>
      <w:r>
        <w:t>turbines but by electrical motors. For this configuration, therefore, the CO</w:t>
      </w:r>
      <w:r w:rsidRPr="3195F864">
        <w:rPr>
          <w:vertAlign w:val="subscript"/>
        </w:rPr>
        <w:t>2</w:t>
      </w:r>
      <w:r>
        <w:t xml:space="preserve"> emissions associated to the compressors are accounted as </w:t>
      </w:r>
      <w:r w:rsidR="00BB3FDE">
        <w:t xml:space="preserve">Scope </w:t>
      </w:r>
      <w:r>
        <w:t>2 emissions, since they are related to the consumption of electricity, produced outside the plant boundaries. For the evaluation of CO</w:t>
      </w:r>
      <w:r w:rsidRPr="3195F864">
        <w:rPr>
          <w:vertAlign w:val="subscript"/>
        </w:rPr>
        <w:t>2</w:t>
      </w:r>
      <w:r>
        <w:t xml:space="preserve"> emissions, the same electrical emission factor (0.893 KgCO</w:t>
      </w:r>
      <w:r w:rsidRPr="3195F864">
        <w:rPr>
          <w:vertAlign w:val="subscript"/>
        </w:rPr>
        <w:t>2</w:t>
      </w:r>
      <w:r>
        <w:t xml:space="preserve"> / kWh) as the previous case has been considered. </w:t>
      </w:r>
    </w:p>
    <w:p w14:paraId="760A92E4" w14:textId="77777777" w:rsidR="00C21568" w:rsidRPr="00FC2148" w:rsidRDefault="00C21568" w:rsidP="00FE165B">
      <w:pPr>
        <w:pStyle w:val="CETBodytext"/>
      </w:pPr>
    </w:p>
    <w:p w14:paraId="307F772C" w14:textId="769AEE58" w:rsidR="00C316D4" w:rsidRPr="00FC2148" w:rsidRDefault="00A25806" w:rsidP="009E7A8B">
      <w:pPr>
        <w:keepNext/>
        <w:spacing w:line="360" w:lineRule="auto"/>
        <w:jc w:val="left"/>
        <w:rPr>
          <w:rFonts w:ascii="Times New Roman" w:hAnsi="Times New Roman"/>
        </w:rPr>
      </w:pPr>
      <w:r>
        <w:rPr>
          <w:noProof/>
          <w:lang w:val="en-US"/>
        </w:rPr>
        <w:lastRenderedPageBreak/>
        <w:drawing>
          <wp:inline distT="0" distB="0" distL="0" distR="0" wp14:anchorId="35954242" wp14:editId="314B92F0">
            <wp:extent cx="2927350" cy="2362200"/>
            <wp:effectExtent l="0" t="0" r="6350" b="0"/>
            <wp:docPr id="2" name="Chart 2">
              <a:extLst xmlns:a="http://schemas.openxmlformats.org/drawingml/2006/main">
                <a:ext uri="{FF2B5EF4-FFF2-40B4-BE49-F238E27FC236}">
                  <a16:creationId xmlns:a16="http://schemas.microsoft.com/office/drawing/2014/main" id="{B77B410B-248D-46D9-B5A3-CE5D8DAA8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00CE35" w14:textId="30FDB4F1" w:rsidR="00C316D4" w:rsidRPr="0095355D" w:rsidRDefault="00C316D4" w:rsidP="009E7A8B">
      <w:pPr>
        <w:pStyle w:val="CETCaption"/>
        <w:jc w:val="left"/>
      </w:pPr>
      <w:r w:rsidRPr="00FC2148">
        <w:t xml:space="preserve">Figure </w:t>
      </w:r>
      <w:r w:rsidR="000D7C53">
        <w:t>2</w:t>
      </w:r>
      <w:r w:rsidRPr="00FC2148">
        <w:t>. Comparison of CO</w:t>
      </w:r>
      <w:r w:rsidRPr="00380D14">
        <w:rPr>
          <w:vertAlign w:val="subscript"/>
        </w:rPr>
        <w:t>2</w:t>
      </w:r>
      <w:r w:rsidRPr="00FC2148">
        <w:t xml:space="preserve"> emissions from the </w:t>
      </w:r>
      <w:r w:rsidR="005F55F3" w:rsidRPr="00FC2148">
        <w:t>analysed</w:t>
      </w:r>
      <w:r w:rsidRPr="00FC2148">
        <w:t xml:space="preserve"> technological configurations</w:t>
      </w:r>
    </w:p>
    <w:p w14:paraId="3EF3A630" w14:textId="0D077380" w:rsidR="00C316D4" w:rsidRDefault="009931AA" w:rsidP="00FE165B">
      <w:pPr>
        <w:pStyle w:val="CETBodytext"/>
      </w:pPr>
      <w:r>
        <w:t>The</w:t>
      </w:r>
      <w:r w:rsidR="00C316D4">
        <w:t xml:space="preserve"> Alternative </w:t>
      </w:r>
      <w:r w:rsidR="0011659E">
        <w:t xml:space="preserve">configuration </w:t>
      </w:r>
      <w:r w:rsidR="00C316D4">
        <w:t>does not give advantages in terms of reduced CO</w:t>
      </w:r>
      <w:r w:rsidR="00C316D4" w:rsidRPr="46FF629A">
        <w:rPr>
          <w:vertAlign w:val="subscript"/>
        </w:rPr>
        <w:t>2</w:t>
      </w:r>
      <w:r w:rsidR="00C316D4">
        <w:t xml:space="preserve"> emissions. This </w:t>
      </w:r>
      <w:r w:rsidR="00AC4509">
        <w:t xml:space="preserve">result is </w:t>
      </w:r>
      <w:r w:rsidR="00146EE3">
        <w:t xml:space="preserve">because the consumptions, fuel for the </w:t>
      </w:r>
      <w:r w:rsidR="0011659E">
        <w:t>b</w:t>
      </w:r>
      <w:r w:rsidR="00146EE3">
        <w:t xml:space="preserve">ase </w:t>
      </w:r>
      <w:r w:rsidR="0011659E">
        <w:t>c</w:t>
      </w:r>
      <w:r w:rsidR="00146EE3">
        <w:t xml:space="preserve">ase, and electricity for the </w:t>
      </w:r>
      <w:r w:rsidR="0011659E">
        <w:t>a</w:t>
      </w:r>
      <w:r w:rsidR="00146EE3">
        <w:t xml:space="preserve">lternative </w:t>
      </w:r>
      <w:r w:rsidR="0011659E">
        <w:t>configuration</w:t>
      </w:r>
      <w:r w:rsidR="00146EE3">
        <w:t xml:space="preserve">, are associated </w:t>
      </w:r>
      <w:r w:rsidR="00CE607F">
        <w:t xml:space="preserve">to </w:t>
      </w:r>
      <w:r w:rsidR="00146EE3">
        <w:t>different emission factors</w:t>
      </w:r>
      <w:r w:rsidR="00CE607F">
        <w:t xml:space="preserve">. The </w:t>
      </w:r>
      <w:r w:rsidR="00146EE3">
        <w:t xml:space="preserve">fuel emission factor </w:t>
      </w:r>
      <w:r w:rsidR="00CE607F">
        <w:t xml:space="preserve">is </w:t>
      </w:r>
      <w:r w:rsidR="00146EE3">
        <w:t>lower than the electricity emission factor</w:t>
      </w:r>
      <w:r w:rsidR="00CE607F">
        <w:t xml:space="preserve"> in this case study</w:t>
      </w:r>
      <w:r w:rsidR="00146EE3">
        <w:t xml:space="preserve">. In the </w:t>
      </w:r>
      <w:r w:rsidR="0011659E">
        <w:t>b</w:t>
      </w:r>
      <w:r w:rsidR="00146EE3">
        <w:t xml:space="preserve">ase </w:t>
      </w:r>
      <w:r w:rsidR="004850B7">
        <w:t>configuration</w:t>
      </w:r>
      <w:r w:rsidR="00146EE3">
        <w:t>, in fact, the energy required for the compressors</w:t>
      </w:r>
      <w:r w:rsidR="00C111F9">
        <w:t>’</w:t>
      </w:r>
      <w:r w:rsidR="00146EE3">
        <w:t xml:space="preserve"> operation is produced via the combustion of light, </w:t>
      </w:r>
      <w:r w:rsidR="00C111F9">
        <w:t>hydrogen-rich off-gas (H</w:t>
      </w:r>
      <w:r w:rsidR="00C111F9" w:rsidRPr="46FF629A">
        <w:rPr>
          <w:vertAlign w:val="subscript"/>
        </w:rPr>
        <w:t>2</w:t>
      </w:r>
      <w:r w:rsidR="00C111F9">
        <w:t>: 55% vol., CH</w:t>
      </w:r>
      <w:r w:rsidR="00C111F9" w:rsidRPr="46FF629A">
        <w:rPr>
          <w:vertAlign w:val="subscript"/>
        </w:rPr>
        <w:t>4</w:t>
      </w:r>
      <w:r w:rsidR="00C111F9">
        <w:t>: 31% vol), turning into a low</w:t>
      </w:r>
      <w:r w:rsidR="00146EE3">
        <w:t xml:space="preserve"> equivalent emission factor; on the </w:t>
      </w:r>
      <w:r w:rsidR="00C111F9">
        <w:t xml:space="preserve">other hand for the </w:t>
      </w:r>
      <w:r w:rsidR="0011659E">
        <w:t>a</w:t>
      </w:r>
      <w:r w:rsidR="00C111F9">
        <w:t xml:space="preserve">lternative </w:t>
      </w:r>
      <w:r w:rsidR="0011659E">
        <w:t>configuration</w:t>
      </w:r>
      <w:r w:rsidR="00C111F9">
        <w:t xml:space="preserve">, in the region (Russia)  </w:t>
      </w:r>
      <w:r w:rsidR="00F60F66">
        <w:t>where the plant is located</w:t>
      </w:r>
      <w:r w:rsidR="00C111F9">
        <w:t>,</w:t>
      </w:r>
      <w:r w:rsidR="00C21568">
        <w:t xml:space="preserve"> </w:t>
      </w:r>
      <w:r w:rsidR="00C316D4">
        <w:t>the</w:t>
      </w:r>
      <w:r w:rsidR="00C111F9">
        <w:t xml:space="preserve"> </w:t>
      </w:r>
      <w:r w:rsidR="00C316D4">
        <w:t>electrical energy</w:t>
      </w:r>
      <w:r w:rsidR="00F60F66">
        <w:t xml:space="preserve"> </w:t>
      </w:r>
      <w:r w:rsidR="007D0A18">
        <w:t xml:space="preserve">imported from outside the plant </w:t>
      </w:r>
      <w:r w:rsidR="00C111F9">
        <w:t>to drive the compressors is</w:t>
      </w:r>
      <w:r w:rsidR="00C316D4">
        <w:t xml:space="preserve"> mainly produced by coal combustion</w:t>
      </w:r>
      <w:r w:rsidR="00F60F66">
        <w:t xml:space="preserve">, turning </w:t>
      </w:r>
      <w:r w:rsidR="00C111F9">
        <w:t>into a high emission factor (0.893 tCO2/MWh)</w:t>
      </w:r>
      <w:r w:rsidR="007D0A18">
        <w:t>.</w:t>
      </w:r>
    </w:p>
    <w:p w14:paraId="02D90F7D" w14:textId="4C57A052" w:rsidR="00C111F9" w:rsidRPr="00FC2148" w:rsidRDefault="00C111F9" w:rsidP="00FE165B">
      <w:pPr>
        <w:pStyle w:val="CETBodytext"/>
      </w:pPr>
      <w:r w:rsidRPr="00733A1C">
        <w:t>The emission factor of the fuel depends on</w:t>
      </w:r>
      <w:r w:rsidR="007D0A18">
        <w:t>ly on</w:t>
      </w:r>
      <w:r w:rsidRPr="00733A1C">
        <w:t xml:space="preserve"> the fuel composition, but not on the geographic location of the plant. Conversely, the electricity emissions factor is highly dependent on the geographic location of the plant, since it results from the fuels mix used for power generation </w:t>
      </w:r>
      <w:r w:rsidR="007D0A18">
        <w:t>in that</w:t>
      </w:r>
      <w:r w:rsidRPr="00733A1C">
        <w:t xml:space="preserve"> region</w:t>
      </w:r>
      <w:r w:rsidR="007D0A18">
        <w:t>.</w:t>
      </w:r>
      <w:r w:rsidR="007D0A18" w:rsidRPr="00733A1C">
        <w:t xml:space="preserve"> The emission factors of electricity may vary greatly worldwide, ranging from 0.047 tCO</w:t>
      </w:r>
      <w:r w:rsidR="007D0A18" w:rsidRPr="00733A1C">
        <w:rPr>
          <w:vertAlign w:val="subscript"/>
        </w:rPr>
        <w:t>2</w:t>
      </w:r>
      <w:r w:rsidR="007D0A18" w:rsidRPr="00733A1C">
        <w:t>/MWh in France</w:t>
      </w:r>
      <w:r w:rsidR="007D0A18" w:rsidRPr="00233441">
        <w:t xml:space="preserve"> </w:t>
      </w:r>
      <w:r w:rsidR="007D0A18" w:rsidRPr="00733A1C">
        <w:t>to 0.476 tCO</w:t>
      </w:r>
      <w:r w:rsidR="007D0A18" w:rsidRPr="00733A1C">
        <w:rPr>
          <w:vertAlign w:val="subscript"/>
        </w:rPr>
        <w:t>2</w:t>
      </w:r>
      <w:r w:rsidR="007D0A18" w:rsidRPr="00733A1C">
        <w:t>/MWh in United States to 0.9</w:t>
      </w:r>
      <w:r w:rsidR="0011659E">
        <w:t>61</w:t>
      </w:r>
      <w:r w:rsidR="007D0A18" w:rsidRPr="00733A1C">
        <w:t xml:space="preserve"> tonCO</w:t>
      </w:r>
      <w:r w:rsidR="007D0A18" w:rsidRPr="00733A1C">
        <w:rPr>
          <w:vertAlign w:val="subscript"/>
        </w:rPr>
        <w:t>2</w:t>
      </w:r>
      <w:r w:rsidR="007D0A18" w:rsidRPr="00733A1C">
        <w:t>/MWh in South Africa</w:t>
      </w:r>
      <w:r w:rsidR="0011659E">
        <w:t>.</w:t>
      </w:r>
      <w:r w:rsidR="007D0A18" w:rsidRPr="00733A1C">
        <w:t xml:space="preserve"> </w:t>
      </w:r>
    </w:p>
    <w:p w14:paraId="345899BC" w14:textId="4AB3EC05" w:rsidR="009559E0" w:rsidRDefault="007D0A18" w:rsidP="00FE165B">
      <w:pPr>
        <w:pStyle w:val="CETBodytext"/>
      </w:pPr>
      <w:r>
        <w:t>Starting</w:t>
      </w:r>
      <w:r w:rsidR="00DE7EDD">
        <w:t xml:space="preserve"> </w:t>
      </w:r>
      <w:r>
        <w:t>from this consideration</w:t>
      </w:r>
      <w:r w:rsidR="0019555C">
        <w:t>, it is</w:t>
      </w:r>
      <w:r w:rsidR="00C316D4">
        <w:t xml:space="preserve"> </w:t>
      </w:r>
      <w:r>
        <w:t xml:space="preserve">therefore </w:t>
      </w:r>
      <w:r w:rsidR="00C316D4">
        <w:t xml:space="preserve">interesting to assess </w:t>
      </w:r>
      <w:r>
        <w:t>the impact</w:t>
      </w:r>
      <w:r w:rsidR="00C316D4">
        <w:t>, in terms of CO</w:t>
      </w:r>
      <w:r w:rsidR="00C316D4" w:rsidRPr="3195F864">
        <w:rPr>
          <w:vertAlign w:val="subscript"/>
        </w:rPr>
        <w:t>2</w:t>
      </w:r>
      <w:r w:rsidR="00C316D4">
        <w:t xml:space="preserve"> emissions, </w:t>
      </w:r>
      <w:r>
        <w:t xml:space="preserve">of the </w:t>
      </w:r>
      <w:r w:rsidR="0011659E">
        <w:t>al</w:t>
      </w:r>
      <w:r>
        <w:t xml:space="preserve">ternative </w:t>
      </w:r>
      <w:r w:rsidR="0011659E">
        <w:t>configuration</w:t>
      </w:r>
      <w:r>
        <w:t xml:space="preserve"> in </w:t>
      </w:r>
      <w:r w:rsidR="00C316D4">
        <w:t xml:space="preserve">case the plant would be in a different geographical area, </w:t>
      </w:r>
      <w:r w:rsidR="00380D14">
        <w:t>characterized</w:t>
      </w:r>
      <w:r w:rsidR="00C316D4">
        <w:t xml:space="preserve"> by a different </w:t>
      </w:r>
      <w:r w:rsidR="004F6BCC">
        <w:t xml:space="preserve">electrical </w:t>
      </w:r>
      <w:r w:rsidR="00C316D4">
        <w:t xml:space="preserve">emission factor. </w:t>
      </w:r>
      <w:r w:rsidR="004D16C6">
        <w:t xml:space="preserve">This </w:t>
      </w:r>
      <w:r w:rsidR="0011659E">
        <w:t>a</w:t>
      </w:r>
      <w:r w:rsidR="00C316D4">
        <w:t xml:space="preserve">nalysis has been performed by </w:t>
      </w:r>
      <w:r w:rsidR="0011659E">
        <w:t>considering the electricity emission factors</w:t>
      </w:r>
      <w:r w:rsidR="00C316D4">
        <w:t xml:space="preserve"> </w:t>
      </w:r>
      <w:r w:rsidR="0084404A">
        <w:t xml:space="preserve">of different geographical areas as </w:t>
      </w:r>
      <w:r w:rsidR="00C316D4">
        <w:t xml:space="preserve">reported in </w:t>
      </w:r>
      <w:r w:rsidR="00CE45CE">
        <w:t xml:space="preserve">literature </w:t>
      </w:r>
      <w:r w:rsidR="00A1117F">
        <w:t>(Carbon Footprint, 2019)</w:t>
      </w:r>
      <w:r w:rsidR="004E0C7E">
        <w:t>,</w:t>
      </w:r>
      <w:r w:rsidR="0011659E">
        <w:t xml:space="preserve"> </w:t>
      </w:r>
      <w:r w:rsidR="00DE7EDD">
        <w:t xml:space="preserve">under the assumption that </w:t>
      </w:r>
      <w:r w:rsidR="0011659E">
        <w:t>the energy required to drive the compressors would be the same, irrespective of the plant location. Results are reported in Table 2</w:t>
      </w:r>
      <w:r w:rsidR="00C316D4">
        <w:t xml:space="preserve">. </w:t>
      </w:r>
      <w:r w:rsidR="0084404A">
        <w:t>T</w:t>
      </w:r>
      <w:r w:rsidR="008F6F94">
        <w:t>he</w:t>
      </w:r>
      <w:r w:rsidR="00424E71">
        <w:t xml:space="preserve"> alternative configuration would allow </w:t>
      </w:r>
      <w:r w:rsidR="00EF6EC6">
        <w:t xml:space="preserve">to </w:t>
      </w:r>
      <w:r w:rsidR="00424E71">
        <w:t xml:space="preserve">lower the emissions </w:t>
      </w:r>
      <w:r w:rsidR="0084404A">
        <w:t xml:space="preserve">with respect to the base case </w:t>
      </w:r>
      <w:r w:rsidR="00424E71">
        <w:t xml:space="preserve">in geographical areas where the electrical emission factor is lower than </w:t>
      </w:r>
      <w:r w:rsidR="0011659E">
        <w:t>a</w:t>
      </w:r>
      <w:r w:rsidR="00424E71">
        <w:t xml:space="preserve"> threshold value </w:t>
      </w:r>
      <w:r w:rsidR="00EF6EC6">
        <w:t xml:space="preserve">of </w:t>
      </w:r>
      <w:r w:rsidR="00424E71">
        <w:t>0.5 tCO</w:t>
      </w:r>
      <w:r w:rsidR="00424E71" w:rsidRPr="3195F864">
        <w:rPr>
          <w:vertAlign w:val="subscript"/>
        </w:rPr>
        <w:t>2</w:t>
      </w:r>
      <w:r w:rsidR="00424E71">
        <w:t>/MWh.</w:t>
      </w:r>
      <w:r w:rsidR="00EF6EC6">
        <w:t xml:space="preserve"> </w:t>
      </w:r>
    </w:p>
    <w:p w14:paraId="36EBC9E4" w14:textId="239ED15D" w:rsidR="00AE7E33" w:rsidRDefault="00AE7E33" w:rsidP="00FE165B">
      <w:pPr>
        <w:pStyle w:val="CETBodytext"/>
      </w:pPr>
    </w:p>
    <w:tbl>
      <w:tblPr>
        <w:tblW w:w="63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05"/>
        <w:gridCol w:w="1065"/>
        <w:gridCol w:w="1170"/>
        <w:gridCol w:w="1350"/>
      </w:tblGrid>
      <w:tr w:rsidR="00F77B6B" w:rsidRPr="00B57B36" w14:paraId="60DE2E01" w14:textId="7D0ED526" w:rsidTr="009E7A8B">
        <w:tc>
          <w:tcPr>
            <w:tcW w:w="2805" w:type="dxa"/>
            <w:tcBorders>
              <w:top w:val="single" w:sz="12" w:space="0" w:color="008000"/>
              <w:bottom w:val="single" w:sz="6" w:space="0" w:color="008000"/>
            </w:tcBorders>
            <w:shd w:val="clear" w:color="auto" w:fill="FFFFFF" w:themeFill="background1"/>
          </w:tcPr>
          <w:p w14:paraId="7A1B68D7" w14:textId="2F811E76" w:rsidR="00F77B6B" w:rsidRPr="00B57B36" w:rsidRDefault="00F77B6B" w:rsidP="00974DFB">
            <w:pPr>
              <w:pStyle w:val="CETBodytext"/>
              <w:rPr>
                <w:lang w:val="en-GB"/>
              </w:rPr>
            </w:pPr>
            <w:r>
              <w:rPr>
                <w:lang w:val="en-GB"/>
              </w:rPr>
              <w:t>Country</w:t>
            </w:r>
            <w:r w:rsidRPr="00B57B36">
              <w:rPr>
                <w:lang w:val="en-GB"/>
              </w:rPr>
              <w:t xml:space="preserve"> </w:t>
            </w:r>
          </w:p>
        </w:tc>
        <w:tc>
          <w:tcPr>
            <w:tcW w:w="1065" w:type="dxa"/>
            <w:tcBorders>
              <w:top w:val="single" w:sz="12" w:space="0" w:color="008000"/>
              <w:bottom w:val="single" w:sz="6" w:space="0" w:color="008000"/>
            </w:tcBorders>
            <w:shd w:val="clear" w:color="auto" w:fill="FFFFFF" w:themeFill="background1"/>
          </w:tcPr>
          <w:p w14:paraId="0891EA82" w14:textId="3449249B" w:rsidR="00F77B6B" w:rsidRPr="00B57B36" w:rsidRDefault="00F77B6B" w:rsidP="00974DFB">
            <w:pPr>
              <w:pStyle w:val="CETBodytext"/>
              <w:rPr>
                <w:lang w:val="en-GB"/>
              </w:rPr>
            </w:pPr>
            <w:r>
              <w:rPr>
                <w:lang w:val="en-GB"/>
              </w:rPr>
              <w:t>Electrical Emission Factor [</w:t>
            </w:r>
            <w:r w:rsidRPr="00FC2148">
              <w:t>tCO</w:t>
            </w:r>
            <w:r w:rsidRPr="00FC2148">
              <w:rPr>
                <w:vertAlign w:val="subscript"/>
              </w:rPr>
              <w:t>2</w:t>
            </w:r>
            <w:r w:rsidRPr="00FC2148">
              <w:t>/MWh</w:t>
            </w:r>
            <w:r>
              <w:t>]</w:t>
            </w:r>
          </w:p>
        </w:tc>
        <w:tc>
          <w:tcPr>
            <w:tcW w:w="1170" w:type="dxa"/>
            <w:tcBorders>
              <w:top w:val="single" w:sz="12" w:space="0" w:color="008000"/>
              <w:bottom w:val="single" w:sz="6" w:space="0" w:color="008000"/>
            </w:tcBorders>
            <w:shd w:val="clear" w:color="auto" w:fill="FFFFFF" w:themeFill="background1"/>
          </w:tcPr>
          <w:p w14:paraId="3D14127C" w14:textId="77777777" w:rsidR="00F77B6B" w:rsidRDefault="00F77B6B" w:rsidP="00974DFB">
            <w:pPr>
              <w:pStyle w:val="CETBodytext"/>
              <w:rPr>
                <w:lang w:val="en-GB"/>
              </w:rPr>
            </w:pPr>
          </w:p>
        </w:tc>
        <w:tc>
          <w:tcPr>
            <w:tcW w:w="1350" w:type="dxa"/>
            <w:tcBorders>
              <w:top w:val="single" w:sz="12" w:space="0" w:color="008000"/>
              <w:bottom w:val="single" w:sz="6" w:space="0" w:color="008000"/>
            </w:tcBorders>
            <w:shd w:val="clear" w:color="auto" w:fill="FFFFFF" w:themeFill="background1"/>
          </w:tcPr>
          <w:p w14:paraId="4615E64E" w14:textId="75CE350A" w:rsidR="00F77B6B" w:rsidRDefault="002D6403" w:rsidP="00974DFB">
            <w:pPr>
              <w:pStyle w:val="CETBodytext"/>
              <w:rPr>
                <w:lang w:val="en-GB"/>
              </w:rPr>
            </w:pPr>
            <w:r>
              <w:rPr>
                <w:lang w:val="en-GB"/>
              </w:rPr>
              <w:t xml:space="preserve">Carbon </w:t>
            </w:r>
            <w:r w:rsidR="00FB00A9">
              <w:rPr>
                <w:lang w:val="en-GB"/>
              </w:rPr>
              <w:t>F</w:t>
            </w:r>
            <w:r>
              <w:rPr>
                <w:lang w:val="en-GB"/>
              </w:rPr>
              <w:t>ootprint [tCO</w:t>
            </w:r>
            <w:r w:rsidRPr="00733A1C">
              <w:rPr>
                <w:vertAlign w:val="subscript"/>
                <w:lang w:val="en-GB"/>
              </w:rPr>
              <w:t>2</w:t>
            </w:r>
            <w:r>
              <w:rPr>
                <w:lang w:val="en-GB"/>
              </w:rPr>
              <w:t>/y]</w:t>
            </w:r>
          </w:p>
        </w:tc>
      </w:tr>
      <w:tr w:rsidR="00D42E97" w:rsidRPr="00B57B36" w14:paraId="3E082E2F" w14:textId="77777777" w:rsidTr="009E7A8B">
        <w:tc>
          <w:tcPr>
            <w:tcW w:w="2805" w:type="dxa"/>
            <w:shd w:val="clear" w:color="auto" w:fill="FFFFFF" w:themeFill="background1"/>
          </w:tcPr>
          <w:p w14:paraId="5D9F3D92" w14:textId="1A924AD4" w:rsidR="00D42E97" w:rsidRDefault="00D42E97" w:rsidP="00D42E97">
            <w:pPr>
              <w:pStyle w:val="CETBodytext"/>
              <w:rPr>
                <w:lang w:val="en-GB"/>
              </w:rPr>
            </w:pPr>
            <w:r>
              <w:rPr>
                <w:rFonts w:cs="Arial"/>
                <w:szCs w:val="18"/>
                <w:lang w:val="en-GB"/>
              </w:rPr>
              <w:t>France</w:t>
            </w:r>
          </w:p>
        </w:tc>
        <w:tc>
          <w:tcPr>
            <w:tcW w:w="1065" w:type="dxa"/>
            <w:shd w:val="clear" w:color="auto" w:fill="FFFFFF" w:themeFill="background1"/>
          </w:tcPr>
          <w:p w14:paraId="410A0419" w14:textId="794D7264" w:rsidR="00D42E97" w:rsidRDefault="00D42E97" w:rsidP="00D42E97">
            <w:pPr>
              <w:pStyle w:val="CETBodytext"/>
              <w:rPr>
                <w:lang w:val="en-GB"/>
              </w:rPr>
            </w:pPr>
            <w:r>
              <w:rPr>
                <w:rFonts w:cs="Arial"/>
                <w:szCs w:val="18"/>
                <w:lang w:val="en-GB"/>
              </w:rPr>
              <w:t>0.047</w:t>
            </w:r>
          </w:p>
        </w:tc>
        <w:tc>
          <w:tcPr>
            <w:tcW w:w="1170" w:type="dxa"/>
            <w:shd w:val="clear" w:color="auto" w:fill="FFFFFF" w:themeFill="background1"/>
          </w:tcPr>
          <w:p w14:paraId="384C08CD" w14:textId="77777777" w:rsidR="00D42E97" w:rsidRDefault="00D42E97" w:rsidP="00D42E97">
            <w:pPr>
              <w:pStyle w:val="CETBodytext"/>
              <w:rPr>
                <w:lang w:val="en-GB"/>
              </w:rPr>
            </w:pPr>
          </w:p>
        </w:tc>
        <w:tc>
          <w:tcPr>
            <w:tcW w:w="1350" w:type="dxa"/>
            <w:shd w:val="clear" w:color="auto" w:fill="FFFFFF" w:themeFill="background1"/>
          </w:tcPr>
          <w:p w14:paraId="57FA7285" w14:textId="0E6CE5AC" w:rsidR="00D42E97" w:rsidRDefault="00802C75" w:rsidP="00D42E97">
            <w:pPr>
              <w:pStyle w:val="CETBodytext"/>
              <w:rPr>
                <w:lang w:val="en-GB"/>
              </w:rPr>
            </w:pPr>
            <w:r>
              <w:rPr>
                <w:lang w:val="en-GB"/>
              </w:rPr>
              <w:t>20,078</w:t>
            </w:r>
          </w:p>
        </w:tc>
      </w:tr>
      <w:tr w:rsidR="00D42E97" w:rsidRPr="00B57B36" w14:paraId="29692061" w14:textId="77777777" w:rsidTr="009E7A8B">
        <w:tc>
          <w:tcPr>
            <w:tcW w:w="2805" w:type="dxa"/>
            <w:shd w:val="clear" w:color="auto" w:fill="FFFFFF" w:themeFill="background1"/>
          </w:tcPr>
          <w:p w14:paraId="5B176BB9" w14:textId="2B2A5C31" w:rsidR="00D42E97" w:rsidRDefault="00D42E97" w:rsidP="00D42E97">
            <w:pPr>
              <w:pStyle w:val="CETBodytext"/>
              <w:rPr>
                <w:lang w:val="en-GB"/>
              </w:rPr>
            </w:pPr>
            <w:r>
              <w:rPr>
                <w:rFonts w:cs="Arial"/>
                <w:szCs w:val="18"/>
                <w:lang w:val="en-GB"/>
              </w:rPr>
              <w:t>Germany</w:t>
            </w:r>
          </w:p>
        </w:tc>
        <w:tc>
          <w:tcPr>
            <w:tcW w:w="1065" w:type="dxa"/>
            <w:shd w:val="clear" w:color="auto" w:fill="FFFFFF" w:themeFill="background1"/>
          </w:tcPr>
          <w:p w14:paraId="2C8C75F2" w14:textId="131F9301" w:rsidR="00D42E97" w:rsidRDefault="00D42E97" w:rsidP="00D42E97">
            <w:pPr>
              <w:pStyle w:val="CETBodytext"/>
              <w:rPr>
                <w:lang w:val="en-GB"/>
              </w:rPr>
            </w:pPr>
            <w:r>
              <w:rPr>
                <w:rFonts w:cs="Arial"/>
                <w:szCs w:val="18"/>
                <w:lang w:val="en-GB"/>
              </w:rPr>
              <w:t>0.469</w:t>
            </w:r>
          </w:p>
        </w:tc>
        <w:tc>
          <w:tcPr>
            <w:tcW w:w="1170" w:type="dxa"/>
            <w:shd w:val="clear" w:color="auto" w:fill="FFFFFF" w:themeFill="background1"/>
          </w:tcPr>
          <w:p w14:paraId="2395814F" w14:textId="77777777" w:rsidR="00D42E97" w:rsidRDefault="00D42E97" w:rsidP="00D42E97">
            <w:pPr>
              <w:pStyle w:val="CETBodytext"/>
              <w:rPr>
                <w:lang w:val="en-GB"/>
              </w:rPr>
            </w:pPr>
          </w:p>
        </w:tc>
        <w:tc>
          <w:tcPr>
            <w:tcW w:w="1350" w:type="dxa"/>
            <w:shd w:val="clear" w:color="auto" w:fill="FFFFFF" w:themeFill="background1"/>
          </w:tcPr>
          <w:p w14:paraId="398E769C" w14:textId="25715EEF" w:rsidR="00D42E97" w:rsidRDefault="008310A2" w:rsidP="00D42E97">
            <w:pPr>
              <w:pStyle w:val="CETBodytext"/>
              <w:rPr>
                <w:lang w:val="en-GB"/>
              </w:rPr>
            </w:pPr>
            <w:r>
              <w:rPr>
                <w:lang w:val="en-GB"/>
              </w:rPr>
              <w:t>200,361</w:t>
            </w:r>
          </w:p>
        </w:tc>
      </w:tr>
      <w:tr w:rsidR="00D42E97" w:rsidRPr="00B57B36" w14:paraId="7BFAA1E6" w14:textId="77777777" w:rsidTr="009E7A8B">
        <w:tc>
          <w:tcPr>
            <w:tcW w:w="2805" w:type="dxa"/>
            <w:shd w:val="clear" w:color="auto" w:fill="FFFFFF" w:themeFill="background1"/>
          </w:tcPr>
          <w:p w14:paraId="428BC77F" w14:textId="012204DE" w:rsidR="00D42E97" w:rsidRDefault="00D42E97" w:rsidP="00D42E97">
            <w:pPr>
              <w:pStyle w:val="CETBodytext"/>
              <w:rPr>
                <w:lang w:val="en-GB"/>
              </w:rPr>
            </w:pPr>
            <w:r>
              <w:rPr>
                <w:lang w:val="en-GB"/>
              </w:rPr>
              <w:t>USA</w:t>
            </w:r>
          </w:p>
        </w:tc>
        <w:tc>
          <w:tcPr>
            <w:tcW w:w="1065" w:type="dxa"/>
            <w:shd w:val="clear" w:color="auto" w:fill="FFFFFF" w:themeFill="background1"/>
          </w:tcPr>
          <w:p w14:paraId="07711D3F" w14:textId="11216622" w:rsidR="00D42E97" w:rsidRDefault="00D42E97" w:rsidP="00D42E97">
            <w:pPr>
              <w:pStyle w:val="CETBodytext"/>
              <w:rPr>
                <w:lang w:val="en-GB"/>
              </w:rPr>
            </w:pPr>
            <w:r>
              <w:rPr>
                <w:lang w:val="en-GB"/>
              </w:rPr>
              <w:t>0.4759</w:t>
            </w:r>
          </w:p>
        </w:tc>
        <w:tc>
          <w:tcPr>
            <w:tcW w:w="1170" w:type="dxa"/>
            <w:shd w:val="clear" w:color="auto" w:fill="FFFFFF" w:themeFill="background1"/>
          </w:tcPr>
          <w:p w14:paraId="197B9FA7" w14:textId="77777777" w:rsidR="00D42E97" w:rsidRDefault="00D42E97" w:rsidP="00D42E97">
            <w:pPr>
              <w:pStyle w:val="CETBodytext"/>
              <w:rPr>
                <w:lang w:val="en-GB"/>
              </w:rPr>
            </w:pPr>
          </w:p>
        </w:tc>
        <w:tc>
          <w:tcPr>
            <w:tcW w:w="1350" w:type="dxa"/>
            <w:shd w:val="clear" w:color="auto" w:fill="FFFFFF" w:themeFill="background1"/>
          </w:tcPr>
          <w:p w14:paraId="36A89220" w14:textId="75503EDB" w:rsidR="00D42E97" w:rsidRDefault="008310A2" w:rsidP="00D42E97">
            <w:pPr>
              <w:pStyle w:val="CETBodytext"/>
              <w:rPr>
                <w:lang w:val="en-GB"/>
              </w:rPr>
            </w:pPr>
            <w:r>
              <w:rPr>
                <w:lang w:val="en-GB"/>
              </w:rPr>
              <w:t>203,308</w:t>
            </w:r>
          </w:p>
        </w:tc>
      </w:tr>
      <w:tr w:rsidR="00D42E97" w:rsidRPr="00B57B36" w14:paraId="56266F3B" w14:textId="77777777" w:rsidTr="009E7A8B">
        <w:tc>
          <w:tcPr>
            <w:tcW w:w="2805" w:type="dxa"/>
            <w:shd w:val="clear" w:color="auto" w:fill="FFFFFF" w:themeFill="background1"/>
          </w:tcPr>
          <w:p w14:paraId="2B7D17CC" w14:textId="042CB1D0" w:rsidR="00D42E97" w:rsidRDefault="00D42E97" w:rsidP="00D42E97">
            <w:pPr>
              <w:pStyle w:val="CETBodytext"/>
              <w:ind w:right="-1"/>
              <w:rPr>
                <w:rFonts w:cs="Arial"/>
                <w:szCs w:val="18"/>
                <w:lang w:val="en-GB"/>
              </w:rPr>
            </w:pPr>
            <w:r>
              <w:rPr>
                <w:rFonts w:cs="Arial"/>
                <w:szCs w:val="18"/>
                <w:lang w:val="en-GB"/>
              </w:rPr>
              <w:t>China</w:t>
            </w:r>
          </w:p>
        </w:tc>
        <w:tc>
          <w:tcPr>
            <w:tcW w:w="1065" w:type="dxa"/>
            <w:shd w:val="clear" w:color="auto" w:fill="FFFFFF" w:themeFill="background1"/>
          </w:tcPr>
          <w:p w14:paraId="7906A6CD" w14:textId="7595B08F" w:rsidR="00D42E97" w:rsidRPr="00B57B36" w:rsidRDefault="00D42E97" w:rsidP="00D42E97">
            <w:pPr>
              <w:pStyle w:val="CETBodytext"/>
              <w:ind w:right="-1"/>
              <w:rPr>
                <w:rFonts w:cs="Arial"/>
                <w:szCs w:val="18"/>
                <w:lang w:val="en-GB"/>
              </w:rPr>
            </w:pPr>
            <w:r>
              <w:rPr>
                <w:rFonts w:cs="Arial"/>
                <w:szCs w:val="18"/>
                <w:lang w:val="en-GB"/>
              </w:rPr>
              <w:t>0.6236</w:t>
            </w:r>
          </w:p>
        </w:tc>
        <w:tc>
          <w:tcPr>
            <w:tcW w:w="1170" w:type="dxa"/>
            <w:shd w:val="clear" w:color="auto" w:fill="FFFFFF" w:themeFill="background1"/>
          </w:tcPr>
          <w:p w14:paraId="0F3A016F" w14:textId="77777777" w:rsidR="00D42E97" w:rsidRDefault="00D42E97" w:rsidP="00D42E97">
            <w:pPr>
              <w:pStyle w:val="CETBodytext"/>
              <w:ind w:right="-1"/>
              <w:rPr>
                <w:rFonts w:cs="Arial"/>
                <w:szCs w:val="18"/>
                <w:lang w:val="en-GB"/>
              </w:rPr>
            </w:pPr>
          </w:p>
        </w:tc>
        <w:tc>
          <w:tcPr>
            <w:tcW w:w="1350" w:type="dxa"/>
            <w:shd w:val="clear" w:color="auto" w:fill="FFFFFF" w:themeFill="background1"/>
          </w:tcPr>
          <w:p w14:paraId="3F55B5A6" w14:textId="717FA761" w:rsidR="00D42E97" w:rsidRDefault="00D42E97" w:rsidP="00D42E97">
            <w:pPr>
              <w:pStyle w:val="CETBodytext"/>
              <w:ind w:right="-1"/>
              <w:rPr>
                <w:rFonts w:cs="Arial"/>
                <w:szCs w:val="18"/>
                <w:lang w:val="en-GB"/>
              </w:rPr>
            </w:pPr>
            <w:r>
              <w:rPr>
                <w:rFonts w:cs="Arial"/>
                <w:szCs w:val="18"/>
                <w:lang w:val="en-GB"/>
              </w:rPr>
              <w:t>266,407</w:t>
            </w:r>
          </w:p>
        </w:tc>
      </w:tr>
      <w:tr w:rsidR="00D42E97" w:rsidRPr="00B57B36" w14:paraId="02107402" w14:textId="77777777" w:rsidTr="009E7A8B">
        <w:tc>
          <w:tcPr>
            <w:tcW w:w="2805" w:type="dxa"/>
            <w:shd w:val="clear" w:color="auto" w:fill="FFFFFF" w:themeFill="background1"/>
          </w:tcPr>
          <w:p w14:paraId="1B8600AE" w14:textId="6FEEEF90" w:rsidR="00D42E97" w:rsidRDefault="00D42E97" w:rsidP="00D42E97">
            <w:pPr>
              <w:pStyle w:val="CETBodytext"/>
              <w:ind w:right="-1"/>
              <w:rPr>
                <w:rFonts w:cs="Arial"/>
                <w:szCs w:val="18"/>
                <w:lang w:val="en-GB"/>
              </w:rPr>
            </w:pPr>
            <w:r>
              <w:rPr>
                <w:rFonts w:cs="Arial"/>
                <w:szCs w:val="18"/>
                <w:lang w:val="en-GB"/>
              </w:rPr>
              <w:t>Saudi Arabia</w:t>
            </w:r>
          </w:p>
        </w:tc>
        <w:tc>
          <w:tcPr>
            <w:tcW w:w="1065" w:type="dxa"/>
            <w:shd w:val="clear" w:color="auto" w:fill="FFFFFF" w:themeFill="background1"/>
          </w:tcPr>
          <w:p w14:paraId="7ED4C94E" w14:textId="61C756D7" w:rsidR="00D42E97" w:rsidRPr="00B57B36" w:rsidRDefault="00D42E97" w:rsidP="00D42E97">
            <w:pPr>
              <w:pStyle w:val="CETBodytext"/>
              <w:ind w:right="-1"/>
              <w:rPr>
                <w:rFonts w:cs="Arial"/>
                <w:szCs w:val="18"/>
                <w:lang w:val="en-GB"/>
              </w:rPr>
            </w:pPr>
            <w:r>
              <w:rPr>
                <w:rFonts w:cs="Arial"/>
                <w:szCs w:val="18"/>
                <w:lang w:val="en-GB"/>
              </w:rPr>
              <w:t>0.7176</w:t>
            </w:r>
          </w:p>
        </w:tc>
        <w:tc>
          <w:tcPr>
            <w:tcW w:w="1170" w:type="dxa"/>
            <w:shd w:val="clear" w:color="auto" w:fill="FFFFFF" w:themeFill="background1"/>
          </w:tcPr>
          <w:p w14:paraId="443BBB15" w14:textId="77777777" w:rsidR="00D42E97" w:rsidRDefault="00D42E97" w:rsidP="00D42E97">
            <w:pPr>
              <w:pStyle w:val="CETBodytext"/>
              <w:ind w:right="-1"/>
              <w:rPr>
                <w:rFonts w:cs="Arial"/>
                <w:szCs w:val="18"/>
                <w:lang w:val="en-GB"/>
              </w:rPr>
            </w:pPr>
          </w:p>
        </w:tc>
        <w:tc>
          <w:tcPr>
            <w:tcW w:w="1350" w:type="dxa"/>
            <w:shd w:val="clear" w:color="auto" w:fill="FFFFFF" w:themeFill="background1"/>
          </w:tcPr>
          <w:p w14:paraId="4284F74F" w14:textId="7A2AC2E1" w:rsidR="00D42E97" w:rsidRDefault="00D42E97" w:rsidP="00D42E97">
            <w:pPr>
              <w:pStyle w:val="CETBodytext"/>
              <w:ind w:right="-1"/>
              <w:rPr>
                <w:rFonts w:cs="Arial"/>
                <w:szCs w:val="18"/>
                <w:lang w:val="en-GB"/>
              </w:rPr>
            </w:pPr>
            <w:r>
              <w:rPr>
                <w:rFonts w:cs="Arial"/>
                <w:szCs w:val="18"/>
                <w:lang w:val="en-GB"/>
              </w:rPr>
              <w:t>306,565</w:t>
            </w:r>
          </w:p>
        </w:tc>
      </w:tr>
      <w:tr w:rsidR="00D42E97" w:rsidRPr="00B57B36" w14:paraId="2AE960A0" w14:textId="77777777" w:rsidTr="009E7A8B">
        <w:tc>
          <w:tcPr>
            <w:tcW w:w="2805" w:type="dxa"/>
            <w:shd w:val="clear" w:color="auto" w:fill="FFFFFF" w:themeFill="background1"/>
          </w:tcPr>
          <w:p w14:paraId="4C3F3031" w14:textId="66AA53EA" w:rsidR="00D42E97" w:rsidRDefault="00D42E97" w:rsidP="00D42E97">
            <w:pPr>
              <w:pStyle w:val="CETBodytext"/>
              <w:ind w:right="-1"/>
              <w:rPr>
                <w:rFonts w:cs="Arial"/>
                <w:szCs w:val="18"/>
                <w:lang w:val="en-GB"/>
              </w:rPr>
            </w:pPr>
            <w:r>
              <w:rPr>
                <w:rFonts w:cs="Arial"/>
                <w:szCs w:val="18"/>
                <w:lang w:val="en-GB"/>
              </w:rPr>
              <w:t>Siberia</w:t>
            </w:r>
          </w:p>
        </w:tc>
        <w:tc>
          <w:tcPr>
            <w:tcW w:w="1065" w:type="dxa"/>
            <w:shd w:val="clear" w:color="auto" w:fill="FFFFFF" w:themeFill="background1"/>
          </w:tcPr>
          <w:p w14:paraId="2F289BE0" w14:textId="6D991BBA" w:rsidR="00D42E97" w:rsidRPr="00B57B36" w:rsidRDefault="00D42E97" w:rsidP="00D42E97">
            <w:pPr>
              <w:pStyle w:val="CETBodytext"/>
              <w:ind w:right="-1"/>
              <w:rPr>
                <w:rFonts w:cs="Arial"/>
                <w:szCs w:val="18"/>
                <w:lang w:val="en-GB"/>
              </w:rPr>
            </w:pPr>
            <w:r>
              <w:rPr>
                <w:rFonts w:cs="Arial"/>
                <w:szCs w:val="18"/>
                <w:lang w:val="en-GB"/>
              </w:rPr>
              <w:t>0.893</w:t>
            </w:r>
          </w:p>
        </w:tc>
        <w:tc>
          <w:tcPr>
            <w:tcW w:w="1170" w:type="dxa"/>
            <w:shd w:val="clear" w:color="auto" w:fill="FFFFFF" w:themeFill="background1"/>
          </w:tcPr>
          <w:p w14:paraId="43F0A336" w14:textId="77777777" w:rsidR="00D42E97" w:rsidRDefault="00D42E97" w:rsidP="00D42E97">
            <w:pPr>
              <w:pStyle w:val="CETBodytext"/>
              <w:ind w:right="-1"/>
              <w:rPr>
                <w:rFonts w:cs="Arial"/>
                <w:szCs w:val="18"/>
                <w:lang w:val="en-GB"/>
              </w:rPr>
            </w:pPr>
          </w:p>
        </w:tc>
        <w:tc>
          <w:tcPr>
            <w:tcW w:w="1350" w:type="dxa"/>
            <w:shd w:val="clear" w:color="auto" w:fill="FFFFFF" w:themeFill="background1"/>
          </w:tcPr>
          <w:p w14:paraId="01B2295C" w14:textId="5C8978A3" w:rsidR="00D42E97" w:rsidRDefault="00D42E97" w:rsidP="00D42E97">
            <w:pPr>
              <w:pStyle w:val="CETBodytext"/>
              <w:ind w:right="-1"/>
              <w:rPr>
                <w:rFonts w:cs="Arial"/>
                <w:szCs w:val="18"/>
                <w:lang w:val="en-GB"/>
              </w:rPr>
            </w:pPr>
            <w:r>
              <w:rPr>
                <w:rFonts w:cs="Arial"/>
                <w:szCs w:val="18"/>
                <w:lang w:val="en-GB"/>
              </w:rPr>
              <w:t>381,498</w:t>
            </w:r>
          </w:p>
        </w:tc>
      </w:tr>
      <w:tr w:rsidR="00D42E97" w:rsidRPr="00B57B36" w14:paraId="14ABF3C6" w14:textId="77777777" w:rsidTr="009E7A8B">
        <w:tc>
          <w:tcPr>
            <w:tcW w:w="2805" w:type="dxa"/>
            <w:shd w:val="clear" w:color="auto" w:fill="FFFFFF" w:themeFill="background1"/>
          </w:tcPr>
          <w:p w14:paraId="3C96CD59" w14:textId="163E3B18" w:rsidR="00D42E97" w:rsidRDefault="00D42E97" w:rsidP="00D42E97">
            <w:pPr>
              <w:pStyle w:val="CETBodytext"/>
              <w:ind w:right="-1"/>
              <w:rPr>
                <w:rFonts w:cs="Arial"/>
                <w:szCs w:val="18"/>
                <w:lang w:val="en-GB"/>
              </w:rPr>
            </w:pPr>
            <w:r>
              <w:rPr>
                <w:rFonts w:cs="Arial"/>
                <w:szCs w:val="18"/>
                <w:lang w:val="en-GB"/>
              </w:rPr>
              <w:t>South Africa</w:t>
            </w:r>
          </w:p>
        </w:tc>
        <w:tc>
          <w:tcPr>
            <w:tcW w:w="1065" w:type="dxa"/>
            <w:shd w:val="clear" w:color="auto" w:fill="FFFFFF" w:themeFill="background1"/>
          </w:tcPr>
          <w:p w14:paraId="0050A1C2" w14:textId="0ECBE956" w:rsidR="00D42E97" w:rsidRDefault="00D42E97" w:rsidP="00D42E97">
            <w:pPr>
              <w:pStyle w:val="CETBodytext"/>
              <w:ind w:right="-1"/>
              <w:rPr>
                <w:rFonts w:cs="Arial"/>
                <w:szCs w:val="18"/>
                <w:lang w:val="en-GB"/>
              </w:rPr>
            </w:pPr>
            <w:r>
              <w:rPr>
                <w:rFonts w:cs="Arial"/>
                <w:szCs w:val="18"/>
                <w:lang w:val="en-GB"/>
              </w:rPr>
              <w:t>0.9606</w:t>
            </w:r>
          </w:p>
        </w:tc>
        <w:tc>
          <w:tcPr>
            <w:tcW w:w="1170" w:type="dxa"/>
            <w:shd w:val="clear" w:color="auto" w:fill="FFFFFF" w:themeFill="background1"/>
          </w:tcPr>
          <w:p w14:paraId="305A3B76" w14:textId="77777777" w:rsidR="00D42E97" w:rsidRDefault="00D42E97" w:rsidP="00D42E97">
            <w:pPr>
              <w:pStyle w:val="CETBodytext"/>
              <w:ind w:right="-1"/>
              <w:rPr>
                <w:rFonts w:cs="Arial"/>
                <w:szCs w:val="18"/>
                <w:lang w:val="en-GB"/>
              </w:rPr>
            </w:pPr>
          </w:p>
        </w:tc>
        <w:tc>
          <w:tcPr>
            <w:tcW w:w="1350" w:type="dxa"/>
            <w:shd w:val="clear" w:color="auto" w:fill="FFFFFF" w:themeFill="background1"/>
          </w:tcPr>
          <w:p w14:paraId="10A7E940" w14:textId="2E440D85" w:rsidR="00D42E97" w:rsidRDefault="00D42E97" w:rsidP="00D42E97">
            <w:pPr>
              <w:pStyle w:val="CETBodytext"/>
              <w:ind w:right="-1"/>
              <w:rPr>
                <w:rFonts w:cs="Arial"/>
                <w:szCs w:val="18"/>
                <w:lang w:val="en-GB"/>
              </w:rPr>
            </w:pPr>
            <w:r>
              <w:rPr>
                <w:rFonts w:cs="Arial"/>
                <w:szCs w:val="18"/>
                <w:lang w:val="en-GB"/>
              </w:rPr>
              <w:t>410,377</w:t>
            </w:r>
          </w:p>
        </w:tc>
      </w:tr>
    </w:tbl>
    <w:p w14:paraId="62B19696" w14:textId="77777777" w:rsidR="00595016" w:rsidRDefault="00595016" w:rsidP="00595016">
      <w:pPr>
        <w:pStyle w:val="CETBodytext"/>
        <w:rPr>
          <w:rFonts w:eastAsia="‚l‚r –¾’©"/>
        </w:rPr>
      </w:pPr>
    </w:p>
    <w:p w14:paraId="498A94FA" w14:textId="5A649BD4" w:rsidR="007A794F" w:rsidRDefault="00595016" w:rsidP="009E7A8B">
      <w:pPr>
        <w:pStyle w:val="CETBodytext"/>
        <w:spacing w:line="240" w:lineRule="auto"/>
        <w:jc w:val="left"/>
        <w:rPr>
          <w:rFonts w:eastAsia="‚l‚r –¾’©"/>
          <w:i/>
          <w:iCs/>
        </w:rPr>
      </w:pPr>
      <w:r w:rsidRPr="00380D14">
        <w:rPr>
          <w:i/>
          <w:iCs/>
        </w:rPr>
        <w:t>Table</w:t>
      </w:r>
      <w:r w:rsidR="002D6403">
        <w:rPr>
          <w:i/>
          <w:iCs/>
        </w:rPr>
        <w:t>2</w:t>
      </w:r>
      <w:r w:rsidRPr="00380D14">
        <w:rPr>
          <w:i/>
          <w:iCs/>
        </w:rPr>
        <w:t xml:space="preserve">: </w:t>
      </w:r>
      <w:r w:rsidR="00FB00A9" w:rsidRPr="00FB00A9">
        <w:rPr>
          <w:i/>
          <w:iCs/>
          <w:lang w:val="en-GB"/>
        </w:rPr>
        <w:t>total CO</w:t>
      </w:r>
      <w:r w:rsidR="00FB00A9" w:rsidRPr="00FB00A9">
        <w:rPr>
          <w:i/>
          <w:iCs/>
          <w:vertAlign w:val="subscript"/>
          <w:lang w:val="en-GB"/>
        </w:rPr>
        <w:t>2</w:t>
      </w:r>
      <w:r w:rsidR="00FB00A9" w:rsidRPr="00FB00A9">
        <w:rPr>
          <w:i/>
          <w:iCs/>
          <w:lang w:val="en-GB"/>
        </w:rPr>
        <w:t xml:space="preserve"> emissions as function of emission factor of different </w:t>
      </w:r>
      <w:r w:rsidR="00FB00A9">
        <w:rPr>
          <w:i/>
          <w:iCs/>
          <w:lang w:val="en-GB"/>
        </w:rPr>
        <w:t>countries</w:t>
      </w:r>
      <w:r w:rsidR="00FB00A9" w:rsidRPr="00FB00A9">
        <w:rPr>
          <w:i/>
          <w:iCs/>
          <w:lang w:val="en-GB"/>
        </w:rPr>
        <w:t>, considering the electrical energy consumption as in alternative case</w:t>
      </w:r>
    </w:p>
    <w:p w14:paraId="60BAFEB6" w14:textId="77777777" w:rsidR="00FB00A9" w:rsidRPr="00733A1C" w:rsidRDefault="00FB00A9" w:rsidP="00733A1C">
      <w:pPr>
        <w:pStyle w:val="CETBodytext"/>
        <w:spacing w:line="240" w:lineRule="auto"/>
        <w:jc w:val="center"/>
        <w:rPr>
          <w:rFonts w:eastAsia="‚l‚r –¾’©"/>
          <w:i/>
          <w:iCs/>
        </w:rPr>
      </w:pPr>
    </w:p>
    <w:p w14:paraId="6E9DBA31" w14:textId="0799F9AF" w:rsidR="004850B7" w:rsidRDefault="007A28C2" w:rsidP="0045499F">
      <w:pPr>
        <w:pStyle w:val="CETBodytext"/>
      </w:pPr>
      <w:r>
        <w:lastRenderedPageBreak/>
        <w:t>For the base case</w:t>
      </w:r>
      <w:r w:rsidR="0011659E">
        <w:t>,</w:t>
      </w:r>
      <w:r>
        <w:t xml:space="preserve"> t</w:t>
      </w:r>
      <w:r w:rsidR="006B0C76">
        <w:t>he assessment of the costs has been performed considering the existing Reactor Effluent Compressor and Heat Pump Compressor</w:t>
      </w:r>
      <w:r w:rsidR="00762141">
        <w:t xml:space="preserve">, </w:t>
      </w:r>
      <w:r w:rsidR="0084404A">
        <w:t>the associated</w:t>
      </w:r>
      <w:r w:rsidR="00762141">
        <w:t xml:space="preserve"> </w:t>
      </w:r>
      <w:r>
        <w:t>condenser</w:t>
      </w:r>
      <w:r w:rsidR="00FC2944">
        <w:t xml:space="preserve"> packages,</w:t>
      </w:r>
      <w:r w:rsidR="006B0C76">
        <w:t xml:space="preserve"> </w:t>
      </w:r>
      <w:r>
        <w:t>and the steam generation system</w:t>
      </w:r>
      <w:r w:rsidR="00073DF3">
        <w:t xml:space="preserve">, resulting in a total </w:t>
      </w:r>
      <w:r w:rsidR="0011659E">
        <w:t xml:space="preserve">estimated </w:t>
      </w:r>
      <w:r w:rsidR="00073DF3">
        <w:t>cost of about 60</w:t>
      </w:r>
      <w:r w:rsidR="00FC438C">
        <w:t xml:space="preserve"> </w:t>
      </w:r>
      <w:r w:rsidR="0011659E">
        <w:t>M</w:t>
      </w:r>
      <w:r w:rsidR="004850B7" w:rsidRPr="3195F864">
        <w:rPr>
          <w:rFonts w:cs="Arial"/>
        </w:rPr>
        <w:t>€</w:t>
      </w:r>
      <w:r w:rsidR="00FC438C">
        <w:t xml:space="preserve">. </w:t>
      </w:r>
      <w:r w:rsidR="004850B7">
        <w:t xml:space="preserve">Such an estimate includes the cost of all the pieces of equipment, as well as the interconnecting piping, the instrumentation, the civil works (e.g.: foundations, etc.) that are required for the </w:t>
      </w:r>
      <w:r w:rsidR="00263344">
        <w:t xml:space="preserve">implementation of the base solution in the plant, ready </w:t>
      </w:r>
      <w:r w:rsidR="0040144E">
        <w:t>for plant operation</w:t>
      </w:r>
      <w:r w:rsidR="004850B7">
        <w:t xml:space="preserve">. </w:t>
      </w:r>
      <w:r w:rsidR="00A7717F">
        <w:t>In</w:t>
      </w:r>
      <w:r w:rsidR="00FC438C">
        <w:t xml:space="preserve"> </w:t>
      </w:r>
      <w:r w:rsidR="00A7717F">
        <w:t xml:space="preserve">the alternative case the steam turbine compressors have been </w:t>
      </w:r>
      <w:r w:rsidR="004850B7">
        <w:t>replaced</w:t>
      </w:r>
      <w:r w:rsidR="00A7717F">
        <w:t xml:space="preserve"> </w:t>
      </w:r>
      <w:r w:rsidR="006B0C76">
        <w:t>with</w:t>
      </w:r>
      <w:r w:rsidR="00C7300A">
        <w:t xml:space="preserve"> units </w:t>
      </w:r>
      <w:r w:rsidR="006B0C76">
        <w:t xml:space="preserve">that are driven by electrical motors provided with </w:t>
      </w:r>
      <w:r w:rsidR="00A7717F">
        <w:t>v</w:t>
      </w:r>
      <w:r w:rsidR="00C7300A">
        <w:t>ariable speed drives (VSDs).</w:t>
      </w:r>
      <w:r w:rsidR="00414D10">
        <w:t xml:space="preserve"> </w:t>
      </w:r>
    </w:p>
    <w:p w14:paraId="6F8AF9E7" w14:textId="48F5287B" w:rsidR="009F5A70" w:rsidRDefault="00414D10" w:rsidP="0045499F">
      <w:pPr>
        <w:pStyle w:val="CETBodytext"/>
      </w:pPr>
      <w:r>
        <w:t>T</w:t>
      </w:r>
      <w:r w:rsidR="00F62A51">
        <w:t xml:space="preserve">he </w:t>
      </w:r>
      <w:r w:rsidR="004850B7">
        <w:t>definition of the alternative solution, required for this assessment, has considered</w:t>
      </w:r>
      <w:r w:rsidR="00C7300A">
        <w:t xml:space="preserve">: </w:t>
      </w:r>
    </w:p>
    <w:p w14:paraId="203485E5" w14:textId="22B135F8" w:rsidR="00587224" w:rsidRDefault="00C7300A" w:rsidP="00733A1C">
      <w:pPr>
        <w:pStyle w:val="CETBodytext"/>
        <w:numPr>
          <w:ilvl w:val="0"/>
          <w:numId w:val="41"/>
        </w:numPr>
      </w:pPr>
      <w:r>
        <w:t>the removal</w:t>
      </w:r>
      <w:r w:rsidR="006B0C76">
        <w:t xml:space="preserve"> of </w:t>
      </w:r>
      <w:r w:rsidR="006B0C76" w:rsidRPr="00B618E9">
        <w:t xml:space="preserve">reactor effluent compressor </w:t>
      </w:r>
      <w:r w:rsidR="00010563">
        <w:t>and</w:t>
      </w:r>
      <w:r w:rsidR="00BB3FDE">
        <w:t xml:space="preserve"> </w:t>
      </w:r>
      <w:r w:rsidR="006B0C76" w:rsidRPr="001C0511">
        <w:t>heat pump compressor steam condense</w:t>
      </w:r>
      <w:r w:rsidR="00BB3FDE">
        <w:t>r</w:t>
      </w:r>
      <w:r w:rsidR="006B0C76" w:rsidRPr="001C0511">
        <w:t xml:space="preserve"> package</w:t>
      </w:r>
      <w:r w:rsidR="006B0C76">
        <w:t xml:space="preserve"> </w:t>
      </w:r>
    </w:p>
    <w:p w14:paraId="5D456B0F" w14:textId="0259B5CC" w:rsidR="00587224" w:rsidRDefault="007D3EEF" w:rsidP="00733A1C">
      <w:pPr>
        <w:pStyle w:val="CETBodytext"/>
        <w:numPr>
          <w:ilvl w:val="0"/>
          <w:numId w:val="41"/>
        </w:numPr>
      </w:pPr>
      <w:r>
        <w:t>the</w:t>
      </w:r>
      <w:r w:rsidR="00587224">
        <w:t xml:space="preserve"> removal of</w:t>
      </w:r>
      <w:r>
        <w:t xml:space="preserve"> </w:t>
      </w:r>
      <w:r w:rsidR="006B0C76">
        <w:t>relevant condensate circuits</w:t>
      </w:r>
    </w:p>
    <w:p w14:paraId="4030F323" w14:textId="77777777" w:rsidR="00587224" w:rsidRDefault="00F62A51" w:rsidP="00733A1C">
      <w:pPr>
        <w:pStyle w:val="CETBodytext"/>
        <w:numPr>
          <w:ilvl w:val="0"/>
          <w:numId w:val="41"/>
        </w:numPr>
      </w:pPr>
      <w:r>
        <w:t xml:space="preserve">the </w:t>
      </w:r>
      <w:r w:rsidR="006B0C76" w:rsidRPr="00E14510">
        <w:t xml:space="preserve">replacement of </w:t>
      </w:r>
      <w:r w:rsidR="007D3EEF">
        <w:t>three</w:t>
      </w:r>
      <w:r w:rsidR="007D3EEF" w:rsidRPr="00E14510">
        <w:t xml:space="preserve"> </w:t>
      </w:r>
      <w:r w:rsidR="006B0C76" w:rsidRPr="00E14510">
        <w:t>steam generator package</w:t>
      </w:r>
      <w:r w:rsidR="007D3EEF">
        <w:t>s</w:t>
      </w:r>
      <w:r w:rsidR="006B0C76" w:rsidRPr="00E14510">
        <w:t xml:space="preserve"> with</w:t>
      </w:r>
      <w:r w:rsidR="00010563">
        <w:t xml:space="preserve"> only</w:t>
      </w:r>
      <w:r w:rsidR="006B0C76" w:rsidRPr="00E14510">
        <w:t xml:space="preserve"> </w:t>
      </w:r>
      <w:r w:rsidR="007D3EEF">
        <w:t>one</w:t>
      </w:r>
    </w:p>
    <w:p w14:paraId="22C6781A" w14:textId="04127B34" w:rsidR="00587224" w:rsidRDefault="00F62A51" w:rsidP="00733A1C">
      <w:pPr>
        <w:pStyle w:val="CETBodytext"/>
        <w:numPr>
          <w:ilvl w:val="0"/>
          <w:numId w:val="41"/>
        </w:numPr>
      </w:pPr>
      <w:r>
        <w:t xml:space="preserve">the </w:t>
      </w:r>
      <w:r w:rsidR="006B0C76" w:rsidRPr="00E14510">
        <w:t xml:space="preserve">consequent adjustment of civil and piping </w:t>
      </w:r>
      <w:r w:rsidR="007D3EEF">
        <w:t>works</w:t>
      </w:r>
    </w:p>
    <w:p w14:paraId="3E84DAD1" w14:textId="540D3E86" w:rsidR="00587224" w:rsidRDefault="00F62A51" w:rsidP="00733A1C">
      <w:pPr>
        <w:pStyle w:val="CETBodytext"/>
        <w:numPr>
          <w:ilvl w:val="0"/>
          <w:numId w:val="41"/>
        </w:numPr>
      </w:pPr>
      <w:r>
        <w:t xml:space="preserve">the </w:t>
      </w:r>
      <w:r w:rsidR="006B0C76">
        <w:t>a</w:t>
      </w:r>
      <w:r w:rsidR="006B0C76" w:rsidRPr="00F22288">
        <w:t>ddition</w:t>
      </w:r>
      <w:r w:rsidR="006B0C76">
        <w:t xml:space="preserve"> of </w:t>
      </w:r>
      <w:r w:rsidR="006B0C76" w:rsidRPr="00F22288">
        <w:t xml:space="preserve">transformers, </w:t>
      </w:r>
      <w:r w:rsidR="00C7300A" w:rsidRPr="00C7300A">
        <w:t>variable frequency drive</w:t>
      </w:r>
      <w:r w:rsidR="006E42F7">
        <w:t>r</w:t>
      </w:r>
      <w:r w:rsidR="00C7300A" w:rsidRPr="00C7300A">
        <w:t xml:space="preserve">s </w:t>
      </w:r>
      <w:r w:rsidR="00C7300A">
        <w:t>(</w:t>
      </w:r>
      <w:r w:rsidR="006B0C76" w:rsidRPr="00F22288">
        <w:t>VFDs</w:t>
      </w:r>
      <w:r w:rsidR="00C7300A">
        <w:t>)</w:t>
      </w:r>
      <w:r w:rsidR="007D3EEF">
        <w:t xml:space="preserve"> </w:t>
      </w:r>
    </w:p>
    <w:p w14:paraId="7406B343" w14:textId="1B248335" w:rsidR="00587224" w:rsidRDefault="007D3EEF" w:rsidP="00733A1C">
      <w:pPr>
        <w:pStyle w:val="CETBodytext"/>
        <w:numPr>
          <w:ilvl w:val="0"/>
          <w:numId w:val="41"/>
        </w:numPr>
      </w:pPr>
      <w:r>
        <w:t>the replacement of</w:t>
      </w:r>
      <w:r w:rsidR="00C7300A">
        <w:t xml:space="preserve"> </w:t>
      </w:r>
      <w:r w:rsidR="006B0C76" w:rsidRPr="00F22288">
        <w:t>switchgear</w:t>
      </w:r>
      <w:r w:rsidR="00587224">
        <w:t>s</w:t>
      </w:r>
    </w:p>
    <w:p w14:paraId="7A4DDAC7" w14:textId="24F7D1F1" w:rsidR="00587224" w:rsidRDefault="00F62A51" w:rsidP="00733A1C">
      <w:pPr>
        <w:pStyle w:val="CETBodytext"/>
        <w:numPr>
          <w:ilvl w:val="0"/>
          <w:numId w:val="41"/>
        </w:numPr>
      </w:pPr>
      <w:r>
        <w:t xml:space="preserve">the </w:t>
      </w:r>
      <w:r w:rsidR="006B0C76">
        <w:t>a</w:t>
      </w:r>
      <w:r w:rsidR="006B0C76" w:rsidRPr="00F22288">
        <w:t xml:space="preserve">ddition </w:t>
      </w:r>
      <w:r w:rsidR="006B0C76">
        <w:t xml:space="preserve">of </w:t>
      </w:r>
      <w:r w:rsidR="006B0C76" w:rsidRPr="00F22288">
        <w:t>M</w:t>
      </w:r>
      <w:r w:rsidR="006B0C76">
        <w:t xml:space="preserve">edium </w:t>
      </w:r>
      <w:r w:rsidR="006B0C76" w:rsidRPr="00F22288">
        <w:t>V</w:t>
      </w:r>
      <w:r w:rsidR="006B0C76">
        <w:t>oltage</w:t>
      </w:r>
      <w:r w:rsidR="006B0C76" w:rsidRPr="00F22288">
        <w:t xml:space="preserve"> cables from substations to motors </w:t>
      </w:r>
      <w:r w:rsidR="006B0C76">
        <w:t>and of the related</w:t>
      </w:r>
      <w:r w:rsidR="006B0C76" w:rsidRPr="00F22288">
        <w:t xml:space="preserve"> cable trays</w:t>
      </w:r>
      <w:r w:rsidR="00010563">
        <w:t xml:space="preserve">. </w:t>
      </w:r>
    </w:p>
    <w:p w14:paraId="040C8F31" w14:textId="77777777" w:rsidR="004850B7" w:rsidRDefault="004850B7" w:rsidP="0045499F">
      <w:pPr>
        <w:pStyle w:val="CETBodytext"/>
      </w:pPr>
    </w:p>
    <w:p w14:paraId="0B215DBC" w14:textId="70F507B6" w:rsidR="00DA6780" w:rsidRPr="009559E0" w:rsidRDefault="00274227" w:rsidP="0045499F">
      <w:pPr>
        <w:pStyle w:val="CETBodytext"/>
      </w:pPr>
      <w:r>
        <w:t>Eventually, t</w:t>
      </w:r>
      <w:r w:rsidR="00214561">
        <w:t>he</w:t>
      </w:r>
      <w:r w:rsidR="004850B7">
        <w:t xml:space="preserve"> </w:t>
      </w:r>
      <w:r w:rsidR="00412E67">
        <w:t>alternative solution has turned out to be less expensive than the base case</w:t>
      </w:r>
      <w:r w:rsidR="00214561">
        <w:t>, allowing a cost reduction of about 16%.</w:t>
      </w:r>
      <w:r w:rsidR="00412E67">
        <w:t xml:space="preserve"> </w:t>
      </w:r>
      <w:r w:rsidR="00733A1C">
        <w:t>The cost</w:t>
      </w:r>
      <w:r w:rsidR="0084404A">
        <w:t xml:space="preserve"> </w:t>
      </w:r>
      <w:r w:rsidR="004850B7">
        <w:t>saving</w:t>
      </w:r>
      <w:r w:rsidR="00412E67">
        <w:t xml:space="preserve"> </w:t>
      </w:r>
      <w:r w:rsidR="002A34A1">
        <w:t>is attributable</w:t>
      </w:r>
      <w:r w:rsidR="00412E67">
        <w:t xml:space="preserve"> to the deletion of the equipment relevant to steam generation and condensation</w:t>
      </w:r>
      <w:r w:rsidR="004E0EF5">
        <w:t>.</w:t>
      </w:r>
    </w:p>
    <w:p w14:paraId="3A7BF73F" w14:textId="77777777" w:rsidR="00B92CE7" w:rsidRPr="00FC2148" w:rsidRDefault="00B92CE7" w:rsidP="00FB2D69">
      <w:pPr>
        <w:pStyle w:val="CETHeading1"/>
      </w:pPr>
      <w:r w:rsidRPr="00FC2148">
        <w:t xml:space="preserve">Conclusion </w:t>
      </w:r>
    </w:p>
    <w:p w14:paraId="40C8F46B" w14:textId="2D70437F" w:rsidR="00B92CE7" w:rsidRPr="00FC2148" w:rsidRDefault="00B92CE7" w:rsidP="00B92CE7">
      <w:pPr>
        <w:pStyle w:val="CETBodytext"/>
      </w:pPr>
      <w:r>
        <w:t xml:space="preserve">The present </w:t>
      </w:r>
      <w:r w:rsidR="0084404A">
        <w:t>study</w:t>
      </w:r>
      <w:r>
        <w:t xml:space="preserve"> provides an overview of the main implications of the application of the Equator Principles IV to a Project. It has been found out that the benefits are related to risk mitigation. A project that is compliant with the EP has greater chances to be financed since it is environmentally and socially sustainable. </w:t>
      </w:r>
    </w:p>
    <w:p w14:paraId="3FB10BA7" w14:textId="40FFBBE1" w:rsidR="006B71A1" w:rsidRDefault="001A69D0" w:rsidP="00825D5E">
      <w:pPr>
        <w:pStyle w:val="CETBodytext"/>
        <w:rPr>
          <w:lang w:val="en-GB"/>
        </w:rPr>
      </w:pPr>
      <w:r>
        <w:t xml:space="preserve">This work evaluates the </w:t>
      </w:r>
      <w:r w:rsidR="00B92CE7">
        <w:t>applicability</w:t>
      </w:r>
      <w:r>
        <w:t xml:space="preserve"> of EP</w:t>
      </w:r>
      <w:r w:rsidR="00B92CE7">
        <w:t xml:space="preserve"> from the perspective of an EPC Contractor</w:t>
      </w:r>
      <w:r>
        <w:t>.</w:t>
      </w:r>
      <w:r w:rsidR="00B92CE7">
        <w:t xml:space="preserve"> </w:t>
      </w:r>
      <w:r w:rsidR="00B02A23">
        <w:t>Specifically</w:t>
      </w:r>
      <w:r w:rsidR="00B92CE7">
        <w:t xml:space="preserve">, the analysis points out how an EPC Contractor could proactively act for demonstrating the compliance of a Project to the </w:t>
      </w:r>
      <w:proofErr w:type="gramStart"/>
      <w:r w:rsidR="00B92CE7">
        <w:t>EP’s</w:t>
      </w:r>
      <w:proofErr w:type="gramEnd"/>
      <w:r>
        <w:t xml:space="preserve"> with reference to the accounting of the greenhouse gases (GHGs) emissions</w:t>
      </w:r>
      <w:r w:rsidR="00B92CE7">
        <w:t xml:space="preserve">. </w:t>
      </w:r>
      <w:r w:rsidR="00B02A23">
        <w:t>A</w:t>
      </w:r>
      <w:r w:rsidR="009159C6">
        <w:t xml:space="preserve"> </w:t>
      </w:r>
      <w:r w:rsidR="00B92CE7">
        <w:t xml:space="preserve">methodology </w:t>
      </w:r>
      <w:r w:rsidR="00B02A23">
        <w:t xml:space="preserve">was developed </w:t>
      </w:r>
      <w:r w:rsidR="00B92CE7">
        <w:t xml:space="preserve">to perform </w:t>
      </w:r>
      <w:r w:rsidR="0084404A">
        <w:t>the accounting of</w:t>
      </w:r>
      <w:r w:rsidR="00B92CE7">
        <w:t xml:space="preserve"> greenhouse gas</w:t>
      </w:r>
      <w:r w:rsidR="0084404A">
        <w:t>es</w:t>
      </w:r>
      <w:r w:rsidR="00B92CE7">
        <w:t xml:space="preserve"> accounting</w:t>
      </w:r>
      <w:r w:rsidR="00B02A23">
        <w:t>,</w:t>
      </w:r>
      <w:r w:rsidR="00B92CE7">
        <w:t xml:space="preserve"> </w:t>
      </w:r>
      <w:r w:rsidR="002A34A1">
        <w:t>to</w:t>
      </w:r>
      <w:r w:rsidR="00B92CE7">
        <w:t xml:space="preserve"> fulfil the requirement of the climate change risk assessment</w:t>
      </w:r>
      <w:r w:rsidR="00B02A23">
        <w:t xml:space="preserve">, and </w:t>
      </w:r>
      <w:r w:rsidR="00233EBC">
        <w:t xml:space="preserve">the </w:t>
      </w:r>
      <w:r w:rsidR="0084404A">
        <w:t>assessment of the cost</w:t>
      </w:r>
      <w:r w:rsidR="00B02A23">
        <w:t xml:space="preserve"> of different alternative solutions</w:t>
      </w:r>
      <w:r w:rsidR="005C738F">
        <w:t>.</w:t>
      </w:r>
      <w:r w:rsidR="00EB4460">
        <w:t xml:space="preserve"> T</w:t>
      </w:r>
      <w:r w:rsidR="00EB4460" w:rsidRPr="3195F864">
        <w:rPr>
          <w:lang w:val="en-GB"/>
        </w:rPr>
        <w:t xml:space="preserve">his methodology is </w:t>
      </w:r>
      <w:r w:rsidR="00C969DB" w:rsidRPr="3195F864">
        <w:rPr>
          <w:lang w:val="en-GB"/>
        </w:rPr>
        <w:t xml:space="preserve">flexible in terms of technological alternatives and </w:t>
      </w:r>
      <w:r w:rsidR="1E613B8C" w:rsidRPr="0252D5D2">
        <w:rPr>
          <w:lang w:val="en-GB"/>
        </w:rPr>
        <w:t>can</w:t>
      </w:r>
      <w:r w:rsidR="00EB4460" w:rsidRPr="3195F864">
        <w:rPr>
          <w:lang w:val="en-GB"/>
        </w:rPr>
        <w:t xml:space="preserve"> </w:t>
      </w:r>
      <w:proofErr w:type="gramStart"/>
      <w:r w:rsidR="00EB4460" w:rsidRPr="3195F864">
        <w:rPr>
          <w:lang w:val="en-GB"/>
        </w:rPr>
        <w:t>take into account</w:t>
      </w:r>
      <w:proofErr w:type="gramEnd"/>
      <w:r w:rsidR="00EB4460" w:rsidRPr="3195F864">
        <w:rPr>
          <w:lang w:val="en-GB"/>
        </w:rPr>
        <w:t xml:space="preserve"> the specific conditions </w:t>
      </w:r>
      <w:r w:rsidR="00C969DB" w:rsidRPr="3195F864">
        <w:rPr>
          <w:lang w:val="en-GB"/>
        </w:rPr>
        <w:t>of</w:t>
      </w:r>
      <w:r w:rsidR="00EB4460" w:rsidRPr="3195F864">
        <w:rPr>
          <w:lang w:val="en-GB"/>
        </w:rPr>
        <w:t xml:space="preserve"> different geographical areas</w:t>
      </w:r>
      <w:r w:rsidR="00C969DB" w:rsidRPr="3195F864">
        <w:rPr>
          <w:lang w:val="en-GB"/>
        </w:rPr>
        <w:t>.</w:t>
      </w:r>
    </w:p>
    <w:p w14:paraId="641B0EA0" w14:textId="77777777" w:rsidR="00380D14" w:rsidRDefault="00380D14" w:rsidP="00825D5E">
      <w:pPr>
        <w:pStyle w:val="CETBodytext"/>
      </w:pPr>
    </w:p>
    <w:p w14:paraId="41FBEEFB" w14:textId="2B470FFC" w:rsidR="00825D5E" w:rsidRDefault="00C969DB" w:rsidP="00825D5E">
      <w:pPr>
        <w:pStyle w:val="CETBodytext"/>
        <w:rPr>
          <w:lang w:val="en-GB"/>
        </w:rPr>
      </w:pPr>
      <w:r w:rsidRPr="3195F864">
        <w:rPr>
          <w:lang w:val="en-GB"/>
        </w:rPr>
        <w:t>It</w:t>
      </w:r>
      <w:r w:rsidR="00081E52" w:rsidRPr="3195F864">
        <w:rPr>
          <w:lang w:val="en-GB"/>
        </w:rPr>
        <w:t xml:space="preserve"> </w:t>
      </w:r>
      <w:r w:rsidR="00825D5E" w:rsidRPr="3195F864">
        <w:rPr>
          <w:lang w:val="en-GB"/>
        </w:rPr>
        <w:t xml:space="preserve">can be used at various levels: first it demonstrates that the EPC Contractor </w:t>
      </w:r>
      <w:r w:rsidR="00C21568" w:rsidRPr="3195F864">
        <w:rPr>
          <w:lang w:val="en-GB"/>
        </w:rPr>
        <w:t>can</w:t>
      </w:r>
      <w:r w:rsidR="00825D5E" w:rsidRPr="3195F864">
        <w:rPr>
          <w:lang w:val="en-GB"/>
        </w:rPr>
        <w:t xml:space="preserve"> carry out Projects that </w:t>
      </w:r>
      <w:r w:rsidR="00DE7EDD">
        <w:rPr>
          <w:lang w:val="en-GB"/>
        </w:rPr>
        <w:t xml:space="preserve">comply </w:t>
      </w:r>
      <w:r w:rsidR="00825D5E" w:rsidRPr="3195F864">
        <w:rPr>
          <w:lang w:val="en-GB"/>
        </w:rPr>
        <w:t xml:space="preserve">with the application of the EP’s; secondly, the Contractor demonstrates that is able to offer to its </w:t>
      </w:r>
      <w:proofErr w:type="gramStart"/>
      <w:r w:rsidR="6F374EED" w:rsidRPr="0252D5D2">
        <w:rPr>
          <w:lang w:val="en-GB"/>
        </w:rPr>
        <w:t>C</w:t>
      </w:r>
      <w:r w:rsidR="6CCCD1F0" w:rsidRPr="0252D5D2">
        <w:rPr>
          <w:lang w:val="en-GB"/>
        </w:rPr>
        <w:t>lients</w:t>
      </w:r>
      <w:proofErr w:type="gramEnd"/>
      <w:r w:rsidR="00825D5E" w:rsidRPr="3195F864">
        <w:rPr>
          <w:lang w:val="en-GB"/>
        </w:rPr>
        <w:t xml:space="preserve"> a portfolio of different technological solutions,</w:t>
      </w:r>
      <w:r w:rsidR="00DE7EDD">
        <w:rPr>
          <w:lang w:val="en-GB"/>
        </w:rPr>
        <w:t xml:space="preserve"> </w:t>
      </w:r>
      <w:r w:rsidR="6CCCD1F0" w:rsidRPr="0252D5D2">
        <w:rPr>
          <w:lang w:val="en-GB"/>
        </w:rPr>
        <w:t xml:space="preserve">with the possibility to select those more </w:t>
      </w:r>
      <w:r w:rsidR="00825D5E" w:rsidRPr="3195F864">
        <w:rPr>
          <w:lang w:val="en-GB"/>
        </w:rPr>
        <w:t>environmentally sustainable.</w:t>
      </w:r>
    </w:p>
    <w:p w14:paraId="7515DF9D" w14:textId="633076AE" w:rsidR="00FA7E39" w:rsidRDefault="00FA7E39" w:rsidP="00825D5E">
      <w:pPr>
        <w:pStyle w:val="CETBodytext"/>
        <w:rPr>
          <w:lang w:val="en-GB"/>
        </w:rPr>
      </w:pPr>
    </w:p>
    <w:p w14:paraId="0BA1666F" w14:textId="77777777" w:rsidR="004254CC" w:rsidRPr="00B57B36" w:rsidRDefault="004254CC" w:rsidP="004254CC">
      <w:pPr>
        <w:pStyle w:val="CETReference"/>
      </w:pPr>
      <w:r w:rsidRPr="00B57B36">
        <w:t>References</w:t>
      </w:r>
    </w:p>
    <w:p w14:paraId="765AA936" w14:textId="77777777" w:rsidR="009453D8" w:rsidRPr="003021B1" w:rsidRDefault="009453D8" w:rsidP="009453D8">
      <w:pPr>
        <w:pStyle w:val="CETReferencetext"/>
      </w:pPr>
      <w:r w:rsidRPr="008B532C">
        <w:t>Carbon Footprint. (2019). Country Specific Electricity Grid Greenhouse Gas Emission Factors https://www.carbonfootprint.com/docs/2019_06_emissions_factors_sources_for_2019_electricity.pdf</w:t>
      </w:r>
      <w:r w:rsidRPr="008B532C" w:rsidDel="00862183">
        <w:t xml:space="preserve"> </w:t>
      </w:r>
    </w:p>
    <w:p w14:paraId="24F86D08" w14:textId="77777777" w:rsidR="009453D8" w:rsidRDefault="009453D8" w:rsidP="009453D8">
      <w:pPr>
        <w:pStyle w:val="CETReferencetext"/>
      </w:pPr>
    </w:p>
    <w:p w14:paraId="680C79D6" w14:textId="0BE9D761" w:rsidR="009453D8" w:rsidRPr="005A343D" w:rsidRDefault="009453D8" w:rsidP="009453D8">
      <w:pPr>
        <w:pStyle w:val="CETReferencetext"/>
      </w:pPr>
      <w:r w:rsidRPr="005A343D">
        <w:t xml:space="preserve">IPCC (2006) Guidelines for National Greenhouse Gas Inventories  </w:t>
      </w:r>
    </w:p>
    <w:p w14:paraId="30E7229C" w14:textId="41AB085E" w:rsidR="009453D8" w:rsidRDefault="009453D8" w:rsidP="009453D8">
      <w:pPr>
        <w:pStyle w:val="CETReferencetext"/>
      </w:pPr>
      <w:r w:rsidRPr="008B532C">
        <w:t>https://www.ipcc.ch/report/2006-ipcc-guidelines-for-national-greenhouse-gas-inventories/</w:t>
      </w:r>
    </w:p>
    <w:p w14:paraId="3BCD3CBE" w14:textId="77777777" w:rsidR="009453D8" w:rsidRDefault="009453D8" w:rsidP="009453D8">
      <w:pPr>
        <w:pStyle w:val="CETReferencetext"/>
      </w:pPr>
    </w:p>
    <w:p w14:paraId="6FF4074A" w14:textId="103A8AAF" w:rsidR="009453D8" w:rsidRPr="008B532C" w:rsidRDefault="009453D8" w:rsidP="009453D8">
      <w:pPr>
        <w:pStyle w:val="CETReferencetext"/>
      </w:pPr>
      <w:r w:rsidRPr="008B532C">
        <w:t xml:space="preserve">EBDR. (2010). Development of the electricity carbon emission factors for Russia. </w:t>
      </w:r>
    </w:p>
    <w:p w14:paraId="7FC88B9A" w14:textId="77777777" w:rsidR="009453D8" w:rsidRPr="008B532C" w:rsidRDefault="009453D8" w:rsidP="009453D8">
      <w:pPr>
        <w:pStyle w:val="CETReferencetext"/>
      </w:pPr>
      <w:r w:rsidRPr="008B532C">
        <w:t>&lt;https://www.ebrd.com/downloads/sector/eecc/Baseline_Study_Russia.pdf</w:t>
      </w:r>
      <w:r w:rsidRPr="008B532C" w:rsidDel="00F12303">
        <w:t xml:space="preserve"> </w:t>
      </w:r>
      <w:r w:rsidRPr="008B532C">
        <w:t>&gt;</w:t>
      </w:r>
    </w:p>
    <w:p w14:paraId="499C2D29" w14:textId="77777777" w:rsidR="009453D8" w:rsidRDefault="009453D8" w:rsidP="005A343D">
      <w:pPr>
        <w:pStyle w:val="CETReferencetext"/>
      </w:pPr>
    </w:p>
    <w:p w14:paraId="077C3F76" w14:textId="24F84568" w:rsidR="004962C5" w:rsidRPr="005A343D" w:rsidRDefault="004962C5" w:rsidP="009E7A8B">
      <w:pPr>
        <w:pStyle w:val="CETReferencetext"/>
      </w:pPr>
      <w:r w:rsidRPr="009E7A8B">
        <w:t xml:space="preserve">Equator Principles (2020). The Equator Principles July 2020. </w:t>
      </w:r>
      <w:r w:rsidR="009453D8" w:rsidRPr="009453D8">
        <w:t>https://equator-principles.com/app/uploads/The-Equator-Principles_EP4_July2020.pdf</w:t>
      </w:r>
      <w:r w:rsidR="009453D8" w:rsidRPr="009453D8" w:rsidDel="00862183">
        <w:t xml:space="preserve"> </w:t>
      </w:r>
    </w:p>
    <w:p w14:paraId="3B562E73" w14:textId="7440D6C7" w:rsidR="00D9480D" w:rsidRPr="005A343D" w:rsidRDefault="00D9480D" w:rsidP="009E7A8B">
      <w:pPr>
        <w:pStyle w:val="CETReferencetext"/>
      </w:pPr>
    </w:p>
    <w:p w14:paraId="09AE4957" w14:textId="2B706ECC" w:rsidR="00D9480D" w:rsidRPr="005A343D" w:rsidRDefault="00D9480D" w:rsidP="00D9480D">
      <w:pPr>
        <w:pStyle w:val="CETReferencetext"/>
      </w:pPr>
      <w:r w:rsidRPr="005A343D">
        <w:t>TCFD</w:t>
      </w:r>
      <w:r w:rsidR="003376E3" w:rsidRPr="005A343D">
        <w:t xml:space="preserve"> </w:t>
      </w:r>
      <w:r w:rsidRPr="005A343D">
        <w:t>(2021)</w:t>
      </w:r>
      <w:r w:rsidR="003376E3" w:rsidRPr="005A343D">
        <w:t>,</w:t>
      </w:r>
      <w:r w:rsidRPr="005A343D">
        <w:t xml:space="preserve"> Task Force on Climate Related Financial Disclosure Overview.</w:t>
      </w:r>
      <w:r w:rsidR="00F76701" w:rsidRPr="005A343D">
        <w:t xml:space="preserve"> </w:t>
      </w:r>
      <w:r w:rsidR="00DE7A21" w:rsidRPr="005A343D">
        <w:t>&lt;</w:t>
      </w:r>
      <w:hyperlink r:id="rId18" w:history="1">
        <w:r w:rsidR="00F76701" w:rsidRPr="009E7A8B">
          <w:t>https://assets.bbhub.io/company/sites/60/2020/10/TCFD_Booklet_FNL_Digital_March-2020.pdf</w:t>
        </w:r>
      </w:hyperlink>
      <w:r w:rsidR="009C16C6" w:rsidRPr="005A343D">
        <w:t>&gt;</w:t>
      </w:r>
    </w:p>
    <w:p w14:paraId="767C8ACC" w14:textId="7E40430D" w:rsidR="00D9480D" w:rsidRPr="005A343D" w:rsidRDefault="00D9480D" w:rsidP="009E7A8B">
      <w:pPr>
        <w:pStyle w:val="CETReferencetext"/>
      </w:pPr>
    </w:p>
    <w:p w14:paraId="072991EC" w14:textId="0B61E525" w:rsidR="00727769" w:rsidRPr="005A343D" w:rsidRDefault="009C6B8C" w:rsidP="009E7A8B">
      <w:pPr>
        <w:pStyle w:val="CETReferencetext"/>
      </w:pPr>
      <w:r w:rsidRPr="005A343D">
        <w:t>WRI (World Resources Institute), WBCSD (World Business Council for Sustainable Development), 20</w:t>
      </w:r>
      <w:r w:rsidR="00852515" w:rsidRPr="005A343D">
        <w:t>04</w:t>
      </w:r>
      <w:r w:rsidRPr="005A343D">
        <w:t>, The Greenhouse Gas Protocol, A Corporate Accounting and Reporting Standard</w:t>
      </w:r>
      <w:r w:rsidR="009C16C6" w:rsidRPr="005A343D">
        <w:t xml:space="preserve"> &lt;</w:t>
      </w:r>
      <w:r w:rsidR="006B3AB2" w:rsidRPr="005A343D">
        <w:t>https://ghgprotocol.org/sites/default/files/standards/ghg-protocol-revised.pdf</w:t>
      </w:r>
      <w:r w:rsidR="009C16C6" w:rsidRPr="005A343D">
        <w:t>&gt;</w:t>
      </w:r>
    </w:p>
    <w:p w14:paraId="19C4FC68" w14:textId="44CA7F00" w:rsidR="004628D2" w:rsidRPr="003021B1" w:rsidRDefault="004628D2" w:rsidP="009E7A8B">
      <w:pPr>
        <w:pStyle w:val="CETReferencetext"/>
        <w:ind w:left="0" w:firstLine="0"/>
      </w:pPr>
    </w:p>
    <w:sectPr w:rsidR="004628D2" w:rsidRPr="003021B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ADEF" w14:textId="77777777" w:rsidR="00FD3CDE" w:rsidRDefault="00FD3CDE" w:rsidP="004F5E36">
      <w:r>
        <w:separator/>
      </w:r>
    </w:p>
  </w:endnote>
  <w:endnote w:type="continuationSeparator" w:id="0">
    <w:p w14:paraId="11E15BA7" w14:textId="77777777" w:rsidR="00FD3CDE" w:rsidRDefault="00FD3CDE" w:rsidP="004F5E36">
      <w:r>
        <w:continuationSeparator/>
      </w:r>
    </w:p>
  </w:endnote>
  <w:endnote w:type="continuationNotice" w:id="1">
    <w:p w14:paraId="60238661" w14:textId="77777777" w:rsidR="00FD3CDE" w:rsidRDefault="00FD3C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Yu Gothic UI"/>
    <w:panose1 w:val="020B0604020202020204"/>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2838" w14:textId="77777777" w:rsidR="00093DFA" w:rsidRDefault="00093D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8EBC" w14:textId="77777777" w:rsidR="00093DFA" w:rsidRDefault="00093D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A0FE" w14:textId="77777777" w:rsidR="00093DFA" w:rsidRDefault="00093D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6F3E" w14:textId="77777777" w:rsidR="00FD3CDE" w:rsidRDefault="00FD3CDE" w:rsidP="004F5E36">
      <w:r>
        <w:separator/>
      </w:r>
    </w:p>
  </w:footnote>
  <w:footnote w:type="continuationSeparator" w:id="0">
    <w:p w14:paraId="24B825E6" w14:textId="77777777" w:rsidR="00FD3CDE" w:rsidRDefault="00FD3CDE" w:rsidP="004F5E36">
      <w:r>
        <w:continuationSeparator/>
      </w:r>
    </w:p>
  </w:footnote>
  <w:footnote w:type="continuationNotice" w:id="1">
    <w:p w14:paraId="633E599D" w14:textId="77777777" w:rsidR="00FD3CDE" w:rsidRDefault="00FD3C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BE0" w14:textId="77777777" w:rsidR="00093DFA" w:rsidRDefault="00093D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97C" w14:textId="77777777" w:rsidR="00093DFA" w:rsidRDefault="00093DF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30AD" w14:textId="77777777" w:rsidR="00093DFA" w:rsidRDefault="00093D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462C4A"/>
    <w:multiLevelType w:val="hybridMultilevel"/>
    <w:tmpl w:val="A6AA64CA"/>
    <w:lvl w:ilvl="0" w:tplc="D826E51A">
      <w:start w:val="4241"/>
      <w:numFmt w:val="bullet"/>
      <w:lvlText w:val="-"/>
      <w:lvlJc w:val="left"/>
      <w:pPr>
        <w:ind w:left="720" w:hanging="360"/>
      </w:pPr>
      <w:rPr>
        <w:rFonts w:ascii="Arial" w:eastAsia="‚l‚r –¾’©"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8CD0B5D"/>
    <w:multiLevelType w:val="hybridMultilevel"/>
    <w:tmpl w:val="2AF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F67706A"/>
    <w:multiLevelType w:val="hybridMultilevel"/>
    <w:tmpl w:val="0C1C0E94"/>
    <w:lvl w:ilvl="0" w:tplc="D826E51A">
      <w:start w:val="4241"/>
      <w:numFmt w:val="bullet"/>
      <w:lvlText w:val="-"/>
      <w:lvlJc w:val="left"/>
      <w:pPr>
        <w:ind w:left="720" w:hanging="360"/>
      </w:pPr>
      <w:rPr>
        <w:rFonts w:ascii="Arial" w:eastAsia="‚l‚r –¾’©"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F52062"/>
    <w:multiLevelType w:val="hybridMultilevel"/>
    <w:tmpl w:val="325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F5109"/>
    <w:multiLevelType w:val="hybridMultilevel"/>
    <w:tmpl w:val="14F0A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46538D"/>
    <w:multiLevelType w:val="hybridMultilevel"/>
    <w:tmpl w:val="0DBEA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F0D71"/>
    <w:multiLevelType w:val="hybridMultilevel"/>
    <w:tmpl w:val="C5E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50373"/>
    <w:multiLevelType w:val="hybridMultilevel"/>
    <w:tmpl w:val="E9449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5"/>
  </w:num>
  <w:num w:numId="16">
    <w:abstractNumId w:val="24"/>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1"/>
  </w:num>
  <w:num w:numId="25">
    <w:abstractNumId w:val="11"/>
  </w:num>
  <w:num w:numId="26">
    <w:abstractNumId w:val="11"/>
  </w:num>
  <w:num w:numId="27">
    <w:abstractNumId w:val="11"/>
  </w:num>
  <w:num w:numId="28">
    <w:abstractNumId w:val="12"/>
  </w:num>
  <w:num w:numId="29">
    <w:abstractNumId w:val="11"/>
  </w:num>
  <w:num w:numId="30">
    <w:abstractNumId w:val="27"/>
  </w:num>
  <w:num w:numId="31">
    <w:abstractNumId w:val="11"/>
  </w:num>
  <w:num w:numId="32">
    <w:abstractNumId w:val="22"/>
  </w:num>
  <w:num w:numId="33">
    <w:abstractNumId w:val="11"/>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 w:numId="37">
    <w:abstractNumId w:val="11"/>
  </w:num>
  <w:num w:numId="38">
    <w:abstractNumId w:val="17"/>
  </w:num>
  <w:num w:numId="39">
    <w:abstractNumId w:val="10"/>
  </w:num>
  <w:num w:numId="40">
    <w:abstractNumId w:val="2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563"/>
    <w:rsid w:val="000117CB"/>
    <w:rsid w:val="00013989"/>
    <w:rsid w:val="00016506"/>
    <w:rsid w:val="00017815"/>
    <w:rsid w:val="00021D9B"/>
    <w:rsid w:val="0003148D"/>
    <w:rsid w:val="00031EEC"/>
    <w:rsid w:val="00041FE4"/>
    <w:rsid w:val="00051566"/>
    <w:rsid w:val="00062A9A"/>
    <w:rsid w:val="00064AA6"/>
    <w:rsid w:val="00065058"/>
    <w:rsid w:val="00073DF3"/>
    <w:rsid w:val="00075AFA"/>
    <w:rsid w:val="00081E52"/>
    <w:rsid w:val="00085384"/>
    <w:rsid w:val="00086C39"/>
    <w:rsid w:val="000873F4"/>
    <w:rsid w:val="000902F3"/>
    <w:rsid w:val="00093DFA"/>
    <w:rsid w:val="000A027A"/>
    <w:rsid w:val="000A03B2"/>
    <w:rsid w:val="000A5F85"/>
    <w:rsid w:val="000B2FF8"/>
    <w:rsid w:val="000B477C"/>
    <w:rsid w:val="000B77F7"/>
    <w:rsid w:val="000C2A3A"/>
    <w:rsid w:val="000D0268"/>
    <w:rsid w:val="000D34BE"/>
    <w:rsid w:val="000D7C53"/>
    <w:rsid w:val="000E102F"/>
    <w:rsid w:val="000E36F1"/>
    <w:rsid w:val="000E3A73"/>
    <w:rsid w:val="000E414A"/>
    <w:rsid w:val="000F093C"/>
    <w:rsid w:val="000F787B"/>
    <w:rsid w:val="0011659E"/>
    <w:rsid w:val="00120533"/>
    <w:rsid w:val="0012091F"/>
    <w:rsid w:val="001229DC"/>
    <w:rsid w:val="00124A70"/>
    <w:rsid w:val="00126BC2"/>
    <w:rsid w:val="001308B6"/>
    <w:rsid w:val="0013121F"/>
    <w:rsid w:val="00131FE6"/>
    <w:rsid w:val="0013263F"/>
    <w:rsid w:val="001330B4"/>
    <w:rsid w:val="001331DF"/>
    <w:rsid w:val="00134DE4"/>
    <w:rsid w:val="0014034D"/>
    <w:rsid w:val="001411E8"/>
    <w:rsid w:val="00144D16"/>
    <w:rsid w:val="00146EE3"/>
    <w:rsid w:val="00150E59"/>
    <w:rsid w:val="00152DE3"/>
    <w:rsid w:val="001534A4"/>
    <w:rsid w:val="00157401"/>
    <w:rsid w:val="0016066D"/>
    <w:rsid w:val="00164CF9"/>
    <w:rsid w:val="001654B1"/>
    <w:rsid w:val="001667A6"/>
    <w:rsid w:val="00166FAD"/>
    <w:rsid w:val="00171F6C"/>
    <w:rsid w:val="0017657C"/>
    <w:rsid w:val="00184AD6"/>
    <w:rsid w:val="001950B1"/>
    <w:rsid w:val="0019555C"/>
    <w:rsid w:val="001A4AF7"/>
    <w:rsid w:val="001A5776"/>
    <w:rsid w:val="001A69D0"/>
    <w:rsid w:val="001A7920"/>
    <w:rsid w:val="001B0349"/>
    <w:rsid w:val="001B1E93"/>
    <w:rsid w:val="001B5155"/>
    <w:rsid w:val="001B65C1"/>
    <w:rsid w:val="001C1234"/>
    <w:rsid w:val="001C1EBC"/>
    <w:rsid w:val="001C5FF6"/>
    <w:rsid w:val="001C684B"/>
    <w:rsid w:val="001D0CFB"/>
    <w:rsid w:val="001D53FC"/>
    <w:rsid w:val="001D5B2C"/>
    <w:rsid w:val="001D6E45"/>
    <w:rsid w:val="001D730F"/>
    <w:rsid w:val="001DFA52"/>
    <w:rsid w:val="001E05E5"/>
    <w:rsid w:val="001E145F"/>
    <w:rsid w:val="001E4557"/>
    <w:rsid w:val="001F42A5"/>
    <w:rsid w:val="001F4B57"/>
    <w:rsid w:val="001F7B9D"/>
    <w:rsid w:val="00200A84"/>
    <w:rsid w:val="00201C93"/>
    <w:rsid w:val="002129FF"/>
    <w:rsid w:val="00214561"/>
    <w:rsid w:val="002168B8"/>
    <w:rsid w:val="002224B4"/>
    <w:rsid w:val="00227BDF"/>
    <w:rsid w:val="00233EBC"/>
    <w:rsid w:val="002447EF"/>
    <w:rsid w:val="00251550"/>
    <w:rsid w:val="00252C5F"/>
    <w:rsid w:val="00257A08"/>
    <w:rsid w:val="00263344"/>
    <w:rsid w:val="00263B05"/>
    <w:rsid w:val="002677FD"/>
    <w:rsid w:val="002713EA"/>
    <w:rsid w:val="0027221A"/>
    <w:rsid w:val="00274227"/>
    <w:rsid w:val="00275B61"/>
    <w:rsid w:val="00280FAF"/>
    <w:rsid w:val="00282656"/>
    <w:rsid w:val="0028354D"/>
    <w:rsid w:val="00292AF8"/>
    <w:rsid w:val="00296B83"/>
    <w:rsid w:val="002A1078"/>
    <w:rsid w:val="002A34A1"/>
    <w:rsid w:val="002B4015"/>
    <w:rsid w:val="002B78CE"/>
    <w:rsid w:val="002C2FB6"/>
    <w:rsid w:val="002D4C3A"/>
    <w:rsid w:val="002D6403"/>
    <w:rsid w:val="002E5FA7"/>
    <w:rsid w:val="002F02AD"/>
    <w:rsid w:val="002F3309"/>
    <w:rsid w:val="002F3F32"/>
    <w:rsid w:val="002F60DA"/>
    <w:rsid w:val="003008CE"/>
    <w:rsid w:val="003009B7"/>
    <w:rsid w:val="00300E56"/>
    <w:rsid w:val="003021B1"/>
    <w:rsid w:val="0030469C"/>
    <w:rsid w:val="00321CA6"/>
    <w:rsid w:val="0032299F"/>
    <w:rsid w:val="00323763"/>
    <w:rsid w:val="00334C09"/>
    <w:rsid w:val="003376E3"/>
    <w:rsid w:val="00347197"/>
    <w:rsid w:val="00350160"/>
    <w:rsid w:val="003515F6"/>
    <w:rsid w:val="003723D4"/>
    <w:rsid w:val="00380D14"/>
    <w:rsid w:val="00381905"/>
    <w:rsid w:val="00384CC8"/>
    <w:rsid w:val="003871FD"/>
    <w:rsid w:val="0038760F"/>
    <w:rsid w:val="003A1E30"/>
    <w:rsid w:val="003A2829"/>
    <w:rsid w:val="003A5987"/>
    <w:rsid w:val="003A7D1C"/>
    <w:rsid w:val="003B304B"/>
    <w:rsid w:val="003B3146"/>
    <w:rsid w:val="003B5796"/>
    <w:rsid w:val="003C0993"/>
    <w:rsid w:val="003C2985"/>
    <w:rsid w:val="003D3DC5"/>
    <w:rsid w:val="003D4BC9"/>
    <w:rsid w:val="003D66B0"/>
    <w:rsid w:val="003D7F29"/>
    <w:rsid w:val="003E6CA3"/>
    <w:rsid w:val="003F015E"/>
    <w:rsid w:val="00400414"/>
    <w:rsid w:val="0040144E"/>
    <w:rsid w:val="00406413"/>
    <w:rsid w:val="00406CE3"/>
    <w:rsid w:val="00412E67"/>
    <w:rsid w:val="00412F64"/>
    <w:rsid w:val="0041446B"/>
    <w:rsid w:val="00414D10"/>
    <w:rsid w:val="00424E71"/>
    <w:rsid w:val="004254CC"/>
    <w:rsid w:val="00431E3C"/>
    <w:rsid w:val="004374FD"/>
    <w:rsid w:val="0044329C"/>
    <w:rsid w:val="00444F08"/>
    <w:rsid w:val="00453E24"/>
    <w:rsid w:val="0045499F"/>
    <w:rsid w:val="00457456"/>
    <w:rsid w:val="004577FE"/>
    <w:rsid w:val="00457B9C"/>
    <w:rsid w:val="00461170"/>
    <w:rsid w:val="0046164A"/>
    <w:rsid w:val="0046289D"/>
    <w:rsid w:val="004628D2"/>
    <w:rsid w:val="00462DCD"/>
    <w:rsid w:val="004633F1"/>
    <w:rsid w:val="0046362C"/>
    <w:rsid w:val="00463680"/>
    <w:rsid w:val="004648AD"/>
    <w:rsid w:val="004703A9"/>
    <w:rsid w:val="00475293"/>
    <w:rsid w:val="0047565B"/>
    <w:rsid w:val="004760DE"/>
    <w:rsid w:val="004763D7"/>
    <w:rsid w:val="004850B7"/>
    <w:rsid w:val="004962C5"/>
    <w:rsid w:val="004976D5"/>
    <w:rsid w:val="004A004E"/>
    <w:rsid w:val="004A24CF"/>
    <w:rsid w:val="004A4FA7"/>
    <w:rsid w:val="004C092A"/>
    <w:rsid w:val="004C3D1D"/>
    <w:rsid w:val="004C406C"/>
    <w:rsid w:val="004C7913"/>
    <w:rsid w:val="004D16C6"/>
    <w:rsid w:val="004D591F"/>
    <w:rsid w:val="004E0C7E"/>
    <w:rsid w:val="004E0EF5"/>
    <w:rsid w:val="004E3FA2"/>
    <w:rsid w:val="004E4DD6"/>
    <w:rsid w:val="004E5AFA"/>
    <w:rsid w:val="004F14B6"/>
    <w:rsid w:val="004F5E36"/>
    <w:rsid w:val="004F6BCC"/>
    <w:rsid w:val="00507B47"/>
    <w:rsid w:val="00507BEF"/>
    <w:rsid w:val="00507CC9"/>
    <w:rsid w:val="005119A5"/>
    <w:rsid w:val="00520180"/>
    <w:rsid w:val="00522E7D"/>
    <w:rsid w:val="00523E87"/>
    <w:rsid w:val="005278B7"/>
    <w:rsid w:val="00532016"/>
    <w:rsid w:val="005346C8"/>
    <w:rsid w:val="00536BBA"/>
    <w:rsid w:val="005432FB"/>
    <w:rsid w:val="00543E7D"/>
    <w:rsid w:val="00547A68"/>
    <w:rsid w:val="005531C9"/>
    <w:rsid w:val="0055489C"/>
    <w:rsid w:val="005577EB"/>
    <w:rsid w:val="0056078F"/>
    <w:rsid w:val="005635B7"/>
    <w:rsid w:val="00570C43"/>
    <w:rsid w:val="00576E3A"/>
    <w:rsid w:val="00587224"/>
    <w:rsid w:val="00595016"/>
    <w:rsid w:val="005A343D"/>
    <w:rsid w:val="005B2110"/>
    <w:rsid w:val="005B5EB3"/>
    <w:rsid w:val="005B61E6"/>
    <w:rsid w:val="005B6BC5"/>
    <w:rsid w:val="005C44BD"/>
    <w:rsid w:val="005C738F"/>
    <w:rsid w:val="005C77E1"/>
    <w:rsid w:val="005D4EE7"/>
    <w:rsid w:val="005D668A"/>
    <w:rsid w:val="005D6A2F"/>
    <w:rsid w:val="005E09AA"/>
    <w:rsid w:val="005E1A82"/>
    <w:rsid w:val="005E39D7"/>
    <w:rsid w:val="005E63CC"/>
    <w:rsid w:val="005E794C"/>
    <w:rsid w:val="005F0A28"/>
    <w:rsid w:val="005F0E5E"/>
    <w:rsid w:val="005F55F3"/>
    <w:rsid w:val="005F64F8"/>
    <w:rsid w:val="00600535"/>
    <w:rsid w:val="00604DE6"/>
    <w:rsid w:val="00610CD6"/>
    <w:rsid w:val="006134B5"/>
    <w:rsid w:val="006141D8"/>
    <w:rsid w:val="00620654"/>
    <w:rsid w:val="00620DEE"/>
    <w:rsid w:val="00621F92"/>
    <w:rsid w:val="0062280A"/>
    <w:rsid w:val="00625639"/>
    <w:rsid w:val="006264BA"/>
    <w:rsid w:val="00631B33"/>
    <w:rsid w:val="0064184D"/>
    <w:rsid w:val="006422CC"/>
    <w:rsid w:val="00643558"/>
    <w:rsid w:val="00651BC7"/>
    <w:rsid w:val="00656100"/>
    <w:rsid w:val="00660E3E"/>
    <w:rsid w:val="00662E74"/>
    <w:rsid w:val="0067044B"/>
    <w:rsid w:val="00680C23"/>
    <w:rsid w:val="0068452C"/>
    <w:rsid w:val="00685596"/>
    <w:rsid w:val="00686226"/>
    <w:rsid w:val="00691D74"/>
    <w:rsid w:val="00693766"/>
    <w:rsid w:val="006964E5"/>
    <w:rsid w:val="006A131E"/>
    <w:rsid w:val="006A3281"/>
    <w:rsid w:val="006B0C76"/>
    <w:rsid w:val="006B3AB2"/>
    <w:rsid w:val="006B4888"/>
    <w:rsid w:val="006B71A1"/>
    <w:rsid w:val="006C2E45"/>
    <w:rsid w:val="006C359C"/>
    <w:rsid w:val="006C5579"/>
    <w:rsid w:val="006C7994"/>
    <w:rsid w:val="006D6E8B"/>
    <w:rsid w:val="006E35CE"/>
    <w:rsid w:val="006E42F7"/>
    <w:rsid w:val="006E6E6E"/>
    <w:rsid w:val="006E737D"/>
    <w:rsid w:val="006F20A2"/>
    <w:rsid w:val="00702DFE"/>
    <w:rsid w:val="007059BC"/>
    <w:rsid w:val="00713973"/>
    <w:rsid w:val="00720A24"/>
    <w:rsid w:val="007232D3"/>
    <w:rsid w:val="00727769"/>
    <w:rsid w:val="00732386"/>
    <w:rsid w:val="00732B0A"/>
    <w:rsid w:val="00733A1C"/>
    <w:rsid w:val="0073514D"/>
    <w:rsid w:val="007447F3"/>
    <w:rsid w:val="007522B6"/>
    <w:rsid w:val="0075499F"/>
    <w:rsid w:val="00762141"/>
    <w:rsid w:val="007661C8"/>
    <w:rsid w:val="0077098D"/>
    <w:rsid w:val="00770AD3"/>
    <w:rsid w:val="00772659"/>
    <w:rsid w:val="00783B92"/>
    <w:rsid w:val="007931FA"/>
    <w:rsid w:val="00794DCB"/>
    <w:rsid w:val="007A28C2"/>
    <w:rsid w:val="007A4861"/>
    <w:rsid w:val="007A527E"/>
    <w:rsid w:val="007A794F"/>
    <w:rsid w:val="007A7BBA"/>
    <w:rsid w:val="007B0C50"/>
    <w:rsid w:val="007B48F9"/>
    <w:rsid w:val="007B74D2"/>
    <w:rsid w:val="007C00F0"/>
    <w:rsid w:val="007C1A43"/>
    <w:rsid w:val="007C44C9"/>
    <w:rsid w:val="007D0A18"/>
    <w:rsid w:val="007D3EEF"/>
    <w:rsid w:val="007D42BB"/>
    <w:rsid w:val="007F2F43"/>
    <w:rsid w:val="0080013E"/>
    <w:rsid w:val="008005FA"/>
    <w:rsid w:val="00801DA2"/>
    <w:rsid w:val="00802C75"/>
    <w:rsid w:val="00807142"/>
    <w:rsid w:val="00813288"/>
    <w:rsid w:val="008132AD"/>
    <w:rsid w:val="008152E3"/>
    <w:rsid w:val="008168FC"/>
    <w:rsid w:val="00825D5E"/>
    <w:rsid w:val="00830996"/>
    <w:rsid w:val="008310A2"/>
    <w:rsid w:val="008345F1"/>
    <w:rsid w:val="0084404A"/>
    <w:rsid w:val="008508B2"/>
    <w:rsid w:val="00852515"/>
    <w:rsid w:val="00861720"/>
    <w:rsid w:val="00862183"/>
    <w:rsid w:val="00865B07"/>
    <w:rsid w:val="008667EA"/>
    <w:rsid w:val="00875857"/>
    <w:rsid w:val="0087637F"/>
    <w:rsid w:val="00880650"/>
    <w:rsid w:val="00892AD5"/>
    <w:rsid w:val="008947B0"/>
    <w:rsid w:val="008973E3"/>
    <w:rsid w:val="008A1512"/>
    <w:rsid w:val="008A45BA"/>
    <w:rsid w:val="008B0491"/>
    <w:rsid w:val="008B1B29"/>
    <w:rsid w:val="008B4305"/>
    <w:rsid w:val="008C5DDA"/>
    <w:rsid w:val="008D32B9"/>
    <w:rsid w:val="008D433B"/>
    <w:rsid w:val="008D446D"/>
    <w:rsid w:val="008D6060"/>
    <w:rsid w:val="008D6474"/>
    <w:rsid w:val="008E3691"/>
    <w:rsid w:val="008E566E"/>
    <w:rsid w:val="008E575C"/>
    <w:rsid w:val="008E6FB0"/>
    <w:rsid w:val="008F6F94"/>
    <w:rsid w:val="0090161A"/>
    <w:rsid w:val="00901EB6"/>
    <w:rsid w:val="00904638"/>
    <w:rsid w:val="00904706"/>
    <w:rsid w:val="00904C62"/>
    <w:rsid w:val="0090609E"/>
    <w:rsid w:val="009159C6"/>
    <w:rsid w:val="00921E0A"/>
    <w:rsid w:val="00922BA8"/>
    <w:rsid w:val="00924DAC"/>
    <w:rsid w:val="00927058"/>
    <w:rsid w:val="00930B0E"/>
    <w:rsid w:val="00931781"/>
    <w:rsid w:val="00931D9C"/>
    <w:rsid w:val="0093605E"/>
    <w:rsid w:val="00942750"/>
    <w:rsid w:val="009450CE"/>
    <w:rsid w:val="009453D8"/>
    <w:rsid w:val="00947179"/>
    <w:rsid w:val="00947B33"/>
    <w:rsid w:val="0095164B"/>
    <w:rsid w:val="0095355D"/>
    <w:rsid w:val="00954090"/>
    <w:rsid w:val="009541BF"/>
    <w:rsid w:val="009559E0"/>
    <w:rsid w:val="009573E7"/>
    <w:rsid w:val="00957447"/>
    <w:rsid w:val="009610C8"/>
    <w:rsid w:val="009610E7"/>
    <w:rsid w:val="00963E05"/>
    <w:rsid w:val="0096706E"/>
    <w:rsid w:val="00967843"/>
    <w:rsid w:val="00967D54"/>
    <w:rsid w:val="00971028"/>
    <w:rsid w:val="00974DFB"/>
    <w:rsid w:val="009931AA"/>
    <w:rsid w:val="00993B84"/>
    <w:rsid w:val="00996483"/>
    <w:rsid w:val="00996F5A"/>
    <w:rsid w:val="009A4FC6"/>
    <w:rsid w:val="009B041A"/>
    <w:rsid w:val="009B4ABD"/>
    <w:rsid w:val="009B6817"/>
    <w:rsid w:val="009B7A6E"/>
    <w:rsid w:val="009C16C6"/>
    <w:rsid w:val="009C37C3"/>
    <w:rsid w:val="009C6B8C"/>
    <w:rsid w:val="009C7C86"/>
    <w:rsid w:val="009D2FF7"/>
    <w:rsid w:val="009D376B"/>
    <w:rsid w:val="009D5A86"/>
    <w:rsid w:val="009E5062"/>
    <w:rsid w:val="009E7884"/>
    <w:rsid w:val="009E788A"/>
    <w:rsid w:val="009E7A8B"/>
    <w:rsid w:val="009F0E08"/>
    <w:rsid w:val="009F5A70"/>
    <w:rsid w:val="009F7B6F"/>
    <w:rsid w:val="00A013BE"/>
    <w:rsid w:val="00A03D51"/>
    <w:rsid w:val="00A1117F"/>
    <w:rsid w:val="00A1763D"/>
    <w:rsid w:val="00A17CEC"/>
    <w:rsid w:val="00A24C58"/>
    <w:rsid w:val="00A25806"/>
    <w:rsid w:val="00A27EF0"/>
    <w:rsid w:val="00A42361"/>
    <w:rsid w:val="00A448B3"/>
    <w:rsid w:val="00A50B20"/>
    <w:rsid w:val="00A51390"/>
    <w:rsid w:val="00A55736"/>
    <w:rsid w:val="00A60D13"/>
    <w:rsid w:val="00A67157"/>
    <w:rsid w:val="00A71920"/>
    <w:rsid w:val="00A72745"/>
    <w:rsid w:val="00A74008"/>
    <w:rsid w:val="00A76EFC"/>
    <w:rsid w:val="00A7717F"/>
    <w:rsid w:val="00A91010"/>
    <w:rsid w:val="00A97F29"/>
    <w:rsid w:val="00AA702E"/>
    <w:rsid w:val="00AA708C"/>
    <w:rsid w:val="00AB0964"/>
    <w:rsid w:val="00AB2AE9"/>
    <w:rsid w:val="00AB5011"/>
    <w:rsid w:val="00AB624C"/>
    <w:rsid w:val="00AC4509"/>
    <w:rsid w:val="00AC5D85"/>
    <w:rsid w:val="00AC6CE4"/>
    <w:rsid w:val="00AC7368"/>
    <w:rsid w:val="00AD16B9"/>
    <w:rsid w:val="00AD5001"/>
    <w:rsid w:val="00AD5A95"/>
    <w:rsid w:val="00AE377D"/>
    <w:rsid w:val="00AE38DA"/>
    <w:rsid w:val="00AE7E33"/>
    <w:rsid w:val="00AF0EBA"/>
    <w:rsid w:val="00AF5AE2"/>
    <w:rsid w:val="00AF6C33"/>
    <w:rsid w:val="00B02A23"/>
    <w:rsid w:val="00B02C8A"/>
    <w:rsid w:val="00B0489C"/>
    <w:rsid w:val="00B11540"/>
    <w:rsid w:val="00B17FBD"/>
    <w:rsid w:val="00B305F2"/>
    <w:rsid w:val="00B31152"/>
    <w:rsid w:val="00B315A6"/>
    <w:rsid w:val="00B31813"/>
    <w:rsid w:val="00B33365"/>
    <w:rsid w:val="00B57B36"/>
    <w:rsid w:val="00B57E6F"/>
    <w:rsid w:val="00B7391A"/>
    <w:rsid w:val="00B76305"/>
    <w:rsid w:val="00B76D65"/>
    <w:rsid w:val="00B82AAB"/>
    <w:rsid w:val="00B8686D"/>
    <w:rsid w:val="00B87613"/>
    <w:rsid w:val="00B92CE7"/>
    <w:rsid w:val="00B93F69"/>
    <w:rsid w:val="00BB1DDC"/>
    <w:rsid w:val="00BB276A"/>
    <w:rsid w:val="00BB3A8B"/>
    <w:rsid w:val="00BB3FDE"/>
    <w:rsid w:val="00BB45D3"/>
    <w:rsid w:val="00BC30C9"/>
    <w:rsid w:val="00BD077D"/>
    <w:rsid w:val="00BD39EE"/>
    <w:rsid w:val="00BD4DFD"/>
    <w:rsid w:val="00BE34DB"/>
    <w:rsid w:val="00BE3E58"/>
    <w:rsid w:val="00BE429D"/>
    <w:rsid w:val="00BE61C6"/>
    <w:rsid w:val="00C01616"/>
    <w:rsid w:val="00C0162B"/>
    <w:rsid w:val="00C02EE1"/>
    <w:rsid w:val="00C068ED"/>
    <w:rsid w:val="00C111F9"/>
    <w:rsid w:val="00C12B07"/>
    <w:rsid w:val="00C13CE8"/>
    <w:rsid w:val="00C21568"/>
    <w:rsid w:val="00C22E0C"/>
    <w:rsid w:val="00C316D4"/>
    <w:rsid w:val="00C31C38"/>
    <w:rsid w:val="00C345B1"/>
    <w:rsid w:val="00C35A11"/>
    <w:rsid w:val="00C40142"/>
    <w:rsid w:val="00C415E6"/>
    <w:rsid w:val="00C433AB"/>
    <w:rsid w:val="00C467C8"/>
    <w:rsid w:val="00C47683"/>
    <w:rsid w:val="00C51991"/>
    <w:rsid w:val="00C52C3C"/>
    <w:rsid w:val="00C57182"/>
    <w:rsid w:val="00C57863"/>
    <w:rsid w:val="00C60E67"/>
    <w:rsid w:val="00C655FD"/>
    <w:rsid w:val="00C7300A"/>
    <w:rsid w:val="00C75407"/>
    <w:rsid w:val="00C756DE"/>
    <w:rsid w:val="00C870A8"/>
    <w:rsid w:val="00C874AE"/>
    <w:rsid w:val="00C94434"/>
    <w:rsid w:val="00C969DB"/>
    <w:rsid w:val="00CA0D75"/>
    <w:rsid w:val="00CA1C95"/>
    <w:rsid w:val="00CA5A9C"/>
    <w:rsid w:val="00CB4290"/>
    <w:rsid w:val="00CC1234"/>
    <w:rsid w:val="00CC3545"/>
    <w:rsid w:val="00CC4C20"/>
    <w:rsid w:val="00CD0C53"/>
    <w:rsid w:val="00CD11CE"/>
    <w:rsid w:val="00CD2A77"/>
    <w:rsid w:val="00CD3517"/>
    <w:rsid w:val="00CD5BA5"/>
    <w:rsid w:val="00CD5BD4"/>
    <w:rsid w:val="00CD5FE2"/>
    <w:rsid w:val="00CD69FF"/>
    <w:rsid w:val="00CE0B59"/>
    <w:rsid w:val="00CE296D"/>
    <w:rsid w:val="00CE2F61"/>
    <w:rsid w:val="00CE45CE"/>
    <w:rsid w:val="00CE607F"/>
    <w:rsid w:val="00CE7C68"/>
    <w:rsid w:val="00CF139E"/>
    <w:rsid w:val="00D00353"/>
    <w:rsid w:val="00D02B4C"/>
    <w:rsid w:val="00D040C4"/>
    <w:rsid w:val="00D17027"/>
    <w:rsid w:val="00D276BA"/>
    <w:rsid w:val="00D30711"/>
    <w:rsid w:val="00D42E97"/>
    <w:rsid w:val="00D44628"/>
    <w:rsid w:val="00D46B7E"/>
    <w:rsid w:val="00D47339"/>
    <w:rsid w:val="00D47EA7"/>
    <w:rsid w:val="00D500C3"/>
    <w:rsid w:val="00D57C84"/>
    <w:rsid w:val="00D6057D"/>
    <w:rsid w:val="00D6353A"/>
    <w:rsid w:val="00D6711A"/>
    <w:rsid w:val="00D76CE9"/>
    <w:rsid w:val="00D81BE9"/>
    <w:rsid w:val="00D82B32"/>
    <w:rsid w:val="00D836C5"/>
    <w:rsid w:val="00D84576"/>
    <w:rsid w:val="00D84E45"/>
    <w:rsid w:val="00D9480D"/>
    <w:rsid w:val="00DA1399"/>
    <w:rsid w:val="00DA24C6"/>
    <w:rsid w:val="00DA4D7B"/>
    <w:rsid w:val="00DA6780"/>
    <w:rsid w:val="00DB0009"/>
    <w:rsid w:val="00DB27CB"/>
    <w:rsid w:val="00DB5AB0"/>
    <w:rsid w:val="00DB6675"/>
    <w:rsid w:val="00DC4C8D"/>
    <w:rsid w:val="00DC6D96"/>
    <w:rsid w:val="00DE264A"/>
    <w:rsid w:val="00DE7A21"/>
    <w:rsid w:val="00DE7EDD"/>
    <w:rsid w:val="00DF5072"/>
    <w:rsid w:val="00E01533"/>
    <w:rsid w:val="00E02D18"/>
    <w:rsid w:val="00E041E7"/>
    <w:rsid w:val="00E106C8"/>
    <w:rsid w:val="00E21EA9"/>
    <w:rsid w:val="00E23CA1"/>
    <w:rsid w:val="00E309A7"/>
    <w:rsid w:val="00E323FA"/>
    <w:rsid w:val="00E409A8"/>
    <w:rsid w:val="00E50C12"/>
    <w:rsid w:val="00E52B3F"/>
    <w:rsid w:val="00E55B1A"/>
    <w:rsid w:val="00E56396"/>
    <w:rsid w:val="00E65B91"/>
    <w:rsid w:val="00E7209D"/>
    <w:rsid w:val="00E72EAD"/>
    <w:rsid w:val="00E77223"/>
    <w:rsid w:val="00E80195"/>
    <w:rsid w:val="00E81F57"/>
    <w:rsid w:val="00E829D8"/>
    <w:rsid w:val="00E83BB0"/>
    <w:rsid w:val="00E83CBB"/>
    <w:rsid w:val="00E845DA"/>
    <w:rsid w:val="00E8528B"/>
    <w:rsid w:val="00E85B94"/>
    <w:rsid w:val="00E86ED7"/>
    <w:rsid w:val="00E91EA5"/>
    <w:rsid w:val="00E978D0"/>
    <w:rsid w:val="00EA044A"/>
    <w:rsid w:val="00EA2245"/>
    <w:rsid w:val="00EA4613"/>
    <w:rsid w:val="00EA7F91"/>
    <w:rsid w:val="00EB1523"/>
    <w:rsid w:val="00EB4460"/>
    <w:rsid w:val="00EB46F6"/>
    <w:rsid w:val="00EC0E49"/>
    <w:rsid w:val="00EC101F"/>
    <w:rsid w:val="00EC1D9F"/>
    <w:rsid w:val="00EC6276"/>
    <w:rsid w:val="00EC6A8F"/>
    <w:rsid w:val="00ED024D"/>
    <w:rsid w:val="00EE0131"/>
    <w:rsid w:val="00EE17B0"/>
    <w:rsid w:val="00EF06D9"/>
    <w:rsid w:val="00EF129F"/>
    <w:rsid w:val="00EF60A1"/>
    <w:rsid w:val="00EF6EC6"/>
    <w:rsid w:val="00F05FA7"/>
    <w:rsid w:val="00F12303"/>
    <w:rsid w:val="00F30C64"/>
    <w:rsid w:val="00F31D1A"/>
    <w:rsid w:val="00F32BA2"/>
    <w:rsid w:val="00F32CDB"/>
    <w:rsid w:val="00F54B02"/>
    <w:rsid w:val="00F565FE"/>
    <w:rsid w:val="00F60F66"/>
    <w:rsid w:val="00F61D06"/>
    <w:rsid w:val="00F62A51"/>
    <w:rsid w:val="00F63A70"/>
    <w:rsid w:val="00F75058"/>
    <w:rsid w:val="00F7534E"/>
    <w:rsid w:val="00F76701"/>
    <w:rsid w:val="00F77B6B"/>
    <w:rsid w:val="00F800A8"/>
    <w:rsid w:val="00F8450D"/>
    <w:rsid w:val="00F9386B"/>
    <w:rsid w:val="00F9575F"/>
    <w:rsid w:val="00F959B7"/>
    <w:rsid w:val="00FA21D0"/>
    <w:rsid w:val="00FA596F"/>
    <w:rsid w:val="00FA5F5F"/>
    <w:rsid w:val="00FA7E39"/>
    <w:rsid w:val="00FB00A9"/>
    <w:rsid w:val="00FB01CB"/>
    <w:rsid w:val="00FB2AAB"/>
    <w:rsid w:val="00FB2D69"/>
    <w:rsid w:val="00FB730C"/>
    <w:rsid w:val="00FC2695"/>
    <w:rsid w:val="00FC2944"/>
    <w:rsid w:val="00FC3E03"/>
    <w:rsid w:val="00FC3FC1"/>
    <w:rsid w:val="00FC438C"/>
    <w:rsid w:val="00FC6D21"/>
    <w:rsid w:val="00FD3CDE"/>
    <w:rsid w:val="00FD6291"/>
    <w:rsid w:val="00FE1430"/>
    <w:rsid w:val="00FE165B"/>
    <w:rsid w:val="00FE1D35"/>
    <w:rsid w:val="0119A9D0"/>
    <w:rsid w:val="021AF03B"/>
    <w:rsid w:val="0252D5D2"/>
    <w:rsid w:val="02969058"/>
    <w:rsid w:val="02FB3B69"/>
    <w:rsid w:val="0300188C"/>
    <w:rsid w:val="0407299F"/>
    <w:rsid w:val="058B5797"/>
    <w:rsid w:val="06556804"/>
    <w:rsid w:val="08812984"/>
    <w:rsid w:val="08F2942F"/>
    <w:rsid w:val="09C4E82B"/>
    <w:rsid w:val="0B572CD7"/>
    <w:rsid w:val="0C0A1C28"/>
    <w:rsid w:val="0D8EBD65"/>
    <w:rsid w:val="0DF7F5B8"/>
    <w:rsid w:val="0EABE88B"/>
    <w:rsid w:val="0F0BA3ED"/>
    <w:rsid w:val="0FDEE875"/>
    <w:rsid w:val="0FE321ED"/>
    <w:rsid w:val="10C6A8E7"/>
    <w:rsid w:val="139DACC3"/>
    <w:rsid w:val="143E7781"/>
    <w:rsid w:val="14419417"/>
    <w:rsid w:val="14466507"/>
    <w:rsid w:val="165B4183"/>
    <w:rsid w:val="181C8782"/>
    <w:rsid w:val="18F62589"/>
    <w:rsid w:val="199F8A90"/>
    <w:rsid w:val="1C1AF1C4"/>
    <w:rsid w:val="1D126F4E"/>
    <w:rsid w:val="1DE5B3D6"/>
    <w:rsid w:val="1DF8941B"/>
    <w:rsid w:val="1E1E5D84"/>
    <w:rsid w:val="1E613B8C"/>
    <w:rsid w:val="1F9E64C1"/>
    <w:rsid w:val="1FAB7E94"/>
    <w:rsid w:val="20497898"/>
    <w:rsid w:val="210BBFB2"/>
    <w:rsid w:val="21C9D931"/>
    <w:rsid w:val="2295111C"/>
    <w:rsid w:val="22A79013"/>
    <w:rsid w:val="22F69404"/>
    <w:rsid w:val="23BB1B53"/>
    <w:rsid w:val="2424A96C"/>
    <w:rsid w:val="24672D4B"/>
    <w:rsid w:val="253A5D26"/>
    <w:rsid w:val="25DF30D5"/>
    <w:rsid w:val="26A719A3"/>
    <w:rsid w:val="2880F087"/>
    <w:rsid w:val="2ACBCA55"/>
    <w:rsid w:val="2B763545"/>
    <w:rsid w:val="2C679AB6"/>
    <w:rsid w:val="2D47C475"/>
    <w:rsid w:val="2DFBD7A0"/>
    <w:rsid w:val="3110D26B"/>
    <w:rsid w:val="3195F864"/>
    <w:rsid w:val="3200C998"/>
    <w:rsid w:val="32BE3553"/>
    <w:rsid w:val="32C7C0DF"/>
    <w:rsid w:val="33CA9F2D"/>
    <w:rsid w:val="33DA3ADA"/>
    <w:rsid w:val="365C0162"/>
    <w:rsid w:val="3793AA1E"/>
    <w:rsid w:val="3A6AB3C4"/>
    <w:rsid w:val="3A757DC1"/>
    <w:rsid w:val="3C944B94"/>
    <w:rsid w:val="3DA7F47F"/>
    <w:rsid w:val="3E45B782"/>
    <w:rsid w:val="40581A73"/>
    <w:rsid w:val="409434D0"/>
    <w:rsid w:val="42471CAA"/>
    <w:rsid w:val="43022B57"/>
    <w:rsid w:val="445509B5"/>
    <w:rsid w:val="46C4AB81"/>
    <w:rsid w:val="46FF629A"/>
    <w:rsid w:val="47A5AA9B"/>
    <w:rsid w:val="4A72ABFF"/>
    <w:rsid w:val="4D0AF627"/>
    <w:rsid w:val="4DE2C39E"/>
    <w:rsid w:val="4FD4120C"/>
    <w:rsid w:val="5128DDAB"/>
    <w:rsid w:val="515D6311"/>
    <w:rsid w:val="5327C48B"/>
    <w:rsid w:val="53ADCC85"/>
    <w:rsid w:val="544F756C"/>
    <w:rsid w:val="557CA867"/>
    <w:rsid w:val="57CDA0B4"/>
    <w:rsid w:val="5993B7A3"/>
    <w:rsid w:val="59E61A78"/>
    <w:rsid w:val="5AE5C025"/>
    <w:rsid w:val="5C313028"/>
    <w:rsid w:val="5DC793C8"/>
    <w:rsid w:val="5EEAB21D"/>
    <w:rsid w:val="5F0A2260"/>
    <w:rsid w:val="5FE6619B"/>
    <w:rsid w:val="60AB0695"/>
    <w:rsid w:val="626E644F"/>
    <w:rsid w:val="629B37BC"/>
    <w:rsid w:val="633A99E9"/>
    <w:rsid w:val="64DFAD03"/>
    <w:rsid w:val="6542C382"/>
    <w:rsid w:val="66723AAB"/>
    <w:rsid w:val="66D1FF38"/>
    <w:rsid w:val="69318275"/>
    <w:rsid w:val="6971FC08"/>
    <w:rsid w:val="6A3CA75D"/>
    <w:rsid w:val="6B45ABCE"/>
    <w:rsid w:val="6CCCD1F0"/>
    <w:rsid w:val="6E076E86"/>
    <w:rsid w:val="6E989F01"/>
    <w:rsid w:val="6F374EED"/>
    <w:rsid w:val="6FFFF494"/>
    <w:rsid w:val="701F69E8"/>
    <w:rsid w:val="71D03FC3"/>
    <w:rsid w:val="72802FEF"/>
    <w:rsid w:val="72FFB5F1"/>
    <w:rsid w:val="73379556"/>
    <w:rsid w:val="73435AB7"/>
    <w:rsid w:val="73D1B754"/>
    <w:rsid w:val="7435FCC3"/>
    <w:rsid w:val="753D5255"/>
    <w:rsid w:val="7812F3FF"/>
    <w:rsid w:val="79A9C2B6"/>
    <w:rsid w:val="7DE1D737"/>
    <w:rsid w:val="7DFCC35C"/>
    <w:rsid w:val="7E42AB41"/>
    <w:rsid w:val="7FA47DF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7637AFD6-6F28-44B2-B377-91414BB8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UnresolvedMention1">
    <w:name w:val="Unresolved Mention1"/>
    <w:basedOn w:val="Carpredefinitoparagrafo"/>
    <w:uiPriority w:val="99"/>
    <w:semiHidden/>
    <w:unhideWhenUsed/>
    <w:rsid w:val="0046289D"/>
    <w:rPr>
      <w:color w:val="605E5C"/>
      <w:shd w:val="clear" w:color="auto" w:fill="E1DFDD"/>
    </w:rPr>
  </w:style>
  <w:style w:type="character" w:customStyle="1" w:styleId="normaltextrun">
    <w:name w:val="normaltextrun"/>
    <w:basedOn w:val="Carpredefinitoparagrafo"/>
    <w:rsid w:val="00C316D4"/>
  </w:style>
  <w:style w:type="character" w:customStyle="1" w:styleId="eop">
    <w:name w:val="eop"/>
    <w:basedOn w:val="Carpredefinitoparagrafo"/>
    <w:rsid w:val="00C316D4"/>
  </w:style>
  <w:style w:type="character" w:styleId="Rimandonotaapidipagina">
    <w:name w:val="footnote reference"/>
    <w:basedOn w:val="Carpredefinitoparagrafo"/>
    <w:uiPriority w:val="99"/>
    <w:semiHidden/>
    <w:unhideWhenUsed/>
    <w:rsid w:val="00C316D4"/>
    <w:rPr>
      <w:vertAlign w:val="superscript"/>
    </w:rPr>
  </w:style>
  <w:style w:type="paragraph" w:styleId="Revisione">
    <w:name w:val="Revision"/>
    <w:hidden/>
    <w:uiPriority w:val="99"/>
    <w:semiHidden/>
    <w:rsid w:val="00957447"/>
    <w:pPr>
      <w:spacing w:after="0" w:line="240" w:lineRule="auto"/>
    </w:pPr>
    <w:rPr>
      <w:rFonts w:ascii="Arial" w:eastAsia="Times New Roman" w:hAnsi="Arial" w:cs="Times New Roman"/>
      <w:sz w:val="18"/>
      <w:szCs w:val="20"/>
      <w:lang w:val="en-GB"/>
    </w:rPr>
  </w:style>
  <w:style w:type="paragraph" w:customStyle="1" w:styleId="paragraph">
    <w:name w:val="paragraph"/>
    <w:basedOn w:val="Normale"/>
    <w:rsid w:val="00727769"/>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customStyle="1" w:styleId="UnresolvedMention2">
    <w:name w:val="Unresolved Mention2"/>
    <w:basedOn w:val="Carpredefinitoparagrafo"/>
    <w:uiPriority w:val="99"/>
    <w:semiHidden/>
    <w:unhideWhenUsed/>
    <w:rsid w:val="00727769"/>
    <w:rPr>
      <w:color w:val="605E5C"/>
      <w:shd w:val="clear" w:color="auto" w:fill="E1DFDD"/>
    </w:rPr>
  </w:style>
  <w:style w:type="paragraph" w:customStyle="1" w:styleId="Default">
    <w:name w:val="Default"/>
    <w:rsid w:val="00406CE3"/>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llegamentovisitato">
    <w:name w:val="FollowedHyperlink"/>
    <w:basedOn w:val="Carpredefinitoparagrafo"/>
    <w:uiPriority w:val="99"/>
    <w:semiHidden/>
    <w:unhideWhenUsed/>
    <w:rsid w:val="00696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925">
      <w:bodyDiv w:val="1"/>
      <w:marLeft w:val="0"/>
      <w:marRight w:val="0"/>
      <w:marTop w:val="0"/>
      <w:marBottom w:val="0"/>
      <w:divBdr>
        <w:top w:val="none" w:sz="0" w:space="0" w:color="auto"/>
        <w:left w:val="none" w:sz="0" w:space="0" w:color="auto"/>
        <w:bottom w:val="none" w:sz="0" w:space="0" w:color="auto"/>
        <w:right w:val="none" w:sz="0" w:space="0" w:color="auto"/>
      </w:divBdr>
      <w:divsChild>
        <w:div w:id="188639555">
          <w:marLeft w:val="0"/>
          <w:marRight w:val="0"/>
          <w:marTop w:val="0"/>
          <w:marBottom w:val="0"/>
          <w:divBdr>
            <w:top w:val="none" w:sz="0" w:space="0" w:color="auto"/>
            <w:left w:val="none" w:sz="0" w:space="0" w:color="auto"/>
            <w:bottom w:val="none" w:sz="0" w:space="0" w:color="auto"/>
            <w:right w:val="none" w:sz="0" w:space="0" w:color="auto"/>
          </w:divBdr>
        </w:div>
        <w:div w:id="1258906546">
          <w:marLeft w:val="0"/>
          <w:marRight w:val="0"/>
          <w:marTop w:val="0"/>
          <w:marBottom w:val="0"/>
          <w:divBdr>
            <w:top w:val="none" w:sz="0" w:space="0" w:color="auto"/>
            <w:left w:val="none" w:sz="0" w:space="0" w:color="auto"/>
            <w:bottom w:val="none" w:sz="0" w:space="0" w:color="auto"/>
            <w:right w:val="none" w:sz="0" w:space="0" w:color="auto"/>
          </w:divBdr>
        </w:div>
        <w:div w:id="1344896101">
          <w:marLeft w:val="0"/>
          <w:marRight w:val="0"/>
          <w:marTop w:val="0"/>
          <w:marBottom w:val="0"/>
          <w:divBdr>
            <w:top w:val="none" w:sz="0" w:space="0" w:color="auto"/>
            <w:left w:val="none" w:sz="0" w:space="0" w:color="auto"/>
            <w:bottom w:val="none" w:sz="0" w:space="0" w:color="auto"/>
            <w:right w:val="none" w:sz="0" w:space="0" w:color="auto"/>
          </w:divBdr>
        </w:div>
        <w:div w:id="1450706741">
          <w:marLeft w:val="0"/>
          <w:marRight w:val="0"/>
          <w:marTop w:val="0"/>
          <w:marBottom w:val="0"/>
          <w:divBdr>
            <w:top w:val="none" w:sz="0" w:space="0" w:color="auto"/>
            <w:left w:val="none" w:sz="0" w:space="0" w:color="auto"/>
            <w:bottom w:val="none" w:sz="0" w:space="0" w:color="auto"/>
            <w:right w:val="none" w:sz="0" w:space="0" w:color="auto"/>
          </w:divBdr>
        </w:div>
        <w:div w:id="1843934989">
          <w:marLeft w:val="0"/>
          <w:marRight w:val="0"/>
          <w:marTop w:val="0"/>
          <w:marBottom w:val="0"/>
          <w:divBdr>
            <w:top w:val="none" w:sz="0" w:space="0" w:color="auto"/>
            <w:left w:val="none" w:sz="0" w:space="0" w:color="auto"/>
            <w:bottom w:val="none" w:sz="0" w:space="0" w:color="auto"/>
            <w:right w:val="none" w:sz="0" w:space="0" w:color="auto"/>
          </w:divBdr>
        </w:div>
      </w:divsChild>
    </w:div>
    <w:div w:id="232661137">
      <w:bodyDiv w:val="1"/>
      <w:marLeft w:val="0"/>
      <w:marRight w:val="0"/>
      <w:marTop w:val="0"/>
      <w:marBottom w:val="0"/>
      <w:divBdr>
        <w:top w:val="none" w:sz="0" w:space="0" w:color="auto"/>
        <w:left w:val="none" w:sz="0" w:space="0" w:color="auto"/>
        <w:bottom w:val="none" w:sz="0" w:space="0" w:color="auto"/>
        <w:right w:val="none" w:sz="0" w:space="0" w:color="auto"/>
      </w:divBdr>
    </w:div>
    <w:div w:id="606350872">
      <w:bodyDiv w:val="1"/>
      <w:marLeft w:val="0"/>
      <w:marRight w:val="0"/>
      <w:marTop w:val="0"/>
      <w:marBottom w:val="0"/>
      <w:divBdr>
        <w:top w:val="none" w:sz="0" w:space="0" w:color="auto"/>
        <w:left w:val="none" w:sz="0" w:space="0" w:color="auto"/>
        <w:bottom w:val="none" w:sz="0" w:space="0" w:color="auto"/>
        <w:right w:val="none" w:sz="0" w:space="0" w:color="auto"/>
      </w:divBdr>
    </w:div>
    <w:div w:id="6923412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051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14326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10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assets.bbhub.io/company/sites/60/2020/10/TCFD_Booklet_FNL_Digital_March-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tecnimont.sharepoint.com/sites/prj_4241/Engineering/CLUSTER%201/3.%20steam%20boiler%20optimization/hse/calculations/Steam%20Boiler%20Optimiz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ecnimont.sharepoint.com/sites/prj_4241/Engineering/CLUSTER%201/5.%20steam%20turbine%20vs%20VSD%20compressor%20driver/hse/calculation/Compressors%20Drive%20HSE%20resul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CO</a:t>
            </a:r>
            <a:r>
              <a:rPr lang="en-US" sz="1050" baseline="-25000"/>
              <a:t>2</a:t>
            </a:r>
            <a:r>
              <a:rPr lang="en-US" sz="1050" baseline="0"/>
              <a:t> Emissions [tCO</a:t>
            </a:r>
            <a:r>
              <a:rPr lang="en-US" sz="1050" baseline="-25000"/>
              <a:t>2</a:t>
            </a:r>
            <a:r>
              <a:rPr lang="en-US" sz="1050" baseline="0"/>
              <a:t>/year]</a:t>
            </a:r>
          </a:p>
        </c:rich>
      </c:tx>
      <c:layout>
        <c:manualLayout>
          <c:xMode val="edge"/>
          <c:yMode val="edge"/>
          <c:x val="0.2800137795275590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82938984478792"/>
          <c:y val="0.15840490797546011"/>
          <c:w val="0.77179352580927385"/>
          <c:h val="0.63377228153229304"/>
        </c:manualLayout>
      </c:layout>
      <c:barChart>
        <c:barDir val="col"/>
        <c:grouping val="clustered"/>
        <c:varyColors val="0"/>
        <c:ser>
          <c:idx val="0"/>
          <c:order val="0"/>
          <c:tx>
            <c:v>Base Configuration</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Summary!$D$4</c:f>
              <c:numCache>
                <c:formatCode>_(* #,##0_);_(* \(#,##0\);_(* "-"??_);_(@_)</c:formatCode>
                <c:ptCount val="1"/>
                <c:pt idx="0">
                  <c:v>390234.1355453459</c:v>
                </c:pt>
              </c:numCache>
            </c:numRef>
          </c:val>
          <c:extLst>
            <c:ext xmlns:c16="http://schemas.microsoft.com/office/drawing/2014/chart" uri="{C3380CC4-5D6E-409C-BE32-E72D297353CC}">
              <c16:uniqueId val="{00000000-0513-40E8-AD25-968EBA2C5AAA}"/>
            </c:ext>
          </c:extLst>
        </c:ser>
        <c:ser>
          <c:idx val="1"/>
          <c:order val="1"/>
          <c:tx>
            <c:v>Alternative Configuration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Summary!$D$9</c:f>
              <c:numCache>
                <c:formatCode>_(* #,##0_);_(* \(#,##0\);_(* "-"??_);_(@_)</c:formatCode>
                <c:ptCount val="1"/>
                <c:pt idx="0">
                  <c:v>380984.45574110263</c:v>
                </c:pt>
              </c:numCache>
            </c:numRef>
          </c:val>
          <c:extLst>
            <c:ext xmlns:c16="http://schemas.microsoft.com/office/drawing/2014/chart" uri="{C3380CC4-5D6E-409C-BE32-E72D297353CC}">
              <c16:uniqueId val="{00000001-0513-40E8-AD25-968EBA2C5AAA}"/>
            </c:ext>
          </c:extLst>
        </c:ser>
        <c:dLbls>
          <c:dLblPos val="outEnd"/>
          <c:showLegendKey val="0"/>
          <c:showVal val="1"/>
          <c:showCatName val="0"/>
          <c:showSerName val="0"/>
          <c:showPercent val="0"/>
          <c:showBubbleSize val="0"/>
        </c:dLbls>
        <c:gapWidth val="219"/>
        <c:overlap val="-27"/>
        <c:axId val="839093839"/>
        <c:axId val="839085935"/>
      </c:barChart>
      <c:catAx>
        <c:axId val="839093839"/>
        <c:scaling>
          <c:orientation val="minMax"/>
        </c:scaling>
        <c:delete val="1"/>
        <c:axPos val="b"/>
        <c:majorTickMark val="none"/>
        <c:minorTickMark val="none"/>
        <c:tickLblPos val="nextTo"/>
        <c:crossAx val="839085935"/>
        <c:crosses val="autoZero"/>
        <c:auto val="1"/>
        <c:lblAlgn val="ctr"/>
        <c:lblOffset val="100"/>
        <c:noMultiLvlLbl val="0"/>
      </c:catAx>
      <c:valAx>
        <c:axId val="8390859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093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050"/>
              <a:t>Total</a:t>
            </a:r>
            <a:r>
              <a:rPr lang="en-US" sz="1050" baseline="0"/>
              <a:t> CO</a:t>
            </a:r>
            <a:r>
              <a:rPr lang="en-US" sz="1050" baseline="-25000"/>
              <a:t>2</a:t>
            </a:r>
            <a:r>
              <a:rPr lang="en-US" sz="1050" baseline="0"/>
              <a:t> Emissions [tCO</a:t>
            </a:r>
            <a:r>
              <a:rPr lang="en-US" sz="1050" baseline="-25000"/>
              <a:t>2</a:t>
            </a:r>
            <a:r>
              <a:rPr lang="en-US" sz="1050" baseline="0"/>
              <a:t>/year]</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v>Base Configuration</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Summary!$E$5</c:f>
              <c:numCache>
                <c:formatCode>_(* #,##0_);_(* \(#,##0\);_(* "-"??_);_(@_)</c:formatCode>
                <c:ptCount val="1"/>
                <c:pt idx="0">
                  <c:v>236073.8281175071</c:v>
                </c:pt>
              </c:numCache>
            </c:numRef>
          </c:val>
          <c:extLst>
            <c:ext xmlns:c16="http://schemas.microsoft.com/office/drawing/2014/chart" uri="{C3380CC4-5D6E-409C-BE32-E72D297353CC}">
              <c16:uniqueId val="{00000000-E3FF-4150-BE3D-B23F5924B4A9}"/>
            </c:ext>
          </c:extLst>
        </c:ser>
        <c:ser>
          <c:idx val="1"/>
          <c:order val="1"/>
          <c:tx>
            <c:v>Alternative Configuration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Summary!$K$5</c:f>
              <c:numCache>
                <c:formatCode>_(* #,##0_);_(* \(#,##0\);_(* "-"??_);_(@_)</c:formatCode>
                <c:ptCount val="1"/>
                <c:pt idx="0">
                  <c:v>381497.93705729803</c:v>
                </c:pt>
              </c:numCache>
            </c:numRef>
          </c:val>
          <c:extLst>
            <c:ext xmlns:c16="http://schemas.microsoft.com/office/drawing/2014/chart" uri="{C3380CC4-5D6E-409C-BE32-E72D297353CC}">
              <c16:uniqueId val="{00000001-E3FF-4150-BE3D-B23F5924B4A9}"/>
            </c:ext>
          </c:extLst>
        </c:ser>
        <c:dLbls>
          <c:showLegendKey val="0"/>
          <c:showVal val="0"/>
          <c:showCatName val="0"/>
          <c:showSerName val="0"/>
          <c:showPercent val="0"/>
          <c:showBubbleSize val="0"/>
        </c:dLbls>
        <c:gapWidth val="219"/>
        <c:overlap val="-27"/>
        <c:axId val="432914832"/>
        <c:axId val="432919408"/>
      </c:barChart>
      <c:catAx>
        <c:axId val="432914832"/>
        <c:scaling>
          <c:orientation val="minMax"/>
        </c:scaling>
        <c:delete val="1"/>
        <c:axPos val="b"/>
        <c:majorTickMark val="none"/>
        <c:minorTickMark val="none"/>
        <c:tickLblPos val="nextTo"/>
        <c:crossAx val="432919408"/>
        <c:crosses val="autoZero"/>
        <c:auto val="1"/>
        <c:lblAlgn val="ctr"/>
        <c:lblOffset val="100"/>
        <c:noMultiLvlLbl val="0"/>
      </c:catAx>
      <c:valAx>
        <c:axId val="432919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3291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6122-A9A5-44B4-822F-3B3CB1DD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3198</Words>
  <Characters>18231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Guido Jacopo Luca Micheli</cp:lastModifiedBy>
  <cp:revision>6</cp:revision>
  <cp:lastPrinted>2015-05-12T09:31:00Z</cp:lastPrinted>
  <dcterms:created xsi:type="dcterms:W3CDTF">2022-02-28T16:19:00Z</dcterms:created>
  <dcterms:modified xsi:type="dcterms:W3CDTF">2022-03-01T17:45:00Z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e18d9558-26a3-4f93-8788-04a494c05692_Enabled">
    <vt:lpwstr>true</vt:lpwstr>
  </property>
  <property fmtid="{D5CDD505-2E9C-101B-9397-08002B2CF9AE}" pid="5" name="MSIP_Label_e18d9558-26a3-4f93-8788-04a494c05692_SetDate">
    <vt:lpwstr>2021-12-23T09:25:31Z</vt:lpwstr>
  </property>
  <property fmtid="{D5CDD505-2E9C-101B-9397-08002B2CF9AE}" pid="6" name="MSIP_Label_e18d9558-26a3-4f93-8788-04a494c05692_Method">
    <vt:lpwstr>Standard</vt:lpwstr>
  </property>
  <property fmtid="{D5CDD505-2E9C-101B-9397-08002B2CF9AE}" pid="7" name="MSIP_Label_e18d9558-26a3-4f93-8788-04a494c05692_Name">
    <vt:lpwstr>e18d9558-26a3-4f93-8788-04a494c05692</vt:lpwstr>
  </property>
  <property fmtid="{D5CDD505-2E9C-101B-9397-08002B2CF9AE}" pid="8" name="MSIP_Label_e18d9558-26a3-4f93-8788-04a494c05692_SiteId">
    <vt:lpwstr>7cc91888-5aa0-49e5-a836-22cda2eae0fc</vt:lpwstr>
  </property>
  <property fmtid="{D5CDD505-2E9C-101B-9397-08002B2CF9AE}" pid="9" name="MSIP_Label_e18d9558-26a3-4f93-8788-04a494c05692_ActionId">
    <vt:lpwstr>64fa7448-8134-4c09-9e01-8550fe374a9b</vt:lpwstr>
  </property>
  <property fmtid="{D5CDD505-2E9C-101B-9397-08002B2CF9AE}" pid="10" name="MSIP_Label_e18d9558-26a3-4f93-8788-04a494c05692_ContentBits">
    <vt:lpwstr>0</vt:lpwstr>
  </property>
</Properties>
</file>