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CA47F8" w14:paraId="2A131A54" w14:textId="77777777" w:rsidTr="00DE264A">
        <w:trPr>
          <w:trHeight w:val="852"/>
          <w:jc w:val="center"/>
        </w:trPr>
        <w:tc>
          <w:tcPr>
            <w:tcW w:w="6946" w:type="dxa"/>
            <w:vMerge w:val="restart"/>
            <w:tcBorders>
              <w:right w:val="single" w:sz="4" w:space="0" w:color="auto"/>
            </w:tcBorders>
          </w:tcPr>
          <w:p w14:paraId="38C3D2BA" w14:textId="70F25A5F" w:rsidR="000A03B2" w:rsidRPr="00CA47F8" w:rsidRDefault="00DB559B" w:rsidP="00DE264A">
            <w:pPr>
              <w:tabs>
                <w:tab w:val="left" w:pos="-108"/>
              </w:tabs>
              <w:ind w:left="-108"/>
              <w:jc w:val="left"/>
              <w:rPr>
                <w:rFonts w:cs="Arial"/>
                <w:b/>
                <w:bCs/>
                <w:i/>
                <w:iCs/>
                <w:color w:val="000066"/>
                <w:sz w:val="12"/>
                <w:szCs w:val="12"/>
                <w:lang w:eastAsia="it-IT"/>
              </w:rPr>
            </w:pPr>
            <w:r w:rsidRPr="00CA47F8">
              <w:rPr>
                <w:rFonts w:ascii="AdvP6960" w:hAnsi="AdvP6960" w:cs="AdvP6960"/>
                <w:noProof/>
                <w:color w:val="241F20"/>
                <w:szCs w:val="18"/>
                <w:lang w:val="it-IT" w:eastAsia="it-IT"/>
              </w:rPr>
              <w:drawing>
                <wp:inline distT="0" distB="0" distL="0" distR="0" wp14:anchorId="1C81DB63" wp14:editId="3CCA1598">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A47F8">
              <w:rPr>
                <w:rFonts w:ascii="AdvP6960" w:hAnsi="AdvP6960" w:cs="AdvP6960"/>
                <w:color w:val="241F20"/>
                <w:szCs w:val="18"/>
                <w:lang w:eastAsia="it-IT"/>
              </w:rPr>
              <w:t xml:space="preserve"> </w:t>
            </w:r>
            <w:r w:rsidRPr="00CA47F8">
              <w:rPr>
                <w:rFonts w:cs="Arial"/>
                <w:b/>
                <w:bCs/>
                <w:i/>
                <w:iCs/>
                <w:color w:val="000066"/>
                <w:sz w:val="24"/>
                <w:szCs w:val="24"/>
                <w:lang w:eastAsia="it-IT"/>
              </w:rPr>
              <w:t>CHEMICAL ENGINEERING</w:t>
            </w:r>
            <w:r w:rsidRPr="00CA47F8">
              <w:rPr>
                <w:rFonts w:cs="Arial"/>
                <w:b/>
                <w:bCs/>
                <w:i/>
                <w:iCs/>
                <w:color w:val="0033FF"/>
                <w:sz w:val="24"/>
                <w:szCs w:val="24"/>
                <w:lang w:eastAsia="it-IT"/>
              </w:rPr>
              <w:t xml:space="preserve"> </w:t>
            </w:r>
            <w:r w:rsidRPr="00CA47F8">
              <w:rPr>
                <w:rFonts w:cs="Arial"/>
                <w:b/>
                <w:bCs/>
                <w:i/>
                <w:iCs/>
                <w:color w:val="666666"/>
                <w:sz w:val="24"/>
                <w:szCs w:val="24"/>
                <w:lang w:eastAsia="it-IT"/>
              </w:rPr>
              <w:t>TRANSACTIONS</w:t>
            </w:r>
            <w:r w:rsidR="000A03B2" w:rsidRPr="00CA47F8">
              <w:rPr>
                <w:rFonts w:cs="Arial"/>
                <w:b/>
                <w:bCs/>
                <w:i/>
                <w:iCs/>
                <w:color w:val="000066"/>
                <w:sz w:val="27"/>
                <w:szCs w:val="27"/>
                <w:lang w:eastAsia="it-IT"/>
              </w:rPr>
              <w:br/>
            </w:r>
          </w:p>
          <w:p w14:paraId="4B780582" w14:textId="73E7C1ED" w:rsidR="000A03B2" w:rsidRPr="00CA47F8" w:rsidRDefault="00DB559B" w:rsidP="00EC101F">
            <w:pPr>
              <w:tabs>
                <w:tab w:val="left" w:pos="-108"/>
              </w:tabs>
              <w:ind w:left="-108"/>
              <w:rPr>
                <w:rFonts w:cs="Arial"/>
                <w:b/>
                <w:bCs/>
                <w:i/>
                <w:iCs/>
                <w:color w:val="000066"/>
                <w:sz w:val="22"/>
                <w:szCs w:val="22"/>
                <w:lang w:eastAsia="it-IT"/>
              </w:rPr>
            </w:pPr>
            <w:r w:rsidRPr="00CA47F8">
              <w:rPr>
                <w:rFonts w:cs="Arial"/>
                <w:b/>
                <w:bCs/>
                <w:i/>
                <w:iCs/>
                <w:color w:val="000066"/>
                <w:sz w:val="22"/>
                <w:szCs w:val="22"/>
                <w:lang w:eastAsia="it-IT"/>
              </w:rPr>
              <w:t>VOL. 91, 2022</w:t>
            </w:r>
          </w:p>
        </w:tc>
        <w:tc>
          <w:tcPr>
            <w:tcW w:w="1843" w:type="dxa"/>
            <w:tcBorders>
              <w:left w:val="single" w:sz="4" w:space="0" w:color="auto"/>
              <w:bottom w:val="nil"/>
              <w:right w:val="single" w:sz="4" w:space="0" w:color="auto"/>
            </w:tcBorders>
          </w:tcPr>
          <w:p w14:paraId="56782132" w14:textId="77777777" w:rsidR="000A03B2" w:rsidRPr="00CA47F8" w:rsidRDefault="000A03B2" w:rsidP="00CD5FE2">
            <w:pPr>
              <w:spacing w:line="140" w:lineRule="atLeast"/>
              <w:jc w:val="right"/>
              <w:rPr>
                <w:rFonts w:cs="Arial"/>
                <w:sz w:val="14"/>
                <w:szCs w:val="14"/>
              </w:rPr>
            </w:pPr>
            <w:r w:rsidRPr="00CA47F8">
              <w:rPr>
                <w:rFonts w:cs="Arial"/>
                <w:sz w:val="14"/>
                <w:szCs w:val="14"/>
              </w:rPr>
              <w:t>A publication of</w:t>
            </w:r>
          </w:p>
          <w:p w14:paraId="599E5441" w14:textId="77777777" w:rsidR="000A03B2" w:rsidRPr="00CA47F8" w:rsidRDefault="000A03B2" w:rsidP="00CD5FE2">
            <w:pPr>
              <w:jc w:val="right"/>
            </w:pPr>
            <w:r w:rsidRPr="00CA47F8">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CA47F8" w14:paraId="380FA3CD" w14:textId="77777777" w:rsidTr="00DE264A">
        <w:trPr>
          <w:trHeight w:val="567"/>
          <w:jc w:val="center"/>
        </w:trPr>
        <w:tc>
          <w:tcPr>
            <w:tcW w:w="6946" w:type="dxa"/>
            <w:vMerge/>
            <w:tcBorders>
              <w:right w:val="single" w:sz="4" w:space="0" w:color="auto"/>
            </w:tcBorders>
          </w:tcPr>
          <w:p w14:paraId="39E5E4C1" w14:textId="77777777" w:rsidR="000A03B2" w:rsidRPr="00CA47F8"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CA47F8" w:rsidRDefault="000A03B2" w:rsidP="00CD5FE2">
            <w:pPr>
              <w:spacing w:line="140" w:lineRule="atLeast"/>
              <w:jc w:val="right"/>
              <w:rPr>
                <w:rFonts w:cs="Arial"/>
                <w:sz w:val="14"/>
                <w:szCs w:val="14"/>
              </w:rPr>
            </w:pPr>
            <w:r w:rsidRPr="00CA47F8">
              <w:rPr>
                <w:rFonts w:cs="Arial"/>
                <w:sz w:val="14"/>
                <w:szCs w:val="14"/>
              </w:rPr>
              <w:t>The Italian Association</w:t>
            </w:r>
          </w:p>
          <w:p w14:paraId="7522B1D2" w14:textId="77777777" w:rsidR="000A03B2" w:rsidRPr="00CA47F8" w:rsidRDefault="000A03B2" w:rsidP="00CD5FE2">
            <w:pPr>
              <w:spacing w:line="140" w:lineRule="atLeast"/>
              <w:jc w:val="right"/>
              <w:rPr>
                <w:rFonts w:cs="Arial"/>
                <w:sz w:val="14"/>
                <w:szCs w:val="14"/>
              </w:rPr>
            </w:pPr>
            <w:r w:rsidRPr="00CA47F8">
              <w:rPr>
                <w:rFonts w:cs="Arial"/>
                <w:sz w:val="14"/>
                <w:szCs w:val="14"/>
              </w:rPr>
              <w:t>of Chemical Engineering</w:t>
            </w:r>
          </w:p>
          <w:p w14:paraId="4F0CC5DE" w14:textId="47FDB2FC" w:rsidR="000A03B2" w:rsidRPr="00CA47F8" w:rsidRDefault="000D0268" w:rsidP="00CD5FE2">
            <w:pPr>
              <w:spacing w:line="140" w:lineRule="atLeast"/>
              <w:jc w:val="right"/>
              <w:rPr>
                <w:rFonts w:cs="Arial"/>
                <w:sz w:val="13"/>
                <w:szCs w:val="13"/>
              </w:rPr>
            </w:pPr>
            <w:r w:rsidRPr="00CA47F8">
              <w:rPr>
                <w:rFonts w:cs="Arial"/>
                <w:sz w:val="13"/>
                <w:szCs w:val="13"/>
              </w:rPr>
              <w:t>Online at www.cetjournal.it</w:t>
            </w:r>
          </w:p>
        </w:tc>
      </w:tr>
      <w:tr w:rsidR="000A03B2" w:rsidRPr="00CA47F8" w14:paraId="2D1B7169" w14:textId="77777777" w:rsidTr="00DE264A">
        <w:trPr>
          <w:trHeight w:val="68"/>
          <w:jc w:val="center"/>
        </w:trPr>
        <w:tc>
          <w:tcPr>
            <w:tcW w:w="8789" w:type="dxa"/>
            <w:gridSpan w:val="2"/>
          </w:tcPr>
          <w:p w14:paraId="252ADB60" w14:textId="77777777" w:rsidR="00DB559B" w:rsidRPr="00CA47F8" w:rsidRDefault="00DB559B" w:rsidP="00DB559B">
            <w:pPr>
              <w:ind w:left="-107"/>
              <w:outlineLvl w:val="2"/>
              <w:rPr>
                <w:rFonts w:ascii="Tahoma" w:hAnsi="Tahoma" w:cs="Tahoma"/>
                <w:bCs/>
                <w:color w:val="000000"/>
                <w:sz w:val="14"/>
                <w:szCs w:val="14"/>
                <w:lang w:val="it-IT" w:eastAsia="it-IT"/>
              </w:rPr>
            </w:pPr>
            <w:r w:rsidRPr="00CA47F8">
              <w:rPr>
                <w:rFonts w:ascii="Tahoma" w:hAnsi="Tahoma" w:cs="Tahoma"/>
                <w:iCs/>
                <w:color w:val="333333"/>
                <w:sz w:val="14"/>
                <w:szCs w:val="14"/>
                <w:lang w:val="it-IT" w:eastAsia="it-IT"/>
              </w:rPr>
              <w:t xml:space="preserve">Guest Editors: </w:t>
            </w:r>
            <w:r w:rsidRPr="00CA47F8">
              <w:rPr>
                <w:rFonts w:ascii="Tahoma" w:hAnsi="Tahoma" w:cs="Tahoma"/>
                <w:color w:val="000000"/>
                <w:sz w:val="14"/>
                <w:szCs w:val="14"/>
                <w:shd w:val="clear" w:color="auto" w:fill="FFFFFF"/>
                <w:lang w:val="it-IT"/>
              </w:rPr>
              <w:t xml:space="preserve">Valerio Cozzani, Bruno Fabiano, </w:t>
            </w:r>
            <w:proofErr w:type="spellStart"/>
            <w:r w:rsidRPr="00CA47F8">
              <w:rPr>
                <w:rFonts w:ascii="Tahoma" w:hAnsi="Tahoma" w:cs="Tahoma"/>
                <w:bCs/>
                <w:color w:val="000000"/>
                <w:sz w:val="14"/>
                <w:szCs w:val="14"/>
                <w:lang w:val="it-IT" w:eastAsia="it-IT"/>
              </w:rPr>
              <w:t>Genserik</w:t>
            </w:r>
            <w:proofErr w:type="spellEnd"/>
            <w:r w:rsidRPr="00CA47F8">
              <w:rPr>
                <w:rFonts w:ascii="Tahoma" w:hAnsi="Tahoma" w:cs="Tahoma"/>
                <w:bCs/>
                <w:color w:val="000000"/>
                <w:sz w:val="14"/>
                <w:szCs w:val="14"/>
                <w:lang w:val="it-IT" w:eastAsia="it-IT"/>
              </w:rPr>
              <w:t xml:space="preserve"> </w:t>
            </w:r>
            <w:proofErr w:type="spellStart"/>
            <w:r w:rsidRPr="00CA47F8">
              <w:rPr>
                <w:rFonts w:ascii="Tahoma" w:hAnsi="Tahoma" w:cs="Tahoma"/>
                <w:bCs/>
                <w:color w:val="000000"/>
                <w:sz w:val="14"/>
                <w:szCs w:val="14"/>
                <w:lang w:val="it-IT" w:eastAsia="it-IT"/>
              </w:rPr>
              <w:t>Reniers</w:t>
            </w:r>
            <w:proofErr w:type="spellEnd"/>
          </w:p>
          <w:p w14:paraId="1B0F1814" w14:textId="782EABF1" w:rsidR="000A03B2" w:rsidRPr="00CA47F8" w:rsidRDefault="00DB559B" w:rsidP="00DB559B">
            <w:pPr>
              <w:tabs>
                <w:tab w:val="left" w:pos="-108"/>
              </w:tabs>
              <w:spacing w:line="140" w:lineRule="atLeast"/>
              <w:ind w:left="-107"/>
              <w:jc w:val="left"/>
            </w:pPr>
            <w:r w:rsidRPr="00CA47F8">
              <w:rPr>
                <w:rFonts w:ascii="Tahoma" w:hAnsi="Tahoma" w:cs="Tahoma"/>
                <w:iCs/>
                <w:color w:val="333333"/>
                <w:sz w:val="14"/>
                <w:szCs w:val="14"/>
                <w:lang w:eastAsia="it-IT"/>
              </w:rPr>
              <w:t xml:space="preserve">Copyright © 2022, AIDIC </w:t>
            </w:r>
            <w:proofErr w:type="spellStart"/>
            <w:r w:rsidRPr="00CA47F8">
              <w:rPr>
                <w:rFonts w:ascii="Tahoma" w:hAnsi="Tahoma" w:cs="Tahoma"/>
                <w:iCs/>
                <w:color w:val="333333"/>
                <w:sz w:val="14"/>
                <w:szCs w:val="14"/>
                <w:lang w:eastAsia="it-IT"/>
              </w:rPr>
              <w:t>Servizi</w:t>
            </w:r>
            <w:proofErr w:type="spellEnd"/>
            <w:r w:rsidRPr="00CA47F8">
              <w:rPr>
                <w:rFonts w:ascii="Tahoma" w:hAnsi="Tahoma" w:cs="Tahoma"/>
                <w:iCs/>
                <w:color w:val="333333"/>
                <w:sz w:val="14"/>
                <w:szCs w:val="14"/>
                <w:lang w:eastAsia="it-IT"/>
              </w:rPr>
              <w:t xml:space="preserve"> </w:t>
            </w:r>
            <w:proofErr w:type="spellStart"/>
            <w:r w:rsidRPr="00CA47F8">
              <w:rPr>
                <w:rFonts w:ascii="Tahoma" w:hAnsi="Tahoma" w:cs="Tahoma"/>
                <w:iCs/>
                <w:color w:val="333333"/>
                <w:sz w:val="14"/>
                <w:szCs w:val="14"/>
                <w:lang w:eastAsia="it-IT"/>
              </w:rPr>
              <w:t>S.r.l</w:t>
            </w:r>
            <w:proofErr w:type="spellEnd"/>
            <w:r w:rsidRPr="00CA47F8">
              <w:rPr>
                <w:rFonts w:ascii="Tahoma" w:hAnsi="Tahoma" w:cs="Tahoma"/>
                <w:iCs/>
                <w:color w:val="333333"/>
                <w:sz w:val="14"/>
                <w:szCs w:val="14"/>
                <w:lang w:eastAsia="it-IT"/>
              </w:rPr>
              <w:t>.</w:t>
            </w:r>
            <w:r w:rsidRPr="00CA47F8">
              <w:rPr>
                <w:rFonts w:ascii="Tahoma" w:hAnsi="Tahoma" w:cs="Tahoma"/>
                <w:iCs/>
                <w:color w:val="333333"/>
                <w:sz w:val="14"/>
                <w:szCs w:val="14"/>
                <w:lang w:eastAsia="it-IT"/>
              </w:rPr>
              <w:br/>
            </w:r>
            <w:r w:rsidRPr="00CA47F8">
              <w:rPr>
                <w:rFonts w:ascii="Tahoma" w:hAnsi="Tahoma" w:cs="Tahoma"/>
                <w:b/>
                <w:iCs/>
                <w:color w:val="000000"/>
                <w:sz w:val="14"/>
                <w:szCs w:val="14"/>
                <w:lang w:eastAsia="it-IT"/>
              </w:rPr>
              <w:t>ISBN</w:t>
            </w:r>
            <w:r w:rsidRPr="00CA47F8">
              <w:rPr>
                <w:rFonts w:ascii="Tahoma" w:hAnsi="Tahoma" w:cs="Tahoma"/>
                <w:iCs/>
                <w:color w:val="000000"/>
                <w:sz w:val="14"/>
                <w:szCs w:val="14"/>
                <w:lang w:eastAsia="it-IT"/>
              </w:rPr>
              <w:t xml:space="preserve"> </w:t>
            </w:r>
            <w:r w:rsidRPr="00CA47F8">
              <w:rPr>
                <w:rFonts w:ascii="Tahoma" w:hAnsi="Tahoma" w:cs="Tahoma"/>
                <w:sz w:val="14"/>
                <w:szCs w:val="14"/>
              </w:rPr>
              <w:t>978-88-95608-89-1</w:t>
            </w:r>
            <w:r w:rsidRPr="00CA47F8">
              <w:rPr>
                <w:rFonts w:ascii="Tahoma" w:hAnsi="Tahoma" w:cs="Tahoma"/>
                <w:iCs/>
                <w:color w:val="333333"/>
                <w:sz w:val="14"/>
                <w:szCs w:val="14"/>
                <w:lang w:eastAsia="it-IT"/>
              </w:rPr>
              <w:t xml:space="preserve">; </w:t>
            </w:r>
            <w:r w:rsidRPr="00CA47F8">
              <w:rPr>
                <w:rFonts w:ascii="Tahoma" w:hAnsi="Tahoma" w:cs="Tahoma"/>
                <w:b/>
                <w:iCs/>
                <w:color w:val="333333"/>
                <w:sz w:val="14"/>
                <w:szCs w:val="14"/>
                <w:lang w:eastAsia="it-IT"/>
              </w:rPr>
              <w:t>ISSN</w:t>
            </w:r>
            <w:r w:rsidRPr="00CA47F8">
              <w:rPr>
                <w:rFonts w:ascii="Tahoma" w:hAnsi="Tahoma" w:cs="Tahoma"/>
                <w:iCs/>
                <w:color w:val="333333"/>
                <w:sz w:val="14"/>
                <w:szCs w:val="14"/>
                <w:lang w:eastAsia="it-IT"/>
              </w:rPr>
              <w:t xml:space="preserve"> 2283-9216</w:t>
            </w:r>
          </w:p>
        </w:tc>
      </w:tr>
    </w:tbl>
    <w:p w14:paraId="10DAA130" w14:textId="77777777" w:rsidR="000A03B2" w:rsidRPr="00CA47F8" w:rsidRDefault="000A03B2" w:rsidP="000A03B2">
      <w:pPr>
        <w:pStyle w:val="CETAuthors"/>
        <w:sectPr w:rsidR="000A03B2" w:rsidRPr="00CA47F8" w:rsidSect="008B32D8">
          <w:type w:val="continuous"/>
          <w:pgSz w:w="11906" w:h="16838" w:code="9"/>
          <w:pgMar w:top="1701" w:right="1418" w:bottom="1701" w:left="1701" w:header="1701" w:footer="0" w:gutter="0"/>
          <w:cols w:space="708"/>
          <w:titlePg/>
          <w:docGrid w:linePitch="360"/>
        </w:sectPr>
      </w:pPr>
    </w:p>
    <w:p w14:paraId="528FB6A8" w14:textId="75CB786E" w:rsidR="00A233AF" w:rsidRPr="00CA47F8" w:rsidRDefault="00541BC0" w:rsidP="00A233AF">
      <w:pPr>
        <w:pStyle w:val="CETTitle"/>
        <w:rPr>
          <w:lang w:val="en-US"/>
        </w:rPr>
      </w:pPr>
      <w:r w:rsidRPr="00CA47F8">
        <w:rPr>
          <w:lang w:val="en-US"/>
        </w:rPr>
        <w:t xml:space="preserve">Jet </w:t>
      </w:r>
      <w:r w:rsidR="00A233AF" w:rsidRPr="00CA47F8">
        <w:rPr>
          <w:lang w:val="en-US"/>
        </w:rPr>
        <w:t xml:space="preserve">Fires </w:t>
      </w:r>
      <w:r w:rsidRPr="00CA47F8">
        <w:rPr>
          <w:lang w:val="en-US"/>
        </w:rPr>
        <w:t xml:space="preserve">of </w:t>
      </w:r>
      <w:r w:rsidR="00A233AF" w:rsidRPr="00CA47F8">
        <w:rPr>
          <w:lang w:val="en-US"/>
        </w:rPr>
        <w:t>Hydrogen-Methane Mixtures</w:t>
      </w:r>
    </w:p>
    <w:p w14:paraId="2B3CA35C" w14:textId="3717DD5B" w:rsidR="00E978D0" w:rsidRPr="00CA47F8" w:rsidRDefault="001564A9" w:rsidP="00AB5011">
      <w:pPr>
        <w:pStyle w:val="CETAuthors"/>
        <w:rPr>
          <w:lang w:val="it-IT"/>
        </w:rPr>
      </w:pPr>
      <w:r w:rsidRPr="00CA47F8">
        <w:rPr>
          <w:lang w:val="it-IT"/>
        </w:rPr>
        <w:t>Gianmaria Pio</w:t>
      </w:r>
      <w:r w:rsidRPr="00CA47F8">
        <w:rPr>
          <w:vertAlign w:val="superscript"/>
          <w:lang w:val="it-IT"/>
        </w:rPr>
        <w:t>a</w:t>
      </w:r>
      <w:r w:rsidRPr="00CA47F8">
        <w:rPr>
          <w:lang w:val="it-IT"/>
        </w:rPr>
        <w:t xml:space="preserve">, </w:t>
      </w:r>
      <w:r w:rsidR="004B6C7C" w:rsidRPr="00CA47F8">
        <w:rPr>
          <w:lang w:val="it-IT"/>
        </w:rPr>
        <w:t>Mattia Carboni</w:t>
      </w:r>
      <w:r w:rsidRPr="00CA47F8">
        <w:rPr>
          <w:vertAlign w:val="superscript"/>
          <w:lang w:val="it-IT"/>
        </w:rPr>
        <w:t>b</w:t>
      </w:r>
      <w:r w:rsidR="004B6C7C" w:rsidRPr="00CA47F8">
        <w:rPr>
          <w:lang w:val="it-IT"/>
        </w:rPr>
        <w:t>, Paolo Mocellin</w:t>
      </w:r>
      <w:r w:rsidRPr="00CA47F8">
        <w:rPr>
          <w:vertAlign w:val="superscript"/>
          <w:lang w:val="it-IT"/>
        </w:rPr>
        <w:t>b</w:t>
      </w:r>
      <w:r w:rsidR="004B6C7C" w:rsidRPr="00CA47F8">
        <w:rPr>
          <w:lang w:val="it-IT"/>
        </w:rPr>
        <w:t>, Francesco Pilo</w:t>
      </w:r>
      <w:r w:rsidR="00CB280B" w:rsidRPr="00CA47F8">
        <w:rPr>
          <w:vertAlign w:val="superscript"/>
          <w:lang w:val="it-IT"/>
        </w:rPr>
        <w:t>d</w:t>
      </w:r>
      <w:r w:rsidR="004B6C7C" w:rsidRPr="00CA47F8">
        <w:rPr>
          <w:lang w:val="it-IT"/>
        </w:rPr>
        <w:t xml:space="preserve">, </w:t>
      </w:r>
      <w:r w:rsidRPr="00CA47F8">
        <w:rPr>
          <w:lang w:val="it-IT"/>
        </w:rPr>
        <w:t>Chiara Vianello</w:t>
      </w:r>
      <w:r w:rsidRPr="00CA47F8">
        <w:rPr>
          <w:vertAlign w:val="superscript"/>
          <w:lang w:val="it-IT"/>
        </w:rPr>
        <w:t>b</w:t>
      </w:r>
      <w:r w:rsidR="00CB280B" w:rsidRPr="00CA47F8">
        <w:rPr>
          <w:vertAlign w:val="superscript"/>
          <w:lang w:val="it-IT"/>
        </w:rPr>
        <w:t>,c</w:t>
      </w:r>
      <w:r w:rsidR="00974DFC" w:rsidRPr="00CA47F8">
        <w:rPr>
          <w:lang w:val="it-IT"/>
        </w:rPr>
        <w:t>,</w:t>
      </w:r>
      <w:r w:rsidR="004B6C7C" w:rsidRPr="00CA47F8">
        <w:rPr>
          <w:lang w:val="it-IT"/>
        </w:rPr>
        <w:t xml:space="preserve"> </w:t>
      </w:r>
      <w:r w:rsidRPr="00CA47F8">
        <w:rPr>
          <w:lang w:val="it-IT"/>
        </w:rPr>
        <w:t>Giuseppe Maschio</w:t>
      </w:r>
      <w:r w:rsidRPr="00CA47F8">
        <w:rPr>
          <w:vertAlign w:val="superscript"/>
          <w:lang w:val="it-IT"/>
        </w:rPr>
        <w:t>b</w:t>
      </w:r>
      <w:r w:rsidRPr="00CA47F8">
        <w:rPr>
          <w:lang w:val="it-IT"/>
        </w:rPr>
        <w:t xml:space="preserve">, </w:t>
      </w:r>
      <w:r w:rsidR="004B6C7C" w:rsidRPr="00CA47F8">
        <w:rPr>
          <w:lang w:val="it-IT"/>
        </w:rPr>
        <w:t>Ernesto Salzano</w:t>
      </w:r>
      <w:r w:rsidRPr="00CA47F8">
        <w:rPr>
          <w:vertAlign w:val="superscript"/>
          <w:lang w:val="it-IT"/>
        </w:rPr>
        <w:t>a</w:t>
      </w:r>
      <w:r w:rsidR="004B6C7C" w:rsidRPr="00CA47F8">
        <w:rPr>
          <w:vertAlign w:val="superscript"/>
          <w:lang w:val="it-IT"/>
        </w:rPr>
        <w:t>,*</w:t>
      </w:r>
    </w:p>
    <w:p w14:paraId="1DCA24C3" w14:textId="5297F4FD" w:rsidR="001564A9" w:rsidRPr="00CA47F8" w:rsidRDefault="001564A9" w:rsidP="006B1271">
      <w:pPr>
        <w:pStyle w:val="CETAddress"/>
        <w:jc w:val="both"/>
        <w:rPr>
          <w:lang w:val="it-IT"/>
        </w:rPr>
      </w:pPr>
      <w:r w:rsidRPr="00CA47F8">
        <w:rPr>
          <w:vertAlign w:val="superscript"/>
          <w:lang w:val="it-IT"/>
        </w:rPr>
        <w:t>a</w:t>
      </w:r>
      <w:r w:rsidRPr="00CA47F8">
        <w:rPr>
          <w:lang w:val="it-IT"/>
        </w:rPr>
        <w:t>Dipartimento di Ingegneria Civile, Chimica, Ambientale e dei Materiali, Università di Bologna. Via Terracini 28, Bologna</w:t>
      </w:r>
    </w:p>
    <w:p w14:paraId="6EF11A8A" w14:textId="77777777" w:rsidR="001564A9" w:rsidRPr="00CA47F8" w:rsidRDefault="001564A9" w:rsidP="006B1271">
      <w:pPr>
        <w:pStyle w:val="CETAddress"/>
        <w:jc w:val="both"/>
        <w:rPr>
          <w:lang w:val="it-IT"/>
        </w:rPr>
      </w:pPr>
      <w:r w:rsidRPr="00CA47F8">
        <w:rPr>
          <w:lang w:val="it-IT"/>
        </w:rPr>
        <w:t>40131, Italia.</w:t>
      </w:r>
    </w:p>
    <w:p w14:paraId="086C152C" w14:textId="1A553E8B" w:rsidR="00884C73" w:rsidRPr="00CA47F8" w:rsidRDefault="001564A9" w:rsidP="006B1271">
      <w:pPr>
        <w:pStyle w:val="CETAddress"/>
        <w:jc w:val="both"/>
        <w:rPr>
          <w:lang w:val="it-IT"/>
        </w:rPr>
      </w:pPr>
      <w:r w:rsidRPr="00CA47F8">
        <w:rPr>
          <w:vertAlign w:val="superscript"/>
          <w:lang w:val="it-IT"/>
        </w:rPr>
        <w:t>b</w:t>
      </w:r>
      <w:r w:rsidR="00884C73" w:rsidRPr="00CA47F8">
        <w:rPr>
          <w:lang w:val="it-IT"/>
        </w:rPr>
        <w:t xml:space="preserve">Dipartimento di Ingegneria Industriale, Università degli Studi di Padova. Via Marzolo 9, 35131 Padova, Italia. </w:t>
      </w:r>
    </w:p>
    <w:p w14:paraId="5A61A980" w14:textId="6DBA70FD" w:rsidR="00CB280B" w:rsidRPr="00CA47F8" w:rsidRDefault="00884C73" w:rsidP="006B1271">
      <w:pPr>
        <w:pStyle w:val="CETAddress"/>
        <w:jc w:val="both"/>
        <w:rPr>
          <w:lang w:val="it-IT"/>
        </w:rPr>
      </w:pPr>
      <w:r w:rsidRPr="00CA47F8">
        <w:rPr>
          <w:vertAlign w:val="superscript"/>
          <w:lang w:val="it-IT"/>
        </w:rPr>
        <w:t>c</w:t>
      </w:r>
      <w:r w:rsidR="00CB280B" w:rsidRPr="00CA47F8">
        <w:rPr>
          <w:lang w:val="it-IT"/>
        </w:rPr>
        <w:t xml:space="preserve">Dipartimento di Ingegneria Civile, Edile e Ambientale, Università degli Studi di Padova. Via Marzolo 9, 35131 Padova, Italia.  </w:t>
      </w:r>
    </w:p>
    <w:p w14:paraId="617DBE17" w14:textId="23742C4F" w:rsidR="00884C73" w:rsidRPr="00CA47F8" w:rsidRDefault="00CB280B" w:rsidP="006B1271">
      <w:pPr>
        <w:pStyle w:val="CETAddress"/>
        <w:jc w:val="both"/>
        <w:rPr>
          <w:lang w:val="it-IT"/>
        </w:rPr>
      </w:pPr>
      <w:r w:rsidRPr="00CA47F8">
        <w:rPr>
          <w:vertAlign w:val="superscript"/>
          <w:lang w:val="it-IT"/>
        </w:rPr>
        <w:t>d</w:t>
      </w:r>
      <w:r w:rsidR="00884C73" w:rsidRPr="00CA47F8">
        <w:rPr>
          <w:lang w:val="it-IT"/>
        </w:rPr>
        <w:t>Corpo Nazionale dei Vigili del Fuoco</w:t>
      </w:r>
      <w:r w:rsidR="006B1271" w:rsidRPr="00CA47F8">
        <w:rPr>
          <w:lang w:val="it-IT"/>
        </w:rPr>
        <w:t>,</w:t>
      </w:r>
      <w:r w:rsidR="00884C73" w:rsidRPr="00CA47F8">
        <w:rPr>
          <w:lang w:val="it-IT"/>
        </w:rPr>
        <w:t xml:space="preserve"> Comando Venezia. Via Motorizzazione 7, 37100, Venezia, Italia.</w:t>
      </w:r>
    </w:p>
    <w:p w14:paraId="1875712D" w14:textId="6DC84996" w:rsidR="00077D65" w:rsidRPr="00CA47F8" w:rsidRDefault="00884C73" w:rsidP="006B1271">
      <w:pPr>
        <w:pStyle w:val="CETemail"/>
        <w:jc w:val="both"/>
        <w:rPr>
          <w:lang w:val="it-IT"/>
        </w:rPr>
      </w:pPr>
      <w:r w:rsidRPr="00CA47F8">
        <w:rPr>
          <w:lang w:val="it-IT"/>
        </w:rPr>
        <w:t>ernesto.salzano@unibo.it</w:t>
      </w:r>
      <w:bookmarkStart w:id="0" w:name="_Hlk495475023"/>
      <w:r w:rsidR="00627734" w:rsidRPr="00CA47F8">
        <w:rPr>
          <w:lang w:val="it-IT"/>
        </w:rPr>
        <w:t xml:space="preserve"> </w:t>
      </w:r>
    </w:p>
    <w:p w14:paraId="746C40D4" w14:textId="77777777" w:rsidR="00FF3D07" w:rsidRPr="00CA47F8" w:rsidRDefault="00077D65" w:rsidP="00D346C2">
      <w:pPr>
        <w:pStyle w:val="CETBodytext"/>
      </w:pPr>
      <w:r w:rsidRPr="00CA47F8">
        <w:t xml:space="preserve">Developing sustainable </w:t>
      </w:r>
      <w:r w:rsidR="009D30F0" w:rsidRPr="00CA47F8">
        <w:t>solutions</w:t>
      </w:r>
      <w:r w:rsidRPr="00CA47F8">
        <w:t xml:space="preserve"> for power generation and transportation</w:t>
      </w:r>
      <w:r w:rsidR="00586171" w:rsidRPr="00CA47F8">
        <w:t xml:space="preserve"> is </w:t>
      </w:r>
      <w:r w:rsidR="00D346C2" w:rsidRPr="00CA47F8">
        <w:t>crucial for reducing greenhouse gases (GHGs)</w:t>
      </w:r>
      <w:r w:rsidR="00586171" w:rsidRPr="00CA47F8">
        <w:t xml:space="preserve">. </w:t>
      </w:r>
      <w:r w:rsidR="009D30F0" w:rsidRPr="00CA47F8">
        <w:t xml:space="preserve">The tendency in fundamental and practical research on this field has been characterized by </w:t>
      </w:r>
      <w:r w:rsidR="0030043B" w:rsidRPr="00CA47F8">
        <w:t>investigating</w:t>
      </w:r>
      <w:r w:rsidR="009D30F0" w:rsidRPr="00CA47F8">
        <w:t xml:space="preserve"> low or net zero</w:t>
      </w:r>
      <w:r w:rsidR="0030043B" w:rsidRPr="00CA47F8">
        <w:t>-</w:t>
      </w:r>
      <w:r w:rsidR="009D30F0" w:rsidRPr="00CA47F8">
        <w:t xml:space="preserve">carbon sources. </w:t>
      </w:r>
      <w:r w:rsidR="00586171" w:rsidRPr="00CA47F8">
        <w:t>Among the available options,</w:t>
      </w:r>
      <w:r w:rsidRPr="00CA47F8">
        <w:t xml:space="preserve"> hydrogen </w:t>
      </w:r>
      <w:r w:rsidR="00586171" w:rsidRPr="00CA47F8">
        <w:t xml:space="preserve">may be </w:t>
      </w:r>
      <w:r w:rsidR="00D346C2" w:rsidRPr="00CA47F8">
        <w:t>employed</w:t>
      </w:r>
      <w:r w:rsidR="00586171" w:rsidRPr="00CA47F8">
        <w:t xml:space="preserve"> </w:t>
      </w:r>
      <w:r w:rsidRPr="00CA47F8">
        <w:t xml:space="preserve">as </w:t>
      </w:r>
      <w:r w:rsidR="00586171" w:rsidRPr="00CA47F8">
        <w:t xml:space="preserve">a </w:t>
      </w:r>
      <w:r w:rsidRPr="00CA47F8">
        <w:t>possible energy carrier</w:t>
      </w:r>
      <w:r w:rsidR="009D30F0" w:rsidRPr="00CA47F8">
        <w:t xml:space="preserve"> to reduce the local emissions of harmful gases</w:t>
      </w:r>
      <w:r w:rsidRPr="00CA47F8">
        <w:t>.</w:t>
      </w:r>
      <w:r w:rsidR="00F56E8C" w:rsidRPr="00CA47F8">
        <w:t xml:space="preserve"> </w:t>
      </w:r>
      <w:r w:rsidR="009D30F0" w:rsidRPr="00CA47F8">
        <w:t xml:space="preserve">However, the intensive use of </w:t>
      </w:r>
      <w:r w:rsidR="00FF3D07" w:rsidRPr="00CA47F8">
        <w:t>gaseous</w:t>
      </w:r>
      <w:r w:rsidR="009D30F0" w:rsidRPr="00CA47F8">
        <w:t xml:space="preserve"> hydrogen is still limited by the issues related to its storage and transportation systems. </w:t>
      </w:r>
      <w:r w:rsidR="00F56E8C" w:rsidRPr="00CA47F8">
        <w:t>In this framework,</w:t>
      </w:r>
      <w:r w:rsidRPr="00CA47F8">
        <w:t xml:space="preserve"> </w:t>
      </w:r>
      <w:r w:rsidR="00586171" w:rsidRPr="00CA47F8">
        <w:t>i</w:t>
      </w:r>
      <w:r w:rsidRPr="00CA47F8">
        <w:t>njection of</w:t>
      </w:r>
      <w:r w:rsidR="007D1DC9" w:rsidRPr="00CA47F8">
        <w:t xml:space="preserve"> compressed</w:t>
      </w:r>
      <w:r w:rsidRPr="00CA47F8">
        <w:t xml:space="preserve"> hydrogen into the </w:t>
      </w:r>
      <w:r w:rsidR="00F46219" w:rsidRPr="00CA47F8">
        <w:t>existing natural gas pipelines i</w:t>
      </w:r>
      <w:r w:rsidRPr="00CA47F8">
        <w:t>s seen as a way forward</w:t>
      </w:r>
      <w:r w:rsidR="00586171" w:rsidRPr="00CA47F8">
        <w:t xml:space="preserve"> to reduce the quantity of carbon-based fuel</w:t>
      </w:r>
      <w:r w:rsidR="007D1DC9" w:rsidRPr="00CA47F8">
        <w:t xml:space="preserve"> and will be studied in this work</w:t>
      </w:r>
      <w:r w:rsidR="00F46219" w:rsidRPr="00CA47F8">
        <w:t xml:space="preserve">. </w:t>
      </w:r>
      <w:r w:rsidR="00D346C2" w:rsidRPr="00CA47F8">
        <w:t>Compared to building a dedicated hydrogen infrastructure, this solution</w:t>
      </w:r>
      <w:r w:rsidR="00586171" w:rsidRPr="00CA47F8">
        <w:t xml:space="preserve"> </w:t>
      </w:r>
      <w:r w:rsidR="00F46219" w:rsidRPr="00CA47F8">
        <w:t xml:space="preserve">permits lower </w:t>
      </w:r>
      <w:r w:rsidR="009D30F0" w:rsidRPr="00CA47F8">
        <w:t>capital costs</w:t>
      </w:r>
      <w:r w:rsidR="00D346C2" w:rsidRPr="00CA47F8">
        <w:t xml:space="preserve"> and ensures system scalability (i.e., the possibility to add hydrogen gradually)</w:t>
      </w:r>
      <w:r w:rsidR="00F46219" w:rsidRPr="00CA47F8">
        <w:t xml:space="preserve">. </w:t>
      </w:r>
      <w:r w:rsidR="00FF3D07" w:rsidRPr="00CA47F8">
        <w:t>However</w:t>
      </w:r>
      <w:r w:rsidR="006B17C8" w:rsidRPr="00CA47F8">
        <w:t xml:space="preserve">, </w:t>
      </w:r>
      <w:r w:rsidR="00586171" w:rsidRPr="00CA47F8">
        <w:t>the</w:t>
      </w:r>
      <w:r w:rsidR="00F46219" w:rsidRPr="00CA47F8">
        <w:t xml:space="preserve"> possible consequences of a gas pipeline failure</w:t>
      </w:r>
      <w:r w:rsidR="006B17C8" w:rsidRPr="00CA47F8">
        <w:t xml:space="preserve"> can be altered</w:t>
      </w:r>
      <w:r w:rsidR="00F46219" w:rsidRPr="00CA47F8">
        <w:t>.</w:t>
      </w:r>
      <w:r w:rsidR="00D346C2" w:rsidRPr="00CA47F8">
        <w:t xml:space="preserve"> </w:t>
      </w:r>
    </w:p>
    <w:p w14:paraId="313D2201" w14:textId="2E93BAA6" w:rsidR="00D346C2" w:rsidRPr="00CA47F8" w:rsidRDefault="003E3705" w:rsidP="00D346C2">
      <w:pPr>
        <w:pStyle w:val="CETBodytext"/>
      </w:pPr>
      <w:r w:rsidRPr="00CA47F8">
        <w:t xml:space="preserve">In this paper, </w:t>
      </w:r>
      <w:r w:rsidR="000C71D5" w:rsidRPr="00CA47F8">
        <w:t xml:space="preserve">a numerical evaluation is conducted to </w:t>
      </w:r>
      <w:r w:rsidR="007D1DC9" w:rsidRPr="00CA47F8">
        <w:t>characterize</w:t>
      </w:r>
      <w:r w:rsidR="000C71D5" w:rsidRPr="00CA47F8">
        <w:t xml:space="preserve"> hydrogen-methane mixture jet fire. The analysis is </w:t>
      </w:r>
      <w:r w:rsidR="00D346C2" w:rsidRPr="00CA47F8">
        <w:t>performed</w:t>
      </w:r>
      <w:r w:rsidR="000C71D5" w:rsidRPr="00CA47F8">
        <w:t xml:space="preserve"> using </w:t>
      </w:r>
      <w:r w:rsidR="00541BC0" w:rsidRPr="00CA47F8">
        <w:t>integral models</w:t>
      </w:r>
      <w:r w:rsidR="000C71D5" w:rsidRPr="00CA47F8">
        <w:t xml:space="preserve"> and computational fluid dynamics (CFD). In the case of</w:t>
      </w:r>
      <w:r w:rsidR="00586171" w:rsidRPr="00CA47F8">
        <w:t xml:space="preserve"> </w:t>
      </w:r>
      <w:r w:rsidR="00D346C2" w:rsidRPr="00CA47F8">
        <w:t xml:space="preserve">the </w:t>
      </w:r>
      <w:r w:rsidRPr="00CA47F8">
        <w:t>computational fluid dynamic approach</w:t>
      </w:r>
      <w:r w:rsidR="00CC680A" w:rsidRPr="00CA47F8">
        <w:t>,</w:t>
      </w:r>
      <w:r w:rsidRPr="00CA47F8">
        <w:t xml:space="preserve"> </w:t>
      </w:r>
      <w:r w:rsidR="000C71D5" w:rsidRPr="00CA47F8">
        <w:t>an</w:t>
      </w:r>
      <w:r w:rsidRPr="00CA47F8">
        <w:t xml:space="preserve"> accurate thermodynamic properties</w:t>
      </w:r>
      <w:r w:rsidR="000C71D5" w:rsidRPr="00CA47F8">
        <w:t xml:space="preserve"> database</w:t>
      </w:r>
      <w:r w:rsidRPr="00CA47F8">
        <w:t xml:space="preserve"> is </w:t>
      </w:r>
      <w:r w:rsidR="00586171" w:rsidRPr="00CA47F8">
        <w:t>employed</w:t>
      </w:r>
      <w:r w:rsidR="00CC680A" w:rsidRPr="00CA47F8">
        <w:t>.</w:t>
      </w:r>
      <w:r w:rsidRPr="00CA47F8">
        <w:t xml:space="preserve"> The distance from the releasing point at which the maximum temperature is reached (i.e., the length of the jet flame) is used as </w:t>
      </w:r>
      <w:r w:rsidR="00D346C2" w:rsidRPr="00CA47F8">
        <w:t xml:space="preserve">a </w:t>
      </w:r>
      <w:r w:rsidRPr="00CA47F8">
        <w:t>monitoring parameter for the comparison.</w:t>
      </w:r>
      <w:r w:rsidR="00D346C2" w:rsidRPr="00CA47F8">
        <w:t xml:space="preserve"> Results are compared with existing literature data and discussed to evaluate the safety impact of adding hydrogen to the natural gas network.</w:t>
      </w:r>
      <w:bookmarkEnd w:id="0"/>
    </w:p>
    <w:p w14:paraId="60C72A7B" w14:textId="77777777" w:rsidR="00DF7356" w:rsidRPr="00CA47F8" w:rsidRDefault="00DF7356" w:rsidP="00DF7356">
      <w:pPr>
        <w:pStyle w:val="CETHeading1"/>
        <w:rPr>
          <w:lang w:val="en-GB"/>
        </w:rPr>
      </w:pPr>
      <w:r w:rsidRPr="00CA47F8">
        <w:rPr>
          <w:lang w:val="en-GB"/>
        </w:rPr>
        <w:t>Introduction</w:t>
      </w:r>
    </w:p>
    <w:p w14:paraId="7E47A5EE" w14:textId="25E2736B" w:rsidR="00FF3D07" w:rsidRPr="00CA47F8" w:rsidRDefault="00DF7356" w:rsidP="00001C0F">
      <w:pPr>
        <w:pStyle w:val="CETBodytext"/>
      </w:pPr>
      <w:r w:rsidRPr="00CA47F8">
        <w:t xml:space="preserve">Recent international debates and policies have been strongly devoted to the promotion of the use of net-zero carbon sources for energy production, posing ideal conditions for new opportunities and the expansion of innovative technological solutions. To ensure social, economic, and environmentally sustainable development, an ideal </w:t>
      </w:r>
      <w:r w:rsidR="0005532D" w:rsidRPr="00CA47F8">
        <w:t>new energy source should be largely available worldwide, easy to produce and store, and produce low harmful products during its utilization. Considering the urgent need for significant variations in this field, one more key aspect is represented by the readiness level of technological solutions required for the so</w:t>
      </w:r>
      <w:r w:rsidR="00974DFC" w:rsidRPr="00CA47F8">
        <w:t>-</w:t>
      </w:r>
      <w:r w:rsidR="0005532D" w:rsidRPr="00CA47F8">
        <w:t>called from cradle to grave path. As testified by the number of projects currently investigating this option, hydrogen has been indicated as one of the most promising solutions. Indeed, several robust and well-structured production chains exist</w:t>
      </w:r>
      <w:r w:rsidR="008B3869" w:rsidRPr="00CA47F8">
        <w:t>, including steam reforming and hydrol</w:t>
      </w:r>
      <w:r w:rsidR="00974DFC" w:rsidRPr="00CA47F8">
        <w:t>y</w:t>
      </w:r>
      <w:r w:rsidR="008B3869" w:rsidRPr="00CA47F8">
        <w:t>sis</w:t>
      </w:r>
      <w:r w:rsidR="0005532D" w:rsidRPr="00CA47F8">
        <w:t xml:space="preserve">. However, the bottleneck </w:t>
      </w:r>
      <w:r w:rsidR="008B3869" w:rsidRPr="00CA47F8">
        <w:t xml:space="preserve">limiting the spread of this energy vector </w:t>
      </w:r>
      <w:r w:rsidR="0005532D" w:rsidRPr="00CA47F8">
        <w:t>is currently represented by the safety aspects during hydrogen transportation</w:t>
      </w:r>
      <w:r w:rsidR="00683D4D" w:rsidRPr="00CA47F8">
        <w:t xml:space="preserve"> (</w:t>
      </w:r>
      <w:proofErr w:type="spellStart"/>
      <w:r w:rsidR="00683D4D" w:rsidRPr="00CA47F8">
        <w:t>Vianello</w:t>
      </w:r>
      <w:proofErr w:type="spellEnd"/>
      <w:r w:rsidR="00683D4D" w:rsidRPr="00CA47F8">
        <w:t xml:space="preserve"> et al., 2020)</w:t>
      </w:r>
      <w:r w:rsidR="0005532D" w:rsidRPr="00CA47F8">
        <w:t xml:space="preserve">. To tackle this issue, several solutions have been </w:t>
      </w:r>
      <w:proofErr w:type="spellStart"/>
      <w:r w:rsidR="0005532D" w:rsidRPr="00CA47F8">
        <w:t>analysed</w:t>
      </w:r>
      <w:proofErr w:type="spellEnd"/>
      <w:r w:rsidR="0005532D" w:rsidRPr="00CA47F8">
        <w:t xml:space="preserve">, such as cryogenic liquefaction </w:t>
      </w:r>
      <w:r w:rsidR="0019416B" w:rsidRPr="00CA47F8">
        <w:fldChar w:fldCharType="begin" w:fldLock="1"/>
      </w:r>
      <w:r w:rsidR="006C6E0C" w:rsidRPr="00CA47F8">
        <w:instrText>ADDIN CSL_CITATION {"citationItems":[{"id":"ITEM-1","itemData":{"DOI":"10.1016/j.jpowsour.2007.09.079","ISBN":"03787753","ISSN":"03787753","abstract":"Hydrogen sulfide (H2S) methane (CH4) reformation (H2SMR) (2H2S + CH4= CS2+ 4H2) is a potentially viable process for the removal of H2S from sour natural gas resources or other methane containing gases. Unlike steam methane reformation that generates carbon dioxide as a by-product, H2SMR produces carbon disulfide (CS2), a liquid under ambient temperature and pressure-a commodity chemical that is also a feedstock for the synthesis of sulfuric acid. Pinch point analyses for H2SMR were conducted to determine the reaction conditions necessary for no carbon lay down to occur. Calculations showed that to prevent solid carbon formation, low inlet CH4to H2S ratios are needed. In this paper, we analyze H2SMR with either a cryogenic process or a membrane separation operation for production of either liquid or gaseous hydrogen. Of the three H2SMR hydrogen production flowsheets analyzed, direct liquid hydrogen generation has higher first and second law efficiencies of exceeding 80% and 50%, respectively. © 2007 Elsevier B.V. All rights reserved.","author":[{"dropping-particle":"","family":"Huang","given":"Cunping","non-dropping-particle":"","parse-names":false,"suffix":""},{"dropping-particle":"","family":"T-Raissi","given":"Ali","non-dropping-particle":"","parse-names":false,"suffix":""}],"container-title":"Journal of Power Sources","id":"ITEM-1","issued":{"date-parts":[["2008"]]},"title":"Liquid hydrogen production via hydrogen sulfide methane reformation","type":"article-journal"},"uris":["http://www.mendeley.com/documents/?uuid=7320d66c-496b-3549-b87d-fcfb94ee93aa","http://www.mendeley.com/documents/?uuid=c155618a-6fd2-4b10-860e-08d8104521e4"]}],"mendeley":{"formattedCitation":"(Huang and T-Raissi, 2008)","plainTextFormattedCitation":"(Huang and T-Raissi, 2008)","previouslyFormattedCitation":"(Huang and T-Raissi, 2008)"},"properties":{"noteIndex":0},"schema":"https://github.com/citation-style-language/schema/raw/master/csl-citation.json"}</w:instrText>
      </w:r>
      <w:r w:rsidR="0019416B" w:rsidRPr="00CA47F8">
        <w:fldChar w:fldCharType="separate"/>
      </w:r>
      <w:r w:rsidR="002D33C2" w:rsidRPr="00CA47F8">
        <w:rPr>
          <w:noProof/>
        </w:rPr>
        <w:t>(Huang and T-Raissi, 2008)</w:t>
      </w:r>
      <w:r w:rsidR="0019416B" w:rsidRPr="00CA47F8">
        <w:fldChar w:fldCharType="end"/>
      </w:r>
      <w:r w:rsidR="0019416B" w:rsidRPr="00CA47F8">
        <w:t>,</w:t>
      </w:r>
      <w:r w:rsidR="0005532D" w:rsidRPr="00CA47F8">
        <w:t xml:space="preserve"> the use of liquid organic hydrogen carriers</w:t>
      </w:r>
      <w:r w:rsidR="002D1270" w:rsidRPr="00CA47F8">
        <w:t xml:space="preserve"> (LOHC)</w:t>
      </w:r>
      <w:r w:rsidR="0005532D" w:rsidRPr="00CA47F8">
        <w:t xml:space="preserve"> through hydrogenation/dehydrogenation cycles</w:t>
      </w:r>
      <w:r w:rsidR="0019416B" w:rsidRPr="00CA47F8">
        <w:t xml:space="preserve"> </w:t>
      </w:r>
      <w:r w:rsidR="0019416B" w:rsidRPr="00CA47F8">
        <w:fldChar w:fldCharType="begin" w:fldLock="1"/>
      </w:r>
      <w:r w:rsidR="006C6E0C" w:rsidRPr="00CA47F8">
        <w:instrText>ADDIN CSL_CITATION {"citationItems":[{"id":"ITEM-1","itemData":{"DOI":"10.1038/s41467-020-20291-0","ISBN":"4146702020291","ISSN":"20411723","PMID":"33431835","abstract":"The efficient transformation of CO2 into chemicals and fuels is a key challenge for the decarbonisation of the synthetic production chain. Formic acid (FA) represents the first product of CO2 hydrogenation and can be a precursor of higher added value products or employed as a hydrogen storage vector. Bases are typically required to overcome thermodynamic barriers in the synthesis of FA, generating waste and requiring post-processing of the formate salts. The employment of buffers can overcome these limitations, but their catalytic performance has so far been modest. Here, we present a methodology utilising IL as buffers to catalytically transform CO2 into FA with very high efficiency and comparable performance to the base-assisted systems. The combination of multifunctional basic ionic liquids and catalyst design enables the synthesis of FA with very high catalytic efficiency in TONs of &gt;8*105 and TOFs &gt; 2.1*104 h−1.","author":[{"dropping-particle":"","family":"Weilhard","given":"Andreas","non-dropping-particle":"","parse-names":false,"suffix":""},{"dropping-particle":"","family":"Argent","given":"Stephen P.","non-dropping-particle":"","parse-names":false,"suffix":""},{"dropping-particle":"","family":"Sans","given":"Victor","non-dropping-particle":"","parse-names":false,"suffix":""}],"container-title":"Nature Communications","id":"ITEM-1","issue":"1","issued":{"date-parts":[["2021"]]},"page":"1-7","publisher":"Springer US","title":"Efficient carbon dioxide hydrogenation to formic acid with buffering ionic liquids","type":"article-journal","volume":"12"},"uris":["http://www.mendeley.com/documents/?uuid=095c7e80-172e-46c3-b076-a2c1634c801e","http://www.mendeley.com/documents/?uuid=cb4f965c-5daa-4dc3-b8eb-43459d1bc681"]}],"mendeley":{"formattedCitation":"(Weilhard et al., 2021)","plainTextFormattedCitation":"(Weilhard et al., 2021)","previouslyFormattedCitation":"(Weilhard et al., 2021)"},"properties":{"noteIndex":0},"schema":"https://github.com/citation-style-language/schema/raw/master/csl-citation.json"}</w:instrText>
      </w:r>
      <w:r w:rsidR="0019416B" w:rsidRPr="00CA47F8">
        <w:fldChar w:fldCharType="separate"/>
      </w:r>
      <w:r w:rsidR="002D33C2" w:rsidRPr="00CA47F8">
        <w:rPr>
          <w:noProof/>
        </w:rPr>
        <w:t>(Weilhard et al., 2021)</w:t>
      </w:r>
      <w:r w:rsidR="0019416B" w:rsidRPr="00CA47F8">
        <w:fldChar w:fldCharType="end"/>
      </w:r>
      <w:r w:rsidR="0019416B" w:rsidRPr="00CA47F8">
        <w:t>,</w:t>
      </w:r>
      <w:r w:rsidR="0005532D" w:rsidRPr="00CA47F8">
        <w:t xml:space="preserve"> and </w:t>
      </w:r>
      <w:r w:rsidR="001964EC" w:rsidRPr="00CA47F8">
        <w:t xml:space="preserve">the addition to existing </w:t>
      </w:r>
      <w:r w:rsidR="007260CD" w:rsidRPr="00CA47F8">
        <w:t xml:space="preserve">gaseous </w:t>
      </w:r>
      <w:r w:rsidR="001964EC" w:rsidRPr="00CA47F8">
        <w:t>fuels</w:t>
      </w:r>
      <w:r w:rsidR="00867474" w:rsidRPr="00CA47F8">
        <w:t>, i.</w:t>
      </w:r>
      <w:r w:rsidR="00FF3D07" w:rsidRPr="00CA47F8">
        <w:t>e</w:t>
      </w:r>
      <w:r w:rsidR="00867474" w:rsidRPr="00CA47F8">
        <w:t>.</w:t>
      </w:r>
      <w:r w:rsidR="00FF3D07" w:rsidRPr="00CA47F8">
        <w:t xml:space="preserve">, the </w:t>
      </w:r>
      <w:r w:rsidR="007D4FF5" w:rsidRPr="00CA47F8">
        <w:t>transportation and utilization of hydrogen</w:t>
      </w:r>
      <w:r w:rsidR="00974DFC" w:rsidRPr="00CA47F8">
        <w:t>-</w:t>
      </w:r>
      <w:r w:rsidR="007D4FF5" w:rsidRPr="00CA47F8">
        <w:t>enriched natural gas</w:t>
      </w:r>
      <w:r w:rsidR="00387FB2" w:rsidRPr="00CA47F8">
        <w:t xml:space="preserve"> in a compressed form through pipelines</w:t>
      </w:r>
      <w:r w:rsidR="00880CAF" w:rsidRPr="00CA47F8">
        <w:t xml:space="preserve"> </w:t>
      </w:r>
      <w:r w:rsidR="00880CAF" w:rsidRPr="00CA47F8">
        <w:fldChar w:fldCharType="begin" w:fldLock="1"/>
      </w:r>
      <w:r w:rsidR="006C6E0C" w:rsidRPr="00CA47F8">
        <w:instrText>ADDIN CSL_CITATION {"citationItems":[{"id":"ITEM-1","itemData":{"DOI":"10.3390/su13084255","ISSN":"20711050","abstract":"Hydrogen is of great significance for replacing fossil fuels and reducing carbon dioxide emissions. The application of hydrogen mixing with natural gas in gas network transportation not only improves the utilization rate of hydrogen energy, but also reduces the cost of large-scale updating household or commercial appliance. This paper investigates the necessity of a gas mixing device for adding hydrogen to existing natural gas pipelines in the industrial gas network. A three-dimensional helical static mixer model is developed to simulate the mixing behavior of the gas mixture. In addition, the model is validated with experimental results. Parametric studies are performed to investigate the effect of mixer on the mixing performance including the coefficient of variation (COV) and pressure loss. The research results show that, based on the, the optimum number of mixing units is three. The arrangement of the torsion angle of the mixing unit has a greater impact on the COV. When the torsion angle q = 120°, the COV has a minimum value of 0.66%, and when the torsion angle q = 60°, the COV has a maximum value of 8.54%. The distance of the mixing unit has little effect on the pressure loss of the mixed gas but has a greater impact on the COV. Consecutive arrangement of the mixing units (Case A) is the best solution. Increasing the distance of the mixing unit is not effective for the gas mixing effect. Last but not least, the gas mixer is optimized to improve the mixing performance.","author":[{"dropping-particle":"","family":"Kong","given":"Mingmin","non-dropping-particle":"","parse-names":false,"suffix":""},{"dropping-particle":"","family":"Feng","given":"Shuaiming","non-dropping-particle":"","parse-names":false,"suffix":""},{"dropping-particle":"","family":"Xia","given":"Qi","non-dropping-particle":"","parse-names":false,"suffix":""},{"dropping-particle":"","family":"Chen","given":"Chen","non-dropping-particle":"","parse-names":false,"suffix":""},{"dropping-particle":"","family":"Pan","given":"Zhouxin","non-dropping-particle":"","parse-names":false,"suffix":""},{"dropping-particle":"","family":"Gao","given":"Zengliang","non-dropping-particle":"","parse-names":false,"suffix":""}],"container-title":"Sustainability (Switzerland)","id":"ITEM-1","issue":"8","issued":{"date-parts":[["2021"]]},"title":"Investigation of mixing behavior of hydrogen blended to natural gas in gas network","type":"article-journal","volume":"13"},"uris":["http://www.mendeley.com/documents/?uuid=cbed702f-9a60-4256-bc4f-3dcf4d97d07c","http://www.mendeley.com/documents/?uuid=a8c58ceb-d4a4-402f-9538-483962991080"]}],"mendeley":{"formattedCitation":"(Kong et al., 2021)","plainTextFormattedCitation":"(Kong et al., 2021)","previouslyFormattedCitation":"(Kong et al., 2021)"},"properties":{"noteIndex":0},"schema":"https://github.com/citation-style-language/schema/raw/master/csl-citation.json"}</w:instrText>
      </w:r>
      <w:r w:rsidR="00880CAF" w:rsidRPr="00CA47F8">
        <w:fldChar w:fldCharType="separate"/>
      </w:r>
      <w:r w:rsidR="002D33C2" w:rsidRPr="00CA47F8">
        <w:rPr>
          <w:noProof/>
        </w:rPr>
        <w:t>(Kong et al., 2021)</w:t>
      </w:r>
      <w:r w:rsidR="00880CAF" w:rsidRPr="00CA47F8">
        <w:fldChar w:fldCharType="end"/>
      </w:r>
      <w:r w:rsidR="007260CD" w:rsidRPr="00CA47F8">
        <w:t>.</w:t>
      </w:r>
      <w:r w:rsidR="00140495" w:rsidRPr="00CA47F8">
        <w:t xml:space="preserve"> </w:t>
      </w:r>
      <w:r w:rsidR="00140495" w:rsidRPr="003334AB">
        <w:t>Th</w:t>
      </w:r>
      <w:r w:rsidR="005123E8" w:rsidRPr="003334AB">
        <w:t>e latter</w:t>
      </w:r>
      <w:r w:rsidR="00140495" w:rsidRPr="003334AB">
        <w:t xml:space="preserve"> alternative</w:t>
      </w:r>
      <w:r w:rsidR="004D2790" w:rsidRPr="003334AB">
        <w:t xml:space="preserve"> </w:t>
      </w:r>
      <w:r w:rsidR="005123E8" w:rsidRPr="003334AB">
        <w:t xml:space="preserve">leads to an </w:t>
      </w:r>
      <w:r w:rsidR="000E5C4F" w:rsidRPr="003334AB">
        <w:t>increase</w:t>
      </w:r>
      <w:r w:rsidR="005123E8" w:rsidRPr="003334AB">
        <w:t xml:space="preserve"> in</w:t>
      </w:r>
      <w:r w:rsidR="000E5C4F" w:rsidRPr="003334AB">
        <w:t xml:space="preserve"> </w:t>
      </w:r>
      <w:r w:rsidR="003A4CF5" w:rsidRPr="003334AB">
        <w:t>flame stability</w:t>
      </w:r>
      <w:r w:rsidR="005123E8" w:rsidRPr="003334AB">
        <w:t xml:space="preserve"> </w:t>
      </w:r>
      <w:r w:rsidR="004D21E6" w:rsidRPr="003334AB">
        <w:t xml:space="preserve">and </w:t>
      </w:r>
      <w:r w:rsidR="003A4CF5" w:rsidRPr="003334AB">
        <w:t>fuel conversion</w:t>
      </w:r>
      <w:r w:rsidR="005123E8" w:rsidRPr="003334AB">
        <w:t xml:space="preserve">, making the combustion process more effective. Besides, </w:t>
      </w:r>
      <w:r w:rsidR="00AA3D9E" w:rsidRPr="003334AB">
        <w:t xml:space="preserve">the addition of hydrogen </w:t>
      </w:r>
      <w:r w:rsidR="003A4CF5" w:rsidRPr="003334AB">
        <w:t>reduce</w:t>
      </w:r>
      <w:r w:rsidR="00AA3D9E" w:rsidRPr="003334AB">
        <w:t>s</w:t>
      </w:r>
      <w:r w:rsidR="003A4CF5" w:rsidRPr="003334AB">
        <w:t xml:space="preserve"> the overall carbon index</w:t>
      </w:r>
      <w:r w:rsidR="00AA3D9E" w:rsidRPr="003334AB">
        <w:t xml:space="preserve"> for a given amount of produced energy</w:t>
      </w:r>
      <w:r w:rsidR="002F3B3C" w:rsidRPr="003334AB">
        <w:t xml:space="preserve"> without suffering </w:t>
      </w:r>
      <w:r w:rsidR="004D21E6" w:rsidRPr="003334AB">
        <w:t xml:space="preserve">significant </w:t>
      </w:r>
      <w:r w:rsidR="001E08F6" w:rsidRPr="003334AB">
        <w:t>modifications</w:t>
      </w:r>
      <w:r w:rsidR="004D21E6" w:rsidRPr="003334AB">
        <w:t xml:space="preserve"> </w:t>
      </w:r>
      <w:r w:rsidR="001E08F6" w:rsidRPr="003334AB">
        <w:t xml:space="preserve">in </w:t>
      </w:r>
      <w:r w:rsidR="004D21E6" w:rsidRPr="003334AB">
        <w:t>overall reactivity</w:t>
      </w:r>
      <w:r w:rsidR="001E08F6" w:rsidRPr="003334AB">
        <w:t xml:space="preserve"> and combustor design</w:t>
      </w:r>
      <w:r w:rsidR="004D21E6" w:rsidRPr="003334AB">
        <w:t>.</w:t>
      </w:r>
      <w:r w:rsidR="004D2790" w:rsidRPr="004D21E6">
        <w:t xml:space="preserve"> </w:t>
      </w:r>
      <w:r w:rsidR="00001E86" w:rsidRPr="004D21E6">
        <w:t>In</w:t>
      </w:r>
      <w:r w:rsidR="004D21E6" w:rsidRPr="004D21E6">
        <w:t>deed</w:t>
      </w:r>
      <w:r w:rsidR="00001E86" w:rsidRPr="004D21E6">
        <w:t>, i</w:t>
      </w:r>
      <w:r w:rsidR="004D2790" w:rsidRPr="004D21E6">
        <w:t>t</w:t>
      </w:r>
      <w:r w:rsidR="004D2790" w:rsidRPr="00CA47F8">
        <w:t xml:space="preserve"> has been </w:t>
      </w:r>
      <w:r w:rsidR="004D2790" w:rsidRPr="00CA47F8">
        <w:lastRenderedPageBreak/>
        <w:t xml:space="preserve">demonstrated that </w:t>
      </w:r>
      <w:r w:rsidR="00D10FF8" w:rsidRPr="00CA47F8">
        <w:t>the add up</w:t>
      </w:r>
      <w:r w:rsidR="004D2790" w:rsidRPr="00CA47F8">
        <w:t xml:space="preserve"> to 20% in volume of hydrogen </w:t>
      </w:r>
      <w:r w:rsidR="00F43DD5" w:rsidRPr="00CA47F8">
        <w:t xml:space="preserve">in methane </w:t>
      </w:r>
      <w:r w:rsidR="004D2790" w:rsidRPr="00CA47F8">
        <w:t xml:space="preserve">does not significantly affect the overall reactivity in </w:t>
      </w:r>
      <w:r w:rsidR="00974DFC" w:rsidRPr="00CA47F8">
        <w:t xml:space="preserve">the </w:t>
      </w:r>
      <w:r w:rsidR="004D2790" w:rsidRPr="00CA47F8">
        <w:t xml:space="preserve">air </w:t>
      </w:r>
      <w:r w:rsidR="00D10FF8" w:rsidRPr="00CA47F8">
        <w:t xml:space="preserve">of the mixture and most of </w:t>
      </w:r>
      <w:r w:rsidR="00974DFC" w:rsidRPr="00CA47F8">
        <w:t xml:space="preserve">the </w:t>
      </w:r>
      <w:r w:rsidR="00D10FF8" w:rsidRPr="00CA47F8">
        <w:t xml:space="preserve">physical properties </w:t>
      </w:r>
      <w:r w:rsidR="00880CAF" w:rsidRPr="003334AB">
        <w:fldChar w:fldCharType="begin" w:fldLock="1"/>
      </w:r>
      <w:r w:rsidR="006A508A" w:rsidRPr="003334AB">
        <w:instrText>ADDIN CSL_CITATION {"citationItems":[{"id":"ITEM-1","itemData":{"DOI":"10.1016/j.fuel.2018.07.110","ISSN":"00162361","abstract":"The effect of a hydrogen addition to the combustion chemistry of light alkanes was evaluated by the experimental and numerical determination of the laminar burning velocity of methane/propane/hydrogen mixtures in air at different equivalence ratios and fuel compositions by using a heat flux burner. The experimental results have been compared with additional data selected for the main experimental rig commonly adopted in current literature. The obtained set of data was used for the validation of the detailed kinetic model developed by the University of Bologna. Subsequently, an in-depth analysis on the reaction system was carried out in order to evaluate the effects of a low hydrogen content on the reaction paths, concentrations profiles of the main combustion products and temperature profiles with respect to the distance from the burner. Thus, additional information was obtained by means of a sensitivity analysis, evaluating the relative relevance of each reaction on the laminar burning velocity and comparing obtained the results for all the investigated conditions.","author":[{"dropping-particle":"","family":"Salzano","given":"Ernesto","non-dropping-particle":"","parse-names":false,"suffix":""},{"dropping-particle":"","family":"Pio","given":"Gianmaria","non-dropping-particle":"","parse-names":false,"suffix":""},{"dropping-particle":"","family":"Ricca","given":"Antonio","non-dropping-particle":"","parse-names":false,"suffix":""},{"dropping-particle":"","family":"Palma","given":"Vincenzo","non-dropping-particle":"","parse-names":false,"suffix":""}],"container-title":"Fuel","id":"ITEM-1","issued":{"date-parts":[["2018"]]},"page":"1064-1070","title":"The effect of a hydrogen addition to the premixed flame structure of light alkanes","type":"article-journal","volume":"234"},"uris":["http://www.mendeley.com/documents/?uuid=be257fc0-6c15-4622-8368-9642ee64b53c"]}],"mendeley":{"formattedCitation":"(Salzano et al., 2018)","plainTextFormattedCitation":"(Salzano et al., 2018)","previouslyFormattedCitation":"(Salzano et al., 2018)"},"properties":{"noteIndex":0},"schema":"https://github.com/citation-style-language/schema/raw/master/csl-citation.json"}</w:instrText>
      </w:r>
      <w:r w:rsidR="00880CAF" w:rsidRPr="003334AB">
        <w:fldChar w:fldCharType="separate"/>
      </w:r>
      <w:r w:rsidR="002D33C2" w:rsidRPr="003334AB">
        <w:rPr>
          <w:noProof/>
        </w:rPr>
        <w:t>(Salzano et al., 2018)</w:t>
      </w:r>
      <w:r w:rsidR="00880CAF" w:rsidRPr="003334AB">
        <w:fldChar w:fldCharType="end"/>
      </w:r>
      <w:r w:rsidR="00FF3D07" w:rsidRPr="003334AB">
        <w:t xml:space="preserve">. </w:t>
      </w:r>
      <w:r w:rsidR="00001E86" w:rsidRPr="003334AB">
        <w:t>Hence,</w:t>
      </w:r>
      <w:r w:rsidR="00266FBF" w:rsidRPr="003334AB">
        <w:t xml:space="preserve"> employing</w:t>
      </w:r>
      <w:r w:rsidR="00001E86" w:rsidRPr="003334AB">
        <w:t xml:space="preserve"> this solution</w:t>
      </w:r>
      <w:r w:rsidR="00266FBF" w:rsidRPr="003334AB">
        <w:t xml:space="preserve"> allows to </w:t>
      </w:r>
      <w:r w:rsidR="00001E86" w:rsidRPr="003334AB">
        <w:t xml:space="preserve">re-use the </w:t>
      </w:r>
      <w:r w:rsidR="00266FBF" w:rsidRPr="003334AB">
        <w:t>existing</w:t>
      </w:r>
      <w:r w:rsidR="004D21E6" w:rsidRPr="003334AB">
        <w:t xml:space="preserve"> </w:t>
      </w:r>
      <w:r w:rsidR="00001E86" w:rsidRPr="003334AB">
        <w:t>infrastructure</w:t>
      </w:r>
      <w:r w:rsidR="00750125" w:rsidRPr="003334AB">
        <w:t xml:space="preserve">, </w:t>
      </w:r>
      <w:r w:rsidR="004D21E6" w:rsidRPr="003334AB">
        <w:t xml:space="preserve">with obvious implications on the </w:t>
      </w:r>
      <w:r w:rsidR="003334AB">
        <w:t>economic and technological aspects</w:t>
      </w:r>
      <w:r w:rsidR="00001E86" w:rsidRPr="003334AB">
        <w:t>.</w:t>
      </w:r>
      <w:r w:rsidR="00D75C70" w:rsidRPr="003334AB">
        <w:t xml:space="preserve"> </w:t>
      </w:r>
      <w:r w:rsidR="002D5329" w:rsidRPr="003334AB">
        <w:t>In</w:t>
      </w:r>
      <w:r w:rsidR="002D5329" w:rsidRPr="00CA47F8">
        <w:t xml:space="preserve"> this perspective, additional studies are needed to guarantee an optimized and safe </w:t>
      </w:r>
      <w:r w:rsidR="00D75C70">
        <w:t xml:space="preserve">storage </w:t>
      </w:r>
      <w:r w:rsidR="002D5329" w:rsidRPr="00CA47F8">
        <w:t>system</w:t>
      </w:r>
      <w:r w:rsidR="00FF3D07" w:rsidRPr="00CA47F8">
        <w:t>. In part</w:t>
      </w:r>
      <w:r w:rsidR="00683D4D" w:rsidRPr="00CA47F8">
        <w:t>i</w:t>
      </w:r>
      <w:r w:rsidR="00FF3D07" w:rsidRPr="00CA47F8">
        <w:t xml:space="preserve">cular, </w:t>
      </w:r>
      <w:r w:rsidR="002D5329" w:rsidRPr="00CA47F8">
        <w:t xml:space="preserve">the characterization of </w:t>
      </w:r>
      <w:r w:rsidR="00FF3D07" w:rsidRPr="00CA47F8">
        <w:t xml:space="preserve">the </w:t>
      </w:r>
      <w:r w:rsidR="00FF3D07" w:rsidRPr="003334AB">
        <w:t>j</w:t>
      </w:r>
      <w:r w:rsidR="002D5329" w:rsidRPr="003334AB">
        <w:t>et</w:t>
      </w:r>
      <w:r w:rsidR="00FF3D07" w:rsidRPr="003334AB">
        <w:t xml:space="preserve"> </w:t>
      </w:r>
      <w:r w:rsidR="002D5329" w:rsidRPr="003334AB">
        <w:t>fire</w:t>
      </w:r>
      <w:r w:rsidR="00387F33" w:rsidRPr="003334AB">
        <w:t xml:space="preserve"> </w:t>
      </w:r>
      <w:r w:rsidR="003E79B5" w:rsidRPr="003334AB">
        <w:t xml:space="preserve">assumes a paramount significance for the realization of sustainable </w:t>
      </w:r>
      <w:r w:rsidR="00FF3D07" w:rsidRPr="003334AB">
        <w:t xml:space="preserve">pipeline and storage </w:t>
      </w:r>
      <w:r w:rsidR="003E79B5" w:rsidRPr="003334AB">
        <w:t xml:space="preserve">systems </w:t>
      </w:r>
      <w:r w:rsidR="00C92B6C" w:rsidRPr="003334AB">
        <w:fldChar w:fldCharType="begin" w:fldLock="1"/>
      </w:r>
      <w:r w:rsidR="006A508A" w:rsidRPr="003334AB">
        <w:instrText>ADDIN CSL_CITATION {"citationItems":[{"id":"ITEM-1","itemData":{"DOI":"10.1016/j.ijhydene.2016.05.263","ISSN":"03603199","abstract":"Hydrogen is considered to be a very promising potential energy carrier due to its excellent characteristics such as abundant resources, high fuel value, clean and renewable. Its safety features greatly influence the potential use. Several safety problems need to be analyzed before using in transportation industry. With the development of the tunnel transportation technology, the safe use of hydrogen in tunnels will receive a lot of research attentions. In this article, the risk associated with hydrogen release from onboard high-pressure vessels and the induced combustion in tunnels was analyzed using the Partially Averaged Navier–Stokes (PANS) turbulence model. The influences of the tunnel ventilation facilities on the hydrogen flow characteristics and the flammable hydrogen cloud sizes were studied. The tunnel layouts were designed according to the subsea tunnel. And a range of longitudinal ventilation conditions had been considered to investigate the hydrogen releases and the sizes of the flammable hydrogen cloud. Then the hydrogen combustion simulation was carried out after the fixed leaking time. The overpressures induced after the ignition of leaking hydrogen were studied. The influences of ventilation and ignition delay time on the overpressure were also investigated. The main aim was to research the phenomena of hydrogen releases and combustion risk inside subsea tunnels, and to lay the foundation of risk assessment methodology developed for hydrogen energy applications on transportation.","author":[{"dropping-particle":"","family":"Bie","given":"H. Y.","non-dropping-particle":"","parse-names":false,"suffix":""},{"dropping-particle":"","family":"Hao","given":"Z. R.","non-dropping-particle":"","parse-names":false,"suffix":""}],"container-title":"International Journal of Hydrogen Energy","id":"ITEM-1","issue":"11","issued":{"date-parts":[["2017"]]},"page":"7617-7624","publisher":"Elsevier Ltd","title":"Simulation analysis on the risk of hydrogen releases and combustion in subsea tunnels","type":"article-journal","volume":"42"},"uris":["http://www.mendeley.com/documents/?uuid=6fce8d5f-b6bb-40e9-9feb-5ce37651cff3"]}],"mendeley":{"formattedCitation":"(Bie and Hao, 2017)","plainTextFormattedCitation":"(Bie and Hao, 2017)","previouslyFormattedCitation":"(Bie and Hao, 2017)"},"properties":{"noteIndex":0},"schema":"https://github.com/citation-style-language/schema/raw/master/csl-citation.json"}</w:instrText>
      </w:r>
      <w:r w:rsidR="00C92B6C" w:rsidRPr="003334AB">
        <w:fldChar w:fldCharType="separate"/>
      </w:r>
      <w:r w:rsidR="002D33C2" w:rsidRPr="003334AB">
        <w:rPr>
          <w:noProof/>
        </w:rPr>
        <w:t>(Bie and Hao, 2017)</w:t>
      </w:r>
      <w:r w:rsidR="00C92B6C" w:rsidRPr="003334AB">
        <w:fldChar w:fldCharType="end"/>
      </w:r>
      <w:r w:rsidR="00387F33" w:rsidRPr="00CA47F8">
        <w:t xml:space="preserve">. </w:t>
      </w:r>
      <w:r w:rsidR="00525ECA" w:rsidRPr="00CA47F8">
        <w:t xml:space="preserve">Although several experimental data and numerical models can be retrieved in the current literature to mimic the </w:t>
      </w:r>
      <w:proofErr w:type="spellStart"/>
      <w:r w:rsidR="00525ECA" w:rsidRPr="00CA47F8">
        <w:t>behaviour</w:t>
      </w:r>
      <w:proofErr w:type="spellEnd"/>
      <w:r w:rsidR="00525ECA" w:rsidRPr="00CA47F8">
        <w:t xml:space="preserve"> of pure methane </w:t>
      </w:r>
      <w:r w:rsidR="00DA7880" w:rsidRPr="00CA47F8">
        <w:fldChar w:fldCharType="begin" w:fldLock="1"/>
      </w:r>
      <w:r w:rsidR="006A508A" w:rsidRPr="00CA47F8">
        <w:instrText>ADDIN CSL_CITATION {"citationItems":[{"id":"ITEM-1","itemData":{"DOI":"10.1515/revce-2016-0006","ISSN":"01678299","abstract":"The purpose of this study is to analyze the failure and associated hazards of liquefied petroleum gas (LPG) and natural gas (NG) vessels during handling, storage, and transport. The leakage of LPG and NG from the vessels creates major hazards with the loss of containment. In case of fire, an extensive damage to the property (such as building and plants) and the population also occurs. This review is focused on several areas where the work done in the literature is scarce and missing, such as the failure modes of LPG or NG vessels during storage and transport and the estimation of the amount of the leakage and ignition time during these situations. This paper describes the different possible events such as jet fire, fireball, and vapor cloud explosion (VCE) and their mechanisms and the blast effects on the population or the environment. In this paper, all the experimental studies on pool fire, jet fire, boiling liquid expanding vapor explosion, and VCE associated with LPG/LNG have been analyzed. Moreover, modeling approaches and their corresponding equations, computational fluid dynamic approaches, and software used have also been reviewed.","author":[{"dropping-particle":"","family":"Bariha","given":"Nilambar","non-dropping-particle":"","parse-names":false,"suffix":""},{"dropping-particle":"","family":"Srivastava","given":"Vimal Chandra","non-dropping-particle":"","parse-names":false,"suffix":""},{"dropping-particle":"","family":"Mishra","given":"Indra Mani","non-dropping-particle":"","parse-names":false,"suffix":""}],"container-title":"Reviews in Chemical Engineering","id":"ITEM-1","issue":"4","issued":{"date-parts":[["2017"]]},"page":"387-432","title":"Theoretical and experimental studies on hazard analysis of LPG/LNG release: A review","type":"article-journal","volume":"33"},"uris":["http://www.mendeley.com/documents/?uuid=5ccfb5ed-8373-4dbd-9215-1a7eb9d14431"]}],"mendeley":{"formattedCitation":"(Bariha et al., 2017)","plainTextFormattedCitation":"(Bariha et al., 2017)","previouslyFormattedCitation":"(Bariha et al., 2017)"},"properties":{"noteIndex":0},"schema":"https://github.com/citation-style-language/schema/raw/master/csl-citation.json"}</w:instrText>
      </w:r>
      <w:r w:rsidR="00DA7880" w:rsidRPr="00CA47F8">
        <w:fldChar w:fldCharType="separate"/>
      </w:r>
      <w:r w:rsidR="002D33C2" w:rsidRPr="00CA47F8">
        <w:rPr>
          <w:noProof/>
        </w:rPr>
        <w:t>(Bariha et al., 2017)</w:t>
      </w:r>
      <w:r w:rsidR="00DA7880" w:rsidRPr="00CA47F8">
        <w:fldChar w:fldCharType="end"/>
      </w:r>
      <w:r w:rsidR="00DA7880" w:rsidRPr="00CA47F8">
        <w:t xml:space="preserve"> </w:t>
      </w:r>
      <w:r w:rsidR="00525ECA" w:rsidRPr="00CA47F8">
        <w:t xml:space="preserve">and pure hydrogen </w:t>
      </w:r>
      <w:r w:rsidR="00DA7880" w:rsidRPr="00CA47F8">
        <w:fldChar w:fldCharType="begin" w:fldLock="1"/>
      </w:r>
      <w:r w:rsidR="006A508A" w:rsidRPr="00CA47F8">
        <w:instrText>ADDIN CSL_CITATION {"citationItems":[{"id":"ITEM-1","itemData":{"DOI":"10.1016/j.ijhydene.2018.08.106","ISSN":"0360-3199","author":[{"dropping-particle":"","family":"Cirrone","given":"D M C","non-dropping-particle":"","parse-names":false,"suffix":""},{"dropping-particle":"","family":"Makarov","given":"D","non-dropping-particle":"","parse-names":false,"suffix":""},{"dropping-particle":"","family":"Molkov","given":"V","non-dropping-particle":"","parse-names":false,"suffix":""}],"container-title":"International Journal of Hydrogen Energy","id":"ITEM-1","issued":{"date-parts":[["2018"]]},"page":"2-8","publisher":"Elsevier Ltd","title":"Simulation of thermal hazards from hydrogen under-expanded jet fire","type":"article-journal"},"uris":["http://www.mendeley.com/documents/?uuid=3496c337-3d6d-4339-b189-26c0d7f6bfb5"]}],"mendeley":{"formattedCitation":"(Cirrone et al., 2018)","plainTextFormattedCitation":"(Cirrone et al., 2018)","previouslyFormattedCitation":"(Cirrone et al., 2018)"},"properties":{"noteIndex":0},"schema":"https://github.com/citation-style-language/schema/raw/master/csl-citation.json"}</w:instrText>
      </w:r>
      <w:r w:rsidR="00DA7880" w:rsidRPr="00CA47F8">
        <w:fldChar w:fldCharType="separate"/>
      </w:r>
      <w:r w:rsidR="002D33C2" w:rsidRPr="00CA47F8">
        <w:rPr>
          <w:noProof/>
        </w:rPr>
        <w:t>(Cirrone et al., 2018)</w:t>
      </w:r>
      <w:r w:rsidR="00DA7880" w:rsidRPr="00CA47F8">
        <w:fldChar w:fldCharType="end"/>
      </w:r>
      <w:r w:rsidR="00DA7880" w:rsidRPr="00CA47F8">
        <w:t xml:space="preserve"> </w:t>
      </w:r>
      <w:r w:rsidR="00525ECA" w:rsidRPr="00CA47F8">
        <w:t>jet fires, a dearth of knowledge can be observed for the case of their mixtures</w:t>
      </w:r>
      <w:r w:rsidR="0019416B" w:rsidRPr="00CA47F8">
        <w:t xml:space="preserve">. In addition, most investigations </w:t>
      </w:r>
      <w:r w:rsidR="002329D4" w:rsidRPr="00CA47F8">
        <w:t>are focused on premixed flames, for the sake of kinetic investigations for combustion relevant conditions</w:t>
      </w:r>
      <w:r w:rsidR="00525ECA" w:rsidRPr="00CA47F8">
        <w:t xml:space="preserve"> </w:t>
      </w:r>
      <w:r w:rsidR="0019416B" w:rsidRPr="00CA47F8">
        <w:fldChar w:fldCharType="begin" w:fldLock="1"/>
      </w:r>
      <w:r w:rsidR="006C6E0C" w:rsidRPr="00CA47F8">
        <w:instrText>ADDIN CSL_CITATION {"citationItems":[{"id":"ITEM-1","itemData":{"DOI":"10.1016/j.proci.2004.08.195","ISBN":"1540-7489","ISSN":"15407489","abstract":"The aim of the present work was to characterize both the effects of pressure and of hydrogen addition on methane/air premixed laminar flames. The experimental setup consists of a spherical combustion chamber coupled to a classical shadowgraphy system. Flame pictures are recorded by a high speed camera. Global equivalence ratios were varied from 0.7 to 1.2 for the initial pressure range from 0.1 to 0.5 MPa. The mole fraction of hydrogen in the methane + hydrogen mixture was varied from 0 to 0.2. Experimental results were compared to calculations using a detailed chemical kinetic scheme (GRIMECH 3.0). First, the results for atmospheric laminar CH4/air flames were compared to the literature. Very good agreements were obtained both for laminar burning velocities and for burned gas Markstein length. Then, increasing the hydrogen content in the mixture was found to be responsible for an increase in the laminar burning velocity and for a reduction of the flame dependence on stretch. Transport effects, through the reduction of the fuel Lewis number, play a role in reducing the sensitivity of the fundamental flame velocity to the stretch. Finally, when the pressure was increased, the laminar burning velocity decreased for all mixtures. The pressure domain was limited to 0.5 MPa due to the onset of instabilities at pressures above this value.","author":[{"dropping-particle":"","family":"Halter","given":"F.","non-dropping-particle":"","parse-names":false,"suffix":""},{"dropping-particle":"","family":"Chauveau","given":"C.","non-dropping-particle":"","parse-names":false,"suffix":""},{"dropping-particle":"","family":"Djebaïli-Chaumeix","given":"N.","non-dropping-particle":"","parse-names":false,"suffix":""},{"dropping-particle":"","family":"Gökalp","given":"I.","non-dropping-particle":"","parse-names":false,"suffix":""}],"container-title":"Proceedings of the Combustion Institute","id":"ITEM-1","issue":"1","issued":{"date-parts":[["2005"]]},"page":"201-208","title":"Characterization of the effects of pressure and hydrogen concentration on laminar burning velocities of methane-hydrogen-air mixtures","type":"article-journal","volume":"30"},"uris":["http://www.mendeley.com/documents/?uuid=1cf44608-95b9-4dd8-ba5a-ae7b36a8f2d8","http://www.mendeley.com/documents/?uuid=ee4f3135-00b4-4fd6-a30e-c88609b700c8"]}],"mendeley":{"formattedCitation":"(Halter et al., 2005)","plainTextFormattedCitation":"(Halter et al., 2005)","previouslyFormattedCitation":"(Halter et al., 2005)"},"properties":{"noteIndex":0},"schema":"https://github.com/citation-style-language/schema/raw/master/csl-citation.json"}</w:instrText>
      </w:r>
      <w:r w:rsidR="0019416B" w:rsidRPr="00CA47F8">
        <w:fldChar w:fldCharType="separate"/>
      </w:r>
      <w:r w:rsidR="002D33C2" w:rsidRPr="00CA47F8">
        <w:rPr>
          <w:noProof/>
        </w:rPr>
        <w:t>(Halter et al., 2005)</w:t>
      </w:r>
      <w:r w:rsidR="0019416B" w:rsidRPr="00CA47F8">
        <w:fldChar w:fldCharType="end"/>
      </w:r>
      <w:r w:rsidR="00FF3D07" w:rsidRPr="00CA47F8">
        <w:t xml:space="preserve">, whereas </w:t>
      </w:r>
      <w:r w:rsidR="00106D02" w:rsidRPr="00CA47F8">
        <w:t xml:space="preserve">a jet fire can be intended as a scenario composed </w:t>
      </w:r>
      <w:r w:rsidR="00974DFC" w:rsidRPr="00CA47F8">
        <w:t>of</w:t>
      </w:r>
      <w:r w:rsidR="00106D02" w:rsidRPr="00CA47F8">
        <w:t xml:space="preserve"> two subsystem</w:t>
      </w:r>
      <w:r w:rsidR="00216B3F" w:rsidRPr="00CA47F8">
        <w:t>s</w:t>
      </w:r>
      <w:r w:rsidR="00106D02" w:rsidRPr="00CA47F8">
        <w:t xml:space="preserve">, the first </w:t>
      </w:r>
      <w:r w:rsidR="00216B3F" w:rsidRPr="00CA47F8">
        <w:t>providing the source term to the second, reproducing the combustion and heat transfer</w:t>
      </w:r>
      <w:r w:rsidR="00F1568A" w:rsidRPr="00CA47F8">
        <w:t>.</w:t>
      </w:r>
      <w:r w:rsidR="000A7873" w:rsidRPr="00CA47F8">
        <w:t xml:space="preserve"> </w:t>
      </w:r>
    </w:p>
    <w:p w14:paraId="66FD0921" w14:textId="164D53E6" w:rsidR="00C14D88" w:rsidRPr="00CA47F8" w:rsidRDefault="00FF3D07" w:rsidP="00E97929">
      <w:pPr>
        <w:pStyle w:val="CETBodytext"/>
        <w:spacing w:after="120"/>
      </w:pPr>
      <w:r w:rsidRPr="00CA47F8">
        <w:t>For jet fire description, t</w:t>
      </w:r>
      <w:r w:rsidR="00001C0F" w:rsidRPr="00CA47F8">
        <w:t>he i</w:t>
      </w:r>
      <w:r w:rsidR="00001C0F" w:rsidRPr="00CA47F8">
        <w:rPr>
          <w:rFonts w:eastAsiaTheme="minorEastAsia"/>
        </w:rPr>
        <w:t xml:space="preserve">sothermal turbulent choked gas steady jet theory </w:t>
      </w:r>
      <w:r w:rsidR="00001C0F" w:rsidRPr="00CA47F8">
        <w:t>can be</w:t>
      </w:r>
      <w:r w:rsidR="00001C0F" w:rsidRPr="00CA47F8">
        <w:rPr>
          <w:rFonts w:eastAsiaTheme="minorEastAsia"/>
        </w:rPr>
        <w:t xml:space="preserve"> applied </w:t>
      </w:r>
      <w:r w:rsidR="00001C0F" w:rsidRPr="00CA47F8">
        <w:rPr>
          <w:rFonts w:eastAsiaTheme="minorEastAsia"/>
        </w:rPr>
        <w:fldChar w:fldCharType="begin" w:fldLock="1"/>
      </w:r>
      <w:r w:rsidR="00001C0F" w:rsidRPr="00CA47F8">
        <w:rPr>
          <w:rFonts w:eastAsiaTheme="minorEastAsia"/>
        </w:rPr>
        <w:instrText>ADDIN CSL_CITATION {"citationItems":[{"id":"ITEM-1","itemData":{"abstract":", .","author":[{"dropping-particle":"","family":"Hess","given":"K","non-dropping-particle":"","parse-names":false,"suffix":""},{"dropping-particle":"","family":"Leuckel","given":"W","non-dropping-particle":"","parse-names":false,"suffix":""},{"dropping-particle":"","family":"Stoeckel","given":"A","non-dropping-particle":"","parse-names":false,"suffix":""}],"container-title":"Chem. Ing. Tech","id":"ITEM-1","issued":{"date-parts":[["1973"]]},"page":"5323-5329","title":"Ausbildung von Explosiblen Gaswolken bei Uberdachentspannung und MaBnahmen zu deren Vermeidung","type":"article-journal","volume":"45"},"uris":["http://www.mendeley.com/documents/?uuid=21fb07ec-dedc-4da5-b533-bb440209df47","http://www.mendeley.com/documents/?uuid=85a6523e-4968-4963-b985-e2d3ce161355"]}],"mendeley":{"formattedCitation":"(Hess et al., 1973)","plainTextFormattedCitation":"(Hess et al., 1973)","previouslyFormattedCitation":"(Hess et al., 1973)"},"properties":{"noteIndex":0},"schema":"https://github.com/citation-style-language/schema/raw/master/csl-citation.json"}</w:instrText>
      </w:r>
      <w:r w:rsidR="00001C0F" w:rsidRPr="00CA47F8">
        <w:rPr>
          <w:rFonts w:eastAsiaTheme="minorEastAsia"/>
        </w:rPr>
        <w:fldChar w:fldCharType="separate"/>
      </w:r>
      <w:r w:rsidR="00001C0F" w:rsidRPr="00CA47F8">
        <w:rPr>
          <w:rFonts w:eastAsiaTheme="minorEastAsia"/>
          <w:noProof/>
        </w:rPr>
        <w:t>(Hess et al., 1973)</w:t>
      </w:r>
      <w:r w:rsidR="00001C0F" w:rsidRPr="00CA47F8">
        <w:rPr>
          <w:rFonts w:eastAsiaTheme="minorEastAsia"/>
        </w:rPr>
        <w:fldChar w:fldCharType="end"/>
      </w:r>
      <w:r w:rsidR="00F06F3A" w:rsidRPr="00CA47F8">
        <w:rPr>
          <w:rFonts w:eastAsiaTheme="minorEastAsia"/>
        </w:rPr>
        <w:t xml:space="preserve"> to represent the velocity field </w:t>
      </w:r>
      <w:r w:rsidR="000A7873" w:rsidRPr="00CA47F8">
        <w:rPr>
          <w:rFonts w:eastAsiaTheme="minorEastAsia"/>
        </w:rPr>
        <w:t>(Figure 1)</w:t>
      </w:r>
      <w:r w:rsidR="00001C0F" w:rsidRPr="00CA47F8">
        <w:t xml:space="preserve">. </w:t>
      </w:r>
      <w:r w:rsidR="00F06F3A" w:rsidRPr="00CA47F8">
        <w:t>A s</w:t>
      </w:r>
      <w:r w:rsidR="00001C0F" w:rsidRPr="00CA47F8">
        <w:rPr>
          <w:rFonts w:eastAsiaTheme="minorEastAsia"/>
        </w:rPr>
        <w:t xml:space="preserve">tagnant </w:t>
      </w:r>
      <w:r w:rsidR="00F06F3A" w:rsidRPr="00CA47F8">
        <w:rPr>
          <w:rFonts w:eastAsiaTheme="minorEastAsia"/>
        </w:rPr>
        <w:t xml:space="preserve">regime (i.e., </w:t>
      </w:r>
      <m:oMath>
        <m:sSub>
          <m:sSubPr>
            <m:ctrlPr>
              <w:rPr>
                <w:rFonts w:ascii="Cambria Math" w:eastAsiaTheme="minorEastAsia" w:hAnsi="Cambria Math"/>
              </w:rPr>
            </m:ctrlPr>
          </m:sSubPr>
          <m:e>
            <m:r>
              <w:rPr>
                <w:rFonts w:ascii="Cambria Math" w:eastAsiaTheme="minorEastAsia" w:hAnsi="Cambria Math"/>
              </w:rPr>
              <m:t>u</m:t>
            </m:r>
          </m:e>
          <m:sub>
            <m:r>
              <m:rPr>
                <m:sty m:val="p"/>
              </m:rPr>
              <w:rPr>
                <w:rFonts w:ascii="Cambria Math" w:eastAsiaTheme="minorEastAsia" w:hAnsi="Cambria Math"/>
              </w:rPr>
              <m:t>0</m:t>
            </m:r>
          </m:sub>
        </m:sSub>
        <m:r>
          <m:rPr>
            <m:sty m:val="p"/>
          </m:rPr>
          <w:rPr>
            <w:rFonts w:ascii="Cambria Math" w:eastAsiaTheme="minorEastAsia" w:hAnsi="Cambria Math"/>
          </w:rPr>
          <m:t>=0</m:t>
        </m:r>
      </m:oMath>
      <w:r w:rsidR="00F06F3A" w:rsidRPr="00CA47F8">
        <w:rPr>
          <w:rFonts w:eastAsiaTheme="minorEastAsia"/>
        </w:rPr>
        <w:t xml:space="preserve">) at initial pressure </w:t>
      </w:r>
      <w:r w:rsidR="000A7873" w:rsidRPr="00CA47F8">
        <w:rPr>
          <w:rFonts w:eastAsiaTheme="minorEastAsia"/>
        </w:rPr>
        <w:t>P</w:t>
      </w:r>
      <w:r w:rsidR="000A7873" w:rsidRPr="00CA47F8">
        <w:rPr>
          <w:rFonts w:eastAsiaTheme="minorEastAsia"/>
          <w:vertAlign w:val="subscript"/>
        </w:rPr>
        <w:t>0</w:t>
      </w:r>
      <w:r w:rsidR="000A7873" w:rsidRPr="00CA47F8">
        <w:rPr>
          <w:rFonts w:eastAsiaTheme="minorEastAsia"/>
        </w:rPr>
        <w:t xml:space="preserve"> and </w:t>
      </w:r>
      <w:r w:rsidR="00F06F3A" w:rsidRPr="00CA47F8">
        <w:rPr>
          <w:rFonts w:eastAsiaTheme="minorEastAsia"/>
        </w:rPr>
        <w:t xml:space="preserve">temperature </w:t>
      </w:r>
      <w:r w:rsidR="000A7873" w:rsidRPr="00CA47F8">
        <w:rPr>
          <w:rFonts w:eastAsiaTheme="minorEastAsia"/>
        </w:rPr>
        <w:t>T</w:t>
      </w:r>
      <w:r w:rsidR="000A7873" w:rsidRPr="00CA47F8">
        <w:rPr>
          <w:rFonts w:eastAsiaTheme="minorEastAsia"/>
          <w:vertAlign w:val="subscript"/>
        </w:rPr>
        <w:t>0</w:t>
      </w:r>
      <w:r w:rsidR="00F06F3A" w:rsidRPr="00CA47F8">
        <w:rPr>
          <w:rFonts w:eastAsiaTheme="minorEastAsia"/>
        </w:rPr>
        <w:t xml:space="preserve"> is commonly assumed within the</w:t>
      </w:r>
      <w:r w:rsidR="00D44BAB" w:rsidRPr="00CA47F8">
        <w:rPr>
          <w:rFonts w:eastAsiaTheme="minorEastAsia"/>
        </w:rPr>
        <w:t xml:space="preserve"> gaseous</w:t>
      </w:r>
      <w:r w:rsidR="00F06F3A" w:rsidRPr="00CA47F8">
        <w:rPr>
          <w:rFonts w:eastAsiaTheme="minorEastAsia"/>
        </w:rPr>
        <w:t xml:space="preserve"> reservoir. </w:t>
      </w:r>
      <w:r w:rsidR="00D44BAB" w:rsidRPr="00CA47F8">
        <w:rPr>
          <w:rFonts w:eastAsiaTheme="minorEastAsia"/>
        </w:rPr>
        <w:t xml:space="preserve">After a transition region, the released gas </w:t>
      </w:r>
      <w:proofErr w:type="gramStart"/>
      <w:r w:rsidR="00D44BAB" w:rsidRPr="00CA47F8">
        <w:rPr>
          <w:rFonts w:eastAsiaTheme="minorEastAsia"/>
        </w:rPr>
        <w:t>achieve</w:t>
      </w:r>
      <w:proofErr w:type="gramEnd"/>
      <w:r w:rsidR="00D44BAB" w:rsidRPr="00CA47F8">
        <w:rPr>
          <w:rFonts w:eastAsiaTheme="minorEastAsia"/>
        </w:rPr>
        <w:t xml:space="preserve"> a fully developed flow. The properties referring to this section were indicated with the subscript </w:t>
      </w:r>
      <w:r w:rsidR="00D44BAB" w:rsidRPr="00CA47F8">
        <w:rPr>
          <w:rFonts w:eastAsiaTheme="minorEastAsia"/>
          <w:i/>
          <w:iCs/>
        </w:rPr>
        <w:t xml:space="preserve">e </w:t>
      </w:r>
      <w:r w:rsidR="00D44BAB" w:rsidRPr="00CA47F8">
        <w:rPr>
          <w:rFonts w:eastAsiaTheme="minorEastAsia"/>
        </w:rPr>
        <w:t>in this work.</w:t>
      </w:r>
      <w:r w:rsidR="00001C0F" w:rsidRPr="00CA47F8">
        <w:rPr>
          <w:rFonts w:eastAsiaTheme="minorEastAsia"/>
        </w:rPr>
        <w:t xml:space="preserve"> </w:t>
      </w:r>
      <w:r w:rsidR="00D44BAB" w:rsidRPr="00CA47F8">
        <w:rPr>
          <w:rFonts w:eastAsiaTheme="minorEastAsia"/>
        </w:rPr>
        <w:t>T</w:t>
      </w:r>
      <w:r w:rsidR="00001C0F" w:rsidRPr="00CA47F8">
        <w:rPr>
          <w:rFonts w:eastAsiaTheme="minorEastAsia"/>
        </w:rPr>
        <w:t>he flow</w:t>
      </w:r>
      <w:r w:rsidR="00D44BAB" w:rsidRPr="00CA47F8">
        <w:rPr>
          <w:rFonts w:eastAsiaTheme="minorEastAsia"/>
        </w:rPr>
        <w:t>rate</w:t>
      </w:r>
      <w:r w:rsidR="005E2278" w:rsidRPr="00CA47F8">
        <w:rPr>
          <w:rFonts w:eastAsiaTheme="minorEastAsia"/>
        </w:rPr>
        <w:t xml:space="preserve"> (</w:t>
      </w:r>
      <m:oMath>
        <m:acc>
          <m:accPr>
            <m:chr m:val="̇"/>
            <m:ctrlPr>
              <w:rPr>
                <w:rFonts w:ascii="Cambria Math" w:hAnsi="Cambria Math"/>
                <w:i/>
                <w:color w:val="000000"/>
                <w:lang w:eastAsia="it-IT"/>
              </w:rPr>
            </m:ctrlPr>
          </m:accPr>
          <m:e>
            <m:r>
              <w:rPr>
                <w:rFonts w:ascii="Cambria Math" w:hAnsi="Cambria Math"/>
                <w:color w:val="000000"/>
                <w:lang w:eastAsia="it-IT"/>
              </w:rPr>
              <m:t>m</m:t>
            </m:r>
          </m:e>
        </m:acc>
      </m:oMath>
      <w:r w:rsidR="005E2278" w:rsidRPr="00CA47F8">
        <w:rPr>
          <w:color w:val="000000"/>
          <w:lang w:eastAsia="it-IT"/>
        </w:rPr>
        <w:t>)</w:t>
      </w:r>
      <w:r w:rsidR="00001C0F" w:rsidRPr="00CA47F8">
        <w:rPr>
          <w:rFonts w:eastAsiaTheme="minorEastAsia"/>
        </w:rPr>
        <w:t xml:space="preserve"> becomes</w:t>
      </w:r>
      <w:r w:rsidR="005E2278" w:rsidRPr="00CA47F8">
        <w:rPr>
          <w:color w:val="000000"/>
          <w:lang w:eastAsia="it-IT"/>
        </w:rPr>
        <w:t xml:space="preserve"> </w:t>
      </w:r>
      <w:r w:rsidR="00001C0F" w:rsidRPr="00CA47F8">
        <w:rPr>
          <w:rFonts w:eastAsiaTheme="minorEastAsia"/>
        </w:rPr>
        <w:t>predominantly governed by agents</w:t>
      </w:r>
      <w:r w:rsidR="00D44BAB" w:rsidRPr="00CA47F8">
        <w:rPr>
          <w:rFonts w:eastAsiaTheme="minorEastAsia"/>
        </w:rPr>
        <w:t xml:space="preserve"> other than momentum</w:t>
      </w:r>
      <w:r w:rsidR="00001C0F" w:rsidRPr="00CA47F8">
        <w:rPr>
          <w:rFonts w:eastAsiaTheme="minorEastAsia"/>
        </w:rPr>
        <w:t xml:space="preserve">, such as buoyancy and wind. </w:t>
      </w:r>
      <w:r w:rsidR="00D44BAB" w:rsidRPr="00CA47F8">
        <w:rPr>
          <w:rFonts w:eastAsiaTheme="minorEastAsia"/>
        </w:rPr>
        <w:t>Since the gaseous velocity is chocked</w:t>
      </w:r>
      <w:r w:rsidR="00001C0F" w:rsidRPr="00CA47F8">
        <w:rPr>
          <w:rFonts w:eastAsiaTheme="minorEastAsia"/>
        </w:rPr>
        <w:t xml:space="preserve">, </w:t>
      </w:r>
      <w:r w:rsidR="0030441C" w:rsidRPr="00CA47F8">
        <w:rPr>
          <w:rFonts w:eastAsiaTheme="minorEastAsia"/>
        </w:rPr>
        <w:t xml:space="preserve">an increase in the </w:t>
      </w:r>
      <w:r w:rsidR="00001C0F" w:rsidRPr="00CA47F8">
        <w:rPr>
          <w:rFonts w:eastAsiaTheme="minorEastAsia"/>
        </w:rPr>
        <w:t xml:space="preserve">upstream pressure </w:t>
      </w:r>
      <w:r w:rsidR="0030441C" w:rsidRPr="00CA47F8">
        <w:rPr>
          <w:rFonts w:eastAsiaTheme="minorEastAsia"/>
        </w:rPr>
        <w:t xml:space="preserve">leads to an increase in </w:t>
      </w:r>
      <w:r w:rsidR="00001C0F" w:rsidRPr="00CA47F8">
        <w:rPr>
          <w:rFonts w:eastAsiaTheme="minorEastAsia"/>
        </w:rPr>
        <w:t xml:space="preserve">mass flow rate </w:t>
      </w:r>
      <w:r w:rsidR="0030441C" w:rsidRPr="00CA47F8">
        <w:rPr>
          <w:rFonts w:eastAsiaTheme="minorEastAsia"/>
        </w:rPr>
        <w:t xml:space="preserve">mainly because of a </w:t>
      </w:r>
      <w:r w:rsidR="00001C0F" w:rsidRPr="00CA47F8">
        <w:rPr>
          <w:rFonts w:eastAsiaTheme="minorEastAsia"/>
        </w:rPr>
        <w:t xml:space="preserve">density rise. </w:t>
      </w:r>
      <w:r w:rsidR="00001C0F" w:rsidRPr="00CA47F8">
        <w:t>Jet gas recompression creates</w:t>
      </w:r>
      <w:r w:rsidR="000A7873" w:rsidRPr="00CA47F8">
        <w:t xml:space="preserve"> at the distance </w:t>
      </w:r>
      <w:proofErr w:type="spellStart"/>
      <w:r w:rsidR="000A7873" w:rsidRPr="00CA47F8">
        <w:rPr>
          <w:i/>
          <w:iCs/>
        </w:rPr>
        <w:t>x</w:t>
      </w:r>
      <w:r w:rsidR="000A7873" w:rsidRPr="00CA47F8">
        <w:rPr>
          <w:i/>
          <w:iCs/>
          <w:vertAlign w:val="subscript"/>
        </w:rPr>
        <w:t>m</w:t>
      </w:r>
      <w:proofErr w:type="spellEnd"/>
      <w:r w:rsidR="00001C0F" w:rsidRPr="00CA47F8">
        <w:t xml:space="preserve"> the Mach disk </w:t>
      </w:r>
      <w:r w:rsidR="00C14D88" w:rsidRPr="00CA47F8">
        <w:t>(</w:t>
      </w:r>
      <w:r w:rsidR="000A7873" w:rsidRPr="00CA47F8">
        <w:t>subscripts s</w:t>
      </w:r>
      <w:r w:rsidR="00C14D88" w:rsidRPr="00CA47F8">
        <w:t>)</w:t>
      </w:r>
      <w:r w:rsidR="000A7873" w:rsidRPr="00CA47F8">
        <w:t xml:space="preserve"> and immediately downstream</w:t>
      </w:r>
      <w:r w:rsidR="00683D4D" w:rsidRPr="00CA47F8">
        <w:t>,</w:t>
      </w:r>
      <w:r w:rsidR="00C14D88" w:rsidRPr="00CA47F8">
        <w:t xml:space="preserve"> </w:t>
      </w:r>
      <w:r w:rsidR="00001C0F" w:rsidRPr="00CA47F8">
        <w:t>of which the flow becomes sonic and then subsonic.</w:t>
      </w:r>
    </w:p>
    <w:p w14:paraId="76E2714E" w14:textId="16797AD4" w:rsidR="00C14D88" w:rsidRPr="00CA47F8" w:rsidRDefault="00FF3D07" w:rsidP="00C14D88">
      <w:pPr>
        <w:pStyle w:val="CETBodytext"/>
      </w:pPr>
      <w:r w:rsidRPr="00CA47F8">
        <w:rPr>
          <w:noProof/>
          <w:lang w:val="it-IT" w:eastAsia="it-IT"/>
        </w:rPr>
        <w:drawing>
          <wp:inline distT="0" distB="0" distL="0" distR="0" wp14:anchorId="056381CF" wp14:editId="3319CF1E">
            <wp:extent cx="2511779" cy="1817424"/>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477" cy="1825164"/>
                    </a:xfrm>
                    <a:prstGeom prst="rect">
                      <a:avLst/>
                    </a:prstGeom>
                    <a:noFill/>
                  </pic:spPr>
                </pic:pic>
              </a:graphicData>
            </a:graphic>
          </wp:inline>
        </w:drawing>
      </w:r>
    </w:p>
    <w:p w14:paraId="6821BBBD" w14:textId="2CAE2883" w:rsidR="00C14D88" w:rsidRPr="00CA47F8" w:rsidRDefault="00C14D88" w:rsidP="0030441C">
      <w:pPr>
        <w:pStyle w:val="CETCaption"/>
      </w:pPr>
      <w:r w:rsidRPr="00CA47F8">
        <w:t>Figure 1: I</w:t>
      </w:r>
      <w:r w:rsidRPr="00CA47F8">
        <w:rPr>
          <w:rFonts w:eastAsiaTheme="minorEastAsia"/>
        </w:rPr>
        <w:t>sothermal turbulent choked gas steady jet theory</w:t>
      </w:r>
      <w:r w:rsidRPr="00CA47F8">
        <w:t>: chocked jet and Mach disk</w:t>
      </w:r>
      <w:r w:rsidR="005E2278" w:rsidRPr="00CA47F8">
        <w:t xml:space="preserve"> </w:t>
      </w:r>
      <w:r w:rsidR="005E2278" w:rsidRPr="00CA47F8">
        <w:rPr>
          <w:rFonts w:eastAsiaTheme="minorEastAsia"/>
        </w:rPr>
        <w:fldChar w:fldCharType="begin" w:fldLock="1"/>
      </w:r>
      <w:r w:rsidR="005E2278" w:rsidRPr="00CA47F8">
        <w:rPr>
          <w:rFonts w:eastAsiaTheme="minorEastAsia"/>
        </w:rPr>
        <w:instrText>ADDIN CSL_CITATION {"citationItems":[{"id":"ITEM-1","itemData":{"abstract":", .","author":[{"dropping-particle":"","family":"Hess","given":"K","non-dropping-particle":"","parse-names":false,"suffix":""},{"dropping-particle":"","family":"Leuckel","given":"W","non-dropping-particle":"","parse-names":false,"suffix":""},{"dropping-particle":"","family":"Stoeckel","given":"A","non-dropping-particle":"","parse-names":false,"suffix":""}],"container-title":"Chem. Ing. Tech","id":"ITEM-1","issued":{"date-parts":[["1973"]]},"page":"5323-5329","title":"Ausbildung von Explosiblen Gaswolken bei Uberdachentspannung und MaBnahmen zu deren Vermeidung","type":"article-journal","volume":"45"},"uris":["http://www.mendeley.com/documents/?uuid=21fb07ec-dedc-4da5-b533-bb440209df47","http://www.mendeley.com/documents/?uuid=85a6523e-4968-4963-b985-e2d3ce161355"]}],"mendeley":{"formattedCitation":"(Hess et al., 1973)","plainTextFormattedCitation":"(Hess et al., 1973)","previouslyFormattedCitation":"(Hess et al., 1973)"},"properties":{"noteIndex":0},"schema":"https://github.com/citation-style-language/schema/raw/master/csl-citation.json"}</w:instrText>
      </w:r>
      <w:r w:rsidR="005E2278" w:rsidRPr="00CA47F8">
        <w:rPr>
          <w:rFonts w:eastAsiaTheme="minorEastAsia"/>
        </w:rPr>
        <w:fldChar w:fldCharType="separate"/>
      </w:r>
      <w:r w:rsidR="005E2278" w:rsidRPr="00CA47F8">
        <w:rPr>
          <w:rFonts w:eastAsiaTheme="minorEastAsia"/>
        </w:rPr>
        <w:t>(Hess et al., 1973)</w:t>
      </w:r>
      <w:r w:rsidR="005E2278" w:rsidRPr="00CA47F8">
        <w:rPr>
          <w:rFonts w:eastAsiaTheme="minorEastAsia"/>
        </w:rPr>
        <w:fldChar w:fldCharType="end"/>
      </w:r>
      <w:r w:rsidRPr="00CA47F8">
        <w:t xml:space="preserve">. Adapted from </w:t>
      </w:r>
      <w:r w:rsidRPr="00CA47F8">
        <w:fldChar w:fldCharType="begin" w:fldLock="1"/>
      </w:r>
      <w:r w:rsidR="005E2278" w:rsidRPr="00CA47F8">
        <w:instrText>ADDIN CSL_CITATION {"citationItems":[{"id":"ITEM-1","itemData":{"DOI":"10.1016/b978-0-08-101228-4.00007-1","author":[{"dropping-particle":"","family":"Benintendi","given":"Renato","non-dropping-particle":"","parse-names":false,"suffix":""}],"container-title":"Process Safety Calculations","id":"ITEM-1","issued":{"date-parts":[["2018"]]},"title":"Source Models","type":"chapter"},"uris":["http://www.mendeley.com/documents/?uuid=47edbaec-5635-463e-8a92-ed915bb38b46"]}],"mendeley":{"formattedCitation":"(Benintendi, 2018)","plainTextFormattedCitation":"(Benintendi, 2018)","previouslyFormattedCitation":"(Benintendi, 2018)"},"properties":{"noteIndex":0},"schema":"https://github.com/citation-style-language/schema/raw/master/csl-citation.json"}</w:instrText>
      </w:r>
      <w:r w:rsidRPr="00CA47F8">
        <w:fldChar w:fldCharType="separate"/>
      </w:r>
      <w:r w:rsidRPr="00CA47F8">
        <w:t>(Benintendi, 2018)</w:t>
      </w:r>
      <w:r w:rsidRPr="00CA47F8">
        <w:fldChar w:fldCharType="end"/>
      </w:r>
      <w:r w:rsidRPr="00CA47F8">
        <w:t>.</w:t>
      </w:r>
    </w:p>
    <w:p w14:paraId="31517D54" w14:textId="6F4E61CF" w:rsidR="00353260" w:rsidRPr="00CA47F8" w:rsidRDefault="00146625" w:rsidP="00387F33">
      <w:pPr>
        <w:pStyle w:val="CETBodytext"/>
      </w:pPr>
      <w:r w:rsidRPr="00CA47F8">
        <w:t xml:space="preserve">For the sake of consequences analyses, the </w:t>
      </w:r>
      <w:r w:rsidR="00D61FFA" w:rsidRPr="00CA47F8">
        <w:t xml:space="preserve">variability in the </w:t>
      </w:r>
      <w:r w:rsidRPr="00CA47F8">
        <w:t xml:space="preserve">composition of natural gas is usually </w:t>
      </w:r>
      <w:r w:rsidR="00D61FFA" w:rsidRPr="00CA47F8">
        <w:t xml:space="preserve">neglected, </w:t>
      </w:r>
      <w:r w:rsidRPr="00CA47F8">
        <w:t>assum</w:t>
      </w:r>
      <w:r w:rsidR="00D61FFA" w:rsidRPr="00CA47F8">
        <w:t xml:space="preserve">ing </w:t>
      </w:r>
      <w:r w:rsidR="00457001" w:rsidRPr="00CA47F8">
        <w:t>natural gas</w:t>
      </w:r>
      <w:r w:rsidRPr="00CA47F8">
        <w:t xml:space="preserve"> </w:t>
      </w:r>
      <w:r w:rsidR="00457001" w:rsidRPr="00CA47F8">
        <w:t>a</w:t>
      </w:r>
      <w:r w:rsidRPr="00CA47F8">
        <w:t>s pure methane</w:t>
      </w:r>
      <w:r w:rsidR="00D61FFA" w:rsidRPr="00CA47F8">
        <w:t xml:space="preserve"> </w:t>
      </w:r>
      <w:r w:rsidRPr="00CA47F8">
        <w:fldChar w:fldCharType="begin" w:fldLock="1"/>
      </w:r>
      <w:r w:rsidR="006A508A" w:rsidRPr="00CA47F8">
        <w:instrText>ADDIN CSL_CITATION {"citationItems":[{"id":"ITEM-1","itemData":{"DOI":"10.1016/j.ssci.2020.105001","ISSN":"18791042","abstract":"The environmental concerns on the use of fossil fuels have incentivized the utilization of cleaner solutions for energy supply. Natural gas in the form of a liquid (LNG) is considered a promising and highly attractive alternative due to the high density and relatively low cost of transportation. In the case of accidental release on water, elevated heat transfer causes rapid evaporation that has the potential to lead to a rapid phase transition (RPT), thus producing significant overpressures. In this work, the effects of composition, release rate, and the fluid dynamic regime of water on the RPT of LNG are analyzed by means of detailed analysis based on computational fluid dynamics and large eddy simulation for the turbulence model. The thermodynamic properties at ultra-low temperature related to the species considered in the mixtures are estimated by using an approach based on quantum mechanics. Results are compared with experimental analysis, quite satisfactorily. A preliminary conclusion shows that calm water, as within port facilities, decreases the likelihood of the RPT or its magnitude to a negligible intensity. On the contrary, the addition of ethane or propane may dramatically affect the explosive phenomenon.","author":[{"dropping-particle":"","family":"Carboni","given":"Mattia","non-dropping-particle":"","parse-names":false,"suffix":""},{"dropping-particle":"","family":"Pio","given":"Gianmaria","non-dropping-particle":"","parse-names":false,"suffix":""},{"dropping-particle":"","family":"Vianello","given":"Chiara","non-dropping-particle":"","parse-names":false,"suffix":""},{"dropping-particle":"","family":"Maschio","given":"Giuseppe","non-dropping-particle":"","parse-names":false,"suffix":""},{"dropping-particle":"","family":"Salzano","given":"Ernesto","non-dropping-particle":"","parse-names":false,"suffix":""}],"container-title":"Safety Science","id":"ITEM-1","issue":"September 2020","issued":{"date-parts":[["2021"]]},"page":"105001","publisher":"Elsevier Ltd","title":"Large eddy simulation for the rapid phase transition of LNG","type":"article-journal","volume":"133"},"uris":["http://www.mendeley.com/documents/?uuid=2ce70c3e-bf4a-4316-8506-bbba684e48a7"]}],"mendeley":{"formattedCitation":"(Carboni et al., 2021)","plainTextFormattedCitation":"(Carboni et al., 2021)","previouslyFormattedCitation":"(Carboni et al., 2021)"},"properties":{"noteIndex":0},"schema":"https://github.com/citation-style-language/schema/raw/master/csl-citation.json"}</w:instrText>
      </w:r>
      <w:r w:rsidRPr="00CA47F8">
        <w:fldChar w:fldCharType="separate"/>
      </w:r>
      <w:r w:rsidR="002D33C2" w:rsidRPr="00CA47F8">
        <w:rPr>
          <w:noProof/>
        </w:rPr>
        <w:t>(Carboni et al., 2021)</w:t>
      </w:r>
      <w:r w:rsidRPr="00CA47F8">
        <w:fldChar w:fldCharType="end"/>
      </w:r>
      <w:r w:rsidR="00D61FFA" w:rsidRPr="00CA47F8">
        <w:t xml:space="preserve">. </w:t>
      </w:r>
      <w:r w:rsidR="00D01C37" w:rsidRPr="00CA47F8">
        <w:t xml:space="preserve">Different approaches can be implemented to account for the chemistry of the system. </w:t>
      </w:r>
      <w:r w:rsidR="00131C5A" w:rsidRPr="00CA47F8">
        <w:t xml:space="preserve">Among the others, simple chemistry represents an excellent trade-off for light hydrocarbons because of the robustness of the empirical values </w:t>
      </w:r>
      <w:r w:rsidR="00B04058" w:rsidRPr="00CA47F8">
        <w:t>available</w:t>
      </w:r>
      <w:r w:rsidR="00131C5A" w:rsidRPr="00CA47F8">
        <w:t>. Indeed, this approach usually considers a single</w:t>
      </w:r>
      <w:r w:rsidR="00683D4D" w:rsidRPr="00CA47F8">
        <w:t>-</w:t>
      </w:r>
      <w:r w:rsidR="00131C5A" w:rsidRPr="00CA47F8">
        <w:t xml:space="preserve">step reaction transforming fuel and oxidant in fully oxidized species. Alternatively, yield values can be associated </w:t>
      </w:r>
      <w:r w:rsidR="00974DFC" w:rsidRPr="00CA47F8">
        <w:t>with</w:t>
      </w:r>
      <w:r w:rsidR="00131C5A" w:rsidRPr="00CA47F8">
        <w:t xml:space="preserve"> the production of partially oxidized species. </w:t>
      </w:r>
      <w:r w:rsidR="00B04058" w:rsidRPr="00CA47F8">
        <w:t>Hence, according to this strategy</w:t>
      </w:r>
      <w:r w:rsidR="00974DFC" w:rsidRPr="00CA47F8">
        <w:t>,</w:t>
      </w:r>
      <w:r w:rsidR="00B04058" w:rsidRPr="00CA47F8">
        <w:t xml:space="preserve"> the combustion of the investigated mixture can lead to the formation of carbon monoxide, carbon dioxide, and water, only. </w:t>
      </w:r>
    </w:p>
    <w:p w14:paraId="7C42D232" w14:textId="21EB7E8E" w:rsidR="002D33C2" w:rsidRPr="00CA47F8" w:rsidRDefault="00457001" w:rsidP="002D33C2">
      <w:pPr>
        <w:pStyle w:val="CETBodytext"/>
      </w:pPr>
      <w:r w:rsidRPr="00CA47F8">
        <w:t xml:space="preserve">Accidental scenarios can be characterized numerically either by using an integrated approach or </w:t>
      </w:r>
      <w:r w:rsidR="002D33C2" w:rsidRPr="00CA47F8">
        <w:t xml:space="preserve">computational fluid dynamics (CFD). </w:t>
      </w:r>
      <w:r w:rsidR="00AF56DD" w:rsidRPr="00CA47F8">
        <w:t xml:space="preserve">A typical example for the former category is </w:t>
      </w:r>
      <w:r w:rsidR="002D33C2" w:rsidRPr="00CA47F8">
        <w:t>PHAST (DNV Software, UK</w:t>
      </w:r>
      <w:r w:rsidR="0033782F" w:rsidRPr="00CA47F8">
        <w:t xml:space="preserve"> </w:t>
      </w:r>
      <w:r w:rsidR="0033782F" w:rsidRPr="00CA47F8">
        <w:fldChar w:fldCharType="begin" w:fldLock="1"/>
      </w:r>
      <w:r w:rsidR="006A508A" w:rsidRPr="00CA47F8">
        <w:instrText>ADDIN CSL_CITATION {"citationItems":[{"id":"ITEM-1","itemData":{"author":[{"dropping-particle":"","family":"Det Norske Veritas (DNV)","given":"","non-dropping-particle":"","parse-names":false,"suffix":""}],"container-title":"Det Norske Veritas group","id":"ITEM-1","issued":{"date-parts":[["2021"]]},"title":"Phast process hazard analysis software training","type":"webpage"},"uris":["http://www.mendeley.com/documents/?uuid=d8fdf80e-7595-4324-bb95-03cd0ffec54b","http://www.mendeley.com/documents/?uuid=3bf23e79-4f35-4383-a9e0-a2361c4b93d0"]}],"mendeley":{"formattedCitation":"(Det Norske Veritas (DNV), 2021)","plainTextFormattedCitation":"(Det Norske Veritas (DNV), 2021)","previouslyFormattedCitation":"(Det Norske Veritas (DNV), 2021)"},"properties":{"noteIndex":0},"schema":"https://github.com/citation-style-language/schema/raw/master/csl-citation.json"}</w:instrText>
      </w:r>
      <w:r w:rsidR="0033782F" w:rsidRPr="00CA47F8">
        <w:fldChar w:fldCharType="separate"/>
      </w:r>
      <w:r w:rsidR="0033782F" w:rsidRPr="00CA47F8">
        <w:rPr>
          <w:noProof/>
        </w:rPr>
        <w:t>(Det Norske Veritas (DNV), 2021)</w:t>
      </w:r>
      <w:r w:rsidR="0033782F" w:rsidRPr="00CA47F8">
        <w:fldChar w:fldCharType="end"/>
      </w:r>
      <w:r w:rsidR="002D33C2" w:rsidRPr="00CA47F8">
        <w:t>)</w:t>
      </w:r>
      <w:r w:rsidRPr="00CA47F8">
        <w:t xml:space="preserve">, whereas the latter </w:t>
      </w:r>
      <w:r w:rsidR="00AF56DD" w:rsidRPr="00CA47F8">
        <w:t xml:space="preserve">includes </w:t>
      </w:r>
      <w:r w:rsidR="002D33C2" w:rsidRPr="00CA47F8">
        <w:t xml:space="preserve">ANSYS Fluent </w:t>
      </w:r>
      <w:r w:rsidR="002D33C2" w:rsidRPr="00CA47F8">
        <w:fldChar w:fldCharType="begin" w:fldLock="1"/>
      </w:r>
      <w:r w:rsidR="006C6E0C" w:rsidRPr="00CA47F8">
        <w:instrText>ADDIN CSL_CITATION {"citationItems":[{"id":"ITEM-1","itemData":{"ISBN":"9781467348669","abstract":"Manual de la version 13 de Ansys Fluent","author":[{"dropping-particle":"","family":"Launder B. E.","given":"","non-dropping-particle":"","parse-names":false,"suffix":""},{"dropping-particle":"","family":"B.","given":"Spalding D.","non-dropping-particle":"","parse-names":false,"suffix":""}],"container-title":"Knowledge Creation Diffusion Utilization","id":"ITEM-1","issue":"November","issued":{"date-parts":[["2013"]]},"page":"724-746","title":"MAN - ANSYS Fluent User' s Guide Releasde 15.0","type":"article-journal","volume":"15317"},"uris":["http://www.mendeley.com/documents/?uuid=6d1db6bc-c33b-4dab-b1af-36baa1170ed4","http://www.mendeley.com/documents/?uuid=46211f10-6df5-4f1d-80cf-50166983d741"]}],"mendeley":{"formattedCitation":"(Launder B. E. and B., 2013)","plainTextFormattedCitation":"(Launder B. E. and B., 2013)","previouslyFormattedCitation":"(Launder B. E. and B., 2013)"},"properties":{"noteIndex":0},"schema":"https://github.com/citation-style-language/schema/raw/master/csl-citation.json"}</w:instrText>
      </w:r>
      <w:r w:rsidR="002D33C2" w:rsidRPr="00CA47F8">
        <w:fldChar w:fldCharType="separate"/>
      </w:r>
      <w:r w:rsidR="002D33C2" w:rsidRPr="00CA47F8">
        <w:rPr>
          <w:noProof/>
        </w:rPr>
        <w:t>(Launder B. E. and B., 2013)</w:t>
      </w:r>
      <w:r w:rsidR="002D33C2" w:rsidRPr="00CA47F8">
        <w:fldChar w:fldCharType="end"/>
      </w:r>
      <w:r w:rsidR="002D33C2" w:rsidRPr="00CA47F8">
        <w:t>. PHAST (Process Hazard Analysis Software Tool) is a world-recognized, leading consequence modelling program developed by Det Norske Veritas (DNV)</w:t>
      </w:r>
      <w:r w:rsidR="00683D4D" w:rsidRPr="00CA47F8">
        <w:t>. In contrast,</w:t>
      </w:r>
      <w:r w:rsidR="00AF56DD" w:rsidRPr="00CA47F8">
        <w:t xml:space="preserve"> </w:t>
      </w:r>
      <w:r w:rsidR="002D33C2" w:rsidRPr="00CA47F8">
        <w:t>ANSYS Fluent Software</w:t>
      </w:r>
      <w:r w:rsidR="00AF56DD" w:rsidRPr="00CA47F8">
        <w:t xml:space="preserve"> is</w:t>
      </w:r>
      <w:r w:rsidR="002D33C2" w:rsidRPr="00CA47F8">
        <w:t xml:space="preserve"> a CFD-based software contain</w:t>
      </w:r>
      <w:r w:rsidR="00AF56DD" w:rsidRPr="00CA47F8">
        <w:t>ing</w:t>
      </w:r>
      <w:r w:rsidR="002D33C2" w:rsidRPr="00CA47F8">
        <w:t xml:space="preserve"> </w:t>
      </w:r>
      <w:r w:rsidR="00AF56DD" w:rsidRPr="00CA47F8">
        <w:t xml:space="preserve">a large set of </w:t>
      </w:r>
      <w:r w:rsidR="002D33C2" w:rsidRPr="00CA47F8">
        <w:t xml:space="preserve">physical </w:t>
      </w:r>
      <w:r w:rsidR="00AF56DD" w:rsidRPr="00CA47F8">
        <w:t xml:space="preserve">and chemical </w:t>
      </w:r>
      <w:r w:rsidR="002D33C2" w:rsidRPr="00CA47F8">
        <w:t>model</w:t>
      </w:r>
      <w:r w:rsidR="00AF56DD" w:rsidRPr="00CA47F8">
        <w:t xml:space="preserve">s suitable for </w:t>
      </w:r>
      <w:r w:rsidR="002D33C2" w:rsidRPr="00CA47F8">
        <w:t xml:space="preserve">turbulence, heat transfer, and reactions </w:t>
      </w:r>
      <w:r w:rsidR="00AF56DD" w:rsidRPr="00CA47F8">
        <w:t xml:space="preserve">widely applied </w:t>
      </w:r>
      <w:r w:rsidR="002D33C2" w:rsidRPr="00CA47F8">
        <w:t>for industrial applications.</w:t>
      </w:r>
      <w:bookmarkStart w:id="1" w:name="_Toc62125457"/>
      <w:r w:rsidR="002D33C2" w:rsidRPr="00CA47F8">
        <w:t xml:space="preserve"> </w:t>
      </w:r>
      <w:r w:rsidR="0033782F" w:rsidRPr="00CA47F8">
        <w:t>ANSYS</w:t>
      </w:r>
      <w:r w:rsidR="002D33C2" w:rsidRPr="00CA47F8">
        <w:t xml:space="preserve"> Fluent calculates the gas diffusion starting from the primitive Navier-Stokes equations. In contrast, alternative tools like PHAST are based on less expensive models </w:t>
      </w:r>
      <w:r w:rsidR="002D33C2" w:rsidRPr="00CA47F8">
        <w:fldChar w:fldCharType="begin" w:fldLock="1"/>
      </w:r>
      <w:r w:rsidR="006C6E0C" w:rsidRPr="00CA47F8">
        <w:instrText>ADDIN CSL_CITATION {"citationItems":[{"id":"ITEM-1","itemData":{"DOI":"10.1016/j.jlp.2004.06.003","ISSN":"09504230","abstract":"This study considered many wind tunnel experiments using isothermal heavy gas and cryogenic gas of the same specific gravity as LNG, and compared the results of time-averaged concentration with those of field experiments, such as' the Thorney Island Experiments (1987) and the China Lake Experiments (1987). The laboratory and field measurements agreed well, which suggests that a wind tunnel experiment can simulate important aspects of the diffusion of a cryogenic gas like LNG. These wind tunnel data were also compared with two well-known calculation models, DEGADIS and FEM3. We measured the fluctuation of concentrations for two cases with and without a building, and compared the standard deviation of concentration fluctuation with results calculated by our original numerical code of standard deviation (STD) model. The experimental and numerical results agreed well for unobstructed flows, but there were some discrepancies when a building was present. In addition to the comparison of the standard deviation of the concentration fluctuations, we compared the probability density function (PDF) produced by wind tunnel results with that predicted by a direct numerical simulation (DNS). © 2004 Elsevier Ltd. All rights reserved.","author":[{"dropping-particle":"","family":"Ohba","given":"R.","non-dropping-particle":"","parse-names":false,"suffix":""},{"dropping-particle":"","family":"Kouchi","given":"A.","non-dropping-particle":"","parse-names":false,"suffix":""},{"dropping-particle":"","family":"Hara","given":"T.","non-dropping-particle":"","parse-names":false,"suffix":""},{"dropping-particle":"","family":"Vieillard","given":"V.","non-dropping-particle":"","parse-names":false,"suffix":""},{"dropping-particle":"","family":"Nedelka","given":"D.","non-dropping-particle":"","parse-names":false,"suffix":""}],"container-title":"Journal of Loss Prevention in the Process Industries","id":"ITEM-1","issue":"5","issued":{"date-parts":[["2004"]]},"page":"325-337","title":"Validation of heavy and light gas dispersion models for the safety analysis of LNG tank","type":"article-journal","volume":"17"},"uris":["http://www.mendeley.com/documents/?uuid=4a9a2cb5-2b70-47f9-ba41-1811e14b0ef7","http://www.mendeley.com/documents/?uuid=0e3afb9a-5b41-46bd-9252-3cd877d8246d"]}],"mendeley":{"formattedCitation":"(Ohba et al., 2004)","plainTextFormattedCitation":"(Ohba et al., 2004)","previouslyFormattedCitation":"(Ohba et al., 2004)"},"properties":{"noteIndex":0},"schema":"https://github.com/citation-style-language/schema/raw/master/csl-citation.json"}</w:instrText>
      </w:r>
      <w:r w:rsidR="002D33C2" w:rsidRPr="00CA47F8">
        <w:fldChar w:fldCharType="separate"/>
      </w:r>
      <w:r w:rsidR="002D33C2" w:rsidRPr="00CA47F8">
        <w:rPr>
          <w:noProof/>
        </w:rPr>
        <w:t>(Ohba et al., 2004)</w:t>
      </w:r>
      <w:r w:rsidR="002D33C2" w:rsidRPr="00CA47F8">
        <w:fldChar w:fldCharType="end"/>
      </w:r>
      <w:r w:rsidR="002D33C2" w:rsidRPr="00CA47F8">
        <w:t xml:space="preserve"> and provide rapid outputs and indications of physical effects. Employing the ANSYS Fluent approach, it is possible to consider the presence of obstacles increasing the computational effort required. Both have been largely validated for jet flame scenarios </w:t>
      </w:r>
      <w:r w:rsidR="002D33C2" w:rsidRPr="00CA47F8">
        <w:fldChar w:fldCharType="begin" w:fldLock="1"/>
      </w:r>
      <w:r w:rsidR="006C6E0C" w:rsidRPr="00CA47F8">
        <w:instrText>ADDIN CSL_CITATION {"citationItems":[{"id":"ITEM-1","itemData":{"author":[{"dropping-particle":"","family":"Zhang, B., Chen","given":"G.M.","non-dropping-particle":"","parse-names":false,"suffix":""}],"container-title":"Int. Conf. Energy Environ.Technol.","id":"ITEM-1","issued":{"date-parts":[["2009"]]},"title":"Hydrogen sulfide dispersion consequences analysis indifferent wind speeds: a CFD based approach","type":"article-journal"},"uris":["http://www.mendeley.com/documents/?uuid=858f09a0-2741-4037-b825-3927b443c5a9","http://www.mendeley.com/documents/?uuid=75b829ce-d476-47d9-bf80-7f3bb81dc0c1","http://www.mendeley.com/documents/?uuid=2e15d02b-e461-469d-b7ee-d8a8c15f39a0"]}],"mendeley":{"formattedCitation":"(Zhang, B., Chen, 2009)","plainTextFormattedCitation":"(Zhang, B., Chen, 2009)","previouslyFormattedCitation":"(Zhang, B., Chen, 2009)"},"properties":{"noteIndex":0},"schema":"https://github.com/citation-style-language/schema/raw/master/csl-citation.json"}</w:instrText>
      </w:r>
      <w:r w:rsidR="002D33C2" w:rsidRPr="00CA47F8">
        <w:fldChar w:fldCharType="separate"/>
      </w:r>
      <w:r w:rsidR="002D33C2" w:rsidRPr="00CA47F8">
        <w:rPr>
          <w:noProof/>
        </w:rPr>
        <w:t>(Zhang, B., Chen, 2009)</w:t>
      </w:r>
      <w:r w:rsidR="002D33C2" w:rsidRPr="00CA47F8">
        <w:fldChar w:fldCharType="end"/>
      </w:r>
      <w:r w:rsidR="002D33C2" w:rsidRPr="00CA47F8">
        <w:t xml:space="preserve"> </w:t>
      </w:r>
      <w:r w:rsidR="002D33C2" w:rsidRPr="00CA47F8">
        <w:fldChar w:fldCharType="begin" w:fldLock="1"/>
      </w:r>
      <w:r w:rsidR="006C6E0C" w:rsidRPr="00CA47F8">
        <w:instrText>ADDIN CSL_CITATION {"citationItems":[{"id":"ITEM-1","itemData":{"author":[{"dropping-particle":"","family":"Witlox, H.W.M., Harper, M., Pitblado","given":"R.","non-dropping-particle":"","parse-names":false,"suffix":""}],"container-title":"12th Top. Conf. Gas Util. 2012 - Top.Conf. 2012 AIChE Spring Meet. 8th Glob. Congr. Process Saf., 31.","id":"ITEM-1","issued":{"date-parts":[["2012"]]},"title":"Validation of phast dispersion modelas required for USA LNG siting applications","type":"article-journal"},"uris":["http://www.mendeley.com/documents/?uuid=82e69ba9-2899-44fb-99d8-bd523d6c53fe","http://www.mendeley.com/documents/?uuid=0976a0c3-56e2-4b13-8dfe-ceff5799d4a7","http://www.mendeley.com/documents/?uuid=5be207fb-0d67-444f-a7c7-45a0de7855ad"]}],"mendeley":{"formattedCitation":"(Witlox, H.W.M., Harper, M., Pitblado, 2012)","plainTextFormattedCitation":"(Witlox, H.W.M., Harper, M., Pitblado, 2012)","previouslyFormattedCitation":"(Witlox, H.W.M., Harper, M., Pitblado, 2012)"},"properties":{"noteIndex":0},"schema":"https://github.com/citation-style-language/schema/raw/master/csl-citation.json"}</w:instrText>
      </w:r>
      <w:r w:rsidR="002D33C2" w:rsidRPr="00CA47F8">
        <w:fldChar w:fldCharType="separate"/>
      </w:r>
      <w:r w:rsidR="002D33C2" w:rsidRPr="00CA47F8">
        <w:rPr>
          <w:noProof/>
        </w:rPr>
        <w:t>(Witlox, H.W.M., Harper, M., Pitblado, 2012)</w:t>
      </w:r>
      <w:r w:rsidR="002D33C2" w:rsidRPr="00CA47F8">
        <w:fldChar w:fldCharType="end"/>
      </w:r>
      <w:r w:rsidR="002D33C2" w:rsidRPr="00CA47F8">
        <w:t>.</w:t>
      </w:r>
      <w:bookmarkEnd w:id="1"/>
    </w:p>
    <w:p w14:paraId="7E81C71C" w14:textId="1A4A76BE" w:rsidR="00353260" w:rsidRPr="00CA47F8" w:rsidRDefault="00353260" w:rsidP="0005532D">
      <w:pPr>
        <w:pStyle w:val="CETBodytext"/>
      </w:pPr>
      <w:r w:rsidRPr="00CA47F8">
        <w:t xml:space="preserve">For these reasons, this work presents a numerical investigation aiming </w:t>
      </w:r>
      <w:r w:rsidR="00683D4D" w:rsidRPr="00CA47F8">
        <w:t xml:space="preserve">to </w:t>
      </w:r>
      <w:r w:rsidR="00867474" w:rsidRPr="00CA47F8">
        <w:t>characterize</w:t>
      </w:r>
      <w:r w:rsidRPr="00CA47F8">
        <w:t xml:space="preserve"> </w:t>
      </w:r>
      <w:r w:rsidR="00FF3D07" w:rsidRPr="00CA47F8">
        <w:t>jet fire</w:t>
      </w:r>
      <w:r w:rsidRPr="00CA47F8">
        <w:t xml:space="preserve"> resulting from an accidental release of hydrogen-methane mixtures at different initial pressures and composition</w:t>
      </w:r>
      <w:r w:rsidR="004767E2" w:rsidRPr="00CA47F8">
        <w:t>s</w:t>
      </w:r>
      <w:r w:rsidRPr="00CA47F8">
        <w:t xml:space="preserve">. </w:t>
      </w:r>
    </w:p>
    <w:p w14:paraId="140CFF97" w14:textId="5A2EC919" w:rsidR="000B220C" w:rsidRPr="00CA47F8" w:rsidRDefault="000B220C" w:rsidP="000B220C">
      <w:pPr>
        <w:pStyle w:val="CETHeading1"/>
        <w:rPr>
          <w:lang w:val="en-GB"/>
        </w:rPr>
      </w:pPr>
      <w:r w:rsidRPr="00CA47F8">
        <w:rPr>
          <w:lang w:val="en-GB"/>
        </w:rPr>
        <w:lastRenderedPageBreak/>
        <w:t>Methodology</w:t>
      </w:r>
    </w:p>
    <w:p w14:paraId="60344E47" w14:textId="79503D8E" w:rsidR="000B220C" w:rsidRPr="00CA47F8" w:rsidRDefault="00651752" w:rsidP="0005532D">
      <w:pPr>
        <w:pStyle w:val="CETBodytext"/>
      </w:pPr>
      <w:r w:rsidRPr="00CA47F8">
        <w:t xml:space="preserve">This work presents a comparison of different numerical approaches suitable for the characterization of </w:t>
      </w:r>
      <w:r w:rsidR="00FF3D07" w:rsidRPr="00CA47F8">
        <w:t>jet fire</w:t>
      </w:r>
      <w:r w:rsidRPr="00CA47F8">
        <w:t xml:space="preserve"> of hydrogen</w:t>
      </w:r>
      <w:r w:rsidR="00C36C65" w:rsidRPr="00CA47F8">
        <w:t>-</w:t>
      </w:r>
      <w:r w:rsidR="00933247" w:rsidRPr="00CA47F8">
        <w:t>containing mixtures. More specifically, pure hydrogen and its mixtures containing 5 %vol, 10 %vol, and 20 %vol in methane were investigated</w:t>
      </w:r>
      <w:r w:rsidRPr="00CA47F8">
        <w:t>.</w:t>
      </w:r>
      <w:r w:rsidR="00976AD9" w:rsidRPr="00CA47F8">
        <w:t xml:space="preserve"> </w:t>
      </w:r>
      <w:r w:rsidR="00933247" w:rsidRPr="00CA47F8">
        <w:t>Pure methane was also considered for the sake of comparison. Regardless of the initial composition, t</w:t>
      </w:r>
      <w:r w:rsidRPr="00CA47F8">
        <w:t xml:space="preserve">he </w:t>
      </w:r>
      <w:r w:rsidR="00976AD9" w:rsidRPr="00CA47F8">
        <w:t xml:space="preserve">evaluation of the </w:t>
      </w:r>
      <w:r w:rsidRPr="00CA47F8">
        <w:t xml:space="preserve">releasing </w:t>
      </w:r>
      <w:r w:rsidR="008D1499" w:rsidRPr="00CA47F8">
        <w:t>flowrate</w:t>
      </w:r>
      <w:r w:rsidR="00976AD9" w:rsidRPr="00CA47F8">
        <w:t xml:space="preserve"> was conducted</w:t>
      </w:r>
      <w:r w:rsidRPr="00CA47F8">
        <w:t xml:space="preserve"> </w:t>
      </w:r>
      <w:r w:rsidR="007A1423" w:rsidRPr="00CA47F8">
        <w:t>assuming</w:t>
      </w:r>
      <w:r w:rsidRPr="00CA47F8">
        <w:t xml:space="preserve"> ambient temperature (i.e., 15 °C) and pressure of 100 bar </w:t>
      </w:r>
      <w:r w:rsidR="007A1423" w:rsidRPr="00CA47F8">
        <w:t xml:space="preserve">as storage conditions </w:t>
      </w:r>
      <w:r w:rsidRPr="00CA47F8">
        <w:t>an</w:t>
      </w:r>
      <w:r w:rsidR="007A1423" w:rsidRPr="00CA47F8">
        <w:t>d an</w:t>
      </w:r>
      <w:r w:rsidRPr="00CA47F8">
        <w:t xml:space="preserve"> orifice diameter of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0D3CEB" w:rsidRPr="00CA47F8">
        <w:t xml:space="preserve">= </w:t>
      </w:r>
      <w:r w:rsidR="001F0E7D" w:rsidRPr="00CA47F8">
        <w:t>5</w:t>
      </w:r>
      <w:r w:rsidRPr="00CA47F8">
        <w:t xml:space="preserve"> mm</w:t>
      </w:r>
      <w:r w:rsidR="007A1423" w:rsidRPr="00CA47F8">
        <w:t>.</w:t>
      </w:r>
    </w:p>
    <w:p w14:paraId="4255DA39" w14:textId="1C7C19C6" w:rsidR="000D3CEB" w:rsidRPr="00CA47F8" w:rsidRDefault="008D1499" w:rsidP="00970572">
      <w:pPr>
        <w:pStyle w:val="CETBodytext"/>
        <w:tabs>
          <w:tab w:val="clear" w:pos="7100"/>
          <w:tab w:val="right" w:pos="8505"/>
        </w:tabs>
        <w:rPr>
          <w:rFonts w:eastAsiaTheme="minorEastAsia"/>
        </w:rPr>
      </w:pPr>
      <w:r w:rsidRPr="00CA47F8">
        <w:t xml:space="preserve">Considering the operative conditions, a sonic regime was assumed, </w:t>
      </w:r>
      <w:r w:rsidR="00C36C65" w:rsidRPr="00CA47F8">
        <w:t>following</w:t>
      </w:r>
      <w:r w:rsidRPr="00CA47F8">
        <w:t xml:space="preserve"> the definition reported by </w:t>
      </w:r>
      <w:r w:rsidRPr="00CA47F8">
        <w:rPr>
          <w:noProof/>
        </w:rPr>
        <w:t>Ishii et al.</w:t>
      </w:r>
      <w:r w:rsidRPr="00CA47F8">
        <w:t xml:space="preserve"> </w:t>
      </w:r>
      <w:r w:rsidR="00970572" w:rsidRPr="00CA47F8">
        <w:fldChar w:fldCharType="begin" w:fldLock="1"/>
      </w:r>
      <w:r w:rsidR="006A508A" w:rsidRPr="00CA47F8">
        <w:instrText>ADDIN CSL_CITATION {"citationItems":[{"id":"ITEM-1","itemData":{"DOI":"https://doi.org/10.1017/S0022112099005303","author":[{"dropping-particle":"","family":"Ishii","given":"R","non-dropping-particle":"","parse-names":false,"suffix":""},{"dropping-particle":"","family":"Fujimoto","given":"H","non-dropping-particle":"","parse-names":false,"suffix":""},{"dropping-particle":"","family":"Hatta","given":"N","non-dropping-particle":"","parse-names":false,"suffix":""},{"dropping-particle":"","family":"Umeda","given":"Y","non-dropping-particle":"","parse-names":false,"suffix":""}],"container-title":"Journal of Fluid Mechanics","id":"ITEM-1","issued":{"date-parts":[["1999"]]},"page":"129-153","title":"Experimental and numerical analysis of circular pulse jets","type":"article-journal","volume":"392"},"uris":["http://www.mendeley.com/documents/?uuid=9147243b-e985-4084-b158-26dbe18f116d"]}],"mendeley":{"formattedCitation":"(Ishii et al., 1999)","plainTextFormattedCitation":"(Ishii et al., 1999)","previouslyFormattedCitation":"(Ishii et al., 1999)"},"properties":{"noteIndex":0},"schema":"https://github.com/citation-style-language/schema/raw/master/csl-citation.json"}</w:instrText>
      </w:r>
      <w:r w:rsidR="00970572" w:rsidRPr="00CA47F8">
        <w:fldChar w:fldCharType="separate"/>
      </w:r>
      <w:r w:rsidR="002D33C2" w:rsidRPr="00CA47F8">
        <w:rPr>
          <w:noProof/>
        </w:rPr>
        <w:t>(Ishii et al., 1999)</w:t>
      </w:r>
      <w:r w:rsidR="00970572" w:rsidRPr="00CA47F8">
        <w:fldChar w:fldCharType="end"/>
      </w:r>
      <w:r w:rsidR="00970572" w:rsidRPr="00CA47F8">
        <w:t xml:space="preserve">. </w:t>
      </w:r>
      <w:r w:rsidR="00976AD9" w:rsidRPr="00CA47F8">
        <w:t xml:space="preserve">Hence, </w:t>
      </w:r>
      <w:r w:rsidR="007A1423" w:rsidRPr="00CA47F8">
        <w:t>the i</w:t>
      </w:r>
      <w:r w:rsidR="00976AD9" w:rsidRPr="00CA47F8">
        <w:rPr>
          <w:rFonts w:eastAsiaTheme="minorEastAsia"/>
        </w:rPr>
        <w:t>sothermal turbulent choked gas steady jet theory</w:t>
      </w:r>
      <w:r w:rsidR="000D3CEB" w:rsidRPr="00CA47F8">
        <w:t xml:space="preserve"> </w:t>
      </w:r>
      <w:r w:rsidR="00FB2504" w:rsidRPr="00CA47F8">
        <w:rPr>
          <w:rFonts w:eastAsiaTheme="minorEastAsia"/>
        </w:rPr>
        <w:t xml:space="preserve">was applied </w:t>
      </w:r>
      <w:r w:rsidR="00FB2504" w:rsidRPr="00CA47F8">
        <w:rPr>
          <w:rFonts w:eastAsiaTheme="minorEastAsia"/>
        </w:rPr>
        <w:fldChar w:fldCharType="begin" w:fldLock="1"/>
      </w:r>
      <w:r w:rsidR="006C6E0C" w:rsidRPr="00CA47F8">
        <w:rPr>
          <w:rFonts w:eastAsiaTheme="minorEastAsia"/>
        </w:rPr>
        <w:instrText>ADDIN CSL_CITATION {"citationItems":[{"id":"ITEM-1","itemData":{"abstract":", .","author":[{"dropping-particle":"","family":"Hess","given":"K","non-dropping-particle":"","parse-names":false,"suffix":""},{"dropping-particle":"","family":"Leuckel","given":"W","non-dropping-particle":"","parse-names":false,"suffix":""},{"dropping-particle":"","family":"Stoeckel","given":"A","non-dropping-particle":"","parse-names":false,"suffix":""}],"container-title":"Chem. Ing. Tech","id":"ITEM-1","issued":{"date-parts":[["1973"]]},"page":"5323-5329","title":"Ausbildung von Explosiblen Gaswolken bei Uberdachentspannung und MaBnahmen zu deren Vermeidung","type":"article-journal","volume":"45"},"uris":["http://www.mendeley.com/documents/?uuid=21fb07ec-dedc-4da5-b533-bb440209df47","http://www.mendeley.com/documents/?uuid=85a6523e-4968-4963-b985-e2d3ce161355"]}],"mendeley":{"formattedCitation":"(Hess et al., 1973)","plainTextFormattedCitation":"(Hess et al., 1973)","previouslyFormattedCitation":"(Hess et al., 1973)"},"properties":{"noteIndex":0},"schema":"https://github.com/citation-style-language/schema/raw/master/csl-citation.json"}</w:instrText>
      </w:r>
      <w:r w:rsidR="00FB2504" w:rsidRPr="00CA47F8">
        <w:rPr>
          <w:rFonts w:eastAsiaTheme="minorEastAsia"/>
        </w:rPr>
        <w:fldChar w:fldCharType="separate"/>
      </w:r>
      <w:r w:rsidR="002D33C2" w:rsidRPr="00CA47F8">
        <w:rPr>
          <w:rFonts w:eastAsiaTheme="minorEastAsia"/>
          <w:noProof/>
        </w:rPr>
        <w:t>(Hess et al., 1973)</w:t>
      </w:r>
      <w:r w:rsidR="00FB2504" w:rsidRPr="00CA47F8">
        <w:rPr>
          <w:rFonts w:eastAsiaTheme="minorEastAsia"/>
        </w:rPr>
        <w:fldChar w:fldCharType="end"/>
      </w:r>
      <w:r w:rsidR="000D3CEB" w:rsidRPr="00CA47F8">
        <w:rPr>
          <w:rFonts w:eastAsiaTheme="minorEastAsia"/>
        </w:rPr>
        <w:t xml:space="preserve"> for the calculation of the releasing flowrate (</w:t>
      </w:r>
      <m:oMath>
        <m:acc>
          <m:accPr>
            <m:chr m:val="̇"/>
            <m:ctrlPr>
              <w:rPr>
                <w:rFonts w:ascii="Cambria Math" w:hAnsi="Cambria Math"/>
                <w:i/>
                <w:color w:val="000000"/>
                <w:lang w:eastAsia="it-IT"/>
              </w:rPr>
            </m:ctrlPr>
          </m:accPr>
          <m:e>
            <m:r>
              <w:rPr>
                <w:rFonts w:ascii="Cambria Math" w:hAnsi="Cambria Math"/>
                <w:color w:val="000000"/>
                <w:lang w:eastAsia="it-IT"/>
              </w:rPr>
              <m:t>m</m:t>
            </m:r>
          </m:e>
        </m:acc>
      </m:oMath>
      <w:r w:rsidR="000D3CEB" w:rsidRPr="00CA47F8">
        <w:rPr>
          <w:rFonts w:eastAsiaTheme="minorEastAsia"/>
        </w:rPr>
        <w:t>)</w:t>
      </w:r>
      <w:r w:rsidR="00C14D88" w:rsidRPr="00CA47F8">
        <w:rPr>
          <w:rFonts w:eastAsiaTheme="minorEastAsia"/>
        </w:rPr>
        <w:t xml:space="preserve"> and to evaluate the fluid dynamic data at the outlet</w:t>
      </w:r>
      <w:r w:rsidR="0030441C" w:rsidRPr="00CA47F8">
        <w:rPr>
          <w:rFonts w:eastAsiaTheme="minorEastAsia"/>
        </w:rPr>
        <w:t xml:space="preserve"> section</w:t>
      </w:r>
      <w:r w:rsidR="000D3CEB" w:rsidRPr="00CA47F8">
        <w:rPr>
          <w:rFonts w:eastAsiaTheme="minorEastAsia"/>
        </w:rPr>
        <w:t>.</w:t>
      </w:r>
      <w:r w:rsidR="00970572" w:rsidRPr="00CA47F8">
        <w:rPr>
          <w:rFonts w:eastAsiaTheme="minorEastAsia"/>
        </w:rPr>
        <w:t xml:space="preserve"> </w:t>
      </w:r>
    </w:p>
    <w:p w14:paraId="52F60360" w14:textId="14A32678" w:rsidR="000D3CEB" w:rsidRPr="00CA47F8" w:rsidRDefault="005127C5" w:rsidP="003334AB">
      <w:pPr>
        <w:pStyle w:val="CETBodytext"/>
        <w:tabs>
          <w:tab w:val="clear" w:pos="7100"/>
          <w:tab w:val="right" w:pos="8787"/>
        </w:tabs>
        <w:spacing w:before="120" w:after="120"/>
        <w:rPr>
          <w:rFonts w:eastAsiaTheme="minorEastAsia"/>
        </w:rPr>
      </w:pPr>
      <m:oMath>
        <m:acc>
          <m:accPr>
            <m:chr m:val="̇"/>
            <m:ctrlPr>
              <w:rPr>
                <w:rFonts w:ascii="Cambria Math" w:hAnsi="Cambria Math"/>
                <w:i/>
                <w:color w:val="000000"/>
                <w:lang w:eastAsia="it-IT"/>
              </w:rPr>
            </m:ctrlPr>
          </m:accPr>
          <m:e>
            <m:r>
              <w:rPr>
                <w:rFonts w:ascii="Cambria Math" w:hAnsi="Cambria Math"/>
                <w:color w:val="000000"/>
                <w:lang w:eastAsia="it-IT"/>
              </w:rPr>
              <m:t>m</m:t>
            </m:r>
          </m:e>
        </m:acc>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e</m:t>
            </m:r>
          </m:sub>
        </m:sSub>
        <m:r>
          <w:rPr>
            <w:rFonts w:ascii="Cambria Math" w:hAnsi="Cambria Math"/>
          </w:rPr>
          <m:t>∙π∙</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num>
                  <m:den>
                    <m:r>
                      <w:rPr>
                        <w:rFonts w:ascii="Cambria Math" w:hAnsi="Cambria Math"/>
                      </w:rPr>
                      <m:t>2</m:t>
                    </m:r>
                  </m:den>
                </m:f>
              </m:e>
            </m:d>
          </m:e>
          <m:sup>
            <m:r>
              <w:rPr>
                <w:rFonts w:ascii="Cambria Math" w:hAnsi="Cambria Math"/>
              </w:rPr>
              <m:t>2</m:t>
            </m:r>
          </m:sup>
        </m:sSup>
        <m:r>
          <w:rPr>
            <w:rFonts w:ascii="Cambria Math" w:hAnsi="Cambria Math"/>
          </w:rPr>
          <m:t>∙</m:t>
        </m:r>
        <m:rad>
          <m:radPr>
            <m:degHide m:val="1"/>
            <m:ctrlPr>
              <w:rPr>
                <w:rFonts w:ascii="Cambria Math" w:hAnsi="Cambria Math"/>
                <w:i/>
              </w:rPr>
            </m:ctrlPr>
          </m:radPr>
          <m:deg/>
          <m:e>
            <m:d>
              <m:dPr>
                <m:ctrlPr>
                  <w:rPr>
                    <w:rFonts w:ascii="Cambria Math" w:hAnsi="Cambria Math"/>
                    <w:i/>
                  </w:rPr>
                </m:ctrlPr>
              </m:dPr>
              <m:e>
                <m:f>
                  <m:fPr>
                    <m:ctrlPr>
                      <w:rPr>
                        <w:rFonts w:ascii="Cambria Math" w:hAnsi="Cambria Math"/>
                        <w:i/>
                      </w:rPr>
                    </m:ctrlPr>
                  </m:fPr>
                  <m:num>
                    <m:r>
                      <w:rPr>
                        <w:rFonts w:ascii="Cambria Math" w:hAnsi="Cambria Math"/>
                      </w:rPr>
                      <m:t>2∙γ</m:t>
                    </m:r>
                  </m:num>
                  <m:den>
                    <m:r>
                      <w:rPr>
                        <w:rFonts w:ascii="Cambria Math" w:hAnsi="Cambria Math"/>
                      </w:rPr>
                      <m:t>γ+1</m:t>
                    </m:r>
                  </m:den>
                </m:f>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0</m:t>
                    </m:r>
                  </m:sub>
                </m:sSub>
              </m:e>
            </m:d>
          </m:e>
        </m:rad>
      </m:oMath>
      <w:r w:rsidR="000D3CEB" w:rsidRPr="00CA47F8">
        <w:tab/>
        <w:t>(1)</w:t>
      </w:r>
    </w:p>
    <w:p w14:paraId="1157E8F4" w14:textId="32F4A050" w:rsidR="003A5C8F" w:rsidRPr="00CA47F8" w:rsidRDefault="000D3CEB" w:rsidP="006D6130">
      <w:pPr>
        <w:pStyle w:val="CETBodytext"/>
      </w:pPr>
      <w:r w:rsidRPr="00CA47F8">
        <w:rPr>
          <w:rFonts w:eastAsiaTheme="minorEastAsia"/>
        </w:rPr>
        <w:t>where</w:t>
      </w:r>
      <w:r w:rsidR="00AD12FF" w:rsidRPr="00CA47F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e</m:t>
            </m:r>
          </m:sub>
        </m:sSub>
      </m:oMath>
      <w:r w:rsidR="00AD12FF" w:rsidRPr="00CA47F8">
        <w:rPr>
          <w:rFonts w:eastAsiaTheme="minorEastAsia"/>
        </w:rPr>
        <w:t>,</w:t>
      </w:r>
      <w:r w:rsidRPr="00CA47F8">
        <w:rPr>
          <w:rFonts w:eastAsiaTheme="minorEastAsia"/>
        </w:rPr>
        <w:t xml:space="preserve"> </w:t>
      </w:r>
      <m:oMath>
        <m:r>
          <w:rPr>
            <w:rFonts w:ascii="Cambria Math" w:eastAsiaTheme="minorEastAsia" w:hAnsi="Cambria Math"/>
          </w:rPr>
          <m:t>γ</m:t>
        </m:r>
      </m:oMath>
      <w:r w:rsidRPr="00CA47F8">
        <w:rPr>
          <w:rFonts w:eastAsiaTheme="minorEastAsia"/>
        </w:rPr>
        <w:t xml:space="preserve">, </w:t>
      </w:r>
      <w:r w:rsidR="00AD12FF" w:rsidRPr="00CA47F8">
        <w:rPr>
          <w:rFonts w:eastAsiaTheme="minorEastAsia"/>
        </w:rPr>
        <w:t>R</w:t>
      </w:r>
      <w:r w:rsidRPr="00CA47F8">
        <w:rPr>
          <w:rFonts w:eastAsiaTheme="minorEastAsia"/>
        </w:rPr>
        <w:t xml:space="preserve">, </w:t>
      </w:r>
      <w:r w:rsidR="00AD12FF" w:rsidRPr="00CA47F8">
        <w:rPr>
          <w:rFonts w:eastAsiaTheme="minorEastAsia"/>
        </w:rPr>
        <w:t xml:space="preserve">and </w:t>
      </w:r>
      <w:r w:rsidRPr="00CA47F8">
        <w:rPr>
          <w:rFonts w:eastAsiaTheme="minorEastAsia"/>
        </w:rPr>
        <w:t>T</w:t>
      </w:r>
      <w:r w:rsidR="00AD12FF" w:rsidRPr="00CA47F8">
        <w:rPr>
          <w:rFonts w:eastAsiaTheme="minorEastAsia"/>
          <w:vertAlign w:val="subscript"/>
        </w:rPr>
        <w:t>0</w:t>
      </w:r>
      <w:r w:rsidR="00AD12FF" w:rsidRPr="00CA47F8">
        <w:rPr>
          <w:rFonts w:eastAsiaTheme="minorEastAsia"/>
        </w:rPr>
        <w:t xml:space="preserve"> </w:t>
      </w:r>
      <w:r w:rsidRPr="00CA47F8">
        <w:rPr>
          <w:rFonts w:eastAsiaTheme="minorEastAsia"/>
        </w:rPr>
        <w:t>are</w:t>
      </w:r>
      <w:r w:rsidR="00F862B8" w:rsidRPr="00CA47F8">
        <w:rPr>
          <w:rFonts w:eastAsiaTheme="minorEastAsia"/>
        </w:rPr>
        <w:t xml:space="preserve"> respectively</w:t>
      </w:r>
      <w:r w:rsidRPr="00CA47F8">
        <w:rPr>
          <w:rFonts w:eastAsiaTheme="minorEastAsia"/>
        </w:rPr>
        <w:t xml:space="preserve"> the </w:t>
      </w:r>
      <w:r w:rsidR="00F862B8" w:rsidRPr="00CA47F8">
        <w:rPr>
          <w:rFonts w:eastAsiaTheme="minorEastAsia"/>
        </w:rPr>
        <w:t xml:space="preserve">gaseous </w:t>
      </w:r>
      <w:r w:rsidR="00AD12FF" w:rsidRPr="00CA47F8">
        <w:rPr>
          <w:rFonts w:eastAsiaTheme="minorEastAsia"/>
        </w:rPr>
        <w:t>density</w:t>
      </w:r>
      <w:r w:rsidR="00F862B8" w:rsidRPr="00CA47F8">
        <w:rPr>
          <w:rFonts w:eastAsiaTheme="minorEastAsia"/>
        </w:rPr>
        <w:t>,</w:t>
      </w:r>
      <w:r w:rsidR="00AD12FF" w:rsidRPr="00CA47F8">
        <w:rPr>
          <w:rFonts w:eastAsiaTheme="minorEastAsia"/>
        </w:rPr>
        <w:t xml:space="preserve"> </w:t>
      </w:r>
      <w:r w:rsidRPr="00CA47F8">
        <w:rPr>
          <w:rFonts w:eastAsiaTheme="minorEastAsia"/>
        </w:rPr>
        <w:t xml:space="preserve">specific heat ratio, </w:t>
      </w:r>
      <w:r w:rsidR="00AD12FF" w:rsidRPr="00CA47F8">
        <w:rPr>
          <w:rFonts w:eastAsiaTheme="minorEastAsia"/>
        </w:rPr>
        <w:t>ideal gas constant</w:t>
      </w:r>
      <w:r w:rsidRPr="00CA47F8">
        <w:rPr>
          <w:rFonts w:eastAsiaTheme="minorEastAsia"/>
        </w:rPr>
        <w:t xml:space="preserve">, </w:t>
      </w:r>
      <w:r w:rsidR="00F862B8" w:rsidRPr="00CA47F8">
        <w:rPr>
          <w:rFonts w:eastAsiaTheme="minorEastAsia"/>
        </w:rPr>
        <w:t xml:space="preserve">and initial </w:t>
      </w:r>
      <w:r w:rsidRPr="00CA47F8">
        <w:rPr>
          <w:rFonts w:eastAsiaTheme="minorEastAsia"/>
        </w:rPr>
        <w:t>temperature</w:t>
      </w:r>
      <w:r w:rsidR="00F862B8" w:rsidRPr="00CA47F8">
        <w:rPr>
          <w:rFonts w:eastAsiaTheme="minorEastAsia"/>
        </w:rPr>
        <w:t>.</w:t>
      </w:r>
      <w:r w:rsidRPr="00CA47F8">
        <w:rPr>
          <w:rFonts w:eastAsiaTheme="minorEastAsia"/>
        </w:rPr>
        <w:t xml:space="preserve"> </w:t>
      </w:r>
      <w:r w:rsidR="00F862B8" w:rsidRPr="00CA47F8">
        <w:rPr>
          <w:rFonts w:eastAsiaTheme="minorEastAsia"/>
        </w:rPr>
        <w:t xml:space="preserve">Additional information on the adopted theory can be found elsewhere in the literature </w:t>
      </w:r>
      <w:r w:rsidR="006A508A" w:rsidRPr="00CA47F8">
        <w:rPr>
          <w:rFonts w:eastAsiaTheme="minorEastAsia"/>
        </w:rPr>
        <w:fldChar w:fldCharType="begin" w:fldLock="1"/>
      </w:r>
      <w:r w:rsidR="006A508A" w:rsidRPr="00CA47F8">
        <w:rPr>
          <w:rFonts w:eastAsiaTheme="minorEastAsia"/>
        </w:rPr>
        <w:instrText>ADDIN CSL_CITATION {"citationItems":[{"id":"ITEM-1","itemData":{"DOI":"10.1016/b978-0-08-101228-4.00007-1","author":[{"dropping-particle":"","family":"Benintendi","given":"Renato","non-dropping-particle":"","parse-names":false,"suffix":""}],"container-title":"Process Safety Calculations","id":"ITEM-1","issued":{"date-parts":[["2018"]]},"title":"Source Models","type":"chapter"},"uris":["http://www.mendeley.com/documents/?uuid=47edbaec-5635-463e-8a92-ed915bb38b46"]}],"mendeley":{"formattedCitation":"(Benintendi, 2018)","plainTextFormattedCitation":"(Benintendi, 2018)","previouslyFormattedCitation":"(Benintendi, 2018)"},"properties":{"noteIndex":0},"schema":"https://github.com/citation-style-language/schema/raw/master/csl-citation.json"}</w:instrText>
      </w:r>
      <w:r w:rsidR="006A508A" w:rsidRPr="00CA47F8">
        <w:rPr>
          <w:rFonts w:eastAsiaTheme="minorEastAsia"/>
        </w:rPr>
        <w:fldChar w:fldCharType="separate"/>
      </w:r>
      <w:r w:rsidR="006A508A" w:rsidRPr="00CA47F8">
        <w:rPr>
          <w:rFonts w:eastAsiaTheme="minorEastAsia"/>
          <w:noProof/>
        </w:rPr>
        <w:t>(Benintendi, 2018)</w:t>
      </w:r>
      <w:r w:rsidR="006A508A" w:rsidRPr="00CA47F8">
        <w:rPr>
          <w:rFonts w:eastAsiaTheme="minorEastAsia"/>
        </w:rPr>
        <w:fldChar w:fldCharType="end"/>
      </w:r>
      <w:r w:rsidR="00F862B8" w:rsidRPr="00CA47F8">
        <w:rPr>
          <w:rFonts w:eastAsiaTheme="minorEastAsia"/>
        </w:rPr>
        <w:t>.</w:t>
      </w:r>
      <w:r w:rsidR="00E97929" w:rsidRPr="00CA47F8">
        <w:rPr>
          <w:rFonts w:eastAsiaTheme="minorEastAsia"/>
        </w:rPr>
        <w:t xml:space="preserve"> </w:t>
      </w:r>
      <w:r w:rsidR="00F318C1" w:rsidRPr="00CA47F8">
        <w:t xml:space="preserve">Once the releasing flowrate was assessed, it was used as </w:t>
      </w:r>
      <w:r w:rsidR="00C36C65" w:rsidRPr="00CA47F8">
        <w:t xml:space="preserve">a </w:t>
      </w:r>
      <w:r w:rsidR="00F318C1" w:rsidRPr="00CA47F8">
        <w:t>boundary condition for the numerical investigation</w:t>
      </w:r>
      <w:r w:rsidR="007123CA" w:rsidRPr="00CA47F8">
        <w:t xml:space="preserve">: </w:t>
      </w:r>
      <m:oMath>
        <m:acc>
          <m:accPr>
            <m:chr m:val="̇"/>
            <m:ctrlPr>
              <w:rPr>
                <w:rFonts w:ascii="Cambria Math" w:hAnsi="Cambria Math"/>
                <w:i/>
                <w:color w:val="000000"/>
                <w:lang w:eastAsia="it-IT"/>
              </w:rPr>
            </m:ctrlPr>
          </m:accPr>
          <m:e>
            <m:r>
              <w:rPr>
                <w:rFonts w:ascii="Cambria Math" w:hAnsi="Cambria Math"/>
                <w:color w:val="000000"/>
                <w:lang w:eastAsia="it-IT"/>
              </w:rPr>
              <m:t>m</m:t>
            </m:r>
          </m:e>
        </m:acc>
        <m:r>
          <w:rPr>
            <w:rFonts w:ascii="Cambria Math" w:hAnsi="Cambria Math"/>
            <w:color w:val="000000"/>
            <w:lang w:eastAsia="it-IT"/>
          </w:rPr>
          <m:t>=</m:t>
        </m:r>
        <m:sSub>
          <m:sSubPr>
            <m:ctrlPr>
              <w:rPr>
                <w:rFonts w:ascii="Cambria Math" w:hAnsi="Cambria Math"/>
                <w:i/>
                <w:color w:val="000000"/>
                <w:lang w:eastAsia="it-IT"/>
              </w:rPr>
            </m:ctrlPr>
          </m:sSubPr>
          <m:e>
            <m:acc>
              <m:accPr>
                <m:chr m:val="̇"/>
                <m:ctrlPr>
                  <w:rPr>
                    <w:rFonts w:ascii="Cambria Math" w:hAnsi="Cambria Math"/>
                    <w:i/>
                    <w:color w:val="000000"/>
                    <w:lang w:eastAsia="it-IT"/>
                  </w:rPr>
                </m:ctrlPr>
              </m:accPr>
              <m:e>
                <m:r>
                  <w:rPr>
                    <w:rFonts w:ascii="Cambria Math" w:hAnsi="Cambria Math"/>
                    <w:color w:val="000000"/>
                    <w:lang w:eastAsia="it-IT"/>
                  </w:rPr>
                  <m:t>m</m:t>
                </m:r>
              </m:e>
            </m:acc>
          </m:e>
          <m:sub>
            <m:r>
              <w:rPr>
                <w:rFonts w:ascii="Cambria Math" w:hAnsi="Cambria Math"/>
                <w:color w:val="000000"/>
                <w:lang w:eastAsia="it-IT"/>
              </w:rPr>
              <m:t>ANSYS</m:t>
            </m:r>
          </m:sub>
        </m:sSub>
      </m:oMath>
      <w:r w:rsidR="007123CA" w:rsidRPr="00CA47F8">
        <w:t xml:space="preserve"> </w:t>
      </w:r>
      <w:r w:rsidR="00F318C1" w:rsidRPr="00CA47F8">
        <w:t xml:space="preserve">. </w:t>
      </w:r>
      <w:r w:rsidR="00070A29" w:rsidRPr="00CA47F8">
        <w:t>For the CFD case, a numerical domain of 12 m x 5.5 m was defined to avoid significant truncation errors on flame reproduction. The domain was divided in</w:t>
      </w:r>
      <w:r w:rsidR="00C36C65" w:rsidRPr="00CA47F8">
        <w:t>to</w:t>
      </w:r>
      <w:r w:rsidR="00070A29" w:rsidRPr="00CA47F8">
        <w:t xml:space="preserve"> different regions to optimize the cell size in the proximity of the release, i.e., where high-speed flows are expected and CPU time requirements. </w:t>
      </w:r>
      <w:r w:rsidR="00683D4D" w:rsidRPr="00CA47F8">
        <w:t>A grid sensitivity analysis determined the number and the size of the cell</w:t>
      </w:r>
      <w:r w:rsidR="006D6130" w:rsidRPr="00CA47F8">
        <w:t>.</w:t>
      </w:r>
      <w:r w:rsidR="00070A29" w:rsidRPr="00CA47F8">
        <w:t xml:space="preserve"> </w:t>
      </w:r>
      <w:r w:rsidR="00090418" w:rsidRPr="00CA47F8">
        <w:t>SST k-omega model was employed. The kinetic was modelled by using the rate coefficients provided by the built-in database for volumetric rate. The turbulence</w:t>
      </w:r>
      <w:r w:rsidR="00C36C65" w:rsidRPr="00CA47F8">
        <w:t>-</w:t>
      </w:r>
      <w:r w:rsidR="00090418" w:rsidRPr="00CA47F8">
        <w:t>chemistry interactions were related by fini</w:t>
      </w:r>
      <w:r w:rsidR="00DA7AC0" w:rsidRPr="00CA47F8">
        <w:t>t</w:t>
      </w:r>
      <w:r w:rsidR="00090418" w:rsidRPr="00CA47F8">
        <w:t>e rate</w:t>
      </w:r>
      <w:r w:rsidR="00683D4D" w:rsidRPr="00CA47F8">
        <w:t>–</w:t>
      </w:r>
      <w:r w:rsidR="00090418" w:rsidRPr="00CA47F8">
        <w:t>eddy dissipation.</w:t>
      </w:r>
    </w:p>
    <w:p w14:paraId="476EF75C" w14:textId="3B1DB7B8" w:rsidR="004876C5" w:rsidRPr="00CA47F8" w:rsidRDefault="0030441C" w:rsidP="00EF3B8B">
      <w:pPr>
        <w:pStyle w:val="CETBodytext"/>
        <w:rPr>
          <w:rFonts w:ascii="Times New Roman"/>
        </w:rPr>
      </w:pPr>
      <w:r w:rsidRPr="00CA47F8">
        <w:t>According to the reference guide provided by</w:t>
      </w:r>
      <w:r w:rsidR="00BA0FC9" w:rsidRPr="00CA47F8">
        <w:t xml:space="preserve"> PHAST, the unimpeded flow through an orifice can be assessed as a reversible adiabatic expansion (isentropic</w:t>
      </w:r>
      <w:r w:rsidR="004876C5" w:rsidRPr="00CA47F8">
        <w:t>)</w:t>
      </w:r>
      <w:r w:rsidR="00BA0FC9" w:rsidRPr="00CA47F8">
        <w:t>. The general approach to mode</w:t>
      </w:r>
      <w:r w:rsidR="009A384A" w:rsidRPr="00CA47F8">
        <w:t>l</w:t>
      </w:r>
      <w:r w:rsidR="00BA0FC9" w:rsidRPr="00CA47F8">
        <w:t>ling these flows is then to calculate the</w:t>
      </w:r>
      <w:r w:rsidRPr="00CA47F8">
        <w:t xml:space="preserve"> mass flow</w:t>
      </w:r>
      <w:r w:rsidR="009A384A" w:rsidRPr="00CA47F8">
        <w:t xml:space="preserve"> </w:t>
      </w:r>
      <w:r w:rsidRPr="00CA47F8">
        <w:t>rate</w:t>
      </w:r>
      <w:r w:rsidR="00BA0FC9" w:rsidRPr="00CA47F8">
        <w:t xml:space="preserve"> </w:t>
      </w:r>
      <m:oMath>
        <m:acc>
          <m:accPr>
            <m:chr m:val="̇"/>
            <m:ctrlPr>
              <w:rPr>
                <w:rFonts w:ascii="Cambria Math" w:hAnsi="Cambria Math"/>
                <w:i/>
                <w:color w:val="000000"/>
                <w:lang w:eastAsia="it-IT"/>
              </w:rPr>
            </m:ctrlPr>
          </m:accPr>
          <m:e>
            <m:r>
              <w:rPr>
                <w:rFonts w:ascii="Cambria Math" w:hAnsi="Cambria Math"/>
                <w:color w:val="000000"/>
                <w:lang w:eastAsia="it-IT"/>
              </w:rPr>
              <m:t>m</m:t>
            </m:r>
          </m:e>
        </m:acc>
      </m:oMath>
      <w:r w:rsidR="00BA0FC9" w:rsidRPr="00CA47F8">
        <w:t xml:space="preserve"> through the orifice as a function of pressure in the plane of the orifice. For choked flows, the calculated flow rate initially increases with decreasing downstream pressure, </w:t>
      </w:r>
      <w:r w:rsidR="00EF3B8B" w:rsidRPr="00CA47F8">
        <w:t>reaches a maximum, and</w:t>
      </w:r>
      <w:r w:rsidR="00BA0FC9" w:rsidRPr="00CA47F8">
        <w:t xml:space="preserve"> </w:t>
      </w:r>
      <w:r w:rsidRPr="00CA47F8">
        <w:t>then</w:t>
      </w:r>
      <w:r w:rsidR="00BA0FC9" w:rsidRPr="00CA47F8">
        <w:t xml:space="preserve"> decreas</w:t>
      </w:r>
      <w:r w:rsidRPr="00CA47F8">
        <w:t>es</w:t>
      </w:r>
      <w:r w:rsidR="00BA0FC9" w:rsidRPr="00CA47F8">
        <w:t xml:space="preserve">. The </w:t>
      </w:r>
      <w:r w:rsidRPr="00CA47F8">
        <w:t>abovementioned software</w:t>
      </w:r>
      <w:r w:rsidR="00BA0FC9" w:rsidRPr="00CA47F8">
        <w:t xml:space="preserve"> considers a series of decreasing pressures to identify the region where the flow rate reaches a maximum</w:t>
      </w:r>
      <w:r w:rsidRPr="00CA47F8">
        <w:t>, based on the results obtained by two consecutive steps</w:t>
      </w:r>
      <w:r w:rsidR="00BA0FC9" w:rsidRPr="00CA47F8">
        <w:t>: if the flowrate does reach a maximum, the program uses a quadratic interpolation to set the position for this maximum; if the flow rate has not reached a maximum by the time the pressure reaches atmospheric pressure, then the flow is not choked. For compressible fluids</w:t>
      </w:r>
      <w:r w:rsidR="00EF3B8B" w:rsidRPr="00CA47F8">
        <w:t>,</w:t>
      </w:r>
      <w:r w:rsidR="00BA0FC9" w:rsidRPr="00CA47F8">
        <w:t xml:space="preserve"> the method described </w:t>
      </w:r>
      <w:r w:rsidR="00812D6D" w:rsidRPr="00CA47F8">
        <w:t xml:space="preserve">by Bragg (1960) </w:t>
      </w:r>
      <w:r w:rsidR="004876C5" w:rsidRPr="00CA47F8">
        <w:fldChar w:fldCharType="begin" w:fldLock="1"/>
      </w:r>
      <w:r w:rsidR="004876C5" w:rsidRPr="00CA47F8">
        <w:instrText>ADDIN CSL_CITATION {"citationItems":[{"id":"ITEM-1","itemData":{"author":[{"dropping-particle":"","family":"Bragg","given":"S. L.","non-dropping-particle":"","parse-names":false,"suffix":""}],"container-title":"Journal of Mechanical Engineering Science","id":"ITEM-1","issued":{"date-parts":[["1960"]]},"page":"35-44","title":"Effect of compressibility on the discharge coefficient of orifices and convergent nozzles","type":"article-journal","volume":"2"},"uris":["http://www.mendeley.com/documents/?uuid=215e682b-da40-494c-81ba-53a9a3581e7c"]}],"mendeley":{"formattedCitation":"(Bragg, 1960)","plainTextFormattedCitation":"(Bragg, 1960)"},"properties":{"noteIndex":0},"schema":"https://github.com/citation-style-language/schema/raw/master/csl-citation.json"}</w:instrText>
      </w:r>
      <w:r w:rsidR="004876C5" w:rsidRPr="00CA47F8">
        <w:fldChar w:fldCharType="separate"/>
      </w:r>
      <w:r w:rsidR="004876C5" w:rsidRPr="00CA47F8">
        <w:t>(Bragg, 1960)</w:t>
      </w:r>
      <w:r w:rsidR="004876C5" w:rsidRPr="00CA47F8">
        <w:fldChar w:fldCharType="end"/>
      </w:r>
      <w:hyperlink r:id="rId14" w:anchor="Discharge" w:history="1"/>
      <w:r w:rsidR="00BA0FC9" w:rsidRPr="00CA47F8">
        <w:t xml:space="preserve"> is used to calculate the discharge coefficient, generalized to any equation of state rather than being specific to the ideal gas equation of state. </w:t>
      </w:r>
      <w:r w:rsidR="00812D6D" w:rsidRPr="00CA47F8">
        <w:t>E</w:t>
      </w:r>
      <w:r w:rsidR="004876C5" w:rsidRPr="00CA47F8">
        <w:t xml:space="preserve">quation </w:t>
      </w:r>
      <w:r w:rsidR="00812D6D" w:rsidRPr="00CA47F8">
        <w:t>2 reports the model used for the evaluation of the mass flow</w:t>
      </w:r>
      <w:r w:rsidR="009A384A" w:rsidRPr="00CA47F8">
        <w:t xml:space="preserve"> </w:t>
      </w:r>
      <w:r w:rsidR="00812D6D" w:rsidRPr="00CA47F8">
        <w:t xml:space="preserve">rate based on the conditions </w:t>
      </w:r>
      <w:r w:rsidR="004876C5" w:rsidRPr="00CA47F8">
        <w:t>in the orifice</w:t>
      </w:r>
      <w:r w:rsidR="00D81024" w:rsidRPr="00CA47F8">
        <w:t xml:space="preserve"> (</w:t>
      </w:r>
      <w:r w:rsidR="00812D6D" w:rsidRPr="00CA47F8">
        <w:t xml:space="preserve">subscript </w:t>
      </w:r>
      <w:r w:rsidR="00D81024" w:rsidRPr="00CA47F8">
        <w:rPr>
          <w:i/>
          <w:iCs/>
        </w:rPr>
        <w:t>e</w:t>
      </w:r>
      <w:r w:rsidR="00D81024" w:rsidRPr="00CA47F8">
        <w:t>)</w:t>
      </w:r>
      <w:r w:rsidR="004876C5" w:rsidRPr="00CA47F8">
        <w:t xml:space="preserve"> </w:t>
      </w:r>
      <w:r w:rsidR="00812D6D" w:rsidRPr="00CA47F8">
        <w:t>and at</w:t>
      </w:r>
      <w:r w:rsidR="004876C5" w:rsidRPr="00CA47F8">
        <w:t xml:space="preserve"> the initial state (</w:t>
      </w:r>
      <w:r w:rsidR="00812D6D" w:rsidRPr="00CA47F8">
        <w:t xml:space="preserve">subscript </w:t>
      </w:r>
      <w:r w:rsidR="004876C5" w:rsidRPr="00CA47F8">
        <w:rPr>
          <w:i/>
          <w:iCs/>
        </w:rPr>
        <w:t>0</w:t>
      </w:r>
      <w:r w:rsidR="004876C5" w:rsidRPr="00CA47F8">
        <w:t>):</w:t>
      </w:r>
      <w:r w:rsidR="004876C5" w:rsidRPr="00CA47F8">
        <w:rPr>
          <w:rFonts w:ascii="Times New Roman"/>
        </w:rPr>
        <w:t xml:space="preserve"> </w:t>
      </w:r>
    </w:p>
    <w:p w14:paraId="0714696E" w14:textId="23A20301" w:rsidR="004876C5" w:rsidRPr="00CA47F8" w:rsidRDefault="005127C5" w:rsidP="00EF3B8B">
      <w:pPr>
        <w:pStyle w:val="CETEquation"/>
        <w:tabs>
          <w:tab w:val="clear" w:pos="7100"/>
          <w:tab w:val="right" w:pos="8647"/>
        </w:tabs>
        <w:rPr>
          <w:rFonts w:ascii="Times New Roman"/>
        </w:rPr>
      </w:pP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m</m:t>
                </m:r>
              </m:e>
            </m:acc>
          </m:e>
          <m:sub>
            <m:r>
              <w:rPr>
                <w:rFonts w:ascii="Cambria Math" w:hAnsi="Cambria Math"/>
                <w:lang w:val="en-US"/>
              </w:rPr>
              <m:t>PHAST</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d</m:t>
            </m:r>
          </m:sub>
        </m:sSub>
        <m:r>
          <m:rPr>
            <m:sty m:val="p"/>
          </m:rPr>
          <w:rPr>
            <w:rFonts w:ascii="Cambria Math" w:hAnsi="Cambria Math"/>
            <w:lang w:val="en-US"/>
          </w:rPr>
          <m:t>∙</m:t>
        </m:r>
        <m:r>
          <w:rPr>
            <w:rFonts w:ascii="Cambria Math" w:hAnsi="Cambria Math"/>
          </w:rPr>
          <m:t>π</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e</m:t>
                        </m:r>
                      </m:sub>
                    </m:sSub>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ρ</m:t>
            </m:r>
          </m:e>
          <m:sub>
            <m:r>
              <w:rPr>
                <w:rFonts w:ascii="Cambria Math" w:hAnsi="Cambria Math"/>
                <w:lang w:val="en-US"/>
              </w:rPr>
              <m:t>e</m:t>
            </m:r>
          </m:sub>
        </m:sSub>
        <m:rad>
          <m:radPr>
            <m:degHide m:val="1"/>
            <m:ctrlPr>
              <w:rPr>
                <w:rFonts w:ascii="Cambria Math" w:hAnsi="Cambria Math"/>
                <w:lang w:val="en-US"/>
              </w:rPr>
            </m:ctrlPr>
          </m:radPr>
          <m:deg/>
          <m:e>
            <m:r>
              <m:rPr>
                <m:sty m:val="p"/>
              </m:rPr>
              <w:rPr>
                <w:rFonts w:ascii="Cambria Math" w:hAnsi="Cambria Math"/>
                <w:lang w:val="en-US"/>
              </w:rPr>
              <m:t>2∙(</m:t>
            </m:r>
            <m:sSub>
              <m:sSubPr>
                <m:ctrlPr>
                  <w:rPr>
                    <w:rFonts w:ascii="Cambria Math" w:hAnsi="Cambria Math"/>
                    <w:lang w:val="en-US"/>
                  </w:rPr>
                </m:ctrlPr>
              </m:sSubPr>
              <m:e>
                <m:r>
                  <w:rPr>
                    <w:rFonts w:ascii="Cambria Math" w:hAnsi="Cambria Math"/>
                    <w:lang w:val="en-US"/>
                  </w:rPr>
                  <m:t>H</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e</m:t>
                </m:r>
              </m:sub>
            </m:sSub>
          </m:e>
        </m:rad>
        <m:r>
          <m:rPr>
            <m:sty m:val="p"/>
          </m:rPr>
          <w:rPr>
            <w:rFonts w:ascii="Cambria Math" w:hAnsi="Cambria Math"/>
            <w:lang w:val="en-US"/>
          </w:rPr>
          <m:t>)</m:t>
        </m:r>
      </m:oMath>
      <w:r w:rsidR="004876C5" w:rsidRPr="00CA47F8">
        <w:rPr>
          <w:rFonts w:ascii="Times New Roman"/>
          <w:lang w:val="en-US"/>
        </w:rPr>
        <w:tab/>
      </w:r>
      <w:r w:rsidR="004876C5" w:rsidRPr="003334AB">
        <w:rPr>
          <w:lang w:val="en-US"/>
        </w:rPr>
        <w:t>(</w:t>
      </w:r>
      <w:r w:rsidR="00812D6D" w:rsidRPr="003334AB">
        <w:rPr>
          <w:lang w:val="en-US"/>
        </w:rPr>
        <w:t>2</w:t>
      </w:r>
      <w:r w:rsidR="004876C5" w:rsidRPr="003334AB">
        <w:rPr>
          <w:lang w:val="en-US"/>
        </w:rPr>
        <w:t>)</w:t>
      </w:r>
    </w:p>
    <w:p w14:paraId="0AF7AAF6" w14:textId="6D98A585" w:rsidR="004876C5" w:rsidRPr="00CA47F8" w:rsidRDefault="004876C5" w:rsidP="00EF3B8B">
      <w:pPr>
        <w:pStyle w:val="CETBodytext"/>
      </w:pPr>
      <w:r w:rsidRPr="00CA47F8">
        <w:t xml:space="preserve">where </w:t>
      </w:r>
      <m:oMath>
        <m:sSub>
          <m:sSubPr>
            <m:ctrlPr>
              <w:rPr>
                <w:rFonts w:ascii="Cambria Math" w:hAnsi="Cambria Math"/>
              </w:rPr>
            </m:ctrlPr>
          </m:sSubPr>
          <m:e>
            <m:r>
              <w:rPr>
                <w:rFonts w:ascii="Cambria Math" w:hAnsi="Cambria Math"/>
              </w:rPr>
              <m:t>C</m:t>
            </m:r>
          </m:e>
          <m:sub>
            <m:r>
              <w:rPr>
                <w:rFonts w:ascii="Cambria Math" w:hAnsi="Cambria Math"/>
              </w:rPr>
              <m:t>d</m:t>
            </m:r>
          </m:sub>
        </m:sSub>
      </m:oMath>
      <w:r w:rsidRPr="00CA47F8">
        <w:t xml:space="preserve"> stands for the discharge coefficient</w:t>
      </w:r>
      <w:r w:rsidR="00EF3B8B" w:rsidRPr="00CA47F8">
        <w:t>,</w:t>
      </w:r>
      <w:r w:rsidRPr="00CA47F8">
        <w:t xml:space="preserve"> </w:t>
      </w:r>
      <w:r w:rsidR="00D81024" w:rsidRPr="00CA47F8">
        <w:rPr>
          <w:i/>
          <w:iCs/>
        </w:rPr>
        <w:t>H</w:t>
      </w:r>
      <w:r w:rsidR="00D81024" w:rsidRPr="00CA47F8">
        <w:t xml:space="preserve"> for enthalpy</w:t>
      </w:r>
      <w:r w:rsidR="00EF3B8B" w:rsidRPr="00CA47F8">
        <w:t>,</w:t>
      </w:r>
      <w:r w:rsidR="00D81024" w:rsidRPr="00CA47F8">
        <w:t xml:space="preserve"> and </w:t>
      </w:r>
      <m:oMath>
        <m:r>
          <w:rPr>
            <w:rFonts w:ascii="Cambria Math" w:hAnsi="Cambria Math"/>
          </w:rPr>
          <m:t>ρ</m:t>
        </m:r>
      </m:oMath>
      <w:r w:rsidR="00D81024" w:rsidRPr="00CA47F8">
        <w:t xml:space="preserve"> for the density of the discharged material.</w:t>
      </w:r>
    </w:p>
    <w:p w14:paraId="7F3DE78E" w14:textId="2793F78C" w:rsidR="00AF4EA9" w:rsidRPr="00CA47F8" w:rsidRDefault="00BA1766" w:rsidP="006D6130">
      <w:pPr>
        <w:pStyle w:val="CETBodytext"/>
      </w:pPr>
      <w:r w:rsidRPr="00CA47F8">
        <w:t>Regardless of the implemented approach</w:t>
      </w:r>
      <w:r w:rsidR="00EF3B8B" w:rsidRPr="00CA47F8">
        <w:t>es</w:t>
      </w:r>
      <w:r w:rsidRPr="00CA47F8">
        <w:t>, the absence of obstacle</w:t>
      </w:r>
      <w:r w:rsidR="003845E5" w:rsidRPr="00CA47F8">
        <w:t>s</w:t>
      </w:r>
      <w:r w:rsidRPr="00CA47F8">
        <w:t xml:space="preserve"> was assumed</w:t>
      </w:r>
      <w:r w:rsidR="003845E5" w:rsidRPr="00CA47F8">
        <w:t>. A wind of 2 m s</w:t>
      </w:r>
      <w:r w:rsidR="003845E5" w:rsidRPr="00CA47F8">
        <w:rPr>
          <w:vertAlign w:val="superscript"/>
        </w:rPr>
        <w:t>-1</w:t>
      </w:r>
      <w:r w:rsidR="003845E5" w:rsidRPr="00CA47F8">
        <w:t xml:space="preserve"> flowing in </w:t>
      </w:r>
      <w:r w:rsidR="00C36C65" w:rsidRPr="00CA47F8">
        <w:t xml:space="preserve">the </w:t>
      </w:r>
      <w:r w:rsidR="003845E5" w:rsidRPr="00CA47F8">
        <w:t xml:space="preserve">perpendicular direction with respect to the releasing surface was considered. </w:t>
      </w:r>
      <w:r w:rsidR="003A1889" w:rsidRPr="00CA47F8">
        <w:t>Results were compared in terms of flame length (</w:t>
      </w:r>
      <w:proofErr w:type="spellStart"/>
      <w:r w:rsidR="003A1889" w:rsidRPr="00CA47F8">
        <w:rPr>
          <w:i/>
          <w:iCs/>
        </w:rPr>
        <w:t>L</w:t>
      </w:r>
      <w:r w:rsidR="003A1889" w:rsidRPr="00CA47F8">
        <w:rPr>
          <w:i/>
          <w:iCs/>
          <w:vertAlign w:val="subscript"/>
        </w:rPr>
        <w:t>f</w:t>
      </w:r>
      <w:proofErr w:type="spellEnd"/>
      <w:r w:rsidR="003A1889" w:rsidRPr="00CA47F8">
        <w:t xml:space="preserve">), intended as the distance from the releasing point where the maximum temperature is registered. </w:t>
      </w:r>
    </w:p>
    <w:p w14:paraId="4CED47C6" w14:textId="5B2445CA" w:rsidR="00CB6C27" w:rsidRPr="00CA47F8" w:rsidRDefault="00CB6C27" w:rsidP="00CB6C27">
      <w:pPr>
        <w:pStyle w:val="CETHeading1"/>
        <w:rPr>
          <w:lang w:val="en-GB"/>
        </w:rPr>
      </w:pPr>
      <w:r w:rsidRPr="00CA47F8">
        <w:rPr>
          <w:lang w:val="en-GB"/>
        </w:rPr>
        <w:t>Results and discussion</w:t>
      </w:r>
    </w:p>
    <w:p w14:paraId="549E3D65" w14:textId="7E1DD758" w:rsidR="006514B7" w:rsidRPr="00CA47F8" w:rsidRDefault="00A30733" w:rsidP="00A30733">
      <w:pPr>
        <w:pStyle w:val="CETBodytext"/>
      </w:pPr>
      <w:r w:rsidRPr="00CA47F8">
        <w:rPr>
          <w:lang w:val="en-GB"/>
        </w:rPr>
        <w:t xml:space="preserve">The introduction of hydrogen in methane </w:t>
      </w:r>
      <w:r w:rsidR="00C640D3" w:rsidRPr="00CA47F8">
        <w:rPr>
          <w:lang w:val="en-GB"/>
        </w:rPr>
        <w:t>impacts the physical and chemical properties in different ways, with potential implication</w:t>
      </w:r>
      <w:r w:rsidR="00C36C65" w:rsidRPr="00CA47F8">
        <w:rPr>
          <w:lang w:val="en-GB"/>
        </w:rPr>
        <w:t>s</w:t>
      </w:r>
      <w:r w:rsidR="00C640D3" w:rsidRPr="00CA47F8">
        <w:rPr>
          <w:lang w:val="en-GB"/>
        </w:rPr>
        <w:t xml:space="preserve"> on the </w:t>
      </w:r>
      <w:r w:rsidR="00C36C65" w:rsidRPr="00CA47F8">
        <w:rPr>
          <w:lang w:val="en-GB"/>
        </w:rPr>
        <w:t>analysis of the consequence</w:t>
      </w:r>
      <w:r w:rsidR="00C640D3" w:rsidRPr="00CA47F8">
        <w:rPr>
          <w:lang w:val="en-GB"/>
        </w:rPr>
        <w:t>s. In this perspective, a list of the most representative properties with the corresponding values for pure hydrogen and pure methane is provided in Table 1. Additionally, the effect of hydrogen addition on methane is qualitatively reported.</w:t>
      </w:r>
      <w:r w:rsidRPr="00CA47F8">
        <w:rPr>
          <w:lang w:val="en-GB"/>
        </w:rPr>
        <w:t xml:space="preserve"> </w:t>
      </w:r>
      <w:r w:rsidR="006514B7" w:rsidRPr="00CA47F8">
        <w:t xml:space="preserve">The variation in gaseous density due to a hydrogen addition can be twofold based on the </w:t>
      </w:r>
      <w:proofErr w:type="spellStart"/>
      <w:r w:rsidR="006514B7" w:rsidRPr="00CA47F8">
        <w:t>analysed</w:t>
      </w:r>
      <w:proofErr w:type="spellEnd"/>
      <w:r w:rsidR="006514B7" w:rsidRPr="00CA47F8">
        <w:t xml:space="preserve"> scenario. Indeed, its decrease </w:t>
      </w:r>
      <w:proofErr w:type="spellStart"/>
      <w:r w:rsidR="006514B7" w:rsidRPr="00CA47F8">
        <w:t>favours</w:t>
      </w:r>
      <w:proofErr w:type="spellEnd"/>
      <w:r w:rsidR="006514B7" w:rsidRPr="00CA47F8">
        <w:t xml:space="preserve"> the dispersion either in </w:t>
      </w:r>
      <w:r w:rsidR="009A384A" w:rsidRPr="00CA47F8">
        <w:t xml:space="preserve">a </w:t>
      </w:r>
      <w:r w:rsidR="006514B7" w:rsidRPr="00CA47F8">
        <w:t>downwind direction or horizontally, thus significantly affecting the involved area</w:t>
      </w:r>
      <w:r w:rsidR="00683D4D" w:rsidRPr="00CA47F8">
        <w:t>,</w:t>
      </w:r>
      <w:r w:rsidR="006514B7" w:rsidRPr="00CA47F8">
        <w:t xml:space="preserve"> especially in the case of absent ignition. Besides, it should be considered once the releasing flow rate is considered since the speed of sound in hydrogen is approximately 2.7 times that in methane. Therefore, the volumetric flow rate from the same hole at the same pressure would be higher in the choked regime for hydrogen-containing mixtures than methane. On the other hand, the difference in density has a considerable impact on the specific energy content of the flammable mixture, as well, as testified by the lower heat of combustion reported per unit of volume. </w:t>
      </w:r>
    </w:p>
    <w:p w14:paraId="0D5BA1D6" w14:textId="77777777" w:rsidR="00E97929" w:rsidRPr="00CA47F8" w:rsidRDefault="00E97929" w:rsidP="00A30733">
      <w:pPr>
        <w:pStyle w:val="CETBodytext"/>
      </w:pPr>
    </w:p>
    <w:p w14:paraId="7C41F195" w14:textId="79BA1754" w:rsidR="00AF4EA9" w:rsidRPr="00CA47F8" w:rsidRDefault="00AF4EA9" w:rsidP="00AF4EA9">
      <w:pPr>
        <w:pStyle w:val="CETCaption"/>
      </w:pPr>
      <w:r w:rsidRPr="00CA47F8">
        <w:lastRenderedPageBreak/>
        <w:t xml:space="preserve">Table </w:t>
      </w:r>
      <w:r w:rsidRPr="00CA47F8">
        <w:fldChar w:fldCharType="begin"/>
      </w:r>
      <w:r w:rsidRPr="00CA47F8">
        <w:instrText xml:space="preserve"> SEQ Table \* ARABIC </w:instrText>
      </w:r>
      <w:r w:rsidRPr="00CA47F8">
        <w:fldChar w:fldCharType="separate"/>
      </w:r>
      <w:r w:rsidRPr="00CA47F8">
        <w:rPr>
          <w:noProof/>
        </w:rPr>
        <w:t>1</w:t>
      </w:r>
      <w:r w:rsidRPr="00CA47F8">
        <w:fldChar w:fldCharType="end"/>
      </w:r>
      <w:r w:rsidRPr="00CA47F8">
        <w:t>. Properties of hydrogen, methane, and their mixture</w:t>
      </w:r>
      <w:r w:rsidR="006514B7" w:rsidRPr="00CA47F8">
        <w:t xml:space="preserve"> </w:t>
      </w:r>
      <w:r w:rsidR="006514B7" w:rsidRPr="00CA47F8">
        <w:fldChar w:fldCharType="begin" w:fldLock="1"/>
      </w:r>
      <w:r w:rsidR="006514B7" w:rsidRPr="00CA47F8">
        <w:instrText>ADDIN CSL_CITATION {"citationItems":[{"id":"ITEM-1","itemData":{"DOI":"10.3303/CET1977101","ISBN":"9788895608747","ISSN":"22839216","abstract":"In the recent years the growing interest for cleaner and low carbon content energy sources has addressed the development of several industrial and civil applications based on methane, hydrogen, and their mixtures. The use of these gases rises, however, several technological issues for the storage and the transportation systems. Among others, cryogenic liquefaction (as liquified natural gas, LNG and liquified hydrogen, LH2) and cryo-compressed gases are considered among the most promising potential solution. On the other hand, when low and ultra-low temperature are considered, several questions regarding the safe use of such gases are raised, including the behaviour of the cold vapour phase in air after the release of liquid or cryo-compressed gas from containment system. In this work, the flammability limits of hydrogen, methane and their blends at low and ultra-low temperatures were estimated by using the laminar burning velocity obtained by means of detailed kinetic mechanism. Numerical results were compared with experimental data and empirical correlations commonly adopted for this purpose. The data agreement demonstrates the applicability of the developed procedure for the estimation of safety parameters at low and ultra-low temperature and for future technological applications, even at cryogenic conditions.","author":[{"dropping-particle":"","family":"Pio","given":"Gianmaria","non-dropping-particle":"","parse-names":false,"suffix":""},{"dropping-particle":"","family":"Salzano","given":"Ernesto","non-dropping-particle":"","parse-names":false,"suffix":""}],"container-title":"Chemical Engineering Transactions","id":"ITEM-1","issue":"January","issued":{"date-parts":[["2019"]]},"page":"601-606","title":"Flammability limits of methane (LNG) and hydrogen (LH2) at extreme conditions","type":"article-journal","volume":"77"},"uris":["http://www.mendeley.com/documents/?uuid=c4537853-6f23-4b95-a3ca-7a8be4602a49"]}],"mendeley":{"formattedCitation":"(Pio and Salzano, 2019)","plainTextFormattedCitation":"(Pio and Salzano, 2019)","previouslyFormattedCitation":"(Pio and Salzano, 2019)"},"properties":{"noteIndex":0},"schema":"https://github.com/citation-style-language/schema/raw/master/csl-citation.json"}</w:instrText>
      </w:r>
      <w:r w:rsidR="006514B7" w:rsidRPr="00CA47F8">
        <w:fldChar w:fldCharType="separate"/>
      </w:r>
      <w:r w:rsidR="006514B7" w:rsidRPr="00CA47F8">
        <w:rPr>
          <w:noProof/>
        </w:rPr>
        <w:t>(Pio and Salzano, 2019)</w:t>
      </w:r>
      <w:r w:rsidR="006514B7" w:rsidRPr="00CA47F8">
        <w:fldChar w:fldCharType="end"/>
      </w:r>
      <w:r w:rsidRPr="00CA47F8">
        <w:t>.</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5386"/>
        <w:gridCol w:w="850"/>
        <w:gridCol w:w="850"/>
        <w:gridCol w:w="1571"/>
      </w:tblGrid>
      <w:tr w:rsidR="006B27F9" w:rsidRPr="00CA47F8" w14:paraId="31F7B213" w14:textId="2306AC1F" w:rsidTr="006B27F9">
        <w:trPr>
          <w:trHeight w:val="204"/>
          <w:jc w:val="center"/>
        </w:trPr>
        <w:tc>
          <w:tcPr>
            <w:tcW w:w="5386" w:type="dxa"/>
            <w:tcBorders>
              <w:top w:val="single" w:sz="12" w:space="0" w:color="008000"/>
              <w:bottom w:val="single" w:sz="6" w:space="0" w:color="008000"/>
            </w:tcBorders>
            <w:shd w:val="clear" w:color="auto" w:fill="FFFFFF"/>
            <w:vAlign w:val="center"/>
          </w:tcPr>
          <w:p w14:paraId="482E5F07" w14:textId="2B8F5D70" w:rsidR="00980791" w:rsidRPr="003F4253" w:rsidRDefault="00980791" w:rsidP="00E9401D">
            <w:pPr>
              <w:pStyle w:val="CETBodytext"/>
              <w:jc w:val="left"/>
              <w:rPr>
                <w:lang w:val="en-GB"/>
              </w:rPr>
            </w:pPr>
            <w:r w:rsidRPr="003F4253">
              <w:rPr>
                <w:lang w:val="en-GB"/>
              </w:rPr>
              <w:t>Property</w:t>
            </w:r>
          </w:p>
        </w:tc>
        <w:tc>
          <w:tcPr>
            <w:tcW w:w="850" w:type="dxa"/>
            <w:tcBorders>
              <w:top w:val="single" w:sz="12" w:space="0" w:color="008000"/>
              <w:bottom w:val="single" w:sz="6" w:space="0" w:color="008000"/>
            </w:tcBorders>
            <w:shd w:val="clear" w:color="auto" w:fill="FFFFFF"/>
            <w:vAlign w:val="center"/>
          </w:tcPr>
          <w:p w14:paraId="36007DEA" w14:textId="0779335E" w:rsidR="00980791" w:rsidRPr="003F4253" w:rsidRDefault="00980791" w:rsidP="00E9401D">
            <w:pPr>
              <w:pStyle w:val="CETBodytext"/>
              <w:ind w:right="-1"/>
              <w:jc w:val="left"/>
              <w:rPr>
                <w:rFonts w:cs="Arial"/>
                <w:szCs w:val="18"/>
                <w:lang w:val="en-GB"/>
              </w:rPr>
            </w:pPr>
            <w:r w:rsidRPr="003F4253">
              <w:rPr>
                <w:rFonts w:cs="Arial"/>
                <w:szCs w:val="18"/>
                <w:lang w:val="en-GB"/>
              </w:rPr>
              <w:t>CH</w:t>
            </w:r>
            <w:r w:rsidRPr="003F4253">
              <w:rPr>
                <w:rFonts w:cs="Arial"/>
                <w:szCs w:val="18"/>
                <w:vertAlign w:val="subscript"/>
                <w:lang w:val="en-GB"/>
              </w:rPr>
              <w:t>4</w:t>
            </w:r>
          </w:p>
        </w:tc>
        <w:tc>
          <w:tcPr>
            <w:tcW w:w="850" w:type="dxa"/>
            <w:tcBorders>
              <w:top w:val="single" w:sz="12" w:space="0" w:color="008000"/>
              <w:bottom w:val="single" w:sz="6" w:space="0" w:color="008000"/>
            </w:tcBorders>
            <w:shd w:val="clear" w:color="auto" w:fill="FFFFFF"/>
            <w:vAlign w:val="center"/>
          </w:tcPr>
          <w:p w14:paraId="4BEB42D6" w14:textId="409AE671" w:rsidR="00980791" w:rsidRPr="003F4253" w:rsidRDefault="00980791" w:rsidP="00E9401D">
            <w:pPr>
              <w:pStyle w:val="CETBodytext"/>
              <w:ind w:right="-1"/>
              <w:jc w:val="left"/>
              <w:rPr>
                <w:lang w:val="en-GB"/>
              </w:rPr>
            </w:pPr>
            <w:r w:rsidRPr="003F4253">
              <w:rPr>
                <w:lang w:val="en-GB"/>
              </w:rPr>
              <w:t>H</w:t>
            </w:r>
            <w:r w:rsidRPr="003F4253">
              <w:rPr>
                <w:vertAlign w:val="subscript"/>
                <w:lang w:val="en-GB"/>
              </w:rPr>
              <w:t>2</w:t>
            </w:r>
          </w:p>
        </w:tc>
        <w:tc>
          <w:tcPr>
            <w:tcW w:w="0" w:type="auto"/>
            <w:tcBorders>
              <w:top w:val="single" w:sz="12" w:space="0" w:color="008000"/>
              <w:bottom w:val="single" w:sz="6" w:space="0" w:color="008000"/>
            </w:tcBorders>
            <w:shd w:val="clear" w:color="auto" w:fill="FFFFFF"/>
            <w:vAlign w:val="center"/>
          </w:tcPr>
          <w:p w14:paraId="5205EE5D" w14:textId="497BCF4E" w:rsidR="00980791" w:rsidRPr="003F4253" w:rsidRDefault="00C640D3" w:rsidP="00E9401D">
            <w:pPr>
              <w:pStyle w:val="CETBodytext"/>
              <w:ind w:right="-1"/>
              <w:jc w:val="left"/>
              <w:rPr>
                <w:rFonts w:cs="Arial"/>
                <w:szCs w:val="18"/>
                <w:lang w:val="en-GB"/>
              </w:rPr>
            </w:pPr>
            <w:r w:rsidRPr="003F4253">
              <w:rPr>
                <w:rFonts w:cs="Arial"/>
                <w:szCs w:val="18"/>
                <w:lang w:val="en-GB"/>
              </w:rPr>
              <w:t xml:space="preserve">Effect of </w:t>
            </w:r>
            <w:r w:rsidR="00980791" w:rsidRPr="003F4253">
              <w:rPr>
                <w:rFonts w:cs="Arial"/>
                <w:szCs w:val="18"/>
                <w:lang w:val="en-GB"/>
              </w:rPr>
              <w:t>H</w:t>
            </w:r>
            <w:r w:rsidR="00980791" w:rsidRPr="003F4253">
              <w:rPr>
                <w:rFonts w:cs="Arial"/>
                <w:szCs w:val="18"/>
                <w:vertAlign w:val="subscript"/>
                <w:lang w:val="en-GB"/>
              </w:rPr>
              <w:t>2</w:t>
            </w:r>
            <w:r w:rsidRPr="003F4253">
              <w:rPr>
                <w:rFonts w:cs="Arial"/>
                <w:szCs w:val="18"/>
                <w:vertAlign w:val="subscript"/>
                <w:lang w:val="en-GB"/>
              </w:rPr>
              <w:t xml:space="preserve"> </w:t>
            </w:r>
            <w:r w:rsidRPr="003F4253">
              <w:rPr>
                <w:rFonts w:cs="Arial"/>
                <w:szCs w:val="18"/>
                <w:lang w:val="en-GB"/>
              </w:rPr>
              <w:t>addition</w:t>
            </w:r>
          </w:p>
        </w:tc>
      </w:tr>
      <w:tr w:rsidR="006B27F9" w:rsidRPr="00CA47F8" w14:paraId="51B7AFA9" w14:textId="1A3830A4" w:rsidTr="006B27F9">
        <w:trPr>
          <w:trHeight w:val="204"/>
          <w:jc w:val="center"/>
        </w:trPr>
        <w:tc>
          <w:tcPr>
            <w:tcW w:w="5386" w:type="dxa"/>
            <w:shd w:val="clear" w:color="auto" w:fill="FFFFFF"/>
            <w:vAlign w:val="center"/>
          </w:tcPr>
          <w:p w14:paraId="067748D0" w14:textId="1351662F" w:rsidR="00623B64" w:rsidRPr="00CA47F8" w:rsidRDefault="00623B64" w:rsidP="00E9401D">
            <w:pPr>
              <w:pStyle w:val="CETBodytext"/>
              <w:jc w:val="left"/>
              <w:rPr>
                <w:lang w:val="en-GB"/>
              </w:rPr>
            </w:pPr>
            <w:r w:rsidRPr="00CA47F8">
              <w:rPr>
                <w:lang w:val="en-GB"/>
              </w:rPr>
              <w:t>Density [kg m</w:t>
            </w:r>
            <w:r w:rsidRPr="00CA47F8">
              <w:rPr>
                <w:vertAlign w:val="superscript"/>
                <w:lang w:val="en-GB"/>
              </w:rPr>
              <w:t>-</w:t>
            </w:r>
            <w:proofErr w:type="gramStart"/>
            <w:r w:rsidRPr="00CA47F8">
              <w:rPr>
                <w:vertAlign w:val="superscript"/>
                <w:lang w:val="en-GB"/>
              </w:rPr>
              <w:t>3</w:t>
            </w:r>
            <w:r w:rsidRPr="00CA47F8">
              <w:rPr>
                <w:lang w:val="en-GB"/>
              </w:rPr>
              <w:t>]*</w:t>
            </w:r>
            <w:proofErr w:type="gramEnd"/>
          </w:p>
        </w:tc>
        <w:tc>
          <w:tcPr>
            <w:tcW w:w="850" w:type="dxa"/>
            <w:shd w:val="clear" w:color="auto" w:fill="FFFFFF"/>
            <w:vAlign w:val="center"/>
          </w:tcPr>
          <w:p w14:paraId="29311919" w14:textId="2DAC23F4" w:rsidR="00623B64" w:rsidRPr="00CA47F8" w:rsidRDefault="00623B64" w:rsidP="00E9401D">
            <w:pPr>
              <w:pStyle w:val="CETBodytext"/>
              <w:ind w:right="-1"/>
              <w:jc w:val="left"/>
              <w:rPr>
                <w:rFonts w:cs="Arial"/>
                <w:szCs w:val="18"/>
                <w:lang w:val="en-GB"/>
              </w:rPr>
            </w:pPr>
            <w:r w:rsidRPr="00CA47F8">
              <w:rPr>
                <w:rFonts w:cs="Arial"/>
                <w:szCs w:val="18"/>
                <w:lang w:val="en-GB"/>
              </w:rPr>
              <w:t>75.90</w:t>
            </w:r>
          </w:p>
        </w:tc>
        <w:tc>
          <w:tcPr>
            <w:tcW w:w="850" w:type="dxa"/>
            <w:shd w:val="clear" w:color="auto" w:fill="FFFFFF"/>
            <w:vAlign w:val="center"/>
          </w:tcPr>
          <w:p w14:paraId="5B9C9D23" w14:textId="4FE3B81E" w:rsidR="00623B64" w:rsidRPr="00CA47F8" w:rsidRDefault="00623B64" w:rsidP="00E9401D">
            <w:pPr>
              <w:pStyle w:val="CETBodytext"/>
              <w:ind w:right="-1"/>
              <w:jc w:val="left"/>
              <w:rPr>
                <w:lang w:val="en-GB"/>
              </w:rPr>
            </w:pPr>
            <w:r w:rsidRPr="00CA47F8">
              <w:rPr>
                <w:lang w:val="en-GB"/>
              </w:rPr>
              <w:t>7.67</w:t>
            </w:r>
          </w:p>
        </w:tc>
        <w:tc>
          <w:tcPr>
            <w:tcW w:w="0" w:type="auto"/>
            <w:shd w:val="clear" w:color="auto" w:fill="FFFFFF"/>
            <w:vAlign w:val="center"/>
          </w:tcPr>
          <w:p w14:paraId="01C86059" w14:textId="76D37018" w:rsidR="00623B64" w:rsidRPr="00CA47F8" w:rsidRDefault="00694F81" w:rsidP="00E9401D">
            <w:pPr>
              <w:pStyle w:val="CETBodytext"/>
              <w:ind w:right="-1"/>
              <w:jc w:val="left"/>
              <w:rPr>
                <w:lang w:val="en-GB"/>
              </w:rPr>
            </w:pPr>
            <w:r w:rsidRPr="00CA47F8">
              <w:rPr>
                <w:lang w:val="en-GB"/>
              </w:rPr>
              <w:t>Decrease</w:t>
            </w:r>
          </w:p>
        </w:tc>
      </w:tr>
      <w:tr w:rsidR="006B27F9" w:rsidRPr="00CA47F8" w14:paraId="6C0D55AD" w14:textId="4B81F79C" w:rsidTr="006B27F9">
        <w:trPr>
          <w:trHeight w:val="204"/>
          <w:jc w:val="center"/>
        </w:trPr>
        <w:tc>
          <w:tcPr>
            <w:tcW w:w="5386" w:type="dxa"/>
            <w:shd w:val="clear" w:color="auto" w:fill="FFFFFF"/>
            <w:vAlign w:val="center"/>
          </w:tcPr>
          <w:p w14:paraId="379A9844" w14:textId="5E848AE3" w:rsidR="00623B64" w:rsidRPr="00CA47F8" w:rsidRDefault="00623B64" w:rsidP="00E9401D">
            <w:pPr>
              <w:pStyle w:val="CETBodytext"/>
              <w:jc w:val="left"/>
              <w:rPr>
                <w:lang w:val="en-GB"/>
              </w:rPr>
            </w:pPr>
            <w:r w:rsidRPr="00CA47F8">
              <w:rPr>
                <w:lang w:val="en-GB"/>
              </w:rPr>
              <w:t>Lower flammability limit [%vol]</w:t>
            </w:r>
            <w:r w:rsidR="00823AC3" w:rsidRPr="00CA47F8">
              <w:rPr>
                <w:lang w:val="en-GB"/>
              </w:rPr>
              <w:t xml:space="preserve"> </w:t>
            </w:r>
          </w:p>
        </w:tc>
        <w:tc>
          <w:tcPr>
            <w:tcW w:w="850" w:type="dxa"/>
            <w:shd w:val="clear" w:color="auto" w:fill="FFFFFF"/>
            <w:vAlign w:val="center"/>
          </w:tcPr>
          <w:p w14:paraId="40D0356E" w14:textId="34FF01FC" w:rsidR="00623B64" w:rsidRPr="00CA47F8" w:rsidRDefault="00623B64" w:rsidP="00E9401D">
            <w:pPr>
              <w:pStyle w:val="CETBodytext"/>
              <w:ind w:right="-1"/>
              <w:jc w:val="left"/>
              <w:rPr>
                <w:rFonts w:cs="Arial"/>
                <w:szCs w:val="18"/>
                <w:lang w:val="en-GB"/>
              </w:rPr>
            </w:pPr>
            <w:r w:rsidRPr="00CA47F8">
              <w:rPr>
                <w:rFonts w:cs="Arial"/>
                <w:szCs w:val="18"/>
                <w:lang w:val="en-GB"/>
              </w:rPr>
              <w:t>4.40</w:t>
            </w:r>
          </w:p>
        </w:tc>
        <w:tc>
          <w:tcPr>
            <w:tcW w:w="850" w:type="dxa"/>
            <w:shd w:val="clear" w:color="auto" w:fill="FFFFFF"/>
            <w:vAlign w:val="center"/>
          </w:tcPr>
          <w:p w14:paraId="0E9E96CE" w14:textId="3B05983A" w:rsidR="00623B64" w:rsidRPr="00CA47F8" w:rsidRDefault="00623B64" w:rsidP="00E9401D">
            <w:pPr>
              <w:pStyle w:val="CETBodytext"/>
              <w:ind w:right="-1"/>
              <w:jc w:val="left"/>
              <w:rPr>
                <w:lang w:val="en-GB"/>
              </w:rPr>
            </w:pPr>
            <w:r w:rsidRPr="00CA47F8">
              <w:rPr>
                <w:lang w:val="en-GB"/>
              </w:rPr>
              <w:t>4.00</w:t>
            </w:r>
          </w:p>
        </w:tc>
        <w:tc>
          <w:tcPr>
            <w:tcW w:w="0" w:type="auto"/>
            <w:shd w:val="clear" w:color="auto" w:fill="FFFFFF"/>
            <w:vAlign w:val="center"/>
          </w:tcPr>
          <w:p w14:paraId="69A14CD4" w14:textId="0436D7E5" w:rsidR="00623B64" w:rsidRPr="00CA47F8" w:rsidRDefault="00623B64" w:rsidP="00E9401D">
            <w:pPr>
              <w:pStyle w:val="CETBodytext"/>
              <w:ind w:right="-1"/>
              <w:jc w:val="left"/>
              <w:rPr>
                <w:lang w:val="en-GB"/>
              </w:rPr>
            </w:pPr>
            <w:r w:rsidRPr="00CA47F8">
              <w:rPr>
                <w:lang w:val="en-GB"/>
              </w:rPr>
              <w:t>Slightly decrease</w:t>
            </w:r>
          </w:p>
        </w:tc>
      </w:tr>
      <w:tr w:rsidR="006B27F9" w:rsidRPr="00CA47F8" w14:paraId="57D4F4F4" w14:textId="3BD38C94" w:rsidTr="006B27F9">
        <w:trPr>
          <w:trHeight w:val="204"/>
          <w:jc w:val="center"/>
        </w:trPr>
        <w:tc>
          <w:tcPr>
            <w:tcW w:w="5386" w:type="dxa"/>
            <w:shd w:val="clear" w:color="auto" w:fill="FFFFFF"/>
            <w:vAlign w:val="center"/>
          </w:tcPr>
          <w:p w14:paraId="2FBB6EEE" w14:textId="4AA3190A" w:rsidR="00623B64" w:rsidRPr="00CA47F8" w:rsidRDefault="00623B64" w:rsidP="00E9401D">
            <w:pPr>
              <w:pStyle w:val="CETBodytext"/>
              <w:jc w:val="left"/>
              <w:rPr>
                <w:lang w:val="en-GB"/>
              </w:rPr>
            </w:pPr>
            <w:r w:rsidRPr="00CA47F8">
              <w:rPr>
                <w:lang w:val="en-GB"/>
              </w:rPr>
              <w:t xml:space="preserve">Upper flammability limit [%vol] </w:t>
            </w:r>
          </w:p>
        </w:tc>
        <w:tc>
          <w:tcPr>
            <w:tcW w:w="850" w:type="dxa"/>
            <w:shd w:val="clear" w:color="auto" w:fill="FFFFFF"/>
            <w:vAlign w:val="center"/>
          </w:tcPr>
          <w:p w14:paraId="449B68EB" w14:textId="4F58A431" w:rsidR="00623B64" w:rsidRPr="00CA47F8" w:rsidRDefault="00623B64" w:rsidP="00E9401D">
            <w:pPr>
              <w:pStyle w:val="CETBodytext"/>
              <w:ind w:right="-1"/>
              <w:jc w:val="left"/>
              <w:rPr>
                <w:rFonts w:cs="Arial"/>
                <w:szCs w:val="18"/>
                <w:lang w:val="en-GB"/>
              </w:rPr>
            </w:pPr>
            <w:r w:rsidRPr="00CA47F8">
              <w:rPr>
                <w:rFonts w:cs="Arial"/>
                <w:szCs w:val="18"/>
                <w:lang w:val="en-GB"/>
              </w:rPr>
              <w:t>15.50</w:t>
            </w:r>
          </w:p>
        </w:tc>
        <w:tc>
          <w:tcPr>
            <w:tcW w:w="850" w:type="dxa"/>
            <w:shd w:val="clear" w:color="auto" w:fill="FFFFFF"/>
            <w:vAlign w:val="center"/>
          </w:tcPr>
          <w:p w14:paraId="1914CBA7" w14:textId="4CD7A8E5" w:rsidR="00623B64" w:rsidRPr="00CA47F8" w:rsidRDefault="00623B64" w:rsidP="00E9401D">
            <w:pPr>
              <w:pStyle w:val="CETBodytext"/>
              <w:ind w:right="-1"/>
              <w:jc w:val="left"/>
              <w:rPr>
                <w:lang w:val="en-GB"/>
              </w:rPr>
            </w:pPr>
            <w:r w:rsidRPr="00CA47F8">
              <w:rPr>
                <w:lang w:val="en-GB"/>
              </w:rPr>
              <w:t>72.00</w:t>
            </w:r>
          </w:p>
        </w:tc>
        <w:tc>
          <w:tcPr>
            <w:tcW w:w="0" w:type="auto"/>
            <w:shd w:val="clear" w:color="auto" w:fill="FFFFFF"/>
            <w:vAlign w:val="center"/>
          </w:tcPr>
          <w:p w14:paraId="11111811" w14:textId="2985E157" w:rsidR="00623B64" w:rsidRPr="00CA47F8" w:rsidRDefault="00623B64" w:rsidP="00E9401D">
            <w:pPr>
              <w:pStyle w:val="CETBodytext"/>
              <w:ind w:right="-1"/>
              <w:jc w:val="left"/>
              <w:rPr>
                <w:lang w:val="en-GB"/>
              </w:rPr>
            </w:pPr>
            <w:r w:rsidRPr="00CA47F8">
              <w:rPr>
                <w:lang w:val="en-GB"/>
              </w:rPr>
              <w:t>Increase</w:t>
            </w:r>
          </w:p>
        </w:tc>
      </w:tr>
      <w:tr w:rsidR="006B27F9" w:rsidRPr="00CA47F8" w14:paraId="636F89EF" w14:textId="5C0DBF18" w:rsidTr="006B27F9">
        <w:trPr>
          <w:trHeight w:val="204"/>
          <w:jc w:val="center"/>
        </w:trPr>
        <w:tc>
          <w:tcPr>
            <w:tcW w:w="5386" w:type="dxa"/>
            <w:shd w:val="clear" w:color="auto" w:fill="FFFFFF"/>
            <w:vAlign w:val="center"/>
          </w:tcPr>
          <w:p w14:paraId="4A63DAF1" w14:textId="394B9DEF" w:rsidR="00623B64" w:rsidRPr="00CA47F8" w:rsidRDefault="00623B64" w:rsidP="00E9401D">
            <w:pPr>
              <w:pStyle w:val="CETBodytext"/>
              <w:jc w:val="left"/>
              <w:rPr>
                <w:lang w:val="en-GB"/>
              </w:rPr>
            </w:pPr>
            <w:r w:rsidRPr="00CA47F8">
              <w:rPr>
                <w:lang w:val="en-GB"/>
              </w:rPr>
              <w:t>Fundamental burning velocity [m s</w:t>
            </w:r>
            <w:r w:rsidRPr="00CA47F8">
              <w:rPr>
                <w:vertAlign w:val="superscript"/>
                <w:lang w:val="en-GB"/>
              </w:rPr>
              <w:t>-1</w:t>
            </w:r>
            <w:r w:rsidRPr="00CA47F8">
              <w:rPr>
                <w:lang w:val="en-GB"/>
              </w:rPr>
              <w:t xml:space="preserve">] </w:t>
            </w:r>
          </w:p>
        </w:tc>
        <w:tc>
          <w:tcPr>
            <w:tcW w:w="850" w:type="dxa"/>
            <w:shd w:val="clear" w:color="auto" w:fill="FFFFFF"/>
            <w:vAlign w:val="center"/>
          </w:tcPr>
          <w:p w14:paraId="73D3250B" w14:textId="50C6AA41" w:rsidR="00623B64" w:rsidRPr="00CA47F8" w:rsidRDefault="00623B64" w:rsidP="00E9401D">
            <w:pPr>
              <w:pStyle w:val="CETBodytext"/>
              <w:ind w:right="-1"/>
              <w:jc w:val="left"/>
              <w:rPr>
                <w:rFonts w:cs="Arial"/>
                <w:szCs w:val="18"/>
                <w:lang w:val="en-GB"/>
              </w:rPr>
            </w:pPr>
            <w:r w:rsidRPr="00CA47F8">
              <w:rPr>
                <w:rFonts w:cs="Arial"/>
                <w:szCs w:val="18"/>
                <w:lang w:val="en-GB"/>
              </w:rPr>
              <w:t xml:space="preserve">0.38 </w:t>
            </w:r>
          </w:p>
        </w:tc>
        <w:tc>
          <w:tcPr>
            <w:tcW w:w="850" w:type="dxa"/>
            <w:shd w:val="clear" w:color="auto" w:fill="FFFFFF"/>
            <w:vAlign w:val="center"/>
          </w:tcPr>
          <w:p w14:paraId="0640FA81" w14:textId="3B14FEFC" w:rsidR="00623B64" w:rsidRPr="00CA47F8" w:rsidRDefault="00623B64" w:rsidP="00E9401D">
            <w:pPr>
              <w:pStyle w:val="CETBodytext"/>
              <w:ind w:right="-1"/>
              <w:jc w:val="left"/>
              <w:rPr>
                <w:lang w:val="en-GB"/>
              </w:rPr>
            </w:pPr>
            <w:r w:rsidRPr="00CA47F8">
              <w:rPr>
                <w:lang w:val="en-GB"/>
              </w:rPr>
              <w:t>3.0</w:t>
            </w:r>
          </w:p>
        </w:tc>
        <w:tc>
          <w:tcPr>
            <w:tcW w:w="0" w:type="auto"/>
            <w:shd w:val="clear" w:color="auto" w:fill="FFFFFF"/>
            <w:vAlign w:val="center"/>
          </w:tcPr>
          <w:p w14:paraId="1FC4FECC" w14:textId="180B0E46" w:rsidR="00623B64" w:rsidRPr="00CA47F8" w:rsidRDefault="000E4E82" w:rsidP="00E9401D">
            <w:pPr>
              <w:pStyle w:val="CETBodytext"/>
              <w:ind w:right="-1"/>
              <w:jc w:val="left"/>
              <w:rPr>
                <w:lang w:val="en-GB"/>
              </w:rPr>
            </w:pPr>
            <w:r w:rsidRPr="00CA47F8">
              <w:rPr>
                <w:lang w:val="en-GB"/>
              </w:rPr>
              <w:t>Slightly increase</w:t>
            </w:r>
          </w:p>
        </w:tc>
      </w:tr>
      <w:tr w:rsidR="006B27F9" w:rsidRPr="00CA47F8" w14:paraId="0B16E589" w14:textId="5F557EFC" w:rsidTr="006B27F9">
        <w:trPr>
          <w:trHeight w:val="204"/>
          <w:jc w:val="center"/>
        </w:trPr>
        <w:tc>
          <w:tcPr>
            <w:tcW w:w="5386" w:type="dxa"/>
            <w:shd w:val="clear" w:color="auto" w:fill="FFFFFF"/>
            <w:vAlign w:val="center"/>
          </w:tcPr>
          <w:p w14:paraId="7C47067E" w14:textId="6C2A1046" w:rsidR="00623B64" w:rsidRPr="00CA47F8" w:rsidRDefault="00623B64" w:rsidP="00E9401D">
            <w:pPr>
              <w:pStyle w:val="CETBodytext"/>
              <w:jc w:val="left"/>
              <w:rPr>
                <w:lang w:val="en-GB"/>
              </w:rPr>
            </w:pPr>
            <w:r w:rsidRPr="00CA47F8">
              <w:rPr>
                <w:lang w:val="en-GB"/>
              </w:rPr>
              <w:t>Lower heat of combustion</w:t>
            </w:r>
          </w:p>
        </w:tc>
        <w:tc>
          <w:tcPr>
            <w:tcW w:w="850" w:type="dxa"/>
            <w:shd w:val="clear" w:color="auto" w:fill="FFFFFF"/>
            <w:vAlign w:val="center"/>
          </w:tcPr>
          <w:p w14:paraId="4BD10E67" w14:textId="6E0E4943" w:rsidR="00623B64" w:rsidRPr="00CA47F8" w:rsidRDefault="00623B64" w:rsidP="00E9401D">
            <w:pPr>
              <w:pStyle w:val="CETBodytext"/>
              <w:ind w:right="-1"/>
              <w:jc w:val="left"/>
              <w:rPr>
                <w:rFonts w:cs="Arial"/>
                <w:szCs w:val="18"/>
                <w:lang w:val="en-GB"/>
              </w:rPr>
            </w:pPr>
          </w:p>
        </w:tc>
        <w:tc>
          <w:tcPr>
            <w:tcW w:w="850" w:type="dxa"/>
            <w:shd w:val="clear" w:color="auto" w:fill="FFFFFF"/>
            <w:vAlign w:val="center"/>
          </w:tcPr>
          <w:p w14:paraId="2E225E5C" w14:textId="318FA088" w:rsidR="00623B64" w:rsidRPr="00CA47F8" w:rsidRDefault="00623B64" w:rsidP="00E9401D">
            <w:pPr>
              <w:pStyle w:val="CETBodytext"/>
              <w:ind w:right="-1"/>
              <w:jc w:val="left"/>
              <w:rPr>
                <w:lang w:val="en-GB"/>
              </w:rPr>
            </w:pPr>
          </w:p>
        </w:tc>
        <w:tc>
          <w:tcPr>
            <w:tcW w:w="0" w:type="auto"/>
            <w:shd w:val="clear" w:color="auto" w:fill="FFFFFF"/>
            <w:vAlign w:val="center"/>
          </w:tcPr>
          <w:p w14:paraId="20161B02" w14:textId="351D7099" w:rsidR="00623B64" w:rsidRPr="00CA47F8" w:rsidRDefault="00623B64" w:rsidP="00E9401D">
            <w:pPr>
              <w:pStyle w:val="CETBodytext"/>
              <w:ind w:right="-1"/>
              <w:jc w:val="left"/>
              <w:rPr>
                <w:lang w:val="en-GB"/>
              </w:rPr>
            </w:pPr>
          </w:p>
        </w:tc>
      </w:tr>
      <w:tr w:rsidR="006B27F9" w:rsidRPr="00CA47F8" w14:paraId="227A4F84" w14:textId="77777777" w:rsidTr="006B27F9">
        <w:trPr>
          <w:trHeight w:val="204"/>
          <w:jc w:val="center"/>
        </w:trPr>
        <w:tc>
          <w:tcPr>
            <w:tcW w:w="5386" w:type="dxa"/>
            <w:shd w:val="clear" w:color="auto" w:fill="FFFFFF"/>
            <w:vAlign w:val="center"/>
          </w:tcPr>
          <w:p w14:paraId="4A8F09B0" w14:textId="496ED26C" w:rsidR="006B27F9" w:rsidRPr="00CA47F8" w:rsidRDefault="006B27F9" w:rsidP="00E9401D">
            <w:pPr>
              <w:pStyle w:val="CETBodytext"/>
              <w:jc w:val="left"/>
              <w:rPr>
                <w:lang w:val="en-GB"/>
              </w:rPr>
            </w:pPr>
            <w:r w:rsidRPr="00CA47F8">
              <w:rPr>
                <w:lang w:val="en-GB"/>
              </w:rPr>
              <w:t xml:space="preserve">  per unit mass [MJ kg</w:t>
            </w:r>
            <w:r w:rsidRPr="00CA47F8">
              <w:rPr>
                <w:vertAlign w:val="superscript"/>
                <w:lang w:val="en-GB"/>
              </w:rPr>
              <w:t>-1</w:t>
            </w:r>
            <w:r w:rsidRPr="00CA47F8">
              <w:rPr>
                <w:lang w:val="en-GB"/>
              </w:rPr>
              <w:t>]</w:t>
            </w:r>
          </w:p>
        </w:tc>
        <w:tc>
          <w:tcPr>
            <w:tcW w:w="850" w:type="dxa"/>
            <w:shd w:val="clear" w:color="auto" w:fill="FFFFFF"/>
            <w:vAlign w:val="center"/>
          </w:tcPr>
          <w:p w14:paraId="6C737F86" w14:textId="72646905" w:rsidR="006B27F9" w:rsidRPr="00CA47F8" w:rsidRDefault="006B27F9" w:rsidP="00E9401D">
            <w:pPr>
              <w:pStyle w:val="CETBodytext"/>
              <w:ind w:right="-1"/>
              <w:jc w:val="left"/>
              <w:rPr>
                <w:rFonts w:cs="Arial"/>
                <w:szCs w:val="18"/>
                <w:lang w:val="en-GB"/>
              </w:rPr>
            </w:pPr>
            <w:r w:rsidRPr="00CA47F8">
              <w:rPr>
                <w:rFonts w:cs="Arial"/>
                <w:szCs w:val="18"/>
                <w:lang w:val="en-GB"/>
              </w:rPr>
              <w:t>50</w:t>
            </w:r>
          </w:p>
        </w:tc>
        <w:tc>
          <w:tcPr>
            <w:tcW w:w="850" w:type="dxa"/>
            <w:shd w:val="clear" w:color="auto" w:fill="FFFFFF"/>
            <w:vAlign w:val="center"/>
          </w:tcPr>
          <w:p w14:paraId="25F028AC" w14:textId="4AC39F6D" w:rsidR="006B27F9" w:rsidRPr="00CA47F8" w:rsidRDefault="006B27F9" w:rsidP="00E9401D">
            <w:pPr>
              <w:pStyle w:val="CETBodytext"/>
              <w:ind w:right="-1"/>
              <w:jc w:val="left"/>
              <w:rPr>
                <w:lang w:val="en-GB"/>
              </w:rPr>
            </w:pPr>
            <w:r w:rsidRPr="00CA47F8">
              <w:rPr>
                <w:lang w:val="en-GB"/>
              </w:rPr>
              <w:t>120</w:t>
            </w:r>
          </w:p>
        </w:tc>
        <w:tc>
          <w:tcPr>
            <w:tcW w:w="0" w:type="auto"/>
            <w:shd w:val="clear" w:color="auto" w:fill="FFFFFF"/>
            <w:vAlign w:val="center"/>
          </w:tcPr>
          <w:p w14:paraId="09552508" w14:textId="7B6EB853" w:rsidR="006B27F9" w:rsidRPr="00CA47F8" w:rsidRDefault="006B27F9" w:rsidP="00E9401D">
            <w:pPr>
              <w:pStyle w:val="CETBodytext"/>
              <w:ind w:right="-1"/>
              <w:jc w:val="left"/>
              <w:rPr>
                <w:lang w:val="en-GB"/>
              </w:rPr>
            </w:pPr>
            <w:r w:rsidRPr="00CA47F8">
              <w:rPr>
                <w:lang w:val="en-GB"/>
              </w:rPr>
              <w:t xml:space="preserve">Increase </w:t>
            </w:r>
          </w:p>
        </w:tc>
      </w:tr>
      <w:tr w:rsidR="006B27F9" w:rsidRPr="00CA47F8" w14:paraId="12EC63E6" w14:textId="77777777" w:rsidTr="006B27F9">
        <w:trPr>
          <w:trHeight w:val="204"/>
          <w:jc w:val="center"/>
        </w:trPr>
        <w:tc>
          <w:tcPr>
            <w:tcW w:w="5386" w:type="dxa"/>
            <w:shd w:val="clear" w:color="auto" w:fill="FFFFFF"/>
            <w:vAlign w:val="center"/>
          </w:tcPr>
          <w:p w14:paraId="4CA5423B" w14:textId="6A4C9997" w:rsidR="006B27F9" w:rsidRPr="00CA47F8" w:rsidRDefault="006B27F9" w:rsidP="00E9401D">
            <w:pPr>
              <w:pStyle w:val="CETBodytext"/>
              <w:jc w:val="left"/>
              <w:rPr>
                <w:lang w:val="en-GB"/>
              </w:rPr>
            </w:pPr>
            <w:r w:rsidRPr="00CA47F8">
              <w:rPr>
                <w:lang w:val="en-GB"/>
              </w:rPr>
              <w:t xml:space="preserve">  per unit volume [MJ kg</w:t>
            </w:r>
            <w:r w:rsidRPr="00CA47F8">
              <w:rPr>
                <w:vertAlign w:val="superscript"/>
                <w:lang w:val="en-GB"/>
              </w:rPr>
              <w:t>-1</w:t>
            </w:r>
            <w:r w:rsidRPr="00CA47F8">
              <w:rPr>
                <w:lang w:val="en-GB"/>
              </w:rPr>
              <w:t xml:space="preserve"> mol</w:t>
            </w:r>
            <w:r w:rsidRPr="00CA47F8">
              <w:rPr>
                <w:vertAlign w:val="superscript"/>
                <w:lang w:val="en-GB"/>
              </w:rPr>
              <w:t>-1</w:t>
            </w:r>
            <w:r w:rsidRPr="00CA47F8">
              <w:rPr>
                <w:lang w:val="en-GB"/>
              </w:rPr>
              <w:t>]</w:t>
            </w:r>
          </w:p>
        </w:tc>
        <w:tc>
          <w:tcPr>
            <w:tcW w:w="850" w:type="dxa"/>
            <w:shd w:val="clear" w:color="auto" w:fill="FFFFFF"/>
            <w:vAlign w:val="center"/>
          </w:tcPr>
          <w:p w14:paraId="7AEABD07" w14:textId="3C605764" w:rsidR="006B27F9" w:rsidRPr="00CA47F8" w:rsidRDefault="006B27F9" w:rsidP="00E9401D">
            <w:pPr>
              <w:pStyle w:val="CETBodytext"/>
              <w:ind w:right="-1"/>
              <w:jc w:val="left"/>
              <w:rPr>
                <w:rFonts w:cs="Arial"/>
                <w:szCs w:val="18"/>
                <w:lang w:val="en-GB"/>
              </w:rPr>
            </w:pPr>
            <w:r w:rsidRPr="00CA47F8">
              <w:rPr>
                <w:rFonts w:cs="Arial"/>
                <w:szCs w:val="18"/>
                <w:lang w:val="en-GB"/>
              </w:rPr>
              <w:t>800</w:t>
            </w:r>
          </w:p>
        </w:tc>
        <w:tc>
          <w:tcPr>
            <w:tcW w:w="850" w:type="dxa"/>
            <w:shd w:val="clear" w:color="auto" w:fill="FFFFFF"/>
            <w:vAlign w:val="center"/>
          </w:tcPr>
          <w:p w14:paraId="1A62AF74" w14:textId="1B3B5533" w:rsidR="006B27F9" w:rsidRPr="00CA47F8" w:rsidRDefault="006B27F9" w:rsidP="00E9401D">
            <w:pPr>
              <w:pStyle w:val="CETBodytext"/>
              <w:ind w:right="-1"/>
              <w:jc w:val="left"/>
              <w:rPr>
                <w:lang w:val="en-GB"/>
              </w:rPr>
            </w:pPr>
            <w:r w:rsidRPr="00CA47F8">
              <w:rPr>
                <w:lang w:val="en-GB"/>
              </w:rPr>
              <w:t>240</w:t>
            </w:r>
          </w:p>
        </w:tc>
        <w:tc>
          <w:tcPr>
            <w:tcW w:w="0" w:type="auto"/>
            <w:shd w:val="clear" w:color="auto" w:fill="FFFFFF"/>
            <w:vAlign w:val="center"/>
          </w:tcPr>
          <w:p w14:paraId="56F1BCFF" w14:textId="1C6A5320" w:rsidR="006B27F9" w:rsidRPr="00CA47F8" w:rsidRDefault="006B27F9" w:rsidP="00E9401D">
            <w:pPr>
              <w:pStyle w:val="CETBodytext"/>
              <w:ind w:right="-1"/>
              <w:jc w:val="left"/>
              <w:rPr>
                <w:lang w:val="en-GB"/>
              </w:rPr>
            </w:pPr>
            <w:r w:rsidRPr="00CA47F8">
              <w:rPr>
                <w:lang w:val="en-GB"/>
              </w:rPr>
              <w:t>Decrease</w:t>
            </w:r>
          </w:p>
        </w:tc>
      </w:tr>
      <w:tr w:rsidR="006B27F9" w:rsidRPr="00CA47F8" w14:paraId="05C28D7A" w14:textId="3EC262F5" w:rsidTr="006B27F9">
        <w:trPr>
          <w:trHeight w:val="204"/>
          <w:jc w:val="center"/>
        </w:trPr>
        <w:tc>
          <w:tcPr>
            <w:tcW w:w="5386" w:type="dxa"/>
            <w:shd w:val="clear" w:color="auto" w:fill="FFFFFF"/>
            <w:vAlign w:val="center"/>
          </w:tcPr>
          <w:p w14:paraId="2596124D" w14:textId="705DF5B6" w:rsidR="00623B64" w:rsidRPr="00CA47F8" w:rsidRDefault="00623B64" w:rsidP="00E9401D">
            <w:pPr>
              <w:pStyle w:val="CETBodytext"/>
              <w:jc w:val="left"/>
              <w:rPr>
                <w:lang w:val="en-GB"/>
              </w:rPr>
            </w:pPr>
            <w:r w:rsidRPr="00CA47F8">
              <w:rPr>
                <w:lang w:val="en-GB"/>
              </w:rPr>
              <w:t>Detonation cell size [mm]</w:t>
            </w:r>
          </w:p>
        </w:tc>
        <w:tc>
          <w:tcPr>
            <w:tcW w:w="850" w:type="dxa"/>
            <w:shd w:val="clear" w:color="auto" w:fill="FFFFFF"/>
            <w:vAlign w:val="center"/>
          </w:tcPr>
          <w:p w14:paraId="0948CD85" w14:textId="7FCA9BAF" w:rsidR="00623B64" w:rsidRPr="00CA47F8" w:rsidRDefault="00623B64" w:rsidP="00E9401D">
            <w:pPr>
              <w:pStyle w:val="CETBodytext"/>
              <w:ind w:right="-1"/>
              <w:jc w:val="left"/>
              <w:rPr>
                <w:rFonts w:cs="Arial"/>
                <w:szCs w:val="18"/>
                <w:lang w:val="en-GB"/>
              </w:rPr>
            </w:pPr>
            <w:r w:rsidRPr="00CA47F8">
              <w:rPr>
                <w:rFonts w:cs="Arial"/>
                <w:szCs w:val="18"/>
                <w:lang w:val="en-GB"/>
              </w:rPr>
              <w:t>300</w:t>
            </w:r>
          </w:p>
        </w:tc>
        <w:tc>
          <w:tcPr>
            <w:tcW w:w="850" w:type="dxa"/>
            <w:shd w:val="clear" w:color="auto" w:fill="FFFFFF"/>
            <w:vAlign w:val="center"/>
          </w:tcPr>
          <w:p w14:paraId="49012DF9" w14:textId="5B713FE2" w:rsidR="00623B64" w:rsidRPr="00CA47F8" w:rsidRDefault="00623B64" w:rsidP="00E9401D">
            <w:pPr>
              <w:pStyle w:val="CETBodytext"/>
              <w:ind w:right="-1"/>
              <w:jc w:val="left"/>
              <w:rPr>
                <w:lang w:val="en-GB"/>
              </w:rPr>
            </w:pPr>
            <w:r w:rsidRPr="00CA47F8">
              <w:rPr>
                <w:lang w:val="en-GB"/>
              </w:rPr>
              <w:t>10</w:t>
            </w:r>
          </w:p>
        </w:tc>
        <w:tc>
          <w:tcPr>
            <w:tcW w:w="0" w:type="auto"/>
            <w:shd w:val="clear" w:color="auto" w:fill="FFFFFF"/>
            <w:vAlign w:val="center"/>
          </w:tcPr>
          <w:p w14:paraId="33595945" w14:textId="62D68063" w:rsidR="00623B64" w:rsidRPr="00CA47F8" w:rsidRDefault="000E4E82" w:rsidP="00E9401D">
            <w:pPr>
              <w:pStyle w:val="CETBodytext"/>
              <w:ind w:right="-1"/>
              <w:jc w:val="left"/>
              <w:rPr>
                <w:lang w:val="en-GB"/>
              </w:rPr>
            </w:pPr>
            <w:r w:rsidRPr="00CA47F8">
              <w:rPr>
                <w:lang w:val="en-GB"/>
              </w:rPr>
              <w:t>Decrease</w:t>
            </w:r>
          </w:p>
        </w:tc>
      </w:tr>
      <w:tr w:rsidR="006B27F9" w:rsidRPr="00CA47F8" w14:paraId="4AE71ADF" w14:textId="562632FF" w:rsidTr="006B27F9">
        <w:trPr>
          <w:trHeight w:val="204"/>
          <w:jc w:val="center"/>
        </w:trPr>
        <w:tc>
          <w:tcPr>
            <w:tcW w:w="5386" w:type="dxa"/>
            <w:shd w:val="clear" w:color="auto" w:fill="FFFFFF"/>
            <w:vAlign w:val="center"/>
          </w:tcPr>
          <w:p w14:paraId="49566B80" w14:textId="350E79EB" w:rsidR="00623B64" w:rsidRPr="00CA47F8" w:rsidRDefault="00623B64" w:rsidP="00E9401D">
            <w:pPr>
              <w:pStyle w:val="CETBodytext"/>
              <w:jc w:val="left"/>
              <w:rPr>
                <w:lang w:val="en-GB"/>
              </w:rPr>
            </w:pPr>
            <w:r w:rsidRPr="00CA47F8">
              <w:rPr>
                <w:lang w:val="en-GB"/>
              </w:rPr>
              <w:t>Minimum spark ignition energy [</w:t>
            </w:r>
            <w:proofErr w:type="spellStart"/>
            <w:r w:rsidRPr="00CA47F8">
              <w:rPr>
                <w:lang w:val="en-GB"/>
              </w:rPr>
              <w:t>mJ</w:t>
            </w:r>
            <w:proofErr w:type="spellEnd"/>
            <w:r w:rsidRPr="00CA47F8">
              <w:rPr>
                <w:lang w:val="en-GB"/>
              </w:rPr>
              <w:t>]</w:t>
            </w:r>
          </w:p>
        </w:tc>
        <w:tc>
          <w:tcPr>
            <w:tcW w:w="850" w:type="dxa"/>
            <w:shd w:val="clear" w:color="auto" w:fill="FFFFFF"/>
            <w:vAlign w:val="center"/>
          </w:tcPr>
          <w:p w14:paraId="1366FAAC" w14:textId="76A08184" w:rsidR="00623B64" w:rsidRPr="00CA47F8" w:rsidRDefault="00623B64" w:rsidP="00E9401D">
            <w:pPr>
              <w:pStyle w:val="CETBodytext"/>
              <w:ind w:right="-1"/>
              <w:jc w:val="left"/>
              <w:rPr>
                <w:rFonts w:cs="Arial"/>
                <w:szCs w:val="18"/>
                <w:lang w:val="en-GB"/>
              </w:rPr>
            </w:pPr>
            <w:r w:rsidRPr="00CA47F8">
              <w:rPr>
                <w:rFonts w:cs="Arial"/>
                <w:szCs w:val="18"/>
                <w:lang w:val="en-GB"/>
              </w:rPr>
              <w:t>0.21</w:t>
            </w:r>
          </w:p>
        </w:tc>
        <w:tc>
          <w:tcPr>
            <w:tcW w:w="850" w:type="dxa"/>
            <w:shd w:val="clear" w:color="auto" w:fill="FFFFFF"/>
            <w:vAlign w:val="center"/>
          </w:tcPr>
          <w:p w14:paraId="70AB64E9" w14:textId="132B5BB4" w:rsidR="00623B64" w:rsidRPr="00CA47F8" w:rsidRDefault="00623B64" w:rsidP="00E9401D">
            <w:pPr>
              <w:pStyle w:val="CETBodytext"/>
              <w:ind w:right="-1"/>
              <w:jc w:val="left"/>
              <w:rPr>
                <w:lang w:val="en-GB"/>
              </w:rPr>
            </w:pPr>
            <w:r w:rsidRPr="00CA47F8">
              <w:rPr>
                <w:lang w:val="en-GB"/>
              </w:rPr>
              <w:t>0.016</w:t>
            </w:r>
          </w:p>
        </w:tc>
        <w:tc>
          <w:tcPr>
            <w:tcW w:w="0" w:type="auto"/>
            <w:shd w:val="clear" w:color="auto" w:fill="FFFFFF"/>
            <w:vAlign w:val="center"/>
          </w:tcPr>
          <w:p w14:paraId="2F898CB0" w14:textId="2E27F186" w:rsidR="00623B64" w:rsidRPr="00CA47F8" w:rsidRDefault="000E4E82" w:rsidP="00E9401D">
            <w:pPr>
              <w:pStyle w:val="CETBodytext"/>
              <w:ind w:right="-1"/>
              <w:jc w:val="left"/>
              <w:rPr>
                <w:lang w:val="en-GB"/>
              </w:rPr>
            </w:pPr>
            <w:r w:rsidRPr="00CA47F8">
              <w:rPr>
                <w:lang w:val="en-GB"/>
              </w:rPr>
              <w:t>Decrease</w:t>
            </w:r>
          </w:p>
        </w:tc>
      </w:tr>
      <w:tr w:rsidR="006B27F9" w:rsidRPr="00CA47F8" w14:paraId="4BC4B6BB" w14:textId="30A5E144" w:rsidTr="006B27F9">
        <w:trPr>
          <w:trHeight w:val="204"/>
          <w:jc w:val="center"/>
        </w:trPr>
        <w:tc>
          <w:tcPr>
            <w:tcW w:w="5386" w:type="dxa"/>
            <w:shd w:val="clear" w:color="auto" w:fill="FFFFFF"/>
            <w:vAlign w:val="center"/>
          </w:tcPr>
          <w:p w14:paraId="0EDAD3CB" w14:textId="263B57C6" w:rsidR="00623B64" w:rsidRPr="00CA47F8" w:rsidRDefault="00623B64" w:rsidP="00E9401D">
            <w:pPr>
              <w:pStyle w:val="CETBodytext"/>
              <w:ind w:right="-1"/>
              <w:jc w:val="left"/>
              <w:rPr>
                <w:lang w:val="en-GB"/>
              </w:rPr>
            </w:pPr>
            <w:r w:rsidRPr="00CA47F8">
              <w:rPr>
                <w:lang w:val="en-GB"/>
              </w:rPr>
              <w:t>Autoignition temperature [°C]</w:t>
            </w:r>
          </w:p>
        </w:tc>
        <w:tc>
          <w:tcPr>
            <w:tcW w:w="850" w:type="dxa"/>
            <w:shd w:val="clear" w:color="auto" w:fill="FFFFFF"/>
            <w:vAlign w:val="center"/>
          </w:tcPr>
          <w:p w14:paraId="7BFBCDB6" w14:textId="0FFF77D2" w:rsidR="00623B64" w:rsidRPr="00CA47F8" w:rsidRDefault="00623B64" w:rsidP="00E9401D">
            <w:pPr>
              <w:pStyle w:val="CETBodytext"/>
              <w:ind w:right="-1"/>
              <w:jc w:val="left"/>
              <w:rPr>
                <w:rFonts w:cs="Arial"/>
                <w:szCs w:val="18"/>
                <w:lang w:val="en-GB"/>
              </w:rPr>
            </w:pPr>
            <w:r w:rsidRPr="00CA47F8">
              <w:rPr>
                <w:rFonts w:cs="Arial"/>
                <w:szCs w:val="18"/>
                <w:lang w:val="en-GB"/>
              </w:rPr>
              <w:t>600</w:t>
            </w:r>
          </w:p>
        </w:tc>
        <w:tc>
          <w:tcPr>
            <w:tcW w:w="850" w:type="dxa"/>
            <w:shd w:val="clear" w:color="auto" w:fill="FFFFFF"/>
            <w:vAlign w:val="center"/>
          </w:tcPr>
          <w:p w14:paraId="060FBD73" w14:textId="05D12D45" w:rsidR="00623B64" w:rsidRPr="00CA47F8" w:rsidRDefault="00623B64" w:rsidP="00E9401D">
            <w:pPr>
              <w:pStyle w:val="CETBodytext"/>
              <w:ind w:right="-1"/>
              <w:jc w:val="left"/>
              <w:rPr>
                <w:lang w:val="en-GB"/>
              </w:rPr>
            </w:pPr>
            <w:r w:rsidRPr="00CA47F8">
              <w:rPr>
                <w:lang w:val="en-GB"/>
              </w:rPr>
              <w:t>560</w:t>
            </w:r>
          </w:p>
        </w:tc>
        <w:tc>
          <w:tcPr>
            <w:tcW w:w="0" w:type="auto"/>
            <w:shd w:val="clear" w:color="auto" w:fill="FFFFFF"/>
            <w:vAlign w:val="center"/>
          </w:tcPr>
          <w:p w14:paraId="432B27DF" w14:textId="6210965C" w:rsidR="00623B64" w:rsidRPr="00CA47F8" w:rsidRDefault="00623B64" w:rsidP="00E9401D">
            <w:pPr>
              <w:pStyle w:val="CETBodytext"/>
              <w:ind w:right="-1"/>
              <w:jc w:val="left"/>
              <w:rPr>
                <w:lang w:val="en-GB"/>
              </w:rPr>
            </w:pPr>
            <w:r w:rsidRPr="00CA47F8">
              <w:rPr>
                <w:lang w:val="en-GB"/>
              </w:rPr>
              <w:t>Decrease</w:t>
            </w:r>
          </w:p>
        </w:tc>
      </w:tr>
    </w:tbl>
    <w:p w14:paraId="6A7205F5" w14:textId="15F84639" w:rsidR="00C9147A" w:rsidRPr="00CA47F8" w:rsidRDefault="00504E71" w:rsidP="00CF73EA">
      <w:pPr>
        <w:pStyle w:val="CETBodytext"/>
        <w:rPr>
          <w:lang w:val="en-GB"/>
        </w:rPr>
      </w:pPr>
      <w:r w:rsidRPr="00CA47F8">
        <w:rPr>
          <w:lang w:val="en-GB"/>
        </w:rPr>
        <w:t>*</w:t>
      </w:r>
      <w:r w:rsidR="009563A0" w:rsidRPr="00CA47F8">
        <w:rPr>
          <w:lang w:val="en-GB"/>
        </w:rPr>
        <w:t xml:space="preserve"> </w:t>
      </w:r>
      <w:r w:rsidR="00823AC3" w:rsidRPr="00CA47F8">
        <w:rPr>
          <w:lang w:val="en-GB"/>
        </w:rPr>
        <w:t>Properties</w:t>
      </w:r>
      <w:r w:rsidR="009563A0" w:rsidRPr="00CA47F8">
        <w:rPr>
          <w:lang w:val="en-GB"/>
        </w:rPr>
        <w:t xml:space="preserve"> evaluated </w:t>
      </w:r>
      <w:r w:rsidRPr="00CA47F8">
        <w:rPr>
          <w:lang w:val="en-GB"/>
        </w:rPr>
        <w:t>at 25°C and 10</w:t>
      </w:r>
      <w:r w:rsidR="00EF3B8B" w:rsidRPr="00CA47F8">
        <w:rPr>
          <w:lang w:val="en-GB"/>
        </w:rPr>
        <w:t>0</w:t>
      </w:r>
      <w:r w:rsidRPr="00CA47F8">
        <w:rPr>
          <w:lang w:val="en-GB"/>
        </w:rPr>
        <w:t xml:space="preserve"> </w:t>
      </w:r>
      <w:r w:rsidR="00EF3B8B" w:rsidRPr="00CA47F8">
        <w:rPr>
          <w:lang w:val="en-GB"/>
        </w:rPr>
        <w:t>bar</w:t>
      </w:r>
    </w:p>
    <w:p w14:paraId="5B25BDC5" w14:textId="51EE0688" w:rsidR="00504E71" w:rsidRPr="00CA47F8" w:rsidRDefault="00504E71" w:rsidP="00CF73EA">
      <w:pPr>
        <w:pStyle w:val="CETBodytext"/>
      </w:pPr>
    </w:p>
    <w:p w14:paraId="41332DAF" w14:textId="77777777" w:rsidR="003334AB" w:rsidRPr="00CA47F8" w:rsidRDefault="002565C9" w:rsidP="003334AB">
      <w:pPr>
        <w:tabs>
          <w:tab w:val="clear" w:pos="7100"/>
        </w:tabs>
        <w:spacing w:line="276" w:lineRule="auto"/>
      </w:pPr>
      <w:r w:rsidRPr="00CA47F8">
        <w:t>T</w:t>
      </w:r>
      <w:r w:rsidR="00AC4444" w:rsidRPr="00CA47F8">
        <w:t xml:space="preserve">he </w:t>
      </w:r>
      <w:r w:rsidR="00683D4D" w:rsidRPr="00CA47F8">
        <w:t>presence of hydrogen augments the overall reactivity</w:t>
      </w:r>
      <w:r w:rsidRPr="00CA47F8">
        <w:t>. At the same time, it leads to looser conditions for the ignition of the mixture, as testified by the reported trends for minimum spark ignition energy and autoignition temperature. These trends imply that in the case of ignition</w:t>
      </w:r>
      <w:r w:rsidR="00683D4D" w:rsidRPr="00CA47F8">
        <w:t>,</w:t>
      </w:r>
      <w:r w:rsidRPr="00CA47F8">
        <w:t xml:space="preserve"> more severe consequences could be expected for hydrogen</w:t>
      </w:r>
      <w:r w:rsidR="00C36C65" w:rsidRPr="00CA47F8">
        <w:t>-</w:t>
      </w:r>
      <w:r w:rsidRPr="00CA47F8">
        <w:t xml:space="preserve">enriched methane </w:t>
      </w:r>
      <w:r w:rsidR="00C36C65" w:rsidRPr="00CA47F8">
        <w:t xml:space="preserve">with </w:t>
      </w:r>
      <w:r w:rsidRPr="00CA47F8">
        <w:t>respect to pure methane. However, t</w:t>
      </w:r>
      <w:r w:rsidR="00AC4444" w:rsidRPr="00CA47F8">
        <w:t>he well-known methane-dominated regime</w:t>
      </w:r>
      <w:r w:rsidRPr="00CA47F8">
        <w:t>,</w:t>
      </w:r>
      <w:r w:rsidR="00AC4444" w:rsidRPr="00CA47F8">
        <w:t xml:space="preserve"> observable when hydrogen is added in moderate content (up to 20%v/v) for the laminar burning velocity </w:t>
      </w:r>
      <w:r w:rsidR="00AC4444" w:rsidRPr="00CA47F8">
        <w:fldChar w:fldCharType="begin" w:fldLock="1"/>
      </w:r>
      <w:r w:rsidR="006A508A" w:rsidRPr="00CA47F8">
        <w:instrText>ADDIN CSL_CITATION {"citationItems":[{"id":"ITEM-1","itemData":{"DOI":"10.1016/j.fuel.2018.07.110","ISSN":"00162361","abstract":"The effect of a hydrogen addition to the combustion chemistry of light alkanes was evaluated by the experimental and numerical determination of the laminar burning velocity of methane/propane/hydrogen mixtures in air at different equivalence ratios and fuel compositions by using a heat flux burner. The experimental results have been compared with additional data selected for the main experimental rig commonly adopted in current literature. The obtained set of data was used for the validation of the detailed kinetic model developed by the University of Bologna. Subsequently, an in-depth analysis on the reaction system was carried out in order to evaluate the effects of a low hydrogen content on the reaction paths, concentrations profiles of the main combustion products and temperature profiles with respect to the distance from the burner. Thus, additional information was obtained by means of a sensitivity analysis, evaluating the relative relevance of each reaction on the laminar burning velocity and comparing obtained the results for all the investigated conditions.","author":[{"dropping-particle":"","family":"Salzano","given":"Ernesto","non-dropping-particle":"","parse-names":false,"suffix":""},{"dropping-particle":"","family":"Pio","given":"Gianmaria","non-dropping-particle":"","parse-names":false,"suffix":""},{"dropping-particle":"","family":"Ricca","given":"Antonio","non-dropping-particle":"","parse-names":false,"suffix":""},{"dropping-particle":"","family":"Palma","given":"Vincenzo","non-dropping-particle":"","parse-names":false,"suffix":""}],"container-title":"Fuel","id":"ITEM-1","issued":{"date-parts":[["2018"]]},"page":"1064-1070","title":"The effect of a hydrogen addition to the premixed flame structure of light alkanes","type":"article-journal","volume":"234"},"uris":["http://www.mendeley.com/documents/?uuid=be257fc0-6c15-4622-8368-9642ee64b53c"]}],"mendeley":{"formattedCitation":"(Salzano et al., 2018)","plainTextFormattedCitation":"(Salzano et al., 2018)","previouslyFormattedCitation":"(Salzano et al., 2018)"},"properties":{"noteIndex":0},"schema":"https://github.com/citation-style-language/schema/raw/master/csl-citation.json"}</w:instrText>
      </w:r>
      <w:r w:rsidR="00AC4444" w:rsidRPr="00CA47F8">
        <w:fldChar w:fldCharType="separate"/>
      </w:r>
      <w:r w:rsidR="00AC4444" w:rsidRPr="00CA47F8">
        <w:rPr>
          <w:noProof/>
        </w:rPr>
        <w:t>(Salzano et al., 2018)</w:t>
      </w:r>
      <w:r w:rsidR="00AC4444" w:rsidRPr="00CA47F8">
        <w:fldChar w:fldCharType="end"/>
      </w:r>
      <w:r w:rsidR="00AC4444" w:rsidRPr="00CA47F8">
        <w:t>,</w:t>
      </w:r>
      <w:r w:rsidRPr="00CA47F8">
        <w:t xml:space="preserve"> </w:t>
      </w:r>
      <w:r w:rsidR="00134332" w:rsidRPr="00CA47F8">
        <w:t>together with the heat of combustion</w:t>
      </w:r>
      <w:r w:rsidR="00683D4D" w:rsidRPr="00CA47F8">
        <w:t>,</w:t>
      </w:r>
      <w:r w:rsidR="00134332" w:rsidRPr="00CA47F8">
        <w:t xml:space="preserve"> </w:t>
      </w:r>
      <w:r w:rsidRPr="00CA47F8">
        <w:t xml:space="preserve">suggests that </w:t>
      </w:r>
      <w:r w:rsidR="00134332" w:rsidRPr="00CA47F8">
        <w:t xml:space="preserve">the power produced by a </w:t>
      </w:r>
      <w:r w:rsidR="00FF3D07" w:rsidRPr="00CA47F8">
        <w:t>jet fire</w:t>
      </w:r>
      <w:r w:rsidR="00134332" w:rsidRPr="00CA47F8">
        <w:t xml:space="preserve"> can weakly </w:t>
      </w:r>
      <w:r w:rsidR="00CD0948" w:rsidRPr="00CA47F8">
        <w:t>change for</w:t>
      </w:r>
      <w:r w:rsidR="00134332" w:rsidRPr="00CA47F8">
        <w:t xml:space="preserve"> the composition investigated in this work. For these reasons, numerical investigations were dedicated to the characterization of this scenario.</w:t>
      </w:r>
      <w:r w:rsidR="00BF0DF5" w:rsidRPr="00CA47F8">
        <w:t xml:space="preserve"> Table </w:t>
      </w:r>
      <w:r w:rsidR="00C544F5" w:rsidRPr="00CA47F8">
        <w:t>2</w:t>
      </w:r>
      <w:r w:rsidR="00BF0DF5" w:rsidRPr="00CA47F8">
        <w:t xml:space="preserve"> reports the results obtained by </w:t>
      </w:r>
      <w:r w:rsidR="00683D4D" w:rsidRPr="00CA47F8">
        <w:t>implementing</w:t>
      </w:r>
      <w:r w:rsidR="00BF0DF5" w:rsidRPr="00CA47F8">
        <w:t xml:space="preserve"> the i</w:t>
      </w:r>
      <w:r w:rsidR="00BF0DF5" w:rsidRPr="00CA47F8">
        <w:rPr>
          <w:rFonts w:eastAsiaTheme="minorEastAsia"/>
        </w:rPr>
        <w:t xml:space="preserve">sothermal turbulent choked gas steady jet theory for the </w:t>
      </w:r>
      <w:proofErr w:type="spellStart"/>
      <w:r w:rsidR="00BF0DF5" w:rsidRPr="00CA47F8">
        <w:rPr>
          <w:rFonts w:eastAsiaTheme="minorEastAsia"/>
        </w:rPr>
        <w:t>analysed</w:t>
      </w:r>
      <w:proofErr w:type="spellEnd"/>
      <w:r w:rsidR="00BF0DF5" w:rsidRPr="00CA47F8">
        <w:rPr>
          <w:rFonts w:eastAsiaTheme="minorEastAsia"/>
        </w:rPr>
        <w:t xml:space="preserve"> conditions as a function of the initial composition.</w:t>
      </w:r>
      <w:r w:rsidR="003334AB">
        <w:rPr>
          <w:rFonts w:eastAsiaTheme="minorEastAsia"/>
        </w:rPr>
        <w:t xml:space="preserve"> </w:t>
      </w:r>
      <w:r w:rsidR="003334AB" w:rsidRPr="00CA47F8">
        <w:t xml:space="preserve">A comparison of the results as obtained by PHAST and ANSYS Fluent is provided in Table 3. </w:t>
      </w:r>
    </w:p>
    <w:p w14:paraId="6BA6ABCE" w14:textId="636C7ACC" w:rsidR="009740CD" w:rsidRPr="00CA47F8" w:rsidRDefault="009740CD" w:rsidP="00E315B9">
      <w:pPr>
        <w:pStyle w:val="CETBodytext"/>
        <w:rPr>
          <w:rFonts w:eastAsiaTheme="minorEastAsia"/>
        </w:rPr>
      </w:pPr>
    </w:p>
    <w:p w14:paraId="1DD4A7A6" w14:textId="4271BC68" w:rsidR="00BF0DF5" w:rsidRPr="00CA47F8" w:rsidRDefault="00BF0DF5" w:rsidP="00BF0DF5">
      <w:pPr>
        <w:pStyle w:val="CETCaption"/>
      </w:pPr>
      <w:r w:rsidRPr="00CA47F8">
        <w:t xml:space="preserve">Table </w:t>
      </w:r>
      <w:r w:rsidRPr="00CA47F8">
        <w:fldChar w:fldCharType="begin"/>
      </w:r>
      <w:r w:rsidRPr="00CA47F8">
        <w:instrText xml:space="preserve"> SEQ Table \* ARABIC </w:instrText>
      </w:r>
      <w:r w:rsidRPr="00CA47F8">
        <w:fldChar w:fldCharType="separate"/>
      </w:r>
      <w:r w:rsidR="00C544F5" w:rsidRPr="00CA47F8">
        <w:rPr>
          <w:noProof/>
        </w:rPr>
        <w:t>2</w:t>
      </w:r>
      <w:r w:rsidRPr="00CA47F8">
        <w:fldChar w:fldCharType="end"/>
      </w:r>
      <w:r w:rsidRPr="00CA47F8">
        <w:t>. Conditions resulting from the implementation of the i</w:t>
      </w:r>
      <w:r w:rsidRPr="00CA47F8">
        <w:rPr>
          <w:rFonts w:eastAsiaTheme="minorEastAsia"/>
        </w:rPr>
        <w:t>sothermal turbulent choked gas steady jet theory</w:t>
      </w:r>
      <w:r w:rsidRPr="00CA47F8">
        <w:t xml:space="preserve"> for an orifice of 5 mm</w:t>
      </w:r>
      <w:r w:rsidR="007123CA" w:rsidRPr="00CA47F8">
        <w:t xml:space="preserve"> (</w:t>
      </w:r>
      <m:oMath>
        <m:sSub>
          <m:sSubPr>
            <m:ctrlPr>
              <w:rPr>
                <w:rFonts w:ascii="Cambria Math" w:hAnsi="Cambria Math"/>
                <w:i w:val="0"/>
                <w:szCs w:val="18"/>
              </w:rPr>
            </m:ctrlPr>
          </m:sSubPr>
          <m:e>
            <m:r>
              <w:rPr>
                <w:rFonts w:ascii="Cambria Math" w:hAnsi="Cambria Math"/>
                <w:szCs w:val="18"/>
              </w:rPr>
              <m:t>D</m:t>
            </m:r>
          </m:e>
          <m:sub>
            <m:r>
              <w:rPr>
                <w:rFonts w:ascii="Cambria Math" w:hAnsi="Cambria Math"/>
                <w:szCs w:val="18"/>
              </w:rPr>
              <m:t>e</m:t>
            </m:r>
          </m:sub>
        </m:sSub>
      </m:oMath>
      <w:r w:rsidR="007123CA" w:rsidRPr="00CA47F8">
        <w:rPr>
          <w:szCs w:val="18"/>
        </w:rPr>
        <w:t>)</w:t>
      </w:r>
      <w:r w:rsidRPr="00CA47F8">
        <w:t>,</w:t>
      </w:r>
      <w:r w:rsidR="00814EFA" w:rsidRPr="00CA47F8">
        <w:t xml:space="preserve"> </w:t>
      </w:r>
      <w:r w:rsidRPr="00CA47F8">
        <w:t>initial pressure of 100 bar</w:t>
      </w:r>
      <w:r w:rsidR="007123CA" w:rsidRPr="00CA47F8">
        <w:t xml:space="preserve"> (</w:t>
      </w:r>
      <m:oMath>
        <m:sSub>
          <m:sSubPr>
            <m:ctrlPr>
              <w:rPr>
                <w:rFonts w:ascii="Cambria Math" w:hAnsi="Cambria Math"/>
                <w:i w:val="0"/>
                <w:szCs w:val="18"/>
              </w:rPr>
            </m:ctrlPr>
          </m:sSubPr>
          <m:e>
            <m:r>
              <w:rPr>
                <w:rFonts w:ascii="Cambria Math" w:hAnsi="Cambria Math"/>
                <w:szCs w:val="18"/>
              </w:rPr>
              <m:t>P</m:t>
            </m:r>
          </m:e>
          <m:sub>
            <m:r>
              <w:rPr>
                <w:rFonts w:ascii="Cambria Math" w:hAnsi="Cambria Math"/>
                <w:szCs w:val="18"/>
                <w:lang w:val="en-US"/>
              </w:rPr>
              <m:t>0</m:t>
            </m:r>
          </m:sub>
        </m:sSub>
      </m:oMath>
      <w:r w:rsidR="007123CA" w:rsidRPr="00CA47F8">
        <w:t>)</w:t>
      </w:r>
      <w:r w:rsidRPr="00CA47F8">
        <w:t>,</w:t>
      </w:r>
      <w:r w:rsidR="00814EFA" w:rsidRPr="00CA47F8">
        <w:t xml:space="preserve"> ambient pressure of 1 bar (</w:t>
      </w:r>
      <m:oMath>
        <m:sSub>
          <m:sSubPr>
            <m:ctrlPr>
              <w:rPr>
                <w:rFonts w:ascii="Cambria Math" w:hAnsi="Cambria Math"/>
                <w:i w:val="0"/>
                <w:szCs w:val="18"/>
              </w:rPr>
            </m:ctrlPr>
          </m:sSubPr>
          <m:e>
            <m:r>
              <w:rPr>
                <w:rFonts w:ascii="Cambria Math" w:hAnsi="Cambria Math"/>
                <w:szCs w:val="18"/>
              </w:rPr>
              <m:t>P</m:t>
            </m:r>
          </m:e>
          <m:sub>
            <m:r>
              <w:rPr>
                <w:rFonts w:ascii="Cambria Math" w:hAnsi="Cambria Math"/>
                <w:szCs w:val="18"/>
              </w:rPr>
              <m:t>s</m:t>
            </m:r>
          </m:sub>
        </m:sSub>
      </m:oMath>
      <w:r w:rsidR="00814EFA" w:rsidRPr="00CA47F8">
        <w:rPr>
          <w:szCs w:val="18"/>
        </w:rPr>
        <w:t>), and</w:t>
      </w:r>
      <w:r w:rsidRPr="00CA47F8">
        <w:t xml:space="preserve"> initial temperature of 25 °C</w:t>
      </w:r>
      <w:r w:rsidR="007123CA" w:rsidRPr="00CA47F8">
        <w:t xml:space="preserve"> (</w:t>
      </w:r>
      <m:oMath>
        <m:sSub>
          <m:sSubPr>
            <m:ctrlPr>
              <w:rPr>
                <w:rFonts w:ascii="Cambria Math" w:hAnsi="Cambria Math"/>
                <w:i w:val="0"/>
                <w:szCs w:val="18"/>
              </w:rPr>
            </m:ctrlPr>
          </m:sSubPr>
          <m:e>
            <m:r>
              <w:rPr>
                <w:rFonts w:ascii="Cambria Math" w:hAnsi="Cambria Math"/>
                <w:szCs w:val="18"/>
              </w:rPr>
              <m:t>T</m:t>
            </m:r>
          </m:e>
          <m:sub>
            <m:r>
              <w:rPr>
                <w:rFonts w:ascii="Cambria Math" w:hAnsi="Cambria Math"/>
                <w:szCs w:val="18"/>
                <w:lang w:val="en-US"/>
              </w:rPr>
              <m:t>0</m:t>
            </m:r>
          </m:sub>
        </m:sSub>
      </m:oMath>
      <w:r w:rsidR="007123CA" w:rsidRPr="00CA47F8">
        <w:t xml:space="preserve">), </w:t>
      </w:r>
      <w:r w:rsidRPr="00CA47F8">
        <w:t>at different compositions.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78"/>
        <w:gridCol w:w="981"/>
        <w:gridCol w:w="977"/>
        <w:gridCol w:w="977"/>
        <w:gridCol w:w="977"/>
        <w:gridCol w:w="977"/>
        <w:gridCol w:w="975"/>
        <w:gridCol w:w="977"/>
        <w:gridCol w:w="968"/>
      </w:tblGrid>
      <w:tr w:rsidR="007123CA" w:rsidRPr="00CA47F8" w14:paraId="417E3F0C" w14:textId="358D8071" w:rsidTr="007123CA">
        <w:trPr>
          <w:trHeight w:val="268"/>
        </w:trPr>
        <w:tc>
          <w:tcPr>
            <w:tcW w:w="556" w:type="pct"/>
            <w:tcBorders>
              <w:top w:val="single" w:sz="12" w:space="0" w:color="008000"/>
              <w:bottom w:val="single" w:sz="6" w:space="0" w:color="008000"/>
            </w:tcBorders>
            <w:shd w:val="clear" w:color="auto" w:fill="FFFFFF"/>
            <w:vAlign w:val="center"/>
          </w:tcPr>
          <w:p w14:paraId="2EA0D977" w14:textId="1084DF34" w:rsidR="007123CA" w:rsidRPr="00CA47F8" w:rsidRDefault="007123CA" w:rsidP="00C31C79">
            <w:pPr>
              <w:pStyle w:val="CETBodytext"/>
              <w:ind w:right="-1"/>
              <w:jc w:val="center"/>
              <w:rPr>
                <w:rFonts w:cs="Arial"/>
                <w:szCs w:val="18"/>
                <w:lang w:val="en-GB"/>
              </w:rPr>
            </w:pPr>
            <w:r w:rsidRPr="00CA47F8">
              <w:rPr>
                <w:rFonts w:cs="Arial"/>
                <w:szCs w:val="18"/>
                <w:lang w:val="en-GB"/>
              </w:rPr>
              <w:t>H</w:t>
            </w:r>
            <w:r w:rsidRPr="00CA47F8">
              <w:rPr>
                <w:rFonts w:cs="Arial"/>
                <w:szCs w:val="18"/>
                <w:vertAlign w:val="subscript"/>
                <w:lang w:val="en-GB"/>
              </w:rPr>
              <w:t xml:space="preserve">2 </w:t>
            </w:r>
            <w:r w:rsidRPr="00CA47F8">
              <w:rPr>
                <w:rFonts w:cs="Arial"/>
                <w:szCs w:val="18"/>
                <w:lang w:val="en-GB"/>
              </w:rPr>
              <w:t>[%vol]</w:t>
            </w:r>
          </w:p>
        </w:tc>
        <w:tc>
          <w:tcPr>
            <w:tcW w:w="558" w:type="pct"/>
            <w:tcBorders>
              <w:top w:val="single" w:sz="12" w:space="0" w:color="008000"/>
              <w:bottom w:val="single" w:sz="6" w:space="0" w:color="008000"/>
            </w:tcBorders>
            <w:shd w:val="clear" w:color="auto" w:fill="FFFFFF"/>
          </w:tcPr>
          <w:p w14:paraId="6BC37B13" w14:textId="0D0271B3" w:rsidR="007123CA" w:rsidRPr="00CA47F8" w:rsidRDefault="005127C5" w:rsidP="00C31C79">
            <w:pPr>
              <w:pStyle w:val="CETBodytext"/>
              <w:ind w:right="-1"/>
              <w:jc w:val="center"/>
              <w:rPr>
                <w:rFonts w:cs="Arial"/>
                <w:szCs w:val="18"/>
                <w:lang w:val="en-GB"/>
              </w:rPr>
            </w:pPr>
            <m:oMath>
              <m:sSub>
                <m:sSubPr>
                  <m:ctrlPr>
                    <w:rPr>
                      <w:rFonts w:ascii="Cambria Math" w:hAnsi="Cambria Math" w:cs="Arial"/>
                      <w:szCs w:val="18"/>
                    </w:rPr>
                  </m:ctrlPr>
                </m:sSubPr>
                <m:e>
                  <m:r>
                    <m:rPr>
                      <m:sty m:val="p"/>
                    </m:rPr>
                    <w:rPr>
                      <w:rFonts w:ascii="Cambria Math" w:hAnsi="Cambria Math" w:cs="Arial"/>
                      <w:szCs w:val="18"/>
                    </w:rPr>
                    <m:t>P</m:t>
                  </m:r>
                </m:e>
                <m:sub>
                  <m:r>
                    <m:rPr>
                      <m:sty m:val="p"/>
                    </m:rPr>
                    <w:rPr>
                      <w:rFonts w:ascii="Cambria Math" w:hAnsi="Cambria Math" w:cs="Arial"/>
                      <w:szCs w:val="18"/>
                    </w:rPr>
                    <m:t>e</m:t>
                  </m:r>
                </m:sub>
              </m:sSub>
            </m:oMath>
            <w:r w:rsidR="007123CA" w:rsidRPr="00CA47F8">
              <w:rPr>
                <w:rFonts w:cs="Arial"/>
                <w:szCs w:val="18"/>
              </w:rPr>
              <w:t xml:space="preserve"> </w:t>
            </w:r>
            <w:r w:rsidR="007123CA" w:rsidRPr="00CA47F8">
              <w:rPr>
                <w:rFonts w:cs="Arial"/>
                <w:szCs w:val="18"/>
                <w:lang w:val="en-GB"/>
              </w:rPr>
              <w:t>[bar]</w:t>
            </w:r>
          </w:p>
        </w:tc>
        <w:tc>
          <w:tcPr>
            <w:tcW w:w="556" w:type="pct"/>
            <w:tcBorders>
              <w:top w:val="single" w:sz="12" w:space="0" w:color="008000"/>
              <w:bottom w:val="single" w:sz="6" w:space="0" w:color="008000"/>
            </w:tcBorders>
            <w:shd w:val="clear" w:color="auto" w:fill="FFFFFF"/>
          </w:tcPr>
          <w:p w14:paraId="455587BB" w14:textId="30FB7A7E" w:rsidR="007123CA" w:rsidRPr="00CA47F8" w:rsidRDefault="005127C5" w:rsidP="00C31C79">
            <w:pPr>
              <w:pStyle w:val="CETBodytext"/>
              <w:ind w:right="-1"/>
              <w:jc w:val="center"/>
              <w:rPr>
                <w:rFonts w:cs="Arial"/>
                <w:szCs w:val="18"/>
                <w:lang w:val="en-GB"/>
              </w:rPr>
            </w:pPr>
            <m:oMath>
              <m:sSub>
                <m:sSubPr>
                  <m:ctrlPr>
                    <w:rPr>
                      <w:rFonts w:ascii="Cambria Math" w:hAnsi="Cambria Math" w:cs="Arial"/>
                      <w:szCs w:val="18"/>
                    </w:rPr>
                  </m:ctrlPr>
                </m:sSubPr>
                <m:e>
                  <m:r>
                    <m:rPr>
                      <m:sty m:val="p"/>
                    </m:rPr>
                    <w:rPr>
                      <w:rFonts w:ascii="Cambria Math" w:hAnsi="Cambria Math" w:cs="Arial"/>
                      <w:szCs w:val="18"/>
                    </w:rPr>
                    <m:t>T</m:t>
                  </m:r>
                </m:e>
                <m:sub>
                  <m:r>
                    <m:rPr>
                      <m:sty m:val="p"/>
                    </m:rPr>
                    <w:rPr>
                      <w:rFonts w:ascii="Cambria Math" w:hAnsi="Cambria Math" w:cs="Arial"/>
                      <w:szCs w:val="18"/>
                    </w:rPr>
                    <m:t>e</m:t>
                  </m:r>
                </m:sub>
              </m:sSub>
            </m:oMath>
            <w:r w:rsidR="007123CA" w:rsidRPr="00CA47F8">
              <w:rPr>
                <w:rFonts w:cs="Arial"/>
                <w:szCs w:val="18"/>
              </w:rPr>
              <w:t xml:space="preserve"> </w:t>
            </w:r>
            <w:r w:rsidR="007123CA" w:rsidRPr="00CA47F8">
              <w:rPr>
                <w:rFonts w:cs="Arial"/>
                <w:szCs w:val="18"/>
                <w:lang w:val="en-GB"/>
              </w:rPr>
              <w:t>[°C]</w:t>
            </w:r>
          </w:p>
        </w:tc>
        <w:tc>
          <w:tcPr>
            <w:tcW w:w="556" w:type="pct"/>
            <w:tcBorders>
              <w:top w:val="single" w:sz="12" w:space="0" w:color="008000"/>
              <w:bottom w:val="single" w:sz="6" w:space="0" w:color="008000"/>
            </w:tcBorders>
            <w:shd w:val="clear" w:color="auto" w:fill="FFFFFF"/>
          </w:tcPr>
          <w:p w14:paraId="7D44E646" w14:textId="4D57CC73" w:rsidR="007123CA" w:rsidRPr="00CA47F8" w:rsidRDefault="005127C5" w:rsidP="00C31C79">
            <w:pPr>
              <w:pStyle w:val="CETBodytext"/>
              <w:ind w:right="-1"/>
              <w:jc w:val="center"/>
              <w:rPr>
                <w:rFonts w:cs="Arial"/>
                <w:szCs w:val="18"/>
                <w:lang w:val="en-GB"/>
              </w:rPr>
            </w:pPr>
            <m:oMath>
              <m:sSub>
                <m:sSubPr>
                  <m:ctrlPr>
                    <w:rPr>
                      <w:rFonts w:ascii="Cambria Math" w:hAnsi="Cambria Math" w:cs="Arial"/>
                      <w:szCs w:val="18"/>
                    </w:rPr>
                  </m:ctrlPr>
                </m:sSubPr>
                <m:e>
                  <m:r>
                    <m:rPr>
                      <m:sty m:val="p"/>
                    </m:rPr>
                    <w:rPr>
                      <w:rFonts w:ascii="Cambria Math" w:hAnsi="Cambria Math" w:cs="Arial"/>
                      <w:szCs w:val="18"/>
                    </w:rPr>
                    <m:t>ρ</m:t>
                  </m:r>
                </m:e>
                <m:sub>
                  <m:r>
                    <m:rPr>
                      <m:sty m:val="p"/>
                    </m:rPr>
                    <w:rPr>
                      <w:rFonts w:ascii="Cambria Math" w:hAnsi="Cambria Math" w:cs="Arial"/>
                      <w:szCs w:val="18"/>
                    </w:rPr>
                    <m:t>e</m:t>
                  </m:r>
                </m:sub>
              </m:sSub>
            </m:oMath>
            <w:r w:rsidR="007123CA" w:rsidRPr="00CA47F8">
              <w:rPr>
                <w:rFonts w:cs="Arial"/>
                <w:szCs w:val="18"/>
              </w:rPr>
              <w:t xml:space="preserve"> </w:t>
            </w:r>
            <w:r w:rsidR="007123CA" w:rsidRPr="00CA47F8">
              <w:rPr>
                <w:rFonts w:cs="Arial"/>
                <w:szCs w:val="18"/>
                <w:lang w:val="en-GB"/>
              </w:rPr>
              <w:t>[</w:t>
            </w:r>
            <w:r w:rsidR="007123CA" w:rsidRPr="00CA47F8">
              <w:rPr>
                <w:rFonts w:eastAsiaTheme="minorEastAsia" w:cs="Arial"/>
                <w:szCs w:val="18"/>
              </w:rPr>
              <w:t>kg m</w:t>
            </w:r>
            <w:r w:rsidR="007123CA" w:rsidRPr="00CA47F8">
              <w:rPr>
                <w:rFonts w:eastAsiaTheme="minorEastAsia" w:cs="Arial"/>
                <w:szCs w:val="18"/>
                <w:vertAlign w:val="superscript"/>
              </w:rPr>
              <w:t>-3</w:t>
            </w:r>
            <w:r w:rsidR="007123CA" w:rsidRPr="00CA47F8">
              <w:rPr>
                <w:rFonts w:eastAsiaTheme="minorEastAsia" w:cs="Arial"/>
                <w:szCs w:val="18"/>
              </w:rPr>
              <w:t>]</w:t>
            </w:r>
          </w:p>
        </w:tc>
        <w:tc>
          <w:tcPr>
            <w:tcW w:w="556" w:type="pct"/>
            <w:tcBorders>
              <w:top w:val="single" w:sz="12" w:space="0" w:color="008000"/>
              <w:bottom w:val="single" w:sz="6" w:space="0" w:color="008000"/>
            </w:tcBorders>
            <w:shd w:val="clear" w:color="auto" w:fill="FFFFFF"/>
          </w:tcPr>
          <w:p w14:paraId="5743075C" w14:textId="3C4B3E48" w:rsidR="007123CA" w:rsidRPr="00CA47F8" w:rsidRDefault="005127C5" w:rsidP="00C31C79">
            <w:pPr>
              <w:pStyle w:val="CETBodytext"/>
              <w:ind w:right="-1"/>
              <w:jc w:val="center"/>
              <w:rPr>
                <w:rFonts w:cs="Arial"/>
                <w:szCs w:val="18"/>
                <w:lang w:val="en-GB"/>
              </w:rPr>
            </w:pPr>
            <m:oMath>
              <m:sSub>
                <m:sSubPr>
                  <m:ctrlPr>
                    <w:rPr>
                      <w:rFonts w:ascii="Cambria Math" w:hAnsi="Cambria Math" w:cs="Arial"/>
                      <w:szCs w:val="18"/>
                    </w:rPr>
                  </m:ctrlPr>
                </m:sSubPr>
                <m:e>
                  <m:r>
                    <m:rPr>
                      <m:sty m:val="p"/>
                    </m:rPr>
                    <w:rPr>
                      <w:rFonts w:ascii="Cambria Math" w:hAnsi="Cambria Math" w:cs="Arial"/>
                      <w:szCs w:val="18"/>
                    </w:rPr>
                    <m:t>u</m:t>
                  </m:r>
                </m:e>
                <m:sub>
                  <m:r>
                    <m:rPr>
                      <m:sty m:val="p"/>
                    </m:rPr>
                    <w:rPr>
                      <w:rFonts w:ascii="Cambria Math" w:hAnsi="Cambria Math" w:cs="Arial"/>
                      <w:szCs w:val="18"/>
                    </w:rPr>
                    <m:t>e</m:t>
                  </m:r>
                </m:sub>
              </m:sSub>
            </m:oMath>
            <w:r w:rsidR="007123CA" w:rsidRPr="00CA47F8">
              <w:rPr>
                <w:rFonts w:cs="Arial"/>
                <w:szCs w:val="18"/>
              </w:rPr>
              <w:t xml:space="preserve"> </w:t>
            </w:r>
            <w:r w:rsidR="007123CA" w:rsidRPr="00CA47F8">
              <w:rPr>
                <w:rFonts w:cs="Arial"/>
                <w:szCs w:val="18"/>
                <w:lang w:val="en-GB"/>
              </w:rPr>
              <w:t>[</w:t>
            </w:r>
            <w:r w:rsidR="007123CA" w:rsidRPr="00CA47F8">
              <w:rPr>
                <w:rFonts w:eastAsiaTheme="minorEastAsia" w:cs="Arial"/>
                <w:szCs w:val="18"/>
              </w:rPr>
              <w:t>m s</w:t>
            </w:r>
            <w:r w:rsidR="007123CA" w:rsidRPr="00CA47F8">
              <w:rPr>
                <w:rFonts w:eastAsiaTheme="minorEastAsia" w:cs="Arial"/>
                <w:szCs w:val="18"/>
                <w:vertAlign w:val="superscript"/>
              </w:rPr>
              <w:t>-1</w:t>
            </w:r>
            <w:r w:rsidR="007123CA" w:rsidRPr="00CA47F8">
              <w:rPr>
                <w:rFonts w:eastAsiaTheme="minorEastAsia" w:cs="Arial"/>
                <w:szCs w:val="18"/>
              </w:rPr>
              <w:t>]</w:t>
            </w:r>
          </w:p>
        </w:tc>
        <w:tc>
          <w:tcPr>
            <w:tcW w:w="556" w:type="pct"/>
            <w:tcBorders>
              <w:top w:val="single" w:sz="12" w:space="0" w:color="008000"/>
              <w:bottom w:val="single" w:sz="6" w:space="0" w:color="008000"/>
            </w:tcBorders>
            <w:shd w:val="clear" w:color="auto" w:fill="FFFFFF"/>
          </w:tcPr>
          <w:p w14:paraId="45A9F1D9" w14:textId="17DE0F74" w:rsidR="007123CA" w:rsidRPr="00CA47F8" w:rsidRDefault="005127C5" w:rsidP="00C31C79">
            <w:pPr>
              <w:pStyle w:val="CETBodytext"/>
              <w:ind w:right="-1"/>
              <w:jc w:val="center"/>
              <w:rPr>
                <w:rFonts w:cs="Arial"/>
                <w:szCs w:val="18"/>
                <w:lang w:val="en-GB"/>
              </w:rPr>
            </w:pPr>
            <m:oMath>
              <m:sSub>
                <m:sSubPr>
                  <m:ctrlPr>
                    <w:rPr>
                      <w:rFonts w:ascii="Cambria Math" w:hAnsi="Cambria Math" w:cs="Arial"/>
                      <w:szCs w:val="18"/>
                    </w:rPr>
                  </m:ctrlPr>
                </m:sSubPr>
                <m:e>
                  <m:r>
                    <m:rPr>
                      <m:sty m:val="p"/>
                    </m:rPr>
                    <w:rPr>
                      <w:rFonts w:ascii="Cambria Math" w:hAnsi="Cambria Math" w:cs="Arial"/>
                      <w:szCs w:val="18"/>
                    </w:rPr>
                    <m:t>D</m:t>
                  </m:r>
                </m:e>
                <m:sub>
                  <m:r>
                    <m:rPr>
                      <m:sty m:val="p"/>
                    </m:rPr>
                    <w:rPr>
                      <w:rFonts w:ascii="Cambria Math" w:hAnsi="Cambria Math" w:cs="Arial"/>
                      <w:szCs w:val="18"/>
                    </w:rPr>
                    <m:t>s</m:t>
                  </m:r>
                </m:sub>
              </m:sSub>
            </m:oMath>
            <w:r w:rsidR="007123CA" w:rsidRPr="00CA47F8">
              <w:rPr>
                <w:rFonts w:cs="Arial"/>
                <w:szCs w:val="18"/>
              </w:rPr>
              <w:t xml:space="preserve"> </w:t>
            </w:r>
            <w:r w:rsidR="007123CA" w:rsidRPr="00CA47F8">
              <w:rPr>
                <w:rFonts w:cs="Arial"/>
                <w:szCs w:val="18"/>
                <w:lang w:val="en-GB"/>
              </w:rPr>
              <w:t>[mm]</w:t>
            </w:r>
          </w:p>
        </w:tc>
        <w:tc>
          <w:tcPr>
            <w:tcW w:w="555" w:type="pct"/>
            <w:tcBorders>
              <w:top w:val="single" w:sz="12" w:space="0" w:color="008000"/>
              <w:bottom w:val="single" w:sz="6" w:space="0" w:color="008000"/>
            </w:tcBorders>
            <w:shd w:val="clear" w:color="auto" w:fill="FFFFFF"/>
          </w:tcPr>
          <w:p w14:paraId="347B00B3" w14:textId="3D0395F4" w:rsidR="007123CA" w:rsidRPr="00CA47F8" w:rsidRDefault="005127C5" w:rsidP="00C31C79">
            <w:pPr>
              <w:pStyle w:val="CETBodytext"/>
              <w:ind w:right="-1"/>
              <w:jc w:val="center"/>
              <w:rPr>
                <w:rFonts w:cs="Arial"/>
                <w:szCs w:val="18"/>
                <w:lang w:val="en-GB"/>
              </w:rPr>
            </w:pPr>
            <m:oMath>
              <m:sSub>
                <m:sSubPr>
                  <m:ctrlPr>
                    <w:rPr>
                      <w:rFonts w:ascii="Cambria Math" w:hAnsi="Cambria Math" w:cs="Arial"/>
                      <w:szCs w:val="18"/>
                    </w:rPr>
                  </m:ctrlPr>
                </m:sSubPr>
                <m:e>
                  <m:r>
                    <m:rPr>
                      <m:sty m:val="p"/>
                    </m:rPr>
                    <w:rPr>
                      <w:rFonts w:ascii="Cambria Math" w:hAnsi="Cambria Math" w:cs="Arial"/>
                      <w:szCs w:val="18"/>
                    </w:rPr>
                    <m:t>T</m:t>
                  </m:r>
                </m:e>
                <m:sub>
                  <m:r>
                    <m:rPr>
                      <m:sty m:val="p"/>
                    </m:rPr>
                    <w:rPr>
                      <w:rFonts w:ascii="Cambria Math" w:hAnsi="Cambria Math" w:cs="Arial"/>
                      <w:szCs w:val="18"/>
                    </w:rPr>
                    <m:t>s</m:t>
                  </m:r>
                </m:sub>
              </m:sSub>
            </m:oMath>
            <w:r w:rsidR="007123CA" w:rsidRPr="00CA47F8">
              <w:rPr>
                <w:rFonts w:cs="Arial"/>
                <w:szCs w:val="18"/>
              </w:rPr>
              <w:t xml:space="preserve"> </w:t>
            </w:r>
            <w:r w:rsidR="007123CA" w:rsidRPr="00CA47F8">
              <w:rPr>
                <w:rFonts w:cs="Arial"/>
                <w:szCs w:val="18"/>
                <w:lang w:val="en-GB"/>
              </w:rPr>
              <w:t>[°C]</w:t>
            </w:r>
          </w:p>
        </w:tc>
        <w:tc>
          <w:tcPr>
            <w:tcW w:w="556" w:type="pct"/>
            <w:tcBorders>
              <w:top w:val="single" w:sz="12" w:space="0" w:color="008000"/>
              <w:bottom w:val="single" w:sz="6" w:space="0" w:color="008000"/>
            </w:tcBorders>
            <w:shd w:val="clear" w:color="auto" w:fill="FFFFFF"/>
          </w:tcPr>
          <w:p w14:paraId="675EBBA0" w14:textId="4D9C900D" w:rsidR="007123CA" w:rsidRPr="00CA47F8" w:rsidRDefault="005127C5" w:rsidP="00C31C79">
            <w:pPr>
              <w:pStyle w:val="CETBodytext"/>
              <w:ind w:right="-1"/>
              <w:jc w:val="center"/>
              <w:rPr>
                <w:rFonts w:cs="Arial"/>
                <w:szCs w:val="18"/>
                <w:lang w:val="en-GB"/>
              </w:rPr>
            </w:pPr>
            <m:oMath>
              <m:sSub>
                <m:sSubPr>
                  <m:ctrlPr>
                    <w:rPr>
                      <w:rFonts w:ascii="Cambria Math" w:hAnsi="Cambria Math" w:cs="Arial"/>
                      <w:szCs w:val="18"/>
                    </w:rPr>
                  </m:ctrlPr>
                </m:sSubPr>
                <m:e>
                  <m:r>
                    <m:rPr>
                      <m:sty m:val="p"/>
                    </m:rPr>
                    <w:rPr>
                      <w:rFonts w:ascii="Cambria Math" w:hAnsi="Cambria Math" w:cs="Arial"/>
                      <w:szCs w:val="18"/>
                    </w:rPr>
                    <m:t>ρ</m:t>
                  </m:r>
                </m:e>
                <m:sub>
                  <m:r>
                    <m:rPr>
                      <m:sty m:val="p"/>
                    </m:rPr>
                    <w:rPr>
                      <w:rFonts w:ascii="Cambria Math" w:hAnsi="Cambria Math" w:cs="Arial"/>
                      <w:szCs w:val="18"/>
                    </w:rPr>
                    <m:t>s</m:t>
                  </m:r>
                </m:sub>
              </m:sSub>
            </m:oMath>
            <w:r w:rsidR="007123CA" w:rsidRPr="00CA47F8">
              <w:rPr>
                <w:rFonts w:cs="Arial"/>
                <w:szCs w:val="18"/>
              </w:rPr>
              <w:t xml:space="preserve"> </w:t>
            </w:r>
            <w:r w:rsidR="007123CA" w:rsidRPr="00CA47F8">
              <w:rPr>
                <w:rFonts w:cs="Arial"/>
                <w:szCs w:val="18"/>
                <w:lang w:val="en-GB"/>
              </w:rPr>
              <w:t>[</w:t>
            </w:r>
            <w:r w:rsidR="007123CA" w:rsidRPr="00CA47F8">
              <w:rPr>
                <w:rFonts w:eastAsiaTheme="minorEastAsia" w:cs="Arial"/>
                <w:szCs w:val="18"/>
              </w:rPr>
              <w:t>kg m</w:t>
            </w:r>
            <w:r w:rsidR="007123CA" w:rsidRPr="00CA47F8">
              <w:rPr>
                <w:rFonts w:eastAsiaTheme="minorEastAsia" w:cs="Arial"/>
                <w:szCs w:val="18"/>
                <w:vertAlign w:val="superscript"/>
              </w:rPr>
              <w:t>-3</w:t>
            </w:r>
            <w:r w:rsidR="007123CA" w:rsidRPr="00CA47F8">
              <w:rPr>
                <w:rFonts w:eastAsiaTheme="minorEastAsia" w:cs="Arial"/>
                <w:szCs w:val="18"/>
              </w:rPr>
              <w:t>]</w:t>
            </w:r>
          </w:p>
        </w:tc>
        <w:tc>
          <w:tcPr>
            <w:tcW w:w="552" w:type="pct"/>
            <w:tcBorders>
              <w:top w:val="single" w:sz="12" w:space="0" w:color="008000"/>
              <w:bottom w:val="single" w:sz="6" w:space="0" w:color="008000"/>
            </w:tcBorders>
            <w:shd w:val="clear" w:color="auto" w:fill="FFFFFF"/>
          </w:tcPr>
          <w:p w14:paraId="714BCF33" w14:textId="0A4F1778" w:rsidR="007123CA" w:rsidRPr="00CA47F8" w:rsidRDefault="005127C5" w:rsidP="00C31C79">
            <w:pPr>
              <w:pStyle w:val="CETBodytext"/>
              <w:ind w:right="-1"/>
              <w:jc w:val="center"/>
              <w:rPr>
                <w:rFonts w:cs="Arial"/>
                <w:szCs w:val="18"/>
                <w:lang w:val="en-GB"/>
              </w:rPr>
            </w:pPr>
            <m:oMath>
              <m:sSub>
                <m:sSubPr>
                  <m:ctrlPr>
                    <w:rPr>
                      <w:rFonts w:ascii="Cambria Math" w:hAnsi="Cambria Math" w:cs="Arial"/>
                      <w:szCs w:val="18"/>
                    </w:rPr>
                  </m:ctrlPr>
                </m:sSubPr>
                <m:e>
                  <m:r>
                    <m:rPr>
                      <m:sty m:val="p"/>
                    </m:rPr>
                    <w:rPr>
                      <w:rFonts w:ascii="Cambria Math" w:hAnsi="Cambria Math" w:cs="Arial"/>
                      <w:szCs w:val="18"/>
                    </w:rPr>
                    <m:t>u</m:t>
                  </m:r>
                </m:e>
                <m:sub>
                  <m:r>
                    <m:rPr>
                      <m:sty m:val="p"/>
                    </m:rPr>
                    <w:rPr>
                      <w:rFonts w:ascii="Cambria Math" w:hAnsi="Cambria Math" w:cs="Arial"/>
                      <w:szCs w:val="18"/>
                    </w:rPr>
                    <m:t>s</m:t>
                  </m:r>
                </m:sub>
              </m:sSub>
            </m:oMath>
            <w:r w:rsidR="007123CA" w:rsidRPr="00CA47F8">
              <w:rPr>
                <w:rFonts w:cs="Arial"/>
                <w:szCs w:val="18"/>
              </w:rPr>
              <w:t xml:space="preserve"> </w:t>
            </w:r>
            <w:r w:rsidR="007123CA" w:rsidRPr="00CA47F8">
              <w:rPr>
                <w:rFonts w:cs="Arial"/>
                <w:szCs w:val="18"/>
                <w:lang w:val="en-GB"/>
              </w:rPr>
              <w:t>[</w:t>
            </w:r>
            <w:r w:rsidR="007123CA" w:rsidRPr="00CA47F8">
              <w:rPr>
                <w:rFonts w:eastAsiaTheme="minorEastAsia" w:cs="Arial"/>
                <w:szCs w:val="18"/>
              </w:rPr>
              <w:t>m s</w:t>
            </w:r>
            <w:r w:rsidR="007123CA" w:rsidRPr="00CA47F8">
              <w:rPr>
                <w:rFonts w:eastAsiaTheme="minorEastAsia" w:cs="Arial"/>
                <w:szCs w:val="18"/>
                <w:vertAlign w:val="superscript"/>
              </w:rPr>
              <w:t>-1</w:t>
            </w:r>
            <w:r w:rsidR="007123CA" w:rsidRPr="00CA47F8">
              <w:rPr>
                <w:rFonts w:eastAsiaTheme="minorEastAsia" w:cs="Arial"/>
                <w:szCs w:val="18"/>
              </w:rPr>
              <w:t>]</w:t>
            </w:r>
          </w:p>
        </w:tc>
      </w:tr>
      <w:tr w:rsidR="007123CA" w:rsidRPr="00CA47F8" w14:paraId="35B31F63" w14:textId="22665282" w:rsidTr="007123CA">
        <w:trPr>
          <w:trHeight w:val="255"/>
        </w:trPr>
        <w:tc>
          <w:tcPr>
            <w:tcW w:w="556" w:type="pct"/>
            <w:shd w:val="clear" w:color="auto" w:fill="FFFFFF"/>
          </w:tcPr>
          <w:p w14:paraId="2345750B" w14:textId="04A3BE5F" w:rsidR="007123CA" w:rsidRPr="00CA47F8" w:rsidRDefault="007123CA" w:rsidP="00C31C79">
            <w:pPr>
              <w:pStyle w:val="CETBodytext"/>
              <w:jc w:val="center"/>
              <w:rPr>
                <w:rFonts w:cs="Arial"/>
                <w:szCs w:val="18"/>
                <w:lang w:val="en-GB"/>
              </w:rPr>
            </w:pPr>
            <w:r w:rsidRPr="00CA47F8">
              <w:rPr>
                <w:rFonts w:cs="Arial"/>
                <w:szCs w:val="18"/>
                <w:lang w:val="en-GB"/>
              </w:rPr>
              <w:t>0</w:t>
            </w:r>
          </w:p>
        </w:tc>
        <w:tc>
          <w:tcPr>
            <w:tcW w:w="558" w:type="pct"/>
            <w:shd w:val="clear" w:color="auto" w:fill="FFFFFF"/>
          </w:tcPr>
          <w:p w14:paraId="3AA7FDFD" w14:textId="2A024A2D" w:rsidR="007123CA" w:rsidRPr="00CA47F8" w:rsidRDefault="007123CA" w:rsidP="00C31C79">
            <w:pPr>
              <w:pStyle w:val="CETBodytext"/>
              <w:jc w:val="center"/>
              <w:rPr>
                <w:rFonts w:cs="Arial"/>
                <w:szCs w:val="18"/>
                <w:lang w:val="en-GB"/>
              </w:rPr>
            </w:pPr>
            <w:r w:rsidRPr="00CA47F8">
              <w:rPr>
                <w:rFonts w:cs="Arial"/>
                <w:szCs w:val="18"/>
              </w:rPr>
              <w:t>54.2</w:t>
            </w:r>
          </w:p>
        </w:tc>
        <w:tc>
          <w:tcPr>
            <w:tcW w:w="556" w:type="pct"/>
            <w:shd w:val="clear" w:color="auto" w:fill="FFFFFF"/>
          </w:tcPr>
          <w:p w14:paraId="59C7A854" w14:textId="291A11D4" w:rsidR="007123CA" w:rsidRPr="00CA47F8" w:rsidRDefault="007123CA" w:rsidP="00C31C79">
            <w:pPr>
              <w:pStyle w:val="CETBodytext"/>
              <w:jc w:val="center"/>
              <w:rPr>
                <w:rFonts w:cs="Arial"/>
                <w:szCs w:val="18"/>
                <w:lang w:val="en-GB"/>
              </w:rPr>
            </w:pPr>
            <w:r w:rsidRPr="00CA47F8">
              <w:rPr>
                <w:rFonts w:cs="Arial"/>
                <w:szCs w:val="18"/>
              </w:rPr>
              <w:t>-16.1</w:t>
            </w:r>
          </w:p>
        </w:tc>
        <w:tc>
          <w:tcPr>
            <w:tcW w:w="556" w:type="pct"/>
            <w:shd w:val="clear" w:color="auto" w:fill="FFFFFF"/>
          </w:tcPr>
          <w:p w14:paraId="5B917B0D" w14:textId="682ACA0E" w:rsidR="007123CA" w:rsidRPr="00CA47F8" w:rsidRDefault="007123CA" w:rsidP="00C31C79">
            <w:pPr>
              <w:pStyle w:val="CETBodytext"/>
              <w:ind w:right="-1"/>
              <w:jc w:val="center"/>
              <w:rPr>
                <w:rFonts w:cs="Arial"/>
                <w:szCs w:val="18"/>
                <w:lang w:val="en-GB"/>
              </w:rPr>
            </w:pPr>
            <w:r w:rsidRPr="00CA47F8">
              <w:rPr>
                <w:rFonts w:cs="Arial"/>
                <w:szCs w:val="18"/>
              </w:rPr>
              <w:t>41.15</w:t>
            </w:r>
          </w:p>
        </w:tc>
        <w:tc>
          <w:tcPr>
            <w:tcW w:w="556" w:type="pct"/>
            <w:shd w:val="clear" w:color="auto" w:fill="FFFFFF"/>
          </w:tcPr>
          <w:p w14:paraId="772A8812" w14:textId="4C966555" w:rsidR="007123CA" w:rsidRPr="00CA47F8" w:rsidRDefault="007123CA" w:rsidP="00C31C79">
            <w:pPr>
              <w:pStyle w:val="CETBodytext"/>
              <w:ind w:right="-1"/>
              <w:jc w:val="center"/>
              <w:rPr>
                <w:rFonts w:cs="Arial"/>
                <w:szCs w:val="18"/>
                <w:lang w:val="en-GB"/>
              </w:rPr>
            </w:pPr>
            <w:r w:rsidRPr="00CA47F8">
              <w:rPr>
                <w:rFonts w:cs="Arial"/>
                <w:szCs w:val="18"/>
              </w:rPr>
              <w:t>419</w:t>
            </w:r>
          </w:p>
        </w:tc>
        <w:tc>
          <w:tcPr>
            <w:tcW w:w="556" w:type="pct"/>
            <w:shd w:val="clear" w:color="auto" w:fill="FFFFFF"/>
          </w:tcPr>
          <w:p w14:paraId="495FDDAF" w14:textId="3515A8A3" w:rsidR="007123CA" w:rsidRPr="00CA47F8" w:rsidRDefault="007123CA" w:rsidP="00C31C79">
            <w:pPr>
              <w:pStyle w:val="CETBodytext"/>
              <w:ind w:right="-1"/>
              <w:jc w:val="center"/>
              <w:rPr>
                <w:rFonts w:cs="Arial"/>
                <w:szCs w:val="18"/>
                <w:lang w:val="en-GB"/>
              </w:rPr>
            </w:pPr>
            <w:r w:rsidRPr="00CA47F8">
              <w:rPr>
                <w:rFonts w:cs="Arial"/>
                <w:szCs w:val="18"/>
              </w:rPr>
              <w:t>8.74</w:t>
            </w:r>
          </w:p>
        </w:tc>
        <w:tc>
          <w:tcPr>
            <w:tcW w:w="555" w:type="pct"/>
            <w:shd w:val="clear" w:color="auto" w:fill="FFFFFF"/>
          </w:tcPr>
          <w:p w14:paraId="4142878C" w14:textId="1AF33D00" w:rsidR="007123CA" w:rsidRPr="00CA47F8" w:rsidRDefault="007123CA" w:rsidP="00C31C79">
            <w:pPr>
              <w:pStyle w:val="CETBodytext"/>
              <w:ind w:right="-1"/>
              <w:jc w:val="center"/>
              <w:rPr>
                <w:rFonts w:cs="Arial"/>
                <w:szCs w:val="18"/>
                <w:lang w:val="en-GB"/>
              </w:rPr>
            </w:pPr>
            <w:r w:rsidRPr="00CA47F8">
              <w:rPr>
                <w:rFonts w:cs="Arial"/>
                <w:szCs w:val="18"/>
              </w:rPr>
              <w:t>-175.5</w:t>
            </w:r>
          </w:p>
        </w:tc>
        <w:tc>
          <w:tcPr>
            <w:tcW w:w="556" w:type="pct"/>
            <w:shd w:val="clear" w:color="auto" w:fill="FFFFFF"/>
          </w:tcPr>
          <w:p w14:paraId="2C80A7BC" w14:textId="0077DCEE" w:rsidR="007123CA" w:rsidRPr="00CA47F8" w:rsidRDefault="007123CA" w:rsidP="00C31C79">
            <w:pPr>
              <w:pStyle w:val="CETBodytext"/>
              <w:ind w:right="-1"/>
              <w:jc w:val="center"/>
              <w:rPr>
                <w:rFonts w:cs="Arial"/>
                <w:szCs w:val="18"/>
                <w:lang w:val="en-GB"/>
              </w:rPr>
            </w:pPr>
            <w:r w:rsidRPr="00CA47F8">
              <w:rPr>
                <w:rFonts w:cs="Arial"/>
                <w:szCs w:val="18"/>
              </w:rPr>
              <w:t>2.00</w:t>
            </w:r>
          </w:p>
        </w:tc>
        <w:tc>
          <w:tcPr>
            <w:tcW w:w="552" w:type="pct"/>
            <w:shd w:val="clear" w:color="auto" w:fill="FFFFFF"/>
          </w:tcPr>
          <w:p w14:paraId="76D84B87" w14:textId="11634538" w:rsidR="007123CA" w:rsidRPr="00CA47F8" w:rsidRDefault="007123CA" w:rsidP="00C31C79">
            <w:pPr>
              <w:pStyle w:val="CETBodytext"/>
              <w:ind w:right="-1"/>
              <w:jc w:val="center"/>
              <w:rPr>
                <w:rFonts w:cs="Arial"/>
                <w:szCs w:val="18"/>
                <w:lang w:val="en-GB"/>
              </w:rPr>
            </w:pPr>
            <w:r w:rsidRPr="00CA47F8">
              <w:rPr>
                <w:rFonts w:cs="Arial"/>
                <w:szCs w:val="18"/>
              </w:rPr>
              <w:t>1328</w:t>
            </w:r>
          </w:p>
        </w:tc>
      </w:tr>
      <w:tr w:rsidR="007123CA" w:rsidRPr="00CA47F8" w14:paraId="45EEEEF8" w14:textId="77777777" w:rsidTr="007123CA">
        <w:trPr>
          <w:trHeight w:val="262"/>
        </w:trPr>
        <w:tc>
          <w:tcPr>
            <w:tcW w:w="556" w:type="pct"/>
            <w:shd w:val="clear" w:color="auto" w:fill="FFFFFF"/>
          </w:tcPr>
          <w:p w14:paraId="434F5B9B" w14:textId="18CB0679" w:rsidR="007123CA" w:rsidRPr="00CA47F8" w:rsidRDefault="007123CA" w:rsidP="00C31C79">
            <w:pPr>
              <w:pStyle w:val="CETBodytext"/>
              <w:jc w:val="center"/>
              <w:rPr>
                <w:rFonts w:cs="Arial"/>
                <w:szCs w:val="18"/>
                <w:lang w:val="en-GB"/>
              </w:rPr>
            </w:pPr>
            <w:r w:rsidRPr="00CA47F8">
              <w:rPr>
                <w:rFonts w:cs="Arial"/>
                <w:szCs w:val="18"/>
                <w:lang w:val="en-GB"/>
              </w:rPr>
              <w:t>5</w:t>
            </w:r>
          </w:p>
        </w:tc>
        <w:tc>
          <w:tcPr>
            <w:tcW w:w="558" w:type="pct"/>
            <w:shd w:val="clear" w:color="auto" w:fill="FFFFFF"/>
          </w:tcPr>
          <w:p w14:paraId="567A1775" w14:textId="0385B364" w:rsidR="007123CA" w:rsidRPr="00CA47F8" w:rsidRDefault="007123CA" w:rsidP="00C31C79">
            <w:pPr>
              <w:pStyle w:val="CETBodytext"/>
              <w:jc w:val="center"/>
              <w:rPr>
                <w:rFonts w:cs="Arial"/>
                <w:szCs w:val="18"/>
                <w:lang w:val="en-GB"/>
              </w:rPr>
            </w:pPr>
            <w:r w:rsidRPr="00CA47F8">
              <w:rPr>
                <w:rFonts w:cs="Arial"/>
                <w:szCs w:val="18"/>
              </w:rPr>
              <w:t>54.1</w:t>
            </w:r>
          </w:p>
        </w:tc>
        <w:tc>
          <w:tcPr>
            <w:tcW w:w="556" w:type="pct"/>
            <w:shd w:val="clear" w:color="auto" w:fill="FFFFFF"/>
          </w:tcPr>
          <w:p w14:paraId="24E2CEA7" w14:textId="7ACB53B6" w:rsidR="007123CA" w:rsidRPr="00CA47F8" w:rsidRDefault="007123CA" w:rsidP="00C31C79">
            <w:pPr>
              <w:pStyle w:val="CETBodytext"/>
              <w:jc w:val="center"/>
              <w:rPr>
                <w:rFonts w:cs="Arial"/>
                <w:szCs w:val="18"/>
                <w:lang w:val="en-GB"/>
              </w:rPr>
            </w:pPr>
            <w:r w:rsidRPr="00CA47F8">
              <w:rPr>
                <w:rFonts w:cs="Arial"/>
                <w:szCs w:val="18"/>
              </w:rPr>
              <w:t>-16.6</w:t>
            </w:r>
          </w:p>
        </w:tc>
        <w:tc>
          <w:tcPr>
            <w:tcW w:w="556" w:type="pct"/>
            <w:shd w:val="clear" w:color="auto" w:fill="FFFFFF"/>
          </w:tcPr>
          <w:p w14:paraId="2C1EACC5" w14:textId="6557563D" w:rsidR="007123CA" w:rsidRPr="00CA47F8" w:rsidRDefault="007123CA" w:rsidP="00C31C79">
            <w:pPr>
              <w:pStyle w:val="CETBodytext"/>
              <w:ind w:right="-1"/>
              <w:jc w:val="center"/>
              <w:rPr>
                <w:rFonts w:cs="Arial"/>
                <w:szCs w:val="18"/>
                <w:lang w:val="en-GB"/>
              </w:rPr>
            </w:pPr>
            <w:r w:rsidRPr="00CA47F8">
              <w:rPr>
                <w:rFonts w:cs="Arial"/>
                <w:szCs w:val="18"/>
              </w:rPr>
              <w:t>39.24</w:t>
            </w:r>
          </w:p>
        </w:tc>
        <w:tc>
          <w:tcPr>
            <w:tcW w:w="556" w:type="pct"/>
            <w:shd w:val="clear" w:color="auto" w:fill="FFFFFF"/>
          </w:tcPr>
          <w:p w14:paraId="2FD6BBB6" w14:textId="62945C5E" w:rsidR="007123CA" w:rsidRPr="00CA47F8" w:rsidRDefault="007123CA" w:rsidP="00C31C79">
            <w:pPr>
              <w:pStyle w:val="CETBodytext"/>
              <w:ind w:right="-1"/>
              <w:jc w:val="center"/>
              <w:rPr>
                <w:rFonts w:cs="Arial"/>
                <w:szCs w:val="18"/>
                <w:lang w:val="en-GB"/>
              </w:rPr>
            </w:pPr>
            <w:r w:rsidRPr="00CA47F8">
              <w:rPr>
                <w:rFonts w:cs="Arial"/>
                <w:szCs w:val="18"/>
              </w:rPr>
              <w:t>429</w:t>
            </w:r>
          </w:p>
        </w:tc>
        <w:tc>
          <w:tcPr>
            <w:tcW w:w="556" w:type="pct"/>
            <w:shd w:val="clear" w:color="auto" w:fill="FFFFFF"/>
          </w:tcPr>
          <w:p w14:paraId="64683EDC" w14:textId="16B9BF46" w:rsidR="007123CA" w:rsidRPr="00CA47F8" w:rsidRDefault="007123CA" w:rsidP="00C31C79">
            <w:pPr>
              <w:pStyle w:val="CETBodytext"/>
              <w:ind w:right="-1"/>
              <w:jc w:val="center"/>
              <w:rPr>
                <w:rFonts w:cs="Arial"/>
                <w:szCs w:val="18"/>
                <w:lang w:val="en-GB"/>
              </w:rPr>
            </w:pPr>
            <w:r w:rsidRPr="00CA47F8">
              <w:rPr>
                <w:rFonts w:cs="Arial"/>
                <w:szCs w:val="18"/>
              </w:rPr>
              <w:t>8.79</w:t>
            </w:r>
          </w:p>
        </w:tc>
        <w:tc>
          <w:tcPr>
            <w:tcW w:w="555" w:type="pct"/>
            <w:shd w:val="clear" w:color="auto" w:fill="FFFFFF"/>
          </w:tcPr>
          <w:p w14:paraId="0E406986" w14:textId="6EEB99F9" w:rsidR="007123CA" w:rsidRPr="00CA47F8" w:rsidRDefault="007123CA" w:rsidP="00C31C79">
            <w:pPr>
              <w:pStyle w:val="CETBodytext"/>
              <w:ind w:right="-1"/>
              <w:jc w:val="center"/>
              <w:rPr>
                <w:rFonts w:cs="Arial"/>
                <w:szCs w:val="18"/>
                <w:lang w:val="en-GB"/>
              </w:rPr>
            </w:pPr>
            <w:r w:rsidRPr="00CA47F8">
              <w:rPr>
                <w:rFonts w:cs="Arial"/>
                <w:szCs w:val="18"/>
              </w:rPr>
              <w:t>-176.7</w:t>
            </w:r>
          </w:p>
        </w:tc>
        <w:tc>
          <w:tcPr>
            <w:tcW w:w="556" w:type="pct"/>
            <w:shd w:val="clear" w:color="auto" w:fill="FFFFFF"/>
          </w:tcPr>
          <w:p w14:paraId="581CE6DC" w14:textId="5F7ED27A" w:rsidR="007123CA" w:rsidRPr="00CA47F8" w:rsidRDefault="007123CA" w:rsidP="00C31C79">
            <w:pPr>
              <w:pStyle w:val="CETBodytext"/>
              <w:ind w:right="-1"/>
              <w:jc w:val="center"/>
              <w:rPr>
                <w:rFonts w:cs="Arial"/>
                <w:szCs w:val="18"/>
                <w:lang w:val="en-GB"/>
              </w:rPr>
            </w:pPr>
            <w:r w:rsidRPr="00CA47F8">
              <w:rPr>
                <w:rFonts w:cs="Arial"/>
                <w:szCs w:val="18"/>
              </w:rPr>
              <w:t>1.93</w:t>
            </w:r>
          </w:p>
        </w:tc>
        <w:tc>
          <w:tcPr>
            <w:tcW w:w="552" w:type="pct"/>
            <w:shd w:val="clear" w:color="auto" w:fill="FFFFFF"/>
          </w:tcPr>
          <w:p w14:paraId="67D17410" w14:textId="1F5D7740" w:rsidR="007123CA" w:rsidRPr="00CA47F8" w:rsidRDefault="007123CA" w:rsidP="00C31C79">
            <w:pPr>
              <w:pStyle w:val="CETBodytext"/>
              <w:ind w:right="-1"/>
              <w:jc w:val="center"/>
              <w:rPr>
                <w:rFonts w:cs="Arial"/>
                <w:szCs w:val="18"/>
                <w:lang w:val="en-GB"/>
              </w:rPr>
            </w:pPr>
            <w:r w:rsidRPr="00CA47F8">
              <w:rPr>
                <w:rFonts w:cs="Arial"/>
                <w:szCs w:val="18"/>
              </w:rPr>
              <w:t>1380</w:t>
            </w:r>
          </w:p>
        </w:tc>
      </w:tr>
      <w:tr w:rsidR="007123CA" w:rsidRPr="00CA47F8" w14:paraId="7F806E5C" w14:textId="77777777" w:rsidTr="007123CA">
        <w:trPr>
          <w:trHeight w:val="262"/>
        </w:trPr>
        <w:tc>
          <w:tcPr>
            <w:tcW w:w="556" w:type="pct"/>
            <w:shd w:val="clear" w:color="auto" w:fill="FFFFFF"/>
          </w:tcPr>
          <w:p w14:paraId="6DCD30B4" w14:textId="62117976" w:rsidR="007123CA" w:rsidRPr="00CA47F8" w:rsidRDefault="007123CA" w:rsidP="00C31C79">
            <w:pPr>
              <w:pStyle w:val="CETBodytext"/>
              <w:jc w:val="center"/>
              <w:rPr>
                <w:rFonts w:cs="Arial"/>
                <w:szCs w:val="18"/>
                <w:lang w:val="en-GB"/>
              </w:rPr>
            </w:pPr>
            <w:r w:rsidRPr="00CA47F8">
              <w:rPr>
                <w:rFonts w:cs="Arial"/>
                <w:szCs w:val="18"/>
                <w:lang w:val="en-GB"/>
              </w:rPr>
              <w:t>10</w:t>
            </w:r>
          </w:p>
        </w:tc>
        <w:tc>
          <w:tcPr>
            <w:tcW w:w="558" w:type="pct"/>
            <w:shd w:val="clear" w:color="auto" w:fill="FFFFFF"/>
          </w:tcPr>
          <w:p w14:paraId="73D25FD9" w14:textId="417368BB" w:rsidR="007123CA" w:rsidRPr="00CA47F8" w:rsidRDefault="007123CA" w:rsidP="00C31C79">
            <w:pPr>
              <w:pStyle w:val="CETBodytext"/>
              <w:jc w:val="center"/>
              <w:rPr>
                <w:rFonts w:cs="Arial"/>
                <w:szCs w:val="18"/>
                <w:lang w:val="en-GB"/>
              </w:rPr>
            </w:pPr>
            <w:r w:rsidRPr="00CA47F8">
              <w:rPr>
                <w:rFonts w:cs="Arial"/>
                <w:szCs w:val="18"/>
              </w:rPr>
              <w:t>54.0</w:t>
            </w:r>
          </w:p>
        </w:tc>
        <w:tc>
          <w:tcPr>
            <w:tcW w:w="556" w:type="pct"/>
            <w:shd w:val="clear" w:color="auto" w:fill="FFFFFF"/>
          </w:tcPr>
          <w:p w14:paraId="68B40EC7" w14:textId="4A43E11D" w:rsidR="007123CA" w:rsidRPr="00CA47F8" w:rsidRDefault="007123CA" w:rsidP="00C31C79">
            <w:pPr>
              <w:pStyle w:val="CETBodytext"/>
              <w:jc w:val="center"/>
              <w:rPr>
                <w:rFonts w:cs="Arial"/>
                <w:szCs w:val="18"/>
                <w:lang w:val="en-GB"/>
              </w:rPr>
            </w:pPr>
            <w:r w:rsidRPr="00CA47F8">
              <w:rPr>
                <w:rFonts w:cs="Arial"/>
                <w:szCs w:val="18"/>
              </w:rPr>
              <w:t>-17.1</w:t>
            </w:r>
          </w:p>
        </w:tc>
        <w:tc>
          <w:tcPr>
            <w:tcW w:w="556" w:type="pct"/>
            <w:shd w:val="clear" w:color="auto" w:fill="FFFFFF"/>
          </w:tcPr>
          <w:p w14:paraId="5EA7C760" w14:textId="291FFF1C" w:rsidR="007123CA" w:rsidRPr="00CA47F8" w:rsidRDefault="007123CA" w:rsidP="00C31C79">
            <w:pPr>
              <w:pStyle w:val="CETBodytext"/>
              <w:ind w:right="-1"/>
              <w:jc w:val="center"/>
              <w:rPr>
                <w:rFonts w:cs="Arial"/>
                <w:szCs w:val="18"/>
                <w:lang w:val="en-GB"/>
              </w:rPr>
            </w:pPr>
            <w:r w:rsidRPr="00CA47F8">
              <w:rPr>
                <w:rFonts w:cs="Arial"/>
                <w:szCs w:val="18"/>
              </w:rPr>
              <w:t>37.34</w:t>
            </w:r>
          </w:p>
        </w:tc>
        <w:tc>
          <w:tcPr>
            <w:tcW w:w="556" w:type="pct"/>
            <w:shd w:val="clear" w:color="auto" w:fill="FFFFFF"/>
          </w:tcPr>
          <w:p w14:paraId="65989AF8" w14:textId="4B8AAC63" w:rsidR="007123CA" w:rsidRPr="00CA47F8" w:rsidRDefault="007123CA" w:rsidP="00C31C79">
            <w:pPr>
              <w:pStyle w:val="CETBodytext"/>
              <w:ind w:right="-1"/>
              <w:jc w:val="center"/>
              <w:rPr>
                <w:rFonts w:cs="Arial"/>
                <w:szCs w:val="18"/>
                <w:lang w:val="en-GB"/>
              </w:rPr>
            </w:pPr>
            <w:r w:rsidRPr="00CA47F8">
              <w:rPr>
                <w:rFonts w:cs="Arial"/>
                <w:szCs w:val="18"/>
              </w:rPr>
              <w:t>440</w:t>
            </w:r>
          </w:p>
        </w:tc>
        <w:tc>
          <w:tcPr>
            <w:tcW w:w="556" w:type="pct"/>
            <w:shd w:val="clear" w:color="auto" w:fill="FFFFFF"/>
          </w:tcPr>
          <w:p w14:paraId="3BA05E49" w14:textId="18A70791" w:rsidR="007123CA" w:rsidRPr="00CA47F8" w:rsidRDefault="007123CA" w:rsidP="00C31C79">
            <w:pPr>
              <w:pStyle w:val="CETBodytext"/>
              <w:ind w:right="-1"/>
              <w:jc w:val="center"/>
              <w:rPr>
                <w:rFonts w:cs="Arial"/>
                <w:szCs w:val="18"/>
                <w:lang w:val="en-GB"/>
              </w:rPr>
            </w:pPr>
            <w:r w:rsidRPr="00CA47F8">
              <w:rPr>
                <w:rFonts w:cs="Arial"/>
                <w:szCs w:val="18"/>
              </w:rPr>
              <w:t>8.84</w:t>
            </w:r>
          </w:p>
        </w:tc>
        <w:tc>
          <w:tcPr>
            <w:tcW w:w="555" w:type="pct"/>
            <w:shd w:val="clear" w:color="auto" w:fill="FFFFFF"/>
          </w:tcPr>
          <w:p w14:paraId="124DF1EF" w14:textId="5AD9F33B" w:rsidR="007123CA" w:rsidRPr="00CA47F8" w:rsidRDefault="007123CA" w:rsidP="00C31C79">
            <w:pPr>
              <w:pStyle w:val="CETBodytext"/>
              <w:ind w:right="-1"/>
              <w:jc w:val="center"/>
              <w:rPr>
                <w:rFonts w:cs="Arial"/>
                <w:szCs w:val="18"/>
                <w:lang w:val="en-GB"/>
              </w:rPr>
            </w:pPr>
            <w:r w:rsidRPr="00CA47F8">
              <w:rPr>
                <w:rFonts w:cs="Arial"/>
                <w:szCs w:val="18"/>
              </w:rPr>
              <w:t>-177.8</w:t>
            </w:r>
          </w:p>
        </w:tc>
        <w:tc>
          <w:tcPr>
            <w:tcW w:w="556" w:type="pct"/>
            <w:shd w:val="clear" w:color="auto" w:fill="FFFFFF"/>
          </w:tcPr>
          <w:p w14:paraId="53472861" w14:textId="7655090E" w:rsidR="007123CA" w:rsidRPr="00CA47F8" w:rsidRDefault="007123CA" w:rsidP="00C31C79">
            <w:pPr>
              <w:pStyle w:val="CETBodytext"/>
              <w:ind w:right="-1"/>
              <w:jc w:val="center"/>
              <w:rPr>
                <w:rFonts w:cs="Arial"/>
                <w:szCs w:val="18"/>
                <w:lang w:val="en-GB"/>
              </w:rPr>
            </w:pPr>
            <w:r w:rsidRPr="00CA47F8">
              <w:rPr>
                <w:rFonts w:cs="Arial"/>
                <w:szCs w:val="18"/>
              </w:rPr>
              <w:t>1.85</w:t>
            </w:r>
          </w:p>
        </w:tc>
        <w:tc>
          <w:tcPr>
            <w:tcW w:w="552" w:type="pct"/>
            <w:shd w:val="clear" w:color="auto" w:fill="FFFFFF"/>
          </w:tcPr>
          <w:p w14:paraId="6BE4E0CF" w14:textId="37494A22" w:rsidR="007123CA" w:rsidRPr="00CA47F8" w:rsidRDefault="007123CA" w:rsidP="00C31C79">
            <w:pPr>
              <w:pStyle w:val="CETBodytext"/>
              <w:ind w:right="-1"/>
              <w:jc w:val="center"/>
              <w:rPr>
                <w:rFonts w:cs="Arial"/>
                <w:szCs w:val="18"/>
                <w:lang w:val="en-GB"/>
              </w:rPr>
            </w:pPr>
            <w:r w:rsidRPr="00CA47F8">
              <w:rPr>
                <w:rFonts w:cs="Arial"/>
                <w:szCs w:val="18"/>
              </w:rPr>
              <w:t>1432</w:t>
            </w:r>
          </w:p>
        </w:tc>
      </w:tr>
      <w:tr w:rsidR="007123CA" w:rsidRPr="00CA47F8" w14:paraId="4C4ADC3A" w14:textId="77777777" w:rsidTr="007123CA">
        <w:trPr>
          <w:trHeight w:val="262"/>
        </w:trPr>
        <w:tc>
          <w:tcPr>
            <w:tcW w:w="556" w:type="pct"/>
            <w:shd w:val="clear" w:color="auto" w:fill="FFFFFF"/>
          </w:tcPr>
          <w:p w14:paraId="714D0094" w14:textId="2F59026E" w:rsidR="007123CA" w:rsidRPr="00CA47F8" w:rsidRDefault="007123CA" w:rsidP="00C31C79">
            <w:pPr>
              <w:pStyle w:val="CETBodytext"/>
              <w:jc w:val="center"/>
              <w:rPr>
                <w:rFonts w:cs="Arial"/>
                <w:szCs w:val="18"/>
                <w:lang w:val="en-GB"/>
              </w:rPr>
            </w:pPr>
            <w:r w:rsidRPr="00CA47F8">
              <w:rPr>
                <w:rFonts w:cs="Arial"/>
                <w:szCs w:val="18"/>
                <w:lang w:val="en-GB"/>
              </w:rPr>
              <w:t>20</w:t>
            </w:r>
          </w:p>
        </w:tc>
        <w:tc>
          <w:tcPr>
            <w:tcW w:w="558" w:type="pct"/>
            <w:shd w:val="clear" w:color="auto" w:fill="FFFFFF"/>
          </w:tcPr>
          <w:p w14:paraId="321C2A4C" w14:textId="0F260AA7" w:rsidR="007123CA" w:rsidRPr="00CA47F8" w:rsidRDefault="007123CA" w:rsidP="00C31C79">
            <w:pPr>
              <w:pStyle w:val="CETBodytext"/>
              <w:jc w:val="center"/>
              <w:rPr>
                <w:rFonts w:cs="Arial"/>
                <w:szCs w:val="18"/>
                <w:lang w:val="en-GB"/>
              </w:rPr>
            </w:pPr>
            <w:r w:rsidRPr="00CA47F8">
              <w:rPr>
                <w:rFonts w:cs="Arial"/>
                <w:szCs w:val="18"/>
              </w:rPr>
              <w:t>53.9</w:t>
            </w:r>
          </w:p>
        </w:tc>
        <w:tc>
          <w:tcPr>
            <w:tcW w:w="556" w:type="pct"/>
            <w:shd w:val="clear" w:color="auto" w:fill="FFFFFF"/>
          </w:tcPr>
          <w:p w14:paraId="7D8F7B40" w14:textId="479FF86B" w:rsidR="007123CA" w:rsidRPr="00CA47F8" w:rsidRDefault="007123CA" w:rsidP="00C31C79">
            <w:pPr>
              <w:pStyle w:val="CETBodytext"/>
              <w:jc w:val="center"/>
              <w:rPr>
                <w:rFonts w:cs="Arial"/>
                <w:szCs w:val="18"/>
                <w:lang w:val="en-GB"/>
              </w:rPr>
            </w:pPr>
            <w:r w:rsidRPr="00CA47F8">
              <w:rPr>
                <w:rFonts w:cs="Arial"/>
                <w:szCs w:val="18"/>
              </w:rPr>
              <w:t>-18.1</w:t>
            </w:r>
          </w:p>
        </w:tc>
        <w:tc>
          <w:tcPr>
            <w:tcW w:w="556" w:type="pct"/>
            <w:shd w:val="clear" w:color="auto" w:fill="FFFFFF"/>
          </w:tcPr>
          <w:p w14:paraId="047837B2" w14:textId="5F09F9BC" w:rsidR="007123CA" w:rsidRPr="00CA47F8" w:rsidRDefault="007123CA" w:rsidP="00C31C79">
            <w:pPr>
              <w:pStyle w:val="CETBodytext"/>
              <w:ind w:right="-1"/>
              <w:jc w:val="center"/>
              <w:rPr>
                <w:rFonts w:cs="Arial"/>
                <w:szCs w:val="18"/>
                <w:lang w:val="en-GB"/>
              </w:rPr>
            </w:pPr>
            <w:r w:rsidRPr="00CA47F8">
              <w:rPr>
                <w:rFonts w:cs="Arial"/>
                <w:szCs w:val="18"/>
              </w:rPr>
              <w:t>33.55</w:t>
            </w:r>
          </w:p>
        </w:tc>
        <w:tc>
          <w:tcPr>
            <w:tcW w:w="556" w:type="pct"/>
            <w:shd w:val="clear" w:color="auto" w:fill="FFFFFF"/>
          </w:tcPr>
          <w:p w14:paraId="12FD5B71" w14:textId="1CBE8B79" w:rsidR="007123CA" w:rsidRPr="00CA47F8" w:rsidRDefault="007123CA" w:rsidP="00C31C79">
            <w:pPr>
              <w:pStyle w:val="CETBodytext"/>
              <w:ind w:right="-1"/>
              <w:jc w:val="center"/>
              <w:rPr>
                <w:rFonts w:cs="Arial"/>
                <w:szCs w:val="18"/>
                <w:lang w:val="en-GB"/>
              </w:rPr>
            </w:pPr>
            <w:r w:rsidRPr="00CA47F8">
              <w:rPr>
                <w:rFonts w:cs="Arial"/>
                <w:szCs w:val="18"/>
              </w:rPr>
              <w:t>463</w:t>
            </w:r>
          </w:p>
        </w:tc>
        <w:tc>
          <w:tcPr>
            <w:tcW w:w="556" w:type="pct"/>
            <w:shd w:val="clear" w:color="auto" w:fill="FFFFFF"/>
          </w:tcPr>
          <w:p w14:paraId="0031641E" w14:textId="26EE477D" w:rsidR="007123CA" w:rsidRPr="00CA47F8" w:rsidRDefault="007123CA" w:rsidP="00C31C79">
            <w:pPr>
              <w:pStyle w:val="CETBodytext"/>
              <w:ind w:right="-1"/>
              <w:jc w:val="center"/>
              <w:rPr>
                <w:rFonts w:cs="Arial"/>
                <w:szCs w:val="18"/>
                <w:lang w:val="en-GB"/>
              </w:rPr>
            </w:pPr>
            <w:r w:rsidRPr="00CA47F8">
              <w:rPr>
                <w:rFonts w:cs="Arial"/>
                <w:szCs w:val="18"/>
              </w:rPr>
              <w:t>8.95</w:t>
            </w:r>
          </w:p>
        </w:tc>
        <w:tc>
          <w:tcPr>
            <w:tcW w:w="555" w:type="pct"/>
            <w:shd w:val="clear" w:color="auto" w:fill="FFFFFF"/>
          </w:tcPr>
          <w:p w14:paraId="01DA9092" w14:textId="1E3951DE" w:rsidR="007123CA" w:rsidRPr="00CA47F8" w:rsidRDefault="007123CA" w:rsidP="00C31C79">
            <w:pPr>
              <w:pStyle w:val="CETBodytext"/>
              <w:ind w:right="-1"/>
              <w:jc w:val="center"/>
              <w:rPr>
                <w:rFonts w:cs="Arial"/>
                <w:szCs w:val="18"/>
                <w:lang w:val="en-GB"/>
              </w:rPr>
            </w:pPr>
            <w:r w:rsidRPr="00CA47F8">
              <w:rPr>
                <w:rFonts w:cs="Arial"/>
                <w:szCs w:val="18"/>
              </w:rPr>
              <w:t>-180.0</w:t>
            </w:r>
          </w:p>
        </w:tc>
        <w:tc>
          <w:tcPr>
            <w:tcW w:w="556" w:type="pct"/>
            <w:shd w:val="clear" w:color="auto" w:fill="FFFFFF"/>
          </w:tcPr>
          <w:p w14:paraId="38E8D0F6" w14:textId="180661C1" w:rsidR="007123CA" w:rsidRPr="00CA47F8" w:rsidRDefault="007123CA" w:rsidP="00C31C79">
            <w:pPr>
              <w:pStyle w:val="CETBodytext"/>
              <w:ind w:right="-1"/>
              <w:jc w:val="center"/>
              <w:rPr>
                <w:rFonts w:cs="Arial"/>
                <w:szCs w:val="18"/>
                <w:lang w:val="en-GB"/>
              </w:rPr>
            </w:pPr>
            <w:r w:rsidRPr="00CA47F8">
              <w:rPr>
                <w:rFonts w:cs="Arial"/>
                <w:szCs w:val="18"/>
              </w:rPr>
              <w:t>1.70</w:t>
            </w:r>
          </w:p>
        </w:tc>
        <w:tc>
          <w:tcPr>
            <w:tcW w:w="552" w:type="pct"/>
            <w:shd w:val="clear" w:color="auto" w:fill="FFFFFF"/>
          </w:tcPr>
          <w:p w14:paraId="56A53DC1" w14:textId="47E0F41E" w:rsidR="007123CA" w:rsidRPr="00CA47F8" w:rsidRDefault="007123CA" w:rsidP="00C31C79">
            <w:pPr>
              <w:pStyle w:val="CETBodytext"/>
              <w:ind w:right="-1"/>
              <w:jc w:val="center"/>
              <w:rPr>
                <w:rFonts w:cs="Arial"/>
                <w:szCs w:val="18"/>
                <w:lang w:val="en-GB"/>
              </w:rPr>
            </w:pPr>
            <w:r w:rsidRPr="00CA47F8">
              <w:rPr>
                <w:rFonts w:cs="Arial"/>
                <w:szCs w:val="18"/>
              </w:rPr>
              <w:t>1531</w:t>
            </w:r>
          </w:p>
        </w:tc>
      </w:tr>
      <w:tr w:rsidR="007123CA" w:rsidRPr="00CA47F8" w14:paraId="54339106" w14:textId="3A5CD3A3" w:rsidTr="007123CA">
        <w:trPr>
          <w:trHeight w:val="262"/>
        </w:trPr>
        <w:tc>
          <w:tcPr>
            <w:tcW w:w="556" w:type="pct"/>
            <w:shd w:val="clear" w:color="auto" w:fill="FFFFFF"/>
          </w:tcPr>
          <w:p w14:paraId="33C7F4C1" w14:textId="3C8A9E57" w:rsidR="007123CA" w:rsidRPr="00CA47F8" w:rsidRDefault="007123CA" w:rsidP="00C31C79">
            <w:pPr>
              <w:pStyle w:val="CETBodytext"/>
              <w:ind w:right="-1"/>
              <w:jc w:val="center"/>
              <w:rPr>
                <w:rFonts w:cs="Arial"/>
                <w:szCs w:val="18"/>
                <w:lang w:val="en-GB"/>
              </w:rPr>
            </w:pPr>
            <w:r w:rsidRPr="00CA47F8">
              <w:rPr>
                <w:rFonts w:cs="Arial"/>
                <w:szCs w:val="18"/>
                <w:lang w:val="en-GB"/>
              </w:rPr>
              <w:t>100</w:t>
            </w:r>
          </w:p>
        </w:tc>
        <w:tc>
          <w:tcPr>
            <w:tcW w:w="558" w:type="pct"/>
            <w:shd w:val="clear" w:color="auto" w:fill="FFFFFF"/>
          </w:tcPr>
          <w:p w14:paraId="19055726" w14:textId="6A8F1BAF" w:rsidR="007123CA" w:rsidRPr="00CA47F8" w:rsidRDefault="007123CA" w:rsidP="007123CA">
            <w:pPr>
              <w:pStyle w:val="CETBodytext"/>
              <w:ind w:right="-1"/>
              <w:jc w:val="center"/>
              <w:rPr>
                <w:rFonts w:cs="Arial"/>
                <w:szCs w:val="18"/>
              </w:rPr>
            </w:pPr>
            <w:r w:rsidRPr="00CA47F8">
              <w:rPr>
                <w:rFonts w:cs="Arial"/>
                <w:szCs w:val="18"/>
              </w:rPr>
              <w:t>52.0</w:t>
            </w:r>
          </w:p>
        </w:tc>
        <w:tc>
          <w:tcPr>
            <w:tcW w:w="556" w:type="pct"/>
            <w:shd w:val="clear" w:color="auto" w:fill="FFFFFF"/>
          </w:tcPr>
          <w:p w14:paraId="7CED07C5" w14:textId="46C78E7E" w:rsidR="007123CA" w:rsidRPr="00CA47F8" w:rsidRDefault="007123CA" w:rsidP="00C31C79">
            <w:pPr>
              <w:pStyle w:val="CETBodytext"/>
              <w:ind w:right="-1"/>
              <w:jc w:val="center"/>
              <w:rPr>
                <w:rFonts w:cs="Arial"/>
                <w:szCs w:val="18"/>
                <w:lang w:val="en-GB"/>
              </w:rPr>
            </w:pPr>
            <w:r w:rsidRPr="00CA47F8">
              <w:rPr>
                <w:rFonts w:cs="Arial"/>
                <w:szCs w:val="18"/>
              </w:rPr>
              <w:t>-25.7</w:t>
            </w:r>
          </w:p>
        </w:tc>
        <w:tc>
          <w:tcPr>
            <w:tcW w:w="556" w:type="pct"/>
            <w:shd w:val="clear" w:color="auto" w:fill="FFFFFF"/>
          </w:tcPr>
          <w:p w14:paraId="2C500EE6" w14:textId="70B25B5A" w:rsidR="007123CA" w:rsidRPr="00CA47F8" w:rsidRDefault="007123CA" w:rsidP="00C31C79">
            <w:pPr>
              <w:pStyle w:val="CETBodytext"/>
              <w:ind w:right="-1"/>
              <w:jc w:val="center"/>
              <w:rPr>
                <w:rFonts w:cs="Arial"/>
                <w:szCs w:val="18"/>
                <w:lang w:val="en-GB"/>
              </w:rPr>
            </w:pPr>
            <w:r w:rsidRPr="00CA47F8">
              <w:rPr>
                <w:rFonts w:cs="Arial"/>
                <w:szCs w:val="18"/>
              </w:rPr>
              <w:t>4.04</w:t>
            </w:r>
          </w:p>
        </w:tc>
        <w:tc>
          <w:tcPr>
            <w:tcW w:w="556" w:type="pct"/>
            <w:shd w:val="clear" w:color="auto" w:fill="FFFFFF"/>
          </w:tcPr>
          <w:p w14:paraId="16584AA0" w14:textId="056774E6" w:rsidR="007123CA" w:rsidRPr="00CA47F8" w:rsidRDefault="007123CA" w:rsidP="00C31C79">
            <w:pPr>
              <w:pStyle w:val="CETBodytext"/>
              <w:ind w:right="-1"/>
              <w:jc w:val="center"/>
              <w:rPr>
                <w:rFonts w:cs="Arial"/>
                <w:szCs w:val="18"/>
                <w:lang w:val="en-GB"/>
              </w:rPr>
            </w:pPr>
            <w:r w:rsidRPr="00CA47F8">
              <w:rPr>
                <w:rFonts w:cs="Arial"/>
                <w:szCs w:val="18"/>
              </w:rPr>
              <w:t>1200</w:t>
            </w:r>
          </w:p>
        </w:tc>
        <w:tc>
          <w:tcPr>
            <w:tcW w:w="556" w:type="pct"/>
            <w:shd w:val="clear" w:color="auto" w:fill="FFFFFF"/>
          </w:tcPr>
          <w:p w14:paraId="41457E64" w14:textId="788C78FD" w:rsidR="007123CA" w:rsidRPr="00CA47F8" w:rsidRDefault="007123CA" w:rsidP="00C31C79">
            <w:pPr>
              <w:pStyle w:val="CETBodytext"/>
              <w:ind w:right="-1"/>
              <w:jc w:val="center"/>
              <w:rPr>
                <w:rFonts w:cs="Arial"/>
                <w:szCs w:val="18"/>
                <w:lang w:val="en-GB"/>
              </w:rPr>
            </w:pPr>
            <w:r w:rsidRPr="00CA47F8">
              <w:rPr>
                <w:rFonts w:cs="Arial"/>
                <w:szCs w:val="18"/>
              </w:rPr>
              <w:t>9.77</w:t>
            </w:r>
          </w:p>
        </w:tc>
        <w:tc>
          <w:tcPr>
            <w:tcW w:w="555" w:type="pct"/>
            <w:shd w:val="clear" w:color="auto" w:fill="FFFFFF"/>
          </w:tcPr>
          <w:p w14:paraId="251E6D45" w14:textId="400A88EE" w:rsidR="007123CA" w:rsidRPr="00CA47F8" w:rsidRDefault="007123CA" w:rsidP="00C31C79">
            <w:pPr>
              <w:pStyle w:val="CETBodytext"/>
              <w:ind w:right="-1"/>
              <w:jc w:val="center"/>
              <w:rPr>
                <w:rFonts w:cs="Arial"/>
                <w:szCs w:val="18"/>
                <w:lang w:val="en-GB"/>
              </w:rPr>
            </w:pPr>
            <w:r w:rsidRPr="00CA47F8">
              <w:rPr>
                <w:rFonts w:cs="Arial"/>
                <w:szCs w:val="18"/>
              </w:rPr>
              <w:t>-195.0</w:t>
            </w:r>
          </w:p>
        </w:tc>
        <w:tc>
          <w:tcPr>
            <w:tcW w:w="556" w:type="pct"/>
            <w:shd w:val="clear" w:color="auto" w:fill="FFFFFF"/>
          </w:tcPr>
          <w:p w14:paraId="627EAE84" w14:textId="6F33F896" w:rsidR="007123CA" w:rsidRPr="00CA47F8" w:rsidRDefault="007123CA" w:rsidP="00C31C79">
            <w:pPr>
              <w:pStyle w:val="CETBodytext"/>
              <w:ind w:right="-1"/>
              <w:jc w:val="center"/>
              <w:rPr>
                <w:rFonts w:cs="Arial"/>
                <w:szCs w:val="18"/>
                <w:lang w:val="en-GB"/>
              </w:rPr>
            </w:pPr>
            <w:r w:rsidRPr="00CA47F8">
              <w:rPr>
                <w:rFonts w:cs="Arial"/>
                <w:szCs w:val="18"/>
              </w:rPr>
              <w:t>0.24</w:t>
            </w:r>
          </w:p>
        </w:tc>
        <w:tc>
          <w:tcPr>
            <w:tcW w:w="552" w:type="pct"/>
            <w:shd w:val="clear" w:color="auto" w:fill="FFFFFF"/>
          </w:tcPr>
          <w:p w14:paraId="5F1FD24C" w14:textId="37D48270" w:rsidR="007123CA" w:rsidRPr="00CA47F8" w:rsidRDefault="007123CA" w:rsidP="00C31C79">
            <w:pPr>
              <w:pStyle w:val="CETBodytext"/>
              <w:ind w:right="-1"/>
              <w:jc w:val="center"/>
              <w:rPr>
                <w:rFonts w:cs="Arial"/>
                <w:szCs w:val="18"/>
                <w:lang w:val="en-GB"/>
              </w:rPr>
            </w:pPr>
            <w:r w:rsidRPr="00CA47F8">
              <w:rPr>
                <w:rFonts w:cs="Arial"/>
                <w:szCs w:val="18"/>
              </w:rPr>
              <w:t>2400</w:t>
            </w:r>
          </w:p>
        </w:tc>
      </w:tr>
    </w:tbl>
    <w:p w14:paraId="6E6C7544" w14:textId="77777777" w:rsidR="00814EFA" w:rsidRPr="00CA47F8" w:rsidRDefault="00814EFA" w:rsidP="00105CCC">
      <w:pPr>
        <w:tabs>
          <w:tab w:val="clear" w:pos="7100"/>
        </w:tabs>
        <w:spacing w:line="276" w:lineRule="auto"/>
      </w:pPr>
    </w:p>
    <w:p w14:paraId="62F901EB" w14:textId="2A7F005C" w:rsidR="00D77C03" w:rsidRPr="00CA47F8" w:rsidRDefault="00D77C03" w:rsidP="00584B66">
      <w:pPr>
        <w:pStyle w:val="CETCaption"/>
      </w:pPr>
      <w:r w:rsidRPr="00CA47F8">
        <w:t xml:space="preserve">Table </w:t>
      </w:r>
      <w:r w:rsidRPr="00CA47F8">
        <w:fldChar w:fldCharType="begin"/>
      </w:r>
      <w:r w:rsidRPr="00CA47F8">
        <w:instrText xml:space="preserve"> SEQ Table \* ARABIC </w:instrText>
      </w:r>
      <w:r w:rsidRPr="00CA47F8">
        <w:fldChar w:fldCharType="separate"/>
      </w:r>
      <w:r w:rsidR="00AF4EA9" w:rsidRPr="00CA47F8">
        <w:rPr>
          <w:noProof/>
        </w:rPr>
        <w:t>3</w:t>
      </w:r>
      <w:r w:rsidRPr="00CA47F8">
        <w:fldChar w:fldCharType="end"/>
      </w:r>
      <w:r w:rsidRPr="00CA47F8">
        <w:t>. Numerical results obtained in this work</w:t>
      </w:r>
      <w:r w:rsidR="00F64321" w:rsidRPr="00CA47F8">
        <w:t xml:space="preserve"> expressed in terms of mass flow</w:t>
      </w:r>
      <w:r w:rsidR="00C36C65" w:rsidRPr="00CA47F8">
        <w:t xml:space="preserve"> </w:t>
      </w:r>
      <w:r w:rsidR="00F64321" w:rsidRPr="00CA47F8">
        <w:t>rate (</w:t>
      </w:r>
      <m:oMath>
        <m:acc>
          <m:accPr>
            <m:chr m:val="̇"/>
            <m:ctrlPr>
              <w:rPr>
                <w:rFonts w:ascii="Cambria Math" w:hAnsi="Cambria Math"/>
              </w:rPr>
            </m:ctrlPr>
          </m:accPr>
          <m:e>
            <m:r>
              <w:rPr>
                <w:rFonts w:ascii="Cambria Math" w:hAnsi="Cambria Math"/>
              </w:rPr>
              <m:t>m</m:t>
            </m:r>
          </m:e>
        </m:acc>
      </m:oMath>
      <w:r w:rsidR="00F64321" w:rsidRPr="00CA47F8">
        <w:t>), flame length (</w:t>
      </w:r>
      <m:oMath>
        <m:sSub>
          <m:sSubPr>
            <m:ctrlPr>
              <w:rPr>
                <w:rFonts w:ascii="Cambria Math" w:hAnsi="Cambria Math"/>
              </w:rPr>
            </m:ctrlPr>
          </m:sSubPr>
          <m:e>
            <m:r>
              <w:rPr>
                <w:rFonts w:ascii="Cambria Math" w:hAnsi="Cambria Math"/>
              </w:rPr>
              <m:t>L</m:t>
            </m:r>
          </m:e>
          <m:sub>
            <m:r>
              <w:rPr>
                <w:rFonts w:ascii="Cambria Math" w:hAnsi="Cambria Math"/>
              </w:rPr>
              <m:t>f</m:t>
            </m:r>
          </m:sub>
        </m:sSub>
      </m:oMath>
      <w:r w:rsidR="00F64321" w:rsidRPr="00CA47F8">
        <w:t>) and surface emissive power (</w:t>
      </w:r>
      <m:oMath>
        <m:acc>
          <m:accPr>
            <m:chr m:val="̇"/>
            <m:ctrlPr>
              <w:rPr>
                <w:rFonts w:ascii="Cambria Math" w:hAnsi="Cambria Math"/>
              </w:rPr>
            </m:ctrlPr>
          </m:accPr>
          <m:e>
            <m:r>
              <w:rPr>
                <w:rFonts w:ascii="Cambria Math" w:hAnsi="Cambria Math"/>
              </w:rPr>
              <m:t>q</m:t>
            </m:r>
          </m:e>
        </m:acc>
      </m:oMath>
      <w:r w:rsidR="00F64321" w:rsidRPr="00CA47F8">
        <w:t>), as calculated by PHAST and ANSYS.</w:t>
      </w:r>
      <w:r w:rsidR="00814EFA" w:rsidRPr="00CA47F8">
        <w:t xml:space="preserve"> Calculations conducted for an orifice of 5 mm (</w:t>
      </w:r>
      <m:oMath>
        <m:sSub>
          <m:sSubPr>
            <m:ctrlPr>
              <w:rPr>
                <w:rFonts w:ascii="Cambria Math" w:hAnsi="Cambria Math"/>
                <w:i w:val="0"/>
                <w:szCs w:val="18"/>
              </w:rPr>
            </m:ctrlPr>
          </m:sSubPr>
          <m:e>
            <m:r>
              <w:rPr>
                <w:rFonts w:ascii="Cambria Math" w:hAnsi="Cambria Math"/>
                <w:szCs w:val="18"/>
              </w:rPr>
              <m:t>D</m:t>
            </m:r>
          </m:e>
          <m:sub>
            <m:r>
              <w:rPr>
                <w:rFonts w:ascii="Cambria Math" w:hAnsi="Cambria Math"/>
                <w:szCs w:val="18"/>
              </w:rPr>
              <m:t>e</m:t>
            </m:r>
          </m:sub>
        </m:sSub>
      </m:oMath>
      <w:r w:rsidR="00814EFA" w:rsidRPr="00CA47F8">
        <w:rPr>
          <w:szCs w:val="18"/>
        </w:rPr>
        <w:t>)</w:t>
      </w:r>
      <w:r w:rsidR="00814EFA" w:rsidRPr="00CA47F8">
        <w:t>, initial pressure of 100 bar (</w:t>
      </w:r>
      <m:oMath>
        <m:sSub>
          <m:sSubPr>
            <m:ctrlPr>
              <w:rPr>
                <w:rFonts w:ascii="Cambria Math" w:hAnsi="Cambria Math"/>
                <w:i w:val="0"/>
                <w:szCs w:val="18"/>
              </w:rPr>
            </m:ctrlPr>
          </m:sSubPr>
          <m:e>
            <m:r>
              <w:rPr>
                <w:rFonts w:ascii="Cambria Math" w:hAnsi="Cambria Math"/>
                <w:szCs w:val="18"/>
              </w:rPr>
              <m:t>P</m:t>
            </m:r>
          </m:e>
          <m:sub>
            <m:r>
              <w:rPr>
                <w:rFonts w:ascii="Cambria Math" w:hAnsi="Cambria Math"/>
                <w:szCs w:val="18"/>
                <w:lang w:val="en-US"/>
              </w:rPr>
              <m:t>0</m:t>
            </m:r>
          </m:sub>
        </m:sSub>
      </m:oMath>
      <w:r w:rsidR="00814EFA" w:rsidRPr="00CA47F8">
        <w:t>), ambient pressure of 1 bar (</w:t>
      </w:r>
      <m:oMath>
        <m:sSub>
          <m:sSubPr>
            <m:ctrlPr>
              <w:rPr>
                <w:rFonts w:ascii="Cambria Math" w:hAnsi="Cambria Math"/>
                <w:i w:val="0"/>
                <w:szCs w:val="18"/>
              </w:rPr>
            </m:ctrlPr>
          </m:sSubPr>
          <m:e>
            <m:r>
              <w:rPr>
                <w:rFonts w:ascii="Cambria Math" w:hAnsi="Cambria Math"/>
                <w:szCs w:val="18"/>
              </w:rPr>
              <m:t>P</m:t>
            </m:r>
          </m:e>
          <m:sub>
            <m:r>
              <w:rPr>
                <w:rFonts w:ascii="Cambria Math" w:hAnsi="Cambria Math"/>
                <w:szCs w:val="18"/>
              </w:rPr>
              <m:t>s</m:t>
            </m:r>
          </m:sub>
        </m:sSub>
      </m:oMath>
      <w:r w:rsidR="00814EFA" w:rsidRPr="00CA47F8">
        <w:rPr>
          <w:szCs w:val="18"/>
        </w:rPr>
        <w:t xml:space="preserve">), </w:t>
      </w:r>
      <w:r w:rsidR="00814EFA" w:rsidRPr="00CA47F8">
        <w:t>initial temperature of 25 °C (</w:t>
      </w:r>
      <m:oMath>
        <m:sSub>
          <m:sSubPr>
            <m:ctrlPr>
              <w:rPr>
                <w:rFonts w:ascii="Cambria Math" w:hAnsi="Cambria Math"/>
                <w:i w:val="0"/>
                <w:szCs w:val="18"/>
              </w:rPr>
            </m:ctrlPr>
          </m:sSubPr>
          <m:e>
            <m:r>
              <w:rPr>
                <w:rFonts w:ascii="Cambria Math" w:hAnsi="Cambria Math"/>
                <w:szCs w:val="18"/>
              </w:rPr>
              <m:t>T</m:t>
            </m:r>
          </m:e>
          <m:sub>
            <m:r>
              <w:rPr>
                <w:rFonts w:ascii="Cambria Math" w:hAnsi="Cambria Math"/>
                <w:szCs w:val="18"/>
                <w:lang w:val="en-US"/>
              </w:rPr>
              <m:t>0</m:t>
            </m:r>
          </m:sub>
        </m:sSub>
      </m:oMath>
      <w:r w:rsidR="00814EFA" w:rsidRPr="00CA47F8">
        <w:t>), and wind velocity (</w:t>
      </w:r>
      <w:proofErr w:type="spellStart"/>
      <w:r w:rsidR="00814EFA" w:rsidRPr="00CA47F8">
        <w:rPr>
          <w:szCs w:val="18"/>
        </w:rPr>
        <w:t>u</w:t>
      </w:r>
      <w:r w:rsidR="00814EFA" w:rsidRPr="00CA47F8">
        <w:rPr>
          <w:szCs w:val="18"/>
          <w:vertAlign w:val="subscript"/>
        </w:rPr>
        <w:t>wind</w:t>
      </w:r>
      <w:proofErr w:type="spellEnd"/>
      <w:r w:rsidR="00814EFA" w:rsidRPr="00CA47F8">
        <w:rPr>
          <w:szCs w:val="18"/>
        </w:rPr>
        <w:t>) of 2.0 m s</w:t>
      </w:r>
      <w:r w:rsidR="00814EFA" w:rsidRPr="00CA47F8">
        <w:rPr>
          <w:szCs w:val="18"/>
          <w:vertAlign w:val="superscript"/>
        </w:rPr>
        <w:t>-1</w:t>
      </w:r>
      <w:r w:rsidR="00D04429" w:rsidRPr="00CA47F8">
        <w:rPr>
          <w:szCs w:val="18"/>
        </w:rPr>
        <w:t xml:space="preserve"> and neutral (D) </w:t>
      </w:r>
      <w:proofErr w:type="spellStart"/>
      <w:r w:rsidR="00D04429" w:rsidRPr="00CA47F8">
        <w:rPr>
          <w:szCs w:val="18"/>
        </w:rPr>
        <w:t>Pasquill</w:t>
      </w:r>
      <w:proofErr w:type="spellEnd"/>
      <w:r w:rsidR="00D04429" w:rsidRPr="00CA47F8">
        <w:rPr>
          <w:szCs w:val="18"/>
        </w:rPr>
        <w:t xml:space="preserve"> Stability</w:t>
      </w:r>
      <w:r w:rsidR="00814EFA" w:rsidRPr="00CA47F8">
        <w:t>, at different compositions.</w:t>
      </w:r>
    </w:p>
    <w:tbl>
      <w:tblPr>
        <w:tblW w:w="4975" w:type="pct"/>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80"/>
        <w:gridCol w:w="1259"/>
        <w:gridCol w:w="1261"/>
        <w:gridCol w:w="1081"/>
        <w:gridCol w:w="1259"/>
        <w:gridCol w:w="1259"/>
        <w:gridCol w:w="1525"/>
        <w:gridCol w:w="19"/>
      </w:tblGrid>
      <w:tr w:rsidR="00683D4D" w:rsidRPr="00CA47F8" w14:paraId="0829DBED" w14:textId="77777777" w:rsidTr="00683D4D">
        <w:trPr>
          <w:gridAfter w:val="1"/>
          <w:wAfter w:w="11" w:type="pct"/>
          <w:trHeight w:val="230"/>
          <w:jc w:val="center"/>
        </w:trPr>
        <w:tc>
          <w:tcPr>
            <w:tcW w:w="618" w:type="pct"/>
            <w:tcBorders>
              <w:top w:val="single" w:sz="12" w:space="0" w:color="008000"/>
              <w:bottom w:val="single" w:sz="6" w:space="0" w:color="008000"/>
            </w:tcBorders>
            <w:shd w:val="clear" w:color="auto" w:fill="FFFFFF"/>
            <w:vAlign w:val="center"/>
          </w:tcPr>
          <w:p w14:paraId="738C622B" w14:textId="534FCCD0" w:rsidR="00BA0FC9" w:rsidRPr="00CA47F8" w:rsidRDefault="00BA0FC9" w:rsidP="00577686">
            <w:pPr>
              <w:pStyle w:val="CETBodytext"/>
              <w:ind w:right="-1"/>
              <w:jc w:val="center"/>
              <w:rPr>
                <w:lang w:val="en-GB"/>
              </w:rPr>
            </w:pPr>
            <w:r w:rsidRPr="00CA47F8">
              <w:rPr>
                <w:lang w:val="en-GB"/>
              </w:rPr>
              <w:t>H</w:t>
            </w:r>
            <w:r w:rsidRPr="00CA47F8">
              <w:rPr>
                <w:vertAlign w:val="subscript"/>
                <w:lang w:val="en-GB"/>
              </w:rPr>
              <w:t xml:space="preserve">2 </w:t>
            </w:r>
            <w:r w:rsidRPr="00CA47F8">
              <w:rPr>
                <w:lang w:val="en-GB"/>
              </w:rPr>
              <w:t>[%vol]</w:t>
            </w:r>
          </w:p>
        </w:tc>
        <w:tc>
          <w:tcPr>
            <w:tcW w:w="720" w:type="pct"/>
            <w:tcBorders>
              <w:top w:val="single" w:sz="12" w:space="0" w:color="008000"/>
              <w:bottom w:val="single" w:sz="6" w:space="0" w:color="008000"/>
            </w:tcBorders>
            <w:shd w:val="clear" w:color="auto" w:fill="FFFFFF"/>
          </w:tcPr>
          <w:p w14:paraId="4CEF0DEB" w14:textId="2AA5D25E" w:rsidR="00BA0FC9" w:rsidRPr="00CA47F8" w:rsidRDefault="005127C5" w:rsidP="00577686">
            <w:pPr>
              <w:pStyle w:val="CETBodytext"/>
              <w:ind w:right="-1"/>
              <w:jc w:val="center"/>
              <w:rPr>
                <w:rFonts w:cs="Arial"/>
                <w:szCs w:val="18"/>
                <w:lang w:val="en-GB"/>
              </w:rPr>
            </w:pPr>
            <m:oMath>
              <m:sSub>
                <m:sSubPr>
                  <m:ctrlPr>
                    <w:rPr>
                      <w:rFonts w:ascii="Cambria Math" w:hAnsi="Cambria Math"/>
                      <w:i/>
                      <w:color w:val="000000"/>
                      <w:lang w:eastAsia="it-IT"/>
                    </w:rPr>
                  </m:ctrlPr>
                </m:sSubPr>
                <m:e>
                  <m:acc>
                    <m:accPr>
                      <m:chr m:val="̇"/>
                      <m:ctrlPr>
                        <w:rPr>
                          <w:rFonts w:ascii="Cambria Math" w:hAnsi="Cambria Math"/>
                          <w:color w:val="000000"/>
                          <w:lang w:eastAsia="it-IT"/>
                        </w:rPr>
                      </m:ctrlPr>
                    </m:accPr>
                    <m:e>
                      <m:r>
                        <m:rPr>
                          <m:sty m:val="p"/>
                        </m:rPr>
                        <w:rPr>
                          <w:rFonts w:ascii="Cambria Math" w:hAnsi="Cambria Math"/>
                          <w:color w:val="000000"/>
                          <w:lang w:eastAsia="it-IT"/>
                        </w:rPr>
                        <m:t>m</m:t>
                      </m:r>
                    </m:e>
                  </m:acc>
                </m:e>
                <m:sub>
                  <m:r>
                    <w:rPr>
                      <w:rFonts w:ascii="Cambria Math" w:hAnsi="Cambria Math"/>
                      <w:color w:val="000000"/>
                      <w:lang w:eastAsia="it-IT"/>
                    </w:rPr>
                    <m:t>PHAST</m:t>
                  </m:r>
                </m:sub>
              </m:sSub>
            </m:oMath>
            <w:r w:rsidR="00BA0FC9" w:rsidRPr="00CA47F8">
              <w:rPr>
                <w:rFonts w:cs="Arial"/>
                <w:color w:val="000000"/>
                <w:lang w:eastAsia="it-IT"/>
              </w:rPr>
              <w:t xml:space="preserve"> </w:t>
            </w:r>
            <w:r w:rsidR="00BA0FC9" w:rsidRPr="00CA47F8">
              <w:rPr>
                <w:rFonts w:cs="Arial"/>
                <w:szCs w:val="18"/>
                <w:lang w:val="en-GB"/>
              </w:rPr>
              <w:t>[g s</w:t>
            </w:r>
            <w:r w:rsidR="00BA0FC9" w:rsidRPr="00CA47F8">
              <w:rPr>
                <w:rFonts w:cs="Arial"/>
                <w:szCs w:val="18"/>
                <w:vertAlign w:val="superscript"/>
                <w:lang w:val="en-GB"/>
              </w:rPr>
              <w:t>-1</w:t>
            </w:r>
            <w:r w:rsidR="00BA0FC9" w:rsidRPr="00CA47F8">
              <w:rPr>
                <w:rFonts w:cs="Arial"/>
                <w:szCs w:val="18"/>
                <w:lang w:val="en-GB"/>
              </w:rPr>
              <w:t>]</w:t>
            </w:r>
          </w:p>
        </w:tc>
        <w:tc>
          <w:tcPr>
            <w:tcW w:w="721" w:type="pct"/>
            <w:tcBorders>
              <w:top w:val="single" w:sz="12" w:space="0" w:color="008000"/>
              <w:bottom w:val="single" w:sz="6" w:space="0" w:color="008000"/>
            </w:tcBorders>
            <w:shd w:val="clear" w:color="auto" w:fill="FFFFFF"/>
          </w:tcPr>
          <w:p w14:paraId="5716B33A" w14:textId="299FE2B0" w:rsidR="00BA0FC9" w:rsidRPr="00CA47F8" w:rsidRDefault="005127C5" w:rsidP="00577686">
            <w:pPr>
              <w:pStyle w:val="CETBodytext"/>
              <w:ind w:right="-1"/>
              <w:jc w:val="center"/>
              <w:rPr>
                <w:lang w:val="en-GB"/>
              </w:rPr>
            </w:pPr>
            <m:oMath>
              <m:sSub>
                <m:sSubPr>
                  <m:ctrlPr>
                    <w:rPr>
                      <w:rFonts w:ascii="Cambria Math" w:hAnsi="Cambria Math"/>
                      <w:i/>
                      <w:color w:val="000000"/>
                      <w:lang w:eastAsia="it-IT"/>
                    </w:rPr>
                  </m:ctrlPr>
                </m:sSubPr>
                <m:e>
                  <m:acc>
                    <m:accPr>
                      <m:chr m:val="̇"/>
                      <m:ctrlPr>
                        <w:rPr>
                          <w:rFonts w:ascii="Cambria Math" w:hAnsi="Cambria Math"/>
                          <w:color w:val="000000"/>
                          <w:lang w:eastAsia="it-IT"/>
                        </w:rPr>
                      </m:ctrlPr>
                    </m:accPr>
                    <m:e>
                      <m:r>
                        <m:rPr>
                          <m:sty m:val="p"/>
                        </m:rPr>
                        <w:rPr>
                          <w:rFonts w:ascii="Cambria Math" w:hAnsi="Cambria Math"/>
                          <w:color w:val="000000"/>
                          <w:lang w:eastAsia="it-IT"/>
                        </w:rPr>
                        <m:t>m</m:t>
                      </m:r>
                    </m:e>
                  </m:acc>
                </m:e>
                <m:sub>
                  <m:r>
                    <w:rPr>
                      <w:rFonts w:ascii="Cambria Math" w:hAnsi="Cambria Math"/>
                      <w:color w:val="000000"/>
                      <w:lang w:eastAsia="it-IT"/>
                    </w:rPr>
                    <m:t>ANSYS</m:t>
                  </m:r>
                </m:sub>
              </m:sSub>
            </m:oMath>
            <w:r w:rsidR="00BA0FC9" w:rsidRPr="00CA47F8">
              <w:rPr>
                <w:rFonts w:cs="Arial"/>
                <w:color w:val="000000"/>
                <w:lang w:eastAsia="it-IT"/>
              </w:rPr>
              <w:t xml:space="preserve"> </w:t>
            </w:r>
            <w:r w:rsidR="00BA0FC9" w:rsidRPr="00CA47F8">
              <w:rPr>
                <w:rFonts w:cs="Arial"/>
                <w:szCs w:val="18"/>
                <w:lang w:val="en-GB"/>
              </w:rPr>
              <w:t>[g s</w:t>
            </w:r>
            <w:r w:rsidR="00BA0FC9" w:rsidRPr="00CA47F8">
              <w:rPr>
                <w:rFonts w:cs="Arial"/>
                <w:szCs w:val="18"/>
                <w:vertAlign w:val="superscript"/>
                <w:lang w:val="en-GB"/>
              </w:rPr>
              <w:t>-1</w:t>
            </w:r>
            <w:r w:rsidR="00BA0FC9" w:rsidRPr="00CA47F8">
              <w:rPr>
                <w:rFonts w:cs="Arial"/>
                <w:szCs w:val="18"/>
                <w:lang w:val="en-GB"/>
              </w:rPr>
              <w:t>]</w:t>
            </w:r>
          </w:p>
        </w:tc>
        <w:tc>
          <w:tcPr>
            <w:tcW w:w="618" w:type="pct"/>
            <w:tcBorders>
              <w:top w:val="single" w:sz="12" w:space="0" w:color="008000"/>
              <w:bottom w:val="single" w:sz="6" w:space="0" w:color="008000"/>
            </w:tcBorders>
            <w:shd w:val="clear" w:color="auto" w:fill="FFFFFF"/>
          </w:tcPr>
          <w:p w14:paraId="200CFBEC" w14:textId="3DA56BFC" w:rsidR="00BA0FC9" w:rsidRPr="00CA47F8" w:rsidRDefault="00BA0FC9" w:rsidP="00577686">
            <w:pPr>
              <w:pStyle w:val="CETBodytext"/>
              <w:ind w:right="-1"/>
              <w:jc w:val="center"/>
              <w:rPr>
                <w:rFonts w:cs="Arial"/>
                <w:szCs w:val="18"/>
                <w:lang w:val="en-GB"/>
              </w:rPr>
            </w:pPr>
            <w:proofErr w:type="spellStart"/>
            <w:proofErr w:type="gramStart"/>
            <w:r w:rsidRPr="00CA47F8">
              <w:rPr>
                <w:rFonts w:cs="Arial"/>
                <w:szCs w:val="18"/>
                <w:lang w:val="en-GB"/>
              </w:rPr>
              <w:t>L</w:t>
            </w:r>
            <w:r w:rsidRPr="00CA47F8">
              <w:rPr>
                <w:rFonts w:cs="Arial"/>
                <w:szCs w:val="18"/>
                <w:vertAlign w:val="subscript"/>
                <w:lang w:val="en-GB"/>
              </w:rPr>
              <w:t>f,PHAST</w:t>
            </w:r>
            <w:proofErr w:type="spellEnd"/>
            <w:proofErr w:type="gramEnd"/>
            <w:r w:rsidRPr="00CA47F8">
              <w:rPr>
                <w:rFonts w:cs="Arial"/>
                <w:szCs w:val="18"/>
                <w:vertAlign w:val="subscript"/>
                <w:lang w:val="en-GB"/>
              </w:rPr>
              <w:t xml:space="preserve"> </w:t>
            </w:r>
            <w:r w:rsidRPr="00CA47F8">
              <w:rPr>
                <w:rFonts w:cs="Arial"/>
                <w:szCs w:val="18"/>
                <w:lang w:val="en-GB"/>
              </w:rPr>
              <w:t>[m]</w:t>
            </w:r>
          </w:p>
        </w:tc>
        <w:tc>
          <w:tcPr>
            <w:tcW w:w="720" w:type="pct"/>
            <w:tcBorders>
              <w:top w:val="single" w:sz="12" w:space="0" w:color="008000"/>
              <w:bottom w:val="single" w:sz="6" w:space="0" w:color="008000"/>
            </w:tcBorders>
            <w:shd w:val="clear" w:color="auto" w:fill="FFFFFF"/>
          </w:tcPr>
          <w:p w14:paraId="345A54FF" w14:textId="19F51DA0" w:rsidR="00BA0FC9" w:rsidRPr="00CA47F8" w:rsidRDefault="00BA0FC9" w:rsidP="00577686">
            <w:pPr>
              <w:pStyle w:val="CETBodytext"/>
              <w:ind w:right="-1"/>
              <w:jc w:val="center"/>
              <w:rPr>
                <w:rFonts w:cs="Arial"/>
                <w:szCs w:val="18"/>
                <w:lang w:val="en-GB"/>
              </w:rPr>
            </w:pPr>
            <w:proofErr w:type="spellStart"/>
            <w:proofErr w:type="gramStart"/>
            <w:r w:rsidRPr="00CA47F8">
              <w:rPr>
                <w:rFonts w:cs="Arial"/>
                <w:szCs w:val="18"/>
                <w:lang w:val="en-GB"/>
              </w:rPr>
              <w:t>L</w:t>
            </w:r>
            <w:r w:rsidRPr="00CA47F8">
              <w:rPr>
                <w:rFonts w:cs="Arial"/>
                <w:szCs w:val="18"/>
                <w:vertAlign w:val="subscript"/>
                <w:lang w:val="en-GB"/>
              </w:rPr>
              <w:t>f,ANSYS</w:t>
            </w:r>
            <w:proofErr w:type="spellEnd"/>
            <w:proofErr w:type="gramEnd"/>
            <w:r w:rsidRPr="00CA47F8">
              <w:rPr>
                <w:rFonts w:cs="Arial"/>
                <w:szCs w:val="18"/>
                <w:vertAlign w:val="subscript"/>
                <w:lang w:val="en-GB"/>
              </w:rPr>
              <w:t xml:space="preserve"> </w:t>
            </w:r>
            <w:r w:rsidRPr="00CA47F8">
              <w:rPr>
                <w:rFonts w:cs="Arial"/>
                <w:szCs w:val="18"/>
                <w:lang w:val="en-GB"/>
              </w:rPr>
              <w:t>[m]</w:t>
            </w:r>
          </w:p>
        </w:tc>
        <w:tc>
          <w:tcPr>
            <w:tcW w:w="720" w:type="pct"/>
            <w:tcBorders>
              <w:top w:val="single" w:sz="12" w:space="0" w:color="008000"/>
              <w:bottom w:val="single" w:sz="6" w:space="0" w:color="008000"/>
            </w:tcBorders>
            <w:shd w:val="clear" w:color="auto" w:fill="FFFFFF"/>
          </w:tcPr>
          <w:p w14:paraId="734D3EB6" w14:textId="0C59963E" w:rsidR="00BA0FC9" w:rsidRPr="00CA47F8" w:rsidRDefault="005127C5" w:rsidP="00577686">
            <w:pPr>
              <w:pStyle w:val="CETBodytext"/>
              <w:ind w:right="-1"/>
              <w:jc w:val="center"/>
              <w:rPr>
                <w:rFonts w:cs="Arial"/>
                <w:szCs w:val="18"/>
                <w:lang w:val="en-GB"/>
              </w:rPr>
            </w:pPr>
            <m:oMath>
              <m:acc>
                <m:accPr>
                  <m:chr m:val="̇"/>
                  <m:ctrlPr>
                    <w:rPr>
                      <w:rFonts w:ascii="Cambria Math" w:hAnsi="Cambria Math" w:cs="Arial"/>
                      <w:i/>
                      <w:szCs w:val="18"/>
                      <w:lang w:val="en-GB"/>
                    </w:rPr>
                  </m:ctrlPr>
                </m:accPr>
                <m:e>
                  <m:sSub>
                    <m:sSubPr>
                      <m:ctrlPr>
                        <w:rPr>
                          <w:rFonts w:ascii="Cambria Math" w:hAnsi="Cambria Math" w:cs="Arial"/>
                          <w:i/>
                          <w:szCs w:val="18"/>
                          <w:lang w:val="en-GB"/>
                        </w:rPr>
                      </m:ctrlPr>
                    </m:sSubPr>
                    <m:e>
                      <m:r>
                        <w:rPr>
                          <w:rFonts w:ascii="Cambria Math" w:hAnsi="Cambria Math" w:cs="Arial"/>
                          <w:szCs w:val="18"/>
                          <w:lang w:val="en-GB"/>
                        </w:rPr>
                        <m:t>q</m:t>
                      </m:r>
                    </m:e>
                    <m:sub>
                      <m:r>
                        <w:rPr>
                          <w:rFonts w:ascii="Cambria Math" w:hAnsi="Cambria Math" w:cs="Arial"/>
                          <w:szCs w:val="18"/>
                          <w:lang w:val="en-GB"/>
                        </w:rPr>
                        <m:t>PHAST</m:t>
                      </m:r>
                    </m:sub>
                  </m:sSub>
                </m:e>
              </m:acc>
            </m:oMath>
            <w:r w:rsidR="00BA0FC9" w:rsidRPr="00CA47F8">
              <w:rPr>
                <w:rFonts w:cs="Arial"/>
                <w:szCs w:val="18"/>
                <w:lang w:val="en-GB"/>
              </w:rPr>
              <w:t xml:space="preserve"> [kW m</w:t>
            </w:r>
            <w:r w:rsidR="00BA0FC9" w:rsidRPr="00CA47F8">
              <w:rPr>
                <w:rFonts w:cs="Arial"/>
                <w:szCs w:val="18"/>
                <w:vertAlign w:val="superscript"/>
                <w:lang w:val="en-GB"/>
              </w:rPr>
              <w:t>-2</w:t>
            </w:r>
            <w:r w:rsidR="00BA0FC9" w:rsidRPr="00CA47F8">
              <w:rPr>
                <w:rFonts w:cs="Arial"/>
                <w:szCs w:val="18"/>
                <w:lang w:val="en-GB"/>
              </w:rPr>
              <w:t>]</w:t>
            </w:r>
          </w:p>
        </w:tc>
        <w:tc>
          <w:tcPr>
            <w:tcW w:w="872" w:type="pct"/>
            <w:tcBorders>
              <w:top w:val="single" w:sz="12" w:space="0" w:color="008000"/>
              <w:bottom w:val="single" w:sz="6" w:space="0" w:color="008000"/>
            </w:tcBorders>
            <w:shd w:val="clear" w:color="auto" w:fill="FFFFFF"/>
          </w:tcPr>
          <w:p w14:paraId="087B95AE" w14:textId="5CE832D7" w:rsidR="00BA0FC9" w:rsidRPr="00CA47F8" w:rsidRDefault="005127C5" w:rsidP="00577686">
            <w:pPr>
              <w:pStyle w:val="CETBodytext"/>
              <w:ind w:right="-1"/>
              <w:jc w:val="center"/>
              <w:rPr>
                <w:rFonts w:cs="Arial"/>
                <w:szCs w:val="18"/>
                <w:lang w:val="en-GB"/>
              </w:rPr>
            </w:pPr>
            <m:oMath>
              <m:acc>
                <m:accPr>
                  <m:chr m:val="̇"/>
                  <m:ctrlPr>
                    <w:rPr>
                      <w:rFonts w:ascii="Cambria Math" w:hAnsi="Cambria Math" w:cs="Arial"/>
                      <w:i/>
                      <w:szCs w:val="18"/>
                      <w:lang w:val="en-GB"/>
                    </w:rPr>
                  </m:ctrlPr>
                </m:accPr>
                <m:e>
                  <m:sSub>
                    <m:sSubPr>
                      <m:ctrlPr>
                        <w:rPr>
                          <w:rFonts w:ascii="Cambria Math" w:hAnsi="Cambria Math" w:cs="Arial"/>
                          <w:i/>
                          <w:szCs w:val="18"/>
                          <w:lang w:val="en-GB"/>
                        </w:rPr>
                      </m:ctrlPr>
                    </m:sSubPr>
                    <m:e>
                      <m:r>
                        <w:rPr>
                          <w:rFonts w:ascii="Cambria Math" w:hAnsi="Cambria Math" w:cs="Arial"/>
                          <w:szCs w:val="18"/>
                          <w:lang w:val="en-GB"/>
                        </w:rPr>
                        <m:t>q</m:t>
                      </m:r>
                    </m:e>
                    <m:sub>
                      <m:r>
                        <w:rPr>
                          <w:rFonts w:ascii="Cambria Math" w:hAnsi="Cambria Math" w:cs="Arial"/>
                          <w:szCs w:val="18"/>
                          <w:lang w:val="en-GB"/>
                        </w:rPr>
                        <m:t>ANSYS</m:t>
                      </m:r>
                    </m:sub>
                  </m:sSub>
                </m:e>
              </m:acc>
            </m:oMath>
            <w:r w:rsidR="00BA0FC9" w:rsidRPr="00CA47F8">
              <w:rPr>
                <w:rFonts w:cs="Arial"/>
                <w:szCs w:val="18"/>
                <w:lang w:val="en-GB"/>
              </w:rPr>
              <w:t xml:space="preserve"> [kW m</w:t>
            </w:r>
            <w:r w:rsidR="00BA0FC9" w:rsidRPr="00CA47F8">
              <w:rPr>
                <w:rFonts w:cs="Arial"/>
                <w:szCs w:val="18"/>
                <w:vertAlign w:val="superscript"/>
                <w:lang w:val="en-GB"/>
              </w:rPr>
              <w:t>-2</w:t>
            </w:r>
            <w:r w:rsidR="00BA0FC9" w:rsidRPr="00CA47F8">
              <w:rPr>
                <w:rFonts w:cs="Arial"/>
                <w:szCs w:val="18"/>
                <w:lang w:val="en-GB"/>
              </w:rPr>
              <w:t>]</w:t>
            </w:r>
          </w:p>
        </w:tc>
      </w:tr>
      <w:tr w:rsidR="00683D4D" w:rsidRPr="00CA47F8" w14:paraId="4FCF45D9" w14:textId="77777777" w:rsidTr="00683D4D">
        <w:trPr>
          <w:trHeight w:val="230"/>
          <w:jc w:val="center"/>
        </w:trPr>
        <w:tc>
          <w:tcPr>
            <w:tcW w:w="618" w:type="pct"/>
            <w:shd w:val="clear" w:color="auto" w:fill="FFFFFF"/>
          </w:tcPr>
          <w:p w14:paraId="48E6D0EA" w14:textId="77777777" w:rsidR="00BA0FC9" w:rsidRPr="00CA47F8" w:rsidRDefault="00BA0FC9" w:rsidP="00BA0FC9">
            <w:pPr>
              <w:pStyle w:val="CETBodytext"/>
              <w:ind w:right="-1"/>
              <w:jc w:val="center"/>
              <w:rPr>
                <w:lang w:val="en-GB"/>
              </w:rPr>
            </w:pPr>
            <w:r w:rsidRPr="00CA47F8">
              <w:t>0</w:t>
            </w:r>
          </w:p>
        </w:tc>
        <w:tc>
          <w:tcPr>
            <w:tcW w:w="720" w:type="pct"/>
            <w:shd w:val="clear" w:color="auto" w:fill="FFFFFF"/>
          </w:tcPr>
          <w:p w14:paraId="59E9753A" w14:textId="4888A50B" w:rsidR="00BA0FC9" w:rsidRPr="00CA47F8" w:rsidRDefault="00BA0FC9" w:rsidP="00BA0FC9">
            <w:pPr>
              <w:pStyle w:val="CETBodytext"/>
              <w:ind w:right="-1"/>
              <w:jc w:val="center"/>
              <w:rPr>
                <w:lang w:val="en-GB"/>
              </w:rPr>
            </w:pPr>
            <w:r w:rsidRPr="00CA47F8">
              <w:rPr>
                <w:lang w:val="en-GB"/>
              </w:rPr>
              <w:t>326</w:t>
            </w:r>
          </w:p>
        </w:tc>
        <w:tc>
          <w:tcPr>
            <w:tcW w:w="721" w:type="pct"/>
            <w:shd w:val="clear" w:color="auto" w:fill="FFFFFF"/>
          </w:tcPr>
          <w:p w14:paraId="69049787" w14:textId="465F57D7" w:rsidR="00BA0FC9" w:rsidRPr="00CA47F8" w:rsidRDefault="00BA0FC9" w:rsidP="00BA0FC9">
            <w:pPr>
              <w:pStyle w:val="CETBodytext"/>
              <w:ind w:right="-1"/>
              <w:jc w:val="center"/>
              <w:rPr>
                <w:lang w:val="en-GB"/>
              </w:rPr>
            </w:pPr>
            <w:r w:rsidRPr="00CA47F8">
              <w:rPr>
                <w:lang w:val="en-GB"/>
              </w:rPr>
              <w:t>339</w:t>
            </w:r>
          </w:p>
        </w:tc>
        <w:tc>
          <w:tcPr>
            <w:tcW w:w="618" w:type="pct"/>
            <w:shd w:val="clear" w:color="auto" w:fill="FFFFFF"/>
          </w:tcPr>
          <w:p w14:paraId="15E946A6" w14:textId="0E2C6ED4" w:rsidR="00BA0FC9" w:rsidRPr="00CA47F8" w:rsidRDefault="00BA0FC9" w:rsidP="00BA0FC9">
            <w:pPr>
              <w:pStyle w:val="CETBodytext"/>
              <w:ind w:right="-1"/>
              <w:jc w:val="center"/>
              <w:rPr>
                <w:lang w:val="en-GB"/>
              </w:rPr>
            </w:pPr>
            <w:r w:rsidRPr="00CA47F8">
              <w:rPr>
                <w:lang w:val="en-GB"/>
              </w:rPr>
              <w:t>9.24</w:t>
            </w:r>
          </w:p>
        </w:tc>
        <w:tc>
          <w:tcPr>
            <w:tcW w:w="720" w:type="pct"/>
            <w:shd w:val="clear" w:color="auto" w:fill="FFFFFF"/>
            <w:vAlign w:val="bottom"/>
          </w:tcPr>
          <w:p w14:paraId="641E3073" w14:textId="6B16CDCB" w:rsidR="00BA0FC9" w:rsidRPr="00CA47F8" w:rsidRDefault="00BA0FC9" w:rsidP="00BA0FC9">
            <w:pPr>
              <w:pStyle w:val="CETBodytext"/>
              <w:ind w:right="-1"/>
              <w:jc w:val="center"/>
              <w:rPr>
                <w:lang w:val="en-GB"/>
              </w:rPr>
            </w:pPr>
            <w:r w:rsidRPr="00CA47F8">
              <w:rPr>
                <w:lang w:val="en-GB"/>
              </w:rPr>
              <w:t>9.79</w:t>
            </w:r>
          </w:p>
        </w:tc>
        <w:tc>
          <w:tcPr>
            <w:tcW w:w="720" w:type="pct"/>
            <w:shd w:val="clear" w:color="auto" w:fill="FFFFFF"/>
            <w:vAlign w:val="center"/>
          </w:tcPr>
          <w:p w14:paraId="06F2CBA1" w14:textId="10E0492A" w:rsidR="00BA0FC9" w:rsidRPr="00CA47F8" w:rsidRDefault="00BA0FC9" w:rsidP="00BA0FC9">
            <w:pPr>
              <w:pStyle w:val="CETBodytext"/>
              <w:ind w:right="-1"/>
              <w:jc w:val="center"/>
              <w:rPr>
                <w:lang w:val="en-GB"/>
              </w:rPr>
            </w:pPr>
            <w:r w:rsidRPr="00CA47F8">
              <w:rPr>
                <w:lang w:val="en-GB"/>
              </w:rPr>
              <w:t>61</w:t>
            </w:r>
          </w:p>
        </w:tc>
        <w:tc>
          <w:tcPr>
            <w:tcW w:w="872" w:type="pct"/>
            <w:shd w:val="clear" w:color="auto" w:fill="FFFFFF"/>
            <w:vAlign w:val="bottom"/>
          </w:tcPr>
          <w:p w14:paraId="7535AAC7" w14:textId="1308EF35" w:rsidR="00BA0FC9" w:rsidRPr="00CA47F8" w:rsidRDefault="00BA0FC9" w:rsidP="00BA0FC9">
            <w:pPr>
              <w:pStyle w:val="CETBodytext"/>
              <w:ind w:right="-1"/>
              <w:jc w:val="center"/>
              <w:rPr>
                <w:lang w:val="en-GB"/>
              </w:rPr>
            </w:pPr>
            <w:r w:rsidRPr="00CA47F8">
              <w:rPr>
                <w:lang w:val="en-GB"/>
              </w:rPr>
              <w:t>63</w:t>
            </w:r>
          </w:p>
        </w:tc>
        <w:tc>
          <w:tcPr>
            <w:tcW w:w="11" w:type="pct"/>
            <w:shd w:val="clear" w:color="auto" w:fill="FFFFFF"/>
          </w:tcPr>
          <w:p w14:paraId="26E58FED" w14:textId="77777777" w:rsidR="00BA0FC9" w:rsidRPr="00CA47F8" w:rsidRDefault="00BA0FC9" w:rsidP="00BA0FC9">
            <w:pPr>
              <w:pStyle w:val="CETBodytext"/>
              <w:ind w:right="-1"/>
              <w:jc w:val="center"/>
              <w:rPr>
                <w:lang w:val="en-GB"/>
              </w:rPr>
            </w:pPr>
          </w:p>
        </w:tc>
      </w:tr>
      <w:tr w:rsidR="00683D4D" w:rsidRPr="00CA47F8" w14:paraId="62E1A837" w14:textId="77777777" w:rsidTr="00683D4D">
        <w:trPr>
          <w:trHeight w:val="230"/>
          <w:jc w:val="center"/>
        </w:trPr>
        <w:tc>
          <w:tcPr>
            <w:tcW w:w="618" w:type="pct"/>
            <w:shd w:val="clear" w:color="auto" w:fill="FFFFFF"/>
          </w:tcPr>
          <w:p w14:paraId="5DB76C00" w14:textId="77777777" w:rsidR="00BA0FC9" w:rsidRPr="00CA47F8" w:rsidRDefault="00BA0FC9" w:rsidP="00BA0FC9">
            <w:pPr>
              <w:pStyle w:val="CETBodytext"/>
              <w:ind w:right="-1"/>
              <w:jc w:val="center"/>
              <w:rPr>
                <w:lang w:val="en-GB"/>
              </w:rPr>
            </w:pPr>
            <w:r w:rsidRPr="00CA47F8">
              <w:t>5</w:t>
            </w:r>
          </w:p>
        </w:tc>
        <w:tc>
          <w:tcPr>
            <w:tcW w:w="720" w:type="pct"/>
            <w:shd w:val="clear" w:color="auto" w:fill="FFFFFF"/>
          </w:tcPr>
          <w:p w14:paraId="60B7117E" w14:textId="05547FB4" w:rsidR="00BA0FC9" w:rsidRPr="00CA47F8" w:rsidRDefault="00BA0FC9" w:rsidP="00BA0FC9">
            <w:pPr>
              <w:pStyle w:val="CETBodytext"/>
              <w:ind w:right="-1"/>
              <w:jc w:val="center"/>
              <w:rPr>
                <w:lang w:val="en-GB"/>
              </w:rPr>
            </w:pPr>
            <w:r w:rsidRPr="00CA47F8">
              <w:rPr>
                <w:lang w:val="en-GB"/>
              </w:rPr>
              <w:t>316</w:t>
            </w:r>
          </w:p>
        </w:tc>
        <w:tc>
          <w:tcPr>
            <w:tcW w:w="721" w:type="pct"/>
            <w:shd w:val="clear" w:color="auto" w:fill="FFFFFF"/>
          </w:tcPr>
          <w:p w14:paraId="6D301951" w14:textId="52B9A54D" w:rsidR="00BA0FC9" w:rsidRPr="00CA47F8" w:rsidRDefault="00BA0FC9" w:rsidP="00BA0FC9">
            <w:pPr>
              <w:pStyle w:val="CETBodytext"/>
              <w:ind w:right="-1"/>
              <w:jc w:val="center"/>
              <w:rPr>
                <w:lang w:val="en-GB"/>
              </w:rPr>
            </w:pPr>
            <w:r w:rsidRPr="00CA47F8">
              <w:rPr>
                <w:lang w:val="en-GB"/>
              </w:rPr>
              <w:t>331</w:t>
            </w:r>
          </w:p>
        </w:tc>
        <w:tc>
          <w:tcPr>
            <w:tcW w:w="618" w:type="pct"/>
            <w:shd w:val="clear" w:color="auto" w:fill="FFFFFF"/>
          </w:tcPr>
          <w:p w14:paraId="65A64BD7" w14:textId="59A46B0B" w:rsidR="00BA0FC9" w:rsidRPr="00CA47F8" w:rsidRDefault="00BA0FC9" w:rsidP="00BA0FC9">
            <w:pPr>
              <w:pStyle w:val="CETBodytext"/>
              <w:ind w:right="-1"/>
              <w:jc w:val="center"/>
              <w:rPr>
                <w:lang w:val="en-GB"/>
              </w:rPr>
            </w:pPr>
            <w:r w:rsidRPr="00CA47F8">
              <w:rPr>
                <w:lang w:val="en-GB"/>
              </w:rPr>
              <w:t>9.06</w:t>
            </w:r>
          </w:p>
        </w:tc>
        <w:tc>
          <w:tcPr>
            <w:tcW w:w="720" w:type="pct"/>
            <w:shd w:val="clear" w:color="auto" w:fill="FFFFFF"/>
            <w:vAlign w:val="bottom"/>
          </w:tcPr>
          <w:p w14:paraId="73297005" w14:textId="64E1CD7E" w:rsidR="00BA0FC9" w:rsidRPr="00CA47F8" w:rsidRDefault="00BA0FC9" w:rsidP="00BA0FC9">
            <w:pPr>
              <w:pStyle w:val="CETBodytext"/>
              <w:ind w:right="-1"/>
              <w:jc w:val="center"/>
              <w:rPr>
                <w:lang w:val="en-GB"/>
              </w:rPr>
            </w:pPr>
            <w:r w:rsidRPr="00CA47F8">
              <w:rPr>
                <w:lang w:val="en-GB"/>
              </w:rPr>
              <w:t>9.58</w:t>
            </w:r>
          </w:p>
        </w:tc>
        <w:tc>
          <w:tcPr>
            <w:tcW w:w="720" w:type="pct"/>
            <w:shd w:val="clear" w:color="auto" w:fill="FFFFFF"/>
            <w:vAlign w:val="center"/>
          </w:tcPr>
          <w:p w14:paraId="6C6F361C" w14:textId="58CD8F8E" w:rsidR="00BA0FC9" w:rsidRPr="00CA47F8" w:rsidRDefault="00BA0FC9" w:rsidP="00BA0FC9">
            <w:pPr>
              <w:pStyle w:val="CETBodytext"/>
              <w:ind w:right="-1"/>
              <w:jc w:val="center"/>
              <w:rPr>
                <w:lang w:val="en-GB"/>
              </w:rPr>
            </w:pPr>
            <w:r w:rsidRPr="00CA47F8">
              <w:rPr>
                <w:lang w:val="en-GB"/>
              </w:rPr>
              <w:t>62</w:t>
            </w:r>
          </w:p>
        </w:tc>
        <w:tc>
          <w:tcPr>
            <w:tcW w:w="872" w:type="pct"/>
            <w:shd w:val="clear" w:color="auto" w:fill="FFFFFF"/>
            <w:vAlign w:val="bottom"/>
          </w:tcPr>
          <w:p w14:paraId="17BB750B" w14:textId="378926EE" w:rsidR="00BA0FC9" w:rsidRPr="00CA47F8" w:rsidRDefault="00BA0FC9" w:rsidP="00BA0FC9">
            <w:pPr>
              <w:pStyle w:val="CETBodytext"/>
              <w:ind w:right="-1"/>
              <w:jc w:val="center"/>
              <w:rPr>
                <w:lang w:val="en-GB"/>
              </w:rPr>
            </w:pPr>
            <w:r w:rsidRPr="00CA47F8">
              <w:rPr>
                <w:lang w:val="en-GB"/>
              </w:rPr>
              <w:t>64</w:t>
            </w:r>
          </w:p>
        </w:tc>
        <w:tc>
          <w:tcPr>
            <w:tcW w:w="11" w:type="pct"/>
            <w:shd w:val="clear" w:color="auto" w:fill="FFFFFF"/>
          </w:tcPr>
          <w:p w14:paraId="0D85D8FA" w14:textId="77777777" w:rsidR="00BA0FC9" w:rsidRPr="00CA47F8" w:rsidRDefault="00BA0FC9" w:rsidP="00BA0FC9">
            <w:pPr>
              <w:pStyle w:val="CETBodytext"/>
              <w:ind w:right="-1"/>
              <w:jc w:val="center"/>
              <w:rPr>
                <w:lang w:val="en-GB"/>
              </w:rPr>
            </w:pPr>
          </w:p>
        </w:tc>
      </w:tr>
      <w:tr w:rsidR="00683D4D" w:rsidRPr="00CA47F8" w14:paraId="135E4E92" w14:textId="77777777" w:rsidTr="00683D4D">
        <w:trPr>
          <w:trHeight w:val="230"/>
          <w:jc w:val="center"/>
        </w:trPr>
        <w:tc>
          <w:tcPr>
            <w:tcW w:w="618" w:type="pct"/>
            <w:shd w:val="clear" w:color="auto" w:fill="FFFFFF"/>
          </w:tcPr>
          <w:p w14:paraId="05FF2511" w14:textId="77777777" w:rsidR="00BA0FC9" w:rsidRPr="00CA47F8" w:rsidRDefault="00BA0FC9" w:rsidP="00BA0FC9">
            <w:pPr>
              <w:pStyle w:val="CETBodytext"/>
              <w:ind w:right="-1"/>
              <w:jc w:val="center"/>
              <w:rPr>
                <w:lang w:val="en-GB"/>
              </w:rPr>
            </w:pPr>
            <w:r w:rsidRPr="00CA47F8">
              <w:rPr>
                <w:lang w:val="en-GB"/>
              </w:rPr>
              <w:t>10</w:t>
            </w:r>
          </w:p>
        </w:tc>
        <w:tc>
          <w:tcPr>
            <w:tcW w:w="720" w:type="pct"/>
            <w:shd w:val="clear" w:color="auto" w:fill="FFFFFF"/>
          </w:tcPr>
          <w:p w14:paraId="283DC3E9" w14:textId="2F56DC85" w:rsidR="00BA0FC9" w:rsidRPr="00CA47F8" w:rsidRDefault="00BA0FC9" w:rsidP="00BA0FC9">
            <w:pPr>
              <w:pStyle w:val="CETBodytext"/>
              <w:ind w:right="-1"/>
              <w:jc w:val="center"/>
              <w:rPr>
                <w:lang w:val="en-GB"/>
              </w:rPr>
            </w:pPr>
            <w:r w:rsidRPr="00CA47F8">
              <w:rPr>
                <w:lang w:val="en-GB"/>
              </w:rPr>
              <w:t>306</w:t>
            </w:r>
          </w:p>
        </w:tc>
        <w:tc>
          <w:tcPr>
            <w:tcW w:w="721" w:type="pct"/>
            <w:shd w:val="clear" w:color="auto" w:fill="FFFFFF"/>
          </w:tcPr>
          <w:p w14:paraId="3215F522" w14:textId="37075EC7" w:rsidR="00BA0FC9" w:rsidRPr="00CA47F8" w:rsidRDefault="00BA0FC9" w:rsidP="00BA0FC9">
            <w:pPr>
              <w:pStyle w:val="CETBodytext"/>
              <w:ind w:right="-1"/>
              <w:jc w:val="center"/>
              <w:rPr>
                <w:lang w:val="en-GB"/>
              </w:rPr>
            </w:pPr>
            <w:r w:rsidRPr="00CA47F8">
              <w:rPr>
                <w:lang w:val="en-GB"/>
              </w:rPr>
              <w:t>322</w:t>
            </w:r>
          </w:p>
        </w:tc>
        <w:tc>
          <w:tcPr>
            <w:tcW w:w="618" w:type="pct"/>
            <w:shd w:val="clear" w:color="auto" w:fill="FFFFFF"/>
          </w:tcPr>
          <w:p w14:paraId="71DEB64C" w14:textId="13AB6F66" w:rsidR="00BA0FC9" w:rsidRPr="00CA47F8" w:rsidRDefault="00BA0FC9" w:rsidP="00BA0FC9">
            <w:pPr>
              <w:pStyle w:val="CETBodytext"/>
              <w:ind w:right="-1"/>
              <w:jc w:val="center"/>
              <w:rPr>
                <w:lang w:val="en-GB"/>
              </w:rPr>
            </w:pPr>
            <w:r w:rsidRPr="00CA47F8">
              <w:rPr>
                <w:lang w:val="en-GB"/>
              </w:rPr>
              <w:t>8.89</w:t>
            </w:r>
          </w:p>
        </w:tc>
        <w:tc>
          <w:tcPr>
            <w:tcW w:w="720" w:type="pct"/>
            <w:shd w:val="clear" w:color="auto" w:fill="FFFFFF"/>
            <w:vAlign w:val="bottom"/>
          </w:tcPr>
          <w:p w14:paraId="3DF8D8E5" w14:textId="45955894" w:rsidR="00BA0FC9" w:rsidRPr="00CA47F8" w:rsidRDefault="00BA0FC9" w:rsidP="00BA0FC9">
            <w:pPr>
              <w:pStyle w:val="CETBodytext"/>
              <w:ind w:right="-1"/>
              <w:jc w:val="center"/>
              <w:rPr>
                <w:lang w:val="en-GB"/>
              </w:rPr>
            </w:pPr>
            <w:r w:rsidRPr="00CA47F8">
              <w:rPr>
                <w:lang w:val="en-GB"/>
              </w:rPr>
              <w:t>9.42</w:t>
            </w:r>
          </w:p>
        </w:tc>
        <w:tc>
          <w:tcPr>
            <w:tcW w:w="720" w:type="pct"/>
            <w:shd w:val="clear" w:color="auto" w:fill="FFFFFF"/>
            <w:vAlign w:val="center"/>
          </w:tcPr>
          <w:p w14:paraId="51E5CC86" w14:textId="23A74ABC" w:rsidR="00BA0FC9" w:rsidRPr="00CA47F8" w:rsidRDefault="00BA0FC9" w:rsidP="00BA0FC9">
            <w:pPr>
              <w:pStyle w:val="CETBodytext"/>
              <w:ind w:right="-1"/>
              <w:jc w:val="center"/>
              <w:rPr>
                <w:lang w:val="en-GB"/>
              </w:rPr>
            </w:pPr>
            <w:r w:rsidRPr="00CA47F8">
              <w:rPr>
                <w:lang w:val="en-GB"/>
              </w:rPr>
              <w:t>62</w:t>
            </w:r>
          </w:p>
        </w:tc>
        <w:tc>
          <w:tcPr>
            <w:tcW w:w="872" w:type="pct"/>
            <w:shd w:val="clear" w:color="auto" w:fill="FFFFFF"/>
            <w:vAlign w:val="bottom"/>
          </w:tcPr>
          <w:p w14:paraId="0EA5AAFA" w14:textId="1A0B3B3B" w:rsidR="00BA0FC9" w:rsidRPr="00CA47F8" w:rsidRDefault="00BA0FC9" w:rsidP="00BA0FC9">
            <w:pPr>
              <w:pStyle w:val="CETBodytext"/>
              <w:ind w:right="-1"/>
              <w:jc w:val="center"/>
              <w:rPr>
                <w:lang w:val="en-GB"/>
              </w:rPr>
            </w:pPr>
            <w:r w:rsidRPr="00CA47F8">
              <w:rPr>
                <w:lang w:val="en-GB"/>
              </w:rPr>
              <w:t>65</w:t>
            </w:r>
          </w:p>
        </w:tc>
        <w:tc>
          <w:tcPr>
            <w:tcW w:w="11" w:type="pct"/>
            <w:shd w:val="clear" w:color="auto" w:fill="FFFFFF"/>
          </w:tcPr>
          <w:p w14:paraId="049CEDE0" w14:textId="77777777" w:rsidR="00BA0FC9" w:rsidRPr="00CA47F8" w:rsidRDefault="00BA0FC9" w:rsidP="00BA0FC9">
            <w:pPr>
              <w:pStyle w:val="CETBodytext"/>
              <w:ind w:right="-1"/>
              <w:jc w:val="center"/>
              <w:rPr>
                <w:lang w:val="en-GB"/>
              </w:rPr>
            </w:pPr>
          </w:p>
        </w:tc>
      </w:tr>
      <w:tr w:rsidR="00683D4D" w:rsidRPr="00CA47F8" w14:paraId="162659FA" w14:textId="77777777" w:rsidTr="00683D4D">
        <w:trPr>
          <w:trHeight w:val="230"/>
          <w:jc w:val="center"/>
        </w:trPr>
        <w:tc>
          <w:tcPr>
            <w:tcW w:w="618" w:type="pct"/>
            <w:shd w:val="clear" w:color="auto" w:fill="FFFFFF"/>
          </w:tcPr>
          <w:p w14:paraId="23F8E040" w14:textId="77777777" w:rsidR="00BA0FC9" w:rsidRPr="00CA47F8" w:rsidRDefault="00BA0FC9" w:rsidP="00BA0FC9">
            <w:pPr>
              <w:pStyle w:val="CETBodytext"/>
              <w:ind w:right="-1"/>
              <w:jc w:val="center"/>
              <w:rPr>
                <w:lang w:val="en-GB"/>
              </w:rPr>
            </w:pPr>
            <w:r w:rsidRPr="00CA47F8">
              <w:t>20</w:t>
            </w:r>
          </w:p>
        </w:tc>
        <w:tc>
          <w:tcPr>
            <w:tcW w:w="720" w:type="pct"/>
            <w:shd w:val="clear" w:color="auto" w:fill="FFFFFF"/>
          </w:tcPr>
          <w:p w14:paraId="1DBFCD58" w14:textId="3F92BF03" w:rsidR="00BA0FC9" w:rsidRPr="00CA47F8" w:rsidRDefault="00BA0FC9" w:rsidP="00BA0FC9">
            <w:pPr>
              <w:pStyle w:val="CETBodytext"/>
              <w:ind w:right="-1"/>
              <w:jc w:val="center"/>
              <w:rPr>
                <w:lang w:val="en-GB"/>
              </w:rPr>
            </w:pPr>
            <w:r w:rsidRPr="00CA47F8">
              <w:rPr>
                <w:lang w:val="en-GB"/>
              </w:rPr>
              <w:t>286</w:t>
            </w:r>
          </w:p>
        </w:tc>
        <w:tc>
          <w:tcPr>
            <w:tcW w:w="721" w:type="pct"/>
            <w:shd w:val="clear" w:color="auto" w:fill="FFFFFF"/>
          </w:tcPr>
          <w:p w14:paraId="615DAF4C" w14:textId="30CBD009" w:rsidR="00BA0FC9" w:rsidRPr="00CA47F8" w:rsidRDefault="00BA0FC9" w:rsidP="00BA0FC9">
            <w:pPr>
              <w:pStyle w:val="CETBodytext"/>
              <w:ind w:right="-1"/>
              <w:jc w:val="center"/>
              <w:rPr>
                <w:lang w:val="en-GB"/>
              </w:rPr>
            </w:pPr>
            <w:r w:rsidRPr="00CA47F8">
              <w:rPr>
                <w:lang w:val="en-GB"/>
              </w:rPr>
              <w:t>305</w:t>
            </w:r>
          </w:p>
        </w:tc>
        <w:tc>
          <w:tcPr>
            <w:tcW w:w="618" w:type="pct"/>
            <w:shd w:val="clear" w:color="auto" w:fill="FFFFFF"/>
          </w:tcPr>
          <w:p w14:paraId="4846508B" w14:textId="32DD4CD6" w:rsidR="00BA0FC9" w:rsidRPr="00CA47F8" w:rsidRDefault="00BA0FC9" w:rsidP="00BA0FC9">
            <w:pPr>
              <w:pStyle w:val="CETBodytext"/>
              <w:ind w:right="-1"/>
              <w:jc w:val="center"/>
              <w:rPr>
                <w:lang w:val="en-GB"/>
              </w:rPr>
            </w:pPr>
            <w:r w:rsidRPr="00CA47F8">
              <w:rPr>
                <w:lang w:val="en-GB"/>
              </w:rPr>
              <w:t>8.55</w:t>
            </w:r>
          </w:p>
        </w:tc>
        <w:tc>
          <w:tcPr>
            <w:tcW w:w="720" w:type="pct"/>
            <w:shd w:val="clear" w:color="auto" w:fill="FFFFFF"/>
            <w:vAlign w:val="bottom"/>
          </w:tcPr>
          <w:p w14:paraId="38360466" w14:textId="0D73FEA2" w:rsidR="00BA0FC9" w:rsidRPr="00CA47F8" w:rsidRDefault="00BA0FC9" w:rsidP="00BA0FC9">
            <w:pPr>
              <w:pStyle w:val="CETBodytext"/>
              <w:ind w:right="-1"/>
              <w:jc w:val="center"/>
              <w:rPr>
                <w:lang w:val="en-GB"/>
              </w:rPr>
            </w:pPr>
            <w:r w:rsidRPr="00CA47F8">
              <w:rPr>
                <w:lang w:val="en-GB"/>
              </w:rPr>
              <w:t>9.09</w:t>
            </w:r>
          </w:p>
        </w:tc>
        <w:tc>
          <w:tcPr>
            <w:tcW w:w="720" w:type="pct"/>
            <w:shd w:val="clear" w:color="auto" w:fill="FFFFFF"/>
            <w:vAlign w:val="center"/>
          </w:tcPr>
          <w:p w14:paraId="6BA4BB09" w14:textId="65195A9F" w:rsidR="00BA0FC9" w:rsidRPr="00CA47F8" w:rsidRDefault="00BA0FC9" w:rsidP="00BA0FC9">
            <w:pPr>
              <w:pStyle w:val="CETBodytext"/>
              <w:ind w:right="-1"/>
              <w:jc w:val="center"/>
              <w:rPr>
                <w:lang w:val="en-GB"/>
              </w:rPr>
            </w:pPr>
            <w:r w:rsidRPr="00CA47F8">
              <w:rPr>
                <w:lang w:val="en-GB"/>
              </w:rPr>
              <w:t>63</w:t>
            </w:r>
          </w:p>
        </w:tc>
        <w:tc>
          <w:tcPr>
            <w:tcW w:w="872" w:type="pct"/>
            <w:shd w:val="clear" w:color="auto" w:fill="FFFFFF"/>
            <w:vAlign w:val="bottom"/>
          </w:tcPr>
          <w:p w14:paraId="0B539EEA" w14:textId="6A182C33" w:rsidR="00BA0FC9" w:rsidRPr="00CA47F8" w:rsidRDefault="00BA0FC9" w:rsidP="00BA0FC9">
            <w:pPr>
              <w:pStyle w:val="CETBodytext"/>
              <w:ind w:right="-1"/>
              <w:jc w:val="center"/>
              <w:rPr>
                <w:lang w:val="en-GB"/>
              </w:rPr>
            </w:pPr>
            <w:r w:rsidRPr="00CA47F8">
              <w:rPr>
                <w:lang w:val="en-GB"/>
              </w:rPr>
              <w:t>68</w:t>
            </w:r>
          </w:p>
        </w:tc>
        <w:tc>
          <w:tcPr>
            <w:tcW w:w="11" w:type="pct"/>
            <w:shd w:val="clear" w:color="auto" w:fill="FFFFFF"/>
          </w:tcPr>
          <w:p w14:paraId="22043307" w14:textId="77777777" w:rsidR="00BA0FC9" w:rsidRPr="00CA47F8" w:rsidRDefault="00BA0FC9" w:rsidP="00BA0FC9">
            <w:pPr>
              <w:pStyle w:val="CETBodytext"/>
              <w:ind w:right="-1"/>
              <w:jc w:val="center"/>
              <w:rPr>
                <w:lang w:val="en-GB"/>
              </w:rPr>
            </w:pPr>
          </w:p>
        </w:tc>
      </w:tr>
      <w:tr w:rsidR="00683D4D" w:rsidRPr="00CA47F8" w14:paraId="5C81954B" w14:textId="77777777" w:rsidTr="00683D4D">
        <w:trPr>
          <w:trHeight w:val="230"/>
          <w:jc w:val="center"/>
        </w:trPr>
        <w:tc>
          <w:tcPr>
            <w:tcW w:w="618" w:type="pct"/>
            <w:shd w:val="clear" w:color="auto" w:fill="FFFFFF"/>
          </w:tcPr>
          <w:p w14:paraId="0795C180" w14:textId="77777777" w:rsidR="00BA0FC9" w:rsidRPr="00CA47F8" w:rsidRDefault="00BA0FC9" w:rsidP="00BA0FC9">
            <w:pPr>
              <w:pStyle w:val="CETBodytext"/>
              <w:ind w:right="-1"/>
              <w:jc w:val="center"/>
            </w:pPr>
            <w:r w:rsidRPr="00CA47F8">
              <w:t>100</w:t>
            </w:r>
          </w:p>
        </w:tc>
        <w:tc>
          <w:tcPr>
            <w:tcW w:w="720" w:type="pct"/>
            <w:shd w:val="clear" w:color="auto" w:fill="FFFFFF"/>
          </w:tcPr>
          <w:p w14:paraId="172CEE58" w14:textId="27EA4D44" w:rsidR="00BA0FC9" w:rsidRPr="00CA47F8" w:rsidRDefault="00BA0FC9" w:rsidP="00BA0FC9">
            <w:pPr>
              <w:pStyle w:val="CETBodytext"/>
              <w:ind w:right="-1"/>
              <w:jc w:val="center"/>
            </w:pPr>
            <w:r w:rsidRPr="00CA47F8">
              <w:t>105</w:t>
            </w:r>
          </w:p>
        </w:tc>
        <w:tc>
          <w:tcPr>
            <w:tcW w:w="721" w:type="pct"/>
            <w:shd w:val="clear" w:color="auto" w:fill="FFFFFF"/>
          </w:tcPr>
          <w:p w14:paraId="18E4100B" w14:textId="15F8B7A6" w:rsidR="00BA0FC9" w:rsidRPr="00CA47F8" w:rsidRDefault="00BA0FC9" w:rsidP="00BA0FC9">
            <w:pPr>
              <w:pStyle w:val="CETBodytext"/>
              <w:ind w:right="-1"/>
              <w:jc w:val="center"/>
              <w:rPr>
                <w:lang w:val="en-GB"/>
              </w:rPr>
            </w:pPr>
            <w:r w:rsidRPr="00CA47F8">
              <w:rPr>
                <w:lang w:val="en-GB"/>
              </w:rPr>
              <w:t>95</w:t>
            </w:r>
          </w:p>
        </w:tc>
        <w:tc>
          <w:tcPr>
            <w:tcW w:w="618" w:type="pct"/>
            <w:shd w:val="clear" w:color="auto" w:fill="FFFFFF"/>
          </w:tcPr>
          <w:p w14:paraId="3462CB01" w14:textId="6ED96ABB" w:rsidR="00BA0FC9" w:rsidRPr="00CA47F8" w:rsidRDefault="00BA0FC9" w:rsidP="00BA0FC9">
            <w:pPr>
              <w:pStyle w:val="CETBodytext"/>
              <w:ind w:right="-1"/>
              <w:jc w:val="center"/>
            </w:pPr>
            <w:r w:rsidRPr="00CA47F8">
              <w:t>7.97</w:t>
            </w:r>
          </w:p>
        </w:tc>
        <w:tc>
          <w:tcPr>
            <w:tcW w:w="720" w:type="pct"/>
            <w:shd w:val="clear" w:color="auto" w:fill="FFFFFF"/>
            <w:vAlign w:val="bottom"/>
          </w:tcPr>
          <w:p w14:paraId="3DDD7D70" w14:textId="2BAF4BFF" w:rsidR="00BA0FC9" w:rsidRPr="00CA47F8" w:rsidRDefault="00BA0FC9" w:rsidP="00BA0FC9">
            <w:pPr>
              <w:pStyle w:val="CETBodytext"/>
              <w:ind w:right="-1"/>
              <w:jc w:val="center"/>
              <w:rPr>
                <w:lang w:val="en-GB"/>
              </w:rPr>
            </w:pPr>
            <w:r w:rsidRPr="00CA47F8">
              <w:rPr>
                <w:lang w:val="en-GB"/>
              </w:rPr>
              <w:t>8.38</w:t>
            </w:r>
          </w:p>
        </w:tc>
        <w:tc>
          <w:tcPr>
            <w:tcW w:w="720" w:type="pct"/>
            <w:shd w:val="clear" w:color="auto" w:fill="FFFFFF"/>
            <w:vAlign w:val="center"/>
          </w:tcPr>
          <w:p w14:paraId="2DC3B87D" w14:textId="28D9D22B" w:rsidR="00BA0FC9" w:rsidRPr="00CA47F8" w:rsidRDefault="00BA0FC9" w:rsidP="00BA0FC9">
            <w:pPr>
              <w:pStyle w:val="CETBodytext"/>
              <w:ind w:right="-1"/>
              <w:jc w:val="center"/>
              <w:rPr>
                <w:lang w:val="en-GB"/>
              </w:rPr>
            </w:pPr>
            <w:r w:rsidRPr="00CA47F8">
              <w:rPr>
                <w:lang w:val="en-GB"/>
              </w:rPr>
              <w:t>57</w:t>
            </w:r>
          </w:p>
        </w:tc>
        <w:tc>
          <w:tcPr>
            <w:tcW w:w="872" w:type="pct"/>
            <w:shd w:val="clear" w:color="auto" w:fill="FFFFFF"/>
            <w:vAlign w:val="bottom"/>
          </w:tcPr>
          <w:p w14:paraId="7521F977" w14:textId="6D999EAE" w:rsidR="00BA0FC9" w:rsidRPr="00CA47F8" w:rsidRDefault="00BA0FC9" w:rsidP="00BA0FC9">
            <w:pPr>
              <w:pStyle w:val="CETBodytext"/>
              <w:ind w:right="-1"/>
              <w:jc w:val="center"/>
              <w:rPr>
                <w:lang w:val="en-GB"/>
              </w:rPr>
            </w:pPr>
            <w:r w:rsidRPr="00CA47F8">
              <w:rPr>
                <w:lang w:val="en-GB"/>
              </w:rPr>
              <w:t>50</w:t>
            </w:r>
          </w:p>
        </w:tc>
        <w:tc>
          <w:tcPr>
            <w:tcW w:w="11" w:type="pct"/>
            <w:shd w:val="clear" w:color="auto" w:fill="FFFFFF"/>
          </w:tcPr>
          <w:p w14:paraId="336C4AE2" w14:textId="77777777" w:rsidR="00BA0FC9" w:rsidRPr="00CA47F8" w:rsidRDefault="00BA0FC9" w:rsidP="00BA0FC9">
            <w:pPr>
              <w:pStyle w:val="CETBodytext"/>
              <w:ind w:right="-1"/>
              <w:jc w:val="center"/>
              <w:rPr>
                <w:lang w:val="en-GB"/>
              </w:rPr>
            </w:pPr>
          </w:p>
        </w:tc>
      </w:tr>
    </w:tbl>
    <w:p w14:paraId="72494C3D" w14:textId="4044F136" w:rsidR="008404E2" w:rsidRPr="00CA47F8" w:rsidRDefault="008404E2" w:rsidP="008404E2">
      <w:pPr>
        <w:pStyle w:val="CETBodytext"/>
        <w:rPr>
          <w:szCs w:val="18"/>
        </w:rPr>
      </w:pPr>
      <w:r w:rsidRPr="00CA47F8">
        <w:t>*</w:t>
      </w:r>
      <w:proofErr w:type="spellStart"/>
      <w:r w:rsidRPr="00CA47F8">
        <w:rPr>
          <w:szCs w:val="18"/>
        </w:rPr>
        <w:t>L</w:t>
      </w:r>
      <w:r w:rsidRPr="00CA47F8">
        <w:rPr>
          <w:szCs w:val="18"/>
          <w:vertAlign w:val="subscript"/>
        </w:rPr>
        <w:t>f</w:t>
      </w:r>
      <w:proofErr w:type="spellEnd"/>
      <w:r w:rsidRPr="00CA47F8">
        <w:rPr>
          <w:szCs w:val="18"/>
        </w:rPr>
        <w:t xml:space="preserve"> assumed as the maximum distance from the </w:t>
      </w:r>
      <w:r w:rsidR="006B7112" w:rsidRPr="00CA47F8">
        <w:rPr>
          <w:szCs w:val="18"/>
        </w:rPr>
        <w:t>orifice</w:t>
      </w:r>
      <w:r w:rsidRPr="00CA47F8">
        <w:rPr>
          <w:szCs w:val="18"/>
        </w:rPr>
        <w:t xml:space="preserve"> where the maximum heat radiation and temperature are reached.</w:t>
      </w:r>
    </w:p>
    <w:p w14:paraId="2A4F41C9" w14:textId="77777777" w:rsidR="003334AB" w:rsidRPr="00CA47F8" w:rsidRDefault="003334AB" w:rsidP="003334AB">
      <w:pPr>
        <w:tabs>
          <w:tab w:val="clear" w:pos="7100"/>
        </w:tabs>
        <w:spacing w:line="276" w:lineRule="auto"/>
      </w:pPr>
      <w:r w:rsidRPr="00CA47F8">
        <w:t>Specific consideration was given to the mass flow rate (</w:t>
      </w:r>
      <m:oMath>
        <m:acc>
          <m:accPr>
            <m:chr m:val="̇"/>
            <m:ctrlPr>
              <w:rPr>
                <w:rFonts w:ascii="Cambria Math" w:hAnsi="Cambria Math"/>
                <w:i/>
              </w:rPr>
            </m:ctrlPr>
          </m:accPr>
          <m:e>
            <m:r>
              <m:rPr>
                <m:sty m:val="p"/>
              </m:rPr>
              <w:rPr>
                <w:rFonts w:ascii="Cambria Math" w:hAnsi="Cambria Math"/>
              </w:rPr>
              <m:t>m</m:t>
            </m:r>
          </m:e>
        </m:acc>
      </m:oMath>
      <w:r w:rsidRPr="00CA47F8">
        <w:t>) and the flame length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f</m:t>
            </m:r>
          </m:sub>
        </m:sSub>
      </m:oMath>
      <w:r w:rsidRPr="00CA47F8">
        <w:t>) estimated at different initial compositions of the fuel. Besides, the average emissive power per unit surface (</w:t>
      </w:r>
      <m:oMath>
        <m:acc>
          <m:accPr>
            <m:chr m:val="̇"/>
            <m:ctrlPr>
              <w:rPr>
                <w:rFonts w:ascii="Cambria Math" w:hAnsi="Cambria Math"/>
                <w:i/>
              </w:rPr>
            </m:ctrlPr>
          </m:accPr>
          <m:e>
            <m:r>
              <w:rPr>
                <w:rFonts w:ascii="Cambria Math" w:hAnsi="Cambria Math"/>
              </w:rPr>
              <m:t>q</m:t>
            </m:r>
          </m:e>
        </m:acc>
      </m:oMath>
      <w:r w:rsidRPr="00CA47F8">
        <w:t>) was added for the sake of comparison. Eventually, temperature profiles with respect to the horizontal distance at the vertical level of the release as calculated by the numerical investigation performed in this work were reported in Figure 2.</w:t>
      </w:r>
    </w:p>
    <w:p w14:paraId="26CA4762" w14:textId="77777777" w:rsidR="00FE2617" w:rsidRPr="00CA47F8" w:rsidRDefault="00FE2617" w:rsidP="008404E2">
      <w:pPr>
        <w:pStyle w:val="CETBodytext"/>
      </w:pPr>
    </w:p>
    <w:p w14:paraId="0229FCC3" w14:textId="77777777" w:rsidR="00E97929" w:rsidRPr="00CA47F8" w:rsidRDefault="00E97929" w:rsidP="00FE2617">
      <w:pPr>
        <w:keepNext/>
        <w:tabs>
          <w:tab w:val="clear" w:pos="7100"/>
        </w:tabs>
        <w:spacing w:line="276" w:lineRule="auto"/>
        <w:jc w:val="left"/>
      </w:pPr>
      <w:r w:rsidRPr="00CA47F8">
        <w:rPr>
          <w:noProof/>
          <w:lang w:val="it-IT" w:eastAsia="it-IT"/>
        </w:rPr>
        <w:drawing>
          <wp:inline distT="0" distB="0" distL="0" distR="0" wp14:anchorId="69C2FD10" wp14:editId="5CBF025B">
            <wp:extent cx="3240000" cy="2600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4_H2Mix.jpg"/>
                    <pic:cNvPicPr/>
                  </pic:nvPicPr>
                  <pic:blipFill rotWithShape="1">
                    <a:blip r:embed="rId15">
                      <a:extLst>
                        <a:ext uri="{28A0092B-C50C-407E-A947-70E740481C1C}">
                          <a14:useLocalDpi xmlns:a14="http://schemas.microsoft.com/office/drawing/2010/main" val="0"/>
                        </a:ext>
                      </a:extLst>
                    </a:blip>
                    <a:srcRect l="7039" t="9067" r="11023" b="5002"/>
                    <a:stretch/>
                  </pic:blipFill>
                  <pic:spPr bwMode="auto">
                    <a:xfrm>
                      <a:off x="0" y="0"/>
                      <a:ext cx="3240000" cy="2600086"/>
                    </a:xfrm>
                    <a:prstGeom prst="rect">
                      <a:avLst/>
                    </a:prstGeom>
                    <a:ln>
                      <a:noFill/>
                    </a:ln>
                    <a:extLst>
                      <a:ext uri="{53640926-AAD7-44D8-BBD7-CCE9431645EC}">
                        <a14:shadowObscured xmlns:a14="http://schemas.microsoft.com/office/drawing/2010/main"/>
                      </a:ext>
                    </a:extLst>
                  </pic:spPr>
                </pic:pic>
              </a:graphicData>
            </a:graphic>
          </wp:inline>
        </w:drawing>
      </w:r>
    </w:p>
    <w:p w14:paraId="1FD2819C" w14:textId="77777777" w:rsidR="00E97929" w:rsidRPr="00CA47F8" w:rsidRDefault="00E97929" w:rsidP="00E97929">
      <w:pPr>
        <w:pStyle w:val="CETCaption"/>
      </w:pPr>
      <w:r w:rsidRPr="00CA47F8">
        <w:t>Figure 2. Temperature profile estimated by ANSYS Fluent at the release height, for different fuel compositions.</w:t>
      </w:r>
    </w:p>
    <w:p w14:paraId="38BE9369" w14:textId="77777777" w:rsidR="00E97929" w:rsidRPr="00CA47F8" w:rsidRDefault="00E97929" w:rsidP="00315B5B">
      <w:pPr>
        <w:pStyle w:val="CETBodytext"/>
      </w:pPr>
    </w:p>
    <w:p w14:paraId="0F22AAAF" w14:textId="5EF77AE7" w:rsidR="00EF0796" w:rsidRPr="00CA47F8" w:rsidRDefault="00EF0796" w:rsidP="00B64BF6">
      <w:pPr>
        <w:pStyle w:val="CETBodytext"/>
      </w:pPr>
      <w:r w:rsidRPr="00CA47F8">
        <w:t xml:space="preserve">The comparison of the reported mass flowrate indicates that the </w:t>
      </w:r>
      <w:r w:rsidR="006538CD" w:rsidRPr="00CA47F8">
        <w:t>i</w:t>
      </w:r>
      <w:r w:rsidR="006538CD" w:rsidRPr="00CA47F8">
        <w:rPr>
          <w:rFonts w:eastAsiaTheme="minorEastAsia"/>
        </w:rPr>
        <w:t xml:space="preserve">sothermal turbulent choked gas steady jet theory </w:t>
      </w:r>
      <w:r w:rsidRPr="00CA47F8">
        <w:t xml:space="preserve">induces more conservative results for any investigated mixtures containing methane, whereas it provides smaller values for the pure hydrogen case. </w:t>
      </w:r>
      <w:r w:rsidR="006538CD" w:rsidRPr="00CA47F8">
        <w:t xml:space="preserve">However, the reported discrepancy can </w:t>
      </w:r>
      <w:r w:rsidR="00683D4D" w:rsidRPr="00CA47F8">
        <w:t>also be</w:t>
      </w:r>
      <w:r w:rsidR="006538CD" w:rsidRPr="00CA47F8">
        <w:t xml:space="preserve"> due to the use of different databases for thermodynamic properties </w:t>
      </w:r>
      <w:r w:rsidR="00105E90" w:rsidRPr="00CA47F8">
        <w:t xml:space="preserve">(e.g., heat capacity) </w:t>
      </w:r>
      <w:r w:rsidR="006538CD" w:rsidRPr="00CA47F8">
        <w:t>of the investigated species.</w:t>
      </w:r>
    </w:p>
    <w:p w14:paraId="40326A31" w14:textId="0A495FDC" w:rsidR="00F76C4C" w:rsidRPr="00CA47F8" w:rsidRDefault="00F76C4C" w:rsidP="00255C4C">
      <w:pPr>
        <w:pStyle w:val="CETBodytext"/>
      </w:pPr>
      <w:r w:rsidRPr="00CA47F8">
        <w:t>The modified fuel composition implies a variation either in the composition or the flame temperature of burned mixtures, as well.</w:t>
      </w:r>
      <w:r w:rsidR="00E97929" w:rsidRPr="00CA47F8">
        <w:t xml:space="preserve"> However, the peak temperature is slightly affected by the </w:t>
      </w:r>
      <w:r w:rsidR="00E97929" w:rsidRPr="0055251C">
        <w:t xml:space="preserve">composition </w:t>
      </w:r>
      <w:r w:rsidR="00CA47F8" w:rsidRPr="0055251C">
        <w:t>analyzed</w:t>
      </w:r>
      <w:r w:rsidR="00E97929" w:rsidRPr="0055251C">
        <w:t>.</w:t>
      </w:r>
      <w:r w:rsidRPr="0055251C">
        <w:t xml:space="preserve"> Considering the possible combustion products (e.g., CO, CO</w:t>
      </w:r>
      <w:r w:rsidRPr="0055251C">
        <w:rPr>
          <w:vertAlign w:val="subscript"/>
        </w:rPr>
        <w:t>2</w:t>
      </w:r>
      <w:r w:rsidRPr="0055251C">
        <w:t>, and H</w:t>
      </w:r>
      <w:r w:rsidRPr="0055251C">
        <w:rPr>
          <w:vertAlign w:val="subscript"/>
        </w:rPr>
        <w:t>2</w:t>
      </w:r>
      <w:r w:rsidRPr="0055251C">
        <w:t>O) of the species constituting the analyzed mixtures, it appears evident that the hydrogen addition leads to lighter exhaust gases because of the simultaneous</w:t>
      </w:r>
      <w:r w:rsidRPr="00CA47F8">
        <w:t xml:space="preserve"> increase in flame temperature and reduction in molar weight of the mixture.</w:t>
      </w:r>
      <w:r w:rsidR="008E3206" w:rsidRPr="00CA47F8">
        <w:t xml:space="preserve"> Hence, the reduction of flame length at the level of release </w:t>
      </w:r>
      <w:r w:rsidR="00EA1C17" w:rsidRPr="00CA47F8">
        <w:t xml:space="preserve">attributed by both numerical methods used in this work once </w:t>
      </w:r>
      <w:r w:rsidR="008E3206" w:rsidRPr="00CA47F8">
        <w:t xml:space="preserve">hydrogen </w:t>
      </w:r>
      <w:r w:rsidR="00EA1C17" w:rsidRPr="00CA47F8">
        <w:t xml:space="preserve">is added </w:t>
      </w:r>
      <w:r w:rsidR="008E3206" w:rsidRPr="00CA47F8">
        <w:t xml:space="preserve">can be due to the conditions </w:t>
      </w:r>
      <w:proofErr w:type="spellStart"/>
      <w:r w:rsidR="008E3206" w:rsidRPr="00CA47F8">
        <w:t>favo</w:t>
      </w:r>
      <w:r w:rsidR="00C36C65" w:rsidRPr="00CA47F8">
        <w:t>u</w:t>
      </w:r>
      <w:r w:rsidR="008E3206" w:rsidRPr="00CA47F8">
        <w:t>ring</w:t>
      </w:r>
      <w:proofErr w:type="spellEnd"/>
      <w:r w:rsidR="008E3206" w:rsidRPr="00CA47F8">
        <w:t xml:space="preserve"> the flame lift.</w:t>
      </w:r>
      <w:r w:rsidRPr="00CA47F8">
        <w:t xml:space="preserve"> </w:t>
      </w:r>
      <w:r w:rsidR="008E3206" w:rsidRPr="00CA47F8">
        <w:t xml:space="preserve">This assumption can be corroborated by considering the difference in initial momentum and the inertia of the gaseous mixtures investigated in this work. </w:t>
      </w:r>
      <w:r w:rsidR="00E97929" w:rsidRPr="00CA47F8">
        <w:t xml:space="preserve">Indeed, the temperature profile for the pure hydrogen case presents a milder decay in temperature once the peak is reached, probably due to the combined effects of inertia and </w:t>
      </w:r>
      <w:r w:rsidR="00FE2617" w:rsidRPr="00CA47F8">
        <w:t>the overall reaction rate.</w:t>
      </w:r>
      <w:r w:rsidR="00E97929" w:rsidRPr="00CA47F8">
        <w:t xml:space="preserve"> </w:t>
      </w:r>
      <w:r w:rsidRPr="00CA47F8">
        <w:t>In this framework, a kinetic mechanism properly addressing the issue related to the numerical representation of the chemical phenomena in turbulent regime</w:t>
      </w:r>
      <w:r w:rsidR="00C36C65" w:rsidRPr="00CA47F8">
        <w:t>s</w:t>
      </w:r>
      <w:r w:rsidRPr="00CA47F8">
        <w:t xml:space="preserve"> represents an essential </w:t>
      </w:r>
      <w:r w:rsidR="00C61190" w:rsidRPr="00CA47F8">
        <w:t>step for a robust evaluation of the investigated phenomena.</w:t>
      </w:r>
    </w:p>
    <w:p w14:paraId="0FCBBCBA" w14:textId="5732E4A8" w:rsidR="001C53C0" w:rsidRPr="00CA47F8" w:rsidRDefault="0078525B" w:rsidP="00B64BF6">
      <w:pPr>
        <w:pStyle w:val="CETBodytext"/>
      </w:pPr>
      <w:r w:rsidRPr="00CA47F8">
        <w:t xml:space="preserve">Once the </w:t>
      </w:r>
      <w:r w:rsidR="00C809F1" w:rsidRPr="00CA47F8">
        <w:t xml:space="preserve">surface emissive power is compared, it is worth noting that a monotonic trend cannot be observed with respect to the </w:t>
      </w:r>
      <w:r w:rsidR="00EA1C17" w:rsidRPr="00CA47F8">
        <w:t>fuel composition</w:t>
      </w:r>
      <w:r w:rsidR="00C809F1" w:rsidRPr="00CA47F8">
        <w:t xml:space="preserve">. Indeed, </w:t>
      </w:r>
      <w:r w:rsidR="00EA1C17" w:rsidRPr="00CA47F8">
        <w:t>a hydrogen</w:t>
      </w:r>
      <w:r w:rsidR="00C809F1" w:rsidRPr="00CA47F8">
        <w:t xml:space="preserve"> addition </w:t>
      </w:r>
      <w:r w:rsidR="00EA1C17" w:rsidRPr="00CA47F8">
        <w:t xml:space="preserve">to methane </w:t>
      </w:r>
      <w:r w:rsidR="00C809F1" w:rsidRPr="00CA47F8">
        <w:t xml:space="preserve">leads to an increase of this parameter either for the results obtained by PHAST or ANSYS, although both approaches indicate lower values for hydrogen than methane. This peculiar </w:t>
      </w:r>
      <w:proofErr w:type="spellStart"/>
      <w:r w:rsidR="003B1453" w:rsidRPr="00CA47F8">
        <w:t>behavio</w:t>
      </w:r>
      <w:r w:rsidR="00C36C65" w:rsidRPr="00CA47F8">
        <w:t>u</w:t>
      </w:r>
      <w:r w:rsidR="003B1453" w:rsidRPr="00CA47F8">
        <w:t>r</w:t>
      </w:r>
      <w:proofErr w:type="spellEnd"/>
      <w:r w:rsidR="00C809F1" w:rsidRPr="00CA47F8">
        <w:t xml:space="preserve"> can be </w:t>
      </w:r>
      <w:r w:rsidR="00CF24B6" w:rsidRPr="00CA47F8">
        <w:t>attributed to the properties of the reacting mixture</w:t>
      </w:r>
      <w:r w:rsidR="00CA0BD6" w:rsidRPr="00CA47F8">
        <w:t>s</w:t>
      </w:r>
      <w:r w:rsidR="00CF24B6" w:rsidRPr="00CA47F8">
        <w:t xml:space="preserve"> ruling the surface emissive power. Indeed, </w:t>
      </w:r>
      <w:r w:rsidR="00CA0BD6" w:rsidRPr="00CA47F8">
        <w:t xml:space="preserve">the hydrogen addition </w:t>
      </w:r>
      <w:r w:rsidR="00B96028" w:rsidRPr="00CA47F8">
        <w:t xml:space="preserve">generates lighter </w:t>
      </w:r>
      <w:r w:rsidR="00F91660" w:rsidRPr="00CA47F8">
        <w:t xml:space="preserve">but energetically denser </w:t>
      </w:r>
      <w:r w:rsidR="00B96028" w:rsidRPr="00CA47F8">
        <w:t>mixtures</w:t>
      </w:r>
      <w:r w:rsidR="00CA0BD6" w:rsidRPr="00CA47F8">
        <w:t>, as previously discussed.</w:t>
      </w:r>
      <w:r w:rsidR="00105E90" w:rsidRPr="00CA47F8">
        <w:t xml:space="preserve"> The opposite trends determine the effect of the initial composition on the overall heat release rate</w:t>
      </w:r>
      <w:r w:rsidR="00983E8D" w:rsidRPr="00CA47F8">
        <w:t xml:space="preserve">, on the one side, and the area where burned species </w:t>
      </w:r>
      <w:r w:rsidR="00C2645C" w:rsidRPr="00CA47F8">
        <w:t xml:space="preserve">and thus generated power can </w:t>
      </w:r>
      <w:r w:rsidR="00983E8D" w:rsidRPr="00CA47F8">
        <w:t>spread, on the other side</w:t>
      </w:r>
      <w:r w:rsidR="00105E90" w:rsidRPr="00CA47F8">
        <w:t xml:space="preserve">. </w:t>
      </w:r>
      <w:r w:rsidR="00946983" w:rsidRPr="00CA47F8">
        <w:t>Hence, it is possible to conclude that although the hydrogen has an activation effect on the kinetic</w:t>
      </w:r>
      <w:r w:rsidR="00C36C65" w:rsidRPr="00CA47F8">
        <w:t>s</w:t>
      </w:r>
      <w:r w:rsidR="00946983" w:rsidRPr="00CA47F8">
        <w:t xml:space="preserve"> of methane combustion, this does not directly imply a </w:t>
      </w:r>
      <w:r w:rsidR="00D80274" w:rsidRPr="00CA47F8">
        <w:t>more critical condition for the surrounding assets (i.e., the case of engulfment).</w:t>
      </w:r>
    </w:p>
    <w:p w14:paraId="61DD57EF" w14:textId="0BCC49DD" w:rsidR="00CB6C27" w:rsidRPr="00CA47F8" w:rsidRDefault="00CB6C27" w:rsidP="00CB6C27">
      <w:pPr>
        <w:pStyle w:val="CETHeading1"/>
        <w:rPr>
          <w:lang w:val="en-GB"/>
        </w:rPr>
      </w:pPr>
      <w:r w:rsidRPr="00CA47F8">
        <w:rPr>
          <w:lang w:val="en-GB"/>
        </w:rPr>
        <w:t>Conclusion</w:t>
      </w:r>
      <w:r w:rsidR="003F4253">
        <w:rPr>
          <w:lang w:val="en-GB"/>
        </w:rPr>
        <w:t>s</w:t>
      </w:r>
      <w:r w:rsidRPr="00CA47F8">
        <w:rPr>
          <w:lang w:val="en-GB"/>
        </w:rPr>
        <w:t xml:space="preserve"> </w:t>
      </w:r>
    </w:p>
    <w:p w14:paraId="535AEA5A" w14:textId="19FC0F80" w:rsidR="00CB6C27" w:rsidRPr="00CA47F8" w:rsidRDefault="00E16018" w:rsidP="00CB6C27">
      <w:pPr>
        <w:pStyle w:val="CETBodytext"/>
        <w:rPr>
          <w:lang w:val="en-GB"/>
        </w:rPr>
      </w:pPr>
      <w:r w:rsidRPr="00CA47F8">
        <w:rPr>
          <w:lang w:val="en-GB"/>
        </w:rPr>
        <w:t xml:space="preserve">This work presents a comparison of different numerical </w:t>
      </w:r>
      <w:r w:rsidR="00E629E7" w:rsidRPr="00CA47F8">
        <w:rPr>
          <w:lang w:val="en-GB"/>
        </w:rPr>
        <w:t>strategies</w:t>
      </w:r>
      <w:r w:rsidRPr="00CA47F8">
        <w:rPr>
          <w:lang w:val="en-GB"/>
        </w:rPr>
        <w:t xml:space="preserve"> for the characterization of </w:t>
      </w:r>
      <w:r w:rsidR="00FF3D07" w:rsidRPr="00CA47F8">
        <w:rPr>
          <w:lang w:val="en-GB"/>
        </w:rPr>
        <w:t>Jet fire</w:t>
      </w:r>
      <w:r w:rsidR="00E629E7" w:rsidRPr="00CA47F8">
        <w:rPr>
          <w:lang w:val="en-GB"/>
        </w:rPr>
        <w:t xml:space="preserve"> of hydrogen</w:t>
      </w:r>
      <w:r w:rsidR="00C36C65" w:rsidRPr="00CA47F8">
        <w:rPr>
          <w:lang w:val="en-GB"/>
        </w:rPr>
        <w:t>-</w:t>
      </w:r>
      <w:r w:rsidR="00E629E7" w:rsidRPr="00CA47F8">
        <w:rPr>
          <w:lang w:val="en-GB"/>
        </w:rPr>
        <w:t>containing mixtures</w:t>
      </w:r>
      <w:r w:rsidRPr="00CA47F8">
        <w:rPr>
          <w:lang w:val="en-GB"/>
        </w:rPr>
        <w:t>.</w:t>
      </w:r>
      <w:r w:rsidR="00E629E7" w:rsidRPr="00CA47F8">
        <w:rPr>
          <w:lang w:val="en-GB"/>
        </w:rPr>
        <w:t xml:space="preserve"> Specific emphasis was given to methane-rich mixtures containing up to 20 %vol of hydrogen and pure hydrogen in view of possible implementation in national and international grids. To this aim, the release rate and the consequent </w:t>
      </w:r>
      <w:r w:rsidR="002F7445" w:rsidRPr="00CA47F8">
        <w:rPr>
          <w:lang w:val="en-GB"/>
        </w:rPr>
        <w:t>j</w:t>
      </w:r>
      <w:r w:rsidR="00FF3D07" w:rsidRPr="00CA47F8">
        <w:rPr>
          <w:lang w:val="en-GB"/>
        </w:rPr>
        <w:t>et fire</w:t>
      </w:r>
      <w:r w:rsidR="00E629E7" w:rsidRPr="00CA47F8">
        <w:rPr>
          <w:lang w:val="en-GB"/>
        </w:rPr>
        <w:t xml:space="preserve"> was calculated in the case of an accidental release from an orifice of 5 mm of diameter, considering constant and homogeneous atmospheric conditions and initial pressure of 100 bar. </w:t>
      </w:r>
      <w:r w:rsidR="001E68B0" w:rsidRPr="00CA47F8">
        <w:rPr>
          <w:lang w:val="en-GB"/>
        </w:rPr>
        <w:t xml:space="preserve">Results indicate that the hydrogen addition reduces the released mass flowrate since its effect on density dominates on the increase in </w:t>
      </w:r>
      <w:r w:rsidR="002F7445" w:rsidRPr="00CA47F8">
        <w:rPr>
          <w:lang w:val="en-GB"/>
        </w:rPr>
        <w:t xml:space="preserve">the </w:t>
      </w:r>
      <w:r w:rsidR="001E68B0" w:rsidRPr="00CA47F8">
        <w:rPr>
          <w:lang w:val="en-GB"/>
        </w:rPr>
        <w:t xml:space="preserve">outlet velocity. The flame length </w:t>
      </w:r>
      <w:r w:rsidR="006845F6" w:rsidRPr="00CA47F8">
        <w:rPr>
          <w:lang w:val="en-GB"/>
        </w:rPr>
        <w:t xml:space="preserve">was </w:t>
      </w:r>
      <w:r w:rsidR="001E68B0" w:rsidRPr="00CA47F8">
        <w:rPr>
          <w:lang w:val="en-GB"/>
        </w:rPr>
        <w:t xml:space="preserve">reduced, as well, because </w:t>
      </w:r>
      <w:r w:rsidR="006845F6" w:rsidRPr="00CA47F8">
        <w:rPr>
          <w:lang w:val="en-GB"/>
        </w:rPr>
        <w:t xml:space="preserve">of the </w:t>
      </w:r>
      <w:r w:rsidR="006845F6" w:rsidRPr="00CA47F8">
        <w:rPr>
          <w:lang w:val="en-GB"/>
        </w:rPr>
        <w:lastRenderedPageBreak/>
        <w:t xml:space="preserve">composition and temperature of the exhaust gases favouring the flame lift if hydrogen was present in the initial mixture. Eventually, the comparison of the surface emissive power showed a non-monotonic trend attributed to the opposite trend of density and energetic density. The presented analysis has also identified the introduction of </w:t>
      </w:r>
      <w:r w:rsidR="00683D4D" w:rsidRPr="00CA47F8">
        <w:rPr>
          <w:lang w:val="en-GB"/>
        </w:rPr>
        <w:t xml:space="preserve">a </w:t>
      </w:r>
      <w:r w:rsidR="006845F6" w:rsidRPr="00CA47F8">
        <w:rPr>
          <w:lang w:val="en-GB"/>
        </w:rPr>
        <w:t>robust and accurate thermodynamic and kinetic database</w:t>
      </w:r>
      <w:r w:rsidR="002F7445" w:rsidRPr="00CA47F8">
        <w:rPr>
          <w:lang w:val="en-GB"/>
        </w:rPr>
        <w:t xml:space="preserve"> as key aspects for the accurate evaluation of the investigated scenarios</w:t>
      </w:r>
      <w:r w:rsidR="00683D4D" w:rsidRPr="00CA47F8">
        <w:rPr>
          <w:lang w:val="en-GB"/>
        </w:rPr>
        <w:t xml:space="preserve"> and</w:t>
      </w:r>
      <w:r w:rsidR="006845F6" w:rsidRPr="00CA47F8">
        <w:rPr>
          <w:lang w:val="en-GB"/>
        </w:rPr>
        <w:t xml:space="preserve"> well-established correlations to account for the effects of turbulence on the chemistry of the system.</w:t>
      </w:r>
    </w:p>
    <w:p w14:paraId="700C8FEC" w14:textId="77777777" w:rsidR="00CB6C27" w:rsidRPr="00CA47F8" w:rsidRDefault="00CB6C27" w:rsidP="003F4253">
      <w:pPr>
        <w:pStyle w:val="CETReference"/>
        <w:rPr>
          <w:lang w:val="it-IT"/>
        </w:rPr>
      </w:pPr>
      <w:proofErr w:type="spellStart"/>
      <w:r w:rsidRPr="00CA47F8">
        <w:rPr>
          <w:lang w:val="it-IT"/>
        </w:rPr>
        <w:t>References</w:t>
      </w:r>
      <w:proofErr w:type="spellEnd"/>
    </w:p>
    <w:p w14:paraId="06078125"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lang w:val="it-IT"/>
        </w:rPr>
        <w:t xml:space="preserve">Bariha, N., Srivastava, V.C., Mishra, I.M., 2017. </w:t>
      </w:r>
      <w:r w:rsidRPr="00CA47F8">
        <w:rPr>
          <w:rFonts w:cs="Arial"/>
          <w:noProof/>
          <w:szCs w:val="24"/>
        </w:rPr>
        <w:t>Theoretical and experimental studies on hazard analysis of LPG/LNG release: A review. Rev. Chem. Eng. 33, 387–432. https://doi.org/10.1515/revce-2016-0006</w:t>
      </w:r>
    </w:p>
    <w:p w14:paraId="68F22355"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Benintendi, R., 2018. Source Models, in: Process Safety Calculations. https://doi.org/10.1016/b978-0-08-101228-4.00007-1</w:t>
      </w:r>
    </w:p>
    <w:p w14:paraId="2C426B3E"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Bie, H.Y., Hao, Z.R., 2017. Simulation analysis on the risk of hydrogen releases and combustion in subsea tunnels. Int. J. Hydrogen Energy 42, 7617–7624. https://doi.org/10.1016/j.ijhydene.2016.05.263</w:t>
      </w:r>
    </w:p>
    <w:p w14:paraId="0B18EA91" w14:textId="77777777" w:rsidR="00FE2617" w:rsidRPr="00CA47F8" w:rsidRDefault="00FE2617" w:rsidP="00FE2617">
      <w:pPr>
        <w:widowControl w:val="0"/>
        <w:autoSpaceDE w:val="0"/>
        <w:autoSpaceDN w:val="0"/>
        <w:adjustRightInd w:val="0"/>
        <w:spacing w:line="240" w:lineRule="auto"/>
        <w:ind w:left="480" w:hanging="480"/>
        <w:rPr>
          <w:rFonts w:cs="Arial"/>
          <w:noProof/>
          <w:szCs w:val="24"/>
          <w:lang w:val="it-IT"/>
        </w:rPr>
      </w:pPr>
      <w:r w:rsidRPr="00CA47F8">
        <w:rPr>
          <w:rFonts w:cs="Arial"/>
          <w:noProof/>
          <w:szCs w:val="24"/>
        </w:rPr>
        <w:t xml:space="preserve">Bragg, S.L., 1960. Effect of compressibility on the discharge coefficient of orifices and convergent nozzles. </w:t>
      </w:r>
      <w:r w:rsidRPr="00CA47F8">
        <w:rPr>
          <w:rFonts w:cs="Arial"/>
          <w:noProof/>
          <w:szCs w:val="24"/>
          <w:lang w:val="it-IT"/>
        </w:rPr>
        <w:t>J. Mech. Eng. Sci. 2, 35–44.</w:t>
      </w:r>
    </w:p>
    <w:p w14:paraId="55EB6343"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lang w:val="it-IT"/>
        </w:rPr>
        <w:t xml:space="preserve">Carboni, M., Pio, G., Vianello, C., Maschio, G., Salzano, E., 2021. </w:t>
      </w:r>
      <w:r w:rsidRPr="00CA47F8">
        <w:rPr>
          <w:rFonts w:cs="Arial"/>
          <w:noProof/>
          <w:szCs w:val="24"/>
        </w:rPr>
        <w:t>Large eddy simulation for the rapid phase transition of LNG. Saf. Sci. 133, 105001. https://doi.org/10.1016/j.ssci.2020.105001</w:t>
      </w:r>
    </w:p>
    <w:p w14:paraId="424BF016"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Cirrone, D.M.C., Makarov, D., Molkov, V., 2018. Simulation of thermal hazards from hydrogen under-expanded jet fire. Int. J. Hydrogen Energy 2–8. https://doi.org/10.1016/j.ijhydene.2018.08.106</w:t>
      </w:r>
    </w:p>
    <w:p w14:paraId="7646414C"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Det Norske Veritas (DNV), 2021. Phast process hazard analysis software training [WWW Document]. Det Nor. Verit. Gr.</w:t>
      </w:r>
    </w:p>
    <w:p w14:paraId="0044017E"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Halter, F., Chauveau, C., Djebaïli-Chaumeix, N., Gökalp, I., 2005. Characterization of the effects of pressure and hydrogen concentration on laminar burning velocities of methane-hydrogen-air mixtures. Proc. Combust. Inst. 30, 201–208. https://doi.org/10.1016/j.proci.2004.08.195</w:t>
      </w:r>
    </w:p>
    <w:p w14:paraId="4BF9DC12"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Hess, K., Leuckel, W., Stoeckel, A., 1973. Ausbildung von Explosiblen Gaswolken bei Uberdachentspannung und MaBnahmen zu deren Vermeidung. Chem. Ing. Tech 45, 5323–5329.</w:t>
      </w:r>
    </w:p>
    <w:p w14:paraId="4B7C7934"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Huang, C., T-Raissi, A., 2008. Liquid hydrogen production via hydrogen sulfide methane reformation. J. Power Sources. https://doi.org/10.1016/j.jpowsour.2007.09.079</w:t>
      </w:r>
    </w:p>
    <w:p w14:paraId="01429FE1"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Ishii, R., Fujimoto, H., Hatta, N., Umeda, Y., 1999. Experimental and numerical analysis of circular pulse jets. J. Fluid Mech. 392, 129–153. https://doi.org/https://doi.org/10.1017/S0022112099005303</w:t>
      </w:r>
    </w:p>
    <w:p w14:paraId="73FC21FF"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Kong, M., Feng, S., Xia, Q., Chen, C., Pan, Z., Gao, Z., 2021. Investigation of mixing behavior of hydrogen blended to natural gas in gas network. Sustain. 13. https://doi.org/10.3390/su13084255</w:t>
      </w:r>
    </w:p>
    <w:p w14:paraId="2AB13ABC"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Launder B. E., B., S.D., 2013. MAN - ANSYS Fluent User’ s Guide Releasde 15.0. Knowl. Creat. Diffus. Util. 15317, 724–746.</w:t>
      </w:r>
    </w:p>
    <w:p w14:paraId="6C27107E"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Niermann, M., Beckendorff, A., Kaltschmitt, M., Bonhoff, K., 2019. Liquid Organic Hydrogen Carrier (LOHC) – Assessment based on chemical and economic properties. Int. J. Hydrogen Energy 44, 6631–6654. https://doi.org/10.1016/j.ijhydene.2019.01.199</w:t>
      </w:r>
    </w:p>
    <w:p w14:paraId="31B09594"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Ohba, R., Kouchi, A., Hara, T., Vieillard, V., Nedelka, D., 2004. Validation of heavy and light gas dispersion models for the safety analysis of LNG tank. J. Loss Prev. Process Ind. 17, 325–337. https://doi.org/10.1016/j.jlp.2004.06.003</w:t>
      </w:r>
    </w:p>
    <w:p w14:paraId="5E672681"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Pio, G., Salzano, E., 2019. Flammability limits of methane (LNG) and hydrogen (LH2) at extreme conditions. Chem. Eng. Trans. 77, 601–606. https://doi.org/10.3303/CET1977101</w:t>
      </w:r>
    </w:p>
    <w:p w14:paraId="363D179A" w14:textId="77777777" w:rsidR="00FE2617" w:rsidRPr="00CA47F8" w:rsidRDefault="00FE2617" w:rsidP="00FE2617">
      <w:pPr>
        <w:widowControl w:val="0"/>
        <w:autoSpaceDE w:val="0"/>
        <w:autoSpaceDN w:val="0"/>
        <w:adjustRightInd w:val="0"/>
        <w:spacing w:line="240" w:lineRule="auto"/>
        <w:ind w:left="480" w:hanging="480"/>
        <w:rPr>
          <w:rFonts w:cs="Arial"/>
          <w:noProof/>
          <w:szCs w:val="24"/>
          <w:lang w:val="it-IT"/>
        </w:rPr>
      </w:pPr>
      <w:r w:rsidRPr="00CA47F8">
        <w:rPr>
          <w:rFonts w:cs="Arial"/>
          <w:noProof/>
          <w:szCs w:val="24"/>
        </w:rPr>
        <w:t xml:space="preserve">Pio, G., Salzano, E., 2018. Laminar Burning Velocity of Methane, Hydrogen, and Their Mixtures at Extremely Low-Temperature Conditions. </w:t>
      </w:r>
      <w:r w:rsidRPr="00CA47F8">
        <w:rPr>
          <w:rFonts w:cs="Arial"/>
          <w:noProof/>
          <w:szCs w:val="24"/>
          <w:lang w:val="it-IT"/>
        </w:rPr>
        <w:t>Energy &amp; Fuels 32, 8830–8836. https://doi.org/10.1021/acs.energyfuels.8b01796</w:t>
      </w:r>
    </w:p>
    <w:p w14:paraId="60BF48A2"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lang w:val="it-IT"/>
        </w:rPr>
        <w:t xml:space="preserve">Salzano, E., Pio, G., Ricca, A., Palma, V., 2018. </w:t>
      </w:r>
      <w:r w:rsidRPr="00CA47F8">
        <w:rPr>
          <w:rFonts w:cs="Arial"/>
          <w:noProof/>
          <w:szCs w:val="24"/>
        </w:rPr>
        <w:t>The effect of a hydrogen addition to the premixed flame structure of light alkanes. Fuel 234, 1064–1070. https://doi.org/10.1016/j.fuel.2018.07.110</w:t>
      </w:r>
    </w:p>
    <w:p w14:paraId="255258F4"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Swanger, A.M., Jumper, K.M., Maekawa, K., Takeda, M., 2017. Zero boil-off methods for large-scale liquid hydrogen tanks using integrated refrigeration and storage, in: IOP Conference Series: Materials Science and Engineering. pp. 1–9. https://doi.org/10.1088/1757-899X/278/1/012012</w:t>
      </w:r>
    </w:p>
    <w:p w14:paraId="632B43E8" w14:textId="77777777" w:rsidR="00FE2617" w:rsidRPr="00CA47F8" w:rsidRDefault="00FE2617" w:rsidP="00FE2617">
      <w:pPr>
        <w:widowControl w:val="0"/>
        <w:autoSpaceDE w:val="0"/>
        <w:autoSpaceDN w:val="0"/>
        <w:adjustRightInd w:val="0"/>
        <w:spacing w:line="240" w:lineRule="auto"/>
        <w:ind w:left="480" w:hanging="480"/>
        <w:rPr>
          <w:rFonts w:cs="Arial"/>
          <w:noProof/>
          <w:szCs w:val="24"/>
          <w:lang w:val="en-US"/>
        </w:rPr>
      </w:pPr>
      <w:r w:rsidRPr="00CA47F8">
        <w:rPr>
          <w:rFonts w:cs="Arial"/>
          <w:noProof/>
          <w:szCs w:val="24"/>
          <w:lang w:val="it-IT"/>
        </w:rPr>
        <w:t xml:space="preserve">Vianello, C., Carboni, M., Mazzaro, M., Mocellin, P., Pilo, F., Pio, G., Russo, P., Salzano, E. (2020). </w:t>
      </w:r>
      <w:r w:rsidRPr="00CA47F8">
        <w:rPr>
          <w:rFonts w:cs="Arial"/>
          <w:noProof/>
          <w:szCs w:val="24"/>
          <w:lang w:val="en-US"/>
        </w:rPr>
        <w:t>Hydrogen refueling stations: Prevention and scenario management. large scale experimental investigation of hydrogen jet-fires. Chemical Engineering Transactions, 82, 247-252. doi:10.3303/CET2082042</w:t>
      </w:r>
    </w:p>
    <w:p w14:paraId="0DD90F20"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Weilhard, A., Argent, S.P., Sans, V., 2021. Efficient carbon dioxide hydrogenation to formic acid with buffering ionic liquids. Nat. Commun. 12, 1–7. https://doi.org/10.1038/s41467-020-20291-0</w:t>
      </w:r>
    </w:p>
    <w:p w14:paraId="5B25EB0E" w14:textId="77777777" w:rsidR="00FE2617" w:rsidRPr="00CA47F8"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Witlox, H.W.M., Harper, M., Pitblado, R., 2012. Validation of phast dispersion modelas required for USA LNG siting applications. 12th Top. Conf. Gas Util. 2012 - Top.Conf. 2012 AIChE Spring Meet. 8th Glob. Congr. Process Saf., 31.</w:t>
      </w:r>
    </w:p>
    <w:p w14:paraId="581057DC" w14:textId="636F09BC" w:rsidR="00FE2617" w:rsidRDefault="00FE2617" w:rsidP="00FE2617">
      <w:pPr>
        <w:widowControl w:val="0"/>
        <w:autoSpaceDE w:val="0"/>
        <w:autoSpaceDN w:val="0"/>
        <w:adjustRightInd w:val="0"/>
        <w:spacing w:line="240" w:lineRule="auto"/>
        <w:ind w:left="480" w:hanging="480"/>
        <w:rPr>
          <w:rFonts w:cs="Arial"/>
          <w:noProof/>
          <w:szCs w:val="24"/>
        </w:rPr>
      </w:pPr>
      <w:r w:rsidRPr="00CA47F8">
        <w:rPr>
          <w:rFonts w:cs="Arial"/>
          <w:noProof/>
          <w:szCs w:val="24"/>
        </w:rPr>
        <w:t>Zhang, B., Chen, G.M., 2009. Hydrogen sulfide dispersion consequences analysis indifferent wind speeds: a CFD based approach. Int. Conf. Energy Environ.Technol.</w:t>
      </w:r>
    </w:p>
    <w:sectPr w:rsidR="00FE261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0D560" w14:textId="77777777" w:rsidR="005127C5" w:rsidRDefault="005127C5" w:rsidP="004F5E36">
      <w:r>
        <w:separator/>
      </w:r>
    </w:p>
  </w:endnote>
  <w:endnote w:type="continuationSeparator" w:id="0">
    <w:p w14:paraId="70833EB4" w14:textId="77777777" w:rsidR="005127C5" w:rsidRDefault="005127C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Mono">
    <w:altName w:val="Calibri"/>
    <w:charset w:val="00"/>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66328" w14:textId="77777777" w:rsidR="005127C5" w:rsidRDefault="005127C5" w:rsidP="004F5E36">
      <w:r>
        <w:separator/>
      </w:r>
    </w:p>
  </w:footnote>
  <w:footnote w:type="continuationSeparator" w:id="0">
    <w:p w14:paraId="2005D169" w14:textId="77777777" w:rsidR="005127C5" w:rsidRDefault="005127C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3415DD2"/>
    <w:multiLevelType w:val="hybridMultilevel"/>
    <w:tmpl w:val="2D94D9C4"/>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tagFAL5NNVMtAAAA"/>
  </w:docVars>
  <w:rsids>
    <w:rsidRoot w:val="000E414A"/>
    <w:rsid w:val="00001C0F"/>
    <w:rsid w:val="00001E86"/>
    <w:rsid w:val="000027C0"/>
    <w:rsid w:val="000052FB"/>
    <w:rsid w:val="00005DFB"/>
    <w:rsid w:val="000117CB"/>
    <w:rsid w:val="00016760"/>
    <w:rsid w:val="000218D2"/>
    <w:rsid w:val="0003148D"/>
    <w:rsid w:val="000320B7"/>
    <w:rsid w:val="00047C72"/>
    <w:rsid w:val="00051566"/>
    <w:rsid w:val="0005532D"/>
    <w:rsid w:val="00055DF1"/>
    <w:rsid w:val="00062A9A"/>
    <w:rsid w:val="00065058"/>
    <w:rsid w:val="00065970"/>
    <w:rsid w:val="00066E4E"/>
    <w:rsid w:val="00070A29"/>
    <w:rsid w:val="00077D65"/>
    <w:rsid w:val="00084CF3"/>
    <w:rsid w:val="00086C39"/>
    <w:rsid w:val="00090418"/>
    <w:rsid w:val="0009418A"/>
    <w:rsid w:val="000954F0"/>
    <w:rsid w:val="00097C39"/>
    <w:rsid w:val="000A03B2"/>
    <w:rsid w:val="000A6D95"/>
    <w:rsid w:val="000A71FC"/>
    <w:rsid w:val="000A7873"/>
    <w:rsid w:val="000B220C"/>
    <w:rsid w:val="000C012B"/>
    <w:rsid w:val="000C1EEF"/>
    <w:rsid w:val="000C3F3F"/>
    <w:rsid w:val="000C4B3B"/>
    <w:rsid w:val="000C71D5"/>
    <w:rsid w:val="000D0268"/>
    <w:rsid w:val="000D34BE"/>
    <w:rsid w:val="000D3CEB"/>
    <w:rsid w:val="000E102F"/>
    <w:rsid w:val="000E1498"/>
    <w:rsid w:val="000E2D84"/>
    <w:rsid w:val="000E36F1"/>
    <w:rsid w:val="000E3A73"/>
    <w:rsid w:val="000E414A"/>
    <w:rsid w:val="000E4E82"/>
    <w:rsid w:val="000E5C4F"/>
    <w:rsid w:val="000F093C"/>
    <w:rsid w:val="000F787B"/>
    <w:rsid w:val="000F7CE8"/>
    <w:rsid w:val="00105CCC"/>
    <w:rsid w:val="00105E90"/>
    <w:rsid w:val="00106D02"/>
    <w:rsid w:val="0011003D"/>
    <w:rsid w:val="00112172"/>
    <w:rsid w:val="0012091F"/>
    <w:rsid w:val="00126BC2"/>
    <w:rsid w:val="001308B6"/>
    <w:rsid w:val="0013121F"/>
    <w:rsid w:val="00131C5A"/>
    <w:rsid w:val="00131FE6"/>
    <w:rsid w:val="0013263F"/>
    <w:rsid w:val="00134332"/>
    <w:rsid w:val="00134DE4"/>
    <w:rsid w:val="0014034D"/>
    <w:rsid w:val="00140495"/>
    <w:rsid w:val="00146625"/>
    <w:rsid w:val="00150E59"/>
    <w:rsid w:val="00152DE3"/>
    <w:rsid w:val="001564A9"/>
    <w:rsid w:val="00164AF0"/>
    <w:rsid w:val="00164CF9"/>
    <w:rsid w:val="001667A6"/>
    <w:rsid w:val="00184AD6"/>
    <w:rsid w:val="0019416B"/>
    <w:rsid w:val="001964EC"/>
    <w:rsid w:val="001A1294"/>
    <w:rsid w:val="001A4AF7"/>
    <w:rsid w:val="001A6038"/>
    <w:rsid w:val="001B0225"/>
    <w:rsid w:val="001B0349"/>
    <w:rsid w:val="001B4D93"/>
    <w:rsid w:val="001B65C1"/>
    <w:rsid w:val="001C53C0"/>
    <w:rsid w:val="001C670D"/>
    <w:rsid w:val="001C684B"/>
    <w:rsid w:val="001D2BE8"/>
    <w:rsid w:val="001D53FC"/>
    <w:rsid w:val="001E08F6"/>
    <w:rsid w:val="001E2BAE"/>
    <w:rsid w:val="001E68B0"/>
    <w:rsid w:val="001E70B0"/>
    <w:rsid w:val="001F0E7D"/>
    <w:rsid w:val="001F1E16"/>
    <w:rsid w:val="001F3101"/>
    <w:rsid w:val="001F33C1"/>
    <w:rsid w:val="001F42A5"/>
    <w:rsid w:val="001F7B9D"/>
    <w:rsid w:val="00200DE0"/>
    <w:rsid w:val="0020489F"/>
    <w:rsid w:val="002131AA"/>
    <w:rsid w:val="00216B3F"/>
    <w:rsid w:val="002224B4"/>
    <w:rsid w:val="00223EA2"/>
    <w:rsid w:val="00225AEB"/>
    <w:rsid w:val="002329D4"/>
    <w:rsid w:val="002447EF"/>
    <w:rsid w:val="00251550"/>
    <w:rsid w:val="00251D1F"/>
    <w:rsid w:val="00255C4C"/>
    <w:rsid w:val="002565C9"/>
    <w:rsid w:val="002634B9"/>
    <w:rsid w:val="00263B05"/>
    <w:rsid w:val="00266FBF"/>
    <w:rsid w:val="0027221A"/>
    <w:rsid w:val="00272714"/>
    <w:rsid w:val="002749C6"/>
    <w:rsid w:val="00275B61"/>
    <w:rsid w:val="00275D46"/>
    <w:rsid w:val="00282656"/>
    <w:rsid w:val="002943F6"/>
    <w:rsid w:val="00296B83"/>
    <w:rsid w:val="002A2C8C"/>
    <w:rsid w:val="002A46B7"/>
    <w:rsid w:val="002A6A5B"/>
    <w:rsid w:val="002B4719"/>
    <w:rsid w:val="002B78CE"/>
    <w:rsid w:val="002C2FB6"/>
    <w:rsid w:val="002D1270"/>
    <w:rsid w:val="002D33C2"/>
    <w:rsid w:val="002D4E93"/>
    <w:rsid w:val="002D5329"/>
    <w:rsid w:val="002D5D5B"/>
    <w:rsid w:val="002E348B"/>
    <w:rsid w:val="002E783D"/>
    <w:rsid w:val="002F3309"/>
    <w:rsid w:val="002F3B3C"/>
    <w:rsid w:val="002F7445"/>
    <w:rsid w:val="0030043B"/>
    <w:rsid w:val="003009B7"/>
    <w:rsid w:val="00300E56"/>
    <w:rsid w:val="0030441C"/>
    <w:rsid w:val="0030469C"/>
    <w:rsid w:val="00305CE3"/>
    <w:rsid w:val="00306EF0"/>
    <w:rsid w:val="00315B5B"/>
    <w:rsid w:val="00321CA6"/>
    <w:rsid w:val="00333061"/>
    <w:rsid w:val="003334AB"/>
    <w:rsid w:val="00334C09"/>
    <w:rsid w:val="003365D6"/>
    <w:rsid w:val="0033782F"/>
    <w:rsid w:val="00345045"/>
    <w:rsid w:val="003461EB"/>
    <w:rsid w:val="00353260"/>
    <w:rsid w:val="00355C85"/>
    <w:rsid w:val="00366111"/>
    <w:rsid w:val="003723D4"/>
    <w:rsid w:val="00381905"/>
    <w:rsid w:val="00381E88"/>
    <w:rsid w:val="003845E5"/>
    <w:rsid w:val="00384CC8"/>
    <w:rsid w:val="003871FD"/>
    <w:rsid w:val="00387F33"/>
    <w:rsid w:val="00387FB2"/>
    <w:rsid w:val="003A1889"/>
    <w:rsid w:val="003A1E30"/>
    <w:rsid w:val="003A4CF5"/>
    <w:rsid w:val="003A5C8F"/>
    <w:rsid w:val="003A7D1C"/>
    <w:rsid w:val="003B1453"/>
    <w:rsid w:val="003B304B"/>
    <w:rsid w:val="003B3146"/>
    <w:rsid w:val="003C063B"/>
    <w:rsid w:val="003C738E"/>
    <w:rsid w:val="003E3705"/>
    <w:rsid w:val="003E79B5"/>
    <w:rsid w:val="003E7B35"/>
    <w:rsid w:val="003F015E"/>
    <w:rsid w:val="003F0D1F"/>
    <w:rsid w:val="003F4253"/>
    <w:rsid w:val="00400414"/>
    <w:rsid w:val="0041446B"/>
    <w:rsid w:val="00416DC5"/>
    <w:rsid w:val="00424C6B"/>
    <w:rsid w:val="00425F46"/>
    <w:rsid w:val="004268A4"/>
    <w:rsid w:val="0044329C"/>
    <w:rsid w:val="00444CB6"/>
    <w:rsid w:val="00445334"/>
    <w:rsid w:val="00456A71"/>
    <w:rsid w:val="00457001"/>
    <w:rsid w:val="004577FE"/>
    <w:rsid w:val="00457B9C"/>
    <w:rsid w:val="004605C4"/>
    <w:rsid w:val="0046164A"/>
    <w:rsid w:val="004628D2"/>
    <w:rsid w:val="00462DCD"/>
    <w:rsid w:val="004648AD"/>
    <w:rsid w:val="004703A9"/>
    <w:rsid w:val="004706EB"/>
    <w:rsid w:val="004719CE"/>
    <w:rsid w:val="004732B3"/>
    <w:rsid w:val="004760DE"/>
    <w:rsid w:val="004763D7"/>
    <w:rsid w:val="004767E2"/>
    <w:rsid w:val="0047761A"/>
    <w:rsid w:val="00485A3F"/>
    <w:rsid w:val="004862B7"/>
    <w:rsid w:val="004876C5"/>
    <w:rsid w:val="0049008E"/>
    <w:rsid w:val="004A004E"/>
    <w:rsid w:val="004A0A4B"/>
    <w:rsid w:val="004A1982"/>
    <w:rsid w:val="004A24CF"/>
    <w:rsid w:val="004A3201"/>
    <w:rsid w:val="004B6C7C"/>
    <w:rsid w:val="004C3D1D"/>
    <w:rsid w:val="004C6457"/>
    <w:rsid w:val="004C7913"/>
    <w:rsid w:val="004D21E6"/>
    <w:rsid w:val="004D2790"/>
    <w:rsid w:val="004D3A12"/>
    <w:rsid w:val="004D5E16"/>
    <w:rsid w:val="004E1659"/>
    <w:rsid w:val="004E46F8"/>
    <w:rsid w:val="004E4DD6"/>
    <w:rsid w:val="004F5AA4"/>
    <w:rsid w:val="004F5E36"/>
    <w:rsid w:val="004F6CD0"/>
    <w:rsid w:val="004F755C"/>
    <w:rsid w:val="00504E71"/>
    <w:rsid w:val="00507B47"/>
    <w:rsid w:val="00507BEF"/>
    <w:rsid w:val="00507CC9"/>
    <w:rsid w:val="005119A5"/>
    <w:rsid w:val="005123E8"/>
    <w:rsid w:val="005127C5"/>
    <w:rsid w:val="00523B92"/>
    <w:rsid w:val="00524802"/>
    <w:rsid w:val="005257D7"/>
    <w:rsid w:val="00525ECA"/>
    <w:rsid w:val="005278B7"/>
    <w:rsid w:val="00530557"/>
    <w:rsid w:val="00530E39"/>
    <w:rsid w:val="00532016"/>
    <w:rsid w:val="005346C8"/>
    <w:rsid w:val="005402C1"/>
    <w:rsid w:val="00541BC0"/>
    <w:rsid w:val="00543E7D"/>
    <w:rsid w:val="00547A68"/>
    <w:rsid w:val="0055251C"/>
    <w:rsid w:val="005531C6"/>
    <w:rsid w:val="005531C9"/>
    <w:rsid w:val="00557A11"/>
    <w:rsid w:val="00557B51"/>
    <w:rsid w:val="0057009D"/>
    <w:rsid w:val="00570C43"/>
    <w:rsid w:val="005740F0"/>
    <w:rsid w:val="0057702F"/>
    <w:rsid w:val="00577686"/>
    <w:rsid w:val="00577C19"/>
    <w:rsid w:val="0058449F"/>
    <w:rsid w:val="00584B66"/>
    <w:rsid w:val="00585E1F"/>
    <w:rsid w:val="00586171"/>
    <w:rsid w:val="005A07DF"/>
    <w:rsid w:val="005B0F8B"/>
    <w:rsid w:val="005B2110"/>
    <w:rsid w:val="005B2E4F"/>
    <w:rsid w:val="005B61E6"/>
    <w:rsid w:val="005C1464"/>
    <w:rsid w:val="005C77E1"/>
    <w:rsid w:val="005D63F6"/>
    <w:rsid w:val="005D6A2F"/>
    <w:rsid w:val="005D7C17"/>
    <w:rsid w:val="005E1A82"/>
    <w:rsid w:val="005E2278"/>
    <w:rsid w:val="005E287A"/>
    <w:rsid w:val="005E794C"/>
    <w:rsid w:val="005F0A28"/>
    <w:rsid w:val="005F0E5E"/>
    <w:rsid w:val="005F152A"/>
    <w:rsid w:val="005F3A5F"/>
    <w:rsid w:val="005F4328"/>
    <w:rsid w:val="00600535"/>
    <w:rsid w:val="00604E0D"/>
    <w:rsid w:val="00606946"/>
    <w:rsid w:val="00610CD6"/>
    <w:rsid w:val="0061682C"/>
    <w:rsid w:val="00620DEE"/>
    <w:rsid w:val="006215C9"/>
    <w:rsid w:val="00621F92"/>
    <w:rsid w:val="0062280A"/>
    <w:rsid w:val="00623B64"/>
    <w:rsid w:val="00625639"/>
    <w:rsid w:val="00626D12"/>
    <w:rsid w:val="006271CD"/>
    <w:rsid w:val="00627734"/>
    <w:rsid w:val="00631B33"/>
    <w:rsid w:val="006370A4"/>
    <w:rsid w:val="0064184D"/>
    <w:rsid w:val="00641B03"/>
    <w:rsid w:val="006422CC"/>
    <w:rsid w:val="006514B7"/>
    <w:rsid w:val="00651752"/>
    <w:rsid w:val="006538CD"/>
    <w:rsid w:val="006541F5"/>
    <w:rsid w:val="00656DDB"/>
    <w:rsid w:val="00660E3E"/>
    <w:rsid w:val="00662E74"/>
    <w:rsid w:val="00671BC9"/>
    <w:rsid w:val="00672F1C"/>
    <w:rsid w:val="006777E4"/>
    <w:rsid w:val="00680C23"/>
    <w:rsid w:val="00683D4D"/>
    <w:rsid w:val="006845F6"/>
    <w:rsid w:val="00693655"/>
    <w:rsid w:val="00693766"/>
    <w:rsid w:val="00694F81"/>
    <w:rsid w:val="006A1276"/>
    <w:rsid w:val="006A3281"/>
    <w:rsid w:val="006A508A"/>
    <w:rsid w:val="006B1271"/>
    <w:rsid w:val="006B17C8"/>
    <w:rsid w:val="006B27F9"/>
    <w:rsid w:val="006B4888"/>
    <w:rsid w:val="006B7112"/>
    <w:rsid w:val="006C2416"/>
    <w:rsid w:val="006C2515"/>
    <w:rsid w:val="006C2E45"/>
    <w:rsid w:val="006C359C"/>
    <w:rsid w:val="006C5579"/>
    <w:rsid w:val="006C6E0C"/>
    <w:rsid w:val="006D6130"/>
    <w:rsid w:val="006E737D"/>
    <w:rsid w:val="006F15CD"/>
    <w:rsid w:val="006F69BB"/>
    <w:rsid w:val="00707302"/>
    <w:rsid w:val="007123CA"/>
    <w:rsid w:val="007132C1"/>
    <w:rsid w:val="00720A24"/>
    <w:rsid w:val="007260CD"/>
    <w:rsid w:val="007301F9"/>
    <w:rsid w:val="00732386"/>
    <w:rsid w:val="00734CBA"/>
    <w:rsid w:val="0073514D"/>
    <w:rsid w:val="007376AE"/>
    <w:rsid w:val="007447F3"/>
    <w:rsid w:val="00744E5C"/>
    <w:rsid w:val="00750125"/>
    <w:rsid w:val="00754298"/>
    <w:rsid w:val="0075499F"/>
    <w:rsid w:val="0076259E"/>
    <w:rsid w:val="0076467C"/>
    <w:rsid w:val="007661C8"/>
    <w:rsid w:val="0077098D"/>
    <w:rsid w:val="007751AE"/>
    <w:rsid w:val="00776F22"/>
    <w:rsid w:val="007773C6"/>
    <w:rsid w:val="0078525B"/>
    <w:rsid w:val="007913BD"/>
    <w:rsid w:val="0079303D"/>
    <w:rsid w:val="007931FA"/>
    <w:rsid w:val="007A1423"/>
    <w:rsid w:val="007A29DA"/>
    <w:rsid w:val="007A2DE0"/>
    <w:rsid w:val="007A4861"/>
    <w:rsid w:val="007A7BBA"/>
    <w:rsid w:val="007B0C50"/>
    <w:rsid w:val="007B39D8"/>
    <w:rsid w:val="007B45C5"/>
    <w:rsid w:val="007C1A43"/>
    <w:rsid w:val="007C59EE"/>
    <w:rsid w:val="007D1DC9"/>
    <w:rsid w:val="007D4FF5"/>
    <w:rsid w:val="007E1911"/>
    <w:rsid w:val="007F2C93"/>
    <w:rsid w:val="007F7A57"/>
    <w:rsid w:val="0080013E"/>
    <w:rsid w:val="00812D6D"/>
    <w:rsid w:val="00813288"/>
    <w:rsid w:val="00814EFA"/>
    <w:rsid w:val="008168FC"/>
    <w:rsid w:val="00823AC3"/>
    <w:rsid w:val="00823DB8"/>
    <w:rsid w:val="00830996"/>
    <w:rsid w:val="00832FAB"/>
    <w:rsid w:val="008337E5"/>
    <w:rsid w:val="008345F1"/>
    <w:rsid w:val="008347C4"/>
    <w:rsid w:val="008404E2"/>
    <w:rsid w:val="008435BE"/>
    <w:rsid w:val="008558BC"/>
    <w:rsid w:val="0086254E"/>
    <w:rsid w:val="00865B07"/>
    <w:rsid w:val="008667EA"/>
    <w:rsid w:val="008673D7"/>
    <w:rsid w:val="00867474"/>
    <w:rsid w:val="00872E99"/>
    <w:rsid w:val="0087637F"/>
    <w:rsid w:val="00880CAF"/>
    <w:rsid w:val="00884C73"/>
    <w:rsid w:val="008869C6"/>
    <w:rsid w:val="008919D9"/>
    <w:rsid w:val="00892A01"/>
    <w:rsid w:val="00892AD5"/>
    <w:rsid w:val="00892F95"/>
    <w:rsid w:val="0089505C"/>
    <w:rsid w:val="008A1512"/>
    <w:rsid w:val="008A3220"/>
    <w:rsid w:val="008A3763"/>
    <w:rsid w:val="008B32D8"/>
    <w:rsid w:val="008B3869"/>
    <w:rsid w:val="008B7109"/>
    <w:rsid w:val="008B71F6"/>
    <w:rsid w:val="008D1499"/>
    <w:rsid w:val="008D32B9"/>
    <w:rsid w:val="008D433B"/>
    <w:rsid w:val="008D4748"/>
    <w:rsid w:val="008D7E9C"/>
    <w:rsid w:val="008E3206"/>
    <w:rsid w:val="008E566E"/>
    <w:rsid w:val="0090161A"/>
    <w:rsid w:val="00901EB6"/>
    <w:rsid w:val="00904C62"/>
    <w:rsid w:val="00905405"/>
    <w:rsid w:val="00905F60"/>
    <w:rsid w:val="00912D36"/>
    <w:rsid w:val="00922BA8"/>
    <w:rsid w:val="00924DAC"/>
    <w:rsid w:val="00927058"/>
    <w:rsid w:val="00933247"/>
    <w:rsid w:val="0094154A"/>
    <w:rsid w:val="00942750"/>
    <w:rsid w:val="0094282B"/>
    <w:rsid w:val="009450CE"/>
    <w:rsid w:val="00946983"/>
    <w:rsid w:val="00947179"/>
    <w:rsid w:val="0095164B"/>
    <w:rsid w:val="00954090"/>
    <w:rsid w:val="009563A0"/>
    <w:rsid w:val="009573E7"/>
    <w:rsid w:val="00963E05"/>
    <w:rsid w:val="00964244"/>
    <w:rsid w:val="00965E22"/>
    <w:rsid w:val="009661CA"/>
    <w:rsid w:val="00967D54"/>
    <w:rsid w:val="0097012F"/>
    <w:rsid w:val="00970572"/>
    <w:rsid w:val="00971028"/>
    <w:rsid w:val="00973D5F"/>
    <w:rsid w:val="009740CD"/>
    <w:rsid w:val="00974DFC"/>
    <w:rsid w:val="00976AD9"/>
    <w:rsid w:val="00980791"/>
    <w:rsid w:val="00983E8D"/>
    <w:rsid w:val="00984A98"/>
    <w:rsid w:val="00996483"/>
    <w:rsid w:val="00996F5A"/>
    <w:rsid w:val="009A384A"/>
    <w:rsid w:val="009B041A"/>
    <w:rsid w:val="009B7C0E"/>
    <w:rsid w:val="009C37C3"/>
    <w:rsid w:val="009C7C86"/>
    <w:rsid w:val="009D232D"/>
    <w:rsid w:val="009D2FF7"/>
    <w:rsid w:val="009D30F0"/>
    <w:rsid w:val="009E1489"/>
    <w:rsid w:val="009E7884"/>
    <w:rsid w:val="009E788A"/>
    <w:rsid w:val="009F0E08"/>
    <w:rsid w:val="009F357E"/>
    <w:rsid w:val="00A04720"/>
    <w:rsid w:val="00A14614"/>
    <w:rsid w:val="00A16C3D"/>
    <w:rsid w:val="00A1763D"/>
    <w:rsid w:val="00A17CEC"/>
    <w:rsid w:val="00A232EC"/>
    <w:rsid w:val="00A233AF"/>
    <w:rsid w:val="00A24772"/>
    <w:rsid w:val="00A27EF0"/>
    <w:rsid w:val="00A30733"/>
    <w:rsid w:val="00A50B20"/>
    <w:rsid w:val="00A51390"/>
    <w:rsid w:val="00A60D13"/>
    <w:rsid w:val="00A71AA6"/>
    <w:rsid w:val="00A72080"/>
    <w:rsid w:val="00A724F8"/>
    <w:rsid w:val="00A72745"/>
    <w:rsid w:val="00A76EFC"/>
    <w:rsid w:val="00A76F69"/>
    <w:rsid w:val="00A857D2"/>
    <w:rsid w:val="00A91010"/>
    <w:rsid w:val="00A957D2"/>
    <w:rsid w:val="00A97F29"/>
    <w:rsid w:val="00AA3CF1"/>
    <w:rsid w:val="00AA3D9E"/>
    <w:rsid w:val="00AA702E"/>
    <w:rsid w:val="00AB0964"/>
    <w:rsid w:val="00AB2C78"/>
    <w:rsid w:val="00AB5011"/>
    <w:rsid w:val="00AC4444"/>
    <w:rsid w:val="00AC4F8B"/>
    <w:rsid w:val="00AC7368"/>
    <w:rsid w:val="00AD12FF"/>
    <w:rsid w:val="00AD16B9"/>
    <w:rsid w:val="00AE377D"/>
    <w:rsid w:val="00AE51A0"/>
    <w:rsid w:val="00AF4EA9"/>
    <w:rsid w:val="00AF56DD"/>
    <w:rsid w:val="00B02C8A"/>
    <w:rsid w:val="00B04058"/>
    <w:rsid w:val="00B17FBD"/>
    <w:rsid w:val="00B22C87"/>
    <w:rsid w:val="00B315A6"/>
    <w:rsid w:val="00B31813"/>
    <w:rsid w:val="00B33365"/>
    <w:rsid w:val="00B3495B"/>
    <w:rsid w:val="00B359B4"/>
    <w:rsid w:val="00B366A0"/>
    <w:rsid w:val="00B4256E"/>
    <w:rsid w:val="00B438FF"/>
    <w:rsid w:val="00B50AB1"/>
    <w:rsid w:val="00B546B0"/>
    <w:rsid w:val="00B57B36"/>
    <w:rsid w:val="00B64BF6"/>
    <w:rsid w:val="00B71FF7"/>
    <w:rsid w:val="00B803A8"/>
    <w:rsid w:val="00B80C0D"/>
    <w:rsid w:val="00B81162"/>
    <w:rsid w:val="00B8686D"/>
    <w:rsid w:val="00B96028"/>
    <w:rsid w:val="00BA0FC9"/>
    <w:rsid w:val="00BA1766"/>
    <w:rsid w:val="00BB1DDC"/>
    <w:rsid w:val="00BC11F1"/>
    <w:rsid w:val="00BC30C9"/>
    <w:rsid w:val="00BC5F7C"/>
    <w:rsid w:val="00BC6E4B"/>
    <w:rsid w:val="00BC7857"/>
    <w:rsid w:val="00BD2557"/>
    <w:rsid w:val="00BE2058"/>
    <w:rsid w:val="00BE3E58"/>
    <w:rsid w:val="00BE7297"/>
    <w:rsid w:val="00BE7C03"/>
    <w:rsid w:val="00BF0DF5"/>
    <w:rsid w:val="00BF10FC"/>
    <w:rsid w:val="00C01616"/>
    <w:rsid w:val="00C0162B"/>
    <w:rsid w:val="00C068ED"/>
    <w:rsid w:val="00C105B1"/>
    <w:rsid w:val="00C136E3"/>
    <w:rsid w:val="00C14D88"/>
    <w:rsid w:val="00C172C0"/>
    <w:rsid w:val="00C17C08"/>
    <w:rsid w:val="00C2130A"/>
    <w:rsid w:val="00C2645C"/>
    <w:rsid w:val="00C31771"/>
    <w:rsid w:val="00C31C79"/>
    <w:rsid w:val="00C33860"/>
    <w:rsid w:val="00C345B1"/>
    <w:rsid w:val="00C36C65"/>
    <w:rsid w:val="00C40142"/>
    <w:rsid w:val="00C444E5"/>
    <w:rsid w:val="00C544F5"/>
    <w:rsid w:val="00C57182"/>
    <w:rsid w:val="00C57863"/>
    <w:rsid w:val="00C61190"/>
    <w:rsid w:val="00C640D3"/>
    <w:rsid w:val="00C655FD"/>
    <w:rsid w:val="00C74217"/>
    <w:rsid w:val="00C75407"/>
    <w:rsid w:val="00C809F1"/>
    <w:rsid w:val="00C82719"/>
    <w:rsid w:val="00C863AC"/>
    <w:rsid w:val="00C870A8"/>
    <w:rsid w:val="00C87986"/>
    <w:rsid w:val="00C9147A"/>
    <w:rsid w:val="00C92B6C"/>
    <w:rsid w:val="00C94434"/>
    <w:rsid w:val="00C94CA5"/>
    <w:rsid w:val="00CA0BD6"/>
    <w:rsid w:val="00CA0D75"/>
    <w:rsid w:val="00CA1C95"/>
    <w:rsid w:val="00CA313F"/>
    <w:rsid w:val="00CA47F8"/>
    <w:rsid w:val="00CA5A9C"/>
    <w:rsid w:val="00CB01F5"/>
    <w:rsid w:val="00CB0A85"/>
    <w:rsid w:val="00CB280B"/>
    <w:rsid w:val="00CB2928"/>
    <w:rsid w:val="00CB66DF"/>
    <w:rsid w:val="00CB6C27"/>
    <w:rsid w:val="00CC35E2"/>
    <w:rsid w:val="00CC4C20"/>
    <w:rsid w:val="00CC680A"/>
    <w:rsid w:val="00CD00C4"/>
    <w:rsid w:val="00CD046B"/>
    <w:rsid w:val="00CD0948"/>
    <w:rsid w:val="00CD3517"/>
    <w:rsid w:val="00CD5FE2"/>
    <w:rsid w:val="00CD7382"/>
    <w:rsid w:val="00CD7938"/>
    <w:rsid w:val="00CE1D88"/>
    <w:rsid w:val="00CE2B6C"/>
    <w:rsid w:val="00CE5402"/>
    <w:rsid w:val="00CE68DE"/>
    <w:rsid w:val="00CE7C68"/>
    <w:rsid w:val="00CF24B6"/>
    <w:rsid w:val="00CF45DE"/>
    <w:rsid w:val="00CF73EA"/>
    <w:rsid w:val="00D01C37"/>
    <w:rsid w:val="00D02B4C"/>
    <w:rsid w:val="00D040C4"/>
    <w:rsid w:val="00D04429"/>
    <w:rsid w:val="00D0551A"/>
    <w:rsid w:val="00D07F9E"/>
    <w:rsid w:val="00D10FF8"/>
    <w:rsid w:val="00D12EA7"/>
    <w:rsid w:val="00D20C5B"/>
    <w:rsid w:val="00D222DC"/>
    <w:rsid w:val="00D31826"/>
    <w:rsid w:val="00D346C2"/>
    <w:rsid w:val="00D360DC"/>
    <w:rsid w:val="00D43EE3"/>
    <w:rsid w:val="00D44BAB"/>
    <w:rsid w:val="00D4617A"/>
    <w:rsid w:val="00D560A1"/>
    <w:rsid w:val="00D579B2"/>
    <w:rsid w:val="00D57C84"/>
    <w:rsid w:val="00D6057D"/>
    <w:rsid w:val="00D61FFA"/>
    <w:rsid w:val="00D75C70"/>
    <w:rsid w:val="00D77C03"/>
    <w:rsid w:val="00D80113"/>
    <w:rsid w:val="00D80274"/>
    <w:rsid w:val="00D81024"/>
    <w:rsid w:val="00D836C5"/>
    <w:rsid w:val="00D83EDA"/>
    <w:rsid w:val="00D84576"/>
    <w:rsid w:val="00DA03FA"/>
    <w:rsid w:val="00DA1399"/>
    <w:rsid w:val="00DA24C6"/>
    <w:rsid w:val="00DA3F7E"/>
    <w:rsid w:val="00DA40E2"/>
    <w:rsid w:val="00DA4D7B"/>
    <w:rsid w:val="00DA5106"/>
    <w:rsid w:val="00DA7880"/>
    <w:rsid w:val="00DA7AC0"/>
    <w:rsid w:val="00DB5236"/>
    <w:rsid w:val="00DB559B"/>
    <w:rsid w:val="00DD4AA2"/>
    <w:rsid w:val="00DD4F1B"/>
    <w:rsid w:val="00DD6572"/>
    <w:rsid w:val="00DE264A"/>
    <w:rsid w:val="00DE3957"/>
    <w:rsid w:val="00DE67E1"/>
    <w:rsid w:val="00DF3560"/>
    <w:rsid w:val="00DF5072"/>
    <w:rsid w:val="00DF586A"/>
    <w:rsid w:val="00DF7356"/>
    <w:rsid w:val="00E01FBF"/>
    <w:rsid w:val="00E02D18"/>
    <w:rsid w:val="00E041E7"/>
    <w:rsid w:val="00E07912"/>
    <w:rsid w:val="00E12493"/>
    <w:rsid w:val="00E16018"/>
    <w:rsid w:val="00E23CA1"/>
    <w:rsid w:val="00E315B9"/>
    <w:rsid w:val="00E340F3"/>
    <w:rsid w:val="00E409A8"/>
    <w:rsid w:val="00E436F3"/>
    <w:rsid w:val="00E4512F"/>
    <w:rsid w:val="00E45862"/>
    <w:rsid w:val="00E45C08"/>
    <w:rsid w:val="00E50C12"/>
    <w:rsid w:val="00E53F3C"/>
    <w:rsid w:val="00E55E60"/>
    <w:rsid w:val="00E629E7"/>
    <w:rsid w:val="00E65B91"/>
    <w:rsid w:val="00E660BF"/>
    <w:rsid w:val="00E7209D"/>
    <w:rsid w:val="00E77223"/>
    <w:rsid w:val="00E8528B"/>
    <w:rsid w:val="00E85B94"/>
    <w:rsid w:val="00E9401D"/>
    <w:rsid w:val="00E978D0"/>
    <w:rsid w:val="00E97929"/>
    <w:rsid w:val="00EA1C17"/>
    <w:rsid w:val="00EA1F9C"/>
    <w:rsid w:val="00EA4613"/>
    <w:rsid w:val="00EA5FCB"/>
    <w:rsid w:val="00EA609C"/>
    <w:rsid w:val="00EA6A45"/>
    <w:rsid w:val="00EA7F91"/>
    <w:rsid w:val="00EB1523"/>
    <w:rsid w:val="00EC0E49"/>
    <w:rsid w:val="00EC101F"/>
    <w:rsid w:val="00EC2190"/>
    <w:rsid w:val="00ED1262"/>
    <w:rsid w:val="00EE0131"/>
    <w:rsid w:val="00EE17B0"/>
    <w:rsid w:val="00EF06D9"/>
    <w:rsid w:val="00EF0796"/>
    <w:rsid w:val="00EF3B8B"/>
    <w:rsid w:val="00F035C7"/>
    <w:rsid w:val="00F06F3A"/>
    <w:rsid w:val="00F1365F"/>
    <w:rsid w:val="00F1568A"/>
    <w:rsid w:val="00F30C64"/>
    <w:rsid w:val="00F318C1"/>
    <w:rsid w:val="00F3256F"/>
    <w:rsid w:val="00F32CDB"/>
    <w:rsid w:val="00F43DD5"/>
    <w:rsid w:val="00F44FD8"/>
    <w:rsid w:val="00F46219"/>
    <w:rsid w:val="00F46E94"/>
    <w:rsid w:val="00F519BA"/>
    <w:rsid w:val="00F56E8C"/>
    <w:rsid w:val="00F6187F"/>
    <w:rsid w:val="00F63A70"/>
    <w:rsid w:val="00F64321"/>
    <w:rsid w:val="00F66E00"/>
    <w:rsid w:val="00F708BF"/>
    <w:rsid w:val="00F7094E"/>
    <w:rsid w:val="00F7244D"/>
    <w:rsid w:val="00F76C4C"/>
    <w:rsid w:val="00F805A7"/>
    <w:rsid w:val="00F862B8"/>
    <w:rsid w:val="00F874D2"/>
    <w:rsid w:val="00F91660"/>
    <w:rsid w:val="00F916AC"/>
    <w:rsid w:val="00F94C48"/>
    <w:rsid w:val="00FA20CB"/>
    <w:rsid w:val="00FA21D0"/>
    <w:rsid w:val="00FA4175"/>
    <w:rsid w:val="00FA5F5F"/>
    <w:rsid w:val="00FB0840"/>
    <w:rsid w:val="00FB2504"/>
    <w:rsid w:val="00FB730C"/>
    <w:rsid w:val="00FC2695"/>
    <w:rsid w:val="00FC2CB2"/>
    <w:rsid w:val="00FC3161"/>
    <w:rsid w:val="00FC3E03"/>
    <w:rsid w:val="00FC3FC1"/>
    <w:rsid w:val="00FC5312"/>
    <w:rsid w:val="00FD0E5B"/>
    <w:rsid w:val="00FD61AB"/>
    <w:rsid w:val="00FD7ACF"/>
    <w:rsid w:val="00FE2617"/>
    <w:rsid w:val="00FF3D07"/>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9882DAF-06D9-4585-85D2-5E1635BF4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94154A"/>
    <w:pPr>
      <w:ind w:left="720"/>
      <w:contextualSpacing/>
    </w:pPr>
  </w:style>
  <w:style w:type="character" w:styleId="PlaceholderText">
    <w:name w:val="Placeholder Text"/>
    <w:basedOn w:val="DefaultParagraphFont"/>
    <w:uiPriority w:val="99"/>
    <w:semiHidden/>
    <w:rsid w:val="00D0551A"/>
    <w:rPr>
      <w:color w:val="808080"/>
    </w:rPr>
  </w:style>
  <w:style w:type="character" w:styleId="FootnoteReference">
    <w:name w:val="footnote reference"/>
    <w:basedOn w:val="DefaultParagraphFont"/>
    <w:uiPriority w:val="99"/>
    <w:semiHidden/>
    <w:unhideWhenUsed/>
    <w:rsid w:val="009F357E"/>
    <w:rPr>
      <w:vertAlign w:val="superscript"/>
    </w:rPr>
  </w:style>
  <w:style w:type="paragraph" w:customStyle="1" w:styleId="PreformattedText">
    <w:name w:val="Preformatted Text"/>
    <w:basedOn w:val="Normal"/>
    <w:rsid w:val="00776F22"/>
    <w:pPr>
      <w:tabs>
        <w:tab w:val="clear" w:pos="7100"/>
      </w:tabs>
      <w:suppressAutoHyphens/>
      <w:autoSpaceDN w:val="0"/>
      <w:spacing w:line="240" w:lineRule="auto"/>
      <w:jc w:val="left"/>
      <w:textAlignment w:val="baseline"/>
    </w:pPr>
    <w:rPr>
      <w:rFonts w:ascii="Liberation Mono" w:eastAsia="NSimSun" w:hAnsi="Liberation Mono" w:cs="Liberation Mono"/>
      <w:kern w:val="3"/>
      <w:sz w:val="20"/>
      <w:lang w:val="en-US" w:eastAsia="zh-CN" w:bidi="hi-IN"/>
    </w:rPr>
  </w:style>
  <w:style w:type="table" w:styleId="ListTable1Light">
    <w:name w:val="List Table 1 Light"/>
    <w:basedOn w:val="TableNormal"/>
    <w:uiPriority w:val="46"/>
    <w:rsid w:val="00776F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textrun">
    <w:name w:val="normaltextrun"/>
    <w:basedOn w:val="DefaultParagraphFont"/>
    <w:rsid w:val="005A07DF"/>
  </w:style>
  <w:style w:type="character" w:customStyle="1" w:styleId="mathspan">
    <w:name w:val="mathspan"/>
    <w:basedOn w:val="DefaultParagraphFont"/>
    <w:rsid w:val="005A07DF"/>
  </w:style>
  <w:style w:type="character" w:customStyle="1" w:styleId="text">
    <w:name w:val="text"/>
    <w:basedOn w:val="DefaultParagraphFont"/>
    <w:rsid w:val="00BA0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87584">
      <w:bodyDiv w:val="1"/>
      <w:marLeft w:val="0"/>
      <w:marRight w:val="0"/>
      <w:marTop w:val="0"/>
      <w:marBottom w:val="0"/>
      <w:divBdr>
        <w:top w:val="none" w:sz="0" w:space="0" w:color="auto"/>
        <w:left w:val="none" w:sz="0" w:space="0" w:color="auto"/>
        <w:bottom w:val="none" w:sz="0" w:space="0" w:color="auto"/>
        <w:right w:val="none" w:sz="0" w:space="0" w:color="auto"/>
      </w:divBdr>
    </w:div>
    <w:div w:id="575477316">
      <w:bodyDiv w:val="1"/>
      <w:marLeft w:val="0"/>
      <w:marRight w:val="0"/>
      <w:marTop w:val="0"/>
      <w:marBottom w:val="0"/>
      <w:divBdr>
        <w:top w:val="none" w:sz="0" w:space="0" w:color="auto"/>
        <w:left w:val="none" w:sz="0" w:space="0" w:color="auto"/>
        <w:bottom w:val="none" w:sz="0" w:space="0" w:color="auto"/>
        <w:right w:val="none" w:sz="0" w:space="0" w:color="auto"/>
      </w:divBdr>
    </w:div>
    <w:div w:id="68999106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2740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k:@MSITStore:C:\Program%20Files\DNV\PHAST_6_4_0\Ref\PHPEnu.chm::/cmnHTMLthr/thrReferences.h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58F73C121B6674488079E916013AD6F" ma:contentTypeVersion="14" ma:contentTypeDescription="Creare un nuovo documento." ma:contentTypeScope="" ma:versionID="e295a06480c0531cb3035941013a5df8">
  <xsd:schema xmlns:xsd="http://www.w3.org/2001/XMLSchema" xmlns:xs="http://www.w3.org/2001/XMLSchema" xmlns:p="http://schemas.microsoft.com/office/2006/metadata/properties" xmlns:ns3="83cd6258-b0fc-41f5-acc9-9e1a3e3d65df" xmlns:ns4="22cb0c40-5155-40b4-bb39-70b13a0b10ab" targetNamespace="http://schemas.microsoft.com/office/2006/metadata/properties" ma:root="true" ma:fieldsID="bc4fa20f3c90e6731b6554b33cf3665e" ns3:_="" ns4:_="">
    <xsd:import namespace="83cd6258-b0fc-41f5-acc9-9e1a3e3d65df"/>
    <xsd:import namespace="22cb0c40-5155-40b4-bb39-70b13a0b10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d6258-b0fc-41f5-acc9-9e1a3e3d6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cb0c40-5155-40b4-bb39-70b13a0b10ab"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D65C0E-6FCE-48D3-AECD-D184C9198693}">
  <ds:schemaRefs>
    <ds:schemaRef ds:uri="http://schemas.openxmlformats.org/officeDocument/2006/bibliography"/>
  </ds:schemaRefs>
</ds:datastoreItem>
</file>

<file path=customXml/itemProps2.xml><?xml version="1.0" encoding="utf-8"?>
<ds:datastoreItem xmlns:ds="http://schemas.openxmlformats.org/officeDocument/2006/customXml" ds:itemID="{CAE01F2A-0869-4482-961A-243B3519E1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5F1C9C-2A17-4A77-AFB3-77A5D9C15E3A}">
  <ds:schemaRefs>
    <ds:schemaRef ds:uri="http://schemas.microsoft.com/sharepoint/v3/contenttype/forms"/>
  </ds:schemaRefs>
</ds:datastoreItem>
</file>

<file path=customXml/itemProps4.xml><?xml version="1.0" encoding="utf-8"?>
<ds:datastoreItem xmlns:ds="http://schemas.openxmlformats.org/officeDocument/2006/customXml" ds:itemID="{3E0AB503-FBBA-4102-9B09-EBB5CB82E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d6258-b0fc-41f5-acc9-9e1a3e3d65df"/>
    <ds:schemaRef ds:uri="22cb0c40-5155-40b4-bb39-70b13a0b1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9835</Words>
  <Characters>56064</Characters>
  <Application>Microsoft Office Word</Application>
  <DocSecurity>0</DocSecurity>
  <Lines>467</Lines>
  <Paragraphs>131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65768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Gianmaria Pio</cp:lastModifiedBy>
  <cp:revision>2</cp:revision>
  <cp:lastPrinted>2015-05-12T18:31:00Z</cp:lastPrinted>
  <dcterms:created xsi:type="dcterms:W3CDTF">2022-03-02T15:13:00Z</dcterms:created>
  <dcterms:modified xsi:type="dcterms:W3CDTF">2022-03-02T15:13:00Z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http://csl.mendeley.com/styles/448197871/elsevier-with-titles-3</vt:lpwstr>
  </property>
  <property fmtid="{D5CDD505-2E9C-101B-9397-08002B2CF9AE}" pid="15" name="Mendeley Recent Style Name 5_1">
    <vt:lpwstr>Elsevier (numeric, with titles) - Gianmaria Pio, Master degree</vt:lpwstr>
  </property>
  <property fmtid="{D5CDD505-2E9C-101B-9397-08002B2CF9AE}" pid="16" name="Mendeley Recent Style Id 6_1">
    <vt:lpwstr>http://www.zotero.org/styles/international-journal-of-hydrogen-energy</vt:lpwstr>
  </property>
  <property fmtid="{D5CDD505-2E9C-101B-9397-08002B2CF9AE}" pid="17" name="Mendeley Recent Style Name 6_1">
    <vt:lpwstr>International Journal of Hydrogen Energy</vt:lpwstr>
  </property>
  <property fmtid="{D5CDD505-2E9C-101B-9397-08002B2CF9AE}" pid="18" name="Mendeley Recent Style Id 7_1">
    <vt:lpwstr>http://www.zotero.org/styles/journal-of-loss-prevention-in-the-process-industries</vt:lpwstr>
  </property>
  <property fmtid="{D5CDD505-2E9C-101B-9397-08002B2CF9AE}" pid="19" name="Mendeley Recent Style Name 7_1">
    <vt:lpwstr>Journal of Loss Prevention in the Process Industries</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http://www.zotero.org/styles/ocean-engineering</vt:lpwstr>
  </property>
  <property fmtid="{D5CDD505-2E9C-101B-9397-08002B2CF9AE}" pid="23" name="Mendeley Recent Style Name 9_1">
    <vt:lpwstr>Ocean Engineering</vt:lpwstr>
  </property>
  <property fmtid="{D5CDD505-2E9C-101B-9397-08002B2CF9AE}" pid="24" name="Mendeley Document_1">
    <vt:lpwstr>True</vt:lpwstr>
  </property>
  <property fmtid="{D5CDD505-2E9C-101B-9397-08002B2CF9AE}" pid="25" name="Mendeley Unique User Id_1">
    <vt:lpwstr>748d3932-8da0-39f1-bf88-b31af14acd62</vt:lpwstr>
  </property>
  <property fmtid="{D5CDD505-2E9C-101B-9397-08002B2CF9AE}" pid="26" name="Mendeley Citation Style_1">
    <vt:lpwstr>http://www.zotero.org/styles/journal-of-loss-prevention-in-the-process-industries</vt:lpwstr>
  </property>
  <property fmtid="{D5CDD505-2E9C-101B-9397-08002B2CF9AE}" pid="27" name="ContentTypeId">
    <vt:lpwstr>0x010100358F73C121B6674488079E916013AD6F</vt:lpwstr>
  </property>
</Properties>
</file>