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06059">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5D1E7B2" w:rsidR="000A03B2" w:rsidRPr="00B57B36" w:rsidRDefault="00A76EFC" w:rsidP="0020605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316BE">
              <w:rPr>
                <w:rFonts w:cs="Arial"/>
                <w:b/>
                <w:bCs/>
                <w:i/>
                <w:iCs/>
                <w:color w:val="000066"/>
                <w:sz w:val="22"/>
                <w:szCs w:val="22"/>
                <w:lang w:eastAsia="it-IT"/>
              </w:rPr>
              <w:t>91</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3A2603">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06059">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206059">
        <w:trPr>
          <w:trHeight w:val="68"/>
          <w:jc w:val="center"/>
        </w:trPr>
        <w:tc>
          <w:tcPr>
            <w:tcW w:w="8782" w:type="dxa"/>
            <w:gridSpan w:val="2"/>
          </w:tcPr>
          <w:p w14:paraId="43A6C7CA" w14:textId="77777777" w:rsidR="007316BE" w:rsidRPr="006F6A30" w:rsidRDefault="007316BE" w:rsidP="007316BE">
            <w:pPr>
              <w:ind w:left="-107"/>
              <w:rPr>
                <w:rFonts w:ascii="Tahoma" w:hAnsi="Tahoma" w:cs="Tahoma"/>
                <w:iCs/>
                <w:color w:val="333333"/>
                <w:sz w:val="14"/>
                <w:szCs w:val="14"/>
                <w:lang w:val="it-IT" w:eastAsia="it-IT"/>
              </w:rPr>
            </w:pPr>
            <w:r w:rsidRPr="006F6A30">
              <w:rPr>
                <w:rFonts w:ascii="Tahoma" w:hAnsi="Tahoma" w:cs="Tahoma"/>
                <w:iCs/>
                <w:color w:val="333333"/>
                <w:sz w:val="14"/>
                <w:szCs w:val="14"/>
                <w:lang w:val="it-IT" w:eastAsia="it-IT"/>
              </w:rPr>
              <w:t>Guest Editors: Valerio Cozzani, Bruno Fabiano, Genserik Reniers</w:t>
            </w:r>
          </w:p>
          <w:p w14:paraId="704B5F6E" w14:textId="77777777" w:rsidR="007316BE" w:rsidRPr="007316BE" w:rsidRDefault="007316BE" w:rsidP="007316BE">
            <w:pPr>
              <w:ind w:left="-107"/>
              <w:rPr>
                <w:rFonts w:ascii="Tahoma" w:hAnsi="Tahoma" w:cs="Tahoma"/>
                <w:iCs/>
                <w:color w:val="333333"/>
                <w:sz w:val="14"/>
                <w:szCs w:val="14"/>
                <w:lang w:eastAsia="it-IT"/>
              </w:rPr>
            </w:pPr>
            <w:r w:rsidRPr="007316BE">
              <w:rPr>
                <w:rFonts w:ascii="Tahoma" w:hAnsi="Tahoma" w:cs="Tahoma"/>
                <w:iCs/>
                <w:color w:val="333333"/>
                <w:sz w:val="14"/>
                <w:szCs w:val="14"/>
                <w:lang w:eastAsia="it-IT"/>
              </w:rPr>
              <w:t>Copyright © 2022, AIDIC Servizi S.r.l.</w:t>
            </w:r>
          </w:p>
          <w:p w14:paraId="1B0F1814" w14:textId="1698F101" w:rsidR="000A03B2" w:rsidRPr="00B57B36" w:rsidRDefault="007316BE" w:rsidP="007316BE">
            <w:pPr>
              <w:ind w:left="-107"/>
            </w:pPr>
            <w:r w:rsidRPr="007316BE">
              <w:rPr>
                <w:rFonts w:ascii="Tahoma" w:hAnsi="Tahoma" w:cs="Tahoma"/>
                <w:iCs/>
                <w:color w:val="333333"/>
                <w:sz w:val="14"/>
                <w:szCs w:val="14"/>
                <w:lang w:eastAsia="it-IT"/>
              </w:rPr>
              <w:t>ISBN 978-88-95608-89-1; ISSN 2283-9216</w:t>
            </w:r>
          </w:p>
        </w:tc>
      </w:tr>
    </w:tbl>
    <w:p w14:paraId="2E667253" w14:textId="144F34D2" w:rsidR="00E978D0" w:rsidRDefault="00206059" w:rsidP="00E978D0">
      <w:pPr>
        <w:pStyle w:val="CETTitle"/>
      </w:pPr>
      <w:r w:rsidRPr="00206059">
        <w:t xml:space="preserve">Make </w:t>
      </w:r>
      <w:r w:rsidR="006508D9">
        <w:t>B</w:t>
      </w:r>
      <w:r w:rsidRPr="00206059">
        <w:t xml:space="preserve">ow-tie </w:t>
      </w:r>
      <w:r w:rsidR="006508D9">
        <w:t>D</w:t>
      </w:r>
      <w:r w:rsidRPr="00206059">
        <w:t xml:space="preserve">ynamic by </w:t>
      </w:r>
      <w:r w:rsidR="006508D9">
        <w:t>R</w:t>
      </w:r>
      <w:r w:rsidRPr="00206059">
        <w:t xml:space="preserve">ethinking it as a </w:t>
      </w:r>
      <w:r w:rsidR="006508D9">
        <w:t>H</w:t>
      </w:r>
      <w:r w:rsidRPr="00206059">
        <w:t xml:space="preserve">ierarchical Bayesian </w:t>
      </w:r>
      <w:r w:rsidR="006508D9">
        <w:t>N</w:t>
      </w:r>
      <w:r w:rsidRPr="00206059">
        <w:t xml:space="preserve">etwork. Dynamic Risk Assessment of an LNG </w:t>
      </w:r>
      <w:r w:rsidR="006508D9">
        <w:t>B</w:t>
      </w:r>
      <w:r w:rsidRPr="00206059">
        <w:t xml:space="preserve">unkering </w:t>
      </w:r>
      <w:r w:rsidR="006508D9">
        <w:t>O</w:t>
      </w:r>
      <w:r w:rsidRPr="00206059">
        <w:t>peration</w:t>
      </w:r>
      <w:r w:rsidR="00600535" w:rsidRPr="00B57B36">
        <w:t xml:space="preserve"> </w:t>
      </w:r>
    </w:p>
    <w:p w14:paraId="6A489A93" w14:textId="2489C526" w:rsidR="001B4556" w:rsidRPr="006F6A30" w:rsidRDefault="001B4556" w:rsidP="00AB5011">
      <w:pPr>
        <w:pStyle w:val="CETAuthors"/>
      </w:pPr>
      <w:r w:rsidRPr="006F6A30">
        <w:t>Tomaso Vairo</w:t>
      </w:r>
      <w:r w:rsidRPr="006F6A30">
        <w:rPr>
          <w:vertAlign w:val="superscript"/>
        </w:rPr>
        <w:t>a</w:t>
      </w:r>
      <w:r w:rsidRPr="006F6A30">
        <w:rPr>
          <w:szCs w:val="24"/>
        </w:rPr>
        <w:t xml:space="preserve">*, </w:t>
      </w:r>
      <w:r w:rsidR="00206059" w:rsidRPr="006F6A30">
        <w:rPr>
          <w:szCs w:val="24"/>
        </w:rPr>
        <w:t>Agostino C. Benvenuto</w:t>
      </w:r>
      <w:r w:rsidRPr="006F6A30">
        <w:rPr>
          <w:szCs w:val="24"/>
          <w:vertAlign w:val="superscript"/>
        </w:rPr>
        <w:t>b</w:t>
      </w:r>
      <w:r w:rsidRPr="006F6A30">
        <w:rPr>
          <w:szCs w:val="24"/>
        </w:rPr>
        <w:t xml:space="preserve">, </w:t>
      </w:r>
      <w:r w:rsidR="00206059" w:rsidRPr="006F6A30">
        <w:rPr>
          <w:szCs w:val="24"/>
        </w:rPr>
        <w:t>Amalia Tedeschi</w:t>
      </w:r>
      <w:r w:rsidRPr="006F6A30">
        <w:rPr>
          <w:szCs w:val="24"/>
          <w:vertAlign w:val="superscript"/>
        </w:rPr>
        <w:t>c</w:t>
      </w:r>
      <w:r w:rsidRPr="006F6A30">
        <w:rPr>
          <w:szCs w:val="24"/>
        </w:rPr>
        <w:t xml:space="preserve">, </w:t>
      </w:r>
      <w:r w:rsidR="000B320F" w:rsidRPr="006F6A30">
        <w:rPr>
          <w:szCs w:val="24"/>
        </w:rPr>
        <w:t>Andrea P. Reverberi</w:t>
      </w:r>
      <w:r w:rsidR="000B320F" w:rsidRPr="006F6A30">
        <w:rPr>
          <w:szCs w:val="24"/>
          <w:vertAlign w:val="superscript"/>
        </w:rPr>
        <w:t>d</w:t>
      </w:r>
      <w:r w:rsidR="000B320F" w:rsidRPr="006F6A30">
        <w:rPr>
          <w:szCs w:val="24"/>
        </w:rPr>
        <w:t xml:space="preserve">, </w:t>
      </w:r>
      <w:r w:rsidRPr="006F6A30">
        <w:rPr>
          <w:szCs w:val="24"/>
        </w:rPr>
        <w:t>Bruno Fabiano</w:t>
      </w:r>
      <w:r w:rsidRPr="006F6A30">
        <w:rPr>
          <w:szCs w:val="24"/>
          <w:vertAlign w:val="superscript"/>
        </w:rPr>
        <w:t>a</w:t>
      </w:r>
    </w:p>
    <w:p w14:paraId="5053C5A8" w14:textId="509FB37F" w:rsidR="00E978D0" w:rsidRPr="006F6A30" w:rsidRDefault="00E978D0" w:rsidP="00E978D0">
      <w:pPr>
        <w:pStyle w:val="CETAddress"/>
        <w:rPr>
          <w:lang w:val="it-IT"/>
        </w:rPr>
      </w:pPr>
      <w:r w:rsidRPr="006F6A30">
        <w:rPr>
          <w:vertAlign w:val="superscript"/>
          <w:lang w:val="it-IT"/>
        </w:rPr>
        <w:t>a</w:t>
      </w:r>
      <w:r w:rsidR="00F1451C" w:rsidRPr="006F6A30">
        <w:rPr>
          <w:lang w:val="it-IT"/>
        </w:rPr>
        <w:t>DICCA – Civil, Chemical and Environmental Engineering Dep</w:t>
      </w:r>
      <w:r w:rsidR="008F127E" w:rsidRPr="006F6A30">
        <w:rPr>
          <w:lang w:val="it-IT"/>
        </w:rPr>
        <w:t>t</w:t>
      </w:r>
      <w:r w:rsidR="00F1451C" w:rsidRPr="006F6A30">
        <w:rPr>
          <w:lang w:val="it-IT"/>
        </w:rPr>
        <w:t xml:space="preserve"> </w:t>
      </w:r>
      <w:r w:rsidR="008F127E" w:rsidRPr="006F6A30">
        <w:rPr>
          <w:lang w:val="it-IT"/>
        </w:rPr>
        <w:t>–</w:t>
      </w:r>
      <w:r w:rsidR="00F1451C" w:rsidRPr="006F6A30">
        <w:rPr>
          <w:lang w:val="it-IT"/>
        </w:rPr>
        <w:t xml:space="preserve"> Genoa</w:t>
      </w:r>
      <w:r w:rsidR="008F127E" w:rsidRPr="006F6A30">
        <w:rPr>
          <w:lang w:val="it-IT"/>
        </w:rPr>
        <w:t xml:space="preserve"> University</w:t>
      </w:r>
      <w:r w:rsidR="00F1451C" w:rsidRPr="006F6A30">
        <w:rPr>
          <w:lang w:val="it-IT"/>
        </w:rPr>
        <w:t>, Via Opera Pia, 15 – 16145 Genoa, Italy</w:t>
      </w:r>
    </w:p>
    <w:p w14:paraId="2A25A608" w14:textId="3C2AB0A2" w:rsidR="00F1451C" w:rsidRPr="00E74C7D" w:rsidRDefault="00E978D0" w:rsidP="00E978D0">
      <w:pPr>
        <w:pStyle w:val="CETAddress"/>
        <w:rPr>
          <w:lang w:val="it-IT"/>
        </w:rPr>
      </w:pPr>
      <w:r w:rsidRPr="00E74C7D">
        <w:rPr>
          <w:vertAlign w:val="superscript"/>
          <w:lang w:val="it-IT"/>
        </w:rPr>
        <w:t>b</w:t>
      </w:r>
      <w:r w:rsidR="00F1451C" w:rsidRPr="00E74C7D">
        <w:rPr>
          <w:lang w:val="it-IT"/>
        </w:rPr>
        <w:t xml:space="preserve"> </w:t>
      </w:r>
      <w:r w:rsidR="00206059" w:rsidRPr="00206059">
        <w:rPr>
          <w:lang w:val="it-IT"/>
        </w:rPr>
        <w:t>Studio di Ingegneria Benvenuto &amp; Associati, Via Corsica, 10, 16128 Genoa, Italy</w:t>
      </w:r>
    </w:p>
    <w:p w14:paraId="5EF3F061" w14:textId="77777777" w:rsidR="00A658D1" w:rsidRDefault="00F1451C" w:rsidP="004942BF">
      <w:pPr>
        <w:pStyle w:val="CETAddress"/>
        <w:rPr>
          <w:lang w:val="it-IT"/>
        </w:rPr>
      </w:pPr>
      <w:r w:rsidRPr="00E74C7D">
        <w:rPr>
          <w:vertAlign w:val="superscript"/>
          <w:lang w:val="it-IT"/>
        </w:rPr>
        <w:t>c</w:t>
      </w:r>
      <w:r w:rsidR="004942BF" w:rsidRPr="00E74C7D">
        <w:rPr>
          <w:lang w:val="it-IT"/>
        </w:rPr>
        <w:t xml:space="preserve"> </w:t>
      </w:r>
      <w:r w:rsidR="008E58E0">
        <w:rPr>
          <w:lang w:val="it-IT"/>
        </w:rPr>
        <w:t>Comando Provinciale del Vigili del Fuoco di Genova, Via Albertazzi 2, Genoa</w:t>
      </w:r>
      <w:r w:rsidR="004942BF" w:rsidRPr="00E74C7D">
        <w:rPr>
          <w:lang w:val="it-IT"/>
        </w:rPr>
        <w:t>, Italy</w:t>
      </w:r>
      <w:r w:rsidR="00A658D1">
        <w:rPr>
          <w:lang w:val="it-IT"/>
        </w:rPr>
        <w:t xml:space="preserve"> </w:t>
      </w:r>
    </w:p>
    <w:p w14:paraId="566EC7E4" w14:textId="3AE4F282" w:rsidR="004942BF" w:rsidRPr="006F6A30" w:rsidRDefault="00A658D1" w:rsidP="004942BF">
      <w:pPr>
        <w:pStyle w:val="CETAddress"/>
      </w:pPr>
      <w:r w:rsidRPr="006F6A30">
        <w:rPr>
          <w:vertAlign w:val="superscript"/>
        </w:rPr>
        <w:t>d</w:t>
      </w:r>
      <w:r w:rsidRPr="006F6A30">
        <w:t xml:space="preserve"> </w:t>
      </w:r>
      <w:r w:rsidRPr="003A77A3">
        <w:t>DCCI - Department of Chemistry and Industrial Chemistry, Genoa University, via Dodecaneso 31, 16146, Genoa, Italy</w:t>
      </w:r>
    </w:p>
    <w:p w14:paraId="12D31B1C" w14:textId="77777777" w:rsidR="000B320F" w:rsidRPr="006F6A30" w:rsidRDefault="000B320F" w:rsidP="004942BF">
      <w:pPr>
        <w:pStyle w:val="CETAddress"/>
      </w:pPr>
    </w:p>
    <w:p w14:paraId="7844FA19" w14:textId="3ED0F253" w:rsidR="00F1451C" w:rsidRPr="004942BF" w:rsidRDefault="004942BF" w:rsidP="004942BF">
      <w:pPr>
        <w:pStyle w:val="CETemail"/>
        <w:rPr>
          <w:lang w:val="fr-FR"/>
        </w:rPr>
      </w:pPr>
      <w:r>
        <w:rPr>
          <w:lang w:val="fr-FR"/>
        </w:rPr>
        <w:t>t</w:t>
      </w:r>
      <w:r w:rsidRPr="004942BF">
        <w:rPr>
          <w:lang w:val="fr-FR"/>
        </w:rPr>
        <w:t>omaso.</w:t>
      </w:r>
      <w:r>
        <w:rPr>
          <w:lang w:val="fr-FR"/>
        </w:rPr>
        <w:t>v</w:t>
      </w:r>
      <w:r w:rsidRPr="004942BF">
        <w:rPr>
          <w:lang w:val="fr-FR"/>
        </w:rPr>
        <w:t>airo@edu.unige.it</w:t>
      </w:r>
    </w:p>
    <w:p w14:paraId="48A8A4A4" w14:textId="41E9A2B6" w:rsidR="004A602B" w:rsidRDefault="008E58E0" w:rsidP="004A602B">
      <w:r w:rsidRPr="008E58E0">
        <w:t>In the present era, the spread of cyber-physical systems in the framework of the so-called Industry 4.0, is leading towards a complete automation of industrial processes, which are increasingly decentralized, smart, and require fewer and fewer frontline personnel. The risk assessment process is certainly not excluded from the revolution, and in perspective needs to be automatic, dynamic and linked with the conditions that emerge, moment by moment, in the life of a complex system. Analytical techniques can help in converting data in information and hence system knowledge to spot trends in operational performance, thus improving risk assessment quality. Even though the bow-tie approach is widely used within the context of complex systems</w:t>
      </w:r>
      <w:r w:rsidR="00AF7D91">
        <w:t>,</w:t>
      </w:r>
      <w:r w:rsidRPr="008E58E0">
        <w:t xml:space="preserve"> it still evidences several limitations, mainly connected to the actual assessment of likelihood and interdependencies in the fault and event trees. This paper shows how a bow tie analysis can be reframed as a Hierarchical Bayesian Network, </w:t>
      </w:r>
      <w:r w:rsidR="00D57F00">
        <w:t>where</w:t>
      </w:r>
      <w:r w:rsidRPr="008E58E0">
        <w:t xml:space="preserve"> the probability distributions </w:t>
      </w:r>
      <w:r w:rsidR="00D57F00">
        <w:t>of</w:t>
      </w:r>
      <w:r w:rsidRPr="008E58E0">
        <w:t xml:space="preserve"> the</w:t>
      </w:r>
      <w:r w:rsidR="00AF7D91">
        <w:t xml:space="preserve"> network</w:t>
      </w:r>
      <w:r w:rsidRPr="008E58E0">
        <w:t xml:space="preserve"> nodes are updated with real time predictions during the operations. The proposed model was then applied</w:t>
      </w:r>
      <w:r w:rsidR="00D57F00">
        <w:t xml:space="preserve"> </w:t>
      </w:r>
      <w:r w:rsidRPr="008E58E0">
        <w:t>to the risk assessment of a shore-</w:t>
      </w:r>
      <w:r>
        <w:t>to-ship LNG bunkering operation</w:t>
      </w:r>
      <w:r w:rsidR="004A602B">
        <w:t>.</w:t>
      </w:r>
    </w:p>
    <w:p w14:paraId="476B2F2E" w14:textId="3B75B3FC" w:rsidR="00600535" w:rsidRDefault="00600535" w:rsidP="00600535">
      <w:pPr>
        <w:pStyle w:val="CETHeading1"/>
        <w:rPr>
          <w:lang w:val="en-GB"/>
        </w:rPr>
      </w:pPr>
      <w:r w:rsidRPr="00B57B36">
        <w:rPr>
          <w:lang w:val="en-GB"/>
        </w:rPr>
        <w:t>Introduction</w:t>
      </w:r>
    </w:p>
    <w:p w14:paraId="5D2B3CAC" w14:textId="4242273E" w:rsidR="00127D83" w:rsidRDefault="006E5190" w:rsidP="008E58E0">
      <w:pPr>
        <w:rPr>
          <w:iCs/>
        </w:rPr>
      </w:pPr>
      <w:r w:rsidRPr="006E5190">
        <w:t xml:space="preserve">Digitalization </w:t>
      </w:r>
      <w:r>
        <w:t>and</w:t>
      </w:r>
      <w:r w:rsidRPr="006E5190">
        <w:t xml:space="preserve"> industry </w:t>
      </w:r>
      <w:r>
        <w:t xml:space="preserve">4.0 revolution is leading toward complete plant automation, </w:t>
      </w:r>
      <w:r w:rsidRPr="006E5190">
        <w:t xml:space="preserve">with sensors and data streams </w:t>
      </w:r>
      <w:r>
        <w:t xml:space="preserve">allowing </w:t>
      </w:r>
      <w:r w:rsidRPr="006E5190">
        <w:t>observations</w:t>
      </w:r>
      <w:r>
        <w:t xml:space="preserve"> and</w:t>
      </w:r>
      <w:r w:rsidRPr="006E5190">
        <w:t xml:space="preserve"> machine learning and artificial intelligence-based methods </w:t>
      </w:r>
      <w:r>
        <w:t>allowing</w:t>
      </w:r>
      <w:r w:rsidRPr="006E5190">
        <w:t xml:space="preserve"> hidden abnormal features detectable. </w:t>
      </w:r>
      <w:r w:rsidR="00861657">
        <w:t xml:space="preserve">Sustainability issues drive towards integration of risk and </w:t>
      </w:r>
      <w:r w:rsidR="00D57F00">
        <w:t xml:space="preserve">LCA </w:t>
      </w:r>
      <w:r w:rsidR="00861657">
        <w:t>(Vianello et al., 2022) and a</w:t>
      </w:r>
      <w:r w:rsidRPr="006E5190">
        <w:t xml:space="preserve">t the same time, transient operations </w:t>
      </w:r>
      <w:r w:rsidR="00D84B8B">
        <w:t xml:space="preserve">behaviour is available for risk analysis and </w:t>
      </w:r>
      <w:r w:rsidR="00E73FF4">
        <w:t>as</w:t>
      </w:r>
      <w:r w:rsidR="00B644A6">
        <w:t xml:space="preserve"> shown</w:t>
      </w:r>
      <w:r w:rsidR="00E73FF4">
        <w:t xml:space="preserve"> by</w:t>
      </w:r>
      <w:r w:rsidR="00E73FF4" w:rsidRPr="00E73FF4">
        <w:t xml:space="preserve"> Osarogiagbon</w:t>
      </w:r>
      <w:r w:rsidR="00E73FF4">
        <w:t xml:space="preserve"> et al. (2021)</w:t>
      </w:r>
      <w:r w:rsidR="00564452">
        <w:t>,</w:t>
      </w:r>
      <w:r w:rsidR="00E73FF4">
        <w:t xml:space="preserve"> </w:t>
      </w:r>
      <w:r w:rsidR="00DA6FB0">
        <w:t xml:space="preserve">big data </w:t>
      </w:r>
      <w:r w:rsidR="00D84B8B">
        <w:t>can</w:t>
      </w:r>
      <w:r w:rsidR="00DA6FB0">
        <w:t xml:space="preserve"> train artificial intelligence to develop models </w:t>
      </w:r>
      <w:r w:rsidR="00E73FF4">
        <w:t>supporting</w:t>
      </w:r>
      <w:r w:rsidR="00DA6FB0">
        <w:t xml:space="preserve"> decision-making and </w:t>
      </w:r>
      <w:r w:rsidR="00E73FF4">
        <w:t xml:space="preserve">effective </w:t>
      </w:r>
      <w:r w:rsidR="00DA6FB0">
        <w:t>risk assessment</w:t>
      </w:r>
      <w:r w:rsidR="00E73FF4">
        <w:t xml:space="preserve">. </w:t>
      </w:r>
      <w:r w:rsidR="008E58E0" w:rsidRPr="008E58E0">
        <w:rPr>
          <w:iCs/>
        </w:rPr>
        <w:t xml:space="preserve">In the design and implementation of reliable operational control systems, one of the critical issues to be addressed in the risk assessment is the coexistence of Boolean elements (e.g. failure of instruments) and analogical elements (deviation of process variables). In fact, the results of the risk analysis are conventionally obtained from logical concatenations of </w:t>
      </w:r>
      <w:r w:rsidR="00AF7D91">
        <w:rPr>
          <w:iCs/>
        </w:rPr>
        <w:t xml:space="preserve">barrier </w:t>
      </w:r>
      <w:r w:rsidR="008E58E0" w:rsidRPr="008E58E0">
        <w:rPr>
          <w:iCs/>
        </w:rPr>
        <w:t xml:space="preserve">failures and events and are characterized by a Boolean (true/ false) approach. What is not yet completely evaluated is the transition between a safe state and a risk state, considering that the transition between the states is reflected in the absence of required control barriers. The bow-tie method is a well-established risk assessment tool, widely used within the </w:t>
      </w:r>
      <w:r w:rsidR="008704AF">
        <w:rPr>
          <w:iCs/>
        </w:rPr>
        <w:t xml:space="preserve">broad </w:t>
      </w:r>
      <w:r w:rsidR="008E58E0" w:rsidRPr="008E58E0">
        <w:rPr>
          <w:iCs/>
        </w:rPr>
        <w:t xml:space="preserve">context of complex systems. It describes the effects of root causes on a top event and explains the resulting consequences, taking into account the effectiveness of barriers and the influence of the escalation factors. </w:t>
      </w:r>
      <w:r w:rsidR="008704AF" w:rsidRPr="008E58E0">
        <w:rPr>
          <w:iCs/>
        </w:rPr>
        <w:t>Bow</w:t>
      </w:r>
      <w:r w:rsidR="008704AF">
        <w:rPr>
          <w:iCs/>
        </w:rPr>
        <w:t>-</w:t>
      </w:r>
      <w:r w:rsidR="008704AF" w:rsidRPr="008E58E0">
        <w:rPr>
          <w:iCs/>
        </w:rPr>
        <w:t>tie was approached by Ding et al. (2020) to assess the adequacy and efficacy of safety barriers in reducing storage fire risk</w:t>
      </w:r>
      <w:r w:rsidR="008704AF">
        <w:rPr>
          <w:iCs/>
        </w:rPr>
        <w:t xml:space="preserve">, Alves et al. (2021) </w:t>
      </w:r>
      <w:r w:rsidR="008704AF" w:rsidRPr="00100E4F">
        <w:rPr>
          <w:iCs/>
        </w:rPr>
        <w:t>support</w:t>
      </w:r>
      <w:r w:rsidR="008704AF">
        <w:rPr>
          <w:iCs/>
        </w:rPr>
        <w:t>ed by it</w:t>
      </w:r>
      <w:r w:rsidR="008704AF" w:rsidRPr="00100E4F">
        <w:rPr>
          <w:iCs/>
        </w:rPr>
        <w:t xml:space="preserve"> the management of onshore pipelines operational risk</w:t>
      </w:r>
      <w:r w:rsidR="008704AF">
        <w:rPr>
          <w:iCs/>
        </w:rPr>
        <w:t xml:space="preserve"> and Brown et al. (2021) investigated inherent safety options for emerging pandemic hazards.</w:t>
      </w:r>
      <w:r w:rsidR="00B644A6">
        <w:rPr>
          <w:iCs/>
        </w:rPr>
        <w:t xml:space="preserve"> </w:t>
      </w:r>
      <w:r w:rsidR="008E58E0" w:rsidRPr="008E58E0">
        <w:rPr>
          <w:iCs/>
        </w:rPr>
        <w:t xml:space="preserve">However, the bow-tie approach suffers several recognized, limitations, mainly connected to the actual assessment of </w:t>
      </w:r>
      <w:r w:rsidR="008E58E0" w:rsidRPr="008E58E0">
        <w:rPr>
          <w:iCs/>
        </w:rPr>
        <w:lastRenderedPageBreak/>
        <w:t xml:space="preserve">likelihood and interdependencies in the fault and event trees. Additionally, management processes and possible shortcomings modify probabilities of failure-on-demand of the safety barriers to different extents, depending on the type of safety barrier (passive, automated, or human action related). </w:t>
      </w:r>
      <w:r w:rsidR="00100E4F">
        <w:rPr>
          <w:iCs/>
        </w:rPr>
        <w:t>S</w:t>
      </w:r>
      <w:r w:rsidR="008E58E0" w:rsidRPr="008E58E0">
        <w:rPr>
          <w:iCs/>
        </w:rPr>
        <w:t xml:space="preserve">ome limitations of the tool were faced by, Badreddine and Amor (2013) </w:t>
      </w:r>
      <w:r w:rsidR="008E58E0">
        <w:rPr>
          <w:iCs/>
        </w:rPr>
        <w:t xml:space="preserve">who </w:t>
      </w:r>
      <w:r w:rsidR="008E58E0" w:rsidRPr="008E58E0">
        <w:rPr>
          <w:iCs/>
        </w:rPr>
        <w:t>relying on a Bayesian approach constructed bow-tie diagrams from actual data implementation to evaluate appropriate preventive and protective barriers dynamically. This paper aims at providing a flexible framework towards bow-tie analysis transposition as a Hierarchical Bayesian Network (HBN), for a wide range of accident scenarios. In order to dynamically assess the system safety, the probability distributions linked with the nodes of the network are updated in real time while collecting evidences during the operations, giving the chance of intercepting the emerging risk path by identifying the precursor events.</w:t>
      </w:r>
      <w:r w:rsidR="003048E2">
        <w:rPr>
          <w:iCs/>
        </w:rPr>
        <w:t xml:space="preserve"> </w:t>
      </w:r>
      <w:r w:rsidR="008E58E0" w:rsidRPr="008E58E0">
        <w:rPr>
          <w:iCs/>
        </w:rPr>
        <w:t xml:space="preserve">Starting from this observation, in the present paper, is presented a dynamic approach to the operational control through a hybrid system based on the prediction of critical variables, from one side, and the consequent automatic updating of the risk assessment parameters. </w:t>
      </w:r>
      <w:r w:rsidR="009B6991">
        <w:rPr>
          <w:iCs/>
        </w:rPr>
        <w:t>A</w:t>
      </w:r>
      <w:r w:rsidR="008E58E0" w:rsidRPr="008E58E0">
        <w:rPr>
          <w:iCs/>
        </w:rPr>
        <w:t xml:space="preserve">s proof of concept, </w:t>
      </w:r>
      <w:r w:rsidR="009B6991">
        <w:rPr>
          <w:iCs/>
        </w:rPr>
        <w:t xml:space="preserve">the framework </w:t>
      </w:r>
      <w:r w:rsidR="008E58E0" w:rsidRPr="008E58E0">
        <w:rPr>
          <w:iCs/>
        </w:rPr>
        <w:t>was applied to the risk assessment of a shore-to-ship LNG bunkering operation.</w:t>
      </w:r>
    </w:p>
    <w:p w14:paraId="2CA111E6" w14:textId="2F784E97" w:rsidR="00127D83" w:rsidRDefault="008E58E0" w:rsidP="00127D83">
      <w:pPr>
        <w:pStyle w:val="CETHeading1"/>
        <w:tabs>
          <w:tab w:val="clear" w:pos="360"/>
          <w:tab w:val="right" w:pos="7100"/>
        </w:tabs>
        <w:jc w:val="both"/>
        <w:rPr>
          <w:lang w:val="en-GB"/>
        </w:rPr>
      </w:pPr>
      <w:r>
        <w:rPr>
          <w:lang w:val="en-GB"/>
        </w:rPr>
        <w:t>Theoretical</w:t>
      </w:r>
      <w:r w:rsidR="005B3756">
        <w:rPr>
          <w:lang w:val="en-GB"/>
        </w:rPr>
        <w:t xml:space="preserve"> background</w:t>
      </w:r>
    </w:p>
    <w:p w14:paraId="77E4F4A1" w14:textId="5D62C7DA" w:rsidR="008E58E0" w:rsidRDefault="008E58E0" w:rsidP="008E58E0">
      <w:pPr>
        <w:tabs>
          <w:tab w:val="clear" w:pos="7100"/>
        </w:tabs>
        <w:spacing w:after="160" w:line="259" w:lineRule="auto"/>
        <w:rPr>
          <w:iCs/>
        </w:rPr>
      </w:pPr>
      <w:r w:rsidRPr="008E58E0">
        <w:rPr>
          <w:iCs/>
        </w:rPr>
        <w:t>The approach incorporates several AI systems into a comprehensive and interconnected logic, name</w:t>
      </w:r>
      <w:r w:rsidR="00C15F00">
        <w:rPr>
          <w:iCs/>
        </w:rPr>
        <w:t>l</w:t>
      </w:r>
      <w:r w:rsidRPr="008E58E0">
        <w:rPr>
          <w:iCs/>
        </w:rPr>
        <w:t>y soft sensors, which have a solid predictive capacity on process variables (Vairo et al., 2021</w:t>
      </w:r>
      <w:r w:rsidR="002B7E08">
        <w:rPr>
          <w:iCs/>
        </w:rPr>
        <w:t>a</w:t>
      </w:r>
      <w:r w:rsidRPr="008E58E0">
        <w:rPr>
          <w:iCs/>
        </w:rPr>
        <w:t>) and hierarchical inferential systems, which explore the interdependencies between system components in relation to the fluctuation of process variables. The soft sensors, based on deep neural networks, rely on the real-time monitoring network of the critical process variables and are able to predict the trend of the same variables on a suitable time scale (</w:t>
      </w:r>
      <w:r w:rsidR="00C15F00">
        <w:rPr>
          <w:iCs/>
        </w:rPr>
        <w:t>usually</w:t>
      </w:r>
      <w:r w:rsidRPr="008E58E0">
        <w:rPr>
          <w:iCs/>
        </w:rPr>
        <w:t xml:space="preserve"> half an hour later) during the </w:t>
      </w:r>
      <w:r w:rsidR="00C15F00">
        <w:rPr>
          <w:iCs/>
        </w:rPr>
        <w:t xml:space="preserve">ongoing </w:t>
      </w:r>
      <w:r w:rsidRPr="008E58E0">
        <w:rPr>
          <w:iCs/>
        </w:rPr>
        <w:t>operations. Subsequently, the hierarchical Bayesian network, receiving as inputs the predicted trends of the critical variables, updates the bow-tie risk parameters, as quantified in the fault</w:t>
      </w:r>
      <w:bookmarkStart w:id="0" w:name="_GoBack"/>
      <w:bookmarkEnd w:id="0"/>
      <w:r w:rsidRPr="008E58E0">
        <w:rPr>
          <w:iCs/>
        </w:rPr>
        <w:t xml:space="preserve"> and event trees. Accordingly, dynamic probability distribution for the Top Events and the possible evolving scenarios are attained. Bayesian hierarchical modelling is a statistical model written in multiple levels (hierarchical form) that estimates the parameters of the posterior distribution using the Bayesian method. The sub-models combine to form the hierarchical model, and Bayes' theorem is used to integrate them with the observed data and account for all the uncertainty that is present. The result of this integration is the posterior distribution, also known as the updated probability estimate, as additional evidence on the prior distribution is acquired (Allenby et al., 2005).  An overview of the proposed method </w:t>
      </w:r>
      <w:r w:rsidR="00B644A6">
        <w:rPr>
          <w:iCs/>
        </w:rPr>
        <w:t>structured into</w:t>
      </w:r>
      <w:r w:rsidRPr="008E58E0">
        <w:rPr>
          <w:iCs/>
        </w:rPr>
        <w:t xml:space="preserve"> five main steps and several sub-steps, is presented in Figure 1.</w:t>
      </w:r>
    </w:p>
    <w:p w14:paraId="2408EE7E" w14:textId="5C8722E5" w:rsidR="00865303" w:rsidRPr="008E58E0" w:rsidRDefault="00865303" w:rsidP="008E58E0">
      <w:pPr>
        <w:tabs>
          <w:tab w:val="clear" w:pos="7100"/>
        </w:tabs>
        <w:spacing w:after="160" w:line="259" w:lineRule="auto"/>
        <w:rPr>
          <w:iCs/>
        </w:rPr>
      </w:pPr>
      <w:r>
        <w:rPr>
          <w:noProof/>
          <w:lang w:val="it-IT" w:eastAsia="it-IT"/>
        </w:rPr>
        <w:drawing>
          <wp:inline distT="0" distB="0" distL="0" distR="0" wp14:anchorId="47528DF2" wp14:editId="0F5D7204">
            <wp:extent cx="4099169" cy="1295016"/>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3302" cy="1308959"/>
                    </a:xfrm>
                    <a:prstGeom prst="rect">
                      <a:avLst/>
                    </a:prstGeom>
                  </pic:spPr>
                </pic:pic>
              </a:graphicData>
            </a:graphic>
          </wp:inline>
        </w:drawing>
      </w:r>
    </w:p>
    <w:p w14:paraId="017DCE97" w14:textId="67DB7ADA" w:rsidR="00950946" w:rsidRPr="00B4483E" w:rsidRDefault="00950946" w:rsidP="00950946">
      <w:pPr>
        <w:pStyle w:val="CETCaption"/>
        <w:rPr>
          <w:rStyle w:val="CETCaptionCarattere"/>
        </w:rPr>
      </w:pPr>
      <w:r w:rsidRPr="00B4483E">
        <w:rPr>
          <w:rStyle w:val="CETCaptionCarattere"/>
        </w:rPr>
        <w:t xml:space="preserve">Figure </w:t>
      </w:r>
      <w:r>
        <w:rPr>
          <w:rStyle w:val="CETCaptionCarattere"/>
        </w:rPr>
        <w:t>1</w:t>
      </w:r>
      <w:r w:rsidRPr="00B4483E">
        <w:rPr>
          <w:rStyle w:val="CETCaptionCarattere"/>
        </w:rPr>
        <w:t xml:space="preserve">: </w:t>
      </w:r>
      <w:r>
        <w:rPr>
          <w:rStyle w:val="CETCaptionCarattere"/>
        </w:rPr>
        <w:t>Logical flowchart of the proposed method</w:t>
      </w:r>
    </w:p>
    <w:p w14:paraId="2FC49DA3" w14:textId="4CAB0EFC" w:rsidR="008E58E0" w:rsidRPr="008E58E0" w:rsidRDefault="008E58E0" w:rsidP="008E58E0">
      <w:pPr>
        <w:tabs>
          <w:tab w:val="clear" w:pos="7100"/>
        </w:tabs>
        <w:spacing w:after="160" w:line="259" w:lineRule="auto"/>
        <w:rPr>
          <w:iCs/>
        </w:rPr>
      </w:pPr>
      <w:r w:rsidRPr="008E58E0">
        <w:rPr>
          <w:iCs/>
        </w:rPr>
        <w:t>Hierarchical modelling is used when information is available on several different levels of observational units. In the</w:t>
      </w:r>
      <w:r w:rsidR="00C15F00">
        <w:rPr>
          <w:iCs/>
        </w:rPr>
        <w:t xml:space="preserve"> outlined framework, we consider relevant </w:t>
      </w:r>
      <w:r w:rsidRPr="008E58E0">
        <w:rPr>
          <w:iCs/>
        </w:rPr>
        <w:t xml:space="preserve">sources of information </w:t>
      </w:r>
      <w:r w:rsidR="00C15F00">
        <w:rPr>
          <w:iCs/>
        </w:rPr>
        <w:t xml:space="preserve">the following ones: </w:t>
      </w:r>
      <w:r w:rsidRPr="008E58E0">
        <w:rPr>
          <w:iCs/>
        </w:rPr>
        <w:t xml:space="preserve"> prior probabilities </w:t>
      </w:r>
      <w:r w:rsidR="00C15F00">
        <w:rPr>
          <w:iCs/>
        </w:rPr>
        <w:t>obtained by</w:t>
      </w:r>
      <w:r w:rsidRPr="008E58E0">
        <w:rPr>
          <w:iCs/>
        </w:rPr>
        <w:t xml:space="preserve"> Fault and Event Trees; boolean failures and predictions on critical variables values. As widely known, Bayesian hierarchical modelling makes use of two notable concepts in deriving the posterior distribution, namely Hyperparameter: parameters of the prior distribution and Hyperpriors: distributions of hyperparameters.</w:t>
      </w:r>
      <w:r w:rsidR="006612D6">
        <w:rPr>
          <w:iCs/>
        </w:rPr>
        <w:t xml:space="preserve"> </w:t>
      </w:r>
      <w:r w:rsidRPr="008E58E0">
        <w:rPr>
          <w:iCs/>
        </w:rPr>
        <w:t>Suppose a random variable Y follows a normal distribution with parameter θ as the mean and variance 1, i.e.:</w:t>
      </w:r>
    </w:p>
    <w:p w14:paraId="24E04797" w14:textId="751BB2E2" w:rsidR="008E58E0" w:rsidRPr="008E58E0" w:rsidRDefault="008E58E0" w:rsidP="008E58E0">
      <w:pPr>
        <w:tabs>
          <w:tab w:val="clear" w:pos="7100"/>
        </w:tabs>
        <w:spacing w:after="160" w:line="259" w:lineRule="auto"/>
        <w:ind w:left="360"/>
        <w:rPr>
          <w:iCs/>
        </w:rPr>
      </w:pPr>
      <w:r w:rsidRPr="008E58E0">
        <w:rPr>
          <w:rFonts w:asciiTheme="majorHAnsi" w:hAnsiTheme="majorHAnsi" w:cstheme="minorHAnsi"/>
          <w:iCs/>
        </w:rPr>
        <w:t>Y | θ ~ N(θ, 1)</w:t>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t>(1)</w:t>
      </w:r>
    </w:p>
    <w:p w14:paraId="4B27295F" w14:textId="77777777" w:rsidR="008E58E0" w:rsidRPr="008E58E0" w:rsidRDefault="008E58E0" w:rsidP="008E58E0">
      <w:pPr>
        <w:tabs>
          <w:tab w:val="clear" w:pos="7100"/>
        </w:tabs>
        <w:spacing w:after="160" w:line="259" w:lineRule="auto"/>
        <w:rPr>
          <w:iCs/>
        </w:rPr>
      </w:pPr>
      <w:r w:rsidRPr="008E58E0">
        <w:rPr>
          <w:iCs/>
        </w:rPr>
        <w:t>Suppose that the parameter θ has a distribution given by a normal distribution with mean μ and variance 1:</w:t>
      </w:r>
    </w:p>
    <w:p w14:paraId="386B0039" w14:textId="1F33F870" w:rsidR="008E58E0" w:rsidRPr="008E58E0" w:rsidRDefault="008E58E0" w:rsidP="008E58E0">
      <w:pPr>
        <w:tabs>
          <w:tab w:val="clear" w:pos="7100"/>
        </w:tabs>
        <w:spacing w:after="160" w:line="259" w:lineRule="auto"/>
        <w:ind w:left="360"/>
        <w:rPr>
          <w:iCs/>
        </w:rPr>
      </w:pPr>
      <w:r w:rsidRPr="008E58E0">
        <w:rPr>
          <w:rFonts w:asciiTheme="majorHAnsi" w:hAnsiTheme="majorHAnsi" w:cstheme="minorHAnsi"/>
          <w:iCs/>
        </w:rPr>
        <w:t>θ | μ ~ N(μ, 1)</w:t>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t>(2)</w:t>
      </w:r>
    </w:p>
    <w:p w14:paraId="3E30D1B0" w14:textId="47CD39EE" w:rsidR="008E58E0" w:rsidRPr="008E58E0" w:rsidRDefault="008E58E0" w:rsidP="008E58E0">
      <w:pPr>
        <w:tabs>
          <w:tab w:val="clear" w:pos="7100"/>
        </w:tabs>
        <w:spacing w:after="160" w:line="259" w:lineRule="auto"/>
        <w:rPr>
          <w:iCs/>
        </w:rPr>
      </w:pPr>
      <w:r w:rsidRPr="008E58E0">
        <w:rPr>
          <w:iCs/>
        </w:rPr>
        <w:t>Furthermore, μ follows another distribution given, for example, by the standard normal distribution, N(0, 1). The parameter μ is called the hyperparameter, while its distribution given by N(0, 1) is an example of a hyperprior distribution. The notation of the distribution of Y changes as another parameter is added, i.e.:</w:t>
      </w:r>
    </w:p>
    <w:p w14:paraId="71E927E6" w14:textId="5F96F2E8" w:rsidR="008E58E0" w:rsidRPr="008E58E0" w:rsidRDefault="008E58E0" w:rsidP="008E58E0">
      <w:pPr>
        <w:tabs>
          <w:tab w:val="clear" w:pos="7100"/>
        </w:tabs>
        <w:spacing w:after="160" w:line="259" w:lineRule="auto"/>
        <w:ind w:left="360"/>
        <w:rPr>
          <w:iCs/>
        </w:rPr>
      </w:pPr>
      <w:r w:rsidRPr="008E58E0">
        <w:rPr>
          <w:rFonts w:asciiTheme="majorHAnsi" w:hAnsiTheme="majorHAnsi" w:cstheme="minorHAnsi"/>
          <w:iCs/>
        </w:rPr>
        <w:lastRenderedPageBreak/>
        <w:t>Y | θ, μ ~ N(θ, 1)</w:t>
      </w:r>
      <w:r w:rsidRPr="008E58E0">
        <w:rPr>
          <w:rFonts w:asciiTheme="majorHAnsi" w:hAnsiTheme="majorHAnsi" w:cstheme="minorHAnsi"/>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t>(3)</w:t>
      </w:r>
    </w:p>
    <w:p w14:paraId="18AC9007" w14:textId="0E4A02B5" w:rsidR="008E58E0" w:rsidRPr="008E58E0" w:rsidRDefault="00E14006" w:rsidP="008E58E0">
      <w:pPr>
        <w:tabs>
          <w:tab w:val="clear" w:pos="7100"/>
        </w:tabs>
        <w:spacing w:after="160" w:line="259" w:lineRule="auto"/>
        <w:rPr>
          <w:iCs/>
        </w:rPr>
      </w:pPr>
      <w:r>
        <w:rPr>
          <w:iCs/>
        </w:rPr>
        <w:t>C</w:t>
      </w:r>
      <w:r w:rsidR="00911E3B">
        <w:rPr>
          <w:iCs/>
        </w:rPr>
        <w:t>o</w:t>
      </w:r>
      <w:r>
        <w:rPr>
          <w:iCs/>
        </w:rPr>
        <w:t>ns</w:t>
      </w:r>
      <w:r w:rsidR="00911E3B">
        <w:rPr>
          <w:iCs/>
        </w:rPr>
        <w:t>i</w:t>
      </w:r>
      <w:r>
        <w:rPr>
          <w:iCs/>
        </w:rPr>
        <w:t>d</w:t>
      </w:r>
      <w:r w:rsidR="00911E3B">
        <w:rPr>
          <w:iCs/>
        </w:rPr>
        <w:t>e</w:t>
      </w:r>
      <w:r>
        <w:rPr>
          <w:iCs/>
        </w:rPr>
        <w:t>ring</w:t>
      </w:r>
      <w:r w:rsidR="008E58E0" w:rsidRPr="008E58E0">
        <w:rPr>
          <w:iCs/>
        </w:rPr>
        <w:t xml:space="preserve"> another stage, μ</w:t>
      </w:r>
      <w:r>
        <w:rPr>
          <w:iCs/>
        </w:rPr>
        <w:t xml:space="preserve">, </w:t>
      </w:r>
      <w:r w:rsidR="00911E3B">
        <w:rPr>
          <w:iCs/>
        </w:rPr>
        <w:t>characterized by</w:t>
      </w:r>
      <w:r w:rsidR="008E58E0" w:rsidRPr="008E58E0">
        <w:rPr>
          <w:iCs/>
        </w:rPr>
        <w:t xml:space="preserve"> normal distribution mean β and variance ε, meaning</w:t>
      </w:r>
    </w:p>
    <w:p w14:paraId="2F1E1E8E" w14:textId="69240C0E" w:rsidR="008E58E0" w:rsidRPr="008E58E0" w:rsidRDefault="008E58E0" w:rsidP="008E58E0">
      <w:pPr>
        <w:tabs>
          <w:tab w:val="clear" w:pos="7100"/>
        </w:tabs>
        <w:spacing w:after="160" w:line="259" w:lineRule="auto"/>
        <w:ind w:left="360"/>
        <w:rPr>
          <w:iCs/>
        </w:rPr>
      </w:pPr>
      <w:r w:rsidRPr="008E58E0">
        <w:rPr>
          <w:rFonts w:asciiTheme="majorHAnsi" w:hAnsiTheme="majorHAnsi" w:cstheme="minorHAnsi"/>
          <w:iCs/>
        </w:rPr>
        <w:t>μ ~ N(β, ε)</w:t>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r>
      <w:r w:rsidRPr="008E58E0">
        <w:rPr>
          <w:iCs/>
        </w:rPr>
        <w:tab/>
        <w:t>(4)</w:t>
      </w:r>
    </w:p>
    <w:p w14:paraId="245A1097" w14:textId="3E8AC60F" w:rsidR="008E58E0" w:rsidRPr="008E58E0" w:rsidRDefault="008E58E0" w:rsidP="008E58E0">
      <w:pPr>
        <w:tabs>
          <w:tab w:val="clear" w:pos="7100"/>
        </w:tabs>
        <w:spacing w:after="160" w:line="259" w:lineRule="auto"/>
        <w:rPr>
          <w:iCs/>
        </w:rPr>
      </w:pPr>
      <w:r w:rsidRPr="008E58E0">
        <w:rPr>
          <w:iCs/>
        </w:rPr>
        <w:t xml:space="preserve">β and ε can be </w:t>
      </w:r>
      <w:r w:rsidR="006612D6">
        <w:rPr>
          <w:iCs/>
        </w:rPr>
        <w:t>defined</w:t>
      </w:r>
      <w:r w:rsidRPr="008E58E0">
        <w:rPr>
          <w:iCs/>
        </w:rPr>
        <w:t xml:space="preserve"> hyperparameters </w:t>
      </w:r>
      <w:r w:rsidR="006612D6">
        <w:rPr>
          <w:iCs/>
        </w:rPr>
        <w:t>characterized by their</w:t>
      </w:r>
      <w:r w:rsidRPr="008E58E0">
        <w:rPr>
          <w:iCs/>
        </w:rPr>
        <w:t xml:space="preserve"> hyperprior distributions as well (Lee et al., 2021).</w:t>
      </w:r>
      <w:r w:rsidR="00D216CE">
        <w:rPr>
          <w:iCs/>
        </w:rPr>
        <w:t xml:space="preserve"> </w:t>
      </w:r>
      <w:r w:rsidRPr="008E58E0">
        <w:rPr>
          <w:iCs/>
        </w:rPr>
        <w:t>For a 3-stage hierarchical model, the posterior distribution is</w:t>
      </w:r>
      <w:r w:rsidR="00C32989">
        <w:rPr>
          <w:iCs/>
        </w:rPr>
        <w:t xml:space="preserve"> provided as follows</w:t>
      </w:r>
      <w:r w:rsidRPr="008E58E0">
        <w:rPr>
          <w:iCs/>
        </w:rPr>
        <w:t>:</w:t>
      </w:r>
    </w:p>
    <w:p w14:paraId="2E3B3B09" w14:textId="38C9E424" w:rsidR="008E58E0" w:rsidRPr="008E58E0" w:rsidRDefault="008E58E0" w:rsidP="008E58E0">
      <w:pPr>
        <w:tabs>
          <w:tab w:val="clear" w:pos="7100"/>
        </w:tabs>
        <w:spacing w:after="160" w:line="259" w:lineRule="auto"/>
        <w:ind w:left="360"/>
        <w:rPr>
          <w:iCs/>
        </w:rPr>
      </w:pPr>
      <m:oMath>
        <m:r>
          <w:rPr>
            <w:rFonts w:ascii="Cambria Math" w:hAnsi="Cambria Math" w:cs="Arial"/>
            <w:lang w:eastAsia="it-IT"/>
          </w:rPr>
          <m:t>P</m:t>
        </m:r>
        <m:d>
          <m:dPr>
            <m:endChr m:val="|"/>
            <m:ctrlPr>
              <w:rPr>
                <w:rFonts w:ascii="Cambria Math" w:hAnsi="Cambria Math" w:cs="Arial"/>
                <w:i/>
                <w:lang w:eastAsia="it-IT"/>
              </w:rPr>
            </m:ctrlPr>
          </m:dPr>
          <m:e>
            <m:r>
              <w:rPr>
                <w:rFonts w:ascii="Cambria Math" w:hAnsi="Cambria Math" w:cs="Arial"/>
                <w:lang w:eastAsia="it-IT"/>
              </w:rPr>
              <m:t xml:space="preserve">θ, φ, X </m:t>
            </m:r>
          </m:e>
        </m:d>
        <m:r>
          <w:rPr>
            <w:rFonts w:ascii="Cambria Math" w:hAnsi="Cambria Math" w:cs="Arial"/>
            <w:lang w:eastAsia="it-IT"/>
          </w:rPr>
          <m:t xml:space="preserve">Y)= </m:t>
        </m:r>
        <m:f>
          <m:fPr>
            <m:ctrlPr>
              <w:rPr>
                <w:rFonts w:ascii="Cambria Math" w:hAnsi="Cambria Math" w:cs="Arial"/>
                <w:i/>
                <w:lang w:eastAsia="it-IT"/>
              </w:rPr>
            </m:ctrlPr>
          </m:fPr>
          <m:num>
            <m:r>
              <w:rPr>
                <w:rFonts w:ascii="Cambria Math" w:hAnsi="Cambria Math" w:cs="Arial"/>
                <w:lang w:eastAsia="it-IT"/>
              </w:rPr>
              <m:t>P</m:t>
            </m:r>
            <m:d>
              <m:dPr>
                <m:endChr m:val="|"/>
                <m:ctrlPr>
                  <w:rPr>
                    <w:rFonts w:ascii="Cambria Math" w:hAnsi="Cambria Math" w:cs="Arial"/>
                    <w:i/>
                    <w:lang w:eastAsia="it-IT"/>
                  </w:rPr>
                </m:ctrlPr>
              </m:dPr>
              <m:e>
                <m:r>
                  <w:rPr>
                    <w:rFonts w:ascii="Cambria Math" w:hAnsi="Cambria Math" w:cs="Arial"/>
                    <w:lang w:eastAsia="it-IT"/>
                  </w:rPr>
                  <m:t xml:space="preserve">Y </m:t>
                </m:r>
              </m:e>
            </m:d>
            <m:r>
              <w:rPr>
                <w:rFonts w:ascii="Cambria Math" w:hAnsi="Cambria Math" w:cs="Arial"/>
                <w:lang w:eastAsia="it-IT"/>
              </w:rPr>
              <m:t xml:space="preserve"> θ) P</m:t>
            </m:r>
            <m:d>
              <m:dPr>
                <m:endChr m:val="|"/>
                <m:ctrlPr>
                  <w:rPr>
                    <w:rFonts w:ascii="Cambria Math" w:hAnsi="Cambria Math" w:cs="Arial"/>
                    <w:i/>
                    <w:lang w:eastAsia="it-IT"/>
                  </w:rPr>
                </m:ctrlPr>
              </m:dPr>
              <m:e>
                <m:r>
                  <w:rPr>
                    <w:rFonts w:ascii="Cambria Math" w:hAnsi="Cambria Math" w:cs="Arial"/>
                    <w:lang w:eastAsia="it-IT"/>
                  </w:rPr>
                  <m:t xml:space="preserve">θ </m:t>
                </m:r>
              </m:e>
            </m:d>
            <m:r>
              <w:rPr>
                <w:rFonts w:ascii="Cambria Math" w:hAnsi="Cambria Math" w:cs="Arial"/>
                <w:lang w:eastAsia="it-IT"/>
              </w:rPr>
              <m:t>φ) P</m:t>
            </m:r>
            <m:d>
              <m:dPr>
                <m:endChr m:val="|"/>
                <m:ctrlPr>
                  <w:rPr>
                    <w:rFonts w:ascii="Cambria Math" w:hAnsi="Cambria Math" w:cs="Arial"/>
                    <w:i/>
                    <w:lang w:eastAsia="it-IT"/>
                  </w:rPr>
                </m:ctrlPr>
              </m:dPr>
              <m:e>
                <m:r>
                  <w:rPr>
                    <w:rFonts w:ascii="Cambria Math" w:hAnsi="Cambria Math" w:cs="Arial"/>
                    <w:lang w:eastAsia="it-IT"/>
                  </w:rPr>
                  <m:t xml:space="preserve">φ </m:t>
                </m:r>
              </m:e>
            </m:d>
            <m:r>
              <w:rPr>
                <w:rFonts w:ascii="Cambria Math" w:hAnsi="Cambria Math" w:cs="Arial"/>
                <w:lang w:eastAsia="it-IT"/>
              </w:rPr>
              <m:t>X) P(X)</m:t>
            </m:r>
          </m:num>
          <m:den>
            <m:r>
              <w:rPr>
                <w:rFonts w:ascii="Cambria Math" w:hAnsi="Cambria Math" w:cs="Arial"/>
                <w:lang w:eastAsia="it-IT"/>
              </w:rPr>
              <m:t>P(Y)</m:t>
            </m:r>
          </m:den>
        </m:f>
      </m:oMath>
      <w:r>
        <w:rPr>
          <w:iCs/>
        </w:rPr>
        <w:tab/>
      </w:r>
      <w:r>
        <w:rPr>
          <w:iCs/>
        </w:rPr>
        <w:tab/>
      </w:r>
      <w:r>
        <w:rPr>
          <w:iCs/>
        </w:rPr>
        <w:tab/>
      </w:r>
      <w:r>
        <w:rPr>
          <w:iCs/>
        </w:rPr>
        <w:tab/>
      </w:r>
      <w:r>
        <w:rPr>
          <w:iCs/>
        </w:rPr>
        <w:tab/>
      </w:r>
      <w:r>
        <w:rPr>
          <w:iCs/>
        </w:rPr>
        <w:tab/>
      </w:r>
      <w:r w:rsidRPr="008E58E0">
        <w:rPr>
          <w:iCs/>
        </w:rPr>
        <w:tab/>
        <w:t>(5)</w:t>
      </w:r>
    </w:p>
    <w:p w14:paraId="19512168" w14:textId="3D15BC8B" w:rsidR="00127D83" w:rsidRPr="008E58E0" w:rsidRDefault="008E58E0" w:rsidP="008E58E0">
      <w:pPr>
        <w:tabs>
          <w:tab w:val="clear" w:pos="7100"/>
        </w:tabs>
        <w:spacing w:after="160" w:line="259" w:lineRule="auto"/>
        <w:rPr>
          <w:iCs/>
        </w:rPr>
      </w:pPr>
      <w:r w:rsidRPr="008E58E0">
        <w:rPr>
          <w:iCs/>
        </w:rPr>
        <w:t>The hierarchical modelling can easily fit the bow-tie structure, in which each stage can be represented with a hierarchical level of the Bayes net.</w:t>
      </w:r>
      <w:r w:rsidR="006612D6">
        <w:rPr>
          <w:iCs/>
        </w:rPr>
        <w:t xml:space="preserve"> </w:t>
      </w:r>
      <w:r w:rsidRPr="008E58E0">
        <w:rPr>
          <w:iCs/>
        </w:rPr>
        <w:t>The hierarchical network is turned in a predictive tool by incorporating, as evidences, the prediction of critical variables trend, obtained considering it a part of a Hidden Markov Model (HMM).</w:t>
      </w:r>
      <w:r w:rsidR="006612D6">
        <w:rPr>
          <w:iCs/>
        </w:rPr>
        <w:t xml:space="preserve"> </w:t>
      </w:r>
      <w:r w:rsidRPr="008E58E0">
        <w:rPr>
          <w:iCs/>
        </w:rPr>
        <w:t xml:space="preserve">A HMM is a generative probabilistic model, in which a sequence of observable X variables is generated by a sequence of internal hidden states Z. The hidden states are not observed directly. The transitions between hidden states are assumed to have the form of a first order Markov chain. They can be specified by the start probability vector π and a transition probability matrix A. The emission probability of an observable </w:t>
      </w:r>
      <w:r w:rsidR="00C32989">
        <w:rPr>
          <w:iCs/>
        </w:rPr>
        <w:t xml:space="preserve">variable </w:t>
      </w:r>
      <w:r w:rsidRPr="008E58E0">
        <w:rPr>
          <w:iCs/>
        </w:rPr>
        <w:t xml:space="preserve">can be any distribution with parameters θ conditioned on the current hidden state. </w:t>
      </w:r>
      <w:r w:rsidR="00C32989">
        <w:rPr>
          <w:iCs/>
        </w:rPr>
        <w:t>Consequently, the</w:t>
      </w:r>
      <w:r w:rsidRPr="008E58E0">
        <w:rPr>
          <w:iCs/>
        </w:rPr>
        <w:t xml:space="preserve"> HMM is completely determined by π, A and θ.</w:t>
      </w:r>
      <w:r w:rsidR="006612D6">
        <w:rPr>
          <w:iCs/>
        </w:rPr>
        <w:t xml:space="preserve"> </w:t>
      </w:r>
      <w:r w:rsidRPr="008E58E0">
        <w:rPr>
          <w:iCs/>
        </w:rPr>
        <w:t>The predicted trend of critical variables is then affecting the risk parameters, which are updated in real time</w:t>
      </w:r>
      <w:r w:rsidR="00127D83" w:rsidRPr="008E58E0">
        <w:rPr>
          <w:iCs/>
        </w:rPr>
        <w:t>.</w:t>
      </w:r>
    </w:p>
    <w:p w14:paraId="7D5C7871" w14:textId="61569E90" w:rsidR="005651C7" w:rsidRPr="00C339B1" w:rsidRDefault="008E58E0" w:rsidP="008E58E0">
      <w:pPr>
        <w:pStyle w:val="CETHeading1"/>
      </w:pPr>
      <w:r>
        <w:t xml:space="preserve">Applicative </w:t>
      </w:r>
      <w:r w:rsidR="005651C7" w:rsidRPr="00C339B1">
        <w:t>Case Study</w:t>
      </w:r>
    </w:p>
    <w:p w14:paraId="2C35C5AF" w14:textId="3786F59F" w:rsidR="003048E2" w:rsidRDefault="009B6991" w:rsidP="003048E2">
      <w:pPr>
        <w:rPr>
          <w:iCs/>
        </w:rPr>
      </w:pPr>
      <w:r>
        <w:rPr>
          <w:iCs/>
        </w:rPr>
        <w:t>Recently, s</w:t>
      </w:r>
      <w:r w:rsidRPr="009B6991">
        <w:rPr>
          <w:iCs/>
        </w:rPr>
        <w:t>hip propulsion considering LNG as a possible fuel (with dual fuel marine engines installed on board) has favo</w:t>
      </w:r>
      <w:r w:rsidR="00707D10">
        <w:rPr>
          <w:iCs/>
        </w:rPr>
        <w:t>u</w:t>
      </w:r>
      <w:r w:rsidRPr="009B6991">
        <w:rPr>
          <w:iCs/>
        </w:rPr>
        <w:t>red important discussions about LNG supply chain and delivery on board to the ship power plant</w:t>
      </w:r>
      <w:r>
        <w:rPr>
          <w:iCs/>
        </w:rPr>
        <w:t xml:space="preserve"> (Vairo et al., 2021</w:t>
      </w:r>
      <w:r w:rsidR="002B7E08">
        <w:rPr>
          <w:iCs/>
        </w:rPr>
        <w:t>b</w:t>
      </w:r>
      <w:r>
        <w:rPr>
          <w:iCs/>
        </w:rPr>
        <w:t>)</w:t>
      </w:r>
      <w:r w:rsidRPr="009B6991">
        <w:rPr>
          <w:iCs/>
        </w:rPr>
        <w:t>.</w:t>
      </w:r>
      <w:r>
        <w:rPr>
          <w:iCs/>
        </w:rPr>
        <w:t xml:space="preserve"> </w:t>
      </w:r>
      <w:r w:rsidR="002B7E08">
        <w:rPr>
          <w:iCs/>
        </w:rPr>
        <w:t>On these grounds, in order to assess the capability of the approach</w:t>
      </w:r>
      <w:r w:rsidR="00950946" w:rsidRPr="00950946">
        <w:rPr>
          <w:iCs/>
        </w:rPr>
        <w:t>, a LNG Shore-to-Ship bunkering operation was analysed considering in detail all the physical components, the structural elements and components along with their interactions. The transfer unit is equipped with</w:t>
      </w:r>
      <w:r w:rsidR="006612D6">
        <w:rPr>
          <w:iCs/>
        </w:rPr>
        <w:t xml:space="preserve"> following critical components, affecting barrier effectiveness: </w:t>
      </w:r>
      <w:r w:rsidR="00950946" w:rsidRPr="00950946">
        <w:rPr>
          <w:iCs/>
        </w:rPr>
        <w:t>quick release hooks;</w:t>
      </w:r>
      <w:r w:rsidR="006612D6">
        <w:rPr>
          <w:iCs/>
        </w:rPr>
        <w:t xml:space="preserve"> </w:t>
      </w:r>
      <w:r w:rsidR="00950946" w:rsidRPr="00950946">
        <w:rPr>
          <w:iCs/>
        </w:rPr>
        <w:t>fenders;</w:t>
      </w:r>
      <w:r w:rsidR="006612D6">
        <w:rPr>
          <w:iCs/>
        </w:rPr>
        <w:t xml:space="preserve"> </w:t>
      </w:r>
      <w:r w:rsidR="00950946" w:rsidRPr="00950946">
        <w:rPr>
          <w:iCs/>
        </w:rPr>
        <w:t>dock monitoring system to check the ship's position and speed of approach, weather and sea conditions;</w:t>
      </w:r>
      <w:r w:rsidR="006612D6">
        <w:rPr>
          <w:iCs/>
        </w:rPr>
        <w:t xml:space="preserve"> </w:t>
      </w:r>
      <w:r w:rsidR="00950946" w:rsidRPr="00950946">
        <w:rPr>
          <w:iCs/>
        </w:rPr>
        <w:t>pier control room</w:t>
      </w:r>
      <w:r w:rsidR="006612D6">
        <w:rPr>
          <w:iCs/>
        </w:rPr>
        <w:t xml:space="preserve">. </w:t>
      </w:r>
      <w:r w:rsidR="00950946" w:rsidRPr="00950946">
        <w:rPr>
          <w:iCs/>
        </w:rPr>
        <w:t>The quick release hooks will be installed on the dock. All hooks are capable of moving both vertically and horizontally and each is designed to be released independently of the other.</w:t>
      </w:r>
      <w:r w:rsidR="006612D6">
        <w:rPr>
          <w:iCs/>
        </w:rPr>
        <w:t xml:space="preserve"> </w:t>
      </w:r>
      <w:r w:rsidR="00950946" w:rsidRPr="00950946">
        <w:rPr>
          <w:iCs/>
        </w:rPr>
        <w:t>The pier control room is equipped with controls for the emergency stop of the LNG transfer, for the release of the LNG transfer connection and equipment for the remote control of the fire extinguishing system.</w:t>
      </w:r>
      <w:r w:rsidR="006612D6">
        <w:rPr>
          <w:iCs/>
        </w:rPr>
        <w:t xml:space="preserve"> </w:t>
      </w:r>
      <w:r w:rsidR="00950946" w:rsidRPr="00950946">
        <w:rPr>
          <w:iCs/>
        </w:rPr>
        <w:t>The Ship-to-Shore connection is used to reciprocally exchange Emergency Shut-Down (ESD) between the ship and the ground system.</w:t>
      </w:r>
      <w:r w:rsidR="006612D6">
        <w:rPr>
          <w:iCs/>
        </w:rPr>
        <w:t xml:space="preserve"> </w:t>
      </w:r>
      <w:r w:rsidR="00950946" w:rsidRPr="00950946">
        <w:rPr>
          <w:iCs/>
        </w:rPr>
        <w:t xml:space="preserve">The connection between the ship and the plant takes place via a loading arm, with two independent lines: one for the liquid phase (LNG) discharged from the ship to the plant and a flexible line for the gas phase (steam return from the plant to the ship); vice versa, the steam to the plant and the LNG to the ship, during the bunkering of a barge. </w:t>
      </w:r>
      <w:r w:rsidR="006612D6">
        <w:rPr>
          <w:iCs/>
        </w:rPr>
        <w:t xml:space="preserve">The critical safety devices of the </w:t>
      </w:r>
      <w:r w:rsidR="00950946" w:rsidRPr="00950946">
        <w:rPr>
          <w:iCs/>
        </w:rPr>
        <w:t xml:space="preserve">loading arm </w:t>
      </w:r>
      <w:r w:rsidR="006612D6">
        <w:rPr>
          <w:iCs/>
        </w:rPr>
        <w:t>are identified as follows</w:t>
      </w:r>
      <w:r w:rsidR="00950946" w:rsidRPr="00950946">
        <w:rPr>
          <w:iCs/>
        </w:rPr>
        <w:t>:</w:t>
      </w:r>
    </w:p>
    <w:p w14:paraId="21712519" w14:textId="4EC91BE6" w:rsidR="00950946" w:rsidRDefault="00950946" w:rsidP="005B3756">
      <w:pPr>
        <w:pStyle w:val="Paragrafoelenco"/>
        <w:numPr>
          <w:ilvl w:val="0"/>
          <w:numId w:val="27"/>
        </w:numPr>
        <w:rPr>
          <w:iCs/>
        </w:rPr>
      </w:pPr>
      <w:r w:rsidRPr="00950946">
        <w:rPr>
          <w:iCs/>
        </w:rPr>
        <w:t>a quick release system (</w:t>
      </w:r>
      <w:r w:rsidR="005B3756" w:rsidRPr="005B3756">
        <w:rPr>
          <w:iCs/>
        </w:rPr>
        <w:t>Powered Emergency Release Coupling</w:t>
      </w:r>
      <w:r w:rsidR="005B3756">
        <w:rPr>
          <w:iCs/>
        </w:rPr>
        <w:t xml:space="preserve"> - </w:t>
      </w:r>
      <w:r w:rsidRPr="00950946">
        <w:rPr>
          <w:iCs/>
        </w:rPr>
        <w:t>PERC);</w:t>
      </w:r>
    </w:p>
    <w:p w14:paraId="78C0A4AC" w14:textId="416DCD73" w:rsidR="00950946" w:rsidRDefault="00950946" w:rsidP="003762AA">
      <w:pPr>
        <w:pStyle w:val="Paragrafoelenco"/>
        <w:numPr>
          <w:ilvl w:val="0"/>
          <w:numId w:val="27"/>
        </w:numPr>
        <w:ind w:left="284" w:hanging="284"/>
        <w:rPr>
          <w:iCs/>
        </w:rPr>
      </w:pPr>
      <w:r w:rsidRPr="00950946">
        <w:rPr>
          <w:iCs/>
        </w:rPr>
        <w:tab/>
        <w:t>a PLC</w:t>
      </w:r>
      <w:r w:rsidR="00D57F00">
        <w:rPr>
          <w:iCs/>
        </w:rPr>
        <w:t xml:space="preserve"> for</w:t>
      </w:r>
      <w:r w:rsidRPr="00950946">
        <w:rPr>
          <w:iCs/>
        </w:rPr>
        <w:t xml:space="preserve"> the loading arm</w:t>
      </w:r>
      <w:r w:rsidR="00246904">
        <w:rPr>
          <w:iCs/>
        </w:rPr>
        <w:t xml:space="preserve"> connected to the </w:t>
      </w:r>
      <w:r w:rsidR="005B3756">
        <w:rPr>
          <w:iCs/>
        </w:rPr>
        <w:t>Basic Process Control System (</w:t>
      </w:r>
      <w:r w:rsidR="00246904">
        <w:rPr>
          <w:iCs/>
        </w:rPr>
        <w:t>BPCS</w:t>
      </w:r>
      <w:r w:rsidR="005B3756">
        <w:rPr>
          <w:iCs/>
        </w:rPr>
        <w:t>)</w:t>
      </w:r>
      <w:r w:rsidR="00246904">
        <w:rPr>
          <w:iCs/>
        </w:rPr>
        <w:t xml:space="preserve"> of the plant,</w:t>
      </w:r>
      <w:r w:rsidRPr="00950946">
        <w:rPr>
          <w:iCs/>
        </w:rPr>
        <w:t xml:space="preserve"> integrated into the Hydraulic Processing Unit; </w:t>
      </w:r>
    </w:p>
    <w:p w14:paraId="6039A84E" w14:textId="5D748373" w:rsidR="00950946" w:rsidRPr="00950946" w:rsidRDefault="00950946" w:rsidP="003762AA">
      <w:pPr>
        <w:pStyle w:val="Paragrafoelenco"/>
        <w:numPr>
          <w:ilvl w:val="0"/>
          <w:numId w:val="27"/>
        </w:numPr>
        <w:ind w:left="284" w:hanging="284"/>
        <w:rPr>
          <w:iCs/>
        </w:rPr>
      </w:pPr>
      <w:r w:rsidRPr="00950946">
        <w:rPr>
          <w:iCs/>
        </w:rPr>
        <w:tab/>
        <w:t>the arm connected to the ship by means of 2 flanged connections, one for the liquid and one for the vapor.</w:t>
      </w:r>
    </w:p>
    <w:p w14:paraId="0D8F0E54" w14:textId="4B04BC6B" w:rsidR="00950946" w:rsidRPr="00950946" w:rsidRDefault="00950946" w:rsidP="003762AA">
      <w:pPr>
        <w:tabs>
          <w:tab w:val="clear" w:pos="7100"/>
        </w:tabs>
        <w:spacing w:line="259" w:lineRule="auto"/>
        <w:rPr>
          <w:iCs/>
        </w:rPr>
      </w:pPr>
      <w:r w:rsidRPr="00950946">
        <w:rPr>
          <w:iCs/>
        </w:rPr>
        <w:t xml:space="preserve">The operations of connection/disconnection of the loading arm </w:t>
      </w:r>
      <w:r w:rsidR="003E5580">
        <w:rPr>
          <w:iCs/>
        </w:rPr>
        <w:t>are continuously</w:t>
      </w:r>
      <w:r w:rsidRPr="00950946">
        <w:rPr>
          <w:iCs/>
        </w:rPr>
        <w:t xml:space="preserve"> monitored through the control system (pressure gauges and thermometers). The critical lines are the liquid line (nominal diameter 10” and the vapour line (nominal diameter 8”)</w:t>
      </w:r>
      <w:r w:rsidRPr="00950946">
        <w:rPr>
          <w:i/>
        </w:rPr>
        <w:t>.</w:t>
      </w:r>
      <w:r w:rsidRPr="00950946">
        <w:rPr>
          <w:iCs/>
        </w:rPr>
        <w:t xml:space="preserve"> </w:t>
      </w:r>
    </w:p>
    <w:p w14:paraId="44255B1F" w14:textId="55F1D39E" w:rsidR="00950946" w:rsidRPr="00B57B36" w:rsidRDefault="00950946" w:rsidP="00950946">
      <w:pPr>
        <w:pStyle w:val="CETheadingx"/>
      </w:pPr>
      <w:r>
        <w:t>Bunkering operation Risk Assessment</w:t>
      </w:r>
    </w:p>
    <w:p w14:paraId="1F43A60E" w14:textId="0146323E" w:rsidR="00702348" w:rsidRPr="00702348" w:rsidRDefault="00950946" w:rsidP="00950946">
      <w:pPr>
        <w:spacing w:before="240" w:after="80"/>
      </w:pPr>
      <w:r w:rsidRPr="00950946">
        <w:rPr>
          <w:iCs/>
        </w:rPr>
        <w:t>The main causes of loss of containment during bunkering reside in the coupling operation of the bunkering manifold to the receiving vessel and are due to damage to the connection pipe during normal operations and SIMOPS (simultaneous operations). During bunkering operations, loss of containment can occur in different parts of the process. In particular, the situations that can lead to a loss of containment concern failures of critical equipment and failures of the receiving vessel.</w:t>
      </w:r>
      <w:r w:rsidR="004B18B1">
        <w:rPr>
          <w:iCs/>
        </w:rPr>
        <w:t xml:space="preserve"> </w:t>
      </w:r>
      <w:r w:rsidR="00CD182C">
        <w:rPr>
          <w:iCs/>
        </w:rPr>
        <w:t xml:space="preserve"> </w:t>
      </w:r>
      <w:r w:rsidR="004B18B1">
        <w:rPr>
          <w:iCs/>
        </w:rPr>
        <w:t>F</w:t>
      </w:r>
      <w:r w:rsidR="00CD182C">
        <w:rPr>
          <w:iCs/>
        </w:rPr>
        <w:t>igures 2, 3, 4 represent the logical development of the</w:t>
      </w:r>
      <w:r w:rsidR="004B18B1">
        <w:rPr>
          <w:iCs/>
        </w:rPr>
        <w:t xml:space="preserve"> simplified </w:t>
      </w:r>
      <w:r w:rsidR="00CD182C">
        <w:rPr>
          <w:iCs/>
        </w:rPr>
        <w:t xml:space="preserve"> </w:t>
      </w:r>
      <w:r w:rsidR="004B18B1">
        <w:rPr>
          <w:iCs/>
        </w:rPr>
        <w:t>r</w:t>
      </w:r>
      <w:r w:rsidR="00CD182C">
        <w:rPr>
          <w:iCs/>
        </w:rPr>
        <w:t xml:space="preserve">isk </w:t>
      </w:r>
      <w:r w:rsidR="004B18B1">
        <w:rPr>
          <w:iCs/>
        </w:rPr>
        <w:t>a</w:t>
      </w:r>
      <w:r w:rsidR="00CD182C">
        <w:rPr>
          <w:iCs/>
        </w:rPr>
        <w:t>ssessment</w:t>
      </w:r>
      <w:r w:rsidR="004B18B1">
        <w:rPr>
          <w:iCs/>
        </w:rPr>
        <w:t xml:space="preserve">, including  respectively </w:t>
      </w:r>
      <w:r w:rsidR="00CD182C">
        <w:rPr>
          <w:iCs/>
        </w:rPr>
        <w:t xml:space="preserve"> Fault Tree, Event Tree</w:t>
      </w:r>
      <w:r w:rsidR="004B18B1">
        <w:rPr>
          <w:iCs/>
        </w:rPr>
        <w:t xml:space="preserve"> and overall</w:t>
      </w:r>
      <w:r w:rsidR="00CD182C">
        <w:rPr>
          <w:iCs/>
        </w:rPr>
        <w:t xml:space="preserve"> Bow-Tie.</w:t>
      </w:r>
      <w:r w:rsidR="003322C9">
        <w:rPr>
          <w:iCs/>
        </w:rPr>
        <w:t xml:space="preserve"> It is well worth noting that given the inherent hazard of handled material, </w:t>
      </w:r>
      <w:r w:rsidR="003322C9" w:rsidRPr="003322C9">
        <w:rPr>
          <w:iCs/>
        </w:rPr>
        <w:t>a better and more detailed description of all the possible outcomes and of the relative probabilities</w:t>
      </w:r>
      <w:r w:rsidR="003322C9">
        <w:rPr>
          <w:iCs/>
        </w:rPr>
        <w:t xml:space="preserve"> </w:t>
      </w:r>
      <w:r w:rsidR="003322C9">
        <w:t>should include a refined</w:t>
      </w:r>
      <w:r w:rsidR="003322C9" w:rsidRPr="001B1F9F">
        <w:t xml:space="preserve"> </w:t>
      </w:r>
      <w:r w:rsidR="003322C9">
        <w:t xml:space="preserve">evaluation </w:t>
      </w:r>
      <w:r w:rsidR="003322C9" w:rsidRPr="001B1F9F">
        <w:t>of the ignition taxonomy considering on a statistical basis, immediate, delayed local and remote ignition probability</w:t>
      </w:r>
      <w:r w:rsidR="003322C9">
        <w:t xml:space="preserve"> (Vairo et al., 2021</w:t>
      </w:r>
      <w:r w:rsidR="001713AD">
        <w:t>c</w:t>
      </w:r>
      <w:r w:rsidR="003322C9">
        <w:t>).</w:t>
      </w:r>
    </w:p>
    <w:p w14:paraId="554D0F58" w14:textId="6E9A8A1A" w:rsidR="00950946" w:rsidRDefault="00950946" w:rsidP="00950946">
      <w:pPr>
        <w:spacing w:before="240" w:after="80"/>
        <w:rPr>
          <w:iCs/>
        </w:rPr>
      </w:pPr>
      <w:r w:rsidRPr="0092641A">
        <w:rPr>
          <w:noProof/>
          <w:sz w:val="20"/>
          <w:lang w:val="it-IT" w:eastAsia="it-IT"/>
        </w:rPr>
        <w:lastRenderedPageBreak/>
        <w:drawing>
          <wp:inline distT="0" distB="0" distL="0" distR="0" wp14:anchorId="39B0FD29" wp14:editId="1047A458">
            <wp:extent cx="3981939" cy="173110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33380" cy="1753463"/>
                    </a:xfrm>
                    <a:prstGeom prst="rect">
                      <a:avLst/>
                    </a:prstGeom>
                  </pic:spPr>
                </pic:pic>
              </a:graphicData>
            </a:graphic>
          </wp:inline>
        </w:drawing>
      </w:r>
    </w:p>
    <w:p w14:paraId="2F05DFD7" w14:textId="72DD3533" w:rsidR="00950946" w:rsidRPr="00245D70" w:rsidRDefault="00950946" w:rsidP="00D216CE">
      <w:pPr>
        <w:pStyle w:val="CETCaption"/>
        <w:spacing w:before="0"/>
        <w:rPr>
          <w:rStyle w:val="CETCaptionCarattere"/>
          <w:i/>
          <w:iCs/>
        </w:rPr>
      </w:pPr>
      <w:r w:rsidRPr="00245D70">
        <w:rPr>
          <w:rStyle w:val="CETCaptionCarattere"/>
          <w:i/>
          <w:iCs/>
        </w:rPr>
        <w:t>Figure 2: FTA for bunkering operation</w:t>
      </w:r>
    </w:p>
    <w:p w14:paraId="2B4ECF41" w14:textId="15DC06DF" w:rsidR="00950946" w:rsidRPr="00B4483E" w:rsidRDefault="00950946" w:rsidP="00D216CE">
      <w:pPr>
        <w:pStyle w:val="CETCaption"/>
        <w:spacing w:after="0"/>
        <w:rPr>
          <w:rStyle w:val="CETCaptionCarattere"/>
        </w:rPr>
      </w:pPr>
      <w:r w:rsidRPr="0092641A">
        <w:rPr>
          <w:noProof/>
          <w:sz w:val="20"/>
          <w:lang w:val="it-IT" w:eastAsia="it-IT"/>
        </w:rPr>
        <w:drawing>
          <wp:inline distT="0" distB="0" distL="0" distR="0" wp14:anchorId="35006691" wp14:editId="1DAC601D">
            <wp:extent cx="2711939" cy="1200647"/>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2888" cy="1223203"/>
                    </a:xfrm>
                    <a:prstGeom prst="rect">
                      <a:avLst/>
                    </a:prstGeom>
                  </pic:spPr>
                </pic:pic>
              </a:graphicData>
            </a:graphic>
          </wp:inline>
        </w:drawing>
      </w:r>
    </w:p>
    <w:p w14:paraId="2786507C" w14:textId="5DD4913D" w:rsidR="00950946" w:rsidRPr="00245D70" w:rsidRDefault="00950946" w:rsidP="00D216CE">
      <w:pPr>
        <w:pStyle w:val="CETCaption"/>
        <w:spacing w:before="0"/>
        <w:rPr>
          <w:rStyle w:val="CETCaptionCarattere"/>
          <w:i/>
          <w:iCs/>
        </w:rPr>
      </w:pPr>
      <w:r w:rsidRPr="00245D70">
        <w:rPr>
          <w:rStyle w:val="CETCaptionCarattere"/>
          <w:i/>
          <w:iCs/>
        </w:rPr>
        <w:t>Figure 3: ETA for bunkering operation</w:t>
      </w:r>
    </w:p>
    <w:p w14:paraId="610C118A" w14:textId="011D3F0E" w:rsidR="00950946" w:rsidRDefault="00950946" w:rsidP="00950946">
      <w:pPr>
        <w:spacing w:before="240" w:after="80"/>
      </w:pPr>
      <w:r w:rsidRPr="0092641A">
        <w:rPr>
          <w:noProof/>
          <w:sz w:val="20"/>
          <w:lang w:val="it-IT" w:eastAsia="it-IT"/>
        </w:rPr>
        <w:drawing>
          <wp:inline distT="0" distB="0" distL="0" distR="0" wp14:anchorId="3A923CB0" wp14:editId="75527E8B">
            <wp:extent cx="4227328" cy="1875693"/>
            <wp:effectExtent l="0" t="0" r="1905" b="0"/>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78487" cy="1898393"/>
                    </a:xfrm>
                    <a:prstGeom prst="rect">
                      <a:avLst/>
                    </a:prstGeom>
                  </pic:spPr>
                </pic:pic>
              </a:graphicData>
            </a:graphic>
          </wp:inline>
        </w:drawing>
      </w:r>
    </w:p>
    <w:p w14:paraId="547F01CD" w14:textId="402E06C6" w:rsidR="00950946" w:rsidRPr="00245D70" w:rsidRDefault="00950946" w:rsidP="00245D70">
      <w:pPr>
        <w:pStyle w:val="CETCaption"/>
        <w:spacing w:before="0"/>
        <w:rPr>
          <w:rStyle w:val="CETCaptionCarattere"/>
          <w:i/>
          <w:iCs/>
        </w:rPr>
      </w:pPr>
      <w:r w:rsidRPr="00245D70">
        <w:rPr>
          <w:rStyle w:val="CETCaptionCarattere"/>
          <w:i/>
          <w:iCs/>
        </w:rPr>
        <w:t>Figure 4: Bow-Tie for bunkering operation</w:t>
      </w:r>
    </w:p>
    <w:p w14:paraId="21AE1AFC" w14:textId="435C5AA0" w:rsidR="00CD182C" w:rsidRDefault="00CD182C" w:rsidP="000F1F50">
      <w:pPr>
        <w:pStyle w:val="CETHeading1"/>
        <w:rPr>
          <w:lang w:val="en-GB"/>
        </w:rPr>
      </w:pPr>
      <w:r>
        <w:rPr>
          <w:lang w:val="en-GB"/>
        </w:rPr>
        <w:t>Results and discussion</w:t>
      </w:r>
    </w:p>
    <w:p w14:paraId="478D48B0" w14:textId="5D523F12" w:rsidR="005B0CBD" w:rsidRDefault="00CD182C" w:rsidP="00A658D1">
      <w:pPr>
        <w:pStyle w:val="CETHeading1"/>
        <w:numPr>
          <w:ilvl w:val="0"/>
          <w:numId w:val="0"/>
        </w:numPr>
        <w:jc w:val="both"/>
        <w:rPr>
          <w:b w:val="0"/>
          <w:sz w:val="18"/>
          <w:lang w:val="en-GB"/>
        </w:rPr>
      </w:pPr>
      <w:r w:rsidRPr="00CD182C">
        <w:rPr>
          <w:b w:val="0"/>
          <w:sz w:val="18"/>
          <w:lang w:val="en-GB"/>
        </w:rPr>
        <w:t xml:space="preserve">The bow-tie is transposed into a HBN </w:t>
      </w:r>
      <w:r w:rsidR="00A658D1">
        <w:rPr>
          <w:b w:val="0"/>
          <w:sz w:val="18"/>
          <w:lang w:val="en-GB"/>
        </w:rPr>
        <w:t xml:space="preserve">by developing </w:t>
      </w:r>
      <w:r w:rsidRPr="00CD182C">
        <w:rPr>
          <w:b w:val="0"/>
          <w:sz w:val="18"/>
          <w:lang w:val="en-GB"/>
        </w:rPr>
        <w:t>a specific .xml files</w:t>
      </w:r>
      <w:r w:rsidR="00A658D1">
        <w:rPr>
          <w:b w:val="0"/>
          <w:sz w:val="18"/>
          <w:lang w:val="en-GB"/>
        </w:rPr>
        <w:t>,</w:t>
      </w:r>
      <w:r w:rsidRPr="00CD182C">
        <w:rPr>
          <w:b w:val="0"/>
          <w:sz w:val="18"/>
          <w:lang w:val="en-GB"/>
        </w:rPr>
        <w:t xml:space="preserve"> </w:t>
      </w:r>
      <w:r w:rsidR="007316BE">
        <w:rPr>
          <w:b w:val="0"/>
          <w:sz w:val="18"/>
          <w:lang w:val="en-GB"/>
        </w:rPr>
        <w:t xml:space="preserve">analogously to the approach by </w:t>
      </w:r>
      <w:r w:rsidRPr="00CD182C">
        <w:rPr>
          <w:b w:val="0"/>
          <w:sz w:val="18"/>
          <w:lang w:val="en-GB"/>
        </w:rPr>
        <w:t xml:space="preserve">(Zurheide et al., </w:t>
      </w:r>
      <w:r w:rsidR="007316BE">
        <w:rPr>
          <w:b w:val="0"/>
          <w:sz w:val="18"/>
          <w:lang w:val="en-GB"/>
        </w:rPr>
        <w:t>(</w:t>
      </w:r>
      <w:r w:rsidRPr="00CD182C">
        <w:rPr>
          <w:b w:val="0"/>
          <w:sz w:val="18"/>
          <w:lang w:val="en-GB"/>
        </w:rPr>
        <w:t xml:space="preserve">2021) </w:t>
      </w:r>
      <w:r w:rsidR="007316BE">
        <w:rPr>
          <w:b w:val="0"/>
          <w:sz w:val="18"/>
          <w:lang w:val="en-GB"/>
        </w:rPr>
        <w:t>introducing all logical</w:t>
      </w:r>
      <w:r w:rsidRPr="00CD182C">
        <w:rPr>
          <w:b w:val="0"/>
          <w:sz w:val="18"/>
          <w:lang w:val="en-GB"/>
        </w:rPr>
        <w:t xml:space="preserve"> dependencies</w:t>
      </w:r>
      <w:r w:rsidR="002A3427">
        <w:rPr>
          <w:b w:val="0"/>
          <w:sz w:val="18"/>
          <w:lang w:val="en-GB"/>
        </w:rPr>
        <w:t xml:space="preserve"> and barriers.</w:t>
      </w:r>
      <w:r w:rsidR="008F127E">
        <w:rPr>
          <w:b w:val="0"/>
          <w:sz w:val="18"/>
          <w:lang w:val="en-GB"/>
        </w:rPr>
        <w:t xml:space="preserve"> Table 1 refers to intermediate events.</w:t>
      </w:r>
      <w:r w:rsidR="002A3427">
        <w:rPr>
          <w:b w:val="0"/>
          <w:sz w:val="18"/>
          <w:lang w:val="en-GB"/>
        </w:rPr>
        <w:t xml:space="preserve"> </w:t>
      </w:r>
    </w:p>
    <w:p w14:paraId="17695D8B" w14:textId="3FB375FC" w:rsidR="00D216CE" w:rsidRPr="00B4483E" w:rsidRDefault="00D216CE" w:rsidP="00D216CE">
      <w:pPr>
        <w:pStyle w:val="CETTabletitle"/>
      </w:pPr>
      <w:r w:rsidRPr="00C339B1">
        <w:t xml:space="preserve">Table </w:t>
      </w:r>
      <w:r w:rsidR="008F127E">
        <w:t>1</w:t>
      </w:r>
      <w:r w:rsidRPr="00C339B1">
        <w:t xml:space="preserve">: </w:t>
      </w:r>
      <w:r>
        <w:t>First level dependencies: intermediate events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08"/>
        <w:gridCol w:w="2002"/>
        <w:gridCol w:w="1881"/>
        <w:gridCol w:w="2100"/>
        <w:gridCol w:w="1896"/>
      </w:tblGrid>
      <w:tr w:rsidR="00D216CE" w:rsidRPr="005B0CBD" w14:paraId="5592453A" w14:textId="77777777" w:rsidTr="00030D00">
        <w:trPr>
          <w:jc w:val="center"/>
        </w:trPr>
        <w:tc>
          <w:tcPr>
            <w:tcW w:w="908" w:type="dxa"/>
            <w:tcBorders>
              <w:top w:val="single" w:sz="12" w:space="0" w:color="008000"/>
              <w:bottom w:val="single" w:sz="6" w:space="0" w:color="008000"/>
            </w:tcBorders>
            <w:shd w:val="clear" w:color="auto" w:fill="FFFFFF"/>
          </w:tcPr>
          <w:p w14:paraId="40364E80" w14:textId="77777777" w:rsidR="00D216CE" w:rsidRPr="005B0CBD" w:rsidRDefault="00D216CE" w:rsidP="00030D00">
            <w:pPr>
              <w:jc w:val="center"/>
              <w:rPr>
                <w:rFonts w:ascii="Calibri" w:hAnsi="Calibri" w:cs="Calibri"/>
                <w:sz w:val="16"/>
                <w:lang w:val="en-US"/>
              </w:rPr>
            </w:pPr>
            <w:r w:rsidRPr="005B0CBD">
              <w:rPr>
                <w:rFonts w:ascii="Calibri" w:hAnsi="Calibri" w:cs="Calibri"/>
                <w:sz w:val="16"/>
                <w:lang w:val="en-US"/>
              </w:rPr>
              <w:t>ESD</w:t>
            </w:r>
          </w:p>
          <w:p w14:paraId="7E6E5665" w14:textId="77777777" w:rsidR="00D216CE" w:rsidRPr="005B0CBD" w:rsidRDefault="00D216CE" w:rsidP="00030D00">
            <w:pPr>
              <w:jc w:val="center"/>
              <w:rPr>
                <w:rFonts w:ascii="Calibri" w:hAnsi="Calibri" w:cs="Calibri"/>
                <w:sz w:val="16"/>
              </w:rPr>
            </w:pPr>
            <w:r w:rsidRPr="005B0CBD">
              <w:rPr>
                <w:rFonts w:ascii="Calibri" w:hAnsi="Calibri" w:cs="Calibri"/>
                <w:sz w:val="16"/>
                <w:lang w:val="en-US"/>
              </w:rPr>
              <w:t>X1 (or gate)</w:t>
            </w:r>
          </w:p>
        </w:tc>
        <w:tc>
          <w:tcPr>
            <w:tcW w:w="2002" w:type="dxa"/>
            <w:tcBorders>
              <w:top w:val="single" w:sz="12" w:space="0" w:color="008000"/>
              <w:bottom w:val="single" w:sz="6" w:space="0" w:color="008000"/>
            </w:tcBorders>
            <w:shd w:val="clear" w:color="auto" w:fill="FFFFFF"/>
          </w:tcPr>
          <w:p w14:paraId="69F54EFC" w14:textId="77777777" w:rsidR="00D216CE" w:rsidRPr="005B0CBD" w:rsidRDefault="00D216CE" w:rsidP="00030D00">
            <w:pPr>
              <w:jc w:val="center"/>
              <w:rPr>
                <w:rFonts w:ascii="Calibri" w:hAnsi="Calibri" w:cs="Calibri"/>
                <w:sz w:val="16"/>
                <w:lang w:val="en-US"/>
              </w:rPr>
            </w:pPr>
            <w:r w:rsidRPr="005B0CBD">
              <w:rPr>
                <w:rFonts w:ascii="Calibri" w:hAnsi="Calibri" w:cs="Calibri"/>
                <w:sz w:val="16"/>
                <w:lang w:val="en-US"/>
              </w:rPr>
              <w:t xml:space="preserve">ESD (works – PD Tab.1) </w:t>
            </w:r>
          </w:p>
          <w:p w14:paraId="02E401C7" w14:textId="77777777" w:rsidR="00D216CE" w:rsidRPr="005B0CBD" w:rsidRDefault="00D216CE" w:rsidP="00030D00">
            <w:pPr>
              <w:jc w:val="center"/>
              <w:rPr>
                <w:rFonts w:ascii="Calibri" w:hAnsi="Calibri" w:cs="Calibri"/>
                <w:sz w:val="16"/>
              </w:rPr>
            </w:pPr>
            <w:r w:rsidRPr="005B0CBD">
              <w:rPr>
                <w:rFonts w:ascii="Calibri" w:hAnsi="Calibri" w:cs="Calibri"/>
                <w:sz w:val="16"/>
                <w:lang w:val="en-US"/>
              </w:rPr>
              <w:t>X1 (works - inference)</w:t>
            </w:r>
          </w:p>
        </w:tc>
        <w:tc>
          <w:tcPr>
            <w:tcW w:w="1881" w:type="dxa"/>
            <w:tcBorders>
              <w:top w:val="single" w:sz="12" w:space="0" w:color="008000"/>
              <w:bottom w:val="single" w:sz="6" w:space="0" w:color="008000"/>
            </w:tcBorders>
            <w:shd w:val="clear" w:color="auto" w:fill="FFFFFF"/>
          </w:tcPr>
          <w:p w14:paraId="0024D5CF" w14:textId="77777777" w:rsidR="00D216CE" w:rsidRPr="005B0CBD" w:rsidRDefault="00D216CE" w:rsidP="00030D00">
            <w:pPr>
              <w:jc w:val="center"/>
              <w:rPr>
                <w:rFonts w:ascii="Calibri" w:hAnsi="Calibri" w:cs="Calibri"/>
                <w:sz w:val="16"/>
              </w:rPr>
            </w:pPr>
            <w:r w:rsidRPr="005B0CBD">
              <w:rPr>
                <w:rFonts w:ascii="Calibri" w:hAnsi="Calibri" w:cs="Calibri"/>
                <w:sz w:val="16"/>
              </w:rPr>
              <w:t>ESD (works – PD Tab. 1)</w:t>
            </w:r>
          </w:p>
          <w:p w14:paraId="202B279E" w14:textId="77777777" w:rsidR="00D216CE" w:rsidRPr="005B0CBD" w:rsidRDefault="00D216CE" w:rsidP="00030D00">
            <w:pPr>
              <w:jc w:val="center"/>
              <w:rPr>
                <w:rFonts w:ascii="Calibri" w:hAnsi="Calibri" w:cs="Calibri"/>
                <w:sz w:val="16"/>
              </w:rPr>
            </w:pPr>
            <w:r w:rsidRPr="005B0CBD">
              <w:rPr>
                <w:rFonts w:ascii="Calibri" w:hAnsi="Calibri" w:cs="Calibri"/>
                <w:sz w:val="16"/>
              </w:rPr>
              <w:t>X1 (fails - inference)</w:t>
            </w:r>
          </w:p>
        </w:tc>
        <w:tc>
          <w:tcPr>
            <w:tcW w:w="2100" w:type="dxa"/>
            <w:tcBorders>
              <w:top w:val="single" w:sz="12" w:space="0" w:color="008000"/>
              <w:bottom w:val="single" w:sz="6" w:space="0" w:color="008000"/>
            </w:tcBorders>
            <w:shd w:val="clear" w:color="auto" w:fill="FFFFFF"/>
          </w:tcPr>
          <w:p w14:paraId="329B9277" w14:textId="77777777" w:rsidR="00D216CE" w:rsidRPr="005B0CBD" w:rsidRDefault="00D216CE" w:rsidP="00030D00">
            <w:pPr>
              <w:jc w:val="center"/>
              <w:rPr>
                <w:rFonts w:ascii="Calibri" w:hAnsi="Calibri" w:cs="Calibri"/>
                <w:sz w:val="16"/>
                <w:lang w:val="en-US"/>
              </w:rPr>
            </w:pPr>
            <w:r w:rsidRPr="005B0CBD">
              <w:rPr>
                <w:rFonts w:ascii="Calibri" w:hAnsi="Calibri" w:cs="Calibri"/>
                <w:sz w:val="16"/>
                <w:lang w:val="en-US"/>
              </w:rPr>
              <w:t>ESD (fails – marginal Tab.1)</w:t>
            </w:r>
          </w:p>
          <w:p w14:paraId="154EA00C" w14:textId="77777777" w:rsidR="00D216CE" w:rsidRPr="005B0CBD" w:rsidRDefault="00D216CE" w:rsidP="00030D00">
            <w:pPr>
              <w:jc w:val="center"/>
              <w:rPr>
                <w:rFonts w:ascii="Calibri" w:hAnsi="Calibri" w:cs="Calibri"/>
                <w:sz w:val="16"/>
                <w:lang w:val="en-US"/>
              </w:rPr>
            </w:pPr>
            <w:r w:rsidRPr="005B0CBD">
              <w:rPr>
                <w:rFonts w:ascii="Calibri" w:hAnsi="Calibri" w:cs="Calibri"/>
                <w:sz w:val="16"/>
                <w:lang w:val="en-US"/>
              </w:rPr>
              <w:t>X1 (works - inference)</w:t>
            </w:r>
          </w:p>
        </w:tc>
        <w:tc>
          <w:tcPr>
            <w:tcW w:w="1896" w:type="dxa"/>
            <w:tcBorders>
              <w:top w:val="single" w:sz="12" w:space="0" w:color="008000"/>
              <w:bottom w:val="single" w:sz="6" w:space="0" w:color="008000"/>
            </w:tcBorders>
            <w:shd w:val="clear" w:color="auto" w:fill="FFFFFF"/>
          </w:tcPr>
          <w:p w14:paraId="045EA469" w14:textId="77777777" w:rsidR="00D216CE" w:rsidRPr="005B0CBD" w:rsidRDefault="00D216CE" w:rsidP="00030D00">
            <w:pPr>
              <w:jc w:val="center"/>
              <w:rPr>
                <w:rFonts w:ascii="Calibri" w:hAnsi="Calibri" w:cs="Calibri"/>
                <w:sz w:val="16"/>
                <w:lang w:val="en-US"/>
              </w:rPr>
            </w:pPr>
            <w:r w:rsidRPr="005B0CBD">
              <w:rPr>
                <w:rFonts w:ascii="Calibri" w:hAnsi="Calibri" w:cs="Calibri"/>
                <w:sz w:val="16"/>
                <w:lang w:val="en-US"/>
              </w:rPr>
              <w:t>ESD (fails – marginal Tab.1)</w:t>
            </w:r>
          </w:p>
          <w:p w14:paraId="3DD5FE87" w14:textId="77777777" w:rsidR="00D216CE" w:rsidRPr="005B0CBD" w:rsidRDefault="00D216CE" w:rsidP="00030D00">
            <w:pPr>
              <w:jc w:val="center"/>
              <w:rPr>
                <w:rFonts w:ascii="Calibri" w:hAnsi="Calibri" w:cs="Calibri"/>
                <w:sz w:val="16"/>
                <w:lang w:val="en-US"/>
              </w:rPr>
            </w:pPr>
            <w:r w:rsidRPr="005B0CBD">
              <w:rPr>
                <w:rFonts w:ascii="Calibri" w:hAnsi="Calibri" w:cs="Calibri"/>
                <w:sz w:val="16"/>
                <w:lang w:val="en-US"/>
              </w:rPr>
              <w:t>X1 (fails - inference)</w:t>
            </w:r>
          </w:p>
        </w:tc>
      </w:tr>
      <w:tr w:rsidR="00D216CE" w:rsidRPr="005B0CBD" w14:paraId="05E0DD07" w14:textId="77777777" w:rsidTr="00030D00">
        <w:trPr>
          <w:jc w:val="center"/>
        </w:trPr>
        <w:tc>
          <w:tcPr>
            <w:tcW w:w="908" w:type="dxa"/>
            <w:shd w:val="clear" w:color="auto" w:fill="FFFFFF"/>
          </w:tcPr>
          <w:p w14:paraId="6776A726" w14:textId="77777777" w:rsidR="00D216CE" w:rsidRPr="005B0CBD" w:rsidRDefault="00D216CE" w:rsidP="00030D00">
            <w:pPr>
              <w:jc w:val="center"/>
              <w:rPr>
                <w:rFonts w:ascii="Calibri" w:hAnsi="Calibri" w:cs="Calibri"/>
                <w:sz w:val="16"/>
              </w:rPr>
            </w:pPr>
          </w:p>
          <w:p w14:paraId="4DF737EB" w14:textId="77777777" w:rsidR="00D216CE" w:rsidRPr="005B0CBD" w:rsidRDefault="00D216CE" w:rsidP="00030D00">
            <w:pPr>
              <w:jc w:val="center"/>
              <w:rPr>
                <w:rFonts w:ascii="Calibri" w:hAnsi="Calibri" w:cs="Calibri"/>
                <w:sz w:val="16"/>
              </w:rPr>
            </w:pPr>
            <w:r w:rsidRPr="005B0CBD">
              <w:rPr>
                <w:rFonts w:ascii="Calibri" w:hAnsi="Calibri" w:cs="Calibri"/>
                <w:sz w:val="16"/>
              </w:rPr>
              <w:t>LNG (works)</w:t>
            </w:r>
          </w:p>
          <w:p w14:paraId="2029076B" w14:textId="77777777" w:rsidR="00D216CE" w:rsidRPr="005B0CBD" w:rsidRDefault="00D216CE" w:rsidP="00030D00">
            <w:pPr>
              <w:jc w:val="center"/>
              <w:rPr>
                <w:rFonts w:ascii="Calibri" w:hAnsi="Calibri" w:cs="Calibri"/>
                <w:sz w:val="16"/>
              </w:rPr>
            </w:pPr>
          </w:p>
        </w:tc>
        <w:tc>
          <w:tcPr>
            <w:tcW w:w="2002" w:type="dxa"/>
            <w:shd w:val="clear" w:color="auto" w:fill="FFFFFF"/>
          </w:tcPr>
          <w:p w14:paraId="610E4D90" w14:textId="77777777" w:rsidR="00D216CE" w:rsidRPr="005B0CBD" w:rsidRDefault="00D216CE" w:rsidP="00030D00">
            <w:pPr>
              <w:jc w:val="center"/>
              <w:rPr>
                <w:rFonts w:ascii="Calibri" w:hAnsi="Calibri" w:cs="Calibri"/>
                <w:sz w:val="16"/>
              </w:rPr>
            </w:pPr>
            <w:r w:rsidRPr="005B0CBD">
              <w:rPr>
                <w:rFonts w:ascii="Calibri" w:eastAsia="Calibri" w:hAnsi="Calibri"/>
                <w:noProof/>
                <w:sz w:val="20"/>
                <w:szCs w:val="22"/>
                <w:lang w:val="it-IT" w:eastAsia="it-IT"/>
              </w:rPr>
              <w:drawing>
                <wp:inline distT="0" distB="0" distL="0" distR="0" wp14:anchorId="2E827B6C" wp14:editId="5EC5B826">
                  <wp:extent cx="783167" cy="4646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4667" cy="489256"/>
                          </a:xfrm>
                          <a:prstGeom prst="rect">
                            <a:avLst/>
                          </a:prstGeom>
                        </pic:spPr>
                      </pic:pic>
                    </a:graphicData>
                  </a:graphic>
                </wp:inline>
              </w:drawing>
            </w:r>
          </w:p>
          <w:p w14:paraId="7CC28844" w14:textId="77777777" w:rsidR="00D216CE" w:rsidRPr="005B0CBD" w:rsidRDefault="00D216CE" w:rsidP="00030D00">
            <w:pPr>
              <w:jc w:val="center"/>
              <w:rPr>
                <w:rFonts w:ascii="Calibri" w:hAnsi="Calibri" w:cs="Calibri"/>
                <w:sz w:val="16"/>
              </w:rPr>
            </w:pPr>
            <w:r w:rsidRPr="005B0CBD">
              <w:rPr>
                <w:rFonts w:ascii="Calibri" w:hAnsi="Calibri" w:cs="Calibri"/>
                <w:sz w:val="16"/>
              </w:rPr>
              <w:t>1</w:t>
            </w:r>
          </w:p>
        </w:tc>
        <w:tc>
          <w:tcPr>
            <w:tcW w:w="1881" w:type="dxa"/>
            <w:shd w:val="clear" w:color="auto" w:fill="FFFFFF"/>
          </w:tcPr>
          <w:p w14:paraId="4DF29BAD" w14:textId="77777777" w:rsidR="00D216CE" w:rsidRPr="005B0CBD" w:rsidRDefault="00D216CE" w:rsidP="00030D00">
            <w:pPr>
              <w:jc w:val="center"/>
              <w:rPr>
                <w:rFonts w:ascii="Calibri" w:hAnsi="Calibri" w:cs="Calibri"/>
                <w:sz w:val="16"/>
              </w:rPr>
            </w:pPr>
            <w:r w:rsidRPr="005B0CBD">
              <w:rPr>
                <w:rFonts w:ascii="Calibri" w:hAnsi="Calibri" w:cs="Calibri"/>
                <w:noProof/>
                <w:sz w:val="16"/>
                <w:lang w:val="it-IT" w:eastAsia="it-IT"/>
              </w:rPr>
              <w:drawing>
                <wp:inline distT="0" distB="0" distL="0" distR="0" wp14:anchorId="62366271" wp14:editId="5B6B84AE">
                  <wp:extent cx="813448" cy="482600"/>
                  <wp:effectExtent l="0" t="0" r="571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37937" cy="497129"/>
                          </a:xfrm>
                          <a:prstGeom prst="rect">
                            <a:avLst/>
                          </a:prstGeom>
                        </pic:spPr>
                      </pic:pic>
                    </a:graphicData>
                  </a:graphic>
                </wp:inline>
              </w:drawing>
            </w:r>
          </w:p>
          <w:p w14:paraId="6F4B292A" w14:textId="77777777" w:rsidR="00D216CE" w:rsidRPr="005B0CBD" w:rsidRDefault="00D216CE" w:rsidP="00030D00">
            <w:pPr>
              <w:jc w:val="center"/>
              <w:rPr>
                <w:rFonts w:ascii="Calibri" w:hAnsi="Calibri" w:cs="Calibri"/>
                <w:sz w:val="16"/>
              </w:rPr>
            </w:pPr>
            <w:r w:rsidRPr="005B0CBD">
              <w:rPr>
                <w:rFonts w:ascii="Calibri" w:hAnsi="Calibri" w:cs="Calibri"/>
                <w:sz w:val="16"/>
              </w:rPr>
              <w:t>1</w:t>
            </w:r>
          </w:p>
        </w:tc>
        <w:tc>
          <w:tcPr>
            <w:tcW w:w="2100" w:type="dxa"/>
            <w:shd w:val="clear" w:color="auto" w:fill="FFFFFF"/>
          </w:tcPr>
          <w:p w14:paraId="317730FC" w14:textId="77777777" w:rsidR="00D216CE" w:rsidRPr="005B0CBD" w:rsidRDefault="00D216CE" w:rsidP="00030D00">
            <w:pPr>
              <w:jc w:val="center"/>
              <w:rPr>
                <w:rFonts w:ascii="Calibri" w:hAnsi="Calibri" w:cs="Calibri"/>
                <w:sz w:val="16"/>
              </w:rPr>
            </w:pPr>
            <w:r w:rsidRPr="005B0CBD">
              <w:rPr>
                <w:rFonts w:ascii="Calibri" w:hAnsi="Calibri" w:cs="Calibri"/>
                <w:noProof/>
                <w:sz w:val="16"/>
                <w:lang w:val="it-IT" w:eastAsia="it-IT"/>
              </w:rPr>
              <w:drawing>
                <wp:inline distT="0" distB="0" distL="0" distR="0" wp14:anchorId="46CDFC2D" wp14:editId="67501294">
                  <wp:extent cx="827720" cy="491067"/>
                  <wp:effectExtent l="0" t="0" r="0" b="444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4792" cy="507128"/>
                          </a:xfrm>
                          <a:prstGeom prst="rect">
                            <a:avLst/>
                          </a:prstGeom>
                        </pic:spPr>
                      </pic:pic>
                    </a:graphicData>
                  </a:graphic>
                </wp:inline>
              </w:drawing>
            </w:r>
          </w:p>
          <w:p w14:paraId="449F0FC9" w14:textId="77777777" w:rsidR="00D216CE" w:rsidRPr="005B0CBD" w:rsidRDefault="00D216CE" w:rsidP="00030D00">
            <w:pPr>
              <w:jc w:val="center"/>
              <w:rPr>
                <w:rFonts w:ascii="Calibri" w:hAnsi="Calibri" w:cs="Calibri"/>
                <w:sz w:val="16"/>
              </w:rPr>
            </w:pPr>
            <w:r w:rsidRPr="005B0CBD">
              <w:rPr>
                <w:rFonts w:ascii="Calibri" w:hAnsi="Calibri" w:cs="Calibri"/>
                <w:sz w:val="16"/>
              </w:rPr>
              <w:t>1</w:t>
            </w:r>
          </w:p>
        </w:tc>
        <w:tc>
          <w:tcPr>
            <w:tcW w:w="1896" w:type="dxa"/>
            <w:shd w:val="clear" w:color="auto" w:fill="FFFFFF"/>
          </w:tcPr>
          <w:p w14:paraId="252D5C80" w14:textId="77777777" w:rsidR="00D216CE" w:rsidRPr="005B0CBD" w:rsidRDefault="00D216CE" w:rsidP="00030D00">
            <w:pPr>
              <w:jc w:val="center"/>
              <w:rPr>
                <w:rFonts w:ascii="Calibri" w:hAnsi="Calibri" w:cs="Calibri"/>
                <w:sz w:val="16"/>
              </w:rPr>
            </w:pPr>
            <w:r w:rsidRPr="005B0CBD">
              <w:rPr>
                <w:rFonts w:ascii="Calibri" w:hAnsi="Calibri" w:cs="Calibri"/>
                <w:noProof/>
                <w:sz w:val="16"/>
                <w:lang w:val="it-IT" w:eastAsia="it-IT"/>
              </w:rPr>
              <w:drawing>
                <wp:inline distT="0" distB="0" distL="0" distR="0" wp14:anchorId="05E59581" wp14:editId="53A53241">
                  <wp:extent cx="847624" cy="499533"/>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3356" cy="520591"/>
                          </a:xfrm>
                          <a:prstGeom prst="rect">
                            <a:avLst/>
                          </a:prstGeom>
                        </pic:spPr>
                      </pic:pic>
                    </a:graphicData>
                  </a:graphic>
                </wp:inline>
              </w:drawing>
            </w:r>
          </w:p>
          <w:p w14:paraId="5842631B" w14:textId="77777777" w:rsidR="00D216CE" w:rsidRPr="005B0CBD" w:rsidRDefault="00D216CE" w:rsidP="00030D00">
            <w:pPr>
              <w:jc w:val="center"/>
              <w:rPr>
                <w:rFonts w:ascii="Calibri" w:hAnsi="Calibri" w:cs="Calibri"/>
                <w:sz w:val="16"/>
              </w:rPr>
            </w:pPr>
            <w:r w:rsidRPr="005B0CBD">
              <w:rPr>
                <w:rFonts w:ascii="Calibri" w:hAnsi="Calibri" w:cs="Calibri"/>
                <w:sz w:val="16"/>
              </w:rPr>
              <w:t>0</w:t>
            </w:r>
          </w:p>
        </w:tc>
      </w:tr>
      <w:tr w:rsidR="00D216CE" w:rsidRPr="005B0CBD" w14:paraId="1B0BCB49" w14:textId="77777777" w:rsidTr="00030D00">
        <w:trPr>
          <w:jc w:val="center"/>
        </w:trPr>
        <w:tc>
          <w:tcPr>
            <w:tcW w:w="908" w:type="dxa"/>
            <w:shd w:val="clear" w:color="auto" w:fill="FFFFFF"/>
          </w:tcPr>
          <w:p w14:paraId="1E8BFD55" w14:textId="77777777" w:rsidR="00D216CE" w:rsidRPr="005B0CBD" w:rsidRDefault="00D216CE" w:rsidP="00030D00">
            <w:pPr>
              <w:jc w:val="center"/>
              <w:rPr>
                <w:rFonts w:ascii="Calibri" w:hAnsi="Calibri" w:cs="Calibri"/>
                <w:sz w:val="16"/>
              </w:rPr>
            </w:pPr>
          </w:p>
          <w:p w14:paraId="7B826AA9" w14:textId="77777777" w:rsidR="00D216CE" w:rsidRPr="005B0CBD" w:rsidRDefault="00D216CE" w:rsidP="00030D00">
            <w:pPr>
              <w:jc w:val="center"/>
              <w:rPr>
                <w:rFonts w:ascii="Calibri" w:hAnsi="Calibri" w:cs="Calibri"/>
                <w:sz w:val="16"/>
              </w:rPr>
            </w:pPr>
            <w:r w:rsidRPr="005B0CBD">
              <w:rPr>
                <w:rFonts w:ascii="Calibri" w:hAnsi="Calibri" w:cs="Calibri"/>
                <w:sz w:val="16"/>
              </w:rPr>
              <w:t>LNG (fails)</w:t>
            </w:r>
          </w:p>
          <w:p w14:paraId="5542CBDB" w14:textId="77777777" w:rsidR="00D216CE" w:rsidRPr="005B0CBD" w:rsidRDefault="00D216CE" w:rsidP="00030D00">
            <w:pPr>
              <w:jc w:val="center"/>
              <w:rPr>
                <w:rFonts w:ascii="Calibri" w:hAnsi="Calibri" w:cs="Calibri"/>
                <w:sz w:val="16"/>
              </w:rPr>
            </w:pPr>
          </w:p>
        </w:tc>
        <w:tc>
          <w:tcPr>
            <w:tcW w:w="2002" w:type="dxa"/>
            <w:shd w:val="clear" w:color="auto" w:fill="FFFFFF"/>
          </w:tcPr>
          <w:p w14:paraId="7E937123" w14:textId="77777777" w:rsidR="00D216CE" w:rsidRPr="005B0CBD" w:rsidRDefault="00D216CE" w:rsidP="00030D00">
            <w:pPr>
              <w:jc w:val="center"/>
              <w:rPr>
                <w:rFonts w:ascii="Calibri" w:hAnsi="Calibri" w:cs="Calibri"/>
                <w:sz w:val="16"/>
              </w:rPr>
            </w:pPr>
            <w:r w:rsidRPr="005B0CBD">
              <w:rPr>
                <w:rFonts w:ascii="Calibri" w:eastAsia="Calibri" w:hAnsi="Calibri"/>
                <w:noProof/>
                <w:sz w:val="20"/>
                <w:szCs w:val="22"/>
                <w:lang w:val="it-IT" w:eastAsia="it-IT"/>
              </w:rPr>
              <w:drawing>
                <wp:inline distT="0" distB="0" distL="0" distR="0" wp14:anchorId="0385D0E4" wp14:editId="3FAB762C">
                  <wp:extent cx="872066" cy="513938"/>
                  <wp:effectExtent l="0" t="0" r="4445"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04194" cy="532872"/>
                          </a:xfrm>
                          <a:prstGeom prst="rect">
                            <a:avLst/>
                          </a:prstGeom>
                        </pic:spPr>
                      </pic:pic>
                    </a:graphicData>
                  </a:graphic>
                </wp:inline>
              </w:drawing>
            </w:r>
          </w:p>
          <w:p w14:paraId="79685116" w14:textId="77777777" w:rsidR="00D216CE" w:rsidRPr="005B0CBD" w:rsidRDefault="00D216CE" w:rsidP="00030D00">
            <w:pPr>
              <w:jc w:val="center"/>
              <w:rPr>
                <w:rFonts w:ascii="Calibri" w:hAnsi="Calibri" w:cs="Calibri"/>
                <w:sz w:val="16"/>
              </w:rPr>
            </w:pPr>
            <w:r w:rsidRPr="005B0CBD">
              <w:rPr>
                <w:rFonts w:ascii="Calibri" w:hAnsi="Calibri" w:cs="Calibri"/>
                <w:sz w:val="16"/>
              </w:rPr>
              <w:t>0</w:t>
            </w:r>
          </w:p>
        </w:tc>
        <w:tc>
          <w:tcPr>
            <w:tcW w:w="1881" w:type="dxa"/>
            <w:shd w:val="clear" w:color="auto" w:fill="FFFFFF"/>
          </w:tcPr>
          <w:p w14:paraId="31FB9F1F" w14:textId="77777777" w:rsidR="00D216CE" w:rsidRPr="005B0CBD" w:rsidRDefault="00D216CE" w:rsidP="00030D00">
            <w:pPr>
              <w:jc w:val="center"/>
              <w:rPr>
                <w:rFonts w:ascii="Calibri" w:hAnsi="Calibri" w:cs="Calibri"/>
                <w:sz w:val="16"/>
              </w:rPr>
            </w:pPr>
            <w:r w:rsidRPr="005B0CBD">
              <w:rPr>
                <w:rFonts w:ascii="Calibri" w:hAnsi="Calibri" w:cs="Calibri"/>
                <w:noProof/>
                <w:sz w:val="16"/>
                <w:lang w:val="it-IT" w:eastAsia="it-IT"/>
              </w:rPr>
              <w:drawing>
                <wp:inline distT="0" distB="0" distL="0" distR="0" wp14:anchorId="2FE14A6E" wp14:editId="70F12CA2">
                  <wp:extent cx="863600" cy="508948"/>
                  <wp:effectExtent l="0" t="0" r="0" b="571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82423" cy="520041"/>
                          </a:xfrm>
                          <a:prstGeom prst="rect">
                            <a:avLst/>
                          </a:prstGeom>
                        </pic:spPr>
                      </pic:pic>
                    </a:graphicData>
                  </a:graphic>
                </wp:inline>
              </w:drawing>
            </w:r>
          </w:p>
          <w:p w14:paraId="1D1431EB" w14:textId="77777777" w:rsidR="00D216CE" w:rsidRPr="005B0CBD" w:rsidRDefault="00D216CE" w:rsidP="00030D00">
            <w:pPr>
              <w:jc w:val="center"/>
              <w:rPr>
                <w:rFonts w:ascii="Calibri" w:hAnsi="Calibri" w:cs="Calibri"/>
                <w:sz w:val="16"/>
              </w:rPr>
            </w:pPr>
            <w:r w:rsidRPr="005B0CBD">
              <w:rPr>
                <w:rFonts w:ascii="Calibri" w:hAnsi="Calibri" w:cs="Calibri"/>
                <w:sz w:val="16"/>
              </w:rPr>
              <w:t>0</w:t>
            </w:r>
          </w:p>
        </w:tc>
        <w:tc>
          <w:tcPr>
            <w:tcW w:w="2100" w:type="dxa"/>
            <w:shd w:val="clear" w:color="auto" w:fill="FFFFFF"/>
          </w:tcPr>
          <w:p w14:paraId="2ACBCD0E" w14:textId="77777777" w:rsidR="00D216CE" w:rsidRPr="005B0CBD" w:rsidRDefault="00D216CE" w:rsidP="00030D00">
            <w:pPr>
              <w:jc w:val="center"/>
              <w:rPr>
                <w:rFonts w:ascii="Calibri" w:hAnsi="Calibri" w:cs="Calibri"/>
                <w:sz w:val="16"/>
              </w:rPr>
            </w:pPr>
            <w:r w:rsidRPr="005B0CBD">
              <w:rPr>
                <w:rFonts w:ascii="Calibri" w:hAnsi="Calibri" w:cs="Calibri"/>
                <w:noProof/>
                <w:sz w:val="16"/>
                <w:lang w:val="it-IT" w:eastAsia="it-IT"/>
              </w:rPr>
              <w:drawing>
                <wp:inline distT="0" distB="0" distL="0" distR="0" wp14:anchorId="6F4A3869" wp14:editId="0D631433">
                  <wp:extent cx="876300" cy="516433"/>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98667" cy="529615"/>
                          </a:xfrm>
                          <a:prstGeom prst="rect">
                            <a:avLst/>
                          </a:prstGeom>
                        </pic:spPr>
                      </pic:pic>
                    </a:graphicData>
                  </a:graphic>
                </wp:inline>
              </w:drawing>
            </w:r>
          </w:p>
          <w:p w14:paraId="67864CE7" w14:textId="77777777" w:rsidR="00D216CE" w:rsidRPr="005B0CBD" w:rsidRDefault="00D216CE" w:rsidP="00030D00">
            <w:pPr>
              <w:jc w:val="center"/>
              <w:rPr>
                <w:rFonts w:ascii="Calibri" w:hAnsi="Calibri" w:cs="Calibri"/>
                <w:sz w:val="16"/>
              </w:rPr>
            </w:pPr>
            <w:r w:rsidRPr="005B0CBD">
              <w:rPr>
                <w:rFonts w:ascii="Calibri" w:hAnsi="Calibri" w:cs="Calibri"/>
                <w:sz w:val="16"/>
              </w:rPr>
              <w:t>0</w:t>
            </w:r>
          </w:p>
        </w:tc>
        <w:tc>
          <w:tcPr>
            <w:tcW w:w="1896" w:type="dxa"/>
            <w:shd w:val="clear" w:color="auto" w:fill="FFFFFF"/>
          </w:tcPr>
          <w:p w14:paraId="26412A50" w14:textId="77777777" w:rsidR="00D216CE" w:rsidRPr="005B0CBD" w:rsidRDefault="00D216CE" w:rsidP="00030D00">
            <w:pPr>
              <w:jc w:val="center"/>
              <w:rPr>
                <w:rFonts w:ascii="Calibri" w:hAnsi="Calibri" w:cs="Calibri"/>
                <w:sz w:val="16"/>
              </w:rPr>
            </w:pPr>
            <w:r w:rsidRPr="005B0CBD">
              <w:rPr>
                <w:rFonts w:ascii="Calibri" w:hAnsi="Calibri" w:cs="Calibri"/>
                <w:noProof/>
                <w:sz w:val="16"/>
                <w:lang w:val="it-IT" w:eastAsia="it-IT"/>
              </w:rPr>
              <w:drawing>
                <wp:inline distT="0" distB="0" distL="0" distR="0" wp14:anchorId="2D0AAC57" wp14:editId="0D8247D8">
                  <wp:extent cx="829734" cy="492262"/>
                  <wp:effectExtent l="0" t="0" r="8890" b="317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59258" cy="509778"/>
                          </a:xfrm>
                          <a:prstGeom prst="rect">
                            <a:avLst/>
                          </a:prstGeom>
                        </pic:spPr>
                      </pic:pic>
                    </a:graphicData>
                  </a:graphic>
                </wp:inline>
              </w:drawing>
            </w:r>
          </w:p>
          <w:p w14:paraId="2D010439" w14:textId="77777777" w:rsidR="00D216CE" w:rsidRPr="005B0CBD" w:rsidRDefault="00D216CE" w:rsidP="00030D00">
            <w:pPr>
              <w:jc w:val="center"/>
              <w:rPr>
                <w:rFonts w:ascii="Calibri" w:hAnsi="Calibri" w:cs="Calibri"/>
                <w:sz w:val="16"/>
              </w:rPr>
            </w:pPr>
            <w:r w:rsidRPr="005B0CBD">
              <w:rPr>
                <w:rFonts w:ascii="Calibri" w:hAnsi="Calibri" w:cs="Calibri"/>
                <w:sz w:val="16"/>
              </w:rPr>
              <w:t>1</w:t>
            </w:r>
          </w:p>
        </w:tc>
      </w:tr>
    </w:tbl>
    <w:p w14:paraId="6896DA7E" w14:textId="0B9F4031" w:rsidR="008F127E" w:rsidRDefault="008F127E" w:rsidP="008F127E">
      <w:pPr>
        <w:pStyle w:val="CETHeading1"/>
        <w:numPr>
          <w:ilvl w:val="0"/>
          <w:numId w:val="0"/>
        </w:numPr>
        <w:jc w:val="both"/>
        <w:rPr>
          <w:b w:val="0"/>
          <w:sz w:val="18"/>
          <w:lang w:val="en-GB"/>
        </w:rPr>
      </w:pPr>
      <w:r w:rsidRPr="002A3427">
        <w:rPr>
          <w:b w:val="0"/>
          <w:sz w:val="18"/>
          <w:lang w:val="en-GB"/>
        </w:rPr>
        <w:lastRenderedPageBreak/>
        <w:t xml:space="preserve">According to the logic framework previously outlined, root failures (leaks from flanges, valves, breakage or detachment of the hose, </w:t>
      </w:r>
      <w:r>
        <w:rPr>
          <w:b w:val="0"/>
          <w:sz w:val="18"/>
          <w:lang w:val="en-GB"/>
        </w:rPr>
        <w:t>etc.</w:t>
      </w:r>
      <w:r w:rsidRPr="002A3427">
        <w:rPr>
          <w:b w:val="0"/>
          <w:sz w:val="18"/>
          <w:lang w:val="en-GB"/>
        </w:rPr>
        <w:t xml:space="preserve">) are correlated with the trend of critical process variables (temperature, pressure, as monitored by the control system) through a hidden state Markov model (HMM). The sequences predicted by the HMM, are integrated in the form of evidences into the HBN, which consequently updates the risk parameters, as visualized in the Tables </w:t>
      </w:r>
      <w:r w:rsidR="006A6A0F">
        <w:rPr>
          <w:b w:val="0"/>
          <w:sz w:val="18"/>
          <w:lang w:val="en-GB"/>
        </w:rPr>
        <w:t>2</w:t>
      </w:r>
      <w:r w:rsidRPr="002A3427">
        <w:rPr>
          <w:b w:val="0"/>
          <w:sz w:val="18"/>
          <w:lang w:val="en-GB"/>
        </w:rPr>
        <w:t>-3.</w:t>
      </w:r>
    </w:p>
    <w:p w14:paraId="1A7A6AB1" w14:textId="5FC31803" w:rsidR="005B0CBD" w:rsidRPr="00B4483E" w:rsidRDefault="005B0CBD" w:rsidP="005B0CBD">
      <w:pPr>
        <w:pStyle w:val="CETTabletitle"/>
      </w:pPr>
      <w:r w:rsidRPr="00C339B1">
        <w:t xml:space="preserve">Table </w:t>
      </w:r>
      <w:r w:rsidR="006A6A0F">
        <w:t>2</w:t>
      </w:r>
      <w:r w:rsidRPr="00C339B1">
        <w:t>: R</w:t>
      </w:r>
      <w:r>
        <w:t>oot events probabilities update</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81"/>
        <w:gridCol w:w="1418"/>
        <w:gridCol w:w="1417"/>
        <w:gridCol w:w="1985"/>
      </w:tblGrid>
      <w:tr w:rsidR="005B0CBD" w:rsidRPr="005B0CBD" w14:paraId="03A1026D" w14:textId="77777777" w:rsidTr="003762AA">
        <w:trPr>
          <w:jc w:val="center"/>
        </w:trPr>
        <w:tc>
          <w:tcPr>
            <w:tcW w:w="1381" w:type="dxa"/>
            <w:tcBorders>
              <w:top w:val="single" w:sz="12" w:space="0" w:color="008000"/>
              <w:bottom w:val="single" w:sz="6" w:space="0" w:color="008000"/>
            </w:tcBorders>
            <w:shd w:val="clear" w:color="auto" w:fill="FFFFFF"/>
          </w:tcPr>
          <w:p w14:paraId="7E0485E6"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lang w:val="en-US"/>
              </w:rPr>
              <w:t>Stage</w:t>
            </w:r>
          </w:p>
        </w:tc>
        <w:tc>
          <w:tcPr>
            <w:tcW w:w="1418" w:type="dxa"/>
            <w:tcBorders>
              <w:top w:val="single" w:sz="12" w:space="0" w:color="008000"/>
              <w:bottom w:val="single" w:sz="6" w:space="0" w:color="008000"/>
            </w:tcBorders>
            <w:shd w:val="clear" w:color="auto" w:fill="FFFFFF"/>
          </w:tcPr>
          <w:p w14:paraId="0E91B188"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lang w:val="en-US"/>
              </w:rPr>
              <w:t>Expected probability</w:t>
            </w:r>
          </w:p>
        </w:tc>
        <w:tc>
          <w:tcPr>
            <w:tcW w:w="1417" w:type="dxa"/>
            <w:tcBorders>
              <w:top w:val="single" w:sz="12" w:space="0" w:color="008000"/>
              <w:bottom w:val="single" w:sz="6" w:space="0" w:color="008000"/>
            </w:tcBorders>
            <w:shd w:val="clear" w:color="auto" w:fill="FFFFFF"/>
          </w:tcPr>
          <w:p w14:paraId="06547451"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State</w:t>
            </w:r>
          </w:p>
        </w:tc>
        <w:tc>
          <w:tcPr>
            <w:tcW w:w="1985" w:type="dxa"/>
            <w:tcBorders>
              <w:top w:val="single" w:sz="12" w:space="0" w:color="008000"/>
              <w:bottom w:val="single" w:sz="6" w:space="0" w:color="008000"/>
            </w:tcBorders>
            <w:shd w:val="clear" w:color="auto" w:fill="FFFFFF"/>
          </w:tcPr>
          <w:p w14:paraId="70FF0CF5" w14:textId="77777777" w:rsidR="005B0CBD" w:rsidRPr="005B0CBD" w:rsidRDefault="005B0CBD" w:rsidP="00AD15F7">
            <w:pPr>
              <w:ind w:left="-1134" w:firstLine="1134"/>
              <w:jc w:val="center"/>
              <w:rPr>
                <w:rFonts w:ascii="Calibri" w:hAnsi="Calibri" w:cs="Calibri"/>
                <w:sz w:val="16"/>
                <w:lang w:val="en-US"/>
              </w:rPr>
            </w:pPr>
            <w:r w:rsidRPr="005B0CBD">
              <w:rPr>
                <w:rFonts w:ascii="Calibri" w:hAnsi="Calibri" w:cs="Calibri"/>
                <w:sz w:val="16"/>
                <w:lang w:val="en-US"/>
              </w:rPr>
              <w:t>PDF</w:t>
            </w:r>
          </w:p>
        </w:tc>
      </w:tr>
      <w:tr w:rsidR="005B0CBD" w:rsidRPr="005B0CBD" w14:paraId="1FA36BC5" w14:textId="77777777" w:rsidTr="003762AA">
        <w:trPr>
          <w:jc w:val="center"/>
        </w:trPr>
        <w:tc>
          <w:tcPr>
            <w:tcW w:w="1381" w:type="dxa"/>
            <w:shd w:val="clear" w:color="auto" w:fill="FFFFFF"/>
          </w:tcPr>
          <w:p w14:paraId="52E6C6F8" w14:textId="77777777" w:rsidR="005B0CBD" w:rsidRPr="005B0CBD" w:rsidRDefault="005B0CBD" w:rsidP="00AD15F7">
            <w:pPr>
              <w:ind w:left="-1134" w:firstLine="1134"/>
              <w:jc w:val="center"/>
              <w:rPr>
                <w:rFonts w:ascii="Calibri" w:hAnsi="Calibri" w:cs="Calibri"/>
                <w:sz w:val="16"/>
              </w:rPr>
            </w:pPr>
          </w:p>
          <w:p w14:paraId="7A6BFAD9"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ESD (works)</w:t>
            </w:r>
          </w:p>
          <w:p w14:paraId="1B83401C" w14:textId="77777777" w:rsidR="005B0CBD" w:rsidRPr="005B0CBD" w:rsidRDefault="005B0CBD" w:rsidP="00AD15F7">
            <w:pPr>
              <w:ind w:left="-1134" w:firstLine="1134"/>
              <w:jc w:val="center"/>
              <w:rPr>
                <w:rFonts w:ascii="Calibri" w:hAnsi="Calibri" w:cs="Calibri"/>
                <w:sz w:val="16"/>
              </w:rPr>
            </w:pPr>
          </w:p>
        </w:tc>
        <w:tc>
          <w:tcPr>
            <w:tcW w:w="1418" w:type="dxa"/>
            <w:shd w:val="clear" w:color="auto" w:fill="FFFFFF"/>
          </w:tcPr>
          <w:p w14:paraId="153F2D98" w14:textId="77777777" w:rsidR="005B0CBD" w:rsidRPr="005B0CBD" w:rsidRDefault="005B0CBD" w:rsidP="00AD15F7">
            <w:pPr>
              <w:ind w:left="-1134" w:firstLine="1134"/>
              <w:jc w:val="center"/>
              <w:rPr>
                <w:rFonts w:ascii="Calibri" w:hAnsi="Calibri" w:cs="Calibri"/>
                <w:sz w:val="16"/>
              </w:rPr>
            </w:pPr>
          </w:p>
          <w:p w14:paraId="33C4D545"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0.99998</w:t>
            </w:r>
          </w:p>
        </w:tc>
        <w:tc>
          <w:tcPr>
            <w:tcW w:w="1417" w:type="dxa"/>
            <w:shd w:val="clear" w:color="auto" w:fill="FFFFFF"/>
          </w:tcPr>
          <w:p w14:paraId="2136829F" w14:textId="77777777" w:rsidR="005B0CBD" w:rsidRPr="005B0CBD" w:rsidRDefault="005B0CBD" w:rsidP="00AD15F7">
            <w:pPr>
              <w:ind w:left="-1134" w:firstLine="1134"/>
              <w:jc w:val="center"/>
              <w:rPr>
                <w:rFonts w:ascii="Calibri" w:hAnsi="Calibri" w:cs="Calibri"/>
                <w:sz w:val="16"/>
              </w:rPr>
            </w:pPr>
          </w:p>
          <w:p w14:paraId="433DDD56"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Safe</w:t>
            </w:r>
          </w:p>
        </w:tc>
        <w:tc>
          <w:tcPr>
            <w:tcW w:w="1985" w:type="dxa"/>
            <w:shd w:val="clear" w:color="auto" w:fill="FFFFFF"/>
          </w:tcPr>
          <w:p w14:paraId="37610256" w14:textId="278DEF03" w:rsidR="005B0CBD" w:rsidRPr="005B0CBD" w:rsidRDefault="005B0CBD" w:rsidP="00AD15F7">
            <w:pPr>
              <w:ind w:left="-1134" w:firstLine="1134"/>
              <w:jc w:val="center"/>
              <w:rPr>
                <w:rFonts w:ascii="Calibri" w:hAnsi="Calibri" w:cs="Calibri"/>
                <w:sz w:val="16"/>
                <w:lang w:val="en-US"/>
              </w:rPr>
            </w:pPr>
            <w:r w:rsidRPr="005B0CBD">
              <w:rPr>
                <w:rFonts w:ascii="Calibri" w:eastAsia="Calibri" w:hAnsi="Calibri"/>
                <w:noProof/>
                <w:sz w:val="20"/>
                <w:szCs w:val="22"/>
                <w:lang w:val="it-IT" w:eastAsia="it-IT"/>
              </w:rPr>
              <w:drawing>
                <wp:inline distT="0" distB="0" distL="0" distR="0" wp14:anchorId="3EA7A407" wp14:editId="404C675A">
                  <wp:extent cx="627925" cy="372533"/>
                  <wp:effectExtent l="0" t="0" r="1270" b="889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8319" cy="390565"/>
                          </a:xfrm>
                          <a:prstGeom prst="rect">
                            <a:avLst/>
                          </a:prstGeom>
                        </pic:spPr>
                      </pic:pic>
                    </a:graphicData>
                  </a:graphic>
                </wp:inline>
              </w:drawing>
            </w:r>
          </w:p>
        </w:tc>
      </w:tr>
      <w:tr w:rsidR="005B0CBD" w:rsidRPr="005B0CBD" w14:paraId="23A55625" w14:textId="77777777" w:rsidTr="003762AA">
        <w:trPr>
          <w:jc w:val="center"/>
        </w:trPr>
        <w:tc>
          <w:tcPr>
            <w:tcW w:w="1381" w:type="dxa"/>
            <w:shd w:val="clear" w:color="auto" w:fill="FFFFFF"/>
          </w:tcPr>
          <w:p w14:paraId="5B6A25D4" w14:textId="77777777" w:rsidR="005B0CBD" w:rsidRPr="005B0CBD" w:rsidRDefault="005B0CBD" w:rsidP="00AD15F7">
            <w:pPr>
              <w:ind w:left="-1134" w:firstLine="1134"/>
              <w:jc w:val="center"/>
              <w:rPr>
                <w:rFonts w:ascii="Calibri" w:hAnsi="Calibri" w:cs="Calibri"/>
                <w:sz w:val="16"/>
              </w:rPr>
            </w:pPr>
          </w:p>
          <w:p w14:paraId="123A17E0"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Hose (works)</w:t>
            </w:r>
          </w:p>
          <w:p w14:paraId="59B2A864" w14:textId="77777777" w:rsidR="005B0CBD" w:rsidRPr="005B0CBD" w:rsidRDefault="005B0CBD" w:rsidP="00AD15F7">
            <w:pPr>
              <w:ind w:left="-1134" w:firstLine="1134"/>
              <w:jc w:val="center"/>
              <w:rPr>
                <w:rFonts w:ascii="Calibri" w:hAnsi="Calibri" w:cs="Calibri"/>
                <w:sz w:val="16"/>
              </w:rPr>
            </w:pPr>
          </w:p>
        </w:tc>
        <w:tc>
          <w:tcPr>
            <w:tcW w:w="1418" w:type="dxa"/>
            <w:shd w:val="clear" w:color="auto" w:fill="FFFFFF"/>
          </w:tcPr>
          <w:p w14:paraId="35F2F120" w14:textId="77777777" w:rsidR="005B0CBD" w:rsidRPr="005B0CBD" w:rsidRDefault="005B0CBD" w:rsidP="00AD15F7">
            <w:pPr>
              <w:ind w:left="-1134" w:firstLine="1134"/>
              <w:jc w:val="center"/>
              <w:rPr>
                <w:rFonts w:ascii="Calibri" w:hAnsi="Calibri" w:cs="Calibri"/>
                <w:sz w:val="16"/>
              </w:rPr>
            </w:pPr>
          </w:p>
          <w:p w14:paraId="44192893"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1</w:t>
            </w:r>
          </w:p>
        </w:tc>
        <w:tc>
          <w:tcPr>
            <w:tcW w:w="1417" w:type="dxa"/>
            <w:shd w:val="clear" w:color="auto" w:fill="FFFFFF"/>
          </w:tcPr>
          <w:p w14:paraId="143661FA" w14:textId="77777777" w:rsidR="005B0CBD" w:rsidRPr="005B0CBD" w:rsidRDefault="005B0CBD" w:rsidP="00AD15F7">
            <w:pPr>
              <w:ind w:left="-1134" w:firstLine="1134"/>
              <w:jc w:val="center"/>
              <w:rPr>
                <w:rFonts w:ascii="Calibri" w:hAnsi="Calibri" w:cs="Calibri"/>
                <w:sz w:val="16"/>
              </w:rPr>
            </w:pPr>
          </w:p>
          <w:p w14:paraId="05596DBE"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Safe</w:t>
            </w:r>
          </w:p>
        </w:tc>
        <w:tc>
          <w:tcPr>
            <w:tcW w:w="1985" w:type="dxa"/>
            <w:shd w:val="clear" w:color="auto" w:fill="FFFFFF"/>
          </w:tcPr>
          <w:p w14:paraId="52D3D529" w14:textId="1F081373" w:rsidR="005B0CBD" w:rsidRPr="005B0CBD" w:rsidRDefault="005B0CBD" w:rsidP="00AD15F7">
            <w:pPr>
              <w:ind w:left="-1134" w:firstLine="1134"/>
              <w:jc w:val="center"/>
              <w:rPr>
                <w:rFonts w:ascii="Calibri" w:hAnsi="Calibri" w:cs="Calibri"/>
                <w:sz w:val="16"/>
                <w:lang w:val="en-US"/>
              </w:rPr>
            </w:pPr>
            <w:r w:rsidRPr="005B0CBD">
              <w:rPr>
                <w:rFonts w:ascii="Calibri" w:eastAsia="Calibri" w:hAnsi="Calibri"/>
                <w:noProof/>
                <w:sz w:val="20"/>
                <w:szCs w:val="22"/>
                <w:lang w:val="it-IT" w:eastAsia="it-IT"/>
              </w:rPr>
              <w:drawing>
                <wp:inline distT="0" distB="0" distL="0" distR="0" wp14:anchorId="4E25B41F" wp14:editId="177BED98">
                  <wp:extent cx="660400" cy="391869"/>
                  <wp:effectExtent l="0" t="0" r="6350" b="825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9348" cy="409046"/>
                          </a:xfrm>
                          <a:prstGeom prst="rect">
                            <a:avLst/>
                          </a:prstGeom>
                        </pic:spPr>
                      </pic:pic>
                    </a:graphicData>
                  </a:graphic>
                </wp:inline>
              </w:drawing>
            </w:r>
          </w:p>
        </w:tc>
      </w:tr>
      <w:tr w:rsidR="005B0CBD" w:rsidRPr="005B0CBD" w14:paraId="1EE3769F" w14:textId="77777777" w:rsidTr="003762AA">
        <w:trPr>
          <w:jc w:val="center"/>
        </w:trPr>
        <w:tc>
          <w:tcPr>
            <w:tcW w:w="1381" w:type="dxa"/>
            <w:shd w:val="clear" w:color="auto" w:fill="FFFFFF"/>
          </w:tcPr>
          <w:p w14:paraId="18E69186" w14:textId="77777777" w:rsidR="005B0CBD" w:rsidRPr="005B0CBD" w:rsidRDefault="005B0CBD" w:rsidP="00AD15F7">
            <w:pPr>
              <w:ind w:left="-1134" w:firstLine="1134"/>
              <w:jc w:val="center"/>
              <w:rPr>
                <w:rFonts w:ascii="Calibri" w:hAnsi="Calibri" w:cs="Calibri"/>
                <w:sz w:val="16"/>
              </w:rPr>
            </w:pPr>
          </w:p>
          <w:p w14:paraId="6069917A"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S_Pipeline (works)</w:t>
            </w:r>
          </w:p>
          <w:p w14:paraId="4CFEE051" w14:textId="77777777" w:rsidR="005B0CBD" w:rsidRPr="005B0CBD" w:rsidRDefault="005B0CBD" w:rsidP="00AD15F7">
            <w:pPr>
              <w:ind w:left="-1134" w:firstLine="1134"/>
              <w:jc w:val="center"/>
              <w:rPr>
                <w:rFonts w:ascii="Calibri" w:hAnsi="Calibri" w:cs="Calibri"/>
                <w:sz w:val="16"/>
              </w:rPr>
            </w:pPr>
          </w:p>
        </w:tc>
        <w:tc>
          <w:tcPr>
            <w:tcW w:w="1418" w:type="dxa"/>
            <w:shd w:val="clear" w:color="auto" w:fill="FFFFFF"/>
          </w:tcPr>
          <w:p w14:paraId="68F06BF3" w14:textId="77777777" w:rsidR="005B0CBD" w:rsidRPr="005B0CBD" w:rsidRDefault="005B0CBD" w:rsidP="00AD15F7">
            <w:pPr>
              <w:ind w:left="-1134" w:firstLine="1134"/>
              <w:jc w:val="center"/>
              <w:rPr>
                <w:rFonts w:ascii="Calibri" w:hAnsi="Calibri" w:cs="Calibri"/>
                <w:sz w:val="16"/>
              </w:rPr>
            </w:pPr>
          </w:p>
          <w:p w14:paraId="6A6A3206"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0.99999</w:t>
            </w:r>
          </w:p>
        </w:tc>
        <w:tc>
          <w:tcPr>
            <w:tcW w:w="1417" w:type="dxa"/>
            <w:shd w:val="clear" w:color="auto" w:fill="FFFFFF"/>
          </w:tcPr>
          <w:p w14:paraId="070E0DD7" w14:textId="77777777" w:rsidR="005B0CBD" w:rsidRPr="005B0CBD" w:rsidRDefault="005B0CBD" w:rsidP="00AD15F7">
            <w:pPr>
              <w:ind w:left="-1134" w:firstLine="1134"/>
              <w:jc w:val="center"/>
              <w:rPr>
                <w:rFonts w:ascii="Calibri" w:hAnsi="Calibri" w:cs="Calibri"/>
                <w:sz w:val="16"/>
              </w:rPr>
            </w:pPr>
          </w:p>
          <w:p w14:paraId="413595AC"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Safe</w:t>
            </w:r>
          </w:p>
        </w:tc>
        <w:tc>
          <w:tcPr>
            <w:tcW w:w="1985" w:type="dxa"/>
            <w:shd w:val="clear" w:color="auto" w:fill="FFFFFF"/>
          </w:tcPr>
          <w:p w14:paraId="3FBBB389" w14:textId="59287F83" w:rsidR="005B0CBD" w:rsidRPr="005B0CBD" w:rsidRDefault="005B0CBD" w:rsidP="00AD15F7">
            <w:pPr>
              <w:ind w:left="-1134" w:firstLine="1134"/>
              <w:jc w:val="center"/>
              <w:rPr>
                <w:rFonts w:ascii="Calibri" w:hAnsi="Calibri" w:cs="Calibri"/>
                <w:sz w:val="16"/>
                <w:lang w:val="en-US"/>
              </w:rPr>
            </w:pPr>
            <w:r w:rsidRPr="005B0CBD">
              <w:rPr>
                <w:rFonts w:ascii="Calibri" w:eastAsia="Calibri" w:hAnsi="Calibri"/>
                <w:noProof/>
                <w:sz w:val="20"/>
                <w:szCs w:val="22"/>
                <w:lang w:val="it-IT" w:eastAsia="it-IT"/>
              </w:rPr>
              <w:drawing>
                <wp:inline distT="0" distB="0" distL="0" distR="0" wp14:anchorId="08569C04" wp14:editId="7DABF6FA">
                  <wp:extent cx="673100" cy="399405"/>
                  <wp:effectExtent l="0" t="0" r="0" b="127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00321" cy="415557"/>
                          </a:xfrm>
                          <a:prstGeom prst="rect">
                            <a:avLst/>
                          </a:prstGeom>
                        </pic:spPr>
                      </pic:pic>
                    </a:graphicData>
                  </a:graphic>
                </wp:inline>
              </w:drawing>
            </w:r>
          </w:p>
        </w:tc>
      </w:tr>
      <w:tr w:rsidR="005B0CBD" w:rsidRPr="005B0CBD" w14:paraId="2A8765C0" w14:textId="77777777" w:rsidTr="003762AA">
        <w:trPr>
          <w:jc w:val="center"/>
        </w:trPr>
        <w:tc>
          <w:tcPr>
            <w:tcW w:w="1381" w:type="dxa"/>
            <w:shd w:val="clear" w:color="auto" w:fill="FFFFFF"/>
          </w:tcPr>
          <w:p w14:paraId="174A822A" w14:textId="77777777" w:rsidR="005B0CBD" w:rsidRPr="005B0CBD" w:rsidRDefault="005B0CBD" w:rsidP="00AD15F7">
            <w:pPr>
              <w:ind w:left="-1134" w:firstLine="1134"/>
              <w:jc w:val="center"/>
              <w:rPr>
                <w:rFonts w:ascii="Calibri" w:hAnsi="Calibri" w:cs="Calibri"/>
                <w:sz w:val="16"/>
              </w:rPr>
            </w:pPr>
          </w:p>
          <w:p w14:paraId="207034EA"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S_Flanges (works)</w:t>
            </w:r>
          </w:p>
          <w:p w14:paraId="0BAABC91" w14:textId="77777777" w:rsidR="005B0CBD" w:rsidRPr="005B0CBD" w:rsidRDefault="005B0CBD" w:rsidP="00AD15F7">
            <w:pPr>
              <w:ind w:left="-1134" w:firstLine="1134"/>
              <w:jc w:val="center"/>
              <w:rPr>
                <w:rFonts w:ascii="Calibri" w:hAnsi="Calibri" w:cs="Calibri"/>
                <w:sz w:val="16"/>
              </w:rPr>
            </w:pPr>
          </w:p>
        </w:tc>
        <w:tc>
          <w:tcPr>
            <w:tcW w:w="1418" w:type="dxa"/>
            <w:shd w:val="clear" w:color="auto" w:fill="FFFFFF"/>
          </w:tcPr>
          <w:p w14:paraId="3010CC10" w14:textId="77777777" w:rsidR="005B0CBD" w:rsidRPr="005B0CBD" w:rsidRDefault="005B0CBD" w:rsidP="00AD15F7">
            <w:pPr>
              <w:ind w:left="-1134" w:firstLine="1134"/>
              <w:jc w:val="center"/>
              <w:rPr>
                <w:rFonts w:ascii="Calibri" w:hAnsi="Calibri" w:cs="Calibri"/>
                <w:sz w:val="16"/>
              </w:rPr>
            </w:pPr>
          </w:p>
          <w:p w14:paraId="0F713CEF"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0.99997</w:t>
            </w:r>
          </w:p>
        </w:tc>
        <w:tc>
          <w:tcPr>
            <w:tcW w:w="1417" w:type="dxa"/>
            <w:shd w:val="clear" w:color="auto" w:fill="FFFFFF"/>
          </w:tcPr>
          <w:p w14:paraId="063B5C5E" w14:textId="77777777" w:rsidR="005B0CBD" w:rsidRPr="005B0CBD" w:rsidRDefault="005B0CBD" w:rsidP="00AD15F7">
            <w:pPr>
              <w:ind w:left="-1134" w:firstLine="1134"/>
              <w:jc w:val="center"/>
              <w:rPr>
                <w:rFonts w:ascii="Calibri" w:hAnsi="Calibri" w:cs="Calibri"/>
                <w:sz w:val="16"/>
              </w:rPr>
            </w:pPr>
          </w:p>
          <w:p w14:paraId="2E5336D3"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Safe</w:t>
            </w:r>
          </w:p>
        </w:tc>
        <w:tc>
          <w:tcPr>
            <w:tcW w:w="1985" w:type="dxa"/>
            <w:shd w:val="clear" w:color="auto" w:fill="FFFFFF"/>
          </w:tcPr>
          <w:p w14:paraId="496B0ABA" w14:textId="04CF68EB" w:rsidR="005B0CBD" w:rsidRPr="005B0CBD" w:rsidRDefault="005B0CBD" w:rsidP="00AD15F7">
            <w:pPr>
              <w:ind w:left="-1134" w:firstLine="1134"/>
              <w:jc w:val="center"/>
              <w:rPr>
                <w:rFonts w:ascii="Calibri" w:hAnsi="Calibri" w:cs="Calibri"/>
                <w:sz w:val="16"/>
                <w:lang w:val="en-US"/>
              </w:rPr>
            </w:pPr>
            <w:r w:rsidRPr="005B0CBD">
              <w:rPr>
                <w:rFonts w:ascii="Calibri" w:eastAsia="Calibri" w:hAnsi="Calibri"/>
                <w:noProof/>
                <w:sz w:val="20"/>
                <w:szCs w:val="22"/>
                <w:lang w:val="it-IT" w:eastAsia="it-IT"/>
              </w:rPr>
              <w:drawing>
                <wp:inline distT="0" distB="0" distL="0" distR="0" wp14:anchorId="492ED77F" wp14:editId="250DF496">
                  <wp:extent cx="664633" cy="394311"/>
                  <wp:effectExtent l="0" t="0" r="2540" b="635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91245" cy="410099"/>
                          </a:xfrm>
                          <a:prstGeom prst="rect">
                            <a:avLst/>
                          </a:prstGeom>
                        </pic:spPr>
                      </pic:pic>
                    </a:graphicData>
                  </a:graphic>
                </wp:inline>
              </w:drawing>
            </w:r>
          </w:p>
        </w:tc>
      </w:tr>
      <w:tr w:rsidR="005B0CBD" w:rsidRPr="005B0CBD" w14:paraId="08DC5FED" w14:textId="77777777" w:rsidTr="003762AA">
        <w:trPr>
          <w:jc w:val="center"/>
        </w:trPr>
        <w:tc>
          <w:tcPr>
            <w:tcW w:w="1381" w:type="dxa"/>
            <w:shd w:val="clear" w:color="auto" w:fill="FFFFFF"/>
          </w:tcPr>
          <w:p w14:paraId="27574AF9" w14:textId="77777777" w:rsidR="005B0CBD" w:rsidRPr="005B0CBD" w:rsidRDefault="005B0CBD" w:rsidP="00AD15F7">
            <w:pPr>
              <w:ind w:left="-1134" w:firstLine="1134"/>
              <w:jc w:val="center"/>
              <w:rPr>
                <w:rFonts w:ascii="Calibri" w:hAnsi="Calibri" w:cs="Calibri"/>
                <w:sz w:val="16"/>
              </w:rPr>
            </w:pPr>
          </w:p>
          <w:p w14:paraId="5AE3EC3A"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B_Pipeline (works)</w:t>
            </w:r>
          </w:p>
          <w:p w14:paraId="74EA48A1" w14:textId="77777777" w:rsidR="005B0CBD" w:rsidRPr="005B0CBD" w:rsidRDefault="005B0CBD" w:rsidP="00AD15F7">
            <w:pPr>
              <w:ind w:left="-1134" w:firstLine="1134"/>
              <w:jc w:val="center"/>
              <w:rPr>
                <w:rFonts w:ascii="Calibri" w:hAnsi="Calibri" w:cs="Calibri"/>
                <w:sz w:val="16"/>
              </w:rPr>
            </w:pPr>
          </w:p>
        </w:tc>
        <w:tc>
          <w:tcPr>
            <w:tcW w:w="1418" w:type="dxa"/>
            <w:shd w:val="clear" w:color="auto" w:fill="FFFFFF"/>
          </w:tcPr>
          <w:p w14:paraId="5AF14757" w14:textId="77777777" w:rsidR="005B0CBD" w:rsidRPr="005B0CBD" w:rsidRDefault="005B0CBD" w:rsidP="00AD15F7">
            <w:pPr>
              <w:ind w:left="-1134" w:firstLine="1134"/>
              <w:jc w:val="center"/>
              <w:rPr>
                <w:rFonts w:ascii="Calibri" w:hAnsi="Calibri" w:cs="Calibri"/>
                <w:sz w:val="16"/>
              </w:rPr>
            </w:pPr>
          </w:p>
          <w:p w14:paraId="754AC25F"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0.99989</w:t>
            </w:r>
          </w:p>
        </w:tc>
        <w:tc>
          <w:tcPr>
            <w:tcW w:w="1417" w:type="dxa"/>
            <w:shd w:val="clear" w:color="auto" w:fill="FFFFFF"/>
          </w:tcPr>
          <w:p w14:paraId="500FBAAF" w14:textId="77777777" w:rsidR="005B0CBD" w:rsidRPr="005B0CBD" w:rsidRDefault="005B0CBD" w:rsidP="00AD15F7">
            <w:pPr>
              <w:ind w:left="-1134" w:firstLine="1134"/>
              <w:jc w:val="center"/>
              <w:rPr>
                <w:rFonts w:ascii="Calibri" w:hAnsi="Calibri" w:cs="Calibri"/>
                <w:sz w:val="16"/>
              </w:rPr>
            </w:pPr>
          </w:p>
          <w:p w14:paraId="0679B54D"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Safe</w:t>
            </w:r>
          </w:p>
        </w:tc>
        <w:tc>
          <w:tcPr>
            <w:tcW w:w="1985" w:type="dxa"/>
            <w:shd w:val="clear" w:color="auto" w:fill="FFFFFF"/>
          </w:tcPr>
          <w:p w14:paraId="062D09C4" w14:textId="3D3103B2" w:rsidR="005B0CBD" w:rsidRPr="005B0CBD" w:rsidRDefault="005B0CBD" w:rsidP="00AD15F7">
            <w:pPr>
              <w:ind w:left="-1134" w:firstLine="1134"/>
              <w:jc w:val="center"/>
              <w:rPr>
                <w:rFonts w:ascii="Calibri" w:hAnsi="Calibri" w:cs="Calibri"/>
                <w:sz w:val="16"/>
                <w:lang w:val="en-US"/>
              </w:rPr>
            </w:pPr>
            <w:r w:rsidRPr="005B0CBD">
              <w:rPr>
                <w:rFonts w:ascii="Calibri" w:eastAsia="Calibri" w:hAnsi="Calibri"/>
                <w:noProof/>
                <w:sz w:val="20"/>
                <w:szCs w:val="22"/>
                <w:lang w:val="it-IT" w:eastAsia="it-IT"/>
              </w:rPr>
              <w:drawing>
                <wp:inline distT="0" distB="0" distL="0" distR="0" wp14:anchorId="236CE2FB" wp14:editId="234C6B69">
                  <wp:extent cx="638292" cy="381000"/>
                  <wp:effectExtent l="0" t="0" r="9525"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9213" cy="405426"/>
                          </a:xfrm>
                          <a:prstGeom prst="rect">
                            <a:avLst/>
                          </a:prstGeom>
                        </pic:spPr>
                      </pic:pic>
                    </a:graphicData>
                  </a:graphic>
                </wp:inline>
              </w:drawing>
            </w:r>
          </w:p>
        </w:tc>
      </w:tr>
      <w:tr w:rsidR="005B0CBD" w:rsidRPr="005B0CBD" w14:paraId="0D1D7895" w14:textId="77777777" w:rsidTr="003762AA">
        <w:trPr>
          <w:jc w:val="center"/>
        </w:trPr>
        <w:tc>
          <w:tcPr>
            <w:tcW w:w="1381" w:type="dxa"/>
            <w:shd w:val="clear" w:color="auto" w:fill="FFFFFF"/>
          </w:tcPr>
          <w:p w14:paraId="0958B1A9" w14:textId="77777777" w:rsidR="005B0CBD" w:rsidRPr="005B0CBD" w:rsidRDefault="005B0CBD" w:rsidP="00AD15F7">
            <w:pPr>
              <w:ind w:left="-1134" w:firstLine="1134"/>
              <w:jc w:val="center"/>
              <w:rPr>
                <w:rFonts w:ascii="Calibri" w:hAnsi="Calibri" w:cs="Calibri"/>
                <w:sz w:val="16"/>
              </w:rPr>
            </w:pPr>
          </w:p>
          <w:p w14:paraId="2AA45A77"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B_Flanges (works)</w:t>
            </w:r>
          </w:p>
          <w:p w14:paraId="7E2F584D" w14:textId="77777777" w:rsidR="005B0CBD" w:rsidRPr="005B0CBD" w:rsidRDefault="005B0CBD" w:rsidP="00AD15F7">
            <w:pPr>
              <w:ind w:left="-1134" w:firstLine="1134"/>
              <w:jc w:val="center"/>
              <w:rPr>
                <w:rFonts w:ascii="Calibri" w:hAnsi="Calibri" w:cs="Calibri"/>
                <w:sz w:val="16"/>
              </w:rPr>
            </w:pPr>
          </w:p>
        </w:tc>
        <w:tc>
          <w:tcPr>
            <w:tcW w:w="1418" w:type="dxa"/>
            <w:shd w:val="clear" w:color="auto" w:fill="FFFFFF"/>
          </w:tcPr>
          <w:p w14:paraId="795B7057" w14:textId="77777777" w:rsidR="005B0CBD" w:rsidRPr="005B0CBD" w:rsidRDefault="005B0CBD" w:rsidP="00AD15F7">
            <w:pPr>
              <w:ind w:left="-1134" w:firstLine="1134"/>
              <w:jc w:val="center"/>
              <w:rPr>
                <w:rFonts w:ascii="Calibri" w:hAnsi="Calibri" w:cs="Calibri"/>
                <w:sz w:val="16"/>
              </w:rPr>
            </w:pPr>
          </w:p>
          <w:p w14:paraId="43F1A8E0"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0.99982</w:t>
            </w:r>
          </w:p>
        </w:tc>
        <w:tc>
          <w:tcPr>
            <w:tcW w:w="1417" w:type="dxa"/>
            <w:shd w:val="clear" w:color="auto" w:fill="FFFFFF"/>
          </w:tcPr>
          <w:p w14:paraId="28E8692D" w14:textId="77777777" w:rsidR="005B0CBD" w:rsidRPr="005B0CBD" w:rsidRDefault="005B0CBD" w:rsidP="00AD15F7">
            <w:pPr>
              <w:ind w:left="-1134" w:firstLine="1134"/>
              <w:jc w:val="center"/>
              <w:rPr>
                <w:rFonts w:ascii="Calibri" w:hAnsi="Calibri" w:cs="Calibri"/>
                <w:sz w:val="16"/>
              </w:rPr>
            </w:pPr>
          </w:p>
          <w:p w14:paraId="7717A7FB" w14:textId="77777777" w:rsidR="005B0CBD" w:rsidRPr="005B0CBD" w:rsidRDefault="005B0CBD" w:rsidP="00AD15F7">
            <w:pPr>
              <w:ind w:left="-1134" w:firstLine="1134"/>
              <w:jc w:val="center"/>
              <w:rPr>
                <w:rFonts w:ascii="Calibri" w:hAnsi="Calibri" w:cs="Calibri"/>
                <w:sz w:val="16"/>
              </w:rPr>
            </w:pPr>
            <w:r w:rsidRPr="005B0CBD">
              <w:rPr>
                <w:rFonts w:ascii="Calibri" w:hAnsi="Calibri" w:cs="Calibri"/>
                <w:sz w:val="16"/>
              </w:rPr>
              <w:t>Safe</w:t>
            </w:r>
          </w:p>
        </w:tc>
        <w:tc>
          <w:tcPr>
            <w:tcW w:w="1985" w:type="dxa"/>
            <w:shd w:val="clear" w:color="auto" w:fill="FFFFFF"/>
          </w:tcPr>
          <w:p w14:paraId="619430B5" w14:textId="77777777" w:rsidR="005B0CBD" w:rsidRPr="005B0CBD" w:rsidRDefault="005B0CBD" w:rsidP="00AD15F7">
            <w:pPr>
              <w:ind w:left="-1134" w:firstLine="1134"/>
              <w:jc w:val="center"/>
              <w:rPr>
                <w:rFonts w:ascii="Calibri" w:hAnsi="Calibri" w:cs="Calibri"/>
                <w:sz w:val="16"/>
                <w:lang w:val="en-US"/>
              </w:rPr>
            </w:pPr>
            <w:r w:rsidRPr="005B0CBD">
              <w:rPr>
                <w:rFonts w:ascii="Calibri" w:eastAsia="Calibri" w:hAnsi="Calibri"/>
                <w:noProof/>
                <w:sz w:val="20"/>
                <w:szCs w:val="22"/>
                <w:lang w:val="it-IT" w:eastAsia="it-IT"/>
              </w:rPr>
              <w:drawing>
                <wp:inline distT="0" distB="0" distL="0" distR="0" wp14:anchorId="45C165C6" wp14:editId="276A3379">
                  <wp:extent cx="656071" cy="385828"/>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02059" cy="412873"/>
                          </a:xfrm>
                          <a:prstGeom prst="rect">
                            <a:avLst/>
                          </a:prstGeom>
                        </pic:spPr>
                      </pic:pic>
                    </a:graphicData>
                  </a:graphic>
                </wp:inline>
              </w:drawing>
            </w:r>
          </w:p>
        </w:tc>
      </w:tr>
    </w:tbl>
    <w:p w14:paraId="4BC28439" w14:textId="3FC1B163" w:rsidR="005B0CBD" w:rsidRDefault="005B0CBD" w:rsidP="005B0CBD">
      <w:pPr>
        <w:pStyle w:val="CETTabletitle"/>
      </w:pPr>
      <w:r w:rsidRPr="00C339B1">
        <w:t xml:space="preserve">Table </w:t>
      </w:r>
      <w:r>
        <w:t>3</w:t>
      </w:r>
      <w:r w:rsidRPr="00C339B1">
        <w:t xml:space="preserve">: </w:t>
      </w:r>
      <w:r>
        <w:t>Second level dependencies: intermediate events</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84"/>
        <w:gridCol w:w="931"/>
        <w:gridCol w:w="940"/>
        <w:gridCol w:w="1035"/>
        <w:gridCol w:w="963"/>
        <w:gridCol w:w="976"/>
        <w:gridCol w:w="992"/>
        <w:gridCol w:w="992"/>
        <w:gridCol w:w="992"/>
      </w:tblGrid>
      <w:tr w:rsidR="005B0CBD" w:rsidRPr="005B0CBD" w14:paraId="469DC37B" w14:textId="77777777" w:rsidTr="00E46571">
        <w:trPr>
          <w:jc w:val="center"/>
        </w:trPr>
        <w:tc>
          <w:tcPr>
            <w:tcW w:w="684" w:type="dxa"/>
            <w:tcBorders>
              <w:top w:val="single" w:sz="12" w:space="0" w:color="008000"/>
              <w:bottom w:val="single" w:sz="6" w:space="0" w:color="008000"/>
            </w:tcBorders>
            <w:shd w:val="clear" w:color="auto" w:fill="FFFFFF"/>
          </w:tcPr>
          <w:p w14:paraId="4BF422D9"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w:t>
            </w:r>
          </w:p>
          <w:p w14:paraId="6FE9C99A"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w:t>
            </w:r>
          </w:p>
          <w:p w14:paraId="76E812ED" w14:textId="77777777" w:rsidR="005B0CBD" w:rsidRPr="005B0CBD" w:rsidRDefault="005B0CBD" w:rsidP="005B0CBD">
            <w:pPr>
              <w:jc w:val="center"/>
              <w:rPr>
                <w:rFonts w:ascii="Calibri" w:hAnsi="Calibri" w:cs="Calibri"/>
                <w:sz w:val="16"/>
              </w:rPr>
            </w:pPr>
            <w:r w:rsidRPr="005B0CBD">
              <w:rPr>
                <w:rFonts w:ascii="Calibri" w:hAnsi="Calibri" w:cs="Calibri"/>
                <w:sz w:val="16"/>
                <w:lang w:val="en-US"/>
              </w:rPr>
              <w:t>Hose</w:t>
            </w:r>
          </w:p>
        </w:tc>
        <w:tc>
          <w:tcPr>
            <w:tcW w:w="931" w:type="dxa"/>
            <w:tcBorders>
              <w:top w:val="single" w:sz="12" w:space="0" w:color="008000"/>
              <w:bottom w:val="single" w:sz="6" w:space="0" w:color="008000"/>
            </w:tcBorders>
            <w:shd w:val="clear" w:color="auto" w:fill="FFFFFF"/>
          </w:tcPr>
          <w:p w14:paraId="402B0336"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 (w)</w:t>
            </w:r>
          </w:p>
          <w:p w14:paraId="4D2704DC"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 (w)</w:t>
            </w:r>
          </w:p>
          <w:p w14:paraId="6CF24862" w14:textId="77777777" w:rsidR="005B0CBD" w:rsidRPr="005B0CBD" w:rsidRDefault="005B0CBD" w:rsidP="005B0CBD">
            <w:pPr>
              <w:jc w:val="center"/>
              <w:rPr>
                <w:rFonts w:ascii="Calibri" w:hAnsi="Calibri" w:cs="Calibri"/>
                <w:sz w:val="16"/>
              </w:rPr>
            </w:pPr>
            <w:r w:rsidRPr="005B0CBD">
              <w:rPr>
                <w:rFonts w:ascii="Calibri" w:hAnsi="Calibri" w:cs="Calibri"/>
                <w:sz w:val="16"/>
                <w:lang w:val="en-US"/>
              </w:rPr>
              <w:t>Hose (w)</w:t>
            </w:r>
          </w:p>
        </w:tc>
        <w:tc>
          <w:tcPr>
            <w:tcW w:w="940" w:type="dxa"/>
            <w:tcBorders>
              <w:top w:val="single" w:sz="12" w:space="0" w:color="008000"/>
              <w:bottom w:val="single" w:sz="6" w:space="0" w:color="008000"/>
            </w:tcBorders>
            <w:shd w:val="clear" w:color="auto" w:fill="FFFFFF"/>
          </w:tcPr>
          <w:p w14:paraId="25CFB6FD"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 (w)</w:t>
            </w:r>
          </w:p>
          <w:p w14:paraId="2CABC43B"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 (w)</w:t>
            </w:r>
          </w:p>
          <w:p w14:paraId="5493C760" w14:textId="77777777" w:rsidR="005B0CBD" w:rsidRPr="005B0CBD" w:rsidRDefault="005B0CBD" w:rsidP="005B0CBD">
            <w:pPr>
              <w:jc w:val="center"/>
              <w:rPr>
                <w:rFonts w:ascii="Calibri" w:hAnsi="Calibri" w:cs="Calibri"/>
                <w:sz w:val="16"/>
              </w:rPr>
            </w:pPr>
            <w:r w:rsidRPr="005B0CBD">
              <w:rPr>
                <w:rFonts w:ascii="Calibri" w:hAnsi="Calibri" w:cs="Calibri"/>
                <w:sz w:val="16"/>
                <w:lang w:val="en-US"/>
              </w:rPr>
              <w:t>Hose (f)</w:t>
            </w:r>
          </w:p>
        </w:tc>
        <w:tc>
          <w:tcPr>
            <w:tcW w:w="1035" w:type="dxa"/>
            <w:tcBorders>
              <w:top w:val="single" w:sz="12" w:space="0" w:color="008000"/>
              <w:bottom w:val="single" w:sz="6" w:space="0" w:color="008000"/>
            </w:tcBorders>
            <w:shd w:val="clear" w:color="auto" w:fill="FFFFFF"/>
          </w:tcPr>
          <w:p w14:paraId="445493B4"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 (w)</w:t>
            </w:r>
          </w:p>
          <w:p w14:paraId="7BB33475"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 (f)</w:t>
            </w:r>
          </w:p>
          <w:p w14:paraId="24F06511"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Hose (w)</w:t>
            </w:r>
          </w:p>
        </w:tc>
        <w:tc>
          <w:tcPr>
            <w:tcW w:w="963" w:type="dxa"/>
            <w:tcBorders>
              <w:top w:val="single" w:sz="12" w:space="0" w:color="008000"/>
              <w:bottom w:val="single" w:sz="6" w:space="0" w:color="008000"/>
            </w:tcBorders>
            <w:shd w:val="clear" w:color="auto" w:fill="FFFFFF"/>
          </w:tcPr>
          <w:p w14:paraId="3561FAB1"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 (w)</w:t>
            </w:r>
          </w:p>
          <w:p w14:paraId="0ADB3704"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 (f)</w:t>
            </w:r>
          </w:p>
          <w:p w14:paraId="16DA3859"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Hose (f)</w:t>
            </w:r>
          </w:p>
        </w:tc>
        <w:tc>
          <w:tcPr>
            <w:tcW w:w="976" w:type="dxa"/>
            <w:tcBorders>
              <w:top w:val="single" w:sz="12" w:space="0" w:color="008000"/>
              <w:bottom w:val="single" w:sz="6" w:space="0" w:color="008000"/>
            </w:tcBorders>
            <w:shd w:val="clear" w:color="auto" w:fill="FFFFFF"/>
          </w:tcPr>
          <w:p w14:paraId="4CB06208"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 (f)</w:t>
            </w:r>
          </w:p>
          <w:p w14:paraId="25ADB37C"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 (w)</w:t>
            </w:r>
          </w:p>
          <w:p w14:paraId="13CB6914"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Hose (w)</w:t>
            </w:r>
          </w:p>
        </w:tc>
        <w:tc>
          <w:tcPr>
            <w:tcW w:w="992" w:type="dxa"/>
            <w:tcBorders>
              <w:top w:val="single" w:sz="12" w:space="0" w:color="008000"/>
              <w:bottom w:val="single" w:sz="6" w:space="0" w:color="008000"/>
            </w:tcBorders>
            <w:shd w:val="clear" w:color="auto" w:fill="FFFFFF"/>
          </w:tcPr>
          <w:p w14:paraId="7D8ACD3F"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 (f)</w:t>
            </w:r>
          </w:p>
          <w:p w14:paraId="50F0F7CD"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 (w)</w:t>
            </w:r>
          </w:p>
          <w:p w14:paraId="475F4E83"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Hose (f)</w:t>
            </w:r>
          </w:p>
        </w:tc>
        <w:tc>
          <w:tcPr>
            <w:tcW w:w="992" w:type="dxa"/>
            <w:tcBorders>
              <w:top w:val="single" w:sz="12" w:space="0" w:color="008000"/>
              <w:bottom w:val="single" w:sz="6" w:space="0" w:color="008000"/>
            </w:tcBorders>
            <w:shd w:val="clear" w:color="auto" w:fill="FFFFFF"/>
          </w:tcPr>
          <w:p w14:paraId="2E53C5AB"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 (f)</w:t>
            </w:r>
          </w:p>
          <w:p w14:paraId="5ED2EEEF"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 (f)</w:t>
            </w:r>
          </w:p>
          <w:p w14:paraId="5D254168"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Hose (w)</w:t>
            </w:r>
          </w:p>
        </w:tc>
        <w:tc>
          <w:tcPr>
            <w:tcW w:w="992" w:type="dxa"/>
            <w:tcBorders>
              <w:top w:val="single" w:sz="12" w:space="0" w:color="008000"/>
              <w:bottom w:val="single" w:sz="6" w:space="0" w:color="008000"/>
            </w:tcBorders>
            <w:shd w:val="clear" w:color="auto" w:fill="FFFFFF"/>
          </w:tcPr>
          <w:p w14:paraId="794B12E9"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Shore (f)</w:t>
            </w:r>
          </w:p>
          <w:p w14:paraId="50217692"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Bunker (f)</w:t>
            </w:r>
          </w:p>
          <w:p w14:paraId="2ECE97AE" w14:textId="77777777" w:rsidR="005B0CBD" w:rsidRPr="005B0CBD" w:rsidRDefault="005B0CBD" w:rsidP="005B0CBD">
            <w:pPr>
              <w:jc w:val="center"/>
              <w:rPr>
                <w:rFonts w:ascii="Calibri" w:hAnsi="Calibri" w:cs="Calibri"/>
                <w:sz w:val="16"/>
                <w:lang w:val="en-US"/>
              </w:rPr>
            </w:pPr>
            <w:r w:rsidRPr="005B0CBD">
              <w:rPr>
                <w:rFonts w:ascii="Calibri" w:hAnsi="Calibri" w:cs="Calibri"/>
                <w:sz w:val="16"/>
                <w:lang w:val="en-US"/>
              </w:rPr>
              <w:t>Hose (f)</w:t>
            </w:r>
          </w:p>
        </w:tc>
      </w:tr>
      <w:tr w:rsidR="005B0CBD" w:rsidRPr="005B0CBD" w14:paraId="270D7F34" w14:textId="77777777" w:rsidTr="00E46571">
        <w:trPr>
          <w:jc w:val="center"/>
        </w:trPr>
        <w:tc>
          <w:tcPr>
            <w:tcW w:w="684" w:type="dxa"/>
            <w:shd w:val="clear" w:color="auto" w:fill="FFFFFF"/>
          </w:tcPr>
          <w:p w14:paraId="2D611449" w14:textId="77777777" w:rsidR="005B0CBD" w:rsidRPr="005B0CBD" w:rsidRDefault="005B0CBD" w:rsidP="005B0CBD">
            <w:pPr>
              <w:jc w:val="center"/>
              <w:rPr>
                <w:rFonts w:ascii="Calibri" w:hAnsi="Calibri" w:cs="Calibri"/>
                <w:sz w:val="16"/>
              </w:rPr>
            </w:pPr>
            <w:r w:rsidRPr="005B0CBD">
              <w:rPr>
                <w:rFonts w:ascii="Calibri" w:hAnsi="Calibri" w:cs="Calibri"/>
                <w:sz w:val="16"/>
              </w:rPr>
              <w:t>X1 (works)</w:t>
            </w:r>
          </w:p>
        </w:tc>
        <w:tc>
          <w:tcPr>
            <w:tcW w:w="931" w:type="dxa"/>
            <w:shd w:val="clear" w:color="auto" w:fill="FFFFFF"/>
          </w:tcPr>
          <w:p w14:paraId="0053FCC1" w14:textId="77777777" w:rsidR="005B0CBD" w:rsidRPr="005B0CBD" w:rsidRDefault="005B0CBD" w:rsidP="005B0CBD">
            <w:pPr>
              <w:jc w:val="center"/>
              <w:rPr>
                <w:rFonts w:ascii="Calibri" w:hAnsi="Calibri" w:cs="Calibri"/>
                <w:sz w:val="16"/>
              </w:rPr>
            </w:pPr>
            <w:r w:rsidRPr="005B0CBD">
              <w:rPr>
                <w:rFonts w:ascii="Calibri" w:eastAsia="Calibri" w:hAnsi="Calibri"/>
                <w:noProof/>
                <w:sz w:val="20"/>
                <w:szCs w:val="22"/>
                <w:lang w:val="it-IT" w:eastAsia="it-IT"/>
              </w:rPr>
              <w:drawing>
                <wp:inline distT="0" distB="0" distL="0" distR="0" wp14:anchorId="482732F1" wp14:editId="22DA2D9B">
                  <wp:extent cx="582706" cy="345706"/>
                  <wp:effectExtent l="0" t="0" r="8255" b="0"/>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9851" cy="355878"/>
                          </a:xfrm>
                          <a:prstGeom prst="rect">
                            <a:avLst/>
                          </a:prstGeom>
                        </pic:spPr>
                      </pic:pic>
                    </a:graphicData>
                  </a:graphic>
                </wp:inline>
              </w:drawing>
            </w:r>
          </w:p>
        </w:tc>
        <w:tc>
          <w:tcPr>
            <w:tcW w:w="940" w:type="dxa"/>
            <w:shd w:val="clear" w:color="auto" w:fill="FFFFFF"/>
          </w:tcPr>
          <w:p w14:paraId="31142F7D" w14:textId="77777777" w:rsidR="005B0CBD" w:rsidRPr="005B0CBD" w:rsidRDefault="005B0CBD" w:rsidP="005B0CBD">
            <w:pPr>
              <w:jc w:val="center"/>
              <w:rPr>
                <w:rFonts w:ascii="Calibri" w:hAnsi="Calibri" w:cs="Calibri"/>
                <w:sz w:val="16"/>
              </w:rPr>
            </w:pPr>
            <w:r w:rsidRPr="005B0CBD">
              <w:rPr>
                <w:rFonts w:ascii="Calibri" w:eastAsia="Calibri" w:hAnsi="Calibri"/>
                <w:noProof/>
                <w:sz w:val="20"/>
                <w:szCs w:val="22"/>
                <w:lang w:val="it-IT" w:eastAsia="it-IT"/>
              </w:rPr>
              <w:drawing>
                <wp:inline distT="0" distB="0" distL="0" distR="0" wp14:anchorId="271455EC" wp14:editId="52310491">
                  <wp:extent cx="573741" cy="338125"/>
                  <wp:effectExtent l="0" t="0" r="0" b="5080"/>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776" cy="349343"/>
                          </a:xfrm>
                          <a:prstGeom prst="rect">
                            <a:avLst/>
                          </a:prstGeom>
                        </pic:spPr>
                      </pic:pic>
                    </a:graphicData>
                  </a:graphic>
                </wp:inline>
              </w:drawing>
            </w:r>
          </w:p>
        </w:tc>
        <w:tc>
          <w:tcPr>
            <w:tcW w:w="1035" w:type="dxa"/>
            <w:shd w:val="clear" w:color="auto" w:fill="FFFFFF"/>
          </w:tcPr>
          <w:p w14:paraId="6E6E8ACD" w14:textId="77777777" w:rsidR="005B0CBD" w:rsidRPr="005B0CBD" w:rsidRDefault="005B0CBD" w:rsidP="005B0CBD">
            <w:pPr>
              <w:jc w:val="center"/>
              <w:rPr>
                <w:rFonts w:ascii="Calibri" w:hAnsi="Calibri" w:cs="Calibri"/>
                <w:sz w:val="16"/>
                <w:lang w:val="en-US"/>
              </w:rPr>
            </w:pPr>
            <w:r w:rsidRPr="005B0CBD">
              <w:rPr>
                <w:rFonts w:ascii="Calibri" w:eastAsia="Calibri" w:hAnsi="Calibri"/>
                <w:noProof/>
                <w:sz w:val="20"/>
                <w:szCs w:val="22"/>
                <w:lang w:val="it-IT" w:eastAsia="it-IT"/>
              </w:rPr>
              <w:drawing>
                <wp:inline distT="0" distB="0" distL="0" distR="0" wp14:anchorId="3D89139B" wp14:editId="4EC1EE7C">
                  <wp:extent cx="582705" cy="343408"/>
                  <wp:effectExtent l="0" t="0" r="8255" b="0"/>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6655" cy="351629"/>
                          </a:xfrm>
                          <a:prstGeom prst="rect">
                            <a:avLst/>
                          </a:prstGeom>
                        </pic:spPr>
                      </pic:pic>
                    </a:graphicData>
                  </a:graphic>
                </wp:inline>
              </w:drawing>
            </w:r>
          </w:p>
        </w:tc>
        <w:tc>
          <w:tcPr>
            <w:tcW w:w="963" w:type="dxa"/>
            <w:shd w:val="clear" w:color="auto" w:fill="FFFFFF"/>
          </w:tcPr>
          <w:p w14:paraId="21CFD223"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00E6E856" wp14:editId="356BE430">
                  <wp:extent cx="600161" cy="353695"/>
                  <wp:effectExtent l="0" t="0" r="9525" b="825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043" cy="358930"/>
                          </a:xfrm>
                          <a:prstGeom prst="rect">
                            <a:avLst/>
                          </a:prstGeom>
                        </pic:spPr>
                      </pic:pic>
                    </a:graphicData>
                  </a:graphic>
                </wp:inline>
              </w:drawing>
            </w:r>
          </w:p>
        </w:tc>
        <w:tc>
          <w:tcPr>
            <w:tcW w:w="976" w:type="dxa"/>
            <w:shd w:val="clear" w:color="auto" w:fill="FFFFFF"/>
          </w:tcPr>
          <w:p w14:paraId="3CBD3F57"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071DE114" wp14:editId="205080D4">
                  <wp:extent cx="600161" cy="353695"/>
                  <wp:effectExtent l="0" t="0" r="9525" b="825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043" cy="358930"/>
                          </a:xfrm>
                          <a:prstGeom prst="rect">
                            <a:avLst/>
                          </a:prstGeom>
                        </pic:spPr>
                      </pic:pic>
                    </a:graphicData>
                  </a:graphic>
                </wp:inline>
              </w:drawing>
            </w:r>
          </w:p>
        </w:tc>
        <w:tc>
          <w:tcPr>
            <w:tcW w:w="992" w:type="dxa"/>
            <w:shd w:val="clear" w:color="auto" w:fill="FFFFFF"/>
          </w:tcPr>
          <w:p w14:paraId="4333B00B"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4B6B0035" wp14:editId="62F3DE1F">
                  <wp:extent cx="600161" cy="353695"/>
                  <wp:effectExtent l="0" t="0" r="9525" b="8255"/>
                  <wp:docPr id="277" name="Immagin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043" cy="358930"/>
                          </a:xfrm>
                          <a:prstGeom prst="rect">
                            <a:avLst/>
                          </a:prstGeom>
                        </pic:spPr>
                      </pic:pic>
                    </a:graphicData>
                  </a:graphic>
                </wp:inline>
              </w:drawing>
            </w:r>
          </w:p>
        </w:tc>
        <w:tc>
          <w:tcPr>
            <w:tcW w:w="992" w:type="dxa"/>
            <w:shd w:val="clear" w:color="auto" w:fill="FFFFFF"/>
          </w:tcPr>
          <w:p w14:paraId="30F55BC1"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409D488B" wp14:editId="6CF4CAF2">
                  <wp:extent cx="600161" cy="353695"/>
                  <wp:effectExtent l="0" t="0" r="9525" b="8255"/>
                  <wp:docPr id="278" name="Immagin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043" cy="358930"/>
                          </a:xfrm>
                          <a:prstGeom prst="rect">
                            <a:avLst/>
                          </a:prstGeom>
                        </pic:spPr>
                      </pic:pic>
                    </a:graphicData>
                  </a:graphic>
                </wp:inline>
              </w:drawing>
            </w:r>
          </w:p>
        </w:tc>
        <w:tc>
          <w:tcPr>
            <w:tcW w:w="992" w:type="dxa"/>
            <w:shd w:val="clear" w:color="auto" w:fill="FFFFFF"/>
          </w:tcPr>
          <w:p w14:paraId="4FCDD913"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061A8693" wp14:editId="42A9752B">
                  <wp:extent cx="600161" cy="353695"/>
                  <wp:effectExtent l="0" t="0" r="9525" b="8255"/>
                  <wp:docPr id="279" name="Immagin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043" cy="358930"/>
                          </a:xfrm>
                          <a:prstGeom prst="rect">
                            <a:avLst/>
                          </a:prstGeom>
                        </pic:spPr>
                      </pic:pic>
                    </a:graphicData>
                  </a:graphic>
                </wp:inline>
              </w:drawing>
            </w:r>
          </w:p>
        </w:tc>
      </w:tr>
      <w:tr w:rsidR="005B0CBD" w:rsidRPr="005B0CBD" w14:paraId="038CB5CD" w14:textId="77777777" w:rsidTr="00E46571">
        <w:trPr>
          <w:jc w:val="center"/>
        </w:trPr>
        <w:tc>
          <w:tcPr>
            <w:tcW w:w="684" w:type="dxa"/>
            <w:shd w:val="clear" w:color="auto" w:fill="FFFFFF"/>
          </w:tcPr>
          <w:p w14:paraId="4BD5A470" w14:textId="77777777" w:rsidR="005B0CBD" w:rsidRPr="005B0CBD" w:rsidRDefault="005B0CBD" w:rsidP="005B0CBD">
            <w:pPr>
              <w:jc w:val="center"/>
              <w:rPr>
                <w:rFonts w:ascii="Calibri" w:hAnsi="Calibri" w:cs="Calibri"/>
                <w:sz w:val="16"/>
              </w:rPr>
            </w:pPr>
            <w:r w:rsidRPr="005B0CBD">
              <w:rPr>
                <w:rFonts w:ascii="Calibri" w:hAnsi="Calibri" w:cs="Calibri"/>
                <w:sz w:val="16"/>
              </w:rPr>
              <w:t>X1</w:t>
            </w:r>
          </w:p>
          <w:p w14:paraId="5E123F84" w14:textId="77777777" w:rsidR="005B0CBD" w:rsidRPr="005B0CBD" w:rsidRDefault="005B0CBD" w:rsidP="005B0CBD">
            <w:pPr>
              <w:jc w:val="center"/>
              <w:rPr>
                <w:rFonts w:ascii="Calibri" w:hAnsi="Calibri" w:cs="Calibri"/>
                <w:sz w:val="16"/>
              </w:rPr>
            </w:pPr>
            <w:r w:rsidRPr="005B0CBD">
              <w:rPr>
                <w:rFonts w:ascii="Calibri" w:hAnsi="Calibri" w:cs="Calibri"/>
                <w:sz w:val="16"/>
              </w:rPr>
              <w:t>(fails)</w:t>
            </w:r>
          </w:p>
        </w:tc>
        <w:tc>
          <w:tcPr>
            <w:tcW w:w="931" w:type="dxa"/>
            <w:shd w:val="clear" w:color="auto" w:fill="FFFFFF"/>
          </w:tcPr>
          <w:p w14:paraId="7D1B9B31" w14:textId="77777777" w:rsidR="005B0CBD" w:rsidRPr="005B0CBD" w:rsidRDefault="005B0CBD" w:rsidP="005B0CBD">
            <w:pPr>
              <w:jc w:val="center"/>
              <w:rPr>
                <w:rFonts w:ascii="Calibri" w:hAnsi="Calibri" w:cs="Calibri"/>
                <w:sz w:val="16"/>
              </w:rPr>
            </w:pPr>
            <w:r w:rsidRPr="005B0CBD">
              <w:rPr>
                <w:rFonts w:ascii="Calibri" w:eastAsia="Calibri" w:hAnsi="Calibri"/>
                <w:noProof/>
                <w:sz w:val="20"/>
                <w:szCs w:val="22"/>
                <w:lang w:val="it-IT" w:eastAsia="it-IT"/>
              </w:rPr>
              <w:drawing>
                <wp:inline distT="0" distB="0" distL="0" distR="0" wp14:anchorId="7A00BC33" wp14:editId="0940D89B">
                  <wp:extent cx="546847" cy="322275"/>
                  <wp:effectExtent l="0" t="0" r="5715" b="1905"/>
                  <wp:docPr id="280" name="Immagin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9661" cy="329827"/>
                          </a:xfrm>
                          <a:prstGeom prst="rect">
                            <a:avLst/>
                          </a:prstGeom>
                        </pic:spPr>
                      </pic:pic>
                    </a:graphicData>
                  </a:graphic>
                </wp:inline>
              </w:drawing>
            </w:r>
          </w:p>
        </w:tc>
        <w:tc>
          <w:tcPr>
            <w:tcW w:w="940" w:type="dxa"/>
            <w:shd w:val="clear" w:color="auto" w:fill="FFFFFF"/>
          </w:tcPr>
          <w:p w14:paraId="271DAAC0" w14:textId="77777777" w:rsidR="005B0CBD" w:rsidRPr="005B0CBD" w:rsidRDefault="005B0CBD" w:rsidP="005B0CBD">
            <w:pPr>
              <w:jc w:val="center"/>
              <w:rPr>
                <w:rFonts w:ascii="Calibri" w:hAnsi="Calibri" w:cs="Calibri"/>
                <w:sz w:val="16"/>
              </w:rPr>
            </w:pPr>
            <w:r w:rsidRPr="005B0CBD">
              <w:rPr>
                <w:rFonts w:ascii="Calibri" w:eastAsia="Calibri" w:hAnsi="Calibri"/>
                <w:noProof/>
                <w:sz w:val="20"/>
                <w:szCs w:val="22"/>
                <w:lang w:val="it-IT" w:eastAsia="it-IT"/>
              </w:rPr>
              <w:drawing>
                <wp:inline distT="0" distB="0" distL="0" distR="0" wp14:anchorId="17C27153" wp14:editId="19824DC7">
                  <wp:extent cx="596865" cy="354106"/>
                  <wp:effectExtent l="0" t="0" r="0" b="8255"/>
                  <wp:docPr id="281" name="Immagin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323" cy="365057"/>
                          </a:xfrm>
                          <a:prstGeom prst="rect">
                            <a:avLst/>
                          </a:prstGeom>
                        </pic:spPr>
                      </pic:pic>
                    </a:graphicData>
                  </a:graphic>
                </wp:inline>
              </w:drawing>
            </w:r>
          </w:p>
        </w:tc>
        <w:tc>
          <w:tcPr>
            <w:tcW w:w="1035" w:type="dxa"/>
            <w:shd w:val="clear" w:color="auto" w:fill="FFFFFF"/>
          </w:tcPr>
          <w:p w14:paraId="382C5CA5" w14:textId="77777777" w:rsidR="005B0CBD" w:rsidRPr="005B0CBD" w:rsidRDefault="005B0CBD" w:rsidP="005B0CBD">
            <w:pPr>
              <w:jc w:val="center"/>
              <w:rPr>
                <w:rFonts w:ascii="Calibri" w:hAnsi="Calibri" w:cs="Calibri"/>
                <w:sz w:val="16"/>
                <w:lang w:val="en-US"/>
              </w:rPr>
            </w:pPr>
            <w:r w:rsidRPr="005B0CBD">
              <w:rPr>
                <w:rFonts w:ascii="Calibri" w:eastAsia="Calibri" w:hAnsi="Calibri"/>
                <w:noProof/>
                <w:sz w:val="20"/>
                <w:szCs w:val="22"/>
                <w:lang w:val="it-IT" w:eastAsia="it-IT"/>
              </w:rPr>
              <w:drawing>
                <wp:inline distT="0" distB="0" distL="0" distR="0" wp14:anchorId="36EE8FDA" wp14:editId="79117FC0">
                  <wp:extent cx="605117" cy="359002"/>
                  <wp:effectExtent l="0" t="0" r="5080" b="3175"/>
                  <wp:docPr id="282" name="Immagin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2885" cy="369543"/>
                          </a:xfrm>
                          <a:prstGeom prst="rect">
                            <a:avLst/>
                          </a:prstGeom>
                        </pic:spPr>
                      </pic:pic>
                    </a:graphicData>
                  </a:graphic>
                </wp:inline>
              </w:drawing>
            </w:r>
          </w:p>
        </w:tc>
        <w:tc>
          <w:tcPr>
            <w:tcW w:w="963" w:type="dxa"/>
            <w:shd w:val="clear" w:color="auto" w:fill="FFFFFF"/>
          </w:tcPr>
          <w:p w14:paraId="18EAF811"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2F5ED59F" wp14:editId="64360BC0">
                  <wp:extent cx="569414" cy="337820"/>
                  <wp:effectExtent l="0" t="0" r="2540" b="5080"/>
                  <wp:docPr id="283" name="Immagin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833" cy="348154"/>
                          </a:xfrm>
                          <a:prstGeom prst="rect">
                            <a:avLst/>
                          </a:prstGeom>
                        </pic:spPr>
                      </pic:pic>
                    </a:graphicData>
                  </a:graphic>
                </wp:inline>
              </w:drawing>
            </w:r>
          </w:p>
        </w:tc>
        <w:tc>
          <w:tcPr>
            <w:tcW w:w="976" w:type="dxa"/>
            <w:shd w:val="clear" w:color="auto" w:fill="FFFFFF"/>
          </w:tcPr>
          <w:p w14:paraId="093B5AA7"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086DC089" wp14:editId="757FFDF1">
                  <wp:extent cx="569414" cy="337820"/>
                  <wp:effectExtent l="0" t="0" r="2540" b="5080"/>
                  <wp:docPr id="284" name="Immagin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833" cy="348154"/>
                          </a:xfrm>
                          <a:prstGeom prst="rect">
                            <a:avLst/>
                          </a:prstGeom>
                        </pic:spPr>
                      </pic:pic>
                    </a:graphicData>
                  </a:graphic>
                </wp:inline>
              </w:drawing>
            </w:r>
          </w:p>
        </w:tc>
        <w:tc>
          <w:tcPr>
            <w:tcW w:w="992" w:type="dxa"/>
            <w:shd w:val="clear" w:color="auto" w:fill="FFFFFF"/>
          </w:tcPr>
          <w:p w14:paraId="45116E2B"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4A3DECE7" wp14:editId="44B6388D">
                  <wp:extent cx="569414" cy="337820"/>
                  <wp:effectExtent l="0" t="0" r="2540" b="5080"/>
                  <wp:docPr id="285" name="Immagin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833" cy="348154"/>
                          </a:xfrm>
                          <a:prstGeom prst="rect">
                            <a:avLst/>
                          </a:prstGeom>
                        </pic:spPr>
                      </pic:pic>
                    </a:graphicData>
                  </a:graphic>
                </wp:inline>
              </w:drawing>
            </w:r>
          </w:p>
        </w:tc>
        <w:tc>
          <w:tcPr>
            <w:tcW w:w="992" w:type="dxa"/>
            <w:shd w:val="clear" w:color="auto" w:fill="FFFFFF"/>
          </w:tcPr>
          <w:p w14:paraId="48BC359F"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1DA462E0" wp14:editId="4671E332">
                  <wp:extent cx="569414" cy="337820"/>
                  <wp:effectExtent l="0" t="0" r="2540" b="5080"/>
                  <wp:docPr id="286" name="Immagin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833" cy="348154"/>
                          </a:xfrm>
                          <a:prstGeom prst="rect">
                            <a:avLst/>
                          </a:prstGeom>
                        </pic:spPr>
                      </pic:pic>
                    </a:graphicData>
                  </a:graphic>
                </wp:inline>
              </w:drawing>
            </w:r>
          </w:p>
        </w:tc>
        <w:tc>
          <w:tcPr>
            <w:tcW w:w="992" w:type="dxa"/>
            <w:shd w:val="clear" w:color="auto" w:fill="FFFFFF"/>
          </w:tcPr>
          <w:p w14:paraId="7761F1F8" w14:textId="77777777" w:rsidR="005B0CBD" w:rsidRPr="005B0CBD" w:rsidRDefault="005B0CBD" w:rsidP="005B0CBD">
            <w:pPr>
              <w:jc w:val="center"/>
              <w:rPr>
                <w:rFonts w:ascii="Calibri" w:eastAsia="Calibri" w:hAnsi="Calibri"/>
                <w:noProof/>
                <w:sz w:val="20"/>
                <w:szCs w:val="22"/>
                <w:lang w:val="it-IT" w:eastAsia="it-IT"/>
              </w:rPr>
            </w:pPr>
            <w:r w:rsidRPr="005B0CBD">
              <w:rPr>
                <w:rFonts w:ascii="Calibri" w:eastAsia="Calibri" w:hAnsi="Calibri"/>
                <w:noProof/>
                <w:sz w:val="20"/>
                <w:szCs w:val="22"/>
                <w:lang w:val="it-IT" w:eastAsia="it-IT"/>
              </w:rPr>
              <w:drawing>
                <wp:inline distT="0" distB="0" distL="0" distR="0" wp14:anchorId="1A25DB5E" wp14:editId="395D75B2">
                  <wp:extent cx="569414" cy="337820"/>
                  <wp:effectExtent l="0" t="0" r="2540" b="5080"/>
                  <wp:docPr id="287" name="Immagin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6833" cy="348154"/>
                          </a:xfrm>
                          <a:prstGeom prst="rect">
                            <a:avLst/>
                          </a:prstGeom>
                        </pic:spPr>
                      </pic:pic>
                    </a:graphicData>
                  </a:graphic>
                </wp:inline>
              </w:drawing>
            </w:r>
          </w:p>
        </w:tc>
      </w:tr>
    </w:tbl>
    <w:p w14:paraId="770F1C5A" w14:textId="19BFA8E6" w:rsidR="005B0CBD" w:rsidRDefault="005B0CBD" w:rsidP="005B0CBD">
      <w:pPr>
        <w:pStyle w:val="CETBodytext"/>
        <w:rPr>
          <w:lang w:val="en-GB"/>
        </w:rPr>
      </w:pPr>
    </w:p>
    <w:p w14:paraId="68BF514D" w14:textId="6802B8AD" w:rsidR="005B0CBD" w:rsidRDefault="002A3427" w:rsidP="005B0CBD">
      <w:pPr>
        <w:pStyle w:val="CETBodytext"/>
        <w:rPr>
          <w:lang w:val="en-GB"/>
        </w:rPr>
      </w:pPr>
      <w:r>
        <w:rPr>
          <w:lang w:val="en-GB"/>
        </w:rPr>
        <w:t xml:space="preserve">The procedure is similarly developed considering </w:t>
      </w:r>
      <w:r w:rsidR="005B0CBD" w:rsidRPr="005B0CBD">
        <w:rPr>
          <w:lang w:val="en-GB"/>
        </w:rPr>
        <w:t>all the tree gates.</w:t>
      </w:r>
      <w:r w:rsidR="003762AA">
        <w:rPr>
          <w:lang w:val="en-GB"/>
        </w:rPr>
        <w:t xml:space="preserve"> </w:t>
      </w:r>
      <w:r w:rsidR="000616D9" w:rsidRPr="006A6A0F">
        <w:rPr>
          <w:lang w:val="en-GB"/>
        </w:rPr>
        <w:t>In accordance with the real time update of the risk parameters, the probability distributions of the accident scenarios are updated as well</w:t>
      </w:r>
      <w:r w:rsidR="006F6A30">
        <w:rPr>
          <w:lang w:val="en-GB"/>
        </w:rPr>
        <w:t>.</w:t>
      </w:r>
    </w:p>
    <w:p w14:paraId="69A0069E" w14:textId="7A4FA9ED" w:rsidR="004105C1" w:rsidRDefault="004105C1" w:rsidP="004E2331">
      <w:pPr>
        <w:pStyle w:val="CETHeading1"/>
        <w:numPr>
          <w:ilvl w:val="0"/>
          <w:numId w:val="0"/>
        </w:numPr>
        <w:jc w:val="both"/>
        <w:rPr>
          <w:b w:val="0"/>
          <w:sz w:val="18"/>
          <w:lang w:val="en-GB"/>
        </w:rPr>
      </w:pPr>
      <w:r>
        <w:rPr>
          <w:b w:val="0"/>
          <w:noProof/>
          <w:sz w:val="18"/>
          <w:lang w:val="it-IT" w:eastAsia="it-IT"/>
        </w:rPr>
        <w:drawing>
          <wp:inline distT="0" distB="0" distL="0" distR="0" wp14:anchorId="6A211CC7" wp14:editId="27113433">
            <wp:extent cx="5039040" cy="2485292"/>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6763" cy="2489101"/>
                    </a:xfrm>
                    <a:prstGeom prst="rect">
                      <a:avLst/>
                    </a:prstGeom>
                    <a:noFill/>
                  </pic:spPr>
                </pic:pic>
              </a:graphicData>
            </a:graphic>
          </wp:inline>
        </w:drawing>
      </w:r>
    </w:p>
    <w:p w14:paraId="74ECE37D" w14:textId="2D2A8888" w:rsidR="004105C1" w:rsidRPr="00246479" w:rsidRDefault="002672A3" w:rsidP="00246479">
      <w:pPr>
        <w:pStyle w:val="CETCaption"/>
        <w:spacing w:before="0"/>
      </w:pPr>
      <w:r w:rsidRPr="00BD077D">
        <w:rPr>
          <w:rStyle w:val="CETCaptionCarattere"/>
          <w:i/>
        </w:rPr>
        <w:t xml:space="preserve">Figure </w:t>
      </w:r>
      <w:r w:rsidR="00246479">
        <w:rPr>
          <w:rStyle w:val="CETCaptionCarattere"/>
          <w:i/>
        </w:rPr>
        <w:t>5</w:t>
      </w:r>
      <w:r w:rsidRPr="00BD077D">
        <w:rPr>
          <w:rStyle w:val="CETCaptionCarattere"/>
          <w:i/>
        </w:rPr>
        <w:t xml:space="preserve">: </w:t>
      </w:r>
      <w:r w:rsidR="00246479" w:rsidRPr="00246479">
        <w:t>MCMC traces of Scenarios Probability Distributions</w:t>
      </w:r>
    </w:p>
    <w:p w14:paraId="75BBE2E5" w14:textId="646F89A8" w:rsidR="006A6A0F" w:rsidRPr="006A6A0F" w:rsidRDefault="00246479" w:rsidP="004E2331">
      <w:pPr>
        <w:pStyle w:val="CETHeading1"/>
        <w:numPr>
          <w:ilvl w:val="0"/>
          <w:numId w:val="0"/>
        </w:numPr>
        <w:jc w:val="both"/>
        <w:rPr>
          <w:b w:val="0"/>
          <w:sz w:val="18"/>
          <w:lang w:val="en-GB"/>
        </w:rPr>
      </w:pPr>
      <w:r>
        <w:rPr>
          <w:b w:val="0"/>
          <w:sz w:val="18"/>
          <w:lang w:val="en-GB"/>
        </w:rPr>
        <w:lastRenderedPageBreak/>
        <w:t>Figure 5</w:t>
      </w:r>
      <w:r w:rsidR="006A6A0F">
        <w:rPr>
          <w:b w:val="0"/>
          <w:sz w:val="18"/>
          <w:lang w:val="en-GB"/>
        </w:rPr>
        <w:t xml:space="preserve"> depicts </w:t>
      </w:r>
      <w:r w:rsidR="00BC66FD">
        <w:rPr>
          <w:b w:val="0"/>
          <w:sz w:val="18"/>
          <w:lang w:val="en-GB"/>
        </w:rPr>
        <w:t xml:space="preserve">in form of immediate readability </w:t>
      </w:r>
      <w:r w:rsidR="006A6A0F">
        <w:rPr>
          <w:b w:val="0"/>
          <w:sz w:val="18"/>
          <w:lang w:val="en-GB"/>
        </w:rPr>
        <w:t>t</w:t>
      </w:r>
      <w:r w:rsidR="006A6A0F" w:rsidRPr="006A6A0F">
        <w:rPr>
          <w:b w:val="0"/>
          <w:sz w:val="18"/>
          <w:lang w:val="en-GB"/>
        </w:rPr>
        <w:t xml:space="preserve">he MCMC traces of the dynamic probability distributions </w:t>
      </w:r>
      <w:r w:rsidR="006A6A0F">
        <w:rPr>
          <w:b w:val="0"/>
          <w:sz w:val="18"/>
          <w:lang w:val="en-GB"/>
        </w:rPr>
        <w:t xml:space="preserve">for all the scenarios conceived </w:t>
      </w:r>
      <w:r w:rsidR="00BC66FD">
        <w:rPr>
          <w:b w:val="0"/>
          <w:sz w:val="18"/>
          <w:lang w:val="en-GB"/>
        </w:rPr>
        <w:t>for the given process according to</w:t>
      </w:r>
      <w:r w:rsidR="006A6A0F">
        <w:rPr>
          <w:b w:val="0"/>
          <w:sz w:val="18"/>
          <w:lang w:val="en-GB"/>
        </w:rPr>
        <w:t xml:space="preserve"> the bow-tie development.</w:t>
      </w:r>
      <w:r w:rsidR="006A6A0F" w:rsidRPr="006A6A0F">
        <w:rPr>
          <w:b w:val="0"/>
          <w:sz w:val="18"/>
          <w:lang w:val="en-GB"/>
        </w:rPr>
        <w:t xml:space="preserve"> </w:t>
      </w:r>
    </w:p>
    <w:p w14:paraId="6B35DE93" w14:textId="5D7BE98E" w:rsidR="00245D70" w:rsidRPr="00245D70" w:rsidRDefault="003048E2" w:rsidP="00245D70">
      <w:pPr>
        <w:pStyle w:val="CETHeading1"/>
        <w:rPr>
          <w:lang w:val="en-GB"/>
        </w:rPr>
      </w:pPr>
      <w:r>
        <w:rPr>
          <w:lang w:val="en-GB"/>
        </w:rPr>
        <w:t>C</w:t>
      </w:r>
      <w:r w:rsidR="000F1F50" w:rsidRPr="00B57B36">
        <w:rPr>
          <w:lang w:val="en-GB"/>
        </w:rPr>
        <w:t>onclusions</w:t>
      </w:r>
    </w:p>
    <w:p w14:paraId="1470F034" w14:textId="23E01477" w:rsidR="00670E58" w:rsidRDefault="005B0CBD" w:rsidP="008167D9">
      <w:pPr>
        <w:spacing w:before="200" w:after="120"/>
      </w:pPr>
      <w:r w:rsidRPr="005B0CBD">
        <w:t xml:space="preserve">The proposed system is an application of Bayesian Hierarchical Inference to the bow-tie analysis, where the deviations are anticipated by a predictive model. The risk parameters and the accidental scenarios probabilities are inferred starting from the system states sequences and are represented in the form of probability distribution functions (PDF). The Bayesian approach allows to explore the interdependencies among the system components and their modification alongside </w:t>
      </w:r>
      <w:r w:rsidR="00A658D1">
        <w:t xml:space="preserve">with </w:t>
      </w:r>
      <w:r w:rsidRPr="005B0CBD">
        <w:t>process variables fluctuation</w:t>
      </w:r>
      <w:r w:rsidR="008167D9">
        <w:t>, thus</w:t>
      </w:r>
      <w:r w:rsidR="008167D9" w:rsidRPr="008167D9">
        <w:t xml:space="preserve"> </w:t>
      </w:r>
      <w:r w:rsidR="008167D9">
        <w:t xml:space="preserve">capturing the changes in operational conditions and improving the dynamic facet of risk. </w:t>
      </w:r>
      <w:r w:rsidRPr="005B0CBD">
        <w:t>The outcome is a dynamic update of the probabilities (root events, top events and accidental scenarios)</w:t>
      </w:r>
      <w:r w:rsidR="000B320F">
        <w:t>,</w:t>
      </w:r>
      <w:r w:rsidRPr="005B0CBD">
        <w:t xml:space="preserve"> which </w:t>
      </w:r>
      <w:r w:rsidR="000B320F">
        <w:t>provide</w:t>
      </w:r>
      <w:r w:rsidRPr="005B0CBD">
        <w:t xml:space="preserve"> an extremely powerful indication on how the system is performing, if it is approaching an unsafe state and how far, or close, the system is to a </w:t>
      </w:r>
      <w:r w:rsidR="001713AD">
        <w:t>hazardous deviation.</w:t>
      </w:r>
      <w:r w:rsidR="00702348" w:rsidRPr="00702348">
        <w:t xml:space="preserve"> </w:t>
      </w:r>
      <w:r w:rsidR="00702348">
        <w:t>P</w:t>
      </w:r>
      <w:r w:rsidR="00702348" w:rsidRPr="00702348">
        <w:t>recise failure data of system components utilized to calculate the failure probability</w:t>
      </w:r>
      <w:r w:rsidR="00702348">
        <w:t xml:space="preserve"> require </w:t>
      </w:r>
      <w:r w:rsidR="005340B8">
        <w:t>advanced refinement, e.g.</w:t>
      </w:r>
      <w:r w:rsidR="00702348" w:rsidRPr="00702348">
        <w:t xml:space="preserve"> </w:t>
      </w:r>
      <w:r w:rsidR="005340B8">
        <w:t xml:space="preserve">utilizing a </w:t>
      </w:r>
      <w:r w:rsidR="00702348" w:rsidRPr="00702348">
        <w:t>Noisy-OR gate Bayesian network</w:t>
      </w:r>
      <w:r w:rsidR="005340B8">
        <w:t xml:space="preserve"> relying</w:t>
      </w:r>
      <w:r w:rsidR="00702348" w:rsidRPr="00702348">
        <w:t xml:space="preserve"> on intuitionistic fuzzy theory</w:t>
      </w:r>
      <w:r w:rsidR="005340B8">
        <w:t xml:space="preserve"> (Jianxing et al., 2021).</w:t>
      </w:r>
      <w:r w:rsidR="00E73FF4">
        <w:t xml:space="preserve"> </w:t>
      </w:r>
      <w:r w:rsidR="005340B8">
        <w:t>So ongoing development of the approach are addressed to</w:t>
      </w:r>
      <w:r w:rsidR="009825F8">
        <w:t xml:space="preserve"> the improvement of</w:t>
      </w:r>
      <w:r w:rsidR="002B42E8">
        <w:t xml:space="preserve"> </w:t>
      </w:r>
      <w:r w:rsidR="00E73FF4" w:rsidRPr="00E73FF4">
        <w:t xml:space="preserve">Bayesian network in </w:t>
      </w:r>
      <w:r w:rsidR="009825F8">
        <w:t xml:space="preserve">the </w:t>
      </w:r>
      <w:r w:rsidR="00E73FF4" w:rsidRPr="00E73FF4">
        <w:t xml:space="preserve">bowtie configuration </w:t>
      </w:r>
      <w:r w:rsidR="009825F8">
        <w:t>to</w:t>
      </w:r>
      <w:r w:rsidR="00E73FF4" w:rsidRPr="00E73FF4">
        <w:t xml:space="preserve"> tie results </w:t>
      </w:r>
      <w:r w:rsidR="00CB07FD">
        <w:t xml:space="preserve">by </w:t>
      </w:r>
      <w:r w:rsidR="009825F8">
        <w:t xml:space="preserve">refining </w:t>
      </w:r>
      <w:r w:rsidR="00E73FF4" w:rsidRPr="00E73FF4">
        <w:t>uncertainty</w:t>
      </w:r>
      <w:r w:rsidR="009825F8">
        <w:t xml:space="preserve"> assessment</w:t>
      </w:r>
      <w:r w:rsidR="00CB07FD">
        <w:t xml:space="preserve"> of input data</w:t>
      </w:r>
      <w:r w:rsidR="009825F8">
        <w:t>.</w:t>
      </w:r>
      <w:r w:rsidR="001713AD">
        <w:t xml:space="preserve"> </w:t>
      </w:r>
    </w:p>
    <w:p w14:paraId="099B9550" w14:textId="282B940D" w:rsidR="000B320F" w:rsidRDefault="000B320F" w:rsidP="000B320F">
      <w:r>
        <w:rPr>
          <w:b/>
        </w:rPr>
        <w:t>Acknowledgment</w:t>
      </w:r>
      <w:r>
        <w:rPr>
          <w:b/>
        </w:rPr>
        <w:br/>
      </w:r>
      <w:r>
        <w:t>This research was partially funded by INAIL within the framework of the call BRIC/201</w:t>
      </w:r>
      <w:r w:rsidR="005B3756">
        <w:t>9</w:t>
      </w:r>
      <w:r>
        <w:t>/ID2 (Project DYN-RISK).</w:t>
      </w:r>
    </w:p>
    <w:p w14:paraId="2D19172F" w14:textId="77777777" w:rsidR="00416C7A" w:rsidRDefault="00416C7A" w:rsidP="00670E58">
      <w:pPr>
        <w:pStyle w:val="CETReference"/>
      </w:pPr>
      <w:r w:rsidRPr="00B57B36">
        <w:t>References</w:t>
      </w:r>
    </w:p>
    <w:p w14:paraId="312EE632" w14:textId="1FED625A" w:rsidR="000B320F" w:rsidRDefault="000B320F" w:rsidP="005B0CBD">
      <w:pPr>
        <w:pStyle w:val="CETReferencetext"/>
      </w:pPr>
      <w:r>
        <w:t>Allenby</w:t>
      </w:r>
      <w:r w:rsidR="00D95DFA">
        <w:t xml:space="preserve"> G.M., </w:t>
      </w:r>
      <w:r>
        <w:t xml:space="preserve">Rossi </w:t>
      </w:r>
      <w:r w:rsidR="00D95DFA">
        <w:t xml:space="preserve">P.E., </w:t>
      </w:r>
      <w:r>
        <w:t>McCulloch</w:t>
      </w:r>
      <w:r w:rsidR="00D95DFA">
        <w:t xml:space="preserve"> R.E. </w:t>
      </w:r>
      <w:r>
        <w:t>2005</w:t>
      </w:r>
      <w:r w:rsidR="00D95DFA">
        <w:t xml:space="preserve">, </w:t>
      </w:r>
      <w:r>
        <w:t xml:space="preserve">Hierarchical Bayes Model: </w:t>
      </w:r>
      <w:r w:rsidR="00D95DFA">
        <w:t>a</w:t>
      </w:r>
      <w:r>
        <w:t xml:space="preserve"> </w:t>
      </w:r>
      <w:r w:rsidR="00D95DFA">
        <w:t>p</w:t>
      </w:r>
      <w:r>
        <w:t xml:space="preserve">ractitioner’s </w:t>
      </w:r>
      <w:r w:rsidR="00D95DFA">
        <w:t>g</w:t>
      </w:r>
      <w:r>
        <w:t>uide</w:t>
      </w:r>
      <w:r w:rsidR="00D95DFA">
        <w:t xml:space="preserve">, </w:t>
      </w:r>
      <w:r>
        <w:t>Journal of Bayesian Applications in Marketing, 1</w:t>
      </w:r>
      <w:r w:rsidR="00EE7042">
        <w:t>-</w:t>
      </w:r>
      <w:r>
        <w:t>4.</w:t>
      </w:r>
    </w:p>
    <w:p w14:paraId="4BB39230" w14:textId="3727821C" w:rsidR="00564452" w:rsidRPr="000F1F50" w:rsidRDefault="00564452" w:rsidP="00564452">
      <w:pPr>
        <w:pStyle w:val="CETReferencetext"/>
      </w:pPr>
      <w:r w:rsidRPr="006F6A30">
        <w:t>Alves D.T.S., Lima G.B.A. 2021</w:t>
      </w:r>
      <w:r w:rsidR="00EE7042" w:rsidRPr="006F6A30">
        <w:t>,</w:t>
      </w:r>
      <w:r w:rsidRPr="006F6A30">
        <w:t xml:space="preserve"> Establishing an onshore pipeline incident database to support operational risk management in Brazil - Part 2: Bowtie proposition and statistics of failure, </w:t>
      </w:r>
      <w:r>
        <w:t>Process Safety and Environmental Protection, 155, 80-97.</w:t>
      </w:r>
    </w:p>
    <w:p w14:paraId="6F41D13F" w14:textId="6E8CF831" w:rsidR="000B320F" w:rsidRDefault="000B320F" w:rsidP="005B0CBD">
      <w:pPr>
        <w:pStyle w:val="CETReferencetext"/>
      </w:pPr>
      <w:r w:rsidRPr="006F6A30">
        <w:t>Badreddine A., Amor N. B. 2013</w:t>
      </w:r>
      <w:r w:rsidR="00EE7042" w:rsidRPr="006F6A30">
        <w:t>,</w:t>
      </w:r>
      <w:r w:rsidRPr="006F6A30">
        <w:t xml:space="preserve"> </w:t>
      </w:r>
      <w:r>
        <w:t>A Bayesian approach to construct bow tie diagrams for risk evaluation. Process Safety and Environmental Protection, 91, 159-171.</w:t>
      </w:r>
    </w:p>
    <w:p w14:paraId="56FCFB5B" w14:textId="1538ADA1" w:rsidR="00ED2364" w:rsidRPr="000F1F50" w:rsidRDefault="00ED2364" w:rsidP="005B0CBD">
      <w:pPr>
        <w:pStyle w:val="CETReferencetext"/>
      </w:pPr>
      <w:r w:rsidRPr="00ED2364">
        <w:t>Brown K.R., VanBerkel P., Khan F.I., Amyotte P.R.</w:t>
      </w:r>
      <w:r>
        <w:t xml:space="preserve">, 2021, </w:t>
      </w:r>
      <w:r w:rsidRPr="00ED2364">
        <w:t>Application of bow tie analysis and inherently safer design to the novel coronavirus hazard</w:t>
      </w:r>
      <w:r>
        <w:t>, Process Safety and Environmental Protection, 152, 701-718.</w:t>
      </w:r>
    </w:p>
    <w:p w14:paraId="1A6137E6" w14:textId="037B9050" w:rsidR="006D6340" w:rsidRDefault="000B320F" w:rsidP="006D6340">
      <w:pPr>
        <w:pStyle w:val="CETReferencetext"/>
      </w:pPr>
      <w:r>
        <w:t>Ding, L., Khan, F., JI, J. 2020</w:t>
      </w:r>
      <w:r w:rsidR="00EE7042">
        <w:t>,</w:t>
      </w:r>
      <w:r>
        <w:t xml:space="preserve"> Risk-based safety measure allocation to prevent and mitigate storage fire hazards. Process </w:t>
      </w:r>
      <w:r w:rsidR="006D6340">
        <w:t>S</w:t>
      </w:r>
      <w:r>
        <w:t xml:space="preserve">afety and </w:t>
      </w:r>
      <w:r w:rsidR="00EE7042">
        <w:t>E</w:t>
      </w:r>
      <w:r>
        <w:t xml:space="preserve">nvironmental </w:t>
      </w:r>
      <w:r w:rsidR="00EE7042">
        <w:t>P</w:t>
      </w:r>
      <w:r>
        <w:t>rotection, 135, 282-293.</w:t>
      </w:r>
      <w:r w:rsidR="006D6340">
        <w:t xml:space="preserve"> </w:t>
      </w:r>
    </w:p>
    <w:p w14:paraId="4B0549DC" w14:textId="35751E8F" w:rsidR="000B320F" w:rsidRDefault="006D6340" w:rsidP="006D6340">
      <w:pPr>
        <w:pStyle w:val="CETReferencetext"/>
      </w:pPr>
      <w:r>
        <w:t>Jianxing Y, Shibo W, Yang Y, Haicheng C, Haizhao F, Jiahao L, et al. Process system failure evaluation method based on a Noisy-OR gate intuitionistic fuzzy Bayesian network in an uncertain environment. Process Safety and Environmental Protection, 150, 281-97.</w:t>
      </w:r>
    </w:p>
    <w:p w14:paraId="24EF4D06" w14:textId="4225FC25" w:rsidR="000B320F" w:rsidRDefault="000B320F" w:rsidP="005B0CBD">
      <w:pPr>
        <w:pStyle w:val="CETReferencetext"/>
      </w:pPr>
      <w:r>
        <w:t>Lee S</w:t>
      </w:r>
      <w:r w:rsidR="00441963">
        <w:t>.Y.,</w:t>
      </w:r>
      <w:r>
        <w:t xml:space="preserve"> Mallick B</w:t>
      </w:r>
      <w:r w:rsidR="00441963">
        <w:t>.,</w:t>
      </w:r>
      <w:r>
        <w:t xml:space="preserve"> 2021</w:t>
      </w:r>
      <w:r w:rsidR="00EE7042">
        <w:t>,</w:t>
      </w:r>
      <w:r>
        <w:t xml:space="preserve"> Bayesian </w:t>
      </w:r>
      <w:r w:rsidR="00441963">
        <w:t>h</w:t>
      </w:r>
      <w:r>
        <w:t xml:space="preserve">ierarchical </w:t>
      </w:r>
      <w:r w:rsidR="00441963">
        <w:t>m</w:t>
      </w:r>
      <w:r>
        <w:t xml:space="preserve">odeling: </w:t>
      </w:r>
      <w:r w:rsidR="00441963">
        <w:t>a</w:t>
      </w:r>
      <w:r>
        <w:t xml:space="preserve">pplication </w:t>
      </w:r>
      <w:r w:rsidR="00441963">
        <w:t>t</w:t>
      </w:r>
      <w:r>
        <w:t xml:space="preserve">owards </w:t>
      </w:r>
      <w:r w:rsidR="00441963">
        <w:t>p</w:t>
      </w:r>
      <w:r>
        <w:t xml:space="preserve">roduction </w:t>
      </w:r>
      <w:r w:rsidR="00441963">
        <w:t>r</w:t>
      </w:r>
      <w:r>
        <w:t>esults in the Eagle Ford Shale of South Texas</w:t>
      </w:r>
      <w:r w:rsidR="00441963">
        <w:t>,</w:t>
      </w:r>
      <w:r>
        <w:t xml:space="preserve"> Sankhya B</w:t>
      </w:r>
      <w:r w:rsidR="00441963">
        <w:t>,</w:t>
      </w:r>
      <w:r>
        <w:t xml:space="preserve"> </w:t>
      </w:r>
      <w:r w:rsidR="00441963">
        <w:t>D</w:t>
      </w:r>
      <w:r>
        <w:t>oi:10.1007/s13571-020-00245-8.</w:t>
      </w:r>
    </w:p>
    <w:p w14:paraId="5AB83D19" w14:textId="58CB57FC" w:rsidR="00DA6FB0" w:rsidRDefault="00DA6FB0" w:rsidP="00DA6FB0">
      <w:pPr>
        <w:pStyle w:val="CETReferencetext"/>
      </w:pPr>
      <w:r>
        <w:t>Osarogiagbon, A.U., Khan, F., Venkatesan, R., Gillard, P., 2021. Review and analysis of supervised machine learning algorithms for hazardous events in drilling operations. Process Safety and Environmental Protection 147, 367–384.</w:t>
      </w:r>
    </w:p>
    <w:p w14:paraId="0B6A9954" w14:textId="77777777" w:rsidR="000B320F" w:rsidRDefault="000B320F" w:rsidP="005B0CBD">
      <w:pPr>
        <w:pStyle w:val="CETReferencetext"/>
      </w:pPr>
      <w:r>
        <w:t xml:space="preserve">Vairo T., Reverberi A.P., Bragatto P.A., Milazzo M.F., Fabiano B., 2021a, Predictive model and soft sensors application to dynamic process operative control, Chemical Engineering Transactions, 86, 535-540. </w:t>
      </w:r>
    </w:p>
    <w:p w14:paraId="1388DD32" w14:textId="0E8A00E2" w:rsidR="000B320F" w:rsidRDefault="000B320F" w:rsidP="005B0CBD">
      <w:pPr>
        <w:pStyle w:val="CETReferencetext"/>
      </w:pPr>
      <w:r>
        <w:t>Vairo T., Reverberi A.P., Gualeni P., Fabiano B., 2021b,</w:t>
      </w:r>
      <w:r w:rsidRPr="00832705">
        <w:t xml:space="preserve"> Resilience </w:t>
      </w:r>
      <w:r>
        <w:t>d</w:t>
      </w:r>
      <w:r w:rsidRPr="00832705">
        <w:t xml:space="preserve">ynamic </w:t>
      </w:r>
      <w:r>
        <w:t>a</w:t>
      </w:r>
      <w:r w:rsidRPr="00832705">
        <w:t xml:space="preserve">ssessment based on </w:t>
      </w:r>
      <w:r>
        <w:t>p</w:t>
      </w:r>
      <w:r w:rsidRPr="00832705">
        <w:t xml:space="preserve">recursor </w:t>
      </w:r>
      <w:r>
        <w:t>e</w:t>
      </w:r>
      <w:r w:rsidRPr="00832705">
        <w:t xml:space="preserve">vents: </w:t>
      </w:r>
      <w:r>
        <w:t>a</w:t>
      </w:r>
      <w:r w:rsidRPr="00832705">
        <w:t xml:space="preserve">pplication to </w:t>
      </w:r>
      <w:r>
        <w:t>s</w:t>
      </w:r>
      <w:r w:rsidRPr="00832705">
        <w:t xml:space="preserve">hip LNG </w:t>
      </w:r>
      <w:r>
        <w:t>b</w:t>
      </w:r>
      <w:r w:rsidRPr="00832705">
        <w:t xml:space="preserve">unkering </w:t>
      </w:r>
      <w:r>
        <w:t>o</w:t>
      </w:r>
      <w:r w:rsidRPr="00832705">
        <w:t>perations</w:t>
      </w:r>
      <w:r>
        <w:t>, Sustainability</w:t>
      </w:r>
      <w:r w:rsidR="00D95DFA">
        <w:t xml:space="preserve"> </w:t>
      </w:r>
      <w:r w:rsidR="00D95DFA" w:rsidRPr="00D95DFA">
        <w:t>13(</w:t>
      </w:r>
      <w:r w:rsidR="00D95DFA">
        <w:t>12</w:t>
      </w:r>
      <w:r w:rsidR="00441963">
        <w:t>)</w:t>
      </w:r>
      <w:r w:rsidR="00D95DFA" w:rsidRPr="00D95DFA">
        <w:t>, 6836</w:t>
      </w:r>
      <w:r w:rsidR="00D95DFA">
        <w:t xml:space="preserve">, </w:t>
      </w:r>
      <w:r w:rsidR="00441963">
        <w:t>D</w:t>
      </w:r>
      <w:r w:rsidR="00C60B20">
        <w:t>OI</w:t>
      </w:r>
      <w:r w:rsidR="00441963">
        <w:t>:</w:t>
      </w:r>
      <w:r w:rsidR="00D95DFA" w:rsidRPr="00D95DFA">
        <w:t>10.3390/su13126836</w:t>
      </w:r>
      <w:r>
        <w:t xml:space="preserve"> </w:t>
      </w:r>
    </w:p>
    <w:p w14:paraId="1403AE8E" w14:textId="0A29A15C" w:rsidR="001713AD" w:rsidRDefault="001713AD" w:rsidP="001713AD">
      <w:pPr>
        <w:pStyle w:val="CETReferencetext"/>
      </w:pPr>
      <w:r>
        <w:t>Vairo T., Pontiggia M., Fabiano B. 2021</w:t>
      </w:r>
      <w:r w:rsidR="00EE7042">
        <w:t>,</w:t>
      </w:r>
      <w:r>
        <w:t xml:space="preserve"> Critical aspects of natural gas pipelines risk assessments. A case-study application on buried layout. Process Safety and Environmental Protection 2021, 149, 258-268.</w:t>
      </w:r>
    </w:p>
    <w:p w14:paraId="7A1FFA92" w14:textId="33F4CC6C" w:rsidR="00C60B20" w:rsidRDefault="00C60B20" w:rsidP="00C60B20">
      <w:pPr>
        <w:pStyle w:val="CETReferencetext"/>
      </w:pPr>
      <w:r w:rsidRPr="006F6A30">
        <w:rPr>
          <w:lang w:val="it-IT"/>
        </w:rPr>
        <w:t xml:space="preserve">Vianello, C., Bassani, A., Mocellin, P., Manenti, F., Pirola, C., Fabiano, B., Colombo, S., Maschio, G., 2022. </w:t>
      </w:r>
      <w:r>
        <w:t xml:space="preserve">Hybrid risk-based LCA to improve the Acid Gas to Syngas (AG2S™) process, Journal of Loss Prevention in the Process Industries, 75, 104694 </w:t>
      </w:r>
      <w:r w:rsidRPr="00C60B20">
        <w:t>DOI: 10.1016/j.jlp.2021.104694</w:t>
      </w:r>
    </w:p>
    <w:p w14:paraId="049A8B0E" w14:textId="4D1C16BB" w:rsidR="000B320F" w:rsidRDefault="000B320F" w:rsidP="005B0CBD">
      <w:pPr>
        <w:pStyle w:val="CETReferencetext"/>
      </w:pPr>
      <w:r>
        <w:t>Zurheide, F.T., Hermann, E., Lampesberger, H.</w:t>
      </w:r>
      <w:r w:rsidR="00EE7042">
        <w:t>, 2021,</w:t>
      </w:r>
      <w:r>
        <w:t xml:space="preserve"> pyBNBowTie: Python library for Bow-Tie </w:t>
      </w:r>
      <w:r w:rsidR="00D95DFA">
        <w:t>a</w:t>
      </w:r>
      <w:r>
        <w:t>nalysis based on Bayesian Networks. Procedia Computer Science 180, 344–351.</w:t>
      </w:r>
    </w:p>
    <w:sectPr w:rsidR="000B320F"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DC9E5" w14:textId="77777777" w:rsidR="00DC1E7F" w:rsidRDefault="00DC1E7F" w:rsidP="004F5E36">
      <w:r>
        <w:separator/>
      </w:r>
    </w:p>
  </w:endnote>
  <w:endnote w:type="continuationSeparator" w:id="0">
    <w:p w14:paraId="4A06F739" w14:textId="77777777" w:rsidR="00DC1E7F" w:rsidRDefault="00DC1E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211E8" w14:textId="77777777" w:rsidR="00DC1E7F" w:rsidRDefault="00DC1E7F" w:rsidP="004F5E36">
      <w:r>
        <w:separator/>
      </w:r>
    </w:p>
  </w:footnote>
  <w:footnote w:type="continuationSeparator" w:id="0">
    <w:p w14:paraId="610D89CB" w14:textId="77777777" w:rsidR="00DC1E7F" w:rsidRDefault="00DC1E7F"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E84A34"/>
    <w:multiLevelType w:val="hybridMultilevel"/>
    <w:tmpl w:val="89E0C158"/>
    <w:lvl w:ilvl="0" w:tplc="FD6A829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EB56BD4"/>
    <w:multiLevelType w:val="hybridMultilevel"/>
    <w:tmpl w:val="84787F88"/>
    <w:lvl w:ilvl="0" w:tplc="B148CAD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43C52"/>
    <w:multiLevelType w:val="hybridMultilevel"/>
    <w:tmpl w:val="AE0818C6"/>
    <w:lvl w:ilvl="0" w:tplc="AA02873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38217E"/>
    <w:multiLevelType w:val="multilevel"/>
    <w:tmpl w:val="B70CB86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A01B5B"/>
    <w:multiLevelType w:val="hybridMultilevel"/>
    <w:tmpl w:val="3DD8FFEC"/>
    <w:lvl w:ilvl="0" w:tplc="AA028732">
      <w:start w:val="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D7F2D53"/>
    <w:multiLevelType w:val="hybridMultilevel"/>
    <w:tmpl w:val="1E621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5"/>
  </w:num>
  <w:num w:numId="14">
    <w:abstractNumId w:val="21"/>
  </w:num>
  <w:num w:numId="15">
    <w:abstractNumId w:val="24"/>
  </w:num>
  <w:num w:numId="16">
    <w:abstractNumId w:val="23"/>
  </w:num>
  <w:num w:numId="17">
    <w:abstractNumId w:val="14"/>
  </w:num>
  <w:num w:numId="18">
    <w:abstractNumId w:val="15"/>
    <w:lvlOverride w:ilvl="0">
      <w:startOverride w:val="1"/>
    </w:lvlOverride>
  </w:num>
  <w:num w:numId="19">
    <w:abstractNumId w:val="19"/>
  </w:num>
  <w:num w:numId="20">
    <w:abstractNumId w:val="18"/>
  </w:num>
  <w:num w:numId="21">
    <w:abstractNumId w:val="16"/>
  </w:num>
  <w:num w:numId="22">
    <w:abstractNumId w:val="10"/>
  </w:num>
  <w:num w:numId="23">
    <w:abstractNumId w:val="13"/>
    <w:lvlOverride w:ilvl="0">
      <w:startOverride w:val="1"/>
    </w:lvlOverride>
    <w:lvlOverride w:ilvl="1">
      <w:startOverride w:val="2"/>
    </w:lvlOverride>
    <w:lvlOverride w:ilvl="2">
      <w:startOverride w:val="3"/>
    </w:lvlOverride>
  </w:num>
  <w:num w:numId="24">
    <w:abstractNumId w:val="11"/>
  </w:num>
  <w:num w:numId="25">
    <w:abstractNumId w:val="22"/>
  </w:num>
  <w:num w:numId="26">
    <w:abstractNumId w:val="1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F10"/>
    <w:rsid w:val="0003148D"/>
    <w:rsid w:val="00034997"/>
    <w:rsid w:val="000369F3"/>
    <w:rsid w:val="00046D14"/>
    <w:rsid w:val="00051566"/>
    <w:rsid w:val="000616D9"/>
    <w:rsid w:val="00062A9A"/>
    <w:rsid w:val="00065058"/>
    <w:rsid w:val="000701B1"/>
    <w:rsid w:val="000825FC"/>
    <w:rsid w:val="000861A7"/>
    <w:rsid w:val="00086C39"/>
    <w:rsid w:val="00090253"/>
    <w:rsid w:val="000A03B2"/>
    <w:rsid w:val="000B320F"/>
    <w:rsid w:val="000C061B"/>
    <w:rsid w:val="000C0759"/>
    <w:rsid w:val="000D0268"/>
    <w:rsid w:val="000D34BE"/>
    <w:rsid w:val="000E102F"/>
    <w:rsid w:val="000E36F1"/>
    <w:rsid w:val="000E3A73"/>
    <w:rsid w:val="000E414A"/>
    <w:rsid w:val="000F093C"/>
    <w:rsid w:val="000F1F50"/>
    <w:rsid w:val="000F787B"/>
    <w:rsid w:val="00100E4F"/>
    <w:rsid w:val="0012091F"/>
    <w:rsid w:val="00126BC2"/>
    <w:rsid w:val="00127A28"/>
    <w:rsid w:val="00127D83"/>
    <w:rsid w:val="001308B6"/>
    <w:rsid w:val="0013121F"/>
    <w:rsid w:val="00131FE6"/>
    <w:rsid w:val="0013263F"/>
    <w:rsid w:val="00134DE4"/>
    <w:rsid w:val="0014034D"/>
    <w:rsid w:val="00150E59"/>
    <w:rsid w:val="00152747"/>
    <w:rsid w:val="00152DE3"/>
    <w:rsid w:val="001641D0"/>
    <w:rsid w:val="00164CF9"/>
    <w:rsid w:val="001667A6"/>
    <w:rsid w:val="001713AD"/>
    <w:rsid w:val="00173E8F"/>
    <w:rsid w:val="00180895"/>
    <w:rsid w:val="00184AD6"/>
    <w:rsid w:val="001A4AF7"/>
    <w:rsid w:val="001B0349"/>
    <w:rsid w:val="001B4556"/>
    <w:rsid w:val="001B65C1"/>
    <w:rsid w:val="001C684B"/>
    <w:rsid w:val="001D07E8"/>
    <w:rsid w:val="001D2890"/>
    <w:rsid w:val="001D53FC"/>
    <w:rsid w:val="001D7818"/>
    <w:rsid w:val="001D798C"/>
    <w:rsid w:val="001E21E7"/>
    <w:rsid w:val="001E4BFE"/>
    <w:rsid w:val="001F42A5"/>
    <w:rsid w:val="001F4C32"/>
    <w:rsid w:val="001F4D00"/>
    <w:rsid w:val="001F7B9D"/>
    <w:rsid w:val="00206059"/>
    <w:rsid w:val="002224B4"/>
    <w:rsid w:val="00240080"/>
    <w:rsid w:val="002447EF"/>
    <w:rsid w:val="00245D70"/>
    <w:rsid w:val="00246479"/>
    <w:rsid w:val="00246904"/>
    <w:rsid w:val="00246AC8"/>
    <w:rsid w:val="00251550"/>
    <w:rsid w:val="00253EFE"/>
    <w:rsid w:val="0026073E"/>
    <w:rsid w:val="00263B05"/>
    <w:rsid w:val="00263DA1"/>
    <w:rsid w:val="002672A3"/>
    <w:rsid w:val="00271828"/>
    <w:rsid w:val="0027221A"/>
    <w:rsid w:val="00275B61"/>
    <w:rsid w:val="00282656"/>
    <w:rsid w:val="00287D76"/>
    <w:rsid w:val="0029279E"/>
    <w:rsid w:val="00296B83"/>
    <w:rsid w:val="002A3427"/>
    <w:rsid w:val="002B3FF4"/>
    <w:rsid w:val="002B42E8"/>
    <w:rsid w:val="002B78CE"/>
    <w:rsid w:val="002B7E08"/>
    <w:rsid w:val="002C209D"/>
    <w:rsid w:val="002C2FB6"/>
    <w:rsid w:val="002F1629"/>
    <w:rsid w:val="002F3309"/>
    <w:rsid w:val="002F67D3"/>
    <w:rsid w:val="003009B7"/>
    <w:rsid w:val="00300E56"/>
    <w:rsid w:val="0030469C"/>
    <w:rsid w:val="003048E2"/>
    <w:rsid w:val="003173F8"/>
    <w:rsid w:val="00321CA6"/>
    <w:rsid w:val="00323763"/>
    <w:rsid w:val="003322C9"/>
    <w:rsid w:val="00334C09"/>
    <w:rsid w:val="00337F82"/>
    <w:rsid w:val="00347FC3"/>
    <w:rsid w:val="00365795"/>
    <w:rsid w:val="003723D4"/>
    <w:rsid w:val="0037556D"/>
    <w:rsid w:val="003762AA"/>
    <w:rsid w:val="00381905"/>
    <w:rsid w:val="0038205A"/>
    <w:rsid w:val="00384303"/>
    <w:rsid w:val="00384CC8"/>
    <w:rsid w:val="003871FD"/>
    <w:rsid w:val="003A1E30"/>
    <w:rsid w:val="003A2603"/>
    <w:rsid w:val="003A7D1C"/>
    <w:rsid w:val="003B304B"/>
    <w:rsid w:val="003B3146"/>
    <w:rsid w:val="003D41D6"/>
    <w:rsid w:val="003E352D"/>
    <w:rsid w:val="003E469D"/>
    <w:rsid w:val="003E5580"/>
    <w:rsid w:val="003F015E"/>
    <w:rsid w:val="004000B8"/>
    <w:rsid w:val="00400414"/>
    <w:rsid w:val="0040366C"/>
    <w:rsid w:val="004105C1"/>
    <w:rsid w:val="0041446B"/>
    <w:rsid w:val="00414F97"/>
    <w:rsid w:val="00416C7A"/>
    <w:rsid w:val="00441499"/>
    <w:rsid w:val="00441963"/>
    <w:rsid w:val="0044329C"/>
    <w:rsid w:val="004577FE"/>
    <w:rsid w:val="00457B9C"/>
    <w:rsid w:val="0046164A"/>
    <w:rsid w:val="004628D2"/>
    <w:rsid w:val="00462DCD"/>
    <w:rsid w:val="004648AD"/>
    <w:rsid w:val="004703A9"/>
    <w:rsid w:val="004760DE"/>
    <w:rsid w:val="004763D7"/>
    <w:rsid w:val="004942BF"/>
    <w:rsid w:val="004A004E"/>
    <w:rsid w:val="004A24CF"/>
    <w:rsid w:val="004A602B"/>
    <w:rsid w:val="004B18B1"/>
    <w:rsid w:val="004C3D1D"/>
    <w:rsid w:val="004C7913"/>
    <w:rsid w:val="004D09EF"/>
    <w:rsid w:val="004D194D"/>
    <w:rsid w:val="004E2331"/>
    <w:rsid w:val="004E4DD6"/>
    <w:rsid w:val="004F5E36"/>
    <w:rsid w:val="00500579"/>
    <w:rsid w:val="0050656E"/>
    <w:rsid w:val="00507B47"/>
    <w:rsid w:val="00507BEF"/>
    <w:rsid w:val="00507CC9"/>
    <w:rsid w:val="005119A5"/>
    <w:rsid w:val="00513C80"/>
    <w:rsid w:val="005271B6"/>
    <w:rsid w:val="005278B7"/>
    <w:rsid w:val="00532016"/>
    <w:rsid w:val="005340B8"/>
    <w:rsid w:val="005346C8"/>
    <w:rsid w:val="005360C8"/>
    <w:rsid w:val="00543E7D"/>
    <w:rsid w:val="0054608F"/>
    <w:rsid w:val="00547A68"/>
    <w:rsid w:val="005531C9"/>
    <w:rsid w:val="00564452"/>
    <w:rsid w:val="005651C7"/>
    <w:rsid w:val="00570C43"/>
    <w:rsid w:val="00586D03"/>
    <w:rsid w:val="005A336C"/>
    <w:rsid w:val="005A37A4"/>
    <w:rsid w:val="005B0CBD"/>
    <w:rsid w:val="005B2110"/>
    <w:rsid w:val="005B3756"/>
    <w:rsid w:val="005B61E6"/>
    <w:rsid w:val="005C77E1"/>
    <w:rsid w:val="005C7976"/>
    <w:rsid w:val="005D31B5"/>
    <w:rsid w:val="005D668A"/>
    <w:rsid w:val="005D6A2F"/>
    <w:rsid w:val="005E1A82"/>
    <w:rsid w:val="005E794C"/>
    <w:rsid w:val="005F0A28"/>
    <w:rsid w:val="005F0E5E"/>
    <w:rsid w:val="00600535"/>
    <w:rsid w:val="00605696"/>
    <w:rsid w:val="00610CD6"/>
    <w:rsid w:val="00613C66"/>
    <w:rsid w:val="00620DEE"/>
    <w:rsid w:val="00621F92"/>
    <w:rsid w:val="0062280A"/>
    <w:rsid w:val="00625639"/>
    <w:rsid w:val="00631B33"/>
    <w:rsid w:val="00634C7B"/>
    <w:rsid w:val="0064184D"/>
    <w:rsid w:val="006422CC"/>
    <w:rsid w:val="006508D9"/>
    <w:rsid w:val="00655788"/>
    <w:rsid w:val="006574C7"/>
    <w:rsid w:val="00660E3E"/>
    <w:rsid w:val="006612D6"/>
    <w:rsid w:val="00662E74"/>
    <w:rsid w:val="006675A4"/>
    <w:rsid w:val="00670E58"/>
    <w:rsid w:val="006777F5"/>
    <w:rsid w:val="00677BA0"/>
    <w:rsid w:val="00680C23"/>
    <w:rsid w:val="00693766"/>
    <w:rsid w:val="006A3281"/>
    <w:rsid w:val="006A6A0F"/>
    <w:rsid w:val="006B4888"/>
    <w:rsid w:val="006C2E45"/>
    <w:rsid w:val="006C359C"/>
    <w:rsid w:val="006C5579"/>
    <w:rsid w:val="006D6340"/>
    <w:rsid w:val="006D6E8B"/>
    <w:rsid w:val="006E0CB0"/>
    <w:rsid w:val="006E5190"/>
    <w:rsid w:val="006E737D"/>
    <w:rsid w:val="006F6A30"/>
    <w:rsid w:val="00702348"/>
    <w:rsid w:val="0070366B"/>
    <w:rsid w:val="00707D10"/>
    <w:rsid w:val="00720A24"/>
    <w:rsid w:val="00722BBE"/>
    <w:rsid w:val="007316BE"/>
    <w:rsid w:val="00732386"/>
    <w:rsid w:val="0073514D"/>
    <w:rsid w:val="007447F3"/>
    <w:rsid w:val="00753154"/>
    <w:rsid w:val="0075499F"/>
    <w:rsid w:val="00761DC9"/>
    <w:rsid w:val="007642B7"/>
    <w:rsid w:val="007661C8"/>
    <w:rsid w:val="0077098D"/>
    <w:rsid w:val="007931FA"/>
    <w:rsid w:val="007A4861"/>
    <w:rsid w:val="007A7BBA"/>
    <w:rsid w:val="007B0C50"/>
    <w:rsid w:val="007B3BC0"/>
    <w:rsid w:val="007B4AE6"/>
    <w:rsid w:val="007C1A43"/>
    <w:rsid w:val="007C3D4E"/>
    <w:rsid w:val="007E227B"/>
    <w:rsid w:val="007E40F6"/>
    <w:rsid w:val="0080013E"/>
    <w:rsid w:val="00813288"/>
    <w:rsid w:val="008167D9"/>
    <w:rsid w:val="008168FC"/>
    <w:rsid w:val="00830996"/>
    <w:rsid w:val="00832705"/>
    <w:rsid w:val="0083436B"/>
    <w:rsid w:val="008345F1"/>
    <w:rsid w:val="00841332"/>
    <w:rsid w:val="0085050A"/>
    <w:rsid w:val="008559D6"/>
    <w:rsid w:val="00861657"/>
    <w:rsid w:val="00864B28"/>
    <w:rsid w:val="00865303"/>
    <w:rsid w:val="00865B07"/>
    <w:rsid w:val="008667EA"/>
    <w:rsid w:val="008704AF"/>
    <w:rsid w:val="0087637F"/>
    <w:rsid w:val="008869A5"/>
    <w:rsid w:val="00892AD5"/>
    <w:rsid w:val="008A1512"/>
    <w:rsid w:val="008B362B"/>
    <w:rsid w:val="008C341B"/>
    <w:rsid w:val="008D32B9"/>
    <w:rsid w:val="008D433B"/>
    <w:rsid w:val="008D5444"/>
    <w:rsid w:val="008E566E"/>
    <w:rsid w:val="008E58E0"/>
    <w:rsid w:val="008F127E"/>
    <w:rsid w:val="0090161A"/>
    <w:rsid w:val="00901EB6"/>
    <w:rsid w:val="00904C62"/>
    <w:rsid w:val="00911E3B"/>
    <w:rsid w:val="00922BA8"/>
    <w:rsid w:val="009233C5"/>
    <w:rsid w:val="00924DAC"/>
    <w:rsid w:val="00927058"/>
    <w:rsid w:val="00942750"/>
    <w:rsid w:val="009450CE"/>
    <w:rsid w:val="00947179"/>
    <w:rsid w:val="00950946"/>
    <w:rsid w:val="0095164B"/>
    <w:rsid w:val="00954090"/>
    <w:rsid w:val="009573E7"/>
    <w:rsid w:val="00963E05"/>
    <w:rsid w:val="00967843"/>
    <w:rsid w:val="00967D54"/>
    <w:rsid w:val="00971028"/>
    <w:rsid w:val="00976275"/>
    <w:rsid w:val="009825F8"/>
    <w:rsid w:val="009938FE"/>
    <w:rsid w:val="00996483"/>
    <w:rsid w:val="00996F5A"/>
    <w:rsid w:val="009A57B4"/>
    <w:rsid w:val="009B041A"/>
    <w:rsid w:val="009B6991"/>
    <w:rsid w:val="009C37C3"/>
    <w:rsid w:val="009C7C86"/>
    <w:rsid w:val="009D1BC0"/>
    <w:rsid w:val="009D2FF7"/>
    <w:rsid w:val="009E7884"/>
    <w:rsid w:val="009E788A"/>
    <w:rsid w:val="009F0E08"/>
    <w:rsid w:val="00A06F2E"/>
    <w:rsid w:val="00A1763D"/>
    <w:rsid w:val="00A17CEC"/>
    <w:rsid w:val="00A27EF0"/>
    <w:rsid w:val="00A42361"/>
    <w:rsid w:val="00A50B20"/>
    <w:rsid w:val="00A51390"/>
    <w:rsid w:val="00A60D13"/>
    <w:rsid w:val="00A658D1"/>
    <w:rsid w:val="00A70CE5"/>
    <w:rsid w:val="00A72745"/>
    <w:rsid w:val="00A76EFC"/>
    <w:rsid w:val="00A81B31"/>
    <w:rsid w:val="00A91010"/>
    <w:rsid w:val="00A97F29"/>
    <w:rsid w:val="00AA702E"/>
    <w:rsid w:val="00AB0964"/>
    <w:rsid w:val="00AB5011"/>
    <w:rsid w:val="00AB6B3C"/>
    <w:rsid w:val="00AB7DC9"/>
    <w:rsid w:val="00AC7368"/>
    <w:rsid w:val="00AD15F7"/>
    <w:rsid w:val="00AD16B9"/>
    <w:rsid w:val="00AE377D"/>
    <w:rsid w:val="00AF0EBA"/>
    <w:rsid w:val="00AF7D91"/>
    <w:rsid w:val="00B02C8A"/>
    <w:rsid w:val="00B17FBD"/>
    <w:rsid w:val="00B315A6"/>
    <w:rsid w:val="00B31813"/>
    <w:rsid w:val="00B33365"/>
    <w:rsid w:val="00B4483E"/>
    <w:rsid w:val="00B57B36"/>
    <w:rsid w:val="00B63AA0"/>
    <w:rsid w:val="00B644A6"/>
    <w:rsid w:val="00B6655B"/>
    <w:rsid w:val="00B707F8"/>
    <w:rsid w:val="00B8686D"/>
    <w:rsid w:val="00B923EE"/>
    <w:rsid w:val="00BA2598"/>
    <w:rsid w:val="00BA6A64"/>
    <w:rsid w:val="00BA6F14"/>
    <w:rsid w:val="00BB1DDC"/>
    <w:rsid w:val="00BC30C9"/>
    <w:rsid w:val="00BC66FD"/>
    <w:rsid w:val="00BE3E58"/>
    <w:rsid w:val="00BF3EE5"/>
    <w:rsid w:val="00C01616"/>
    <w:rsid w:val="00C0162B"/>
    <w:rsid w:val="00C01A64"/>
    <w:rsid w:val="00C05B7E"/>
    <w:rsid w:val="00C068ED"/>
    <w:rsid w:val="00C15F00"/>
    <w:rsid w:val="00C26610"/>
    <w:rsid w:val="00C32989"/>
    <w:rsid w:val="00C339B1"/>
    <w:rsid w:val="00C345B1"/>
    <w:rsid w:val="00C34837"/>
    <w:rsid w:val="00C40142"/>
    <w:rsid w:val="00C51D02"/>
    <w:rsid w:val="00C57182"/>
    <w:rsid w:val="00C57863"/>
    <w:rsid w:val="00C60B20"/>
    <w:rsid w:val="00C655FD"/>
    <w:rsid w:val="00C70EF8"/>
    <w:rsid w:val="00C75407"/>
    <w:rsid w:val="00C870A8"/>
    <w:rsid w:val="00C94434"/>
    <w:rsid w:val="00C9657F"/>
    <w:rsid w:val="00CA0D75"/>
    <w:rsid w:val="00CA1C95"/>
    <w:rsid w:val="00CA5A9C"/>
    <w:rsid w:val="00CB07FD"/>
    <w:rsid w:val="00CC39EA"/>
    <w:rsid w:val="00CC4C20"/>
    <w:rsid w:val="00CD182C"/>
    <w:rsid w:val="00CD3517"/>
    <w:rsid w:val="00CD5FE2"/>
    <w:rsid w:val="00CE7C68"/>
    <w:rsid w:val="00CE7CA4"/>
    <w:rsid w:val="00D02B4C"/>
    <w:rsid w:val="00D040C4"/>
    <w:rsid w:val="00D11B58"/>
    <w:rsid w:val="00D13BF8"/>
    <w:rsid w:val="00D216CE"/>
    <w:rsid w:val="00D57C84"/>
    <w:rsid w:val="00D57F00"/>
    <w:rsid w:val="00D6057D"/>
    <w:rsid w:val="00D836C5"/>
    <w:rsid w:val="00D84576"/>
    <w:rsid w:val="00D84B8B"/>
    <w:rsid w:val="00D928FF"/>
    <w:rsid w:val="00D95DFA"/>
    <w:rsid w:val="00DA1399"/>
    <w:rsid w:val="00DA24C6"/>
    <w:rsid w:val="00DA36B5"/>
    <w:rsid w:val="00DA4D7B"/>
    <w:rsid w:val="00DA6266"/>
    <w:rsid w:val="00DA6FB0"/>
    <w:rsid w:val="00DA74C3"/>
    <w:rsid w:val="00DC1E7F"/>
    <w:rsid w:val="00DE264A"/>
    <w:rsid w:val="00DE4821"/>
    <w:rsid w:val="00DF5072"/>
    <w:rsid w:val="00E02D18"/>
    <w:rsid w:val="00E041E7"/>
    <w:rsid w:val="00E05CC5"/>
    <w:rsid w:val="00E07203"/>
    <w:rsid w:val="00E13251"/>
    <w:rsid w:val="00E14006"/>
    <w:rsid w:val="00E23CA1"/>
    <w:rsid w:val="00E409A8"/>
    <w:rsid w:val="00E47CD2"/>
    <w:rsid w:val="00E50C12"/>
    <w:rsid w:val="00E52868"/>
    <w:rsid w:val="00E53DCC"/>
    <w:rsid w:val="00E65B91"/>
    <w:rsid w:val="00E712D2"/>
    <w:rsid w:val="00E7209D"/>
    <w:rsid w:val="00E73FF4"/>
    <w:rsid w:val="00E74C7D"/>
    <w:rsid w:val="00E77223"/>
    <w:rsid w:val="00E80DAF"/>
    <w:rsid w:val="00E82281"/>
    <w:rsid w:val="00E82F6B"/>
    <w:rsid w:val="00E8528B"/>
    <w:rsid w:val="00E85B94"/>
    <w:rsid w:val="00E978D0"/>
    <w:rsid w:val="00EA17BF"/>
    <w:rsid w:val="00EA4613"/>
    <w:rsid w:val="00EA5FA2"/>
    <w:rsid w:val="00EA7F91"/>
    <w:rsid w:val="00EB1523"/>
    <w:rsid w:val="00EC0E49"/>
    <w:rsid w:val="00EC101F"/>
    <w:rsid w:val="00EC1D9F"/>
    <w:rsid w:val="00ED2364"/>
    <w:rsid w:val="00ED2746"/>
    <w:rsid w:val="00EE0131"/>
    <w:rsid w:val="00EE17B0"/>
    <w:rsid w:val="00EE4565"/>
    <w:rsid w:val="00EE7042"/>
    <w:rsid w:val="00EF06D9"/>
    <w:rsid w:val="00F1451C"/>
    <w:rsid w:val="00F30C64"/>
    <w:rsid w:val="00F32CDB"/>
    <w:rsid w:val="00F3725C"/>
    <w:rsid w:val="00F565FE"/>
    <w:rsid w:val="00F61FC1"/>
    <w:rsid w:val="00F63A70"/>
    <w:rsid w:val="00FA21D0"/>
    <w:rsid w:val="00FA5F5F"/>
    <w:rsid w:val="00FB1112"/>
    <w:rsid w:val="00FB730C"/>
    <w:rsid w:val="00FC2695"/>
    <w:rsid w:val="00FC3E03"/>
    <w:rsid w:val="00FC3FC1"/>
    <w:rsid w:val="00FC7B74"/>
    <w:rsid w:val="00FD3E8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D0F7767F-DCA9-4741-98B3-CBF9607D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D216C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A2603"/>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A2603"/>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3A2603"/>
    <w:pPr>
      <w:numPr>
        <w:ilvl w:val="0"/>
        <w:numId w:val="0"/>
      </w:numPr>
      <w:spacing w:after="0"/>
    </w:pPr>
  </w:style>
  <w:style w:type="character" w:customStyle="1" w:styleId="CETHeadingxxChar">
    <w:name w:val="CET Headingxx Char"/>
    <w:basedOn w:val="CETheadingxCarattere"/>
    <w:link w:val="CETHeadingxx"/>
    <w:rsid w:val="003A2603"/>
    <w:rPr>
      <w:rFonts w:ascii="Arial" w:eastAsia="Times New Roman" w:hAnsi="Arial" w:cs="Times New Roman"/>
      <w:b/>
      <w:sz w:val="18"/>
      <w:szCs w:val="20"/>
      <w:lang w:val="en-US"/>
    </w:rPr>
  </w:style>
  <w:style w:type="paragraph" w:styleId="Paragrafoelenco">
    <w:name w:val="List Paragraph"/>
    <w:basedOn w:val="Normale"/>
    <w:uiPriority w:val="34"/>
    <w:qFormat/>
    <w:rsid w:val="004A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42048">
      <w:bodyDiv w:val="1"/>
      <w:marLeft w:val="0"/>
      <w:marRight w:val="0"/>
      <w:marTop w:val="0"/>
      <w:marBottom w:val="0"/>
      <w:divBdr>
        <w:top w:val="none" w:sz="0" w:space="0" w:color="auto"/>
        <w:left w:val="none" w:sz="0" w:space="0" w:color="auto"/>
        <w:bottom w:val="none" w:sz="0" w:space="0" w:color="auto"/>
        <w:right w:val="none" w:sz="0" w:space="0" w:color="auto"/>
      </w:divBdr>
    </w:div>
    <w:div w:id="332798610">
      <w:bodyDiv w:val="1"/>
      <w:marLeft w:val="0"/>
      <w:marRight w:val="0"/>
      <w:marTop w:val="0"/>
      <w:marBottom w:val="0"/>
      <w:divBdr>
        <w:top w:val="none" w:sz="0" w:space="0" w:color="auto"/>
        <w:left w:val="none" w:sz="0" w:space="0" w:color="auto"/>
        <w:bottom w:val="none" w:sz="0" w:space="0" w:color="auto"/>
        <w:right w:val="none" w:sz="0" w:space="0" w:color="auto"/>
      </w:divBdr>
    </w:div>
    <w:div w:id="59528923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69">
      <w:bodyDiv w:val="1"/>
      <w:marLeft w:val="0"/>
      <w:marRight w:val="0"/>
      <w:marTop w:val="0"/>
      <w:marBottom w:val="0"/>
      <w:divBdr>
        <w:top w:val="none" w:sz="0" w:space="0" w:color="auto"/>
        <w:left w:val="none" w:sz="0" w:space="0" w:color="auto"/>
        <w:bottom w:val="none" w:sz="0" w:space="0" w:color="auto"/>
        <w:right w:val="none" w:sz="0" w:space="0" w:color="auto"/>
      </w:divBdr>
    </w:div>
    <w:div w:id="211786400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6B31-3CBD-4215-A1E8-6681CBDB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2924</Words>
  <Characters>16671</Characters>
  <Application>Microsoft Office Word</Application>
  <DocSecurity>0</DocSecurity>
  <Lines>138</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Vairo Tomaso</cp:lastModifiedBy>
  <cp:revision>3</cp:revision>
  <cp:lastPrinted>2015-05-12T18:31:00Z</cp:lastPrinted>
  <dcterms:created xsi:type="dcterms:W3CDTF">2022-01-24T13:49:00Z</dcterms:created>
  <dcterms:modified xsi:type="dcterms:W3CDTF">2022-04-04T12:47:00Z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