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F0379F"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F0379F" w:rsidRDefault="000A03B2" w:rsidP="00DE264A">
            <w:pPr>
              <w:tabs>
                <w:tab w:val="left" w:pos="-108"/>
              </w:tabs>
              <w:ind w:left="-108"/>
              <w:jc w:val="left"/>
              <w:rPr>
                <w:rFonts w:cs="Arial"/>
                <w:b/>
                <w:bCs/>
                <w:i/>
                <w:iCs/>
                <w:color w:val="000066"/>
                <w:sz w:val="12"/>
                <w:szCs w:val="12"/>
                <w:lang w:eastAsia="it-IT"/>
              </w:rPr>
            </w:pPr>
            <w:r w:rsidRPr="00F0379F">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F0379F">
              <w:rPr>
                <w:rFonts w:ascii="AdvP6960" w:hAnsi="AdvP6960" w:cs="AdvP6960"/>
                <w:color w:val="241F20"/>
                <w:szCs w:val="18"/>
                <w:lang w:eastAsia="it-IT"/>
              </w:rPr>
              <w:t xml:space="preserve"> </w:t>
            </w:r>
            <w:r w:rsidRPr="00F0379F">
              <w:rPr>
                <w:rFonts w:cs="Arial"/>
                <w:b/>
                <w:bCs/>
                <w:i/>
                <w:iCs/>
                <w:color w:val="000066"/>
                <w:sz w:val="24"/>
                <w:szCs w:val="24"/>
                <w:lang w:eastAsia="it-IT"/>
              </w:rPr>
              <w:t>CHEMICAL ENGINEERING</w:t>
            </w:r>
            <w:r w:rsidRPr="00F0379F">
              <w:rPr>
                <w:rFonts w:cs="Arial"/>
                <w:b/>
                <w:bCs/>
                <w:i/>
                <w:iCs/>
                <w:color w:val="0033FF"/>
                <w:sz w:val="24"/>
                <w:szCs w:val="24"/>
                <w:lang w:eastAsia="it-IT"/>
              </w:rPr>
              <w:t xml:space="preserve"> </w:t>
            </w:r>
            <w:r w:rsidRPr="00F0379F">
              <w:rPr>
                <w:rFonts w:cs="Arial"/>
                <w:b/>
                <w:bCs/>
                <w:i/>
                <w:iCs/>
                <w:color w:val="666666"/>
                <w:sz w:val="24"/>
                <w:szCs w:val="24"/>
                <w:lang w:eastAsia="it-IT"/>
              </w:rPr>
              <w:t>TRANSACTIONS</w:t>
            </w:r>
            <w:r w:rsidRPr="00F0379F">
              <w:rPr>
                <w:color w:val="333333"/>
                <w:sz w:val="24"/>
                <w:szCs w:val="24"/>
                <w:lang w:eastAsia="it-IT"/>
              </w:rPr>
              <w:t xml:space="preserve"> </w:t>
            </w:r>
            <w:r w:rsidRPr="00F0379F">
              <w:rPr>
                <w:rFonts w:cs="Arial"/>
                <w:b/>
                <w:bCs/>
                <w:i/>
                <w:iCs/>
                <w:color w:val="000066"/>
                <w:sz w:val="27"/>
                <w:szCs w:val="27"/>
                <w:lang w:eastAsia="it-IT"/>
              </w:rPr>
              <w:br/>
            </w:r>
          </w:p>
          <w:p w14:paraId="4B780582" w14:textId="740002EE" w:rsidR="000A03B2" w:rsidRPr="00F0379F" w:rsidRDefault="00A76EFC" w:rsidP="00B57E6F">
            <w:pPr>
              <w:tabs>
                <w:tab w:val="left" w:pos="-108"/>
              </w:tabs>
              <w:ind w:left="-108"/>
              <w:rPr>
                <w:rFonts w:cs="Arial"/>
                <w:b/>
                <w:bCs/>
                <w:i/>
                <w:iCs/>
                <w:color w:val="000066"/>
                <w:sz w:val="22"/>
                <w:szCs w:val="22"/>
                <w:lang w:eastAsia="it-IT"/>
              </w:rPr>
            </w:pPr>
            <w:r w:rsidRPr="00F0379F">
              <w:rPr>
                <w:rFonts w:cs="Arial"/>
                <w:b/>
                <w:bCs/>
                <w:i/>
                <w:iCs/>
                <w:color w:val="000066"/>
                <w:sz w:val="22"/>
                <w:szCs w:val="22"/>
                <w:lang w:eastAsia="it-IT"/>
              </w:rPr>
              <w:t xml:space="preserve">VOL. </w:t>
            </w:r>
            <w:r w:rsidR="00D46B7E" w:rsidRPr="00F0379F">
              <w:rPr>
                <w:rFonts w:cs="Arial"/>
                <w:b/>
                <w:bCs/>
                <w:i/>
                <w:iCs/>
                <w:color w:val="000066"/>
                <w:sz w:val="22"/>
                <w:szCs w:val="22"/>
                <w:lang w:eastAsia="it-IT"/>
              </w:rPr>
              <w:t>9</w:t>
            </w:r>
            <w:r w:rsidR="00B57E6F" w:rsidRPr="00F0379F">
              <w:rPr>
                <w:rFonts w:cs="Arial"/>
                <w:b/>
                <w:bCs/>
                <w:i/>
                <w:iCs/>
                <w:color w:val="000066"/>
                <w:sz w:val="22"/>
                <w:szCs w:val="22"/>
                <w:lang w:eastAsia="it-IT"/>
              </w:rPr>
              <w:t>1</w:t>
            </w:r>
            <w:r w:rsidR="007B48F9" w:rsidRPr="00F0379F">
              <w:rPr>
                <w:rFonts w:cs="Arial"/>
                <w:b/>
                <w:bCs/>
                <w:i/>
                <w:iCs/>
                <w:color w:val="000066"/>
                <w:sz w:val="22"/>
                <w:szCs w:val="22"/>
                <w:lang w:eastAsia="it-IT"/>
              </w:rPr>
              <w:t>,</w:t>
            </w:r>
            <w:r w:rsidR="00FA5F5F" w:rsidRPr="00F0379F">
              <w:rPr>
                <w:rFonts w:cs="Arial"/>
                <w:b/>
                <w:bCs/>
                <w:i/>
                <w:iCs/>
                <w:color w:val="000066"/>
                <w:sz w:val="22"/>
                <w:szCs w:val="22"/>
                <w:lang w:eastAsia="it-IT"/>
              </w:rPr>
              <w:t xml:space="preserve"> 20</w:t>
            </w:r>
            <w:r w:rsidR="00DF5072" w:rsidRPr="00F0379F">
              <w:rPr>
                <w:rFonts w:cs="Arial"/>
                <w:b/>
                <w:bCs/>
                <w:i/>
                <w:iCs/>
                <w:color w:val="000066"/>
                <w:sz w:val="22"/>
                <w:szCs w:val="22"/>
                <w:lang w:eastAsia="it-IT"/>
              </w:rPr>
              <w:t>2</w:t>
            </w:r>
            <w:r w:rsidR="007B48F9" w:rsidRPr="00F0379F">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F0379F" w:rsidRDefault="000A03B2" w:rsidP="00CD5FE2">
            <w:pPr>
              <w:spacing w:line="140" w:lineRule="atLeast"/>
              <w:jc w:val="right"/>
              <w:rPr>
                <w:rFonts w:cs="Arial"/>
                <w:sz w:val="14"/>
                <w:szCs w:val="14"/>
              </w:rPr>
            </w:pPr>
            <w:r w:rsidRPr="00F0379F">
              <w:rPr>
                <w:rFonts w:cs="Arial"/>
                <w:sz w:val="14"/>
                <w:szCs w:val="14"/>
              </w:rPr>
              <w:t>A publication of</w:t>
            </w:r>
          </w:p>
          <w:p w14:paraId="599E5441" w14:textId="77777777" w:rsidR="000A03B2" w:rsidRPr="00F0379F" w:rsidRDefault="000A03B2" w:rsidP="00CD5FE2">
            <w:pPr>
              <w:jc w:val="right"/>
            </w:pPr>
            <w:r w:rsidRPr="00F0379F">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F0379F" w14:paraId="380FA3CD" w14:textId="77777777" w:rsidTr="00DE264A">
        <w:trPr>
          <w:trHeight w:val="567"/>
          <w:jc w:val="center"/>
        </w:trPr>
        <w:tc>
          <w:tcPr>
            <w:tcW w:w="6946" w:type="dxa"/>
            <w:vMerge/>
            <w:tcBorders>
              <w:right w:val="single" w:sz="4" w:space="0" w:color="auto"/>
            </w:tcBorders>
          </w:tcPr>
          <w:p w14:paraId="39E5E4C1" w14:textId="77777777" w:rsidR="000A03B2" w:rsidRPr="00F0379F"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F0379F" w:rsidRDefault="000A03B2" w:rsidP="00CD5FE2">
            <w:pPr>
              <w:spacing w:line="140" w:lineRule="atLeast"/>
              <w:jc w:val="right"/>
              <w:rPr>
                <w:rFonts w:cs="Arial"/>
                <w:sz w:val="14"/>
                <w:szCs w:val="14"/>
              </w:rPr>
            </w:pPr>
            <w:r w:rsidRPr="00F0379F">
              <w:rPr>
                <w:rFonts w:cs="Arial"/>
                <w:sz w:val="14"/>
                <w:szCs w:val="14"/>
              </w:rPr>
              <w:t>The Italian Association</w:t>
            </w:r>
          </w:p>
          <w:p w14:paraId="7522B1D2" w14:textId="77777777" w:rsidR="000A03B2" w:rsidRPr="00F0379F" w:rsidRDefault="000A03B2" w:rsidP="00CD5FE2">
            <w:pPr>
              <w:spacing w:line="140" w:lineRule="atLeast"/>
              <w:jc w:val="right"/>
              <w:rPr>
                <w:rFonts w:cs="Arial"/>
                <w:sz w:val="14"/>
                <w:szCs w:val="14"/>
              </w:rPr>
            </w:pPr>
            <w:r w:rsidRPr="00F0379F">
              <w:rPr>
                <w:rFonts w:cs="Arial"/>
                <w:sz w:val="14"/>
                <w:szCs w:val="14"/>
              </w:rPr>
              <w:t>of Chemical Engineering</w:t>
            </w:r>
          </w:p>
          <w:p w14:paraId="4F0CC5DE" w14:textId="47FDB2FC" w:rsidR="000A03B2" w:rsidRPr="00F0379F" w:rsidRDefault="000D0268" w:rsidP="00CD5FE2">
            <w:pPr>
              <w:spacing w:line="140" w:lineRule="atLeast"/>
              <w:jc w:val="right"/>
              <w:rPr>
                <w:rFonts w:cs="Arial"/>
                <w:sz w:val="13"/>
                <w:szCs w:val="13"/>
              </w:rPr>
            </w:pPr>
            <w:r w:rsidRPr="00F0379F">
              <w:rPr>
                <w:rFonts w:cs="Arial"/>
                <w:sz w:val="13"/>
                <w:szCs w:val="13"/>
              </w:rPr>
              <w:t>Online at www.cetjournal.it</w:t>
            </w:r>
          </w:p>
        </w:tc>
      </w:tr>
      <w:tr w:rsidR="000A03B2" w:rsidRPr="00F0379F" w14:paraId="2D1B7169" w14:textId="77777777" w:rsidTr="00DE264A">
        <w:trPr>
          <w:trHeight w:val="68"/>
          <w:jc w:val="center"/>
        </w:trPr>
        <w:tc>
          <w:tcPr>
            <w:tcW w:w="8789" w:type="dxa"/>
            <w:gridSpan w:val="2"/>
          </w:tcPr>
          <w:p w14:paraId="4B0BB442" w14:textId="4EADF2C2" w:rsidR="00300E56" w:rsidRPr="00F0379F" w:rsidRDefault="00300E56" w:rsidP="00B57E6F">
            <w:pPr>
              <w:ind w:left="-107"/>
              <w:outlineLvl w:val="2"/>
              <w:rPr>
                <w:rFonts w:ascii="Tahoma" w:hAnsi="Tahoma" w:cs="Tahoma"/>
                <w:bCs/>
                <w:color w:val="000000"/>
                <w:sz w:val="14"/>
                <w:szCs w:val="14"/>
                <w:lang w:val="it-IT" w:eastAsia="it-IT"/>
              </w:rPr>
            </w:pPr>
            <w:r w:rsidRPr="00F0379F">
              <w:rPr>
                <w:rFonts w:ascii="Tahoma" w:hAnsi="Tahoma" w:cs="Tahoma"/>
                <w:iCs/>
                <w:color w:val="333333"/>
                <w:sz w:val="14"/>
                <w:szCs w:val="14"/>
                <w:lang w:val="it-IT" w:eastAsia="it-IT"/>
              </w:rPr>
              <w:t>Guest Editors:</w:t>
            </w:r>
            <w:r w:rsidR="00904C62" w:rsidRPr="00F0379F">
              <w:rPr>
                <w:rFonts w:ascii="Tahoma" w:hAnsi="Tahoma" w:cs="Tahoma"/>
                <w:iCs/>
                <w:color w:val="333333"/>
                <w:sz w:val="14"/>
                <w:szCs w:val="14"/>
                <w:lang w:val="it-IT" w:eastAsia="it-IT"/>
              </w:rPr>
              <w:t xml:space="preserve"> </w:t>
            </w:r>
            <w:r w:rsidR="00B57E6F" w:rsidRPr="00F0379F">
              <w:rPr>
                <w:rFonts w:ascii="Tahoma" w:hAnsi="Tahoma" w:cs="Tahoma"/>
                <w:color w:val="000000"/>
                <w:sz w:val="14"/>
                <w:szCs w:val="14"/>
                <w:shd w:val="clear" w:color="auto" w:fill="FFFFFF"/>
                <w:lang w:val="it-IT"/>
              </w:rPr>
              <w:t xml:space="preserve">Valerio </w:t>
            </w:r>
            <w:proofErr w:type="spellStart"/>
            <w:r w:rsidR="00B57E6F" w:rsidRPr="00F0379F">
              <w:rPr>
                <w:rFonts w:ascii="Tahoma" w:hAnsi="Tahoma" w:cs="Tahoma"/>
                <w:color w:val="000000"/>
                <w:sz w:val="14"/>
                <w:szCs w:val="14"/>
                <w:shd w:val="clear" w:color="auto" w:fill="FFFFFF"/>
                <w:lang w:val="it-IT"/>
              </w:rPr>
              <w:t>Cozzani</w:t>
            </w:r>
            <w:proofErr w:type="spellEnd"/>
            <w:r w:rsidR="00B57E6F" w:rsidRPr="00F0379F">
              <w:rPr>
                <w:rFonts w:ascii="Tahoma" w:hAnsi="Tahoma" w:cs="Tahoma"/>
                <w:color w:val="000000"/>
                <w:sz w:val="14"/>
                <w:szCs w:val="14"/>
                <w:shd w:val="clear" w:color="auto" w:fill="FFFFFF"/>
                <w:lang w:val="it-IT"/>
              </w:rPr>
              <w:t xml:space="preserve">, </w:t>
            </w:r>
            <w:r w:rsidR="001331DF" w:rsidRPr="00F0379F">
              <w:rPr>
                <w:rFonts w:ascii="Tahoma" w:hAnsi="Tahoma" w:cs="Tahoma"/>
                <w:color w:val="000000"/>
                <w:sz w:val="14"/>
                <w:szCs w:val="14"/>
                <w:shd w:val="clear" w:color="auto" w:fill="FFFFFF"/>
                <w:lang w:val="it-IT"/>
              </w:rPr>
              <w:t>Bruno Fabiano</w:t>
            </w:r>
            <w:r w:rsidR="00B57E6F" w:rsidRPr="00F0379F">
              <w:rPr>
                <w:rFonts w:ascii="Tahoma" w:hAnsi="Tahoma" w:cs="Tahoma"/>
                <w:color w:val="000000"/>
                <w:sz w:val="14"/>
                <w:szCs w:val="14"/>
                <w:shd w:val="clear" w:color="auto" w:fill="FFFFFF"/>
                <w:lang w:val="it-IT"/>
              </w:rPr>
              <w:t xml:space="preserve">, </w:t>
            </w:r>
            <w:proofErr w:type="spellStart"/>
            <w:r w:rsidR="00B57E6F" w:rsidRPr="00F0379F">
              <w:rPr>
                <w:rFonts w:ascii="Tahoma" w:hAnsi="Tahoma" w:cs="Tahoma"/>
                <w:bCs/>
                <w:color w:val="000000"/>
                <w:sz w:val="14"/>
                <w:szCs w:val="14"/>
                <w:lang w:val="it-IT" w:eastAsia="it-IT"/>
              </w:rPr>
              <w:t>Genserik</w:t>
            </w:r>
            <w:proofErr w:type="spellEnd"/>
            <w:r w:rsidR="00B57E6F" w:rsidRPr="00F0379F">
              <w:rPr>
                <w:rFonts w:ascii="Tahoma" w:hAnsi="Tahoma" w:cs="Tahoma"/>
                <w:bCs/>
                <w:color w:val="000000"/>
                <w:sz w:val="14"/>
                <w:szCs w:val="14"/>
                <w:lang w:val="it-IT" w:eastAsia="it-IT"/>
              </w:rPr>
              <w:t xml:space="preserve"> </w:t>
            </w:r>
            <w:proofErr w:type="spellStart"/>
            <w:r w:rsidR="00B57E6F" w:rsidRPr="00F0379F">
              <w:rPr>
                <w:rFonts w:ascii="Tahoma" w:hAnsi="Tahoma" w:cs="Tahoma"/>
                <w:bCs/>
                <w:color w:val="000000"/>
                <w:sz w:val="14"/>
                <w:szCs w:val="14"/>
                <w:lang w:val="it-IT" w:eastAsia="it-IT"/>
              </w:rPr>
              <w:t>Reniers</w:t>
            </w:r>
            <w:proofErr w:type="spellEnd"/>
          </w:p>
          <w:p w14:paraId="1B0F1814" w14:textId="08709475" w:rsidR="000A03B2" w:rsidRPr="00F0379F" w:rsidRDefault="00FA5F5F" w:rsidP="00B57E6F">
            <w:pPr>
              <w:tabs>
                <w:tab w:val="left" w:pos="-108"/>
              </w:tabs>
              <w:spacing w:line="140" w:lineRule="atLeast"/>
              <w:ind w:left="-107"/>
              <w:jc w:val="left"/>
            </w:pPr>
            <w:r w:rsidRPr="00F0379F">
              <w:rPr>
                <w:rFonts w:ascii="Tahoma" w:hAnsi="Tahoma" w:cs="Tahoma"/>
                <w:iCs/>
                <w:color w:val="333333"/>
                <w:sz w:val="14"/>
                <w:szCs w:val="14"/>
                <w:lang w:eastAsia="it-IT"/>
              </w:rPr>
              <w:t>Copyright © 20</w:t>
            </w:r>
            <w:r w:rsidR="00DF5072" w:rsidRPr="00F0379F">
              <w:rPr>
                <w:rFonts w:ascii="Tahoma" w:hAnsi="Tahoma" w:cs="Tahoma"/>
                <w:iCs/>
                <w:color w:val="333333"/>
                <w:sz w:val="14"/>
                <w:szCs w:val="14"/>
                <w:lang w:eastAsia="it-IT"/>
              </w:rPr>
              <w:t>2</w:t>
            </w:r>
            <w:r w:rsidR="00E72EAD" w:rsidRPr="00F0379F">
              <w:rPr>
                <w:rFonts w:ascii="Tahoma" w:hAnsi="Tahoma" w:cs="Tahoma"/>
                <w:iCs/>
                <w:color w:val="333333"/>
                <w:sz w:val="14"/>
                <w:szCs w:val="14"/>
                <w:lang w:eastAsia="it-IT"/>
              </w:rPr>
              <w:t>2</w:t>
            </w:r>
            <w:r w:rsidR="00904C62" w:rsidRPr="00F0379F">
              <w:rPr>
                <w:rFonts w:ascii="Tahoma" w:hAnsi="Tahoma" w:cs="Tahoma"/>
                <w:iCs/>
                <w:color w:val="333333"/>
                <w:sz w:val="14"/>
                <w:szCs w:val="14"/>
                <w:lang w:eastAsia="it-IT"/>
              </w:rPr>
              <w:t xml:space="preserve">, AIDIC </w:t>
            </w:r>
            <w:proofErr w:type="spellStart"/>
            <w:r w:rsidR="00904C62" w:rsidRPr="00F0379F">
              <w:rPr>
                <w:rFonts w:ascii="Tahoma" w:hAnsi="Tahoma" w:cs="Tahoma"/>
                <w:iCs/>
                <w:color w:val="333333"/>
                <w:sz w:val="14"/>
                <w:szCs w:val="14"/>
                <w:lang w:eastAsia="it-IT"/>
              </w:rPr>
              <w:t>Servizi</w:t>
            </w:r>
            <w:proofErr w:type="spellEnd"/>
            <w:r w:rsidR="00904C62" w:rsidRPr="00F0379F">
              <w:rPr>
                <w:rFonts w:ascii="Tahoma" w:hAnsi="Tahoma" w:cs="Tahoma"/>
                <w:iCs/>
                <w:color w:val="333333"/>
                <w:sz w:val="14"/>
                <w:szCs w:val="14"/>
                <w:lang w:eastAsia="it-IT"/>
              </w:rPr>
              <w:t xml:space="preserve"> </w:t>
            </w:r>
            <w:proofErr w:type="spellStart"/>
            <w:r w:rsidR="00904C62" w:rsidRPr="00F0379F">
              <w:rPr>
                <w:rFonts w:ascii="Tahoma" w:hAnsi="Tahoma" w:cs="Tahoma"/>
                <w:iCs/>
                <w:color w:val="333333"/>
                <w:sz w:val="14"/>
                <w:szCs w:val="14"/>
                <w:lang w:eastAsia="it-IT"/>
              </w:rPr>
              <w:t>S.r.l</w:t>
            </w:r>
            <w:proofErr w:type="spellEnd"/>
            <w:r w:rsidR="00904C62" w:rsidRPr="00F0379F">
              <w:rPr>
                <w:rFonts w:ascii="Tahoma" w:hAnsi="Tahoma" w:cs="Tahoma"/>
                <w:iCs/>
                <w:color w:val="333333"/>
                <w:sz w:val="14"/>
                <w:szCs w:val="14"/>
                <w:lang w:eastAsia="it-IT"/>
              </w:rPr>
              <w:t>.</w:t>
            </w:r>
            <w:r w:rsidR="00300E56" w:rsidRPr="00F0379F">
              <w:rPr>
                <w:rFonts w:ascii="Tahoma" w:hAnsi="Tahoma" w:cs="Tahoma"/>
                <w:iCs/>
                <w:color w:val="333333"/>
                <w:sz w:val="14"/>
                <w:szCs w:val="14"/>
                <w:lang w:eastAsia="it-IT"/>
              </w:rPr>
              <w:br/>
            </w:r>
            <w:r w:rsidR="00300E56" w:rsidRPr="00F0379F">
              <w:rPr>
                <w:rFonts w:ascii="Tahoma" w:hAnsi="Tahoma" w:cs="Tahoma"/>
                <w:b/>
                <w:iCs/>
                <w:color w:val="000000"/>
                <w:sz w:val="14"/>
                <w:szCs w:val="14"/>
                <w:lang w:eastAsia="it-IT"/>
              </w:rPr>
              <w:t>ISBN</w:t>
            </w:r>
            <w:r w:rsidR="00300E56" w:rsidRPr="00F0379F">
              <w:rPr>
                <w:rFonts w:ascii="Tahoma" w:hAnsi="Tahoma" w:cs="Tahoma"/>
                <w:iCs/>
                <w:color w:val="000000"/>
                <w:sz w:val="14"/>
                <w:szCs w:val="14"/>
                <w:lang w:eastAsia="it-IT"/>
              </w:rPr>
              <w:t xml:space="preserve"> </w:t>
            </w:r>
            <w:r w:rsidR="008D32B9" w:rsidRPr="00F0379F">
              <w:rPr>
                <w:rFonts w:ascii="Tahoma" w:hAnsi="Tahoma" w:cs="Tahoma"/>
                <w:sz w:val="14"/>
                <w:szCs w:val="14"/>
              </w:rPr>
              <w:t>978-88-95608</w:t>
            </w:r>
            <w:r w:rsidR="00D46B7E" w:rsidRPr="00F0379F">
              <w:rPr>
                <w:rFonts w:ascii="Tahoma" w:hAnsi="Tahoma" w:cs="Tahoma"/>
                <w:sz w:val="14"/>
                <w:szCs w:val="14"/>
              </w:rPr>
              <w:t>-8</w:t>
            </w:r>
            <w:r w:rsidR="00B57E6F" w:rsidRPr="00F0379F">
              <w:rPr>
                <w:rFonts w:ascii="Tahoma" w:hAnsi="Tahoma" w:cs="Tahoma"/>
                <w:sz w:val="14"/>
                <w:szCs w:val="14"/>
              </w:rPr>
              <w:t>9</w:t>
            </w:r>
            <w:r w:rsidR="00D46B7E" w:rsidRPr="00F0379F">
              <w:rPr>
                <w:rFonts w:ascii="Tahoma" w:hAnsi="Tahoma" w:cs="Tahoma"/>
                <w:sz w:val="14"/>
                <w:szCs w:val="14"/>
              </w:rPr>
              <w:t>-</w:t>
            </w:r>
            <w:r w:rsidR="00B57E6F" w:rsidRPr="00F0379F">
              <w:rPr>
                <w:rFonts w:ascii="Tahoma" w:hAnsi="Tahoma" w:cs="Tahoma"/>
                <w:sz w:val="14"/>
                <w:szCs w:val="14"/>
              </w:rPr>
              <w:t>1</w:t>
            </w:r>
            <w:r w:rsidR="007B48F9" w:rsidRPr="00F0379F">
              <w:rPr>
                <w:rFonts w:ascii="Tahoma" w:hAnsi="Tahoma" w:cs="Tahoma"/>
                <w:iCs/>
                <w:color w:val="333333"/>
                <w:sz w:val="14"/>
                <w:szCs w:val="14"/>
                <w:lang w:eastAsia="it-IT"/>
              </w:rPr>
              <w:t>;</w:t>
            </w:r>
            <w:r w:rsidR="00300E56" w:rsidRPr="00F0379F">
              <w:rPr>
                <w:rFonts w:ascii="Tahoma" w:hAnsi="Tahoma" w:cs="Tahoma"/>
                <w:iCs/>
                <w:color w:val="333333"/>
                <w:sz w:val="14"/>
                <w:szCs w:val="14"/>
                <w:lang w:eastAsia="it-IT"/>
              </w:rPr>
              <w:t xml:space="preserve"> </w:t>
            </w:r>
            <w:r w:rsidR="00300E56" w:rsidRPr="00F0379F">
              <w:rPr>
                <w:rFonts w:ascii="Tahoma" w:hAnsi="Tahoma" w:cs="Tahoma"/>
                <w:b/>
                <w:iCs/>
                <w:color w:val="333333"/>
                <w:sz w:val="14"/>
                <w:szCs w:val="14"/>
                <w:lang w:eastAsia="it-IT"/>
              </w:rPr>
              <w:t>ISSN</w:t>
            </w:r>
            <w:r w:rsidR="00300E56" w:rsidRPr="00F0379F">
              <w:rPr>
                <w:rFonts w:ascii="Tahoma" w:hAnsi="Tahoma" w:cs="Tahoma"/>
                <w:iCs/>
                <w:color w:val="333333"/>
                <w:sz w:val="14"/>
                <w:szCs w:val="14"/>
                <w:lang w:eastAsia="it-IT"/>
              </w:rPr>
              <w:t xml:space="preserve"> 2283-9216</w:t>
            </w:r>
          </w:p>
        </w:tc>
      </w:tr>
    </w:tbl>
    <w:p w14:paraId="10DAA130" w14:textId="77777777" w:rsidR="000A03B2" w:rsidRPr="00F0379F" w:rsidRDefault="000A03B2" w:rsidP="00B1724A">
      <w:pPr>
        <w:pStyle w:val="CETAuthors"/>
        <w:sectPr w:rsidR="000A03B2" w:rsidRPr="00F0379F" w:rsidSect="00CD5FE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418" w:bottom="1701" w:left="1701" w:header="1701" w:footer="0" w:gutter="0"/>
          <w:cols w:space="708"/>
          <w:titlePg/>
          <w:docGrid w:linePitch="360"/>
        </w:sectPr>
      </w:pPr>
    </w:p>
    <w:p w14:paraId="5A95EC93" w14:textId="68381DDE" w:rsidR="00247CE6" w:rsidRPr="00F0379F" w:rsidRDefault="00247CE6" w:rsidP="00B1724A">
      <w:pPr>
        <w:spacing w:after="120"/>
        <w:jc w:val="center"/>
        <w:rPr>
          <w:rFonts w:cs="Arial"/>
          <w:sz w:val="32"/>
          <w:szCs w:val="32"/>
        </w:rPr>
      </w:pPr>
      <w:r w:rsidRPr="00F0379F">
        <w:rPr>
          <w:rFonts w:cs="Arial"/>
          <w:sz w:val="32"/>
          <w:szCs w:val="32"/>
        </w:rPr>
        <w:t>A Framework towards Resource</w:t>
      </w:r>
      <w:r w:rsidR="00404277">
        <w:rPr>
          <w:rFonts w:cs="Arial"/>
          <w:sz w:val="32"/>
          <w:szCs w:val="32"/>
        </w:rPr>
        <w:t xml:space="preserve"> Integration</w:t>
      </w:r>
      <w:r w:rsidRPr="00F0379F">
        <w:rPr>
          <w:rFonts w:cs="Arial"/>
          <w:sz w:val="32"/>
          <w:szCs w:val="32"/>
        </w:rPr>
        <w:t xml:space="preserve"> and Energy Efficiency Auditing with Zero Hazardous Discharge Programme</w:t>
      </w:r>
    </w:p>
    <w:p w14:paraId="09112E91" w14:textId="77777777" w:rsidR="00247CE6" w:rsidRPr="00F0379F" w:rsidRDefault="00247CE6" w:rsidP="00247CE6">
      <w:pPr>
        <w:spacing w:line="360" w:lineRule="auto"/>
        <w:rPr>
          <w:rFonts w:cs="Arial"/>
          <w:szCs w:val="18"/>
          <w:lang w:val="it-IT"/>
        </w:rPr>
      </w:pPr>
      <w:r w:rsidRPr="00F0379F">
        <w:rPr>
          <w:rFonts w:cs="Arial"/>
          <w:szCs w:val="18"/>
          <w:lang w:val="it-IT"/>
        </w:rPr>
        <w:t xml:space="preserve">Andrea </w:t>
      </w:r>
      <w:proofErr w:type="spellStart"/>
      <w:r w:rsidRPr="00F0379F">
        <w:rPr>
          <w:rFonts w:cs="Arial"/>
          <w:szCs w:val="18"/>
          <w:lang w:val="it-IT"/>
        </w:rPr>
        <w:t>Maffini</w:t>
      </w:r>
      <w:r w:rsidRPr="00F0379F">
        <w:rPr>
          <w:rFonts w:cs="Arial"/>
          <w:szCs w:val="18"/>
          <w:vertAlign w:val="superscript"/>
          <w:lang w:val="it-IT"/>
        </w:rPr>
        <w:t>a</w:t>
      </w:r>
      <w:proofErr w:type="spellEnd"/>
      <w:r w:rsidRPr="00F0379F">
        <w:rPr>
          <w:rFonts w:cs="Arial"/>
          <w:szCs w:val="18"/>
          <w:lang w:val="it-IT"/>
        </w:rPr>
        <w:t xml:space="preserve">*, Giorgio </w:t>
      </w:r>
      <w:proofErr w:type="spellStart"/>
      <w:r w:rsidRPr="00F0379F">
        <w:rPr>
          <w:rFonts w:cs="Arial"/>
          <w:szCs w:val="18"/>
          <w:lang w:val="it-IT"/>
        </w:rPr>
        <w:t>Bonvicini</w:t>
      </w:r>
      <w:r w:rsidRPr="00F0379F">
        <w:rPr>
          <w:rFonts w:cs="Arial"/>
          <w:szCs w:val="18"/>
          <w:vertAlign w:val="superscript"/>
          <w:lang w:val="it-IT"/>
        </w:rPr>
        <w:t>b</w:t>
      </w:r>
      <w:proofErr w:type="spellEnd"/>
      <w:r w:rsidRPr="00F0379F">
        <w:rPr>
          <w:rFonts w:cs="Arial"/>
          <w:szCs w:val="18"/>
          <w:lang w:val="it-IT"/>
        </w:rPr>
        <w:t xml:space="preserve">, Alessandro </w:t>
      </w:r>
      <w:proofErr w:type="spellStart"/>
      <w:r w:rsidRPr="00F0379F">
        <w:rPr>
          <w:rFonts w:cs="Arial"/>
          <w:szCs w:val="18"/>
          <w:lang w:val="it-IT"/>
        </w:rPr>
        <w:t>Venturin</w:t>
      </w:r>
      <w:r w:rsidRPr="00F0379F">
        <w:rPr>
          <w:rFonts w:cs="Arial"/>
          <w:szCs w:val="18"/>
          <w:vertAlign w:val="superscript"/>
          <w:lang w:val="it-IT"/>
        </w:rPr>
        <w:t>b</w:t>
      </w:r>
      <w:proofErr w:type="spellEnd"/>
      <w:r w:rsidRPr="00F0379F">
        <w:rPr>
          <w:rFonts w:cs="Arial"/>
          <w:szCs w:val="18"/>
          <w:lang w:val="it-IT"/>
        </w:rPr>
        <w:t xml:space="preserve">, Marco </w:t>
      </w:r>
      <w:proofErr w:type="spellStart"/>
      <w:r w:rsidRPr="00F0379F">
        <w:rPr>
          <w:rFonts w:cs="Arial"/>
          <w:szCs w:val="18"/>
          <w:lang w:val="it-IT"/>
        </w:rPr>
        <w:t>Morando</w:t>
      </w:r>
      <w:r w:rsidRPr="00F0379F">
        <w:rPr>
          <w:rFonts w:cs="Arial"/>
          <w:szCs w:val="18"/>
          <w:vertAlign w:val="superscript"/>
          <w:lang w:val="it-IT"/>
        </w:rPr>
        <w:t>b</w:t>
      </w:r>
      <w:proofErr w:type="spellEnd"/>
      <w:r w:rsidRPr="00F0379F">
        <w:rPr>
          <w:rFonts w:cs="Arial"/>
          <w:szCs w:val="18"/>
          <w:lang w:val="it-IT"/>
        </w:rPr>
        <w:t xml:space="preserve">, Antonio </w:t>
      </w:r>
      <w:proofErr w:type="spellStart"/>
      <w:r w:rsidRPr="00F0379F">
        <w:rPr>
          <w:rFonts w:cs="Arial"/>
          <w:szCs w:val="18"/>
          <w:lang w:val="it-IT"/>
        </w:rPr>
        <w:t>Saba</w:t>
      </w:r>
      <w:r w:rsidRPr="00F0379F">
        <w:rPr>
          <w:rFonts w:cs="Arial"/>
          <w:szCs w:val="18"/>
          <w:vertAlign w:val="superscript"/>
          <w:lang w:val="it-IT"/>
        </w:rPr>
        <w:t>b</w:t>
      </w:r>
      <w:proofErr w:type="spellEnd"/>
      <w:r w:rsidRPr="00F0379F">
        <w:rPr>
          <w:rFonts w:cs="Arial"/>
          <w:szCs w:val="18"/>
          <w:lang w:val="it-IT"/>
        </w:rPr>
        <w:t xml:space="preserve">, Bruno </w:t>
      </w:r>
      <w:proofErr w:type="spellStart"/>
      <w:r w:rsidRPr="00F0379F">
        <w:rPr>
          <w:rFonts w:cs="Arial"/>
          <w:szCs w:val="18"/>
          <w:lang w:val="it-IT"/>
        </w:rPr>
        <w:t>Fabiano</w:t>
      </w:r>
      <w:r w:rsidRPr="00F0379F">
        <w:rPr>
          <w:rFonts w:cs="Arial"/>
          <w:szCs w:val="18"/>
          <w:vertAlign w:val="superscript"/>
          <w:lang w:val="it-IT"/>
        </w:rPr>
        <w:t>c</w:t>
      </w:r>
      <w:proofErr w:type="spellEnd"/>
      <w:r w:rsidRPr="00F0379F">
        <w:rPr>
          <w:rFonts w:cs="Arial"/>
          <w:szCs w:val="18"/>
          <w:lang w:val="it-IT"/>
        </w:rPr>
        <w:t xml:space="preserve"> </w:t>
      </w:r>
    </w:p>
    <w:p w14:paraId="73342B6B" w14:textId="4E6BBBAE" w:rsidR="00247CE6" w:rsidRPr="00F0379F" w:rsidRDefault="00247CE6" w:rsidP="00247CE6">
      <w:pPr>
        <w:spacing w:line="240" w:lineRule="auto"/>
        <w:rPr>
          <w:rFonts w:cs="Arial"/>
          <w:szCs w:val="18"/>
          <w:lang w:val="it-IT"/>
        </w:rPr>
      </w:pPr>
      <w:r w:rsidRPr="00F0379F">
        <w:rPr>
          <w:rFonts w:cs="Arial"/>
          <w:szCs w:val="18"/>
          <w:lang w:val="it-IT"/>
        </w:rPr>
        <w:t xml:space="preserve">a Maffini Engineering &amp; Consulting, via D. Somma 80 – 16167 Genoa, Italy </w:t>
      </w:r>
    </w:p>
    <w:p w14:paraId="3372914C" w14:textId="160BDD67" w:rsidR="00247CE6" w:rsidRPr="00F0379F" w:rsidRDefault="00247CE6" w:rsidP="00247CE6">
      <w:pPr>
        <w:spacing w:line="240" w:lineRule="auto"/>
        <w:rPr>
          <w:rFonts w:cs="Arial"/>
          <w:szCs w:val="18"/>
          <w:lang w:val="it-IT"/>
        </w:rPr>
      </w:pPr>
      <w:r w:rsidRPr="00F0379F">
        <w:rPr>
          <w:rFonts w:cs="Arial"/>
          <w:szCs w:val="18"/>
          <w:lang w:val="it-IT"/>
        </w:rPr>
        <w:t xml:space="preserve">b RINA Consulting S.p.A., via A. Cecchi 6 - 16129 Genoa, Italy </w:t>
      </w:r>
    </w:p>
    <w:p w14:paraId="4D3CD9F7" w14:textId="16405E1E" w:rsidR="00247CE6" w:rsidRPr="00F0379F" w:rsidRDefault="00247CE6" w:rsidP="00247CE6">
      <w:pPr>
        <w:spacing w:line="240" w:lineRule="auto"/>
        <w:rPr>
          <w:rFonts w:cs="Arial"/>
          <w:szCs w:val="18"/>
          <w:lang w:val="en-US"/>
        </w:rPr>
      </w:pPr>
      <w:r w:rsidRPr="00F0379F">
        <w:rPr>
          <w:rFonts w:cs="Arial"/>
          <w:szCs w:val="18"/>
          <w:lang w:val="en-US"/>
        </w:rPr>
        <w:t>c DICCA - Civil, Chemical and Environmental Engineering Department, Polytechnic School - Genoa University, via Opera Pia 15 - 16145 Genoa, Italy</w:t>
      </w:r>
    </w:p>
    <w:p w14:paraId="3282ABE7" w14:textId="378A4451" w:rsidR="00247CE6" w:rsidRPr="00F0379F" w:rsidRDefault="00247CE6" w:rsidP="00247CE6">
      <w:pPr>
        <w:spacing w:line="240" w:lineRule="auto"/>
        <w:rPr>
          <w:rFonts w:cs="Arial"/>
          <w:szCs w:val="18"/>
        </w:rPr>
      </w:pPr>
      <w:r w:rsidRPr="00F0379F">
        <w:rPr>
          <w:rFonts w:cs="Arial"/>
          <w:szCs w:val="18"/>
          <w:lang w:val="en-US"/>
        </w:rPr>
        <w:t>andrea@maffiniconsulting.it</w:t>
      </w:r>
    </w:p>
    <w:p w14:paraId="5A098838" w14:textId="77777777" w:rsidR="00247CE6" w:rsidRPr="00F0379F" w:rsidRDefault="00247CE6" w:rsidP="00247CE6">
      <w:pPr>
        <w:spacing w:line="360" w:lineRule="auto"/>
        <w:rPr>
          <w:rFonts w:cs="Arial"/>
          <w:szCs w:val="18"/>
          <w:u w:val="single"/>
          <w:lang w:val="en-US"/>
        </w:rPr>
      </w:pPr>
    </w:p>
    <w:p w14:paraId="1F504AD5" w14:textId="58920392" w:rsidR="00247CE6" w:rsidRPr="00F0379F" w:rsidRDefault="00247CE6" w:rsidP="00247CE6">
      <w:pPr>
        <w:rPr>
          <w:rFonts w:cs="Arial"/>
          <w:szCs w:val="18"/>
        </w:rPr>
      </w:pPr>
      <w:r w:rsidRPr="00F0379F">
        <w:rPr>
          <w:rFonts w:cs="Arial"/>
          <w:szCs w:val="18"/>
        </w:rPr>
        <w:t xml:space="preserve">Purpose of this paper is to outline a framework for resources and energy efficiency auditing activities and present its application in field studies carried out in Italy and in Eastern Europe, to support Companies and International Financial Institutions (IFIs) in the implementation of actions to improve industrial performances and reduce global environmental impacts. </w:t>
      </w:r>
      <w:r w:rsidR="00750B93" w:rsidRPr="00F0379F">
        <w:rPr>
          <w:rFonts w:cs="Arial"/>
          <w:szCs w:val="18"/>
          <w:lang w:val="en-US"/>
        </w:rPr>
        <w:t>Among environmental considerations, climate change mitigation and adaptation aspects are included, as well as circular economy, pollution prevention and preservation of biodiversity.</w:t>
      </w:r>
      <w:r w:rsidR="00750B93">
        <w:rPr>
          <w:rFonts w:cs="Arial"/>
          <w:szCs w:val="18"/>
          <w:lang w:val="en-US"/>
        </w:rPr>
        <w:t xml:space="preserve"> </w:t>
      </w:r>
      <w:r w:rsidRPr="00F0379F">
        <w:rPr>
          <w:rFonts w:cs="Arial"/>
          <w:szCs w:val="18"/>
        </w:rPr>
        <w:t>Within this context, this study focuses on the peculiar case of the textile industry, which is characterized by a significant use of energy</w:t>
      </w:r>
      <w:r w:rsidR="00060B9E" w:rsidRPr="00F0379F">
        <w:rPr>
          <w:rFonts w:cs="Arial"/>
          <w:szCs w:val="18"/>
        </w:rPr>
        <w:t xml:space="preserve"> and resources</w:t>
      </w:r>
      <w:r w:rsidRPr="00F0379F">
        <w:rPr>
          <w:rFonts w:cs="Arial"/>
          <w:szCs w:val="18"/>
        </w:rPr>
        <w:t xml:space="preserve">, </w:t>
      </w:r>
      <w:r w:rsidR="00C726CE">
        <w:rPr>
          <w:rFonts w:cs="Arial"/>
          <w:szCs w:val="18"/>
        </w:rPr>
        <w:t>mainly</w:t>
      </w:r>
      <w:r w:rsidR="00060B9E" w:rsidRPr="00F0379F">
        <w:rPr>
          <w:rFonts w:cs="Arial"/>
          <w:szCs w:val="18"/>
        </w:rPr>
        <w:t xml:space="preserve"> </w:t>
      </w:r>
      <w:r w:rsidRPr="00F0379F">
        <w:rPr>
          <w:rFonts w:cs="Arial"/>
          <w:szCs w:val="18"/>
        </w:rPr>
        <w:t>water and chemicals</w:t>
      </w:r>
      <w:r w:rsidR="00CC23D8" w:rsidRPr="00F0379F">
        <w:rPr>
          <w:rFonts w:cs="Arial"/>
          <w:szCs w:val="18"/>
        </w:rPr>
        <w:t>,</w:t>
      </w:r>
      <w:r w:rsidRPr="00F0379F">
        <w:rPr>
          <w:rFonts w:cs="Arial"/>
          <w:szCs w:val="18"/>
        </w:rPr>
        <w:t xml:space="preserve"> thus involving the respect of the Zero Discharge of Hazardous Chemicals Programme. </w:t>
      </w:r>
      <w:r w:rsidRPr="00F0379F">
        <w:rPr>
          <w:rFonts w:cs="Arial"/>
          <w:szCs w:val="18"/>
          <w:lang w:val="en-US"/>
        </w:rPr>
        <w:t xml:space="preserve">The auditing approach is conceived as a step-by step sequence of activities, starting from </w:t>
      </w:r>
      <w:r w:rsidR="00CC23D8" w:rsidRPr="00F0379F">
        <w:rPr>
          <w:rFonts w:cs="Arial"/>
          <w:szCs w:val="18"/>
          <w:lang w:val="en-US"/>
        </w:rPr>
        <w:t xml:space="preserve">the </w:t>
      </w:r>
      <w:r w:rsidRPr="00F0379F">
        <w:rPr>
          <w:rFonts w:cs="Arial"/>
          <w:szCs w:val="18"/>
          <w:lang w:val="en-US"/>
        </w:rPr>
        <w:t xml:space="preserve">Job Assignment </w:t>
      </w:r>
      <w:r w:rsidR="00CC23D8" w:rsidRPr="00F0379F">
        <w:rPr>
          <w:rFonts w:cs="Arial"/>
          <w:szCs w:val="18"/>
          <w:lang w:val="en-US"/>
        </w:rPr>
        <w:t>from</w:t>
      </w:r>
      <w:r w:rsidRPr="00F0379F">
        <w:rPr>
          <w:rFonts w:cs="Arial"/>
          <w:szCs w:val="18"/>
          <w:lang w:val="en-US"/>
        </w:rPr>
        <w:t xml:space="preserve"> the Client based on specific Terms of Reference, followed by the submission of a data collection questionnaire, tailored to the specific textile industry, site survey with company managers and </w:t>
      </w:r>
      <w:r w:rsidR="00CC23D8" w:rsidRPr="00F0379F">
        <w:rPr>
          <w:rFonts w:cs="Arial"/>
          <w:szCs w:val="18"/>
          <w:lang w:val="en-US"/>
        </w:rPr>
        <w:t xml:space="preserve">concluded with </w:t>
      </w:r>
      <w:r w:rsidRPr="00F0379F">
        <w:rPr>
          <w:rFonts w:cs="Arial"/>
          <w:szCs w:val="18"/>
          <w:lang w:val="en-US"/>
        </w:rPr>
        <w:t>the elaboration of the technical report.</w:t>
      </w:r>
      <w:r w:rsidRPr="00F0379F">
        <w:rPr>
          <w:rFonts w:cs="Arial"/>
          <w:szCs w:val="18"/>
        </w:rPr>
        <w:t xml:space="preserve"> In order to demonstrate the capability of the approach, the applicative section of this paper will present results in terms of technical and managerial actions to reduce energy and water consumption and GHGs emissions, as well as to control water pollution and waste generation and disposal. </w:t>
      </w:r>
    </w:p>
    <w:p w14:paraId="6653A318" w14:textId="77777777" w:rsidR="00247CE6" w:rsidRPr="005E5366" w:rsidRDefault="00247CE6" w:rsidP="005E5366">
      <w:pPr>
        <w:pStyle w:val="CETHeading1"/>
        <w:numPr>
          <w:ilvl w:val="0"/>
          <w:numId w:val="23"/>
        </w:numPr>
        <w:tabs>
          <w:tab w:val="num" w:pos="360"/>
        </w:tabs>
        <w:ind w:left="0" w:firstLine="0"/>
        <w:rPr>
          <w:lang w:val="en-GB"/>
        </w:rPr>
      </w:pPr>
      <w:r w:rsidRPr="005E5366">
        <w:rPr>
          <w:lang w:val="en-GB"/>
        </w:rPr>
        <w:t>Introduction</w:t>
      </w:r>
    </w:p>
    <w:p w14:paraId="42DAEA9C" w14:textId="1B4097DC" w:rsidR="00247CE6" w:rsidRPr="00F0379F" w:rsidRDefault="00A03E39" w:rsidP="00247CE6">
      <w:pPr>
        <w:rPr>
          <w:rFonts w:cs="Arial"/>
          <w:szCs w:val="18"/>
          <w:lang w:val="en-US"/>
        </w:rPr>
      </w:pPr>
      <w:r w:rsidRPr="00F0379F">
        <w:rPr>
          <w:rFonts w:cs="Arial"/>
          <w:szCs w:val="18"/>
        </w:rPr>
        <w:t xml:space="preserve">Recognizing the threats posed by climate change, </w:t>
      </w:r>
      <w:r w:rsidR="001272A4" w:rsidRPr="00F0379F">
        <w:rPr>
          <w:rFonts w:cs="Arial"/>
          <w:szCs w:val="18"/>
        </w:rPr>
        <w:t>195 governments</w:t>
      </w:r>
      <w:r w:rsidR="00FE6992" w:rsidRPr="00F0379F">
        <w:rPr>
          <w:rFonts w:cs="Arial"/>
          <w:szCs w:val="18"/>
        </w:rPr>
        <w:t xml:space="preserve"> signed </w:t>
      </w:r>
      <w:r w:rsidRPr="00F0379F">
        <w:rPr>
          <w:rFonts w:cs="Arial"/>
          <w:szCs w:val="18"/>
        </w:rPr>
        <w:t xml:space="preserve">in December 2015 </w:t>
      </w:r>
      <w:r w:rsidR="00FE6992" w:rsidRPr="00F0379F">
        <w:rPr>
          <w:rFonts w:cs="Arial"/>
          <w:szCs w:val="18"/>
        </w:rPr>
        <w:t xml:space="preserve">the Paris Agreement, </w:t>
      </w:r>
      <w:r w:rsidR="0032143F" w:rsidRPr="00F0379F">
        <w:rPr>
          <w:rFonts w:cs="Arial"/>
          <w:szCs w:val="18"/>
        </w:rPr>
        <w:t xml:space="preserve">which expresses their </w:t>
      </w:r>
      <w:r w:rsidR="00FE6992" w:rsidRPr="00F0379F">
        <w:rPr>
          <w:rFonts w:cs="Arial"/>
          <w:szCs w:val="18"/>
        </w:rPr>
        <w:t>commit</w:t>
      </w:r>
      <w:r w:rsidR="0032143F" w:rsidRPr="00F0379F">
        <w:rPr>
          <w:rFonts w:cs="Arial"/>
          <w:szCs w:val="18"/>
        </w:rPr>
        <w:t>ment</w:t>
      </w:r>
      <w:r w:rsidR="00FE6992" w:rsidRPr="00F0379F">
        <w:rPr>
          <w:rFonts w:cs="Arial"/>
          <w:szCs w:val="18"/>
        </w:rPr>
        <w:t xml:space="preserve"> </w:t>
      </w:r>
      <w:r w:rsidR="00E1781B" w:rsidRPr="00F0379F">
        <w:rPr>
          <w:rFonts w:cs="Arial"/>
          <w:szCs w:val="18"/>
        </w:rPr>
        <w:t>to tackle climate change and limit the increase of global average temperature</w:t>
      </w:r>
      <w:r w:rsidR="00FE6992" w:rsidRPr="00F0379F">
        <w:rPr>
          <w:rFonts w:cs="Arial"/>
          <w:szCs w:val="18"/>
        </w:rPr>
        <w:t xml:space="preserve"> </w:t>
      </w:r>
      <w:r w:rsidR="00E57A2A" w:rsidRPr="00F0379F">
        <w:rPr>
          <w:rFonts w:cs="Arial"/>
          <w:szCs w:val="18"/>
        </w:rPr>
        <w:t xml:space="preserve">by 2100 to </w:t>
      </w:r>
      <w:r w:rsidR="00FE6992" w:rsidRPr="00F0379F">
        <w:rPr>
          <w:rFonts w:cs="Arial"/>
          <w:szCs w:val="18"/>
        </w:rPr>
        <w:t>well below 2°C</w:t>
      </w:r>
      <w:r w:rsidR="00E1781B" w:rsidRPr="00F0379F">
        <w:rPr>
          <w:rFonts w:cs="Arial"/>
          <w:szCs w:val="18"/>
        </w:rPr>
        <w:t xml:space="preserve">, </w:t>
      </w:r>
      <w:r w:rsidR="00E57A2A" w:rsidRPr="00F0379F">
        <w:rPr>
          <w:rFonts w:cs="Arial"/>
          <w:szCs w:val="18"/>
        </w:rPr>
        <w:t xml:space="preserve">making </w:t>
      </w:r>
      <w:r w:rsidR="00E1781B" w:rsidRPr="00F0379F">
        <w:rPr>
          <w:rFonts w:cs="Arial"/>
          <w:szCs w:val="18"/>
        </w:rPr>
        <w:t xml:space="preserve">efforts to limit it to 1.5°C </w:t>
      </w:r>
      <w:r w:rsidR="00E57A2A" w:rsidRPr="00F0379F">
        <w:rPr>
          <w:rFonts w:cs="Arial"/>
          <w:szCs w:val="18"/>
        </w:rPr>
        <w:t xml:space="preserve">on </w:t>
      </w:r>
      <w:r w:rsidR="00E1781B" w:rsidRPr="00F0379F">
        <w:rPr>
          <w:rFonts w:cs="Arial"/>
          <w:szCs w:val="18"/>
        </w:rPr>
        <w:t>pre-industrial levels.</w:t>
      </w:r>
      <w:r w:rsidR="00750B93" w:rsidRPr="00750B93">
        <w:rPr>
          <w:rFonts w:cs="Arial"/>
          <w:szCs w:val="18"/>
        </w:rPr>
        <w:t xml:space="preserve"> </w:t>
      </w:r>
      <w:r w:rsidR="00750B93" w:rsidRPr="00F0379F">
        <w:rPr>
          <w:rFonts w:cs="Arial"/>
          <w:szCs w:val="18"/>
        </w:rPr>
        <w:t xml:space="preserve">As amply known, the European Green </w:t>
      </w:r>
      <w:r w:rsidR="00750B93" w:rsidRPr="0076170F">
        <w:rPr>
          <w:rFonts w:cs="Arial"/>
          <w:szCs w:val="18"/>
        </w:rPr>
        <w:t xml:space="preserve">Deal </w:t>
      </w:r>
      <w:r w:rsidR="00824A23" w:rsidRPr="007C27F4">
        <w:rPr>
          <w:rFonts w:cs="Arial"/>
          <w:szCs w:val="18"/>
          <w:lang w:val="en-US"/>
        </w:rPr>
        <w:t>(EGD)</w:t>
      </w:r>
      <w:r w:rsidR="00824A23" w:rsidRPr="0076170F">
        <w:rPr>
          <w:rFonts w:cs="Arial"/>
          <w:szCs w:val="18"/>
          <w:lang w:val="en-US"/>
        </w:rPr>
        <w:t xml:space="preserve"> </w:t>
      </w:r>
      <w:r w:rsidR="00750B93" w:rsidRPr="0076170F">
        <w:rPr>
          <w:rFonts w:cs="Arial"/>
          <w:szCs w:val="18"/>
        </w:rPr>
        <w:t>outlined</w:t>
      </w:r>
      <w:r w:rsidR="00750B93" w:rsidRPr="00F0379F">
        <w:rPr>
          <w:rFonts w:cs="Arial"/>
          <w:szCs w:val="18"/>
        </w:rPr>
        <w:t xml:space="preserve"> an action plan to boost the efficient use of resources towards clean circular economy, requiring actions on all sectors of the economy, </w:t>
      </w:r>
      <w:proofErr w:type="gramStart"/>
      <w:r w:rsidR="00750B93" w:rsidRPr="00F0379F">
        <w:rPr>
          <w:rFonts w:cs="Arial"/>
          <w:szCs w:val="18"/>
        </w:rPr>
        <w:t>e.g.</w:t>
      </w:r>
      <w:proofErr w:type="gramEnd"/>
      <w:r w:rsidR="00750B93" w:rsidRPr="00F0379F">
        <w:rPr>
          <w:rFonts w:cs="Arial"/>
          <w:szCs w:val="18"/>
        </w:rPr>
        <w:t xml:space="preserve"> including investing in environmentally-friendly innovative technologies, optimizing energy efficiency</w:t>
      </w:r>
      <w:r w:rsidR="00750B93">
        <w:rPr>
          <w:rFonts w:cs="Arial"/>
          <w:szCs w:val="18"/>
        </w:rPr>
        <w:t>, improve plant and process safety</w:t>
      </w:r>
      <w:r w:rsidR="00750B93" w:rsidRPr="00F0379F">
        <w:rPr>
          <w:rFonts w:cs="Arial"/>
          <w:szCs w:val="18"/>
        </w:rPr>
        <w:t xml:space="preserve"> and decarbonizing the energy </w:t>
      </w:r>
      <w:r w:rsidR="00750B93" w:rsidRPr="00E85383">
        <w:rPr>
          <w:rFonts w:cs="Arial"/>
          <w:szCs w:val="18"/>
        </w:rPr>
        <w:t>sector (IPCC, 2005</w:t>
      </w:r>
      <w:r w:rsidR="00C726CE" w:rsidRPr="00E85383">
        <w:rPr>
          <w:rFonts w:cs="Arial"/>
          <w:szCs w:val="18"/>
        </w:rPr>
        <w:t>)</w:t>
      </w:r>
      <w:r w:rsidR="00750B93" w:rsidRPr="00E85383">
        <w:rPr>
          <w:rFonts w:cs="Arial"/>
          <w:szCs w:val="18"/>
        </w:rPr>
        <w:t>.</w:t>
      </w:r>
      <w:r w:rsidR="00750B93" w:rsidRPr="00750B93">
        <w:rPr>
          <w:rFonts w:cs="Arial"/>
          <w:szCs w:val="18"/>
        </w:rPr>
        <w:t xml:space="preserve">  </w:t>
      </w:r>
      <w:r w:rsidR="00750B93">
        <w:rPr>
          <w:rFonts w:cs="Arial"/>
          <w:szCs w:val="18"/>
        </w:rPr>
        <w:t xml:space="preserve"> </w:t>
      </w:r>
      <w:r w:rsidR="00E57A2A" w:rsidRPr="00F0379F">
        <w:rPr>
          <w:rFonts w:cs="Arial"/>
          <w:szCs w:val="18"/>
        </w:rPr>
        <w:t xml:space="preserve">In this context, </w:t>
      </w:r>
      <w:r w:rsidR="00417801" w:rsidRPr="00F0379F">
        <w:rPr>
          <w:rFonts w:cs="Arial"/>
          <w:szCs w:val="18"/>
        </w:rPr>
        <w:t xml:space="preserve">significant efforts are carried out by the European Union, which set a series of policies, under the framework of the </w:t>
      </w:r>
      <w:r w:rsidR="00247CE6" w:rsidRPr="00F0379F">
        <w:rPr>
          <w:rFonts w:cs="Arial"/>
          <w:szCs w:val="18"/>
          <w:lang w:val="en-US"/>
        </w:rPr>
        <w:t>European Green Deal</w:t>
      </w:r>
      <w:r w:rsidR="00417801" w:rsidRPr="00F0379F">
        <w:rPr>
          <w:rFonts w:cs="Arial"/>
          <w:szCs w:val="18"/>
          <w:lang w:val="en-US"/>
        </w:rPr>
        <w:t xml:space="preserve">, </w:t>
      </w:r>
      <w:r w:rsidR="00AA6A30" w:rsidRPr="00F0379F">
        <w:rPr>
          <w:rFonts w:cs="Arial"/>
          <w:szCs w:val="18"/>
          <w:lang w:val="en-US"/>
        </w:rPr>
        <w:t>aim</w:t>
      </w:r>
      <w:r w:rsidR="0032143F" w:rsidRPr="00F0379F">
        <w:rPr>
          <w:rFonts w:cs="Arial"/>
          <w:szCs w:val="18"/>
          <w:lang w:val="en-US"/>
        </w:rPr>
        <w:t>ed</w:t>
      </w:r>
      <w:r w:rsidR="00AA6A30" w:rsidRPr="00F0379F">
        <w:rPr>
          <w:rFonts w:cs="Arial"/>
          <w:szCs w:val="18"/>
          <w:lang w:val="en-US"/>
        </w:rPr>
        <w:t xml:space="preserve"> at making </w:t>
      </w:r>
      <w:r w:rsidR="00247CE6" w:rsidRPr="00F0379F">
        <w:rPr>
          <w:rFonts w:cs="Arial"/>
          <w:szCs w:val="18"/>
          <w:lang w:val="en-US"/>
        </w:rPr>
        <w:t xml:space="preserve">Europe the first climate neutral continent </w:t>
      </w:r>
      <w:r w:rsidR="00AA6A30" w:rsidRPr="00F0379F">
        <w:rPr>
          <w:rFonts w:cs="Arial"/>
          <w:szCs w:val="18"/>
          <w:lang w:val="en-US"/>
        </w:rPr>
        <w:t xml:space="preserve">by 2050, which means </w:t>
      </w:r>
      <w:r w:rsidR="00247CE6" w:rsidRPr="00F0379F">
        <w:rPr>
          <w:rFonts w:cs="Arial"/>
          <w:szCs w:val="18"/>
          <w:lang w:val="en-US"/>
        </w:rPr>
        <w:t xml:space="preserve">achieving net zero </w:t>
      </w:r>
      <w:r w:rsidR="00AA6A30" w:rsidRPr="00F0379F">
        <w:rPr>
          <w:rFonts w:cs="Arial"/>
          <w:szCs w:val="18"/>
          <w:lang w:val="en-US"/>
        </w:rPr>
        <w:t>greenhouse gas emissions</w:t>
      </w:r>
      <w:r w:rsidR="00C81F29" w:rsidRPr="00F0379F">
        <w:rPr>
          <w:rFonts w:cs="Arial"/>
          <w:szCs w:val="18"/>
          <w:lang w:val="en-US"/>
        </w:rPr>
        <w:t xml:space="preserve">, with an intermediate target of reducing </w:t>
      </w:r>
      <w:r w:rsidR="00BD1443" w:rsidRPr="00F0379F">
        <w:rPr>
          <w:rFonts w:cs="Arial"/>
          <w:szCs w:val="18"/>
          <w:lang w:val="en-US"/>
        </w:rPr>
        <w:t xml:space="preserve">GHG emissions by </w:t>
      </w:r>
      <w:r w:rsidR="00247CE6" w:rsidRPr="00F0379F">
        <w:rPr>
          <w:rFonts w:cs="Arial"/>
          <w:szCs w:val="18"/>
          <w:lang w:val="en-US"/>
        </w:rPr>
        <w:t>5</w:t>
      </w:r>
      <w:r w:rsidR="0032143F" w:rsidRPr="00F0379F">
        <w:rPr>
          <w:rFonts w:cs="Arial"/>
          <w:szCs w:val="18"/>
          <w:lang w:val="en-US"/>
        </w:rPr>
        <w:t>5</w:t>
      </w:r>
      <w:r w:rsidR="00247CE6" w:rsidRPr="00F0379F">
        <w:rPr>
          <w:rFonts w:cs="Arial"/>
          <w:szCs w:val="18"/>
          <w:lang w:val="en-US"/>
        </w:rPr>
        <w:t xml:space="preserve">% by 2030 compared to 1990 </w:t>
      </w:r>
      <w:r w:rsidR="00BD1443" w:rsidRPr="00F0379F">
        <w:rPr>
          <w:rFonts w:cs="Arial"/>
          <w:szCs w:val="18"/>
          <w:lang w:val="en-US"/>
        </w:rPr>
        <w:t>values</w:t>
      </w:r>
      <w:r w:rsidR="00DC59D1">
        <w:rPr>
          <w:rFonts w:cs="Arial"/>
          <w:szCs w:val="18"/>
          <w:lang w:val="en-US"/>
        </w:rPr>
        <w:t xml:space="preserve"> </w:t>
      </w:r>
      <w:r w:rsidR="00DC59D1">
        <w:rPr>
          <w:rFonts w:cs="Arial"/>
          <w:szCs w:val="18"/>
        </w:rPr>
        <w:t>(I</w:t>
      </w:r>
      <w:r w:rsidR="007C296C">
        <w:rPr>
          <w:rFonts w:cs="Arial"/>
          <w:szCs w:val="18"/>
        </w:rPr>
        <w:t>EA</w:t>
      </w:r>
      <w:r w:rsidR="00DC59D1">
        <w:rPr>
          <w:rFonts w:cs="Arial"/>
          <w:szCs w:val="18"/>
        </w:rPr>
        <w:t>, 2021)</w:t>
      </w:r>
      <w:r w:rsidR="00BD1443" w:rsidRPr="00F0379F">
        <w:rPr>
          <w:rFonts w:cs="Arial"/>
          <w:szCs w:val="18"/>
          <w:lang w:val="en-US"/>
        </w:rPr>
        <w:t>.</w:t>
      </w:r>
      <w:r w:rsidR="007D11EE">
        <w:rPr>
          <w:rFonts w:cs="Arial"/>
          <w:szCs w:val="18"/>
          <w:lang w:val="en-US"/>
        </w:rPr>
        <w:t xml:space="preserve"> </w:t>
      </w:r>
      <w:r w:rsidR="00234835" w:rsidRPr="00F0379F">
        <w:rPr>
          <w:rFonts w:cs="Arial"/>
          <w:szCs w:val="18"/>
          <w:lang w:val="en-US"/>
        </w:rPr>
        <w:t xml:space="preserve">In order to reach these ambitious targets, all sectors </w:t>
      </w:r>
      <w:r w:rsidR="004C2472" w:rsidRPr="00F0379F">
        <w:rPr>
          <w:rFonts w:cs="Arial"/>
          <w:szCs w:val="18"/>
          <w:lang w:val="en-US"/>
        </w:rPr>
        <w:t xml:space="preserve">of the European economy </w:t>
      </w:r>
      <w:r w:rsidR="00234835" w:rsidRPr="00F0379F">
        <w:rPr>
          <w:rFonts w:cs="Arial"/>
          <w:szCs w:val="18"/>
          <w:lang w:val="en-US"/>
        </w:rPr>
        <w:t xml:space="preserve">are required to pursue high efforts, including </w:t>
      </w:r>
      <w:r w:rsidR="004C2472" w:rsidRPr="00F0379F">
        <w:rPr>
          <w:rFonts w:cs="Arial"/>
          <w:szCs w:val="18"/>
          <w:lang w:val="en-US"/>
        </w:rPr>
        <w:t xml:space="preserve">the financial sector. In this regard, the EU has started a set of activities in the field of sustainable finance, which </w:t>
      </w:r>
      <w:r w:rsidR="00234835" w:rsidRPr="00F0379F">
        <w:rPr>
          <w:rFonts w:cs="Arial"/>
          <w:szCs w:val="18"/>
          <w:lang w:val="en-US"/>
        </w:rPr>
        <w:t xml:space="preserve">refer to the process of taking environmental, social and governance (ESG) considerations into account when making investment decisions, </w:t>
      </w:r>
      <w:r w:rsidR="004C2472" w:rsidRPr="00F0379F">
        <w:rPr>
          <w:rFonts w:cs="Arial"/>
          <w:szCs w:val="18"/>
          <w:lang w:val="en-US"/>
        </w:rPr>
        <w:t xml:space="preserve">thus achieving a sustainable economic development in the </w:t>
      </w:r>
      <w:r w:rsidR="00234835" w:rsidRPr="00F0379F">
        <w:rPr>
          <w:rFonts w:cs="Arial"/>
          <w:szCs w:val="18"/>
          <w:lang w:val="en-US"/>
        </w:rPr>
        <w:t xml:space="preserve">long-term. </w:t>
      </w:r>
      <w:r w:rsidR="00750B93" w:rsidRPr="00813EE3">
        <w:rPr>
          <w:rFonts w:cs="Arial"/>
          <w:szCs w:val="18"/>
        </w:rPr>
        <w:t xml:space="preserve">Many challenges </w:t>
      </w:r>
      <w:r w:rsidR="00750B93">
        <w:rPr>
          <w:rFonts w:cs="Arial"/>
          <w:szCs w:val="18"/>
        </w:rPr>
        <w:t>must be</w:t>
      </w:r>
      <w:r w:rsidR="00750B93" w:rsidRPr="00813EE3">
        <w:rPr>
          <w:rFonts w:cs="Arial"/>
          <w:szCs w:val="18"/>
        </w:rPr>
        <w:t xml:space="preserve"> addressed in order to make further</w:t>
      </w:r>
      <w:r w:rsidR="00750B93">
        <w:rPr>
          <w:rFonts w:cs="Arial"/>
          <w:szCs w:val="18"/>
        </w:rPr>
        <w:t xml:space="preserve"> </w:t>
      </w:r>
      <w:r w:rsidR="00750B93" w:rsidRPr="00813EE3">
        <w:rPr>
          <w:rFonts w:cs="Arial"/>
          <w:szCs w:val="18"/>
        </w:rPr>
        <w:t xml:space="preserve">progress </w:t>
      </w:r>
      <w:r w:rsidR="00750B93">
        <w:rPr>
          <w:rFonts w:cs="Arial"/>
          <w:szCs w:val="18"/>
        </w:rPr>
        <w:t xml:space="preserve">with a full integration the </w:t>
      </w:r>
      <w:r w:rsidR="00750B93" w:rsidRPr="00813EE3">
        <w:rPr>
          <w:rFonts w:cs="Arial"/>
          <w:szCs w:val="18"/>
        </w:rPr>
        <w:t>ove</w:t>
      </w:r>
      <w:r w:rsidR="00750B93">
        <w:rPr>
          <w:rFonts w:cs="Arial"/>
          <w:szCs w:val="18"/>
        </w:rPr>
        <w:t>ral</w:t>
      </w:r>
      <w:r w:rsidR="00750B93" w:rsidRPr="00813EE3">
        <w:rPr>
          <w:rFonts w:cs="Arial"/>
          <w:szCs w:val="18"/>
        </w:rPr>
        <w:t>l relevant</w:t>
      </w:r>
      <w:r w:rsidR="00750B93">
        <w:rPr>
          <w:rFonts w:cs="Arial"/>
          <w:szCs w:val="18"/>
        </w:rPr>
        <w:t xml:space="preserve"> </w:t>
      </w:r>
      <w:r w:rsidR="00750B93" w:rsidRPr="00813EE3">
        <w:rPr>
          <w:rFonts w:cs="Arial"/>
          <w:szCs w:val="18"/>
        </w:rPr>
        <w:t xml:space="preserve">issues </w:t>
      </w:r>
      <w:r w:rsidR="00750B93">
        <w:rPr>
          <w:rFonts w:cs="Arial"/>
          <w:szCs w:val="18"/>
        </w:rPr>
        <w:t xml:space="preserve">of </w:t>
      </w:r>
      <w:r w:rsidR="00750B93" w:rsidRPr="00813EE3">
        <w:rPr>
          <w:rFonts w:cs="Arial"/>
          <w:szCs w:val="18"/>
        </w:rPr>
        <w:t>circular</w:t>
      </w:r>
      <w:r w:rsidR="00750B93">
        <w:rPr>
          <w:rFonts w:cs="Arial"/>
          <w:szCs w:val="18"/>
        </w:rPr>
        <w:t xml:space="preserve"> </w:t>
      </w:r>
      <w:r w:rsidR="00750B93" w:rsidRPr="00813EE3">
        <w:rPr>
          <w:rFonts w:cs="Arial"/>
          <w:szCs w:val="18"/>
        </w:rPr>
        <w:t>economy, sustainability and resource conservation with</w:t>
      </w:r>
      <w:r w:rsidR="00750B93">
        <w:rPr>
          <w:rFonts w:cs="Arial"/>
          <w:szCs w:val="18"/>
        </w:rPr>
        <w:t>in</w:t>
      </w:r>
      <w:r w:rsidR="00750B93" w:rsidRPr="00813EE3">
        <w:rPr>
          <w:rFonts w:cs="Arial"/>
          <w:szCs w:val="18"/>
        </w:rPr>
        <w:t xml:space="preserve"> the process safety paradigm</w:t>
      </w:r>
      <w:r w:rsidR="00750B93">
        <w:rPr>
          <w:rFonts w:cs="Arial"/>
          <w:szCs w:val="18"/>
        </w:rPr>
        <w:t xml:space="preserve">, while </w:t>
      </w:r>
      <w:r w:rsidR="00750B93" w:rsidRPr="00813EE3">
        <w:rPr>
          <w:rFonts w:cs="Arial"/>
          <w:szCs w:val="18"/>
        </w:rPr>
        <w:t>moving</w:t>
      </w:r>
      <w:r w:rsidR="00750B93">
        <w:rPr>
          <w:rFonts w:cs="Arial"/>
          <w:szCs w:val="18"/>
        </w:rPr>
        <w:t xml:space="preserve"> </w:t>
      </w:r>
      <w:r w:rsidR="00750B93" w:rsidRPr="00813EE3">
        <w:rPr>
          <w:rFonts w:cs="Arial"/>
          <w:szCs w:val="18"/>
        </w:rPr>
        <w:t xml:space="preserve">towards </w:t>
      </w:r>
      <w:r w:rsidR="00750B93">
        <w:rPr>
          <w:rFonts w:cs="Arial"/>
          <w:szCs w:val="18"/>
        </w:rPr>
        <w:t>Industry</w:t>
      </w:r>
      <w:r w:rsidR="00750B93" w:rsidRPr="00813EE3">
        <w:rPr>
          <w:rFonts w:cs="Arial"/>
          <w:szCs w:val="18"/>
        </w:rPr>
        <w:t xml:space="preserve"> 4.0</w:t>
      </w:r>
      <w:r w:rsidR="00750B93">
        <w:rPr>
          <w:rFonts w:cs="Arial"/>
          <w:szCs w:val="18"/>
        </w:rPr>
        <w:t xml:space="preserve">, where </w:t>
      </w:r>
      <w:r w:rsidR="00750B93" w:rsidRPr="00813EE3">
        <w:rPr>
          <w:rFonts w:cs="Arial"/>
          <w:szCs w:val="18"/>
        </w:rPr>
        <w:t>the role of process engineering should include a critical and balanced application</w:t>
      </w:r>
      <w:r w:rsidR="00750B93">
        <w:rPr>
          <w:rFonts w:cs="Arial"/>
          <w:szCs w:val="18"/>
        </w:rPr>
        <w:t xml:space="preserve"> </w:t>
      </w:r>
      <w:r w:rsidR="00750B93" w:rsidRPr="00813EE3">
        <w:rPr>
          <w:rFonts w:cs="Arial"/>
          <w:szCs w:val="18"/>
        </w:rPr>
        <w:t>of new developments in data science and digital technology with</w:t>
      </w:r>
      <w:r w:rsidR="00750B93">
        <w:rPr>
          <w:rFonts w:cs="Arial"/>
          <w:szCs w:val="18"/>
        </w:rPr>
        <w:t xml:space="preserve"> </w:t>
      </w:r>
      <w:r w:rsidR="00750B93">
        <w:rPr>
          <w:rFonts w:cs="Arial"/>
          <w:szCs w:val="18"/>
        </w:rPr>
        <w:lastRenderedPageBreak/>
        <w:t>f</w:t>
      </w:r>
      <w:r w:rsidR="00750B93" w:rsidRPr="00813EE3">
        <w:rPr>
          <w:rFonts w:cs="Arial"/>
          <w:szCs w:val="18"/>
        </w:rPr>
        <w:t>undamentals science and engineering principles</w:t>
      </w:r>
      <w:r w:rsidR="00750B93">
        <w:rPr>
          <w:rFonts w:cs="Arial"/>
          <w:szCs w:val="18"/>
        </w:rPr>
        <w:t xml:space="preserve"> </w:t>
      </w:r>
      <w:r w:rsidR="00750B93" w:rsidRPr="00E85383">
        <w:rPr>
          <w:rFonts w:cs="Arial"/>
          <w:szCs w:val="18"/>
        </w:rPr>
        <w:t>(</w:t>
      </w:r>
      <w:proofErr w:type="spellStart"/>
      <w:r w:rsidR="00750B93" w:rsidRPr="00E85383">
        <w:rPr>
          <w:rFonts w:cs="Arial"/>
          <w:szCs w:val="18"/>
        </w:rPr>
        <w:t>Pasman</w:t>
      </w:r>
      <w:proofErr w:type="spellEnd"/>
      <w:r w:rsidR="00750B93" w:rsidRPr="00E85383">
        <w:rPr>
          <w:rFonts w:cs="Arial"/>
          <w:szCs w:val="18"/>
        </w:rPr>
        <w:t xml:space="preserve"> et al., 2021).</w:t>
      </w:r>
      <w:r w:rsidR="00750B93">
        <w:rPr>
          <w:rFonts w:cs="Arial"/>
          <w:szCs w:val="18"/>
        </w:rPr>
        <w:t xml:space="preserve"> </w:t>
      </w:r>
      <w:r w:rsidR="007473A0" w:rsidRPr="00F0379F">
        <w:rPr>
          <w:rFonts w:cs="Arial"/>
          <w:szCs w:val="18"/>
          <w:lang w:val="en-US"/>
        </w:rPr>
        <w:t xml:space="preserve">Following the initiatives </w:t>
      </w:r>
      <w:r w:rsidR="007B0E27" w:rsidRPr="00F0379F">
        <w:rPr>
          <w:rFonts w:cs="Arial"/>
          <w:szCs w:val="18"/>
          <w:lang w:val="en-US"/>
        </w:rPr>
        <w:t>launched by the European Union, the higher attention paid by the financial players and the stakeholders worldwide to ESG topics</w:t>
      </w:r>
      <w:r w:rsidR="00193234" w:rsidRPr="00F0379F">
        <w:rPr>
          <w:rFonts w:cs="Arial"/>
          <w:szCs w:val="18"/>
          <w:lang w:val="en-US"/>
        </w:rPr>
        <w:t>, also several industrial sectors have mobilized towards the reduction of their environmental impacts</w:t>
      </w:r>
      <w:r w:rsidR="002855AC" w:rsidRPr="00F0379F">
        <w:rPr>
          <w:rFonts w:cs="Arial"/>
          <w:szCs w:val="18"/>
          <w:lang w:val="en-US"/>
        </w:rPr>
        <w:t>.</w:t>
      </w:r>
      <w:r w:rsidR="00BA764A" w:rsidRPr="00F0379F">
        <w:rPr>
          <w:rFonts w:cs="Arial"/>
          <w:szCs w:val="18"/>
          <w:lang w:val="en-US"/>
        </w:rPr>
        <w:t xml:space="preserve"> </w:t>
      </w:r>
      <w:r w:rsidR="002855AC" w:rsidRPr="00F0379F">
        <w:rPr>
          <w:rFonts w:cs="Arial"/>
          <w:szCs w:val="18"/>
          <w:lang w:val="en-US"/>
        </w:rPr>
        <w:t>Among these</w:t>
      </w:r>
      <w:r w:rsidR="004C2C29" w:rsidRPr="00F0379F">
        <w:rPr>
          <w:rFonts w:cs="Arial"/>
          <w:szCs w:val="18"/>
          <w:lang w:val="en-US"/>
        </w:rPr>
        <w:t xml:space="preserve"> industrial sectors</w:t>
      </w:r>
      <w:r w:rsidR="002855AC" w:rsidRPr="00F0379F">
        <w:rPr>
          <w:rFonts w:cs="Arial"/>
          <w:szCs w:val="18"/>
          <w:lang w:val="en-US"/>
        </w:rPr>
        <w:t xml:space="preserve">, significant efforts </w:t>
      </w:r>
      <w:r w:rsidR="004C2C29" w:rsidRPr="00F0379F">
        <w:rPr>
          <w:rFonts w:cs="Arial"/>
          <w:szCs w:val="18"/>
          <w:lang w:val="en-US"/>
        </w:rPr>
        <w:t xml:space="preserve">are being made by </w:t>
      </w:r>
      <w:r w:rsidR="002855AC" w:rsidRPr="00F0379F">
        <w:rPr>
          <w:rFonts w:cs="Arial"/>
          <w:szCs w:val="18"/>
          <w:lang w:val="en-US"/>
        </w:rPr>
        <w:t xml:space="preserve">the </w:t>
      </w:r>
      <w:r w:rsidR="007473A0" w:rsidRPr="00F0379F">
        <w:rPr>
          <w:rFonts w:cs="Arial"/>
          <w:szCs w:val="18"/>
          <w:lang w:val="en-US"/>
        </w:rPr>
        <w:t>textile sector</w:t>
      </w:r>
      <w:r w:rsidR="004C2C29" w:rsidRPr="00F0379F">
        <w:rPr>
          <w:rFonts w:cs="Arial"/>
          <w:szCs w:val="18"/>
          <w:lang w:val="en-US"/>
        </w:rPr>
        <w:t>, which</w:t>
      </w:r>
      <w:r w:rsidR="007473A0" w:rsidRPr="00F0379F">
        <w:rPr>
          <w:rFonts w:cs="Arial"/>
          <w:szCs w:val="18"/>
          <w:lang w:val="en-US"/>
        </w:rPr>
        <w:t xml:space="preserve"> is </w:t>
      </w:r>
      <w:r w:rsidR="004C2C29" w:rsidRPr="00F0379F">
        <w:rPr>
          <w:rFonts w:cs="Arial"/>
          <w:szCs w:val="18"/>
          <w:lang w:val="en-US"/>
        </w:rPr>
        <w:t xml:space="preserve">characterized by a significant </w:t>
      </w:r>
      <w:r w:rsidR="000909B2" w:rsidRPr="00F0379F">
        <w:rPr>
          <w:rFonts w:cs="Arial"/>
          <w:szCs w:val="18"/>
          <w:lang w:val="en-US"/>
        </w:rPr>
        <w:t xml:space="preserve">consumption of resources (energy, water, chemicals, etc.) and consequent impact on </w:t>
      </w:r>
      <w:r w:rsidR="007473A0" w:rsidRPr="00F0379F">
        <w:rPr>
          <w:rFonts w:cs="Arial"/>
          <w:szCs w:val="18"/>
          <w:lang w:val="en-US"/>
        </w:rPr>
        <w:t xml:space="preserve">climate </w:t>
      </w:r>
      <w:r w:rsidR="000909B2" w:rsidRPr="00F0379F">
        <w:rPr>
          <w:rFonts w:cs="Arial"/>
          <w:szCs w:val="18"/>
          <w:lang w:val="en-US"/>
        </w:rPr>
        <w:t xml:space="preserve">change </w:t>
      </w:r>
      <w:r w:rsidR="007473A0" w:rsidRPr="00F0379F">
        <w:rPr>
          <w:rFonts w:cs="Arial"/>
          <w:szCs w:val="18"/>
          <w:lang w:val="en-US"/>
        </w:rPr>
        <w:t xml:space="preserve">and environmental </w:t>
      </w:r>
      <w:r w:rsidR="000909B2" w:rsidRPr="00F0379F">
        <w:rPr>
          <w:rFonts w:cs="Arial"/>
          <w:szCs w:val="18"/>
          <w:lang w:val="en-US"/>
        </w:rPr>
        <w:t>aspect</w:t>
      </w:r>
      <w:r w:rsidR="007473A0" w:rsidRPr="00F0379F">
        <w:rPr>
          <w:rFonts w:cs="Arial"/>
          <w:szCs w:val="18"/>
          <w:lang w:val="en-US"/>
        </w:rPr>
        <w:t>s.</w:t>
      </w:r>
      <w:r w:rsidR="007D11EE">
        <w:rPr>
          <w:rFonts w:cs="Arial"/>
          <w:szCs w:val="18"/>
          <w:lang w:val="en-US"/>
        </w:rPr>
        <w:t xml:space="preserve"> </w:t>
      </w:r>
      <w:r w:rsidR="0096715F" w:rsidRPr="00F0379F">
        <w:rPr>
          <w:rFonts w:cs="Arial"/>
          <w:szCs w:val="18"/>
          <w:lang w:val="en-US"/>
        </w:rPr>
        <w:t xml:space="preserve">According to the European Environmental Agency, </w:t>
      </w:r>
      <w:r w:rsidR="007473A0" w:rsidRPr="00F0379F">
        <w:rPr>
          <w:rFonts w:cs="Arial"/>
          <w:szCs w:val="18"/>
          <w:lang w:val="en-US"/>
        </w:rPr>
        <w:t xml:space="preserve">consumption </w:t>
      </w:r>
      <w:r w:rsidR="0096715F" w:rsidRPr="00F0379F">
        <w:rPr>
          <w:rFonts w:cs="Arial"/>
          <w:szCs w:val="18"/>
          <w:lang w:val="en-US"/>
        </w:rPr>
        <w:t xml:space="preserve">of textiles in the EU </w:t>
      </w:r>
      <w:r w:rsidR="007473A0" w:rsidRPr="00F0379F">
        <w:rPr>
          <w:rFonts w:cs="Arial"/>
          <w:szCs w:val="18"/>
          <w:lang w:val="en-US"/>
        </w:rPr>
        <w:t xml:space="preserve">is the fourth highest pressure category in terms of use of primary raw materials and water (after food, housing and transport), and </w:t>
      </w:r>
      <w:r w:rsidR="0096715F" w:rsidRPr="00F0379F">
        <w:rPr>
          <w:rFonts w:cs="Arial"/>
          <w:szCs w:val="18"/>
          <w:lang w:val="en-US"/>
        </w:rPr>
        <w:t xml:space="preserve">the </w:t>
      </w:r>
      <w:r w:rsidR="007473A0" w:rsidRPr="00F0379F">
        <w:rPr>
          <w:rFonts w:cs="Arial"/>
          <w:szCs w:val="18"/>
          <w:lang w:val="en-US"/>
        </w:rPr>
        <w:t xml:space="preserve">fifth </w:t>
      </w:r>
      <w:r w:rsidR="0096715F" w:rsidRPr="00F0379F">
        <w:rPr>
          <w:rFonts w:cs="Arial"/>
          <w:szCs w:val="18"/>
          <w:lang w:val="en-US"/>
        </w:rPr>
        <w:t xml:space="preserve">category </w:t>
      </w:r>
      <w:r w:rsidR="007473A0" w:rsidRPr="00F0379F">
        <w:rPr>
          <w:rFonts w:cs="Arial"/>
          <w:szCs w:val="18"/>
          <w:lang w:val="en-US"/>
        </w:rPr>
        <w:t>for GHG emissions</w:t>
      </w:r>
      <w:r w:rsidR="0096715F" w:rsidRPr="00F0379F">
        <w:rPr>
          <w:rFonts w:cs="Arial"/>
          <w:szCs w:val="18"/>
          <w:lang w:val="en-US"/>
        </w:rPr>
        <w:t xml:space="preserve">. </w:t>
      </w:r>
      <w:r w:rsidR="00D01984" w:rsidRPr="00F0379F">
        <w:rPr>
          <w:rFonts w:cs="Arial"/>
          <w:szCs w:val="18"/>
          <w:lang w:val="en-US"/>
        </w:rPr>
        <w:t>Taking this into account</w:t>
      </w:r>
      <w:r w:rsidR="0096715F" w:rsidRPr="00F0379F">
        <w:rPr>
          <w:rFonts w:cs="Arial"/>
          <w:szCs w:val="18"/>
          <w:lang w:val="en-US"/>
        </w:rPr>
        <w:t>, t</w:t>
      </w:r>
      <w:r w:rsidR="00247CE6" w:rsidRPr="00F0379F">
        <w:rPr>
          <w:rFonts w:cs="Arial"/>
          <w:szCs w:val="18"/>
          <w:lang w:val="en-US"/>
        </w:rPr>
        <w:t xml:space="preserve">he European Green Deal, the Circular Economy Action Plan and the Industrial Strategy </w:t>
      </w:r>
      <w:r w:rsidR="0096715F" w:rsidRPr="00F0379F">
        <w:rPr>
          <w:rFonts w:cs="Arial"/>
          <w:szCs w:val="18"/>
          <w:lang w:val="en-US"/>
        </w:rPr>
        <w:t xml:space="preserve">included </w:t>
      </w:r>
      <w:r w:rsidR="00247CE6" w:rsidRPr="00F0379F">
        <w:rPr>
          <w:rFonts w:cs="Arial"/>
          <w:szCs w:val="18"/>
          <w:lang w:val="en-US"/>
        </w:rPr>
        <w:t>textile</w:t>
      </w:r>
      <w:r w:rsidR="0096715F" w:rsidRPr="00F0379F">
        <w:rPr>
          <w:rFonts w:cs="Arial"/>
          <w:szCs w:val="18"/>
          <w:lang w:val="en-US"/>
        </w:rPr>
        <w:t xml:space="preserve"> sector among the priorities in which the EU has to invest to </w:t>
      </w:r>
      <w:r w:rsidR="0098423D" w:rsidRPr="00F0379F">
        <w:rPr>
          <w:rFonts w:cs="Arial"/>
          <w:szCs w:val="18"/>
          <w:lang w:val="en-US"/>
        </w:rPr>
        <w:t xml:space="preserve">achieve </w:t>
      </w:r>
      <w:r w:rsidR="00247CE6" w:rsidRPr="00F0379F">
        <w:rPr>
          <w:rFonts w:cs="Arial"/>
          <w:szCs w:val="18"/>
          <w:lang w:val="en-US"/>
        </w:rPr>
        <w:t>carbon neutral</w:t>
      </w:r>
      <w:r w:rsidR="0098423D" w:rsidRPr="00F0379F">
        <w:rPr>
          <w:rFonts w:cs="Arial"/>
          <w:szCs w:val="18"/>
          <w:lang w:val="en-US"/>
        </w:rPr>
        <w:t xml:space="preserve">ity and </w:t>
      </w:r>
      <w:r w:rsidR="00247CE6" w:rsidRPr="00F0379F">
        <w:rPr>
          <w:rFonts w:cs="Arial"/>
          <w:szCs w:val="18"/>
          <w:lang w:val="en-US"/>
        </w:rPr>
        <w:t>circular economy</w:t>
      </w:r>
      <w:r w:rsidR="0098423D" w:rsidRPr="00F0379F">
        <w:rPr>
          <w:rFonts w:cs="Arial"/>
          <w:szCs w:val="18"/>
          <w:lang w:val="en-US"/>
        </w:rPr>
        <w:t>.</w:t>
      </w:r>
      <w:r w:rsidR="007D11EE">
        <w:rPr>
          <w:rFonts w:cs="Arial"/>
          <w:szCs w:val="18"/>
          <w:lang w:val="en-US"/>
        </w:rPr>
        <w:t xml:space="preserve"> </w:t>
      </w:r>
      <w:r w:rsidR="00BA764A" w:rsidRPr="00F0379F">
        <w:rPr>
          <w:rFonts w:cs="Arial"/>
          <w:szCs w:val="18"/>
          <w:lang w:val="en-US"/>
        </w:rPr>
        <w:t>For th</w:t>
      </w:r>
      <w:r w:rsidR="00D01984" w:rsidRPr="00F0379F">
        <w:rPr>
          <w:rFonts w:cs="Arial"/>
          <w:szCs w:val="18"/>
          <w:lang w:val="en-US"/>
        </w:rPr>
        <w:t>e above-mentioned</w:t>
      </w:r>
      <w:r w:rsidR="00BA764A" w:rsidRPr="00F0379F">
        <w:rPr>
          <w:rFonts w:cs="Arial"/>
          <w:szCs w:val="18"/>
          <w:lang w:val="en-US"/>
        </w:rPr>
        <w:t xml:space="preserve"> reason</w:t>
      </w:r>
      <w:r w:rsidR="00D01984" w:rsidRPr="00F0379F">
        <w:rPr>
          <w:rFonts w:cs="Arial"/>
          <w:szCs w:val="18"/>
          <w:lang w:val="en-US"/>
        </w:rPr>
        <w:t>s</w:t>
      </w:r>
      <w:r w:rsidR="00BA764A" w:rsidRPr="00F0379F">
        <w:rPr>
          <w:rFonts w:cs="Arial"/>
          <w:szCs w:val="18"/>
          <w:lang w:val="en-US"/>
        </w:rPr>
        <w:t>, in the first quarter of 2022, the EU will release its Strategy for Sustainable Textiles</w:t>
      </w:r>
      <w:r w:rsidR="004E354C">
        <w:rPr>
          <w:rFonts w:cs="Arial"/>
          <w:szCs w:val="18"/>
          <w:lang w:val="en-US"/>
        </w:rPr>
        <w:t xml:space="preserve"> </w:t>
      </w:r>
      <w:r w:rsidR="00BA21EC">
        <w:rPr>
          <w:rFonts w:cs="Arial"/>
          <w:szCs w:val="18"/>
          <w:lang w:val="en-US"/>
        </w:rPr>
        <w:t>(</w:t>
      </w:r>
      <w:r w:rsidR="004E354C">
        <w:rPr>
          <w:rFonts w:cs="Arial"/>
          <w:szCs w:val="18"/>
          <w:lang w:val="en-US"/>
        </w:rPr>
        <w:t>European Commission, 2022)</w:t>
      </w:r>
      <w:r w:rsidR="00BA764A" w:rsidRPr="00F0379F">
        <w:rPr>
          <w:rFonts w:cs="Arial"/>
          <w:szCs w:val="18"/>
          <w:lang w:val="en-US"/>
        </w:rPr>
        <w:t xml:space="preserve">, whose </w:t>
      </w:r>
      <w:r w:rsidR="00247CE6" w:rsidRPr="00F0379F">
        <w:rPr>
          <w:rFonts w:cs="Arial"/>
          <w:szCs w:val="18"/>
          <w:lang w:val="en-US"/>
        </w:rPr>
        <w:t xml:space="preserve">aim </w:t>
      </w:r>
      <w:r w:rsidR="00BA764A" w:rsidRPr="00F0379F">
        <w:rPr>
          <w:rFonts w:cs="Arial"/>
          <w:szCs w:val="18"/>
          <w:lang w:val="en-US"/>
        </w:rPr>
        <w:t xml:space="preserve">will be </w:t>
      </w:r>
      <w:r w:rsidR="00247CE6" w:rsidRPr="00F0379F">
        <w:rPr>
          <w:rFonts w:cs="Arial"/>
          <w:szCs w:val="18"/>
          <w:lang w:val="en-US"/>
        </w:rPr>
        <w:t xml:space="preserve">to set a comprehensive framework </w:t>
      </w:r>
      <w:r w:rsidR="00464094" w:rsidRPr="00F0379F">
        <w:rPr>
          <w:rFonts w:cs="Arial"/>
          <w:szCs w:val="18"/>
          <w:lang w:val="en-US"/>
        </w:rPr>
        <w:t>“</w:t>
      </w:r>
      <w:r w:rsidR="00247CE6" w:rsidRPr="00F0379F">
        <w:rPr>
          <w:rFonts w:cs="Arial"/>
          <w:szCs w:val="18"/>
          <w:lang w:val="en-US"/>
        </w:rPr>
        <w:t>to boost the competitiveness, sustainability and resilience of the EU textile sector, taking into account its strengths and vulnerabilities, and also addressing its environmental and social impacts</w:t>
      </w:r>
      <w:r w:rsidR="00464094" w:rsidRPr="00F0379F">
        <w:rPr>
          <w:rFonts w:cs="Arial"/>
          <w:szCs w:val="18"/>
          <w:lang w:val="en-US"/>
        </w:rPr>
        <w:t>”</w:t>
      </w:r>
      <w:r w:rsidR="00247CE6" w:rsidRPr="00F0379F">
        <w:rPr>
          <w:rFonts w:cs="Arial"/>
          <w:szCs w:val="18"/>
          <w:lang w:val="en-US"/>
        </w:rPr>
        <w:t>.</w:t>
      </w:r>
      <w:r w:rsidR="00C8574F" w:rsidRPr="00F0379F">
        <w:rPr>
          <w:rFonts w:cs="Arial"/>
          <w:szCs w:val="18"/>
          <w:lang w:val="en-US"/>
        </w:rPr>
        <w:t xml:space="preserve"> T</w:t>
      </w:r>
      <w:r w:rsidR="00B22036" w:rsidRPr="00F0379F">
        <w:rPr>
          <w:rFonts w:cs="Arial"/>
          <w:szCs w:val="18"/>
          <w:lang w:val="en-US"/>
        </w:rPr>
        <w:t xml:space="preserve">he Strategy will include </w:t>
      </w:r>
      <w:r w:rsidR="00247CE6" w:rsidRPr="00F0379F">
        <w:rPr>
          <w:rFonts w:cs="Arial"/>
          <w:szCs w:val="18"/>
          <w:lang w:val="en-US"/>
        </w:rPr>
        <w:t xml:space="preserve">actions </w:t>
      </w:r>
      <w:r w:rsidR="00B22036" w:rsidRPr="00F0379F">
        <w:rPr>
          <w:rFonts w:cs="Arial"/>
          <w:szCs w:val="18"/>
          <w:lang w:val="en-US"/>
        </w:rPr>
        <w:t xml:space="preserve">aimed at </w:t>
      </w:r>
      <w:r w:rsidR="00247CE6" w:rsidRPr="00F0379F">
        <w:rPr>
          <w:rFonts w:cs="Arial"/>
          <w:szCs w:val="18"/>
          <w:lang w:val="en-US"/>
        </w:rPr>
        <w:t>mak</w:t>
      </w:r>
      <w:r w:rsidR="00B22036" w:rsidRPr="00F0379F">
        <w:rPr>
          <w:rFonts w:cs="Arial"/>
          <w:szCs w:val="18"/>
          <w:lang w:val="en-US"/>
        </w:rPr>
        <w:t>ing</w:t>
      </w:r>
      <w:r w:rsidR="00247CE6" w:rsidRPr="00F0379F">
        <w:rPr>
          <w:rFonts w:cs="Arial"/>
          <w:szCs w:val="18"/>
          <w:lang w:val="en-US"/>
        </w:rPr>
        <w:t xml:space="preserve"> the textile ecosystem fit for circular economy</w:t>
      </w:r>
      <w:r w:rsidR="00A47088" w:rsidRPr="00F0379F">
        <w:rPr>
          <w:rFonts w:cs="Arial"/>
          <w:szCs w:val="18"/>
          <w:lang w:val="en-US"/>
        </w:rPr>
        <w:t>, that is,</w:t>
      </w:r>
      <w:r w:rsidR="00DC0A51" w:rsidRPr="00F0379F">
        <w:rPr>
          <w:rFonts w:cs="Arial"/>
          <w:szCs w:val="18"/>
          <w:lang w:val="en-US"/>
        </w:rPr>
        <w:t xml:space="preserve"> focusing, among other topics, on </w:t>
      </w:r>
      <w:r w:rsidR="00247CE6" w:rsidRPr="00F0379F">
        <w:rPr>
          <w:rFonts w:cs="Arial"/>
          <w:szCs w:val="18"/>
          <w:lang w:val="en-US"/>
        </w:rPr>
        <w:t>improving textile waste collection and recycling</w:t>
      </w:r>
      <w:r w:rsidR="00DC0A51" w:rsidRPr="00F0379F">
        <w:rPr>
          <w:rFonts w:cs="Arial"/>
          <w:szCs w:val="18"/>
          <w:lang w:val="en-US"/>
        </w:rPr>
        <w:t xml:space="preserve">, enhancing </w:t>
      </w:r>
      <w:r w:rsidR="00247CE6" w:rsidRPr="00F0379F">
        <w:rPr>
          <w:rFonts w:cs="Arial"/>
          <w:szCs w:val="18"/>
          <w:lang w:val="en-US"/>
        </w:rPr>
        <w:t>design for sustainability</w:t>
      </w:r>
      <w:r w:rsidR="00DC0A51" w:rsidRPr="00F0379F">
        <w:rPr>
          <w:rFonts w:cs="Arial"/>
          <w:szCs w:val="18"/>
          <w:lang w:val="en-US"/>
        </w:rPr>
        <w:t xml:space="preserve">, increasing the use </w:t>
      </w:r>
      <w:r w:rsidR="00247CE6" w:rsidRPr="00F0379F">
        <w:rPr>
          <w:rFonts w:cs="Arial"/>
          <w:szCs w:val="18"/>
          <w:lang w:val="en-US"/>
        </w:rPr>
        <w:t>of secondary raw materials</w:t>
      </w:r>
      <w:r w:rsidR="00DC0A51" w:rsidRPr="00F0379F">
        <w:rPr>
          <w:rFonts w:cs="Arial"/>
          <w:szCs w:val="18"/>
          <w:lang w:val="en-US"/>
        </w:rPr>
        <w:t xml:space="preserve">, reducing energy, water consumptions </w:t>
      </w:r>
      <w:r w:rsidR="00247CE6" w:rsidRPr="00F0379F">
        <w:rPr>
          <w:rFonts w:cs="Arial"/>
          <w:szCs w:val="18"/>
          <w:lang w:val="en-US"/>
        </w:rPr>
        <w:t>and tackling the presence of hazardous chemicals</w:t>
      </w:r>
      <w:r w:rsidR="00DC0A51" w:rsidRPr="00F0379F">
        <w:rPr>
          <w:rFonts w:cs="Arial"/>
          <w:szCs w:val="18"/>
          <w:lang w:val="en-US"/>
        </w:rPr>
        <w:t xml:space="preserve"> in textile products.</w:t>
      </w:r>
      <w:r w:rsidR="007D11EE">
        <w:rPr>
          <w:rFonts w:cs="Arial"/>
          <w:szCs w:val="18"/>
          <w:lang w:val="en-US"/>
        </w:rPr>
        <w:t xml:space="preserve"> </w:t>
      </w:r>
      <w:r w:rsidR="00C8574F" w:rsidRPr="00F0379F">
        <w:rPr>
          <w:rFonts w:cs="Arial"/>
          <w:szCs w:val="18"/>
          <w:lang w:val="en-US"/>
        </w:rPr>
        <w:t xml:space="preserve">Nevertheless, several initiatives aimed at </w:t>
      </w:r>
      <w:r w:rsidR="0000378E" w:rsidRPr="00F0379F">
        <w:rPr>
          <w:rFonts w:cs="Arial"/>
          <w:szCs w:val="18"/>
          <w:lang w:val="en-US"/>
        </w:rPr>
        <w:t>increasing the sustainability and reducing the environmental impact of the textile production sector had already been launched in the last decade; in this article, two of them are worth</w:t>
      </w:r>
      <w:r w:rsidR="007D11EE">
        <w:rPr>
          <w:rFonts w:cs="Arial"/>
          <w:szCs w:val="18"/>
          <w:lang w:val="en-US"/>
        </w:rPr>
        <w:t xml:space="preserve"> explicitly</w:t>
      </w:r>
      <w:r w:rsidR="0000378E" w:rsidRPr="00F0379F">
        <w:rPr>
          <w:rFonts w:cs="Arial"/>
          <w:szCs w:val="18"/>
          <w:lang w:val="en-US"/>
        </w:rPr>
        <w:t xml:space="preserve"> being recalled, </w:t>
      </w:r>
      <w:proofErr w:type="gramStart"/>
      <w:r w:rsidR="0000378E" w:rsidRPr="00F0379F">
        <w:rPr>
          <w:rFonts w:cs="Arial"/>
          <w:szCs w:val="18"/>
          <w:lang w:val="en-US"/>
        </w:rPr>
        <w:t>i.e.</w:t>
      </w:r>
      <w:proofErr w:type="gramEnd"/>
      <w:r w:rsidR="0000378E" w:rsidRPr="00F0379F">
        <w:rPr>
          <w:rFonts w:cs="Arial"/>
          <w:szCs w:val="18"/>
          <w:lang w:val="en-US"/>
        </w:rPr>
        <w:t xml:space="preserve"> </w:t>
      </w:r>
      <w:r w:rsidR="0000378E" w:rsidRPr="007C27F4">
        <w:rPr>
          <w:rFonts w:cs="Arial"/>
          <w:szCs w:val="18"/>
          <w:lang w:val="en-US"/>
        </w:rPr>
        <w:t xml:space="preserve">the </w:t>
      </w:r>
      <w:r w:rsidR="00824A23" w:rsidRPr="007C27F4">
        <w:rPr>
          <w:rFonts w:cs="Arial"/>
          <w:szCs w:val="18"/>
          <w:lang w:val="en-US"/>
        </w:rPr>
        <w:t>US Natural Resources Defense Council</w:t>
      </w:r>
      <w:r w:rsidR="00824A23" w:rsidRPr="0076170F">
        <w:rPr>
          <w:rFonts w:cs="Arial"/>
          <w:szCs w:val="18"/>
          <w:lang w:val="en-US"/>
        </w:rPr>
        <w:t xml:space="preserve"> (</w:t>
      </w:r>
      <w:r w:rsidR="0000378E" w:rsidRPr="0076170F">
        <w:rPr>
          <w:rFonts w:cs="Arial"/>
          <w:szCs w:val="18"/>
          <w:lang w:val="en-US"/>
        </w:rPr>
        <w:t>NRDC</w:t>
      </w:r>
      <w:r w:rsidR="00824A23" w:rsidRPr="0076170F">
        <w:rPr>
          <w:rFonts w:cs="Arial"/>
          <w:szCs w:val="18"/>
          <w:lang w:val="en-US"/>
        </w:rPr>
        <w:t>)</w:t>
      </w:r>
      <w:r w:rsidR="0000378E" w:rsidRPr="0076170F">
        <w:rPr>
          <w:rFonts w:cs="Arial"/>
          <w:szCs w:val="18"/>
          <w:lang w:val="en-US"/>
        </w:rPr>
        <w:t xml:space="preserve"> Clean by Design initiative </w:t>
      </w:r>
      <w:r w:rsidR="003D4738" w:rsidRPr="0076170F">
        <w:rPr>
          <w:rFonts w:cs="Arial"/>
          <w:szCs w:val="18"/>
          <w:lang w:val="en-US"/>
        </w:rPr>
        <w:t xml:space="preserve">(Greer, 2013) </w:t>
      </w:r>
      <w:r w:rsidR="0000378E" w:rsidRPr="0076170F">
        <w:rPr>
          <w:rFonts w:cs="Arial"/>
          <w:szCs w:val="18"/>
          <w:lang w:val="en-US"/>
        </w:rPr>
        <w:t>and the Zero Discharge of Hazardous Chemicals initiative</w:t>
      </w:r>
      <w:r w:rsidR="003D4738" w:rsidRPr="0076170F">
        <w:rPr>
          <w:rFonts w:cs="Arial"/>
          <w:szCs w:val="18"/>
          <w:lang w:val="en-US"/>
        </w:rPr>
        <w:t xml:space="preserve"> (ZHDC, 2021)</w:t>
      </w:r>
      <w:r w:rsidR="0000378E" w:rsidRPr="0076170F">
        <w:rPr>
          <w:rFonts w:cs="Arial"/>
          <w:szCs w:val="18"/>
          <w:lang w:val="en-US"/>
        </w:rPr>
        <w:t>.</w:t>
      </w:r>
      <w:r w:rsidR="007D11EE" w:rsidRPr="0076170F">
        <w:rPr>
          <w:rFonts w:cs="Arial"/>
          <w:szCs w:val="18"/>
          <w:lang w:val="en-US"/>
        </w:rPr>
        <w:t xml:space="preserve"> </w:t>
      </w:r>
      <w:r w:rsidR="00353A01" w:rsidRPr="0076170F">
        <w:rPr>
          <w:rFonts w:cs="Arial"/>
          <w:szCs w:val="18"/>
          <w:lang w:val="en-US"/>
        </w:rPr>
        <w:t xml:space="preserve">The Clean by Design initiative was launched in </w:t>
      </w:r>
      <w:r w:rsidR="00B508E9" w:rsidRPr="0076170F">
        <w:rPr>
          <w:rFonts w:cs="Arial"/>
          <w:szCs w:val="18"/>
          <w:lang w:val="en-US"/>
        </w:rPr>
        <w:t>200</w:t>
      </w:r>
      <w:r w:rsidR="00E05A2D" w:rsidRPr="0076170F">
        <w:rPr>
          <w:rFonts w:cs="Arial"/>
          <w:szCs w:val="18"/>
          <w:lang w:val="en-US"/>
        </w:rPr>
        <w:t>7</w:t>
      </w:r>
      <w:r w:rsidR="007C13B8" w:rsidRPr="0076170F">
        <w:rPr>
          <w:rFonts w:cs="Arial"/>
          <w:szCs w:val="18"/>
          <w:lang w:val="en-US"/>
        </w:rPr>
        <w:t xml:space="preserve"> a</w:t>
      </w:r>
      <w:r w:rsidR="00E05A2D" w:rsidRPr="0076170F">
        <w:rPr>
          <w:rFonts w:cs="Arial"/>
          <w:szCs w:val="18"/>
          <w:lang w:val="en-US"/>
        </w:rPr>
        <w:t>nd</w:t>
      </w:r>
      <w:r w:rsidR="00E05A2D" w:rsidRPr="00F0379F">
        <w:rPr>
          <w:rFonts w:cs="Arial"/>
          <w:szCs w:val="18"/>
          <w:lang w:val="en-US"/>
        </w:rPr>
        <w:t xml:space="preserve"> then joined by several </w:t>
      </w:r>
      <w:r w:rsidR="00353A01" w:rsidRPr="00F0379F">
        <w:rPr>
          <w:rFonts w:cs="Arial"/>
          <w:szCs w:val="18"/>
          <w:lang w:val="en-US"/>
        </w:rPr>
        <w:t xml:space="preserve">multinational fashion brands </w:t>
      </w:r>
      <w:r w:rsidR="00E05A2D" w:rsidRPr="00F0379F">
        <w:rPr>
          <w:rFonts w:cs="Arial"/>
          <w:szCs w:val="18"/>
          <w:lang w:val="en-US"/>
        </w:rPr>
        <w:t>and retailers</w:t>
      </w:r>
      <w:r w:rsidR="00DE41BE" w:rsidRPr="00F0379F">
        <w:rPr>
          <w:rFonts w:cs="Arial"/>
          <w:szCs w:val="18"/>
          <w:lang w:val="en-US"/>
        </w:rPr>
        <w:t xml:space="preserve">, willing to reduce the impact of their worldwide supply chain on the </w:t>
      </w:r>
      <w:r w:rsidR="00353A01" w:rsidRPr="00F0379F">
        <w:rPr>
          <w:rFonts w:cs="Arial"/>
          <w:szCs w:val="18"/>
          <w:lang w:val="en-US"/>
        </w:rPr>
        <w:t>environment.</w:t>
      </w:r>
      <w:r w:rsidR="00CC092B" w:rsidRPr="00F0379F">
        <w:rPr>
          <w:rFonts w:cs="Arial"/>
          <w:szCs w:val="18"/>
          <w:lang w:val="en-US"/>
        </w:rPr>
        <w:t xml:space="preserve"> Based on the analysis of </w:t>
      </w:r>
      <w:r w:rsidR="00353A01" w:rsidRPr="00F0379F">
        <w:rPr>
          <w:rFonts w:cs="Arial"/>
          <w:szCs w:val="18"/>
          <w:lang w:val="en-US"/>
        </w:rPr>
        <w:t xml:space="preserve">more than 200 </w:t>
      </w:r>
      <w:r w:rsidR="00CC092B" w:rsidRPr="00F0379F">
        <w:rPr>
          <w:rFonts w:cs="Arial"/>
          <w:szCs w:val="18"/>
          <w:lang w:val="en-US"/>
        </w:rPr>
        <w:t xml:space="preserve">textile </w:t>
      </w:r>
      <w:r w:rsidR="00353A01" w:rsidRPr="00F0379F">
        <w:rPr>
          <w:rFonts w:cs="Arial"/>
          <w:szCs w:val="18"/>
          <w:lang w:val="en-US"/>
        </w:rPr>
        <w:t>mills of all ages and sizes</w:t>
      </w:r>
      <w:r w:rsidR="00CC092B" w:rsidRPr="00F0379F">
        <w:rPr>
          <w:rFonts w:cs="Arial"/>
          <w:szCs w:val="18"/>
          <w:lang w:val="en-US"/>
        </w:rPr>
        <w:t>, t</w:t>
      </w:r>
      <w:r w:rsidR="00353A01" w:rsidRPr="00F0379F">
        <w:rPr>
          <w:rFonts w:cs="Arial"/>
          <w:szCs w:val="18"/>
          <w:lang w:val="en-US"/>
        </w:rPr>
        <w:t xml:space="preserve">he program has </w:t>
      </w:r>
      <w:r w:rsidR="00CC092B" w:rsidRPr="00F0379F">
        <w:rPr>
          <w:rFonts w:cs="Arial"/>
          <w:szCs w:val="18"/>
          <w:lang w:val="en-US"/>
        </w:rPr>
        <w:t xml:space="preserve">proposed a set of actions </w:t>
      </w:r>
      <w:r w:rsidR="00945939" w:rsidRPr="00F0379F">
        <w:rPr>
          <w:rFonts w:cs="Arial"/>
          <w:szCs w:val="18"/>
          <w:lang w:val="en-US"/>
        </w:rPr>
        <w:t xml:space="preserve">characterized by </w:t>
      </w:r>
      <w:r w:rsidR="00353A01" w:rsidRPr="00F0379F">
        <w:rPr>
          <w:rFonts w:cs="Arial"/>
          <w:szCs w:val="18"/>
          <w:lang w:val="en-US"/>
        </w:rPr>
        <w:t xml:space="preserve">excellent environmental </w:t>
      </w:r>
      <w:r w:rsidR="00945939" w:rsidRPr="00F0379F">
        <w:rPr>
          <w:rFonts w:cs="Arial"/>
          <w:szCs w:val="18"/>
          <w:lang w:val="en-US"/>
        </w:rPr>
        <w:t xml:space="preserve">benefits </w:t>
      </w:r>
      <w:r w:rsidR="00353A01" w:rsidRPr="00F0379F">
        <w:rPr>
          <w:rFonts w:cs="Arial"/>
          <w:szCs w:val="18"/>
          <w:lang w:val="en-US"/>
        </w:rPr>
        <w:t>and financial return on investment</w:t>
      </w:r>
      <w:r w:rsidR="00945939" w:rsidRPr="00F0379F">
        <w:rPr>
          <w:rFonts w:cs="Arial"/>
          <w:szCs w:val="18"/>
          <w:lang w:val="en-US"/>
        </w:rPr>
        <w:t>.</w:t>
      </w:r>
      <w:r w:rsidR="007D11EE">
        <w:rPr>
          <w:rFonts w:cs="Arial"/>
          <w:szCs w:val="18"/>
          <w:lang w:val="en-US"/>
        </w:rPr>
        <w:t xml:space="preserve"> </w:t>
      </w:r>
      <w:r w:rsidR="00945939" w:rsidRPr="00F0379F">
        <w:rPr>
          <w:rFonts w:cs="Arial"/>
          <w:szCs w:val="18"/>
          <w:lang w:val="en-US"/>
        </w:rPr>
        <w:t xml:space="preserve">On the other hand, the </w:t>
      </w:r>
      <w:r w:rsidR="00247CE6" w:rsidRPr="00F0379F">
        <w:rPr>
          <w:rFonts w:cs="Arial"/>
          <w:szCs w:val="18"/>
          <w:lang w:val="en-US"/>
        </w:rPr>
        <w:t xml:space="preserve">ZDHC Foundation was </w:t>
      </w:r>
      <w:r w:rsidR="00945939" w:rsidRPr="00F0379F">
        <w:rPr>
          <w:rFonts w:cs="Arial"/>
          <w:szCs w:val="18"/>
          <w:lang w:val="en-US"/>
        </w:rPr>
        <w:t xml:space="preserve">founded </w:t>
      </w:r>
      <w:r w:rsidR="00247CE6" w:rsidRPr="00F0379F">
        <w:rPr>
          <w:rFonts w:cs="Arial"/>
          <w:szCs w:val="18"/>
          <w:lang w:val="en-US"/>
        </w:rPr>
        <w:t>in 2011</w:t>
      </w:r>
      <w:r w:rsidR="00945939" w:rsidRPr="00F0379F">
        <w:rPr>
          <w:rFonts w:cs="Arial"/>
          <w:szCs w:val="18"/>
          <w:lang w:val="en-US"/>
        </w:rPr>
        <w:t xml:space="preserve"> by </w:t>
      </w:r>
      <w:r w:rsidR="00247CE6" w:rsidRPr="00F0379F">
        <w:rPr>
          <w:rFonts w:cs="Arial"/>
          <w:szCs w:val="18"/>
          <w:lang w:val="en-US"/>
        </w:rPr>
        <w:t>6 Signatory Brands</w:t>
      </w:r>
      <w:r w:rsidR="00945939" w:rsidRPr="00F0379F">
        <w:rPr>
          <w:rFonts w:cs="Arial"/>
          <w:szCs w:val="18"/>
          <w:lang w:val="en-US"/>
        </w:rPr>
        <w:t xml:space="preserve"> that </w:t>
      </w:r>
      <w:r w:rsidR="00247CE6" w:rsidRPr="00F0379F">
        <w:rPr>
          <w:rFonts w:cs="Arial"/>
          <w:szCs w:val="18"/>
          <w:lang w:val="en-US"/>
        </w:rPr>
        <w:t>committed to a joint roadmap transform</w:t>
      </w:r>
      <w:r w:rsidR="00505EF5" w:rsidRPr="00F0379F">
        <w:rPr>
          <w:rFonts w:cs="Arial"/>
          <w:szCs w:val="18"/>
          <w:lang w:val="en-US"/>
        </w:rPr>
        <w:t>ing</w:t>
      </w:r>
      <w:r w:rsidR="00247CE6" w:rsidRPr="00F0379F">
        <w:rPr>
          <w:rFonts w:cs="Arial"/>
          <w:szCs w:val="18"/>
          <w:lang w:val="en-US"/>
        </w:rPr>
        <w:t xml:space="preserve"> their value chains</w:t>
      </w:r>
      <w:r w:rsidR="00776C87">
        <w:rPr>
          <w:rFonts w:cs="Arial"/>
          <w:szCs w:val="18"/>
          <w:lang w:val="en-US"/>
        </w:rPr>
        <w:t>;</w:t>
      </w:r>
      <w:r w:rsidR="00242421" w:rsidRPr="00F0379F">
        <w:rPr>
          <w:rFonts w:cs="Arial"/>
          <w:szCs w:val="18"/>
          <w:lang w:val="en-US"/>
        </w:rPr>
        <w:t xml:space="preserve"> </w:t>
      </w:r>
      <w:r w:rsidR="00247CE6" w:rsidRPr="00F0379F">
        <w:rPr>
          <w:rFonts w:cs="Arial"/>
          <w:szCs w:val="18"/>
          <w:lang w:val="en-US"/>
        </w:rPr>
        <w:t>in 2014 the Manufacturing Restricted Substances List (MRSL)</w:t>
      </w:r>
      <w:r w:rsidR="00505EF5" w:rsidRPr="00F0379F">
        <w:rPr>
          <w:rFonts w:cs="Arial"/>
          <w:szCs w:val="18"/>
          <w:lang w:val="en-US"/>
        </w:rPr>
        <w:t xml:space="preserve"> was published, i.e. </w:t>
      </w:r>
      <w:r w:rsidR="00247CE6" w:rsidRPr="00F0379F">
        <w:rPr>
          <w:rFonts w:cs="Arial"/>
          <w:szCs w:val="18"/>
          <w:lang w:val="en-US"/>
        </w:rPr>
        <w:t>a list of harmful chemical substances</w:t>
      </w:r>
      <w:r w:rsidR="0025520C" w:rsidRPr="00F0379F">
        <w:rPr>
          <w:rFonts w:cs="Arial"/>
          <w:szCs w:val="18"/>
          <w:lang w:val="en-US"/>
        </w:rPr>
        <w:t xml:space="preserve"> </w:t>
      </w:r>
      <w:r w:rsidR="001D2E14" w:rsidRPr="00F0379F">
        <w:rPr>
          <w:rFonts w:cs="Arial"/>
          <w:szCs w:val="18"/>
          <w:lang w:val="en-US"/>
        </w:rPr>
        <w:t xml:space="preserve">(cleaners, adhesives, paints, inks, detergents, dyes, colorants, auxiliaries, coatings and finishing agents) </w:t>
      </w:r>
      <w:r w:rsidR="0025520C" w:rsidRPr="00F0379F">
        <w:rPr>
          <w:rFonts w:cs="Arial"/>
          <w:szCs w:val="18"/>
          <w:lang w:val="en-US"/>
        </w:rPr>
        <w:t xml:space="preserve">whose use needs to be removed in order to </w:t>
      </w:r>
      <w:r w:rsidR="00247CE6" w:rsidRPr="00F0379F">
        <w:rPr>
          <w:rFonts w:cs="Arial"/>
          <w:szCs w:val="18"/>
          <w:lang w:val="en-US"/>
        </w:rPr>
        <w:t xml:space="preserve">protect consumers </w:t>
      </w:r>
      <w:r w:rsidR="0025520C" w:rsidRPr="00F0379F">
        <w:rPr>
          <w:rFonts w:cs="Arial"/>
          <w:szCs w:val="18"/>
          <w:lang w:val="en-US"/>
        </w:rPr>
        <w:t xml:space="preserve">and </w:t>
      </w:r>
      <w:r w:rsidR="00247CE6" w:rsidRPr="00F0379F">
        <w:rPr>
          <w:rFonts w:cs="Arial"/>
          <w:szCs w:val="18"/>
          <w:lang w:val="en-US"/>
        </w:rPr>
        <w:t>minimi</w:t>
      </w:r>
      <w:r w:rsidR="006F4D3B" w:rsidRPr="00F0379F">
        <w:rPr>
          <w:rFonts w:cs="Arial"/>
          <w:szCs w:val="18"/>
          <w:lang w:val="en-US"/>
        </w:rPr>
        <w:t>z</w:t>
      </w:r>
      <w:r w:rsidR="0025520C" w:rsidRPr="00F0379F">
        <w:rPr>
          <w:rFonts w:cs="Arial"/>
          <w:szCs w:val="18"/>
          <w:lang w:val="en-US"/>
        </w:rPr>
        <w:t>e</w:t>
      </w:r>
      <w:r w:rsidR="00247CE6" w:rsidRPr="00F0379F">
        <w:rPr>
          <w:rFonts w:cs="Arial"/>
          <w:szCs w:val="18"/>
          <w:lang w:val="en-US"/>
        </w:rPr>
        <w:t xml:space="preserve"> the </w:t>
      </w:r>
      <w:r w:rsidR="001D2E14" w:rsidRPr="00F0379F">
        <w:rPr>
          <w:rFonts w:cs="Arial"/>
          <w:szCs w:val="18"/>
          <w:lang w:val="en-US"/>
        </w:rPr>
        <w:t xml:space="preserve">negative </w:t>
      </w:r>
      <w:r w:rsidR="00247CE6" w:rsidRPr="00F0379F">
        <w:rPr>
          <w:rFonts w:cs="Arial"/>
          <w:szCs w:val="18"/>
          <w:lang w:val="en-US"/>
        </w:rPr>
        <w:t>impact</w:t>
      </w:r>
      <w:r w:rsidR="001D2E14" w:rsidRPr="00F0379F">
        <w:rPr>
          <w:rFonts w:cs="Arial"/>
          <w:szCs w:val="18"/>
          <w:lang w:val="en-US"/>
        </w:rPr>
        <w:t xml:space="preserve">s on the environment as well as on the health and safety of </w:t>
      </w:r>
      <w:r w:rsidR="00247CE6" w:rsidRPr="00F0379F">
        <w:rPr>
          <w:rFonts w:cs="Arial"/>
          <w:szCs w:val="18"/>
          <w:lang w:val="en-US"/>
        </w:rPr>
        <w:t>production workers</w:t>
      </w:r>
      <w:r w:rsidR="001D2E14" w:rsidRPr="00F0379F">
        <w:rPr>
          <w:rFonts w:cs="Arial"/>
          <w:szCs w:val="18"/>
          <w:lang w:val="en-US"/>
        </w:rPr>
        <w:t xml:space="preserve"> and</w:t>
      </w:r>
      <w:r w:rsidR="00247CE6" w:rsidRPr="00F0379F">
        <w:rPr>
          <w:rFonts w:cs="Arial"/>
          <w:szCs w:val="18"/>
          <w:lang w:val="en-US"/>
        </w:rPr>
        <w:t xml:space="preserve"> local communities</w:t>
      </w:r>
      <w:r w:rsidR="00776C87">
        <w:rPr>
          <w:rFonts w:cs="Arial"/>
          <w:szCs w:val="18"/>
          <w:lang w:val="en-US"/>
        </w:rPr>
        <w:t xml:space="preserve"> (ZHDC, 2021)</w:t>
      </w:r>
      <w:r w:rsidR="00247CE6" w:rsidRPr="00F0379F">
        <w:rPr>
          <w:rFonts w:cs="Arial"/>
          <w:szCs w:val="18"/>
          <w:lang w:val="en-US"/>
        </w:rPr>
        <w:t>.</w:t>
      </w:r>
    </w:p>
    <w:p w14:paraId="15715962" w14:textId="77777777" w:rsidR="00247CE6" w:rsidRPr="005E5366" w:rsidRDefault="00247CE6" w:rsidP="005E5366">
      <w:pPr>
        <w:pStyle w:val="CETHeading1"/>
        <w:numPr>
          <w:ilvl w:val="0"/>
          <w:numId w:val="23"/>
        </w:numPr>
        <w:tabs>
          <w:tab w:val="num" w:pos="360"/>
        </w:tabs>
        <w:ind w:left="0" w:firstLine="0"/>
        <w:rPr>
          <w:lang w:val="en-GB"/>
        </w:rPr>
      </w:pPr>
      <w:r w:rsidRPr="005E5366">
        <w:rPr>
          <w:lang w:val="en-GB"/>
        </w:rPr>
        <w:t>Methodology</w:t>
      </w:r>
    </w:p>
    <w:p w14:paraId="38CCBB70" w14:textId="4363F7AF" w:rsidR="004F7B31" w:rsidRPr="00F0379F" w:rsidRDefault="00E335AF" w:rsidP="004F7B31">
      <w:pPr>
        <w:rPr>
          <w:rFonts w:cs="Arial"/>
          <w:szCs w:val="18"/>
          <w:lang w:val="en-US"/>
        </w:rPr>
      </w:pPr>
      <w:r w:rsidRPr="00F0379F">
        <w:rPr>
          <w:szCs w:val="18"/>
        </w:rPr>
        <w:t>This paper is based on the experience of the Authors in carrying out energy and resource efficiency audits integrated with</w:t>
      </w:r>
      <w:r w:rsidRPr="00F0379F">
        <w:t xml:space="preserve"> </w:t>
      </w:r>
      <w:r w:rsidRPr="00F0379F">
        <w:rPr>
          <w:szCs w:val="18"/>
        </w:rPr>
        <w:t>Zero Hazardous Discharge Programme procedures, on behalf of private companies and International Financial Institutions in the European Union</w:t>
      </w:r>
      <w:r w:rsidR="00F576DF" w:rsidRPr="00F0379F">
        <w:rPr>
          <w:szCs w:val="18"/>
        </w:rPr>
        <w:t xml:space="preserve"> and in developing Countries</w:t>
      </w:r>
      <w:r w:rsidR="00082CC2">
        <w:rPr>
          <w:szCs w:val="18"/>
        </w:rPr>
        <w:t xml:space="preserve"> (Maffini et al., 2021)</w:t>
      </w:r>
      <w:r w:rsidR="00F576DF" w:rsidRPr="00F0379F">
        <w:rPr>
          <w:szCs w:val="18"/>
        </w:rPr>
        <w:t>.</w:t>
      </w:r>
      <w:r w:rsidR="00006BA6">
        <w:rPr>
          <w:szCs w:val="18"/>
        </w:rPr>
        <w:t xml:space="preserve"> </w:t>
      </w:r>
      <w:r w:rsidRPr="00F0379F">
        <w:rPr>
          <w:szCs w:val="18"/>
        </w:rPr>
        <w:t xml:space="preserve">The Resources and Energy Efficiency Audits (REEA) are focused on </w:t>
      </w:r>
      <w:r w:rsidR="00F576DF" w:rsidRPr="00F0379F">
        <w:rPr>
          <w:szCs w:val="18"/>
        </w:rPr>
        <w:t xml:space="preserve">analysing the baseline situation of the plant in terms of consumptions and environmental performance and identify </w:t>
      </w:r>
      <w:r w:rsidRPr="00F0379F">
        <w:rPr>
          <w:szCs w:val="18"/>
        </w:rPr>
        <w:t xml:space="preserve">opportunities to </w:t>
      </w:r>
      <w:r w:rsidR="00F576DF" w:rsidRPr="00F0379F">
        <w:rPr>
          <w:szCs w:val="18"/>
        </w:rPr>
        <w:t xml:space="preserve">reduce the use of </w:t>
      </w:r>
      <w:r w:rsidRPr="00F0379F">
        <w:rPr>
          <w:szCs w:val="18"/>
        </w:rPr>
        <w:t xml:space="preserve">energy </w:t>
      </w:r>
      <w:r w:rsidR="00F576DF" w:rsidRPr="00F0379F">
        <w:rPr>
          <w:szCs w:val="18"/>
        </w:rPr>
        <w:t>(electricity, fuels and secondary energy carriers like steam</w:t>
      </w:r>
      <w:r w:rsidR="001E065C" w:rsidRPr="00F0379F">
        <w:rPr>
          <w:szCs w:val="18"/>
        </w:rPr>
        <w:t xml:space="preserve">, </w:t>
      </w:r>
      <w:r w:rsidR="00F576DF" w:rsidRPr="00F0379F">
        <w:rPr>
          <w:szCs w:val="18"/>
        </w:rPr>
        <w:t>superheated water</w:t>
      </w:r>
      <w:r w:rsidR="001E065C" w:rsidRPr="00F0379F">
        <w:rPr>
          <w:szCs w:val="18"/>
        </w:rPr>
        <w:t>, etc.</w:t>
      </w:r>
      <w:r w:rsidR="00F576DF" w:rsidRPr="00F0379F">
        <w:rPr>
          <w:szCs w:val="18"/>
        </w:rPr>
        <w:t>)</w:t>
      </w:r>
      <w:r w:rsidR="001E065C" w:rsidRPr="00F0379F">
        <w:rPr>
          <w:szCs w:val="18"/>
        </w:rPr>
        <w:t xml:space="preserve"> and resources (water, </w:t>
      </w:r>
      <w:r w:rsidR="00F25F94" w:rsidRPr="00F0379F">
        <w:rPr>
          <w:szCs w:val="18"/>
        </w:rPr>
        <w:t xml:space="preserve">chemicals, </w:t>
      </w:r>
      <w:r w:rsidR="001E065C" w:rsidRPr="00F0379F">
        <w:rPr>
          <w:szCs w:val="18"/>
        </w:rPr>
        <w:t>raw materials</w:t>
      </w:r>
      <w:r w:rsidR="00F25F94" w:rsidRPr="00F0379F">
        <w:rPr>
          <w:szCs w:val="18"/>
        </w:rPr>
        <w:t>, etc.)</w:t>
      </w:r>
      <w:r w:rsidR="007D11EE">
        <w:rPr>
          <w:szCs w:val="18"/>
        </w:rPr>
        <w:t>,</w:t>
      </w:r>
      <w:r w:rsidR="00F25F94" w:rsidRPr="00F0379F">
        <w:rPr>
          <w:szCs w:val="18"/>
        </w:rPr>
        <w:t xml:space="preserve"> as well as the production of wastes</w:t>
      </w:r>
      <w:r w:rsidR="00F576DF" w:rsidRPr="00F0379F">
        <w:rPr>
          <w:szCs w:val="18"/>
        </w:rPr>
        <w:t xml:space="preserve"> </w:t>
      </w:r>
      <w:r w:rsidR="00F25F94" w:rsidRPr="00F0379F">
        <w:rPr>
          <w:szCs w:val="18"/>
        </w:rPr>
        <w:t xml:space="preserve">and the related impacts on the environment in terms of </w:t>
      </w:r>
      <w:r w:rsidR="005D2DF4" w:rsidRPr="00F0379F">
        <w:rPr>
          <w:szCs w:val="18"/>
        </w:rPr>
        <w:t xml:space="preserve">greenhouse gases and pollutant emissions to air and water. Moreover, they </w:t>
      </w:r>
      <w:r w:rsidRPr="00F0379F">
        <w:rPr>
          <w:szCs w:val="18"/>
        </w:rPr>
        <w:t xml:space="preserve">aim at </w:t>
      </w:r>
      <w:r w:rsidR="005D2DF4" w:rsidRPr="00F0379F">
        <w:rPr>
          <w:szCs w:val="18"/>
        </w:rPr>
        <w:t xml:space="preserve">identifying and filling </w:t>
      </w:r>
      <w:r w:rsidRPr="00F0379F">
        <w:rPr>
          <w:szCs w:val="18"/>
        </w:rPr>
        <w:t xml:space="preserve">any gap </w:t>
      </w:r>
      <w:r w:rsidR="005D2DF4" w:rsidRPr="00F0379F">
        <w:rPr>
          <w:szCs w:val="18"/>
        </w:rPr>
        <w:t xml:space="preserve">towards </w:t>
      </w:r>
      <w:r w:rsidRPr="00F0379F">
        <w:rPr>
          <w:szCs w:val="18"/>
        </w:rPr>
        <w:t>environmental and safety laws and regulations</w:t>
      </w:r>
      <w:r w:rsidR="005D2DF4" w:rsidRPr="00F0379F">
        <w:rPr>
          <w:szCs w:val="18"/>
        </w:rPr>
        <w:t xml:space="preserve"> and improve compliance with applicable legislation and regulations.</w:t>
      </w:r>
      <w:r w:rsidR="00082CC2">
        <w:rPr>
          <w:szCs w:val="18"/>
        </w:rPr>
        <w:t xml:space="preserve"> </w:t>
      </w:r>
      <w:r w:rsidR="004F7B31" w:rsidRPr="00F0379F">
        <w:rPr>
          <w:rFonts w:cs="Arial"/>
          <w:szCs w:val="18"/>
          <w:lang w:val="en-US"/>
        </w:rPr>
        <w:t>The</w:t>
      </w:r>
      <w:r w:rsidR="005D2DF4" w:rsidRPr="00F0379F">
        <w:rPr>
          <w:rFonts w:cs="Arial"/>
          <w:szCs w:val="18"/>
          <w:lang w:val="en-US"/>
        </w:rPr>
        <w:t xml:space="preserve">refore, the main </w:t>
      </w:r>
      <w:r w:rsidR="004F7B31" w:rsidRPr="00F0379F">
        <w:rPr>
          <w:rFonts w:cs="Arial"/>
          <w:szCs w:val="18"/>
          <w:lang w:val="en-US"/>
        </w:rPr>
        <w:t>objectives of the REEA include:</w:t>
      </w:r>
    </w:p>
    <w:p w14:paraId="2C1120AA" w14:textId="08275B14" w:rsidR="005D2DF4" w:rsidRPr="00F0379F" w:rsidRDefault="005D2DF4" w:rsidP="003D4738">
      <w:pPr>
        <w:pStyle w:val="Paragrafoelenco"/>
        <w:numPr>
          <w:ilvl w:val="0"/>
          <w:numId w:val="28"/>
        </w:numPr>
        <w:ind w:left="284" w:hanging="284"/>
        <w:rPr>
          <w:rFonts w:cs="Arial"/>
          <w:szCs w:val="18"/>
          <w:lang w:val="en-US"/>
        </w:rPr>
      </w:pPr>
      <w:r w:rsidRPr="00F0379F">
        <w:rPr>
          <w:rFonts w:cs="Arial"/>
          <w:szCs w:val="18"/>
          <w:lang w:val="en-US"/>
        </w:rPr>
        <w:t>the collection of data related to consumption</w:t>
      </w:r>
      <w:r w:rsidR="008A5FD0" w:rsidRPr="00F0379F">
        <w:rPr>
          <w:rFonts w:cs="Arial"/>
          <w:szCs w:val="18"/>
          <w:lang w:val="en-US"/>
        </w:rPr>
        <w:t>s</w:t>
      </w:r>
      <w:r w:rsidRPr="00F0379F">
        <w:rPr>
          <w:rFonts w:cs="Arial"/>
          <w:szCs w:val="18"/>
          <w:lang w:val="en-US"/>
        </w:rPr>
        <w:t xml:space="preserve"> and production</w:t>
      </w:r>
      <w:r w:rsidR="008A5FD0" w:rsidRPr="00F0379F">
        <w:rPr>
          <w:rFonts w:cs="Arial"/>
          <w:szCs w:val="18"/>
          <w:lang w:val="en-US"/>
        </w:rPr>
        <w:t xml:space="preserve"> </w:t>
      </w:r>
      <w:r w:rsidRPr="00F0379F">
        <w:rPr>
          <w:rFonts w:cs="Arial"/>
          <w:szCs w:val="18"/>
          <w:lang w:val="en-US"/>
        </w:rPr>
        <w:t xml:space="preserve">of </w:t>
      </w:r>
      <w:r w:rsidR="008A5FD0" w:rsidRPr="00F0379F">
        <w:rPr>
          <w:rFonts w:cs="Arial"/>
          <w:szCs w:val="18"/>
          <w:lang w:val="en-US"/>
        </w:rPr>
        <w:t xml:space="preserve">the plant, the calculation of Key Performance </w:t>
      </w:r>
      <w:r w:rsidR="008A5FD0" w:rsidRPr="00FD2848">
        <w:rPr>
          <w:rFonts w:cs="Arial"/>
          <w:szCs w:val="18"/>
          <w:lang w:val="en-US"/>
        </w:rPr>
        <w:t xml:space="preserve">Indicators </w:t>
      </w:r>
      <w:r w:rsidR="00170098" w:rsidRPr="00FD2848">
        <w:rPr>
          <w:rFonts w:cs="Arial"/>
          <w:szCs w:val="18"/>
          <w:lang w:val="en-US"/>
        </w:rPr>
        <w:t xml:space="preserve">(KPI) </w:t>
      </w:r>
      <w:r w:rsidR="008A5FD0" w:rsidRPr="00FD2848">
        <w:rPr>
          <w:rFonts w:cs="Arial"/>
          <w:szCs w:val="18"/>
          <w:lang w:val="en-US"/>
        </w:rPr>
        <w:t xml:space="preserve">and the execution </w:t>
      </w:r>
      <w:r w:rsidR="008A5FD0" w:rsidRPr="00F0379F">
        <w:rPr>
          <w:rFonts w:cs="Arial"/>
          <w:szCs w:val="18"/>
          <w:lang w:val="en-US"/>
        </w:rPr>
        <w:t xml:space="preserve">of a </w:t>
      </w:r>
      <w:r w:rsidRPr="00F0379F">
        <w:rPr>
          <w:rFonts w:cs="Arial"/>
          <w:szCs w:val="18"/>
          <w:lang w:val="en-US"/>
        </w:rPr>
        <w:t>benchmarking analysis;</w:t>
      </w:r>
    </w:p>
    <w:p w14:paraId="213F817E" w14:textId="37E70DC2" w:rsidR="004F7B31" w:rsidRPr="00F0379F" w:rsidRDefault="008A5FD0" w:rsidP="003D4738">
      <w:pPr>
        <w:pStyle w:val="Paragrafoelenco"/>
        <w:numPr>
          <w:ilvl w:val="0"/>
          <w:numId w:val="28"/>
        </w:numPr>
        <w:ind w:left="284" w:hanging="284"/>
        <w:rPr>
          <w:rFonts w:cs="Arial"/>
          <w:szCs w:val="18"/>
          <w:lang w:val="en-US"/>
        </w:rPr>
      </w:pPr>
      <w:r w:rsidRPr="00F0379F">
        <w:rPr>
          <w:rFonts w:cs="Arial"/>
          <w:szCs w:val="18"/>
          <w:lang w:val="en-US"/>
        </w:rPr>
        <w:t xml:space="preserve">the </w:t>
      </w:r>
      <w:r w:rsidR="004F7B31" w:rsidRPr="00F0379F">
        <w:rPr>
          <w:rFonts w:cs="Arial"/>
          <w:szCs w:val="18"/>
          <w:lang w:val="en-US"/>
        </w:rPr>
        <w:t>preliminar</w:t>
      </w:r>
      <w:r w:rsidR="005D2DF4" w:rsidRPr="00F0379F">
        <w:rPr>
          <w:rFonts w:cs="Arial"/>
          <w:szCs w:val="18"/>
          <w:lang w:val="en-US"/>
        </w:rPr>
        <w:t xml:space="preserve">y evaluation of the baseline situation </w:t>
      </w:r>
      <w:r w:rsidRPr="00F0379F">
        <w:rPr>
          <w:rFonts w:cs="Arial"/>
          <w:szCs w:val="18"/>
          <w:lang w:val="en-US"/>
        </w:rPr>
        <w:t xml:space="preserve">of the plant </w:t>
      </w:r>
      <w:r w:rsidR="005D2DF4" w:rsidRPr="00F0379F">
        <w:rPr>
          <w:rFonts w:cs="Arial"/>
          <w:szCs w:val="18"/>
          <w:lang w:val="en-US"/>
        </w:rPr>
        <w:t xml:space="preserve">in terms of </w:t>
      </w:r>
      <w:r w:rsidR="004F7B31" w:rsidRPr="00F0379F">
        <w:rPr>
          <w:rFonts w:cs="Arial"/>
          <w:szCs w:val="18"/>
          <w:lang w:val="en-US"/>
        </w:rPr>
        <w:t>overall resource efficiency;</w:t>
      </w:r>
    </w:p>
    <w:p w14:paraId="670AF644" w14:textId="7F291E8D" w:rsidR="004F7B31" w:rsidRPr="00F0379F" w:rsidRDefault="008A5FD0" w:rsidP="003D4738">
      <w:pPr>
        <w:pStyle w:val="Paragrafoelenco"/>
        <w:numPr>
          <w:ilvl w:val="0"/>
          <w:numId w:val="28"/>
        </w:numPr>
        <w:ind w:left="284" w:hanging="284"/>
        <w:rPr>
          <w:rFonts w:cs="Arial"/>
          <w:szCs w:val="18"/>
          <w:lang w:val="en-US"/>
        </w:rPr>
      </w:pPr>
      <w:r w:rsidRPr="00F0379F">
        <w:rPr>
          <w:rFonts w:cs="Arial"/>
          <w:szCs w:val="18"/>
          <w:lang w:val="en-US"/>
        </w:rPr>
        <w:t xml:space="preserve">the </w:t>
      </w:r>
      <w:r w:rsidR="004F7B31" w:rsidRPr="00F0379F">
        <w:rPr>
          <w:rFonts w:cs="Arial"/>
          <w:szCs w:val="18"/>
          <w:lang w:val="en-US"/>
        </w:rPr>
        <w:t>identi</w:t>
      </w:r>
      <w:r w:rsidRPr="00F0379F">
        <w:rPr>
          <w:rFonts w:cs="Arial"/>
          <w:szCs w:val="18"/>
          <w:lang w:val="en-US"/>
        </w:rPr>
        <w:t>fication of</w:t>
      </w:r>
      <w:r w:rsidR="004F7B31" w:rsidRPr="00F0379F">
        <w:rPr>
          <w:rFonts w:cs="Arial"/>
          <w:szCs w:val="18"/>
          <w:lang w:val="en-US"/>
        </w:rPr>
        <w:t xml:space="preserve"> a set of investment opportunities</w:t>
      </w:r>
      <w:r w:rsidRPr="00F0379F">
        <w:rPr>
          <w:rFonts w:cs="Arial"/>
          <w:szCs w:val="18"/>
          <w:lang w:val="en-US"/>
        </w:rPr>
        <w:t>, with the execution of a technical and financial pre-feasibility study</w:t>
      </w:r>
      <w:r w:rsidR="004F7B31" w:rsidRPr="00F0379F">
        <w:rPr>
          <w:rFonts w:cs="Arial"/>
          <w:szCs w:val="18"/>
          <w:lang w:val="en-US"/>
        </w:rPr>
        <w:t>.</w:t>
      </w:r>
    </w:p>
    <w:p w14:paraId="6B1BEC9B" w14:textId="0A31E9AF" w:rsidR="004F184E" w:rsidRDefault="005D2DF4" w:rsidP="004F184E">
      <w:pPr>
        <w:rPr>
          <w:rFonts w:cs="Arial"/>
          <w:szCs w:val="18"/>
          <w:lang w:val="en-US"/>
        </w:rPr>
      </w:pPr>
      <w:r w:rsidRPr="00F0379F">
        <w:rPr>
          <w:rFonts w:cs="Arial"/>
          <w:szCs w:val="18"/>
          <w:lang w:val="en-US"/>
        </w:rPr>
        <w:t xml:space="preserve">The REEA analysis relies on the conceptual methodology developed for energy </w:t>
      </w:r>
      <w:r w:rsidRPr="007C27F4">
        <w:rPr>
          <w:rFonts w:cs="Arial"/>
          <w:szCs w:val="18"/>
          <w:lang w:val="en-US"/>
        </w:rPr>
        <w:t xml:space="preserve">audits in </w:t>
      </w:r>
      <w:r w:rsidR="00170098" w:rsidRPr="007C27F4">
        <w:rPr>
          <w:rFonts w:cs="Arial"/>
          <w:szCs w:val="18"/>
          <w:lang w:val="en-US"/>
        </w:rPr>
        <w:t xml:space="preserve">UNI CEI </w:t>
      </w:r>
      <w:r w:rsidRPr="00F0379F">
        <w:rPr>
          <w:rFonts w:cs="Arial"/>
          <w:szCs w:val="18"/>
          <w:lang w:val="en-US"/>
        </w:rPr>
        <w:t>EN 16247-1 technical standard</w:t>
      </w:r>
      <w:r w:rsidR="008A5FD0" w:rsidRPr="00F0379F">
        <w:rPr>
          <w:rFonts w:cs="Arial"/>
          <w:szCs w:val="18"/>
          <w:lang w:val="en-US"/>
        </w:rPr>
        <w:t xml:space="preserve">, which defines </w:t>
      </w:r>
      <w:r w:rsidR="00247CE6" w:rsidRPr="00F0379F">
        <w:rPr>
          <w:rFonts w:cs="Arial"/>
          <w:szCs w:val="18"/>
          <w:lang w:val="en-US"/>
        </w:rPr>
        <w:t>an energy efficiency audit</w:t>
      </w:r>
      <w:r w:rsidR="008A5FD0" w:rsidRPr="00F0379F">
        <w:rPr>
          <w:rFonts w:cs="Arial"/>
          <w:szCs w:val="18"/>
          <w:lang w:val="en-US"/>
        </w:rPr>
        <w:t xml:space="preserve"> as</w:t>
      </w:r>
      <w:r w:rsidR="00247CE6" w:rsidRPr="00F0379F">
        <w:rPr>
          <w:rFonts w:cs="Arial"/>
          <w:szCs w:val="18"/>
          <w:lang w:val="en-US"/>
        </w:rPr>
        <w:t xml:space="preserve"> </w:t>
      </w:r>
      <w:r w:rsidR="008A5FD0" w:rsidRPr="00F0379F">
        <w:rPr>
          <w:rFonts w:cs="Arial"/>
          <w:szCs w:val="18"/>
          <w:lang w:val="en-US"/>
        </w:rPr>
        <w:t>“</w:t>
      </w:r>
      <w:r w:rsidR="00247CE6" w:rsidRPr="00F0379F">
        <w:rPr>
          <w:rFonts w:cs="Arial"/>
          <w:szCs w:val="18"/>
          <w:lang w:val="en-US"/>
        </w:rPr>
        <w:t>a systematic inspection and analysis of the energy use and consumption of a plant, building, system or organization, with the aim of identifying and reporting on energy flows and the potential for energy efficiency improvements”.</w:t>
      </w:r>
      <w:r w:rsidR="005E5366">
        <w:rPr>
          <w:rFonts w:cs="Arial"/>
          <w:szCs w:val="18"/>
          <w:lang w:val="en-US"/>
        </w:rPr>
        <w:t xml:space="preserve"> </w:t>
      </w:r>
      <w:r w:rsidR="006F4D3B" w:rsidRPr="00F0379F">
        <w:rPr>
          <w:rFonts w:cs="Arial"/>
          <w:szCs w:val="18"/>
          <w:lang w:val="en-US"/>
        </w:rPr>
        <w:t>Unfortunately, there is no similar standard for</w:t>
      </w:r>
      <w:r w:rsidR="000048F0" w:rsidRPr="00F0379F">
        <w:rPr>
          <w:rFonts w:cs="Arial"/>
          <w:szCs w:val="18"/>
          <w:lang w:val="en-US"/>
        </w:rPr>
        <w:t xml:space="preserve"> REEA</w:t>
      </w:r>
      <w:r w:rsidR="006F4D3B" w:rsidRPr="00F0379F">
        <w:rPr>
          <w:rFonts w:cs="Arial"/>
          <w:szCs w:val="18"/>
          <w:lang w:val="en-US"/>
        </w:rPr>
        <w:t xml:space="preserve">, but approach </w:t>
      </w:r>
      <w:r w:rsidR="00C034FE" w:rsidRPr="00F0379F">
        <w:rPr>
          <w:rFonts w:cs="Arial"/>
          <w:szCs w:val="18"/>
          <w:lang w:val="en-US"/>
        </w:rPr>
        <w:t xml:space="preserve">similar </w:t>
      </w:r>
      <w:r w:rsidR="006F4D3B" w:rsidRPr="00F0379F">
        <w:rPr>
          <w:rFonts w:cs="Arial"/>
          <w:szCs w:val="18"/>
          <w:lang w:val="en-US"/>
        </w:rPr>
        <w:t xml:space="preserve">to energy </w:t>
      </w:r>
      <w:r w:rsidR="00C034FE" w:rsidRPr="00F0379F">
        <w:rPr>
          <w:rFonts w:cs="Arial"/>
          <w:szCs w:val="18"/>
          <w:lang w:val="en-US"/>
        </w:rPr>
        <w:t xml:space="preserve">audits </w:t>
      </w:r>
      <w:r w:rsidR="00685EFA">
        <w:rPr>
          <w:rFonts w:cs="Arial"/>
          <w:szCs w:val="18"/>
          <w:lang w:val="en-US"/>
        </w:rPr>
        <w:t xml:space="preserve">was conceived </w:t>
      </w:r>
      <w:r w:rsidR="005747A0" w:rsidRPr="00F0379F">
        <w:rPr>
          <w:rFonts w:cs="Arial"/>
          <w:szCs w:val="18"/>
          <w:lang w:val="en-US"/>
        </w:rPr>
        <w:t xml:space="preserve">to obtain </w:t>
      </w:r>
      <w:r w:rsidR="00C034FE" w:rsidRPr="00F0379F">
        <w:rPr>
          <w:rFonts w:cs="Arial"/>
          <w:szCs w:val="18"/>
          <w:lang w:val="en-US"/>
        </w:rPr>
        <w:t>the same level of</w:t>
      </w:r>
      <w:r w:rsidR="006F4D3B" w:rsidRPr="00F0379F">
        <w:rPr>
          <w:rFonts w:cs="Arial"/>
          <w:szCs w:val="18"/>
          <w:lang w:val="en-US"/>
        </w:rPr>
        <w:t xml:space="preserve"> results.</w:t>
      </w:r>
      <w:r w:rsidR="00C034FE" w:rsidRPr="00F0379F">
        <w:rPr>
          <w:rFonts w:cs="Arial"/>
          <w:szCs w:val="18"/>
          <w:lang w:val="en-US"/>
        </w:rPr>
        <w:t xml:space="preserve"> </w:t>
      </w:r>
      <w:r w:rsidR="00247CE6" w:rsidRPr="00F0379F">
        <w:rPr>
          <w:rFonts w:cs="Arial"/>
          <w:szCs w:val="18"/>
        </w:rPr>
        <w:fldChar w:fldCharType="begin"/>
      </w:r>
      <w:r w:rsidR="00247CE6" w:rsidRPr="00F0379F">
        <w:rPr>
          <w:rFonts w:cs="Arial"/>
          <w:szCs w:val="18"/>
          <w:lang w:val="en-US"/>
        </w:rPr>
        <w:instrText xml:space="preserve"> REF _Ref41035032 \h  \* MERGEFORMAT </w:instrText>
      </w:r>
      <w:r w:rsidR="00247CE6" w:rsidRPr="00F0379F">
        <w:rPr>
          <w:rFonts w:cs="Arial"/>
          <w:szCs w:val="18"/>
        </w:rPr>
      </w:r>
      <w:r w:rsidR="00247CE6" w:rsidRPr="00F0379F">
        <w:rPr>
          <w:rFonts w:cs="Arial"/>
          <w:szCs w:val="18"/>
        </w:rPr>
        <w:fldChar w:fldCharType="separate"/>
      </w:r>
      <w:r w:rsidR="00AD6EB2" w:rsidRPr="00F0379F">
        <w:rPr>
          <w:rFonts w:cs="Arial"/>
          <w:szCs w:val="18"/>
          <w:lang w:val="en-US"/>
        </w:rPr>
        <w:t xml:space="preserve">Figure </w:t>
      </w:r>
      <w:r w:rsidR="00AD6EB2" w:rsidRPr="00F0379F">
        <w:rPr>
          <w:rFonts w:cs="Arial"/>
          <w:noProof/>
          <w:szCs w:val="18"/>
          <w:lang w:val="en-US"/>
        </w:rPr>
        <w:t>1</w:t>
      </w:r>
      <w:r w:rsidR="00247CE6" w:rsidRPr="00F0379F">
        <w:rPr>
          <w:rFonts w:cs="Arial"/>
          <w:szCs w:val="18"/>
        </w:rPr>
        <w:fldChar w:fldCharType="end"/>
      </w:r>
      <w:r w:rsidR="00247CE6" w:rsidRPr="00F0379F">
        <w:rPr>
          <w:rFonts w:cs="Arial"/>
          <w:szCs w:val="18"/>
          <w:lang w:val="en-US"/>
        </w:rPr>
        <w:t xml:space="preserve">, adapted </w:t>
      </w:r>
      <w:r w:rsidR="00247CE6" w:rsidRPr="007C27F4">
        <w:rPr>
          <w:rFonts w:cs="Arial"/>
          <w:szCs w:val="18"/>
          <w:lang w:val="en-US"/>
        </w:rPr>
        <w:t xml:space="preserve">from </w:t>
      </w:r>
      <w:r w:rsidR="00170098" w:rsidRPr="007C27F4">
        <w:rPr>
          <w:rFonts w:cs="Arial"/>
          <w:szCs w:val="18"/>
          <w:lang w:val="en-US"/>
        </w:rPr>
        <w:t>UNI CEI</w:t>
      </w:r>
      <w:r w:rsidR="00170098" w:rsidRPr="00E85A26">
        <w:rPr>
          <w:rFonts w:cs="Arial"/>
          <w:szCs w:val="18"/>
          <w:lang w:val="en-US"/>
        </w:rPr>
        <w:t xml:space="preserve"> </w:t>
      </w:r>
      <w:r w:rsidR="00247CE6" w:rsidRPr="00F0379F">
        <w:rPr>
          <w:rFonts w:cs="Arial"/>
          <w:szCs w:val="18"/>
          <w:lang w:val="en-US"/>
        </w:rPr>
        <w:t xml:space="preserve">EN 16247-1 technical standard, provides an overview of the steps </w:t>
      </w:r>
      <w:r w:rsidR="00685EFA">
        <w:rPr>
          <w:rFonts w:cs="Arial"/>
          <w:szCs w:val="18"/>
          <w:lang w:val="en-US"/>
        </w:rPr>
        <w:t>involved into</w:t>
      </w:r>
      <w:r w:rsidR="00247CE6" w:rsidRPr="00F0379F">
        <w:rPr>
          <w:rFonts w:cs="Arial"/>
          <w:szCs w:val="18"/>
          <w:lang w:val="en-US"/>
        </w:rPr>
        <w:t xml:space="preserve"> the </w:t>
      </w:r>
      <w:r w:rsidR="00685EFA">
        <w:rPr>
          <w:rFonts w:cs="Arial"/>
          <w:szCs w:val="18"/>
          <w:lang w:val="en-US"/>
        </w:rPr>
        <w:t xml:space="preserve">ad-hoc designed </w:t>
      </w:r>
      <w:r w:rsidR="00247CE6" w:rsidRPr="00F0379F">
        <w:rPr>
          <w:rFonts w:cs="Arial"/>
          <w:szCs w:val="18"/>
          <w:lang w:val="en-US"/>
        </w:rPr>
        <w:t>audit</w:t>
      </w:r>
      <w:r w:rsidR="00E41A36" w:rsidRPr="00F0379F">
        <w:rPr>
          <w:rFonts w:cs="Arial"/>
          <w:szCs w:val="18"/>
          <w:lang w:val="en-US"/>
        </w:rPr>
        <w:t xml:space="preserve"> p</w:t>
      </w:r>
      <w:r w:rsidR="00247CE6" w:rsidRPr="00F0379F">
        <w:rPr>
          <w:rFonts w:cs="Arial"/>
          <w:szCs w:val="18"/>
          <w:lang w:val="en-US"/>
        </w:rPr>
        <w:t>rocess</w:t>
      </w:r>
      <w:r w:rsidR="001728E6">
        <w:rPr>
          <w:rFonts w:cs="Arial"/>
          <w:szCs w:val="18"/>
          <w:lang w:val="en-US"/>
        </w:rPr>
        <w:t xml:space="preserve"> (Bonvicini, 2018)</w:t>
      </w:r>
      <w:r w:rsidR="00247CE6" w:rsidRPr="00F0379F">
        <w:rPr>
          <w:rFonts w:cs="Arial"/>
          <w:szCs w:val="18"/>
          <w:lang w:val="en-US"/>
        </w:rPr>
        <w:t>.</w:t>
      </w:r>
    </w:p>
    <w:p w14:paraId="06FE0951" w14:textId="77777777" w:rsidR="004A415F" w:rsidRPr="00F0379F" w:rsidRDefault="004A415F" w:rsidP="004F184E">
      <w:pPr>
        <w:rPr>
          <w:rFonts w:cs="Arial"/>
          <w:szCs w:val="18"/>
          <w:lang w:val="en-US"/>
        </w:rPr>
      </w:pPr>
    </w:p>
    <w:p w14:paraId="4F600D75" w14:textId="68C8280C" w:rsidR="00247CE6" w:rsidRDefault="00247CE6" w:rsidP="006150CE">
      <w:pPr>
        <w:jc w:val="left"/>
        <w:rPr>
          <w:rFonts w:cs="Arial"/>
          <w:szCs w:val="18"/>
        </w:rPr>
      </w:pPr>
      <w:r w:rsidRPr="00F0379F">
        <w:rPr>
          <w:rFonts w:cs="Arial"/>
          <w:noProof/>
          <w:szCs w:val="18"/>
          <w:lang w:val="es-ES" w:eastAsia="es-ES"/>
        </w:rPr>
        <w:lastRenderedPageBreak/>
        <w:drawing>
          <wp:inline distT="0" distB="0" distL="0" distR="0" wp14:anchorId="2AE5A2CE" wp14:editId="6171E0C1">
            <wp:extent cx="4390545" cy="276175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28" t="-495" r="-428" b="495"/>
                    <a:stretch/>
                  </pic:blipFill>
                  <pic:spPr bwMode="auto">
                    <a:xfrm>
                      <a:off x="0" y="0"/>
                      <a:ext cx="4419161" cy="2779755"/>
                    </a:xfrm>
                    <a:prstGeom prst="rect">
                      <a:avLst/>
                    </a:prstGeom>
                    <a:ln>
                      <a:noFill/>
                    </a:ln>
                    <a:extLst>
                      <a:ext uri="{53640926-AAD7-44D8-BBD7-CCE9431645EC}">
                        <a14:shadowObscured xmlns:a14="http://schemas.microsoft.com/office/drawing/2010/main"/>
                      </a:ext>
                    </a:extLst>
                  </pic:spPr>
                </pic:pic>
              </a:graphicData>
            </a:graphic>
          </wp:inline>
        </w:drawing>
      </w:r>
    </w:p>
    <w:p w14:paraId="6548A0EF" w14:textId="6EC089CD" w:rsidR="00247CE6" w:rsidRPr="00F0379F" w:rsidRDefault="006150CE" w:rsidP="005E5366">
      <w:pPr>
        <w:pStyle w:val="CETCaption"/>
        <w:rPr>
          <w:rFonts w:cs="Arial"/>
          <w:szCs w:val="18"/>
          <w:lang w:val="en-US"/>
        </w:rPr>
      </w:pPr>
      <w:r w:rsidRPr="00BD077D">
        <w:rPr>
          <w:rStyle w:val="CETCaptionCarattere"/>
          <w:i/>
        </w:rPr>
        <w:t>Figure 1: S</w:t>
      </w:r>
      <w:r w:rsidR="005E5366">
        <w:rPr>
          <w:rStyle w:val="CETCaptionCarattere"/>
          <w:i/>
        </w:rPr>
        <w:t>chematic flow sheet developed for the energy audit process (</w:t>
      </w:r>
      <w:r w:rsidR="001728E6">
        <w:rPr>
          <w:rStyle w:val="CETCaptionCarattere"/>
          <w:i/>
        </w:rPr>
        <w:t>Bonvicini, 2018</w:t>
      </w:r>
      <w:r w:rsidR="005E5366">
        <w:rPr>
          <w:rStyle w:val="CETCaptionCarattere"/>
          <w:i/>
        </w:rPr>
        <w:t>)</w:t>
      </w:r>
      <w:r w:rsidR="00192C8B">
        <w:rPr>
          <w:rStyle w:val="CETCaptionCarattere"/>
          <w:i/>
        </w:rPr>
        <w:t>.</w:t>
      </w:r>
    </w:p>
    <w:p w14:paraId="2E52DEBF" w14:textId="1B81A231" w:rsidR="00247CE6" w:rsidRPr="00F0379F" w:rsidRDefault="00540072" w:rsidP="00247CE6">
      <w:pPr>
        <w:rPr>
          <w:rFonts w:cs="Arial"/>
          <w:szCs w:val="18"/>
          <w:lang w:val="en-US"/>
        </w:rPr>
      </w:pPr>
      <w:r w:rsidRPr="00F0379F">
        <w:rPr>
          <w:rFonts w:cs="Arial"/>
          <w:szCs w:val="18"/>
          <w:lang w:val="en-US"/>
        </w:rPr>
        <w:t xml:space="preserve">Based on the </w:t>
      </w:r>
      <w:r w:rsidR="00944943" w:rsidRPr="00F0379F">
        <w:rPr>
          <w:rFonts w:cs="Arial"/>
          <w:szCs w:val="18"/>
          <w:lang w:val="en-US"/>
        </w:rPr>
        <w:t xml:space="preserve">steps presented in the </w:t>
      </w:r>
      <w:r w:rsidR="00247CE6" w:rsidRPr="00F0379F">
        <w:rPr>
          <w:rFonts w:cs="Arial"/>
          <w:szCs w:val="18"/>
          <w:lang w:val="en-US"/>
        </w:rPr>
        <w:t xml:space="preserve">technical standards, the main </w:t>
      </w:r>
      <w:r w:rsidR="00944943" w:rsidRPr="00F0379F">
        <w:rPr>
          <w:rFonts w:cs="Arial"/>
          <w:szCs w:val="18"/>
          <w:lang w:val="en-US"/>
        </w:rPr>
        <w:t xml:space="preserve">phases </w:t>
      </w:r>
      <w:r w:rsidR="00247CE6" w:rsidRPr="00F0379F">
        <w:rPr>
          <w:rFonts w:cs="Arial"/>
          <w:szCs w:val="18"/>
          <w:lang w:val="en-US"/>
        </w:rPr>
        <w:t>of the audit are:</w:t>
      </w:r>
    </w:p>
    <w:p w14:paraId="4D02090C" w14:textId="3A72F9C7" w:rsidR="00247CE6" w:rsidRPr="00F0379F" w:rsidRDefault="00196447" w:rsidP="002C7B13">
      <w:pPr>
        <w:pStyle w:val="Paragrafoelenco"/>
        <w:numPr>
          <w:ilvl w:val="0"/>
          <w:numId w:val="24"/>
        </w:numPr>
        <w:tabs>
          <w:tab w:val="clear" w:pos="7100"/>
        </w:tabs>
        <w:rPr>
          <w:rFonts w:cs="Arial"/>
          <w:szCs w:val="18"/>
        </w:rPr>
      </w:pPr>
      <w:r w:rsidRPr="00F0379F">
        <w:rPr>
          <w:rFonts w:cs="Arial"/>
          <w:szCs w:val="18"/>
        </w:rPr>
        <w:t>i</w:t>
      </w:r>
      <w:r w:rsidR="00247CE6" w:rsidRPr="00F0379F">
        <w:rPr>
          <w:rFonts w:cs="Arial"/>
          <w:szCs w:val="18"/>
        </w:rPr>
        <w:t xml:space="preserve">ntroductory contact, </w:t>
      </w:r>
      <w:r w:rsidR="00944943" w:rsidRPr="00F0379F">
        <w:rPr>
          <w:rFonts w:cs="Arial"/>
          <w:szCs w:val="18"/>
        </w:rPr>
        <w:t xml:space="preserve">to set </w:t>
      </w:r>
      <w:r w:rsidR="00247CE6" w:rsidRPr="00F0379F">
        <w:rPr>
          <w:rFonts w:cs="Arial"/>
          <w:szCs w:val="18"/>
        </w:rPr>
        <w:t>the framework of the analysis</w:t>
      </w:r>
      <w:r w:rsidR="00944943" w:rsidRPr="00F0379F">
        <w:rPr>
          <w:rFonts w:cs="Arial"/>
          <w:szCs w:val="18"/>
        </w:rPr>
        <w:t xml:space="preserve"> and </w:t>
      </w:r>
      <w:r w:rsidR="001728E6">
        <w:rPr>
          <w:rFonts w:cs="Arial"/>
          <w:szCs w:val="18"/>
        </w:rPr>
        <w:t>k</w:t>
      </w:r>
      <w:r w:rsidR="00247CE6" w:rsidRPr="00F0379F">
        <w:rPr>
          <w:rFonts w:cs="Arial"/>
          <w:szCs w:val="18"/>
        </w:rPr>
        <w:t xml:space="preserve">ick-off meeting, </w:t>
      </w:r>
      <w:r w:rsidR="00944943" w:rsidRPr="00F0379F">
        <w:rPr>
          <w:rFonts w:cs="Arial"/>
          <w:szCs w:val="18"/>
        </w:rPr>
        <w:t xml:space="preserve">aimed at </w:t>
      </w:r>
      <w:r w:rsidR="00247CE6" w:rsidRPr="00F0379F">
        <w:rPr>
          <w:rFonts w:cs="Arial"/>
          <w:szCs w:val="18"/>
        </w:rPr>
        <w:t xml:space="preserve">identifying data to be collected, measurements to be </w:t>
      </w:r>
      <w:r w:rsidR="00944943" w:rsidRPr="00F0379F">
        <w:rPr>
          <w:rFonts w:cs="Arial"/>
          <w:szCs w:val="18"/>
        </w:rPr>
        <w:t>done</w:t>
      </w:r>
      <w:r w:rsidR="00247CE6" w:rsidRPr="00F0379F">
        <w:rPr>
          <w:rFonts w:cs="Arial"/>
          <w:szCs w:val="18"/>
        </w:rPr>
        <w:t>, equipment to be installed, etc.;</w:t>
      </w:r>
    </w:p>
    <w:p w14:paraId="6221F743" w14:textId="4B896C04" w:rsidR="00247CE6" w:rsidRPr="00F0379F" w:rsidRDefault="00196447" w:rsidP="00247CE6">
      <w:pPr>
        <w:pStyle w:val="Paragrafoelenco"/>
        <w:numPr>
          <w:ilvl w:val="0"/>
          <w:numId w:val="24"/>
        </w:numPr>
        <w:tabs>
          <w:tab w:val="clear" w:pos="7100"/>
        </w:tabs>
        <w:rPr>
          <w:rFonts w:cs="Arial"/>
          <w:szCs w:val="18"/>
        </w:rPr>
      </w:pPr>
      <w:r w:rsidRPr="00F0379F">
        <w:rPr>
          <w:rFonts w:cs="Arial"/>
          <w:szCs w:val="18"/>
        </w:rPr>
        <w:t>d</w:t>
      </w:r>
      <w:r w:rsidR="00247CE6" w:rsidRPr="00F0379F">
        <w:rPr>
          <w:rFonts w:cs="Arial"/>
          <w:szCs w:val="18"/>
        </w:rPr>
        <w:t>ata collection, regarding energy</w:t>
      </w:r>
      <w:r w:rsidR="00944943" w:rsidRPr="00F0379F">
        <w:rPr>
          <w:rFonts w:cs="Arial"/>
          <w:szCs w:val="18"/>
        </w:rPr>
        <w:t>/resources</w:t>
      </w:r>
      <w:r w:rsidR="00247CE6" w:rsidRPr="00F0379F">
        <w:rPr>
          <w:rFonts w:cs="Arial"/>
          <w:szCs w:val="18"/>
        </w:rPr>
        <w:t xml:space="preserve"> consumption</w:t>
      </w:r>
      <w:r w:rsidR="00944943" w:rsidRPr="00F0379F">
        <w:rPr>
          <w:rFonts w:cs="Arial"/>
          <w:szCs w:val="18"/>
        </w:rPr>
        <w:t>s</w:t>
      </w:r>
      <w:r w:rsidR="00247CE6" w:rsidRPr="00F0379F">
        <w:rPr>
          <w:rFonts w:cs="Arial"/>
          <w:szCs w:val="18"/>
        </w:rPr>
        <w:t xml:space="preserve"> and costs, characteristics and use of the equipment, general features of the</w:t>
      </w:r>
      <w:r w:rsidR="00944943" w:rsidRPr="00F0379F">
        <w:rPr>
          <w:rFonts w:cs="Arial"/>
          <w:szCs w:val="18"/>
        </w:rPr>
        <w:t xml:space="preserve"> </w:t>
      </w:r>
      <w:r w:rsidR="00247CE6" w:rsidRPr="00F0379F">
        <w:rPr>
          <w:rFonts w:cs="Arial"/>
          <w:szCs w:val="18"/>
        </w:rPr>
        <w:t>processes and facilities</w:t>
      </w:r>
      <w:r w:rsidR="00944943" w:rsidRPr="00F0379F">
        <w:rPr>
          <w:rFonts w:cs="Arial"/>
          <w:szCs w:val="18"/>
        </w:rPr>
        <w:t xml:space="preserve">, </w:t>
      </w:r>
      <w:r w:rsidR="00247CE6" w:rsidRPr="00F0379F">
        <w:rPr>
          <w:rFonts w:cs="Arial"/>
          <w:szCs w:val="18"/>
        </w:rPr>
        <w:t>plant production data;</w:t>
      </w:r>
    </w:p>
    <w:p w14:paraId="4C17A061" w14:textId="46B9F5E4" w:rsidR="00247CE6" w:rsidRPr="00F0379F" w:rsidRDefault="00196447" w:rsidP="00247CE6">
      <w:pPr>
        <w:pStyle w:val="Paragrafoelenco"/>
        <w:numPr>
          <w:ilvl w:val="0"/>
          <w:numId w:val="24"/>
        </w:numPr>
        <w:tabs>
          <w:tab w:val="clear" w:pos="7100"/>
        </w:tabs>
        <w:rPr>
          <w:rFonts w:cs="Arial"/>
          <w:szCs w:val="18"/>
        </w:rPr>
      </w:pPr>
      <w:r w:rsidRPr="00F0379F">
        <w:rPr>
          <w:rFonts w:cs="Arial"/>
          <w:szCs w:val="18"/>
        </w:rPr>
        <w:t>s</w:t>
      </w:r>
      <w:r w:rsidR="00247CE6" w:rsidRPr="00F0379F">
        <w:rPr>
          <w:rFonts w:cs="Arial"/>
          <w:szCs w:val="18"/>
        </w:rPr>
        <w:t xml:space="preserve">ite visit, to inspect the plant, </w:t>
      </w:r>
      <w:r w:rsidR="00944943" w:rsidRPr="00F0379F">
        <w:rPr>
          <w:rFonts w:cs="Arial"/>
          <w:szCs w:val="18"/>
        </w:rPr>
        <w:t xml:space="preserve">evaluate </w:t>
      </w:r>
      <w:r w:rsidR="00247CE6" w:rsidRPr="00F0379F">
        <w:rPr>
          <w:rFonts w:cs="Arial"/>
          <w:szCs w:val="18"/>
        </w:rPr>
        <w:t>typical uses</w:t>
      </w:r>
      <w:r w:rsidR="00944943" w:rsidRPr="00F0379F">
        <w:rPr>
          <w:rFonts w:cs="Arial"/>
          <w:szCs w:val="18"/>
        </w:rPr>
        <w:t xml:space="preserve"> of energy and resources</w:t>
      </w:r>
      <w:r w:rsidR="00247CE6" w:rsidRPr="00F0379F">
        <w:rPr>
          <w:rFonts w:cs="Arial"/>
          <w:szCs w:val="18"/>
        </w:rPr>
        <w:t xml:space="preserve">, identify areas </w:t>
      </w:r>
      <w:r w:rsidR="00944943" w:rsidRPr="00F0379F">
        <w:rPr>
          <w:rFonts w:cs="Arial"/>
          <w:szCs w:val="18"/>
        </w:rPr>
        <w:t xml:space="preserve">for </w:t>
      </w:r>
      <w:r w:rsidR="00247CE6" w:rsidRPr="00F0379F">
        <w:rPr>
          <w:rFonts w:cs="Arial"/>
          <w:szCs w:val="18"/>
        </w:rPr>
        <w:t xml:space="preserve">additional data collection, </w:t>
      </w:r>
      <w:r w:rsidR="00944943" w:rsidRPr="00F0379F">
        <w:rPr>
          <w:rFonts w:cs="Arial"/>
          <w:szCs w:val="18"/>
        </w:rPr>
        <w:t xml:space="preserve">take </w:t>
      </w:r>
      <w:r w:rsidR="00247CE6" w:rsidRPr="00F0379F">
        <w:rPr>
          <w:rFonts w:cs="Arial"/>
          <w:szCs w:val="18"/>
        </w:rPr>
        <w:t>spot measure</w:t>
      </w:r>
      <w:r w:rsidR="00944943" w:rsidRPr="00F0379F">
        <w:rPr>
          <w:rFonts w:cs="Arial"/>
          <w:szCs w:val="18"/>
        </w:rPr>
        <w:t>ments</w:t>
      </w:r>
      <w:r w:rsidR="00247CE6" w:rsidRPr="00F0379F">
        <w:rPr>
          <w:rFonts w:cs="Arial"/>
          <w:szCs w:val="18"/>
        </w:rPr>
        <w:t>, identify potential improvement</w:t>
      </w:r>
      <w:r w:rsidR="00944943" w:rsidRPr="00F0379F">
        <w:rPr>
          <w:rFonts w:cs="Arial"/>
          <w:szCs w:val="18"/>
        </w:rPr>
        <w:t xml:space="preserve"> areas</w:t>
      </w:r>
      <w:r w:rsidR="00247CE6" w:rsidRPr="00F0379F">
        <w:rPr>
          <w:rFonts w:cs="Arial"/>
          <w:szCs w:val="18"/>
        </w:rPr>
        <w:t>;</w:t>
      </w:r>
    </w:p>
    <w:p w14:paraId="41707750" w14:textId="12B542CC" w:rsidR="00247CE6" w:rsidRPr="00F0379F" w:rsidRDefault="00196447" w:rsidP="00247CE6">
      <w:pPr>
        <w:pStyle w:val="Paragrafoelenco"/>
        <w:numPr>
          <w:ilvl w:val="0"/>
          <w:numId w:val="24"/>
        </w:numPr>
        <w:tabs>
          <w:tab w:val="clear" w:pos="7100"/>
        </w:tabs>
        <w:rPr>
          <w:rFonts w:cs="Arial"/>
          <w:szCs w:val="18"/>
        </w:rPr>
      </w:pPr>
      <w:r w:rsidRPr="00F0379F">
        <w:rPr>
          <w:rFonts w:cs="Arial"/>
          <w:szCs w:val="18"/>
        </w:rPr>
        <w:t>a</w:t>
      </w:r>
      <w:r w:rsidR="00247CE6" w:rsidRPr="00F0379F">
        <w:rPr>
          <w:rFonts w:cs="Arial"/>
          <w:szCs w:val="18"/>
        </w:rPr>
        <w:t>nalysis, to</w:t>
      </w:r>
      <w:r w:rsidR="00780166" w:rsidRPr="00F0379F">
        <w:rPr>
          <w:rFonts w:cs="Arial"/>
          <w:szCs w:val="18"/>
        </w:rPr>
        <w:t xml:space="preserve"> d</w:t>
      </w:r>
      <w:r w:rsidR="00247CE6" w:rsidRPr="00F0379F">
        <w:rPr>
          <w:rFonts w:cs="Arial"/>
          <w:szCs w:val="18"/>
        </w:rPr>
        <w:t xml:space="preserve">raw energy </w:t>
      </w:r>
      <w:r w:rsidR="00780166" w:rsidRPr="00F0379F">
        <w:rPr>
          <w:rFonts w:cs="Arial"/>
          <w:szCs w:val="18"/>
        </w:rPr>
        <w:t xml:space="preserve">and material balances, determine breakdown of </w:t>
      </w:r>
      <w:r w:rsidR="00247CE6" w:rsidRPr="00F0379F">
        <w:rPr>
          <w:rFonts w:cs="Arial"/>
          <w:szCs w:val="18"/>
        </w:rPr>
        <w:t>consumption</w:t>
      </w:r>
      <w:r w:rsidR="00780166" w:rsidRPr="00F0379F">
        <w:rPr>
          <w:rFonts w:cs="Arial"/>
          <w:szCs w:val="18"/>
        </w:rPr>
        <w:t>s</w:t>
      </w:r>
      <w:r w:rsidR="00247CE6" w:rsidRPr="00F0379F">
        <w:rPr>
          <w:rFonts w:cs="Arial"/>
          <w:szCs w:val="18"/>
        </w:rPr>
        <w:t xml:space="preserve">, calculating </w:t>
      </w:r>
      <w:r w:rsidR="00780166" w:rsidRPr="00F0379F">
        <w:rPr>
          <w:rFonts w:cs="Arial"/>
          <w:szCs w:val="18"/>
        </w:rPr>
        <w:t>Key Performance I</w:t>
      </w:r>
      <w:r w:rsidR="00247CE6" w:rsidRPr="00F0379F">
        <w:rPr>
          <w:rFonts w:cs="Arial"/>
          <w:szCs w:val="18"/>
        </w:rPr>
        <w:t xml:space="preserve">ndicators and benchmarking with </w:t>
      </w:r>
      <w:r w:rsidR="00780166" w:rsidRPr="00F0379F">
        <w:rPr>
          <w:rFonts w:cs="Arial"/>
          <w:szCs w:val="18"/>
        </w:rPr>
        <w:t xml:space="preserve">international and local </w:t>
      </w:r>
      <w:r w:rsidR="00247CE6" w:rsidRPr="00F0379F">
        <w:rPr>
          <w:rFonts w:cs="Arial"/>
          <w:szCs w:val="18"/>
        </w:rPr>
        <w:t xml:space="preserve">reference values, elaborating detailed proposals for improvement of </w:t>
      </w:r>
      <w:r w:rsidR="000D5CEC" w:rsidRPr="00F0379F">
        <w:rPr>
          <w:rFonts w:cs="Arial"/>
          <w:szCs w:val="18"/>
        </w:rPr>
        <w:t>resource</w:t>
      </w:r>
      <w:r w:rsidR="00247CE6" w:rsidRPr="00F0379F">
        <w:rPr>
          <w:rFonts w:cs="Arial"/>
          <w:szCs w:val="18"/>
        </w:rPr>
        <w:t xml:space="preserve"> efficiency;</w:t>
      </w:r>
    </w:p>
    <w:p w14:paraId="129E1C3F" w14:textId="6EC3C850" w:rsidR="00247CE6" w:rsidRPr="00F0379F" w:rsidRDefault="00196447" w:rsidP="00247CE6">
      <w:pPr>
        <w:pStyle w:val="Paragrafoelenco"/>
        <w:numPr>
          <w:ilvl w:val="0"/>
          <w:numId w:val="24"/>
        </w:numPr>
        <w:tabs>
          <w:tab w:val="clear" w:pos="7100"/>
        </w:tabs>
        <w:rPr>
          <w:rFonts w:cs="Arial"/>
          <w:szCs w:val="18"/>
        </w:rPr>
      </w:pPr>
      <w:r w:rsidRPr="00F0379F">
        <w:rPr>
          <w:rFonts w:cs="Arial"/>
          <w:szCs w:val="18"/>
        </w:rPr>
        <w:t>r</w:t>
      </w:r>
      <w:r w:rsidR="00247CE6" w:rsidRPr="00F0379F">
        <w:rPr>
          <w:rFonts w:cs="Arial"/>
          <w:szCs w:val="18"/>
        </w:rPr>
        <w:t>eport</w:t>
      </w:r>
      <w:r w:rsidR="000D5CEC" w:rsidRPr="00F0379F">
        <w:rPr>
          <w:rFonts w:cs="Arial"/>
          <w:szCs w:val="18"/>
        </w:rPr>
        <w:t>ing</w:t>
      </w:r>
      <w:r w:rsidR="00247CE6" w:rsidRPr="00F0379F">
        <w:rPr>
          <w:rFonts w:cs="Arial"/>
          <w:szCs w:val="18"/>
        </w:rPr>
        <w:t>,</w:t>
      </w:r>
      <w:r w:rsidR="000D5CEC" w:rsidRPr="00F0379F">
        <w:rPr>
          <w:rFonts w:cs="Arial"/>
          <w:szCs w:val="18"/>
        </w:rPr>
        <w:t xml:space="preserve"> to produce a document summarizing the </w:t>
      </w:r>
      <w:r w:rsidR="00247CE6" w:rsidRPr="00F0379F">
        <w:rPr>
          <w:rFonts w:cs="Arial"/>
          <w:szCs w:val="18"/>
        </w:rPr>
        <w:t xml:space="preserve">background information </w:t>
      </w:r>
      <w:r w:rsidR="000D5CEC" w:rsidRPr="00F0379F">
        <w:rPr>
          <w:rFonts w:cs="Arial"/>
          <w:szCs w:val="18"/>
        </w:rPr>
        <w:t xml:space="preserve">on </w:t>
      </w:r>
      <w:r w:rsidR="00247CE6" w:rsidRPr="00F0379F">
        <w:rPr>
          <w:rFonts w:cs="Arial"/>
          <w:szCs w:val="18"/>
        </w:rPr>
        <w:t>the plant,</w:t>
      </w:r>
      <w:r w:rsidR="000D5CEC" w:rsidRPr="00F0379F">
        <w:rPr>
          <w:rFonts w:cs="Arial"/>
          <w:szCs w:val="18"/>
        </w:rPr>
        <w:t xml:space="preserve"> its consumptions and production</w:t>
      </w:r>
      <w:r w:rsidR="00247CE6" w:rsidRPr="00F0379F">
        <w:rPr>
          <w:rFonts w:cs="Arial"/>
          <w:szCs w:val="18"/>
        </w:rPr>
        <w:t xml:space="preserve">, </w:t>
      </w:r>
      <w:r w:rsidR="000D5CEC" w:rsidRPr="00F0379F">
        <w:rPr>
          <w:rFonts w:cs="Arial"/>
          <w:szCs w:val="18"/>
        </w:rPr>
        <w:t xml:space="preserve">energy/mass </w:t>
      </w:r>
      <w:r w:rsidR="00247CE6" w:rsidRPr="00F0379F">
        <w:rPr>
          <w:rFonts w:cs="Arial"/>
          <w:szCs w:val="18"/>
        </w:rPr>
        <w:t xml:space="preserve">balances and analysis and an action plan for improving </w:t>
      </w:r>
      <w:r w:rsidR="000D5CEC" w:rsidRPr="00F0379F">
        <w:rPr>
          <w:rFonts w:cs="Arial"/>
          <w:szCs w:val="18"/>
        </w:rPr>
        <w:t>resource</w:t>
      </w:r>
      <w:r w:rsidR="00247CE6" w:rsidRPr="00F0379F">
        <w:rPr>
          <w:rFonts w:cs="Arial"/>
          <w:szCs w:val="18"/>
        </w:rPr>
        <w:t xml:space="preserve"> efficiency, including </w:t>
      </w:r>
      <w:r w:rsidR="000D5CEC" w:rsidRPr="00F0379F">
        <w:rPr>
          <w:rFonts w:cs="Arial"/>
          <w:szCs w:val="18"/>
        </w:rPr>
        <w:t>technical and financial aspects</w:t>
      </w:r>
      <w:r w:rsidR="00D821E4" w:rsidRPr="00F0379F">
        <w:rPr>
          <w:rFonts w:cs="Arial"/>
          <w:szCs w:val="18"/>
        </w:rPr>
        <w:t xml:space="preserve"> and</w:t>
      </w:r>
      <w:r w:rsidR="00247CE6" w:rsidRPr="00F0379F">
        <w:rPr>
          <w:rFonts w:cs="Arial"/>
          <w:szCs w:val="18"/>
        </w:rPr>
        <w:t xml:space="preserve"> recommendations for monitoring;</w:t>
      </w:r>
    </w:p>
    <w:p w14:paraId="56AE4ABE" w14:textId="118D0B11" w:rsidR="00247CE6" w:rsidRPr="00F0379F" w:rsidRDefault="00196447" w:rsidP="00247CE6">
      <w:pPr>
        <w:pStyle w:val="Paragrafoelenco"/>
        <w:numPr>
          <w:ilvl w:val="0"/>
          <w:numId w:val="24"/>
        </w:numPr>
        <w:tabs>
          <w:tab w:val="clear" w:pos="7100"/>
        </w:tabs>
        <w:rPr>
          <w:rFonts w:cs="Arial"/>
          <w:szCs w:val="18"/>
        </w:rPr>
      </w:pPr>
      <w:r w:rsidRPr="00F0379F">
        <w:rPr>
          <w:rFonts w:cs="Arial"/>
          <w:szCs w:val="18"/>
        </w:rPr>
        <w:t>f</w:t>
      </w:r>
      <w:r w:rsidR="00247CE6" w:rsidRPr="00F0379F">
        <w:rPr>
          <w:rFonts w:cs="Arial"/>
          <w:szCs w:val="18"/>
        </w:rPr>
        <w:t xml:space="preserve">inal meeting, to </w:t>
      </w:r>
      <w:r w:rsidR="00946DD8" w:rsidRPr="00F0379F">
        <w:rPr>
          <w:rFonts w:cs="Arial"/>
          <w:szCs w:val="18"/>
        </w:rPr>
        <w:t>discuss the results of the audit with the organization</w:t>
      </w:r>
      <w:r w:rsidR="00247CE6" w:rsidRPr="00F0379F">
        <w:rPr>
          <w:rFonts w:cs="Arial"/>
          <w:szCs w:val="18"/>
        </w:rPr>
        <w:t>.</w:t>
      </w:r>
    </w:p>
    <w:p w14:paraId="49EBE06A" w14:textId="527AE361" w:rsidR="00092561" w:rsidRPr="00F0379F" w:rsidRDefault="00E25629" w:rsidP="00247CE6">
      <w:pPr>
        <w:rPr>
          <w:rFonts w:cs="Arial"/>
          <w:szCs w:val="18"/>
          <w:lang w:val="en-US"/>
        </w:rPr>
      </w:pPr>
      <w:r w:rsidRPr="00F0379F">
        <w:rPr>
          <w:rFonts w:cs="Arial"/>
          <w:szCs w:val="18"/>
          <w:lang w:val="en-US"/>
        </w:rPr>
        <w:t xml:space="preserve">In this resource efficiency audit procedure, three main </w:t>
      </w:r>
      <w:r w:rsidR="006F54F2" w:rsidRPr="00F0379F">
        <w:rPr>
          <w:rFonts w:cs="Arial"/>
          <w:szCs w:val="18"/>
          <w:lang w:val="en-US"/>
        </w:rPr>
        <w:t xml:space="preserve">activities can be considered as the most important ones, </w:t>
      </w:r>
      <w:proofErr w:type="gramStart"/>
      <w:r w:rsidR="006F54F2" w:rsidRPr="00F0379F">
        <w:rPr>
          <w:rFonts w:cs="Arial"/>
          <w:szCs w:val="18"/>
          <w:lang w:val="en-US"/>
        </w:rPr>
        <w:t>i.e.</w:t>
      </w:r>
      <w:proofErr w:type="gramEnd"/>
      <w:r w:rsidR="006F54F2" w:rsidRPr="00F0379F">
        <w:rPr>
          <w:rFonts w:cs="Arial"/>
          <w:szCs w:val="18"/>
          <w:lang w:val="en-US"/>
        </w:rPr>
        <w:t xml:space="preserve"> benchmarking, </w:t>
      </w:r>
      <w:r w:rsidR="00AC5D61" w:rsidRPr="00F0379F">
        <w:rPr>
          <w:rFonts w:cs="Arial"/>
          <w:szCs w:val="18"/>
          <w:lang w:val="en-US"/>
        </w:rPr>
        <w:t>gap analysis versus best practices, check of possible use of substances in MRSL</w:t>
      </w:r>
      <w:r w:rsidR="002D3FD7" w:rsidRPr="00F0379F">
        <w:rPr>
          <w:rFonts w:cs="Arial"/>
          <w:szCs w:val="18"/>
          <w:lang w:val="en-US"/>
        </w:rPr>
        <w:t>, briefly described in the following lines.</w:t>
      </w:r>
      <w:r w:rsidR="00041FB7">
        <w:rPr>
          <w:rFonts w:cs="Arial"/>
          <w:szCs w:val="18"/>
          <w:lang w:val="en-US"/>
        </w:rPr>
        <w:t xml:space="preserve"> </w:t>
      </w:r>
      <w:r w:rsidR="002D3FD7" w:rsidRPr="00F0379F">
        <w:rPr>
          <w:rFonts w:cs="Arial"/>
          <w:szCs w:val="18"/>
        </w:rPr>
        <w:t xml:space="preserve">Benchmarking </w:t>
      </w:r>
      <w:r w:rsidR="0033734D" w:rsidRPr="00F0379F">
        <w:rPr>
          <w:rFonts w:cs="Arial"/>
          <w:szCs w:val="18"/>
        </w:rPr>
        <w:t xml:space="preserve">is useful </w:t>
      </w:r>
      <w:r w:rsidR="00734F90" w:rsidRPr="00F0379F">
        <w:rPr>
          <w:rFonts w:cs="Arial"/>
          <w:szCs w:val="18"/>
        </w:rPr>
        <w:t>since</w:t>
      </w:r>
      <w:r w:rsidR="0033734D" w:rsidRPr="00F0379F">
        <w:rPr>
          <w:rFonts w:cs="Arial"/>
          <w:szCs w:val="18"/>
        </w:rPr>
        <w:t xml:space="preserve"> it allows calculating the </w:t>
      </w:r>
      <w:r w:rsidR="006552CE" w:rsidRPr="00F0379F">
        <w:rPr>
          <w:rFonts w:cs="Arial"/>
          <w:szCs w:val="18"/>
        </w:rPr>
        <w:t>specific consumption of resources and energy per unit of product, typically the unit of mass of fabric in the case of the textile industry</w:t>
      </w:r>
      <w:r w:rsidR="00734F90" w:rsidRPr="00F0379F">
        <w:rPr>
          <w:rFonts w:cs="Arial"/>
          <w:szCs w:val="18"/>
        </w:rPr>
        <w:t xml:space="preserve">, and comparing it over time for the same plant (“internal benchmarking”), or with reference values </w:t>
      </w:r>
      <w:r w:rsidR="00700D8F" w:rsidRPr="00F0379F">
        <w:rPr>
          <w:rFonts w:cs="Arial"/>
          <w:szCs w:val="18"/>
        </w:rPr>
        <w:t xml:space="preserve">(“external benchmarking”) </w:t>
      </w:r>
      <w:r w:rsidR="00734F90" w:rsidRPr="00F0379F">
        <w:rPr>
          <w:rFonts w:cs="Arial"/>
          <w:szCs w:val="18"/>
        </w:rPr>
        <w:t xml:space="preserve">in order to evaluate the resource efficiency performance of the plant versus </w:t>
      </w:r>
      <w:r w:rsidR="00700D8F" w:rsidRPr="00F0379F">
        <w:rPr>
          <w:rFonts w:cs="Arial"/>
          <w:szCs w:val="18"/>
        </w:rPr>
        <w:t xml:space="preserve">the </w:t>
      </w:r>
      <w:r w:rsidR="00734F90" w:rsidRPr="00F0379F">
        <w:rPr>
          <w:rFonts w:cs="Arial"/>
          <w:szCs w:val="18"/>
        </w:rPr>
        <w:t>best available technologies.</w:t>
      </w:r>
      <w:r w:rsidR="00700D8F" w:rsidRPr="00F0379F">
        <w:rPr>
          <w:rFonts w:cs="Arial"/>
          <w:szCs w:val="18"/>
        </w:rPr>
        <w:t xml:space="preserve"> In this context, the availability of detailed monitored data regarding consumptions and production of the plant are fundamental, whereas external reference values are generally taken from </w:t>
      </w:r>
      <w:r w:rsidR="0033734D" w:rsidRPr="00F0379F">
        <w:rPr>
          <w:rFonts w:cs="Arial"/>
          <w:szCs w:val="18"/>
        </w:rPr>
        <w:t xml:space="preserve">publications and reports issued by category associations </w:t>
      </w:r>
      <w:r w:rsidR="001B50F9" w:rsidRPr="00F0379F">
        <w:rPr>
          <w:rFonts w:cs="Arial"/>
          <w:szCs w:val="18"/>
        </w:rPr>
        <w:t xml:space="preserve">or international institutions, like the </w:t>
      </w:r>
      <w:r w:rsidR="0033734D" w:rsidRPr="00F0379F">
        <w:rPr>
          <w:rFonts w:cs="Arial"/>
          <w:szCs w:val="18"/>
        </w:rPr>
        <w:t>BREF</w:t>
      </w:r>
      <w:r w:rsidR="002D6924">
        <w:rPr>
          <w:rFonts w:cs="Arial"/>
          <w:szCs w:val="18"/>
        </w:rPr>
        <w:t xml:space="preserve"> </w:t>
      </w:r>
      <w:r w:rsidR="00170098" w:rsidRPr="007C27F4">
        <w:rPr>
          <w:rFonts w:cs="Arial"/>
          <w:szCs w:val="18"/>
        </w:rPr>
        <w:t>(</w:t>
      </w:r>
      <w:r w:rsidR="002D6924" w:rsidRPr="007C27F4">
        <w:rPr>
          <w:rFonts w:cs="Arial"/>
          <w:szCs w:val="18"/>
        </w:rPr>
        <w:t>EU Best Available Techniques Reference Documents)</w:t>
      </w:r>
      <w:r w:rsidR="00170098" w:rsidRPr="002D6924">
        <w:rPr>
          <w:rFonts w:cs="Arial"/>
          <w:szCs w:val="18"/>
        </w:rPr>
        <w:t xml:space="preserve"> </w:t>
      </w:r>
      <w:r w:rsidR="0033734D" w:rsidRPr="00F0379F">
        <w:rPr>
          <w:rFonts w:cs="Arial"/>
          <w:szCs w:val="18"/>
        </w:rPr>
        <w:t xml:space="preserve">documents </w:t>
      </w:r>
      <w:r w:rsidR="001B50F9" w:rsidRPr="00F0379F">
        <w:rPr>
          <w:rFonts w:cs="Arial"/>
          <w:szCs w:val="18"/>
        </w:rPr>
        <w:t xml:space="preserve">for the Textile Industry developed </w:t>
      </w:r>
      <w:r w:rsidR="0033734D" w:rsidRPr="00F0379F">
        <w:rPr>
          <w:rFonts w:cs="Arial"/>
          <w:szCs w:val="18"/>
        </w:rPr>
        <w:t>by the JRC of the European Commission</w:t>
      </w:r>
      <w:r w:rsidR="00DC59D1">
        <w:rPr>
          <w:rFonts w:cs="Arial"/>
          <w:szCs w:val="18"/>
        </w:rPr>
        <w:t xml:space="preserve"> (European Commission, 2003)</w:t>
      </w:r>
      <w:r w:rsidR="0033734D" w:rsidRPr="00F0379F">
        <w:rPr>
          <w:rFonts w:cs="Arial"/>
          <w:szCs w:val="18"/>
        </w:rPr>
        <w:t>.</w:t>
      </w:r>
      <w:r w:rsidR="00041FB7">
        <w:rPr>
          <w:rFonts w:cs="Arial"/>
          <w:szCs w:val="18"/>
        </w:rPr>
        <w:t xml:space="preserve"> </w:t>
      </w:r>
      <w:r w:rsidR="004052D9" w:rsidRPr="00F0379F">
        <w:rPr>
          <w:rFonts w:cs="Arial"/>
          <w:szCs w:val="18"/>
          <w:lang w:val="en-US"/>
        </w:rPr>
        <w:t xml:space="preserve">The gap analysis versus the applicable best practices is carried out based on the outcomes of the </w:t>
      </w:r>
      <w:r w:rsidR="00822338" w:rsidRPr="00F0379F">
        <w:rPr>
          <w:rFonts w:cs="Arial"/>
          <w:szCs w:val="18"/>
          <w:lang w:val="en-US"/>
        </w:rPr>
        <w:t xml:space="preserve">data collection and the site visit, considering the presence of systems and/or the adoption of management practices aligned with best international standards. From the technological point of view, the most relevant </w:t>
      </w:r>
      <w:r w:rsidR="00BD593B" w:rsidRPr="00F0379F">
        <w:rPr>
          <w:rFonts w:cs="Arial"/>
          <w:szCs w:val="18"/>
          <w:lang w:val="en-US"/>
        </w:rPr>
        <w:t>list of best practices is constituted by the already mentioned BREF for Textile Industry</w:t>
      </w:r>
      <w:r w:rsidR="00F95930">
        <w:rPr>
          <w:rFonts w:cs="Arial"/>
          <w:szCs w:val="18"/>
          <w:lang w:val="en-US"/>
        </w:rPr>
        <w:t xml:space="preserve"> (European Commission, 2003)</w:t>
      </w:r>
      <w:r w:rsidR="00BD593B" w:rsidRPr="00F0379F">
        <w:rPr>
          <w:rFonts w:cs="Arial"/>
          <w:szCs w:val="18"/>
          <w:lang w:val="en-US"/>
        </w:rPr>
        <w:t xml:space="preserve"> and for Energy Efficiency</w:t>
      </w:r>
      <w:r w:rsidR="00DC59D1">
        <w:rPr>
          <w:rFonts w:cs="Arial"/>
          <w:szCs w:val="18"/>
          <w:lang w:val="en-US"/>
        </w:rPr>
        <w:t xml:space="preserve"> (European Commission, 2009)</w:t>
      </w:r>
      <w:r w:rsidR="00BD593B" w:rsidRPr="00F0379F">
        <w:rPr>
          <w:rFonts w:cs="Arial"/>
          <w:szCs w:val="18"/>
          <w:lang w:val="en-US"/>
        </w:rPr>
        <w:t>; in addition, the most interesting opportunities for improvement of resource efficiency that are screened are those identified in the NRDC Clean by Design project and in the experience developed in carrying out resource efficiency audits for textile mills.</w:t>
      </w:r>
      <w:r w:rsidR="00685EFA">
        <w:rPr>
          <w:rFonts w:cs="Arial"/>
          <w:szCs w:val="18"/>
          <w:lang w:val="en-US"/>
        </w:rPr>
        <w:t xml:space="preserve"> </w:t>
      </w:r>
      <w:r w:rsidR="00092561" w:rsidRPr="00A50F9B">
        <w:rPr>
          <w:rFonts w:cs="Arial"/>
          <w:szCs w:val="18"/>
          <w:lang w:val="en-US"/>
        </w:rPr>
        <w:t xml:space="preserve">According to the approach </w:t>
      </w:r>
      <w:r w:rsidR="00092561" w:rsidRPr="00A50F9B">
        <w:rPr>
          <w:rFonts w:cs="Arial"/>
          <w:szCs w:val="18"/>
        </w:rPr>
        <w:t xml:space="preserve">defined by NRDC Clean by Design project </w:t>
      </w:r>
      <w:r w:rsidR="00A50F9B" w:rsidRPr="00A50F9B">
        <w:rPr>
          <w:rFonts w:cs="Arial"/>
          <w:szCs w:val="18"/>
        </w:rPr>
        <w:t>(Greer et al., 2013</w:t>
      </w:r>
      <w:r w:rsidR="00092561" w:rsidRPr="00A50F9B">
        <w:rPr>
          <w:rFonts w:cs="Arial"/>
          <w:szCs w:val="18"/>
        </w:rPr>
        <w:t>), ten best practices are here</w:t>
      </w:r>
      <w:r w:rsidR="00A50F9B" w:rsidRPr="00A50F9B">
        <w:rPr>
          <w:rFonts w:cs="Arial"/>
          <w:szCs w:val="18"/>
        </w:rPr>
        <w:t>by</w:t>
      </w:r>
      <w:r w:rsidR="00092561" w:rsidRPr="00A50F9B">
        <w:rPr>
          <w:rFonts w:cs="Arial"/>
          <w:szCs w:val="18"/>
        </w:rPr>
        <w:t xml:space="preserve"> outlined:</w:t>
      </w:r>
    </w:p>
    <w:p w14:paraId="69D45603" w14:textId="77777777" w:rsidR="00247CE6" w:rsidRPr="00F0379F" w:rsidRDefault="00247CE6" w:rsidP="00247CE6">
      <w:pPr>
        <w:pStyle w:val="Paragrafoelenco"/>
        <w:numPr>
          <w:ilvl w:val="0"/>
          <w:numId w:val="24"/>
        </w:numPr>
        <w:tabs>
          <w:tab w:val="clear" w:pos="7100"/>
        </w:tabs>
        <w:rPr>
          <w:rFonts w:cs="Arial"/>
          <w:szCs w:val="18"/>
        </w:rPr>
      </w:pPr>
      <w:r w:rsidRPr="00F0379F">
        <w:rPr>
          <w:rFonts w:cs="Arial"/>
          <w:szCs w:val="18"/>
        </w:rPr>
        <w:t>Install Meters to Measure Savings, and Read Them;</w:t>
      </w:r>
    </w:p>
    <w:p w14:paraId="11F4945F" w14:textId="77777777" w:rsidR="00247CE6" w:rsidRPr="00F0379F" w:rsidRDefault="00247CE6" w:rsidP="00247CE6">
      <w:pPr>
        <w:pStyle w:val="Paragrafoelenco"/>
        <w:numPr>
          <w:ilvl w:val="0"/>
          <w:numId w:val="24"/>
        </w:numPr>
        <w:tabs>
          <w:tab w:val="clear" w:pos="7100"/>
        </w:tabs>
        <w:rPr>
          <w:rFonts w:cs="Arial"/>
          <w:szCs w:val="18"/>
        </w:rPr>
      </w:pPr>
      <w:r w:rsidRPr="00F0379F">
        <w:rPr>
          <w:rFonts w:cs="Arial"/>
          <w:szCs w:val="18"/>
        </w:rPr>
        <w:t xml:space="preserve">Water Leak Detection, Preventive Maintenance, Improved Cleaning; </w:t>
      </w:r>
    </w:p>
    <w:p w14:paraId="6EECCDD6" w14:textId="77777777" w:rsidR="00247CE6" w:rsidRPr="00F0379F" w:rsidRDefault="00247CE6" w:rsidP="00247CE6">
      <w:pPr>
        <w:pStyle w:val="Paragrafoelenco"/>
        <w:numPr>
          <w:ilvl w:val="0"/>
          <w:numId w:val="24"/>
        </w:numPr>
        <w:tabs>
          <w:tab w:val="clear" w:pos="7100"/>
        </w:tabs>
        <w:rPr>
          <w:rFonts w:cs="Arial"/>
          <w:szCs w:val="18"/>
        </w:rPr>
      </w:pPr>
      <w:r w:rsidRPr="00F0379F">
        <w:rPr>
          <w:rFonts w:cs="Arial"/>
          <w:szCs w:val="18"/>
        </w:rPr>
        <w:lastRenderedPageBreak/>
        <w:t>Reuse Cooling Water;</w:t>
      </w:r>
    </w:p>
    <w:p w14:paraId="0DA175F8" w14:textId="77777777" w:rsidR="00247CE6" w:rsidRPr="00F0379F" w:rsidRDefault="00247CE6" w:rsidP="00247CE6">
      <w:pPr>
        <w:pStyle w:val="Paragrafoelenco"/>
        <w:numPr>
          <w:ilvl w:val="0"/>
          <w:numId w:val="24"/>
        </w:numPr>
        <w:tabs>
          <w:tab w:val="clear" w:pos="7100"/>
        </w:tabs>
        <w:rPr>
          <w:rFonts w:cs="Arial"/>
          <w:szCs w:val="18"/>
        </w:rPr>
      </w:pPr>
      <w:r w:rsidRPr="00F0379F">
        <w:rPr>
          <w:rFonts w:cs="Arial"/>
          <w:szCs w:val="18"/>
        </w:rPr>
        <w:t>Reuse Condensate;</w:t>
      </w:r>
    </w:p>
    <w:p w14:paraId="06375BE0" w14:textId="77777777" w:rsidR="00247CE6" w:rsidRPr="00F0379F" w:rsidRDefault="00247CE6" w:rsidP="00247CE6">
      <w:pPr>
        <w:pStyle w:val="Paragrafoelenco"/>
        <w:numPr>
          <w:ilvl w:val="0"/>
          <w:numId w:val="24"/>
        </w:numPr>
        <w:tabs>
          <w:tab w:val="clear" w:pos="7100"/>
        </w:tabs>
        <w:rPr>
          <w:rFonts w:cs="Arial"/>
          <w:szCs w:val="18"/>
        </w:rPr>
      </w:pPr>
      <w:r w:rsidRPr="00F0379F">
        <w:rPr>
          <w:rFonts w:cs="Arial"/>
          <w:szCs w:val="18"/>
        </w:rPr>
        <w:t>Reuse Process Water;</w:t>
      </w:r>
    </w:p>
    <w:p w14:paraId="14CC5D5F" w14:textId="77777777" w:rsidR="00247CE6" w:rsidRPr="00F0379F" w:rsidRDefault="00247CE6" w:rsidP="00247CE6">
      <w:pPr>
        <w:pStyle w:val="Paragrafoelenco"/>
        <w:numPr>
          <w:ilvl w:val="0"/>
          <w:numId w:val="24"/>
        </w:numPr>
        <w:tabs>
          <w:tab w:val="clear" w:pos="7100"/>
        </w:tabs>
        <w:rPr>
          <w:rFonts w:cs="Arial"/>
          <w:szCs w:val="18"/>
        </w:rPr>
      </w:pPr>
      <w:r w:rsidRPr="00F0379F">
        <w:rPr>
          <w:rFonts w:cs="Arial"/>
          <w:szCs w:val="18"/>
        </w:rPr>
        <w:t>Recover Heat from Hot Water;</w:t>
      </w:r>
    </w:p>
    <w:p w14:paraId="7F26B370" w14:textId="4C88BE28" w:rsidR="00247CE6" w:rsidRPr="00F0379F" w:rsidRDefault="00247CE6" w:rsidP="00247CE6">
      <w:pPr>
        <w:pStyle w:val="Paragrafoelenco"/>
        <w:numPr>
          <w:ilvl w:val="0"/>
          <w:numId w:val="24"/>
        </w:numPr>
        <w:tabs>
          <w:tab w:val="clear" w:pos="7100"/>
        </w:tabs>
        <w:rPr>
          <w:rFonts w:cs="Arial"/>
          <w:szCs w:val="18"/>
        </w:rPr>
      </w:pPr>
      <w:r w:rsidRPr="00F0379F">
        <w:rPr>
          <w:rFonts w:cs="Arial"/>
          <w:szCs w:val="18"/>
        </w:rPr>
        <w:t>Improve Boiler Efficiency;</w:t>
      </w:r>
    </w:p>
    <w:p w14:paraId="0ABEDD28" w14:textId="1FBA9CC1" w:rsidR="00247CE6" w:rsidRPr="00F0379F" w:rsidRDefault="00247CE6" w:rsidP="00247CE6">
      <w:pPr>
        <w:pStyle w:val="Paragrafoelenco"/>
        <w:numPr>
          <w:ilvl w:val="0"/>
          <w:numId w:val="24"/>
        </w:numPr>
        <w:tabs>
          <w:tab w:val="clear" w:pos="7100"/>
        </w:tabs>
        <w:rPr>
          <w:rFonts w:cs="Arial"/>
          <w:szCs w:val="18"/>
        </w:rPr>
      </w:pPr>
      <w:r w:rsidRPr="00F0379F">
        <w:rPr>
          <w:rFonts w:cs="Arial"/>
          <w:szCs w:val="18"/>
        </w:rPr>
        <w:t xml:space="preserve">Maintain Steam Traps and </w:t>
      </w:r>
      <w:r w:rsidR="00C82BB5" w:rsidRPr="00F0379F">
        <w:rPr>
          <w:rFonts w:cs="Arial"/>
          <w:szCs w:val="18"/>
        </w:rPr>
        <w:t xml:space="preserve">Steam </w:t>
      </w:r>
      <w:r w:rsidRPr="00F0379F">
        <w:rPr>
          <w:rFonts w:cs="Arial"/>
          <w:szCs w:val="18"/>
        </w:rPr>
        <w:t>System;</w:t>
      </w:r>
    </w:p>
    <w:p w14:paraId="5736F89C" w14:textId="0AFD7DC6" w:rsidR="00247CE6" w:rsidRPr="00F0379F" w:rsidRDefault="00247CE6" w:rsidP="00247CE6">
      <w:pPr>
        <w:pStyle w:val="Paragrafoelenco"/>
        <w:numPr>
          <w:ilvl w:val="0"/>
          <w:numId w:val="24"/>
        </w:numPr>
        <w:tabs>
          <w:tab w:val="clear" w:pos="7100"/>
        </w:tabs>
        <w:rPr>
          <w:rFonts w:cs="Arial"/>
          <w:szCs w:val="18"/>
        </w:rPr>
      </w:pPr>
      <w:r w:rsidRPr="00F0379F">
        <w:rPr>
          <w:rFonts w:cs="Arial"/>
          <w:szCs w:val="18"/>
        </w:rPr>
        <w:t>Insulate Equipment and Tanks;</w:t>
      </w:r>
    </w:p>
    <w:p w14:paraId="72EC5189" w14:textId="77777777" w:rsidR="00247CE6" w:rsidRPr="00F0379F" w:rsidRDefault="00247CE6" w:rsidP="00247CE6">
      <w:pPr>
        <w:pStyle w:val="Paragrafoelenco"/>
        <w:numPr>
          <w:ilvl w:val="0"/>
          <w:numId w:val="24"/>
        </w:numPr>
        <w:tabs>
          <w:tab w:val="clear" w:pos="7100"/>
        </w:tabs>
        <w:rPr>
          <w:rFonts w:cs="Arial"/>
          <w:szCs w:val="18"/>
        </w:rPr>
      </w:pPr>
      <w:r w:rsidRPr="00F0379F">
        <w:rPr>
          <w:rFonts w:cs="Arial"/>
          <w:szCs w:val="18"/>
        </w:rPr>
        <w:t>Recover Heat from Hot Air;</w:t>
      </w:r>
    </w:p>
    <w:p w14:paraId="6F00DEF1" w14:textId="77777777" w:rsidR="00247CE6" w:rsidRPr="00F0379F" w:rsidRDefault="00247CE6" w:rsidP="00247CE6">
      <w:pPr>
        <w:pStyle w:val="Paragrafoelenco"/>
        <w:numPr>
          <w:ilvl w:val="0"/>
          <w:numId w:val="24"/>
        </w:numPr>
        <w:tabs>
          <w:tab w:val="clear" w:pos="7100"/>
        </w:tabs>
        <w:rPr>
          <w:rFonts w:cs="Arial"/>
          <w:szCs w:val="18"/>
        </w:rPr>
      </w:pPr>
      <w:r w:rsidRPr="00F0379F">
        <w:rPr>
          <w:rFonts w:cs="Arial"/>
          <w:szCs w:val="18"/>
        </w:rPr>
        <w:t xml:space="preserve">Optimize Compressed-Air System. </w:t>
      </w:r>
    </w:p>
    <w:p w14:paraId="1BF084D2" w14:textId="60817209" w:rsidR="00EF7FD1" w:rsidRDefault="00EF7FD1" w:rsidP="0050313B">
      <w:pPr>
        <w:rPr>
          <w:rFonts w:cs="Arial"/>
          <w:szCs w:val="18"/>
        </w:rPr>
      </w:pPr>
      <w:bookmarkStart w:id="0" w:name="_Toc405301287"/>
      <w:bookmarkStart w:id="1" w:name="_Toc405301288"/>
      <w:bookmarkStart w:id="2" w:name="_Toc405301289"/>
      <w:bookmarkStart w:id="3" w:name="_Toc405301290"/>
      <w:bookmarkStart w:id="4" w:name="_Toc405301291"/>
      <w:bookmarkStart w:id="5" w:name="_Toc405301292"/>
      <w:bookmarkStart w:id="6" w:name="_Toc405301293"/>
      <w:bookmarkStart w:id="7" w:name="_Toc405301294"/>
      <w:bookmarkStart w:id="8" w:name="_Toc405301295"/>
      <w:bookmarkStart w:id="9" w:name="_Toc405301296"/>
      <w:bookmarkEnd w:id="0"/>
      <w:bookmarkEnd w:id="1"/>
      <w:bookmarkEnd w:id="2"/>
      <w:bookmarkEnd w:id="3"/>
      <w:bookmarkEnd w:id="4"/>
      <w:bookmarkEnd w:id="5"/>
      <w:bookmarkEnd w:id="6"/>
      <w:bookmarkEnd w:id="7"/>
      <w:bookmarkEnd w:id="8"/>
      <w:bookmarkEnd w:id="9"/>
      <w:r>
        <w:rPr>
          <w:rFonts w:cs="Arial"/>
          <w:szCs w:val="18"/>
        </w:rPr>
        <w:t xml:space="preserve">With specific reference to the best practice </w:t>
      </w:r>
      <w:r w:rsidR="008D4AE1">
        <w:rPr>
          <w:rFonts w:cs="Arial"/>
          <w:szCs w:val="18"/>
        </w:rPr>
        <w:t>on insulation of equipment and tanks</w:t>
      </w:r>
      <w:r>
        <w:rPr>
          <w:rFonts w:cs="Arial"/>
          <w:szCs w:val="18"/>
        </w:rPr>
        <w:t xml:space="preserve">, </w:t>
      </w:r>
      <w:r w:rsidR="00DB17A2">
        <w:rPr>
          <w:rFonts w:cs="Arial"/>
          <w:szCs w:val="18"/>
        </w:rPr>
        <w:fldChar w:fldCharType="begin"/>
      </w:r>
      <w:r w:rsidR="00DB17A2">
        <w:rPr>
          <w:rFonts w:cs="Arial"/>
          <w:szCs w:val="18"/>
        </w:rPr>
        <w:instrText xml:space="preserve"> REF _Ref93655007 \h </w:instrText>
      </w:r>
      <w:r w:rsidR="00DB17A2">
        <w:rPr>
          <w:rFonts w:cs="Arial"/>
          <w:szCs w:val="18"/>
        </w:rPr>
      </w:r>
      <w:r w:rsidR="00DB17A2">
        <w:rPr>
          <w:rFonts w:cs="Arial"/>
          <w:szCs w:val="18"/>
        </w:rPr>
        <w:fldChar w:fldCharType="separate"/>
      </w:r>
      <w:r w:rsidR="00DB17A2" w:rsidRPr="00F0379F">
        <w:rPr>
          <w:rFonts w:cs="Arial"/>
        </w:rPr>
        <w:t xml:space="preserve">Figure </w:t>
      </w:r>
      <w:r w:rsidR="00DB17A2">
        <w:rPr>
          <w:rFonts w:cs="Arial"/>
          <w:noProof/>
        </w:rPr>
        <w:t>2</w:t>
      </w:r>
      <w:r w:rsidR="00DB17A2">
        <w:rPr>
          <w:rFonts w:cs="Arial"/>
          <w:szCs w:val="18"/>
        </w:rPr>
        <w:fldChar w:fldCharType="end"/>
      </w:r>
      <w:r w:rsidR="00DB17A2">
        <w:rPr>
          <w:rFonts w:cs="Arial"/>
          <w:szCs w:val="18"/>
        </w:rPr>
        <w:t xml:space="preserve"> </w:t>
      </w:r>
      <w:r w:rsidR="00F95930">
        <w:rPr>
          <w:rFonts w:cs="Arial"/>
          <w:szCs w:val="18"/>
        </w:rPr>
        <w:t>provides</w:t>
      </w:r>
      <w:r w:rsidR="00DB17A2">
        <w:rPr>
          <w:rFonts w:cs="Arial"/>
          <w:szCs w:val="18"/>
        </w:rPr>
        <w:t xml:space="preserve"> </w:t>
      </w:r>
      <w:r>
        <w:rPr>
          <w:rFonts w:cs="Arial"/>
          <w:szCs w:val="18"/>
        </w:rPr>
        <w:t xml:space="preserve">an example of </w:t>
      </w:r>
      <w:r w:rsidR="00F95930">
        <w:rPr>
          <w:rFonts w:cs="Arial"/>
          <w:szCs w:val="18"/>
        </w:rPr>
        <w:t>on</w:t>
      </w:r>
      <w:r w:rsidR="00B005A2">
        <w:rPr>
          <w:rFonts w:cs="Arial"/>
          <w:szCs w:val="18"/>
        </w:rPr>
        <w:t>-</w:t>
      </w:r>
      <w:r w:rsidR="00F95930">
        <w:rPr>
          <w:rFonts w:cs="Arial"/>
          <w:szCs w:val="18"/>
        </w:rPr>
        <w:t>site assessment by</w:t>
      </w:r>
      <w:r>
        <w:rPr>
          <w:rFonts w:cs="Arial"/>
          <w:szCs w:val="18"/>
        </w:rPr>
        <w:t xml:space="preserve"> infrared camera</w:t>
      </w:r>
      <w:r w:rsidR="008D4AE1">
        <w:rPr>
          <w:rFonts w:cs="Arial"/>
          <w:szCs w:val="18"/>
        </w:rPr>
        <w:t xml:space="preserve"> to identify potential areas where insulation needs to be improved</w:t>
      </w:r>
      <w:r w:rsidR="00DB17A2">
        <w:rPr>
          <w:rFonts w:cs="Arial"/>
          <w:szCs w:val="18"/>
        </w:rPr>
        <w:t>.</w:t>
      </w:r>
    </w:p>
    <w:p w14:paraId="07C65E27" w14:textId="77777777" w:rsidR="00EF7FD1" w:rsidRDefault="00EF7FD1" w:rsidP="0050313B">
      <w:pPr>
        <w:rPr>
          <w:rFonts w:cs="Arial"/>
          <w:szCs w:val="18"/>
        </w:rPr>
      </w:pPr>
    </w:p>
    <w:p w14:paraId="15376979" w14:textId="4F0D747B" w:rsidR="00A50F9B" w:rsidRDefault="00A50F9B" w:rsidP="005E5366">
      <w:pPr>
        <w:jc w:val="left"/>
        <w:rPr>
          <w:rFonts w:cs="Arial"/>
          <w:szCs w:val="18"/>
        </w:rPr>
      </w:pPr>
      <w:r>
        <w:rPr>
          <w:noProof/>
        </w:rPr>
        <w:drawing>
          <wp:inline distT="0" distB="0" distL="0" distR="0" wp14:anchorId="09D60813" wp14:editId="6384696B">
            <wp:extent cx="4622034" cy="1800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22034" cy="1800000"/>
                    </a:xfrm>
                    <a:prstGeom prst="rect">
                      <a:avLst/>
                    </a:prstGeom>
                  </pic:spPr>
                </pic:pic>
              </a:graphicData>
            </a:graphic>
          </wp:inline>
        </w:drawing>
      </w:r>
    </w:p>
    <w:p w14:paraId="3E17BCD6" w14:textId="450D3ACD" w:rsidR="00A50F9B" w:rsidRPr="006627CF" w:rsidRDefault="006627CF" w:rsidP="006627CF">
      <w:pPr>
        <w:pStyle w:val="CETCaption"/>
      </w:pPr>
      <w:r w:rsidRPr="00BD077D">
        <w:rPr>
          <w:rStyle w:val="CETCaptionCarattere"/>
          <w:i/>
        </w:rPr>
        <w:t xml:space="preserve">Figure </w:t>
      </w:r>
      <w:r w:rsidR="00B7324C">
        <w:rPr>
          <w:rStyle w:val="CETCaptionCarattere"/>
          <w:i/>
        </w:rPr>
        <w:t>2</w:t>
      </w:r>
      <w:r w:rsidRPr="00BD077D">
        <w:rPr>
          <w:rStyle w:val="CETCaptionCarattere"/>
          <w:i/>
        </w:rPr>
        <w:t xml:space="preserve">: </w:t>
      </w:r>
      <w:r>
        <w:rPr>
          <w:rStyle w:val="CETCaptionCarattere"/>
          <w:i/>
        </w:rPr>
        <w:t>Infrared assessment of thermal insulation level</w:t>
      </w:r>
      <w:r w:rsidR="00192C8B">
        <w:rPr>
          <w:rStyle w:val="CETCaptionCarattere"/>
          <w:i/>
        </w:rPr>
        <w:t>.</w:t>
      </w:r>
      <w:r w:rsidRPr="00BD077D">
        <w:t xml:space="preserve"> </w:t>
      </w:r>
    </w:p>
    <w:p w14:paraId="6CC0D62F" w14:textId="49E3AAAE" w:rsidR="0050313B" w:rsidRPr="00F0379F" w:rsidRDefault="00E16E25" w:rsidP="0050313B">
      <w:pPr>
        <w:rPr>
          <w:rFonts w:cs="Arial"/>
          <w:szCs w:val="18"/>
        </w:rPr>
      </w:pPr>
      <w:r w:rsidRPr="00F0379F">
        <w:rPr>
          <w:rFonts w:cs="Arial"/>
          <w:szCs w:val="18"/>
        </w:rPr>
        <w:t xml:space="preserve">Although </w:t>
      </w:r>
      <w:r w:rsidR="00092561">
        <w:rPr>
          <w:rFonts w:cs="Arial"/>
          <w:szCs w:val="18"/>
        </w:rPr>
        <w:t>originally conceived</w:t>
      </w:r>
      <w:r w:rsidRPr="00F0379F">
        <w:rPr>
          <w:rFonts w:cs="Arial"/>
          <w:szCs w:val="18"/>
        </w:rPr>
        <w:t xml:space="preserve"> for China, all of the above-mentioned good practices resulted to be applicable also </w:t>
      </w:r>
      <w:r w:rsidR="00092561">
        <w:rPr>
          <w:rFonts w:cs="Arial"/>
          <w:szCs w:val="18"/>
        </w:rPr>
        <w:t>with</w:t>
      </w:r>
      <w:r w:rsidRPr="00F0379F">
        <w:rPr>
          <w:rFonts w:cs="Arial"/>
          <w:szCs w:val="18"/>
        </w:rPr>
        <w:t>in the European context; based on the extensive REEA activity carried out</w:t>
      </w:r>
      <w:r w:rsidR="0050313B" w:rsidRPr="00F0379F">
        <w:rPr>
          <w:rFonts w:cs="Arial"/>
          <w:szCs w:val="18"/>
        </w:rPr>
        <w:t xml:space="preserve">, an additional list of five </w:t>
      </w:r>
      <w:r w:rsidR="00247CE6" w:rsidRPr="00F0379F">
        <w:rPr>
          <w:rFonts w:cs="Arial"/>
          <w:szCs w:val="18"/>
        </w:rPr>
        <w:t>Best Practices</w:t>
      </w:r>
      <w:r w:rsidR="0050313B" w:rsidRPr="00F0379F">
        <w:rPr>
          <w:rFonts w:cs="Arial"/>
          <w:szCs w:val="18"/>
        </w:rPr>
        <w:t xml:space="preserve"> was developed, which include:</w:t>
      </w:r>
    </w:p>
    <w:p w14:paraId="7A74BA9C" w14:textId="1BC985D5" w:rsidR="00247CE6" w:rsidRPr="00F0379F" w:rsidRDefault="00247CE6" w:rsidP="0050313B">
      <w:pPr>
        <w:pStyle w:val="Paragrafoelenco"/>
        <w:numPr>
          <w:ilvl w:val="0"/>
          <w:numId w:val="24"/>
        </w:numPr>
        <w:tabs>
          <w:tab w:val="clear" w:pos="7100"/>
        </w:tabs>
        <w:rPr>
          <w:rFonts w:cs="Arial"/>
          <w:szCs w:val="18"/>
        </w:rPr>
      </w:pPr>
      <w:r w:rsidRPr="00F0379F">
        <w:rPr>
          <w:rFonts w:cs="Arial"/>
          <w:szCs w:val="18"/>
        </w:rPr>
        <w:t>Enhancing Wastewater Pre-Treatment;</w:t>
      </w:r>
      <w:bookmarkStart w:id="10" w:name="_Toc405301298"/>
      <w:bookmarkEnd w:id="10"/>
    </w:p>
    <w:p w14:paraId="6B27E097" w14:textId="1D1FF4CD" w:rsidR="00247CE6" w:rsidRPr="00F0379F" w:rsidRDefault="00247CE6" w:rsidP="00247CE6">
      <w:pPr>
        <w:pStyle w:val="Paragrafoelenco"/>
        <w:numPr>
          <w:ilvl w:val="0"/>
          <w:numId w:val="24"/>
        </w:numPr>
        <w:tabs>
          <w:tab w:val="clear" w:pos="7100"/>
        </w:tabs>
        <w:rPr>
          <w:rFonts w:cs="Arial"/>
          <w:szCs w:val="18"/>
        </w:rPr>
      </w:pPr>
      <w:r w:rsidRPr="00F0379F">
        <w:rPr>
          <w:rFonts w:cs="Arial"/>
          <w:szCs w:val="18"/>
        </w:rPr>
        <w:t>Reducing the Use of Steam for Producing Low Temperature Heat;</w:t>
      </w:r>
      <w:bookmarkStart w:id="11" w:name="_Toc405301299"/>
      <w:bookmarkEnd w:id="11"/>
    </w:p>
    <w:p w14:paraId="73DFECAD" w14:textId="6DFF2DB1" w:rsidR="00247CE6" w:rsidRPr="00F0379F" w:rsidRDefault="00247CE6" w:rsidP="00247CE6">
      <w:pPr>
        <w:pStyle w:val="Paragrafoelenco"/>
        <w:numPr>
          <w:ilvl w:val="0"/>
          <w:numId w:val="24"/>
        </w:numPr>
        <w:tabs>
          <w:tab w:val="clear" w:pos="7100"/>
        </w:tabs>
        <w:rPr>
          <w:rFonts w:cs="Arial"/>
          <w:szCs w:val="18"/>
        </w:rPr>
      </w:pPr>
      <w:r w:rsidRPr="00F0379F">
        <w:rPr>
          <w:rFonts w:cs="Arial"/>
          <w:szCs w:val="18"/>
        </w:rPr>
        <w:t>Exploiting High Efficiency Heat Recovery and Stratification Technologies in Heat Storage Tanks;</w:t>
      </w:r>
      <w:bookmarkStart w:id="12" w:name="_Toc405301300"/>
      <w:bookmarkEnd w:id="12"/>
    </w:p>
    <w:p w14:paraId="7087915F" w14:textId="5861AD7E" w:rsidR="00247CE6" w:rsidRPr="00F0379F" w:rsidRDefault="00247CE6" w:rsidP="00247CE6">
      <w:pPr>
        <w:pStyle w:val="Paragrafoelenco"/>
        <w:numPr>
          <w:ilvl w:val="0"/>
          <w:numId w:val="24"/>
        </w:numPr>
        <w:tabs>
          <w:tab w:val="clear" w:pos="7100"/>
        </w:tabs>
        <w:rPr>
          <w:rFonts w:cs="Arial"/>
          <w:szCs w:val="18"/>
        </w:rPr>
      </w:pPr>
      <w:r w:rsidRPr="00F0379F">
        <w:rPr>
          <w:rFonts w:cs="Arial"/>
          <w:szCs w:val="18"/>
        </w:rPr>
        <w:t xml:space="preserve">Optimizing Air Conditioning </w:t>
      </w:r>
      <w:r w:rsidR="0050313B" w:rsidRPr="00F0379F">
        <w:rPr>
          <w:rFonts w:cs="Arial"/>
          <w:szCs w:val="18"/>
        </w:rPr>
        <w:t>S</w:t>
      </w:r>
      <w:r w:rsidRPr="00F0379F">
        <w:rPr>
          <w:rFonts w:cs="Arial"/>
          <w:szCs w:val="18"/>
        </w:rPr>
        <w:t>ystems;</w:t>
      </w:r>
      <w:bookmarkStart w:id="13" w:name="_Toc405301301"/>
      <w:bookmarkEnd w:id="13"/>
    </w:p>
    <w:p w14:paraId="1BE0D257" w14:textId="2A5DB056" w:rsidR="00247CE6" w:rsidRPr="00F0379F" w:rsidRDefault="00247CE6" w:rsidP="00247CE6">
      <w:pPr>
        <w:pStyle w:val="Paragrafoelenco"/>
        <w:numPr>
          <w:ilvl w:val="0"/>
          <w:numId w:val="24"/>
        </w:numPr>
        <w:tabs>
          <w:tab w:val="clear" w:pos="7100"/>
        </w:tabs>
        <w:rPr>
          <w:rFonts w:cs="Arial"/>
          <w:szCs w:val="18"/>
        </w:rPr>
      </w:pPr>
      <w:r w:rsidRPr="00F0379F">
        <w:rPr>
          <w:rFonts w:cs="Arial"/>
          <w:szCs w:val="18"/>
        </w:rPr>
        <w:t>Diffusing Variable Speed Drives on Electric Motors.</w:t>
      </w:r>
      <w:bookmarkStart w:id="14" w:name="_Toc405301302"/>
      <w:bookmarkEnd w:id="14"/>
    </w:p>
    <w:p w14:paraId="0786B165" w14:textId="6AC18E15" w:rsidR="008203DF" w:rsidRPr="00F0379F" w:rsidRDefault="003413D0" w:rsidP="00247CE6">
      <w:pPr>
        <w:rPr>
          <w:rFonts w:cs="Arial"/>
          <w:szCs w:val="18"/>
        </w:rPr>
      </w:pPr>
      <w:r w:rsidRPr="00F0379F">
        <w:rPr>
          <w:rFonts w:cs="Arial"/>
          <w:szCs w:val="18"/>
        </w:rPr>
        <w:t xml:space="preserve">Factories pay great attention to the issues of sustainability and the rational use of energy and resources and, in this perspective, the audit activity at the suppliers of the textile industry can count on the methodological reference given by the activities started in the 2010 by the National Resource </w:t>
      </w:r>
      <w:proofErr w:type="spellStart"/>
      <w:r w:rsidRPr="00F0379F">
        <w:rPr>
          <w:rFonts w:cs="Arial"/>
          <w:szCs w:val="18"/>
        </w:rPr>
        <w:t>Defense</w:t>
      </w:r>
      <w:proofErr w:type="spellEnd"/>
      <w:r w:rsidRPr="00F0379F">
        <w:rPr>
          <w:rFonts w:cs="Arial"/>
          <w:szCs w:val="18"/>
        </w:rPr>
        <w:t xml:space="preserve"> Council (NRDC) as part of the Clean by Design program, to reduce the environmental footprint of the textile industry. The objective of the program is to identify a series of simple and low-cost opportunities to save water, electricity and fuels with limited investments that do not impact on the quality of the product; the measures identified must have a short payback (2-3 years). In addition to the standard approach of the Clean by Design program, in this case the list of chemical substances used was also </w:t>
      </w:r>
      <w:proofErr w:type="spellStart"/>
      <w:r w:rsidRPr="00F0379F">
        <w:rPr>
          <w:rFonts w:cs="Arial"/>
          <w:szCs w:val="18"/>
        </w:rPr>
        <w:t>analyzed</w:t>
      </w:r>
      <w:proofErr w:type="spellEnd"/>
      <w:r w:rsidRPr="00F0379F">
        <w:rPr>
          <w:rFonts w:cs="Arial"/>
          <w:szCs w:val="18"/>
        </w:rPr>
        <w:t xml:space="preserve">, which was compared with the Manufacturing Restricted Substances List - MRSL, </w:t>
      </w:r>
      <w:proofErr w:type="gramStart"/>
      <w:r w:rsidRPr="00F0379F">
        <w:rPr>
          <w:rFonts w:cs="Arial"/>
          <w:szCs w:val="18"/>
        </w:rPr>
        <w:t>i.e.</w:t>
      </w:r>
      <w:proofErr w:type="gramEnd"/>
      <w:r w:rsidRPr="00F0379F">
        <w:rPr>
          <w:rFonts w:cs="Arial"/>
          <w:szCs w:val="18"/>
        </w:rPr>
        <w:t xml:space="preserve"> the list of substances prohibited is based on of the objectives that the group has set itself in relation to the </w:t>
      </w:r>
      <w:r w:rsidRPr="007C27F4">
        <w:rPr>
          <w:rFonts w:cs="Arial"/>
          <w:szCs w:val="18"/>
        </w:rPr>
        <w:t xml:space="preserve">ZDHC </w:t>
      </w:r>
      <w:r w:rsidRPr="00F0379F">
        <w:rPr>
          <w:rFonts w:cs="Arial"/>
          <w:szCs w:val="18"/>
        </w:rPr>
        <w:t>protocol</w:t>
      </w:r>
      <w:r w:rsidR="00416697" w:rsidRPr="00F0379F">
        <w:rPr>
          <w:rFonts w:cs="Arial"/>
          <w:szCs w:val="18"/>
        </w:rPr>
        <w:t>.</w:t>
      </w:r>
      <w:r w:rsidR="00685EFA">
        <w:rPr>
          <w:rFonts w:cs="Arial"/>
          <w:szCs w:val="18"/>
        </w:rPr>
        <w:t xml:space="preserve"> </w:t>
      </w:r>
      <w:r w:rsidR="00873D8A" w:rsidRPr="00F0379F">
        <w:rPr>
          <w:rFonts w:cs="Arial"/>
          <w:szCs w:val="18"/>
        </w:rPr>
        <w:t>As part of the MRSL Implementation Survey organized by leading fashion groups among their suppliers, in which the groups have set objectives according to the ZDHC (Zero Discharge of Hazardous Chemicals) protocol, the groups provided a list of chemical subcontractors with related supplies, indicating the production phase in which they were applied and the type of product. The main chemicals used are divided into three main lines of treatments</w:t>
      </w:r>
      <w:r w:rsidR="000A5EAE">
        <w:rPr>
          <w:rFonts w:cs="Arial"/>
          <w:szCs w:val="18"/>
        </w:rPr>
        <w:t xml:space="preserve">, namely </w:t>
      </w:r>
      <w:r w:rsidR="00873D8A" w:rsidRPr="00F0379F">
        <w:rPr>
          <w:rFonts w:cs="Arial"/>
          <w:szCs w:val="18"/>
        </w:rPr>
        <w:t>dying</w:t>
      </w:r>
      <w:r w:rsidR="00041FB7">
        <w:rPr>
          <w:rFonts w:cs="Arial"/>
          <w:szCs w:val="18"/>
        </w:rPr>
        <w:t xml:space="preserve">, </w:t>
      </w:r>
      <w:r w:rsidR="00873D8A" w:rsidRPr="00F0379F">
        <w:rPr>
          <w:rFonts w:cs="Arial"/>
          <w:szCs w:val="18"/>
        </w:rPr>
        <w:t>finishing</w:t>
      </w:r>
      <w:r w:rsidR="00041FB7">
        <w:rPr>
          <w:rFonts w:cs="Arial"/>
          <w:szCs w:val="18"/>
        </w:rPr>
        <w:t xml:space="preserve"> and </w:t>
      </w:r>
      <w:r w:rsidR="00873D8A" w:rsidRPr="00F0379F">
        <w:rPr>
          <w:rFonts w:cs="Arial"/>
          <w:szCs w:val="18"/>
        </w:rPr>
        <w:t>other processes.</w:t>
      </w:r>
      <w:r w:rsidR="006150CE">
        <w:rPr>
          <w:rFonts w:cs="Arial"/>
          <w:szCs w:val="18"/>
        </w:rPr>
        <w:t xml:space="preserve"> Subsequently</w:t>
      </w:r>
      <w:r w:rsidR="00A47088" w:rsidRPr="00F0379F">
        <w:rPr>
          <w:rFonts w:cs="Arial"/>
          <w:szCs w:val="18"/>
        </w:rPr>
        <w:t xml:space="preserve"> </w:t>
      </w:r>
      <w:r w:rsidR="00873D8A" w:rsidRPr="00F0379F">
        <w:rPr>
          <w:rFonts w:cs="Arial"/>
          <w:szCs w:val="18"/>
        </w:rPr>
        <w:t>t</w:t>
      </w:r>
      <w:r w:rsidR="00BD593B" w:rsidRPr="00F0379F">
        <w:rPr>
          <w:rFonts w:cs="Arial"/>
          <w:szCs w:val="18"/>
        </w:rPr>
        <w:t>he analysis</w:t>
      </w:r>
      <w:r w:rsidR="00873D8A" w:rsidRPr="00F0379F">
        <w:rPr>
          <w:rFonts w:cs="Arial"/>
          <w:szCs w:val="18"/>
        </w:rPr>
        <w:t xml:space="preserve"> </w:t>
      </w:r>
      <w:r w:rsidR="006150CE">
        <w:rPr>
          <w:rFonts w:cs="Arial"/>
          <w:szCs w:val="18"/>
        </w:rPr>
        <w:t>on</w:t>
      </w:r>
      <w:r w:rsidR="00BD593B" w:rsidRPr="00F0379F">
        <w:rPr>
          <w:rFonts w:cs="Arial"/>
          <w:szCs w:val="18"/>
        </w:rPr>
        <w:t xml:space="preserve"> the use of substances present in the MRSL checklist</w:t>
      </w:r>
      <w:r w:rsidR="006150CE">
        <w:rPr>
          <w:rFonts w:cs="Arial"/>
          <w:szCs w:val="18"/>
        </w:rPr>
        <w:t xml:space="preserve"> is developed according to</w:t>
      </w:r>
      <w:r w:rsidR="00A47088" w:rsidRPr="00F0379F">
        <w:rPr>
          <w:rFonts w:cs="Arial"/>
          <w:szCs w:val="18"/>
        </w:rPr>
        <w:t xml:space="preserve"> a stepwise approach</w:t>
      </w:r>
      <w:r w:rsidR="008203DF" w:rsidRPr="00F0379F">
        <w:rPr>
          <w:rFonts w:cs="Arial"/>
          <w:szCs w:val="18"/>
        </w:rPr>
        <w:t xml:space="preserve">, </w:t>
      </w:r>
      <w:r w:rsidR="00780D0B">
        <w:rPr>
          <w:rFonts w:cs="Arial"/>
          <w:szCs w:val="18"/>
        </w:rPr>
        <w:t>i.e.</w:t>
      </w:r>
      <w:r w:rsidR="008203DF" w:rsidRPr="00F0379F">
        <w:rPr>
          <w:rFonts w:cs="Arial"/>
          <w:szCs w:val="18"/>
        </w:rPr>
        <w:t>:</w:t>
      </w:r>
    </w:p>
    <w:p w14:paraId="4EAE8DD3" w14:textId="6858AAAF" w:rsidR="00BD593B" w:rsidRPr="00F0379F" w:rsidRDefault="008203DF" w:rsidP="00E006F9">
      <w:pPr>
        <w:pStyle w:val="Paragrafoelenco"/>
        <w:numPr>
          <w:ilvl w:val="0"/>
          <w:numId w:val="24"/>
        </w:numPr>
        <w:tabs>
          <w:tab w:val="clear" w:pos="7100"/>
        </w:tabs>
        <w:rPr>
          <w:rFonts w:cs="Arial"/>
          <w:szCs w:val="18"/>
        </w:rPr>
      </w:pPr>
      <w:r w:rsidRPr="00F0379F">
        <w:rPr>
          <w:rFonts w:cs="Arial"/>
          <w:szCs w:val="18"/>
        </w:rPr>
        <w:t xml:space="preserve">LCA </w:t>
      </w:r>
      <w:r w:rsidR="006150CE">
        <w:rPr>
          <w:rFonts w:cs="Arial"/>
          <w:szCs w:val="18"/>
        </w:rPr>
        <w:t xml:space="preserve">development </w:t>
      </w:r>
      <w:r w:rsidRPr="00F0379F">
        <w:rPr>
          <w:rFonts w:cs="Arial"/>
          <w:szCs w:val="18"/>
        </w:rPr>
        <w:t>of the textile plant</w:t>
      </w:r>
      <w:r w:rsidR="006150CE">
        <w:rPr>
          <w:rFonts w:cs="Arial"/>
          <w:szCs w:val="18"/>
        </w:rPr>
        <w:t xml:space="preserve"> and selection of </w:t>
      </w:r>
      <w:r w:rsidRPr="00F0379F">
        <w:rPr>
          <w:rFonts w:cs="Arial"/>
          <w:szCs w:val="18"/>
        </w:rPr>
        <w:t xml:space="preserve">the process units and the harmful substances from MRSL checklist; for instance, </w:t>
      </w:r>
      <w:r w:rsidR="00B72F63" w:rsidRPr="00F0379F">
        <w:rPr>
          <w:rFonts w:cs="Arial"/>
          <w:szCs w:val="18"/>
        </w:rPr>
        <w:t>in a dying process, list of prohibited dyes would be cross-checked;</w:t>
      </w:r>
    </w:p>
    <w:p w14:paraId="357B4C8D" w14:textId="6C5CE099" w:rsidR="00B72F63" w:rsidRPr="00F0379F" w:rsidRDefault="00E006F9" w:rsidP="00E006F9">
      <w:pPr>
        <w:pStyle w:val="Paragrafoelenco"/>
        <w:numPr>
          <w:ilvl w:val="0"/>
          <w:numId w:val="24"/>
        </w:numPr>
        <w:tabs>
          <w:tab w:val="clear" w:pos="7100"/>
        </w:tabs>
        <w:rPr>
          <w:rFonts w:cs="Arial"/>
          <w:szCs w:val="18"/>
        </w:rPr>
      </w:pPr>
      <w:r>
        <w:rPr>
          <w:rFonts w:cs="Arial"/>
          <w:szCs w:val="18"/>
        </w:rPr>
        <w:t>m</w:t>
      </w:r>
      <w:r w:rsidR="00B72F63" w:rsidRPr="00F0379F">
        <w:rPr>
          <w:rFonts w:cs="Arial"/>
          <w:szCs w:val="18"/>
        </w:rPr>
        <w:t>eeting with the factory, the possible hazardous chemicals shortlisted from the MRSL on the basis of the plant process are compared with the actual substances applied in the plant;</w:t>
      </w:r>
    </w:p>
    <w:p w14:paraId="52B2FA8A" w14:textId="2F50CD80" w:rsidR="00247CE6" w:rsidRPr="00685EFA" w:rsidRDefault="00E006F9" w:rsidP="00FC63F7">
      <w:pPr>
        <w:pStyle w:val="Paragrafoelenco"/>
        <w:numPr>
          <w:ilvl w:val="0"/>
          <w:numId w:val="24"/>
        </w:numPr>
        <w:tabs>
          <w:tab w:val="clear" w:pos="7100"/>
        </w:tabs>
        <w:rPr>
          <w:rFonts w:cs="Arial"/>
          <w:szCs w:val="18"/>
        </w:rPr>
      </w:pPr>
      <w:r w:rsidRPr="00685EFA">
        <w:rPr>
          <w:rFonts w:cs="Arial"/>
          <w:szCs w:val="18"/>
        </w:rPr>
        <w:lastRenderedPageBreak/>
        <w:t>to conclude</w:t>
      </w:r>
      <w:r w:rsidR="00B72F63" w:rsidRPr="00685EFA">
        <w:rPr>
          <w:rFonts w:cs="Arial"/>
          <w:szCs w:val="18"/>
        </w:rPr>
        <w:t xml:space="preserve">, should the use of one hazardous chemical be confirmed by plant operator, the possible replacement with harmless chemicals is discussed with the company </w:t>
      </w:r>
      <w:r w:rsidR="00180689" w:rsidRPr="00685EFA">
        <w:rPr>
          <w:rFonts w:cs="Arial"/>
          <w:szCs w:val="18"/>
        </w:rPr>
        <w:t>and proposed in the report</w:t>
      </w:r>
      <w:r w:rsidR="00780D0B" w:rsidRPr="00685EFA">
        <w:rPr>
          <w:rFonts w:cs="Arial"/>
          <w:szCs w:val="18"/>
        </w:rPr>
        <w:t>, according to the guideword substitution of inherent safety approach derived from the process sector.</w:t>
      </w:r>
      <w:r w:rsidR="00685EFA" w:rsidRPr="00685EFA">
        <w:rPr>
          <w:rFonts w:cs="Arial"/>
          <w:szCs w:val="18"/>
        </w:rPr>
        <w:t xml:space="preserve"> </w:t>
      </w:r>
      <w:r w:rsidR="00780D0B" w:rsidRPr="00685EFA">
        <w:rPr>
          <w:rFonts w:cs="Arial"/>
          <w:szCs w:val="18"/>
        </w:rPr>
        <w:t>In order t</w:t>
      </w:r>
      <w:r w:rsidRPr="00685EFA">
        <w:rPr>
          <w:rFonts w:cs="Arial"/>
          <w:szCs w:val="18"/>
        </w:rPr>
        <w:t>o</w:t>
      </w:r>
      <w:r w:rsidR="00780D0B" w:rsidRPr="00685EFA">
        <w:rPr>
          <w:rFonts w:cs="Arial"/>
          <w:szCs w:val="18"/>
        </w:rPr>
        <w:t xml:space="preserve"> attain the evaluation of the current level of resource efficiency of the plant K</w:t>
      </w:r>
      <w:r w:rsidR="00685EFA">
        <w:rPr>
          <w:rFonts w:cs="Arial"/>
          <w:szCs w:val="18"/>
        </w:rPr>
        <w:t>PI</w:t>
      </w:r>
      <w:r w:rsidR="00780D0B" w:rsidRPr="00685EFA">
        <w:rPr>
          <w:rFonts w:cs="Arial"/>
          <w:szCs w:val="18"/>
        </w:rPr>
        <w:t xml:space="preserve"> are defined and applied to each equipment and operational practices adopted</w:t>
      </w:r>
      <w:r w:rsidRPr="00685EFA">
        <w:rPr>
          <w:rFonts w:cs="Arial"/>
          <w:szCs w:val="18"/>
        </w:rPr>
        <w:t>. The average values found</w:t>
      </w:r>
      <w:r w:rsidR="00780D0B" w:rsidRPr="00685EFA">
        <w:rPr>
          <w:rFonts w:cs="Arial"/>
          <w:szCs w:val="18"/>
        </w:rPr>
        <w:t xml:space="preserve"> as </w:t>
      </w:r>
      <w:r w:rsidR="002F16EA" w:rsidRPr="00685EFA">
        <w:rPr>
          <w:rFonts w:cs="Arial"/>
          <w:szCs w:val="18"/>
        </w:rPr>
        <w:t>a result of the energy and resource efficiency assessments done at integrated textile production plants (</w:t>
      </w:r>
      <w:proofErr w:type="gramStart"/>
      <w:r w:rsidR="002F16EA" w:rsidRPr="00685EFA">
        <w:rPr>
          <w:rFonts w:cs="Arial"/>
          <w:szCs w:val="18"/>
        </w:rPr>
        <w:t>i.e.</w:t>
      </w:r>
      <w:proofErr w:type="gramEnd"/>
      <w:r w:rsidR="002F16EA" w:rsidRPr="00685EFA">
        <w:rPr>
          <w:rFonts w:cs="Arial"/>
          <w:szCs w:val="18"/>
        </w:rPr>
        <w:t xml:space="preserve"> processes of warping-weaving-washing/dyeing-finishing) are </w:t>
      </w:r>
      <w:r w:rsidR="00780D0B" w:rsidRPr="00685EFA">
        <w:rPr>
          <w:rFonts w:cs="Arial"/>
          <w:szCs w:val="18"/>
        </w:rPr>
        <w:t xml:space="preserve">summarized in Table 1. </w:t>
      </w:r>
      <w:r w:rsidR="00A50F9B" w:rsidRPr="00685EFA">
        <w:rPr>
          <w:rFonts w:cs="Arial"/>
          <w:szCs w:val="18"/>
        </w:rPr>
        <w:t xml:space="preserve">The wide </w:t>
      </w:r>
      <w:r w:rsidR="005E5366" w:rsidRPr="00685EFA">
        <w:rPr>
          <w:rFonts w:cs="Arial"/>
          <w:szCs w:val="18"/>
        </w:rPr>
        <w:t xml:space="preserve">value </w:t>
      </w:r>
      <w:r w:rsidR="00A50F9B" w:rsidRPr="00685EFA">
        <w:rPr>
          <w:rFonts w:cs="Arial"/>
          <w:szCs w:val="18"/>
        </w:rPr>
        <w:t>ranges</w:t>
      </w:r>
      <w:r w:rsidR="00317D72" w:rsidRPr="00685EFA">
        <w:rPr>
          <w:rFonts w:cs="Arial"/>
          <w:szCs w:val="18"/>
        </w:rPr>
        <w:t xml:space="preserve"> are </w:t>
      </w:r>
      <w:r w:rsidR="00006BA6" w:rsidRPr="00685EFA">
        <w:rPr>
          <w:rFonts w:cs="Arial"/>
          <w:szCs w:val="18"/>
        </w:rPr>
        <w:t>connected to</w:t>
      </w:r>
      <w:r w:rsidR="00317D72" w:rsidRPr="00685EFA">
        <w:rPr>
          <w:rFonts w:cs="Arial"/>
          <w:szCs w:val="18"/>
        </w:rPr>
        <w:t xml:space="preserve"> the different levels of efficiency</w:t>
      </w:r>
      <w:r w:rsidR="007123B6" w:rsidRPr="00685EFA">
        <w:rPr>
          <w:rFonts w:cs="Arial"/>
          <w:szCs w:val="18"/>
        </w:rPr>
        <w:t xml:space="preserve"> and, most of all, </w:t>
      </w:r>
      <w:r w:rsidR="00006BA6" w:rsidRPr="00685EFA">
        <w:rPr>
          <w:rFonts w:cs="Arial"/>
          <w:szCs w:val="18"/>
        </w:rPr>
        <w:t>to</w:t>
      </w:r>
      <w:r w:rsidR="007123B6" w:rsidRPr="00685EFA">
        <w:rPr>
          <w:rFonts w:cs="Arial"/>
          <w:szCs w:val="18"/>
        </w:rPr>
        <w:t xml:space="preserve"> the specific processes carried out to realize a high-quality final product, which may differ significantly from a plant to another depending on client requirements.</w:t>
      </w:r>
    </w:p>
    <w:p w14:paraId="4EB48DFE" w14:textId="1C3117FF" w:rsidR="00AB63DF" w:rsidRPr="00B57B36" w:rsidRDefault="000A5EAE" w:rsidP="00AB63DF">
      <w:pPr>
        <w:pStyle w:val="CETTabletitle"/>
      </w:pPr>
      <w:r>
        <w:t>T</w:t>
      </w:r>
      <w:r w:rsidR="00AB63DF" w:rsidRPr="00B57B36">
        <w:t xml:space="preserve">able 1: </w:t>
      </w:r>
      <w:r w:rsidR="00BC53AD">
        <w:t xml:space="preserve">Basic </w:t>
      </w:r>
      <w:r w:rsidR="00AB63DF">
        <w:t>Key Performance Indicators for the textile sector assessment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69"/>
        <w:gridCol w:w="1134"/>
        <w:gridCol w:w="1134"/>
      </w:tblGrid>
      <w:tr w:rsidR="00195069" w:rsidRPr="00B57B36" w14:paraId="49518FA0" w14:textId="77777777" w:rsidTr="00BC53AD">
        <w:tc>
          <w:tcPr>
            <w:tcW w:w="2069" w:type="dxa"/>
            <w:tcBorders>
              <w:top w:val="single" w:sz="12" w:space="0" w:color="008000"/>
              <w:bottom w:val="single" w:sz="6" w:space="0" w:color="008000"/>
            </w:tcBorders>
            <w:shd w:val="clear" w:color="auto" w:fill="FFFFFF"/>
          </w:tcPr>
          <w:p w14:paraId="7FB831DF" w14:textId="59E03217" w:rsidR="00195069" w:rsidRPr="00B57B36" w:rsidRDefault="00195069" w:rsidP="00195069">
            <w:pPr>
              <w:pStyle w:val="CETBodytext"/>
              <w:jc w:val="center"/>
              <w:rPr>
                <w:lang w:val="en-GB"/>
              </w:rPr>
            </w:pPr>
            <w:r>
              <w:rPr>
                <w:lang w:val="en-GB"/>
              </w:rPr>
              <w:t>KPI definition</w:t>
            </w:r>
          </w:p>
        </w:tc>
        <w:tc>
          <w:tcPr>
            <w:tcW w:w="1134" w:type="dxa"/>
            <w:tcBorders>
              <w:top w:val="single" w:sz="12" w:space="0" w:color="008000"/>
              <w:bottom w:val="single" w:sz="6" w:space="0" w:color="008000"/>
            </w:tcBorders>
            <w:shd w:val="clear" w:color="auto" w:fill="FFFFFF"/>
          </w:tcPr>
          <w:p w14:paraId="585E27BB" w14:textId="4CAA70EB" w:rsidR="00195069" w:rsidRPr="00B57B36" w:rsidRDefault="00195069" w:rsidP="00195069">
            <w:pPr>
              <w:pStyle w:val="CETBodytext"/>
              <w:jc w:val="center"/>
              <w:rPr>
                <w:lang w:val="en-GB"/>
              </w:rPr>
            </w:pPr>
            <w:r>
              <w:rPr>
                <w:lang w:val="en-GB"/>
              </w:rPr>
              <w:t>Unit</w:t>
            </w:r>
          </w:p>
        </w:tc>
        <w:tc>
          <w:tcPr>
            <w:tcW w:w="1134" w:type="dxa"/>
            <w:tcBorders>
              <w:top w:val="single" w:sz="12" w:space="0" w:color="008000"/>
              <w:bottom w:val="single" w:sz="6" w:space="0" w:color="008000"/>
            </w:tcBorders>
            <w:shd w:val="clear" w:color="auto" w:fill="FFFFFF"/>
          </w:tcPr>
          <w:p w14:paraId="2F27042E" w14:textId="505D9AE3" w:rsidR="00195069" w:rsidRPr="00B57B36" w:rsidRDefault="00195069" w:rsidP="00195069">
            <w:pPr>
              <w:pStyle w:val="CETBodytext"/>
              <w:jc w:val="center"/>
              <w:rPr>
                <w:lang w:val="en-GB"/>
              </w:rPr>
            </w:pPr>
            <w:r>
              <w:rPr>
                <w:lang w:val="en-GB"/>
              </w:rPr>
              <w:t>Range</w:t>
            </w:r>
          </w:p>
        </w:tc>
      </w:tr>
      <w:tr w:rsidR="00195069" w:rsidRPr="00B57B36" w14:paraId="3007DD85" w14:textId="77777777" w:rsidTr="00BC53AD">
        <w:tc>
          <w:tcPr>
            <w:tcW w:w="2069" w:type="dxa"/>
            <w:shd w:val="clear" w:color="auto" w:fill="FFFFFF"/>
          </w:tcPr>
          <w:p w14:paraId="58FFBBE0" w14:textId="6805DBE3" w:rsidR="00195069" w:rsidRPr="00B57B36" w:rsidRDefault="00195069" w:rsidP="00F47739">
            <w:pPr>
              <w:pStyle w:val="CETBodytext"/>
              <w:rPr>
                <w:lang w:val="en-GB"/>
              </w:rPr>
            </w:pPr>
            <w:r>
              <w:rPr>
                <w:lang w:val="en-GB"/>
              </w:rPr>
              <w:t>Electricity</w:t>
            </w:r>
          </w:p>
        </w:tc>
        <w:tc>
          <w:tcPr>
            <w:tcW w:w="1134" w:type="dxa"/>
            <w:shd w:val="clear" w:color="auto" w:fill="FFFFFF"/>
          </w:tcPr>
          <w:p w14:paraId="65D7568A" w14:textId="1E74A3DB" w:rsidR="00195069" w:rsidRPr="00B57B36" w:rsidRDefault="003F6F81" w:rsidP="00F47739">
            <w:pPr>
              <w:pStyle w:val="CETBodytext"/>
              <w:rPr>
                <w:lang w:val="en-GB"/>
              </w:rPr>
            </w:pPr>
            <w:r>
              <w:rPr>
                <w:lang w:val="en-GB"/>
              </w:rPr>
              <w:t>kWh/</w:t>
            </w:r>
            <w:r w:rsidR="00231709">
              <w:rPr>
                <w:lang w:val="en-GB"/>
              </w:rPr>
              <w:t>t</w:t>
            </w:r>
          </w:p>
        </w:tc>
        <w:tc>
          <w:tcPr>
            <w:tcW w:w="1134" w:type="dxa"/>
            <w:shd w:val="clear" w:color="auto" w:fill="FFFFFF"/>
          </w:tcPr>
          <w:p w14:paraId="111FE7FE" w14:textId="7BBED56F" w:rsidR="00195069" w:rsidRPr="00B57B36" w:rsidRDefault="00231709" w:rsidP="00F47739">
            <w:pPr>
              <w:pStyle w:val="CETBodytext"/>
              <w:rPr>
                <w:lang w:val="en-GB"/>
              </w:rPr>
            </w:pPr>
            <w:r>
              <w:rPr>
                <w:rFonts w:cs="Arial"/>
                <w:szCs w:val="18"/>
                <w:lang w:val="en-GB"/>
              </w:rPr>
              <w:t>3,200 – 7,100</w:t>
            </w:r>
          </w:p>
        </w:tc>
      </w:tr>
      <w:tr w:rsidR="00195069" w:rsidRPr="00B57B36" w14:paraId="6D6D7717" w14:textId="77777777" w:rsidTr="00BC53AD">
        <w:tc>
          <w:tcPr>
            <w:tcW w:w="2069" w:type="dxa"/>
            <w:shd w:val="clear" w:color="auto" w:fill="FFFFFF"/>
          </w:tcPr>
          <w:p w14:paraId="38CA0F82" w14:textId="1A8E16BC" w:rsidR="00195069" w:rsidRPr="00B57B36" w:rsidRDefault="00195069" w:rsidP="00F47739">
            <w:pPr>
              <w:pStyle w:val="CETBodytext"/>
              <w:ind w:right="-1"/>
              <w:rPr>
                <w:rFonts w:cs="Arial"/>
                <w:szCs w:val="18"/>
                <w:lang w:val="en-GB"/>
              </w:rPr>
            </w:pPr>
            <w:r>
              <w:rPr>
                <w:rFonts w:cs="Arial"/>
                <w:szCs w:val="18"/>
                <w:lang w:val="en-GB"/>
              </w:rPr>
              <w:t xml:space="preserve">Thermal </w:t>
            </w:r>
            <w:r w:rsidR="003F6F81">
              <w:rPr>
                <w:rFonts w:cs="Arial"/>
                <w:szCs w:val="18"/>
                <w:lang w:val="en-GB"/>
              </w:rPr>
              <w:t>E</w:t>
            </w:r>
            <w:r>
              <w:rPr>
                <w:rFonts w:cs="Arial"/>
                <w:szCs w:val="18"/>
                <w:lang w:val="en-GB"/>
              </w:rPr>
              <w:t>nergy</w:t>
            </w:r>
          </w:p>
        </w:tc>
        <w:tc>
          <w:tcPr>
            <w:tcW w:w="1134" w:type="dxa"/>
            <w:shd w:val="clear" w:color="auto" w:fill="FFFFFF"/>
          </w:tcPr>
          <w:p w14:paraId="3AC1C00D" w14:textId="630EEB19" w:rsidR="00195069" w:rsidRPr="00B57B36" w:rsidRDefault="003F6F81" w:rsidP="00F47739">
            <w:pPr>
              <w:pStyle w:val="CETBodytext"/>
              <w:ind w:right="-1"/>
              <w:rPr>
                <w:rFonts w:cs="Arial"/>
                <w:szCs w:val="18"/>
                <w:lang w:val="en-GB"/>
              </w:rPr>
            </w:pPr>
            <w:r>
              <w:rPr>
                <w:rFonts w:cs="Arial"/>
                <w:szCs w:val="18"/>
                <w:lang w:val="en-GB"/>
              </w:rPr>
              <w:t>kWh/</w:t>
            </w:r>
            <w:r w:rsidR="00231709">
              <w:rPr>
                <w:rFonts w:cs="Arial"/>
                <w:szCs w:val="18"/>
                <w:lang w:val="en-GB"/>
              </w:rPr>
              <w:t>t</w:t>
            </w:r>
          </w:p>
        </w:tc>
        <w:tc>
          <w:tcPr>
            <w:tcW w:w="1134" w:type="dxa"/>
            <w:shd w:val="clear" w:color="auto" w:fill="FFFFFF"/>
          </w:tcPr>
          <w:p w14:paraId="35F173B0" w14:textId="094A0463" w:rsidR="00195069" w:rsidRPr="00B57B36" w:rsidRDefault="00E006F9" w:rsidP="00F47739">
            <w:pPr>
              <w:pStyle w:val="CETBodytext"/>
              <w:ind w:right="-1"/>
              <w:rPr>
                <w:rFonts w:cs="Arial"/>
                <w:szCs w:val="18"/>
                <w:lang w:val="en-GB"/>
              </w:rPr>
            </w:pPr>
            <w:r>
              <w:rPr>
                <w:rFonts w:cs="Arial"/>
                <w:szCs w:val="18"/>
                <w:lang w:val="en-GB"/>
              </w:rPr>
              <w:t>17</w:t>
            </w:r>
            <w:r w:rsidR="00231709">
              <w:rPr>
                <w:rFonts w:cs="Arial"/>
                <w:szCs w:val="18"/>
                <w:lang w:val="en-GB"/>
              </w:rPr>
              <w:t>,</w:t>
            </w:r>
            <w:r>
              <w:rPr>
                <w:rFonts w:cs="Arial"/>
                <w:szCs w:val="18"/>
                <w:lang w:val="en-GB"/>
              </w:rPr>
              <w:t>7</w:t>
            </w:r>
            <w:r w:rsidR="00231709">
              <w:rPr>
                <w:rFonts w:cs="Arial"/>
                <w:szCs w:val="18"/>
                <w:lang w:val="en-GB"/>
              </w:rPr>
              <w:t>00</w:t>
            </w:r>
            <w:r>
              <w:rPr>
                <w:rFonts w:cs="Arial"/>
                <w:szCs w:val="18"/>
                <w:lang w:val="en-GB"/>
              </w:rPr>
              <w:t xml:space="preserve"> – 41</w:t>
            </w:r>
            <w:r w:rsidR="00231709">
              <w:rPr>
                <w:rFonts w:cs="Arial"/>
                <w:szCs w:val="18"/>
                <w:lang w:val="en-GB"/>
              </w:rPr>
              <w:t>,</w:t>
            </w:r>
            <w:r>
              <w:rPr>
                <w:rFonts w:cs="Arial"/>
                <w:szCs w:val="18"/>
                <w:lang w:val="en-GB"/>
              </w:rPr>
              <w:t>6</w:t>
            </w:r>
            <w:r w:rsidR="00231709">
              <w:rPr>
                <w:rFonts w:cs="Arial"/>
                <w:szCs w:val="18"/>
                <w:lang w:val="en-GB"/>
              </w:rPr>
              <w:t>00</w:t>
            </w:r>
          </w:p>
        </w:tc>
      </w:tr>
      <w:tr w:rsidR="003F6F81" w:rsidRPr="00B57B36" w14:paraId="493D3ABA" w14:textId="77777777" w:rsidTr="00BC53AD">
        <w:tc>
          <w:tcPr>
            <w:tcW w:w="2069" w:type="dxa"/>
            <w:shd w:val="clear" w:color="auto" w:fill="FFFFFF"/>
          </w:tcPr>
          <w:p w14:paraId="7E434B9D" w14:textId="027CA334" w:rsidR="003F6F81" w:rsidRPr="009C3F75" w:rsidRDefault="003F6F81" w:rsidP="00F47739">
            <w:pPr>
              <w:pStyle w:val="CETBodytext"/>
              <w:ind w:right="-1"/>
              <w:rPr>
                <w:rFonts w:cs="Arial"/>
                <w:szCs w:val="18"/>
                <w:lang w:val="en-GB"/>
              </w:rPr>
            </w:pPr>
            <w:r w:rsidRPr="009C3F75">
              <w:rPr>
                <w:rFonts w:cs="Arial"/>
                <w:szCs w:val="18"/>
                <w:lang w:val="en-GB"/>
              </w:rPr>
              <w:t>Primary Energy</w:t>
            </w:r>
          </w:p>
        </w:tc>
        <w:tc>
          <w:tcPr>
            <w:tcW w:w="1134" w:type="dxa"/>
            <w:shd w:val="clear" w:color="auto" w:fill="FFFFFF"/>
          </w:tcPr>
          <w:p w14:paraId="76B8B7EC" w14:textId="75BC1544" w:rsidR="003F6F81" w:rsidRPr="009C3F75" w:rsidRDefault="00231709" w:rsidP="00F47739">
            <w:pPr>
              <w:pStyle w:val="CETBodytext"/>
              <w:ind w:right="-1"/>
              <w:rPr>
                <w:rFonts w:cs="Arial"/>
                <w:szCs w:val="18"/>
                <w:lang w:val="en-GB"/>
              </w:rPr>
            </w:pPr>
            <w:r w:rsidRPr="009C3F75">
              <w:rPr>
                <w:rFonts w:cs="Arial"/>
                <w:szCs w:val="18"/>
                <w:lang w:val="en-GB"/>
              </w:rPr>
              <w:t>kWh/</w:t>
            </w:r>
            <w:r w:rsidR="009C3F75" w:rsidRPr="007B40D0">
              <w:rPr>
                <w:rFonts w:cs="Arial"/>
                <w:szCs w:val="18"/>
                <w:lang w:val="en-GB"/>
              </w:rPr>
              <w:t>t</w:t>
            </w:r>
          </w:p>
        </w:tc>
        <w:tc>
          <w:tcPr>
            <w:tcW w:w="1134" w:type="dxa"/>
            <w:shd w:val="clear" w:color="auto" w:fill="FFFFFF"/>
          </w:tcPr>
          <w:p w14:paraId="2774DC89" w14:textId="78DB8ED2" w:rsidR="003F6F81" w:rsidRPr="009C3F75" w:rsidRDefault="00231709" w:rsidP="00F47739">
            <w:pPr>
              <w:pStyle w:val="CETBodytext"/>
              <w:ind w:right="-1"/>
              <w:rPr>
                <w:rFonts w:cs="Arial"/>
                <w:szCs w:val="18"/>
                <w:lang w:val="en-GB"/>
              </w:rPr>
            </w:pPr>
            <w:r w:rsidRPr="009C3F75">
              <w:rPr>
                <w:rFonts w:cs="Arial"/>
                <w:szCs w:val="18"/>
                <w:lang w:val="en-GB"/>
              </w:rPr>
              <w:t>20,500 – 59,300</w:t>
            </w:r>
          </w:p>
        </w:tc>
      </w:tr>
      <w:tr w:rsidR="00195069" w:rsidRPr="00B57B36" w14:paraId="4B12B565" w14:textId="77777777" w:rsidTr="00BC53AD">
        <w:tc>
          <w:tcPr>
            <w:tcW w:w="2069" w:type="dxa"/>
            <w:shd w:val="clear" w:color="auto" w:fill="FFFFFF"/>
          </w:tcPr>
          <w:p w14:paraId="2889225C" w14:textId="5FACAE41" w:rsidR="00195069" w:rsidRDefault="00195069" w:rsidP="00F47739">
            <w:pPr>
              <w:pStyle w:val="CETBodytext"/>
              <w:ind w:right="-1"/>
              <w:rPr>
                <w:rFonts w:cs="Arial"/>
                <w:szCs w:val="18"/>
                <w:lang w:val="en-GB"/>
              </w:rPr>
            </w:pPr>
            <w:r>
              <w:rPr>
                <w:rFonts w:cs="Arial"/>
                <w:szCs w:val="18"/>
                <w:lang w:val="en-GB"/>
              </w:rPr>
              <w:t>Water</w:t>
            </w:r>
          </w:p>
        </w:tc>
        <w:tc>
          <w:tcPr>
            <w:tcW w:w="1134" w:type="dxa"/>
            <w:shd w:val="clear" w:color="auto" w:fill="FFFFFF"/>
          </w:tcPr>
          <w:p w14:paraId="2FF7EF40" w14:textId="58711F7B" w:rsidR="00195069" w:rsidRPr="00B57B36" w:rsidRDefault="005174CE" w:rsidP="00F47739">
            <w:pPr>
              <w:pStyle w:val="CETBodytext"/>
              <w:ind w:right="-1"/>
              <w:rPr>
                <w:rFonts w:cs="Arial"/>
                <w:szCs w:val="18"/>
                <w:lang w:val="en-GB"/>
              </w:rPr>
            </w:pPr>
            <w:r>
              <w:rPr>
                <w:rFonts w:cs="Arial"/>
                <w:szCs w:val="18"/>
                <w:lang w:val="en-GB"/>
              </w:rPr>
              <w:t>l</w:t>
            </w:r>
            <w:r w:rsidR="00E006F9">
              <w:rPr>
                <w:rFonts w:cs="Arial"/>
                <w:szCs w:val="18"/>
                <w:lang w:val="en-GB"/>
              </w:rPr>
              <w:t>/t</w:t>
            </w:r>
          </w:p>
        </w:tc>
        <w:tc>
          <w:tcPr>
            <w:tcW w:w="1134" w:type="dxa"/>
            <w:shd w:val="clear" w:color="auto" w:fill="FFFFFF"/>
          </w:tcPr>
          <w:p w14:paraId="55A23D32" w14:textId="279C00BD" w:rsidR="00195069" w:rsidRPr="00B57B36" w:rsidRDefault="005174CE" w:rsidP="00F47739">
            <w:pPr>
              <w:pStyle w:val="CETBodytext"/>
              <w:ind w:right="-1"/>
              <w:rPr>
                <w:rFonts w:cs="Arial"/>
                <w:szCs w:val="18"/>
                <w:lang w:val="en-GB"/>
              </w:rPr>
            </w:pPr>
            <w:r>
              <w:rPr>
                <w:rFonts w:cs="Arial"/>
                <w:szCs w:val="18"/>
                <w:lang w:val="en-GB"/>
              </w:rPr>
              <w:t>90</w:t>
            </w:r>
            <w:r w:rsidR="00E006F9">
              <w:rPr>
                <w:rFonts w:cs="Arial"/>
                <w:szCs w:val="18"/>
                <w:lang w:val="en-GB"/>
              </w:rPr>
              <w:t xml:space="preserve"> – 45</w:t>
            </w:r>
            <w:r>
              <w:rPr>
                <w:rFonts w:cs="Arial"/>
                <w:szCs w:val="18"/>
                <w:lang w:val="en-GB"/>
              </w:rPr>
              <w:t>0</w:t>
            </w:r>
          </w:p>
        </w:tc>
      </w:tr>
    </w:tbl>
    <w:p w14:paraId="3F2C8442" w14:textId="5524D9E8" w:rsidR="00247CE6" w:rsidRPr="005E5366" w:rsidRDefault="00247CE6" w:rsidP="005E5366">
      <w:pPr>
        <w:pStyle w:val="CETHeading1"/>
        <w:numPr>
          <w:ilvl w:val="0"/>
          <w:numId w:val="23"/>
        </w:numPr>
        <w:tabs>
          <w:tab w:val="num" w:pos="360"/>
        </w:tabs>
        <w:ind w:left="0" w:firstLine="0"/>
        <w:rPr>
          <w:lang w:val="en-GB"/>
        </w:rPr>
      </w:pPr>
      <w:r w:rsidRPr="005E5366">
        <w:rPr>
          <w:lang w:val="en-GB"/>
        </w:rPr>
        <w:t>Results</w:t>
      </w:r>
      <w:r w:rsidR="00AB63DF" w:rsidRPr="005E5366">
        <w:rPr>
          <w:lang w:val="en-GB"/>
        </w:rPr>
        <w:t xml:space="preserve"> and discussion</w:t>
      </w:r>
    </w:p>
    <w:p w14:paraId="29DAA049" w14:textId="44FB58DD" w:rsidR="00247CE6" w:rsidRPr="00F0379F" w:rsidRDefault="00247CE6" w:rsidP="00247CE6">
      <w:pPr>
        <w:rPr>
          <w:rFonts w:cs="Arial"/>
          <w:szCs w:val="18"/>
        </w:rPr>
      </w:pPr>
      <w:r w:rsidRPr="00F0379F">
        <w:rPr>
          <w:rFonts w:cs="Arial"/>
          <w:szCs w:val="18"/>
        </w:rPr>
        <w:t xml:space="preserve">The results of the </w:t>
      </w:r>
      <w:r w:rsidR="00125374" w:rsidRPr="00F0379F">
        <w:rPr>
          <w:rFonts w:cs="Arial"/>
          <w:szCs w:val="18"/>
        </w:rPr>
        <w:t xml:space="preserve">resource efficiency </w:t>
      </w:r>
      <w:r w:rsidRPr="00F0379F">
        <w:rPr>
          <w:rFonts w:cs="Arial"/>
          <w:szCs w:val="18"/>
        </w:rPr>
        <w:t>audit activities can be summarised as follows:</w:t>
      </w:r>
    </w:p>
    <w:p w14:paraId="2B76C7A3" w14:textId="6D6661DB" w:rsidR="001B50F9" w:rsidRPr="00F0379F" w:rsidRDefault="001B50F9" w:rsidP="000A5EAE">
      <w:pPr>
        <w:pStyle w:val="Paragrafoelenco"/>
        <w:numPr>
          <w:ilvl w:val="0"/>
          <w:numId w:val="24"/>
        </w:numPr>
        <w:tabs>
          <w:tab w:val="clear" w:pos="7100"/>
        </w:tabs>
        <w:ind w:left="284" w:hanging="284"/>
        <w:rPr>
          <w:rFonts w:cs="Arial"/>
          <w:szCs w:val="18"/>
        </w:rPr>
      </w:pPr>
      <w:r w:rsidRPr="00F0379F">
        <w:rPr>
          <w:rFonts w:cs="Arial"/>
          <w:szCs w:val="18"/>
        </w:rPr>
        <w:t xml:space="preserve">the evaluation of the current level of resource efficiency of the plant in </w:t>
      </w:r>
      <w:r w:rsidR="0065501B" w:rsidRPr="00F0379F">
        <w:rPr>
          <w:rFonts w:cs="Arial"/>
          <w:szCs w:val="18"/>
        </w:rPr>
        <w:t>qualitative (</w:t>
      </w:r>
      <w:r w:rsidRPr="00F0379F">
        <w:rPr>
          <w:rFonts w:cs="Arial"/>
          <w:szCs w:val="18"/>
        </w:rPr>
        <w:t xml:space="preserve">technological features </w:t>
      </w:r>
      <w:r w:rsidR="0065501B" w:rsidRPr="00F0379F">
        <w:rPr>
          <w:rFonts w:cs="Arial"/>
          <w:szCs w:val="18"/>
        </w:rPr>
        <w:t xml:space="preserve">of equipment, </w:t>
      </w:r>
      <w:r w:rsidRPr="00F0379F">
        <w:rPr>
          <w:rFonts w:cs="Arial"/>
          <w:szCs w:val="18"/>
        </w:rPr>
        <w:t>operational practices adopted</w:t>
      </w:r>
      <w:r w:rsidR="0065501B" w:rsidRPr="00F0379F">
        <w:rPr>
          <w:rFonts w:cs="Arial"/>
          <w:szCs w:val="18"/>
        </w:rPr>
        <w:t>) and quantitative terms (Key Performance Indicator values);</w:t>
      </w:r>
      <w:r w:rsidR="00941FC1" w:rsidRPr="00F0379F">
        <w:rPr>
          <w:rFonts w:cs="Arial"/>
          <w:szCs w:val="18"/>
        </w:rPr>
        <w:t xml:space="preserve"> </w:t>
      </w:r>
      <w:r w:rsidR="00612035">
        <w:rPr>
          <w:rFonts w:cs="Arial"/>
          <w:szCs w:val="18"/>
        </w:rPr>
        <w:t xml:space="preserve">Table </w:t>
      </w:r>
      <w:r w:rsidR="00177EB8">
        <w:rPr>
          <w:rFonts w:cs="Arial"/>
          <w:szCs w:val="18"/>
        </w:rPr>
        <w:t>2</w:t>
      </w:r>
      <w:r w:rsidR="00612035">
        <w:rPr>
          <w:rFonts w:cs="Arial"/>
          <w:szCs w:val="18"/>
        </w:rPr>
        <w:t xml:space="preserve"> provides a detailed quantitative </w:t>
      </w:r>
      <w:r w:rsidR="00AD6EB2" w:rsidRPr="00F0379F">
        <w:rPr>
          <w:rFonts w:cs="Arial"/>
          <w:szCs w:val="18"/>
        </w:rPr>
        <w:t>example of KPI analysis in the context of a REEA for a</w:t>
      </w:r>
      <w:r w:rsidR="00612035">
        <w:rPr>
          <w:rFonts w:cs="Arial"/>
          <w:szCs w:val="18"/>
        </w:rPr>
        <w:t>n actual</w:t>
      </w:r>
      <w:r w:rsidR="00AD6EB2" w:rsidRPr="00F0379F">
        <w:rPr>
          <w:rFonts w:cs="Arial"/>
          <w:szCs w:val="18"/>
        </w:rPr>
        <w:t xml:space="preserve"> textile production plant in Eastern Europe</w:t>
      </w:r>
      <w:r w:rsidR="00612035">
        <w:rPr>
          <w:rFonts w:cs="Arial"/>
          <w:szCs w:val="18"/>
        </w:rPr>
        <w:t xml:space="preserve"> and the following assessment i</w:t>
      </w:r>
      <w:r w:rsidR="00E561EF">
        <w:rPr>
          <w:rFonts w:cs="Arial"/>
          <w:szCs w:val="18"/>
        </w:rPr>
        <w:t>s</w:t>
      </w:r>
      <w:r w:rsidR="00612035">
        <w:rPr>
          <w:rFonts w:cs="Arial"/>
          <w:szCs w:val="18"/>
        </w:rPr>
        <w:t xml:space="preserve"> presented in form of immediate readability in the radar graph shown in </w:t>
      </w:r>
      <w:r w:rsidR="00612035" w:rsidRPr="007C27F4">
        <w:rPr>
          <w:rFonts w:cs="Arial"/>
          <w:szCs w:val="18"/>
        </w:rPr>
        <w:t>Fig</w:t>
      </w:r>
      <w:r w:rsidR="009E40A2" w:rsidRPr="007C27F4">
        <w:rPr>
          <w:rFonts w:cs="Arial"/>
          <w:szCs w:val="18"/>
        </w:rPr>
        <w:t>ure</w:t>
      </w:r>
      <w:r w:rsidR="00612035" w:rsidRPr="007C27F4">
        <w:rPr>
          <w:rFonts w:cs="Arial"/>
          <w:szCs w:val="18"/>
        </w:rPr>
        <w:t xml:space="preserve"> </w:t>
      </w:r>
      <w:r w:rsidR="00B7324C" w:rsidRPr="007C27F4">
        <w:rPr>
          <w:rFonts w:cs="Arial"/>
          <w:szCs w:val="18"/>
        </w:rPr>
        <w:t>3</w:t>
      </w:r>
      <w:r w:rsidR="00AD6EB2" w:rsidRPr="00F0379F">
        <w:rPr>
          <w:rFonts w:cs="Arial"/>
          <w:szCs w:val="18"/>
        </w:rPr>
        <w:t>;</w:t>
      </w:r>
    </w:p>
    <w:p w14:paraId="4343CEDC" w14:textId="0D19CEB2" w:rsidR="00247CE6" w:rsidRPr="00F0379F" w:rsidRDefault="0050313B" w:rsidP="000A5EAE">
      <w:pPr>
        <w:pStyle w:val="Paragrafoelenco"/>
        <w:numPr>
          <w:ilvl w:val="0"/>
          <w:numId w:val="24"/>
        </w:numPr>
        <w:tabs>
          <w:tab w:val="clear" w:pos="7100"/>
        </w:tabs>
        <w:ind w:left="284" w:hanging="284"/>
        <w:rPr>
          <w:rFonts w:cs="Arial"/>
          <w:szCs w:val="18"/>
        </w:rPr>
      </w:pPr>
      <w:r w:rsidRPr="00F0379F">
        <w:rPr>
          <w:rFonts w:cs="Arial"/>
          <w:szCs w:val="18"/>
        </w:rPr>
        <w:t xml:space="preserve">the </w:t>
      </w:r>
      <w:r w:rsidR="0065501B" w:rsidRPr="00F0379F">
        <w:rPr>
          <w:rFonts w:cs="Arial"/>
          <w:szCs w:val="18"/>
        </w:rPr>
        <w:t xml:space="preserve">definition of an investment plan for resource efficiency, with </w:t>
      </w:r>
      <w:r w:rsidR="00B51D08" w:rsidRPr="00F0379F">
        <w:rPr>
          <w:rFonts w:cs="Arial"/>
          <w:szCs w:val="18"/>
        </w:rPr>
        <w:t xml:space="preserve">a pre-feasibility study based on technical and financial aspects for each proposed improvement, including an evaluation of CAPEX and OPEX, of achievable energy/material savings, avoidable GHG emissions, </w:t>
      </w:r>
      <w:r w:rsidR="00E27B66" w:rsidRPr="00F0379F">
        <w:rPr>
          <w:rFonts w:cs="Arial"/>
          <w:szCs w:val="18"/>
        </w:rPr>
        <w:t>financial parameters including IRR, NPV, PBT; for the largest textile plant for which this kind of analysis was carried out, the proposed improvements allowed</w:t>
      </w:r>
      <w:r w:rsidR="00024A53" w:rsidRPr="00F0379F">
        <w:rPr>
          <w:rFonts w:cs="Arial"/>
          <w:szCs w:val="18"/>
        </w:rPr>
        <w:t xml:space="preserve"> a reduction by 5% of primary energy demand and energy-related GHG emissions, and a reduction by 35% of wastewater discharge</w:t>
      </w:r>
      <w:r w:rsidR="00E27B66" w:rsidRPr="00F0379F">
        <w:rPr>
          <w:rFonts w:cs="Arial"/>
          <w:szCs w:val="18"/>
        </w:rPr>
        <w:t>;</w:t>
      </w:r>
    </w:p>
    <w:p w14:paraId="1B63AC8F" w14:textId="6E684D87" w:rsidR="00247CE6" w:rsidRPr="00F0379F" w:rsidRDefault="00E27B66" w:rsidP="000A5EAE">
      <w:pPr>
        <w:pStyle w:val="Paragrafoelenco"/>
        <w:numPr>
          <w:ilvl w:val="0"/>
          <w:numId w:val="24"/>
        </w:numPr>
        <w:tabs>
          <w:tab w:val="clear" w:pos="7100"/>
        </w:tabs>
        <w:ind w:left="284" w:hanging="284"/>
        <w:rPr>
          <w:rFonts w:cs="Arial"/>
          <w:szCs w:val="18"/>
        </w:rPr>
      </w:pPr>
      <w:r w:rsidRPr="00F0379F">
        <w:rPr>
          <w:rFonts w:cs="Arial"/>
          <w:szCs w:val="18"/>
        </w:rPr>
        <w:t xml:space="preserve">the identification of </w:t>
      </w:r>
      <w:r w:rsidR="0050313B" w:rsidRPr="00F0379F">
        <w:rPr>
          <w:rFonts w:cs="Arial"/>
          <w:szCs w:val="18"/>
        </w:rPr>
        <w:t>f</w:t>
      </w:r>
      <w:r w:rsidR="00247CE6" w:rsidRPr="00F0379F">
        <w:rPr>
          <w:rFonts w:cs="Arial"/>
          <w:szCs w:val="18"/>
        </w:rPr>
        <w:t xml:space="preserve">urther </w:t>
      </w:r>
      <w:r w:rsidRPr="00F0379F">
        <w:rPr>
          <w:rFonts w:cs="Arial"/>
          <w:szCs w:val="18"/>
        </w:rPr>
        <w:t>solutions</w:t>
      </w:r>
      <w:r w:rsidR="00247CE6" w:rsidRPr="00F0379F">
        <w:rPr>
          <w:rFonts w:cs="Arial"/>
          <w:szCs w:val="18"/>
        </w:rPr>
        <w:t xml:space="preserve"> to mitigate environmental impact of the plant,</w:t>
      </w:r>
      <w:r w:rsidRPr="00F0379F">
        <w:rPr>
          <w:rFonts w:cs="Arial"/>
          <w:szCs w:val="18"/>
        </w:rPr>
        <w:t xml:space="preserve"> which</w:t>
      </w:r>
      <w:r w:rsidR="00247CE6" w:rsidRPr="00F0379F">
        <w:rPr>
          <w:rFonts w:cs="Arial"/>
          <w:szCs w:val="18"/>
        </w:rPr>
        <w:t xml:space="preserve"> could also become part of the above</w:t>
      </w:r>
      <w:r w:rsidRPr="00F0379F">
        <w:rPr>
          <w:rFonts w:cs="Arial"/>
          <w:szCs w:val="18"/>
        </w:rPr>
        <w:t xml:space="preserve">-mentioned </w:t>
      </w:r>
      <w:r w:rsidR="00247CE6" w:rsidRPr="00F0379F">
        <w:rPr>
          <w:rFonts w:cs="Arial"/>
          <w:szCs w:val="18"/>
        </w:rPr>
        <w:t>projects in form of investment in equipment and materials;</w:t>
      </w:r>
    </w:p>
    <w:p w14:paraId="59DFAD3C" w14:textId="1B6E69C7" w:rsidR="00247CE6" w:rsidRDefault="0050313B" w:rsidP="000A5EAE">
      <w:pPr>
        <w:pStyle w:val="Paragrafoelenco"/>
        <w:numPr>
          <w:ilvl w:val="0"/>
          <w:numId w:val="24"/>
        </w:numPr>
        <w:tabs>
          <w:tab w:val="clear" w:pos="7100"/>
        </w:tabs>
        <w:ind w:left="284" w:hanging="284"/>
        <w:rPr>
          <w:rFonts w:cs="Arial"/>
          <w:szCs w:val="18"/>
        </w:rPr>
      </w:pPr>
      <w:r w:rsidRPr="00F0379F">
        <w:rPr>
          <w:rFonts w:cs="Arial"/>
          <w:szCs w:val="18"/>
        </w:rPr>
        <w:t>a</w:t>
      </w:r>
      <w:r w:rsidR="00247CE6" w:rsidRPr="00F0379F">
        <w:rPr>
          <w:rFonts w:cs="Arial"/>
          <w:szCs w:val="18"/>
        </w:rPr>
        <w:t xml:space="preserve"> check of sustainability and hazard reduction of the plants process</w:t>
      </w:r>
      <w:r w:rsidR="00F95930">
        <w:rPr>
          <w:rFonts w:cs="Arial"/>
          <w:szCs w:val="18"/>
        </w:rPr>
        <w:t xml:space="preserve"> possibly according to inherent safety principles and </w:t>
      </w:r>
      <w:r w:rsidR="00247CE6" w:rsidRPr="00F0379F">
        <w:rPr>
          <w:rFonts w:cs="Arial"/>
          <w:szCs w:val="18"/>
        </w:rPr>
        <w:t xml:space="preserve">ZDHC </w:t>
      </w:r>
      <w:r w:rsidR="00F95930">
        <w:rPr>
          <w:rFonts w:cs="Arial"/>
          <w:szCs w:val="18"/>
        </w:rPr>
        <w:t>approach including</w:t>
      </w:r>
      <w:r w:rsidR="00E85383">
        <w:rPr>
          <w:rFonts w:cs="Arial"/>
          <w:szCs w:val="18"/>
        </w:rPr>
        <w:t>,</w:t>
      </w:r>
      <w:r w:rsidR="00F95930">
        <w:rPr>
          <w:rFonts w:cs="Arial"/>
          <w:szCs w:val="18"/>
        </w:rPr>
        <w:t xml:space="preserve"> as well</w:t>
      </w:r>
      <w:r w:rsidR="00E85383">
        <w:rPr>
          <w:rFonts w:cs="Arial"/>
          <w:szCs w:val="18"/>
        </w:rPr>
        <w:t>,</w:t>
      </w:r>
      <w:r w:rsidR="00416697" w:rsidRPr="00F0379F">
        <w:rPr>
          <w:rFonts w:cs="Arial"/>
          <w:szCs w:val="18"/>
        </w:rPr>
        <w:t xml:space="preserve"> </w:t>
      </w:r>
      <w:r w:rsidR="00247CE6" w:rsidRPr="00F0379F">
        <w:rPr>
          <w:rFonts w:cs="Arial"/>
          <w:szCs w:val="18"/>
        </w:rPr>
        <w:t xml:space="preserve">a further </w:t>
      </w:r>
      <w:r w:rsidR="00F95930">
        <w:rPr>
          <w:rFonts w:cs="Arial"/>
          <w:szCs w:val="18"/>
        </w:rPr>
        <w:t>assessment</w:t>
      </w:r>
      <w:r w:rsidR="00247CE6" w:rsidRPr="00F0379F">
        <w:rPr>
          <w:rFonts w:cs="Arial"/>
          <w:szCs w:val="18"/>
        </w:rPr>
        <w:t xml:space="preserve"> of the overall factory impact.</w:t>
      </w:r>
    </w:p>
    <w:p w14:paraId="4FD675D8" w14:textId="33A7D8E8" w:rsidR="00BC53AD" w:rsidRPr="00B57B36" w:rsidRDefault="00BC53AD" w:rsidP="00BC53AD">
      <w:pPr>
        <w:pStyle w:val="CETTabletitle"/>
      </w:pPr>
      <w:r w:rsidRPr="00B57B36">
        <w:t xml:space="preserve">Table </w:t>
      </w:r>
      <w:r w:rsidR="00B7324C">
        <w:t>2</w:t>
      </w:r>
      <w:r w:rsidRPr="00B57B36">
        <w:t xml:space="preserve">: </w:t>
      </w:r>
      <w:r w:rsidR="008165C9">
        <w:t>Evaluation of KPI and relative performance evaluation</w:t>
      </w:r>
    </w:p>
    <w:tbl>
      <w:tblPr>
        <w:tblW w:w="8931"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409"/>
        <w:gridCol w:w="801"/>
        <w:gridCol w:w="901"/>
        <w:gridCol w:w="1558"/>
        <w:gridCol w:w="1417"/>
        <w:gridCol w:w="994"/>
        <w:gridCol w:w="851"/>
      </w:tblGrid>
      <w:tr w:rsidR="006D7536" w:rsidRPr="00B57B36" w14:paraId="6D08CB70" w14:textId="56965807" w:rsidTr="00423D00">
        <w:tc>
          <w:tcPr>
            <w:tcW w:w="2409" w:type="dxa"/>
            <w:tcBorders>
              <w:top w:val="single" w:sz="12" w:space="0" w:color="008000"/>
              <w:bottom w:val="single" w:sz="6" w:space="0" w:color="008000"/>
            </w:tcBorders>
            <w:shd w:val="clear" w:color="auto" w:fill="FFFFFF"/>
          </w:tcPr>
          <w:p w14:paraId="7173AF44" w14:textId="44EDDFFD" w:rsidR="008E5EE8" w:rsidRPr="00B57B36" w:rsidRDefault="008E5EE8" w:rsidP="008E5EE8">
            <w:pPr>
              <w:pStyle w:val="CETBodytext"/>
              <w:jc w:val="center"/>
              <w:rPr>
                <w:lang w:val="en-GB"/>
              </w:rPr>
            </w:pPr>
            <w:r>
              <w:rPr>
                <w:lang w:val="en-GB"/>
              </w:rPr>
              <w:t>KPI</w:t>
            </w:r>
          </w:p>
        </w:tc>
        <w:tc>
          <w:tcPr>
            <w:tcW w:w="801" w:type="dxa"/>
            <w:tcBorders>
              <w:top w:val="single" w:sz="12" w:space="0" w:color="008000"/>
              <w:bottom w:val="single" w:sz="6" w:space="0" w:color="008000"/>
            </w:tcBorders>
            <w:shd w:val="clear" w:color="auto" w:fill="FFFFFF"/>
          </w:tcPr>
          <w:p w14:paraId="441E92CA" w14:textId="62C27E2D" w:rsidR="008E5EE8" w:rsidRPr="00B367B5" w:rsidRDefault="008E5EE8" w:rsidP="008E5EE8">
            <w:pPr>
              <w:pStyle w:val="CETBodytext"/>
              <w:jc w:val="center"/>
              <w:rPr>
                <w:i/>
                <w:iCs/>
                <w:lang w:val="en-GB"/>
              </w:rPr>
            </w:pPr>
            <w:r w:rsidRPr="00B367B5">
              <w:rPr>
                <w:i/>
                <w:iCs/>
                <w:lang w:val="en-GB"/>
              </w:rPr>
              <w:t xml:space="preserve">KPI </w:t>
            </w:r>
            <w:r w:rsidR="008D04B7">
              <w:rPr>
                <w:i/>
                <w:iCs/>
                <w:lang w:val="en-GB"/>
              </w:rPr>
              <w:t>site</w:t>
            </w:r>
            <w:r w:rsidRPr="00B367B5">
              <w:rPr>
                <w:i/>
                <w:iCs/>
                <w:lang w:val="en-GB"/>
              </w:rPr>
              <w:t xml:space="preserve"> baseline</w:t>
            </w:r>
          </w:p>
        </w:tc>
        <w:tc>
          <w:tcPr>
            <w:tcW w:w="901" w:type="dxa"/>
            <w:tcBorders>
              <w:top w:val="single" w:sz="12" w:space="0" w:color="008000"/>
              <w:bottom w:val="single" w:sz="6" w:space="0" w:color="008000"/>
            </w:tcBorders>
            <w:shd w:val="clear" w:color="auto" w:fill="FFFFFF"/>
          </w:tcPr>
          <w:p w14:paraId="32390E12" w14:textId="14A05F5D" w:rsidR="008E5EE8" w:rsidRDefault="008E5EE8" w:rsidP="008E5EE8">
            <w:pPr>
              <w:pStyle w:val="CETBodytext"/>
              <w:jc w:val="center"/>
              <w:rPr>
                <w:i/>
                <w:iCs/>
                <w:lang w:val="en-GB"/>
              </w:rPr>
            </w:pPr>
            <w:r w:rsidRPr="00B367B5">
              <w:rPr>
                <w:i/>
                <w:iCs/>
                <w:lang w:val="en-GB"/>
              </w:rPr>
              <w:t xml:space="preserve">KPI </w:t>
            </w:r>
            <w:r w:rsidR="008D04B7">
              <w:rPr>
                <w:i/>
                <w:iCs/>
                <w:lang w:val="en-GB"/>
              </w:rPr>
              <w:t>site</w:t>
            </w:r>
            <w:r w:rsidRPr="00B367B5">
              <w:rPr>
                <w:i/>
                <w:iCs/>
                <w:lang w:val="en-GB"/>
              </w:rPr>
              <w:t xml:space="preserve"> </w:t>
            </w:r>
          </w:p>
          <w:p w14:paraId="7E17AEB2" w14:textId="30E09175" w:rsidR="008E5EE8" w:rsidRPr="00B367B5" w:rsidRDefault="008E5EE8" w:rsidP="008E5EE8">
            <w:pPr>
              <w:pStyle w:val="CETBodytext"/>
              <w:jc w:val="center"/>
              <w:rPr>
                <w:i/>
                <w:iCs/>
                <w:lang w:val="en-GB"/>
              </w:rPr>
            </w:pPr>
            <w:r>
              <w:rPr>
                <w:i/>
                <w:iCs/>
                <w:lang w:val="en-GB"/>
              </w:rPr>
              <w:t>project</w:t>
            </w:r>
          </w:p>
        </w:tc>
        <w:tc>
          <w:tcPr>
            <w:tcW w:w="1558" w:type="dxa"/>
            <w:tcBorders>
              <w:top w:val="single" w:sz="12" w:space="0" w:color="008000"/>
              <w:bottom w:val="single" w:sz="6" w:space="0" w:color="008000"/>
            </w:tcBorders>
            <w:shd w:val="clear" w:color="auto" w:fill="FFFFFF"/>
          </w:tcPr>
          <w:p w14:paraId="6D95F18D" w14:textId="49A6D701" w:rsidR="008E5EE8" w:rsidRPr="00B57B36" w:rsidRDefault="006D7536" w:rsidP="008E5EE8">
            <w:pPr>
              <w:pStyle w:val="CETBodytext"/>
              <w:jc w:val="center"/>
              <w:rPr>
                <w:lang w:val="en-GB"/>
              </w:rPr>
            </w:pPr>
            <w:r>
              <w:rPr>
                <w:lang w:val="en-GB"/>
              </w:rPr>
              <w:t>High</w:t>
            </w:r>
            <w:r w:rsidR="008E5EE8">
              <w:rPr>
                <w:lang w:val="en-GB"/>
              </w:rPr>
              <w:t xml:space="preserve"> performance benchmark</w:t>
            </w:r>
          </w:p>
        </w:tc>
        <w:tc>
          <w:tcPr>
            <w:tcW w:w="1417" w:type="dxa"/>
            <w:tcBorders>
              <w:top w:val="single" w:sz="12" w:space="0" w:color="008000"/>
              <w:bottom w:val="single" w:sz="6" w:space="0" w:color="008000"/>
            </w:tcBorders>
            <w:shd w:val="clear" w:color="auto" w:fill="FFFFFF"/>
          </w:tcPr>
          <w:p w14:paraId="2C60970D" w14:textId="73332C43" w:rsidR="008E5EE8" w:rsidRPr="00B57B36" w:rsidRDefault="008E5EE8" w:rsidP="008E5EE8">
            <w:pPr>
              <w:pStyle w:val="CETBodytext"/>
              <w:ind w:right="-1"/>
              <w:jc w:val="center"/>
              <w:rPr>
                <w:rFonts w:cs="Arial"/>
                <w:szCs w:val="18"/>
                <w:lang w:val="en-GB"/>
              </w:rPr>
            </w:pPr>
            <w:r>
              <w:rPr>
                <w:rFonts w:cs="Arial"/>
                <w:szCs w:val="18"/>
                <w:lang w:val="en-GB"/>
              </w:rPr>
              <w:t xml:space="preserve">Low </w:t>
            </w:r>
            <w:r w:rsidR="00AB57C1">
              <w:rPr>
                <w:rFonts w:cs="Arial"/>
                <w:szCs w:val="18"/>
                <w:lang w:val="en-GB"/>
              </w:rPr>
              <w:t>performance benchmark</w:t>
            </w:r>
          </w:p>
        </w:tc>
        <w:tc>
          <w:tcPr>
            <w:tcW w:w="994" w:type="dxa"/>
            <w:tcBorders>
              <w:top w:val="single" w:sz="12" w:space="0" w:color="008000"/>
              <w:bottom w:val="single" w:sz="6" w:space="0" w:color="008000"/>
            </w:tcBorders>
            <w:shd w:val="clear" w:color="auto" w:fill="FFFFFF"/>
          </w:tcPr>
          <w:p w14:paraId="108F85B3" w14:textId="08FB981E" w:rsidR="008E5EE8" w:rsidRPr="007C27F4" w:rsidRDefault="008E5EE8" w:rsidP="008E5EE8">
            <w:pPr>
              <w:pStyle w:val="CETBodytext"/>
              <w:ind w:right="-1"/>
              <w:jc w:val="center"/>
              <w:rPr>
                <w:rFonts w:cs="Arial"/>
                <w:szCs w:val="18"/>
                <w:lang w:val="en-GB"/>
              </w:rPr>
            </w:pPr>
            <w:r w:rsidRPr="007C27F4">
              <w:rPr>
                <w:rFonts w:cs="Arial"/>
                <w:szCs w:val="18"/>
                <w:lang w:val="en-GB"/>
              </w:rPr>
              <w:t>KPI score baseline</w:t>
            </w:r>
            <w:r w:rsidR="00963433">
              <w:rPr>
                <w:rFonts w:cs="Arial"/>
                <w:szCs w:val="18"/>
                <w:lang w:val="en-GB"/>
              </w:rPr>
              <w:t xml:space="preserve"> </w:t>
            </w:r>
            <w:r w:rsidR="00423D00" w:rsidRPr="007C27F4">
              <w:rPr>
                <w:rFonts w:cs="Arial"/>
                <w:szCs w:val="18"/>
                <w:lang w:val="en-GB"/>
              </w:rPr>
              <w:t>[%]</w:t>
            </w:r>
          </w:p>
        </w:tc>
        <w:tc>
          <w:tcPr>
            <w:tcW w:w="851" w:type="dxa"/>
            <w:tcBorders>
              <w:top w:val="single" w:sz="12" w:space="0" w:color="008000"/>
              <w:bottom w:val="single" w:sz="6" w:space="0" w:color="008000"/>
            </w:tcBorders>
            <w:shd w:val="clear" w:color="auto" w:fill="FFFFFF"/>
          </w:tcPr>
          <w:p w14:paraId="60BBFB74" w14:textId="7AA13A9F" w:rsidR="008E5EE8" w:rsidRPr="007C27F4" w:rsidRDefault="008E5EE8" w:rsidP="008165C9">
            <w:pPr>
              <w:pStyle w:val="CETBodytext"/>
              <w:ind w:right="-1"/>
              <w:jc w:val="center"/>
              <w:rPr>
                <w:rFonts w:cs="Arial"/>
                <w:szCs w:val="18"/>
                <w:lang w:val="en-GB"/>
              </w:rPr>
            </w:pPr>
            <w:r w:rsidRPr="007C27F4">
              <w:rPr>
                <w:rFonts w:cs="Arial"/>
                <w:szCs w:val="18"/>
                <w:lang w:val="en-GB"/>
              </w:rPr>
              <w:t>KPI score project</w:t>
            </w:r>
            <w:r w:rsidR="00423D00" w:rsidRPr="007C27F4">
              <w:rPr>
                <w:rFonts w:cs="Arial"/>
                <w:szCs w:val="18"/>
                <w:lang w:val="en-GB"/>
              </w:rPr>
              <w:t xml:space="preserve"> [%]</w:t>
            </w:r>
          </w:p>
        </w:tc>
      </w:tr>
      <w:tr w:rsidR="006D7536" w:rsidRPr="00B57B36" w14:paraId="6164C237" w14:textId="26AA7519" w:rsidTr="00423D00">
        <w:tc>
          <w:tcPr>
            <w:tcW w:w="2409" w:type="dxa"/>
            <w:shd w:val="clear" w:color="auto" w:fill="FFFFFF"/>
          </w:tcPr>
          <w:p w14:paraId="0571765C" w14:textId="0707746E" w:rsidR="008E5EE8" w:rsidRPr="00B57B36" w:rsidRDefault="008E5EE8" w:rsidP="00AB57C1">
            <w:pPr>
              <w:pStyle w:val="CETBodytext"/>
              <w:rPr>
                <w:lang w:val="en-GB"/>
              </w:rPr>
            </w:pPr>
            <w:r>
              <w:rPr>
                <w:lang w:val="en-GB"/>
              </w:rPr>
              <w:t>Raw material</w:t>
            </w:r>
            <w:r w:rsidR="00E06FBE">
              <w:rPr>
                <w:lang w:val="en-GB"/>
              </w:rPr>
              <w:t xml:space="preserve"> </w:t>
            </w:r>
            <w:r>
              <w:rPr>
                <w:lang w:val="en-GB"/>
              </w:rPr>
              <w:t xml:space="preserve">[t/t </w:t>
            </w:r>
            <w:r w:rsidRPr="00E06FBE">
              <w:rPr>
                <w:vertAlign w:val="subscript"/>
                <w:lang w:val="en-GB"/>
              </w:rPr>
              <w:t>product</w:t>
            </w:r>
            <w:r>
              <w:rPr>
                <w:lang w:val="en-GB"/>
              </w:rPr>
              <w:t>]</w:t>
            </w:r>
          </w:p>
        </w:tc>
        <w:tc>
          <w:tcPr>
            <w:tcW w:w="801" w:type="dxa"/>
            <w:shd w:val="clear" w:color="auto" w:fill="FFFFFF"/>
          </w:tcPr>
          <w:p w14:paraId="5D3834F6" w14:textId="42EC3D2D" w:rsidR="008E5EE8" w:rsidRPr="00B367B5" w:rsidRDefault="00E06FBE" w:rsidP="008E5EE8">
            <w:pPr>
              <w:pStyle w:val="CETBodytext"/>
              <w:jc w:val="center"/>
              <w:rPr>
                <w:i/>
                <w:iCs/>
                <w:lang w:val="en-GB"/>
              </w:rPr>
            </w:pPr>
            <w:r>
              <w:rPr>
                <w:i/>
                <w:iCs/>
                <w:lang w:val="en-GB"/>
              </w:rPr>
              <w:t>1.06</w:t>
            </w:r>
          </w:p>
        </w:tc>
        <w:tc>
          <w:tcPr>
            <w:tcW w:w="901" w:type="dxa"/>
            <w:shd w:val="clear" w:color="auto" w:fill="FFFFFF"/>
          </w:tcPr>
          <w:p w14:paraId="6CD665D6" w14:textId="32D47263" w:rsidR="008E5EE8" w:rsidRPr="00B367B5" w:rsidRDefault="00E06FBE" w:rsidP="008E5EE8">
            <w:pPr>
              <w:pStyle w:val="CETBodytext"/>
              <w:jc w:val="center"/>
              <w:rPr>
                <w:i/>
                <w:iCs/>
                <w:lang w:val="en-GB"/>
              </w:rPr>
            </w:pPr>
            <w:r>
              <w:rPr>
                <w:i/>
                <w:iCs/>
                <w:lang w:val="en-GB"/>
              </w:rPr>
              <w:t>1.06</w:t>
            </w:r>
          </w:p>
        </w:tc>
        <w:tc>
          <w:tcPr>
            <w:tcW w:w="1558" w:type="dxa"/>
            <w:shd w:val="clear" w:color="auto" w:fill="FFFFFF"/>
          </w:tcPr>
          <w:p w14:paraId="780DA858" w14:textId="2C9AA160" w:rsidR="008E5EE8" w:rsidRPr="00B57B36" w:rsidRDefault="00E06FBE" w:rsidP="008E5EE8">
            <w:pPr>
              <w:pStyle w:val="CETBodytext"/>
              <w:jc w:val="center"/>
              <w:rPr>
                <w:lang w:val="en-GB"/>
              </w:rPr>
            </w:pPr>
            <w:r>
              <w:rPr>
                <w:lang w:val="en-GB"/>
              </w:rPr>
              <w:t>1.01</w:t>
            </w:r>
          </w:p>
        </w:tc>
        <w:tc>
          <w:tcPr>
            <w:tcW w:w="1417" w:type="dxa"/>
            <w:shd w:val="clear" w:color="auto" w:fill="FFFFFF"/>
          </w:tcPr>
          <w:p w14:paraId="3F001D7F" w14:textId="0BC1AD3F" w:rsidR="008E5EE8" w:rsidRPr="00B57B36" w:rsidRDefault="00E06FBE" w:rsidP="008E5EE8">
            <w:pPr>
              <w:pStyle w:val="CETBodytext"/>
              <w:ind w:right="-1"/>
              <w:jc w:val="center"/>
              <w:rPr>
                <w:rFonts w:cs="Arial"/>
                <w:szCs w:val="18"/>
                <w:lang w:val="en-GB"/>
              </w:rPr>
            </w:pPr>
            <w:r>
              <w:rPr>
                <w:rFonts w:cs="Arial"/>
                <w:szCs w:val="18"/>
                <w:lang w:val="en-GB"/>
              </w:rPr>
              <w:t>1.25</w:t>
            </w:r>
          </w:p>
        </w:tc>
        <w:tc>
          <w:tcPr>
            <w:tcW w:w="994" w:type="dxa"/>
            <w:shd w:val="clear" w:color="auto" w:fill="FFFFFF"/>
          </w:tcPr>
          <w:p w14:paraId="02786FC6" w14:textId="57BE312E" w:rsidR="008E5EE8" w:rsidRPr="00B57B36" w:rsidRDefault="00E06FBE" w:rsidP="008E5EE8">
            <w:pPr>
              <w:pStyle w:val="CETBodytext"/>
              <w:ind w:right="-1"/>
              <w:jc w:val="center"/>
              <w:rPr>
                <w:rFonts w:cs="Arial"/>
                <w:szCs w:val="18"/>
                <w:lang w:val="en-GB"/>
              </w:rPr>
            </w:pPr>
            <w:r>
              <w:rPr>
                <w:rFonts w:cs="Arial"/>
                <w:szCs w:val="18"/>
                <w:lang w:val="en-GB"/>
              </w:rPr>
              <w:t>88.2</w:t>
            </w:r>
          </w:p>
        </w:tc>
        <w:tc>
          <w:tcPr>
            <w:tcW w:w="851" w:type="dxa"/>
            <w:shd w:val="clear" w:color="auto" w:fill="FFFFFF"/>
          </w:tcPr>
          <w:p w14:paraId="745AFF65" w14:textId="2354D2E3" w:rsidR="008E5EE8" w:rsidRPr="00B57B36" w:rsidRDefault="00E06FBE" w:rsidP="008165C9">
            <w:pPr>
              <w:pStyle w:val="CETBodytext"/>
              <w:ind w:right="-1"/>
              <w:jc w:val="center"/>
              <w:rPr>
                <w:rFonts w:cs="Arial"/>
                <w:szCs w:val="18"/>
                <w:lang w:val="en-GB"/>
              </w:rPr>
            </w:pPr>
            <w:r>
              <w:rPr>
                <w:rFonts w:cs="Arial"/>
                <w:szCs w:val="18"/>
                <w:lang w:val="en-GB"/>
              </w:rPr>
              <w:t>88.2</w:t>
            </w:r>
          </w:p>
        </w:tc>
      </w:tr>
      <w:tr w:rsidR="006369E2" w:rsidRPr="00B57B36" w14:paraId="65AC4D48" w14:textId="77777777" w:rsidTr="00423D00">
        <w:tc>
          <w:tcPr>
            <w:tcW w:w="2409" w:type="dxa"/>
            <w:shd w:val="clear" w:color="auto" w:fill="FFFFFF"/>
          </w:tcPr>
          <w:p w14:paraId="7359785E" w14:textId="3F44E14F" w:rsidR="006369E2" w:rsidRDefault="006369E2" w:rsidP="00AB57C1">
            <w:pPr>
              <w:pStyle w:val="CETBodytext"/>
              <w:rPr>
                <w:lang w:val="en-GB"/>
              </w:rPr>
            </w:pPr>
            <w:r>
              <w:rPr>
                <w:lang w:val="en-GB"/>
              </w:rPr>
              <w:t xml:space="preserve">Primary energy purchase [kWh/t </w:t>
            </w:r>
            <w:r w:rsidRPr="00E06FBE">
              <w:rPr>
                <w:vertAlign w:val="subscript"/>
                <w:lang w:val="en-GB"/>
              </w:rPr>
              <w:t>product</w:t>
            </w:r>
            <w:r>
              <w:rPr>
                <w:lang w:val="en-GB"/>
              </w:rPr>
              <w:t>]</w:t>
            </w:r>
          </w:p>
        </w:tc>
        <w:tc>
          <w:tcPr>
            <w:tcW w:w="801" w:type="dxa"/>
            <w:shd w:val="clear" w:color="auto" w:fill="FFFFFF"/>
          </w:tcPr>
          <w:p w14:paraId="4A6BA5E2" w14:textId="434E64DD" w:rsidR="006369E2" w:rsidRPr="00B367B5" w:rsidRDefault="006D7536" w:rsidP="008E5EE8">
            <w:pPr>
              <w:pStyle w:val="CETBodytext"/>
              <w:jc w:val="center"/>
              <w:rPr>
                <w:i/>
                <w:iCs/>
                <w:lang w:val="en-GB"/>
              </w:rPr>
            </w:pPr>
            <w:r>
              <w:rPr>
                <w:i/>
                <w:iCs/>
                <w:lang w:val="en-GB"/>
              </w:rPr>
              <w:t>17,325.76</w:t>
            </w:r>
          </w:p>
        </w:tc>
        <w:tc>
          <w:tcPr>
            <w:tcW w:w="901" w:type="dxa"/>
            <w:shd w:val="clear" w:color="auto" w:fill="FFFFFF"/>
          </w:tcPr>
          <w:p w14:paraId="1EC7B322" w14:textId="52D6064D" w:rsidR="006369E2" w:rsidRPr="00B367B5" w:rsidRDefault="006D7536" w:rsidP="008E5EE8">
            <w:pPr>
              <w:pStyle w:val="CETBodytext"/>
              <w:jc w:val="center"/>
              <w:rPr>
                <w:i/>
                <w:iCs/>
                <w:lang w:val="en-GB"/>
              </w:rPr>
            </w:pPr>
            <w:r>
              <w:rPr>
                <w:i/>
                <w:iCs/>
                <w:lang w:val="en-GB"/>
              </w:rPr>
              <w:t>16,531.34</w:t>
            </w:r>
          </w:p>
        </w:tc>
        <w:tc>
          <w:tcPr>
            <w:tcW w:w="1558" w:type="dxa"/>
            <w:shd w:val="clear" w:color="auto" w:fill="FFFFFF"/>
          </w:tcPr>
          <w:p w14:paraId="6E2FE5A2" w14:textId="2115A3B5" w:rsidR="006369E2" w:rsidRPr="00B57B36" w:rsidRDefault="006D7536" w:rsidP="008E5EE8">
            <w:pPr>
              <w:pStyle w:val="CETBodytext"/>
              <w:jc w:val="center"/>
              <w:rPr>
                <w:lang w:val="en-GB"/>
              </w:rPr>
            </w:pPr>
            <w:r>
              <w:rPr>
                <w:lang w:val="en-GB"/>
              </w:rPr>
              <w:t>4</w:t>
            </w:r>
            <w:r w:rsidR="008D04B7">
              <w:rPr>
                <w:lang w:val="en-GB"/>
              </w:rPr>
              <w:t>,</w:t>
            </w:r>
            <w:r>
              <w:rPr>
                <w:lang w:val="en-GB"/>
              </w:rPr>
              <w:t>000</w:t>
            </w:r>
          </w:p>
        </w:tc>
        <w:tc>
          <w:tcPr>
            <w:tcW w:w="1417" w:type="dxa"/>
            <w:shd w:val="clear" w:color="auto" w:fill="FFFFFF"/>
          </w:tcPr>
          <w:p w14:paraId="3E89603A" w14:textId="53E09EA6" w:rsidR="006369E2" w:rsidRPr="00B57B36" w:rsidRDefault="006D7536" w:rsidP="008E5EE8">
            <w:pPr>
              <w:pStyle w:val="CETBodytext"/>
              <w:ind w:right="-1"/>
              <w:jc w:val="center"/>
              <w:rPr>
                <w:rFonts w:cs="Arial"/>
                <w:szCs w:val="18"/>
                <w:lang w:val="en-GB"/>
              </w:rPr>
            </w:pPr>
            <w:r>
              <w:rPr>
                <w:rFonts w:cs="Arial"/>
                <w:szCs w:val="18"/>
                <w:lang w:val="en-GB"/>
              </w:rPr>
              <w:t>70,000</w:t>
            </w:r>
          </w:p>
        </w:tc>
        <w:tc>
          <w:tcPr>
            <w:tcW w:w="994" w:type="dxa"/>
            <w:shd w:val="clear" w:color="auto" w:fill="FFFFFF"/>
          </w:tcPr>
          <w:p w14:paraId="373D6BF6" w14:textId="5BE04F99" w:rsidR="006369E2" w:rsidRPr="00B57B36" w:rsidRDefault="008165C9" w:rsidP="008E5EE8">
            <w:pPr>
              <w:pStyle w:val="CETBodytext"/>
              <w:ind w:right="-1"/>
              <w:jc w:val="center"/>
              <w:rPr>
                <w:rFonts w:cs="Arial"/>
                <w:szCs w:val="18"/>
                <w:lang w:val="en-GB"/>
              </w:rPr>
            </w:pPr>
            <w:r>
              <w:rPr>
                <w:rFonts w:cs="Arial"/>
                <w:szCs w:val="18"/>
                <w:lang w:val="en-GB"/>
              </w:rPr>
              <w:t>87.9</w:t>
            </w:r>
          </w:p>
        </w:tc>
        <w:tc>
          <w:tcPr>
            <w:tcW w:w="851" w:type="dxa"/>
            <w:shd w:val="clear" w:color="auto" w:fill="FFFFFF"/>
          </w:tcPr>
          <w:p w14:paraId="4A637C81" w14:textId="0A42F960" w:rsidR="006369E2" w:rsidRPr="00B57B36" w:rsidRDefault="008165C9" w:rsidP="008165C9">
            <w:pPr>
              <w:pStyle w:val="CETBodytext"/>
              <w:ind w:right="-1"/>
              <w:jc w:val="center"/>
              <w:rPr>
                <w:rFonts w:cs="Arial"/>
                <w:szCs w:val="18"/>
                <w:lang w:val="en-GB"/>
              </w:rPr>
            </w:pPr>
            <w:r>
              <w:rPr>
                <w:rFonts w:cs="Arial"/>
                <w:szCs w:val="18"/>
                <w:lang w:val="en-GB"/>
              </w:rPr>
              <w:t>88.6</w:t>
            </w:r>
          </w:p>
        </w:tc>
      </w:tr>
      <w:tr w:rsidR="006369E2" w:rsidRPr="00B57B36" w14:paraId="75595CE6" w14:textId="77777777" w:rsidTr="00423D00">
        <w:tc>
          <w:tcPr>
            <w:tcW w:w="2409" w:type="dxa"/>
            <w:shd w:val="clear" w:color="auto" w:fill="FFFFFF"/>
          </w:tcPr>
          <w:p w14:paraId="6F281FBA" w14:textId="67B2CA83" w:rsidR="006369E2" w:rsidRDefault="006369E2" w:rsidP="00AB57C1">
            <w:pPr>
              <w:pStyle w:val="CETBodytext"/>
              <w:rPr>
                <w:lang w:val="en-GB"/>
              </w:rPr>
            </w:pPr>
            <w:r>
              <w:rPr>
                <w:lang w:val="en-GB"/>
              </w:rPr>
              <w:t xml:space="preserve">Primary energy consumption [kWh/t </w:t>
            </w:r>
            <w:r w:rsidRPr="00E06FBE">
              <w:rPr>
                <w:vertAlign w:val="subscript"/>
                <w:lang w:val="en-GB"/>
              </w:rPr>
              <w:t>product</w:t>
            </w:r>
            <w:r>
              <w:rPr>
                <w:lang w:val="en-GB"/>
              </w:rPr>
              <w:t>]</w:t>
            </w:r>
          </w:p>
        </w:tc>
        <w:tc>
          <w:tcPr>
            <w:tcW w:w="801" w:type="dxa"/>
            <w:shd w:val="clear" w:color="auto" w:fill="FFFFFF"/>
          </w:tcPr>
          <w:p w14:paraId="715620AD" w14:textId="404D29FC" w:rsidR="006369E2" w:rsidRPr="00B367B5" w:rsidRDefault="006D7536" w:rsidP="008E5EE8">
            <w:pPr>
              <w:pStyle w:val="CETBodytext"/>
              <w:jc w:val="center"/>
              <w:rPr>
                <w:i/>
                <w:iCs/>
                <w:lang w:val="en-GB"/>
              </w:rPr>
            </w:pPr>
            <w:r>
              <w:rPr>
                <w:i/>
                <w:iCs/>
                <w:lang w:val="en-GB"/>
              </w:rPr>
              <w:t>21,963.46</w:t>
            </w:r>
          </w:p>
        </w:tc>
        <w:tc>
          <w:tcPr>
            <w:tcW w:w="901" w:type="dxa"/>
            <w:shd w:val="clear" w:color="auto" w:fill="FFFFFF"/>
          </w:tcPr>
          <w:p w14:paraId="1030723B" w14:textId="3D308664" w:rsidR="006369E2" w:rsidRPr="00B367B5" w:rsidRDefault="006D7536" w:rsidP="008E5EE8">
            <w:pPr>
              <w:pStyle w:val="CETBodytext"/>
              <w:jc w:val="center"/>
              <w:rPr>
                <w:i/>
                <w:iCs/>
                <w:lang w:val="en-GB"/>
              </w:rPr>
            </w:pPr>
            <w:r>
              <w:rPr>
                <w:i/>
                <w:iCs/>
                <w:lang w:val="en-GB"/>
              </w:rPr>
              <w:t>20,934.97</w:t>
            </w:r>
          </w:p>
        </w:tc>
        <w:tc>
          <w:tcPr>
            <w:tcW w:w="1558" w:type="dxa"/>
            <w:shd w:val="clear" w:color="auto" w:fill="FFFFFF"/>
          </w:tcPr>
          <w:p w14:paraId="2D9AEBC5" w14:textId="00FDBBAE" w:rsidR="006369E2" w:rsidRPr="00B57B36" w:rsidRDefault="008D04B7" w:rsidP="008E5EE8">
            <w:pPr>
              <w:pStyle w:val="CETBodytext"/>
              <w:jc w:val="center"/>
              <w:rPr>
                <w:lang w:val="en-GB"/>
              </w:rPr>
            </w:pPr>
            <w:r>
              <w:rPr>
                <w:lang w:val="en-GB"/>
              </w:rPr>
              <w:t>4,000</w:t>
            </w:r>
          </w:p>
        </w:tc>
        <w:tc>
          <w:tcPr>
            <w:tcW w:w="1417" w:type="dxa"/>
            <w:shd w:val="clear" w:color="auto" w:fill="FFFFFF"/>
          </w:tcPr>
          <w:p w14:paraId="2B53B019" w14:textId="41412604" w:rsidR="006369E2" w:rsidRPr="00B57B36" w:rsidRDefault="008D04B7" w:rsidP="008E5EE8">
            <w:pPr>
              <w:pStyle w:val="CETBodytext"/>
              <w:ind w:right="-1"/>
              <w:jc w:val="center"/>
              <w:rPr>
                <w:rFonts w:cs="Arial"/>
                <w:szCs w:val="18"/>
                <w:lang w:val="en-GB"/>
              </w:rPr>
            </w:pPr>
            <w:r>
              <w:rPr>
                <w:rFonts w:cs="Arial"/>
                <w:szCs w:val="18"/>
                <w:lang w:val="en-GB"/>
              </w:rPr>
              <w:t>70,000</w:t>
            </w:r>
          </w:p>
        </w:tc>
        <w:tc>
          <w:tcPr>
            <w:tcW w:w="994" w:type="dxa"/>
            <w:shd w:val="clear" w:color="auto" w:fill="FFFFFF"/>
          </w:tcPr>
          <w:p w14:paraId="44976628" w14:textId="3B9A1C80" w:rsidR="006369E2" w:rsidRPr="00B57B36" w:rsidRDefault="008165C9" w:rsidP="008E5EE8">
            <w:pPr>
              <w:pStyle w:val="CETBodytext"/>
              <w:ind w:right="-1"/>
              <w:jc w:val="center"/>
              <w:rPr>
                <w:rFonts w:cs="Arial"/>
                <w:szCs w:val="18"/>
                <w:lang w:val="en-GB"/>
              </w:rPr>
            </w:pPr>
            <w:r>
              <w:rPr>
                <w:rFonts w:cs="Arial"/>
                <w:szCs w:val="18"/>
                <w:lang w:val="en-GB"/>
              </w:rPr>
              <w:t>83.7</w:t>
            </w:r>
          </w:p>
        </w:tc>
        <w:tc>
          <w:tcPr>
            <w:tcW w:w="851" w:type="dxa"/>
            <w:shd w:val="clear" w:color="auto" w:fill="FFFFFF"/>
          </w:tcPr>
          <w:p w14:paraId="7F36D369" w14:textId="49D0EE6F" w:rsidR="006369E2" w:rsidRPr="00B57B36" w:rsidRDefault="008165C9" w:rsidP="008165C9">
            <w:pPr>
              <w:pStyle w:val="CETBodytext"/>
              <w:ind w:right="-1"/>
              <w:jc w:val="center"/>
              <w:rPr>
                <w:rFonts w:cs="Arial"/>
                <w:szCs w:val="18"/>
                <w:lang w:val="en-GB"/>
              </w:rPr>
            </w:pPr>
            <w:r>
              <w:rPr>
                <w:rFonts w:cs="Arial"/>
                <w:szCs w:val="18"/>
                <w:lang w:val="en-GB"/>
              </w:rPr>
              <w:t>84.6</w:t>
            </w:r>
          </w:p>
        </w:tc>
      </w:tr>
      <w:tr w:rsidR="00312BF7" w:rsidRPr="00B57B36" w14:paraId="6E8C8104" w14:textId="77777777" w:rsidTr="00423D00">
        <w:tc>
          <w:tcPr>
            <w:tcW w:w="2409" w:type="dxa"/>
            <w:shd w:val="clear" w:color="auto" w:fill="FFFFFF"/>
          </w:tcPr>
          <w:p w14:paraId="42ABBBE2" w14:textId="0F494C9B" w:rsidR="00312BF7" w:rsidRPr="006D7536" w:rsidRDefault="00312BF7" w:rsidP="00AB57C1">
            <w:pPr>
              <w:pStyle w:val="CETBodytext"/>
              <w:rPr>
                <w:lang w:val="en-GB"/>
              </w:rPr>
            </w:pPr>
            <w:r>
              <w:rPr>
                <w:lang w:val="en-GB"/>
              </w:rPr>
              <w:t>GHG [kgCO</w:t>
            </w:r>
            <w:r w:rsidRPr="006369E2">
              <w:rPr>
                <w:vertAlign w:val="subscript"/>
                <w:lang w:val="en-GB"/>
              </w:rPr>
              <w:t>2</w:t>
            </w:r>
            <w:r>
              <w:rPr>
                <w:lang w:val="en-GB"/>
              </w:rPr>
              <w:t xml:space="preserve">/t </w:t>
            </w:r>
            <w:r w:rsidRPr="00E06FBE">
              <w:rPr>
                <w:vertAlign w:val="subscript"/>
                <w:lang w:val="en-GB"/>
              </w:rPr>
              <w:t>product</w:t>
            </w:r>
            <w:r>
              <w:rPr>
                <w:lang w:val="en-GB"/>
              </w:rPr>
              <w:t>]</w:t>
            </w:r>
          </w:p>
        </w:tc>
        <w:tc>
          <w:tcPr>
            <w:tcW w:w="801" w:type="dxa"/>
            <w:shd w:val="clear" w:color="auto" w:fill="FFFFFF"/>
          </w:tcPr>
          <w:p w14:paraId="5153951B" w14:textId="631D9583" w:rsidR="00312BF7" w:rsidRPr="00B367B5" w:rsidRDefault="008D04B7" w:rsidP="008E5EE8">
            <w:pPr>
              <w:pStyle w:val="CETBodytext"/>
              <w:jc w:val="center"/>
              <w:rPr>
                <w:i/>
                <w:iCs/>
                <w:lang w:val="en-GB"/>
              </w:rPr>
            </w:pPr>
            <w:r>
              <w:rPr>
                <w:i/>
                <w:iCs/>
                <w:lang w:val="en-GB"/>
              </w:rPr>
              <w:t>3,496.12</w:t>
            </w:r>
          </w:p>
        </w:tc>
        <w:tc>
          <w:tcPr>
            <w:tcW w:w="901" w:type="dxa"/>
            <w:shd w:val="clear" w:color="auto" w:fill="FFFFFF"/>
          </w:tcPr>
          <w:p w14:paraId="0E8C1C01" w14:textId="2561B29A" w:rsidR="00312BF7" w:rsidRPr="00B367B5" w:rsidRDefault="008D04B7" w:rsidP="008E5EE8">
            <w:pPr>
              <w:pStyle w:val="CETBodytext"/>
              <w:jc w:val="center"/>
              <w:rPr>
                <w:i/>
                <w:iCs/>
                <w:lang w:val="en-GB"/>
              </w:rPr>
            </w:pPr>
            <w:r>
              <w:rPr>
                <w:i/>
                <w:iCs/>
                <w:lang w:val="en-GB"/>
              </w:rPr>
              <w:t>3,338.84</w:t>
            </w:r>
          </w:p>
        </w:tc>
        <w:tc>
          <w:tcPr>
            <w:tcW w:w="1558" w:type="dxa"/>
            <w:shd w:val="clear" w:color="auto" w:fill="FFFFFF"/>
          </w:tcPr>
          <w:p w14:paraId="301B1B1F" w14:textId="2D8C0CB3" w:rsidR="00312BF7" w:rsidRPr="00B57B36" w:rsidRDefault="008D04B7" w:rsidP="008E5EE8">
            <w:pPr>
              <w:pStyle w:val="CETBodytext"/>
              <w:jc w:val="center"/>
              <w:rPr>
                <w:lang w:val="en-GB"/>
              </w:rPr>
            </w:pPr>
            <w:r>
              <w:rPr>
                <w:lang w:val="en-GB"/>
              </w:rPr>
              <w:t>1,146.40</w:t>
            </w:r>
          </w:p>
        </w:tc>
        <w:tc>
          <w:tcPr>
            <w:tcW w:w="1417" w:type="dxa"/>
            <w:shd w:val="clear" w:color="auto" w:fill="FFFFFF"/>
          </w:tcPr>
          <w:p w14:paraId="1AEC360D" w14:textId="77869CC9" w:rsidR="00312BF7" w:rsidRPr="00B57B36" w:rsidRDefault="008D04B7" w:rsidP="008E5EE8">
            <w:pPr>
              <w:pStyle w:val="CETBodytext"/>
              <w:ind w:right="-1"/>
              <w:jc w:val="center"/>
              <w:rPr>
                <w:rFonts w:cs="Arial"/>
                <w:szCs w:val="18"/>
                <w:lang w:val="en-GB"/>
              </w:rPr>
            </w:pPr>
            <w:r>
              <w:rPr>
                <w:rFonts w:cs="Arial"/>
                <w:szCs w:val="18"/>
                <w:lang w:val="en-GB"/>
              </w:rPr>
              <w:t>20,795</w:t>
            </w:r>
            <w:r w:rsidR="008165C9">
              <w:rPr>
                <w:rFonts w:cs="Arial"/>
                <w:szCs w:val="18"/>
                <w:lang w:val="en-GB"/>
              </w:rPr>
              <w:t>.76</w:t>
            </w:r>
          </w:p>
        </w:tc>
        <w:tc>
          <w:tcPr>
            <w:tcW w:w="994" w:type="dxa"/>
            <w:shd w:val="clear" w:color="auto" w:fill="FFFFFF"/>
          </w:tcPr>
          <w:p w14:paraId="72E256A1" w14:textId="5DB1E055" w:rsidR="00312BF7" w:rsidRPr="00B57B36" w:rsidRDefault="008165C9" w:rsidP="008E5EE8">
            <w:pPr>
              <w:pStyle w:val="CETBodytext"/>
              <w:ind w:right="-1"/>
              <w:jc w:val="center"/>
              <w:rPr>
                <w:rFonts w:cs="Arial"/>
                <w:szCs w:val="18"/>
                <w:lang w:val="en-GB"/>
              </w:rPr>
            </w:pPr>
            <w:r>
              <w:rPr>
                <w:rFonts w:cs="Arial"/>
                <w:szCs w:val="18"/>
                <w:lang w:val="en-GB"/>
              </w:rPr>
              <w:t>92.8</w:t>
            </w:r>
          </w:p>
        </w:tc>
        <w:tc>
          <w:tcPr>
            <w:tcW w:w="851" w:type="dxa"/>
            <w:shd w:val="clear" w:color="auto" w:fill="FFFFFF"/>
          </w:tcPr>
          <w:p w14:paraId="70224A62" w14:textId="57967680" w:rsidR="00312BF7" w:rsidRPr="00B57B36" w:rsidRDefault="008165C9" w:rsidP="008165C9">
            <w:pPr>
              <w:pStyle w:val="CETBodytext"/>
              <w:ind w:right="-1"/>
              <w:jc w:val="center"/>
              <w:rPr>
                <w:rFonts w:cs="Arial"/>
                <w:szCs w:val="18"/>
                <w:lang w:val="en-GB"/>
              </w:rPr>
            </w:pPr>
            <w:r>
              <w:rPr>
                <w:rFonts w:cs="Arial"/>
                <w:szCs w:val="18"/>
                <w:lang w:val="en-GB"/>
              </w:rPr>
              <w:t>93.3</w:t>
            </w:r>
          </w:p>
        </w:tc>
      </w:tr>
      <w:tr w:rsidR="008D04B7" w:rsidRPr="00B57B36" w14:paraId="4E5ACC8F" w14:textId="77777777" w:rsidTr="00423D00">
        <w:tc>
          <w:tcPr>
            <w:tcW w:w="2409" w:type="dxa"/>
            <w:shd w:val="clear" w:color="auto" w:fill="FFFFFF"/>
          </w:tcPr>
          <w:p w14:paraId="7FC331E5" w14:textId="5A8C2282" w:rsidR="008D04B7" w:rsidRDefault="008D04B7" w:rsidP="006D7536">
            <w:pPr>
              <w:pStyle w:val="CETBodytext"/>
              <w:rPr>
                <w:lang w:val="en-GB"/>
              </w:rPr>
            </w:pPr>
            <w:r>
              <w:rPr>
                <w:lang w:val="en-GB"/>
              </w:rPr>
              <w:t>Freshwater use [</w:t>
            </w:r>
            <w:r w:rsidR="005174CE">
              <w:rPr>
                <w:lang w:val="en-GB"/>
              </w:rPr>
              <w:t>l</w:t>
            </w:r>
            <w:r>
              <w:rPr>
                <w:lang w:val="en-GB"/>
              </w:rPr>
              <w:t xml:space="preserve">/ t </w:t>
            </w:r>
            <w:r w:rsidRPr="00E06FBE">
              <w:rPr>
                <w:vertAlign w:val="subscript"/>
                <w:lang w:val="en-GB"/>
              </w:rPr>
              <w:t>product</w:t>
            </w:r>
            <w:r>
              <w:rPr>
                <w:lang w:val="en-GB"/>
              </w:rPr>
              <w:t>]</w:t>
            </w:r>
          </w:p>
        </w:tc>
        <w:tc>
          <w:tcPr>
            <w:tcW w:w="801" w:type="dxa"/>
            <w:shd w:val="clear" w:color="auto" w:fill="FFFFFF"/>
          </w:tcPr>
          <w:p w14:paraId="7E5E0810" w14:textId="6C84CDDE" w:rsidR="008D04B7" w:rsidRPr="00B367B5" w:rsidRDefault="008D04B7" w:rsidP="008E5EE8">
            <w:pPr>
              <w:pStyle w:val="CETBodytext"/>
              <w:jc w:val="center"/>
              <w:rPr>
                <w:i/>
                <w:iCs/>
                <w:lang w:val="en-GB"/>
              </w:rPr>
            </w:pPr>
            <w:r>
              <w:rPr>
                <w:i/>
                <w:iCs/>
                <w:lang w:val="en-GB"/>
              </w:rPr>
              <w:t>142.13</w:t>
            </w:r>
          </w:p>
        </w:tc>
        <w:tc>
          <w:tcPr>
            <w:tcW w:w="901" w:type="dxa"/>
            <w:shd w:val="clear" w:color="auto" w:fill="FFFFFF"/>
          </w:tcPr>
          <w:p w14:paraId="786840F9" w14:textId="2A320FD4" w:rsidR="008D04B7" w:rsidRPr="00B367B5" w:rsidRDefault="008165C9" w:rsidP="008E5EE8">
            <w:pPr>
              <w:pStyle w:val="CETBodytext"/>
              <w:jc w:val="center"/>
              <w:rPr>
                <w:i/>
                <w:iCs/>
                <w:lang w:val="en-GB"/>
              </w:rPr>
            </w:pPr>
            <w:r>
              <w:rPr>
                <w:i/>
                <w:iCs/>
                <w:lang w:val="en-GB"/>
              </w:rPr>
              <w:t>89.44</w:t>
            </w:r>
          </w:p>
        </w:tc>
        <w:tc>
          <w:tcPr>
            <w:tcW w:w="1558" w:type="dxa"/>
            <w:shd w:val="clear" w:color="auto" w:fill="FFFFFF"/>
          </w:tcPr>
          <w:p w14:paraId="529197B4" w14:textId="771C484A" w:rsidR="008D04B7" w:rsidRPr="00B57B36" w:rsidRDefault="008165C9" w:rsidP="008E5EE8">
            <w:pPr>
              <w:pStyle w:val="CETBodytext"/>
              <w:jc w:val="center"/>
              <w:rPr>
                <w:lang w:val="en-GB"/>
              </w:rPr>
            </w:pPr>
            <w:r>
              <w:rPr>
                <w:lang w:val="en-GB"/>
              </w:rPr>
              <w:t>50.00</w:t>
            </w:r>
          </w:p>
        </w:tc>
        <w:tc>
          <w:tcPr>
            <w:tcW w:w="1417" w:type="dxa"/>
            <w:shd w:val="clear" w:color="auto" w:fill="FFFFFF"/>
          </w:tcPr>
          <w:p w14:paraId="3675A8FC" w14:textId="40449D18" w:rsidR="008D04B7" w:rsidRPr="00B57B36" w:rsidRDefault="008165C9" w:rsidP="008E5EE8">
            <w:pPr>
              <w:pStyle w:val="CETBodytext"/>
              <w:ind w:right="-1"/>
              <w:jc w:val="center"/>
              <w:rPr>
                <w:rFonts w:cs="Arial"/>
                <w:szCs w:val="18"/>
                <w:lang w:val="en-GB"/>
              </w:rPr>
            </w:pPr>
            <w:r>
              <w:rPr>
                <w:rFonts w:cs="Arial"/>
                <w:szCs w:val="18"/>
                <w:lang w:val="en-GB"/>
              </w:rPr>
              <w:t>500.00</w:t>
            </w:r>
          </w:p>
        </w:tc>
        <w:tc>
          <w:tcPr>
            <w:tcW w:w="994" w:type="dxa"/>
            <w:shd w:val="clear" w:color="auto" w:fill="FFFFFF"/>
          </w:tcPr>
          <w:p w14:paraId="5AE0A828" w14:textId="19D72D35" w:rsidR="008D04B7" w:rsidRPr="00B57B36" w:rsidRDefault="008165C9" w:rsidP="008E5EE8">
            <w:pPr>
              <w:pStyle w:val="CETBodytext"/>
              <w:ind w:right="-1"/>
              <w:jc w:val="center"/>
              <w:rPr>
                <w:rFonts w:cs="Arial"/>
                <w:szCs w:val="18"/>
                <w:lang w:val="en-GB"/>
              </w:rPr>
            </w:pPr>
            <w:r>
              <w:rPr>
                <w:rFonts w:cs="Arial"/>
                <w:szCs w:val="18"/>
                <w:lang w:val="en-GB"/>
              </w:rPr>
              <w:t>87.7</w:t>
            </w:r>
          </w:p>
        </w:tc>
        <w:tc>
          <w:tcPr>
            <w:tcW w:w="851" w:type="dxa"/>
            <w:shd w:val="clear" w:color="auto" w:fill="FFFFFF"/>
          </w:tcPr>
          <w:p w14:paraId="779FF3D9" w14:textId="1BF619E0" w:rsidR="008D04B7" w:rsidRPr="00B57B36" w:rsidRDefault="008165C9" w:rsidP="008165C9">
            <w:pPr>
              <w:pStyle w:val="CETBodytext"/>
              <w:ind w:right="-1"/>
              <w:jc w:val="center"/>
              <w:rPr>
                <w:rFonts w:cs="Arial"/>
                <w:szCs w:val="18"/>
                <w:lang w:val="en-GB"/>
              </w:rPr>
            </w:pPr>
            <w:r>
              <w:rPr>
                <w:rFonts w:cs="Arial"/>
                <w:szCs w:val="18"/>
                <w:lang w:val="en-GB"/>
              </w:rPr>
              <w:t>94.7</w:t>
            </w:r>
          </w:p>
        </w:tc>
      </w:tr>
      <w:tr w:rsidR="00312BF7" w:rsidRPr="00B57B36" w14:paraId="6A631150" w14:textId="77777777" w:rsidTr="00423D00">
        <w:tc>
          <w:tcPr>
            <w:tcW w:w="2409" w:type="dxa"/>
            <w:shd w:val="clear" w:color="auto" w:fill="FFFFFF"/>
          </w:tcPr>
          <w:p w14:paraId="26F1A158" w14:textId="2EFFC02A" w:rsidR="00312BF7" w:rsidRDefault="006D7536" w:rsidP="006D7536">
            <w:pPr>
              <w:pStyle w:val="CETBodytext"/>
              <w:rPr>
                <w:lang w:val="en-GB"/>
              </w:rPr>
            </w:pPr>
            <w:r>
              <w:rPr>
                <w:lang w:val="en-GB"/>
              </w:rPr>
              <w:t>Wastewater [</w:t>
            </w:r>
            <w:r w:rsidR="005174CE">
              <w:rPr>
                <w:lang w:val="en-GB"/>
              </w:rPr>
              <w:t>l</w:t>
            </w:r>
            <w:r>
              <w:rPr>
                <w:lang w:val="en-GB"/>
              </w:rPr>
              <w:t xml:space="preserve">/ t </w:t>
            </w:r>
            <w:r w:rsidRPr="00E06FBE">
              <w:rPr>
                <w:vertAlign w:val="subscript"/>
                <w:lang w:val="en-GB"/>
              </w:rPr>
              <w:t>product</w:t>
            </w:r>
            <w:r>
              <w:rPr>
                <w:lang w:val="en-GB"/>
              </w:rPr>
              <w:t>]</w:t>
            </w:r>
          </w:p>
        </w:tc>
        <w:tc>
          <w:tcPr>
            <w:tcW w:w="801" w:type="dxa"/>
            <w:shd w:val="clear" w:color="auto" w:fill="FFFFFF"/>
          </w:tcPr>
          <w:p w14:paraId="1EC77E7E" w14:textId="73E1C818" w:rsidR="00312BF7" w:rsidRPr="00B367B5" w:rsidRDefault="008D04B7" w:rsidP="008E5EE8">
            <w:pPr>
              <w:pStyle w:val="CETBodytext"/>
              <w:jc w:val="center"/>
              <w:rPr>
                <w:i/>
                <w:iCs/>
                <w:lang w:val="en-GB"/>
              </w:rPr>
            </w:pPr>
            <w:r>
              <w:rPr>
                <w:i/>
                <w:iCs/>
                <w:lang w:val="en-GB"/>
              </w:rPr>
              <w:t>142.18</w:t>
            </w:r>
          </w:p>
        </w:tc>
        <w:tc>
          <w:tcPr>
            <w:tcW w:w="901" w:type="dxa"/>
            <w:shd w:val="clear" w:color="auto" w:fill="FFFFFF"/>
          </w:tcPr>
          <w:p w14:paraId="664C7339" w14:textId="6FEEFA44" w:rsidR="00312BF7" w:rsidRPr="00B367B5" w:rsidRDefault="008165C9" w:rsidP="008E5EE8">
            <w:pPr>
              <w:pStyle w:val="CETBodytext"/>
              <w:jc w:val="center"/>
              <w:rPr>
                <w:i/>
                <w:iCs/>
                <w:lang w:val="en-GB"/>
              </w:rPr>
            </w:pPr>
            <w:r>
              <w:rPr>
                <w:i/>
                <w:iCs/>
                <w:lang w:val="en-GB"/>
              </w:rPr>
              <w:t>92.13</w:t>
            </w:r>
          </w:p>
        </w:tc>
        <w:tc>
          <w:tcPr>
            <w:tcW w:w="1558" w:type="dxa"/>
            <w:shd w:val="clear" w:color="auto" w:fill="FFFFFF"/>
          </w:tcPr>
          <w:p w14:paraId="1DED4E8A" w14:textId="79167400" w:rsidR="00312BF7" w:rsidRPr="00B57B36" w:rsidRDefault="008165C9" w:rsidP="008E5EE8">
            <w:pPr>
              <w:pStyle w:val="CETBodytext"/>
              <w:jc w:val="center"/>
              <w:rPr>
                <w:lang w:val="en-GB"/>
              </w:rPr>
            </w:pPr>
            <w:r>
              <w:rPr>
                <w:lang w:val="en-GB"/>
              </w:rPr>
              <w:t>50.00</w:t>
            </w:r>
          </w:p>
        </w:tc>
        <w:tc>
          <w:tcPr>
            <w:tcW w:w="1417" w:type="dxa"/>
            <w:shd w:val="clear" w:color="auto" w:fill="FFFFFF"/>
          </w:tcPr>
          <w:p w14:paraId="33EACF23" w14:textId="1AEA3FE3" w:rsidR="00312BF7" w:rsidRPr="00B57B36" w:rsidRDefault="008165C9" w:rsidP="008E5EE8">
            <w:pPr>
              <w:pStyle w:val="CETBodytext"/>
              <w:ind w:right="-1"/>
              <w:jc w:val="center"/>
              <w:rPr>
                <w:rFonts w:cs="Arial"/>
                <w:szCs w:val="18"/>
                <w:lang w:val="en-GB"/>
              </w:rPr>
            </w:pPr>
            <w:r>
              <w:rPr>
                <w:rFonts w:cs="Arial"/>
                <w:szCs w:val="18"/>
                <w:lang w:val="en-GB"/>
              </w:rPr>
              <w:t>500.00</w:t>
            </w:r>
          </w:p>
        </w:tc>
        <w:tc>
          <w:tcPr>
            <w:tcW w:w="994" w:type="dxa"/>
            <w:shd w:val="clear" w:color="auto" w:fill="FFFFFF"/>
          </w:tcPr>
          <w:p w14:paraId="521944BC" w14:textId="5D2734CE" w:rsidR="00312BF7" w:rsidRPr="00B57B36" w:rsidRDefault="008165C9" w:rsidP="008E5EE8">
            <w:pPr>
              <w:pStyle w:val="CETBodytext"/>
              <w:ind w:right="-1"/>
              <w:jc w:val="center"/>
              <w:rPr>
                <w:rFonts w:cs="Arial"/>
                <w:szCs w:val="18"/>
                <w:lang w:val="en-GB"/>
              </w:rPr>
            </w:pPr>
            <w:r>
              <w:rPr>
                <w:rFonts w:cs="Arial"/>
                <w:szCs w:val="18"/>
                <w:lang w:val="en-GB"/>
              </w:rPr>
              <w:t>87.7</w:t>
            </w:r>
          </w:p>
        </w:tc>
        <w:tc>
          <w:tcPr>
            <w:tcW w:w="851" w:type="dxa"/>
            <w:shd w:val="clear" w:color="auto" w:fill="FFFFFF"/>
          </w:tcPr>
          <w:p w14:paraId="2E6EC407" w14:textId="53A061FB" w:rsidR="00312BF7" w:rsidRPr="00B57B36" w:rsidRDefault="008165C9" w:rsidP="008165C9">
            <w:pPr>
              <w:pStyle w:val="CETBodytext"/>
              <w:ind w:right="-1"/>
              <w:jc w:val="center"/>
              <w:rPr>
                <w:rFonts w:cs="Arial"/>
                <w:szCs w:val="18"/>
                <w:lang w:val="en-GB"/>
              </w:rPr>
            </w:pPr>
            <w:r>
              <w:rPr>
                <w:rFonts w:cs="Arial"/>
                <w:szCs w:val="18"/>
                <w:lang w:val="en-GB"/>
              </w:rPr>
              <w:t>94.4</w:t>
            </w:r>
          </w:p>
        </w:tc>
      </w:tr>
      <w:tr w:rsidR="00312BF7" w:rsidRPr="00B57B36" w14:paraId="23A45CE9" w14:textId="77777777" w:rsidTr="00423D00">
        <w:tc>
          <w:tcPr>
            <w:tcW w:w="2409" w:type="dxa"/>
            <w:shd w:val="clear" w:color="auto" w:fill="FFFFFF"/>
          </w:tcPr>
          <w:p w14:paraId="6F4E9CC4" w14:textId="7765FC62" w:rsidR="00312BF7" w:rsidRDefault="006D7536" w:rsidP="006D7536">
            <w:pPr>
              <w:pStyle w:val="CETBodytext"/>
              <w:rPr>
                <w:lang w:val="en-GB"/>
              </w:rPr>
            </w:pPr>
            <w:r>
              <w:rPr>
                <w:lang w:val="en-GB"/>
              </w:rPr>
              <w:t>Overall technical score project</w:t>
            </w:r>
          </w:p>
        </w:tc>
        <w:tc>
          <w:tcPr>
            <w:tcW w:w="801" w:type="dxa"/>
            <w:shd w:val="clear" w:color="auto" w:fill="FFFFFF"/>
          </w:tcPr>
          <w:p w14:paraId="35E10749" w14:textId="77777777" w:rsidR="00312BF7" w:rsidRPr="00B367B5" w:rsidRDefault="00312BF7" w:rsidP="008E5EE8">
            <w:pPr>
              <w:pStyle w:val="CETBodytext"/>
              <w:jc w:val="center"/>
              <w:rPr>
                <w:i/>
                <w:iCs/>
                <w:lang w:val="en-GB"/>
              </w:rPr>
            </w:pPr>
          </w:p>
        </w:tc>
        <w:tc>
          <w:tcPr>
            <w:tcW w:w="901" w:type="dxa"/>
            <w:shd w:val="clear" w:color="auto" w:fill="FFFFFF"/>
          </w:tcPr>
          <w:p w14:paraId="14E14D92" w14:textId="77777777" w:rsidR="00312BF7" w:rsidRPr="00B367B5" w:rsidRDefault="00312BF7" w:rsidP="008E5EE8">
            <w:pPr>
              <w:pStyle w:val="CETBodytext"/>
              <w:jc w:val="center"/>
              <w:rPr>
                <w:i/>
                <w:iCs/>
                <w:lang w:val="en-GB"/>
              </w:rPr>
            </w:pPr>
          </w:p>
        </w:tc>
        <w:tc>
          <w:tcPr>
            <w:tcW w:w="1558" w:type="dxa"/>
            <w:shd w:val="clear" w:color="auto" w:fill="FFFFFF"/>
          </w:tcPr>
          <w:p w14:paraId="2269898C" w14:textId="77777777" w:rsidR="00312BF7" w:rsidRPr="00B57B36" w:rsidRDefault="00312BF7" w:rsidP="008E5EE8">
            <w:pPr>
              <w:pStyle w:val="CETBodytext"/>
              <w:jc w:val="center"/>
              <w:rPr>
                <w:lang w:val="en-GB"/>
              </w:rPr>
            </w:pPr>
          </w:p>
        </w:tc>
        <w:tc>
          <w:tcPr>
            <w:tcW w:w="1417" w:type="dxa"/>
            <w:shd w:val="clear" w:color="auto" w:fill="FFFFFF"/>
          </w:tcPr>
          <w:p w14:paraId="45CE797B" w14:textId="77777777" w:rsidR="00312BF7" w:rsidRPr="00B57B36" w:rsidRDefault="00312BF7" w:rsidP="008E5EE8">
            <w:pPr>
              <w:pStyle w:val="CETBodytext"/>
              <w:ind w:right="-1"/>
              <w:jc w:val="center"/>
              <w:rPr>
                <w:rFonts w:cs="Arial"/>
                <w:szCs w:val="18"/>
                <w:lang w:val="en-GB"/>
              </w:rPr>
            </w:pPr>
          </w:p>
        </w:tc>
        <w:tc>
          <w:tcPr>
            <w:tcW w:w="994" w:type="dxa"/>
            <w:shd w:val="clear" w:color="auto" w:fill="FFFFFF"/>
          </w:tcPr>
          <w:p w14:paraId="1D173150" w14:textId="70E3CC37" w:rsidR="00312BF7" w:rsidRPr="00B57B36" w:rsidRDefault="008165C9" w:rsidP="008E5EE8">
            <w:pPr>
              <w:pStyle w:val="CETBodytext"/>
              <w:ind w:right="-1"/>
              <w:jc w:val="center"/>
              <w:rPr>
                <w:rFonts w:cs="Arial"/>
                <w:szCs w:val="18"/>
                <w:lang w:val="en-GB"/>
              </w:rPr>
            </w:pPr>
            <w:r>
              <w:rPr>
                <w:rFonts w:cs="Arial"/>
                <w:szCs w:val="18"/>
                <w:lang w:val="en-GB"/>
              </w:rPr>
              <w:t>88.0</w:t>
            </w:r>
          </w:p>
        </w:tc>
        <w:tc>
          <w:tcPr>
            <w:tcW w:w="851" w:type="dxa"/>
            <w:shd w:val="clear" w:color="auto" w:fill="FFFFFF"/>
          </w:tcPr>
          <w:p w14:paraId="1DCB846F" w14:textId="06F3A202" w:rsidR="00312BF7" w:rsidRPr="00B57B36" w:rsidRDefault="008165C9" w:rsidP="008165C9">
            <w:pPr>
              <w:pStyle w:val="CETBodytext"/>
              <w:ind w:right="-1"/>
              <w:jc w:val="center"/>
              <w:rPr>
                <w:rFonts w:cs="Arial"/>
                <w:szCs w:val="18"/>
                <w:lang w:val="en-GB"/>
              </w:rPr>
            </w:pPr>
            <w:r>
              <w:rPr>
                <w:rFonts w:cs="Arial"/>
                <w:szCs w:val="18"/>
                <w:lang w:val="en-GB"/>
              </w:rPr>
              <w:t>90.6</w:t>
            </w:r>
          </w:p>
        </w:tc>
      </w:tr>
    </w:tbl>
    <w:p w14:paraId="37FDF18F" w14:textId="77777777" w:rsidR="00685EFA" w:rsidRDefault="00685EFA" w:rsidP="00685EFA">
      <w:pPr>
        <w:rPr>
          <w:rFonts w:cs="Arial"/>
          <w:szCs w:val="18"/>
        </w:rPr>
      </w:pPr>
    </w:p>
    <w:p w14:paraId="2C5829DA" w14:textId="255ACEEF" w:rsidR="00685EFA" w:rsidRPr="00F0379F" w:rsidRDefault="00685EFA" w:rsidP="00685EFA">
      <w:pPr>
        <w:rPr>
          <w:rFonts w:cs="Arial"/>
          <w:szCs w:val="18"/>
        </w:rPr>
      </w:pPr>
      <w:r>
        <w:rPr>
          <w:rFonts w:cs="Arial"/>
          <w:szCs w:val="18"/>
        </w:rPr>
        <w:t xml:space="preserve">According to </w:t>
      </w:r>
      <w:r w:rsidRPr="00F0379F">
        <w:rPr>
          <w:rFonts w:cs="Arial"/>
          <w:szCs w:val="18"/>
        </w:rPr>
        <w:t xml:space="preserve">the </w:t>
      </w:r>
      <w:r>
        <w:rPr>
          <w:rFonts w:cs="Arial"/>
          <w:szCs w:val="18"/>
        </w:rPr>
        <w:t xml:space="preserve">performed </w:t>
      </w:r>
      <w:r w:rsidRPr="00F0379F">
        <w:rPr>
          <w:rFonts w:cs="Arial"/>
          <w:szCs w:val="18"/>
        </w:rPr>
        <w:t>auditing process</w:t>
      </w:r>
      <w:r w:rsidR="00EF49BE">
        <w:rPr>
          <w:rFonts w:cs="Arial"/>
          <w:szCs w:val="18"/>
        </w:rPr>
        <w:t>, combining textile plant</w:t>
      </w:r>
      <w:r w:rsidR="00EF49BE">
        <w:t xml:space="preserve"> process and life cycle it is possible </w:t>
      </w:r>
      <w:r w:rsidR="00EF49BE">
        <w:rPr>
          <w:rFonts w:cs="Arial"/>
          <w:szCs w:val="18"/>
        </w:rPr>
        <w:t xml:space="preserve">attaining a comprehensive performance profile </w:t>
      </w:r>
      <w:r w:rsidRPr="00F0379F">
        <w:rPr>
          <w:rFonts w:cs="Arial"/>
          <w:szCs w:val="18"/>
        </w:rPr>
        <w:t xml:space="preserve">for the protection of the global environment, especially </w:t>
      </w:r>
      <w:r w:rsidR="00EF49BE">
        <w:rPr>
          <w:rFonts w:cs="Arial"/>
          <w:szCs w:val="18"/>
        </w:rPr>
        <w:t>by proper</w:t>
      </w:r>
      <w:r w:rsidRPr="00F0379F">
        <w:rPr>
          <w:rFonts w:cs="Arial"/>
          <w:szCs w:val="18"/>
        </w:rPr>
        <w:t xml:space="preserve"> selecting the technologies</w:t>
      </w:r>
      <w:r w:rsidR="00EF49BE">
        <w:rPr>
          <w:rFonts w:cs="Arial"/>
          <w:szCs w:val="18"/>
        </w:rPr>
        <w:t xml:space="preserve"> at the design stage</w:t>
      </w:r>
      <w:r w:rsidRPr="00F0379F">
        <w:rPr>
          <w:rFonts w:cs="Arial"/>
          <w:szCs w:val="18"/>
        </w:rPr>
        <w:t xml:space="preserve">, not limiting the efforts to the </w:t>
      </w:r>
      <w:r>
        <w:rPr>
          <w:rFonts w:cs="Arial"/>
          <w:szCs w:val="18"/>
        </w:rPr>
        <w:t>conventional efforts toward</w:t>
      </w:r>
      <w:r w:rsidR="00AB57C1">
        <w:rPr>
          <w:rFonts w:cs="Arial"/>
          <w:szCs w:val="18"/>
        </w:rPr>
        <w:t>s</w:t>
      </w:r>
      <w:r w:rsidRPr="00F0379F">
        <w:rPr>
          <w:rFonts w:cs="Arial"/>
          <w:szCs w:val="18"/>
        </w:rPr>
        <w:t xml:space="preserve"> CAPEX and OPEX reductions and to the local impact parameters.</w:t>
      </w:r>
    </w:p>
    <w:p w14:paraId="0774C100" w14:textId="48AFE76C" w:rsidR="00AC18AE" w:rsidRPr="00F0379F" w:rsidRDefault="00DB564C" w:rsidP="00247CE6">
      <w:pPr>
        <w:rPr>
          <w:rFonts w:cs="Arial"/>
          <w:szCs w:val="18"/>
        </w:rPr>
      </w:pPr>
      <w:r>
        <w:rPr>
          <w:noProof/>
        </w:rPr>
        <w:lastRenderedPageBreak/>
        <w:drawing>
          <wp:inline distT="0" distB="0" distL="0" distR="0" wp14:anchorId="431A58A7" wp14:editId="712115FF">
            <wp:extent cx="3210226" cy="2078686"/>
            <wp:effectExtent l="19050" t="19050" r="9525" b="171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1138" cy="2098702"/>
                    </a:xfrm>
                    <a:prstGeom prst="rect">
                      <a:avLst/>
                    </a:prstGeom>
                    <a:noFill/>
                    <a:ln>
                      <a:solidFill>
                        <a:schemeClr val="tx1"/>
                      </a:solidFill>
                    </a:ln>
                  </pic:spPr>
                </pic:pic>
              </a:graphicData>
            </a:graphic>
          </wp:inline>
        </w:drawing>
      </w:r>
    </w:p>
    <w:p w14:paraId="36AC4A02" w14:textId="0C0A76E4" w:rsidR="00C17F84" w:rsidRDefault="00BC53AD" w:rsidP="00C17F84">
      <w:pPr>
        <w:pStyle w:val="CETHeading1"/>
        <w:rPr>
          <w:rStyle w:val="CETCaptionCarattere"/>
          <w:b w:val="0"/>
          <w:bCs/>
          <w:iCs/>
        </w:rPr>
      </w:pPr>
      <w:r w:rsidRPr="00BE0CA5">
        <w:rPr>
          <w:rStyle w:val="CETCaptionCarattere"/>
          <w:b w:val="0"/>
          <w:bCs/>
          <w:iCs/>
        </w:rPr>
        <w:t xml:space="preserve">Figure </w:t>
      </w:r>
      <w:r w:rsidR="00B7324C" w:rsidRPr="00BE0CA5">
        <w:rPr>
          <w:rStyle w:val="CETCaptionCarattere"/>
          <w:b w:val="0"/>
          <w:bCs/>
          <w:iCs/>
        </w:rPr>
        <w:t>3</w:t>
      </w:r>
      <w:r w:rsidRPr="00BE0CA5">
        <w:rPr>
          <w:rStyle w:val="CETCaptionCarattere"/>
          <w:b w:val="0"/>
          <w:bCs/>
          <w:iCs/>
        </w:rPr>
        <w:t xml:space="preserve">: </w:t>
      </w:r>
      <w:r w:rsidR="006627CF" w:rsidRPr="00BE0CA5">
        <w:rPr>
          <w:rStyle w:val="CETCaptionCarattere"/>
          <w:b w:val="0"/>
          <w:bCs/>
          <w:iCs/>
        </w:rPr>
        <w:t xml:space="preserve">Results of audit </w:t>
      </w:r>
      <w:r w:rsidR="00D24C4F">
        <w:rPr>
          <w:rStyle w:val="CETCaptionCarattere"/>
          <w:b w:val="0"/>
          <w:bCs/>
          <w:iCs/>
        </w:rPr>
        <w:t xml:space="preserve">expressed </w:t>
      </w:r>
      <w:r w:rsidR="00C17F84">
        <w:rPr>
          <w:rStyle w:val="CETCaptionCarattere"/>
          <w:b w:val="0"/>
          <w:bCs/>
          <w:iCs/>
        </w:rPr>
        <w:t>as</w:t>
      </w:r>
      <w:r w:rsidR="006627CF" w:rsidRPr="00BE0CA5">
        <w:rPr>
          <w:rStyle w:val="CETCaptionCarattere"/>
          <w:b w:val="0"/>
          <w:bCs/>
          <w:iCs/>
        </w:rPr>
        <w:t xml:space="preserve"> </w:t>
      </w:r>
      <w:r w:rsidR="00D24C4F">
        <w:rPr>
          <w:rStyle w:val="CETCaptionCarattere"/>
          <w:b w:val="0"/>
          <w:bCs/>
          <w:iCs/>
        </w:rPr>
        <w:t xml:space="preserve">weighed comparison </w:t>
      </w:r>
      <w:r w:rsidR="00D24C4F">
        <w:rPr>
          <w:rStyle w:val="CETCaptionCarattere"/>
          <w:b w:val="0"/>
          <w:bCs/>
          <w:iCs/>
        </w:rPr>
        <w:t xml:space="preserve">between </w:t>
      </w:r>
      <w:r w:rsidR="006627CF" w:rsidRPr="007B40D0">
        <w:rPr>
          <w:rStyle w:val="CETCaptionCarattere"/>
          <w:b w:val="0"/>
          <w:bCs/>
          <w:iCs/>
        </w:rPr>
        <w:t>KPI</w:t>
      </w:r>
      <w:r w:rsidR="00C17F84">
        <w:rPr>
          <w:rStyle w:val="CETCaptionCarattere"/>
          <w:b w:val="0"/>
          <w:bCs/>
          <w:iCs/>
        </w:rPr>
        <w:t>’s</w:t>
      </w:r>
      <w:r w:rsidR="006627CF" w:rsidRPr="007B40D0">
        <w:rPr>
          <w:rStyle w:val="CETCaptionCarattere"/>
          <w:b w:val="0"/>
          <w:bCs/>
          <w:iCs/>
        </w:rPr>
        <w:t xml:space="preserve"> </w:t>
      </w:r>
      <w:r w:rsidR="00D24C4F">
        <w:rPr>
          <w:rStyle w:val="CETCaptionCarattere"/>
          <w:b w:val="0"/>
          <w:bCs/>
          <w:iCs/>
        </w:rPr>
        <w:t xml:space="preserve">and </w:t>
      </w:r>
      <w:r w:rsidR="006319D9" w:rsidRPr="007B40D0">
        <w:rPr>
          <w:rStyle w:val="CETCaptionCarattere"/>
          <w:b w:val="0"/>
          <w:bCs/>
          <w:iCs/>
        </w:rPr>
        <w:t>benchmark</w:t>
      </w:r>
      <w:r w:rsidR="00C17F84">
        <w:rPr>
          <w:rStyle w:val="CETCaptionCarattere"/>
          <w:b w:val="0"/>
          <w:bCs/>
          <w:iCs/>
        </w:rPr>
        <w:t>s</w:t>
      </w:r>
      <w:r w:rsidR="006319D9" w:rsidRPr="007B40D0">
        <w:rPr>
          <w:rStyle w:val="CETCaptionCarattere"/>
          <w:b w:val="0"/>
          <w:bCs/>
          <w:iCs/>
        </w:rPr>
        <w:t xml:space="preserve"> </w:t>
      </w:r>
      <w:r w:rsidR="00D24C4F">
        <w:rPr>
          <w:rStyle w:val="CETCaptionCarattere"/>
          <w:b w:val="0"/>
          <w:bCs/>
          <w:iCs/>
        </w:rPr>
        <w:t xml:space="preserve">range </w:t>
      </w:r>
    </w:p>
    <w:p w14:paraId="5F459183" w14:textId="14CA79B8" w:rsidR="00247CE6" w:rsidRPr="005E5366" w:rsidRDefault="00247CE6" w:rsidP="00C17F84">
      <w:pPr>
        <w:pStyle w:val="CETHeading1"/>
        <w:rPr>
          <w:lang w:val="en-GB"/>
        </w:rPr>
      </w:pPr>
      <w:r w:rsidRPr="005E5366">
        <w:rPr>
          <w:lang w:val="en-GB"/>
        </w:rPr>
        <w:t>Conclusions</w:t>
      </w:r>
    </w:p>
    <w:p w14:paraId="225EC40C" w14:textId="77CC52F8" w:rsidR="00247CE6" w:rsidRPr="00F0379F" w:rsidRDefault="00247CE6" w:rsidP="00247CE6">
      <w:pPr>
        <w:rPr>
          <w:rFonts w:cs="Arial"/>
          <w:szCs w:val="18"/>
        </w:rPr>
      </w:pPr>
      <w:r w:rsidRPr="00F0379F">
        <w:rPr>
          <w:rFonts w:cs="Arial"/>
          <w:szCs w:val="18"/>
        </w:rPr>
        <w:t>This paper outlined a framework for performing audit activities allowing effective improvements in the sustainability of plant operation, through a range of proposals for the increase of resources and energy efficiency and the reduction of local and global environmental impact.</w:t>
      </w:r>
      <w:r w:rsidR="006150CE">
        <w:rPr>
          <w:rFonts w:cs="Arial"/>
          <w:szCs w:val="18"/>
        </w:rPr>
        <w:t xml:space="preserve"> </w:t>
      </w:r>
      <w:r w:rsidRPr="00F0379F">
        <w:rPr>
          <w:rFonts w:cs="Arial"/>
          <w:szCs w:val="18"/>
        </w:rPr>
        <w:t xml:space="preserve">As shown by the </w:t>
      </w:r>
      <w:r w:rsidR="00006BA6">
        <w:rPr>
          <w:rFonts w:cs="Arial"/>
          <w:szCs w:val="18"/>
        </w:rPr>
        <w:t>appl</w:t>
      </w:r>
      <w:r w:rsidR="00E85383">
        <w:rPr>
          <w:rFonts w:cs="Arial"/>
          <w:szCs w:val="18"/>
        </w:rPr>
        <w:t>i</w:t>
      </w:r>
      <w:r w:rsidR="00006BA6">
        <w:rPr>
          <w:rFonts w:cs="Arial"/>
          <w:szCs w:val="18"/>
        </w:rPr>
        <w:t xml:space="preserve">cative </w:t>
      </w:r>
      <w:r w:rsidRPr="00F0379F">
        <w:rPr>
          <w:rFonts w:cs="Arial"/>
          <w:szCs w:val="18"/>
        </w:rPr>
        <w:t>example of the textile industry, the auditing entails a powerful methodology to boost sustainability and cut emissions, especially for GHG, managing as well main issues relevant to safety, environment and process efficiency.</w:t>
      </w:r>
      <w:r w:rsidR="006150CE">
        <w:rPr>
          <w:rFonts w:cs="Arial"/>
          <w:szCs w:val="18"/>
        </w:rPr>
        <w:t xml:space="preserve"> Additionally</w:t>
      </w:r>
      <w:r w:rsidRPr="00F0379F">
        <w:rPr>
          <w:rFonts w:cs="Arial"/>
          <w:szCs w:val="18"/>
        </w:rPr>
        <w:t xml:space="preserve">, as in the case of the MRSL Implementation Survey for objectives according to the ZDHC protocol, an </w:t>
      </w:r>
      <w:r w:rsidR="00E85383">
        <w:rPr>
          <w:rFonts w:cs="Arial"/>
          <w:szCs w:val="18"/>
        </w:rPr>
        <w:t>optimized</w:t>
      </w:r>
      <w:r w:rsidRPr="00F0379F">
        <w:rPr>
          <w:rFonts w:cs="Arial"/>
          <w:szCs w:val="18"/>
        </w:rPr>
        <w:t xml:space="preserve"> </w:t>
      </w:r>
      <w:r w:rsidR="008235C2" w:rsidRPr="00F0379F">
        <w:rPr>
          <w:rFonts w:cs="Arial"/>
          <w:szCs w:val="18"/>
        </w:rPr>
        <w:t xml:space="preserve">chemicals </w:t>
      </w:r>
      <w:r w:rsidRPr="00F0379F">
        <w:rPr>
          <w:rFonts w:cs="Arial"/>
          <w:szCs w:val="18"/>
        </w:rPr>
        <w:t xml:space="preserve">hazard control system has been </w:t>
      </w:r>
      <w:r w:rsidR="00416697" w:rsidRPr="00F0379F">
        <w:rPr>
          <w:rFonts w:cs="Arial"/>
          <w:szCs w:val="18"/>
        </w:rPr>
        <w:t xml:space="preserve">integrated </w:t>
      </w:r>
      <w:r w:rsidR="00E85383">
        <w:rPr>
          <w:rFonts w:cs="Arial"/>
          <w:szCs w:val="18"/>
        </w:rPr>
        <w:t>with</w:t>
      </w:r>
      <w:r w:rsidR="00416697" w:rsidRPr="00F0379F">
        <w:rPr>
          <w:rFonts w:cs="Arial"/>
          <w:szCs w:val="18"/>
        </w:rPr>
        <w:t>in the general audit structure</w:t>
      </w:r>
      <w:r w:rsidR="00E85383">
        <w:rPr>
          <w:rFonts w:cs="Arial"/>
          <w:szCs w:val="18"/>
        </w:rPr>
        <w:t>,</w:t>
      </w:r>
      <w:r w:rsidR="00416697" w:rsidRPr="00F0379F">
        <w:rPr>
          <w:rFonts w:cs="Arial"/>
          <w:szCs w:val="18"/>
        </w:rPr>
        <w:t xml:space="preserve"> </w:t>
      </w:r>
      <w:r w:rsidR="00E85383">
        <w:rPr>
          <w:rFonts w:cs="Arial"/>
          <w:szCs w:val="18"/>
        </w:rPr>
        <w:t>allowing its effective and reliable</w:t>
      </w:r>
      <w:r w:rsidR="00416697" w:rsidRPr="00F0379F">
        <w:rPr>
          <w:rFonts w:cs="Arial"/>
          <w:szCs w:val="18"/>
        </w:rPr>
        <w:t xml:space="preserve"> </w:t>
      </w:r>
      <w:r w:rsidR="008235C2" w:rsidRPr="00F0379F">
        <w:rPr>
          <w:rFonts w:cs="Arial"/>
          <w:szCs w:val="18"/>
        </w:rPr>
        <w:t>implement</w:t>
      </w:r>
      <w:r w:rsidR="00E85383">
        <w:rPr>
          <w:rFonts w:cs="Arial"/>
          <w:szCs w:val="18"/>
        </w:rPr>
        <w:t>ation</w:t>
      </w:r>
      <w:r w:rsidRPr="00F0379F">
        <w:rPr>
          <w:rFonts w:cs="Arial"/>
          <w:szCs w:val="18"/>
        </w:rPr>
        <w:t xml:space="preserve"> in the textile product chain.</w:t>
      </w:r>
    </w:p>
    <w:p w14:paraId="4F8D79B7" w14:textId="77777777" w:rsidR="00006BA6" w:rsidRPr="00B57B36" w:rsidRDefault="00006BA6" w:rsidP="00006BA6">
      <w:pPr>
        <w:pStyle w:val="CETAcknowledgementstitle"/>
      </w:pPr>
      <w:r w:rsidRPr="00B57B36">
        <w:t>Acknowledgments</w:t>
      </w:r>
    </w:p>
    <w:p w14:paraId="47949153" w14:textId="1FB360DB" w:rsidR="00247CE6" w:rsidRPr="00F0379F" w:rsidRDefault="00247CE6" w:rsidP="00247CE6">
      <w:pPr>
        <w:pStyle w:val="CETBodytext"/>
        <w:rPr>
          <w:rFonts w:eastAsia="Calibri" w:cs="Arial"/>
          <w:szCs w:val="18"/>
          <w:lang w:val="en-GB"/>
        </w:rPr>
      </w:pPr>
      <w:r w:rsidRPr="00F0379F">
        <w:rPr>
          <w:rFonts w:eastAsia="Calibri" w:cs="Arial"/>
          <w:szCs w:val="18"/>
          <w:lang w:val="en-GB"/>
        </w:rPr>
        <w:t xml:space="preserve">The Authors </w:t>
      </w:r>
      <w:r w:rsidR="002D4EED">
        <w:rPr>
          <w:rFonts w:eastAsia="Calibri" w:cs="Arial"/>
          <w:szCs w:val="18"/>
          <w:lang w:val="en-GB"/>
        </w:rPr>
        <w:t>gratefully acknowledge the contribution of</w:t>
      </w:r>
      <w:r w:rsidRPr="00F0379F">
        <w:rPr>
          <w:rFonts w:eastAsia="Calibri" w:cs="Arial"/>
          <w:szCs w:val="18"/>
          <w:lang w:val="en-GB"/>
        </w:rPr>
        <w:t xml:space="preserve"> all the Engineers from RINA, the Consultants, the Experts from Universities, who joined them in auditing and reporting activities.</w:t>
      </w:r>
    </w:p>
    <w:p w14:paraId="69E2DDBA" w14:textId="77777777" w:rsidR="00006BA6" w:rsidRPr="00B57B36" w:rsidRDefault="00006BA6" w:rsidP="00006BA6">
      <w:pPr>
        <w:pStyle w:val="CETReference"/>
      </w:pPr>
      <w:r w:rsidRPr="00B57B36">
        <w:t>References</w:t>
      </w:r>
    </w:p>
    <w:p w14:paraId="395C79E4" w14:textId="77777777" w:rsidR="00E85383" w:rsidRPr="00DD0C9D" w:rsidRDefault="00E85383" w:rsidP="00DD0C9D">
      <w:pPr>
        <w:pStyle w:val="CETReferencetext"/>
      </w:pPr>
      <w:r w:rsidRPr="00DD0C9D">
        <w:t xml:space="preserve">Bonvicini G., </w:t>
      </w:r>
      <w:r>
        <w:t xml:space="preserve">2018. </w:t>
      </w:r>
      <w:r w:rsidRPr="00DD0C9D">
        <w:t xml:space="preserve">Requirements for Data Formats and Indicators, </w:t>
      </w:r>
      <w:proofErr w:type="spellStart"/>
      <w:r w:rsidRPr="00DD0C9D">
        <w:t>SoWhat</w:t>
      </w:r>
      <w:proofErr w:type="spellEnd"/>
      <w:r w:rsidRPr="00DD0C9D">
        <w:t xml:space="preserve"> project deliverable D1.4, https://sowhatproject.eu/wp-content/uploads/2018/05/Requirements-for-data-formats-and-indicators.pdf </w:t>
      </w:r>
      <w:r>
        <w:t>accessed 15.09.2021.</w:t>
      </w:r>
    </w:p>
    <w:p w14:paraId="2BBD04C2" w14:textId="77777777" w:rsidR="00E85383" w:rsidRPr="00DD0C9D" w:rsidRDefault="00E85383" w:rsidP="00F95930">
      <w:pPr>
        <w:pStyle w:val="CETReferencetext"/>
      </w:pPr>
      <w:r w:rsidRPr="00DD0C9D">
        <w:t xml:space="preserve">European Commission, </w:t>
      </w:r>
      <w:r>
        <w:t xml:space="preserve">2003, </w:t>
      </w:r>
      <w:r w:rsidRPr="00DD0C9D">
        <w:t xml:space="preserve">Reference document on Best Available Techniques for Textile,  </w:t>
      </w:r>
      <w:hyperlink r:id="rId19" w:history="1">
        <w:r w:rsidRPr="00DD0C9D">
          <w:t>https://eippcb.jrc.ec.europa.eu/sites/default/files/2019-11/txt_bref_0703.pdf</w:t>
        </w:r>
      </w:hyperlink>
      <w:r>
        <w:t xml:space="preserve"> accessed 15.09.2021</w:t>
      </w:r>
    </w:p>
    <w:p w14:paraId="0D6C53A8" w14:textId="77777777" w:rsidR="00E85383" w:rsidRPr="00DD0C9D" w:rsidRDefault="00E85383" w:rsidP="00F95930">
      <w:pPr>
        <w:pStyle w:val="CETReferencetext"/>
      </w:pPr>
      <w:r w:rsidRPr="00DD0C9D">
        <w:t xml:space="preserve">European Commission, </w:t>
      </w:r>
      <w:r>
        <w:t xml:space="preserve">2009, </w:t>
      </w:r>
      <w:r w:rsidRPr="00DD0C9D">
        <w:t xml:space="preserve">Reference document on Best Available Techniques for Energy Efficiency”, </w:t>
      </w:r>
      <w:r w:rsidRPr="001728E6">
        <w:t>https://eippcb.jrc.ec.europa.eu/sites/default/files/2019-11/ENE_Adopted_02-2009.pdf</w:t>
      </w:r>
      <w:r>
        <w:t xml:space="preserve"> accessed 20.09.2021</w:t>
      </w:r>
      <w:r w:rsidRPr="00DD0C9D">
        <w:t xml:space="preserve"> </w:t>
      </w:r>
    </w:p>
    <w:p w14:paraId="0FD20AF5" w14:textId="77777777" w:rsidR="00E85383" w:rsidRPr="00DD0C9D" w:rsidRDefault="00E85383" w:rsidP="00B06460">
      <w:pPr>
        <w:pStyle w:val="CETReferencetext"/>
      </w:pPr>
      <w:r w:rsidRPr="00DD0C9D">
        <w:t>European Commission,</w:t>
      </w:r>
      <w:r>
        <w:t xml:space="preserve"> 2022, EU strategy for sustainable textile. </w:t>
      </w:r>
      <w:r w:rsidRPr="004E354C">
        <w:t>https://ec.europa.eu/info/law/better-regulation/have-your-say/initiatives/12822-EU-strategy-for-sustainable-textiles_en</w:t>
      </w:r>
      <w:r w:rsidRPr="00DD0C9D">
        <w:t xml:space="preserve"> </w:t>
      </w:r>
      <w:r>
        <w:t>accessed 10.01.2022.</w:t>
      </w:r>
    </w:p>
    <w:p w14:paraId="07FB11F4" w14:textId="77777777" w:rsidR="00E85383" w:rsidRPr="00DD0C9D" w:rsidRDefault="00E85383" w:rsidP="006579E1">
      <w:pPr>
        <w:pStyle w:val="CETReferencetext"/>
        <w:ind w:firstLine="0"/>
      </w:pPr>
      <w:r w:rsidRPr="00DD0C9D">
        <w:t>from the 1st to the 16th LPS present and future of the European loss prevention and safety promotion in the</w:t>
      </w:r>
    </w:p>
    <w:p w14:paraId="45EC72EA" w14:textId="77777777" w:rsidR="00E85383" w:rsidRPr="00DD0C9D" w:rsidRDefault="00E85383" w:rsidP="006579E1">
      <w:pPr>
        <w:pStyle w:val="CETReferencetext"/>
      </w:pPr>
      <w:r w:rsidRPr="00DD0C9D">
        <w:t xml:space="preserve">Greer L., Keane S., Lin C., </w:t>
      </w:r>
      <w:proofErr w:type="spellStart"/>
      <w:r w:rsidRPr="00DD0C9D">
        <w:t>Meinert</w:t>
      </w:r>
      <w:proofErr w:type="spellEnd"/>
      <w:r w:rsidRPr="00DD0C9D">
        <w:t xml:space="preserve"> J.,</w:t>
      </w:r>
      <w:r>
        <w:t xml:space="preserve"> 2013,</w:t>
      </w:r>
      <w:r w:rsidRPr="00DD0C9D">
        <w:t xml:space="preserve"> Clean by Design - NRDC’s 10 Best Practices for Textile Mills to Save Money and Reduce Pollution, https://www.nrdc.org/sites/default/files/responsible-sourcing-guide.pdf </w:t>
      </w:r>
      <w:r>
        <w:t>accessed 15.11.2021</w:t>
      </w:r>
    </w:p>
    <w:p w14:paraId="1B015A78" w14:textId="5DDFDD76" w:rsidR="00E85383" w:rsidRPr="00DD0C9D" w:rsidRDefault="00E85383" w:rsidP="002F7373">
      <w:pPr>
        <w:pStyle w:val="CETReferencetext"/>
      </w:pPr>
      <w:r w:rsidRPr="00DD0C9D">
        <w:t>IEA,</w:t>
      </w:r>
      <w:r>
        <w:t xml:space="preserve"> 2021,</w:t>
      </w:r>
      <w:r w:rsidRPr="00DD0C9D">
        <w:t xml:space="preserve"> Net Zero by 2050, https://iea.blob.core.windows.net/assets/deebef5d-0c34-4539-9d0c-10b13d840027/NetZeroby2050-ARoadmapfortheGlobalEnergySector_CORR.pdf</w:t>
      </w:r>
      <w:r>
        <w:t xml:space="preserve"> accessed 25.09.2021</w:t>
      </w:r>
    </w:p>
    <w:p w14:paraId="1DF870CF" w14:textId="77777777" w:rsidR="00E85383" w:rsidRPr="00DD0C9D" w:rsidRDefault="00E85383" w:rsidP="00776C87">
      <w:pPr>
        <w:pStyle w:val="CETReferencetext"/>
      </w:pPr>
      <w:r w:rsidRPr="00C726CE">
        <w:t xml:space="preserve">IPCC, 2005. </w:t>
      </w:r>
      <w:r w:rsidRPr="00DD0C9D">
        <w:t>Intergovernmental Panel on Climate Change, Special Report on Carbon Dioxide Capture and Storage, https://www.ipcc.ch/site/assets/uploads/2018/03/srccs_wholereport-1.pdf</w:t>
      </w:r>
      <w:r>
        <w:t xml:space="preserve"> accessed 25.09.2011</w:t>
      </w:r>
    </w:p>
    <w:p w14:paraId="5F0C660D" w14:textId="77777777" w:rsidR="00E85383" w:rsidRDefault="00E85383" w:rsidP="00DD0C9D">
      <w:pPr>
        <w:pStyle w:val="CETReferencetext"/>
      </w:pPr>
      <w:r w:rsidRPr="00DD0C9D">
        <w:t xml:space="preserve">Maffini A., Morando M., Saba A., Bonvicini G., Fabiano B., 2021, A </w:t>
      </w:r>
      <w:r>
        <w:t>d</w:t>
      </w:r>
      <w:r w:rsidRPr="00DD0C9D">
        <w:t xml:space="preserve">ecade </w:t>
      </w:r>
      <w:r>
        <w:t>i</w:t>
      </w:r>
      <w:r w:rsidRPr="00DD0C9D">
        <w:t xml:space="preserve">nternational </w:t>
      </w:r>
      <w:r>
        <w:t>e</w:t>
      </w:r>
      <w:r w:rsidRPr="00DD0C9D">
        <w:t xml:space="preserve">xperience </w:t>
      </w:r>
      <w:r>
        <w:t>i</w:t>
      </w:r>
      <w:r w:rsidRPr="00DD0C9D">
        <w:t xml:space="preserve">nto Effective </w:t>
      </w:r>
      <w:r w:rsidRPr="006579E1">
        <w:t>resources</w:t>
      </w:r>
      <w:r w:rsidRPr="00DD0C9D">
        <w:t xml:space="preserve"> and </w:t>
      </w:r>
      <w:r>
        <w:t>e</w:t>
      </w:r>
      <w:r w:rsidRPr="00DD0C9D">
        <w:t xml:space="preserve">nergy </w:t>
      </w:r>
      <w:r>
        <w:t>e</w:t>
      </w:r>
      <w:r w:rsidRPr="00DD0C9D">
        <w:t xml:space="preserve">fficiency </w:t>
      </w:r>
      <w:r>
        <w:t>a</w:t>
      </w:r>
      <w:r w:rsidRPr="00DD0C9D">
        <w:t xml:space="preserve">uditing, Chemical Engineering Transactions, 86, 763-768. </w:t>
      </w:r>
    </w:p>
    <w:p w14:paraId="18520D53" w14:textId="5771BC7F" w:rsidR="007C296C" w:rsidRDefault="007C296C" w:rsidP="006579E1">
      <w:pPr>
        <w:pStyle w:val="CETReferencetext"/>
      </w:pPr>
      <w:proofErr w:type="spellStart"/>
      <w:r>
        <w:t>Pasman</w:t>
      </w:r>
      <w:proofErr w:type="spellEnd"/>
      <w:r>
        <w:t>, H.J., Fabiano, B. 2021. The Delft 1974 and 2019 European Loss Prevention Symposia: Highlights and an impression of process safety evolutionary changes from the 1st to the 16th LPS</w:t>
      </w:r>
      <w:r w:rsidR="005C118F">
        <w:t>,</w:t>
      </w:r>
      <w:r>
        <w:t xml:space="preserve"> Process Safety and Environmental Protection 147, 80-91. </w:t>
      </w:r>
    </w:p>
    <w:p w14:paraId="525A7808" w14:textId="1E90ECD0" w:rsidR="00E85383" w:rsidRPr="00DD0C9D" w:rsidRDefault="00E85383" w:rsidP="006B7266">
      <w:pPr>
        <w:pStyle w:val="CETReferencetext"/>
      </w:pPr>
      <w:r w:rsidRPr="00DD0C9D">
        <w:t>ZDHC Foundation,</w:t>
      </w:r>
      <w:r>
        <w:t xml:space="preserve"> 2021,</w:t>
      </w:r>
      <w:r w:rsidRPr="00DD0C9D">
        <w:t xml:space="preserve"> ZDHC MRSL Update Principles and Procedures–Version 2, https://downloads.roadmaptozero.com/input/ZDHC-MRSL-Principles-and-Procedures</w:t>
      </w:r>
      <w:r>
        <w:t xml:space="preserve"> accessed 1</w:t>
      </w:r>
      <w:r w:rsidR="00257D31">
        <w:t>0</w:t>
      </w:r>
      <w:r>
        <w:t xml:space="preserve">.9.2021 </w:t>
      </w:r>
    </w:p>
    <w:sectPr w:rsidR="00E85383" w:rsidRPr="00DD0C9D" w:rsidSect="00B623E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A0C7C" w14:textId="77777777" w:rsidR="00FC6F3C" w:rsidRDefault="00FC6F3C" w:rsidP="004F5E36">
      <w:r>
        <w:separator/>
      </w:r>
    </w:p>
  </w:endnote>
  <w:endnote w:type="continuationSeparator" w:id="0">
    <w:p w14:paraId="7C9613CF" w14:textId="77777777" w:rsidR="00FC6F3C" w:rsidRDefault="00FC6F3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D1FD" w14:textId="77777777" w:rsidR="00231709" w:rsidRDefault="0023170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6A73" w14:textId="77777777" w:rsidR="00231709" w:rsidRDefault="0023170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2C17" w14:textId="77777777" w:rsidR="00231709" w:rsidRDefault="002317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23C60" w14:textId="77777777" w:rsidR="00FC6F3C" w:rsidRDefault="00FC6F3C" w:rsidP="004F5E36">
      <w:r>
        <w:separator/>
      </w:r>
    </w:p>
  </w:footnote>
  <w:footnote w:type="continuationSeparator" w:id="0">
    <w:p w14:paraId="3723867C" w14:textId="77777777" w:rsidR="00FC6F3C" w:rsidRDefault="00FC6F3C"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2410" w14:textId="77777777" w:rsidR="00231709" w:rsidRDefault="0023170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DD4C0" w14:textId="77777777" w:rsidR="00231709" w:rsidRDefault="0023170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9C97" w14:textId="77777777" w:rsidR="00231709" w:rsidRDefault="002317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ED66AC8"/>
    <w:multiLevelType w:val="hybridMultilevel"/>
    <w:tmpl w:val="A9862692"/>
    <w:lvl w:ilvl="0" w:tplc="FCFC13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8F6409F"/>
    <w:multiLevelType w:val="hybridMultilevel"/>
    <w:tmpl w:val="94226262"/>
    <w:lvl w:ilvl="0" w:tplc="E02C9B62">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021EB4"/>
    <w:multiLevelType w:val="hybridMultilevel"/>
    <w:tmpl w:val="51A45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774249"/>
    <w:multiLevelType w:val="hybridMultilevel"/>
    <w:tmpl w:val="2AB84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7660112"/>
    <w:multiLevelType w:val="hybridMultilevel"/>
    <w:tmpl w:val="D7CEBA7A"/>
    <w:lvl w:ilvl="0" w:tplc="648839D2">
      <w:start w:val="1"/>
      <w:numFmt w:val="bullet"/>
      <w:lvlText w:val=""/>
      <w:lvlJc w:val="left"/>
      <w:pPr>
        <w:ind w:left="360" w:hanging="360"/>
      </w:pPr>
      <w:rPr>
        <w:rFonts w:ascii="Symbol" w:hAnsi="Symbol" w:hint="default"/>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5C3AFA"/>
    <w:multiLevelType w:val="hybridMultilevel"/>
    <w:tmpl w:val="8E8636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EA02766"/>
    <w:multiLevelType w:val="hybridMultilevel"/>
    <w:tmpl w:val="A2AE7B4E"/>
    <w:lvl w:ilvl="0" w:tplc="3EBC0784">
      <w:start w:val="1"/>
      <w:numFmt w:val="decimal"/>
      <w:lvlText w:val="%1."/>
      <w:lvlJc w:val="left"/>
      <w:pPr>
        <w:ind w:left="1210" w:hanging="360"/>
      </w:pPr>
      <w:rPr>
        <w:rFonts w:hint="default"/>
      </w:r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13"/>
  </w:num>
  <w:num w:numId="14">
    <w:abstractNumId w:val="22"/>
  </w:num>
  <w:num w:numId="15">
    <w:abstractNumId w:val="25"/>
  </w:num>
  <w:num w:numId="16">
    <w:abstractNumId w:val="23"/>
  </w:num>
  <w:num w:numId="17">
    <w:abstractNumId w:val="12"/>
  </w:num>
  <w:num w:numId="18">
    <w:abstractNumId w:val="13"/>
    <w:lvlOverride w:ilvl="0">
      <w:startOverride w:val="1"/>
    </w:lvlOverride>
  </w:num>
  <w:num w:numId="19">
    <w:abstractNumId w:val="20"/>
  </w:num>
  <w:num w:numId="20">
    <w:abstractNumId w:val="19"/>
  </w:num>
  <w:num w:numId="21">
    <w:abstractNumId w:val="15"/>
  </w:num>
  <w:num w:numId="22">
    <w:abstractNumId w:val="14"/>
  </w:num>
  <w:num w:numId="23">
    <w:abstractNumId w:val="27"/>
  </w:num>
  <w:num w:numId="24">
    <w:abstractNumId w:val="24"/>
  </w:num>
  <w:num w:numId="25">
    <w:abstractNumId w:val="26"/>
  </w:num>
  <w:num w:numId="26">
    <w:abstractNumId w:val="18"/>
  </w:num>
  <w:num w:numId="27">
    <w:abstractNumId w:val="16"/>
  </w:num>
  <w:num w:numId="28">
    <w:abstractNumId w:val="1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78E"/>
    <w:rsid w:val="000048F0"/>
    <w:rsid w:val="000052FB"/>
    <w:rsid w:val="00005B15"/>
    <w:rsid w:val="00006BA6"/>
    <w:rsid w:val="00010EA0"/>
    <w:rsid w:val="000117CB"/>
    <w:rsid w:val="00024A53"/>
    <w:rsid w:val="0003148D"/>
    <w:rsid w:val="00031EEC"/>
    <w:rsid w:val="00034009"/>
    <w:rsid w:val="00041FB7"/>
    <w:rsid w:val="0005061F"/>
    <w:rsid w:val="00051566"/>
    <w:rsid w:val="00060B9E"/>
    <w:rsid w:val="00062A9A"/>
    <w:rsid w:val="00065058"/>
    <w:rsid w:val="0008191C"/>
    <w:rsid w:val="00082CC2"/>
    <w:rsid w:val="00083175"/>
    <w:rsid w:val="00086C39"/>
    <w:rsid w:val="000909B2"/>
    <w:rsid w:val="00092561"/>
    <w:rsid w:val="000A03B2"/>
    <w:rsid w:val="000A5EAE"/>
    <w:rsid w:val="000D0268"/>
    <w:rsid w:val="000D34BE"/>
    <w:rsid w:val="000D5CEC"/>
    <w:rsid w:val="000E102F"/>
    <w:rsid w:val="000E36F1"/>
    <w:rsid w:val="000E3A73"/>
    <w:rsid w:val="000E414A"/>
    <w:rsid w:val="000F093C"/>
    <w:rsid w:val="000F787B"/>
    <w:rsid w:val="0012091F"/>
    <w:rsid w:val="00125374"/>
    <w:rsid w:val="00126BC2"/>
    <w:rsid w:val="001272A4"/>
    <w:rsid w:val="001308B6"/>
    <w:rsid w:val="001308F0"/>
    <w:rsid w:val="0013121F"/>
    <w:rsid w:val="00131FE6"/>
    <w:rsid w:val="0013263F"/>
    <w:rsid w:val="001331DF"/>
    <w:rsid w:val="00134DE4"/>
    <w:rsid w:val="0014034D"/>
    <w:rsid w:val="00144D16"/>
    <w:rsid w:val="00147771"/>
    <w:rsid w:val="00150E59"/>
    <w:rsid w:val="00152DE3"/>
    <w:rsid w:val="00154006"/>
    <w:rsid w:val="00164CF9"/>
    <w:rsid w:val="001667A6"/>
    <w:rsid w:val="00170098"/>
    <w:rsid w:val="001728E6"/>
    <w:rsid w:val="00177EB8"/>
    <w:rsid w:val="00180689"/>
    <w:rsid w:val="00184AD6"/>
    <w:rsid w:val="00185AF5"/>
    <w:rsid w:val="00192C8B"/>
    <w:rsid w:val="00193234"/>
    <w:rsid w:val="00195069"/>
    <w:rsid w:val="00196447"/>
    <w:rsid w:val="001A4AF7"/>
    <w:rsid w:val="001B0349"/>
    <w:rsid w:val="001B1E93"/>
    <w:rsid w:val="001B4748"/>
    <w:rsid w:val="001B50F9"/>
    <w:rsid w:val="001B65C1"/>
    <w:rsid w:val="001B7411"/>
    <w:rsid w:val="001C684B"/>
    <w:rsid w:val="001D0CFB"/>
    <w:rsid w:val="001D2E14"/>
    <w:rsid w:val="001D53FC"/>
    <w:rsid w:val="001E065C"/>
    <w:rsid w:val="001F42A5"/>
    <w:rsid w:val="001F7B9D"/>
    <w:rsid w:val="00201C93"/>
    <w:rsid w:val="002224B4"/>
    <w:rsid w:val="00223789"/>
    <w:rsid w:val="00230236"/>
    <w:rsid w:val="00231709"/>
    <w:rsid w:val="00234835"/>
    <w:rsid w:val="00237998"/>
    <w:rsid w:val="00242421"/>
    <w:rsid w:val="002447EF"/>
    <w:rsid w:val="00247CE6"/>
    <w:rsid w:val="00250E89"/>
    <w:rsid w:val="00251550"/>
    <w:rsid w:val="0025520C"/>
    <w:rsid w:val="00257D31"/>
    <w:rsid w:val="00263B05"/>
    <w:rsid w:val="0027221A"/>
    <w:rsid w:val="00275B61"/>
    <w:rsid w:val="00280FAF"/>
    <w:rsid w:val="00282656"/>
    <w:rsid w:val="002855AC"/>
    <w:rsid w:val="00285AD6"/>
    <w:rsid w:val="00296B83"/>
    <w:rsid w:val="002A226F"/>
    <w:rsid w:val="002A6E07"/>
    <w:rsid w:val="002B4015"/>
    <w:rsid w:val="002B78CE"/>
    <w:rsid w:val="002C2FB6"/>
    <w:rsid w:val="002D3FD7"/>
    <w:rsid w:val="002D4EED"/>
    <w:rsid w:val="002D6924"/>
    <w:rsid w:val="002E5FA7"/>
    <w:rsid w:val="002F16EA"/>
    <w:rsid w:val="002F3309"/>
    <w:rsid w:val="002F7373"/>
    <w:rsid w:val="003008CE"/>
    <w:rsid w:val="003009B7"/>
    <w:rsid w:val="00300E56"/>
    <w:rsid w:val="00300F3C"/>
    <w:rsid w:val="0030469C"/>
    <w:rsid w:val="00312BF7"/>
    <w:rsid w:val="00317D72"/>
    <w:rsid w:val="003205DD"/>
    <w:rsid w:val="0032143F"/>
    <w:rsid w:val="00321CA6"/>
    <w:rsid w:val="00323763"/>
    <w:rsid w:val="00334C09"/>
    <w:rsid w:val="0033734D"/>
    <w:rsid w:val="003413D0"/>
    <w:rsid w:val="0034347A"/>
    <w:rsid w:val="00353A01"/>
    <w:rsid w:val="00353FC6"/>
    <w:rsid w:val="003723D4"/>
    <w:rsid w:val="00381905"/>
    <w:rsid w:val="00384CC8"/>
    <w:rsid w:val="003871FD"/>
    <w:rsid w:val="003934D0"/>
    <w:rsid w:val="003A1E30"/>
    <w:rsid w:val="003A2829"/>
    <w:rsid w:val="003A7D1C"/>
    <w:rsid w:val="003B304B"/>
    <w:rsid w:val="003B3146"/>
    <w:rsid w:val="003D4738"/>
    <w:rsid w:val="003D715F"/>
    <w:rsid w:val="003E559E"/>
    <w:rsid w:val="003F015E"/>
    <w:rsid w:val="003F6F81"/>
    <w:rsid w:val="00400414"/>
    <w:rsid w:val="00404277"/>
    <w:rsid w:val="004052D9"/>
    <w:rsid w:val="0041446B"/>
    <w:rsid w:val="00416697"/>
    <w:rsid w:val="00417801"/>
    <w:rsid w:val="00422756"/>
    <w:rsid w:val="00423D00"/>
    <w:rsid w:val="0044329C"/>
    <w:rsid w:val="00450A7B"/>
    <w:rsid w:val="00453E24"/>
    <w:rsid w:val="00457456"/>
    <w:rsid w:val="004577FE"/>
    <w:rsid w:val="00457B9C"/>
    <w:rsid w:val="0046164A"/>
    <w:rsid w:val="004628D2"/>
    <w:rsid w:val="00462DCD"/>
    <w:rsid w:val="00464094"/>
    <w:rsid w:val="004648AD"/>
    <w:rsid w:val="004703A9"/>
    <w:rsid w:val="004760DE"/>
    <w:rsid w:val="004763D7"/>
    <w:rsid w:val="004A004E"/>
    <w:rsid w:val="004A24CF"/>
    <w:rsid w:val="004A415F"/>
    <w:rsid w:val="004B7A29"/>
    <w:rsid w:val="004C2472"/>
    <w:rsid w:val="004C2C29"/>
    <w:rsid w:val="004C3D1D"/>
    <w:rsid w:val="004C7913"/>
    <w:rsid w:val="004D1CE6"/>
    <w:rsid w:val="004E354C"/>
    <w:rsid w:val="004E41A2"/>
    <w:rsid w:val="004E4DD6"/>
    <w:rsid w:val="004F184E"/>
    <w:rsid w:val="004F5E36"/>
    <w:rsid w:val="004F7B31"/>
    <w:rsid w:val="0050313B"/>
    <w:rsid w:val="00505EF5"/>
    <w:rsid w:val="00507B47"/>
    <w:rsid w:val="00507BEF"/>
    <w:rsid w:val="00507CC9"/>
    <w:rsid w:val="005119A5"/>
    <w:rsid w:val="005174CE"/>
    <w:rsid w:val="005278B7"/>
    <w:rsid w:val="00532016"/>
    <w:rsid w:val="005346C8"/>
    <w:rsid w:val="00540072"/>
    <w:rsid w:val="00543E7D"/>
    <w:rsid w:val="00547A68"/>
    <w:rsid w:val="005531C9"/>
    <w:rsid w:val="00557775"/>
    <w:rsid w:val="00570C43"/>
    <w:rsid w:val="005747A0"/>
    <w:rsid w:val="00582C7B"/>
    <w:rsid w:val="00585EDE"/>
    <w:rsid w:val="005967A7"/>
    <w:rsid w:val="005B0A96"/>
    <w:rsid w:val="005B2110"/>
    <w:rsid w:val="005B2399"/>
    <w:rsid w:val="005B61E6"/>
    <w:rsid w:val="005C118F"/>
    <w:rsid w:val="005C77E1"/>
    <w:rsid w:val="005D2DF4"/>
    <w:rsid w:val="005D668A"/>
    <w:rsid w:val="005D6A2F"/>
    <w:rsid w:val="005E1A82"/>
    <w:rsid w:val="005E5366"/>
    <w:rsid w:val="005E794C"/>
    <w:rsid w:val="005F0A28"/>
    <w:rsid w:val="005F0E5E"/>
    <w:rsid w:val="00600535"/>
    <w:rsid w:val="00610CD6"/>
    <w:rsid w:val="00612035"/>
    <w:rsid w:val="006150CE"/>
    <w:rsid w:val="00620DEE"/>
    <w:rsid w:val="00621F92"/>
    <w:rsid w:val="0062280A"/>
    <w:rsid w:val="00625639"/>
    <w:rsid w:val="006319D9"/>
    <w:rsid w:val="00631B33"/>
    <w:rsid w:val="0063328A"/>
    <w:rsid w:val="00635CF6"/>
    <w:rsid w:val="00635D77"/>
    <w:rsid w:val="006369E2"/>
    <w:rsid w:val="00637BE1"/>
    <w:rsid w:val="0064184D"/>
    <w:rsid w:val="006422CC"/>
    <w:rsid w:val="0065501B"/>
    <w:rsid w:val="006552CE"/>
    <w:rsid w:val="00657673"/>
    <w:rsid w:val="006579E1"/>
    <w:rsid w:val="00660E3E"/>
    <w:rsid w:val="006627CF"/>
    <w:rsid w:val="00662E74"/>
    <w:rsid w:val="00667BCB"/>
    <w:rsid w:val="00674151"/>
    <w:rsid w:val="00680497"/>
    <w:rsid w:val="00680C23"/>
    <w:rsid w:val="00685EFA"/>
    <w:rsid w:val="00693766"/>
    <w:rsid w:val="006A3281"/>
    <w:rsid w:val="006B4888"/>
    <w:rsid w:val="006B7266"/>
    <w:rsid w:val="006C2E45"/>
    <w:rsid w:val="006C359C"/>
    <w:rsid w:val="006C5579"/>
    <w:rsid w:val="006D6E8B"/>
    <w:rsid w:val="006D7536"/>
    <w:rsid w:val="006E737D"/>
    <w:rsid w:val="006F31BB"/>
    <w:rsid w:val="006F4D3B"/>
    <w:rsid w:val="006F54F2"/>
    <w:rsid w:val="00700D8F"/>
    <w:rsid w:val="007123B6"/>
    <w:rsid w:val="00713973"/>
    <w:rsid w:val="00713F88"/>
    <w:rsid w:val="00720A24"/>
    <w:rsid w:val="00732386"/>
    <w:rsid w:val="00734F90"/>
    <w:rsid w:val="0073514D"/>
    <w:rsid w:val="007447F3"/>
    <w:rsid w:val="007473A0"/>
    <w:rsid w:val="00750B93"/>
    <w:rsid w:val="0075499F"/>
    <w:rsid w:val="0076170F"/>
    <w:rsid w:val="007661C8"/>
    <w:rsid w:val="0077098D"/>
    <w:rsid w:val="00776C87"/>
    <w:rsid w:val="00780166"/>
    <w:rsid w:val="00780D0B"/>
    <w:rsid w:val="007931FA"/>
    <w:rsid w:val="007A4861"/>
    <w:rsid w:val="007A7BBA"/>
    <w:rsid w:val="007B0C50"/>
    <w:rsid w:val="007B0E27"/>
    <w:rsid w:val="007B40D0"/>
    <w:rsid w:val="007B48F9"/>
    <w:rsid w:val="007C13B8"/>
    <w:rsid w:val="007C1A43"/>
    <w:rsid w:val="007C27F4"/>
    <w:rsid w:val="007C296C"/>
    <w:rsid w:val="007D11EE"/>
    <w:rsid w:val="007E1598"/>
    <w:rsid w:val="007E7FD5"/>
    <w:rsid w:val="0080013E"/>
    <w:rsid w:val="00813288"/>
    <w:rsid w:val="00813EE3"/>
    <w:rsid w:val="008165C9"/>
    <w:rsid w:val="008168FC"/>
    <w:rsid w:val="008203DF"/>
    <w:rsid w:val="00822338"/>
    <w:rsid w:val="008235C2"/>
    <w:rsid w:val="008241AD"/>
    <w:rsid w:val="00824A23"/>
    <w:rsid w:val="00824E17"/>
    <w:rsid w:val="00830996"/>
    <w:rsid w:val="008345F1"/>
    <w:rsid w:val="00865B07"/>
    <w:rsid w:val="008667EA"/>
    <w:rsid w:val="00873D8A"/>
    <w:rsid w:val="00874494"/>
    <w:rsid w:val="0087637F"/>
    <w:rsid w:val="00892AD5"/>
    <w:rsid w:val="008A1512"/>
    <w:rsid w:val="008A5FD0"/>
    <w:rsid w:val="008D04B7"/>
    <w:rsid w:val="008D32B9"/>
    <w:rsid w:val="008D433B"/>
    <w:rsid w:val="008D4AE1"/>
    <w:rsid w:val="008D5BEB"/>
    <w:rsid w:val="008E566E"/>
    <w:rsid w:val="008E5E21"/>
    <w:rsid w:val="008E5EE8"/>
    <w:rsid w:val="0090161A"/>
    <w:rsid w:val="00901EB6"/>
    <w:rsid w:val="00904C62"/>
    <w:rsid w:val="00922BA8"/>
    <w:rsid w:val="00924DAC"/>
    <w:rsid w:val="00927058"/>
    <w:rsid w:val="00941FC1"/>
    <w:rsid w:val="00942750"/>
    <w:rsid w:val="00944943"/>
    <w:rsid w:val="009450CE"/>
    <w:rsid w:val="00945939"/>
    <w:rsid w:val="0094667D"/>
    <w:rsid w:val="00946DD8"/>
    <w:rsid w:val="00947179"/>
    <w:rsid w:val="0095164B"/>
    <w:rsid w:val="00954090"/>
    <w:rsid w:val="009573E7"/>
    <w:rsid w:val="00963433"/>
    <w:rsid w:val="00963E05"/>
    <w:rsid w:val="0096715F"/>
    <w:rsid w:val="00967843"/>
    <w:rsid w:val="00967D54"/>
    <w:rsid w:val="00971028"/>
    <w:rsid w:val="0098423D"/>
    <w:rsid w:val="00993B84"/>
    <w:rsid w:val="00993D85"/>
    <w:rsid w:val="00996483"/>
    <w:rsid w:val="00996F5A"/>
    <w:rsid w:val="009A6D4D"/>
    <w:rsid w:val="009B041A"/>
    <w:rsid w:val="009C37C3"/>
    <w:rsid w:val="009C3F75"/>
    <w:rsid w:val="009C7C86"/>
    <w:rsid w:val="009D2FF7"/>
    <w:rsid w:val="009E40A2"/>
    <w:rsid w:val="009E7884"/>
    <w:rsid w:val="009E788A"/>
    <w:rsid w:val="009F0E08"/>
    <w:rsid w:val="00A03E39"/>
    <w:rsid w:val="00A130A9"/>
    <w:rsid w:val="00A1763D"/>
    <w:rsid w:val="00A17CEC"/>
    <w:rsid w:val="00A27EF0"/>
    <w:rsid w:val="00A42361"/>
    <w:rsid w:val="00A47088"/>
    <w:rsid w:val="00A50B20"/>
    <w:rsid w:val="00A50F9B"/>
    <w:rsid w:val="00A51390"/>
    <w:rsid w:val="00A60D13"/>
    <w:rsid w:val="00A72745"/>
    <w:rsid w:val="00A76EFC"/>
    <w:rsid w:val="00A8763C"/>
    <w:rsid w:val="00A91010"/>
    <w:rsid w:val="00A9692D"/>
    <w:rsid w:val="00A97F29"/>
    <w:rsid w:val="00AA1C84"/>
    <w:rsid w:val="00AA6A30"/>
    <w:rsid w:val="00AA702E"/>
    <w:rsid w:val="00AB0964"/>
    <w:rsid w:val="00AB5011"/>
    <w:rsid w:val="00AB57C1"/>
    <w:rsid w:val="00AB63DF"/>
    <w:rsid w:val="00AC18AE"/>
    <w:rsid w:val="00AC5D61"/>
    <w:rsid w:val="00AC7368"/>
    <w:rsid w:val="00AD16B9"/>
    <w:rsid w:val="00AD6EB2"/>
    <w:rsid w:val="00AD7E4F"/>
    <w:rsid w:val="00AE377D"/>
    <w:rsid w:val="00AF0EBA"/>
    <w:rsid w:val="00B005A2"/>
    <w:rsid w:val="00B02C8A"/>
    <w:rsid w:val="00B06460"/>
    <w:rsid w:val="00B1724A"/>
    <w:rsid w:val="00B17FBD"/>
    <w:rsid w:val="00B22036"/>
    <w:rsid w:val="00B272A5"/>
    <w:rsid w:val="00B315A6"/>
    <w:rsid w:val="00B31813"/>
    <w:rsid w:val="00B33365"/>
    <w:rsid w:val="00B367B5"/>
    <w:rsid w:val="00B508E9"/>
    <w:rsid w:val="00B51D08"/>
    <w:rsid w:val="00B57B36"/>
    <w:rsid w:val="00B57E6F"/>
    <w:rsid w:val="00B623E1"/>
    <w:rsid w:val="00B62441"/>
    <w:rsid w:val="00B72F63"/>
    <w:rsid w:val="00B7324C"/>
    <w:rsid w:val="00B8686D"/>
    <w:rsid w:val="00B93F69"/>
    <w:rsid w:val="00B95CA2"/>
    <w:rsid w:val="00B97600"/>
    <w:rsid w:val="00BA21EC"/>
    <w:rsid w:val="00BA3DB6"/>
    <w:rsid w:val="00BA68FC"/>
    <w:rsid w:val="00BA764A"/>
    <w:rsid w:val="00BB1DDC"/>
    <w:rsid w:val="00BC30C9"/>
    <w:rsid w:val="00BC53AD"/>
    <w:rsid w:val="00BD077D"/>
    <w:rsid w:val="00BD1443"/>
    <w:rsid w:val="00BD593B"/>
    <w:rsid w:val="00BE0CA5"/>
    <w:rsid w:val="00BE3E58"/>
    <w:rsid w:val="00C01616"/>
    <w:rsid w:val="00C0162B"/>
    <w:rsid w:val="00C03362"/>
    <w:rsid w:val="00C034FE"/>
    <w:rsid w:val="00C068ED"/>
    <w:rsid w:val="00C145A3"/>
    <w:rsid w:val="00C17F84"/>
    <w:rsid w:val="00C22E0C"/>
    <w:rsid w:val="00C345B1"/>
    <w:rsid w:val="00C40142"/>
    <w:rsid w:val="00C52C3C"/>
    <w:rsid w:val="00C57182"/>
    <w:rsid w:val="00C57863"/>
    <w:rsid w:val="00C655FD"/>
    <w:rsid w:val="00C726CE"/>
    <w:rsid w:val="00C75407"/>
    <w:rsid w:val="00C81F29"/>
    <w:rsid w:val="00C82BB5"/>
    <w:rsid w:val="00C8574F"/>
    <w:rsid w:val="00C870A8"/>
    <w:rsid w:val="00C94434"/>
    <w:rsid w:val="00CA0D75"/>
    <w:rsid w:val="00CA1C95"/>
    <w:rsid w:val="00CA5A9C"/>
    <w:rsid w:val="00CB59B8"/>
    <w:rsid w:val="00CC092B"/>
    <w:rsid w:val="00CC23D8"/>
    <w:rsid w:val="00CC4C20"/>
    <w:rsid w:val="00CD3517"/>
    <w:rsid w:val="00CD5FE2"/>
    <w:rsid w:val="00CE7C68"/>
    <w:rsid w:val="00CF3703"/>
    <w:rsid w:val="00D01984"/>
    <w:rsid w:val="00D02B4C"/>
    <w:rsid w:val="00D040C4"/>
    <w:rsid w:val="00D24C4F"/>
    <w:rsid w:val="00D46B7E"/>
    <w:rsid w:val="00D57C84"/>
    <w:rsid w:val="00D6057D"/>
    <w:rsid w:val="00D709DD"/>
    <w:rsid w:val="00D74F71"/>
    <w:rsid w:val="00D821E4"/>
    <w:rsid w:val="00D836C5"/>
    <w:rsid w:val="00D84576"/>
    <w:rsid w:val="00DA1399"/>
    <w:rsid w:val="00DA24C6"/>
    <w:rsid w:val="00DA4D7B"/>
    <w:rsid w:val="00DB17A2"/>
    <w:rsid w:val="00DB564C"/>
    <w:rsid w:val="00DC023F"/>
    <w:rsid w:val="00DC0A51"/>
    <w:rsid w:val="00DC59D1"/>
    <w:rsid w:val="00DD0C9D"/>
    <w:rsid w:val="00DE264A"/>
    <w:rsid w:val="00DE41BE"/>
    <w:rsid w:val="00DF5072"/>
    <w:rsid w:val="00E006F9"/>
    <w:rsid w:val="00E01541"/>
    <w:rsid w:val="00E02D18"/>
    <w:rsid w:val="00E041E7"/>
    <w:rsid w:val="00E05A2D"/>
    <w:rsid w:val="00E06FBE"/>
    <w:rsid w:val="00E1138F"/>
    <w:rsid w:val="00E146AC"/>
    <w:rsid w:val="00E16E25"/>
    <w:rsid w:val="00E1781B"/>
    <w:rsid w:val="00E23CA1"/>
    <w:rsid w:val="00E25629"/>
    <w:rsid w:val="00E278A6"/>
    <w:rsid w:val="00E27B66"/>
    <w:rsid w:val="00E335AF"/>
    <w:rsid w:val="00E409A8"/>
    <w:rsid w:val="00E41A36"/>
    <w:rsid w:val="00E50C12"/>
    <w:rsid w:val="00E561EF"/>
    <w:rsid w:val="00E57A2A"/>
    <w:rsid w:val="00E65B91"/>
    <w:rsid w:val="00E70ADF"/>
    <w:rsid w:val="00E7209D"/>
    <w:rsid w:val="00E72EAD"/>
    <w:rsid w:val="00E77223"/>
    <w:rsid w:val="00E8528B"/>
    <w:rsid w:val="00E85383"/>
    <w:rsid w:val="00E85A26"/>
    <w:rsid w:val="00E85B94"/>
    <w:rsid w:val="00E978D0"/>
    <w:rsid w:val="00EA2D39"/>
    <w:rsid w:val="00EA4613"/>
    <w:rsid w:val="00EA7F91"/>
    <w:rsid w:val="00EB1523"/>
    <w:rsid w:val="00EB653C"/>
    <w:rsid w:val="00EC0E49"/>
    <w:rsid w:val="00EC101F"/>
    <w:rsid w:val="00EC1729"/>
    <w:rsid w:val="00EC1D9F"/>
    <w:rsid w:val="00EC34CD"/>
    <w:rsid w:val="00EE0131"/>
    <w:rsid w:val="00EE17B0"/>
    <w:rsid w:val="00EF06D9"/>
    <w:rsid w:val="00EF4238"/>
    <w:rsid w:val="00EF49BE"/>
    <w:rsid w:val="00EF71DB"/>
    <w:rsid w:val="00EF7FD1"/>
    <w:rsid w:val="00F0379F"/>
    <w:rsid w:val="00F07C48"/>
    <w:rsid w:val="00F16139"/>
    <w:rsid w:val="00F25F94"/>
    <w:rsid w:val="00F30C64"/>
    <w:rsid w:val="00F30FF9"/>
    <w:rsid w:val="00F32BA2"/>
    <w:rsid w:val="00F32CDB"/>
    <w:rsid w:val="00F40AD8"/>
    <w:rsid w:val="00F434F0"/>
    <w:rsid w:val="00F565FE"/>
    <w:rsid w:val="00F576DF"/>
    <w:rsid w:val="00F63A70"/>
    <w:rsid w:val="00F7534E"/>
    <w:rsid w:val="00F95930"/>
    <w:rsid w:val="00FA21D0"/>
    <w:rsid w:val="00FA5F5F"/>
    <w:rsid w:val="00FB6C57"/>
    <w:rsid w:val="00FB730C"/>
    <w:rsid w:val="00FC2695"/>
    <w:rsid w:val="00FC3E03"/>
    <w:rsid w:val="00FC3FC1"/>
    <w:rsid w:val="00FC6F3C"/>
    <w:rsid w:val="00FD2848"/>
    <w:rsid w:val="00FE442B"/>
    <w:rsid w:val="00FE699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F9E126A4-40C8-426D-B5A8-BE2B3061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aliases w:val="Caption Picture/Table"/>
    <w:basedOn w:val="Normale"/>
    <w:next w:val="Normale"/>
    <w:link w:val="DidascaliaCarattere"/>
    <w:uiPriority w:val="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aliases w:val="Lista viñetas,Dot pt,No Spacing1,List Paragraph Char Char Char,Indicator Text,Numbered Para 1,Bullet 1,Bullet Points,MAIN CONTENT,List Paragraph12,F5 List Paragraph,List Paragraph11,Heat Paragraph,OBC Bullet,Colorful List - Accent 11"/>
    <w:basedOn w:val="Normale"/>
    <w:link w:val="ParagrafoelencoCarattere"/>
    <w:uiPriority w:val="34"/>
    <w:qFormat/>
    <w:rsid w:val="00280FAF"/>
    <w:pPr>
      <w:ind w:left="720"/>
      <w:contextualSpacing/>
    </w:pPr>
  </w:style>
  <w:style w:type="paragraph" w:customStyle="1" w:styleId="li">
    <w:name w:val="li"/>
    <w:basedOn w:val="Normale"/>
    <w:rsid w:val="00247CE6"/>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character" w:customStyle="1" w:styleId="ParagrafoelencoCarattere">
    <w:name w:val="Paragrafo elenco Carattere"/>
    <w:aliases w:val="Lista viñetas Carattere,Dot pt Carattere,No Spacing1 Carattere,List Paragraph Char Char Char Carattere,Indicator Text Carattere,Numbered Para 1 Carattere,Bullet 1 Carattere,Bullet Points Carattere,MAIN CONTENT Carattere"/>
    <w:basedOn w:val="Carpredefinitoparagrafo"/>
    <w:link w:val="Paragrafoelenco"/>
    <w:uiPriority w:val="34"/>
    <w:qFormat/>
    <w:rsid w:val="00247CE6"/>
    <w:rPr>
      <w:rFonts w:ascii="Arial" w:eastAsia="Times New Roman" w:hAnsi="Arial" w:cs="Times New Roman"/>
      <w:sz w:val="18"/>
      <w:szCs w:val="20"/>
      <w:lang w:val="en-GB"/>
    </w:rPr>
  </w:style>
  <w:style w:type="character" w:customStyle="1" w:styleId="DidascaliaCarattere">
    <w:name w:val="Didascalia Carattere"/>
    <w:aliases w:val="Caption Picture/Table Carattere"/>
    <w:basedOn w:val="Carpredefinitoparagrafo"/>
    <w:link w:val="Didascalia"/>
    <w:uiPriority w:val="5"/>
    <w:locked/>
    <w:rsid w:val="00247CE6"/>
    <w:rPr>
      <w:rFonts w:ascii="Arial" w:eastAsia="Times New Roman" w:hAnsi="Arial" w:cs="Times New Roman"/>
      <w:b/>
      <w:bCs/>
      <w:color w:val="4F81BD" w:themeColor="accent1"/>
      <w:sz w:val="18"/>
      <w:szCs w:val="18"/>
      <w:lang w:val="en-GB"/>
    </w:rPr>
  </w:style>
  <w:style w:type="character" w:styleId="Menzionenonrisolta">
    <w:name w:val="Unresolved Mention"/>
    <w:basedOn w:val="Carpredefinitoparagrafo"/>
    <w:uiPriority w:val="99"/>
    <w:semiHidden/>
    <w:unhideWhenUsed/>
    <w:rsid w:val="00F30FF9"/>
    <w:rPr>
      <w:color w:val="605E5C"/>
      <w:shd w:val="clear" w:color="auto" w:fill="E1DFDD"/>
    </w:rPr>
  </w:style>
  <w:style w:type="paragraph" w:styleId="Revisione">
    <w:name w:val="Revision"/>
    <w:hidden/>
    <w:uiPriority w:val="99"/>
    <w:semiHidden/>
    <w:rsid w:val="00B95CA2"/>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5167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00245">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eippcb.jrc.ec.europa.eu/sites/default/files/2019-11/txt_bref_0703.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3518</Words>
  <Characters>20057</Characters>
  <Application>Microsoft Office Word</Application>
  <DocSecurity>0</DocSecurity>
  <Lines>167</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Andrea Maffini</cp:lastModifiedBy>
  <cp:revision>3</cp:revision>
  <cp:lastPrinted>2015-05-12T18:31:00Z</cp:lastPrinted>
  <dcterms:created xsi:type="dcterms:W3CDTF">2022-02-18T15:58:00Z</dcterms:created>
  <dcterms:modified xsi:type="dcterms:W3CDTF">2022-02-18T16:10:00Z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SIP_Label_a6175487-42af-4492-84fe-2b4054e011bd_Enabled">
    <vt:lpwstr>true</vt:lpwstr>
  </property>
  <property fmtid="{D5CDD505-2E9C-101B-9397-08002B2CF9AE}" pid="5" name="MSIP_Label_a6175487-42af-4492-84fe-2b4054e011bd_SetDate">
    <vt:lpwstr>2022-01-14T15:54:02Z</vt:lpwstr>
  </property>
  <property fmtid="{D5CDD505-2E9C-101B-9397-08002B2CF9AE}" pid="6" name="MSIP_Label_a6175487-42af-4492-84fe-2b4054e011bd_Method">
    <vt:lpwstr>Privileged</vt:lpwstr>
  </property>
  <property fmtid="{D5CDD505-2E9C-101B-9397-08002B2CF9AE}" pid="7" name="MSIP_Label_a6175487-42af-4492-84fe-2b4054e011bd_Name">
    <vt:lpwstr>Public</vt:lpwstr>
  </property>
  <property fmtid="{D5CDD505-2E9C-101B-9397-08002B2CF9AE}" pid="8" name="MSIP_Label_a6175487-42af-4492-84fe-2b4054e011bd_SiteId">
    <vt:lpwstr>76e3e3ff-fce0-45ec-a946-bc44d69a9b7e</vt:lpwstr>
  </property>
  <property fmtid="{D5CDD505-2E9C-101B-9397-08002B2CF9AE}" pid="9" name="MSIP_Label_a6175487-42af-4492-84fe-2b4054e011bd_ActionId">
    <vt:lpwstr>31a11d3b-2d35-49b4-a7db-785ef2bda962</vt:lpwstr>
  </property>
  <property fmtid="{D5CDD505-2E9C-101B-9397-08002B2CF9AE}" pid="10" name="MSIP_Label_a6175487-42af-4492-84fe-2b4054e011bd_ContentBits">
    <vt:lpwstr>0</vt:lpwstr>
  </property>
</Properties>
</file>