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EFA196D" w14:textId="77777777" w:rsidR="006B53F5" w:rsidRPr="00B57B36" w:rsidRDefault="006B53F5" w:rsidP="006B53F5">
      <w:pPr>
        <w:pStyle w:val="CETTitle"/>
      </w:pPr>
      <w:r>
        <w:t>Chemical and Process Inherent Safety Evaluation of Avocado Oil Production (</w:t>
      </w:r>
      <w:r w:rsidRPr="004B0AE8">
        <w:rPr>
          <w:i/>
          <w:iCs/>
        </w:rPr>
        <w:t>Laurus Persea L</w:t>
      </w:r>
      <w:r>
        <w:t>) in North Colombia</w:t>
      </w:r>
    </w:p>
    <w:p w14:paraId="0488FED2" w14:textId="31B0BE39" w:rsidR="00B57E6F" w:rsidRPr="00B753CC" w:rsidRDefault="00B753CC" w:rsidP="00B57E6F">
      <w:pPr>
        <w:pStyle w:val="CETAuthors"/>
        <w:rPr>
          <w:lang w:val="es-CO"/>
        </w:rPr>
      </w:pPr>
      <w:r w:rsidRPr="00B753CC">
        <w:rPr>
          <w:lang w:val="es-CO"/>
        </w:rPr>
        <w:t>Tamy Herrera</w:t>
      </w:r>
      <w:r w:rsidR="00B57E6F" w:rsidRPr="00B753CC">
        <w:rPr>
          <w:lang w:val="es-CO"/>
        </w:rPr>
        <w:t xml:space="preserve">, </w:t>
      </w:r>
      <w:r w:rsidRPr="00B753CC">
        <w:rPr>
          <w:lang w:val="es-CO"/>
        </w:rPr>
        <w:t>Vianny Parejo, Ángel González-Delgado</w:t>
      </w:r>
      <w:r w:rsidR="00B57E6F" w:rsidRPr="00B753CC">
        <w:rPr>
          <w:lang w:val="es-CO"/>
        </w:rPr>
        <w:t>*</w:t>
      </w:r>
    </w:p>
    <w:p w14:paraId="6B2D21B3" w14:textId="647E6945" w:rsidR="00B57E6F" w:rsidRPr="00B57B36" w:rsidRDefault="003F252E" w:rsidP="003F252E">
      <w:pPr>
        <w:pStyle w:val="CETAddress"/>
      </w:pPr>
      <w:r>
        <w:t>Nanomaterials and Computer-Aided Process Engineering Research Group (NIPAC), Chemical Engineering Department, Faculty of Engineering, University of Cartagena, Cartagena 130015, Colombia</w:t>
      </w:r>
      <w:r w:rsidRPr="00B57B36">
        <w:t xml:space="preserve"> </w:t>
      </w:r>
    </w:p>
    <w:p w14:paraId="0928533B" w14:textId="77777777" w:rsidR="00C64D3E" w:rsidRDefault="00C64D3E" w:rsidP="00C64D3E">
      <w:pPr>
        <w:pStyle w:val="CETemail"/>
      </w:pPr>
      <w:r w:rsidRPr="00C64D3E">
        <w:t>agonzalezd1@unicartagena.edu.co</w:t>
      </w:r>
      <w:r w:rsidR="00B57E6F" w:rsidRPr="00B57B36">
        <w:t xml:space="preserve"> </w:t>
      </w:r>
      <w:r>
        <w:t xml:space="preserve"> </w:t>
      </w:r>
    </w:p>
    <w:p w14:paraId="588F866F" w14:textId="0F707DD7" w:rsidR="009321FA" w:rsidRPr="001E2794" w:rsidRDefault="006E3F09" w:rsidP="00804B07">
      <w:pPr>
        <w:pStyle w:val="CETBodytext"/>
      </w:pPr>
      <w:r w:rsidRPr="001E2794">
        <w:t xml:space="preserve">The largest production of Creole avocado in Colombia is found in the </w:t>
      </w:r>
      <w:r w:rsidR="00AC7FA1">
        <w:t>north zone</w:t>
      </w:r>
      <w:r w:rsidRPr="001E2794">
        <w:t xml:space="preserve">, mainly in </w:t>
      </w:r>
      <w:r w:rsidR="00346512">
        <w:t xml:space="preserve">the </w:t>
      </w:r>
      <w:r w:rsidRPr="001E2794">
        <w:t xml:space="preserve">Montes de María region, but due to weather conditions, the presence of pests, or transportation routes, </w:t>
      </w:r>
      <w:r w:rsidR="00AC7FA1">
        <w:t>a high percentage of the production</w:t>
      </w:r>
      <w:r w:rsidR="006C7267">
        <w:t xml:space="preserve"> is</w:t>
      </w:r>
      <w:r w:rsidRPr="001E2794">
        <w:t xml:space="preserve"> damaged. As a way to take advantage of the fruit not suitable </w:t>
      </w:r>
      <w:r w:rsidR="006C7267">
        <w:t>for exportation</w:t>
      </w:r>
      <w:r w:rsidRPr="001E2794">
        <w:t xml:space="preserve">, it is possible to obtain different products </w:t>
      </w:r>
      <w:r w:rsidR="00162D22">
        <w:t xml:space="preserve">such </w:t>
      </w:r>
      <w:r w:rsidRPr="001E2794">
        <w:t>as avocado oil, since this fruit contains around 30</w:t>
      </w:r>
      <w:r w:rsidR="008C37AC">
        <w:t xml:space="preserve"> </w:t>
      </w:r>
      <w:r w:rsidRPr="001E2794">
        <w:t xml:space="preserve">% </w:t>
      </w:r>
      <w:r w:rsidR="006C7267">
        <w:t xml:space="preserve">of crude </w:t>
      </w:r>
      <w:r w:rsidRPr="001E2794">
        <w:t xml:space="preserve">oil. Accordingly, it is necessary to evaluate the oil production process from a safety point of view. The Inherent safety index, or ISI, allows a global measurement of safety in the </w:t>
      </w:r>
      <w:r w:rsidR="006C7267">
        <w:t xml:space="preserve">early </w:t>
      </w:r>
      <w:r w:rsidRPr="001E2794">
        <w:t xml:space="preserve">design stages of chemical processes. To carry out the process safety analysis, the risks associated with the use of chemical substances were first identified, determining their index of toxicity, corrosion, flammability, explosiveness, and the chemical reactions </w:t>
      </w:r>
      <w:r w:rsidR="00DB4446">
        <w:t xml:space="preserve">if </w:t>
      </w:r>
      <w:r w:rsidR="00162D22">
        <w:t>necessary</w:t>
      </w:r>
      <w:r w:rsidRPr="001E2794">
        <w:t>. Second, the risks of the process were evaluated, taking into account the equipment involved, manufacturing material, temperatures, and pressures that are handled</w:t>
      </w:r>
      <w:r w:rsidR="00B46939">
        <w:t>. An Inherent safety index of 17</w:t>
      </w:r>
      <w:r w:rsidRPr="001E2794">
        <w:t xml:space="preserve"> points was obtained, which indicates that the process is safe despite working with substances such as hexane and sodium hypochlorite and using equipment such as ovens and distillation columns.</w:t>
      </w:r>
    </w:p>
    <w:p w14:paraId="476B2F2E" w14:textId="1A034008" w:rsidR="00600535" w:rsidRDefault="00600535" w:rsidP="00600535">
      <w:pPr>
        <w:pStyle w:val="CETHeading1"/>
        <w:rPr>
          <w:lang w:val="en-GB"/>
        </w:rPr>
      </w:pPr>
      <w:r w:rsidRPr="00B57B36">
        <w:rPr>
          <w:lang w:val="en-GB"/>
        </w:rPr>
        <w:t>Introduction</w:t>
      </w:r>
    </w:p>
    <w:p w14:paraId="45F17ABB" w14:textId="7D3B51E4" w:rsidR="00E258C6" w:rsidRDefault="00974970" w:rsidP="0021522C">
      <w:pPr>
        <w:pStyle w:val="CETBodytext"/>
      </w:pPr>
      <w:r w:rsidRPr="0021522C">
        <w:t xml:space="preserve">Industrial development and population growth </w:t>
      </w:r>
      <w:r w:rsidR="00162D22">
        <w:t>have</w:t>
      </w:r>
      <w:r w:rsidRPr="0021522C">
        <w:t xml:space="preserve"> led to the need to seek more sustainable energy sources such as biomass </w:t>
      </w:r>
      <w:r w:rsidRPr="0021522C">
        <w:fldChar w:fldCharType="begin" w:fldLock="1"/>
      </w:r>
      <w:r w:rsidR="00E258C6" w:rsidRPr="0021522C">
        <w:instrText>ADDIN CSL_CITATION {"citationItems":[{"id":"ITEM-1","itemData":{"DOI":"10.3303/CET2189066","ISBN":"9788895608877","author":[{"dropping-particle":"","family":"Ahmad","given":"Imran","non-dropping-particle":"","parse-names":false,"suffix":""},{"dropping-particle":"","family":"Abdullah","given":"Norhayati","non-dropping-particle":"","parse-names":false,"suffix":""},{"dropping-particle":"","family":"Koji","given":"Iwamoto","non-dropping-particle":"","parse-names":false,"suffix":""},{"dropping-particle":"","family":"Yuzir","given":"Ali","non-dropping-particle":"","parse-names":false,"suffix":""}],"container-title":"Chemical Engineering Transactions","id":"ITEM-1","issue":"September","issued":{"date-parts":[["2021"]]},"page":"391-396","title":"The Contribution of Microalgae in Bio-refinery and Resource Recovery : A Sustainable Approach leading to Circular Bioeconomy","type":"article-journal","volume":"89"},"uris":["http://www.mendeley.com/documents/?uuid=3f51fb74-6da7-4820-b4dc-b9ed11b5ab52"]}],"mendeley":{"formattedCitation":"(Ahmad et al., 2021)","plainTextFormattedCitation":"(Ahmad et al., 2021)","previouslyFormattedCitation":"(Ahmad et al., 2021)"},"properties":{"noteIndex":0},"schema":"https://github.com/citation-style-language/schema/raw/master/csl-citation.json"}</w:instrText>
      </w:r>
      <w:r w:rsidRPr="0021522C">
        <w:fldChar w:fldCharType="separate"/>
      </w:r>
      <w:r w:rsidRPr="0021522C">
        <w:t>(Ahmad et al., 2021)</w:t>
      </w:r>
      <w:r w:rsidRPr="0021522C">
        <w:fldChar w:fldCharType="end"/>
      </w:r>
      <w:r w:rsidRPr="0021522C">
        <w:t xml:space="preserve">. </w:t>
      </w:r>
      <w:r w:rsidR="000E1747" w:rsidRPr="0021522C">
        <w:t xml:space="preserve"> </w:t>
      </w:r>
      <w:r w:rsidR="006C7267" w:rsidRPr="0021522C">
        <w:t>Colombia produces more than 500,000 tons of avocado, of diverse varieties, which places the country in the top third positions of worldwide production (Sánchez, 2021). The Bolivar department cultivates avocados of the Creole-Antillean variety mainly in the Montes de Maria region due to its climatic conditions (</w:t>
      </w:r>
      <w:proofErr w:type="spellStart"/>
      <w:r w:rsidR="006C7267" w:rsidRPr="0021522C">
        <w:t>Ministerio</w:t>
      </w:r>
      <w:proofErr w:type="spellEnd"/>
      <w:r w:rsidR="006C7267" w:rsidRPr="0021522C">
        <w:t xml:space="preserve"> de Agricultura, 2018). In recent years, avocado plants deterioration has been observed for fungi appearance in cultivation area; besides, harvesting transportation has been affected for roads poor condition</w:t>
      </w:r>
      <w:r w:rsidR="00752982" w:rsidRPr="0021522C">
        <w:t xml:space="preserve">. </w:t>
      </w:r>
      <w:r w:rsidR="006C7267" w:rsidRPr="0021522C">
        <w:t>This fruit is sensitive to climatic conditions, suffering enzymatic darkening in pulp, whereby, industrially pulp is used to obtain cosmetic purposes oil, for example as present</w:t>
      </w:r>
      <w:r w:rsidR="006A7349" w:rsidRPr="0021522C">
        <w:t xml:space="preserve"> in</w:t>
      </w:r>
      <w:r w:rsidR="006C7267" w:rsidRPr="0021522C">
        <w:t xml:space="preserve"> </w:t>
      </w:r>
      <w:r w:rsidR="0021522C" w:rsidRPr="0021522C">
        <w:t>f</w:t>
      </w:r>
      <w:r w:rsidR="006C7267" w:rsidRPr="0021522C">
        <w:t xml:space="preserve">igure </w:t>
      </w:r>
      <w:r w:rsidR="0021522C" w:rsidRPr="0021522C">
        <w:t xml:space="preserve">1 </w:t>
      </w:r>
      <w:r w:rsidR="00752982" w:rsidRPr="0021522C">
        <w:t>(</w:t>
      </w:r>
      <w:proofErr w:type="spellStart"/>
      <w:r w:rsidR="00752982" w:rsidRPr="0021522C">
        <w:t>Burbano</w:t>
      </w:r>
      <w:proofErr w:type="spellEnd"/>
      <w:r w:rsidR="00752982" w:rsidRPr="0021522C">
        <w:t>, 2019)</w:t>
      </w:r>
      <w:r w:rsidR="006C7267" w:rsidRPr="0021522C">
        <w:t>.</w:t>
      </w:r>
      <w:r w:rsidR="00E258C6" w:rsidRPr="0021522C">
        <w:t xml:space="preserve"> The use of these types of biomass becomes interesting to obtain value-added products through biorefinery schemes, mitigating the adverse environmental effects caused by the disposing methods </w:t>
      </w:r>
      <w:r w:rsidR="00E258C6" w:rsidRPr="0021522C">
        <w:fldChar w:fldCharType="begin" w:fldLock="1"/>
      </w:r>
      <w:r w:rsidR="00A80CA6" w:rsidRPr="0021522C">
        <w:instrText>ADDIN CSL_CITATION {"citationItems":[{"id":"ITEM-1","itemData":{"DOI":"10.3303/CET2183067","ISBN":"9788895608815","author":[{"dropping-particle":"","family":"Poveda-Giraldo","given":"Jhonny A","non-dropping-particle":"","parse-names":false,"suffix":""},{"dropping-particle":"","family":"Piedrahita-Rodríguez","given":"S","non-dropping-particle":"","parse-names":false,"suffix":""},{"dropping-particle":"","family":"Cardona-Alzate","given":"C A","non-dropping-particle":"","parse-names":false,"suffix":""}],"container-title":"Chemical Engineering Transactions","id":"ITEM-1","issued":{"date-parts":[["2021"]]},"page":"397-402","title":"Life Cycle Analysis of Biotechnological Processes based on the Composition of the Raw Material . Eucalyptus , Avocado , and Plantain cases in a Biorefinery System","type":"article-journal","volume":"83"},"uris":["http://www.mendeley.com/documents/?uuid=2faf842b-c3b4-4e7d-a235-099ade8755ee"]}],"mendeley":{"formattedCitation":"(Poveda-Giraldo et al., 2021)","plainTextFormattedCitation":"(Poveda-Giraldo et al., 2021)","previouslyFormattedCitation":"(Poveda-Giraldo et al., 2021)"},"properties":{"noteIndex":0},"schema":"https://github.com/citation-style-language/schema/raw/master/csl-citation.json"}</w:instrText>
      </w:r>
      <w:r w:rsidR="00E258C6" w:rsidRPr="0021522C">
        <w:fldChar w:fldCharType="separate"/>
      </w:r>
      <w:r w:rsidR="00E258C6" w:rsidRPr="0021522C">
        <w:t>(Poveda-Giraldo et al., 2021)</w:t>
      </w:r>
      <w:r w:rsidR="00E258C6" w:rsidRPr="0021522C">
        <w:fldChar w:fldCharType="end"/>
      </w:r>
      <w:r w:rsidR="00E258C6" w:rsidRPr="0021522C">
        <w:t>.</w:t>
      </w:r>
    </w:p>
    <w:p w14:paraId="72F0A218" w14:textId="70FC9B37" w:rsidR="006C7267" w:rsidRDefault="006C7267" w:rsidP="0021522C">
      <w:pPr>
        <w:pStyle w:val="CETBodytext"/>
      </w:pPr>
      <w:r w:rsidRPr="0021522C">
        <w:t>Some of the techniques used for oil extraction involve the presence of solvents, enzymes, the application of centrifugation or pressure. The solvents used correspond to hexane, ether, chloroform, acetonitrile, benzene, and ethanol. Solvent extraction increases the yield by carrying out simultaneous extractions in parallel</w:t>
      </w:r>
      <w:r w:rsidR="0021522C">
        <w:t>. G</w:t>
      </w:r>
      <w:r w:rsidRPr="0021522C">
        <w:t>enerally, the process is carried out at the boiling point of the solvent for a long time. (</w:t>
      </w:r>
      <w:proofErr w:type="spellStart"/>
      <w:r w:rsidRPr="0021522C">
        <w:t>Corzzini</w:t>
      </w:r>
      <w:proofErr w:type="spellEnd"/>
      <w:r w:rsidRPr="0021522C">
        <w:t xml:space="preserve"> et al., 2017). Likewise, extraction with solvents is ideal for the production of oils for cosmetic use (</w:t>
      </w:r>
      <w:proofErr w:type="spellStart"/>
      <w:r w:rsidRPr="0021522C">
        <w:t>Serpa</w:t>
      </w:r>
      <w:proofErr w:type="spellEnd"/>
      <w:r w:rsidRPr="0021522C">
        <w:t xml:space="preserve"> et al., 2014).</w:t>
      </w:r>
      <w:r w:rsidR="002C1D4F" w:rsidRPr="0021522C">
        <w:t xml:space="preserve"> </w:t>
      </w:r>
      <w:r w:rsidRPr="0021522C">
        <w:t>In this study, the assembly of an avocado processing plant (</w:t>
      </w:r>
      <w:r w:rsidRPr="0021522C">
        <w:rPr>
          <w:i/>
          <w:iCs/>
        </w:rPr>
        <w:t>Laurus Persea L</w:t>
      </w:r>
      <w:r w:rsidRPr="0021522C">
        <w:t>) for the production of oil will be evaluated from the point of view of process safety, obtaining a product with added value. For this, the chemical reactions of the process must be taken into account, the reagents used to identify characteristics of the substances such as flammability, corrosivity, explosivity, and toxicity. In addition, an inventory of equipment must be carried out and the construction material of the same must be considered. These characteristics of the process are identified</w:t>
      </w:r>
      <w:r>
        <w:t xml:space="preserve"> to assign a score to each one of them, allowing to determine the inherent safety of the avocado oil production process from the pulp of this fruit.</w:t>
      </w:r>
    </w:p>
    <w:p w14:paraId="7809502E" w14:textId="77777777" w:rsidR="00144C27" w:rsidRDefault="00144C27" w:rsidP="006C7267">
      <w:pPr>
        <w:pStyle w:val="CETBodytext"/>
      </w:pPr>
    </w:p>
    <w:p w14:paraId="3CEE4364" w14:textId="77777777" w:rsidR="0010622F" w:rsidRDefault="0010622F" w:rsidP="0010622F">
      <w:pPr>
        <w:pStyle w:val="CETBodytext"/>
        <w:rPr>
          <w:rStyle w:val="CETCaptionCarattere"/>
        </w:rPr>
      </w:pPr>
      <w:r>
        <w:rPr>
          <w:noProof/>
          <w:lang w:val="es-CO" w:eastAsia="es-CO"/>
        </w:rPr>
        <w:lastRenderedPageBreak/>
        <w:drawing>
          <wp:inline distT="0" distB="0" distL="0" distR="0" wp14:anchorId="529D0F5C" wp14:editId="48F92185">
            <wp:extent cx="4305300" cy="2245007"/>
            <wp:effectExtent l="19050" t="19050" r="19050" b="222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5901" cy="2292251"/>
                    </a:xfrm>
                    <a:prstGeom prst="rect">
                      <a:avLst/>
                    </a:prstGeom>
                    <a:noFill/>
                    <a:ln>
                      <a:solidFill>
                        <a:schemeClr val="tx1"/>
                      </a:solidFill>
                    </a:ln>
                  </pic:spPr>
                </pic:pic>
              </a:graphicData>
            </a:graphic>
          </wp:inline>
        </w:drawing>
      </w:r>
    </w:p>
    <w:p w14:paraId="1B9C34AA" w14:textId="27D90A8A" w:rsidR="0010622F" w:rsidRPr="004B1DDC" w:rsidRDefault="0010622F" w:rsidP="004B1DDC">
      <w:pPr>
        <w:pStyle w:val="CETCaption"/>
        <w:rPr>
          <w:rStyle w:val="CETCaptionCarattere"/>
          <w:i/>
        </w:rPr>
      </w:pPr>
      <w:r w:rsidRPr="004B1DDC">
        <w:rPr>
          <w:rStyle w:val="CETCaptionCarattere"/>
          <w:i/>
        </w:rPr>
        <w:t xml:space="preserve">Figure 1: Potential </w:t>
      </w:r>
      <w:r w:rsidR="006A7349" w:rsidRPr="004B1DDC">
        <w:rPr>
          <w:rStyle w:val="CETCaptionCarattere"/>
          <w:i/>
        </w:rPr>
        <w:t xml:space="preserve">value-added products obtainable from </w:t>
      </w:r>
      <w:r w:rsidR="006A7349" w:rsidRPr="004B1DDC">
        <w:t>Creole-Antillean avocado.</w:t>
      </w:r>
    </w:p>
    <w:p w14:paraId="5741900F" w14:textId="33FDFD5D" w:rsidR="00453E24" w:rsidRDefault="00827934" w:rsidP="00453E24">
      <w:pPr>
        <w:pStyle w:val="CETHeading1"/>
      </w:pPr>
      <w:r>
        <w:t xml:space="preserve">Materials and methods </w:t>
      </w:r>
    </w:p>
    <w:p w14:paraId="4AA0CED9" w14:textId="366D631F" w:rsidR="00706825" w:rsidRDefault="00706825" w:rsidP="00453E24">
      <w:pPr>
        <w:pStyle w:val="CETBodytext"/>
      </w:pPr>
      <w:r w:rsidRPr="00706825">
        <w:t>The avocado oil plant was modeled based on scientific literature data collection, the information was used to simulate a large-scale solvent extraction process; stages, streams, and operating conditions are described below.</w:t>
      </w:r>
    </w:p>
    <w:p w14:paraId="0636B784" w14:textId="0D6C63EE" w:rsidR="00453E24" w:rsidRDefault="00827934" w:rsidP="00453E24">
      <w:pPr>
        <w:pStyle w:val="CETheadingx"/>
      </w:pPr>
      <w:r>
        <w:t>Process description</w:t>
      </w:r>
    </w:p>
    <w:p w14:paraId="1AB168C7" w14:textId="56A28CAA" w:rsidR="006D0F7A" w:rsidRDefault="006D0F7A" w:rsidP="006D0F7A">
      <w:pPr>
        <w:pStyle w:val="CETBodytext"/>
      </w:pPr>
      <w:r>
        <w:t>For this process, the solvent oil extraction method is applied using hexane. As shown in figure 2, first of all, raw material is washed in a sodium hypochlorite solution coming from stream 2; the impurities and contaminants present in the fruit are removed from the process in this washing stage.</w:t>
      </w:r>
      <w:r w:rsidR="00B41537" w:rsidRPr="00B41537">
        <w:t xml:space="preserve"> Once the avocado is clean, the peel is pulled out and carried to the washing stage; in the washing step, the remaining pulp is recovered from the peel (stream 13). In the next stage, the se</w:t>
      </w:r>
      <w:r w:rsidR="00B41537">
        <w:t xml:space="preserve">ed is separated from the pulp; </w:t>
      </w:r>
      <w:r w:rsidR="00B41537" w:rsidRPr="00B41537">
        <w:t>the pulp (stream 7)</w:t>
      </w:r>
      <w:r w:rsidR="00B41537">
        <w:t>,</w:t>
      </w:r>
      <w:r w:rsidR="00B41537" w:rsidRPr="00B41537">
        <w:t xml:space="preserve"> is conducted to the homogenization stage and the seed is washed to obtain a clean seed and a pulp-water mixture (stream 10).</w:t>
      </w:r>
      <w:r>
        <w:t xml:space="preserve"> </w:t>
      </w:r>
    </w:p>
    <w:p w14:paraId="50CE3346" w14:textId="77777777" w:rsidR="008C37AC" w:rsidRDefault="008C37AC" w:rsidP="006D0F7A">
      <w:pPr>
        <w:pStyle w:val="CETBodytext"/>
      </w:pPr>
    </w:p>
    <w:p w14:paraId="35763445" w14:textId="12C008C5" w:rsidR="00827934" w:rsidRPr="00827934" w:rsidRDefault="00827934" w:rsidP="00827934">
      <w:pPr>
        <w:pStyle w:val="CETBodytext"/>
      </w:pPr>
      <w:r>
        <w:rPr>
          <w:noProof/>
          <w:lang w:val="es-CO" w:eastAsia="es-CO"/>
        </w:rPr>
        <w:drawing>
          <wp:inline distT="0" distB="0" distL="0" distR="0" wp14:anchorId="6C1D2EE7" wp14:editId="3B1C7E6F">
            <wp:extent cx="5541928" cy="2686050"/>
            <wp:effectExtent l="19050" t="19050" r="20955" b="190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1">
                      <a:extLst>
                        <a:ext uri="{28A0092B-C50C-407E-A947-70E740481C1C}">
                          <a14:useLocalDpi xmlns:a14="http://schemas.microsoft.com/office/drawing/2010/main" val="0"/>
                        </a:ext>
                      </a:extLst>
                    </a:blip>
                    <a:srcRect l="817" r="1176"/>
                    <a:stretch/>
                  </pic:blipFill>
                  <pic:spPr bwMode="auto">
                    <a:xfrm>
                      <a:off x="0" y="0"/>
                      <a:ext cx="5564245" cy="2696867"/>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7CCEF3D1" w14:textId="640C6FBB" w:rsidR="006D0F7A" w:rsidRPr="004B1DDC" w:rsidRDefault="001A4C69" w:rsidP="004B1DDC">
      <w:pPr>
        <w:pStyle w:val="CETCaption"/>
        <w:rPr>
          <w:rStyle w:val="CETCaptionCarattere"/>
          <w:i/>
        </w:rPr>
      </w:pPr>
      <w:r w:rsidRPr="004B1DDC">
        <w:rPr>
          <w:rStyle w:val="CETCaptionCarattere"/>
          <w:i/>
        </w:rPr>
        <w:t>Figure 2</w:t>
      </w:r>
      <w:r w:rsidR="006D0F7A" w:rsidRPr="004B1DDC">
        <w:rPr>
          <w:rStyle w:val="CETCaptionCarattere"/>
          <w:i/>
        </w:rPr>
        <w:t xml:space="preserve">: Process flow diagram of </w:t>
      </w:r>
      <w:r w:rsidR="00893462" w:rsidRPr="004B1DDC">
        <w:t>Creole-Antillean</w:t>
      </w:r>
      <w:r w:rsidR="00893462" w:rsidRPr="004B1DDC">
        <w:rPr>
          <w:rStyle w:val="CETCaptionCarattere"/>
          <w:i/>
        </w:rPr>
        <w:t xml:space="preserve"> </w:t>
      </w:r>
      <w:r w:rsidR="006D0F7A" w:rsidRPr="004B1DDC">
        <w:rPr>
          <w:rStyle w:val="CETCaptionCarattere"/>
          <w:i/>
        </w:rPr>
        <w:t>avocado oil extraction.</w:t>
      </w:r>
    </w:p>
    <w:p w14:paraId="6211A3E0" w14:textId="5650C21B" w:rsidR="0003052D" w:rsidRDefault="00EE33EC" w:rsidP="0003052D">
      <w:pPr>
        <w:pStyle w:val="CETBodytext"/>
      </w:pPr>
      <w:r>
        <w:t xml:space="preserve">The pulp obtained from the extraction stage is mixed with the remaining pulp from the washing stage and </w:t>
      </w:r>
      <w:r w:rsidR="00162D22">
        <w:t xml:space="preserve">the </w:t>
      </w:r>
      <w:r w:rsidR="001C56B3">
        <w:t xml:space="preserve">mixture is </w:t>
      </w:r>
      <w:r>
        <w:t>homogenized, then</w:t>
      </w:r>
      <w:r w:rsidR="001C56B3">
        <w:t xml:space="preserve">, </w:t>
      </w:r>
      <w:r w:rsidR="00162D22">
        <w:t xml:space="preserve">the </w:t>
      </w:r>
      <w:r w:rsidR="001C56B3">
        <w:t>pulp is led</w:t>
      </w:r>
      <w:r>
        <w:t xml:space="preserve"> to the drying stage where excess water and moisture are removed before extraction. This operation occurs at 1 bar of pressure and 70</w:t>
      </w:r>
      <w:r w:rsidR="008C37AC">
        <w:t xml:space="preserve"> </w:t>
      </w:r>
      <w:r>
        <w:t>°C in order not to degrade the pulp (</w:t>
      </w:r>
      <w:r w:rsidRPr="0070004D">
        <w:t>Ariza Ortega</w:t>
      </w:r>
      <w:r>
        <w:t xml:space="preserve"> et al., 2011).</w:t>
      </w:r>
      <w:r w:rsidR="00FB32EA">
        <w:t xml:space="preserve"> </w:t>
      </w:r>
      <w:r w:rsidR="00627053" w:rsidRPr="00627053">
        <w:t xml:space="preserve">In </w:t>
      </w:r>
      <w:r w:rsidR="00162D22">
        <w:t xml:space="preserve">the </w:t>
      </w:r>
      <w:r w:rsidR="00627053" w:rsidRPr="00627053">
        <w:t xml:space="preserve">extraction stage, hexane </w:t>
      </w:r>
      <w:r w:rsidR="0010622F">
        <w:t xml:space="preserve">was </w:t>
      </w:r>
      <w:r w:rsidR="001C56B3">
        <w:t>used</w:t>
      </w:r>
      <w:r w:rsidR="00627053" w:rsidRPr="00627053">
        <w:t xml:space="preserve"> to obtain oil from the </w:t>
      </w:r>
      <w:r w:rsidR="0010622F">
        <w:t xml:space="preserve">pulp; the mixture is </w:t>
      </w:r>
      <w:r w:rsidR="0010622F">
        <w:lastRenderedPageBreak/>
        <w:t>centrifuged</w:t>
      </w:r>
      <w:r w:rsidR="00627053" w:rsidRPr="00627053">
        <w:t xml:space="preserve"> </w:t>
      </w:r>
      <w:r w:rsidR="001C56B3" w:rsidRPr="00627053">
        <w:t>to</w:t>
      </w:r>
      <w:r w:rsidR="00627053" w:rsidRPr="00627053">
        <w:t xml:space="preserve"> remove the suspended solids, which </w:t>
      </w:r>
      <w:r w:rsidR="001C56B3">
        <w:t>leaves</w:t>
      </w:r>
      <w:r w:rsidR="00627053" w:rsidRPr="00627053">
        <w:t xml:space="preserve"> the process as waste. The oil-solvent mixture goes to a flash distillation where the oil is separated as the desired product of hexane, which is condensed, and a fraction is recirculated to the extraction stage.</w:t>
      </w:r>
      <w:r w:rsidR="0003052D">
        <w:t xml:space="preserve"> </w:t>
      </w:r>
      <w:r w:rsidR="0003052D" w:rsidRPr="00627053">
        <w:t xml:space="preserve">The </w:t>
      </w:r>
      <w:r w:rsidR="00B77C73">
        <w:t xml:space="preserve">crude </w:t>
      </w:r>
      <w:r w:rsidR="0003052D" w:rsidRPr="00627053">
        <w:t xml:space="preserve">oil </w:t>
      </w:r>
      <w:r w:rsidR="001C56B3">
        <w:t xml:space="preserve">is </w:t>
      </w:r>
      <w:r w:rsidR="00B46939">
        <w:t>co</w:t>
      </w:r>
      <w:r w:rsidR="001C56B3">
        <w:t>oled down</w:t>
      </w:r>
      <w:r w:rsidR="0003052D" w:rsidRPr="00627053">
        <w:t xml:space="preserve"> to a storage temperature of </w:t>
      </w:r>
      <w:r w:rsidR="0003052D">
        <w:t>25</w:t>
      </w:r>
      <w:r w:rsidR="0003052D" w:rsidRPr="00627053">
        <w:t xml:space="preserve"> °C to preserve its properties</w:t>
      </w:r>
      <w:r w:rsidR="0070004D">
        <w:t xml:space="preserve"> </w:t>
      </w:r>
      <w:r w:rsidR="0070004D" w:rsidRPr="0070004D">
        <w:t>(</w:t>
      </w:r>
      <w:proofErr w:type="spellStart"/>
      <w:r w:rsidR="0070004D" w:rsidRPr="0070004D">
        <w:t>Robayo</w:t>
      </w:r>
      <w:proofErr w:type="spellEnd"/>
      <w:r w:rsidR="0070004D" w:rsidRPr="0070004D">
        <w:t>, 2017)</w:t>
      </w:r>
      <w:r w:rsidR="0070004D">
        <w:t>.</w:t>
      </w:r>
    </w:p>
    <w:p w14:paraId="582642C6" w14:textId="664F13EA" w:rsidR="00453E24" w:rsidRPr="001A4C69" w:rsidRDefault="0003052D" w:rsidP="00166D50">
      <w:pPr>
        <w:pStyle w:val="CETheadingx"/>
        <w:rPr>
          <w:lang w:val="en-GB"/>
        </w:rPr>
      </w:pPr>
      <w:r>
        <w:t>Inherent s</w:t>
      </w:r>
      <w:r w:rsidR="002E5F5C">
        <w:t>afety index</w:t>
      </w:r>
      <w:r>
        <w:t xml:space="preserve"> (ISI)</w:t>
      </w:r>
    </w:p>
    <w:p w14:paraId="601AA3BC" w14:textId="3A60EF2F" w:rsidR="008C37AC" w:rsidRDefault="0014634E" w:rsidP="0014634E">
      <w:pPr>
        <w:pStyle w:val="CETBodytext"/>
        <w:rPr>
          <w:lang w:val="en-GB"/>
        </w:rPr>
      </w:pPr>
      <w:r w:rsidRPr="0014634E">
        <w:rPr>
          <w:lang w:val="en-GB"/>
        </w:rPr>
        <w:t xml:space="preserve">Calculations for Inherent Safety Index (ISI) are based on the riskiest process performance, considering the worst substances chemical interaction, structure, and process variables, due to intrinsic safety is impacted by process equipment and the properties of the chemical substances implicated in the process. </w:t>
      </w:r>
      <w:r w:rsidR="00622525" w:rsidRPr="00622525">
        <w:rPr>
          <w:lang w:val="en-GB"/>
        </w:rPr>
        <w:t>This indicator evaluates the potential inherent hazard related to the industrial chemical process at a conceptual design phase</w:t>
      </w:r>
      <w:r w:rsidR="004D496A">
        <w:rPr>
          <w:lang w:val="en-GB"/>
        </w:rPr>
        <w:t xml:space="preserve"> </w:t>
      </w:r>
      <w:r w:rsidR="004D496A">
        <w:t>(</w:t>
      </w:r>
      <w:r w:rsidR="004D496A" w:rsidRPr="00C65A09">
        <w:rPr>
          <w:noProof/>
        </w:rPr>
        <w:t>Meramo</w:t>
      </w:r>
      <w:r w:rsidR="00A5540B">
        <w:rPr>
          <w:noProof/>
        </w:rPr>
        <w:t xml:space="preserve"> </w:t>
      </w:r>
      <w:r w:rsidR="004D496A">
        <w:t xml:space="preserve">et al., 2020). </w:t>
      </w:r>
      <w:r w:rsidRPr="0014634E">
        <w:rPr>
          <w:lang w:val="en-GB"/>
        </w:rPr>
        <w:t xml:space="preserve">Therefore, the sum of the Chemical Inherent Safety Index (ICI) and the Process Inherent Safety Index (IPI) represents the Total Inherent Safety Index (ITI) as shown in </w:t>
      </w:r>
      <w:r w:rsidR="008C37AC">
        <w:rPr>
          <w:lang w:val="en-GB"/>
        </w:rPr>
        <w:t>Eq. (</w:t>
      </w:r>
      <w:r w:rsidRPr="0014634E">
        <w:rPr>
          <w:lang w:val="en-GB"/>
        </w:rPr>
        <w:t>1</w:t>
      </w:r>
      <w:r w:rsidR="008C37AC">
        <w:rPr>
          <w:lang w:val="en-GB"/>
        </w:rPr>
        <w:t>)</w:t>
      </w:r>
      <w:r w:rsidRPr="0014634E">
        <w:rPr>
          <w:lang w:val="en-GB"/>
        </w:rPr>
        <w:t xml:space="preserve"> </w:t>
      </w:r>
      <w:r w:rsidR="004D496A">
        <w:t>(</w:t>
      </w:r>
      <w:r w:rsidR="004D496A">
        <w:rPr>
          <w:noProof/>
        </w:rPr>
        <w:t xml:space="preserve">Moreno </w:t>
      </w:r>
      <w:r w:rsidR="004D496A">
        <w:t>et al., 2021)</w:t>
      </w:r>
      <w:r w:rsidRPr="0014634E">
        <w:rPr>
          <w:lang w:val="en-GB"/>
        </w:rPr>
        <w:t>.</w:t>
      </w:r>
    </w:p>
    <w:p w14:paraId="769C0916" w14:textId="77777777" w:rsidR="00404ACD" w:rsidRDefault="00404ACD" w:rsidP="0014634E">
      <w:pPr>
        <w:pStyle w:val="CETBodytext"/>
        <w:rPr>
          <w:lang w:val="en-GB"/>
        </w:rPr>
      </w:pPr>
    </w:p>
    <w:tbl>
      <w:tblPr>
        <w:tblStyle w:val="Tabladecuadrcula2"/>
        <w:tblW w:w="500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007"/>
        <w:gridCol w:w="1780"/>
      </w:tblGrid>
      <w:tr w:rsidR="008C37AC" w:rsidRPr="005B165B" w14:paraId="1E37F4E6" w14:textId="77777777" w:rsidTr="00252BD1">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987" w:type="pct"/>
            <w:tcBorders>
              <w:top w:val="none" w:sz="0" w:space="0" w:color="auto"/>
              <w:bottom w:val="none" w:sz="0" w:space="0" w:color="auto"/>
              <w:right w:val="none" w:sz="0" w:space="0" w:color="auto"/>
            </w:tcBorders>
            <w:shd w:val="clear" w:color="auto" w:fill="auto"/>
          </w:tcPr>
          <w:p w14:paraId="7BF91EAF" w14:textId="6DA8DF5B" w:rsidR="008C37AC" w:rsidRPr="00252BD1" w:rsidRDefault="000519FB" w:rsidP="00252BD1">
            <w:pPr>
              <w:pStyle w:val="Prrafodelista"/>
              <w:widowControl w:val="0"/>
              <w:autoSpaceDE w:val="0"/>
              <w:autoSpaceDN w:val="0"/>
              <w:adjustRightInd w:val="0"/>
              <w:spacing w:line="22" w:lineRule="atLeast"/>
              <w:ind w:left="0" w:right="49"/>
              <w:contextualSpacing w:val="0"/>
              <w:jc w:val="center"/>
              <w:rPr>
                <w:rFonts w:cs="Arial"/>
                <w:b w:val="0"/>
                <w:bCs w:val="0"/>
                <w:iCs/>
                <w:color w:val="000000"/>
                <w:spacing w:val="-3"/>
                <w:sz w:val="20"/>
                <w:szCs w:val="22"/>
              </w:rPr>
            </w:pPr>
            <m:oMathPara>
              <m:oMathParaPr>
                <m:jc m:val="left"/>
              </m:oMathParaPr>
              <m:oMath>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TI</m:t>
                    </m:r>
                  </m:sub>
                </m:sSub>
                <m:r>
                  <m:rPr>
                    <m:sty m:val="bi"/>
                  </m:rPr>
                  <w:rPr>
                    <w:rFonts w:ascii="Cambria Math" w:hAnsi="Cambria Math"/>
                    <w:sz w:val="20"/>
                    <w:szCs w:val="22"/>
                  </w:rPr>
                  <m:t>=</m:t>
                </m:r>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CI</m:t>
                    </m:r>
                  </m:sub>
                </m:sSub>
                <m:r>
                  <m:rPr>
                    <m:sty m:val="bi"/>
                  </m:rPr>
                  <w:rPr>
                    <w:rFonts w:ascii="Cambria Math" w:hAnsi="Cambria Math"/>
                    <w:sz w:val="20"/>
                    <w:szCs w:val="22"/>
                  </w:rPr>
                  <m:t>+</m:t>
                </m:r>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PI</m:t>
                    </m:r>
                  </m:sub>
                </m:sSub>
              </m:oMath>
            </m:oMathPara>
          </w:p>
        </w:tc>
        <w:tc>
          <w:tcPr>
            <w:tcW w:w="1013" w:type="pct"/>
            <w:tcBorders>
              <w:top w:val="none" w:sz="0" w:space="0" w:color="auto"/>
              <w:left w:val="none" w:sz="0" w:space="0" w:color="auto"/>
              <w:bottom w:val="none" w:sz="0" w:space="0" w:color="auto"/>
            </w:tcBorders>
            <w:shd w:val="clear" w:color="auto" w:fill="auto"/>
          </w:tcPr>
          <w:p w14:paraId="6E03AE05" w14:textId="42F7F6F9" w:rsidR="008C37AC" w:rsidRPr="00404ACD" w:rsidRDefault="008C37AC" w:rsidP="00404ACD">
            <w:pPr>
              <w:pStyle w:val="CETEquation"/>
              <w:cnfStyle w:val="100000000000" w:firstRow="1" w:lastRow="0" w:firstColumn="0" w:lastColumn="0" w:oddVBand="0" w:evenVBand="0" w:oddHBand="0" w:evenHBand="0" w:firstRowFirstColumn="0" w:firstRowLastColumn="0" w:lastRowFirstColumn="0" w:lastRowLastColumn="0"/>
              <w:rPr>
                <w:b w:val="0"/>
                <w:lang w:val="en-US"/>
              </w:rPr>
            </w:pPr>
            <w:r w:rsidRPr="00404ACD">
              <w:rPr>
                <w:b w:val="0"/>
                <w:lang w:val="en-US"/>
              </w:rPr>
              <w:t>(1)</w:t>
            </w:r>
          </w:p>
        </w:tc>
      </w:tr>
      <w:tr w:rsidR="008C37AC" w:rsidRPr="005B165B" w14:paraId="2D8FDC6B" w14:textId="77777777" w:rsidTr="00252BD1">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3987" w:type="pct"/>
            <w:shd w:val="clear" w:color="auto" w:fill="auto"/>
          </w:tcPr>
          <w:p w14:paraId="63BAD16D" w14:textId="77777777" w:rsidR="008C37AC" w:rsidRPr="00252BD1" w:rsidRDefault="008C37AC" w:rsidP="000E21FF">
            <w:pPr>
              <w:pStyle w:val="Prrafodelista"/>
              <w:widowControl w:val="0"/>
              <w:autoSpaceDE w:val="0"/>
              <w:autoSpaceDN w:val="0"/>
              <w:adjustRightInd w:val="0"/>
              <w:spacing w:line="22" w:lineRule="atLeast"/>
              <w:ind w:left="0" w:right="49"/>
              <w:contextualSpacing w:val="0"/>
              <w:jc w:val="center"/>
              <w:rPr>
                <w:rFonts w:cs="Arial"/>
                <w:b w:val="0"/>
                <w:bCs w:val="0"/>
                <w:iCs/>
                <w:color w:val="000000"/>
                <w:spacing w:val="-3"/>
                <w:sz w:val="20"/>
                <w:szCs w:val="22"/>
              </w:rPr>
            </w:pPr>
          </w:p>
          <w:p w14:paraId="761F3EA7" w14:textId="028D9C39" w:rsidR="008C37AC" w:rsidRPr="00404ACD" w:rsidRDefault="000519FB" w:rsidP="00252BD1">
            <w:pPr>
              <w:pStyle w:val="Prrafodelista"/>
              <w:widowControl w:val="0"/>
              <w:autoSpaceDE w:val="0"/>
              <w:autoSpaceDN w:val="0"/>
              <w:adjustRightInd w:val="0"/>
              <w:spacing w:line="22" w:lineRule="atLeast"/>
              <w:ind w:left="0" w:right="49"/>
              <w:contextualSpacing w:val="0"/>
              <w:jc w:val="center"/>
              <w:rPr>
                <w:rFonts w:cs="Arial"/>
                <w:b w:val="0"/>
                <w:bCs w:val="0"/>
                <w:sz w:val="20"/>
                <w:szCs w:val="22"/>
              </w:rPr>
            </w:pPr>
            <m:oMathPara>
              <m:oMathParaPr>
                <m:jc m:val="left"/>
              </m:oMathParaPr>
              <m:oMath>
                <m:sSub>
                  <m:sSubPr>
                    <m:ctrlPr>
                      <w:rPr>
                        <w:rFonts w:ascii="Cambria Math" w:hAnsi="Cambria Math" w:cs="Arial"/>
                        <w:i/>
                        <w:sz w:val="20"/>
                        <w:szCs w:val="22"/>
                      </w:rPr>
                    </m:ctrlPr>
                  </m:sSubPr>
                  <m:e>
                    <m:r>
                      <m:rPr>
                        <m:sty m:val="bi"/>
                      </m:rPr>
                      <w:rPr>
                        <w:rFonts w:ascii="Cambria Math" w:hAnsi="Cambria Math" w:cs="Arial"/>
                        <w:sz w:val="20"/>
                        <w:szCs w:val="22"/>
                      </w:rPr>
                      <m:t>I</m:t>
                    </m:r>
                  </m:e>
                  <m:sub>
                    <m:r>
                      <m:rPr>
                        <m:sty m:val="bi"/>
                      </m:rPr>
                      <w:rPr>
                        <w:rFonts w:ascii="Cambria Math" w:hAnsi="Cambria Math" w:cs="Arial"/>
                        <w:sz w:val="20"/>
                        <w:szCs w:val="22"/>
                      </w:rPr>
                      <m:t xml:space="preserve">CI </m:t>
                    </m:r>
                  </m:sub>
                </m:sSub>
                <m:r>
                  <m:rPr>
                    <m:sty m:val="bi"/>
                  </m:rPr>
                  <w:rPr>
                    <w:rFonts w:ascii="Cambria Math" w:hAnsi="Cambria Math" w:cs="Arial"/>
                    <w:sz w:val="20"/>
                    <w:szCs w:val="22"/>
                  </w:rPr>
                  <m:t xml:space="preserve">= </m:t>
                </m:r>
                <m:sSub>
                  <m:sSubPr>
                    <m:ctrlPr>
                      <w:rPr>
                        <w:rFonts w:ascii="Cambria Math" w:hAnsi="Cambria Math" w:cs="Arial"/>
                        <w:i/>
                        <w:sz w:val="20"/>
                        <w:szCs w:val="22"/>
                      </w:rPr>
                    </m:ctrlPr>
                  </m:sSubPr>
                  <m:e>
                    <m:r>
                      <m:rPr>
                        <m:sty m:val="bi"/>
                      </m:rPr>
                      <w:rPr>
                        <w:rFonts w:ascii="Cambria Math" w:hAnsi="Cambria Math" w:cs="Arial"/>
                        <w:sz w:val="20"/>
                        <w:szCs w:val="22"/>
                      </w:rPr>
                      <m:t>I</m:t>
                    </m:r>
                  </m:e>
                  <m:sub>
                    <m:r>
                      <m:rPr>
                        <m:sty m:val="bi"/>
                      </m:rPr>
                      <w:rPr>
                        <w:rFonts w:ascii="Cambria Math" w:hAnsi="Cambria Math" w:cs="Arial"/>
                        <w:sz w:val="20"/>
                        <w:szCs w:val="22"/>
                      </w:rPr>
                      <m:t xml:space="preserve">RM, max </m:t>
                    </m:r>
                  </m:sub>
                </m:sSub>
                <m:r>
                  <m:rPr>
                    <m:sty m:val="bi"/>
                  </m:rPr>
                  <w:rPr>
                    <w:rFonts w:ascii="Cambria Math" w:hAnsi="Cambria Math" w:cs="Arial"/>
                    <w:sz w:val="20"/>
                    <w:szCs w:val="22"/>
                  </w:rPr>
                  <m:t>+</m:t>
                </m:r>
                <m:sSub>
                  <m:sSubPr>
                    <m:ctrlPr>
                      <w:rPr>
                        <w:rFonts w:ascii="Cambria Math" w:hAnsi="Cambria Math" w:cs="Arial"/>
                        <w:i/>
                        <w:sz w:val="20"/>
                        <w:szCs w:val="22"/>
                      </w:rPr>
                    </m:ctrlPr>
                  </m:sSubPr>
                  <m:e>
                    <m:r>
                      <m:rPr>
                        <m:sty m:val="bi"/>
                      </m:rPr>
                      <w:rPr>
                        <w:rFonts w:ascii="Cambria Math" w:hAnsi="Cambria Math" w:cs="Arial"/>
                        <w:sz w:val="20"/>
                        <w:szCs w:val="22"/>
                      </w:rPr>
                      <m:t>I</m:t>
                    </m:r>
                  </m:e>
                  <m:sub>
                    <m:r>
                      <m:rPr>
                        <m:sty m:val="bi"/>
                      </m:rPr>
                      <w:rPr>
                        <w:rFonts w:ascii="Cambria Math" w:hAnsi="Cambria Math" w:cs="Arial"/>
                        <w:sz w:val="20"/>
                        <w:szCs w:val="22"/>
                      </w:rPr>
                      <m:t>RS,max</m:t>
                    </m:r>
                  </m:sub>
                </m:sSub>
                <m:r>
                  <m:rPr>
                    <m:sty m:val="bi"/>
                  </m:rPr>
                  <w:rPr>
                    <w:rFonts w:ascii="Cambria Math" w:hAnsi="Cambria Math" w:cs="Arial"/>
                    <w:sz w:val="20"/>
                    <w:szCs w:val="22"/>
                  </w:rPr>
                  <m:t>+</m:t>
                </m:r>
                <m:sSub>
                  <m:sSubPr>
                    <m:ctrlPr>
                      <w:rPr>
                        <w:rFonts w:ascii="Cambria Math" w:hAnsi="Cambria Math" w:cs="Arial"/>
                        <w:i/>
                        <w:sz w:val="20"/>
                        <w:szCs w:val="22"/>
                      </w:rPr>
                    </m:ctrlPr>
                  </m:sSubPr>
                  <m:e>
                    <m:r>
                      <m:rPr>
                        <m:sty m:val="bi"/>
                      </m:rPr>
                      <w:rPr>
                        <w:rFonts w:ascii="Cambria Math" w:hAnsi="Cambria Math" w:cs="Arial"/>
                        <w:sz w:val="20"/>
                        <w:szCs w:val="22"/>
                      </w:rPr>
                      <m:t>I</m:t>
                    </m:r>
                  </m:e>
                  <m:sub>
                    <m:r>
                      <m:rPr>
                        <m:sty m:val="bi"/>
                      </m:rPr>
                      <w:rPr>
                        <w:rFonts w:ascii="Cambria Math" w:hAnsi="Cambria Math" w:cs="Arial"/>
                        <w:sz w:val="20"/>
                        <w:szCs w:val="22"/>
                      </w:rPr>
                      <m:t>NT, max</m:t>
                    </m:r>
                  </m:sub>
                </m:sSub>
                <m:r>
                  <m:rPr>
                    <m:sty m:val="bi"/>
                  </m:rPr>
                  <w:rPr>
                    <w:rFonts w:ascii="Cambria Math" w:hAnsi="Cambria Math" w:cs="Arial"/>
                    <w:sz w:val="20"/>
                    <w:szCs w:val="22"/>
                  </w:rPr>
                  <m:t>+(</m:t>
                </m:r>
                <m:sSub>
                  <m:sSubPr>
                    <m:ctrlPr>
                      <w:rPr>
                        <w:rFonts w:ascii="Cambria Math" w:hAnsi="Cambria Math" w:cs="Arial"/>
                        <w:i/>
                        <w:sz w:val="20"/>
                        <w:szCs w:val="22"/>
                      </w:rPr>
                    </m:ctrlPr>
                  </m:sSubPr>
                  <m:e>
                    <m:r>
                      <m:rPr>
                        <m:sty m:val="bi"/>
                      </m:rPr>
                      <w:rPr>
                        <w:rFonts w:ascii="Cambria Math" w:hAnsi="Cambria Math" w:cs="Arial"/>
                        <w:sz w:val="20"/>
                        <w:szCs w:val="22"/>
                      </w:rPr>
                      <m:t>I</m:t>
                    </m:r>
                  </m:e>
                  <m:sub>
                    <m:r>
                      <m:rPr>
                        <m:sty m:val="bi"/>
                      </m:rPr>
                      <w:rPr>
                        <w:rFonts w:ascii="Cambria Math" w:hAnsi="Cambria Math" w:cs="Arial"/>
                        <w:sz w:val="20"/>
                        <w:szCs w:val="22"/>
                      </w:rPr>
                      <m:t>FL</m:t>
                    </m:r>
                  </m:sub>
                </m:sSub>
                <m:r>
                  <m:rPr>
                    <m:sty m:val="bi"/>
                  </m:rPr>
                  <w:rPr>
                    <w:rFonts w:ascii="Cambria Math" w:hAnsi="Cambria Math" w:cs="Arial"/>
                    <w:sz w:val="20"/>
                    <w:szCs w:val="22"/>
                  </w:rPr>
                  <m:t>+</m:t>
                </m:r>
                <m:sSub>
                  <m:sSubPr>
                    <m:ctrlPr>
                      <w:rPr>
                        <w:rFonts w:ascii="Cambria Math" w:hAnsi="Cambria Math" w:cs="Arial"/>
                        <w:i/>
                        <w:sz w:val="20"/>
                        <w:szCs w:val="22"/>
                      </w:rPr>
                    </m:ctrlPr>
                  </m:sSubPr>
                  <m:e>
                    <m:r>
                      <m:rPr>
                        <m:sty m:val="bi"/>
                      </m:rPr>
                      <w:rPr>
                        <w:rFonts w:ascii="Cambria Math" w:hAnsi="Cambria Math" w:cs="Arial"/>
                        <w:sz w:val="20"/>
                        <w:szCs w:val="22"/>
                      </w:rPr>
                      <m:t>I</m:t>
                    </m:r>
                  </m:e>
                  <m:sub>
                    <m:r>
                      <m:rPr>
                        <m:sty m:val="bi"/>
                      </m:rPr>
                      <w:rPr>
                        <w:rFonts w:ascii="Cambria Math" w:hAnsi="Cambria Math" w:cs="Arial"/>
                        <w:sz w:val="20"/>
                        <w:szCs w:val="22"/>
                      </w:rPr>
                      <m:t>EX</m:t>
                    </m:r>
                  </m:sub>
                </m:sSub>
                <m:r>
                  <m:rPr>
                    <m:sty m:val="bi"/>
                  </m:rPr>
                  <w:rPr>
                    <w:rFonts w:ascii="Cambria Math" w:hAnsi="Cambria Math" w:cs="Arial"/>
                    <w:sz w:val="20"/>
                    <w:szCs w:val="22"/>
                  </w:rPr>
                  <m:t>+</m:t>
                </m:r>
                <m:sSub>
                  <m:sSubPr>
                    <m:ctrlPr>
                      <w:rPr>
                        <w:rFonts w:ascii="Cambria Math" w:hAnsi="Cambria Math" w:cs="Arial"/>
                        <w:i/>
                        <w:sz w:val="20"/>
                        <w:szCs w:val="22"/>
                      </w:rPr>
                    </m:ctrlPr>
                  </m:sSubPr>
                  <m:e>
                    <m:r>
                      <m:rPr>
                        <m:sty m:val="bi"/>
                      </m:rPr>
                      <w:rPr>
                        <w:rFonts w:ascii="Cambria Math" w:hAnsi="Cambria Math" w:cs="Arial"/>
                        <w:sz w:val="20"/>
                        <w:szCs w:val="22"/>
                      </w:rPr>
                      <m:t>I</m:t>
                    </m:r>
                  </m:e>
                  <m:sub>
                    <m:r>
                      <m:rPr>
                        <m:sty m:val="bi"/>
                      </m:rPr>
                      <w:rPr>
                        <w:rFonts w:ascii="Cambria Math" w:hAnsi="Cambria Math" w:cs="Arial"/>
                        <w:sz w:val="20"/>
                        <w:szCs w:val="22"/>
                      </w:rPr>
                      <m:t>TOX</m:t>
                    </m:r>
                  </m:sub>
                </m:sSub>
                <m:sSub>
                  <m:sSubPr>
                    <m:ctrlPr>
                      <w:rPr>
                        <w:rFonts w:ascii="Cambria Math" w:hAnsi="Cambria Math" w:cs="Arial"/>
                        <w:i/>
                        <w:sz w:val="20"/>
                        <w:szCs w:val="22"/>
                      </w:rPr>
                    </m:ctrlPr>
                  </m:sSubPr>
                  <m:e>
                    <m:r>
                      <m:rPr>
                        <m:sty m:val="bi"/>
                      </m:rPr>
                      <w:rPr>
                        <w:rFonts w:ascii="Cambria Math" w:hAnsi="Cambria Math" w:cs="Arial"/>
                        <w:sz w:val="20"/>
                        <w:szCs w:val="22"/>
                      </w:rPr>
                      <m:t xml:space="preserve">) </m:t>
                    </m:r>
                  </m:e>
                  <m:sub>
                    <m:r>
                      <m:rPr>
                        <m:sty m:val="bi"/>
                      </m:rPr>
                      <w:rPr>
                        <w:rFonts w:ascii="Cambria Math" w:hAnsi="Cambria Math" w:cs="Arial"/>
                        <w:sz w:val="20"/>
                        <w:szCs w:val="22"/>
                      </w:rPr>
                      <m:t>max</m:t>
                    </m:r>
                  </m:sub>
                </m:sSub>
                <m:r>
                  <m:rPr>
                    <m:sty m:val="bi"/>
                  </m:rPr>
                  <w:rPr>
                    <w:rFonts w:ascii="Cambria Math" w:hAnsi="Cambria Math"/>
                    <w:sz w:val="20"/>
                    <w:szCs w:val="22"/>
                  </w:rPr>
                  <m:t>+</m:t>
                </m:r>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COR, max</m:t>
                    </m:r>
                  </m:sub>
                </m:sSub>
              </m:oMath>
            </m:oMathPara>
          </w:p>
        </w:tc>
        <w:tc>
          <w:tcPr>
            <w:tcW w:w="1013" w:type="pct"/>
            <w:shd w:val="clear" w:color="auto" w:fill="auto"/>
          </w:tcPr>
          <w:p w14:paraId="5F3F0799" w14:textId="77777777" w:rsidR="00252BD1" w:rsidRDefault="00252BD1" w:rsidP="00252BD1">
            <w:pPr>
              <w:tabs>
                <w:tab w:val="clear" w:pos="7100"/>
              </w:tabs>
              <w:spacing w:after="200" w:line="22" w:lineRule="atLeast"/>
              <w:jc w:val="right"/>
              <w:cnfStyle w:val="000000100000" w:firstRow="0" w:lastRow="0" w:firstColumn="0" w:lastColumn="0" w:oddVBand="0" w:evenVBand="0" w:oddHBand="1" w:evenHBand="0" w:firstRowFirstColumn="0" w:firstRowLastColumn="0" w:lastRowFirstColumn="0" w:lastRowLastColumn="0"/>
              <w:rPr>
                <w:rFonts w:cs="Arial"/>
                <w:szCs w:val="18"/>
                <w:lang w:val="en-US"/>
              </w:rPr>
            </w:pPr>
            <w:r>
              <w:rPr>
                <w:rFonts w:cs="Arial"/>
                <w:szCs w:val="18"/>
                <w:lang w:val="en-US"/>
              </w:rPr>
              <w:t xml:space="preserve">                          </w:t>
            </w:r>
          </w:p>
          <w:p w14:paraId="2E3E780A" w14:textId="07017DAD" w:rsidR="008C37AC" w:rsidRPr="005B165B" w:rsidRDefault="008C37AC" w:rsidP="00404ACD">
            <w:pPr>
              <w:pStyle w:val="CETEquation"/>
              <w:cnfStyle w:val="000000100000" w:firstRow="0" w:lastRow="0" w:firstColumn="0" w:lastColumn="0" w:oddVBand="0" w:evenVBand="0" w:oddHBand="1" w:evenHBand="0" w:firstRowFirstColumn="0" w:firstRowLastColumn="0" w:lastRowFirstColumn="0" w:lastRowLastColumn="0"/>
              <w:rPr>
                <w:b/>
                <w:bCs/>
                <w:lang w:val="en-US"/>
              </w:rPr>
            </w:pPr>
            <w:r>
              <w:rPr>
                <w:lang w:val="en-US"/>
              </w:rPr>
              <w:t>(2)</w:t>
            </w:r>
          </w:p>
        </w:tc>
      </w:tr>
      <w:tr w:rsidR="008C37AC" w:rsidRPr="00334C0C" w14:paraId="3A13D1CD" w14:textId="77777777" w:rsidTr="000E21FF">
        <w:trPr>
          <w:trHeight w:val="499"/>
        </w:trPr>
        <w:tc>
          <w:tcPr>
            <w:cnfStyle w:val="001000000000" w:firstRow="0" w:lastRow="0" w:firstColumn="1" w:lastColumn="0" w:oddVBand="0" w:evenVBand="0" w:oddHBand="0" w:evenHBand="0" w:firstRowFirstColumn="0" w:firstRowLastColumn="0" w:lastRowFirstColumn="0" w:lastRowLastColumn="0"/>
            <w:tcW w:w="3987" w:type="pct"/>
            <w:shd w:val="clear" w:color="auto" w:fill="auto"/>
          </w:tcPr>
          <w:p w14:paraId="0307C4F9" w14:textId="77777777" w:rsidR="008C37AC" w:rsidRPr="00252BD1" w:rsidRDefault="000519FB" w:rsidP="000E21FF">
            <w:pPr>
              <w:pStyle w:val="Prrafodelista"/>
              <w:widowControl w:val="0"/>
              <w:autoSpaceDE w:val="0"/>
              <w:autoSpaceDN w:val="0"/>
              <w:adjustRightInd w:val="0"/>
              <w:spacing w:line="22" w:lineRule="atLeast"/>
              <w:ind w:left="0" w:right="49"/>
              <w:contextualSpacing w:val="0"/>
              <w:jc w:val="center"/>
              <w:rPr>
                <w:rFonts w:cs="Arial"/>
                <w:sz w:val="20"/>
                <w:szCs w:val="22"/>
              </w:rPr>
            </w:pPr>
            <m:oMathPara>
              <m:oMathParaPr>
                <m:jc m:val="left"/>
              </m:oMathParaPr>
              <m:oMath>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pi</m:t>
                    </m:r>
                  </m:sub>
                </m:sSub>
                <m:r>
                  <m:rPr>
                    <m:sty m:val="bi"/>
                  </m:rPr>
                  <w:rPr>
                    <w:rFonts w:ascii="Cambria Math" w:hAnsi="Cambria Math"/>
                    <w:sz w:val="20"/>
                    <w:szCs w:val="22"/>
                  </w:rPr>
                  <m:t>=</m:t>
                </m:r>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i</m:t>
                    </m:r>
                  </m:sub>
                </m:sSub>
                <m:r>
                  <m:rPr>
                    <m:sty m:val="bi"/>
                  </m:rPr>
                  <w:rPr>
                    <w:rFonts w:ascii="Cambria Math" w:hAnsi="Cambria Math"/>
                    <w:sz w:val="20"/>
                    <w:szCs w:val="22"/>
                  </w:rPr>
                  <m:t>+</m:t>
                </m:r>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 xml:space="preserve">T, max </m:t>
                    </m:r>
                  </m:sub>
                </m:sSub>
                <m:r>
                  <m:rPr>
                    <m:sty m:val="bi"/>
                  </m:rPr>
                  <w:rPr>
                    <w:rFonts w:ascii="Cambria Math" w:hAnsi="Cambria Math"/>
                    <w:sz w:val="20"/>
                    <w:szCs w:val="22"/>
                  </w:rPr>
                  <m:t>+</m:t>
                </m:r>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P,max</m:t>
                    </m:r>
                  </m:sub>
                </m:sSub>
                <m:r>
                  <m:rPr>
                    <m:sty m:val="bi"/>
                  </m:rPr>
                  <w:rPr>
                    <w:rFonts w:ascii="Cambria Math" w:hAnsi="Cambria Math"/>
                    <w:sz w:val="20"/>
                    <w:szCs w:val="22"/>
                  </w:rPr>
                  <m:t>+</m:t>
                </m:r>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EQ,max</m:t>
                    </m:r>
                  </m:sub>
                </m:sSub>
                <m:r>
                  <m:rPr>
                    <m:sty m:val="bi"/>
                  </m:rPr>
                  <w:rPr>
                    <w:rFonts w:ascii="Cambria Math" w:hAnsi="Cambria Math"/>
                    <w:sz w:val="20"/>
                    <w:szCs w:val="22"/>
                  </w:rPr>
                  <m:t>+</m:t>
                </m:r>
                <m:sSub>
                  <m:sSubPr>
                    <m:ctrlPr>
                      <w:rPr>
                        <w:rFonts w:ascii="Cambria Math" w:hAnsi="Cambria Math"/>
                        <w:i/>
                        <w:sz w:val="20"/>
                        <w:szCs w:val="22"/>
                      </w:rPr>
                    </m:ctrlPr>
                  </m:sSubPr>
                  <m:e>
                    <m:r>
                      <m:rPr>
                        <m:sty m:val="bi"/>
                      </m:rPr>
                      <w:rPr>
                        <w:rFonts w:ascii="Cambria Math" w:hAnsi="Cambria Math"/>
                        <w:sz w:val="20"/>
                        <w:szCs w:val="22"/>
                      </w:rPr>
                      <m:t>I</m:t>
                    </m:r>
                  </m:e>
                  <m:sub>
                    <m:r>
                      <m:rPr>
                        <m:sty m:val="bi"/>
                      </m:rPr>
                      <w:rPr>
                        <w:rFonts w:ascii="Cambria Math" w:hAnsi="Cambria Math"/>
                        <w:sz w:val="20"/>
                        <w:szCs w:val="22"/>
                      </w:rPr>
                      <m:t xml:space="preserve">ST,max </m:t>
                    </m:r>
                  </m:sub>
                </m:sSub>
              </m:oMath>
            </m:oMathPara>
          </w:p>
        </w:tc>
        <w:tc>
          <w:tcPr>
            <w:tcW w:w="1013" w:type="pct"/>
            <w:shd w:val="clear" w:color="auto" w:fill="auto"/>
          </w:tcPr>
          <w:p w14:paraId="429A71FD" w14:textId="2A4D6803" w:rsidR="008C37AC" w:rsidRPr="00235724" w:rsidRDefault="00404ACD" w:rsidP="00404ACD">
            <w:pPr>
              <w:pStyle w:val="CETEquation"/>
              <w:cnfStyle w:val="000000000000" w:firstRow="0" w:lastRow="0" w:firstColumn="0" w:lastColumn="0" w:oddVBand="0" w:evenVBand="0" w:oddHBand="0" w:evenHBand="0" w:firstRowFirstColumn="0" w:firstRowLastColumn="0" w:lastRowFirstColumn="0" w:lastRowLastColumn="0"/>
            </w:pPr>
            <w:r w:rsidRPr="00235724">
              <w:t>(3)</w:t>
            </w:r>
          </w:p>
        </w:tc>
      </w:tr>
    </w:tbl>
    <w:p w14:paraId="317BB238" w14:textId="6B6ABD9E" w:rsidR="001A4C69" w:rsidRPr="008C37AC" w:rsidRDefault="00451971" w:rsidP="002A5392">
      <w:pPr>
        <w:pStyle w:val="CETBodytext"/>
      </w:pPr>
      <w:r w:rsidRPr="002A5392">
        <w:rPr>
          <w:lang w:val="en-GB"/>
        </w:rPr>
        <w:t>The Ch</w:t>
      </w:r>
      <w:r>
        <w:rPr>
          <w:lang w:val="en-GB"/>
        </w:rPr>
        <w:t>emical Inherent Safety Index</w:t>
      </w:r>
      <w:r w:rsidR="00F52EFF">
        <w:rPr>
          <w:lang w:val="en-GB"/>
        </w:rPr>
        <w:t xml:space="preserve"> contains</w:t>
      </w:r>
      <w:r w:rsidRPr="002A5392">
        <w:rPr>
          <w:lang w:val="en-GB"/>
        </w:rPr>
        <w:t xml:space="preserve"> chemic</w:t>
      </w:r>
      <w:r>
        <w:rPr>
          <w:lang w:val="en-GB"/>
        </w:rPr>
        <w:t xml:space="preserve">al factors listed in </w:t>
      </w:r>
      <w:r w:rsidR="008C37AC">
        <w:rPr>
          <w:lang w:val="en-GB"/>
        </w:rPr>
        <w:t>Eq.</w:t>
      </w:r>
      <w:r>
        <w:rPr>
          <w:lang w:val="en-GB"/>
        </w:rPr>
        <w:t xml:space="preserve"> </w:t>
      </w:r>
      <w:r w:rsidR="008C37AC">
        <w:rPr>
          <w:lang w:val="en-GB"/>
        </w:rPr>
        <w:t>(</w:t>
      </w:r>
      <w:r>
        <w:rPr>
          <w:lang w:val="en-GB"/>
        </w:rPr>
        <w:t>2</w:t>
      </w:r>
      <w:r w:rsidR="008C37AC">
        <w:rPr>
          <w:lang w:val="en-GB"/>
        </w:rPr>
        <w:t>)</w:t>
      </w:r>
      <w:r>
        <w:rPr>
          <w:lang w:val="en-GB"/>
        </w:rPr>
        <w:t>,</w:t>
      </w:r>
      <w:r w:rsidRPr="002A5392">
        <w:rPr>
          <w:lang w:val="en-GB"/>
        </w:rPr>
        <w:t xml:space="preserve"> determined separately for each substance in t</w:t>
      </w:r>
      <w:r>
        <w:rPr>
          <w:lang w:val="en-GB"/>
        </w:rPr>
        <w:t>he process.</w:t>
      </w:r>
      <w:r w:rsidR="00861643">
        <w:rPr>
          <w:lang w:val="en-GB"/>
        </w:rPr>
        <w:t xml:space="preserve"> The variables included </w:t>
      </w:r>
      <w:r w:rsidR="00BB12AB">
        <w:rPr>
          <w:lang w:val="en-GB"/>
        </w:rPr>
        <w:t>are</w:t>
      </w:r>
      <w:r w:rsidR="004C3B4C">
        <w:rPr>
          <w:lang w:val="en-GB"/>
        </w:rPr>
        <w:t xml:space="preserve"> Heat main reaction </w:t>
      </w:r>
      <w:r w:rsidR="00BB12AB">
        <w:rPr>
          <w:lang w:val="en-GB"/>
        </w:rPr>
        <w:t>(</w:t>
      </w:r>
      <w:proofErr w:type="spellStart"/>
      <w:proofErr w:type="gramStart"/>
      <w:r w:rsidR="00BB12AB">
        <w:rPr>
          <w:lang w:val="en-GB"/>
        </w:rPr>
        <w:t>I</w:t>
      </w:r>
      <w:r w:rsidR="00BB12AB" w:rsidRPr="00BB12AB">
        <w:rPr>
          <w:vertAlign w:val="subscript"/>
          <w:lang w:val="en-GB"/>
        </w:rPr>
        <w:t>RM,max</w:t>
      </w:r>
      <w:proofErr w:type="spellEnd"/>
      <w:proofErr w:type="gramEnd"/>
      <w:r w:rsidR="00BB12AB">
        <w:rPr>
          <w:lang w:val="en-GB"/>
        </w:rPr>
        <w:t>), Heat of side reaction (</w:t>
      </w:r>
      <w:proofErr w:type="spellStart"/>
      <w:r w:rsidR="00BB12AB">
        <w:rPr>
          <w:lang w:val="en-GB"/>
        </w:rPr>
        <w:t>I</w:t>
      </w:r>
      <w:r w:rsidR="00BB12AB" w:rsidRPr="00BB12AB">
        <w:rPr>
          <w:vertAlign w:val="subscript"/>
          <w:lang w:val="en-GB"/>
        </w:rPr>
        <w:t>RS</w:t>
      </w:r>
      <w:r w:rsidR="00BB12AB">
        <w:rPr>
          <w:vertAlign w:val="subscript"/>
          <w:lang w:val="en-GB"/>
        </w:rPr>
        <w:t>,</w:t>
      </w:r>
      <w:r w:rsidR="00BB12AB" w:rsidRPr="00BB12AB">
        <w:rPr>
          <w:vertAlign w:val="subscript"/>
          <w:lang w:val="en-GB"/>
        </w:rPr>
        <w:t>max</w:t>
      </w:r>
      <w:proofErr w:type="spellEnd"/>
      <w:r w:rsidR="00BB12AB">
        <w:rPr>
          <w:lang w:val="en-GB"/>
        </w:rPr>
        <w:t>), Chemical interaction (I</w:t>
      </w:r>
      <w:r w:rsidR="00BB12AB" w:rsidRPr="00BB12AB">
        <w:rPr>
          <w:vertAlign w:val="subscript"/>
          <w:lang w:val="en-GB"/>
        </w:rPr>
        <w:t>NT, max</w:t>
      </w:r>
      <w:r w:rsidR="00BB12AB">
        <w:rPr>
          <w:lang w:val="en-GB"/>
        </w:rPr>
        <w:t>), Flammability (</w:t>
      </w:r>
      <w:proofErr w:type="spellStart"/>
      <w:r w:rsidR="00BB12AB">
        <w:rPr>
          <w:lang w:val="en-GB"/>
        </w:rPr>
        <w:t>I</w:t>
      </w:r>
      <w:r w:rsidR="00BB12AB" w:rsidRPr="00BB12AB">
        <w:rPr>
          <w:vertAlign w:val="subscript"/>
          <w:lang w:val="en-GB"/>
        </w:rPr>
        <w:t>FL,max</w:t>
      </w:r>
      <w:proofErr w:type="spellEnd"/>
      <w:r w:rsidR="00BB12AB">
        <w:rPr>
          <w:lang w:val="en-GB"/>
        </w:rPr>
        <w:t xml:space="preserve">), </w:t>
      </w:r>
      <w:r w:rsidR="00BB12AB" w:rsidRPr="000148C1">
        <w:t>Explosiveness</w:t>
      </w:r>
      <w:r w:rsidR="00BB12AB">
        <w:t xml:space="preserve"> (</w:t>
      </w:r>
      <w:proofErr w:type="spellStart"/>
      <w:r w:rsidR="00BB12AB">
        <w:t>I</w:t>
      </w:r>
      <w:r w:rsidR="00BB12AB" w:rsidRPr="00BB12AB">
        <w:rPr>
          <w:vertAlign w:val="subscript"/>
        </w:rPr>
        <w:t>EX,max</w:t>
      </w:r>
      <w:proofErr w:type="spellEnd"/>
      <w:r w:rsidR="00BB12AB">
        <w:t xml:space="preserve">), </w:t>
      </w:r>
      <w:r w:rsidR="00BB12AB" w:rsidRPr="000148C1">
        <w:t>Toxic exposure</w:t>
      </w:r>
      <w:r w:rsidR="00BB12AB">
        <w:t xml:space="preserve"> (</w:t>
      </w:r>
      <w:proofErr w:type="spellStart"/>
      <w:r w:rsidR="00BB12AB">
        <w:t>I</w:t>
      </w:r>
      <w:r w:rsidR="00BB12AB" w:rsidRPr="00BB12AB">
        <w:rPr>
          <w:vertAlign w:val="subscript"/>
        </w:rPr>
        <w:t>TOX,max</w:t>
      </w:r>
      <w:proofErr w:type="spellEnd"/>
      <w:r w:rsidR="00BB12AB">
        <w:t>), Corrosiveness (</w:t>
      </w:r>
      <w:proofErr w:type="spellStart"/>
      <w:r w:rsidR="00BB12AB">
        <w:t>I</w:t>
      </w:r>
      <w:r w:rsidR="00BB12AB" w:rsidRPr="00BB12AB">
        <w:rPr>
          <w:vertAlign w:val="subscript"/>
        </w:rPr>
        <w:t>COR,max</w:t>
      </w:r>
      <w:proofErr w:type="spellEnd"/>
      <w:r w:rsidR="00BB12AB">
        <w:t>)</w:t>
      </w:r>
      <w:r w:rsidR="00F52EFF">
        <w:t xml:space="preserve">. </w:t>
      </w:r>
      <w:r w:rsidR="004D496A" w:rsidRPr="00FD5713">
        <w:t>(</w:t>
      </w:r>
      <w:r w:rsidR="004D496A" w:rsidRPr="00FD5713">
        <w:rPr>
          <w:noProof/>
        </w:rPr>
        <w:t>Meramo-Hurtado</w:t>
      </w:r>
      <w:r w:rsidR="004D496A" w:rsidRPr="00FD5713">
        <w:t xml:space="preserve"> et al., 20</w:t>
      </w:r>
      <w:r w:rsidR="00FD5713" w:rsidRPr="00FD5713">
        <w:t>21</w:t>
      </w:r>
      <w:r w:rsidR="004D496A" w:rsidRPr="00FD5713">
        <w:t>)</w:t>
      </w:r>
      <w:r w:rsidR="00FD5713" w:rsidRPr="00FD5713">
        <w:t xml:space="preserve">. </w:t>
      </w:r>
      <w:r w:rsidR="00F52EFF">
        <w:t>T</w:t>
      </w:r>
      <w:r w:rsidRPr="002A5392">
        <w:rPr>
          <w:lang w:val="en-GB"/>
        </w:rPr>
        <w:t>he</w:t>
      </w:r>
      <w:r>
        <w:rPr>
          <w:lang w:val="en-GB"/>
        </w:rPr>
        <w:t xml:space="preserve"> Process Inherent Safety Index </w:t>
      </w:r>
      <w:r w:rsidR="00162D22">
        <w:rPr>
          <w:lang w:val="en-GB"/>
        </w:rPr>
        <w:t>includes</w:t>
      </w:r>
      <w:r w:rsidRPr="002A5392">
        <w:rPr>
          <w:lang w:val="en-GB"/>
        </w:rPr>
        <w:t xml:space="preserve"> </w:t>
      </w:r>
      <w:r w:rsidR="00AE2667">
        <w:rPr>
          <w:lang w:val="en-GB"/>
        </w:rPr>
        <w:t>parameters</w:t>
      </w:r>
      <w:r w:rsidRPr="002A5392">
        <w:rPr>
          <w:lang w:val="en-GB"/>
        </w:rPr>
        <w:t xml:space="preserve"> of the process itself, </w:t>
      </w:r>
      <w:r w:rsidR="00162D22">
        <w:rPr>
          <w:lang w:val="en-GB"/>
        </w:rPr>
        <w:t xml:space="preserve">such </w:t>
      </w:r>
      <w:r w:rsidRPr="002A5392">
        <w:rPr>
          <w:lang w:val="en-GB"/>
        </w:rPr>
        <w:t>as</w:t>
      </w:r>
      <w:r w:rsidR="00F52EFF">
        <w:rPr>
          <w:lang w:val="en-GB"/>
        </w:rPr>
        <w:t xml:space="preserve"> </w:t>
      </w:r>
      <w:r w:rsidR="00F52EFF" w:rsidRPr="00851298">
        <w:t>Inventory</w:t>
      </w:r>
      <w:r w:rsidR="00F52EFF">
        <w:t xml:space="preserve"> (</w:t>
      </w:r>
      <w:proofErr w:type="spellStart"/>
      <w:r w:rsidR="00F52EFF">
        <w:t>I</w:t>
      </w:r>
      <w:r w:rsidR="00F52EFF" w:rsidRPr="00F52EFF">
        <w:rPr>
          <w:vertAlign w:val="subscript"/>
        </w:rPr>
        <w:t>i</w:t>
      </w:r>
      <w:proofErr w:type="spellEnd"/>
      <w:r w:rsidR="00F52EFF">
        <w:t xml:space="preserve">), </w:t>
      </w:r>
      <w:r w:rsidR="00F52EFF" w:rsidRPr="00F52EFF">
        <w:t>Process temperature</w:t>
      </w:r>
      <w:r w:rsidR="00F52EFF">
        <w:rPr>
          <w:lang w:val="en-GB"/>
        </w:rPr>
        <w:t xml:space="preserve"> (I</w:t>
      </w:r>
      <w:r w:rsidR="00F52EFF" w:rsidRPr="00F52EFF">
        <w:rPr>
          <w:vertAlign w:val="subscript"/>
          <w:lang w:val="en-GB"/>
        </w:rPr>
        <w:t>T</w:t>
      </w:r>
      <w:r w:rsidR="00F52EFF">
        <w:rPr>
          <w:vertAlign w:val="subscript"/>
          <w:lang w:val="en-GB"/>
        </w:rPr>
        <w:t>,</w:t>
      </w:r>
      <w:r w:rsidR="00162D22">
        <w:rPr>
          <w:vertAlign w:val="subscript"/>
          <w:lang w:val="en-GB"/>
        </w:rPr>
        <w:t xml:space="preserve"> </w:t>
      </w:r>
      <w:r w:rsidR="00F52EFF" w:rsidRPr="00F52EFF">
        <w:rPr>
          <w:vertAlign w:val="subscript"/>
          <w:lang w:val="en-GB"/>
        </w:rPr>
        <w:t>max</w:t>
      </w:r>
      <w:r w:rsidR="00F52EFF">
        <w:rPr>
          <w:lang w:val="en-GB"/>
        </w:rPr>
        <w:t>)</w:t>
      </w:r>
      <w:r w:rsidRPr="002A5392">
        <w:rPr>
          <w:lang w:val="en-GB"/>
        </w:rPr>
        <w:t xml:space="preserve">, </w:t>
      </w:r>
      <w:r w:rsidR="00F52EFF" w:rsidRPr="00851298">
        <w:t>Process pressure</w:t>
      </w:r>
      <w:r w:rsidR="00F52EFF">
        <w:t xml:space="preserve"> (</w:t>
      </w:r>
      <w:proofErr w:type="spellStart"/>
      <w:proofErr w:type="gramStart"/>
      <w:r w:rsidR="00F52EFF">
        <w:t>I</w:t>
      </w:r>
      <w:r w:rsidR="00F52EFF" w:rsidRPr="00F52EFF">
        <w:rPr>
          <w:vertAlign w:val="subscript"/>
        </w:rPr>
        <w:t>P</w:t>
      </w:r>
      <w:r w:rsidR="00F52EFF">
        <w:rPr>
          <w:vertAlign w:val="subscript"/>
        </w:rPr>
        <w:t>,</w:t>
      </w:r>
      <w:r w:rsidR="00F52EFF" w:rsidRPr="00F52EFF">
        <w:rPr>
          <w:vertAlign w:val="subscript"/>
        </w:rPr>
        <w:t>max</w:t>
      </w:r>
      <w:proofErr w:type="spellEnd"/>
      <w:proofErr w:type="gramEnd"/>
      <w:r w:rsidR="00F52EFF">
        <w:t>)</w:t>
      </w:r>
      <w:r w:rsidRPr="002A5392">
        <w:rPr>
          <w:lang w:val="en-GB"/>
        </w:rPr>
        <w:t>,</w:t>
      </w:r>
      <w:r w:rsidR="00F52EFF">
        <w:rPr>
          <w:lang w:val="en-GB"/>
        </w:rPr>
        <w:t xml:space="preserve"> </w:t>
      </w:r>
      <w:r w:rsidR="00F52EFF" w:rsidRPr="00851298">
        <w:t>Equipment safety</w:t>
      </w:r>
      <w:r w:rsidR="00F52EFF">
        <w:t xml:space="preserve"> (</w:t>
      </w:r>
      <w:proofErr w:type="spellStart"/>
      <w:r w:rsidR="00F52EFF">
        <w:t>I</w:t>
      </w:r>
      <w:r w:rsidR="00F52EFF" w:rsidRPr="00F52EFF">
        <w:rPr>
          <w:vertAlign w:val="subscript"/>
        </w:rPr>
        <w:t>EQ,max</w:t>
      </w:r>
      <w:proofErr w:type="spellEnd"/>
      <w:r w:rsidR="00F52EFF">
        <w:t>)</w:t>
      </w:r>
      <w:r w:rsidR="00D844A0">
        <w:t xml:space="preserve">, </w:t>
      </w:r>
      <w:r w:rsidR="00D844A0" w:rsidRPr="00D844A0">
        <w:t>Safe process structure</w:t>
      </w:r>
      <w:r w:rsidR="00D844A0">
        <w:t xml:space="preserve"> (</w:t>
      </w:r>
      <w:proofErr w:type="spellStart"/>
      <w:r w:rsidR="00D844A0">
        <w:t>I</w:t>
      </w:r>
      <w:r w:rsidR="00D844A0" w:rsidRPr="00D844A0">
        <w:rPr>
          <w:vertAlign w:val="subscript"/>
        </w:rPr>
        <w:t>ST,max</w:t>
      </w:r>
      <w:proofErr w:type="spellEnd"/>
      <w:r w:rsidR="00D844A0">
        <w:t>)</w:t>
      </w:r>
      <w:r w:rsidR="00D844A0">
        <w:rPr>
          <w:lang w:val="en-GB"/>
        </w:rPr>
        <w:t xml:space="preserve">, </w:t>
      </w:r>
      <w:r w:rsidR="008C37AC">
        <w:rPr>
          <w:lang w:val="en-GB"/>
        </w:rPr>
        <w:t>Eq. (</w:t>
      </w:r>
      <w:r w:rsidRPr="002A5392">
        <w:rPr>
          <w:lang w:val="en-GB"/>
        </w:rPr>
        <w:t>3</w:t>
      </w:r>
      <w:r w:rsidR="008C37AC">
        <w:rPr>
          <w:lang w:val="en-GB"/>
        </w:rPr>
        <w:t>)</w:t>
      </w:r>
      <w:r w:rsidRPr="002A5392">
        <w:rPr>
          <w:lang w:val="en-GB"/>
        </w:rPr>
        <w:t>.</w:t>
      </w:r>
      <w:r w:rsidR="001A4C69">
        <w:rPr>
          <w:lang w:val="en-GB"/>
        </w:rPr>
        <w:t xml:space="preserve"> </w:t>
      </w:r>
      <w:r w:rsidR="00215E76">
        <w:rPr>
          <w:lang w:val="en-GB"/>
        </w:rPr>
        <w:t xml:space="preserve"> Table 1 shows </w:t>
      </w:r>
      <w:r w:rsidR="00346512">
        <w:rPr>
          <w:lang w:val="en-GB"/>
        </w:rPr>
        <w:t xml:space="preserve">the </w:t>
      </w:r>
      <w:r w:rsidR="00215E76">
        <w:rPr>
          <w:lang w:val="en-GB"/>
        </w:rPr>
        <w:t>safety parameters score.</w:t>
      </w:r>
      <w:r w:rsidR="009D6424" w:rsidRPr="009D6424">
        <w:t xml:space="preserve"> </w:t>
      </w:r>
    </w:p>
    <w:p w14:paraId="3AA4A76F" w14:textId="538AA6AB" w:rsidR="00215E76" w:rsidRDefault="00215E76" w:rsidP="00215E76">
      <w:pPr>
        <w:pStyle w:val="CETTabletitle"/>
      </w:pPr>
      <w:r w:rsidRPr="00B57B36">
        <w:t xml:space="preserve">Table 1: </w:t>
      </w:r>
      <w:r w:rsidR="008E42E8">
        <w:t>S</w:t>
      </w:r>
      <w:r w:rsidR="004C3B4C" w:rsidRPr="004C3B4C">
        <w:t>afety parameters score</w:t>
      </w:r>
      <w:r>
        <w:t>.</w:t>
      </w:r>
    </w:p>
    <w:tbl>
      <w:tblPr>
        <w:tblW w:w="881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18"/>
        <w:gridCol w:w="889"/>
        <w:gridCol w:w="957"/>
        <w:gridCol w:w="991"/>
        <w:gridCol w:w="1311"/>
        <w:gridCol w:w="88"/>
        <w:gridCol w:w="396"/>
        <w:gridCol w:w="1382"/>
        <w:gridCol w:w="1081"/>
      </w:tblGrid>
      <w:tr w:rsidR="008E0671" w:rsidRPr="00B57B36" w14:paraId="6053C0FE" w14:textId="77777777" w:rsidTr="00752982">
        <w:trPr>
          <w:trHeight w:val="266"/>
        </w:trPr>
        <w:tc>
          <w:tcPr>
            <w:tcW w:w="8813" w:type="dxa"/>
            <w:gridSpan w:val="9"/>
            <w:tcBorders>
              <w:top w:val="single" w:sz="12" w:space="0" w:color="008000"/>
              <w:bottom w:val="single" w:sz="6" w:space="0" w:color="008000"/>
            </w:tcBorders>
            <w:shd w:val="clear" w:color="auto" w:fill="FFFFFF"/>
            <w:vAlign w:val="center"/>
          </w:tcPr>
          <w:p w14:paraId="69A0FE96" w14:textId="77777777" w:rsidR="008E0671" w:rsidRDefault="008E0671" w:rsidP="00A61CBA">
            <w:pPr>
              <w:pStyle w:val="CETBodytext"/>
              <w:ind w:right="-1"/>
              <w:jc w:val="center"/>
            </w:pPr>
            <w:r w:rsidRPr="002A5392">
              <w:rPr>
                <w:lang w:val="en-GB"/>
              </w:rPr>
              <w:t>Chemical Inherent Safety Index</w:t>
            </w:r>
          </w:p>
        </w:tc>
      </w:tr>
      <w:tr w:rsidR="008E0671" w:rsidRPr="00B57B36" w14:paraId="700258FE" w14:textId="77777777" w:rsidTr="00A61CBA">
        <w:trPr>
          <w:trHeight w:val="244"/>
        </w:trPr>
        <w:tc>
          <w:tcPr>
            <w:tcW w:w="1718" w:type="dxa"/>
            <w:tcBorders>
              <w:top w:val="single" w:sz="12" w:space="0" w:color="008000"/>
              <w:bottom w:val="single" w:sz="6" w:space="0" w:color="008000"/>
            </w:tcBorders>
            <w:shd w:val="clear" w:color="auto" w:fill="FFFFFF"/>
            <w:vAlign w:val="center"/>
          </w:tcPr>
          <w:p w14:paraId="081FBDD3" w14:textId="77777777" w:rsidR="008E0671" w:rsidRPr="00B57B36" w:rsidRDefault="008E0671" w:rsidP="00A61CBA">
            <w:pPr>
              <w:pStyle w:val="CETBodytext"/>
              <w:jc w:val="center"/>
              <w:rPr>
                <w:lang w:val="en-GB"/>
              </w:rPr>
            </w:pPr>
            <w:r>
              <w:rPr>
                <w:lang w:val="en-GB"/>
              </w:rPr>
              <w:t>Symbols</w:t>
            </w:r>
          </w:p>
        </w:tc>
        <w:tc>
          <w:tcPr>
            <w:tcW w:w="889" w:type="dxa"/>
            <w:tcBorders>
              <w:top w:val="single" w:sz="12" w:space="0" w:color="008000"/>
              <w:bottom w:val="single" w:sz="6" w:space="0" w:color="008000"/>
            </w:tcBorders>
            <w:shd w:val="clear" w:color="auto" w:fill="FFFFFF"/>
            <w:vAlign w:val="center"/>
          </w:tcPr>
          <w:p w14:paraId="44C1EA32" w14:textId="77777777" w:rsidR="008E0671" w:rsidRPr="00B57B36" w:rsidRDefault="008E0671" w:rsidP="00A61CBA">
            <w:pPr>
              <w:pStyle w:val="CETBodytext"/>
              <w:jc w:val="center"/>
              <w:rPr>
                <w:lang w:val="en-GB"/>
              </w:rPr>
            </w:pPr>
            <w:proofErr w:type="spellStart"/>
            <w:proofErr w:type="gramStart"/>
            <w:r>
              <w:rPr>
                <w:lang w:val="en-GB"/>
              </w:rPr>
              <w:t>I</w:t>
            </w:r>
            <w:r w:rsidRPr="00BB12AB">
              <w:rPr>
                <w:vertAlign w:val="subscript"/>
                <w:lang w:val="en-GB"/>
              </w:rPr>
              <w:t>RM,max</w:t>
            </w:r>
            <w:proofErr w:type="spellEnd"/>
            <w:proofErr w:type="gramEnd"/>
          </w:p>
        </w:tc>
        <w:tc>
          <w:tcPr>
            <w:tcW w:w="957" w:type="dxa"/>
            <w:tcBorders>
              <w:top w:val="single" w:sz="12" w:space="0" w:color="008000"/>
              <w:bottom w:val="single" w:sz="6" w:space="0" w:color="008000"/>
            </w:tcBorders>
            <w:shd w:val="clear" w:color="auto" w:fill="FFFFFF"/>
            <w:vAlign w:val="center"/>
          </w:tcPr>
          <w:p w14:paraId="5E424FE3" w14:textId="77777777" w:rsidR="008E0671" w:rsidRPr="00B57B36" w:rsidRDefault="008E0671" w:rsidP="00A61CBA">
            <w:pPr>
              <w:pStyle w:val="CETBodytext"/>
              <w:jc w:val="center"/>
              <w:rPr>
                <w:lang w:val="en-GB"/>
              </w:rPr>
            </w:pPr>
            <w:proofErr w:type="spellStart"/>
            <w:proofErr w:type="gramStart"/>
            <w:r>
              <w:rPr>
                <w:lang w:val="en-GB"/>
              </w:rPr>
              <w:t>I</w:t>
            </w:r>
            <w:r w:rsidRPr="00BB12AB">
              <w:rPr>
                <w:vertAlign w:val="subscript"/>
                <w:lang w:val="en-GB"/>
              </w:rPr>
              <w:t>RS</w:t>
            </w:r>
            <w:r>
              <w:rPr>
                <w:vertAlign w:val="subscript"/>
                <w:lang w:val="en-GB"/>
              </w:rPr>
              <w:t>,</w:t>
            </w:r>
            <w:r w:rsidRPr="00BB12AB">
              <w:rPr>
                <w:vertAlign w:val="subscript"/>
                <w:lang w:val="en-GB"/>
              </w:rPr>
              <w:t>max</w:t>
            </w:r>
            <w:proofErr w:type="spellEnd"/>
            <w:proofErr w:type="gramEnd"/>
          </w:p>
        </w:tc>
        <w:tc>
          <w:tcPr>
            <w:tcW w:w="991" w:type="dxa"/>
            <w:tcBorders>
              <w:top w:val="single" w:sz="12" w:space="0" w:color="008000"/>
              <w:bottom w:val="single" w:sz="6" w:space="0" w:color="008000"/>
            </w:tcBorders>
            <w:shd w:val="clear" w:color="auto" w:fill="FFFFFF"/>
            <w:vAlign w:val="center"/>
          </w:tcPr>
          <w:p w14:paraId="30FF9B7F" w14:textId="77777777" w:rsidR="008E0671" w:rsidRPr="00B57B36" w:rsidRDefault="008E0671" w:rsidP="00A61CBA">
            <w:pPr>
              <w:pStyle w:val="CETBodytext"/>
              <w:ind w:right="-1"/>
              <w:jc w:val="center"/>
              <w:rPr>
                <w:rFonts w:cs="Arial"/>
                <w:szCs w:val="18"/>
                <w:lang w:val="en-GB"/>
              </w:rPr>
            </w:pPr>
            <w:r>
              <w:rPr>
                <w:lang w:val="en-GB"/>
              </w:rPr>
              <w:t>I</w:t>
            </w:r>
            <w:r w:rsidRPr="00BB12AB">
              <w:rPr>
                <w:vertAlign w:val="subscript"/>
                <w:lang w:val="en-GB"/>
              </w:rPr>
              <w:t>NT, max</w:t>
            </w:r>
          </w:p>
        </w:tc>
        <w:tc>
          <w:tcPr>
            <w:tcW w:w="1311" w:type="dxa"/>
            <w:tcBorders>
              <w:top w:val="single" w:sz="12" w:space="0" w:color="008000"/>
              <w:bottom w:val="single" w:sz="6" w:space="0" w:color="008000"/>
            </w:tcBorders>
            <w:shd w:val="clear" w:color="auto" w:fill="FFFFFF"/>
            <w:vAlign w:val="center"/>
          </w:tcPr>
          <w:p w14:paraId="58FD1D6B" w14:textId="77777777" w:rsidR="008E0671" w:rsidRPr="00B57B36" w:rsidRDefault="008E0671" w:rsidP="00A61CBA">
            <w:pPr>
              <w:pStyle w:val="CETBodytext"/>
              <w:ind w:right="-1"/>
              <w:jc w:val="center"/>
              <w:rPr>
                <w:rFonts w:cs="Arial"/>
                <w:szCs w:val="18"/>
                <w:lang w:val="en-GB"/>
              </w:rPr>
            </w:pPr>
            <w:proofErr w:type="spellStart"/>
            <w:proofErr w:type="gramStart"/>
            <w:r>
              <w:rPr>
                <w:lang w:val="en-GB"/>
              </w:rPr>
              <w:t>I</w:t>
            </w:r>
            <w:r w:rsidRPr="00BB12AB">
              <w:rPr>
                <w:vertAlign w:val="subscript"/>
                <w:lang w:val="en-GB"/>
              </w:rPr>
              <w:t>FL,max</w:t>
            </w:r>
            <w:proofErr w:type="spellEnd"/>
            <w:proofErr w:type="gramEnd"/>
          </w:p>
        </w:tc>
        <w:tc>
          <w:tcPr>
            <w:tcW w:w="484" w:type="dxa"/>
            <w:gridSpan w:val="2"/>
            <w:tcBorders>
              <w:top w:val="single" w:sz="12" w:space="0" w:color="008000"/>
              <w:bottom w:val="single" w:sz="6" w:space="0" w:color="008000"/>
            </w:tcBorders>
            <w:shd w:val="clear" w:color="auto" w:fill="FFFFFF"/>
            <w:vAlign w:val="center"/>
          </w:tcPr>
          <w:p w14:paraId="015E7A40" w14:textId="77777777" w:rsidR="008E0671" w:rsidRDefault="008E0671" w:rsidP="00A61CBA">
            <w:pPr>
              <w:pStyle w:val="CETBodytext"/>
              <w:ind w:right="-1"/>
              <w:jc w:val="center"/>
              <w:rPr>
                <w:rFonts w:cs="Arial"/>
                <w:szCs w:val="18"/>
                <w:lang w:val="en-GB"/>
              </w:rPr>
            </w:pPr>
            <w:proofErr w:type="spellStart"/>
            <w:proofErr w:type="gramStart"/>
            <w:r>
              <w:t>I</w:t>
            </w:r>
            <w:r w:rsidRPr="00BB12AB">
              <w:rPr>
                <w:vertAlign w:val="subscript"/>
              </w:rPr>
              <w:t>EX,max</w:t>
            </w:r>
            <w:proofErr w:type="spellEnd"/>
            <w:proofErr w:type="gramEnd"/>
          </w:p>
        </w:tc>
        <w:tc>
          <w:tcPr>
            <w:tcW w:w="1382" w:type="dxa"/>
            <w:tcBorders>
              <w:top w:val="single" w:sz="12" w:space="0" w:color="008000"/>
              <w:bottom w:val="single" w:sz="6" w:space="0" w:color="008000"/>
            </w:tcBorders>
            <w:shd w:val="clear" w:color="auto" w:fill="FFFFFF"/>
            <w:vAlign w:val="center"/>
          </w:tcPr>
          <w:p w14:paraId="20849DB4" w14:textId="77777777" w:rsidR="008E0671" w:rsidRDefault="008E0671" w:rsidP="00A61CBA">
            <w:pPr>
              <w:pStyle w:val="CETBodytext"/>
              <w:ind w:right="-1"/>
              <w:jc w:val="center"/>
              <w:rPr>
                <w:rFonts w:cs="Arial"/>
                <w:szCs w:val="18"/>
                <w:lang w:val="en-GB"/>
              </w:rPr>
            </w:pPr>
            <w:proofErr w:type="spellStart"/>
            <w:proofErr w:type="gramStart"/>
            <w:r>
              <w:t>I</w:t>
            </w:r>
            <w:r w:rsidRPr="00BB12AB">
              <w:rPr>
                <w:vertAlign w:val="subscript"/>
              </w:rPr>
              <w:t>TOX,max</w:t>
            </w:r>
            <w:proofErr w:type="spellEnd"/>
            <w:proofErr w:type="gramEnd"/>
          </w:p>
        </w:tc>
        <w:tc>
          <w:tcPr>
            <w:tcW w:w="1081" w:type="dxa"/>
            <w:tcBorders>
              <w:top w:val="single" w:sz="12" w:space="0" w:color="008000"/>
              <w:bottom w:val="single" w:sz="6" w:space="0" w:color="008000"/>
            </w:tcBorders>
            <w:shd w:val="clear" w:color="auto" w:fill="FFFFFF"/>
            <w:vAlign w:val="center"/>
          </w:tcPr>
          <w:p w14:paraId="1AA2BB91" w14:textId="77777777" w:rsidR="008E0671" w:rsidRDefault="008E0671" w:rsidP="00A61CBA">
            <w:pPr>
              <w:pStyle w:val="CETBodytext"/>
              <w:ind w:right="-1"/>
              <w:jc w:val="center"/>
              <w:rPr>
                <w:rFonts w:cs="Arial"/>
                <w:szCs w:val="18"/>
                <w:lang w:val="en-GB"/>
              </w:rPr>
            </w:pPr>
            <w:proofErr w:type="spellStart"/>
            <w:proofErr w:type="gramStart"/>
            <w:r>
              <w:t>I</w:t>
            </w:r>
            <w:r w:rsidRPr="00BB12AB">
              <w:rPr>
                <w:vertAlign w:val="subscript"/>
              </w:rPr>
              <w:t>COR,max</w:t>
            </w:r>
            <w:proofErr w:type="spellEnd"/>
            <w:proofErr w:type="gramEnd"/>
          </w:p>
        </w:tc>
      </w:tr>
      <w:tr w:rsidR="008E0671" w:rsidRPr="00B57B36" w14:paraId="7276D5F7" w14:textId="77777777" w:rsidTr="00A61CBA">
        <w:trPr>
          <w:trHeight w:val="229"/>
        </w:trPr>
        <w:tc>
          <w:tcPr>
            <w:tcW w:w="1718" w:type="dxa"/>
            <w:tcBorders>
              <w:top w:val="single" w:sz="6" w:space="0" w:color="008000"/>
              <w:bottom w:val="single" w:sz="12" w:space="0" w:color="008000"/>
            </w:tcBorders>
            <w:shd w:val="clear" w:color="auto" w:fill="FFFFFF"/>
            <w:vAlign w:val="center"/>
          </w:tcPr>
          <w:p w14:paraId="251CEA05" w14:textId="77777777" w:rsidR="008E0671" w:rsidRPr="00B57B36" w:rsidRDefault="008E0671" w:rsidP="00A61CBA">
            <w:pPr>
              <w:pStyle w:val="CETBodytext"/>
              <w:jc w:val="center"/>
              <w:rPr>
                <w:lang w:val="en-GB"/>
              </w:rPr>
            </w:pPr>
            <w:r>
              <w:rPr>
                <w:lang w:val="en-GB"/>
              </w:rPr>
              <w:t>Score</w:t>
            </w:r>
          </w:p>
        </w:tc>
        <w:tc>
          <w:tcPr>
            <w:tcW w:w="889" w:type="dxa"/>
            <w:tcBorders>
              <w:top w:val="single" w:sz="6" w:space="0" w:color="008000"/>
              <w:bottom w:val="single" w:sz="12" w:space="0" w:color="008000"/>
            </w:tcBorders>
            <w:shd w:val="clear" w:color="auto" w:fill="FFFFFF"/>
            <w:vAlign w:val="center"/>
          </w:tcPr>
          <w:p w14:paraId="614A86AC" w14:textId="77777777" w:rsidR="008E0671" w:rsidRPr="00B57B36" w:rsidRDefault="008E0671" w:rsidP="00A61CBA">
            <w:pPr>
              <w:pStyle w:val="CETBodytext"/>
              <w:jc w:val="center"/>
              <w:rPr>
                <w:lang w:val="en-GB"/>
              </w:rPr>
            </w:pPr>
            <w:r>
              <w:rPr>
                <w:lang w:val="en-GB"/>
              </w:rPr>
              <w:t>(0-4)</w:t>
            </w:r>
          </w:p>
        </w:tc>
        <w:tc>
          <w:tcPr>
            <w:tcW w:w="957" w:type="dxa"/>
            <w:tcBorders>
              <w:top w:val="single" w:sz="6" w:space="0" w:color="008000"/>
              <w:bottom w:val="single" w:sz="12" w:space="0" w:color="008000"/>
            </w:tcBorders>
            <w:shd w:val="clear" w:color="auto" w:fill="FFFFFF"/>
            <w:vAlign w:val="center"/>
          </w:tcPr>
          <w:p w14:paraId="031D71EB" w14:textId="77777777" w:rsidR="008E0671" w:rsidRPr="00B57B36" w:rsidRDefault="008E0671" w:rsidP="00A61CBA">
            <w:pPr>
              <w:pStyle w:val="CETBodytext"/>
              <w:jc w:val="center"/>
              <w:rPr>
                <w:lang w:val="en-GB"/>
              </w:rPr>
            </w:pPr>
            <w:r w:rsidRPr="00105107">
              <w:rPr>
                <w:lang w:val="en-GB"/>
              </w:rPr>
              <w:t>(0-4)</w:t>
            </w:r>
          </w:p>
        </w:tc>
        <w:tc>
          <w:tcPr>
            <w:tcW w:w="991" w:type="dxa"/>
            <w:tcBorders>
              <w:top w:val="single" w:sz="6" w:space="0" w:color="008000"/>
              <w:bottom w:val="single" w:sz="12" w:space="0" w:color="008000"/>
            </w:tcBorders>
            <w:shd w:val="clear" w:color="auto" w:fill="FFFFFF"/>
            <w:vAlign w:val="center"/>
          </w:tcPr>
          <w:p w14:paraId="1BA7FA66" w14:textId="77777777" w:rsidR="008E0671" w:rsidRPr="00B57B36" w:rsidRDefault="008E0671" w:rsidP="00A61CBA">
            <w:pPr>
              <w:pStyle w:val="CETBodytext"/>
              <w:ind w:right="-1"/>
              <w:jc w:val="center"/>
              <w:rPr>
                <w:rFonts w:cs="Arial"/>
                <w:szCs w:val="18"/>
                <w:lang w:val="en-GB"/>
              </w:rPr>
            </w:pPr>
            <w:r w:rsidRPr="00105107">
              <w:rPr>
                <w:lang w:val="en-GB"/>
              </w:rPr>
              <w:t>(0-4)</w:t>
            </w:r>
          </w:p>
        </w:tc>
        <w:tc>
          <w:tcPr>
            <w:tcW w:w="1311" w:type="dxa"/>
            <w:tcBorders>
              <w:top w:val="single" w:sz="6" w:space="0" w:color="008000"/>
              <w:bottom w:val="single" w:sz="12" w:space="0" w:color="008000"/>
            </w:tcBorders>
            <w:shd w:val="clear" w:color="auto" w:fill="FFFFFF"/>
            <w:vAlign w:val="center"/>
          </w:tcPr>
          <w:p w14:paraId="163DCD1D" w14:textId="77777777" w:rsidR="008E0671" w:rsidRPr="00B57B36" w:rsidRDefault="008E0671" w:rsidP="00A61CBA">
            <w:pPr>
              <w:pStyle w:val="CETBodytext"/>
              <w:ind w:right="-1"/>
              <w:jc w:val="center"/>
              <w:rPr>
                <w:rFonts w:cs="Arial"/>
                <w:szCs w:val="18"/>
                <w:lang w:val="en-GB"/>
              </w:rPr>
            </w:pPr>
            <w:r w:rsidRPr="00105107">
              <w:rPr>
                <w:lang w:val="en-GB"/>
              </w:rPr>
              <w:t>(0-4)</w:t>
            </w:r>
          </w:p>
        </w:tc>
        <w:tc>
          <w:tcPr>
            <w:tcW w:w="484" w:type="dxa"/>
            <w:gridSpan w:val="2"/>
            <w:tcBorders>
              <w:top w:val="single" w:sz="6" w:space="0" w:color="008000"/>
              <w:bottom w:val="single" w:sz="12" w:space="0" w:color="008000"/>
            </w:tcBorders>
            <w:shd w:val="clear" w:color="auto" w:fill="FFFFFF"/>
            <w:vAlign w:val="center"/>
          </w:tcPr>
          <w:p w14:paraId="5BF28289" w14:textId="77777777" w:rsidR="008E0671" w:rsidRPr="00B57B36" w:rsidRDefault="008E0671" w:rsidP="00A61CBA">
            <w:pPr>
              <w:pStyle w:val="CETBodytext"/>
              <w:ind w:right="-1"/>
              <w:jc w:val="center"/>
              <w:rPr>
                <w:rFonts w:cs="Arial"/>
                <w:szCs w:val="18"/>
                <w:lang w:val="en-GB"/>
              </w:rPr>
            </w:pPr>
            <w:r w:rsidRPr="00105107">
              <w:rPr>
                <w:lang w:val="en-GB"/>
              </w:rPr>
              <w:t>(0-4)</w:t>
            </w:r>
          </w:p>
        </w:tc>
        <w:tc>
          <w:tcPr>
            <w:tcW w:w="1382" w:type="dxa"/>
            <w:tcBorders>
              <w:top w:val="single" w:sz="6" w:space="0" w:color="008000"/>
              <w:bottom w:val="single" w:sz="12" w:space="0" w:color="008000"/>
            </w:tcBorders>
            <w:shd w:val="clear" w:color="auto" w:fill="FFFFFF"/>
            <w:vAlign w:val="center"/>
          </w:tcPr>
          <w:p w14:paraId="0186BA09" w14:textId="77777777" w:rsidR="008E0671" w:rsidRPr="00B57B36" w:rsidRDefault="008E0671" w:rsidP="00A61CBA">
            <w:pPr>
              <w:pStyle w:val="CETBodytext"/>
              <w:ind w:right="-1"/>
              <w:jc w:val="center"/>
              <w:rPr>
                <w:rFonts w:cs="Arial"/>
                <w:szCs w:val="18"/>
                <w:lang w:val="en-GB"/>
              </w:rPr>
            </w:pPr>
            <w:r>
              <w:rPr>
                <w:lang w:val="en-GB"/>
              </w:rPr>
              <w:t>(0-6</w:t>
            </w:r>
            <w:r w:rsidRPr="003846EA">
              <w:rPr>
                <w:lang w:val="en-GB"/>
              </w:rPr>
              <w:t>)</w:t>
            </w:r>
          </w:p>
        </w:tc>
        <w:tc>
          <w:tcPr>
            <w:tcW w:w="1081" w:type="dxa"/>
            <w:tcBorders>
              <w:top w:val="single" w:sz="6" w:space="0" w:color="008000"/>
              <w:bottom w:val="single" w:sz="12" w:space="0" w:color="008000"/>
            </w:tcBorders>
            <w:shd w:val="clear" w:color="auto" w:fill="FFFFFF"/>
            <w:vAlign w:val="center"/>
          </w:tcPr>
          <w:p w14:paraId="289B8CD7" w14:textId="77777777" w:rsidR="008E0671" w:rsidRPr="00B57B36" w:rsidRDefault="008E0671" w:rsidP="00A61CBA">
            <w:pPr>
              <w:pStyle w:val="CETBodytext"/>
              <w:ind w:right="-1"/>
              <w:jc w:val="center"/>
              <w:rPr>
                <w:rFonts w:cs="Arial"/>
                <w:szCs w:val="18"/>
                <w:lang w:val="en-GB"/>
              </w:rPr>
            </w:pPr>
            <w:r>
              <w:rPr>
                <w:lang w:val="en-GB"/>
              </w:rPr>
              <w:t>(0-2</w:t>
            </w:r>
            <w:r w:rsidRPr="003846EA">
              <w:rPr>
                <w:lang w:val="en-GB"/>
              </w:rPr>
              <w:t>)</w:t>
            </w:r>
          </w:p>
        </w:tc>
      </w:tr>
      <w:tr w:rsidR="008E0671" w:rsidRPr="00B57B36" w14:paraId="6E23E90E" w14:textId="77777777" w:rsidTr="00752982">
        <w:trPr>
          <w:trHeight w:val="177"/>
        </w:trPr>
        <w:tc>
          <w:tcPr>
            <w:tcW w:w="8813" w:type="dxa"/>
            <w:gridSpan w:val="9"/>
            <w:tcBorders>
              <w:top w:val="single" w:sz="12" w:space="0" w:color="008000"/>
              <w:bottom w:val="single" w:sz="12" w:space="0" w:color="008000"/>
            </w:tcBorders>
            <w:shd w:val="clear" w:color="auto" w:fill="FFFFFF"/>
            <w:vAlign w:val="center"/>
          </w:tcPr>
          <w:p w14:paraId="53FB6379" w14:textId="77777777" w:rsidR="008E0671" w:rsidRPr="00B57B36" w:rsidRDefault="008E0671" w:rsidP="00A61CBA">
            <w:pPr>
              <w:pStyle w:val="CETBodytext"/>
              <w:ind w:right="-1"/>
              <w:jc w:val="center"/>
              <w:rPr>
                <w:rFonts w:cs="Arial"/>
                <w:szCs w:val="18"/>
                <w:lang w:val="en-GB"/>
              </w:rPr>
            </w:pPr>
            <w:r w:rsidRPr="002A5392">
              <w:rPr>
                <w:lang w:val="en-GB"/>
              </w:rPr>
              <w:t>Process Inherent Safety Index</w:t>
            </w:r>
          </w:p>
        </w:tc>
      </w:tr>
      <w:tr w:rsidR="008E0671" w:rsidRPr="00B57B36" w14:paraId="4F762F9E" w14:textId="77777777" w:rsidTr="00A61CBA">
        <w:trPr>
          <w:trHeight w:val="229"/>
        </w:trPr>
        <w:tc>
          <w:tcPr>
            <w:tcW w:w="1718" w:type="dxa"/>
            <w:tcBorders>
              <w:top w:val="single" w:sz="12" w:space="0" w:color="008000"/>
            </w:tcBorders>
            <w:shd w:val="clear" w:color="auto" w:fill="FFFFFF"/>
            <w:vAlign w:val="center"/>
          </w:tcPr>
          <w:p w14:paraId="72B09E97" w14:textId="77777777" w:rsidR="008E0671" w:rsidRDefault="008E0671" w:rsidP="00A61CBA">
            <w:pPr>
              <w:pStyle w:val="CETBodytext"/>
              <w:jc w:val="center"/>
              <w:rPr>
                <w:lang w:val="en-GB"/>
              </w:rPr>
            </w:pPr>
            <w:r>
              <w:rPr>
                <w:lang w:val="en-GB"/>
              </w:rPr>
              <w:t>Symbols</w:t>
            </w:r>
          </w:p>
        </w:tc>
        <w:tc>
          <w:tcPr>
            <w:tcW w:w="889" w:type="dxa"/>
            <w:tcBorders>
              <w:top w:val="single" w:sz="12" w:space="0" w:color="008000"/>
            </w:tcBorders>
            <w:shd w:val="clear" w:color="auto" w:fill="FFFFFF"/>
            <w:vAlign w:val="center"/>
          </w:tcPr>
          <w:p w14:paraId="7CC10542" w14:textId="77777777" w:rsidR="008E0671" w:rsidRDefault="008E0671" w:rsidP="00A61CBA">
            <w:pPr>
              <w:pStyle w:val="CETBodytext"/>
              <w:jc w:val="center"/>
              <w:rPr>
                <w:lang w:val="en-GB"/>
              </w:rPr>
            </w:pPr>
            <w:proofErr w:type="spellStart"/>
            <w:r>
              <w:t>I</w:t>
            </w:r>
            <w:r w:rsidRPr="00F52EFF">
              <w:rPr>
                <w:vertAlign w:val="subscript"/>
              </w:rPr>
              <w:t>i</w:t>
            </w:r>
            <w:proofErr w:type="spellEnd"/>
          </w:p>
        </w:tc>
        <w:tc>
          <w:tcPr>
            <w:tcW w:w="957" w:type="dxa"/>
            <w:tcBorders>
              <w:top w:val="single" w:sz="12" w:space="0" w:color="008000"/>
            </w:tcBorders>
            <w:shd w:val="clear" w:color="auto" w:fill="FFFFFF"/>
            <w:vAlign w:val="center"/>
          </w:tcPr>
          <w:p w14:paraId="13F39F4E" w14:textId="77777777" w:rsidR="008E0671" w:rsidRDefault="008E0671" w:rsidP="00A61CBA">
            <w:pPr>
              <w:pStyle w:val="CETBodytext"/>
              <w:jc w:val="center"/>
              <w:rPr>
                <w:lang w:val="en-GB"/>
              </w:rPr>
            </w:pPr>
            <w:proofErr w:type="spellStart"/>
            <w:proofErr w:type="gramStart"/>
            <w:r>
              <w:rPr>
                <w:lang w:val="en-GB"/>
              </w:rPr>
              <w:t>I</w:t>
            </w:r>
            <w:r w:rsidRPr="00F52EFF">
              <w:rPr>
                <w:vertAlign w:val="subscript"/>
                <w:lang w:val="en-GB"/>
              </w:rPr>
              <w:t>T</w:t>
            </w:r>
            <w:r>
              <w:rPr>
                <w:vertAlign w:val="subscript"/>
                <w:lang w:val="en-GB"/>
              </w:rPr>
              <w:t>,</w:t>
            </w:r>
            <w:r w:rsidRPr="00F52EFF">
              <w:rPr>
                <w:vertAlign w:val="subscript"/>
                <w:lang w:val="en-GB"/>
              </w:rPr>
              <w:t>max</w:t>
            </w:r>
            <w:proofErr w:type="spellEnd"/>
            <w:proofErr w:type="gramEnd"/>
          </w:p>
        </w:tc>
        <w:tc>
          <w:tcPr>
            <w:tcW w:w="991" w:type="dxa"/>
            <w:tcBorders>
              <w:top w:val="single" w:sz="12" w:space="0" w:color="008000"/>
            </w:tcBorders>
            <w:shd w:val="clear" w:color="auto" w:fill="FFFFFF"/>
            <w:vAlign w:val="center"/>
          </w:tcPr>
          <w:p w14:paraId="04331D3A" w14:textId="77777777" w:rsidR="008E0671" w:rsidRDefault="008E0671" w:rsidP="00A61CBA">
            <w:pPr>
              <w:pStyle w:val="CETBodytext"/>
              <w:ind w:right="-1"/>
              <w:jc w:val="center"/>
              <w:rPr>
                <w:rFonts w:cs="Arial"/>
                <w:szCs w:val="18"/>
                <w:lang w:val="en-GB"/>
              </w:rPr>
            </w:pPr>
            <w:proofErr w:type="spellStart"/>
            <w:proofErr w:type="gramStart"/>
            <w:r>
              <w:t>I</w:t>
            </w:r>
            <w:r w:rsidRPr="00F52EFF">
              <w:rPr>
                <w:vertAlign w:val="subscript"/>
              </w:rPr>
              <w:t>P</w:t>
            </w:r>
            <w:r>
              <w:rPr>
                <w:vertAlign w:val="subscript"/>
              </w:rPr>
              <w:t>,</w:t>
            </w:r>
            <w:r w:rsidRPr="00F52EFF">
              <w:rPr>
                <w:vertAlign w:val="subscript"/>
              </w:rPr>
              <w:t>max</w:t>
            </w:r>
            <w:proofErr w:type="spellEnd"/>
            <w:proofErr w:type="gramEnd"/>
          </w:p>
        </w:tc>
        <w:tc>
          <w:tcPr>
            <w:tcW w:w="1399" w:type="dxa"/>
            <w:gridSpan w:val="2"/>
            <w:vMerge w:val="restart"/>
            <w:tcBorders>
              <w:top w:val="single" w:sz="12" w:space="0" w:color="008000"/>
            </w:tcBorders>
            <w:shd w:val="clear" w:color="auto" w:fill="FFFFFF"/>
            <w:vAlign w:val="center"/>
          </w:tcPr>
          <w:p w14:paraId="37F4DBCA" w14:textId="77777777" w:rsidR="008E0671" w:rsidRPr="00B57B36" w:rsidRDefault="008E0671" w:rsidP="00A61CBA">
            <w:pPr>
              <w:pStyle w:val="CETBodytext"/>
              <w:ind w:right="-1"/>
              <w:jc w:val="center"/>
              <w:rPr>
                <w:rFonts w:cs="Arial"/>
                <w:szCs w:val="18"/>
                <w:lang w:val="en-GB"/>
              </w:rPr>
            </w:pPr>
            <w:proofErr w:type="spellStart"/>
            <w:proofErr w:type="gramStart"/>
            <w:r>
              <w:t>I</w:t>
            </w:r>
            <w:r w:rsidRPr="00F52EFF">
              <w:rPr>
                <w:vertAlign w:val="subscript"/>
              </w:rPr>
              <w:t>EQ,max</w:t>
            </w:r>
            <w:proofErr w:type="spellEnd"/>
            <w:proofErr w:type="gramEnd"/>
          </w:p>
          <w:p w14:paraId="47A0A42E" w14:textId="77777777" w:rsidR="008E0671" w:rsidRPr="00B57B36" w:rsidRDefault="008E0671" w:rsidP="00A61CBA">
            <w:pPr>
              <w:pStyle w:val="CETBodytext"/>
              <w:ind w:right="-1"/>
              <w:jc w:val="center"/>
              <w:rPr>
                <w:rFonts w:cs="Arial"/>
                <w:szCs w:val="18"/>
                <w:lang w:val="en-GB"/>
              </w:rPr>
            </w:pPr>
            <w:r w:rsidRPr="00105107">
              <w:rPr>
                <w:lang w:val="en-GB"/>
              </w:rPr>
              <w:t>(0-4)</w:t>
            </w:r>
            <w:r>
              <w:rPr>
                <w:lang w:val="en-GB"/>
              </w:rPr>
              <w:t xml:space="preserve"> OSBL</w:t>
            </w:r>
          </w:p>
        </w:tc>
        <w:tc>
          <w:tcPr>
            <w:tcW w:w="1778" w:type="dxa"/>
            <w:gridSpan w:val="2"/>
            <w:tcBorders>
              <w:top w:val="single" w:sz="12" w:space="0" w:color="008000"/>
            </w:tcBorders>
            <w:shd w:val="clear" w:color="auto" w:fill="FFFFFF"/>
            <w:vAlign w:val="center"/>
          </w:tcPr>
          <w:p w14:paraId="78C763B5" w14:textId="77777777" w:rsidR="008E0671" w:rsidRPr="00B57B36" w:rsidRDefault="008E0671" w:rsidP="00A61CBA">
            <w:pPr>
              <w:pStyle w:val="CETBodytext"/>
              <w:ind w:right="-1"/>
              <w:jc w:val="center"/>
              <w:rPr>
                <w:rFonts w:cs="Arial"/>
                <w:szCs w:val="18"/>
                <w:lang w:val="en-GB"/>
              </w:rPr>
            </w:pPr>
            <w:proofErr w:type="spellStart"/>
            <w:proofErr w:type="gramStart"/>
            <w:r>
              <w:t>I</w:t>
            </w:r>
            <w:r w:rsidRPr="00F52EFF">
              <w:rPr>
                <w:vertAlign w:val="subscript"/>
              </w:rPr>
              <w:t>EQ,max</w:t>
            </w:r>
            <w:proofErr w:type="spellEnd"/>
            <w:proofErr w:type="gramEnd"/>
          </w:p>
        </w:tc>
        <w:tc>
          <w:tcPr>
            <w:tcW w:w="1081" w:type="dxa"/>
            <w:tcBorders>
              <w:top w:val="single" w:sz="12" w:space="0" w:color="008000"/>
            </w:tcBorders>
            <w:shd w:val="clear" w:color="auto" w:fill="FFFFFF"/>
            <w:vAlign w:val="center"/>
          </w:tcPr>
          <w:p w14:paraId="1448FF48" w14:textId="77777777" w:rsidR="008E0671" w:rsidRPr="00B57B36" w:rsidRDefault="008E0671" w:rsidP="00A61CBA">
            <w:pPr>
              <w:pStyle w:val="CETBodytext"/>
              <w:ind w:right="-1"/>
              <w:jc w:val="center"/>
              <w:rPr>
                <w:rFonts w:cs="Arial"/>
                <w:szCs w:val="18"/>
                <w:lang w:val="en-GB"/>
              </w:rPr>
            </w:pPr>
            <w:proofErr w:type="spellStart"/>
            <w:proofErr w:type="gramStart"/>
            <w:r>
              <w:t>I</w:t>
            </w:r>
            <w:r w:rsidRPr="00D844A0">
              <w:rPr>
                <w:vertAlign w:val="subscript"/>
              </w:rPr>
              <w:t>ST,max</w:t>
            </w:r>
            <w:proofErr w:type="spellEnd"/>
            <w:proofErr w:type="gramEnd"/>
          </w:p>
        </w:tc>
      </w:tr>
      <w:tr w:rsidR="008E0671" w:rsidRPr="00B57B36" w14:paraId="11C381E0" w14:textId="77777777" w:rsidTr="00A61CBA">
        <w:trPr>
          <w:trHeight w:val="229"/>
        </w:trPr>
        <w:tc>
          <w:tcPr>
            <w:tcW w:w="1718" w:type="dxa"/>
            <w:shd w:val="clear" w:color="auto" w:fill="FFFFFF"/>
            <w:vAlign w:val="center"/>
          </w:tcPr>
          <w:p w14:paraId="040D9EAA" w14:textId="77777777" w:rsidR="008E0671" w:rsidRDefault="008E0671" w:rsidP="00A61CBA">
            <w:pPr>
              <w:pStyle w:val="CETBodytext"/>
              <w:jc w:val="center"/>
              <w:rPr>
                <w:lang w:val="en-GB"/>
              </w:rPr>
            </w:pPr>
            <w:r>
              <w:rPr>
                <w:lang w:val="en-GB"/>
              </w:rPr>
              <w:t>Score</w:t>
            </w:r>
          </w:p>
        </w:tc>
        <w:tc>
          <w:tcPr>
            <w:tcW w:w="889" w:type="dxa"/>
            <w:shd w:val="clear" w:color="auto" w:fill="FFFFFF"/>
            <w:vAlign w:val="center"/>
          </w:tcPr>
          <w:p w14:paraId="198C8034" w14:textId="77777777" w:rsidR="008E0671" w:rsidRDefault="008E0671" w:rsidP="00A61CBA">
            <w:pPr>
              <w:pStyle w:val="CETBodytext"/>
              <w:jc w:val="center"/>
              <w:rPr>
                <w:lang w:val="en-GB"/>
              </w:rPr>
            </w:pPr>
            <w:r>
              <w:rPr>
                <w:lang w:val="en-GB"/>
              </w:rPr>
              <w:t>(0-5)</w:t>
            </w:r>
          </w:p>
        </w:tc>
        <w:tc>
          <w:tcPr>
            <w:tcW w:w="957" w:type="dxa"/>
            <w:shd w:val="clear" w:color="auto" w:fill="FFFFFF"/>
            <w:vAlign w:val="center"/>
          </w:tcPr>
          <w:p w14:paraId="3E1F1751" w14:textId="77777777" w:rsidR="008E0671" w:rsidRDefault="008E0671" w:rsidP="00A61CBA">
            <w:pPr>
              <w:pStyle w:val="CETBodytext"/>
              <w:jc w:val="center"/>
              <w:rPr>
                <w:lang w:val="en-GB"/>
              </w:rPr>
            </w:pPr>
            <w:r w:rsidRPr="00105107">
              <w:rPr>
                <w:lang w:val="en-GB"/>
              </w:rPr>
              <w:t>(0-4)</w:t>
            </w:r>
          </w:p>
        </w:tc>
        <w:tc>
          <w:tcPr>
            <w:tcW w:w="991" w:type="dxa"/>
            <w:shd w:val="clear" w:color="auto" w:fill="FFFFFF"/>
            <w:vAlign w:val="center"/>
          </w:tcPr>
          <w:p w14:paraId="49CE62C1" w14:textId="77777777" w:rsidR="008E0671" w:rsidRDefault="008E0671" w:rsidP="00A61CBA">
            <w:pPr>
              <w:pStyle w:val="CETBodytext"/>
              <w:ind w:right="-1"/>
              <w:jc w:val="center"/>
              <w:rPr>
                <w:rFonts w:cs="Arial"/>
                <w:szCs w:val="18"/>
                <w:lang w:val="en-GB"/>
              </w:rPr>
            </w:pPr>
            <w:r w:rsidRPr="00105107">
              <w:rPr>
                <w:lang w:val="en-GB"/>
              </w:rPr>
              <w:t>(0-4)</w:t>
            </w:r>
          </w:p>
        </w:tc>
        <w:tc>
          <w:tcPr>
            <w:tcW w:w="1399" w:type="dxa"/>
            <w:gridSpan w:val="2"/>
            <w:vMerge/>
            <w:shd w:val="clear" w:color="auto" w:fill="FFFFFF"/>
            <w:vAlign w:val="center"/>
          </w:tcPr>
          <w:p w14:paraId="0DAF6846" w14:textId="77777777" w:rsidR="008E0671" w:rsidRPr="00B57B36" w:rsidRDefault="008E0671" w:rsidP="00A61CBA">
            <w:pPr>
              <w:pStyle w:val="CETBodytext"/>
              <w:ind w:right="-1"/>
              <w:jc w:val="center"/>
              <w:rPr>
                <w:rFonts w:cs="Arial"/>
                <w:szCs w:val="18"/>
                <w:lang w:val="en-GB"/>
              </w:rPr>
            </w:pPr>
          </w:p>
        </w:tc>
        <w:tc>
          <w:tcPr>
            <w:tcW w:w="1778" w:type="dxa"/>
            <w:gridSpan w:val="2"/>
            <w:shd w:val="clear" w:color="auto" w:fill="FFFFFF"/>
            <w:vAlign w:val="center"/>
          </w:tcPr>
          <w:p w14:paraId="1D3FF6F6" w14:textId="77777777" w:rsidR="008E0671" w:rsidRPr="00B57B36" w:rsidRDefault="008E0671" w:rsidP="00A61CBA">
            <w:pPr>
              <w:pStyle w:val="CETBodytext"/>
              <w:ind w:right="-1"/>
              <w:jc w:val="center"/>
              <w:rPr>
                <w:rFonts w:cs="Arial"/>
                <w:szCs w:val="18"/>
                <w:lang w:val="en-GB"/>
              </w:rPr>
            </w:pPr>
            <w:r>
              <w:rPr>
                <w:lang w:val="en-GB"/>
              </w:rPr>
              <w:t>(0-3</w:t>
            </w:r>
            <w:r w:rsidRPr="003846EA">
              <w:rPr>
                <w:lang w:val="en-GB"/>
              </w:rPr>
              <w:t>)</w:t>
            </w:r>
            <w:r>
              <w:rPr>
                <w:lang w:val="en-GB"/>
              </w:rPr>
              <w:t xml:space="preserve"> ISBL</w:t>
            </w:r>
          </w:p>
        </w:tc>
        <w:tc>
          <w:tcPr>
            <w:tcW w:w="1081" w:type="dxa"/>
            <w:shd w:val="clear" w:color="auto" w:fill="FFFFFF"/>
            <w:vAlign w:val="center"/>
          </w:tcPr>
          <w:p w14:paraId="39F1F151" w14:textId="77777777" w:rsidR="008E0671" w:rsidRPr="00B57B36" w:rsidRDefault="008E0671" w:rsidP="00A61CBA">
            <w:pPr>
              <w:pStyle w:val="CETBodytext"/>
              <w:ind w:right="-1"/>
              <w:jc w:val="center"/>
              <w:rPr>
                <w:rFonts w:cs="Arial"/>
                <w:szCs w:val="18"/>
                <w:lang w:val="en-GB"/>
              </w:rPr>
            </w:pPr>
            <w:r>
              <w:rPr>
                <w:lang w:val="en-GB"/>
              </w:rPr>
              <w:t>(0-5</w:t>
            </w:r>
            <w:r w:rsidRPr="003846EA">
              <w:rPr>
                <w:lang w:val="en-GB"/>
              </w:rPr>
              <w:t>)</w:t>
            </w:r>
          </w:p>
        </w:tc>
      </w:tr>
    </w:tbl>
    <w:p w14:paraId="72A89176" w14:textId="33C49E4A" w:rsidR="008E0671" w:rsidRPr="007614EB" w:rsidRDefault="007614EB" w:rsidP="000E35C2">
      <w:pPr>
        <w:pStyle w:val="CETTabletitle"/>
        <w:jc w:val="both"/>
        <w:rPr>
          <w:i w:val="0"/>
        </w:rPr>
      </w:pPr>
      <w:r w:rsidRPr="007614EB">
        <w:rPr>
          <w:i w:val="0"/>
        </w:rPr>
        <w:t>The flammability parameter is measured by boiling point and flashpoint, the minimum temperature for the substa</w:t>
      </w:r>
      <w:r w:rsidR="000E35C2">
        <w:rPr>
          <w:i w:val="0"/>
        </w:rPr>
        <w:t xml:space="preserve">nce solvent to ignite or burn. </w:t>
      </w:r>
      <w:r w:rsidR="000E35C2" w:rsidRPr="000E35C2">
        <w:rPr>
          <w:i w:val="0"/>
        </w:rPr>
        <w:t>(Ahmad et al.,</w:t>
      </w:r>
      <w:r w:rsidR="000E35C2">
        <w:rPr>
          <w:i w:val="0"/>
        </w:rPr>
        <w:t xml:space="preserve"> </w:t>
      </w:r>
      <w:r w:rsidR="000E35C2" w:rsidRPr="000E35C2">
        <w:rPr>
          <w:i w:val="0"/>
        </w:rPr>
        <w:t>2020</w:t>
      </w:r>
      <w:r w:rsidR="000E35C2">
        <w:rPr>
          <w:i w:val="0"/>
        </w:rPr>
        <w:t xml:space="preserve">). </w:t>
      </w:r>
      <w:r w:rsidRPr="007614EB">
        <w:rPr>
          <w:i w:val="0"/>
        </w:rPr>
        <w:t>Explosiveness reports the tendency of a gas to form an explosive mixture with air, which is described by lower explosion limits (LEL). Toxic exposure is classified as health hazards determined in terms of Threshold Limit Value (TLV) in ppm units, scaled in Permissible Exposure Limits issued by the Occupational Safety and Health Administration in the United States (OSHA, 2019).</w:t>
      </w:r>
      <w:r w:rsidR="00595245">
        <w:rPr>
          <w:i w:val="0"/>
        </w:rPr>
        <w:t xml:space="preserve"> </w:t>
      </w:r>
      <w:r w:rsidRPr="007614EB">
        <w:rPr>
          <w:i w:val="0"/>
        </w:rPr>
        <w:t>Corrosiveness indicator is defined by construction material, if carbon steel is plenty a cero score is assigned.</w:t>
      </w:r>
      <w:r w:rsidR="008E0EAF">
        <w:rPr>
          <w:i w:val="0"/>
        </w:rPr>
        <w:t xml:space="preserve"> </w:t>
      </w:r>
      <w:r w:rsidR="008E0EAF" w:rsidRPr="008E0EAF">
        <w:rPr>
          <w:i w:val="0"/>
        </w:rPr>
        <w:t>Process Inherent Safety Index is measured regard</w:t>
      </w:r>
      <w:r w:rsidR="008E42E8">
        <w:rPr>
          <w:i w:val="0"/>
        </w:rPr>
        <w:t>ing</w:t>
      </w:r>
      <w:r w:rsidR="008E0EAF" w:rsidRPr="008E0EAF">
        <w:rPr>
          <w:i w:val="0"/>
        </w:rPr>
        <w:t xml:space="preserve"> process operation and equipment. For the inventory sub-index, it is necessary to quantify material to be stored using mass flows streams. The temperature scale was selected on basis of material strength and threat to humans. Pressure parameters are indicated to fill strength vessel requirements. </w:t>
      </w:r>
      <w:r w:rsidR="00C0664B" w:rsidRPr="00C0664B">
        <w:rPr>
          <w:i w:val="0"/>
        </w:rPr>
        <w:t xml:space="preserve">Furthermore, Equipment safety aims to prevent the possibility that a piece of equipment is unsafe. The process plan area is separated into onsite </w:t>
      </w:r>
      <w:r w:rsidR="00C0664B">
        <w:rPr>
          <w:i w:val="0"/>
        </w:rPr>
        <w:t xml:space="preserve">and offsite areas; </w:t>
      </w:r>
      <w:r w:rsidR="00C0664B" w:rsidRPr="00C0664B">
        <w:rPr>
          <w:i w:val="0"/>
        </w:rPr>
        <w:t>the onsite area refers to the battery</w:t>
      </w:r>
      <w:r w:rsidR="00C0664B">
        <w:rPr>
          <w:i w:val="0"/>
        </w:rPr>
        <w:t xml:space="preserve"> </w:t>
      </w:r>
      <w:r w:rsidR="00C0664B" w:rsidRPr="00C0664B">
        <w:rPr>
          <w:i w:val="0"/>
        </w:rPr>
        <w:t>limits area (ISBL) for substantial equipment in a small section, and offsite areas are concerned to outside battery limits area (OSBL), which refers to a large inventory scattered in a space location</w:t>
      </w:r>
      <w:r w:rsidR="00C0664B">
        <w:rPr>
          <w:i w:val="0"/>
        </w:rPr>
        <w:t xml:space="preserve"> </w:t>
      </w:r>
      <w:r w:rsidR="003C041D" w:rsidRPr="003C041D">
        <w:rPr>
          <w:i w:val="0"/>
        </w:rPr>
        <w:t>(</w:t>
      </w:r>
      <w:proofErr w:type="spellStart"/>
      <w:r w:rsidR="003C041D" w:rsidRPr="003C041D">
        <w:rPr>
          <w:i w:val="0"/>
        </w:rPr>
        <w:t>Heikkilä</w:t>
      </w:r>
      <w:proofErr w:type="spellEnd"/>
      <w:r w:rsidR="003C041D" w:rsidRPr="003C041D">
        <w:rPr>
          <w:i w:val="0"/>
        </w:rPr>
        <w:t>, 1999)</w:t>
      </w:r>
      <w:r w:rsidR="003C041D">
        <w:rPr>
          <w:i w:val="0"/>
        </w:rPr>
        <w:t>.</w:t>
      </w:r>
    </w:p>
    <w:p w14:paraId="32052884" w14:textId="61D42970" w:rsidR="00AD161D" w:rsidRPr="001A4C69" w:rsidRDefault="006E3F09" w:rsidP="00AD161D">
      <w:pPr>
        <w:pStyle w:val="CETHeading1"/>
        <w:rPr>
          <w:lang w:val="en-GB"/>
        </w:rPr>
      </w:pPr>
      <w:r>
        <w:rPr>
          <w:lang w:val="en-GB"/>
        </w:rPr>
        <w:t xml:space="preserve">Results and discussion </w:t>
      </w:r>
    </w:p>
    <w:p w14:paraId="252ECB02" w14:textId="13D20F63" w:rsidR="004B5776" w:rsidRDefault="004B5776" w:rsidP="004B5776">
      <w:pPr>
        <w:pStyle w:val="CETheadingx"/>
      </w:pPr>
      <w:r w:rsidRPr="004B5776">
        <w:t>Chemical Inherent Safety Index (I</w:t>
      </w:r>
      <w:r w:rsidRPr="00510F72">
        <w:rPr>
          <w:vertAlign w:val="subscript"/>
        </w:rPr>
        <w:t>ch</w:t>
      </w:r>
      <w:r w:rsidRPr="004B5776">
        <w:t>)</w:t>
      </w:r>
    </w:p>
    <w:p w14:paraId="4982E37E" w14:textId="3F8805D8" w:rsidR="00F22AF1" w:rsidRDefault="00EE56DB" w:rsidP="00EE56DB">
      <w:pPr>
        <w:pStyle w:val="CETBodytext"/>
      </w:pPr>
      <w:r w:rsidRPr="00EE56DB">
        <w:t>Sub-index</w:t>
      </w:r>
      <w:r w:rsidR="00804B07">
        <w:t>es</w:t>
      </w:r>
      <w:r w:rsidRPr="00EE56DB">
        <w:t xml:space="preserve"> </w:t>
      </w:r>
      <w:proofErr w:type="spellStart"/>
      <w:proofErr w:type="gramStart"/>
      <w:r>
        <w:rPr>
          <w:lang w:val="en-GB"/>
        </w:rPr>
        <w:t>I</w:t>
      </w:r>
      <w:r w:rsidRPr="00BB12AB">
        <w:rPr>
          <w:vertAlign w:val="subscript"/>
          <w:lang w:val="en-GB"/>
        </w:rPr>
        <w:t>RM,max</w:t>
      </w:r>
      <w:proofErr w:type="spellEnd"/>
      <w:proofErr w:type="gramEnd"/>
      <w:r w:rsidRPr="00EE56DB">
        <w:t xml:space="preserve"> and </w:t>
      </w:r>
      <w:proofErr w:type="spellStart"/>
      <w:r>
        <w:rPr>
          <w:lang w:val="en-GB"/>
        </w:rPr>
        <w:t>I</w:t>
      </w:r>
      <w:r w:rsidRPr="00BB12AB">
        <w:rPr>
          <w:vertAlign w:val="subscript"/>
          <w:lang w:val="en-GB"/>
        </w:rPr>
        <w:t>RS</w:t>
      </w:r>
      <w:r>
        <w:rPr>
          <w:vertAlign w:val="subscript"/>
          <w:lang w:val="en-GB"/>
        </w:rPr>
        <w:t>,</w:t>
      </w:r>
      <w:r w:rsidRPr="00BB12AB">
        <w:rPr>
          <w:vertAlign w:val="subscript"/>
          <w:lang w:val="en-GB"/>
        </w:rPr>
        <w:t>max</w:t>
      </w:r>
      <w:proofErr w:type="spellEnd"/>
      <w:r w:rsidRPr="00EE56DB">
        <w:t xml:space="preserve"> represents the chemical reaction indicator for main and side reactions. In crude avocado oil extraction, no reaction took place</w:t>
      </w:r>
      <w:r w:rsidR="00346512">
        <w:t>,</w:t>
      </w:r>
      <w:r w:rsidR="00C344FE">
        <w:t xml:space="preserve"> and </w:t>
      </w:r>
      <w:r w:rsidRPr="00EE56DB">
        <w:t>therefore, these indicators hav</w:t>
      </w:r>
      <w:r>
        <w:t xml:space="preserve">e a 0 score just as the </w:t>
      </w:r>
      <w:r>
        <w:rPr>
          <w:lang w:val="en-GB"/>
        </w:rPr>
        <w:t>I</w:t>
      </w:r>
      <w:r w:rsidRPr="00BB12AB">
        <w:rPr>
          <w:vertAlign w:val="subscript"/>
          <w:lang w:val="en-GB"/>
        </w:rPr>
        <w:t>NT, max</w:t>
      </w:r>
      <w:r w:rsidR="009353B6">
        <w:t xml:space="preserve"> that considers the unwanted </w:t>
      </w:r>
      <w:r w:rsidRPr="00EE56DB">
        <w:t>reactions from process substances with materials in the plant area</w:t>
      </w:r>
      <w:r w:rsidR="009353B6">
        <w:t xml:space="preserve"> and n-Hexane low reactivity</w:t>
      </w:r>
      <w:r w:rsidRPr="00EE56DB">
        <w:t>.</w:t>
      </w:r>
      <w:r>
        <w:t xml:space="preserve"> </w:t>
      </w:r>
      <w:r w:rsidR="00B67C76" w:rsidRPr="00B67C76">
        <w:t xml:space="preserve">Flammability, explosiveness, and toxicity are parameters considered to identify hazardous </w:t>
      </w:r>
      <w:r w:rsidR="00B67C76" w:rsidRPr="00B67C76">
        <w:lastRenderedPageBreak/>
        <w:t xml:space="preserve">material, for avocado oil obtention using </w:t>
      </w:r>
      <w:r w:rsidR="00346512">
        <w:t xml:space="preserve">a </w:t>
      </w:r>
      <w:r w:rsidR="00B67C76" w:rsidRPr="00B67C76">
        <w:t>solvent</w:t>
      </w:r>
      <w:r w:rsidR="005C716E">
        <w:t>. T</w:t>
      </w:r>
      <w:r w:rsidR="00B67C76" w:rsidRPr="00B67C76">
        <w:t>he component with the greatest risks for the process was hexane employed in the extraction stage, among other substances within the process shown to be secure due to their non-flammability, non-toxicity, and non-ex</w:t>
      </w:r>
      <w:r w:rsidR="00FD5713">
        <w:t>plosiveness nature</w:t>
      </w:r>
      <w:r w:rsidR="00A5540B">
        <w:t xml:space="preserve"> </w:t>
      </w:r>
      <w:r w:rsidR="00FD5713">
        <w:t>(Zuorro</w:t>
      </w:r>
      <w:r w:rsidR="00B67C76" w:rsidRPr="00B67C76">
        <w:t xml:space="preserve"> et al</w:t>
      </w:r>
      <w:r w:rsidR="00595245">
        <w:t>.</w:t>
      </w:r>
      <w:r w:rsidR="00B67C76" w:rsidRPr="00B67C76">
        <w:t>, 2021).</w:t>
      </w:r>
    </w:p>
    <w:p w14:paraId="21EA6B1A" w14:textId="5B5CF387" w:rsidR="00E16942" w:rsidRPr="00FB2415" w:rsidRDefault="006149D0" w:rsidP="00804B07">
      <w:pPr>
        <w:pStyle w:val="CETTabletitle"/>
      </w:pPr>
      <w:r>
        <w:t xml:space="preserve">Table </w:t>
      </w:r>
      <w:r w:rsidR="00804B07">
        <w:t>2</w:t>
      </w:r>
      <w:r w:rsidR="00810B22">
        <w:t xml:space="preserve">:  </w:t>
      </w:r>
      <w:r w:rsidR="00D258C3">
        <w:t>n-</w:t>
      </w:r>
      <w:r w:rsidR="00AD161D">
        <w:t>H</w:t>
      </w:r>
      <w:r w:rsidR="00810B22" w:rsidRPr="00810B22">
        <w:t>exane</w:t>
      </w:r>
      <w:r w:rsidR="0015392A">
        <w:t xml:space="preserve"> </w:t>
      </w:r>
      <w:r w:rsidR="0015392A" w:rsidRPr="0015392A">
        <w:t>hazardous</w:t>
      </w:r>
      <w:r w:rsidR="0015392A">
        <w:t xml:space="preserve"> </w:t>
      </w:r>
      <w:r w:rsidR="00AD161D" w:rsidRPr="00810B22">
        <w:t>indicator</w:t>
      </w:r>
      <w:r w:rsidR="00AD161D">
        <w:t>s</w:t>
      </w:r>
      <w:r w:rsidR="0015392A">
        <w:t>.</w:t>
      </w:r>
    </w:p>
    <w:tbl>
      <w:tblPr>
        <w:tblW w:w="87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32"/>
        <w:gridCol w:w="1532"/>
        <w:gridCol w:w="1532"/>
        <w:gridCol w:w="1532"/>
        <w:gridCol w:w="965"/>
        <w:gridCol w:w="1637"/>
      </w:tblGrid>
      <w:tr w:rsidR="00FB2415" w:rsidRPr="00B57B36" w14:paraId="68378182" w14:textId="77777777" w:rsidTr="00111724">
        <w:trPr>
          <w:trHeight w:val="262"/>
        </w:trPr>
        <w:tc>
          <w:tcPr>
            <w:tcW w:w="1532" w:type="dxa"/>
            <w:tcBorders>
              <w:top w:val="single" w:sz="12" w:space="0" w:color="008000"/>
              <w:bottom w:val="single" w:sz="6" w:space="0" w:color="008000"/>
            </w:tcBorders>
            <w:shd w:val="clear" w:color="auto" w:fill="FFFFFF"/>
          </w:tcPr>
          <w:p w14:paraId="2A4B316E" w14:textId="6623B099" w:rsidR="00FB2415" w:rsidRDefault="00FB2415" w:rsidP="00111724">
            <w:pPr>
              <w:pStyle w:val="CETBodytext"/>
              <w:rPr>
                <w:lang w:val="en-GB"/>
              </w:rPr>
            </w:pPr>
            <w:r>
              <w:rPr>
                <w:lang w:val="en-GB"/>
              </w:rPr>
              <w:t>Components</w:t>
            </w:r>
          </w:p>
        </w:tc>
        <w:tc>
          <w:tcPr>
            <w:tcW w:w="1532" w:type="dxa"/>
            <w:tcBorders>
              <w:top w:val="single" w:sz="12" w:space="0" w:color="008000"/>
              <w:bottom w:val="single" w:sz="6" w:space="0" w:color="008000"/>
            </w:tcBorders>
            <w:shd w:val="clear" w:color="auto" w:fill="FFFFFF"/>
          </w:tcPr>
          <w:p w14:paraId="21B42307" w14:textId="023AC5E3" w:rsidR="00FB2415" w:rsidRDefault="00FB2415" w:rsidP="00111724">
            <w:pPr>
              <w:pStyle w:val="CETBodytext"/>
              <w:rPr>
                <w:lang w:val="en-GB"/>
              </w:rPr>
            </w:pPr>
            <w:r>
              <w:rPr>
                <w:lang w:val="en-GB"/>
              </w:rPr>
              <w:t>Flash point</w:t>
            </w:r>
          </w:p>
        </w:tc>
        <w:tc>
          <w:tcPr>
            <w:tcW w:w="1532" w:type="dxa"/>
            <w:tcBorders>
              <w:top w:val="single" w:sz="12" w:space="0" w:color="008000"/>
              <w:bottom w:val="single" w:sz="6" w:space="0" w:color="008000"/>
            </w:tcBorders>
            <w:shd w:val="clear" w:color="auto" w:fill="FFFFFF"/>
          </w:tcPr>
          <w:p w14:paraId="16B083C2" w14:textId="26C43805" w:rsidR="00FB2415" w:rsidRPr="002E5F5C" w:rsidRDefault="00FB2415" w:rsidP="00111724">
            <w:pPr>
              <w:pStyle w:val="CETBodytext"/>
              <w:rPr>
                <w:lang w:val="en-GB"/>
              </w:rPr>
            </w:pPr>
            <w:r w:rsidRPr="002E5F5C">
              <w:rPr>
                <w:lang w:val="en-GB"/>
              </w:rPr>
              <w:t>Boiling point</w:t>
            </w:r>
          </w:p>
        </w:tc>
        <w:tc>
          <w:tcPr>
            <w:tcW w:w="1532" w:type="dxa"/>
            <w:tcBorders>
              <w:top w:val="single" w:sz="12" w:space="0" w:color="008000"/>
              <w:bottom w:val="single" w:sz="6" w:space="0" w:color="008000"/>
            </w:tcBorders>
            <w:shd w:val="clear" w:color="auto" w:fill="FFFFFF"/>
          </w:tcPr>
          <w:p w14:paraId="0CBB7682" w14:textId="50A5F09B" w:rsidR="00FB2415" w:rsidRPr="00FB2415" w:rsidRDefault="00FB2415" w:rsidP="00111724">
            <w:pPr>
              <w:pStyle w:val="CETBodytext"/>
              <w:ind w:right="-1"/>
              <w:rPr>
                <w:rFonts w:cs="Arial"/>
                <w:szCs w:val="18"/>
                <w:lang w:val="en-GB"/>
              </w:rPr>
            </w:pPr>
            <w:r w:rsidRPr="00FB2415">
              <w:rPr>
                <w:rFonts w:cs="Arial"/>
                <w:szCs w:val="18"/>
                <w:lang w:val="en-GB"/>
              </w:rPr>
              <w:t>Explosively</w:t>
            </w:r>
          </w:p>
        </w:tc>
        <w:tc>
          <w:tcPr>
            <w:tcW w:w="965" w:type="dxa"/>
            <w:tcBorders>
              <w:top w:val="single" w:sz="12" w:space="0" w:color="008000"/>
              <w:bottom w:val="single" w:sz="6" w:space="0" w:color="008000"/>
            </w:tcBorders>
            <w:shd w:val="clear" w:color="auto" w:fill="FFFFFF"/>
          </w:tcPr>
          <w:p w14:paraId="0EBE0237" w14:textId="090C4D84" w:rsidR="00FB2415" w:rsidRDefault="00FB2415" w:rsidP="00111724">
            <w:pPr>
              <w:pStyle w:val="CETBodytext"/>
              <w:ind w:right="-1"/>
              <w:rPr>
                <w:rFonts w:cs="Arial"/>
                <w:szCs w:val="18"/>
                <w:lang w:val="en-GB"/>
              </w:rPr>
            </w:pPr>
            <w:r>
              <w:rPr>
                <w:rFonts w:cs="Arial"/>
                <w:szCs w:val="18"/>
                <w:lang w:val="en-GB"/>
              </w:rPr>
              <w:t>TLV</w:t>
            </w:r>
          </w:p>
        </w:tc>
        <w:tc>
          <w:tcPr>
            <w:tcW w:w="1637" w:type="dxa"/>
            <w:tcBorders>
              <w:top w:val="single" w:sz="12" w:space="0" w:color="008000"/>
              <w:bottom w:val="single" w:sz="6" w:space="0" w:color="008000"/>
            </w:tcBorders>
            <w:shd w:val="clear" w:color="auto" w:fill="FFFFFF"/>
          </w:tcPr>
          <w:p w14:paraId="2A67B92B" w14:textId="2F3DA49F" w:rsidR="00FB2415" w:rsidRDefault="00FB2415" w:rsidP="00111724">
            <w:pPr>
              <w:pStyle w:val="CETBodytext"/>
              <w:ind w:right="-1"/>
              <w:rPr>
                <w:rFonts w:cs="Arial"/>
                <w:szCs w:val="18"/>
                <w:lang w:val="en-GB"/>
              </w:rPr>
            </w:pPr>
            <w:r>
              <w:rPr>
                <w:rFonts w:cs="Arial"/>
                <w:szCs w:val="18"/>
                <w:lang w:val="en-GB"/>
              </w:rPr>
              <w:t>Storage</w:t>
            </w:r>
          </w:p>
        </w:tc>
      </w:tr>
      <w:tr w:rsidR="00FB2415" w:rsidRPr="00B57B36" w14:paraId="1E699A58" w14:textId="380106AA" w:rsidTr="00111724">
        <w:trPr>
          <w:trHeight w:val="264"/>
        </w:trPr>
        <w:tc>
          <w:tcPr>
            <w:tcW w:w="1532" w:type="dxa"/>
            <w:tcBorders>
              <w:top w:val="single" w:sz="12" w:space="0" w:color="008000"/>
              <w:bottom w:val="single" w:sz="6" w:space="0" w:color="008000"/>
            </w:tcBorders>
            <w:shd w:val="clear" w:color="auto" w:fill="FFFFFF"/>
          </w:tcPr>
          <w:p w14:paraId="595D3CE9" w14:textId="449E663C" w:rsidR="00FB2415" w:rsidRPr="00B57B36" w:rsidRDefault="00FB2415" w:rsidP="00111724">
            <w:pPr>
              <w:pStyle w:val="CETBodytext"/>
              <w:rPr>
                <w:lang w:val="en-GB"/>
              </w:rPr>
            </w:pPr>
            <w:r>
              <w:rPr>
                <w:lang w:val="en-GB"/>
              </w:rPr>
              <w:t>Units</w:t>
            </w:r>
          </w:p>
        </w:tc>
        <w:tc>
          <w:tcPr>
            <w:tcW w:w="1532" w:type="dxa"/>
            <w:tcBorders>
              <w:top w:val="single" w:sz="12" w:space="0" w:color="008000"/>
              <w:bottom w:val="single" w:sz="6" w:space="0" w:color="008000"/>
            </w:tcBorders>
            <w:shd w:val="clear" w:color="auto" w:fill="FFFFFF"/>
          </w:tcPr>
          <w:p w14:paraId="68F69C8B" w14:textId="0BC4F17A" w:rsidR="00FB2415" w:rsidRPr="00B57B36" w:rsidRDefault="00FB2415" w:rsidP="00111724">
            <w:pPr>
              <w:pStyle w:val="CETBodytext"/>
              <w:rPr>
                <w:lang w:val="en-GB"/>
              </w:rPr>
            </w:pPr>
            <w:r>
              <w:rPr>
                <w:lang w:val="en-GB"/>
              </w:rPr>
              <w:t>° C</w:t>
            </w:r>
          </w:p>
        </w:tc>
        <w:tc>
          <w:tcPr>
            <w:tcW w:w="1532" w:type="dxa"/>
            <w:tcBorders>
              <w:top w:val="single" w:sz="12" w:space="0" w:color="008000"/>
              <w:bottom w:val="single" w:sz="6" w:space="0" w:color="008000"/>
            </w:tcBorders>
            <w:shd w:val="clear" w:color="auto" w:fill="FFFFFF"/>
          </w:tcPr>
          <w:p w14:paraId="57E081E5" w14:textId="23C642F3" w:rsidR="00FB2415" w:rsidRPr="00B57B36" w:rsidRDefault="00FB2415" w:rsidP="00111724">
            <w:pPr>
              <w:pStyle w:val="CETBodytext"/>
              <w:rPr>
                <w:lang w:val="en-GB"/>
              </w:rPr>
            </w:pPr>
            <w:r>
              <w:rPr>
                <w:lang w:val="en-GB"/>
              </w:rPr>
              <w:t>° C</w:t>
            </w:r>
          </w:p>
        </w:tc>
        <w:tc>
          <w:tcPr>
            <w:tcW w:w="1532" w:type="dxa"/>
            <w:tcBorders>
              <w:top w:val="single" w:sz="12" w:space="0" w:color="008000"/>
              <w:bottom w:val="single" w:sz="6" w:space="0" w:color="008000"/>
            </w:tcBorders>
            <w:shd w:val="clear" w:color="auto" w:fill="FFFFFF"/>
          </w:tcPr>
          <w:p w14:paraId="5AE422A1" w14:textId="04088B95" w:rsidR="00FB2415" w:rsidRPr="00B57B36" w:rsidRDefault="00FB2415" w:rsidP="00111724">
            <w:pPr>
              <w:pStyle w:val="CETBodytext"/>
              <w:ind w:right="-1"/>
              <w:rPr>
                <w:rFonts w:cs="Arial"/>
                <w:szCs w:val="18"/>
                <w:lang w:val="en-GB"/>
              </w:rPr>
            </w:pPr>
            <w:r>
              <w:rPr>
                <w:rFonts w:cs="Arial"/>
                <w:szCs w:val="18"/>
                <w:lang w:val="en-GB"/>
              </w:rPr>
              <w:t>%</w:t>
            </w:r>
          </w:p>
        </w:tc>
        <w:tc>
          <w:tcPr>
            <w:tcW w:w="965" w:type="dxa"/>
            <w:tcBorders>
              <w:top w:val="single" w:sz="12" w:space="0" w:color="008000"/>
              <w:bottom w:val="single" w:sz="6" w:space="0" w:color="008000"/>
            </w:tcBorders>
            <w:shd w:val="clear" w:color="auto" w:fill="FFFFFF"/>
          </w:tcPr>
          <w:p w14:paraId="7D115EAA" w14:textId="30D02709" w:rsidR="00FB2415" w:rsidRPr="00B57B36" w:rsidRDefault="003B4E3F" w:rsidP="00111724">
            <w:pPr>
              <w:pStyle w:val="CETBodytext"/>
              <w:ind w:right="-1"/>
              <w:rPr>
                <w:rFonts w:cs="Arial"/>
                <w:szCs w:val="18"/>
                <w:lang w:val="en-GB"/>
              </w:rPr>
            </w:pPr>
            <w:r>
              <w:rPr>
                <w:rFonts w:cs="Arial"/>
                <w:szCs w:val="18"/>
                <w:lang w:val="en-GB"/>
              </w:rPr>
              <w:t>ppm</w:t>
            </w:r>
          </w:p>
        </w:tc>
        <w:tc>
          <w:tcPr>
            <w:tcW w:w="1637" w:type="dxa"/>
            <w:tcBorders>
              <w:top w:val="single" w:sz="12" w:space="0" w:color="008000"/>
              <w:bottom w:val="single" w:sz="6" w:space="0" w:color="008000"/>
            </w:tcBorders>
            <w:shd w:val="clear" w:color="auto" w:fill="FFFFFF"/>
          </w:tcPr>
          <w:p w14:paraId="1A696F64" w14:textId="599D4A12" w:rsidR="00FB2415" w:rsidRDefault="00FB2415" w:rsidP="00111724">
            <w:pPr>
              <w:pStyle w:val="CETBodytext"/>
              <w:ind w:right="-1"/>
              <w:rPr>
                <w:rFonts w:cs="Arial"/>
                <w:szCs w:val="18"/>
                <w:lang w:val="en-GB"/>
              </w:rPr>
            </w:pPr>
            <w:r>
              <w:rPr>
                <w:rFonts w:cs="Arial"/>
                <w:szCs w:val="18"/>
                <w:lang w:val="en-GB"/>
              </w:rPr>
              <w:t>Material</w:t>
            </w:r>
          </w:p>
        </w:tc>
      </w:tr>
      <w:tr w:rsidR="00FB2415" w:rsidRPr="00B57B36" w14:paraId="42FD9602" w14:textId="77777777" w:rsidTr="00111724">
        <w:trPr>
          <w:trHeight w:val="248"/>
        </w:trPr>
        <w:tc>
          <w:tcPr>
            <w:tcW w:w="1532" w:type="dxa"/>
            <w:shd w:val="clear" w:color="auto" w:fill="FFFFFF"/>
          </w:tcPr>
          <w:p w14:paraId="34703EBB" w14:textId="4536727C" w:rsidR="00FB2415" w:rsidRPr="00B57B36" w:rsidRDefault="00FB2415" w:rsidP="00111724">
            <w:pPr>
              <w:pStyle w:val="CETBodytext"/>
              <w:rPr>
                <w:lang w:val="en-GB"/>
              </w:rPr>
            </w:pPr>
            <w:r>
              <w:rPr>
                <w:lang w:val="en-GB"/>
              </w:rPr>
              <w:t>Hexane</w:t>
            </w:r>
          </w:p>
        </w:tc>
        <w:tc>
          <w:tcPr>
            <w:tcW w:w="1532" w:type="dxa"/>
            <w:shd w:val="clear" w:color="auto" w:fill="FFFFFF"/>
          </w:tcPr>
          <w:p w14:paraId="512351FE" w14:textId="42D83C42" w:rsidR="00FB2415" w:rsidRPr="00B57B36" w:rsidRDefault="00FB2415" w:rsidP="00111724">
            <w:pPr>
              <w:pStyle w:val="CETBodytext"/>
              <w:rPr>
                <w:lang w:val="en-GB"/>
              </w:rPr>
            </w:pPr>
            <w:r>
              <w:rPr>
                <w:lang w:val="en-GB"/>
              </w:rPr>
              <w:t>-23</w:t>
            </w:r>
          </w:p>
        </w:tc>
        <w:tc>
          <w:tcPr>
            <w:tcW w:w="1532" w:type="dxa"/>
            <w:shd w:val="clear" w:color="auto" w:fill="FFFFFF"/>
          </w:tcPr>
          <w:p w14:paraId="530D50BE" w14:textId="223E28EE" w:rsidR="00FB2415" w:rsidRPr="00B57B36" w:rsidRDefault="00FB2415" w:rsidP="00111724">
            <w:pPr>
              <w:pStyle w:val="CETBodytext"/>
              <w:rPr>
                <w:lang w:val="en-GB"/>
              </w:rPr>
            </w:pPr>
            <w:r>
              <w:rPr>
                <w:lang w:val="en-GB"/>
              </w:rPr>
              <w:t>68</w:t>
            </w:r>
            <w:r w:rsidR="005C716E">
              <w:rPr>
                <w:lang w:val="en-GB"/>
              </w:rPr>
              <w:t>.</w:t>
            </w:r>
            <w:r>
              <w:rPr>
                <w:lang w:val="en-GB"/>
              </w:rPr>
              <w:t>5</w:t>
            </w:r>
          </w:p>
        </w:tc>
        <w:tc>
          <w:tcPr>
            <w:tcW w:w="1532" w:type="dxa"/>
            <w:shd w:val="clear" w:color="auto" w:fill="FFFFFF"/>
          </w:tcPr>
          <w:p w14:paraId="40DF7033" w14:textId="4C8EE430" w:rsidR="00FB2415" w:rsidRPr="00B57B36" w:rsidRDefault="00FB2415" w:rsidP="00111724">
            <w:pPr>
              <w:pStyle w:val="CETBodytext"/>
              <w:ind w:right="-1"/>
              <w:rPr>
                <w:rFonts w:cs="Arial"/>
                <w:szCs w:val="18"/>
                <w:lang w:val="en-GB"/>
              </w:rPr>
            </w:pPr>
            <w:r>
              <w:rPr>
                <w:rFonts w:cs="Arial"/>
                <w:szCs w:val="18"/>
                <w:lang w:val="en-GB"/>
              </w:rPr>
              <w:t>7</w:t>
            </w:r>
            <w:r w:rsidR="005C716E">
              <w:rPr>
                <w:rFonts w:cs="Arial"/>
                <w:szCs w:val="18"/>
                <w:lang w:val="en-GB"/>
              </w:rPr>
              <w:t>.</w:t>
            </w:r>
            <w:r>
              <w:rPr>
                <w:rFonts w:cs="Arial"/>
                <w:szCs w:val="18"/>
                <w:lang w:val="en-GB"/>
              </w:rPr>
              <w:t>7</w:t>
            </w:r>
          </w:p>
        </w:tc>
        <w:tc>
          <w:tcPr>
            <w:tcW w:w="965" w:type="dxa"/>
            <w:shd w:val="clear" w:color="auto" w:fill="FFFFFF"/>
          </w:tcPr>
          <w:p w14:paraId="56E032F0" w14:textId="55091B48" w:rsidR="00FB2415" w:rsidRPr="00B57B36" w:rsidRDefault="00FB2415" w:rsidP="00111724">
            <w:pPr>
              <w:pStyle w:val="CETBodytext"/>
              <w:ind w:right="-1"/>
              <w:rPr>
                <w:rFonts w:cs="Arial"/>
                <w:szCs w:val="18"/>
                <w:lang w:val="en-GB"/>
              </w:rPr>
            </w:pPr>
            <w:r>
              <w:rPr>
                <w:rFonts w:cs="Arial"/>
                <w:szCs w:val="18"/>
                <w:lang w:val="en-GB"/>
              </w:rPr>
              <w:t>50</w:t>
            </w:r>
          </w:p>
        </w:tc>
        <w:tc>
          <w:tcPr>
            <w:tcW w:w="1637" w:type="dxa"/>
            <w:shd w:val="clear" w:color="auto" w:fill="FFFFFF"/>
          </w:tcPr>
          <w:p w14:paraId="720EF5EE" w14:textId="4644B9C5" w:rsidR="00FB2415" w:rsidRPr="00B57B36" w:rsidRDefault="00FB2415" w:rsidP="00111724">
            <w:pPr>
              <w:pStyle w:val="CETBodytext"/>
              <w:ind w:right="-1"/>
              <w:rPr>
                <w:rFonts w:cs="Arial"/>
                <w:szCs w:val="18"/>
                <w:lang w:val="en-GB"/>
              </w:rPr>
            </w:pPr>
            <w:r w:rsidRPr="00FB2415">
              <w:rPr>
                <w:rFonts w:cs="Arial"/>
                <w:szCs w:val="18"/>
                <w:lang w:val="en-GB"/>
              </w:rPr>
              <w:t xml:space="preserve">steel, </w:t>
            </w:r>
            <w:r w:rsidR="005C716E" w:rsidRPr="00FB2415">
              <w:rPr>
                <w:rFonts w:cs="Arial"/>
                <w:szCs w:val="18"/>
                <w:lang w:val="en-GB"/>
              </w:rPr>
              <w:t>aluminium</w:t>
            </w:r>
          </w:p>
        </w:tc>
      </w:tr>
    </w:tbl>
    <w:p w14:paraId="07837647" w14:textId="4D94DB1D" w:rsidR="002E5F5C" w:rsidRDefault="002E5F5C" w:rsidP="00E16942">
      <w:pPr>
        <w:pStyle w:val="CETBodytext"/>
        <w:rPr>
          <w:lang w:val="en-GB"/>
        </w:rPr>
      </w:pPr>
    </w:p>
    <w:p w14:paraId="62A6D0A8" w14:textId="18819D9B" w:rsidR="006B09DA" w:rsidRDefault="00804B07" w:rsidP="00E16942">
      <w:pPr>
        <w:pStyle w:val="CETBodytext"/>
        <w:rPr>
          <w:lang w:val="en-GB"/>
        </w:rPr>
      </w:pPr>
      <w:bookmarkStart w:id="0" w:name="_Hlk92565804"/>
      <w:r>
        <w:rPr>
          <w:lang w:val="en-GB"/>
        </w:rPr>
        <w:t>Table 2</w:t>
      </w:r>
      <w:r w:rsidR="006B09DA" w:rsidRPr="006B09DA">
        <w:rPr>
          <w:lang w:val="en-GB"/>
        </w:rPr>
        <w:t xml:space="preserve"> </w:t>
      </w:r>
      <w:r>
        <w:rPr>
          <w:lang w:val="en-GB"/>
        </w:rPr>
        <w:t>shows</w:t>
      </w:r>
      <w:r w:rsidR="006B09DA" w:rsidRPr="006B09DA">
        <w:rPr>
          <w:lang w:val="en-GB"/>
        </w:rPr>
        <w:t xml:space="preserve"> information from the safety data sheet of the hexane. In the flammability parameter, the boiling point is </w:t>
      </w:r>
      <w:r w:rsidR="00FD5713">
        <w:rPr>
          <w:lang w:val="en-GB"/>
        </w:rPr>
        <w:t xml:space="preserve">a measure of the risk involved </w:t>
      </w:r>
      <w:r w:rsidR="00FD5713" w:rsidRPr="00FD5713">
        <w:rPr>
          <w:lang w:val="en-GB"/>
        </w:rPr>
        <w:t>(</w:t>
      </w:r>
      <w:proofErr w:type="spellStart"/>
      <w:r w:rsidR="00FD5713" w:rsidRPr="00FD5713">
        <w:rPr>
          <w:lang w:val="en-GB"/>
        </w:rPr>
        <w:t>Heikkilä</w:t>
      </w:r>
      <w:proofErr w:type="spellEnd"/>
      <w:r w:rsidR="00FD5713" w:rsidRPr="00FD5713">
        <w:rPr>
          <w:lang w:val="en-GB"/>
        </w:rPr>
        <w:t>, 1999)</w:t>
      </w:r>
      <w:r w:rsidR="0010622F" w:rsidRPr="006B09DA">
        <w:rPr>
          <w:lang w:val="en-GB"/>
        </w:rPr>
        <w:t>;</w:t>
      </w:r>
      <w:r w:rsidR="006B09DA" w:rsidRPr="006B09DA">
        <w:rPr>
          <w:lang w:val="en-GB"/>
        </w:rPr>
        <w:t xml:space="preserve"> hexane was classified as </w:t>
      </w:r>
      <w:r w:rsidR="00F733DA">
        <w:rPr>
          <w:lang w:val="en-GB"/>
        </w:rPr>
        <w:t>very</w:t>
      </w:r>
      <w:r w:rsidR="006B09DA" w:rsidRPr="006B09DA">
        <w:rPr>
          <w:lang w:val="en-GB"/>
        </w:rPr>
        <w:t xml:space="preserve"> flammable with a flash point lower than zero. Explosiveness denotes the inclination of components to form an explosive mixture in air, related to upper and lower explosion limits, classify</w:t>
      </w:r>
      <w:r w:rsidR="00BC0C9F">
        <w:rPr>
          <w:lang w:val="en-GB"/>
        </w:rPr>
        <w:t>ing</w:t>
      </w:r>
      <w:r w:rsidR="006B09DA" w:rsidRPr="006B09DA">
        <w:rPr>
          <w:lang w:val="en-GB"/>
        </w:rPr>
        <w:t xml:space="preserve"> hexane as not much explosive among 0-20</w:t>
      </w:r>
      <w:r w:rsidR="008C37AC">
        <w:rPr>
          <w:lang w:val="en-GB"/>
        </w:rPr>
        <w:t xml:space="preserve"> </w:t>
      </w:r>
      <w:r w:rsidR="006B09DA" w:rsidRPr="006B09DA">
        <w:rPr>
          <w:lang w:val="en-GB"/>
        </w:rPr>
        <w:t>% values. Moreover, toxicity indicator is applied in an industrial contex</w:t>
      </w:r>
      <w:r w:rsidR="00552075">
        <w:rPr>
          <w:lang w:val="en-GB"/>
        </w:rPr>
        <w:t xml:space="preserve">t </w:t>
      </w:r>
      <w:r w:rsidR="006B09DA" w:rsidRPr="006B09DA">
        <w:rPr>
          <w:lang w:val="en-GB"/>
        </w:rPr>
        <w:t>in orde</w:t>
      </w:r>
      <w:r w:rsidR="007614EB">
        <w:rPr>
          <w:lang w:val="en-GB"/>
        </w:rPr>
        <w:t>r to protect employees at work.</w:t>
      </w:r>
      <w:r w:rsidR="008476E7">
        <w:rPr>
          <w:lang w:val="en-GB"/>
        </w:rPr>
        <w:t xml:space="preserve"> </w:t>
      </w:r>
      <w:r w:rsidR="006B09DA" w:rsidRPr="006B09DA">
        <w:rPr>
          <w:lang w:val="en-GB"/>
        </w:rPr>
        <w:t>To close the chemical index,</w:t>
      </w:r>
      <w:r w:rsidR="00893462">
        <w:rPr>
          <w:lang w:val="en-GB"/>
        </w:rPr>
        <w:t xml:space="preserve"> </w:t>
      </w:r>
      <w:r w:rsidR="006B09DA" w:rsidRPr="006B09DA">
        <w:rPr>
          <w:lang w:val="en-GB"/>
        </w:rPr>
        <w:t>corrosiveness was defined regard</w:t>
      </w:r>
      <w:r w:rsidR="00BC0C9F">
        <w:rPr>
          <w:lang w:val="en-GB"/>
        </w:rPr>
        <w:t>ing</w:t>
      </w:r>
      <w:r w:rsidR="006B09DA" w:rsidRPr="006B09DA">
        <w:rPr>
          <w:lang w:val="en-GB"/>
        </w:rPr>
        <w:t xml:space="preserve"> the selected material for equipment construc</w:t>
      </w:r>
      <w:r w:rsidR="00D10EAB">
        <w:rPr>
          <w:lang w:val="en-GB"/>
        </w:rPr>
        <w:t>tion</w:t>
      </w:r>
      <w:r w:rsidR="006B09DA">
        <w:rPr>
          <w:lang w:val="en-GB"/>
        </w:rPr>
        <w:t xml:space="preserve">; </w:t>
      </w:r>
      <w:r w:rsidR="006B09DA" w:rsidRPr="006B09DA">
        <w:rPr>
          <w:lang w:val="en-GB"/>
        </w:rPr>
        <w:t>considering that mild steel corrosion by fatty acids is negligible at ambient temperature</w:t>
      </w:r>
      <w:r w:rsidR="00EB75C3">
        <w:rPr>
          <w:lang w:val="en-GB"/>
        </w:rPr>
        <w:t xml:space="preserve"> </w:t>
      </w:r>
      <w:r w:rsidR="00FD5713">
        <w:rPr>
          <w:lang w:val="es-CO"/>
        </w:rPr>
        <w:fldChar w:fldCharType="begin" w:fldLock="1"/>
      </w:r>
      <w:r w:rsidR="00974970">
        <w:instrText>ADDIN CSL_CITATION {"citationItems":[{"id":"ITEM-1","itemData":{"author":[{"dropping-particle":"","family":"Chong","given":"Chiew Let","non-dropping-particle":"","parse-names":false,"suffix":""}],"container-title":"PALMAS","id":"ITEM-1","issued":{"date-parts":[["2004"]]},"page":"408-417","title":"Corrosion of Mild Steel by Palm Fatty Acid distillates (PFAD)","type":"article-journal","volume":"25"},"uris":["http://www.mendeley.com/documents/?uuid=6739a024-c3e7-4d52-b16c-84da84c3f053","http://www.mendeley.com/documents/?uuid=9c5cd751-6b65-463d-8c1f-dfba824a7308"]}],"mendeley":{"formattedCitation":"(Chong, 2004)","plainTextFormattedCitation":"(Chong, 2004)","previouslyFormattedCitation":"(Chong, 2004)"},"properties":{"noteIndex":0},"schema":"https://github.com/citation-style-language/schema/raw/master/csl-citation.json"}</w:instrText>
      </w:r>
      <w:r w:rsidR="00FD5713">
        <w:rPr>
          <w:lang w:val="es-CO"/>
        </w:rPr>
        <w:fldChar w:fldCharType="separate"/>
      </w:r>
      <w:r w:rsidR="00FD5713" w:rsidRPr="00FD5713">
        <w:rPr>
          <w:noProof/>
        </w:rPr>
        <w:t>(Chong, 2004)</w:t>
      </w:r>
      <w:r w:rsidR="00FD5713">
        <w:rPr>
          <w:lang w:val="es-CO"/>
        </w:rPr>
        <w:fldChar w:fldCharType="end"/>
      </w:r>
      <w:r w:rsidR="006B09DA" w:rsidRPr="006B09DA">
        <w:rPr>
          <w:lang w:val="en-GB"/>
        </w:rPr>
        <w:t>, no special material is required for process equipment.</w:t>
      </w:r>
    </w:p>
    <w:bookmarkEnd w:id="0"/>
    <w:p w14:paraId="2CED8E0F" w14:textId="1B61086A" w:rsidR="004B5776" w:rsidRDefault="004B5776" w:rsidP="004B5776">
      <w:pPr>
        <w:pStyle w:val="CETheadingx"/>
      </w:pPr>
      <w:r w:rsidRPr="004B5776">
        <w:t>Process Inherent Safety Index</w:t>
      </w:r>
      <w:r>
        <w:t xml:space="preserve"> </w:t>
      </w:r>
      <w:r w:rsidRPr="004B5776">
        <w:t>(I</w:t>
      </w:r>
      <w:r w:rsidRPr="00510F72">
        <w:rPr>
          <w:vertAlign w:val="subscript"/>
        </w:rPr>
        <w:t>ps</w:t>
      </w:r>
      <w:r w:rsidRPr="004B5776">
        <w:t>)</w:t>
      </w:r>
      <w:r w:rsidR="009B44B2">
        <w:t xml:space="preserve"> </w:t>
      </w:r>
    </w:p>
    <w:p w14:paraId="465CB88D" w14:textId="65F15704" w:rsidR="00E75170" w:rsidRDefault="00E75170" w:rsidP="009B44B2">
      <w:pPr>
        <w:pStyle w:val="CETBodytext"/>
      </w:pPr>
      <w:bookmarkStart w:id="1" w:name="_Hlk92565871"/>
      <w:r w:rsidRPr="00E75170">
        <w:t xml:space="preserve">Crude avocado oil plant processing capacity was estimated at 10,604.70 t/y of avocado to produce 1,000.66 t/y of crude avocado oil. The inventory sub-index is the total inventories of all process vessels, from inventory is calculated the total quantity of material to be </w:t>
      </w:r>
      <w:r w:rsidR="00404ACD">
        <w:t>stored, as shown in table 3</w:t>
      </w:r>
      <w:r w:rsidRPr="00E75170">
        <w:t>.</w:t>
      </w:r>
    </w:p>
    <w:bookmarkEnd w:id="1"/>
    <w:p w14:paraId="1D0B8670" w14:textId="0FA83AB4" w:rsidR="00642ABB" w:rsidRPr="007D5082" w:rsidRDefault="007D5082" w:rsidP="00804B07">
      <w:pPr>
        <w:pStyle w:val="CETTabletitle"/>
      </w:pPr>
      <w:r w:rsidRPr="007D5082">
        <w:t xml:space="preserve">Table </w:t>
      </w:r>
      <w:r w:rsidR="00404ACD">
        <w:t>3</w:t>
      </w:r>
      <w:r w:rsidRPr="007D5082">
        <w:t xml:space="preserve">:  Inventory sub-index </w:t>
      </w:r>
      <w:r>
        <w:t>calculation.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559"/>
        <w:gridCol w:w="1559"/>
      </w:tblGrid>
      <w:tr w:rsidR="00642ABB" w:rsidRPr="00B57B36" w14:paraId="1B3B6B6A" w14:textId="630BFCE3" w:rsidTr="00EE3278">
        <w:trPr>
          <w:trHeight w:val="220"/>
        </w:trPr>
        <w:tc>
          <w:tcPr>
            <w:tcW w:w="1843" w:type="dxa"/>
            <w:tcBorders>
              <w:top w:val="single" w:sz="12" w:space="0" w:color="008000"/>
              <w:bottom w:val="single" w:sz="6" w:space="0" w:color="008000"/>
            </w:tcBorders>
            <w:shd w:val="clear" w:color="auto" w:fill="FFFFFF"/>
          </w:tcPr>
          <w:p w14:paraId="32BC7CA8" w14:textId="7EEAE9C9" w:rsidR="00642ABB" w:rsidRPr="00B57B36" w:rsidRDefault="00642ABB" w:rsidP="00A61CBA">
            <w:pPr>
              <w:pStyle w:val="CETBodytext"/>
              <w:rPr>
                <w:lang w:val="en-GB"/>
              </w:rPr>
            </w:pPr>
            <w:r>
              <w:rPr>
                <w:lang w:val="en-GB"/>
              </w:rPr>
              <w:t xml:space="preserve">Equipment </w:t>
            </w:r>
          </w:p>
        </w:tc>
        <w:tc>
          <w:tcPr>
            <w:tcW w:w="1559" w:type="dxa"/>
            <w:tcBorders>
              <w:top w:val="single" w:sz="12" w:space="0" w:color="008000"/>
              <w:bottom w:val="single" w:sz="6" w:space="0" w:color="008000"/>
            </w:tcBorders>
            <w:shd w:val="clear" w:color="auto" w:fill="FFFFFF"/>
          </w:tcPr>
          <w:p w14:paraId="0406FD98" w14:textId="4F2B1B04" w:rsidR="00642ABB" w:rsidRPr="00B57B36" w:rsidRDefault="00642ABB" w:rsidP="00111724">
            <w:pPr>
              <w:pStyle w:val="CETBodytext"/>
              <w:rPr>
                <w:lang w:val="en-GB"/>
              </w:rPr>
            </w:pPr>
            <w:r>
              <w:rPr>
                <w:lang w:val="en-GB"/>
              </w:rPr>
              <w:t>Flow (t/y)</w:t>
            </w:r>
          </w:p>
        </w:tc>
        <w:tc>
          <w:tcPr>
            <w:tcW w:w="1559" w:type="dxa"/>
            <w:tcBorders>
              <w:top w:val="single" w:sz="12" w:space="0" w:color="008000"/>
              <w:bottom w:val="single" w:sz="6" w:space="0" w:color="008000"/>
            </w:tcBorders>
            <w:shd w:val="clear" w:color="auto" w:fill="FFFFFF"/>
          </w:tcPr>
          <w:p w14:paraId="5DF16B0D" w14:textId="014FF12E" w:rsidR="00642ABB" w:rsidRDefault="00642ABB" w:rsidP="00111724">
            <w:pPr>
              <w:pStyle w:val="CETBodytext"/>
              <w:rPr>
                <w:lang w:val="en-GB"/>
              </w:rPr>
            </w:pPr>
            <w:r>
              <w:rPr>
                <w:lang w:val="en-GB"/>
              </w:rPr>
              <w:t>Inventory (t)</w:t>
            </w:r>
          </w:p>
        </w:tc>
      </w:tr>
      <w:tr w:rsidR="00345CB3" w:rsidRPr="00B57B36" w14:paraId="1BA382F7" w14:textId="11A4C2B8" w:rsidTr="00EE3278">
        <w:trPr>
          <w:trHeight w:val="220"/>
        </w:trPr>
        <w:tc>
          <w:tcPr>
            <w:tcW w:w="1843" w:type="dxa"/>
            <w:tcBorders>
              <w:top w:val="single" w:sz="6" w:space="0" w:color="008000"/>
              <w:bottom w:val="single" w:sz="4" w:space="0" w:color="auto"/>
            </w:tcBorders>
            <w:shd w:val="clear" w:color="auto" w:fill="FFFFFF"/>
          </w:tcPr>
          <w:p w14:paraId="51948804" w14:textId="2F1454E4" w:rsidR="00345CB3" w:rsidRPr="00B57B36" w:rsidRDefault="00345CB3" w:rsidP="00345CB3">
            <w:pPr>
              <w:pStyle w:val="CETBodytext"/>
              <w:rPr>
                <w:lang w:val="en-GB"/>
              </w:rPr>
            </w:pPr>
            <w:r w:rsidRPr="004E5F2C">
              <w:t>Avocado wash</w:t>
            </w:r>
          </w:p>
        </w:tc>
        <w:tc>
          <w:tcPr>
            <w:tcW w:w="1559" w:type="dxa"/>
            <w:shd w:val="clear" w:color="auto" w:fill="FFFFFF"/>
          </w:tcPr>
          <w:p w14:paraId="4A32D85F" w14:textId="27093E3E" w:rsidR="00345CB3" w:rsidRPr="00B57B36" w:rsidRDefault="00345CB3" w:rsidP="00111724">
            <w:pPr>
              <w:pStyle w:val="CETBodytext"/>
              <w:rPr>
                <w:lang w:val="en-GB"/>
              </w:rPr>
            </w:pPr>
            <w:r>
              <w:t>32</w:t>
            </w:r>
            <w:r w:rsidR="00893462">
              <w:t>,</w:t>
            </w:r>
            <w:r>
              <w:t>259.</w:t>
            </w:r>
            <w:r w:rsidRPr="00DB47F6">
              <w:t>00</w:t>
            </w:r>
          </w:p>
        </w:tc>
        <w:tc>
          <w:tcPr>
            <w:tcW w:w="1559" w:type="dxa"/>
            <w:shd w:val="clear" w:color="auto" w:fill="FFFFFF"/>
          </w:tcPr>
          <w:p w14:paraId="78CEBD05" w14:textId="41B0C578" w:rsidR="00345CB3" w:rsidRDefault="00464C69" w:rsidP="00111724">
            <w:pPr>
              <w:pStyle w:val="CETBodytext"/>
            </w:pPr>
            <w:r>
              <w:t>3.</w:t>
            </w:r>
            <w:r w:rsidR="00345CB3" w:rsidRPr="003E7542">
              <w:t>68</w:t>
            </w:r>
          </w:p>
        </w:tc>
      </w:tr>
      <w:tr w:rsidR="00345CB3" w:rsidRPr="00B57B36" w14:paraId="3E73B49D" w14:textId="2E366127" w:rsidTr="00642ABB">
        <w:trPr>
          <w:trHeight w:val="220"/>
        </w:trPr>
        <w:tc>
          <w:tcPr>
            <w:tcW w:w="1843" w:type="dxa"/>
            <w:tcBorders>
              <w:top w:val="single" w:sz="4" w:space="0" w:color="auto"/>
              <w:bottom w:val="single" w:sz="4" w:space="0" w:color="auto"/>
            </w:tcBorders>
            <w:shd w:val="clear" w:color="auto" w:fill="FFFFFF"/>
          </w:tcPr>
          <w:p w14:paraId="6AE3F806" w14:textId="1B8D7121" w:rsidR="00345CB3" w:rsidRPr="00B57B36" w:rsidRDefault="00345CB3" w:rsidP="00345CB3">
            <w:pPr>
              <w:pStyle w:val="CETBodytext"/>
              <w:ind w:right="-1"/>
              <w:rPr>
                <w:rFonts w:cs="Arial"/>
                <w:szCs w:val="18"/>
                <w:lang w:val="en-GB"/>
              </w:rPr>
            </w:pPr>
            <w:r w:rsidRPr="004E5F2C">
              <w:t>Peel separation</w:t>
            </w:r>
          </w:p>
        </w:tc>
        <w:tc>
          <w:tcPr>
            <w:tcW w:w="1559" w:type="dxa"/>
            <w:tcBorders>
              <w:top w:val="single" w:sz="4" w:space="0" w:color="auto"/>
              <w:bottom w:val="single" w:sz="4" w:space="0" w:color="auto"/>
            </w:tcBorders>
            <w:shd w:val="clear" w:color="auto" w:fill="FFFFFF"/>
          </w:tcPr>
          <w:p w14:paraId="46AEE428" w14:textId="28A5A139" w:rsidR="00345CB3" w:rsidRPr="00AF6D85" w:rsidRDefault="00345CB3" w:rsidP="00111724">
            <w:pPr>
              <w:pStyle w:val="CETBodytext"/>
              <w:ind w:right="-1"/>
            </w:pPr>
            <w:r>
              <w:t>11</w:t>
            </w:r>
            <w:r w:rsidR="00893462">
              <w:t>,</w:t>
            </w:r>
            <w:r>
              <w:t>967.</w:t>
            </w:r>
            <w:r w:rsidRPr="00DB47F6">
              <w:t>36</w:t>
            </w:r>
          </w:p>
        </w:tc>
        <w:tc>
          <w:tcPr>
            <w:tcW w:w="1559" w:type="dxa"/>
            <w:tcBorders>
              <w:top w:val="single" w:sz="4" w:space="0" w:color="auto"/>
              <w:bottom w:val="single" w:sz="4" w:space="0" w:color="auto"/>
            </w:tcBorders>
            <w:shd w:val="clear" w:color="auto" w:fill="FFFFFF"/>
          </w:tcPr>
          <w:p w14:paraId="7739E437" w14:textId="4A08B2DE" w:rsidR="00345CB3" w:rsidRDefault="00464C69" w:rsidP="00111724">
            <w:pPr>
              <w:pStyle w:val="CETBodytext"/>
              <w:ind w:right="-1"/>
            </w:pPr>
            <w:r>
              <w:t>1.</w:t>
            </w:r>
            <w:r w:rsidR="00345CB3" w:rsidRPr="003E7542">
              <w:t>37</w:t>
            </w:r>
          </w:p>
        </w:tc>
      </w:tr>
      <w:tr w:rsidR="00345CB3" w:rsidRPr="00B57B36" w14:paraId="3C437B44" w14:textId="77777777" w:rsidTr="00642ABB">
        <w:trPr>
          <w:trHeight w:val="220"/>
        </w:trPr>
        <w:tc>
          <w:tcPr>
            <w:tcW w:w="1843" w:type="dxa"/>
            <w:tcBorders>
              <w:top w:val="single" w:sz="4" w:space="0" w:color="auto"/>
              <w:bottom w:val="single" w:sz="4" w:space="0" w:color="auto"/>
            </w:tcBorders>
            <w:shd w:val="clear" w:color="auto" w:fill="FFFFFF"/>
          </w:tcPr>
          <w:p w14:paraId="456F44CF" w14:textId="1C39D0D0" w:rsidR="00345CB3" w:rsidRPr="005A0374" w:rsidRDefault="00345CB3" w:rsidP="00345CB3">
            <w:pPr>
              <w:pStyle w:val="CETBodytext"/>
              <w:ind w:right="-1"/>
              <w:rPr>
                <w:rFonts w:cs="Arial"/>
                <w:szCs w:val="18"/>
                <w:lang w:val="en-GB"/>
              </w:rPr>
            </w:pPr>
            <w:r w:rsidRPr="004E5F2C">
              <w:t>Pulp separation</w:t>
            </w:r>
          </w:p>
        </w:tc>
        <w:tc>
          <w:tcPr>
            <w:tcW w:w="1559" w:type="dxa"/>
            <w:tcBorders>
              <w:top w:val="single" w:sz="4" w:space="0" w:color="auto"/>
              <w:bottom w:val="single" w:sz="4" w:space="0" w:color="auto"/>
            </w:tcBorders>
            <w:shd w:val="clear" w:color="auto" w:fill="FFFFFF"/>
          </w:tcPr>
          <w:p w14:paraId="58AFA52B" w14:textId="7526D33B" w:rsidR="00345CB3" w:rsidRDefault="00345CB3" w:rsidP="00111724">
            <w:pPr>
              <w:pStyle w:val="CETBodytext"/>
              <w:ind w:right="-1"/>
            </w:pPr>
            <w:r>
              <w:t>10</w:t>
            </w:r>
            <w:r w:rsidR="00893462">
              <w:t>,</w:t>
            </w:r>
            <w:r>
              <w:t>018.</w:t>
            </w:r>
            <w:r w:rsidRPr="00DB47F6">
              <w:t>42</w:t>
            </w:r>
          </w:p>
        </w:tc>
        <w:tc>
          <w:tcPr>
            <w:tcW w:w="1559" w:type="dxa"/>
            <w:tcBorders>
              <w:top w:val="single" w:sz="4" w:space="0" w:color="auto"/>
              <w:bottom w:val="single" w:sz="4" w:space="0" w:color="auto"/>
            </w:tcBorders>
            <w:shd w:val="clear" w:color="auto" w:fill="FFFFFF"/>
          </w:tcPr>
          <w:p w14:paraId="65605901" w14:textId="4D76C830" w:rsidR="00345CB3" w:rsidRDefault="00464C69" w:rsidP="00111724">
            <w:pPr>
              <w:pStyle w:val="CETBodytext"/>
              <w:ind w:right="-1"/>
            </w:pPr>
            <w:r>
              <w:t>1.</w:t>
            </w:r>
            <w:r w:rsidR="00345CB3" w:rsidRPr="003E7542">
              <w:t>14</w:t>
            </w:r>
          </w:p>
        </w:tc>
      </w:tr>
      <w:tr w:rsidR="00345CB3" w:rsidRPr="00B57B36" w14:paraId="73DC5B9B" w14:textId="77777777" w:rsidTr="00642ABB">
        <w:trPr>
          <w:trHeight w:val="220"/>
        </w:trPr>
        <w:tc>
          <w:tcPr>
            <w:tcW w:w="1843" w:type="dxa"/>
            <w:tcBorders>
              <w:top w:val="single" w:sz="4" w:space="0" w:color="auto"/>
              <w:bottom w:val="single" w:sz="4" w:space="0" w:color="auto"/>
            </w:tcBorders>
            <w:shd w:val="clear" w:color="auto" w:fill="FFFFFF"/>
          </w:tcPr>
          <w:p w14:paraId="3240299A" w14:textId="710C7C86" w:rsidR="00345CB3" w:rsidRPr="005A0374" w:rsidRDefault="00345CB3" w:rsidP="00345CB3">
            <w:pPr>
              <w:pStyle w:val="CETBodytext"/>
              <w:ind w:right="-1"/>
              <w:rPr>
                <w:rFonts w:cs="Arial"/>
                <w:szCs w:val="18"/>
                <w:lang w:val="en-GB"/>
              </w:rPr>
            </w:pPr>
            <w:r w:rsidRPr="004E5F2C">
              <w:t>Seed washing</w:t>
            </w:r>
          </w:p>
        </w:tc>
        <w:tc>
          <w:tcPr>
            <w:tcW w:w="1559" w:type="dxa"/>
            <w:tcBorders>
              <w:top w:val="single" w:sz="4" w:space="0" w:color="auto"/>
              <w:bottom w:val="single" w:sz="4" w:space="0" w:color="auto"/>
            </w:tcBorders>
            <w:shd w:val="clear" w:color="auto" w:fill="FFFFFF"/>
          </w:tcPr>
          <w:p w14:paraId="6288CA9E" w14:textId="6D82823B" w:rsidR="00345CB3" w:rsidRDefault="00345CB3" w:rsidP="00111724">
            <w:pPr>
              <w:pStyle w:val="CETBodytext"/>
              <w:ind w:right="-1"/>
            </w:pPr>
            <w:r>
              <w:t>2</w:t>
            </w:r>
            <w:r w:rsidR="00893462">
              <w:t>,</w:t>
            </w:r>
            <w:r>
              <w:t>953.</w:t>
            </w:r>
            <w:r w:rsidRPr="00DB47F6">
              <w:t>33</w:t>
            </w:r>
          </w:p>
        </w:tc>
        <w:tc>
          <w:tcPr>
            <w:tcW w:w="1559" w:type="dxa"/>
            <w:tcBorders>
              <w:top w:val="single" w:sz="4" w:space="0" w:color="auto"/>
              <w:bottom w:val="single" w:sz="4" w:space="0" w:color="auto"/>
            </w:tcBorders>
            <w:shd w:val="clear" w:color="auto" w:fill="FFFFFF"/>
          </w:tcPr>
          <w:p w14:paraId="34D1E8CA" w14:textId="53BB0E6D" w:rsidR="00345CB3" w:rsidRDefault="00464C69" w:rsidP="00111724">
            <w:pPr>
              <w:pStyle w:val="CETBodytext"/>
              <w:ind w:right="-1"/>
            </w:pPr>
            <w:r>
              <w:t>0.</w:t>
            </w:r>
            <w:r w:rsidR="00345CB3" w:rsidRPr="003E7542">
              <w:t>34</w:t>
            </w:r>
          </w:p>
        </w:tc>
      </w:tr>
      <w:tr w:rsidR="00345CB3" w:rsidRPr="00B57B36" w14:paraId="7247CBE7" w14:textId="77777777" w:rsidTr="00642ABB">
        <w:trPr>
          <w:trHeight w:val="220"/>
        </w:trPr>
        <w:tc>
          <w:tcPr>
            <w:tcW w:w="1843" w:type="dxa"/>
            <w:tcBorders>
              <w:top w:val="single" w:sz="4" w:space="0" w:color="auto"/>
              <w:bottom w:val="single" w:sz="4" w:space="0" w:color="auto"/>
            </w:tcBorders>
            <w:shd w:val="clear" w:color="auto" w:fill="FFFFFF"/>
          </w:tcPr>
          <w:p w14:paraId="2B5086EE" w14:textId="07120D08" w:rsidR="00345CB3" w:rsidRPr="005A0374" w:rsidRDefault="00345CB3" w:rsidP="00345CB3">
            <w:pPr>
              <w:pStyle w:val="CETBodytext"/>
              <w:ind w:right="-1"/>
              <w:rPr>
                <w:rFonts w:cs="Arial"/>
                <w:szCs w:val="18"/>
                <w:lang w:val="en-GB"/>
              </w:rPr>
            </w:pPr>
            <w:r w:rsidRPr="004E5F2C">
              <w:t>Peel washing</w:t>
            </w:r>
          </w:p>
        </w:tc>
        <w:tc>
          <w:tcPr>
            <w:tcW w:w="1559" w:type="dxa"/>
            <w:tcBorders>
              <w:top w:val="single" w:sz="4" w:space="0" w:color="auto"/>
              <w:bottom w:val="single" w:sz="4" w:space="0" w:color="auto"/>
            </w:tcBorders>
            <w:shd w:val="clear" w:color="auto" w:fill="FFFFFF"/>
          </w:tcPr>
          <w:p w14:paraId="4B552E7A" w14:textId="42CAFEC1" w:rsidR="00345CB3" w:rsidRDefault="00345CB3" w:rsidP="00111724">
            <w:pPr>
              <w:pStyle w:val="CETBodytext"/>
              <w:ind w:right="-1"/>
            </w:pPr>
            <w:r>
              <w:t>6</w:t>
            </w:r>
            <w:r w:rsidR="00893462">
              <w:t>,</w:t>
            </w:r>
            <w:r>
              <w:t>148.</w:t>
            </w:r>
            <w:r w:rsidRPr="00DB47F6">
              <w:t>95</w:t>
            </w:r>
          </w:p>
        </w:tc>
        <w:tc>
          <w:tcPr>
            <w:tcW w:w="1559" w:type="dxa"/>
            <w:tcBorders>
              <w:top w:val="single" w:sz="4" w:space="0" w:color="auto"/>
              <w:bottom w:val="single" w:sz="4" w:space="0" w:color="auto"/>
            </w:tcBorders>
            <w:shd w:val="clear" w:color="auto" w:fill="FFFFFF"/>
          </w:tcPr>
          <w:p w14:paraId="1DE4EC3E" w14:textId="4869D7D7" w:rsidR="00345CB3" w:rsidRDefault="00464C69" w:rsidP="00111724">
            <w:pPr>
              <w:pStyle w:val="CETBodytext"/>
              <w:ind w:right="-1"/>
            </w:pPr>
            <w:r>
              <w:t>0.</w:t>
            </w:r>
            <w:r w:rsidR="00345CB3" w:rsidRPr="003E7542">
              <w:t>70</w:t>
            </w:r>
          </w:p>
        </w:tc>
      </w:tr>
      <w:tr w:rsidR="00345CB3" w:rsidRPr="00B57B36" w14:paraId="26878CD4" w14:textId="77777777" w:rsidTr="00642ABB">
        <w:trPr>
          <w:trHeight w:val="220"/>
        </w:trPr>
        <w:tc>
          <w:tcPr>
            <w:tcW w:w="1843" w:type="dxa"/>
            <w:tcBorders>
              <w:top w:val="single" w:sz="4" w:space="0" w:color="auto"/>
              <w:bottom w:val="single" w:sz="4" w:space="0" w:color="auto"/>
            </w:tcBorders>
            <w:shd w:val="clear" w:color="auto" w:fill="FFFFFF"/>
          </w:tcPr>
          <w:p w14:paraId="2728A3C8" w14:textId="5A8A9231" w:rsidR="00345CB3" w:rsidRPr="005A0374" w:rsidRDefault="00345CB3" w:rsidP="00345CB3">
            <w:pPr>
              <w:pStyle w:val="CETBodytext"/>
              <w:ind w:right="-1"/>
              <w:rPr>
                <w:rFonts w:cs="Arial"/>
                <w:szCs w:val="18"/>
                <w:lang w:val="en-GB"/>
              </w:rPr>
            </w:pPr>
            <w:r w:rsidRPr="004E5F2C">
              <w:t>Water separation</w:t>
            </w:r>
          </w:p>
        </w:tc>
        <w:tc>
          <w:tcPr>
            <w:tcW w:w="1559" w:type="dxa"/>
            <w:tcBorders>
              <w:top w:val="single" w:sz="4" w:space="0" w:color="auto"/>
              <w:bottom w:val="single" w:sz="4" w:space="0" w:color="auto"/>
            </w:tcBorders>
            <w:shd w:val="clear" w:color="auto" w:fill="FFFFFF"/>
          </w:tcPr>
          <w:p w14:paraId="5D1FEDEC" w14:textId="009C0C8E" w:rsidR="00345CB3" w:rsidRDefault="00345CB3" w:rsidP="00111724">
            <w:pPr>
              <w:pStyle w:val="CETBodytext"/>
              <w:ind w:right="-1"/>
            </w:pPr>
            <w:r>
              <w:t>6</w:t>
            </w:r>
            <w:r w:rsidR="00893462">
              <w:t>,</w:t>
            </w:r>
            <w:r>
              <w:t>852.</w:t>
            </w:r>
            <w:r w:rsidRPr="00DB47F6">
              <w:t>40</w:t>
            </w:r>
          </w:p>
        </w:tc>
        <w:tc>
          <w:tcPr>
            <w:tcW w:w="1559" w:type="dxa"/>
            <w:tcBorders>
              <w:top w:val="single" w:sz="4" w:space="0" w:color="auto"/>
              <w:bottom w:val="single" w:sz="4" w:space="0" w:color="auto"/>
            </w:tcBorders>
            <w:shd w:val="clear" w:color="auto" w:fill="FFFFFF"/>
          </w:tcPr>
          <w:p w14:paraId="2CF74E67" w14:textId="0E6779EA" w:rsidR="00345CB3" w:rsidRDefault="00464C69" w:rsidP="00111724">
            <w:pPr>
              <w:pStyle w:val="CETBodytext"/>
              <w:ind w:right="-1"/>
            </w:pPr>
            <w:r>
              <w:t>0.</w:t>
            </w:r>
            <w:r w:rsidR="00345CB3" w:rsidRPr="003E7542">
              <w:t>78</w:t>
            </w:r>
          </w:p>
        </w:tc>
      </w:tr>
      <w:tr w:rsidR="00345CB3" w:rsidRPr="00B57B36" w14:paraId="6F257C3C" w14:textId="77777777" w:rsidTr="00642ABB">
        <w:trPr>
          <w:trHeight w:val="220"/>
        </w:trPr>
        <w:tc>
          <w:tcPr>
            <w:tcW w:w="1843" w:type="dxa"/>
            <w:tcBorders>
              <w:top w:val="single" w:sz="4" w:space="0" w:color="auto"/>
              <w:bottom w:val="single" w:sz="4" w:space="0" w:color="auto"/>
            </w:tcBorders>
            <w:shd w:val="clear" w:color="auto" w:fill="FFFFFF"/>
          </w:tcPr>
          <w:p w14:paraId="00D1ECD0" w14:textId="11175B0A" w:rsidR="00345CB3" w:rsidRPr="005A0374" w:rsidRDefault="00345CB3" w:rsidP="00345CB3">
            <w:pPr>
              <w:pStyle w:val="CETBodytext"/>
              <w:ind w:right="-1"/>
              <w:rPr>
                <w:rFonts w:cs="Arial"/>
                <w:szCs w:val="18"/>
                <w:lang w:val="en-GB"/>
              </w:rPr>
            </w:pPr>
            <w:r w:rsidRPr="004E5F2C">
              <w:t>homogenization</w:t>
            </w:r>
          </w:p>
        </w:tc>
        <w:tc>
          <w:tcPr>
            <w:tcW w:w="1559" w:type="dxa"/>
            <w:tcBorders>
              <w:top w:val="single" w:sz="4" w:space="0" w:color="auto"/>
              <w:bottom w:val="single" w:sz="4" w:space="0" w:color="auto"/>
            </w:tcBorders>
            <w:shd w:val="clear" w:color="auto" w:fill="FFFFFF"/>
          </w:tcPr>
          <w:p w14:paraId="10769220" w14:textId="7D9A6046" w:rsidR="00345CB3" w:rsidRDefault="00345CB3" w:rsidP="00111724">
            <w:pPr>
              <w:pStyle w:val="CETBodytext"/>
              <w:ind w:right="-1"/>
            </w:pPr>
            <w:r>
              <w:t>8</w:t>
            </w:r>
            <w:r w:rsidR="00893462">
              <w:t>,</w:t>
            </w:r>
            <w:r>
              <w:t>006.</w:t>
            </w:r>
            <w:r w:rsidRPr="00DB47F6">
              <w:t>02</w:t>
            </w:r>
          </w:p>
        </w:tc>
        <w:tc>
          <w:tcPr>
            <w:tcW w:w="1559" w:type="dxa"/>
            <w:tcBorders>
              <w:top w:val="single" w:sz="4" w:space="0" w:color="auto"/>
              <w:bottom w:val="single" w:sz="4" w:space="0" w:color="auto"/>
            </w:tcBorders>
            <w:shd w:val="clear" w:color="auto" w:fill="FFFFFF"/>
          </w:tcPr>
          <w:p w14:paraId="2FD08FB2" w14:textId="0565435A" w:rsidR="00345CB3" w:rsidRDefault="00464C69" w:rsidP="00111724">
            <w:pPr>
              <w:pStyle w:val="CETBodytext"/>
              <w:ind w:right="-1"/>
            </w:pPr>
            <w:r>
              <w:t>0.</w:t>
            </w:r>
            <w:r w:rsidR="00345CB3" w:rsidRPr="003E7542">
              <w:t>91</w:t>
            </w:r>
          </w:p>
        </w:tc>
      </w:tr>
      <w:tr w:rsidR="00345CB3" w:rsidRPr="00B57B36" w14:paraId="5257800A" w14:textId="77777777" w:rsidTr="00642ABB">
        <w:trPr>
          <w:trHeight w:val="220"/>
        </w:trPr>
        <w:tc>
          <w:tcPr>
            <w:tcW w:w="1843" w:type="dxa"/>
            <w:tcBorders>
              <w:top w:val="single" w:sz="4" w:space="0" w:color="auto"/>
              <w:bottom w:val="single" w:sz="4" w:space="0" w:color="auto"/>
            </w:tcBorders>
            <w:shd w:val="clear" w:color="auto" w:fill="FFFFFF"/>
          </w:tcPr>
          <w:p w14:paraId="11C7BBD2" w14:textId="480C3E10" w:rsidR="00345CB3" w:rsidRPr="005A0374" w:rsidRDefault="00345CB3" w:rsidP="00345CB3">
            <w:pPr>
              <w:pStyle w:val="CETBodytext"/>
              <w:ind w:right="-1"/>
              <w:rPr>
                <w:rFonts w:cs="Arial"/>
                <w:szCs w:val="18"/>
                <w:lang w:val="en-GB"/>
              </w:rPr>
            </w:pPr>
            <w:r w:rsidRPr="004E5F2C">
              <w:t>Drying</w:t>
            </w:r>
          </w:p>
        </w:tc>
        <w:tc>
          <w:tcPr>
            <w:tcW w:w="1559" w:type="dxa"/>
            <w:tcBorders>
              <w:top w:val="single" w:sz="4" w:space="0" w:color="auto"/>
              <w:bottom w:val="single" w:sz="4" w:space="0" w:color="auto"/>
            </w:tcBorders>
            <w:shd w:val="clear" w:color="auto" w:fill="FFFFFF"/>
          </w:tcPr>
          <w:p w14:paraId="367D2FD2" w14:textId="266C6295" w:rsidR="00345CB3" w:rsidRDefault="00345CB3" w:rsidP="00111724">
            <w:pPr>
              <w:pStyle w:val="CETBodytext"/>
              <w:ind w:right="-1"/>
            </w:pPr>
            <w:r>
              <w:t>8</w:t>
            </w:r>
            <w:r w:rsidR="00893462">
              <w:t>,</w:t>
            </w:r>
            <w:r>
              <w:t>006.</w:t>
            </w:r>
            <w:r w:rsidRPr="00DB47F6">
              <w:t>02</w:t>
            </w:r>
          </w:p>
        </w:tc>
        <w:tc>
          <w:tcPr>
            <w:tcW w:w="1559" w:type="dxa"/>
            <w:tcBorders>
              <w:top w:val="single" w:sz="4" w:space="0" w:color="auto"/>
              <w:bottom w:val="single" w:sz="4" w:space="0" w:color="auto"/>
            </w:tcBorders>
            <w:shd w:val="clear" w:color="auto" w:fill="FFFFFF"/>
          </w:tcPr>
          <w:p w14:paraId="7BA05E88" w14:textId="674DEDEB" w:rsidR="00345CB3" w:rsidRDefault="00464C69" w:rsidP="00111724">
            <w:pPr>
              <w:pStyle w:val="CETBodytext"/>
              <w:ind w:right="-1"/>
            </w:pPr>
            <w:r>
              <w:t>0.</w:t>
            </w:r>
            <w:r w:rsidR="00345CB3" w:rsidRPr="003E7542">
              <w:t>91</w:t>
            </w:r>
          </w:p>
        </w:tc>
      </w:tr>
      <w:tr w:rsidR="00345CB3" w:rsidRPr="00B57B36" w14:paraId="23BC506C" w14:textId="77777777" w:rsidTr="00642ABB">
        <w:trPr>
          <w:trHeight w:val="220"/>
        </w:trPr>
        <w:tc>
          <w:tcPr>
            <w:tcW w:w="1843" w:type="dxa"/>
            <w:tcBorders>
              <w:top w:val="single" w:sz="4" w:space="0" w:color="auto"/>
              <w:bottom w:val="single" w:sz="4" w:space="0" w:color="auto"/>
            </w:tcBorders>
            <w:shd w:val="clear" w:color="auto" w:fill="FFFFFF"/>
          </w:tcPr>
          <w:p w14:paraId="5BFD8832" w14:textId="18B5C4D4" w:rsidR="00345CB3" w:rsidRPr="005A0374" w:rsidRDefault="00345CB3" w:rsidP="00345CB3">
            <w:pPr>
              <w:pStyle w:val="CETBodytext"/>
              <w:ind w:right="-1"/>
              <w:rPr>
                <w:rFonts w:cs="Arial"/>
                <w:szCs w:val="18"/>
                <w:lang w:val="en-GB"/>
              </w:rPr>
            </w:pPr>
            <w:r w:rsidRPr="004E5F2C">
              <w:t>Oil extraction</w:t>
            </w:r>
          </w:p>
        </w:tc>
        <w:tc>
          <w:tcPr>
            <w:tcW w:w="1559" w:type="dxa"/>
            <w:tcBorders>
              <w:top w:val="single" w:sz="4" w:space="0" w:color="auto"/>
              <w:bottom w:val="single" w:sz="4" w:space="0" w:color="auto"/>
            </w:tcBorders>
            <w:shd w:val="clear" w:color="auto" w:fill="FFFFFF"/>
          </w:tcPr>
          <w:p w14:paraId="285ED1FD" w14:textId="270EA49B" w:rsidR="00345CB3" w:rsidRDefault="00345CB3" w:rsidP="00111724">
            <w:pPr>
              <w:pStyle w:val="CETBodytext"/>
              <w:ind w:right="-1"/>
            </w:pPr>
            <w:r>
              <w:t>5</w:t>
            </w:r>
            <w:r w:rsidR="00893462">
              <w:t>,</w:t>
            </w:r>
            <w:r>
              <w:t>383.</w:t>
            </w:r>
            <w:r w:rsidRPr="00DB47F6">
              <w:t>62</w:t>
            </w:r>
          </w:p>
        </w:tc>
        <w:tc>
          <w:tcPr>
            <w:tcW w:w="1559" w:type="dxa"/>
            <w:tcBorders>
              <w:top w:val="single" w:sz="4" w:space="0" w:color="auto"/>
              <w:bottom w:val="single" w:sz="4" w:space="0" w:color="auto"/>
            </w:tcBorders>
            <w:shd w:val="clear" w:color="auto" w:fill="FFFFFF"/>
          </w:tcPr>
          <w:p w14:paraId="58AA98FF" w14:textId="296E0BBC" w:rsidR="00345CB3" w:rsidRDefault="00464C69" w:rsidP="00111724">
            <w:pPr>
              <w:pStyle w:val="CETBodytext"/>
              <w:ind w:right="-1"/>
            </w:pPr>
            <w:r>
              <w:t>0.</w:t>
            </w:r>
            <w:r w:rsidR="00345CB3" w:rsidRPr="003E7542">
              <w:t>61</w:t>
            </w:r>
          </w:p>
        </w:tc>
      </w:tr>
      <w:tr w:rsidR="00345CB3" w:rsidRPr="00B57B36" w14:paraId="2C83C928" w14:textId="77777777" w:rsidTr="00642ABB">
        <w:trPr>
          <w:trHeight w:val="220"/>
        </w:trPr>
        <w:tc>
          <w:tcPr>
            <w:tcW w:w="1843" w:type="dxa"/>
            <w:tcBorders>
              <w:top w:val="single" w:sz="4" w:space="0" w:color="auto"/>
              <w:bottom w:val="single" w:sz="4" w:space="0" w:color="auto"/>
            </w:tcBorders>
            <w:shd w:val="clear" w:color="auto" w:fill="FFFFFF"/>
          </w:tcPr>
          <w:p w14:paraId="090DBD6B" w14:textId="104CCAC4" w:rsidR="00345CB3" w:rsidRPr="005A0374" w:rsidRDefault="00345CB3" w:rsidP="00345CB3">
            <w:pPr>
              <w:pStyle w:val="CETBodytext"/>
              <w:ind w:right="-1"/>
              <w:rPr>
                <w:rFonts w:cs="Arial"/>
                <w:szCs w:val="18"/>
                <w:lang w:val="en-GB"/>
              </w:rPr>
            </w:pPr>
            <w:r w:rsidRPr="004E5F2C">
              <w:t>Oil centrifugation</w:t>
            </w:r>
          </w:p>
        </w:tc>
        <w:tc>
          <w:tcPr>
            <w:tcW w:w="1559" w:type="dxa"/>
            <w:tcBorders>
              <w:top w:val="single" w:sz="4" w:space="0" w:color="auto"/>
              <w:bottom w:val="single" w:sz="4" w:space="0" w:color="auto"/>
            </w:tcBorders>
            <w:shd w:val="clear" w:color="auto" w:fill="FFFFFF"/>
          </w:tcPr>
          <w:p w14:paraId="6F285A1B" w14:textId="77CD83CE" w:rsidR="00345CB3" w:rsidRDefault="00345CB3" w:rsidP="00111724">
            <w:pPr>
              <w:pStyle w:val="CETBodytext"/>
              <w:ind w:right="-1"/>
            </w:pPr>
            <w:r>
              <w:t>5</w:t>
            </w:r>
            <w:r w:rsidR="00893462">
              <w:t>,</w:t>
            </w:r>
            <w:r>
              <w:t>383.</w:t>
            </w:r>
            <w:r w:rsidRPr="00DB47F6">
              <w:t>62</w:t>
            </w:r>
          </w:p>
        </w:tc>
        <w:tc>
          <w:tcPr>
            <w:tcW w:w="1559" w:type="dxa"/>
            <w:tcBorders>
              <w:top w:val="single" w:sz="4" w:space="0" w:color="auto"/>
              <w:bottom w:val="single" w:sz="4" w:space="0" w:color="auto"/>
            </w:tcBorders>
            <w:shd w:val="clear" w:color="auto" w:fill="FFFFFF"/>
          </w:tcPr>
          <w:p w14:paraId="7A15AC66" w14:textId="7D112D90" w:rsidR="00345CB3" w:rsidRDefault="00464C69" w:rsidP="00111724">
            <w:pPr>
              <w:pStyle w:val="CETBodytext"/>
              <w:ind w:right="-1"/>
            </w:pPr>
            <w:r>
              <w:t>0.</w:t>
            </w:r>
            <w:r w:rsidR="00345CB3" w:rsidRPr="003E7542">
              <w:t>61</w:t>
            </w:r>
          </w:p>
        </w:tc>
      </w:tr>
      <w:tr w:rsidR="00345CB3" w:rsidRPr="00B57B36" w14:paraId="09755413" w14:textId="77777777" w:rsidTr="00642ABB">
        <w:trPr>
          <w:trHeight w:val="220"/>
        </w:trPr>
        <w:tc>
          <w:tcPr>
            <w:tcW w:w="1843" w:type="dxa"/>
            <w:tcBorders>
              <w:top w:val="single" w:sz="4" w:space="0" w:color="auto"/>
              <w:bottom w:val="single" w:sz="4" w:space="0" w:color="auto"/>
            </w:tcBorders>
            <w:shd w:val="clear" w:color="auto" w:fill="FFFFFF"/>
          </w:tcPr>
          <w:p w14:paraId="517DF70C" w14:textId="6D0B7B32" w:rsidR="00345CB3" w:rsidRPr="005A0374" w:rsidRDefault="00345CB3" w:rsidP="00345CB3">
            <w:pPr>
              <w:pStyle w:val="CETBodytext"/>
              <w:ind w:right="-1"/>
              <w:rPr>
                <w:rFonts w:cs="Arial"/>
                <w:szCs w:val="18"/>
                <w:lang w:val="en-GB"/>
              </w:rPr>
            </w:pPr>
            <w:r w:rsidRPr="004E5F2C">
              <w:t>Distillation hexane</w:t>
            </w:r>
          </w:p>
        </w:tc>
        <w:tc>
          <w:tcPr>
            <w:tcW w:w="1559" w:type="dxa"/>
            <w:tcBorders>
              <w:top w:val="single" w:sz="4" w:space="0" w:color="auto"/>
              <w:bottom w:val="single" w:sz="4" w:space="0" w:color="auto"/>
            </w:tcBorders>
            <w:shd w:val="clear" w:color="auto" w:fill="FFFFFF"/>
          </w:tcPr>
          <w:p w14:paraId="687B598E" w14:textId="22466A34" w:rsidR="00345CB3" w:rsidRDefault="00345CB3" w:rsidP="00111724">
            <w:pPr>
              <w:pStyle w:val="CETBodytext"/>
              <w:ind w:right="-1"/>
            </w:pPr>
            <w:r>
              <w:t>4</w:t>
            </w:r>
            <w:r w:rsidR="00893462">
              <w:t>,</w:t>
            </w:r>
            <w:r>
              <w:t>649.</w:t>
            </w:r>
            <w:r w:rsidRPr="00DB47F6">
              <w:t>57</w:t>
            </w:r>
          </w:p>
        </w:tc>
        <w:tc>
          <w:tcPr>
            <w:tcW w:w="1559" w:type="dxa"/>
            <w:tcBorders>
              <w:top w:val="single" w:sz="4" w:space="0" w:color="auto"/>
              <w:bottom w:val="single" w:sz="4" w:space="0" w:color="auto"/>
            </w:tcBorders>
            <w:shd w:val="clear" w:color="auto" w:fill="FFFFFF"/>
          </w:tcPr>
          <w:p w14:paraId="5F278064" w14:textId="7FD8764C" w:rsidR="00345CB3" w:rsidRDefault="00464C69" w:rsidP="00111724">
            <w:pPr>
              <w:pStyle w:val="CETBodytext"/>
              <w:ind w:right="-1"/>
            </w:pPr>
            <w:r>
              <w:t>0.</w:t>
            </w:r>
            <w:r w:rsidR="00345CB3" w:rsidRPr="003E7542">
              <w:t>53</w:t>
            </w:r>
          </w:p>
        </w:tc>
      </w:tr>
      <w:tr w:rsidR="00345CB3" w:rsidRPr="00B57B36" w14:paraId="22DDC1A9" w14:textId="77777777" w:rsidTr="00642ABB">
        <w:trPr>
          <w:trHeight w:val="220"/>
        </w:trPr>
        <w:tc>
          <w:tcPr>
            <w:tcW w:w="1843" w:type="dxa"/>
            <w:tcBorders>
              <w:top w:val="single" w:sz="4" w:space="0" w:color="auto"/>
              <w:bottom w:val="single" w:sz="4" w:space="0" w:color="auto"/>
            </w:tcBorders>
            <w:shd w:val="clear" w:color="auto" w:fill="FFFFFF"/>
          </w:tcPr>
          <w:p w14:paraId="3816466B" w14:textId="6C821DA1" w:rsidR="00345CB3" w:rsidRPr="005A0374" w:rsidRDefault="00345CB3" w:rsidP="00345CB3">
            <w:pPr>
              <w:pStyle w:val="CETBodytext"/>
              <w:ind w:right="-1"/>
              <w:rPr>
                <w:rFonts w:cs="Arial"/>
                <w:szCs w:val="18"/>
                <w:lang w:val="en-GB"/>
              </w:rPr>
            </w:pPr>
            <w:r w:rsidRPr="004E5F2C">
              <w:t>condensation hexane</w:t>
            </w:r>
          </w:p>
        </w:tc>
        <w:tc>
          <w:tcPr>
            <w:tcW w:w="1559" w:type="dxa"/>
            <w:tcBorders>
              <w:top w:val="single" w:sz="4" w:space="0" w:color="auto"/>
              <w:bottom w:val="single" w:sz="4" w:space="0" w:color="auto"/>
            </w:tcBorders>
            <w:shd w:val="clear" w:color="auto" w:fill="FFFFFF"/>
          </w:tcPr>
          <w:p w14:paraId="49984732" w14:textId="026503D1" w:rsidR="00345CB3" w:rsidRDefault="00345CB3" w:rsidP="00111724">
            <w:pPr>
              <w:pStyle w:val="CETBodytext"/>
              <w:ind w:right="-1"/>
            </w:pPr>
            <w:r>
              <w:t>3</w:t>
            </w:r>
            <w:r w:rsidR="00893462">
              <w:t>,</w:t>
            </w:r>
            <w:r>
              <w:t>539.</w:t>
            </w:r>
            <w:r w:rsidRPr="00DB47F6">
              <w:t>43</w:t>
            </w:r>
          </w:p>
        </w:tc>
        <w:tc>
          <w:tcPr>
            <w:tcW w:w="1559" w:type="dxa"/>
            <w:tcBorders>
              <w:top w:val="single" w:sz="4" w:space="0" w:color="auto"/>
              <w:bottom w:val="single" w:sz="4" w:space="0" w:color="auto"/>
            </w:tcBorders>
            <w:shd w:val="clear" w:color="auto" w:fill="FFFFFF"/>
          </w:tcPr>
          <w:p w14:paraId="71F01836" w14:textId="6051F144" w:rsidR="00345CB3" w:rsidRDefault="00464C69" w:rsidP="00111724">
            <w:pPr>
              <w:pStyle w:val="CETBodytext"/>
              <w:ind w:right="-1"/>
            </w:pPr>
            <w:r>
              <w:t>0.</w:t>
            </w:r>
            <w:r w:rsidR="00345CB3" w:rsidRPr="003E7542">
              <w:t>40</w:t>
            </w:r>
          </w:p>
        </w:tc>
      </w:tr>
      <w:tr w:rsidR="00345CB3" w:rsidRPr="00B57B36" w14:paraId="3FDADD7A" w14:textId="77777777" w:rsidTr="00642ABB">
        <w:trPr>
          <w:trHeight w:val="220"/>
        </w:trPr>
        <w:tc>
          <w:tcPr>
            <w:tcW w:w="1843" w:type="dxa"/>
            <w:tcBorders>
              <w:top w:val="single" w:sz="4" w:space="0" w:color="auto"/>
              <w:bottom w:val="single" w:sz="4" w:space="0" w:color="auto"/>
            </w:tcBorders>
            <w:shd w:val="clear" w:color="auto" w:fill="FFFFFF"/>
          </w:tcPr>
          <w:p w14:paraId="0B2216D0" w14:textId="56B79C0D" w:rsidR="00345CB3" w:rsidRPr="005A0374" w:rsidRDefault="00345CB3" w:rsidP="00345CB3">
            <w:pPr>
              <w:pStyle w:val="CETBodytext"/>
              <w:ind w:right="-1"/>
              <w:rPr>
                <w:rFonts w:cs="Arial"/>
                <w:szCs w:val="18"/>
                <w:lang w:val="en-GB"/>
              </w:rPr>
            </w:pPr>
            <w:r w:rsidRPr="004E5F2C">
              <w:t>Oil cooling</w:t>
            </w:r>
          </w:p>
        </w:tc>
        <w:tc>
          <w:tcPr>
            <w:tcW w:w="1559" w:type="dxa"/>
            <w:tcBorders>
              <w:top w:val="single" w:sz="4" w:space="0" w:color="auto"/>
              <w:bottom w:val="single" w:sz="4" w:space="0" w:color="auto"/>
            </w:tcBorders>
            <w:shd w:val="clear" w:color="auto" w:fill="FFFFFF"/>
          </w:tcPr>
          <w:p w14:paraId="35D1DBD7" w14:textId="785021DE" w:rsidR="00345CB3" w:rsidRDefault="00345CB3" w:rsidP="00111724">
            <w:pPr>
              <w:pStyle w:val="CETBodytext"/>
              <w:ind w:right="-1"/>
            </w:pPr>
            <w:r>
              <w:t>1</w:t>
            </w:r>
            <w:r w:rsidR="00893462">
              <w:t>,</w:t>
            </w:r>
            <w:r>
              <w:t>000.</w:t>
            </w:r>
            <w:r w:rsidRPr="00DB47F6">
              <w:t>67</w:t>
            </w:r>
          </w:p>
        </w:tc>
        <w:tc>
          <w:tcPr>
            <w:tcW w:w="1559" w:type="dxa"/>
            <w:tcBorders>
              <w:top w:val="single" w:sz="4" w:space="0" w:color="auto"/>
              <w:bottom w:val="single" w:sz="4" w:space="0" w:color="auto"/>
            </w:tcBorders>
            <w:shd w:val="clear" w:color="auto" w:fill="FFFFFF"/>
          </w:tcPr>
          <w:p w14:paraId="4EEB9C60" w14:textId="3D320C13" w:rsidR="00345CB3" w:rsidRDefault="00464C69" w:rsidP="00111724">
            <w:pPr>
              <w:pStyle w:val="CETBodytext"/>
              <w:ind w:right="-1"/>
            </w:pPr>
            <w:r>
              <w:t>0.</w:t>
            </w:r>
            <w:r w:rsidR="00345CB3" w:rsidRPr="003E7542">
              <w:t>11</w:t>
            </w:r>
          </w:p>
        </w:tc>
      </w:tr>
      <w:tr w:rsidR="00345CB3" w:rsidRPr="00B57B36" w14:paraId="54066B07" w14:textId="77777777" w:rsidTr="003D451E">
        <w:trPr>
          <w:trHeight w:val="220"/>
        </w:trPr>
        <w:tc>
          <w:tcPr>
            <w:tcW w:w="3402" w:type="dxa"/>
            <w:gridSpan w:val="2"/>
            <w:tcBorders>
              <w:top w:val="single" w:sz="4" w:space="0" w:color="auto"/>
            </w:tcBorders>
            <w:shd w:val="clear" w:color="auto" w:fill="FFFFFF"/>
          </w:tcPr>
          <w:p w14:paraId="75629674" w14:textId="1332DD3B" w:rsidR="00345CB3" w:rsidRDefault="00345CB3" w:rsidP="00345CB3">
            <w:pPr>
              <w:pStyle w:val="CETBodytext"/>
              <w:ind w:right="-1"/>
            </w:pPr>
            <w:r>
              <w:t xml:space="preserve">Total </w:t>
            </w:r>
          </w:p>
        </w:tc>
        <w:tc>
          <w:tcPr>
            <w:tcW w:w="1559" w:type="dxa"/>
            <w:tcBorders>
              <w:top w:val="single" w:sz="4" w:space="0" w:color="auto"/>
            </w:tcBorders>
            <w:shd w:val="clear" w:color="auto" w:fill="FFFFFF"/>
          </w:tcPr>
          <w:p w14:paraId="6232DAF2" w14:textId="45A9D20A" w:rsidR="00345CB3" w:rsidRDefault="00464C69" w:rsidP="00111724">
            <w:pPr>
              <w:pStyle w:val="CETBodytext"/>
              <w:ind w:right="-1"/>
            </w:pPr>
            <w:r>
              <w:t>12.12</w:t>
            </w:r>
          </w:p>
        </w:tc>
      </w:tr>
    </w:tbl>
    <w:p w14:paraId="605514B2" w14:textId="77777777" w:rsidR="00804B07" w:rsidRDefault="00804B07" w:rsidP="009B44B2">
      <w:pPr>
        <w:pStyle w:val="CETBodytext"/>
      </w:pPr>
    </w:p>
    <w:p w14:paraId="2E185A10" w14:textId="6234F36E" w:rsidR="009B44B2" w:rsidRDefault="00B92348" w:rsidP="00B92348">
      <w:pPr>
        <w:pStyle w:val="CETBodytext"/>
        <w:rPr>
          <w:lang w:val="en-GB"/>
        </w:rPr>
      </w:pPr>
      <w:r>
        <w:rPr>
          <w:noProof/>
          <w:lang w:val="es-CO" w:eastAsia="es-CO"/>
        </w:rPr>
        <w:drawing>
          <wp:inline distT="0" distB="0" distL="0" distR="0" wp14:anchorId="3AE94C66" wp14:editId="0AB8B223">
            <wp:extent cx="4304581" cy="1863286"/>
            <wp:effectExtent l="0" t="0" r="127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0777" cy="1883282"/>
                    </a:xfrm>
                    <a:prstGeom prst="rect">
                      <a:avLst/>
                    </a:prstGeom>
                    <a:noFill/>
                  </pic:spPr>
                </pic:pic>
              </a:graphicData>
            </a:graphic>
          </wp:inline>
        </w:drawing>
      </w:r>
    </w:p>
    <w:p w14:paraId="192564BA" w14:textId="1125643F" w:rsidR="009B44B2" w:rsidRPr="004B1DDC" w:rsidRDefault="009B44B2" w:rsidP="004B1DDC">
      <w:pPr>
        <w:pStyle w:val="CETCaption"/>
        <w:rPr>
          <w:rStyle w:val="CETCaptionCarattere"/>
          <w:i/>
        </w:rPr>
      </w:pPr>
      <w:r w:rsidRPr="004B1DDC">
        <w:rPr>
          <w:rStyle w:val="CETCaptionCarattere"/>
          <w:i/>
        </w:rPr>
        <w:t xml:space="preserve">Figure 3: Inherent Safety Index for </w:t>
      </w:r>
      <w:r w:rsidR="00893462" w:rsidRPr="004B1DDC">
        <w:t>Creole-Antillean</w:t>
      </w:r>
      <w:r w:rsidR="00893462" w:rsidRPr="004B1DDC">
        <w:rPr>
          <w:rStyle w:val="CETCaptionCarattere"/>
          <w:i/>
        </w:rPr>
        <w:t xml:space="preserve"> </w:t>
      </w:r>
      <w:r w:rsidRPr="004B1DDC">
        <w:rPr>
          <w:rStyle w:val="CETCaptionCarattere"/>
          <w:i/>
        </w:rPr>
        <w:t>avocado oil extraction.</w:t>
      </w:r>
    </w:p>
    <w:p w14:paraId="6B1F33AE" w14:textId="177D649F" w:rsidR="002C1D4F" w:rsidRDefault="00404ACD" w:rsidP="002C1D4F">
      <w:pPr>
        <w:pStyle w:val="CETBodytext"/>
        <w:rPr>
          <w:lang w:val="en-GB"/>
        </w:rPr>
      </w:pPr>
      <w:r w:rsidRPr="00521A31">
        <w:lastRenderedPageBreak/>
        <w:t>The temperature and pressure sub</w:t>
      </w:r>
      <w:r>
        <w:t>-</w:t>
      </w:r>
      <w:r w:rsidRPr="00521A31">
        <w:t>ind</w:t>
      </w:r>
      <w:r>
        <w:t>ex</w:t>
      </w:r>
      <w:r w:rsidRPr="00521A31">
        <w:t xml:space="preserve"> were</w:t>
      </w:r>
      <w:r>
        <w:t xml:space="preserve"> </w:t>
      </w:r>
      <w:r w:rsidRPr="00521A31">
        <w:t>decided according to the process operations conditions; the maximum temperature predicted was 70 °C at the dryer and distillation stage. Plant pressure operation is 1 bar for most stages; therefore, pressure conditions do not represent any risk.</w:t>
      </w:r>
      <w:r>
        <w:t xml:space="preserve"> </w:t>
      </w:r>
      <w:r w:rsidR="00BC0C9F">
        <w:rPr>
          <w:lang w:val="en-GB"/>
        </w:rPr>
        <w:t xml:space="preserve">The </w:t>
      </w:r>
      <w:r w:rsidR="002C1D4F" w:rsidRPr="00F62DA5">
        <w:t>equipment safety index, was considered ISBL area due to a distillation and dryi</w:t>
      </w:r>
      <w:r w:rsidR="002C1D4F">
        <w:t>ng stage that requires an oven; t</w:t>
      </w:r>
      <w:r w:rsidR="002C1D4F" w:rsidRPr="00F62DA5">
        <w:t>herefore, the assigned score is the maximum equivalent to 4. For the process secure structure sub-index, the process was classified as probably unsafe</w:t>
      </w:r>
      <w:r w:rsidR="002C1D4F">
        <w:t xml:space="preserve"> </w:t>
      </w:r>
      <w:r w:rsidR="002C1D4F" w:rsidRPr="006F57A8">
        <w:t>(Guillen, 2016)</w:t>
      </w:r>
      <w:r w:rsidR="002C1D4F" w:rsidRPr="00F62DA5">
        <w:t>, equal to 3. Inherent safety analysis results developed for avocado oil extraction are present in figure 3 for each safety index.</w:t>
      </w:r>
    </w:p>
    <w:p w14:paraId="2EC9814D" w14:textId="59CCB9C6" w:rsidR="00510F72" w:rsidRDefault="00510F72" w:rsidP="00510F72">
      <w:pPr>
        <w:pStyle w:val="CETheadingx"/>
        <w:rPr>
          <w:lang w:val="en-GB"/>
        </w:rPr>
      </w:pPr>
      <w:r w:rsidRPr="002A5392">
        <w:rPr>
          <w:lang w:val="en-GB"/>
        </w:rPr>
        <w:t>Total Inherent Safety Index (I</w:t>
      </w:r>
      <w:r w:rsidRPr="00920D94">
        <w:rPr>
          <w:vertAlign w:val="subscript"/>
          <w:lang w:val="en-GB"/>
        </w:rPr>
        <w:t>TI</w:t>
      </w:r>
      <w:r w:rsidRPr="002A5392">
        <w:rPr>
          <w:lang w:val="en-GB"/>
        </w:rPr>
        <w:t>)</w:t>
      </w:r>
    </w:p>
    <w:p w14:paraId="70272926" w14:textId="2085AD41" w:rsidR="005A6029" w:rsidRDefault="005A6029" w:rsidP="005A6029">
      <w:pPr>
        <w:pStyle w:val="CETBodytext"/>
        <w:rPr>
          <w:lang w:val="en-GB"/>
        </w:rPr>
      </w:pPr>
      <w:r>
        <w:rPr>
          <w:lang w:val="en-GB"/>
        </w:rPr>
        <w:t>Results revealed that</w:t>
      </w:r>
      <w:r w:rsidRPr="00AD161D">
        <w:rPr>
          <w:lang w:val="en-GB"/>
        </w:rPr>
        <w:t xml:space="preserve"> process is safe under the evaluated parameters, which is below the score recommending for a safe or neutral process corresponding to a score of 24 (Meramo et al., 2019)</w:t>
      </w:r>
      <w:r w:rsidR="00B0795D">
        <w:rPr>
          <w:lang w:val="en-GB"/>
        </w:rPr>
        <w:t>. Table 5</w:t>
      </w:r>
      <w:r>
        <w:rPr>
          <w:lang w:val="en-GB"/>
        </w:rPr>
        <w:t xml:space="preserve"> shows the score</w:t>
      </w:r>
      <w:r w:rsidR="00B0795D">
        <w:rPr>
          <w:lang w:val="en-GB"/>
        </w:rPr>
        <w:t xml:space="preserve"> for chemical and process sub-index</w:t>
      </w:r>
      <w:r w:rsidRPr="00D52919">
        <w:rPr>
          <w:lang w:val="en-GB"/>
        </w:rPr>
        <w:t>.</w:t>
      </w:r>
      <w:r>
        <w:rPr>
          <w:lang w:val="en-GB"/>
        </w:rPr>
        <w:t xml:space="preserve"> </w:t>
      </w:r>
    </w:p>
    <w:p w14:paraId="29629C54" w14:textId="1FD75629" w:rsidR="005A6029" w:rsidRPr="00FB1F74" w:rsidRDefault="005A6029" w:rsidP="005A6029">
      <w:pPr>
        <w:pStyle w:val="CETTabletitle"/>
      </w:pPr>
      <w:r w:rsidRPr="00B57B36">
        <w:t xml:space="preserve">Table </w:t>
      </w:r>
      <w:r w:rsidR="00B0795D">
        <w:t>5</w:t>
      </w:r>
      <w:r w:rsidRPr="00B57B36">
        <w:t xml:space="preserve">: </w:t>
      </w:r>
      <w:r w:rsidRPr="00FB1F74">
        <w:t>Inherent Safety Index</w:t>
      </w:r>
      <w:r>
        <w:t xml:space="preserve"> for </w:t>
      </w:r>
      <w:r w:rsidR="00893462">
        <w:t xml:space="preserve">Creole-Antillean </w:t>
      </w:r>
      <w:r>
        <w:t>avocado oil extraction.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559"/>
      </w:tblGrid>
      <w:tr w:rsidR="005A6029" w:rsidRPr="00B57B36" w14:paraId="0070D0D2" w14:textId="77777777" w:rsidTr="00DE057F">
        <w:trPr>
          <w:trHeight w:val="220"/>
        </w:trPr>
        <w:tc>
          <w:tcPr>
            <w:tcW w:w="1843" w:type="dxa"/>
            <w:tcBorders>
              <w:top w:val="single" w:sz="12" w:space="0" w:color="008000"/>
              <w:bottom w:val="single" w:sz="6" w:space="0" w:color="008000"/>
            </w:tcBorders>
            <w:shd w:val="clear" w:color="auto" w:fill="FFFFFF"/>
          </w:tcPr>
          <w:p w14:paraId="4714105E" w14:textId="207570E7" w:rsidR="005A6029" w:rsidRPr="00B57B36" w:rsidRDefault="005A6029" w:rsidP="00111724">
            <w:pPr>
              <w:pStyle w:val="CETBodytext"/>
              <w:rPr>
                <w:lang w:val="en-GB"/>
              </w:rPr>
            </w:pPr>
            <w:r>
              <w:rPr>
                <w:lang w:val="en-GB"/>
              </w:rPr>
              <w:t>Index</w:t>
            </w:r>
          </w:p>
        </w:tc>
        <w:tc>
          <w:tcPr>
            <w:tcW w:w="1559" w:type="dxa"/>
            <w:tcBorders>
              <w:top w:val="single" w:sz="12" w:space="0" w:color="008000"/>
              <w:bottom w:val="single" w:sz="6" w:space="0" w:color="008000"/>
            </w:tcBorders>
            <w:shd w:val="clear" w:color="auto" w:fill="FFFFFF"/>
          </w:tcPr>
          <w:p w14:paraId="67C4B56C" w14:textId="77777777" w:rsidR="005A6029" w:rsidRPr="00B57B36" w:rsidRDefault="005A6029" w:rsidP="00111724">
            <w:pPr>
              <w:pStyle w:val="CETBodytext"/>
              <w:rPr>
                <w:lang w:val="en-GB"/>
              </w:rPr>
            </w:pPr>
            <w:r>
              <w:rPr>
                <w:lang w:val="en-GB"/>
              </w:rPr>
              <w:t>Score</w:t>
            </w:r>
          </w:p>
        </w:tc>
      </w:tr>
      <w:tr w:rsidR="005A6029" w:rsidRPr="00B57B36" w14:paraId="10BD43B9" w14:textId="77777777" w:rsidTr="00DE057F">
        <w:trPr>
          <w:trHeight w:val="220"/>
        </w:trPr>
        <w:tc>
          <w:tcPr>
            <w:tcW w:w="1843" w:type="dxa"/>
            <w:tcBorders>
              <w:top w:val="single" w:sz="6" w:space="0" w:color="008000"/>
              <w:bottom w:val="single" w:sz="4" w:space="0" w:color="auto"/>
            </w:tcBorders>
            <w:shd w:val="clear" w:color="auto" w:fill="FFFFFF"/>
          </w:tcPr>
          <w:p w14:paraId="0307C0F0" w14:textId="547906F0" w:rsidR="005A6029" w:rsidRPr="00B57B36" w:rsidRDefault="005A6029" w:rsidP="00111724">
            <w:pPr>
              <w:pStyle w:val="CETBodytext"/>
              <w:rPr>
                <w:lang w:val="en-GB"/>
              </w:rPr>
            </w:pPr>
            <w:r w:rsidRPr="00827934">
              <w:rPr>
                <w:lang w:val="en-GB"/>
              </w:rPr>
              <w:t>ICH</w:t>
            </w:r>
          </w:p>
        </w:tc>
        <w:tc>
          <w:tcPr>
            <w:tcW w:w="1559" w:type="dxa"/>
            <w:shd w:val="clear" w:color="auto" w:fill="FFFFFF"/>
          </w:tcPr>
          <w:p w14:paraId="5B8176F4" w14:textId="77777777" w:rsidR="005A6029" w:rsidRPr="00B57B36" w:rsidRDefault="005A6029" w:rsidP="00111724">
            <w:pPr>
              <w:pStyle w:val="CETBodytext"/>
              <w:rPr>
                <w:lang w:val="en-GB"/>
              </w:rPr>
            </w:pPr>
            <w:r>
              <w:t>8</w:t>
            </w:r>
          </w:p>
        </w:tc>
      </w:tr>
      <w:tr w:rsidR="005A6029" w:rsidRPr="00B57B36" w14:paraId="732511A3" w14:textId="77777777" w:rsidTr="00DE057F">
        <w:trPr>
          <w:trHeight w:val="220"/>
        </w:trPr>
        <w:tc>
          <w:tcPr>
            <w:tcW w:w="1843" w:type="dxa"/>
            <w:tcBorders>
              <w:top w:val="single" w:sz="4" w:space="0" w:color="auto"/>
            </w:tcBorders>
            <w:shd w:val="clear" w:color="auto" w:fill="FFFFFF"/>
          </w:tcPr>
          <w:p w14:paraId="47DBC99A" w14:textId="420C07CB" w:rsidR="005A6029" w:rsidRPr="00B57B36" w:rsidRDefault="005A6029" w:rsidP="00111724">
            <w:pPr>
              <w:pStyle w:val="CETBodytext"/>
              <w:ind w:right="-1"/>
              <w:rPr>
                <w:rFonts w:cs="Arial"/>
                <w:szCs w:val="18"/>
                <w:lang w:val="en-GB"/>
              </w:rPr>
            </w:pPr>
            <w:r w:rsidRPr="005A0374">
              <w:rPr>
                <w:rFonts w:cs="Arial"/>
                <w:szCs w:val="18"/>
                <w:lang w:val="en-GB"/>
              </w:rPr>
              <w:t>IPS</w:t>
            </w:r>
          </w:p>
        </w:tc>
        <w:tc>
          <w:tcPr>
            <w:tcW w:w="1559" w:type="dxa"/>
            <w:tcBorders>
              <w:top w:val="single" w:sz="4" w:space="0" w:color="auto"/>
            </w:tcBorders>
            <w:shd w:val="clear" w:color="auto" w:fill="FFFFFF"/>
          </w:tcPr>
          <w:p w14:paraId="55D1F807" w14:textId="756960C4" w:rsidR="005A6029" w:rsidRPr="00AF6D85" w:rsidRDefault="00B92348" w:rsidP="00111724">
            <w:pPr>
              <w:pStyle w:val="CETBodytext"/>
              <w:ind w:right="-1"/>
            </w:pPr>
            <w:r>
              <w:t>9</w:t>
            </w:r>
          </w:p>
        </w:tc>
      </w:tr>
    </w:tbl>
    <w:p w14:paraId="6E6FA36C" w14:textId="5E00A954" w:rsidR="00E16942" w:rsidRDefault="00E16942" w:rsidP="00E16942">
      <w:pPr>
        <w:pStyle w:val="CETBodytext"/>
        <w:rPr>
          <w:lang w:val="en-GB"/>
        </w:rPr>
      </w:pPr>
    </w:p>
    <w:p w14:paraId="7794EECF" w14:textId="7F65329D" w:rsidR="00CC2125" w:rsidRPr="00A5540B" w:rsidRDefault="0028634F" w:rsidP="00E16942">
      <w:pPr>
        <w:pStyle w:val="CETBodytext"/>
      </w:pPr>
      <w:r w:rsidRPr="00A5540B">
        <w:rPr>
          <w:lang w:val="en-GB"/>
        </w:rPr>
        <w:t>Total Inherent Safety Index (I</w:t>
      </w:r>
      <w:r w:rsidRPr="00A5540B">
        <w:rPr>
          <w:vertAlign w:val="subscript"/>
          <w:lang w:val="en-GB"/>
        </w:rPr>
        <w:t>TI</w:t>
      </w:r>
      <w:r w:rsidRPr="00A5540B">
        <w:rPr>
          <w:lang w:val="en-GB"/>
        </w:rPr>
        <w:t xml:space="preserve">) </w:t>
      </w:r>
      <w:r w:rsidR="00B46939" w:rsidRPr="00A5540B">
        <w:t>of 17</w:t>
      </w:r>
      <w:r w:rsidRPr="00A5540B">
        <w:t xml:space="preserve"> for the crude avocado oil plant is higher than that reported by González et al.</w:t>
      </w:r>
      <w:r w:rsidR="00A5540B" w:rsidRPr="00A5540B">
        <w:t xml:space="preserve"> (2021)</w:t>
      </w:r>
      <w:r w:rsidRPr="00A5540B">
        <w:t xml:space="preserve"> to evaluate the crude palm oil production under the inherent safety parameters, obtaining a score of 11, showing a safe process with the highest risk in the process equipment safety sub-index due to a boiler and dryer implementation </w:t>
      </w:r>
      <w:r w:rsidR="000B33FF" w:rsidRPr="00A5540B">
        <w:t xml:space="preserve">(González et al., 2021). </w:t>
      </w:r>
      <w:r w:rsidRPr="00A5540B">
        <w:t xml:space="preserve">Both processes are considered as safe, coinciding in process equipment safety sub-index with the maximum score; however, they diverge in the total safety index, the above is due to the particularity of each process, the extraction method used and solvent application in the extraction of crude oil from avocado. </w:t>
      </w:r>
      <w:r w:rsidR="00B46939" w:rsidRPr="00A5540B">
        <w:t xml:space="preserve"> </w:t>
      </w:r>
      <w:r w:rsidR="00A80CA6" w:rsidRPr="00A5540B">
        <w:t xml:space="preserve">The process safety is necessary to support decision-making and prevent the degradation systems </w:t>
      </w:r>
      <w:r w:rsidR="00A80CA6" w:rsidRPr="00A5540B">
        <w:fldChar w:fldCharType="begin" w:fldLock="1"/>
      </w:r>
      <w:r w:rsidR="00A80CA6" w:rsidRPr="00A5540B">
        <w:instrText>ADDIN CSL_CITATION {"citationItems":[{"id":"ITEM-1","itemData":{"DOI":"10.3303/CET1977013","ISBN":"9788895608747","author":[{"dropping-particle":"","family":"Santos","given":"Luana F M","non-dropping-particle":"","parse-names":false,"suffix":""},{"dropping-particle":"","family":"Haddad","given":"Assed N","non-dropping-particle":"","parse-names":false,"suffix":""},{"dropping-particle":"","family":"Luquetti","given":"Isaac J A","non-dropping-particle":"","parse-names":false,"suffix":""}],"container-title":"Chemical Engineering Transactions","id":"ITEM-1","issue":"June","issued":{"date-parts":[["2019"]]},"page":"73-78","title":"Process Safety Leading Indicators in Oil Storage and Pipelines : Building a Panel of Indicators","type":"article-journal","volume":"77"},"uris":["http://www.mendeley.com/documents/?uuid=467620be-7dac-47b7-b97c-8701fd97e91d"]}],"mendeley":{"formattedCitation":"(Santos et al., 2019)","plainTextFormattedCitation":"(Santos et al., 2019)","previouslyFormattedCitation":"(Santos et al., 2019)"},"properties":{"noteIndex":0},"schema":"https://github.com/citation-style-language/schema/raw/master/csl-citation.json"}</w:instrText>
      </w:r>
      <w:r w:rsidR="00A80CA6" w:rsidRPr="00A5540B">
        <w:fldChar w:fldCharType="separate"/>
      </w:r>
      <w:r w:rsidR="00A80CA6" w:rsidRPr="00A5540B">
        <w:rPr>
          <w:noProof/>
        </w:rPr>
        <w:t>(Santos et al., 2019)</w:t>
      </w:r>
      <w:r w:rsidR="00A80CA6" w:rsidRPr="00A5540B">
        <w:fldChar w:fldCharType="end"/>
      </w:r>
      <w:r w:rsidR="00A80CA6" w:rsidRPr="00A5540B">
        <w:t xml:space="preserve">. </w:t>
      </w:r>
      <w:r w:rsidR="00CC2125" w:rsidRPr="00A5540B">
        <w:t xml:space="preserve">Safety assessment is a valuable approach for hazard control and decreases its magnitude, which </w:t>
      </w:r>
      <w:r w:rsidR="00F733DA" w:rsidRPr="00A5540B">
        <w:t>can</w:t>
      </w:r>
      <w:r w:rsidR="00CC2125" w:rsidRPr="00A5540B">
        <w:t xml:space="preserve"> be incorporated into every design and operation stage; however, employment inherent safety at process selection and conceptual design yields the greatest outcomes, achieving essential performance integrating environment, health, and safety</w:t>
      </w:r>
      <w:r w:rsidR="000B33FF" w:rsidRPr="00A5540B">
        <w:t xml:space="preserve"> (Khan </w:t>
      </w:r>
      <w:r w:rsidR="00A5540B" w:rsidRPr="00A5540B">
        <w:t>and</w:t>
      </w:r>
      <w:r w:rsidR="000B33FF" w:rsidRPr="00A5540B">
        <w:t xml:space="preserve"> </w:t>
      </w:r>
      <w:proofErr w:type="spellStart"/>
      <w:r w:rsidR="000B33FF" w:rsidRPr="00A5540B">
        <w:t>Amyotte</w:t>
      </w:r>
      <w:proofErr w:type="spellEnd"/>
      <w:r w:rsidR="000B33FF" w:rsidRPr="00A5540B">
        <w:t>, 2004).</w:t>
      </w:r>
    </w:p>
    <w:p w14:paraId="070EF6B0" w14:textId="77777777" w:rsidR="006E3F09" w:rsidRPr="00A5540B" w:rsidRDefault="006E3F09" w:rsidP="006E3F09">
      <w:pPr>
        <w:pStyle w:val="CETHeading1"/>
        <w:rPr>
          <w:lang w:val="en-GB"/>
        </w:rPr>
      </w:pPr>
      <w:r w:rsidRPr="00A5540B">
        <w:rPr>
          <w:lang w:val="en-GB"/>
        </w:rPr>
        <w:t>Conclusions</w:t>
      </w:r>
    </w:p>
    <w:p w14:paraId="481A8D7B" w14:textId="4A74A458" w:rsidR="0074257E" w:rsidRPr="00136A7F" w:rsidRDefault="00B46939" w:rsidP="00136A7F">
      <w:pPr>
        <w:pStyle w:val="CETBodytext"/>
      </w:pPr>
      <w:r w:rsidRPr="00136A7F">
        <w:t>The inherent safety analysis of crude avocado oil large-scale extraction using hexane was performed in this work. Results indicate that for a 10</w:t>
      </w:r>
      <w:r w:rsidR="00893462" w:rsidRPr="00136A7F">
        <w:t>,</w:t>
      </w:r>
      <w:r w:rsidRPr="00136A7F">
        <w:t xml:space="preserve">604 t/y processing capacity plant, the process is inherently safe achieving a total inherent safety index score of 17, outcome below the set point for a neutral or safe process. Assessment displays an un-balanced rating for chemical and process safety inherent indexes. </w:t>
      </w:r>
      <w:r w:rsidR="00B0795D" w:rsidRPr="00136A7F">
        <w:t>Operational conditions and thermodynamics of the reactions do not represent major concerns for the inherent safety of this process, 70</w:t>
      </w:r>
      <w:r w:rsidR="0019516D" w:rsidRPr="00136A7F">
        <w:t xml:space="preserve"> </w:t>
      </w:r>
      <w:r w:rsidR="00B0795D" w:rsidRPr="00136A7F">
        <w:t>°C and 1 bar of pressure, do not represent any danger. However, flammability and equipment safety are risk areas in this process. It is important to consider that process may be inherently safe regard</w:t>
      </w:r>
      <w:r w:rsidR="00563D62" w:rsidRPr="00136A7F">
        <w:t>ing</w:t>
      </w:r>
      <w:r w:rsidR="00B0795D" w:rsidRPr="00136A7F">
        <w:t xml:space="preserve"> one </w:t>
      </w:r>
      <w:proofErr w:type="gramStart"/>
      <w:r w:rsidR="00B0795D" w:rsidRPr="00136A7F">
        <w:t>criteria</w:t>
      </w:r>
      <w:proofErr w:type="gramEnd"/>
      <w:r w:rsidR="00B0795D" w:rsidRPr="00136A7F">
        <w:t xml:space="preserve">, but unreliable from a different point of view. </w:t>
      </w:r>
      <w:r w:rsidR="004A641F" w:rsidRPr="00136A7F">
        <w:t xml:space="preserve"> </w:t>
      </w:r>
      <w:r w:rsidR="00B0795D" w:rsidRPr="00136A7F">
        <w:t>In the chemical sub-index, a proper selection of construction materials can prevent safety problems caused by the corrosive properties of substances and process streams. Otherwise, the safe process structure sub-index relates process security from an engineering perspective, reporting how well unit operations perform together and how</w:t>
      </w:r>
      <w:r w:rsidR="006C7D33" w:rsidRPr="00136A7F">
        <w:t xml:space="preserve"> they </w:t>
      </w:r>
      <w:r w:rsidR="00B0795D" w:rsidRPr="00136A7F">
        <w:t>must be commanded and connected; besides, quantifying inventory is imperative, because as a plant become</w:t>
      </w:r>
      <w:r w:rsidR="00391D74" w:rsidRPr="00136A7F">
        <w:t>s</w:t>
      </w:r>
      <w:r w:rsidR="00B0795D" w:rsidRPr="00136A7F">
        <w:t xml:space="preserve"> larger, hazard potential is extensive. For future works, studies can contemplate applying sustainability analysis considering the economic, and exergetic variables used to assess this process design from different criteria.</w:t>
      </w:r>
    </w:p>
    <w:p w14:paraId="459D05E6" w14:textId="46569828" w:rsidR="00600535" w:rsidRPr="00B57B36" w:rsidRDefault="00600535" w:rsidP="00600535">
      <w:pPr>
        <w:pStyle w:val="CETAcknowledgementstitle"/>
      </w:pPr>
      <w:r w:rsidRPr="00B57B36">
        <w:t>Acknowledgments</w:t>
      </w:r>
    </w:p>
    <w:p w14:paraId="3B291C26" w14:textId="0B6CA61E" w:rsidR="0026236C" w:rsidRPr="00136A7F" w:rsidRDefault="0026236C" w:rsidP="00136A7F">
      <w:pPr>
        <w:pStyle w:val="CETBodytext"/>
      </w:pPr>
      <w:r w:rsidRPr="00136A7F">
        <w:t>The authors would like to acknowledge University of Cartagena for providing equipment and software to conclude this work.</w:t>
      </w:r>
    </w:p>
    <w:p w14:paraId="4F1327F8" w14:textId="1F7D4055" w:rsidR="00600535" w:rsidRPr="00D1362A" w:rsidRDefault="00600535" w:rsidP="00136A7F">
      <w:pPr>
        <w:pStyle w:val="CETReference"/>
        <w:rPr>
          <w:lang w:val="en-US"/>
        </w:rPr>
      </w:pPr>
      <w:r w:rsidRPr="00136A7F">
        <w:t>References</w:t>
      </w:r>
    </w:p>
    <w:p w14:paraId="54B0AEFF" w14:textId="4B54F2E9" w:rsidR="000E35C2" w:rsidRPr="002C1D4F" w:rsidRDefault="000E35C2" w:rsidP="00A5540B">
      <w:pPr>
        <w:pStyle w:val="CETReferencetext"/>
      </w:pPr>
      <w:r w:rsidRPr="002C1D4F">
        <w:t xml:space="preserve">Ahmad S., </w:t>
      </w:r>
      <w:proofErr w:type="spellStart"/>
      <w:r w:rsidRPr="002C1D4F">
        <w:t>Yunus</w:t>
      </w:r>
      <w:proofErr w:type="spellEnd"/>
      <w:r w:rsidR="004C60F4">
        <w:t xml:space="preserve"> </w:t>
      </w:r>
      <w:r w:rsidRPr="002C1D4F">
        <w:t>N., Akbar M</w:t>
      </w:r>
      <w:r w:rsidR="004C60F4">
        <w:t>.</w:t>
      </w:r>
      <w:r w:rsidRPr="002C1D4F">
        <w:t>, Hashim</w:t>
      </w:r>
      <w:r w:rsidR="004C60F4">
        <w:t xml:space="preserve"> </w:t>
      </w:r>
      <w:r w:rsidRPr="002C1D4F">
        <w:t xml:space="preserve">H., </w:t>
      </w:r>
      <w:proofErr w:type="spellStart"/>
      <w:r w:rsidRPr="002C1D4F">
        <w:t>Mustaffa</w:t>
      </w:r>
      <w:proofErr w:type="spellEnd"/>
      <w:r w:rsidR="004C60F4">
        <w:t xml:space="preserve"> </w:t>
      </w:r>
      <w:r w:rsidRPr="002C1D4F">
        <w:t>A.,</w:t>
      </w:r>
      <w:r w:rsidR="004C60F4">
        <w:t xml:space="preserve"> </w:t>
      </w:r>
      <w:r w:rsidRPr="002C1D4F">
        <w:t>Rashid R</w:t>
      </w:r>
      <w:r w:rsidR="004C60F4">
        <w:t xml:space="preserve">., </w:t>
      </w:r>
      <w:r w:rsidRPr="002C1D4F">
        <w:t>2020</w:t>
      </w:r>
      <w:r w:rsidR="004C60F4">
        <w:t>,</w:t>
      </w:r>
      <w:r w:rsidRPr="002C1D4F">
        <w:t xml:space="preserve"> Solvent design and inherent safety assessment of solvent alternatives for palm oil recovery</w:t>
      </w:r>
      <w:r w:rsidR="004C60F4">
        <w:t xml:space="preserve">, </w:t>
      </w:r>
      <w:r w:rsidRPr="002C1D4F">
        <w:t>Journal of Loss Prevention in the Process Industries, 65, 104120.</w:t>
      </w:r>
    </w:p>
    <w:p w14:paraId="3BB9B964" w14:textId="5CBC7972" w:rsidR="00632B42" w:rsidRPr="002C1D4F" w:rsidRDefault="00632B42" w:rsidP="00A5540B">
      <w:pPr>
        <w:pStyle w:val="CETReferencetext"/>
      </w:pPr>
      <w:r w:rsidRPr="002C1D4F">
        <w:rPr>
          <w:noProof/>
        </w:rPr>
        <w:lastRenderedPageBreak/>
        <w:t>Ahmad I., Abdullah</w:t>
      </w:r>
      <w:r w:rsidR="004C60F4">
        <w:rPr>
          <w:noProof/>
        </w:rPr>
        <w:t xml:space="preserve"> </w:t>
      </w:r>
      <w:r w:rsidRPr="002C1D4F">
        <w:rPr>
          <w:noProof/>
        </w:rPr>
        <w:t>N., Koji I., Yuzir A.</w:t>
      </w:r>
      <w:r w:rsidR="004C60F4">
        <w:rPr>
          <w:noProof/>
        </w:rPr>
        <w:t xml:space="preserve">, </w:t>
      </w:r>
      <w:r w:rsidRPr="002C1D4F">
        <w:rPr>
          <w:noProof/>
        </w:rPr>
        <w:t>2021</w:t>
      </w:r>
      <w:r w:rsidR="004C60F4">
        <w:rPr>
          <w:noProof/>
        </w:rPr>
        <w:t>,</w:t>
      </w:r>
      <w:r w:rsidRPr="002C1D4F">
        <w:rPr>
          <w:noProof/>
        </w:rPr>
        <w:t xml:space="preserve"> The Contribution of Microalgae in Bio-refinery and Resource Recovery : A Sustainable Approach leading to Circular Bioeconomy</w:t>
      </w:r>
      <w:r w:rsidR="004C60F4">
        <w:rPr>
          <w:noProof/>
        </w:rPr>
        <w:t xml:space="preserve">, </w:t>
      </w:r>
      <w:r w:rsidRPr="004C60F4">
        <w:rPr>
          <w:noProof/>
        </w:rPr>
        <w:t>Chemical Engineering Transactions</w:t>
      </w:r>
      <w:r w:rsidRPr="002C1D4F">
        <w:rPr>
          <w:noProof/>
        </w:rPr>
        <w:t xml:space="preserve">, </w:t>
      </w:r>
      <w:r w:rsidRPr="004C60F4">
        <w:rPr>
          <w:noProof/>
        </w:rPr>
        <w:t>89</w:t>
      </w:r>
      <w:r w:rsidRPr="002C1D4F">
        <w:rPr>
          <w:noProof/>
        </w:rPr>
        <w:t>(September), 391–396.</w:t>
      </w:r>
    </w:p>
    <w:p w14:paraId="7F603F1D" w14:textId="33BBA4B4" w:rsidR="000B33FF" w:rsidRPr="004C60F4" w:rsidRDefault="000B33FF" w:rsidP="00A5540B">
      <w:pPr>
        <w:pStyle w:val="CETReferencetext"/>
      </w:pPr>
      <w:r w:rsidRPr="004C60F4">
        <w:t>Ariza J., López</w:t>
      </w:r>
      <w:r w:rsidR="004C60F4" w:rsidRPr="004C60F4">
        <w:t xml:space="preserve"> </w:t>
      </w:r>
      <w:r w:rsidRPr="004C60F4">
        <w:t xml:space="preserve">F., </w:t>
      </w:r>
      <w:proofErr w:type="spellStart"/>
      <w:r w:rsidRPr="004C60F4">
        <w:t>Coyotl</w:t>
      </w:r>
      <w:proofErr w:type="spellEnd"/>
      <w:r w:rsidR="004C60F4" w:rsidRPr="004C60F4">
        <w:t xml:space="preserve"> </w:t>
      </w:r>
      <w:r w:rsidRPr="004C60F4">
        <w:t>J., Ramos M., Diaz Reyes, J.,</w:t>
      </w:r>
      <w:r w:rsidR="004C60F4" w:rsidRPr="004C60F4">
        <w:t xml:space="preserve"> </w:t>
      </w:r>
      <w:r w:rsidRPr="004C60F4">
        <w:t>Martinez A</w:t>
      </w:r>
      <w:r w:rsidR="004C60F4" w:rsidRPr="004C60F4">
        <w:t xml:space="preserve">, </w:t>
      </w:r>
      <w:r w:rsidRPr="004C60F4">
        <w:t>2011</w:t>
      </w:r>
      <w:r w:rsidR="004C60F4">
        <w:t xml:space="preserve">, </w:t>
      </w:r>
      <w:r w:rsidRPr="002C1D4F">
        <w:t>Effect of different extraction methods on the fatty acid profile in the avocado</w:t>
      </w:r>
      <w:r w:rsidR="004C60F4">
        <w:t xml:space="preserve">, </w:t>
      </w:r>
      <w:proofErr w:type="spellStart"/>
      <w:r w:rsidRPr="004C60F4">
        <w:t>Revista</w:t>
      </w:r>
      <w:proofErr w:type="spellEnd"/>
      <w:r w:rsidRPr="004C60F4">
        <w:t xml:space="preserve"> </w:t>
      </w:r>
      <w:proofErr w:type="spellStart"/>
      <w:r w:rsidRPr="004C60F4">
        <w:t>Venezolana</w:t>
      </w:r>
      <w:proofErr w:type="spellEnd"/>
      <w:r w:rsidRPr="004C60F4">
        <w:t xml:space="preserve"> de </w:t>
      </w:r>
      <w:proofErr w:type="spellStart"/>
      <w:r w:rsidRPr="004C60F4">
        <w:t>Ciencia</w:t>
      </w:r>
      <w:proofErr w:type="spellEnd"/>
      <w:r w:rsidRPr="004C60F4">
        <w:t xml:space="preserve"> y </w:t>
      </w:r>
      <w:proofErr w:type="spellStart"/>
      <w:r w:rsidRPr="004C60F4">
        <w:t>Tecnología</w:t>
      </w:r>
      <w:proofErr w:type="spellEnd"/>
      <w:r w:rsidRPr="004C60F4">
        <w:t xml:space="preserve"> de Alimentos, 2(2), 263–276. http://oaji.net/articles/2017/4924-1495372756.pdf</w:t>
      </w:r>
    </w:p>
    <w:p w14:paraId="16A30783" w14:textId="1D8AC919" w:rsidR="000B33FF" w:rsidRPr="004C60F4" w:rsidRDefault="000B33FF" w:rsidP="00A5540B">
      <w:pPr>
        <w:pStyle w:val="CETReferencetext"/>
      </w:pPr>
      <w:proofErr w:type="spellStart"/>
      <w:r w:rsidRPr="002C1D4F">
        <w:t>Burbano</w:t>
      </w:r>
      <w:proofErr w:type="spellEnd"/>
      <w:r w:rsidR="004C60F4">
        <w:t xml:space="preserve"> </w:t>
      </w:r>
      <w:r w:rsidRPr="002C1D4F">
        <w:t>O.</w:t>
      </w:r>
      <w:r w:rsidR="004C60F4">
        <w:t xml:space="preserve">, </w:t>
      </w:r>
      <w:r w:rsidRPr="002C1D4F">
        <w:t>2019</w:t>
      </w:r>
      <w:r w:rsidR="004C60F4">
        <w:t xml:space="preserve">, </w:t>
      </w:r>
      <w:r w:rsidRPr="002C1D4F">
        <w:t>West Indian avocado agroforestry systems in Montes de María (Colombia): A conceptual model of the production system</w:t>
      </w:r>
      <w:r w:rsidR="004C60F4">
        <w:t>,</w:t>
      </w:r>
      <w:r w:rsidR="00F319D1">
        <w:t xml:space="preserve"> </w:t>
      </w:r>
      <w:proofErr w:type="spellStart"/>
      <w:r w:rsidRPr="004C60F4">
        <w:t>Revista</w:t>
      </w:r>
      <w:proofErr w:type="spellEnd"/>
      <w:r w:rsidRPr="004C60F4">
        <w:t xml:space="preserve"> </w:t>
      </w:r>
      <w:proofErr w:type="spellStart"/>
      <w:r w:rsidRPr="004C60F4">
        <w:t>Chapingo</w:t>
      </w:r>
      <w:proofErr w:type="spellEnd"/>
      <w:r w:rsidRPr="004C60F4">
        <w:t xml:space="preserve">, Serie </w:t>
      </w:r>
      <w:proofErr w:type="spellStart"/>
      <w:r w:rsidRPr="004C60F4">
        <w:t>Horticultura</w:t>
      </w:r>
      <w:proofErr w:type="spellEnd"/>
      <w:r w:rsidRPr="004C60F4">
        <w:t xml:space="preserve">, 25(2), 75–102. </w:t>
      </w:r>
    </w:p>
    <w:p w14:paraId="1F3E4AD7" w14:textId="266F38DE" w:rsidR="000B33FF" w:rsidRPr="002C1D4F" w:rsidRDefault="000B33FF" w:rsidP="00A5540B">
      <w:pPr>
        <w:pStyle w:val="CETReferencetext"/>
      </w:pPr>
      <w:proofErr w:type="spellStart"/>
      <w:r w:rsidRPr="002C1D4F">
        <w:rPr>
          <w:lang w:val="es-CO"/>
        </w:rPr>
        <w:t>Corzzini</w:t>
      </w:r>
      <w:proofErr w:type="spellEnd"/>
      <w:r w:rsidRPr="002C1D4F">
        <w:rPr>
          <w:lang w:val="es-CO"/>
        </w:rPr>
        <w:t xml:space="preserve"> S., Barros</w:t>
      </w:r>
      <w:r w:rsidR="004C60F4">
        <w:rPr>
          <w:lang w:val="es-CO"/>
        </w:rPr>
        <w:t xml:space="preserve"> </w:t>
      </w:r>
      <w:r w:rsidRPr="002C1D4F">
        <w:rPr>
          <w:lang w:val="es-CO"/>
        </w:rPr>
        <w:t>H., Grimaldi R.,</w:t>
      </w:r>
      <w:r w:rsidR="004C60F4">
        <w:rPr>
          <w:lang w:val="es-CO"/>
        </w:rPr>
        <w:t xml:space="preserve"> </w:t>
      </w:r>
      <w:r w:rsidRPr="002C1D4F">
        <w:rPr>
          <w:lang w:val="es-CO"/>
        </w:rPr>
        <w:t>Cabral F.</w:t>
      </w:r>
      <w:r w:rsidR="004C60F4">
        <w:rPr>
          <w:lang w:val="es-CO"/>
        </w:rPr>
        <w:t xml:space="preserve">, </w:t>
      </w:r>
      <w:r w:rsidRPr="002C1D4F">
        <w:rPr>
          <w:lang w:val="es-CO"/>
        </w:rPr>
        <w:t xml:space="preserve">2017. </w:t>
      </w:r>
      <w:r w:rsidRPr="002C1D4F">
        <w:t>Extraction of edible avocado oil using supercritical CO2 and a CO2/ethanol mixture as solvents</w:t>
      </w:r>
      <w:r w:rsidR="00F319D1">
        <w:t>,</w:t>
      </w:r>
      <w:r w:rsidRPr="002C1D4F">
        <w:t xml:space="preserve"> Journal of Food Engineering, 194, 40–45. </w:t>
      </w:r>
    </w:p>
    <w:p w14:paraId="6102F1BD" w14:textId="616D3146" w:rsidR="000B33FF" w:rsidRPr="00F319D1" w:rsidRDefault="000B33FF" w:rsidP="00A5540B">
      <w:pPr>
        <w:pStyle w:val="CETReferencetext"/>
      </w:pPr>
      <w:r w:rsidRPr="002C1D4F">
        <w:t>Chong C.</w:t>
      </w:r>
      <w:r w:rsidR="00F319D1">
        <w:t>,</w:t>
      </w:r>
      <w:r w:rsidRPr="002C1D4F">
        <w:t xml:space="preserve"> 2004</w:t>
      </w:r>
      <w:r w:rsidR="00F319D1">
        <w:t xml:space="preserve">, </w:t>
      </w:r>
      <w:r w:rsidRPr="002C1D4F">
        <w:t>Corrosion of Mild Steel by Palm Fatty Acid distillates (PFAD)</w:t>
      </w:r>
      <w:r w:rsidR="00F319D1">
        <w:t>,</w:t>
      </w:r>
      <w:r w:rsidRPr="002C1D4F">
        <w:t xml:space="preserve"> </w:t>
      </w:r>
      <w:r w:rsidRPr="00F319D1">
        <w:t>PALMAS, 25, 408–417. https://publicaciones.fedepalma.org/index.php/palmas/article/download/1106/1106</w:t>
      </w:r>
    </w:p>
    <w:p w14:paraId="3CA54BFD" w14:textId="4260D6E9" w:rsidR="000B33FF" w:rsidRPr="00F319D1" w:rsidRDefault="000B33FF" w:rsidP="00A5540B">
      <w:pPr>
        <w:pStyle w:val="CETReferencetext"/>
      </w:pPr>
      <w:r w:rsidRPr="00F319D1">
        <w:t>González</w:t>
      </w:r>
      <w:r w:rsidR="00B73900">
        <w:t xml:space="preserve"> </w:t>
      </w:r>
      <w:r w:rsidRPr="00F319D1">
        <w:t xml:space="preserve">A., </w:t>
      </w:r>
      <w:r w:rsidR="00B73900" w:rsidRPr="00F319D1">
        <w:t>Barajas</w:t>
      </w:r>
      <w:r w:rsidR="00B73900">
        <w:t xml:space="preserve"> </w:t>
      </w:r>
      <w:r w:rsidR="00B73900" w:rsidRPr="00F319D1">
        <w:t>A.</w:t>
      </w:r>
      <w:r w:rsidRPr="00F319D1">
        <w:t xml:space="preserve">, </w:t>
      </w:r>
      <w:r w:rsidR="00F319D1" w:rsidRPr="00F319D1">
        <w:t xml:space="preserve">León </w:t>
      </w:r>
      <w:r w:rsidRPr="00F319D1">
        <w:t>J</w:t>
      </w:r>
      <w:r w:rsidR="00F319D1" w:rsidRPr="00F319D1">
        <w:t xml:space="preserve">, </w:t>
      </w:r>
      <w:r w:rsidRPr="00F319D1">
        <w:t>2021</w:t>
      </w:r>
      <w:r w:rsidR="00F319D1" w:rsidRPr="00F319D1">
        <w:t>,</w:t>
      </w:r>
      <w:r w:rsidRPr="00F319D1">
        <w:t xml:space="preserve"> </w:t>
      </w:r>
      <w:r w:rsidRPr="002C1D4F">
        <w:t>Evaluating the Sustainability and Inherent Safety of a Crude Palm Oil Production Process in North-Colombia</w:t>
      </w:r>
      <w:r w:rsidR="00F319D1">
        <w:t>,</w:t>
      </w:r>
      <w:r w:rsidRPr="002C1D4F">
        <w:t xml:space="preserve"> </w:t>
      </w:r>
      <w:r w:rsidRPr="00F319D1">
        <w:t xml:space="preserve">Applied Sciences, 11(3), 1046. </w:t>
      </w:r>
    </w:p>
    <w:p w14:paraId="12B64920" w14:textId="45C0E96D" w:rsidR="006F57A8" w:rsidRPr="00F319D1" w:rsidRDefault="006F57A8" w:rsidP="00A5540B">
      <w:pPr>
        <w:pStyle w:val="CETReferencetext"/>
        <w:rPr>
          <w:lang w:val="es-CO"/>
        </w:rPr>
      </w:pPr>
      <w:r w:rsidRPr="002C1D4F">
        <w:rPr>
          <w:lang w:val="es-CO"/>
        </w:rPr>
        <w:t>Guillen J.</w:t>
      </w:r>
      <w:r w:rsidR="00F319D1">
        <w:rPr>
          <w:lang w:val="es-CO"/>
        </w:rPr>
        <w:t xml:space="preserve">, </w:t>
      </w:r>
      <w:r w:rsidRPr="002C1D4F">
        <w:rPr>
          <w:lang w:val="es-CO"/>
        </w:rPr>
        <w:t>2016</w:t>
      </w:r>
      <w:r w:rsidR="00F319D1">
        <w:rPr>
          <w:lang w:val="es-CO"/>
        </w:rPr>
        <w:t xml:space="preserve">, </w:t>
      </w:r>
      <w:r w:rsidRPr="002C1D4F">
        <w:rPr>
          <w:lang w:val="es-CO"/>
        </w:rPr>
        <w:t xml:space="preserve">Obtención y Caracterización Fisicoquímica Del Aceite de Palta Hass (Persea </w:t>
      </w:r>
      <w:r w:rsidR="00EE623A" w:rsidRPr="002C1D4F">
        <w:rPr>
          <w:lang w:val="es-CO"/>
        </w:rPr>
        <w:t>americana</w:t>
      </w:r>
      <w:r w:rsidRPr="002C1D4F">
        <w:rPr>
          <w:lang w:val="es-CO"/>
        </w:rPr>
        <w:t xml:space="preserve">) extraído por método en frio </w:t>
      </w:r>
      <w:r w:rsidR="00D962AD" w:rsidRPr="002C1D4F">
        <w:rPr>
          <w:lang w:val="es-CO"/>
        </w:rPr>
        <w:t>(Prensado) y caliente (Soxhlet)</w:t>
      </w:r>
      <w:r w:rsidR="00F319D1">
        <w:rPr>
          <w:lang w:val="es-CO"/>
        </w:rPr>
        <w:t xml:space="preserve">, </w:t>
      </w:r>
      <w:r w:rsidRPr="00F319D1">
        <w:rPr>
          <w:lang w:val="es-CO"/>
        </w:rPr>
        <w:t>UNIVERSIDAD NACIONAL DEL SANTA</w:t>
      </w:r>
      <w:r w:rsidR="00F319D1">
        <w:rPr>
          <w:lang w:val="es-CO"/>
        </w:rPr>
        <w:t>.</w:t>
      </w:r>
    </w:p>
    <w:p w14:paraId="22C71980" w14:textId="102174A4" w:rsidR="000B33FF" w:rsidRPr="002C1D4F" w:rsidRDefault="000B33FF" w:rsidP="00B73900">
      <w:pPr>
        <w:pStyle w:val="CETReferencetext"/>
      </w:pPr>
      <w:proofErr w:type="spellStart"/>
      <w:r w:rsidRPr="002C1D4F">
        <w:t>Heikkilä</w:t>
      </w:r>
      <w:proofErr w:type="spellEnd"/>
      <w:r w:rsidRPr="002C1D4F">
        <w:t xml:space="preserve"> A.</w:t>
      </w:r>
      <w:r w:rsidR="00F319D1">
        <w:t xml:space="preserve">, </w:t>
      </w:r>
      <w:r w:rsidRPr="002C1D4F">
        <w:t>1999</w:t>
      </w:r>
      <w:r w:rsidR="00F319D1">
        <w:t>,</w:t>
      </w:r>
      <w:r w:rsidRPr="002C1D4F">
        <w:t xml:space="preserve"> Inherent safety in process plant design </w:t>
      </w:r>
      <w:proofErr w:type="gramStart"/>
      <w:r w:rsidRPr="002C1D4F">
        <w:t>An</w:t>
      </w:r>
      <w:proofErr w:type="gramEnd"/>
      <w:r w:rsidRPr="002C1D4F">
        <w:t xml:space="preserve"> index-based approach 3 8 4.</w:t>
      </w:r>
      <w:r w:rsidR="00B73900">
        <w:t xml:space="preserve"> </w:t>
      </w:r>
      <w:r w:rsidRPr="002C1D4F">
        <w:t>http://www.inf.vtt.fi/pdf/</w:t>
      </w:r>
    </w:p>
    <w:p w14:paraId="249E3EDD" w14:textId="34C6B088" w:rsidR="000B33FF" w:rsidRPr="002C1D4F" w:rsidRDefault="000B33FF" w:rsidP="00A5540B">
      <w:pPr>
        <w:pStyle w:val="CETReferencetext"/>
      </w:pPr>
      <w:r w:rsidRPr="007E633F">
        <w:t>Moreno</w:t>
      </w:r>
      <w:r w:rsidR="007E633F" w:rsidRPr="007E633F">
        <w:t xml:space="preserve"> K., </w:t>
      </w:r>
      <w:proofErr w:type="spellStart"/>
      <w:r w:rsidRPr="007E633F">
        <w:t>Baldiris</w:t>
      </w:r>
      <w:proofErr w:type="spellEnd"/>
      <w:r w:rsidR="007E633F" w:rsidRPr="007E633F">
        <w:t xml:space="preserve"> I., Gonzalez A., 2021</w:t>
      </w:r>
      <w:r w:rsidR="007E633F">
        <w:t xml:space="preserve">, </w:t>
      </w:r>
      <w:r w:rsidR="007E633F" w:rsidRPr="007E633F">
        <w:t>Inherent</w:t>
      </w:r>
      <w:r w:rsidRPr="002C1D4F">
        <w:t xml:space="preserve"> safety assessment of a </w:t>
      </w:r>
      <w:proofErr w:type="spellStart"/>
      <w:r w:rsidRPr="002C1D4F">
        <w:t>valorization</w:t>
      </w:r>
      <w:proofErr w:type="spellEnd"/>
      <w:r w:rsidRPr="002C1D4F">
        <w:t xml:space="preserve"> alternative for shrimp wastes under the concept of biorefinery</w:t>
      </w:r>
      <w:r w:rsidR="007E633F">
        <w:t>,</w:t>
      </w:r>
      <w:r w:rsidRPr="002C1D4F">
        <w:t xml:space="preserve"> PROSPECTIVA, 19(1), 1–10. </w:t>
      </w:r>
    </w:p>
    <w:p w14:paraId="2196DA73" w14:textId="456F2540" w:rsidR="000B33FF" w:rsidRPr="006601DF" w:rsidRDefault="000B33FF" w:rsidP="00A5540B">
      <w:pPr>
        <w:pStyle w:val="CETReferencetext"/>
      </w:pPr>
      <w:r w:rsidRPr="002C1D4F">
        <w:t xml:space="preserve">Khan, F., </w:t>
      </w:r>
      <w:proofErr w:type="spellStart"/>
      <w:r w:rsidRPr="002C1D4F">
        <w:t>Amyotte</w:t>
      </w:r>
      <w:proofErr w:type="spellEnd"/>
      <w:r w:rsidRPr="002C1D4F">
        <w:t xml:space="preserve"> P.</w:t>
      </w:r>
      <w:r w:rsidR="006601DF">
        <w:t>,</w:t>
      </w:r>
      <w:r w:rsidRPr="002C1D4F">
        <w:t xml:space="preserve"> 2004. Integrated inherent safety index (I2SI): A tool for inherent safety evaluation</w:t>
      </w:r>
      <w:r w:rsidR="006601DF">
        <w:t>,</w:t>
      </w:r>
      <w:r w:rsidRPr="002C1D4F">
        <w:t xml:space="preserve"> </w:t>
      </w:r>
      <w:r w:rsidRPr="006601DF">
        <w:t xml:space="preserve">Process Safety Progress, 23(2), 136–148. </w:t>
      </w:r>
    </w:p>
    <w:p w14:paraId="4C129DEE" w14:textId="1DA72D24" w:rsidR="000B33FF" w:rsidRPr="002C1D4F" w:rsidRDefault="000B33FF" w:rsidP="00A5540B">
      <w:pPr>
        <w:pStyle w:val="CETReferencetext"/>
      </w:pPr>
      <w:r w:rsidRPr="006601DF">
        <w:t xml:space="preserve">Meramo S., Ceballos N., Cortes J., </w:t>
      </w:r>
      <w:r w:rsidR="006601DF" w:rsidRPr="006601DF">
        <w:t>León</w:t>
      </w:r>
      <w:r w:rsidRPr="006601DF">
        <w:t xml:space="preserve"> J., </w:t>
      </w:r>
      <w:r w:rsidR="006601DF" w:rsidRPr="006601DF">
        <w:t>González</w:t>
      </w:r>
      <w:r w:rsidRPr="006601DF">
        <w:t xml:space="preserve"> A., </w:t>
      </w:r>
      <w:r w:rsidR="006601DF" w:rsidRPr="006601DF">
        <w:t xml:space="preserve">González </w:t>
      </w:r>
      <w:r w:rsidRPr="006601DF">
        <w:t>Á.</w:t>
      </w:r>
      <w:r w:rsidR="006601DF" w:rsidRPr="006601DF">
        <w:t xml:space="preserve">, </w:t>
      </w:r>
      <w:r w:rsidRPr="006601DF">
        <w:t>2021</w:t>
      </w:r>
      <w:r w:rsidR="006601DF" w:rsidRPr="006601DF">
        <w:t>,</w:t>
      </w:r>
      <w:r w:rsidRPr="006601DF">
        <w:t xml:space="preserve"> </w:t>
      </w:r>
      <w:r w:rsidRPr="002C1D4F">
        <w:t>Inherent Safety Assessment of Industrial-Scale Production of Chitosan Microbeads Modified with TiO2 Nanoparticles</w:t>
      </w:r>
      <w:r w:rsidR="006601DF">
        <w:t>,</w:t>
      </w:r>
      <w:r w:rsidRPr="002C1D4F">
        <w:t xml:space="preserve"> Biomolecules, 11(4), 568. </w:t>
      </w:r>
    </w:p>
    <w:p w14:paraId="4B357060" w14:textId="4C39C385" w:rsidR="000B33FF" w:rsidRPr="006601DF" w:rsidRDefault="000B33FF" w:rsidP="00A5540B">
      <w:pPr>
        <w:pStyle w:val="CETReferencetext"/>
      </w:pPr>
      <w:r w:rsidRPr="006601DF">
        <w:t>Meramo S., Ojeda</w:t>
      </w:r>
      <w:r w:rsidR="006601DF" w:rsidRPr="006601DF">
        <w:t xml:space="preserve"> </w:t>
      </w:r>
      <w:r w:rsidRPr="006601DF">
        <w:t xml:space="preserve">K., </w:t>
      </w:r>
      <w:r w:rsidR="006601DF" w:rsidRPr="006601DF">
        <w:t>Sánchez</w:t>
      </w:r>
      <w:r w:rsidR="00B73900">
        <w:t xml:space="preserve"> </w:t>
      </w:r>
      <w:r w:rsidRPr="006601DF">
        <w:t>E.</w:t>
      </w:r>
      <w:r w:rsidR="006601DF" w:rsidRPr="006601DF">
        <w:t>,</w:t>
      </w:r>
      <w:r w:rsidRPr="006601DF">
        <w:t xml:space="preserve"> 2019</w:t>
      </w:r>
      <w:r w:rsidR="006601DF" w:rsidRPr="006601DF">
        <w:t>,</w:t>
      </w:r>
      <w:r w:rsidRPr="006601DF">
        <w:t xml:space="preserve"> </w:t>
      </w:r>
      <w:r w:rsidRPr="002C1D4F">
        <w:t xml:space="preserve">Environmental and Safety Assessments of Industrial Production of </w:t>
      </w:r>
      <w:proofErr w:type="spellStart"/>
      <w:r w:rsidRPr="002C1D4F">
        <w:t>Levulinic</w:t>
      </w:r>
      <w:proofErr w:type="spellEnd"/>
      <w:r w:rsidRPr="002C1D4F">
        <w:t xml:space="preserve"> Acid via Acid-</w:t>
      </w:r>
      <w:proofErr w:type="spellStart"/>
      <w:r w:rsidRPr="002C1D4F">
        <w:t>Catalyzed</w:t>
      </w:r>
      <w:proofErr w:type="spellEnd"/>
      <w:r w:rsidRPr="002C1D4F">
        <w:t xml:space="preserve"> Dehydration</w:t>
      </w:r>
      <w:r w:rsidR="006601DF">
        <w:t>,</w:t>
      </w:r>
      <w:r w:rsidRPr="002C1D4F">
        <w:t xml:space="preserve"> </w:t>
      </w:r>
      <w:r w:rsidRPr="006601DF">
        <w:t xml:space="preserve">ACS Omega, 4(27), 22302–22312. </w:t>
      </w:r>
    </w:p>
    <w:p w14:paraId="12268843" w14:textId="5F0EAC6B" w:rsidR="000B33FF" w:rsidRPr="006601DF" w:rsidRDefault="000B33FF" w:rsidP="00A5540B">
      <w:pPr>
        <w:pStyle w:val="CETReferencetext"/>
      </w:pPr>
      <w:r w:rsidRPr="006601DF">
        <w:t>Meramo</w:t>
      </w:r>
      <w:r w:rsidR="00B73900">
        <w:t xml:space="preserve"> </w:t>
      </w:r>
      <w:r w:rsidRPr="006601DF">
        <w:t xml:space="preserve">S., </w:t>
      </w:r>
      <w:r w:rsidR="006601DF" w:rsidRPr="006601DF">
        <w:t xml:space="preserve">Sánchez </w:t>
      </w:r>
      <w:r w:rsidRPr="006601DF">
        <w:t>E., Ponce J., El-Halwagi</w:t>
      </w:r>
      <w:r w:rsidR="006601DF" w:rsidRPr="006601DF">
        <w:t xml:space="preserve"> </w:t>
      </w:r>
      <w:r w:rsidRPr="006601DF">
        <w:t>M.,</w:t>
      </w:r>
      <w:r w:rsidR="006601DF" w:rsidRPr="006601DF">
        <w:t xml:space="preserve"> </w:t>
      </w:r>
      <w:r w:rsidRPr="006601DF">
        <w:t>Ojeda K.</w:t>
      </w:r>
      <w:r w:rsidR="006601DF" w:rsidRPr="006601DF">
        <w:t xml:space="preserve">, </w:t>
      </w:r>
      <w:r w:rsidRPr="006601DF">
        <w:t>2020</w:t>
      </w:r>
      <w:r w:rsidR="006601DF" w:rsidRPr="006601DF">
        <w:t>,</w:t>
      </w:r>
      <w:r w:rsidRPr="006601DF">
        <w:t xml:space="preserve"> Synthesis and Sustainability Evaluation of a Lignocellulosic </w:t>
      </w:r>
      <w:proofErr w:type="spellStart"/>
      <w:r w:rsidRPr="006601DF">
        <w:t>Multifeedstock</w:t>
      </w:r>
      <w:proofErr w:type="spellEnd"/>
      <w:r w:rsidRPr="006601DF">
        <w:t xml:space="preserve"> Biorefinery Considering Technical Performance Indicators</w:t>
      </w:r>
      <w:r w:rsidR="006601DF">
        <w:t xml:space="preserve">, </w:t>
      </w:r>
      <w:r w:rsidRPr="006601DF">
        <w:t>ACS Omega</w:t>
      </w:r>
      <w:r w:rsidR="00B73900">
        <w:t>, 5(16), 9259-9275.</w:t>
      </w:r>
    </w:p>
    <w:p w14:paraId="7F6A3A78" w14:textId="02EFDC29" w:rsidR="000B33FF" w:rsidRPr="002C1D4F" w:rsidRDefault="000B33FF" w:rsidP="00A5540B">
      <w:pPr>
        <w:pStyle w:val="CETReferencetext"/>
        <w:rPr>
          <w:lang w:val="es-CO"/>
        </w:rPr>
      </w:pPr>
      <w:r w:rsidRPr="002C1D4F">
        <w:rPr>
          <w:lang w:val="es-CO"/>
        </w:rPr>
        <w:t>Ministerio de Agricultura</w:t>
      </w:r>
      <w:r w:rsidR="006601DF">
        <w:rPr>
          <w:lang w:val="es-CO"/>
        </w:rPr>
        <w:t xml:space="preserve">, </w:t>
      </w:r>
      <w:r w:rsidRPr="002C1D4F">
        <w:rPr>
          <w:lang w:val="es-CO"/>
        </w:rPr>
        <w:t>2018</w:t>
      </w:r>
      <w:r w:rsidR="006601DF">
        <w:rPr>
          <w:lang w:val="es-CO"/>
        </w:rPr>
        <w:t>,</w:t>
      </w:r>
      <w:r w:rsidRPr="002C1D4F">
        <w:rPr>
          <w:lang w:val="es-CO"/>
        </w:rPr>
        <w:t xml:space="preserve"> Cadena de Aguacate Indicadores e instrumentos. https://sioc.minagricultura.gov.co/Aguacate/Documentos/2018-08-30 Cifras Sectoriales.pdf</w:t>
      </w:r>
    </w:p>
    <w:p w14:paraId="635D15BC" w14:textId="3E5BB430" w:rsidR="000B33FF" w:rsidRPr="002C1D4F" w:rsidRDefault="000B33FF" w:rsidP="00A5540B">
      <w:pPr>
        <w:pStyle w:val="CETReferencetext"/>
      </w:pPr>
      <w:r w:rsidRPr="002C1D4F">
        <w:t>OSHA</w:t>
      </w:r>
      <w:r w:rsidR="006601DF">
        <w:t xml:space="preserve">, </w:t>
      </w:r>
      <w:r w:rsidRPr="002C1D4F">
        <w:t>2019</w:t>
      </w:r>
      <w:r w:rsidR="006601DF">
        <w:t>,</w:t>
      </w:r>
      <w:r w:rsidRPr="002C1D4F">
        <w:t xml:space="preserve"> Permissible Exposure Limits – OSHA Annotated Table Z-3 | Occupational Safety and Health Administration</w:t>
      </w:r>
      <w:r w:rsidR="006601DF">
        <w:t>,</w:t>
      </w:r>
      <w:r w:rsidRPr="002C1D4F">
        <w:t xml:space="preserve"> Occupational Safety and Health Administration. https://www.osha.gov/annotated-pels</w:t>
      </w:r>
      <w:r w:rsidR="00136A7F">
        <w:t>.</w:t>
      </w:r>
    </w:p>
    <w:p w14:paraId="1046C900" w14:textId="5BBE524F" w:rsidR="00752982" w:rsidRPr="002C1D4F" w:rsidRDefault="00752982" w:rsidP="00A5540B">
      <w:pPr>
        <w:pStyle w:val="CETReferencetext"/>
        <w:rPr>
          <w:noProof/>
        </w:rPr>
      </w:pPr>
      <w:r w:rsidRPr="006601DF">
        <w:rPr>
          <w:noProof/>
          <w:lang w:val="en-US"/>
        </w:rPr>
        <w:t>Poveda J</w:t>
      </w:r>
      <w:r w:rsidR="006601DF" w:rsidRPr="006601DF">
        <w:rPr>
          <w:noProof/>
          <w:lang w:val="en-US"/>
        </w:rPr>
        <w:t>.</w:t>
      </w:r>
      <w:r w:rsidRPr="006601DF">
        <w:rPr>
          <w:noProof/>
          <w:lang w:val="en-US"/>
        </w:rPr>
        <w:t>, Piedrahita</w:t>
      </w:r>
      <w:r w:rsidR="006601DF" w:rsidRPr="006601DF">
        <w:rPr>
          <w:noProof/>
          <w:lang w:val="en-US"/>
        </w:rPr>
        <w:t xml:space="preserve"> </w:t>
      </w:r>
      <w:r w:rsidRPr="006601DF">
        <w:rPr>
          <w:noProof/>
          <w:lang w:val="en-US"/>
        </w:rPr>
        <w:t>S., Cardona</w:t>
      </w:r>
      <w:r w:rsidR="006601DF" w:rsidRPr="006601DF">
        <w:rPr>
          <w:noProof/>
          <w:lang w:val="en-US"/>
        </w:rPr>
        <w:t xml:space="preserve"> </w:t>
      </w:r>
      <w:r w:rsidRPr="006601DF">
        <w:rPr>
          <w:noProof/>
          <w:lang w:val="en-US"/>
        </w:rPr>
        <w:t>C.</w:t>
      </w:r>
      <w:r w:rsidR="006601DF" w:rsidRPr="006601DF">
        <w:rPr>
          <w:noProof/>
          <w:lang w:val="en-US"/>
        </w:rPr>
        <w:t xml:space="preserve">, </w:t>
      </w:r>
      <w:r w:rsidRPr="006601DF">
        <w:rPr>
          <w:noProof/>
          <w:lang w:val="en-US"/>
        </w:rPr>
        <w:t>2021</w:t>
      </w:r>
      <w:r w:rsidR="006601DF">
        <w:rPr>
          <w:noProof/>
          <w:lang w:val="en-US"/>
        </w:rPr>
        <w:t xml:space="preserve">, </w:t>
      </w:r>
      <w:r w:rsidRPr="002C1D4F">
        <w:rPr>
          <w:noProof/>
        </w:rPr>
        <w:t>Life Cycle Analysis of Biotechnological Processes based on the Composition of the Raw Material . Eucalyptus , Avocado , and Plantain cases in a Biorefinery System</w:t>
      </w:r>
      <w:r w:rsidR="003F099A">
        <w:rPr>
          <w:noProof/>
        </w:rPr>
        <w:t xml:space="preserve">, </w:t>
      </w:r>
      <w:r w:rsidRPr="003F099A">
        <w:rPr>
          <w:noProof/>
        </w:rPr>
        <w:t>Chemical Engineering Transactions</w:t>
      </w:r>
      <w:r w:rsidRPr="002C1D4F">
        <w:rPr>
          <w:noProof/>
        </w:rPr>
        <w:t xml:space="preserve">, </w:t>
      </w:r>
      <w:r w:rsidRPr="002C1D4F">
        <w:rPr>
          <w:i/>
          <w:iCs/>
          <w:noProof/>
        </w:rPr>
        <w:t>83</w:t>
      </w:r>
      <w:r w:rsidRPr="002C1D4F">
        <w:rPr>
          <w:noProof/>
        </w:rPr>
        <w:t xml:space="preserve">, 397–402. </w:t>
      </w:r>
    </w:p>
    <w:p w14:paraId="77A7790E" w14:textId="6EEABCD9" w:rsidR="000B33FF" w:rsidRPr="002C1D4F" w:rsidRDefault="000B33FF" w:rsidP="00A5540B">
      <w:pPr>
        <w:pStyle w:val="CETReferencetext"/>
        <w:rPr>
          <w:lang w:val="es-CO"/>
        </w:rPr>
      </w:pPr>
      <w:r w:rsidRPr="002C1D4F">
        <w:rPr>
          <w:lang w:val="es-CO"/>
        </w:rPr>
        <w:t>Robayo</w:t>
      </w:r>
      <w:r w:rsidR="003F099A">
        <w:rPr>
          <w:lang w:val="es-CO"/>
        </w:rPr>
        <w:t xml:space="preserve"> </w:t>
      </w:r>
      <w:r w:rsidRPr="002C1D4F">
        <w:rPr>
          <w:lang w:val="es-CO"/>
        </w:rPr>
        <w:t>A</w:t>
      </w:r>
      <w:r w:rsidR="003F099A">
        <w:rPr>
          <w:lang w:val="es-CO"/>
        </w:rPr>
        <w:t>.,</w:t>
      </w:r>
      <w:r w:rsidRPr="002C1D4F">
        <w:rPr>
          <w:lang w:val="es-CO"/>
        </w:rPr>
        <w:t xml:space="preserve"> 2017</w:t>
      </w:r>
      <w:r w:rsidR="003F099A">
        <w:rPr>
          <w:lang w:val="es-CO"/>
        </w:rPr>
        <w:t>,</w:t>
      </w:r>
      <w:r w:rsidRPr="002C1D4F">
        <w:rPr>
          <w:lang w:val="es-CO"/>
        </w:rPr>
        <w:t xml:space="preserve"> Caracterización fisicoquímica de diferentes variedades de aguacate, Persea americana Mill. (</w:t>
      </w:r>
      <w:proofErr w:type="spellStart"/>
      <w:r w:rsidRPr="002C1D4F">
        <w:rPr>
          <w:lang w:val="es-CO"/>
        </w:rPr>
        <w:t>Lauraceae</w:t>
      </w:r>
      <w:proofErr w:type="spellEnd"/>
      <w:r w:rsidRPr="002C1D4F">
        <w:rPr>
          <w:lang w:val="es-CO"/>
        </w:rPr>
        <w:t>) e implementación de un método de extracción del aceite de aguacate como alternativa de industrialización. https://repositorio.unal.edu.co/handle/unal/59452</w:t>
      </w:r>
      <w:r w:rsidR="00136A7F">
        <w:rPr>
          <w:lang w:val="es-CO"/>
        </w:rPr>
        <w:t>.</w:t>
      </w:r>
    </w:p>
    <w:p w14:paraId="0B6D7B03" w14:textId="6A172D92" w:rsidR="000B33FF" w:rsidRPr="002C1D4F" w:rsidRDefault="000B33FF" w:rsidP="00136A7F">
      <w:pPr>
        <w:pStyle w:val="CETReferencetext"/>
        <w:rPr>
          <w:lang w:val="es-CO"/>
        </w:rPr>
      </w:pPr>
      <w:r w:rsidRPr="002C1D4F">
        <w:rPr>
          <w:lang w:val="es-CO"/>
        </w:rPr>
        <w:t>Sánchez</w:t>
      </w:r>
      <w:r w:rsidR="003F099A">
        <w:rPr>
          <w:lang w:val="es-CO"/>
        </w:rPr>
        <w:t xml:space="preserve"> </w:t>
      </w:r>
      <w:r w:rsidRPr="002C1D4F">
        <w:rPr>
          <w:lang w:val="es-CO"/>
        </w:rPr>
        <w:t>A.</w:t>
      </w:r>
      <w:r w:rsidR="003F099A">
        <w:rPr>
          <w:lang w:val="es-CO"/>
        </w:rPr>
        <w:t>,</w:t>
      </w:r>
      <w:r w:rsidRPr="002C1D4F">
        <w:rPr>
          <w:lang w:val="es-CO"/>
        </w:rPr>
        <w:t xml:space="preserve"> 2021</w:t>
      </w:r>
      <w:r w:rsidR="003F099A">
        <w:rPr>
          <w:lang w:val="es-CO"/>
        </w:rPr>
        <w:t>,</w:t>
      </w:r>
      <w:r w:rsidRPr="002C1D4F">
        <w:rPr>
          <w:lang w:val="es-CO"/>
        </w:rPr>
        <w:t xml:space="preserve"> Colombia es tercero en el mundo en producción de aguacate</w:t>
      </w:r>
      <w:r w:rsidR="003F099A">
        <w:rPr>
          <w:lang w:val="es-CO"/>
        </w:rPr>
        <w:t>,</w:t>
      </w:r>
      <w:r w:rsidRPr="002C1D4F">
        <w:rPr>
          <w:lang w:val="es-CO"/>
        </w:rPr>
        <w:t xml:space="preserve"> Agronegocios</w:t>
      </w:r>
      <w:r w:rsidR="003F099A">
        <w:rPr>
          <w:lang w:val="es-CO"/>
        </w:rPr>
        <w:t xml:space="preserve">, </w:t>
      </w:r>
      <w:r w:rsidRPr="002C1D4F">
        <w:rPr>
          <w:lang w:val="es-CO"/>
        </w:rPr>
        <w:t>https://www.agronegocios.co/agricultura/colombia-es-tercero-en-el-mundo-en-produccion-y-area-cosechada-de-aguacate-hass-3142547#</w:t>
      </w:r>
    </w:p>
    <w:p w14:paraId="26EEAFB3" w14:textId="5F1C69E1" w:rsidR="00752982" w:rsidRPr="002C1D4F" w:rsidRDefault="00752982" w:rsidP="00A5540B">
      <w:pPr>
        <w:pStyle w:val="CETReferencetext"/>
        <w:rPr>
          <w:noProof/>
        </w:rPr>
      </w:pPr>
      <w:r w:rsidRPr="003F099A">
        <w:rPr>
          <w:noProof/>
          <w:lang w:val="en-US"/>
        </w:rPr>
        <w:t>Santos L., Haddad A., Luquetti I.</w:t>
      </w:r>
      <w:r w:rsidR="003F099A" w:rsidRPr="003F099A">
        <w:rPr>
          <w:noProof/>
          <w:lang w:val="en-US"/>
        </w:rPr>
        <w:t>,</w:t>
      </w:r>
      <w:r w:rsidRPr="003F099A">
        <w:rPr>
          <w:noProof/>
          <w:lang w:val="en-US"/>
        </w:rPr>
        <w:t xml:space="preserve"> 2019</w:t>
      </w:r>
      <w:r w:rsidR="003F099A" w:rsidRPr="003F099A">
        <w:rPr>
          <w:noProof/>
          <w:lang w:val="en-US"/>
        </w:rPr>
        <w:t>,</w:t>
      </w:r>
      <w:r w:rsidRPr="003F099A">
        <w:rPr>
          <w:noProof/>
          <w:lang w:val="en-US"/>
        </w:rPr>
        <w:t xml:space="preserve"> </w:t>
      </w:r>
      <w:r w:rsidRPr="002C1D4F">
        <w:rPr>
          <w:noProof/>
        </w:rPr>
        <w:t>Process Safety Leading Indicators in Oil Storage and Pipelines : Building a Panel of Indicators</w:t>
      </w:r>
      <w:r w:rsidR="003F099A">
        <w:rPr>
          <w:noProof/>
        </w:rPr>
        <w:t xml:space="preserve">, </w:t>
      </w:r>
      <w:r w:rsidRPr="003F099A">
        <w:rPr>
          <w:noProof/>
        </w:rPr>
        <w:t>Chemical Engineering Transactions,</w:t>
      </w:r>
      <w:r w:rsidRPr="002C1D4F">
        <w:rPr>
          <w:noProof/>
        </w:rPr>
        <w:t xml:space="preserve"> </w:t>
      </w:r>
      <w:r w:rsidRPr="002C1D4F">
        <w:rPr>
          <w:i/>
          <w:iCs/>
          <w:noProof/>
        </w:rPr>
        <w:t>77</w:t>
      </w:r>
      <w:r w:rsidRPr="002C1D4F">
        <w:rPr>
          <w:noProof/>
        </w:rPr>
        <w:t xml:space="preserve">(June), 73–78. </w:t>
      </w:r>
    </w:p>
    <w:p w14:paraId="7543627B" w14:textId="05CCF089" w:rsidR="000B33FF" w:rsidRPr="002C1F3F" w:rsidRDefault="000B33FF" w:rsidP="00A5540B">
      <w:pPr>
        <w:pStyle w:val="CETReferencetext"/>
      </w:pPr>
      <w:proofErr w:type="spellStart"/>
      <w:r w:rsidRPr="002C1F3F">
        <w:t>Serpa</w:t>
      </w:r>
      <w:proofErr w:type="spellEnd"/>
      <w:r w:rsidRPr="002C1F3F">
        <w:t xml:space="preserve"> A., </w:t>
      </w:r>
      <w:proofErr w:type="spellStart"/>
      <w:r w:rsidRPr="002C1F3F">
        <w:t>Echeverri</w:t>
      </w:r>
      <w:proofErr w:type="spellEnd"/>
      <w:r w:rsidRPr="002C1F3F">
        <w:t xml:space="preserve"> A., </w:t>
      </w:r>
      <w:proofErr w:type="spellStart"/>
      <w:r w:rsidRPr="002C1F3F">
        <w:t>Lezcano</w:t>
      </w:r>
      <w:proofErr w:type="spellEnd"/>
      <w:r w:rsidRPr="002C1F3F">
        <w:t xml:space="preserve"> M., </w:t>
      </w:r>
      <w:proofErr w:type="spellStart"/>
      <w:r w:rsidRPr="002C1F3F">
        <w:t>Vélez</w:t>
      </w:r>
      <w:proofErr w:type="spellEnd"/>
      <w:r w:rsidRPr="002C1F3F">
        <w:t xml:space="preserve"> L., Ríos</w:t>
      </w:r>
      <w:r w:rsidR="002C1F3F" w:rsidRPr="002C1F3F">
        <w:t xml:space="preserve"> </w:t>
      </w:r>
      <w:r w:rsidRPr="002C1F3F">
        <w:t xml:space="preserve">A., </w:t>
      </w:r>
      <w:proofErr w:type="spellStart"/>
      <w:r w:rsidRPr="002C1F3F">
        <w:t>Hincapié</w:t>
      </w:r>
      <w:proofErr w:type="spellEnd"/>
      <w:r w:rsidRPr="002C1F3F">
        <w:t xml:space="preserve"> G.</w:t>
      </w:r>
      <w:r w:rsidR="003F099A" w:rsidRPr="002C1F3F">
        <w:t xml:space="preserve">, </w:t>
      </w:r>
      <w:r w:rsidRPr="002C1F3F">
        <w:t>2014</w:t>
      </w:r>
      <w:r w:rsidR="003F099A" w:rsidRPr="002C1F3F">
        <w:t>,</w:t>
      </w:r>
      <w:r w:rsidRPr="002C1F3F">
        <w:t xml:space="preserve"> Oil extracti</w:t>
      </w:r>
      <w:r w:rsidR="00DB4446" w:rsidRPr="002C1F3F">
        <w:t xml:space="preserve">on by cold pressing from freeze </w:t>
      </w:r>
      <w:r w:rsidRPr="002C1F3F">
        <w:t>dried avocado variety “Hass” (Persea americana Mill)</w:t>
      </w:r>
      <w:r w:rsidR="003F099A" w:rsidRPr="002C1F3F">
        <w:t>,</w:t>
      </w:r>
      <w:r w:rsidRPr="002C1F3F">
        <w:t xml:space="preserve"> </w:t>
      </w:r>
      <w:proofErr w:type="spellStart"/>
      <w:r w:rsidRPr="002C1F3F">
        <w:t>Revista</w:t>
      </w:r>
      <w:proofErr w:type="spellEnd"/>
      <w:r w:rsidRPr="002C1F3F">
        <w:t xml:space="preserve"> </w:t>
      </w:r>
      <w:proofErr w:type="spellStart"/>
      <w:r w:rsidRPr="002C1F3F">
        <w:t>Investigaciones</w:t>
      </w:r>
      <w:proofErr w:type="spellEnd"/>
      <w:r w:rsidRPr="002C1F3F">
        <w:t xml:space="preserve"> </w:t>
      </w:r>
      <w:proofErr w:type="spellStart"/>
      <w:r w:rsidRPr="002C1F3F">
        <w:t>Aplicadas</w:t>
      </w:r>
      <w:proofErr w:type="spellEnd"/>
      <w:r w:rsidRPr="002C1F3F">
        <w:t>, 8(2), 113–123.</w:t>
      </w:r>
    </w:p>
    <w:p w14:paraId="19C4FC68" w14:textId="4572680E" w:rsidR="004628D2" w:rsidRPr="002C1F3F" w:rsidRDefault="000B33FF" w:rsidP="00A5540B">
      <w:pPr>
        <w:pStyle w:val="CETReferencetext"/>
      </w:pPr>
      <w:r w:rsidRPr="002C1F3F">
        <w:t>Zuorro A., Moreno</w:t>
      </w:r>
      <w:r w:rsidR="002C1F3F" w:rsidRPr="002C1F3F">
        <w:t xml:space="preserve"> </w:t>
      </w:r>
      <w:r w:rsidRPr="002C1F3F">
        <w:t>K., Gonzále</w:t>
      </w:r>
      <w:r w:rsidR="00136A7F">
        <w:t>z</w:t>
      </w:r>
      <w:r w:rsidRPr="002C1F3F">
        <w:t xml:space="preserve"> Á</w:t>
      </w:r>
      <w:r w:rsidR="002C1F3F" w:rsidRPr="002C1F3F">
        <w:t xml:space="preserve">., </w:t>
      </w:r>
      <w:r w:rsidRPr="002C1F3F">
        <w:t>202</w:t>
      </w:r>
      <w:r w:rsidR="002C1F3F">
        <w:t xml:space="preserve">1, </w:t>
      </w:r>
      <w:r w:rsidRPr="002C1D4F">
        <w:t>Inherent Safety Analysis and Sustainability Evaluation of Chitosan Production from Shrimp Exoskeleton in Colombia</w:t>
      </w:r>
      <w:r w:rsidR="002C1F3F">
        <w:t>,</w:t>
      </w:r>
      <w:r w:rsidRPr="002C1D4F">
        <w:t xml:space="preserve"> </w:t>
      </w:r>
      <w:r w:rsidRPr="002C1F3F">
        <w:t xml:space="preserve">Water, 13(4), 553. </w:t>
      </w:r>
    </w:p>
    <w:p w14:paraId="66C10A96" w14:textId="77777777" w:rsidR="00632B42" w:rsidRPr="002C1F3F" w:rsidRDefault="00632B42" w:rsidP="00A5540B">
      <w:pPr>
        <w:pStyle w:val="CETReferencetext"/>
      </w:pPr>
    </w:p>
    <w:p w14:paraId="403EBEE3" w14:textId="270E9BEA" w:rsidR="00A80CA6" w:rsidRPr="002C1F3F" w:rsidRDefault="00A80CA6" w:rsidP="00A5540B">
      <w:pPr>
        <w:pStyle w:val="CETReferencetext"/>
      </w:pPr>
    </w:p>
    <w:sectPr w:rsidR="00A80CA6" w:rsidRPr="002C1F3F" w:rsidSect="00252BD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A84E" w14:textId="77777777" w:rsidR="000519FB" w:rsidRDefault="000519FB" w:rsidP="004F5E36">
      <w:r>
        <w:separator/>
      </w:r>
    </w:p>
  </w:endnote>
  <w:endnote w:type="continuationSeparator" w:id="0">
    <w:p w14:paraId="3137A06F" w14:textId="77777777" w:rsidR="000519FB" w:rsidRDefault="000519F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7453" w14:textId="77777777" w:rsidR="000519FB" w:rsidRDefault="000519FB" w:rsidP="004F5E36">
      <w:r>
        <w:separator/>
      </w:r>
    </w:p>
  </w:footnote>
  <w:footnote w:type="continuationSeparator" w:id="0">
    <w:p w14:paraId="7DBA1A9F" w14:textId="77777777" w:rsidR="000519FB" w:rsidRDefault="000519F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97A"/>
    <w:rsid w:val="000117CB"/>
    <w:rsid w:val="0003052D"/>
    <w:rsid w:val="0003148D"/>
    <w:rsid w:val="00031EEC"/>
    <w:rsid w:val="00051566"/>
    <w:rsid w:val="000519FB"/>
    <w:rsid w:val="00062A9A"/>
    <w:rsid w:val="00065058"/>
    <w:rsid w:val="0006709E"/>
    <w:rsid w:val="00086C39"/>
    <w:rsid w:val="000964F9"/>
    <w:rsid w:val="000A03B2"/>
    <w:rsid w:val="000A5D1B"/>
    <w:rsid w:val="000B33FF"/>
    <w:rsid w:val="000C7850"/>
    <w:rsid w:val="000D0268"/>
    <w:rsid w:val="000D34BE"/>
    <w:rsid w:val="000E102F"/>
    <w:rsid w:val="000E1747"/>
    <w:rsid w:val="000E35C2"/>
    <w:rsid w:val="000E36F1"/>
    <w:rsid w:val="000E3A73"/>
    <w:rsid w:val="000E414A"/>
    <w:rsid w:val="000F0465"/>
    <w:rsid w:val="000F093C"/>
    <w:rsid w:val="000F787B"/>
    <w:rsid w:val="0010622F"/>
    <w:rsid w:val="00111724"/>
    <w:rsid w:val="0012091F"/>
    <w:rsid w:val="00126BC2"/>
    <w:rsid w:val="001308B6"/>
    <w:rsid w:val="0013121F"/>
    <w:rsid w:val="00131FE6"/>
    <w:rsid w:val="0013263F"/>
    <w:rsid w:val="001331DF"/>
    <w:rsid w:val="00134DE4"/>
    <w:rsid w:val="00136A7F"/>
    <w:rsid w:val="0014034D"/>
    <w:rsid w:val="00144C27"/>
    <w:rsid w:val="00144D16"/>
    <w:rsid w:val="0014634E"/>
    <w:rsid w:val="00150E59"/>
    <w:rsid w:val="00152DE3"/>
    <w:rsid w:val="0015392A"/>
    <w:rsid w:val="00162D22"/>
    <w:rsid w:val="00164CF9"/>
    <w:rsid w:val="001667A6"/>
    <w:rsid w:val="00184AD6"/>
    <w:rsid w:val="0019516D"/>
    <w:rsid w:val="001A4719"/>
    <w:rsid w:val="001A4AF7"/>
    <w:rsid w:val="001A4C69"/>
    <w:rsid w:val="001B0349"/>
    <w:rsid w:val="001B1E93"/>
    <w:rsid w:val="001B65C1"/>
    <w:rsid w:val="001C1838"/>
    <w:rsid w:val="001C56B3"/>
    <w:rsid w:val="001C684B"/>
    <w:rsid w:val="001D0CFB"/>
    <w:rsid w:val="001D53FC"/>
    <w:rsid w:val="001E2794"/>
    <w:rsid w:val="001F2577"/>
    <w:rsid w:val="001F42A5"/>
    <w:rsid w:val="001F754E"/>
    <w:rsid w:val="001F7B9D"/>
    <w:rsid w:val="00201C93"/>
    <w:rsid w:val="00207288"/>
    <w:rsid w:val="002072AB"/>
    <w:rsid w:val="0021522C"/>
    <w:rsid w:val="00215E76"/>
    <w:rsid w:val="002224B4"/>
    <w:rsid w:val="002447EF"/>
    <w:rsid w:val="00251550"/>
    <w:rsid w:val="00252BD1"/>
    <w:rsid w:val="0026236C"/>
    <w:rsid w:val="00263B05"/>
    <w:rsid w:val="0027221A"/>
    <w:rsid w:val="00275B61"/>
    <w:rsid w:val="00280FAF"/>
    <w:rsid w:val="00282656"/>
    <w:rsid w:val="0028634F"/>
    <w:rsid w:val="00296B83"/>
    <w:rsid w:val="002A5392"/>
    <w:rsid w:val="002B4015"/>
    <w:rsid w:val="002B78CE"/>
    <w:rsid w:val="002C1D4F"/>
    <w:rsid w:val="002C1F3F"/>
    <w:rsid w:val="002C2FB6"/>
    <w:rsid w:val="002E5F5C"/>
    <w:rsid w:val="002E5FA7"/>
    <w:rsid w:val="002F3309"/>
    <w:rsid w:val="003008CE"/>
    <w:rsid w:val="003009B7"/>
    <w:rsid w:val="00300E56"/>
    <w:rsid w:val="0030469C"/>
    <w:rsid w:val="00321CA6"/>
    <w:rsid w:val="00323763"/>
    <w:rsid w:val="00334C09"/>
    <w:rsid w:val="00345CB3"/>
    <w:rsid w:val="00346512"/>
    <w:rsid w:val="003723D4"/>
    <w:rsid w:val="00381905"/>
    <w:rsid w:val="00384CC8"/>
    <w:rsid w:val="003871FD"/>
    <w:rsid w:val="00391D74"/>
    <w:rsid w:val="003A1E30"/>
    <w:rsid w:val="003A2829"/>
    <w:rsid w:val="003A7D1C"/>
    <w:rsid w:val="003B304B"/>
    <w:rsid w:val="003B3146"/>
    <w:rsid w:val="003B3C2C"/>
    <w:rsid w:val="003B4E3F"/>
    <w:rsid w:val="003C041D"/>
    <w:rsid w:val="003F015E"/>
    <w:rsid w:val="003F099A"/>
    <w:rsid w:val="003F252E"/>
    <w:rsid w:val="003F7491"/>
    <w:rsid w:val="00400414"/>
    <w:rsid w:val="00404ACD"/>
    <w:rsid w:val="0041446B"/>
    <w:rsid w:val="0043650F"/>
    <w:rsid w:val="0044329C"/>
    <w:rsid w:val="00451971"/>
    <w:rsid w:val="00453E24"/>
    <w:rsid w:val="00457456"/>
    <w:rsid w:val="0045754E"/>
    <w:rsid w:val="004577FE"/>
    <w:rsid w:val="00457B9C"/>
    <w:rsid w:val="0046164A"/>
    <w:rsid w:val="004628D2"/>
    <w:rsid w:val="00462DCD"/>
    <w:rsid w:val="004648AD"/>
    <w:rsid w:val="00464C69"/>
    <w:rsid w:val="004703A9"/>
    <w:rsid w:val="004760DE"/>
    <w:rsid w:val="004763D7"/>
    <w:rsid w:val="004A004E"/>
    <w:rsid w:val="004A24CF"/>
    <w:rsid w:val="004A641F"/>
    <w:rsid w:val="004B1DDC"/>
    <w:rsid w:val="004B5776"/>
    <w:rsid w:val="004C3B4C"/>
    <w:rsid w:val="004C3D1D"/>
    <w:rsid w:val="004C60F4"/>
    <w:rsid w:val="004C7913"/>
    <w:rsid w:val="004D496A"/>
    <w:rsid w:val="004E4DD6"/>
    <w:rsid w:val="004F5E36"/>
    <w:rsid w:val="0050469B"/>
    <w:rsid w:val="00507B47"/>
    <w:rsid w:val="00507BEF"/>
    <w:rsid w:val="00507CC9"/>
    <w:rsid w:val="00510F72"/>
    <w:rsid w:val="005119A5"/>
    <w:rsid w:val="00511B47"/>
    <w:rsid w:val="00516298"/>
    <w:rsid w:val="00521A31"/>
    <w:rsid w:val="005278B7"/>
    <w:rsid w:val="00532016"/>
    <w:rsid w:val="005346C8"/>
    <w:rsid w:val="00543E7D"/>
    <w:rsid w:val="00547A68"/>
    <w:rsid w:val="00552075"/>
    <w:rsid w:val="005531C9"/>
    <w:rsid w:val="00563D62"/>
    <w:rsid w:val="00570C43"/>
    <w:rsid w:val="0057371A"/>
    <w:rsid w:val="00595245"/>
    <w:rsid w:val="00596504"/>
    <w:rsid w:val="005A0374"/>
    <w:rsid w:val="005A6029"/>
    <w:rsid w:val="005B2110"/>
    <w:rsid w:val="005B3FC9"/>
    <w:rsid w:val="005B61E6"/>
    <w:rsid w:val="005C716E"/>
    <w:rsid w:val="005C77E1"/>
    <w:rsid w:val="005D668A"/>
    <w:rsid w:val="005D6A2F"/>
    <w:rsid w:val="005E1A82"/>
    <w:rsid w:val="005E794C"/>
    <w:rsid w:val="005F0A28"/>
    <w:rsid w:val="005F0E5E"/>
    <w:rsid w:val="00600535"/>
    <w:rsid w:val="00610CD6"/>
    <w:rsid w:val="006149D0"/>
    <w:rsid w:val="00620DEE"/>
    <w:rsid w:val="00621F92"/>
    <w:rsid w:val="00622525"/>
    <w:rsid w:val="0062280A"/>
    <w:rsid w:val="00625639"/>
    <w:rsid w:val="00627053"/>
    <w:rsid w:val="00631B33"/>
    <w:rsid w:val="00632B42"/>
    <w:rsid w:val="0064184D"/>
    <w:rsid w:val="006422CC"/>
    <w:rsid w:val="00642ABB"/>
    <w:rsid w:val="006601DF"/>
    <w:rsid w:val="00660E3E"/>
    <w:rsid w:val="00662E74"/>
    <w:rsid w:val="00670CF5"/>
    <w:rsid w:val="00680C23"/>
    <w:rsid w:val="00692F2F"/>
    <w:rsid w:val="00693766"/>
    <w:rsid w:val="006A3281"/>
    <w:rsid w:val="006A7349"/>
    <w:rsid w:val="006B09DA"/>
    <w:rsid w:val="006B4888"/>
    <w:rsid w:val="006B53F5"/>
    <w:rsid w:val="006B7EAF"/>
    <w:rsid w:val="006C0B25"/>
    <w:rsid w:val="006C2E45"/>
    <w:rsid w:val="006C3551"/>
    <w:rsid w:val="006C359C"/>
    <w:rsid w:val="006C5579"/>
    <w:rsid w:val="006C7267"/>
    <w:rsid w:val="006C7D33"/>
    <w:rsid w:val="006D0F7A"/>
    <w:rsid w:val="006D6E8B"/>
    <w:rsid w:val="006E3F09"/>
    <w:rsid w:val="006E737D"/>
    <w:rsid w:val="006F57A8"/>
    <w:rsid w:val="0070004D"/>
    <w:rsid w:val="00706825"/>
    <w:rsid w:val="00713973"/>
    <w:rsid w:val="00720A24"/>
    <w:rsid w:val="00732386"/>
    <w:rsid w:val="0073514D"/>
    <w:rsid w:val="0074257E"/>
    <w:rsid w:val="007447F3"/>
    <w:rsid w:val="00752982"/>
    <w:rsid w:val="0075499F"/>
    <w:rsid w:val="007614EB"/>
    <w:rsid w:val="007661C8"/>
    <w:rsid w:val="0077098D"/>
    <w:rsid w:val="00777898"/>
    <w:rsid w:val="00782DC1"/>
    <w:rsid w:val="007931FA"/>
    <w:rsid w:val="007A4861"/>
    <w:rsid w:val="007A7BBA"/>
    <w:rsid w:val="007B0C50"/>
    <w:rsid w:val="007B48F9"/>
    <w:rsid w:val="007C1A43"/>
    <w:rsid w:val="007D5082"/>
    <w:rsid w:val="007D7DE6"/>
    <w:rsid w:val="007E633F"/>
    <w:rsid w:val="0080013E"/>
    <w:rsid w:val="00804B07"/>
    <w:rsid w:val="00810B22"/>
    <w:rsid w:val="00813288"/>
    <w:rsid w:val="008168FC"/>
    <w:rsid w:val="00827934"/>
    <w:rsid w:val="00830996"/>
    <w:rsid w:val="008334AE"/>
    <w:rsid w:val="008345F1"/>
    <w:rsid w:val="008476E7"/>
    <w:rsid w:val="00850B98"/>
    <w:rsid w:val="00861643"/>
    <w:rsid w:val="00865B07"/>
    <w:rsid w:val="008667EA"/>
    <w:rsid w:val="00873101"/>
    <w:rsid w:val="0087637F"/>
    <w:rsid w:val="00892AD5"/>
    <w:rsid w:val="00893462"/>
    <w:rsid w:val="008A1512"/>
    <w:rsid w:val="008A7CF9"/>
    <w:rsid w:val="008B2153"/>
    <w:rsid w:val="008C37AC"/>
    <w:rsid w:val="008D32B9"/>
    <w:rsid w:val="008D433B"/>
    <w:rsid w:val="008E0671"/>
    <w:rsid w:val="008E0EAF"/>
    <w:rsid w:val="008E42E8"/>
    <w:rsid w:val="008E566E"/>
    <w:rsid w:val="0090161A"/>
    <w:rsid w:val="00901EB6"/>
    <w:rsid w:val="00904C62"/>
    <w:rsid w:val="00920D94"/>
    <w:rsid w:val="009211BD"/>
    <w:rsid w:val="00922BA8"/>
    <w:rsid w:val="00924DAC"/>
    <w:rsid w:val="00927058"/>
    <w:rsid w:val="009321FA"/>
    <w:rsid w:val="009353B6"/>
    <w:rsid w:val="00942750"/>
    <w:rsid w:val="009450CE"/>
    <w:rsid w:val="00946405"/>
    <w:rsid w:val="00947179"/>
    <w:rsid w:val="0095164B"/>
    <w:rsid w:val="00954090"/>
    <w:rsid w:val="009573E7"/>
    <w:rsid w:val="00963E05"/>
    <w:rsid w:val="00967843"/>
    <w:rsid w:val="00967D54"/>
    <w:rsid w:val="00971028"/>
    <w:rsid w:val="00974970"/>
    <w:rsid w:val="00993B84"/>
    <w:rsid w:val="00996483"/>
    <w:rsid w:val="00996F5A"/>
    <w:rsid w:val="009B041A"/>
    <w:rsid w:val="009B44B2"/>
    <w:rsid w:val="009C0C93"/>
    <w:rsid w:val="009C37C3"/>
    <w:rsid w:val="009C7C86"/>
    <w:rsid w:val="009D2FF7"/>
    <w:rsid w:val="009D6424"/>
    <w:rsid w:val="009E61E1"/>
    <w:rsid w:val="009E7884"/>
    <w:rsid w:val="009E788A"/>
    <w:rsid w:val="009F0E08"/>
    <w:rsid w:val="00A1763D"/>
    <w:rsid w:val="00A17CEC"/>
    <w:rsid w:val="00A27EF0"/>
    <w:rsid w:val="00A42361"/>
    <w:rsid w:val="00A50B20"/>
    <w:rsid w:val="00A51390"/>
    <w:rsid w:val="00A5540B"/>
    <w:rsid w:val="00A604CC"/>
    <w:rsid w:val="00A60D13"/>
    <w:rsid w:val="00A72745"/>
    <w:rsid w:val="00A76EFC"/>
    <w:rsid w:val="00A80CA6"/>
    <w:rsid w:val="00A91010"/>
    <w:rsid w:val="00A97F29"/>
    <w:rsid w:val="00AA702E"/>
    <w:rsid w:val="00AB0964"/>
    <w:rsid w:val="00AB16D1"/>
    <w:rsid w:val="00AB5011"/>
    <w:rsid w:val="00AC7368"/>
    <w:rsid w:val="00AC7FA1"/>
    <w:rsid w:val="00AD0DBA"/>
    <w:rsid w:val="00AD161D"/>
    <w:rsid w:val="00AD16B9"/>
    <w:rsid w:val="00AE2667"/>
    <w:rsid w:val="00AE377D"/>
    <w:rsid w:val="00AF0EBA"/>
    <w:rsid w:val="00AF3225"/>
    <w:rsid w:val="00B02C8A"/>
    <w:rsid w:val="00B0795D"/>
    <w:rsid w:val="00B17FBD"/>
    <w:rsid w:val="00B315A6"/>
    <w:rsid w:val="00B31813"/>
    <w:rsid w:val="00B33365"/>
    <w:rsid w:val="00B35BDD"/>
    <w:rsid w:val="00B41537"/>
    <w:rsid w:val="00B46939"/>
    <w:rsid w:val="00B57B36"/>
    <w:rsid w:val="00B57E6F"/>
    <w:rsid w:val="00B66A11"/>
    <w:rsid w:val="00B67C76"/>
    <w:rsid w:val="00B73900"/>
    <w:rsid w:val="00B753CC"/>
    <w:rsid w:val="00B77C73"/>
    <w:rsid w:val="00B8686D"/>
    <w:rsid w:val="00B92348"/>
    <w:rsid w:val="00B93AA4"/>
    <w:rsid w:val="00B93F69"/>
    <w:rsid w:val="00BA7772"/>
    <w:rsid w:val="00BB12AB"/>
    <w:rsid w:val="00BB1DDC"/>
    <w:rsid w:val="00BB25A1"/>
    <w:rsid w:val="00BB367E"/>
    <w:rsid w:val="00BC0C9F"/>
    <w:rsid w:val="00BC30C9"/>
    <w:rsid w:val="00BD077D"/>
    <w:rsid w:val="00BE3E58"/>
    <w:rsid w:val="00BE4443"/>
    <w:rsid w:val="00C01616"/>
    <w:rsid w:val="00C0162B"/>
    <w:rsid w:val="00C0664B"/>
    <w:rsid w:val="00C068ED"/>
    <w:rsid w:val="00C22E0C"/>
    <w:rsid w:val="00C344FE"/>
    <w:rsid w:val="00C345B1"/>
    <w:rsid w:val="00C40142"/>
    <w:rsid w:val="00C52C3C"/>
    <w:rsid w:val="00C57182"/>
    <w:rsid w:val="00C57863"/>
    <w:rsid w:val="00C64D3E"/>
    <w:rsid w:val="00C655FD"/>
    <w:rsid w:val="00C70882"/>
    <w:rsid w:val="00C75407"/>
    <w:rsid w:val="00C81EB8"/>
    <w:rsid w:val="00C85A4D"/>
    <w:rsid w:val="00C870A8"/>
    <w:rsid w:val="00C94434"/>
    <w:rsid w:val="00CA0D75"/>
    <w:rsid w:val="00CA1C95"/>
    <w:rsid w:val="00CA5A9C"/>
    <w:rsid w:val="00CC2125"/>
    <w:rsid w:val="00CC4C20"/>
    <w:rsid w:val="00CD3517"/>
    <w:rsid w:val="00CD5FE2"/>
    <w:rsid w:val="00CE654D"/>
    <w:rsid w:val="00CE7C68"/>
    <w:rsid w:val="00CF36F6"/>
    <w:rsid w:val="00D02B4C"/>
    <w:rsid w:val="00D040C4"/>
    <w:rsid w:val="00D10EAB"/>
    <w:rsid w:val="00D1362A"/>
    <w:rsid w:val="00D258C3"/>
    <w:rsid w:val="00D3451A"/>
    <w:rsid w:val="00D46B7E"/>
    <w:rsid w:val="00D52919"/>
    <w:rsid w:val="00D57C84"/>
    <w:rsid w:val="00D6057D"/>
    <w:rsid w:val="00D612B4"/>
    <w:rsid w:val="00D81EC8"/>
    <w:rsid w:val="00D836C5"/>
    <w:rsid w:val="00D844A0"/>
    <w:rsid w:val="00D84576"/>
    <w:rsid w:val="00D85202"/>
    <w:rsid w:val="00D8786D"/>
    <w:rsid w:val="00D962AD"/>
    <w:rsid w:val="00DA1399"/>
    <w:rsid w:val="00DA24C6"/>
    <w:rsid w:val="00DA4D7B"/>
    <w:rsid w:val="00DB4446"/>
    <w:rsid w:val="00DE264A"/>
    <w:rsid w:val="00DF5072"/>
    <w:rsid w:val="00E02D18"/>
    <w:rsid w:val="00E041E7"/>
    <w:rsid w:val="00E16942"/>
    <w:rsid w:val="00E23CA1"/>
    <w:rsid w:val="00E258C6"/>
    <w:rsid w:val="00E409A8"/>
    <w:rsid w:val="00E50C12"/>
    <w:rsid w:val="00E65B91"/>
    <w:rsid w:val="00E7209D"/>
    <w:rsid w:val="00E72EAD"/>
    <w:rsid w:val="00E75170"/>
    <w:rsid w:val="00E77223"/>
    <w:rsid w:val="00E8528B"/>
    <w:rsid w:val="00E85B94"/>
    <w:rsid w:val="00E934F3"/>
    <w:rsid w:val="00E978D0"/>
    <w:rsid w:val="00EA4613"/>
    <w:rsid w:val="00EA7F91"/>
    <w:rsid w:val="00EB1523"/>
    <w:rsid w:val="00EB75C3"/>
    <w:rsid w:val="00EC0E49"/>
    <w:rsid w:val="00EC101F"/>
    <w:rsid w:val="00EC1D9F"/>
    <w:rsid w:val="00EE0131"/>
    <w:rsid w:val="00EE17B0"/>
    <w:rsid w:val="00EE33EC"/>
    <w:rsid w:val="00EE56DB"/>
    <w:rsid w:val="00EE623A"/>
    <w:rsid w:val="00EF06D9"/>
    <w:rsid w:val="00F22AF1"/>
    <w:rsid w:val="00F30C64"/>
    <w:rsid w:val="00F319D1"/>
    <w:rsid w:val="00F32BA2"/>
    <w:rsid w:val="00F32CDB"/>
    <w:rsid w:val="00F458DC"/>
    <w:rsid w:val="00F52EFF"/>
    <w:rsid w:val="00F54107"/>
    <w:rsid w:val="00F565FE"/>
    <w:rsid w:val="00F62DA5"/>
    <w:rsid w:val="00F634CD"/>
    <w:rsid w:val="00F63A70"/>
    <w:rsid w:val="00F733DA"/>
    <w:rsid w:val="00F7534E"/>
    <w:rsid w:val="00FA21D0"/>
    <w:rsid w:val="00FA5F5F"/>
    <w:rsid w:val="00FB1F74"/>
    <w:rsid w:val="00FB2415"/>
    <w:rsid w:val="00FB32EA"/>
    <w:rsid w:val="00FB730C"/>
    <w:rsid w:val="00FC2695"/>
    <w:rsid w:val="00FC3E03"/>
    <w:rsid w:val="00FC3FC1"/>
    <w:rsid w:val="00FD5713"/>
    <w:rsid w:val="00FF4AF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A581A9A1-82C6-4649-81D1-CEE41350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styleId="Textodelmarcadordeposicin">
    <w:name w:val="Placeholder Text"/>
    <w:basedOn w:val="Fuentedeprrafopredeter"/>
    <w:uiPriority w:val="99"/>
    <w:semiHidden/>
    <w:rsid w:val="001F2577"/>
    <w:rPr>
      <w:color w:val="808080"/>
    </w:rPr>
  </w:style>
  <w:style w:type="table" w:styleId="Tabladecuadrcula2">
    <w:name w:val="Grid Table 2"/>
    <w:basedOn w:val="Tablanormal"/>
    <w:uiPriority w:val="47"/>
    <w:rsid w:val="008C37AC"/>
    <w:pPr>
      <w:spacing w:after="0" w:line="240" w:lineRule="auto"/>
    </w:pPr>
    <w:rPr>
      <w:lang w:val="es-ES_trad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A80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F973B-785C-42F3-8014-0211B155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3885</Words>
  <Characters>21369</Characters>
  <Application>Microsoft Office Word</Application>
  <DocSecurity>0</DocSecurity>
  <Lines>178</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Tamy Carolina Herrera Rodriguez</cp:lastModifiedBy>
  <cp:revision>5</cp:revision>
  <cp:lastPrinted>2015-05-12T18:31:00Z</cp:lastPrinted>
  <dcterms:created xsi:type="dcterms:W3CDTF">2022-02-20T17:27:00Z</dcterms:created>
  <dcterms:modified xsi:type="dcterms:W3CDTF">2022-02-22T19:11:00Z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7a84b15f-83ac-3ce0-b509-370918df3003</vt:lpwstr>
  </property>
  <property fmtid="{D5CDD505-2E9C-101B-9397-08002B2CF9AE}" pid="26" name="Mendeley Citation Style_1">
    <vt:lpwstr>http://www.zotero.org/styles/apa</vt:lpwstr>
  </property>
</Properties>
</file>