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60FD3A" w14:textId="77777777" w:rsidR="00661A27" w:rsidRDefault="00661A27"/>
    <w:tbl>
      <w:tblPr>
        <w:tblW w:w="0" w:type="auto"/>
        <w:jc w:val="center"/>
        <w:tblBorders>
          <w:bottom w:val="single" w:sz="4" w:space="0" w:color="auto"/>
        </w:tblBorders>
        <w:tblLook w:val="01E0" w:firstRow="1" w:lastRow="1" w:firstColumn="1" w:lastColumn="1" w:noHBand="0" w:noVBand="0"/>
      </w:tblPr>
      <w:tblGrid>
        <w:gridCol w:w="6940"/>
        <w:gridCol w:w="1842"/>
      </w:tblGrid>
      <w:tr w:rsidR="00D139D0" w14:paraId="0735BB44" w14:textId="77777777" w:rsidTr="00661A27">
        <w:trPr>
          <w:trHeight w:val="852"/>
          <w:jc w:val="center"/>
        </w:trPr>
        <w:tc>
          <w:tcPr>
            <w:tcW w:w="6940" w:type="dxa"/>
            <w:vMerge w:val="restart"/>
            <w:tcBorders>
              <w:right w:val="single" w:sz="4" w:space="0" w:color="auto"/>
            </w:tcBorders>
          </w:tcPr>
          <w:p w14:paraId="2FDFA237" w14:textId="77777777" w:rsidR="000A03B2" w:rsidRPr="00B57B36" w:rsidRDefault="00D50D0B"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53415C7C" wp14:editId="0D85D24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p>
          <w:p w14:paraId="315EF378" w14:textId="77777777" w:rsidR="000A03B2" w:rsidRPr="00B57B36" w:rsidRDefault="000A03B2" w:rsidP="00DE264A">
            <w:pPr>
              <w:tabs>
                <w:tab w:val="left" w:pos="-108"/>
              </w:tabs>
              <w:ind w:left="-108"/>
              <w:jc w:val="left"/>
              <w:rPr>
                <w:rFonts w:cs="Arial"/>
                <w:b/>
                <w:bCs/>
                <w:i/>
                <w:iCs/>
                <w:color w:val="000066"/>
                <w:sz w:val="12"/>
                <w:szCs w:val="12"/>
                <w:lang w:eastAsia="it-IT"/>
              </w:rPr>
            </w:pPr>
          </w:p>
          <w:p w14:paraId="22AF141E" w14:textId="77777777" w:rsidR="000A03B2" w:rsidRPr="00B57B36" w:rsidRDefault="00D50D0B"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31A38E5A" w14:textId="77777777" w:rsidR="000A03B2" w:rsidRPr="00B57B36" w:rsidRDefault="00D50D0B" w:rsidP="00CD5FE2">
            <w:pPr>
              <w:spacing w:line="140" w:lineRule="atLeast"/>
              <w:jc w:val="right"/>
              <w:rPr>
                <w:rFonts w:cs="Arial"/>
                <w:sz w:val="14"/>
                <w:szCs w:val="14"/>
              </w:rPr>
            </w:pPr>
            <w:r w:rsidRPr="00B57B36">
              <w:rPr>
                <w:rFonts w:cs="Arial"/>
                <w:sz w:val="14"/>
                <w:szCs w:val="14"/>
              </w:rPr>
              <w:t>A publication of</w:t>
            </w:r>
          </w:p>
          <w:p w14:paraId="6A98E929" w14:textId="77777777" w:rsidR="000A03B2" w:rsidRPr="00B57B36" w:rsidRDefault="00D50D0B" w:rsidP="00CD5FE2">
            <w:pPr>
              <w:jc w:val="right"/>
            </w:pPr>
            <w:r w:rsidRPr="00B57B36">
              <w:rPr>
                <w:noProof/>
                <w:lang w:val="it-IT" w:eastAsia="it-IT"/>
              </w:rPr>
              <w:drawing>
                <wp:inline distT="0" distB="0" distL="0" distR="0" wp14:anchorId="61E07702" wp14:editId="7B426EA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D139D0" w14:paraId="4178AAAD" w14:textId="77777777" w:rsidTr="00661A27">
        <w:trPr>
          <w:trHeight w:val="567"/>
          <w:jc w:val="center"/>
        </w:trPr>
        <w:tc>
          <w:tcPr>
            <w:tcW w:w="6940" w:type="dxa"/>
            <w:vMerge/>
            <w:tcBorders>
              <w:right w:val="single" w:sz="4" w:space="0" w:color="auto"/>
            </w:tcBorders>
          </w:tcPr>
          <w:p w14:paraId="335DCC5D"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3075C927" w14:textId="77777777" w:rsidR="000A03B2" w:rsidRPr="00B57B36" w:rsidRDefault="00D50D0B" w:rsidP="00CD5FE2">
            <w:pPr>
              <w:spacing w:line="140" w:lineRule="atLeast"/>
              <w:jc w:val="right"/>
              <w:rPr>
                <w:rFonts w:cs="Arial"/>
                <w:sz w:val="14"/>
                <w:szCs w:val="14"/>
              </w:rPr>
            </w:pPr>
            <w:r w:rsidRPr="00B57B36">
              <w:rPr>
                <w:rFonts w:cs="Arial"/>
                <w:sz w:val="14"/>
                <w:szCs w:val="14"/>
              </w:rPr>
              <w:t>The Italian Association</w:t>
            </w:r>
          </w:p>
          <w:p w14:paraId="31B2ADF1" w14:textId="77777777" w:rsidR="000A03B2" w:rsidRPr="00B57B36" w:rsidRDefault="00D50D0B" w:rsidP="00CD5FE2">
            <w:pPr>
              <w:spacing w:line="140" w:lineRule="atLeast"/>
              <w:jc w:val="right"/>
              <w:rPr>
                <w:rFonts w:cs="Arial"/>
                <w:sz w:val="14"/>
                <w:szCs w:val="14"/>
              </w:rPr>
            </w:pPr>
            <w:r w:rsidRPr="00B57B36">
              <w:rPr>
                <w:rFonts w:cs="Arial"/>
                <w:sz w:val="14"/>
                <w:szCs w:val="14"/>
              </w:rPr>
              <w:t>of Chemical Engineering</w:t>
            </w:r>
          </w:p>
          <w:p w14:paraId="2EC7C90C" w14:textId="77777777" w:rsidR="000A03B2" w:rsidRPr="000D0268" w:rsidRDefault="00D50D0B" w:rsidP="00CD5FE2">
            <w:pPr>
              <w:spacing w:line="140" w:lineRule="atLeast"/>
              <w:jc w:val="right"/>
              <w:rPr>
                <w:rFonts w:cs="Arial"/>
                <w:sz w:val="13"/>
                <w:szCs w:val="13"/>
              </w:rPr>
            </w:pPr>
            <w:r w:rsidRPr="000D0268">
              <w:rPr>
                <w:rFonts w:cs="Arial"/>
                <w:sz w:val="13"/>
                <w:szCs w:val="13"/>
              </w:rPr>
              <w:t>Online at www.cetjournal.it</w:t>
            </w:r>
          </w:p>
        </w:tc>
      </w:tr>
      <w:tr w:rsidR="00D139D0" w14:paraId="3A33B4C1" w14:textId="77777777" w:rsidTr="00661A27">
        <w:trPr>
          <w:trHeight w:val="68"/>
          <w:jc w:val="center"/>
        </w:trPr>
        <w:tc>
          <w:tcPr>
            <w:tcW w:w="8782" w:type="dxa"/>
            <w:gridSpan w:val="2"/>
          </w:tcPr>
          <w:p w14:paraId="4D38761B" w14:textId="77777777" w:rsidR="00300E56" w:rsidRPr="00B57E6F" w:rsidRDefault="00D50D0B"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Cozzani,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r w:rsidR="00B57E6F" w:rsidRPr="00675866">
              <w:rPr>
                <w:rFonts w:ascii="Tahoma" w:hAnsi="Tahoma" w:cs="Tahoma"/>
                <w:bCs/>
                <w:color w:val="000000"/>
                <w:sz w:val="14"/>
                <w:szCs w:val="14"/>
                <w:lang w:eastAsia="it-IT"/>
              </w:rPr>
              <w:t>Genserik Reniers</w:t>
            </w:r>
          </w:p>
          <w:p w14:paraId="0A17B9B0" w14:textId="77777777" w:rsidR="000A03B2" w:rsidRPr="00B57B36" w:rsidRDefault="00D50D0B"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p>
          <w:p w14:paraId="4B3B3A2D" w14:textId="77777777" w:rsidR="000A03B2" w:rsidRPr="00B57B36" w:rsidRDefault="00D50D0B" w:rsidP="00B57E6F">
            <w:pPr>
              <w:tabs>
                <w:tab w:val="left" w:pos="-108"/>
              </w:tabs>
              <w:spacing w:line="140" w:lineRule="atLeast"/>
              <w:ind w:left="-107"/>
              <w:jc w:val="left"/>
            </w:pP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CAA12DF"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53A2EF25" w14:textId="557DBC4F" w:rsidR="00E978D0" w:rsidRPr="00C4066B" w:rsidRDefault="00F51162" w:rsidP="00E978D0">
      <w:pPr>
        <w:pStyle w:val="CETTitle"/>
      </w:pPr>
      <w:r>
        <w:t>Environmental Analysis of Avocado (</w:t>
      </w:r>
      <w:r>
        <w:rPr>
          <w:i/>
          <w:iCs/>
        </w:rPr>
        <w:t>Laurus Persea L.</w:t>
      </w:r>
      <w:r>
        <w:t xml:space="preserve">) </w:t>
      </w:r>
      <w:r w:rsidRPr="00C4066B">
        <w:t>Oil Production in North Colombia</w:t>
      </w:r>
      <w:r w:rsidR="00C4066B" w:rsidRPr="00C4066B">
        <w:t xml:space="preserve"> </w:t>
      </w:r>
      <w:r w:rsidR="00C4066B">
        <w:t>using the Waste Reduction Algorithm</w:t>
      </w:r>
    </w:p>
    <w:p w14:paraId="2CBD3B47" w14:textId="77777777" w:rsidR="00B57E6F" w:rsidRPr="00CF3097" w:rsidRDefault="00D50D0B" w:rsidP="00B57E6F">
      <w:pPr>
        <w:pStyle w:val="CETAuthors"/>
        <w:rPr>
          <w:lang w:val="es-CO"/>
        </w:rPr>
      </w:pPr>
      <w:r w:rsidRPr="001A25E3">
        <w:rPr>
          <w:lang w:val="es-CO"/>
        </w:rPr>
        <w:t>Tamy Herrera</w:t>
      </w:r>
      <w:r w:rsidR="001A25E3" w:rsidRPr="001A25E3">
        <w:rPr>
          <w:lang w:val="es-CO"/>
        </w:rPr>
        <w:t>-Rodríguez</w:t>
      </w:r>
      <w:r w:rsidRPr="001A25E3">
        <w:rPr>
          <w:lang w:val="es-CO"/>
        </w:rPr>
        <w:t>*, Vianny Parejo</w:t>
      </w:r>
      <w:r w:rsidR="001A25E3" w:rsidRPr="001A25E3">
        <w:rPr>
          <w:lang w:val="es-CO"/>
        </w:rPr>
        <w:t>-Pa</w:t>
      </w:r>
      <w:r w:rsidR="001A25E3">
        <w:rPr>
          <w:lang w:val="es-CO"/>
        </w:rPr>
        <w:t>lacio</w:t>
      </w:r>
      <w:r w:rsidRPr="001A25E3">
        <w:rPr>
          <w:lang w:val="es-CO"/>
        </w:rPr>
        <w:t xml:space="preserve">, </w:t>
      </w:r>
      <w:r w:rsidR="00D36E16">
        <w:rPr>
          <w:lang w:val="es-CO"/>
        </w:rPr>
        <w:t>Á</w:t>
      </w:r>
      <w:r w:rsidRPr="001A25E3">
        <w:rPr>
          <w:lang w:val="es-CO"/>
        </w:rPr>
        <w:t>ngel Gonz</w:t>
      </w:r>
      <w:r w:rsidR="00D36E16">
        <w:rPr>
          <w:lang w:val="es-CO"/>
        </w:rPr>
        <w:t>á</w:t>
      </w:r>
      <w:r w:rsidRPr="001A25E3">
        <w:rPr>
          <w:lang w:val="es-CO"/>
        </w:rPr>
        <w:t>lez-Delgado</w:t>
      </w:r>
    </w:p>
    <w:p w14:paraId="7297EEA7" w14:textId="77777777" w:rsidR="00233024" w:rsidRPr="00233024" w:rsidRDefault="00D50D0B" w:rsidP="00B515C8">
      <w:pPr>
        <w:pStyle w:val="CETAddress"/>
        <w:rPr>
          <w:rFonts w:eastAsiaTheme="minorHAnsi"/>
          <w:lang w:val="en-US"/>
        </w:rPr>
      </w:pPr>
      <w:r w:rsidRPr="00233024">
        <w:rPr>
          <w:rFonts w:eastAsiaTheme="minorHAnsi"/>
          <w:lang w:val="en-US"/>
        </w:rPr>
        <w:t>Nanomaterials and Computer Aided Process Engineering Research Group (NIPAC), Chemical Engineering Department,</w:t>
      </w:r>
    </w:p>
    <w:p w14:paraId="49AB7108" w14:textId="77777777" w:rsidR="00B57E6F" w:rsidRPr="00B57B36" w:rsidRDefault="00D50D0B" w:rsidP="00B515C8">
      <w:pPr>
        <w:pStyle w:val="CETAddress"/>
      </w:pPr>
      <w:r w:rsidRPr="00233024">
        <w:rPr>
          <w:rFonts w:eastAsiaTheme="minorHAnsi"/>
          <w:lang w:val="en-US"/>
        </w:rPr>
        <w:t>Faculty of Engineering, University of Cartagena, Av. del Consulado Calle 30 No. 48-152, Cartagena, Colombia.</w:t>
      </w:r>
      <w:r w:rsidRPr="00B57B36">
        <w:t xml:space="preserve"> </w:t>
      </w:r>
    </w:p>
    <w:p w14:paraId="511C1D31" w14:textId="77777777" w:rsidR="00233024" w:rsidRDefault="00D50D0B" w:rsidP="00B515C8">
      <w:pPr>
        <w:pStyle w:val="CETemail"/>
        <w:rPr>
          <w:rFonts w:eastAsiaTheme="minorHAnsi"/>
        </w:rPr>
      </w:pPr>
      <w:r>
        <w:rPr>
          <w:rFonts w:eastAsiaTheme="minorHAnsi"/>
        </w:rPr>
        <w:t>therrerar</w:t>
      </w:r>
      <w:r w:rsidRPr="00233024">
        <w:rPr>
          <w:rFonts w:eastAsiaTheme="minorHAnsi"/>
        </w:rPr>
        <w:t>@unicartagena.edu.co</w:t>
      </w:r>
    </w:p>
    <w:p w14:paraId="3E98C01C" w14:textId="0452B99C" w:rsidR="00CF3097" w:rsidRDefault="00D50D0B" w:rsidP="00B04557">
      <w:pPr>
        <w:pStyle w:val="CETBodytext"/>
      </w:pPr>
      <w:r w:rsidRPr="004C7BA8">
        <w:t xml:space="preserve">In North Colombia, avocado production corresponds to approximately 35,000 t/y, and a significant part of such production is waste because of the species vulnerability to climate changes, and the lack of processing infrastructure causes delays and fruit degradation. The content of oil in avocado (21-30 %) has motivated the search for alternatives of waste valorization that may improve the sustainability of the processing chain. In this sense, it is necessary to </w:t>
      </w:r>
      <w:r w:rsidRPr="002A401F">
        <w:t xml:space="preserve">evaluate the feasibility of large-scale production of avocado oil under North-Colombian conditions under sustainability criteria. In this work, simulation of the avocado-to-oil linear production chain was performed by the Aspen Plus software, to predict the performance of the avocado pulp harvesting route on an industrial scale. Afterward, the computer-aided environmental evaluation of the process attended to using the waste reduction algorithm (WAR) </w:t>
      </w:r>
      <w:r w:rsidR="00C4066B">
        <w:t>via</w:t>
      </w:r>
      <w:r w:rsidRPr="002A401F">
        <w:t xml:space="preserve"> WARGUI software. The potential Environmental impacts generated and output from each process was quantified under the atmospheric and toxicological categories. Results </w:t>
      </w:r>
      <w:r w:rsidR="00B515C8" w:rsidRPr="002A401F">
        <w:t>showed</w:t>
      </w:r>
      <w:r w:rsidRPr="002A401F">
        <w:t xml:space="preserve"> low values for output of PEI </w:t>
      </w:r>
      <w:r w:rsidR="004C7BA8" w:rsidRPr="002A401F">
        <w:t xml:space="preserve">(94.8 total PEI/h) </w:t>
      </w:r>
      <w:r w:rsidRPr="002A401F">
        <w:t>and negative values for generation of PEI for</w:t>
      </w:r>
      <w:r w:rsidR="004C7BA8" w:rsidRPr="002A401F">
        <w:t xml:space="preserve"> some</w:t>
      </w:r>
      <w:r w:rsidRPr="002A401F">
        <w:t xml:space="preserve"> cases. These results suggested that the linear production chain to convert avocado into oil is environmentally friendly and features a promising alternative for waste valorization.</w:t>
      </w:r>
    </w:p>
    <w:p w14:paraId="050ECDD0" w14:textId="77777777" w:rsidR="009C3258" w:rsidRDefault="00D50D0B" w:rsidP="00B04557">
      <w:pPr>
        <w:pStyle w:val="CETHeading1"/>
      </w:pPr>
      <w:r w:rsidRPr="005B165B">
        <w:t>Introduc</w:t>
      </w:r>
      <w:r w:rsidR="00233024" w:rsidRPr="005B165B">
        <w:t>t</w:t>
      </w:r>
      <w:r w:rsidRPr="005B165B">
        <w:t>ion</w:t>
      </w:r>
    </w:p>
    <w:p w14:paraId="23FA5DA9" w14:textId="77777777" w:rsidR="00934BBF" w:rsidRPr="00E0293C" w:rsidRDefault="00D50D0B" w:rsidP="00E0293C">
      <w:pPr>
        <w:pStyle w:val="CETBodytext"/>
      </w:pPr>
      <w:r w:rsidRPr="00E0293C">
        <w:t>The avocado is part of the five main tropical fruits of the world</w:t>
      </w:r>
      <w:r w:rsidR="00CD4C9F" w:rsidRPr="00E0293C">
        <w:t xml:space="preserve">. </w:t>
      </w:r>
      <w:r w:rsidRPr="00E0293C">
        <w:t>In Colombia it is produced mainly in the departments of Bolivar, Cesar, Antioquia, Caldas, Santander, Valle del Cauca and Tolima</w:t>
      </w:r>
      <w:r w:rsidR="00CD4C9F" w:rsidRPr="00E0293C">
        <w:t>. Due to its climatic conditions, the department of Bolívar grows avocados of the Creole-Antillean variety, mainly in the Montes de María</w:t>
      </w:r>
      <w:r w:rsidR="00723848" w:rsidRPr="00E0293C">
        <w:t>.</w:t>
      </w:r>
      <w:r w:rsidR="00CD4C9F" w:rsidRPr="00E0293C">
        <w:t xml:space="preserve"> </w:t>
      </w:r>
      <w:r w:rsidR="00D675F9" w:rsidRPr="00E0293C">
        <w:t>In recent years, in the Montes de María region, the deterioration of avocado plants has been observed due to mien of fungi.</w:t>
      </w:r>
      <w:r w:rsidR="00CD4C9F" w:rsidRPr="00E0293C">
        <w:t xml:space="preserve"> Likewise, the avocado has been affected when transporting it since the access roads are in poor condition. </w:t>
      </w:r>
      <w:r w:rsidR="00CA044E" w:rsidRPr="00E0293C">
        <w:t xml:space="preserve">In Colombia, there is a grand availability of agro-industrial residues with high lignocellulosic content, which can be used for the production of bioenergy and biochemical products. </w:t>
      </w:r>
      <w:r w:rsidR="00CD4C9F" w:rsidRPr="00E0293C">
        <w:fldChar w:fldCharType="begin" w:fldLock="1"/>
      </w:r>
      <w:r w:rsidR="00272A9A" w:rsidRPr="00E0293C">
        <w:instrText>ADDIN CSL_CITATION {"citationItems":[{"id":"ITEM-1","itemData":{"DOI":"10.3303/CET2183067","ISBN":"9788895608815","author":[{"dropping-particle":"","family":"Poveda-Giraldo","given":"Jhonny A","non-dropping-particle":"","parse-names":false,"suffix":""},{"dropping-particle":"","family":"Piedrahita-Rodríguez","given":"S","non-dropping-particle":"","parse-names":false,"suffix":""},{"dropping-particle":"","family":"Cardona-Alzate","given":"C A","non-dropping-particle":"","parse-names":false,"suffix":""}],"container-title":"Chemical Engineering Transactions","id":"ITEM-1","issued":{"date-parts":[["2021"]]},"page":"397-402","title":"Life Cycle Analysis of Biotechnological Processes based on the Composition of the Raw Material . Eucalyptus , Avocado , and Plantain cases in a Biorefinery System","type":"article-journal","volume":"83"},"uris":["http://www.mendeley.com/documents/?uuid=2faf842b-c3b4-4e7d-a235-099ade8755ee"]}],"mendeley":{"formattedCitation":"(Poveda-Giraldo et al., 2021)","manualFormatting":"(Poveda et al., 2021)","plainTextFormattedCitation":"(Poveda-Giraldo et al., 2021)","previouslyFormattedCitation":"(Poveda-Giraldo et al., 2021)"},"properties":{"noteIndex":0},"schema":"https://github.com/citation-style-language/schema/raw/master/csl-citation.json"}</w:instrText>
      </w:r>
      <w:r w:rsidR="00CD4C9F" w:rsidRPr="00E0293C">
        <w:fldChar w:fldCharType="separate"/>
      </w:r>
      <w:r w:rsidR="00CB715F" w:rsidRPr="00E0293C">
        <w:t>(Poveda</w:t>
      </w:r>
      <w:r w:rsidR="00C104F1" w:rsidRPr="00E0293C">
        <w:t xml:space="preserve"> et al.</w:t>
      </w:r>
      <w:r w:rsidR="00AB52CB" w:rsidRPr="00E0293C">
        <w:t>,</w:t>
      </w:r>
      <w:r w:rsidR="00CB715F" w:rsidRPr="00E0293C">
        <w:t xml:space="preserve"> 2021)</w:t>
      </w:r>
      <w:r w:rsidR="00CD4C9F" w:rsidRPr="00E0293C">
        <w:fldChar w:fldCharType="end"/>
      </w:r>
      <w:r w:rsidR="00CD4C9F" w:rsidRPr="00E0293C">
        <w:t xml:space="preserve">, because of this, industrially the avocado pulp is used to obtain oil for cosmetic purposes </w:t>
      </w:r>
      <w:r w:rsidR="00CD4C9F" w:rsidRPr="00E0293C">
        <w:fldChar w:fldCharType="begin" w:fldLock="1"/>
      </w:r>
      <w:r w:rsidR="00272A9A" w:rsidRPr="00E0293C">
        <w:instrText>ADDIN CSL_CITATION {"citationItems":[{"id":"ITEM-1","itemData":{"author":[{"dropping-particle":"","family":"Yabrudy","given":"Javier","non-dropping-particle":"","parse-names":false,"suffix":""}],"container-title":"Banco de la Republica","id":"ITEM-1","issued":{"date-parts":[["2012"]]},"page":"1-35","title":"El aguacate en Colombia: Estudio de caso de los Montes de María, en el Caribe colombiano","type":"entry-encyclopedia"},"uris":["http://www.mendeley.com/documents/?uuid=65f0ab9d-fa20-4707-ae36-dafa8c3307ec"]}],"mendeley":{"formattedCitation":"(Yabrudy, 2012)","manualFormatting":"(Yabrudy, 2012)","plainTextFormattedCitation":"(Yabrudy, 2012)","previouslyFormattedCitation":"(Yabrudy, 2012)"},"properties":{"noteIndex":0},"schema":"https://github.com/citation-style-language/schema/raw/master/csl-citation.json"}</w:instrText>
      </w:r>
      <w:r w:rsidR="00CD4C9F" w:rsidRPr="00E0293C">
        <w:fldChar w:fldCharType="separate"/>
      </w:r>
      <w:r w:rsidR="00CB715F" w:rsidRPr="00E0293C">
        <w:t>(Yabrud</w:t>
      </w:r>
      <w:r w:rsidR="00AB52CB" w:rsidRPr="00E0293C">
        <w:t xml:space="preserve">y, </w:t>
      </w:r>
      <w:r w:rsidR="00CB715F" w:rsidRPr="00E0293C">
        <w:t>2012)</w:t>
      </w:r>
      <w:r w:rsidR="00CD4C9F" w:rsidRPr="00E0293C">
        <w:fldChar w:fldCharType="end"/>
      </w:r>
      <w:r w:rsidR="00CD4C9F" w:rsidRPr="00E0293C">
        <w:t>.</w:t>
      </w:r>
    </w:p>
    <w:p w14:paraId="56E7DF9B" w14:textId="77777777" w:rsidR="00CA044E" w:rsidRPr="00E0293C" w:rsidRDefault="00D50D0B" w:rsidP="00E0293C">
      <w:pPr>
        <w:pStyle w:val="CETBodytext"/>
      </w:pPr>
      <w:r w:rsidRPr="00E0293C">
        <w:t xml:space="preserve">Some of the techniques used for oil extraction involve the presence of solvents, enzymes, the applications of centrifugation or pressure. </w:t>
      </w:r>
      <w:proofErr w:type="spellStart"/>
      <w:r w:rsidRPr="00E0293C">
        <w:t>Serpa</w:t>
      </w:r>
      <w:proofErr w:type="spellEnd"/>
      <w:r w:rsidRPr="00E0293C">
        <w:t xml:space="preserve"> et al. </w:t>
      </w:r>
      <w:r w:rsidRPr="00E0293C">
        <w:fldChar w:fldCharType="begin" w:fldLock="1"/>
      </w:r>
      <w:r w:rsidR="00272A9A" w:rsidRPr="00E0293C">
        <w:instrText>ADDIN CSL_CITATION {"citationItems":[{"id":"ITEM-1","itemData":{"ISSN":"2011-0413","author":[{"dropping-particle":"","family":"Serpa G.","given":"Angélica","non-dropping-particle":"","parse-names":false,"suffix":""},{"dropping-particle":"","family":"Echeverri L.","given":"Andrés","non-dropping-particle":"","parse-names":false,"suffix":""},{"dropping-particle":"","family":"Lezcano C.","given":"Maria","non-dropping-particle":"","parse-names":false,"suffix":""},{"dropping-particle":"","family":"Vélez A.","given":"Lina","non-dropping-particle":"","parse-names":false,"suffix":""},{"dropping-particle":"","family":"Ríos","given":"Andres","non-dropping-particle":"","parse-names":false,"suffix":""},{"dropping-particle":"","family":"Hincapié Llanos","given":"Gustavo","non-dropping-particle":"","parse-names":false,"suffix":""}],"container-title":"Revista Investigaciones Aplicadas","id":"ITEM-1","issue":"2","issued":{"date-parts":[["2014"]]},"page":"113-123","title":"Oil extraction by cold pressing from freeze dried avocado variety “Hass” (Persea americana Mill)","type":"article-journal","volume":"8"},"uris":["http://www.mendeley.com/documents/?uuid=412d6915-e6eb-4154-b5be-d7851fade682"]}],"mendeley":{"formattedCitation":"(Serpa G. et al., 2014)","manualFormatting":"(2014)","plainTextFormattedCitation":"(Serpa G. et al., 2014)","previouslyFormattedCitation":"(Serpa G. et al., 2014)"},"properties":{"noteIndex":0},"schema":"https://github.com/citation-style-language/schema/raw/master/csl-citation.json"}</w:instrText>
      </w:r>
      <w:r w:rsidRPr="00E0293C">
        <w:fldChar w:fldCharType="separate"/>
      </w:r>
      <w:r w:rsidRPr="00E0293C">
        <w:t>(2014)</w:t>
      </w:r>
      <w:r w:rsidRPr="00E0293C">
        <w:fldChar w:fldCharType="end"/>
      </w:r>
      <w:r w:rsidRPr="00E0293C">
        <w:t xml:space="preserve"> extracted avocado oil using a hydraulic press with this technique</w:t>
      </w:r>
    </w:p>
    <w:p w14:paraId="187A1487" w14:textId="77777777" w:rsidR="00951AD3" w:rsidRPr="00E0293C" w:rsidRDefault="00D50D0B" w:rsidP="00E0293C">
      <w:pPr>
        <w:pStyle w:val="CETBodytext"/>
      </w:pPr>
      <w:r w:rsidRPr="00E0293C">
        <w:t xml:space="preserve"> is possible to extract oil from the pulp or the avocado seed, ensuring the stability of the fatty acids and other nutrients, since they do not exceed 45 °C.</w:t>
      </w:r>
      <w:r w:rsidR="002339CB" w:rsidRPr="00E0293C">
        <w:t xml:space="preserve"> </w:t>
      </w:r>
      <w:r w:rsidRPr="00E0293C">
        <w:t>This study attempts to evaluate environmentally the assembly of an avocado (</w:t>
      </w:r>
      <w:r w:rsidRPr="00D50D0B">
        <w:rPr>
          <w:i/>
          <w:iCs/>
        </w:rPr>
        <w:t>Laurus Persea L</w:t>
      </w:r>
      <w:r w:rsidRPr="00E0293C">
        <w:t>) processing plant for oil production, obtaining an added value product. Therefore, the WAR waste reduction algorithm was used, which considers eight impact categories to determine the least polluting energy source, and also, allow to identify of impacts for each category that the process could generate on the environment.</w:t>
      </w:r>
    </w:p>
    <w:p w14:paraId="1E724301" w14:textId="77777777" w:rsidR="00CF3097" w:rsidRPr="00DD07A6" w:rsidRDefault="00D50D0B" w:rsidP="00B04557">
      <w:pPr>
        <w:pStyle w:val="CETHeading1"/>
      </w:pPr>
      <w:r w:rsidRPr="00AD347D">
        <w:lastRenderedPageBreak/>
        <w:t xml:space="preserve">Materials and </w:t>
      </w:r>
      <w:r w:rsidRPr="00DD07A6">
        <w:t>methods</w:t>
      </w:r>
    </w:p>
    <w:p w14:paraId="20814D8A" w14:textId="77777777" w:rsidR="00DE3EE4" w:rsidRPr="00B87642" w:rsidRDefault="00D50D0B" w:rsidP="00B87642">
      <w:pPr>
        <w:pStyle w:val="CETBodytext"/>
      </w:pPr>
      <w:r w:rsidRPr="00B87642">
        <w:t>Avocado oil extraction plant modeling was based on scientific literature data collection.</w:t>
      </w:r>
      <w:r w:rsidR="005570A5" w:rsidRPr="00B87642">
        <w:t xml:space="preserve"> The waste reduction algorithm was used for the environmental evaluation, which was developed by the United States Environmental Protection Agency (EPA), to algorithm introduces the concept of potential Environmental impact balance (PEI) to allow the analysis of the effects of a chemical process. </w:t>
      </w:r>
      <w:r w:rsidRPr="00B87642">
        <w:t>In this way, it is possible to identify the impacts generated by the process and determine the adjustments it requires from an environmental point of view.</w:t>
      </w:r>
    </w:p>
    <w:p w14:paraId="1B886840" w14:textId="77777777" w:rsidR="00951AD3" w:rsidRDefault="00D50D0B" w:rsidP="00B04557">
      <w:pPr>
        <w:pStyle w:val="CETheadingx"/>
      </w:pPr>
      <w:r>
        <w:t>Process d</w:t>
      </w:r>
      <w:r w:rsidRPr="00951AD3">
        <w:t>escri</w:t>
      </w:r>
      <w:r>
        <w:t>ption</w:t>
      </w:r>
    </w:p>
    <w:p w14:paraId="5B140CCE" w14:textId="2EE89891" w:rsidR="00D45C6D" w:rsidRPr="00E0293C" w:rsidRDefault="00D50D0B" w:rsidP="00E0293C">
      <w:pPr>
        <w:pStyle w:val="CETBodytext"/>
      </w:pPr>
      <w:r w:rsidRPr="00E0293C">
        <w:t xml:space="preserve">Figure 1 corresponds to the production process of avocado oil using organic solvent for its extraction, in which case, the solvent used is hexane. The </w:t>
      </w:r>
      <w:r w:rsidR="00CD4C9F" w:rsidRPr="00E0293C">
        <w:t>raw material it's washed in a sodium hypochlorite solution coming from stream 2</w:t>
      </w:r>
      <w:r w:rsidR="00791230">
        <w:t>,</w:t>
      </w:r>
      <w:r w:rsidR="00CD4C9F" w:rsidRPr="00E0293C">
        <w:t xml:space="preserve"> to remove impurities and contaminants from the avocado</w:t>
      </w:r>
      <w:r w:rsidR="00272A9A" w:rsidRPr="00E0293C">
        <w:t xml:space="preserve"> 200 milliliters of water for every 97 kilograms of avocado </w:t>
      </w:r>
      <w:r w:rsidR="00272A9A" w:rsidRPr="00E0293C">
        <w:fldChar w:fldCharType="begin" w:fldLock="1"/>
      </w:r>
      <w:r w:rsidR="00272A9A" w:rsidRPr="00E0293C">
        <w:instrText>ADDIN CSL_CITATION {"citationItems":[{"id":"ITEM-1","itemData":{"ISBN":"7125116035","author":[{"dropping-particle":"","family":"Acosta","given":"Martha","non-dropping-particle":"","parse-names":false,"suffix":""}],"id":"ITEM-1","issued":{"date-parts":[["2011"]]},"number-of-pages":"138-155","publisher":"Universidad Nacional de Colombia","title":"Evaluacion y escalamiento del proceso de extraccion de aceite de aguacate utilizando tratamiento enzimatico","type":"thesis"},"uris":["http://www.mendeley.com/documents/?uuid=a925c87b-d40c-42ba-b05e-316769c969f2"]}],"mendeley":{"formattedCitation":"(Acosta, 2011)","plainTextFormattedCitation":"(Acosta, 2011)"},"properties":{"noteIndex":0},"schema":"https://github.com/citation-style-language/schema/raw/master/csl-citation.json"}</w:instrText>
      </w:r>
      <w:r w:rsidR="00272A9A" w:rsidRPr="00E0293C">
        <w:fldChar w:fldCharType="separate"/>
      </w:r>
      <w:r w:rsidR="00272A9A" w:rsidRPr="00E0293C">
        <w:t>(Acosta, 2011)</w:t>
      </w:r>
      <w:r w:rsidR="00272A9A" w:rsidRPr="00E0293C">
        <w:fldChar w:fldCharType="end"/>
      </w:r>
      <w:r w:rsidR="00CD4C9F" w:rsidRPr="00E0293C">
        <w:t xml:space="preserve">. Once the avocado is clean, proceed to pull out the peel, and this is carried to a washing stage to recover the peel remaining pulp. In the pulp extraction stage, the seed it's separated and sent to wash to obtain seed and a pulp-water mixture. </w:t>
      </w:r>
    </w:p>
    <w:p w14:paraId="2B3C2576" w14:textId="77777777" w:rsidR="001E7198" w:rsidRPr="002950EC" w:rsidRDefault="001E7198" w:rsidP="00AC7113">
      <w:pPr>
        <w:spacing w:line="22" w:lineRule="atLeast"/>
        <w:rPr>
          <w:rFonts w:cs="Arial"/>
          <w:noProof/>
          <w:szCs w:val="18"/>
          <w:highlight w:val="red"/>
          <w:lang w:val="en-US" w:eastAsia="es-ES_tradnl"/>
        </w:rPr>
      </w:pPr>
    </w:p>
    <w:p w14:paraId="3D75E58D" w14:textId="77777777" w:rsidR="00233024" w:rsidRPr="008F3B9B" w:rsidRDefault="00D50D0B" w:rsidP="008F3B9B">
      <w:pPr>
        <w:spacing w:line="22" w:lineRule="atLeast"/>
        <w:rPr>
          <w:rFonts w:cs="Arial"/>
          <w:noProof/>
          <w:szCs w:val="18"/>
          <w:highlight w:val="red"/>
          <w:lang w:eastAsia="es-ES_tradnl"/>
        </w:rPr>
      </w:pPr>
      <w:r>
        <w:rPr>
          <w:noProof/>
        </w:rPr>
        <w:drawing>
          <wp:inline distT="0" distB="0" distL="0" distR="0" wp14:anchorId="3E9CD2B7" wp14:editId="214C97AA">
            <wp:extent cx="5476875" cy="20955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1"/>
                    <pic:cNvPicPr>
                      <a:picLocks noChangeAspect="1" noChangeArrowheads="1"/>
                    </pic:cNvPicPr>
                  </pic:nvPicPr>
                  <pic:blipFill>
                    <a:blip r:embed="rId8">
                      <a:extLst>
                        <a:ext uri="{28A0092B-C50C-407E-A947-70E740481C1C}">
                          <a14:useLocalDpi xmlns:a14="http://schemas.microsoft.com/office/drawing/2010/main" val="0"/>
                        </a:ext>
                      </a:extLst>
                    </a:blip>
                    <a:srcRect l="1024" r="820"/>
                    <a:stretch>
                      <a:fillRect/>
                    </a:stretch>
                  </pic:blipFill>
                  <pic:spPr bwMode="auto">
                    <a:xfrm>
                      <a:off x="0" y="0"/>
                      <a:ext cx="5476875" cy="2095500"/>
                    </a:xfrm>
                    <a:prstGeom prst="rect">
                      <a:avLst/>
                    </a:prstGeom>
                    <a:noFill/>
                    <a:ln>
                      <a:noFill/>
                    </a:ln>
                    <a:extLst>
                      <a:ext uri="{53640926-AAD7-44D8-BBD7-CCE9431645EC}">
                        <a14:shadowObscured xmlns:a14="http://schemas.microsoft.com/office/drawing/2010/main"/>
                      </a:ext>
                    </a:extLst>
                  </pic:spPr>
                </pic:pic>
              </a:graphicData>
            </a:graphic>
          </wp:inline>
        </w:drawing>
      </w:r>
    </w:p>
    <w:p w14:paraId="6EF42936" w14:textId="77777777" w:rsidR="00233024" w:rsidRPr="005B165B" w:rsidRDefault="00D50D0B" w:rsidP="00B515C8">
      <w:pPr>
        <w:pStyle w:val="CETCaption"/>
      </w:pPr>
      <w:r w:rsidRPr="006F1228">
        <w:rPr>
          <w:bCs/>
        </w:rPr>
        <w:t xml:space="preserve">Figure </w:t>
      </w:r>
      <w:r w:rsidR="00951AD3" w:rsidRPr="006F1228">
        <w:rPr>
          <w:bCs/>
        </w:rPr>
        <w:t>1</w:t>
      </w:r>
      <w:r w:rsidR="000C3E25">
        <w:rPr>
          <w:bCs/>
        </w:rPr>
        <w:t>:</w:t>
      </w:r>
      <w:r w:rsidRPr="006F1228">
        <w:t xml:space="preserve"> Process flow diagram of avocado oil extraction.</w:t>
      </w:r>
    </w:p>
    <w:p w14:paraId="27DDF867" w14:textId="77777777" w:rsidR="00DE3EE4" w:rsidRPr="00B87642" w:rsidRDefault="00D50D0B" w:rsidP="00B87642">
      <w:pPr>
        <w:pStyle w:val="CETBodytext"/>
      </w:pPr>
      <w:r w:rsidRPr="00B87642">
        <w:t>The pulp obtained from the extraction stage is mixed with the remaining pulp from the washing stages and homogenized, then it leads to the drying stage where excess water and moisture are removed from the pulp before extraction preparation. This operation occurs at 1 bar of pressure and 70</w:t>
      </w:r>
      <w:r w:rsidR="002950EC" w:rsidRPr="00B87642">
        <w:t xml:space="preserve"> </w:t>
      </w:r>
      <w:r w:rsidRPr="00B87642">
        <w:t xml:space="preserve">°C in order not to degrade the pulp </w:t>
      </w:r>
      <w:r w:rsidRPr="00B87642">
        <w:fldChar w:fldCharType="begin" w:fldLock="1"/>
      </w:r>
      <w:r w:rsidR="00272A9A" w:rsidRPr="00B87642">
        <w:instrText>ADDIN CSL_CITATION {"citationItems":[{"id":"ITEM-1","itemData":{"author":[{"dropping-particle":"","family":"Ariza Ortega","given":"José Albero","non-dropping-particle":"","parse-names":false,"suffix":""},{"dropping-particle":"","family":"López Valdez","given":"Fernando","non-dropping-particle":"","parse-names":false,"suffix":""},{"dropping-particle":"","family":"Coyotl Huerta","given":"Judith","non-dropping-particle":"","parse-names":false,"suffix":""},{"dropping-particle":"","family":"Ramos Cassellis","given":"Maria Elena","non-dropping-particle":"","parse-names":false,"suffix":""},{"dropping-particle":"","family":"Diaz Reyes","given":"Joel","non-dropping-particle":"","parse-names":false,"suffix":""},{"dropping-particle":"","family":"Martinez Zavala","given":"Arturo","non-dropping-particle":"","parse-names":false,"suffix":""}],"container-title":"Revista Venezolana de Ciencia y Tecnologia de alimentos","id":"ITEM-1","issue":"2","issued":{"date-parts":[["2011"]]},"page":"263-276","title":"Effect of different extraction methods on the fatty acid profile in the avocado (Persea americana Mill. var. Hass) oil","type":"article-journal","volume":"2"},"uris":["http://www.mendeley.com/documents/?uuid=51cb3fa4-ee47-4ea8-86f3-405d21ffce02"]}],"mendeley":{"formattedCitation":"(Ariza Ortega et al., 2011)","manualFormatting":"(Ariza et al., 2011)","plainTextFormattedCitation":"(Ariza Ortega et al., 2011)","previouslyFormattedCitation":"(Ariza Ortega et al., 2011)"},"properties":{"noteIndex":0},"schema":"https://github.com/citation-style-language/schema/raw/master/csl-citation.json"}</w:instrText>
      </w:r>
      <w:r w:rsidRPr="00B87642">
        <w:fldChar w:fldCharType="separate"/>
      </w:r>
      <w:r w:rsidR="00CB715F" w:rsidRPr="00B87642">
        <w:t>(Ariza</w:t>
      </w:r>
      <w:r w:rsidR="002C4A16" w:rsidRPr="00B87642">
        <w:t xml:space="preserve"> </w:t>
      </w:r>
      <w:r w:rsidR="00CB715F" w:rsidRPr="00B87642">
        <w:t>et al.</w:t>
      </w:r>
      <w:r w:rsidR="00C104F1" w:rsidRPr="00B87642">
        <w:t>,</w:t>
      </w:r>
      <w:r w:rsidR="00CB715F" w:rsidRPr="00B87642">
        <w:t xml:space="preserve"> 2011)</w:t>
      </w:r>
      <w:r w:rsidRPr="00B87642">
        <w:fldChar w:fldCharType="end"/>
      </w:r>
      <w:r w:rsidRPr="00B87642">
        <w:t>.</w:t>
      </w:r>
      <w:r w:rsidR="004A5E1A" w:rsidRPr="00B87642">
        <w:t xml:space="preserve"> Then the pulp is sent to the extraction stage where it is contacted with hexane, maintaining a temperature of 70 °C</w:t>
      </w:r>
      <w:r w:rsidR="00272A9A" w:rsidRPr="00B87642">
        <w:t xml:space="preserve"> </w:t>
      </w:r>
      <w:r w:rsidR="00272A9A" w:rsidRPr="00B87642">
        <w:fldChar w:fldCharType="begin" w:fldLock="1"/>
      </w:r>
      <w:r w:rsidR="00272A9A" w:rsidRPr="00B87642">
        <w:instrText>ADDIN CSL_CITATION {"citationItems":[{"id":"ITEM-1","itemData":{"author":[{"dropping-particle":"","family":"Ariza Ortega","given":"José Albero","non-dropping-particle":"","parse-names":false,"suffix":""},{"dropping-particle":"","family":"López Valdez","given":"Fernando","non-dropping-particle":"","parse-names":false,"suffix":""},{"dropping-particle":"","family":"Coyotl Huerta","given":"Judith","non-dropping-particle":"","parse-names":false,"suffix":""},{"dropping-particle":"","family":"Ramos Cassellis","given":"Maria Elena","non-dropping-particle":"","parse-names":false,"suffix":""},{"dropping-particle":"","family":"Diaz Reyes","given":"Joel","non-dropping-particle":"","parse-names":false,"suffix":""},{"dropping-particle":"","family":"Martinez Zavala","given":"Arturo","non-dropping-particle":"","parse-names":false,"suffix":""}],"container-title":"Revista Venezolana de Ciencia y Tecnologia de alimentos","id":"ITEM-1","issue":"2","issued":{"date-parts":[["2011"]]},"page":"263-276","title":"Effect of different extraction methods on the fatty acid profile in the avocado (Persea americana Mill. var. Hass) oil","type":"article-journal","volume":"2"},"uris":["http://www.mendeley.com/documents/?uuid=51cb3fa4-ee47-4ea8-86f3-405d21ffce02"]}],"mendeley":{"formattedCitation":"(Ariza Ortega et al., 2011)","manualFormatting":"(Ariza et al., 2011)","plainTextFormattedCitation":"(Ariza Ortega et al., 2011)","previouslyFormattedCitation":"(Ariza Ortega et al., 2011)"},"properties":{"noteIndex":0},"schema":"https://github.com/citation-style-language/schema/raw/master/csl-citation.json"}</w:instrText>
      </w:r>
      <w:r w:rsidR="00272A9A" w:rsidRPr="00B87642">
        <w:fldChar w:fldCharType="separate"/>
      </w:r>
      <w:r w:rsidR="00272A9A" w:rsidRPr="00B87642">
        <w:t>(Ariza et al., 2011)</w:t>
      </w:r>
      <w:r w:rsidR="00272A9A" w:rsidRPr="00B87642">
        <w:fldChar w:fldCharType="end"/>
      </w:r>
      <w:r w:rsidR="00272A9A" w:rsidRPr="00B87642">
        <w:t xml:space="preserve">. </w:t>
      </w:r>
      <w:r w:rsidR="004A5E1A" w:rsidRPr="00B87642">
        <w:t>The resulting stream is centrifuged, obtaining pulp waste and a mixture formed by oil and the organic solvent. This mixture is sent to a flash distillation to get avocado oil and hexane separately, the recovered solvent is sent together with fresh hexane to the extraction stage.</w:t>
      </w:r>
    </w:p>
    <w:p w14:paraId="098F3D98" w14:textId="04C269B1" w:rsidR="00B27B86" w:rsidRPr="00B87642" w:rsidRDefault="00D50D0B" w:rsidP="00B87642">
      <w:pPr>
        <w:pStyle w:val="CETBodytext"/>
      </w:pPr>
      <w:r w:rsidRPr="00B87642">
        <w:t>From 10,500 tons of avocado 1,000.67 tons per year of avocado oil are obtained using hexane as a solvent for the extraction of the product.</w:t>
      </w:r>
    </w:p>
    <w:p w14:paraId="573AB035" w14:textId="77777777" w:rsidR="005B165B" w:rsidRPr="00B27B86" w:rsidRDefault="00D50D0B" w:rsidP="00B04557">
      <w:pPr>
        <w:pStyle w:val="CETheadingx"/>
        <w:numPr>
          <w:ilvl w:val="0"/>
          <w:numId w:val="0"/>
        </w:numPr>
      </w:pPr>
      <w:r w:rsidRPr="00B27B86">
        <w:t>2.</w:t>
      </w:r>
      <w:r w:rsidR="00951AD3" w:rsidRPr="00B27B86">
        <w:t>2</w:t>
      </w:r>
      <w:r w:rsidRPr="00B27B86">
        <w:t xml:space="preserve"> Environmental analysis</w:t>
      </w:r>
    </w:p>
    <w:p w14:paraId="0186BFBE" w14:textId="77777777" w:rsidR="003F602B" w:rsidRDefault="00D50D0B" w:rsidP="00B04557">
      <w:pPr>
        <w:pStyle w:val="CETBodytext"/>
      </w:pPr>
      <w:r w:rsidRPr="005B165B">
        <w:t xml:space="preserve">For the avocado oil production plant environmental evaluation localized in Bolívar-Colombia, </w:t>
      </w:r>
      <w:r w:rsidR="004C1856" w:rsidRPr="004C1856">
        <w:t>four case studies were established as shown in table 1.</w:t>
      </w:r>
    </w:p>
    <w:p w14:paraId="44B3CFF1" w14:textId="77777777" w:rsidR="004C1856" w:rsidRDefault="00D50D0B" w:rsidP="00F72D78">
      <w:pPr>
        <w:pStyle w:val="CETTabletitle"/>
      </w:pPr>
      <w:r>
        <w:t>Table 1</w:t>
      </w:r>
      <w:r w:rsidR="00F72D78">
        <w:t xml:space="preserve">: </w:t>
      </w:r>
      <w:r w:rsidR="00F72D78" w:rsidRPr="00F72D78">
        <w:t>Assumptions for the environmental a</w:t>
      </w:r>
      <w:r w:rsidR="00F72D78">
        <w:t>nalysis</w:t>
      </w:r>
      <w:r w:rsidR="00F72D78" w:rsidRPr="00F72D78">
        <w:t xml:space="preserve"> case studies</w:t>
      </w:r>
    </w:p>
    <w:tbl>
      <w:tblPr>
        <w:tblStyle w:val="Tablanormal4"/>
        <w:tblW w:w="8931" w:type="dxa"/>
        <w:tblLook w:val="04A0" w:firstRow="1" w:lastRow="0" w:firstColumn="1" w:lastColumn="0" w:noHBand="0" w:noVBand="1"/>
      </w:tblPr>
      <w:tblGrid>
        <w:gridCol w:w="1418"/>
        <w:gridCol w:w="3402"/>
        <w:gridCol w:w="4111"/>
      </w:tblGrid>
      <w:tr w:rsidR="00D139D0" w14:paraId="22C80CB5" w14:textId="77777777" w:rsidTr="00D139D0">
        <w:trPr>
          <w:cnfStyle w:val="100000000000" w:firstRow="1" w:lastRow="0" w:firstColumn="0" w:lastColumn="0" w:oddVBand="0" w:evenVBand="0" w:oddHBand="0"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418" w:type="dxa"/>
            <w:tcBorders>
              <w:top w:val="double" w:sz="4" w:space="0" w:color="9BBB59" w:themeColor="accent3"/>
              <w:bottom w:val="double" w:sz="4" w:space="0" w:color="9BBB59" w:themeColor="accent3"/>
            </w:tcBorders>
            <w:noWrap/>
          </w:tcPr>
          <w:p w14:paraId="413D1B24" w14:textId="77777777" w:rsidR="004C1856" w:rsidRPr="0037118E" w:rsidRDefault="00D50D0B" w:rsidP="00020F84">
            <w:pPr>
              <w:pStyle w:val="CETBodytext"/>
            </w:pPr>
            <w:r>
              <w:t>Case</w:t>
            </w:r>
            <w:r w:rsidR="00F72D78">
              <w:t xml:space="preserve"> studies</w:t>
            </w:r>
            <w:r>
              <w:t xml:space="preserve"> </w:t>
            </w:r>
          </w:p>
        </w:tc>
        <w:tc>
          <w:tcPr>
            <w:tcW w:w="7513" w:type="dxa"/>
            <w:gridSpan w:val="2"/>
            <w:tcBorders>
              <w:top w:val="double" w:sz="4" w:space="0" w:color="9BBB59" w:themeColor="accent3"/>
              <w:bottom w:val="double" w:sz="4" w:space="0" w:color="9BBB59" w:themeColor="accent3"/>
            </w:tcBorders>
            <w:noWrap/>
          </w:tcPr>
          <w:p w14:paraId="60471A47" w14:textId="77777777" w:rsidR="004C1856" w:rsidRPr="0037118E" w:rsidRDefault="00D50D0B" w:rsidP="004C1856">
            <w:pPr>
              <w:pStyle w:val="CETBodytext"/>
              <w:cnfStyle w:val="100000000000" w:firstRow="1" w:lastRow="0" w:firstColumn="0" w:lastColumn="0" w:oddVBand="0" w:evenVBand="0" w:oddHBand="0" w:evenHBand="0" w:firstRowFirstColumn="0" w:firstRowLastColumn="0" w:lastRowFirstColumn="0" w:lastRowLastColumn="0"/>
            </w:pPr>
            <w:r>
              <w:t>A</w:t>
            </w:r>
            <w:r w:rsidRPr="004C1856">
              <w:t>ssumptions</w:t>
            </w:r>
          </w:p>
        </w:tc>
      </w:tr>
      <w:tr w:rsidR="00D139D0" w14:paraId="0FCF9793" w14:textId="77777777" w:rsidTr="00C4066B">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18" w:type="dxa"/>
            <w:tcBorders>
              <w:top w:val="double" w:sz="4" w:space="0" w:color="9BBB59" w:themeColor="accent3"/>
            </w:tcBorders>
            <w:noWrap/>
          </w:tcPr>
          <w:p w14:paraId="5750CAA5" w14:textId="77777777" w:rsidR="002A401F" w:rsidRPr="0037118E" w:rsidRDefault="00D50D0B" w:rsidP="00C4066B">
            <w:pPr>
              <w:pStyle w:val="CETBodytext"/>
              <w:jc w:val="left"/>
              <w:rPr>
                <w:lang w:val="es-CO" w:eastAsia="es-CO"/>
              </w:rPr>
            </w:pPr>
            <w:r>
              <w:rPr>
                <w:lang w:val="es-CO" w:eastAsia="es-CO"/>
              </w:rPr>
              <w:t>Case 1</w:t>
            </w:r>
          </w:p>
        </w:tc>
        <w:tc>
          <w:tcPr>
            <w:tcW w:w="3402" w:type="dxa"/>
            <w:tcBorders>
              <w:top w:val="double" w:sz="4" w:space="0" w:color="9BBB59" w:themeColor="accent3"/>
            </w:tcBorders>
            <w:noWrap/>
          </w:tcPr>
          <w:p w14:paraId="517B0883" w14:textId="3B566490" w:rsidR="002A401F" w:rsidRPr="004C1856" w:rsidRDefault="00C4066B" w:rsidP="00C4066B">
            <w:pPr>
              <w:pStyle w:val="CETBodytext"/>
              <w:jc w:val="left"/>
              <w:cnfStyle w:val="000000100000" w:firstRow="0" w:lastRow="0" w:firstColumn="0" w:lastColumn="0" w:oddVBand="0" w:evenVBand="0" w:oddHBand="1" w:evenHBand="0" w:firstRowFirstColumn="0" w:firstRowLastColumn="0" w:lastRowFirstColumn="0" w:lastRowLastColumn="0"/>
              <w:rPr>
                <w:lang w:eastAsia="es-CO"/>
              </w:rPr>
            </w:pPr>
            <w:r>
              <w:rPr>
                <w:lang w:eastAsia="es-CO"/>
              </w:rPr>
              <w:t>Excluding</w:t>
            </w:r>
            <w:r w:rsidR="00D50D0B" w:rsidRPr="004C1856">
              <w:rPr>
                <w:lang w:eastAsia="es-CO"/>
              </w:rPr>
              <w:t xml:space="preserve"> the impacts of the product</w:t>
            </w:r>
          </w:p>
        </w:tc>
        <w:tc>
          <w:tcPr>
            <w:tcW w:w="4111" w:type="dxa"/>
            <w:tcBorders>
              <w:top w:val="double" w:sz="4" w:space="0" w:color="9BBB59" w:themeColor="accent3"/>
            </w:tcBorders>
            <w:noWrap/>
          </w:tcPr>
          <w:p w14:paraId="78026AFE" w14:textId="659D7DD0" w:rsidR="002A401F" w:rsidRPr="004C1856" w:rsidRDefault="00C4066B" w:rsidP="00C4066B">
            <w:pPr>
              <w:pStyle w:val="CETBodytext"/>
              <w:jc w:val="left"/>
              <w:cnfStyle w:val="000000100000" w:firstRow="0" w:lastRow="0" w:firstColumn="0" w:lastColumn="0" w:oddVBand="0" w:evenVBand="0" w:oddHBand="1" w:evenHBand="0" w:firstRowFirstColumn="0" w:firstRowLastColumn="0" w:lastRowFirstColumn="0" w:lastRowLastColumn="0"/>
              <w:rPr>
                <w:lang w:eastAsia="es-CO"/>
              </w:rPr>
            </w:pPr>
            <w:r>
              <w:rPr>
                <w:lang w:eastAsia="es-CO"/>
              </w:rPr>
              <w:t>Excluding</w:t>
            </w:r>
            <w:r w:rsidR="00D50D0B" w:rsidRPr="004C1856">
              <w:rPr>
                <w:lang w:eastAsia="es-CO"/>
              </w:rPr>
              <w:t xml:space="preserve"> the impacts of the energy source</w:t>
            </w:r>
          </w:p>
        </w:tc>
      </w:tr>
      <w:tr w:rsidR="00D139D0" w14:paraId="3AD1A4D4" w14:textId="77777777" w:rsidTr="00C4066B">
        <w:trPr>
          <w:trHeight w:val="188"/>
        </w:trPr>
        <w:tc>
          <w:tcPr>
            <w:cnfStyle w:val="001000000000" w:firstRow="0" w:lastRow="0" w:firstColumn="1" w:lastColumn="0" w:oddVBand="0" w:evenVBand="0" w:oddHBand="0" w:evenHBand="0" w:firstRowFirstColumn="0" w:firstRowLastColumn="0" w:lastRowFirstColumn="0" w:lastRowLastColumn="0"/>
            <w:tcW w:w="1418" w:type="dxa"/>
            <w:noWrap/>
          </w:tcPr>
          <w:p w14:paraId="74AFA119" w14:textId="77777777" w:rsidR="002A401F" w:rsidRPr="0037118E" w:rsidRDefault="00D50D0B" w:rsidP="00C4066B">
            <w:pPr>
              <w:pStyle w:val="CETBodytext"/>
              <w:jc w:val="left"/>
              <w:rPr>
                <w:lang w:val="es-CO" w:eastAsia="es-CO"/>
              </w:rPr>
            </w:pPr>
            <w:r>
              <w:rPr>
                <w:lang w:val="es-CO" w:eastAsia="es-CO"/>
              </w:rPr>
              <w:t>Case 2</w:t>
            </w:r>
          </w:p>
        </w:tc>
        <w:tc>
          <w:tcPr>
            <w:tcW w:w="3402" w:type="dxa"/>
            <w:noWrap/>
          </w:tcPr>
          <w:p w14:paraId="10C41FAA" w14:textId="22D358CA" w:rsidR="002A401F" w:rsidRPr="004C1856" w:rsidRDefault="00C4066B" w:rsidP="00C4066B">
            <w:pPr>
              <w:pStyle w:val="CETBodytext"/>
              <w:jc w:val="left"/>
              <w:cnfStyle w:val="000000000000" w:firstRow="0" w:lastRow="0" w:firstColumn="0" w:lastColumn="0" w:oddVBand="0" w:evenVBand="0" w:oddHBand="0" w:evenHBand="0" w:firstRowFirstColumn="0" w:firstRowLastColumn="0" w:lastRowFirstColumn="0" w:lastRowLastColumn="0"/>
              <w:rPr>
                <w:lang w:eastAsia="es-CO"/>
              </w:rPr>
            </w:pPr>
            <w:r>
              <w:rPr>
                <w:lang w:eastAsia="es-CO"/>
              </w:rPr>
              <w:t>Including</w:t>
            </w:r>
            <w:r w:rsidR="00D50D0B" w:rsidRPr="004C1856">
              <w:rPr>
                <w:lang w:eastAsia="es-CO"/>
              </w:rPr>
              <w:t xml:space="preserve"> the impacts of the product</w:t>
            </w:r>
          </w:p>
        </w:tc>
        <w:tc>
          <w:tcPr>
            <w:tcW w:w="4111" w:type="dxa"/>
            <w:noWrap/>
          </w:tcPr>
          <w:p w14:paraId="4EFF7FAB" w14:textId="389F2E50" w:rsidR="002A401F" w:rsidRPr="004C1856" w:rsidRDefault="00C4066B" w:rsidP="00C4066B">
            <w:pPr>
              <w:pStyle w:val="CETBodytext"/>
              <w:jc w:val="left"/>
              <w:cnfStyle w:val="000000000000" w:firstRow="0" w:lastRow="0" w:firstColumn="0" w:lastColumn="0" w:oddVBand="0" w:evenVBand="0" w:oddHBand="0" w:evenHBand="0" w:firstRowFirstColumn="0" w:firstRowLastColumn="0" w:lastRowFirstColumn="0" w:lastRowLastColumn="0"/>
              <w:rPr>
                <w:lang w:eastAsia="es-CO"/>
              </w:rPr>
            </w:pPr>
            <w:r>
              <w:rPr>
                <w:lang w:eastAsia="es-CO"/>
              </w:rPr>
              <w:t>Excluding</w:t>
            </w:r>
            <w:r w:rsidR="00D50D0B" w:rsidRPr="004C1856">
              <w:rPr>
                <w:lang w:eastAsia="es-CO"/>
              </w:rPr>
              <w:t xml:space="preserve"> the impacts of the energy source</w:t>
            </w:r>
          </w:p>
        </w:tc>
      </w:tr>
      <w:tr w:rsidR="00D139D0" w14:paraId="17D45DED" w14:textId="77777777" w:rsidTr="00C4066B">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18" w:type="dxa"/>
            <w:noWrap/>
          </w:tcPr>
          <w:p w14:paraId="69B5D68A" w14:textId="77777777" w:rsidR="002A401F" w:rsidRPr="0037118E" w:rsidRDefault="00D50D0B" w:rsidP="00C4066B">
            <w:pPr>
              <w:pStyle w:val="CETBodytext"/>
              <w:jc w:val="left"/>
              <w:rPr>
                <w:lang w:val="es-CO" w:eastAsia="es-CO"/>
              </w:rPr>
            </w:pPr>
            <w:r>
              <w:rPr>
                <w:lang w:val="es-CO" w:eastAsia="es-CO"/>
              </w:rPr>
              <w:t xml:space="preserve">Case 3 </w:t>
            </w:r>
          </w:p>
        </w:tc>
        <w:tc>
          <w:tcPr>
            <w:tcW w:w="3402" w:type="dxa"/>
            <w:noWrap/>
          </w:tcPr>
          <w:p w14:paraId="7FF461B1" w14:textId="6AE0BD14" w:rsidR="002A401F" w:rsidRPr="004C1856" w:rsidRDefault="00C4066B" w:rsidP="00C4066B">
            <w:pPr>
              <w:pStyle w:val="CETBodytext"/>
              <w:jc w:val="left"/>
              <w:cnfStyle w:val="000000100000" w:firstRow="0" w:lastRow="0" w:firstColumn="0" w:lastColumn="0" w:oddVBand="0" w:evenVBand="0" w:oddHBand="1" w:evenHBand="0" w:firstRowFirstColumn="0" w:firstRowLastColumn="0" w:lastRowFirstColumn="0" w:lastRowLastColumn="0"/>
              <w:rPr>
                <w:lang w:eastAsia="es-CO"/>
              </w:rPr>
            </w:pPr>
            <w:r>
              <w:rPr>
                <w:lang w:eastAsia="es-CO"/>
              </w:rPr>
              <w:t>Excluding</w:t>
            </w:r>
            <w:r w:rsidR="00D50D0B" w:rsidRPr="004C1856">
              <w:rPr>
                <w:lang w:eastAsia="es-CO"/>
              </w:rPr>
              <w:t xml:space="preserve"> the impacts of the product</w:t>
            </w:r>
          </w:p>
        </w:tc>
        <w:tc>
          <w:tcPr>
            <w:tcW w:w="4111" w:type="dxa"/>
            <w:noWrap/>
          </w:tcPr>
          <w:p w14:paraId="5D54C347" w14:textId="1A2588D8" w:rsidR="002A401F" w:rsidRPr="004C1856" w:rsidRDefault="00C4066B" w:rsidP="00C4066B">
            <w:pPr>
              <w:pStyle w:val="CETBodytext"/>
              <w:jc w:val="left"/>
              <w:cnfStyle w:val="000000100000" w:firstRow="0" w:lastRow="0" w:firstColumn="0" w:lastColumn="0" w:oddVBand="0" w:evenVBand="0" w:oddHBand="1" w:evenHBand="0" w:firstRowFirstColumn="0" w:firstRowLastColumn="0" w:lastRowFirstColumn="0" w:lastRowLastColumn="0"/>
              <w:rPr>
                <w:lang w:eastAsia="es-CO"/>
              </w:rPr>
            </w:pPr>
            <w:r>
              <w:rPr>
                <w:lang w:eastAsia="es-CO"/>
              </w:rPr>
              <w:t>Including</w:t>
            </w:r>
            <w:r w:rsidR="00D50D0B" w:rsidRPr="004C1856">
              <w:rPr>
                <w:lang w:eastAsia="es-CO"/>
              </w:rPr>
              <w:t xml:space="preserve"> the impacts of the energy source</w:t>
            </w:r>
          </w:p>
        </w:tc>
      </w:tr>
      <w:tr w:rsidR="00D139D0" w14:paraId="14B9AF62" w14:textId="77777777" w:rsidTr="00C4066B">
        <w:trPr>
          <w:trHeight w:val="188"/>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92D050"/>
            </w:tcBorders>
            <w:noWrap/>
          </w:tcPr>
          <w:p w14:paraId="06FFE484" w14:textId="77777777" w:rsidR="002A401F" w:rsidRPr="0037118E" w:rsidRDefault="00D50D0B" w:rsidP="00C4066B">
            <w:pPr>
              <w:pStyle w:val="CETBodytext"/>
              <w:jc w:val="left"/>
              <w:rPr>
                <w:lang w:val="es-CO" w:eastAsia="es-CO"/>
              </w:rPr>
            </w:pPr>
            <w:r>
              <w:rPr>
                <w:lang w:eastAsia="es-CO"/>
              </w:rPr>
              <w:t>Case 4</w:t>
            </w:r>
          </w:p>
        </w:tc>
        <w:tc>
          <w:tcPr>
            <w:tcW w:w="3402" w:type="dxa"/>
            <w:tcBorders>
              <w:bottom w:val="single" w:sz="4" w:space="0" w:color="92D050"/>
            </w:tcBorders>
            <w:noWrap/>
          </w:tcPr>
          <w:p w14:paraId="21EE4BE9" w14:textId="60C4C0B1" w:rsidR="002A401F" w:rsidRPr="0037118E" w:rsidRDefault="00C4066B" w:rsidP="00C4066B">
            <w:pPr>
              <w:pStyle w:val="CETBodytext"/>
              <w:jc w:val="left"/>
              <w:cnfStyle w:val="000000000000" w:firstRow="0" w:lastRow="0" w:firstColumn="0" w:lastColumn="0" w:oddVBand="0" w:evenVBand="0" w:oddHBand="0" w:evenHBand="0" w:firstRowFirstColumn="0" w:firstRowLastColumn="0" w:lastRowFirstColumn="0" w:lastRowLastColumn="0"/>
            </w:pPr>
            <w:r>
              <w:t>Including</w:t>
            </w:r>
            <w:r w:rsidR="00D50D0B" w:rsidRPr="004C1856">
              <w:t xml:space="preserve"> the impacts of the product</w:t>
            </w:r>
          </w:p>
        </w:tc>
        <w:tc>
          <w:tcPr>
            <w:tcW w:w="4111" w:type="dxa"/>
            <w:tcBorders>
              <w:bottom w:val="single" w:sz="4" w:space="0" w:color="92D050"/>
            </w:tcBorders>
            <w:noWrap/>
          </w:tcPr>
          <w:p w14:paraId="4DE2E6B6" w14:textId="1131B165" w:rsidR="002A401F" w:rsidRPr="0037118E" w:rsidRDefault="00C4066B" w:rsidP="00C4066B">
            <w:pPr>
              <w:pStyle w:val="CETBodytext"/>
              <w:jc w:val="left"/>
              <w:cnfStyle w:val="000000000000" w:firstRow="0" w:lastRow="0" w:firstColumn="0" w:lastColumn="0" w:oddVBand="0" w:evenVBand="0" w:oddHBand="0" w:evenHBand="0" w:firstRowFirstColumn="0" w:firstRowLastColumn="0" w:lastRowFirstColumn="0" w:lastRowLastColumn="0"/>
            </w:pPr>
            <w:r>
              <w:t>Including</w:t>
            </w:r>
            <w:r w:rsidR="00D50D0B" w:rsidRPr="004C1856">
              <w:t xml:space="preserve"> the impacts of the energy source</w:t>
            </w:r>
          </w:p>
        </w:tc>
      </w:tr>
    </w:tbl>
    <w:p w14:paraId="3289FF38" w14:textId="77777777" w:rsidR="002A401F" w:rsidRDefault="002A401F" w:rsidP="00B04557">
      <w:pPr>
        <w:pStyle w:val="CETBodytext"/>
      </w:pPr>
    </w:p>
    <w:p w14:paraId="7310DF28" w14:textId="77777777" w:rsidR="003F602B" w:rsidRPr="00B87642" w:rsidRDefault="00D50D0B" w:rsidP="00B04557">
      <w:pPr>
        <w:pStyle w:val="CETBodytext"/>
      </w:pPr>
      <w:r w:rsidRPr="00B87642">
        <w:t>For the development of the environmental evaluation, it was necessary to know the substances involved in the process as fatty acids, water, hexane, sodium hypochlorite, lignocellulosic material, among others. Likewise, it was necessary to feed into the WARGUI software the characteristics of the mentioned above substances such as molecular weight, formula, LD</w:t>
      </w:r>
      <w:r w:rsidRPr="00B87642">
        <w:rPr>
          <w:vertAlign w:val="subscript"/>
        </w:rPr>
        <w:t>50</w:t>
      </w:r>
      <w:r w:rsidRPr="00B87642">
        <w:t>, LC</w:t>
      </w:r>
      <w:r w:rsidRPr="00B87642">
        <w:rPr>
          <w:vertAlign w:val="subscript"/>
        </w:rPr>
        <w:t>50</w:t>
      </w:r>
      <w:r w:rsidRPr="00B87642">
        <w:t xml:space="preserve">, global warming potential, CAS number, among others. All these </w:t>
      </w:r>
      <w:r w:rsidRPr="00B87642">
        <w:lastRenderedPageBreak/>
        <w:t xml:space="preserve">characteristics are necessary so that the software can identify the effect produced by each substance in the process, taking into account four atmospheric and four toxicological categories </w:t>
      </w:r>
      <w:r w:rsidR="004E2825" w:rsidRPr="00B87642">
        <w:rPr>
          <w:lang w:val="es-CO"/>
        </w:rPr>
        <w:fldChar w:fldCharType="begin" w:fldLock="1"/>
      </w:r>
      <w:r w:rsidR="00272A9A" w:rsidRPr="00B87642">
        <w:instrText>ADDIN CSL_CITATION {"citationItems":[{"id":"ITEM-1","itemData":{"DOI":"10.3303/CET1757033","ISBN":"9788895608488","ISSN":"22839216","author":[{"dropping-particle":"","family":"Herrera-Aristizábal","given":"Rosa","non-dropping-particle":"","parse-names":false,"suffix":""},{"dropping-particle":"","family":"Salgado-Dueñas","given":"Juan Sebastian","non-dropping-particle":"","parse-names":false,"suffix":""},{"dropping-particle":"","family":"Peralta-Ruiz","given":"Yeimmy Yolima","non-dropping-particle":"","parse-names":false,"suffix":""},{"dropping-particle":"","family":"González-Delgado","given":"Ángel Darío","non-dropping-particle":"","parse-names":false,"suffix":""}],"container-title":"Chemical Engineering Transactions","id":"ITEM-1","issued":{"date-parts":[["2017"]]},"page":"193-198","title":"Environmental evaluation of a palm-based biorefinery under North-Colombian conditions","type":"article-journal","volume":"57"},"uris":["http://www.mendeley.com/documents/?uuid=d78a2be1-6f6d-4d69-85cb-d16d6b7adff8"]}],"mendeley":{"formattedCitation":"(Herrera-Aristizábal et al., 2017)","manualFormatting":"(Herrera et al., 2017)","plainTextFormattedCitation":"(Herrera-Aristizábal et al., 2017)","previouslyFormattedCitation":"(Herrera-Aristizábal et al., 2017)"},"properties":{"noteIndex":0},"schema":"https://github.com/citation-style-language/schema/raw/master/csl-citation.json"}</w:instrText>
      </w:r>
      <w:r w:rsidR="004E2825" w:rsidRPr="00B87642">
        <w:rPr>
          <w:lang w:val="es-CO"/>
        </w:rPr>
        <w:fldChar w:fldCharType="separate"/>
      </w:r>
      <w:r w:rsidR="00CB715F" w:rsidRPr="00B87642">
        <w:rPr>
          <w:noProof/>
        </w:rPr>
        <w:t>(Herrera et al.</w:t>
      </w:r>
      <w:r w:rsidR="00C104F1" w:rsidRPr="00B87642">
        <w:rPr>
          <w:noProof/>
        </w:rPr>
        <w:t>,</w:t>
      </w:r>
      <w:r w:rsidR="00CB715F" w:rsidRPr="00B87642">
        <w:rPr>
          <w:noProof/>
        </w:rPr>
        <w:t xml:space="preserve"> 2017)</w:t>
      </w:r>
      <w:r w:rsidR="004E2825" w:rsidRPr="00B87642">
        <w:rPr>
          <w:lang w:val="es-CO"/>
        </w:rPr>
        <w:fldChar w:fldCharType="end"/>
      </w:r>
      <w:r w:rsidR="004E2825" w:rsidRPr="00B87642">
        <w:t>.</w:t>
      </w:r>
    </w:p>
    <w:p w14:paraId="694DFD3C" w14:textId="77777777" w:rsidR="00235724" w:rsidRDefault="00235724" w:rsidP="005B165B">
      <w:pPr>
        <w:pStyle w:val="Prrafodelista"/>
        <w:widowControl w:val="0"/>
        <w:autoSpaceDE w:val="0"/>
        <w:autoSpaceDN w:val="0"/>
        <w:adjustRightInd w:val="0"/>
        <w:spacing w:line="22" w:lineRule="atLeast"/>
        <w:ind w:left="0" w:right="49"/>
        <w:contextualSpacing w:val="0"/>
        <w:rPr>
          <w:rFonts w:cs="Arial"/>
          <w:bCs/>
          <w:szCs w:val="18"/>
        </w:rPr>
      </w:pPr>
    </w:p>
    <w:tbl>
      <w:tblPr>
        <w:tblStyle w:val="Tabladecuadrcula2"/>
        <w:tblW w:w="4940" w:type="pct"/>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008"/>
        <w:gridCol w:w="1674"/>
      </w:tblGrid>
      <w:tr w:rsidR="00D139D0" w14:paraId="26D5F2FD" w14:textId="77777777" w:rsidTr="00D13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6" w:type="pct"/>
            <w:tcBorders>
              <w:top w:val="none" w:sz="0" w:space="0" w:color="auto"/>
              <w:bottom w:val="none" w:sz="0" w:space="0" w:color="auto"/>
              <w:right w:val="none" w:sz="0" w:space="0" w:color="auto"/>
            </w:tcBorders>
            <w:shd w:val="clear" w:color="auto" w:fill="auto"/>
          </w:tcPr>
          <w:p w14:paraId="6FF8E2CD" w14:textId="77777777" w:rsidR="00235724" w:rsidRPr="00334C0C" w:rsidRDefault="00D50D0B" w:rsidP="000E5889">
            <w:pPr>
              <w:pStyle w:val="Prrafodelista"/>
              <w:widowControl w:val="0"/>
              <w:autoSpaceDE w:val="0"/>
              <w:autoSpaceDN w:val="0"/>
              <w:adjustRightInd w:val="0"/>
              <w:spacing w:line="22" w:lineRule="atLeast"/>
              <w:ind w:left="0" w:right="49"/>
              <w:contextualSpacing w:val="0"/>
              <w:jc w:val="center"/>
              <w:rPr>
                <w:rFonts w:cs="Arial"/>
                <w:iCs/>
                <w:color w:val="000000"/>
                <w:spacing w:val="-3"/>
                <w:szCs w:val="18"/>
              </w:rPr>
            </w:pPr>
            <w:bookmarkStart w:id="0" w:name="_Hlk92445235"/>
            <m:oMathPara>
              <m:oMathParaPr>
                <m:jc m:val="left"/>
              </m:oMathParaPr>
              <m:oMath>
                <m:r>
                  <m:rPr>
                    <m:sty m:val="bi"/>
                  </m:rPr>
                  <w:rPr>
                    <w:rFonts w:ascii="Cambria Math" w:hAnsi="Cambria Math" w:cs="Arial"/>
                    <w:color w:val="000000"/>
                    <w:spacing w:val="-3"/>
                    <w:sz w:val="20"/>
                    <w:lang w:val="es-CO"/>
                  </w:rPr>
                  <m:t>ODP</m:t>
                </m:r>
                <m:r>
                  <m:rPr>
                    <m:sty m:val="bi"/>
                  </m:rPr>
                  <w:rPr>
                    <w:rFonts w:ascii="Cambria Math" w:hAnsi="Cambria Math" w:cs="Arial"/>
                    <w:color w:val="000000"/>
                    <w:spacing w:val="-3"/>
                    <w:sz w:val="20"/>
                    <w:lang w:val="en-US"/>
                  </w:rPr>
                  <m:t>=</m:t>
                </m:r>
                <m:f>
                  <m:fPr>
                    <m:ctrlPr>
                      <w:rPr>
                        <w:rFonts w:ascii="Cambria Math" w:hAnsi="Cambria Math" w:cs="Arial"/>
                        <w:i/>
                        <w:iCs/>
                        <w:color w:val="000000"/>
                        <w:spacing w:val="-3"/>
                        <w:sz w:val="20"/>
                      </w:rPr>
                    </m:ctrlPr>
                  </m:fPr>
                  <m:num>
                    <m:r>
                      <m:rPr>
                        <m:nor/>
                      </m:rPr>
                      <w:rPr>
                        <w:rFonts w:cs="Arial"/>
                        <w:i/>
                        <w:color w:val="000000"/>
                        <w:spacing w:val="-3"/>
                        <w:sz w:val="20"/>
                        <w:lang w:val="el-GR"/>
                      </w:rPr>
                      <m:t>δ</m:t>
                    </m:r>
                    <m:d>
                      <m:dPr>
                        <m:begChr m:val="["/>
                        <m:endChr m:val="]"/>
                        <m:ctrlPr>
                          <w:rPr>
                            <w:rFonts w:ascii="Cambria Math" w:hAnsi="Cambria Math" w:cs="Arial"/>
                            <w:i/>
                            <w:iCs/>
                            <w:color w:val="000000"/>
                            <w:spacing w:val="-3"/>
                            <w:sz w:val="20"/>
                            <w:lang w:val="el-GR"/>
                          </w:rPr>
                        </m:ctrlPr>
                      </m:dPr>
                      <m:e>
                        <m:r>
                          <m:rPr>
                            <m:sty m:val="bi"/>
                          </m:rPr>
                          <w:rPr>
                            <w:rFonts w:ascii="Cambria Math" w:hAnsi="Cambria Math" w:cs="Arial"/>
                            <w:color w:val="000000"/>
                            <w:spacing w:val="-3"/>
                            <w:sz w:val="20"/>
                          </w:rPr>
                          <m:t>O</m:t>
                        </m:r>
                        <m:r>
                          <m:rPr>
                            <m:sty m:val="bi"/>
                          </m:rPr>
                          <w:rPr>
                            <w:rFonts w:ascii="Cambria Math" w:hAnsi="Cambria Math" w:cs="Arial"/>
                            <w:color w:val="000000"/>
                            <w:spacing w:val="-3"/>
                            <w:sz w:val="20"/>
                            <w:lang w:val="en-US"/>
                          </w:rPr>
                          <m:t>3</m:t>
                        </m:r>
                      </m:e>
                    </m:d>
                    <m:r>
                      <m:rPr>
                        <m:sty m:val="bi"/>
                      </m:rPr>
                      <w:rPr>
                        <w:rFonts w:ascii="Cambria Math" w:hAnsi="Cambria Math" w:cs="Arial"/>
                        <w:color w:val="000000"/>
                        <w:spacing w:val="-3"/>
                        <w:sz w:val="20"/>
                      </w:rPr>
                      <m:t>i</m:t>
                    </m:r>
                  </m:num>
                  <m:den>
                    <m:r>
                      <m:rPr>
                        <m:nor/>
                      </m:rPr>
                      <w:rPr>
                        <w:rFonts w:cs="Arial"/>
                        <w:i/>
                        <w:iCs/>
                        <w:color w:val="000000"/>
                        <w:spacing w:val="-3"/>
                        <w:sz w:val="20"/>
                        <w:lang w:val="el-GR"/>
                      </w:rPr>
                      <m:t>δ</m:t>
                    </m:r>
                    <m:d>
                      <m:dPr>
                        <m:begChr m:val="["/>
                        <m:endChr m:val="]"/>
                        <m:ctrlPr>
                          <w:rPr>
                            <w:rFonts w:ascii="Cambria Math" w:hAnsi="Cambria Math" w:cs="Arial"/>
                            <w:i/>
                            <w:iCs/>
                            <w:color w:val="000000"/>
                            <w:spacing w:val="-3"/>
                            <w:sz w:val="20"/>
                            <w:lang w:val="el-GR"/>
                          </w:rPr>
                        </m:ctrlPr>
                      </m:dPr>
                      <m:e>
                        <m:r>
                          <m:rPr>
                            <m:sty m:val="bi"/>
                          </m:rPr>
                          <w:rPr>
                            <w:rFonts w:ascii="Cambria Math" w:hAnsi="Cambria Math" w:cs="Arial"/>
                            <w:color w:val="000000"/>
                            <w:spacing w:val="-3"/>
                            <w:sz w:val="20"/>
                          </w:rPr>
                          <m:t>O</m:t>
                        </m:r>
                        <m:r>
                          <m:rPr>
                            <m:sty m:val="bi"/>
                          </m:rPr>
                          <w:rPr>
                            <w:rFonts w:ascii="Cambria Math" w:hAnsi="Cambria Math" w:cs="Arial"/>
                            <w:color w:val="000000"/>
                            <w:spacing w:val="-3"/>
                            <w:sz w:val="20"/>
                            <w:lang w:val="en-US"/>
                          </w:rPr>
                          <m:t>3</m:t>
                        </m:r>
                      </m:e>
                    </m:d>
                    <m:r>
                      <m:rPr>
                        <m:sty m:val="bi"/>
                      </m:rPr>
                      <w:rPr>
                        <w:rFonts w:ascii="Cambria Math" w:hAnsi="Cambria Math" w:cs="Arial"/>
                        <w:color w:val="000000"/>
                        <w:spacing w:val="-3"/>
                        <w:sz w:val="20"/>
                        <w:lang w:val="el-GR"/>
                      </w:rPr>
                      <m:t>FCKW-11</m:t>
                    </m:r>
                  </m:den>
                </m:f>
                <m:sSub>
                  <m:sSubPr>
                    <m:ctrlPr>
                      <w:rPr>
                        <w:rFonts w:ascii="Cambria Math" w:hAnsi="Cambria Math" w:cs="Arial"/>
                        <w:i/>
                        <w:iCs/>
                        <w:color w:val="000000"/>
                        <w:spacing w:val="-3"/>
                        <w:sz w:val="20"/>
                      </w:rPr>
                    </m:ctrlPr>
                  </m:sSubPr>
                  <m:e>
                    <m:r>
                      <m:rPr>
                        <m:sty m:val="bi"/>
                      </m:rPr>
                      <w:rPr>
                        <w:rFonts w:ascii="Cambria Math" w:hAnsi="Cambria Math" w:cs="Arial"/>
                        <w:color w:val="000000"/>
                        <w:spacing w:val="-3"/>
                        <w:sz w:val="20"/>
                      </w:rPr>
                      <m:t>m</m:t>
                    </m:r>
                  </m:e>
                  <m:sub>
                    <m:r>
                      <m:rPr>
                        <m:sty m:val="bi"/>
                      </m:rPr>
                      <w:rPr>
                        <w:rFonts w:ascii="Cambria Math" w:hAnsi="Cambria Math" w:cs="Arial"/>
                        <w:color w:val="000000"/>
                        <w:spacing w:val="-3"/>
                        <w:sz w:val="20"/>
                      </w:rPr>
                      <m:t>i</m:t>
                    </m:r>
                  </m:sub>
                </m:sSub>
              </m:oMath>
            </m:oMathPara>
          </w:p>
          <w:p w14:paraId="3A21C3EA" w14:textId="77777777" w:rsidR="00235724" w:rsidRPr="005B165B" w:rsidRDefault="00235724" w:rsidP="00235724">
            <w:pPr>
              <w:pStyle w:val="Prrafodelista"/>
              <w:widowControl w:val="0"/>
              <w:autoSpaceDE w:val="0"/>
              <w:autoSpaceDN w:val="0"/>
              <w:adjustRightInd w:val="0"/>
              <w:spacing w:line="22" w:lineRule="atLeast"/>
              <w:ind w:left="0" w:right="49"/>
              <w:contextualSpacing w:val="0"/>
              <w:rPr>
                <w:rFonts w:cs="Arial"/>
                <w:szCs w:val="18"/>
                <w:lang w:val="en-US"/>
              </w:rPr>
            </w:pPr>
          </w:p>
        </w:tc>
        <w:tc>
          <w:tcPr>
            <w:tcW w:w="964" w:type="pct"/>
            <w:tcBorders>
              <w:top w:val="none" w:sz="0" w:space="0" w:color="auto"/>
              <w:left w:val="none" w:sz="0" w:space="0" w:color="auto"/>
              <w:bottom w:val="none" w:sz="0" w:space="0" w:color="auto"/>
            </w:tcBorders>
            <w:shd w:val="clear" w:color="auto" w:fill="auto"/>
          </w:tcPr>
          <w:p w14:paraId="3C65C226" w14:textId="77777777" w:rsidR="00235724" w:rsidRPr="005B165B" w:rsidRDefault="00D50D0B" w:rsidP="00902AC4">
            <w:pPr>
              <w:pStyle w:val="CETEquation"/>
              <w:cnfStyle w:val="100000000000" w:firstRow="1" w:lastRow="0" w:firstColumn="0" w:lastColumn="0" w:oddVBand="0" w:evenVBand="0" w:oddHBand="0" w:evenHBand="0" w:firstRowFirstColumn="0" w:firstRowLastColumn="0" w:lastRowFirstColumn="0" w:lastRowLastColumn="0"/>
              <w:rPr>
                <w:lang w:val="en-US"/>
              </w:rPr>
            </w:pPr>
            <w:r>
              <w:rPr>
                <w:b w:val="0"/>
                <w:bCs w:val="0"/>
                <w:lang w:val="en-US"/>
              </w:rPr>
              <w:t xml:space="preserve">    (1)</w:t>
            </w:r>
          </w:p>
        </w:tc>
      </w:tr>
      <w:tr w:rsidR="00D139D0" w14:paraId="7E02D286" w14:textId="77777777" w:rsidTr="00D139D0">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036" w:type="pct"/>
            <w:shd w:val="clear" w:color="auto" w:fill="auto"/>
          </w:tcPr>
          <w:p w14:paraId="78D79CD0" w14:textId="77777777" w:rsidR="00235724" w:rsidRPr="00334C0C" w:rsidRDefault="00D50D0B" w:rsidP="000E5889">
            <w:pPr>
              <w:pStyle w:val="Prrafodelista"/>
              <w:widowControl w:val="0"/>
              <w:autoSpaceDE w:val="0"/>
              <w:autoSpaceDN w:val="0"/>
              <w:adjustRightInd w:val="0"/>
              <w:spacing w:line="22" w:lineRule="atLeast"/>
              <w:ind w:left="0" w:right="49"/>
              <w:contextualSpacing w:val="0"/>
              <w:jc w:val="center"/>
              <w:rPr>
                <w:rFonts w:cs="Arial"/>
                <w:iCs/>
                <w:color w:val="000000"/>
                <w:spacing w:val="-3"/>
                <w:szCs w:val="18"/>
              </w:rPr>
            </w:pPr>
            <m:oMathPara>
              <m:oMathParaPr>
                <m:jc m:val="left"/>
              </m:oMathParaPr>
              <m:oMath>
                <m:r>
                  <m:rPr>
                    <m:sty m:val="bi"/>
                  </m:rPr>
                  <w:rPr>
                    <w:rFonts w:ascii="Cambria Math" w:hAnsi="Cambria Math" w:cs="Arial"/>
                    <w:color w:val="000000"/>
                    <w:spacing w:val="-3"/>
                    <w:sz w:val="20"/>
                    <w:lang w:val="es-CO"/>
                  </w:rPr>
                  <m:t>GWP=</m:t>
                </m:r>
                <m:f>
                  <m:fPr>
                    <m:ctrlPr>
                      <w:rPr>
                        <w:rFonts w:ascii="Cambria Math" w:hAnsi="Cambria Math" w:cs="Arial"/>
                        <w:i/>
                        <w:iCs/>
                        <w:color w:val="000000"/>
                        <w:spacing w:val="-3"/>
                        <w:sz w:val="20"/>
                      </w:rPr>
                    </m:ctrlPr>
                  </m:fPr>
                  <m:num>
                    <m:nary>
                      <m:naryPr>
                        <m:ctrlPr>
                          <w:rPr>
                            <w:rFonts w:ascii="Cambria Math" w:hAnsi="Cambria Math" w:cs="Arial"/>
                            <w:i/>
                            <w:iCs/>
                            <w:color w:val="000000"/>
                            <w:spacing w:val="-3"/>
                            <w:sz w:val="20"/>
                          </w:rPr>
                        </m:ctrlPr>
                      </m:naryPr>
                      <m:sub>
                        <m:r>
                          <m:rPr>
                            <m:sty m:val="bi"/>
                          </m:rPr>
                          <w:rPr>
                            <w:rFonts w:ascii="Cambria Math" w:hAnsi="Cambria Math" w:cs="Arial"/>
                            <w:color w:val="000000"/>
                            <w:spacing w:val="-3"/>
                            <w:sz w:val="20"/>
                          </w:rPr>
                          <m:t>0</m:t>
                        </m:r>
                      </m:sub>
                      <m:sup>
                        <m:r>
                          <m:rPr>
                            <m:sty m:val="bi"/>
                          </m:rPr>
                          <w:rPr>
                            <w:rFonts w:ascii="Cambria Math" w:hAnsi="Cambria Math" w:cs="Arial"/>
                            <w:color w:val="000000"/>
                            <w:spacing w:val="-3"/>
                            <w:sz w:val="20"/>
                          </w:rPr>
                          <m:t>t</m:t>
                        </m:r>
                      </m:sup>
                      <m:e>
                        <m:sSub>
                          <m:sSubPr>
                            <m:ctrlPr>
                              <w:rPr>
                                <w:rFonts w:ascii="Cambria Math" w:hAnsi="Cambria Math" w:cs="Arial"/>
                                <w:i/>
                                <w:iCs/>
                                <w:color w:val="000000"/>
                                <w:spacing w:val="-3"/>
                                <w:sz w:val="20"/>
                              </w:rPr>
                            </m:ctrlPr>
                          </m:sSubPr>
                          <m:e>
                            <m:r>
                              <m:rPr>
                                <m:sty m:val="bi"/>
                              </m:rPr>
                              <w:rPr>
                                <w:rFonts w:ascii="Cambria Math" w:hAnsi="Cambria Math" w:cs="Arial"/>
                                <w:color w:val="000000"/>
                                <w:spacing w:val="-3"/>
                                <w:sz w:val="20"/>
                              </w:rPr>
                              <m:t>a</m:t>
                            </m:r>
                          </m:e>
                          <m:sub>
                            <m:r>
                              <m:rPr>
                                <m:sty m:val="bi"/>
                              </m:rPr>
                              <w:rPr>
                                <w:rFonts w:ascii="Cambria Math" w:hAnsi="Cambria Math" w:cs="Arial"/>
                                <w:color w:val="000000"/>
                                <w:spacing w:val="-3"/>
                                <w:sz w:val="20"/>
                              </w:rPr>
                              <m:t>i</m:t>
                            </m:r>
                          </m:sub>
                        </m:sSub>
                        <m:sSub>
                          <m:sSubPr>
                            <m:ctrlPr>
                              <w:rPr>
                                <w:rFonts w:ascii="Cambria Math" w:hAnsi="Cambria Math" w:cs="Arial"/>
                                <w:i/>
                                <w:iCs/>
                                <w:color w:val="000000"/>
                                <w:spacing w:val="-3"/>
                                <w:sz w:val="20"/>
                              </w:rPr>
                            </m:ctrlPr>
                          </m:sSubPr>
                          <m:e>
                            <m:r>
                              <m:rPr>
                                <m:sty m:val="bi"/>
                              </m:rPr>
                              <w:rPr>
                                <w:rFonts w:ascii="Cambria Math" w:hAnsi="Cambria Math" w:cs="Arial"/>
                                <w:color w:val="000000"/>
                                <w:spacing w:val="-3"/>
                                <w:sz w:val="20"/>
                              </w:rPr>
                              <m:t>c</m:t>
                            </m:r>
                          </m:e>
                          <m:sub>
                            <m:r>
                              <m:rPr>
                                <m:sty m:val="bi"/>
                              </m:rPr>
                              <w:rPr>
                                <w:rFonts w:ascii="Cambria Math" w:hAnsi="Cambria Math" w:cs="Arial"/>
                                <w:color w:val="000000"/>
                                <w:spacing w:val="-3"/>
                                <w:sz w:val="20"/>
                              </w:rPr>
                              <m:t>i</m:t>
                            </m:r>
                          </m:sub>
                        </m:sSub>
                        <m:d>
                          <m:dPr>
                            <m:ctrlPr>
                              <w:rPr>
                                <w:rFonts w:ascii="Cambria Math" w:hAnsi="Cambria Math" w:cs="Arial"/>
                                <w:i/>
                                <w:iCs/>
                                <w:color w:val="000000"/>
                                <w:spacing w:val="-3"/>
                                <w:sz w:val="20"/>
                              </w:rPr>
                            </m:ctrlPr>
                          </m:dPr>
                          <m:e>
                            <m:r>
                              <m:rPr>
                                <m:sty m:val="bi"/>
                              </m:rPr>
                              <w:rPr>
                                <w:rFonts w:ascii="Cambria Math" w:hAnsi="Cambria Math" w:cs="Arial"/>
                                <w:color w:val="000000"/>
                                <w:spacing w:val="-3"/>
                                <w:sz w:val="20"/>
                              </w:rPr>
                              <m:t>t</m:t>
                            </m:r>
                          </m:e>
                        </m:d>
                        <m:r>
                          <m:rPr>
                            <m:sty m:val="bi"/>
                          </m:rPr>
                          <w:rPr>
                            <w:rFonts w:ascii="Cambria Math" w:hAnsi="Cambria Math" w:cs="Arial"/>
                            <w:color w:val="000000"/>
                            <w:spacing w:val="-3"/>
                            <w:sz w:val="20"/>
                          </w:rPr>
                          <m:t>dt</m:t>
                        </m:r>
                      </m:e>
                    </m:nary>
                  </m:num>
                  <m:den>
                    <m:nary>
                      <m:naryPr>
                        <m:ctrlPr>
                          <w:rPr>
                            <w:rFonts w:ascii="Cambria Math" w:hAnsi="Cambria Math" w:cs="Arial"/>
                            <w:i/>
                            <w:iCs/>
                            <w:color w:val="000000"/>
                            <w:spacing w:val="-3"/>
                            <w:sz w:val="20"/>
                          </w:rPr>
                        </m:ctrlPr>
                      </m:naryPr>
                      <m:sub>
                        <m:r>
                          <m:rPr>
                            <m:sty m:val="bi"/>
                          </m:rPr>
                          <w:rPr>
                            <w:rFonts w:ascii="Cambria Math" w:hAnsi="Cambria Math" w:cs="Arial"/>
                            <w:color w:val="000000"/>
                            <w:spacing w:val="-3"/>
                            <w:sz w:val="20"/>
                          </w:rPr>
                          <m:t>0</m:t>
                        </m:r>
                      </m:sub>
                      <m:sup>
                        <m:r>
                          <m:rPr>
                            <m:sty m:val="bi"/>
                          </m:rPr>
                          <w:rPr>
                            <w:rFonts w:ascii="Cambria Math" w:hAnsi="Cambria Math" w:cs="Arial"/>
                            <w:color w:val="000000"/>
                            <w:spacing w:val="-3"/>
                            <w:sz w:val="20"/>
                          </w:rPr>
                          <m:t>t</m:t>
                        </m:r>
                      </m:sup>
                      <m:e>
                        <m:sSub>
                          <m:sSubPr>
                            <m:ctrlPr>
                              <w:rPr>
                                <w:rFonts w:ascii="Cambria Math" w:hAnsi="Cambria Math" w:cs="Arial"/>
                                <w:i/>
                                <w:iCs/>
                                <w:color w:val="000000"/>
                                <w:spacing w:val="-3"/>
                                <w:sz w:val="20"/>
                              </w:rPr>
                            </m:ctrlPr>
                          </m:sSubPr>
                          <m:e>
                            <m:r>
                              <m:rPr>
                                <m:sty m:val="bi"/>
                              </m:rPr>
                              <w:rPr>
                                <w:rFonts w:ascii="Cambria Math" w:hAnsi="Cambria Math" w:cs="Arial"/>
                                <w:color w:val="000000"/>
                                <w:spacing w:val="-3"/>
                                <w:sz w:val="20"/>
                              </w:rPr>
                              <m:t>a</m:t>
                            </m:r>
                          </m:e>
                          <m:sub>
                            <m:r>
                              <m:rPr>
                                <m:sty m:val="bi"/>
                              </m:rPr>
                              <w:rPr>
                                <w:rFonts w:ascii="Cambria Math" w:hAnsi="Cambria Math" w:cs="Arial"/>
                                <w:color w:val="000000"/>
                                <w:spacing w:val="-3"/>
                                <w:sz w:val="20"/>
                              </w:rPr>
                              <m:t>C</m:t>
                            </m:r>
                            <m:sSub>
                              <m:sSubPr>
                                <m:ctrlPr>
                                  <w:rPr>
                                    <w:rFonts w:ascii="Cambria Math" w:hAnsi="Cambria Math" w:cs="Arial"/>
                                    <w:i/>
                                    <w:iCs/>
                                    <w:color w:val="000000"/>
                                    <w:spacing w:val="-3"/>
                                    <w:sz w:val="20"/>
                                  </w:rPr>
                                </m:ctrlPr>
                              </m:sSubPr>
                              <m:e>
                                <m:r>
                                  <m:rPr>
                                    <m:sty m:val="bi"/>
                                  </m:rPr>
                                  <w:rPr>
                                    <w:rFonts w:ascii="Cambria Math" w:hAnsi="Cambria Math" w:cs="Arial"/>
                                    <w:color w:val="000000"/>
                                    <w:spacing w:val="-3"/>
                                    <w:sz w:val="20"/>
                                  </w:rPr>
                                  <m:t>O</m:t>
                                </m:r>
                              </m:e>
                              <m:sub>
                                <m:r>
                                  <m:rPr>
                                    <m:sty m:val="bi"/>
                                  </m:rPr>
                                  <w:rPr>
                                    <w:rFonts w:ascii="Cambria Math" w:hAnsi="Cambria Math" w:cs="Arial"/>
                                    <w:color w:val="000000"/>
                                    <w:spacing w:val="-3"/>
                                    <w:sz w:val="20"/>
                                  </w:rPr>
                                  <m:t>2</m:t>
                                </m:r>
                              </m:sub>
                            </m:sSub>
                          </m:sub>
                        </m:sSub>
                        <m:sSub>
                          <m:sSubPr>
                            <m:ctrlPr>
                              <w:rPr>
                                <w:rFonts w:ascii="Cambria Math" w:hAnsi="Cambria Math" w:cs="Arial"/>
                                <w:i/>
                                <w:iCs/>
                                <w:color w:val="000000"/>
                                <w:spacing w:val="-3"/>
                                <w:sz w:val="20"/>
                              </w:rPr>
                            </m:ctrlPr>
                          </m:sSubPr>
                          <m:e>
                            <m:r>
                              <m:rPr>
                                <m:sty m:val="bi"/>
                              </m:rPr>
                              <w:rPr>
                                <w:rFonts w:ascii="Cambria Math" w:hAnsi="Cambria Math" w:cs="Arial"/>
                                <w:color w:val="000000"/>
                                <w:spacing w:val="-3"/>
                                <w:sz w:val="20"/>
                              </w:rPr>
                              <m:t>c</m:t>
                            </m:r>
                          </m:e>
                          <m:sub>
                            <m:r>
                              <m:rPr>
                                <m:sty m:val="bi"/>
                              </m:rPr>
                              <w:rPr>
                                <w:rFonts w:ascii="Cambria Math" w:hAnsi="Cambria Math" w:cs="Arial"/>
                                <w:color w:val="000000"/>
                                <w:spacing w:val="-3"/>
                                <w:sz w:val="20"/>
                              </w:rPr>
                              <m:t>C</m:t>
                            </m:r>
                            <m:sSub>
                              <m:sSubPr>
                                <m:ctrlPr>
                                  <w:rPr>
                                    <w:rFonts w:ascii="Cambria Math" w:hAnsi="Cambria Math" w:cs="Arial"/>
                                    <w:i/>
                                    <w:iCs/>
                                    <w:color w:val="000000"/>
                                    <w:spacing w:val="-3"/>
                                    <w:sz w:val="20"/>
                                  </w:rPr>
                                </m:ctrlPr>
                              </m:sSubPr>
                              <m:e>
                                <m:r>
                                  <m:rPr>
                                    <m:sty m:val="bi"/>
                                  </m:rPr>
                                  <w:rPr>
                                    <w:rFonts w:ascii="Cambria Math" w:hAnsi="Cambria Math" w:cs="Arial"/>
                                    <w:color w:val="000000"/>
                                    <w:spacing w:val="-3"/>
                                    <w:sz w:val="20"/>
                                  </w:rPr>
                                  <m:t>O</m:t>
                                </m:r>
                              </m:e>
                              <m:sub>
                                <m:r>
                                  <m:rPr>
                                    <m:sty m:val="bi"/>
                                  </m:rPr>
                                  <w:rPr>
                                    <w:rFonts w:ascii="Cambria Math" w:hAnsi="Cambria Math" w:cs="Arial"/>
                                    <w:color w:val="000000"/>
                                    <w:spacing w:val="-3"/>
                                    <w:sz w:val="20"/>
                                  </w:rPr>
                                  <m:t>2</m:t>
                                </m:r>
                              </m:sub>
                            </m:sSub>
                          </m:sub>
                        </m:sSub>
                        <m:d>
                          <m:dPr>
                            <m:ctrlPr>
                              <w:rPr>
                                <w:rFonts w:ascii="Cambria Math" w:hAnsi="Cambria Math" w:cs="Arial"/>
                                <w:i/>
                                <w:iCs/>
                                <w:color w:val="000000"/>
                                <w:spacing w:val="-3"/>
                                <w:sz w:val="20"/>
                              </w:rPr>
                            </m:ctrlPr>
                          </m:dPr>
                          <m:e>
                            <m:r>
                              <m:rPr>
                                <m:sty m:val="bi"/>
                              </m:rPr>
                              <w:rPr>
                                <w:rFonts w:ascii="Cambria Math" w:hAnsi="Cambria Math" w:cs="Arial"/>
                                <w:color w:val="000000"/>
                                <w:spacing w:val="-3"/>
                                <w:sz w:val="20"/>
                              </w:rPr>
                              <m:t>t</m:t>
                            </m:r>
                          </m:e>
                        </m:d>
                        <m:r>
                          <m:rPr>
                            <m:sty m:val="bi"/>
                          </m:rPr>
                          <w:rPr>
                            <w:rFonts w:ascii="Cambria Math" w:hAnsi="Cambria Math" w:cs="Arial"/>
                            <w:color w:val="000000"/>
                            <w:spacing w:val="-3"/>
                            <w:sz w:val="20"/>
                          </w:rPr>
                          <m:t>dt</m:t>
                        </m:r>
                      </m:e>
                    </m:nary>
                  </m:den>
                </m:f>
                <m:sSub>
                  <m:sSubPr>
                    <m:ctrlPr>
                      <w:rPr>
                        <w:rFonts w:ascii="Cambria Math" w:hAnsi="Cambria Math" w:cs="Arial"/>
                        <w:i/>
                        <w:iCs/>
                        <w:color w:val="000000"/>
                        <w:spacing w:val="-3"/>
                        <w:sz w:val="20"/>
                      </w:rPr>
                    </m:ctrlPr>
                  </m:sSubPr>
                  <m:e>
                    <m:r>
                      <m:rPr>
                        <m:sty m:val="bi"/>
                      </m:rPr>
                      <w:rPr>
                        <w:rFonts w:ascii="Cambria Math" w:hAnsi="Cambria Math" w:cs="Arial"/>
                        <w:color w:val="000000"/>
                        <w:spacing w:val="-3"/>
                        <w:sz w:val="20"/>
                      </w:rPr>
                      <m:t>m</m:t>
                    </m:r>
                  </m:e>
                  <m:sub>
                    <m:r>
                      <m:rPr>
                        <m:sty m:val="bi"/>
                      </m:rPr>
                      <w:rPr>
                        <w:rFonts w:ascii="Cambria Math" w:hAnsi="Cambria Math" w:cs="Arial"/>
                        <w:color w:val="000000"/>
                        <w:spacing w:val="-3"/>
                        <w:sz w:val="20"/>
                      </w:rPr>
                      <m:t>i</m:t>
                    </m:r>
                  </m:sub>
                </m:sSub>
              </m:oMath>
            </m:oMathPara>
          </w:p>
          <w:p w14:paraId="02A7CDA7" w14:textId="77777777" w:rsidR="00235724" w:rsidRPr="0088227D" w:rsidRDefault="00235724" w:rsidP="000E5889">
            <w:pPr>
              <w:pStyle w:val="Prrafodelista"/>
              <w:widowControl w:val="0"/>
              <w:autoSpaceDE w:val="0"/>
              <w:autoSpaceDN w:val="0"/>
              <w:adjustRightInd w:val="0"/>
              <w:spacing w:line="22" w:lineRule="atLeast"/>
              <w:ind w:left="0" w:right="49"/>
              <w:contextualSpacing w:val="0"/>
              <w:jc w:val="center"/>
              <w:rPr>
                <w:rFonts w:cs="Arial"/>
                <w:szCs w:val="18"/>
                <w:lang w:val="es-CO"/>
              </w:rPr>
            </w:pPr>
          </w:p>
        </w:tc>
        <w:tc>
          <w:tcPr>
            <w:tcW w:w="964" w:type="pct"/>
            <w:shd w:val="clear" w:color="auto" w:fill="auto"/>
          </w:tcPr>
          <w:p w14:paraId="7A893D55" w14:textId="77777777" w:rsidR="00235724" w:rsidRPr="005B165B" w:rsidRDefault="00D50D0B" w:rsidP="00902AC4">
            <w:pPr>
              <w:pStyle w:val="CETEquation"/>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(2)</w:t>
            </w:r>
          </w:p>
        </w:tc>
      </w:tr>
      <w:tr w:rsidR="00D139D0" w14:paraId="147FEDE1" w14:textId="77777777" w:rsidTr="00D139D0">
        <w:trPr>
          <w:trHeight w:val="989"/>
        </w:trPr>
        <w:tc>
          <w:tcPr>
            <w:cnfStyle w:val="001000000000" w:firstRow="0" w:lastRow="0" w:firstColumn="1" w:lastColumn="0" w:oddVBand="0" w:evenVBand="0" w:oddHBand="0" w:evenHBand="0" w:firstRowFirstColumn="0" w:firstRowLastColumn="0" w:lastRowFirstColumn="0" w:lastRowLastColumn="0"/>
            <w:tcW w:w="4036" w:type="pct"/>
            <w:shd w:val="clear" w:color="auto" w:fill="auto"/>
          </w:tcPr>
          <w:p w14:paraId="4D535E22" w14:textId="77777777" w:rsidR="00235724" w:rsidRPr="00334C0C" w:rsidRDefault="00D50D0B" w:rsidP="000E5889">
            <w:pPr>
              <w:pStyle w:val="Prrafodelista"/>
              <w:widowControl w:val="0"/>
              <w:autoSpaceDE w:val="0"/>
              <w:autoSpaceDN w:val="0"/>
              <w:adjustRightInd w:val="0"/>
              <w:spacing w:line="22" w:lineRule="atLeast"/>
              <w:ind w:left="0" w:right="49"/>
              <w:contextualSpacing w:val="0"/>
              <w:jc w:val="center"/>
              <w:rPr>
                <w:rFonts w:cs="Arial"/>
                <w:szCs w:val="18"/>
              </w:rPr>
            </w:pPr>
            <m:oMathPara>
              <m:oMathParaPr>
                <m:jc m:val="left"/>
              </m:oMathParaPr>
              <m:oMath>
                <m:r>
                  <m:rPr>
                    <m:sty m:val="bi"/>
                  </m:rPr>
                  <w:rPr>
                    <w:rFonts w:ascii="Cambria Math" w:hAnsi="Cambria Math" w:cs="Arial"/>
                    <w:color w:val="000000"/>
                    <w:spacing w:val="-3"/>
                    <w:sz w:val="20"/>
                    <w:lang w:val="es-MX"/>
                  </w:rPr>
                  <m:t>PCOP</m:t>
                </m:r>
                <m:r>
                  <m:rPr>
                    <m:sty m:val="bi"/>
                  </m:rPr>
                  <w:rPr>
                    <w:rFonts w:ascii="Cambria Math" w:hAnsi="Cambria Math" w:cs="Arial"/>
                    <w:color w:val="000000"/>
                    <w:spacing w:val="-3"/>
                    <w:sz w:val="20"/>
                  </w:rPr>
                  <m:t>=</m:t>
                </m:r>
                <m:f>
                  <m:fPr>
                    <m:ctrlPr>
                      <w:rPr>
                        <w:rFonts w:ascii="Cambria Math" w:hAnsi="Cambria Math" w:cs="Arial"/>
                        <w:i/>
                        <w:iCs/>
                        <w:color w:val="000000"/>
                        <w:spacing w:val="-3"/>
                        <w:sz w:val="20"/>
                        <w:lang w:val="en-US"/>
                      </w:rPr>
                    </m:ctrlPr>
                  </m:fPr>
                  <m:num>
                    <m:f>
                      <m:fPr>
                        <m:ctrlPr>
                          <w:rPr>
                            <w:rFonts w:ascii="Cambria Math" w:hAnsi="Cambria Math" w:cs="Arial"/>
                            <w:i/>
                            <w:iCs/>
                            <w:color w:val="000000"/>
                            <w:spacing w:val="-3"/>
                            <w:sz w:val="20"/>
                            <w:lang w:val="en-US"/>
                          </w:rPr>
                        </m:ctrlPr>
                      </m:fPr>
                      <m:num>
                        <m:sSub>
                          <m:sSubPr>
                            <m:ctrlPr>
                              <w:rPr>
                                <w:rFonts w:ascii="Cambria Math" w:hAnsi="Cambria Math" w:cs="Arial"/>
                                <w:i/>
                                <w:iCs/>
                                <w:color w:val="000000"/>
                                <w:spacing w:val="-3"/>
                                <w:sz w:val="20"/>
                                <w:lang w:val="es-MX"/>
                              </w:rPr>
                            </m:ctrlPr>
                          </m:sSubPr>
                          <m:e>
                            <m:r>
                              <m:rPr>
                                <m:sty m:val="bi"/>
                              </m:rPr>
                              <w:rPr>
                                <w:rFonts w:ascii="Cambria Math" w:hAnsi="Cambria Math" w:cs="Arial"/>
                                <w:color w:val="000000"/>
                                <w:spacing w:val="-3"/>
                                <w:sz w:val="20"/>
                                <w:lang w:val="es-MX"/>
                              </w:rPr>
                              <m:t>a</m:t>
                            </m:r>
                          </m:e>
                          <m:sub>
                            <m:r>
                              <m:rPr>
                                <m:sty m:val="bi"/>
                              </m:rPr>
                              <w:rPr>
                                <w:rFonts w:ascii="Cambria Math" w:hAnsi="Cambria Math" w:cs="Arial"/>
                                <w:color w:val="000000"/>
                                <w:spacing w:val="-3"/>
                                <w:sz w:val="20"/>
                                <w:lang w:val="es-MX"/>
                              </w:rPr>
                              <m:t>i</m:t>
                            </m:r>
                          </m:sub>
                        </m:sSub>
                      </m:num>
                      <m:den>
                        <m:sSub>
                          <m:sSubPr>
                            <m:ctrlPr>
                              <w:rPr>
                                <w:rFonts w:ascii="Cambria Math" w:hAnsi="Cambria Math" w:cs="Arial"/>
                                <w:i/>
                                <w:iCs/>
                                <w:color w:val="000000"/>
                                <w:spacing w:val="-3"/>
                                <w:sz w:val="20"/>
                                <w:lang w:val="es-MX"/>
                              </w:rPr>
                            </m:ctrlPr>
                          </m:sSubPr>
                          <m:e>
                            <m:r>
                              <m:rPr>
                                <m:sty m:val="bi"/>
                              </m:rPr>
                              <w:rPr>
                                <w:rFonts w:ascii="Cambria Math" w:hAnsi="Cambria Math" w:cs="Arial"/>
                                <w:color w:val="000000"/>
                                <w:spacing w:val="-3"/>
                                <w:sz w:val="20"/>
                                <w:lang w:val="es-MX"/>
                              </w:rPr>
                              <m:t>b</m:t>
                            </m:r>
                          </m:e>
                          <m:sub>
                            <m:r>
                              <m:rPr>
                                <m:sty m:val="bi"/>
                              </m:rPr>
                              <w:rPr>
                                <w:rFonts w:ascii="Cambria Math" w:hAnsi="Cambria Math" w:cs="Arial"/>
                                <w:color w:val="000000"/>
                                <w:spacing w:val="-3"/>
                                <w:sz w:val="20"/>
                                <w:lang w:val="es-MX"/>
                              </w:rPr>
                              <m:t>i</m:t>
                            </m:r>
                          </m:sub>
                        </m:sSub>
                        <m:r>
                          <m:rPr>
                            <m:sty m:val="bi"/>
                          </m:rPr>
                          <w:rPr>
                            <w:rFonts w:ascii="Cambria Math" w:hAnsi="Cambria Math" w:cs="Arial"/>
                            <w:color w:val="000000"/>
                            <w:spacing w:val="-3"/>
                            <w:sz w:val="20"/>
                          </w:rPr>
                          <m:t>(</m:t>
                        </m:r>
                        <m:r>
                          <m:rPr>
                            <m:sty m:val="bi"/>
                          </m:rPr>
                          <w:rPr>
                            <w:rFonts w:ascii="Cambria Math" w:hAnsi="Cambria Math" w:cs="Arial"/>
                            <w:color w:val="000000"/>
                            <w:spacing w:val="-3"/>
                            <w:sz w:val="20"/>
                            <w:lang w:val="es-MX"/>
                          </w:rPr>
                          <m:t>t</m:t>
                        </m:r>
                        <m:r>
                          <m:rPr>
                            <m:sty m:val="bi"/>
                          </m:rPr>
                          <w:rPr>
                            <w:rFonts w:ascii="Cambria Math" w:hAnsi="Cambria Math" w:cs="Arial"/>
                            <w:color w:val="000000"/>
                            <w:spacing w:val="-3"/>
                            <w:sz w:val="20"/>
                          </w:rPr>
                          <m:t>)</m:t>
                        </m:r>
                      </m:den>
                    </m:f>
                  </m:num>
                  <m:den>
                    <m:f>
                      <m:fPr>
                        <m:ctrlPr>
                          <w:rPr>
                            <w:rFonts w:ascii="Cambria Math" w:hAnsi="Cambria Math" w:cs="Arial"/>
                            <w:i/>
                            <w:iCs/>
                            <w:color w:val="000000"/>
                            <w:spacing w:val="-3"/>
                            <w:sz w:val="20"/>
                            <w:lang w:val="en-US"/>
                          </w:rPr>
                        </m:ctrlPr>
                      </m:fPr>
                      <m:num>
                        <m:sSub>
                          <m:sSubPr>
                            <m:ctrlPr>
                              <w:rPr>
                                <w:rFonts w:ascii="Cambria Math" w:hAnsi="Cambria Math" w:cs="Arial"/>
                                <w:i/>
                                <w:iCs/>
                                <w:color w:val="000000"/>
                                <w:spacing w:val="-3"/>
                                <w:sz w:val="20"/>
                                <w:lang w:val="es-MX"/>
                              </w:rPr>
                            </m:ctrlPr>
                          </m:sSubPr>
                          <m:e>
                            <m:r>
                              <m:rPr>
                                <m:sty m:val="bi"/>
                              </m:rPr>
                              <w:rPr>
                                <w:rFonts w:ascii="Cambria Math" w:hAnsi="Cambria Math" w:cs="Arial"/>
                                <w:color w:val="000000"/>
                                <w:spacing w:val="-3"/>
                                <w:sz w:val="20"/>
                                <w:lang w:val="es-MX"/>
                              </w:rPr>
                              <m:t>a</m:t>
                            </m:r>
                          </m:e>
                          <m:sub>
                            <m:r>
                              <m:rPr>
                                <m:sty m:val="bi"/>
                              </m:rPr>
                              <w:rPr>
                                <w:rFonts w:ascii="Cambria Math" w:hAnsi="Cambria Math" w:cs="Arial"/>
                                <w:color w:val="000000"/>
                                <w:spacing w:val="-3"/>
                                <w:sz w:val="20"/>
                                <w:lang w:val="es-MX"/>
                              </w:rPr>
                              <m:t>C</m:t>
                            </m:r>
                            <m:r>
                              <m:rPr>
                                <m:sty m:val="bi"/>
                              </m:rPr>
                              <w:rPr>
                                <w:rFonts w:ascii="Cambria Math" w:hAnsi="Cambria Math" w:cs="Arial"/>
                                <w:color w:val="000000"/>
                                <w:spacing w:val="-3"/>
                                <w:sz w:val="20"/>
                              </w:rPr>
                              <m:t>2</m:t>
                            </m:r>
                            <m:r>
                              <m:rPr>
                                <m:sty m:val="bi"/>
                              </m:rPr>
                              <w:rPr>
                                <w:rFonts w:ascii="Cambria Math" w:hAnsi="Cambria Math" w:cs="Arial"/>
                                <w:color w:val="000000"/>
                                <w:spacing w:val="-3"/>
                                <w:sz w:val="20"/>
                                <w:lang w:val="es-MX"/>
                              </w:rPr>
                              <m:t>H</m:t>
                            </m:r>
                            <m:r>
                              <m:rPr>
                                <m:sty m:val="bi"/>
                              </m:rPr>
                              <w:rPr>
                                <w:rFonts w:ascii="Cambria Math" w:hAnsi="Cambria Math" w:cs="Arial"/>
                                <w:color w:val="000000"/>
                                <w:spacing w:val="-3"/>
                                <w:sz w:val="20"/>
                              </w:rPr>
                              <m:t>4</m:t>
                            </m:r>
                          </m:sub>
                        </m:sSub>
                      </m:num>
                      <m:den>
                        <m:sSub>
                          <m:sSubPr>
                            <m:ctrlPr>
                              <w:rPr>
                                <w:rFonts w:ascii="Cambria Math" w:hAnsi="Cambria Math" w:cs="Arial"/>
                                <w:i/>
                                <w:iCs/>
                                <w:color w:val="000000"/>
                                <w:spacing w:val="-3"/>
                                <w:sz w:val="20"/>
                                <w:lang w:val="es-MX"/>
                              </w:rPr>
                            </m:ctrlPr>
                          </m:sSubPr>
                          <m:e>
                            <m:r>
                              <m:rPr>
                                <m:sty m:val="bi"/>
                              </m:rPr>
                              <w:rPr>
                                <w:rFonts w:ascii="Cambria Math" w:hAnsi="Cambria Math" w:cs="Arial"/>
                                <w:color w:val="000000"/>
                                <w:spacing w:val="-3"/>
                                <w:sz w:val="20"/>
                                <w:lang w:val="es-MX"/>
                              </w:rPr>
                              <m:t>b</m:t>
                            </m:r>
                          </m:e>
                          <m:sub>
                            <m:r>
                              <m:rPr>
                                <m:sty m:val="bi"/>
                              </m:rPr>
                              <w:rPr>
                                <w:rFonts w:ascii="Cambria Math" w:hAnsi="Cambria Math" w:cs="Arial"/>
                                <w:color w:val="000000"/>
                                <w:spacing w:val="-3"/>
                                <w:sz w:val="20"/>
                                <w:lang w:val="es-MX"/>
                              </w:rPr>
                              <m:t>C</m:t>
                            </m:r>
                            <m:r>
                              <m:rPr>
                                <m:sty m:val="bi"/>
                              </m:rPr>
                              <w:rPr>
                                <w:rFonts w:ascii="Cambria Math" w:hAnsi="Cambria Math" w:cs="Arial"/>
                                <w:color w:val="000000"/>
                                <w:spacing w:val="-3"/>
                                <w:sz w:val="20"/>
                              </w:rPr>
                              <m:t>2</m:t>
                            </m:r>
                            <m:r>
                              <m:rPr>
                                <m:sty m:val="bi"/>
                              </m:rPr>
                              <w:rPr>
                                <w:rFonts w:ascii="Cambria Math" w:hAnsi="Cambria Math" w:cs="Arial"/>
                                <w:color w:val="000000"/>
                                <w:spacing w:val="-3"/>
                                <w:sz w:val="20"/>
                                <w:lang w:val="es-MX"/>
                              </w:rPr>
                              <m:t>H</m:t>
                            </m:r>
                            <m:r>
                              <m:rPr>
                                <m:sty m:val="bi"/>
                              </m:rPr>
                              <w:rPr>
                                <w:rFonts w:ascii="Cambria Math" w:hAnsi="Cambria Math" w:cs="Arial"/>
                                <w:color w:val="000000"/>
                                <w:spacing w:val="-3"/>
                                <w:sz w:val="20"/>
                              </w:rPr>
                              <m:t>4</m:t>
                            </m:r>
                          </m:sub>
                        </m:sSub>
                        <m:d>
                          <m:dPr>
                            <m:ctrlPr>
                              <w:rPr>
                                <w:rFonts w:ascii="Cambria Math" w:hAnsi="Cambria Math" w:cs="Arial"/>
                                <w:i/>
                                <w:iCs/>
                                <w:color w:val="000000"/>
                                <w:spacing w:val="-3"/>
                                <w:sz w:val="20"/>
                                <w:lang w:val="es-MX"/>
                              </w:rPr>
                            </m:ctrlPr>
                          </m:dPr>
                          <m:e>
                            <m:r>
                              <m:rPr>
                                <m:sty m:val="bi"/>
                              </m:rPr>
                              <w:rPr>
                                <w:rFonts w:ascii="Cambria Math" w:hAnsi="Cambria Math" w:cs="Arial"/>
                                <w:color w:val="000000"/>
                                <w:spacing w:val="-3"/>
                                <w:sz w:val="20"/>
                                <w:lang w:val="es-MX"/>
                              </w:rPr>
                              <m:t>t</m:t>
                            </m:r>
                          </m:e>
                        </m:d>
                      </m:den>
                    </m:f>
                  </m:den>
                </m:f>
                <m:sSub>
                  <m:sSubPr>
                    <m:ctrlPr>
                      <w:rPr>
                        <w:rFonts w:ascii="Cambria Math" w:hAnsi="Cambria Math" w:cs="Arial"/>
                        <w:i/>
                        <w:iCs/>
                        <w:color w:val="000000"/>
                        <w:spacing w:val="-3"/>
                        <w:sz w:val="20"/>
                        <w:lang w:val="es-MX"/>
                      </w:rPr>
                    </m:ctrlPr>
                  </m:sSubPr>
                  <m:e>
                    <m:r>
                      <m:rPr>
                        <m:sty m:val="bi"/>
                      </m:rPr>
                      <w:rPr>
                        <w:rFonts w:ascii="Cambria Math" w:hAnsi="Cambria Math" w:cs="Arial"/>
                        <w:color w:val="000000"/>
                        <w:spacing w:val="-3"/>
                        <w:sz w:val="20"/>
                        <w:lang w:val="es-MX"/>
                      </w:rPr>
                      <m:t>m</m:t>
                    </m:r>
                  </m:e>
                  <m:sub>
                    <m:r>
                      <m:rPr>
                        <m:sty m:val="bi"/>
                      </m:rPr>
                      <w:rPr>
                        <w:rFonts w:ascii="Cambria Math" w:hAnsi="Cambria Math" w:cs="Arial"/>
                        <w:color w:val="000000"/>
                        <w:spacing w:val="-3"/>
                        <w:sz w:val="20"/>
                        <w:lang w:val="es-MX"/>
                      </w:rPr>
                      <m:t>i</m:t>
                    </m:r>
                  </m:sub>
                </m:sSub>
                <m:r>
                  <m:rPr>
                    <m:sty m:val="bi"/>
                  </m:rPr>
                  <w:rPr>
                    <w:rFonts w:ascii="Cambria Math" w:hAnsi="Cambria Math" w:cs="Arial"/>
                    <w:color w:val="000000"/>
                    <w:spacing w:val="-3"/>
                    <w:sz w:val="20"/>
                  </w:rPr>
                  <m:t xml:space="preserve">      </m:t>
                </m:r>
              </m:oMath>
            </m:oMathPara>
          </w:p>
        </w:tc>
        <w:tc>
          <w:tcPr>
            <w:tcW w:w="964" w:type="pct"/>
            <w:shd w:val="clear" w:color="auto" w:fill="auto"/>
          </w:tcPr>
          <w:p w14:paraId="124F1725" w14:textId="77777777" w:rsidR="00235724" w:rsidRDefault="00235724" w:rsidP="00902AC4">
            <w:pPr>
              <w:pStyle w:val="CETEquation"/>
              <w:cnfStyle w:val="000000000000" w:firstRow="0" w:lastRow="0" w:firstColumn="0" w:lastColumn="0" w:oddVBand="0" w:evenVBand="0" w:oddHBand="0" w:evenHBand="0" w:firstRowFirstColumn="0" w:firstRowLastColumn="0" w:lastRowFirstColumn="0" w:lastRowLastColumn="0"/>
            </w:pPr>
          </w:p>
          <w:p w14:paraId="7F37A348" w14:textId="77777777" w:rsidR="00235724" w:rsidRPr="00235724" w:rsidRDefault="00D50D0B" w:rsidP="00902AC4">
            <w:pPr>
              <w:pStyle w:val="CETEquation"/>
              <w:cnfStyle w:val="000000000000" w:firstRow="0" w:lastRow="0" w:firstColumn="0" w:lastColumn="0" w:oddVBand="0" w:evenVBand="0" w:oddHBand="0" w:evenHBand="0" w:firstRowFirstColumn="0" w:firstRowLastColumn="0" w:lastRowFirstColumn="0" w:lastRowLastColumn="0"/>
            </w:pPr>
            <w:r>
              <w:t xml:space="preserve">    </w:t>
            </w:r>
            <w:r w:rsidRPr="00235724">
              <w:t>(3)</w:t>
            </w:r>
          </w:p>
        </w:tc>
      </w:tr>
      <w:tr w:rsidR="00D139D0" w14:paraId="41561792" w14:textId="77777777" w:rsidTr="00D139D0">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4036" w:type="pct"/>
            <w:shd w:val="clear" w:color="auto" w:fill="auto"/>
          </w:tcPr>
          <w:p w14:paraId="0AD599CC" w14:textId="77777777" w:rsidR="00235724" w:rsidRPr="00334C0C" w:rsidRDefault="00D50D0B" w:rsidP="000E5889">
            <w:pPr>
              <w:pStyle w:val="Prrafodelista"/>
              <w:widowControl w:val="0"/>
              <w:autoSpaceDE w:val="0"/>
              <w:autoSpaceDN w:val="0"/>
              <w:adjustRightInd w:val="0"/>
              <w:spacing w:line="22" w:lineRule="atLeast"/>
              <w:ind w:left="0" w:right="49"/>
              <w:contextualSpacing w:val="0"/>
              <w:jc w:val="center"/>
              <w:rPr>
                <w:rFonts w:eastAsia="Calibri" w:cs="Arial"/>
                <w:color w:val="000000"/>
                <w:spacing w:val="-3"/>
                <w:szCs w:val="18"/>
                <w:lang w:val="es-MX"/>
              </w:rPr>
            </w:pPr>
            <m:oMathPara>
              <m:oMathParaPr>
                <m:jc m:val="left"/>
              </m:oMathParaPr>
              <m:oMath>
                <m:r>
                  <m:rPr>
                    <m:sty m:val="bi"/>
                  </m:rPr>
                  <w:rPr>
                    <w:rFonts w:ascii="Cambria Math" w:hAnsi="Cambria Math" w:cs="Arial"/>
                    <w:color w:val="000000"/>
                    <w:spacing w:val="-3"/>
                    <w:sz w:val="20"/>
                    <w:lang w:val="es-MX"/>
                  </w:rPr>
                  <m:t>AP=</m:t>
                </m:r>
                <m:f>
                  <m:fPr>
                    <m:ctrlPr>
                      <w:rPr>
                        <w:rFonts w:ascii="Cambria Math" w:hAnsi="Cambria Math" w:cs="Arial"/>
                        <w:i/>
                        <w:color w:val="000000"/>
                        <w:spacing w:val="-3"/>
                        <w:sz w:val="20"/>
                        <w:lang w:val="es-MX"/>
                      </w:rPr>
                    </m:ctrlPr>
                  </m:fPr>
                  <m:num>
                    <m:r>
                      <m:rPr>
                        <m:sty m:val="bi"/>
                      </m:rPr>
                      <w:rPr>
                        <w:rFonts w:ascii="Cambria Math" w:hAnsi="Cambria Math" w:cs="Arial"/>
                        <w:color w:val="000000"/>
                        <w:spacing w:val="-3"/>
                        <w:sz w:val="20"/>
                        <w:lang w:val="es-MX"/>
                      </w:rPr>
                      <m:t>(Vi/Mi )</m:t>
                    </m:r>
                  </m:num>
                  <m:den>
                    <m:r>
                      <m:rPr>
                        <m:sty m:val="bi"/>
                      </m:rPr>
                      <w:rPr>
                        <w:rFonts w:ascii="Cambria Math" w:hAnsi="Cambria Math" w:cs="Arial"/>
                        <w:color w:val="000000"/>
                        <w:spacing w:val="-3"/>
                        <w:sz w:val="20"/>
                        <w:lang w:val="es-MX"/>
                      </w:rPr>
                      <m:t>(</m:t>
                    </m:r>
                    <m:sSub>
                      <m:sSubPr>
                        <m:ctrlPr>
                          <w:rPr>
                            <w:rFonts w:ascii="Cambria Math" w:hAnsi="Cambria Math" w:cs="Arial"/>
                            <w:b w:val="0"/>
                            <w:bCs w:val="0"/>
                            <w:i/>
                            <w:color w:val="000000"/>
                            <w:spacing w:val="-3"/>
                            <w:sz w:val="20"/>
                            <w:lang w:val="es-MX"/>
                          </w:rPr>
                        </m:ctrlPr>
                      </m:sSubPr>
                      <m:e>
                        <m:r>
                          <m:rPr>
                            <m:sty m:val="bi"/>
                          </m:rPr>
                          <w:rPr>
                            <w:rFonts w:ascii="Cambria Math" w:hAnsi="Cambria Math" w:cs="Arial"/>
                            <w:color w:val="000000"/>
                            <w:spacing w:val="-3"/>
                            <w:sz w:val="20"/>
                            <w:lang w:val="es-MX"/>
                          </w:rPr>
                          <m:t>V</m:t>
                        </m:r>
                        <m:ctrlPr>
                          <w:rPr>
                            <w:rFonts w:ascii="Cambria Math" w:hAnsi="Cambria Math" w:cs="Arial"/>
                            <w:i/>
                            <w:iCs/>
                            <w:color w:val="000000"/>
                            <w:spacing w:val="-3"/>
                            <w:sz w:val="20"/>
                            <w:lang w:val="es-MX"/>
                          </w:rPr>
                        </m:ctrlPr>
                      </m:e>
                      <m:sub>
                        <m:r>
                          <m:rPr>
                            <m:sty m:val="bi"/>
                          </m:rPr>
                          <w:rPr>
                            <w:rFonts w:ascii="Cambria Math" w:hAnsi="Cambria Math" w:cs="Arial"/>
                            <w:color w:val="000000"/>
                            <w:spacing w:val="-3"/>
                            <w:sz w:val="20"/>
                            <w:lang w:val="es-MX"/>
                          </w:rPr>
                          <m:t>SO</m:t>
                        </m:r>
                        <m:r>
                          <m:rPr>
                            <m:sty m:val="bi"/>
                          </m:rPr>
                          <w:rPr>
                            <w:rFonts w:ascii="Cambria Math" w:hAnsi="Cambria Math" w:cs="Arial"/>
                            <w:color w:val="000000"/>
                            <w:spacing w:val="-3"/>
                            <w:sz w:val="20"/>
                            <w:lang w:val="es-MX"/>
                          </w:rPr>
                          <m:t>2</m:t>
                        </m:r>
                      </m:sub>
                    </m:sSub>
                    <m:r>
                      <m:rPr>
                        <m:sty m:val="bi"/>
                      </m:rPr>
                      <w:rPr>
                        <w:rFonts w:ascii="Cambria Math" w:hAnsi="Cambria Math" w:cs="Arial"/>
                        <w:color w:val="000000"/>
                        <w:spacing w:val="-3"/>
                        <w:sz w:val="20"/>
                        <w:lang w:val="es-MX"/>
                      </w:rPr>
                      <m:t>/</m:t>
                    </m:r>
                    <m:sSub>
                      <m:sSubPr>
                        <m:ctrlPr>
                          <w:rPr>
                            <w:rFonts w:ascii="Cambria Math" w:hAnsi="Cambria Math" w:cs="Arial"/>
                            <w:b w:val="0"/>
                            <w:bCs w:val="0"/>
                            <w:i/>
                            <w:color w:val="000000"/>
                            <w:spacing w:val="-3"/>
                            <w:sz w:val="20"/>
                            <w:lang w:val="es-MX"/>
                          </w:rPr>
                        </m:ctrlPr>
                      </m:sSubPr>
                      <m:e>
                        <m:r>
                          <m:rPr>
                            <m:sty m:val="bi"/>
                          </m:rPr>
                          <w:rPr>
                            <w:rFonts w:ascii="Cambria Math" w:hAnsi="Cambria Math" w:cs="Arial"/>
                            <w:color w:val="000000"/>
                            <w:spacing w:val="-3"/>
                            <w:sz w:val="20"/>
                            <w:lang w:val="es-MX"/>
                          </w:rPr>
                          <m:t>M</m:t>
                        </m:r>
                        <m:ctrlPr>
                          <w:rPr>
                            <w:rFonts w:ascii="Cambria Math" w:hAnsi="Cambria Math" w:cs="Arial"/>
                            <w:i/>
                            <w:iCs/>
                            <w:color w:val="000000"/>
                            <w:spacing w:val="-3"/>
                            <w:sz w:val="20"/>
                            <w:lang w:val="es-MX"/>
                          </w:rPr>
                        </m:ctrlPr>
                      </m:e>
                      <m:sub>
                        <m:r>
                          <m:rPr>
                            <m:sty m:val="bi"/>
                          </m:rPr>
                          <w:rPr>
                            <w:rFonts w:ascii="Cambria Math" w:hAnsi="Cambria Math" w:cs="Arial"/>
                            <w:color w:val="000000"/>
                            <w:spacing w:val="-3"/>
                            <w:sz w:val="20"/>
                            <w:lang w:val="es-MX"/>
                          </w:rPr>
                          <m:t>SO</m:t>
                        </m:r>
                        <m:r>
                          <m:rPr>
                            <m:sty m:val="bi"/>
                          </m:rPr>
                          <w:rPr>
                            <w:rFonts w:ascii="Cambria Math" w:hAnsi="Cambria Math" w:cs="Arial"/>
                            <w:color w:val="000000"/>
                            <w:spacing w:val="-3"/>
                            <w:sz w:val="20"/>
                            <w:lang w:val="es-MX"/>
                          </w:rPr>
                          <m:t xml:space="preserve">2 </m:t>
                        </m:r>
                      </m:sub>
                    </m:sSub>
                    <m:r>
                      <m:rPr>
                        <m:sty m:val="bi"/>
                      </m:rPr>
                      <w:rPr>
                        <w:rFonts w:ascii="Cambria Math" w:hAnsi="Cambria Math" w:cs="Arial"/>
                        <w:color w:val="000000"/>
                        <w:spacing w:val="-3"/>
                        <w:sz w:val="20"/>
                        <w:lang w:val="es-MX"/>
                      </w:rPr>
                      <m:t>)</m:t>
                    </m:r>
                  </m:den>
                </m:f>
              </m:oMath>
            </m:oMathPara>
          </w:p>
        </w:tc>
        <w:tc>
          <w:tcPr>
            <w:tcW w:w="964" w:type="pct"/>
            <w:shd w:val="clear" w:color="auto" w:fill="auto"/>
          </w:tcPr>
          <w:p w14:paraId="3F79DE68" w14:textId="61157DA7" w:rsidR="00235724" w:rsidRPr="00235724" w:rsidRDefault="00D50D0B" w:rsidP="00902AC4">
            <w:pPr>
              <w:pStyle w:val="CETEquation"/>
              <w:cnfStyle w:val="000000100000" w:firstRow="0" w:lastRow="0" w:firstColumn="0" w:lastColumn="0" w:oddVBand="0" w:evenVBand="0" w:oddHBand="1" w:evenHBand="0" w:firstRowFirstColumn="0" w:firstRowLastColumn="0" w:lastRowFirstColumn="0" w:lastRowLastColumn="0"/>
              <w:rPr>
                <w:rFonts w:eastAsia="Calibri"/>
                <w:lang w:val="es-MX"/>
              </w:rPr>
            </w:pPr>
            <w:r>
              <w:rPr>
                <w:rFonts w:eastAsia="Calibri"/>
                <w:lang w:val="es-MX"/>
              </w:rPr>
              <w:t xml:space="preserve">  </w:t>
            </w:r>
            <w:r w:rsidR="00C4066B">
              <w:rPr>
                <w:rFonts w:eastAsia="Calibri"/>
                <w:lang w:val="es-MX"/>
              </w:rPr>
              <w:t xml:space="preserve">  </w:t>
            </w:r>
            <w:r w:rsidRPr="00235724">
              <w:rPr>
                <w:rFonts w:eastAsia="Calibri"/>
                <w:lang w:val="es-MX"/>
              </w:rPr>
              <w:t>(4)</w:t>
            </w:r>
          </w:p>
        </w:tc>
      </w:tr>
    </w:tbl>
    <w:bookmarkEnd w:id="0"/>
    <w:p w14:paraId="1ED30313" w14:textId="77777777" w:rsidR="00A607A2" w:rsidRDefault="00D50D0B" w:rsidP="00B04557">
      <w:pPr>
        <w:pStyle w:val="CETBodytext"/>
        <w:rPr>
          <w:b/>
          <w:i/>
          <w:iCs/>
        </w:rPr>
      </w:pPr>
      <w:r w:rsidRPr="00ED1DF1">
        <w:t>The atmospheric categories are in turn divided into global; that measure Ozone concentration (</w:t>
      </w:r>
      <w:r w:rsidRPr="00ED1DF1">
        <w:rPr>
          <w:lang w:val="en-GB"/>
        </w:rPr>
        <w:t>O</w:t>
      </w:r>
      <w:r w:rsidRPr="00ED1DF1">
        <w:rPr>
          <w:vertAlign w:val="subscript"/>
          <w:lang w:val="en-GB"/>
        </w:rPr>
        <w:t>3</w:t>
      </w:r>
      <w:r w:rsidRPr="00ED1DF1">
        <w:t>) and Carbon dioxide emission (aCO</w:t>
      </w:r>
      <w:r w:rsidRPr="00ED1DF1">
        <w:rPr>
          <w:vertAlign w:val="subscript"/>
        </w:rPr>
        <w:t>2</w:t>
      </w:r>
      <w:r w:rsidRPr="00ED1DF1">
        <w:t>), Eq. (1) and Eq. (2), respectively, and regionals; which evaluate the Change in ethylene emission (aC</w:t>
      </w:r>
      <w:r w:rsidRPr="00ED1DF1">
        <w:rPr>
          <w:vertAlign w:val="subscript"/>
        </w:rPr>
        <w:t>2</w:t>
      </w:r>
      <w:r w:rsidRPr="00ED1DF1">
        <w:t>H</w:t>
      </w:r>
      <w:r w:rsidRPr="00ED1DF1">
        <w:rPr>
          <w:vertAlign w:val="subscript"/>
        </w:rPr>
        <w:t>4</w:t>
      </w:r>
      <w:r w:rsidRPr="00ED1DF1">
        <w:t>) and Acidification potential for SO</w:t>
      </w:r>
      <w:r w:rsidRPr="00ED1DF1">
        <w:rPr>
          <w:vertAlign w:val="subscript"/>
        </w:rPr>
        <w:t>2</w:t>
      </w:r>
      <w:r w:rsidRPr="00ED1DF1">
        <w:t xml:space="preserve"> (VSO</w:t>
      </w:r>
      <w:r w:rsidRPr="00ED1DF1">
        <w:rPr>
          <w:vertAlign w:val="subscript"/>
        </w:rPr>
        <w:t>2</w:t>
      </w:r>
      <w:r w:rsidRPr="00ED1DF1">
        <w:t xml:space="preserve">), Eq. (3) and Eq. (4), respectively </w:t>
      </w:r>
      <w:r w:rsidRPr="00ED1DF1">
        <w:rPr>
          <w:i/>
          <w:iCs/>
        </w:rPr>
        <w:fldChar w:fldCharType="begin" w:fldLock="1"/>
      </w:r>
      <w:r w:rsidR="00272A9A">
        <w:rPr>
          <w:i/>
          <w:iCs/>
        </w:rPr>
        <w:instrText>ADDIN CSL_CITATION {"citationItems":[{"id":"ITEM-1","itemData":{"DOI":"10.1016/S0098-1354(99)00306-3","author":[{"dropping-particle":"","family":"Young","given":"Douglas M","non-dropping-particle":"","parse-names":false,"suffix":""},{"dropping-particle":"","family":"Cabezas","given":"Heriberto","non-dropping-particle":"","parse-names":false,"suffix":""}],"container-title":"Computers &amp; Chemical Engineering","id":"ITEM-1","issue":"December","issued":{"date-parts":[["1999"]]},"page":"1477-1491","title":"Designing sustainable processes with simulation: the waste reduction (WAR) algorithm","type":"article-journal","volume":"1354"},"uris":["http://www.mendeley.com/documents/?uuid=03dcb506-7418-4a3d-8d38-6d90844cd96b"]}],"mendeley":{"formattedCitation":"(Young &amp; Cabezas, 1999)","manualFormatting":"(Young and Cabezas, 1999)","plainTextFormattedCitation":"(Young &amp; Cabezas, 1999)","previouslyFormattedCitation":"(Young &amp; Cabezas, 1999)"},"properties":{"noteIndex":0},"schema":"https://github.com/citation-style-language/schema/raw/master/csl-citation.json"}</w:instrText>
      </w:r>
      <w:r w:rsidRPr="00ED1DF1">
        <w:rPr>
          <w:i/>
          <w:iCs/>
        </w:rPr>
        <w:fldChar w:fldCharType="separate"/>
      </w:r>
      <w:r w:rsidR="00CB715F" w:rsidRPr="00ED1DF1">
        <w:rPr>
          <w:iCs/>
          <w:noProof/>
        </w:rPr>
        <w:t>(Young and Cabezas</w:t>
      </w:r>
      <w:r w:rsidR="00C104F1" w:rsidRPr="00ED1DF1">
        <w:rPr>
          <w:iCs/>
          <w:noProof/>
        </w:rPr>
        <w:t>,</w:t>
      </w:r>
      <w:r w:rsidR="00CB715F" w:rsidRPr="00ED1DF1">
        <w:rPr>
          <w:iCs/>
          <w:noProof/>
        </w:rPr>
        <w:t xml:space="preserve"> 1999)</w:t>
      </w:r>
      <w:r w:rsidRPr="00ED1DF1">
        <w:rPr>
          <w:i/>
          <w:iCs/>
        </w:rPr>
        <w:fldChar w:fldCharType="end"/>
      </w:r>
      <w:r w:rsidRPr="00B04557">
        <w:rPr>
          <w:i/>
          <w:iCs/>
        </w:rPr>
        <w:t>.</w:t>
      </w:r>
    </w:p>
    <w:tbl>
      <w:tblPr>
        <w:tblStyle w:val="Tabladecuadrcula2"/>
        <w:tblW w:w="4940" w:type="pct"/>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6982"/>
        <w:gridCol w:w="1700"/>
      </w:tblGrid>
      <w:tr w:rsidR="00D139D0" w14:paraId="7D6388D8" w14:textId="77777777" w:rsidTr="00D139D0">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4021" w:type="pct"/>
            <w:tcBorders>
              <w:bottom w:val="none" w:sz="0" w:space="0" w:color="auto"/>
              <w:right w:val="none" w:sz="0" w:space="0" w:color="auto"/>
            </w:tcBorders>
            <w:shd w:val="clear" w:color="auto" w:fill="auto"/>
          </w:tcPr>
          <w:p w14:paraId="2029AAE0" w14:textId="77777777" w:rsidR="00235724" w:rsidRPr="00334C0C" w:rsidRDefault="00D50D0B" w:rsidP="000E5889">
            <w:pPr>
              <w:pStyle w:val="Prrafodelista"/>
              <w:widowControl w:val="0"/>
              <w:autoSpaceDE w:val="0"/>
              <w:autoSpaceDN w:val="0"/>
              <w:adjustRightInd w:val="0"/>
              <w:spacing w:line="22" w:lineRule="atLeast"/>
              <w:ind w:left="0" w:right="49"/>
              <w:contextualSpacing w:val="0"/>
              <w:jc w:val="center"/>
              <w:rPr>
                <w:rFonts w:eastAsia="Calibri" w:cs="Arial"/>
                <w:iCs/>
                <w:color w:val="000000"/>
                <w:spacing w:val="-3"/>
                <w:szCs w:val="18"/>
              </w:rPr>
            </w:pPr>
            <m:oMathPara>
              <m:oMathParaPr>
                <m:jc m:val="left"/>
              </m:oMathParaPr>
              <m:oMath>
                <m:r>
                  <m:rPr>
                    <m:sty m:val="bi"/>
                  </m:rPr>
                  <w:rPr>
                    <w:rFonts w:ascii="Cambria Math" w:hAnsi="Cambria Math" w:cs="Arial"/>
                    <w:color w:val="000000"/>
                    <w:spacing w:val="-3"/>
                    <w:sz w:val="20"/>
                  </w:rPr>
                  <m:t>HTPI=</m:t>
                </m:r>
                <m:f>
                  <m:fPr>
                    <m:ctrlPr>
                      <w:rPr>
                        <w:rFonts w:ascii="Cambria Math" w:hAnsi="Cambria Math" w:cs="Arial"/>
                        <w:i/>
                        <w:iCs/>
                        <w:color w:val="000000"/>
                        <w:spacing w:val="-3"/>
                        <w:sz w:val="20"/>
                      </w:rPr>
                    </m:ctrlPr>
                  </m:fPr>
                  <m:num>
                    <m:r>
                      <m:rPr>
                        <m:sty m:val="bi"/>
                      </m:rPr>
                      <w:rPr>
                        <w:rFonts w:ascii="Cambria Math" w:hAnsi="Cambria Math" w:cs="Arial"/>
                        <w:color w:val="000000"/>
                        <w:spacing w:val="-3"/>
                        <w:sz w:val="20"/>
                      </w:rPr>
                      <m:t>1</m:t>
                    </m:r>
                  </m:num>
                  <m:den>
                    <m:r>
                      <m:rPr>
                        <m:sty m:val="bi"/>
                      </m:rPr>
                      <w:rPr>
                        <w:rFonts w:ascii="Cambria Math" w:hAnsi="Cambria Math" w:cs="Arial"/>
                        <w:color w:val="000000"/>
                        <w:spacing w:val="-3"/>
                        <w:sz w:val="20"/>
                      </w:rPr>
                      <m:t>L</m:t>
                    </m:r>
                    <m:sSub>
                      <m:sSubPr>
                        <m:ctrlPr>
                          <w:rPr>
                            <w:rFonts w:ascii="Cambria Math" w:hAnsi="Cambria Math" w:cs="Arial"/>
                            <w:i/>
                            <w:iCs/>
                            <w:color w:val="000000"/>
                            <w:spacing w:val="-3"/>
                            <w:sz w:val="20"/>
                          </w:rPr>
                        </m:ctrlPr>
                      </m:sSubPr>
                      <m:e>
                        <m:r>
                          <m:rPr>
                            <m:sty m:val="bi"/>
                          </m:rPr>
                          <w:rPr>
                            <w:rFonts w:ascii="Cambria Math" w:hAnsi="Cambria Math" w:cs="Arial"/>
                            <w:color w:val="000000"/>
                            <w:spacing w:val="-3"/>
                            <w:sz w:val="20"/>
                          </w:rPr>
                          <m:t>D</m:t>
                        </m:r>
                      </m:e>
                      <m:sub>
                        <m:r>
                          <m:rPr>
                            <m:sty m:val="bi"/>
                          </m:rPr>
                          <w:rPr>
                            <w:rFonts w:ascii="Cambria Math" w:hAnsi="Cambria Math" w:cs="Arial"/>
                            <w:color w:val="000000"/>
                            <w:spacing w:val="-3"/>
                            <w:sz w:val="20"/>
                          </w:rPr>
                          <m:t>50</m:t>
                        </m:r>
                      </m:sub>
                    </m:sSub>
                  </m:den>
                </m:f>
              </m:oMath>
            </m:oMathPara>
          </w:p>
          <w:p w14:paraId="798D04F9" w14:textId="77777777" w:rsidR="00235724" w:rsidRPr="00334C0C" w:rsidRDefault="00235724" w:rsidP="000E5889">
            <w:pPr>
              <w:pStyle w:val="Prrafodelista"/>
              <w:widowControl w:val="0"/>
              <w:autoSpaceDE w:val="0"/>
              <w:autoSpaceDN w:val="0"/>
              <w:adjustRightInd w:val="0"/>
              <w:spacing w:line="22" w:lineRule="atLeast"/>
              <w:ind w:left="0" w:right="49"/>
              <w:contextualSpacing w:val="0"/>
              <w:jc w:val="center"/>
              <w:rPr>
                <w:rFonts w:eastAsia="Calibri" w:cs="Arial"/>
                <w:color w:val="000000"/>
                <w:spacing w:val="-3"/>
                <w:szCs w:val="18"/>
                <w:lang w:val="es-MX"/>
              </w:rPr>
            </w:pPr>
          </w:p>
        </w:tc>
        <w:tc>
          <w:tcPr>
            <w:tcW w:w="979" w:type="pct"/>
            <w:tcBorders>
              <w:bottom w:val="none" w:sz="0" w:space="0" w:color="auto"/>
            </w:tcBorders>
            <w:shd w:val="clear" w:color="auto" w:fill="auto"/>
          </w:tcPr>
          <w:p w14:paraId="3204CE1A" w14:textId="77777777" w:rsidR="00235724" w:rsidRPr="00902AC4" w:rsidRDefault="00D50D0B" w:rsidP="00902AC4">
            <w:pPr>
              <w:pStyle w:val="CETEquation"/>
              <w:cnfStyle w:val="100000000000" w:firstRow="1" w:lastRow="0" w:firstColumn="0" w:lastColumn="0" w:oddVBand="0" w:evenVBand="0" w:oddHBand="0" w:evenHBand="0" w:firstRowFirstColumn="0" w:firstRowLastColumn="0" w:lastRowFirstColumn="0" w:lastRowLastColumn="0"/>
              <w:rPr>
                <w:rFonts w:eastAsia="Calibri"/>
                <w:lang w:val="es-MX"/>
              </w:rPr>
            </w:pPr>
            <w:r>
              <w:rPr>
                <w:rFonts w:eastAsia="Calibri"/>
                <w:b w:val="0"/>
                <w:bCs w:val="0"/>
                <w:lang w:val="es-MX"/>
              </w:rPr>
              <w:t xml:space="preserve">   </w:t>
            </w:r>
            <w:r w:rsidRPr="00902AC4">
              <w:rPr>
                <w:rFonts w:eastAsia="Calibri"/>
                <w:b w:val="0"/>
                <w:bCs w:val="0"/>
                <w:lang w:val="es-MX"/>
              </w:rPr>
              <w:t>(5)</w:t>
            </w:r>
          </w:p>
        </w:tc>
      </w:tr>
      <w:tr w:rsidR="00D139D0" w14:paraId="696F2C70" w14:textId="77777777" w:rsidTr="00D139D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021" w:type="pct"/>
            <w:shd w:val="clear" w:color="auto" w:fill="auto"/>
          </w:tcPr>
          <w:p w14:paraId="6E85B8A8" w14:textId="77777777" w:rsidR="00235724" w:rsidRPr="00334C0C" w:rsidRDefault="00D50D0B" w:rsidP="000E5889">
            <w:pPr>
              <w:pStyle w:val="Prrafodelista"/>
              <w:widowControl w:val="0"/>
              <w:autoSpaceDE w:val="0"/>
              <w:autoSpaceDN w:val="0"/>
              <w:adjustRightInd w:val="0"/>
              <w:spacing w:line="22" w:lineRule="atLeast"/>
              <w:ind w:left="0" w:right="49"/>
              <w:contextualSpacing w:val="0"/>
              <w:jc w:val="center"/>
              <w:rPr>
                <w:rFonts w:eastAsia="Calibri" w:cs="Arial"/>
                <w:color w:val="000000"/>
                <w:spacing w:val="-3"/>
                <w:szCs w:val="18"/>
              </w:rPr>
            </w:pPr>
            <m:oMathPara>
              <m:oMathParaPr>
                <m:jc m:val="left"/>
              </m:oMathParaPr>
              <m:oMath>
                <m:r>
                  <m:rPr>
                    <m:sty m:val="bi"/>
                  </m:rPr>
                  <w:rPr>
                    <w:rFonts w:ascii="Cambria Math" w:hAnsi="Cambria Math" w:cs="Arial"/>
                    <w:color w:val="000000"/>
                    <w:spacing w:val="-3"/>
                    <w:sz w:val="20"/>
                  </w:rPr>
                  <m:t>HTPE=</m:t>
                </m:r>
                <m:f>
                  <m:fPr>
                    <m:ctrlPr>
                      <w:rPr>
                        <w:rFonts w:ascii="Cambria Math" w:hAnsi="Cambria Math" w:cs="Arial"/>
                        <w:i/>
                        <w:iCs/>
                        <w:color w:val="000000"/>
                        <w:spacing w:val="-3"/>
                        <w:sz w:val="20"/>
                      </w:rPr>
                    </m:ctrlPr>
                  </m:fPr>
                  <m:num>
                    <m:r>
                      <m:rPr>
                        <m:sty m:val="bi"/>
                      </m:rPr>
                      <w:rPr>
                        <w:rFonts w:ascii="Cambria Math" w:hAnsi="Cambria Math" w:cs="Arial"/>
                        <w:color w:val="000000"/>
                        <w:spacing w:val="-3"/>
                        <w:sz w:val="20"/>
                      </w:rPr>
                      <m:t>1</m:t>
                    </m:r>
                  </m:num>
                  <m:den>
                    <m:r>
                      <m:rPr>
                        <m:sty m:val="bi"/>
                      </m:rPr>
                      <w:rPr>
                        <w:rFonts w:ascii="Cambria Math" w:hAnsi="Cambria Math" w:cs="Arial"/>
                        <w:color w:val="000000"/>
                        <w:spacing w:val="-3"/>
                        <w:sz w:val="20"/>
                      </w:rPr>
                      <m:t>TLV</m:t>
                    </m:r>
                  </m:den>
                </m:f>
              </m:oMath>
            </m:oMathPara>
          </w:p>
        </w:tc>
        <w:tc>
          <w:tcPr>
            <w:tcW w:w="979" w:type="pct"/>
            <w:tcBorders>
              <w:left w:val="nil"/>
            </w:tcBorders>
            <w:shd w:val="clear" w:color="auto" w:fill="auto"/>
          </w:tcPr>
          <w:p w14:paraId="1B09FE58" w14:textId="77777777" w:rsidR="00235724" w:rsidRPr="00902AC4" w:rsidRDefault="00D50D0B" w:rsidP="00902AC4">
            <w:pPr>
              <w:pStyle w:val="CETEquation"/>
              <w:cnfStyle w:val="000000100000" w:firstRow="0" w:lastRow="0" w:firstColumn="0" w:lastColumn="0" w:oddVBand="0" w:evenVBand="0" w:oddHBand="1" w:evenHBand="0" w:firstRowFirstColumn="0" w:firstRowLastColumn="0" w:lastRowFirstColumn="0" w:lastRowLastColumn="0"/>
              <w:rPr>
                <w:rFonts w:eastAsia="Calibri"/>
              </w:rPr>
            </w:pPr>
            <w:r w:rsidRPr="00902AC4">
              <w:rPr>
                <w:rFonts w:eastAsia="Calibri"/>
              </w:rPr>
              <w:t xml:space="preserve"> </w:t>
            </w:r>
            <w:r w:rsidR="00902AC4">
              <w:rPr>
                <w:rFonts w:eastAsia="Calibri"/>
              </w:rPr>
              <w:t xml:space="preserve">  </w:t>
            </w:r>
            <w:r w:rsidRPr="00902AC4">
              <w:rPr>
                <w:rFonts w:eastAsia="Calibri"/>
              </w:rPr>
              <w:t>(6)</w:t>
            </w:r>
          </w:p>
        </w:tc>
      </w:tr>
      <w:tr w:rsidR="00D139D0" w14:paraId="0E23A988" w14:textId="77777777" w:rsidTr="00D139D0">
        <w:tc>
          <w:tcPr>
            <w:cnfStyle w:val="001000000000" w:firstRow="0" w:lastRow="0" w:firstColumn="1" w:lastColumn="0" w:oddVBand="0" w:evenVBand="0" w:oddHBand="0" w:evenHBand="0" w:firstRowFirstColumn="0" w:firstRowLastColumn="0" w:lastRowFirstColumn="0" w:lastRowLastColumn="0"/>
            <w:tcW w:w="4021" w:type="pct"/>
            <w:shd w:val="clear" w:color="auto" w:fill="auto"/>
          </w:tcPr>
          <w:p w14:paraId="6908C6E9" w14:textId="77777777" w:rsidR="00235724" w:rsidRPr="00334C0C" w:rsidRDefault="00D50D0B" w:rsidP="000E5889">
            <w:pPr>
              <w:pStyle w:val="Prrafodelista"/>
              <w:widowControl w:val="0"/>
              <w:autoSpaceDE w:val="0"/>
              <w:autoSpaceDN w:val="0"/>
              <w:adjustRightInd w:val="0"/>
              <w:spacing w:line="22" w:lineRule="atLeast"/>
              <w:ind w:left="0" w:right="49"/>
              <w:contextualSpacing w:val="0"/>
              <w:jc w:val="center"/>
              <w:rPr>
                <w:rFonts w:eastAsia="Calibri" w:cs="Arial"/>
                <w:iCs/>
                <w:color w:val="000000"/>
                <w:spacing w:val="-3"/>
                <w:szCs w:val="18"/>
              </w:rPr>
            </w:pPr>
            <m:oMathPara>
              <m:oMathParaPr>
                <m:jc m:val="left"/>
              </m:oMathParaPr>
              <m:oMath>
                <m:r>
                  <m:rPr>
                    <m:sty m:val="bi"/>
                  </m:rPr>
                  <w:rPr>
                    <w:rFonts w:ascii="Cambria Math" w:hAnsi="Cambria Math" w:cs="Arial"/>
                    <w:color w:val="000000"/>
                    <w:spacing w:val="-3"/>
                    <w:sz w:val="20"/>
                  </w:rPr>
                  <m:t>ATP=</m:t>
                </m:r>
                <m:f>
                  <m:fPr>
                    <m:ctrlPr>
                      <w:rPr>
                        <w:rFonts w:ascii="Cambria Math" w:hAnsi="Cambria Math" w:cs="Arial"/>
                        <w:i/>
                        <w:iCs/>
                        <w:color w:val="000000"/>
                        <w:spacing w:val="-3"/>
                        <w:sz w:val="20"/>
                      </w:rPr>
                    </m:ctrlPr>
                  </m:fPr>
                  <m:num>
                    <m:r>
                      <m:rPr>
                        <m:sty m:val="bi"/>
                      </m:rPr>
                      <w:rPr>
                        <w:rFonts w:ascii="Cambria Math" w:hAnsi="Cambria Math" w:cs="Arial"/>
                        <w:color w:val="000000"/>
                        <w:spacing w:val="-3"/>
                        <w:sz w:val="20"/>
                      </w:rPr>
                      <m:t>1</m:t>
                    </m:r>
                  </m:num>
                  <m:den>
                    <m:r>
                      <m:rPr>
                        <m:sty m:val="bi"/>
                      </m:rPr>
                      <w:rPr>
                        <w:rFonts w:ascii="Cambria Math" w:hAnsi="Cambria Math" w:cs="Arial"/>
                        <w:color w:val="000000"/>
                        <w:spacing w:val="-3"/>
                        <w:sz w:val="20"/>
                      </w:rPr>
                      <m:t>L</m:t>
                    </m:r>
                    <m:sSub>
                      <m:sSubPr>
                        <m:ctrlPr>
                          <w:rPr>
                            <w:rFonts w:ascii="Cambria Math" w:hAnsi="Cambria Math" w:cs="Arial"/>
                            <w:i/>
                            <w:iCs/>
                            <w:color w:val="000000"/>
                            <w:spacing w:val="-3"/>
                            <w:sz w:val="20"/>
                          </w:rPr>
                        </m:ctrlPr>
                      </m:sSubPr>
                      <m:e>
                        <m:r>
                          <m:rPr>
                            <m:sty m:val="bi"/>
                          </m:rPr>
                          <w:rPr>
                            <w:rFonts w:ascii="Cambria Math" w:hAnsi="Cambria Math" w:cs="Arial"/>
                            <w:color w:val="000000"/>
                            <w:spacing w:val="-3"/>
                            <w:sz w:val="20"/>
                          </w:rPr>
                          <m:t>C</m:t>
                        </m:r>
                      </m:e>
                      <m:sub>
                        <m:r>
                          <m:rPr>
                            <m:sty m:val="bi"/>
                          </m:rPr>
                          <w:rPr>
                            <w:rFonts w:ascii="Cambria Math" w:hAnsi="Cambria Math" w:cs="Arial"/>
                            <w:color w:val="000000"/>
                            <w:spacing w:val="-3"/>
                            <w:sz w:val="20"/>
                          </w:rPr>
                          <m:t>50</m:t>
                        </m:r>
                      </m:sub>
                    </m:sSub>
                  </m:den>
                </m:f>
              </m:oMath>
            </m:oMathPara>
          </w:p>
          <w:p w14:paraId="10C3CD03" w14:textId="77777777" w:rsidR="00235724" w:rsidRPr="00334C0C" w:rsidRDefault="00235724" w:rsidP="000E5889">
            <w:pPr>
              <w:pStyle w:val="Prrafodelista"/>
              <w:widowControl w:val="0"/>
              <w:autoSpaceDE w:val="0"/>
              <w:autoSpaceDN w:val="0"/>
              <w:adjustRightInd w:val="0"/>
              <w:spacing w:line="22" w:lineRule="atLeast"/>
              <w:ind w:left="0" w:right="49"/>
              <w:contextualSpacing w:val="0"/>
              <w:jc w:val="center"/>
              <w:rPr>
                <w:rFonts w:eastAsia="Calibri" w:cs="Arial"/>
                <w:color w:val="000000"/>
                <w:spacing w:val="-3"/>
                <w:szCs w:val="18"/>
              </w:rPr>
            </w:pPr>
          </w:p>
        </w:tc>
        <w:tc>
          <w:tcPr>
            <w:tcW w:w="979" w:type="pct"/>
            <w:tcBorders>
              <w:left w:val="nil"/>
            </w:tcBorders>
            <w:shd w:val="clear" w:color="auto" w:fill="auto"/>
          </w:tcPr>
          <w:p w14:paraId="429CA2F0" w14:textId="77777777" w:rsidR="00235724" w:rsidRPr="00902AC4" w:rsidRDefault="00D50D0B" w:rsidP="00902AC4">
            <w:pPr>
              <w:pStyle w:val="CETEquation"/>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w:t>
            </w:r>
            <w:r w:rsidRPr="00902AC4">
              <w:rPr>
                <w:rFonts w:eastAsia="Calibri"/>
              </w:rPr>
              <w:t>(7)</w:t>
            </w:r>
          </w:p>
        </w:tc>
      </w:tr>
      <w:tr w:rsidR="00D139D0" w14:paraId="0D11ED09" w14:textId="77777777" w:rsidTr="00D139D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021" w:type="pct"/>
            <w:shd w:val="clear" w:color="auto" w:fill="auto"/>
          </w:tcPr>
          <w:p w14:paraId="092B7FCE" w14:textId="77777777" w:rsidR="00235724" w:rsidRPr="00334C0C" w:rsidRDefault="00D50D0B" w:rsidP="000E5889">
            <w:pPr>
              <w:pStyle w:val="Prrafodelista"/>
              <w:widowControl w:val="0"/>
              <w:autoSpaceDE w:val="0"/>
              <w:autoSpaceDN w:val="0"/>
              <w:adjustRightInd w:val="0"/>
              <w:spacing w:line="22" w:lineRule="atLeast"/>
              <w:ind w:left="0" w:right="49"/>
              <w:contextualSpacing w:val="0"/>
              <w:jc w:val="center"/>
              <w:rPr>
                <w:rFonts w:eastAsia="Calibri" w:cs="Arial"/>
                <w:iCs/>
                <w:color w:val="000000"/>
                <w:spacing w:val="-3"/>
                <w:szCs w:val="18"/>
              </w:rPr>
            </w:pPr>
            <m:oMathPara>
              <m:oMathParaPr>
                <m:jc m:val="left"/>
              </m:oMathParaPr>
              <m:oMath>
                <m:r>
                  <m:rPr>
                    <m:sty m:val="bi"/>
                  </m:rPr>
                  <w:rPr>
                    <w:rFonts w:ascii="Cambria Math" w:hAnsi="Cambria Math" w:cs="Arial"/>
                    <w:color w:val="000000"/>
                    <w:spacing w:val="-3"/>
                    <w:sz w:val="20"/>
                  </w:rPr>
                  <m:t>TTP=</m:t>
                </m:r>
                <m:f>
                  <m:fPr>
                    <m:ctrlPr>
                      <w:rPr>
                        <w:rFonts w:ascii="Cambria Math" w:hAnsi="Cambria Math" w:cs="Arial"/>
                        <w:i/>
                        <w:iCs/>
                        <w:color w:val="000000"/>
                        <w:spacing w:val="-3"/>
                        <w:sz w:val="20"/>
                      </w:rPr>
                    </m:ctrlPr>
                  </m:fPr>
                  <m:num>
                    <m:r>
                      <m:rPr>
                        <m:sty m:val="bi"/>
                      </m:rPr>
                      <w:rPr>
                        <w:rFonts w:ascii="Cambria Math" w:hAnsi="Cambria Math" w:cs="Arial"/>
                        <w:color w:val="000000"/>
                        <w:spacing w:val="-3"/>
                        <w:sz w:val="20"/>
                      </w:rPr>
                      <m:t>1</m:t>
                    </m:r>
                  </m:num>
                  <m:den>
                    <m:r>
                      <m:rPr>
                        <m:sty m:val="bi"/>
                      </m:rPr>
                      <w:rPr>
                        <w:rFonts w:ascii="Cambria Math" w:hAnsi="Cambria Math" w:cs="Arial"/>
                        <w:color w:val="000000"/>
                        <w:spacing w:val="-3"/>
                        <w:sz w:val="20"/>
                      </w:rPr>
                      <m:t>L</m:t>
                    </m:r>
                    <m:sSub>
                      <m:sSubPr>
                        <m:ctrlPr>
                          <w:rPr>
                            <w:rFonts w:ascii="Cambria Math" w:hAnsi="Cambria Math" w:cs="Arial"/>
                            <w:i/>
                            <w:iCs/>
                            <w:color w:val="000000"/>
                            <w:spacing w:val="-3"/>
                            <w:sz w:val="20"/>
                          </w:rPr>
                        </m:ctrlPr>
                      </m:sSubPr>
                      <m:e>
                        <m:r>
                          <m:rPr>
                            <m:sty m:val="bi"/>
                          </m:rPr>
                          <w:rPr>
                            <w:rFonts w:ascii="Cambria Math" w:hAnsi="Cambria Math" w:cs="Arial"/>
                            <w:color w:val="000000"/>
                            <w:spacing w:val="-3"/>
                            <w:sz w:val="20"/>
                          </w:rPr>
                          <m:t>D</m:t>
                        </m:r>
                      </m:e>
                      <m:sub>
                        <m:r>
                          <m:rPr>
                            <m:sty m:val="bi"/>
                          </m:rPr>
                          <w:rPr>
                            <w:rFonts w:ascii="Cambria Math" w:hAnsi="Cambria Math" w:cs="Arial"/>
                            <w:color w:val="000000"/>
                            <w:spacing w:val="-3"/>
                            <w:sz w:val="20"/>
                          </w:rPr>
                          <m:t>50</m:t>
                        </m:r>
                      </m:sub>
                    </m:sSub>
                  </m:den>
                </m:f>
              </m:oMath>
            </m:oMathPara>
          </w:p>
          <w:p w14:paraId="64D2BA8E" w14:textId="77777777" w:rsidR="00235724" w:rsidRPr="00334C0C" w:rsidRDefault="00235724" w:rsidP="000E5889">
            <w:pPr>
              <w:pStyle w:val="Prrafodelista"/>
              <w:widowControl w:val="0"/>
              <w:autoSpaceDE w:val="0"/>
              <w:autoSpaceDN w:val="0"/>
              <w:adjustRightInd w:val="0"/>
              <w:spacing w:line="22" w:lineRule="atLeast"/>
              <w:ind w:left="0" w:right="49"/>
              <w:contextualSpacing w:val="0"/>
              <w:jc w:val="center"/>
              <w:rPr>
                <w:rFonts w:eastAsia="Calibri" w:cs="Arial"/>
                <w:color w:val="000000"/>
                <w:spacing w:val="-3"/>
                <w:szCs w:val="18"/>
              </w:rPr>
            </w:pPr>
          </w:p>
        </w:tc>
        <w:tc>
          <w:tcPr>
            <w:tcW w:w="979" w:type="pct"/>
            <w:tcBorders>
              <w:left w:val="nil"/>
            </w:tcBorders>
            <w:shd w:val="clear" w:color="auto" w:fill="auto"/>
          </w:tcPr>
          <w:p w14:paraId="034BC6B0" w14:textId="77777777" w:rsidR="00235724" w:rsidRPr="00902AC4" w:rsidRDefault="00D50D0B" w:rsidP="00902AC4">
            <w:pPr>
              <w:pStyle w:val="CETEquation"/>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   </w:t>
            </w:r>
            <w:r w:rsidRPr="00902AC4">
              <w:rPr>
                <w:rFonts w:eastAsia="Calibri"/>
              </w:rPr>
              <w:t>(8)</w:t>
            </w:r>
          </w:p>
        </w:tc>
      </w:tr>
    </w:tbl>
    <w:p w14:paraId="03BF345D" w14:textId="77777777" w:rsidR="002D55DD" w:rsidRDefault="00D50D0B" w:rsidP="00902AC4">
      <w:pPr>
        <w:pStyle w:val="CETBodytext"/>
      </w:pPr>
      <w:r w:rsidRPr="00ED1DF1">
        <w:t>For their part, the toxicological categories are divided into human impacts; that measure the Acute oral lethal dose 50 (LD</w:t>
      </w:r>
      <w:r w:rsidRPr="00ED1DF1">
        <w:rPr>
          <w:vertAlign w:val="subscript"/>
        </w:rPr>
        <w:t>50</w:t>
      </w:r>
      <w:r w:rsidRPr="00ED1DF1">
        <w:t>) and the Threshold Limit Value (TLV), Eq. (5) and Eq. (6), respectively, and ecological; which measure the Lethal concentration (LC</w:t>
      </w:r>
      <w:r w:rsidRPr="00ED1DF1">
        <w:rPr>
          <w:vertAlign w:val="subscript"/>
        </w:rPr>
        <w:t>50</w:t>
      </w:r>
      <w:r w:rsidRPr="00ED1DF1">
        <w:t>) and the Acute oral lethal dose 50 (LD</w:t>
      </w:r>
      <w:r w:rsidRPr="00ED1DF1">
        <w:rPr>
          <w:vertAlign w:val="subscript"/>
        </w:rPr>
        <w:t>50</w:t>
      </w:r>
      <w:r w:rsidRPr="00ED1DF1">
        <w:t>), Eq. (7) and Eq. (8), respectively</w:t>
      </w:r>
      <w:r w:rsidRPr="002D55DD">
        <w:t>.</w:t>
      </w:r>
    </w:p>
    <w:p w14:paraId="59487FD5" w14:textId="77777777" w:rsidR="00571091" w:rsidRPr="00DE2FB5" w:rsidRDefault="00D50D0B" w:rsidP="00DE2FB5">
      <w:pPr>
        <w:pStyle w:val="CETBodytext"/>
      </w:pPr>
      <w:r w:rsidRPr="00DE2FB5">
        <w:t>It is also necessary to know the inputs and outputs of the process, that is, which products enter the process as raw material (avocado) or industrial services (sodium hypochlorite solution, water), and which leave the process as residues (steam, residues of avocado, water with impurities) or as a product (avocado oil).</w:t>
      </w:r>
    </w:p>
    <w:p w14:paraId="4D5CF7D5" w14:textId="77777777" w:rsidR="00CF3097" w:rsidRPr="002D55DD" w:rsidRDefault="00D50D0B" w:rsidP="001071AE">
      <w:pPr>
        <w:pStyle w:val="CETHeading1"/>
        <w:numPr>
          <w:ilvl w:val="0"/>
          <w:numId w:val="0"/>
        </w:numPr>
      </w:pPr>
      <w:r w:rsidRPr="002D55DD">
        <w:t>3. Result</w:t>
      </w:r>
      <w:r w:rsidR="002D55DD">
        <w:t>s and discussion</w:t>
      </w:r>
    </w:p>
    <w:p w14:paraId="029C7715" w14:textId="77777777" w:rsidR="00126603" w:rsidRPr="0074292C" w:rsidRDefault="00D50D0B" w:rsidP="001071AE">
      <w:pPr>
        <w:pStyle w:val="CETheadingx"/>
        <w:numPr>
          <w:ilvl w:val="0"/>
          <w:numId w:val="0"/>
        </w:numPr>
      </w:pPr>
      <w:r w:rsidRPr="0074292C">
        <w:t>3.1 Environmental analysis</w:t>
      </w:r>
    </w:p>
    <w:p w14:paraId="479105CB" w14:textId="77777777" w:rsidR="005539E3" w:rsidRPr="00B27B86" w:rsidRDefault="00D50D0B" w:rsidP="001071AE">
      <w:pPr>
        <w:pStyle w:val="CETBodytext"/>
      </w:pPr>
      <w:r w:rsidRPr="00B27B86">
        <w:t>The waste reduction algorithm (WAR) shows the potential environmental impact of a chemical industry, which is usually caused by energy and matter that the process obtains or releases into the environment. The heat duty required by the process was 1,957.538 MJ/h. Montoya et al. (2006) qualify the WAR algorithm as a good indicator for assessing and comparing the environmental friendliness of industrial processes.</w:t>
      </w:r>
    </w:p>
    <w:p w14:paraId="21981A30" w14:textId="77777777" w:rsidR="00126603" w:rsidRPr="0074292C" w:rsidRDefault="00D50D0B" w:rsidP="001071AE">
      <w:pPr>
        <w:pStyle w:val="CETheadingx"/>
        <w:numPr>
          <w:ilvl w:val="0"/>
          <w:numId w:val="0"/>
        </w:numPr>
      </w:pPr>
      <w:r>
        <w:rPr>
          <w:lang w:val="en-GB"/>
        </w:rPr>
        <w:t xml:space="preserve">3.1.1 </w:t>
      </w:r>
      <w:r w:rsidRPr="0074292C">
        <w:t>Potential environmental impacts</w:t>
      </w:r>
    </w:p>
    <w:p w14:paraId="63315AF5" w14:textId="77777777" w:rsidR="00D67BB8" w:rsidRDefault="00D50D0B" w:rsidP="001071AE">
      <w:pPr>
        <w:pStyle w:val="CETBodytext"/>
      </w:pPr>
      <w:r w:rsidRPr="00D67BB8">
        <w:t xml:space="preserve">In </w:t>
      </w:r>
      <w:r w:rsidR="00FD0160">
        <w:t>f</w:t>
      </w:r>
      <w:r w:rsidRPr="00D67BB8">
        <w:t xml:space="preserve">igure </w:t>
      </w:r>
      <w:r w:rsidR="00951AD3" w:rsidRPr="00D67BB8">
        <w:t>2</w:t>
      </w:r>
      <w:r w:rsidRPr="00D67BB8">
        <w:t xml:space="preserve">, there are results of the output and generated impact rates for cases 1, 2, 3, and 4, used to evaluate the avocado oil production process from the pulp of this fruit. Case 1 had low generated and output impacts (PEI/h) compared to the others. In the total generation rate, low values indicate a decrease in potential impacts, since some polluting substances are recirculated to the process </w:t>
      </w:r>
      <w:r w:rsidRPr="00D67BB8">
        <w:fldChar w:fldCharType="begin" w:fldLock="1"/>
      </w:r>
      <w:r w:rsidR="00272A9A">
        <w:instrText>ADDIN CSL_CITATION {"citationItems":[{"id":"ITEM-1","itemData":{"DOI":"10.3303/CET1870335","ISBN":"9788895608679","ISSN":"22839216","author":[{"dropping-particle":"","family":"Cassiani-Cassiani","given":"Daylisney","non-dropping-particle":"","parse-names":false,"suffix":""},{"dropping-particle":"","family":"Meza-González","given":"Demmy A.","non-dropping-particle":"","parse-names":false,"suffix":""},{"dropping-particle":"","family":"González-Delgado","given":"Ángel Darío","non-dropping-particle":"","parse-names":false,"suffix":""}],"container-title":"Chemical Engineering Transactions","id":"ITEM-1","issued":{"date-parts":[["2018"]]},"page":"2005-2010","title":"Environmental evaluation of agar production from macroalgae Gracilaria sp.","type":"article-journal","volume":"70"},"uris":["http://www.mendeley.com/documents/?uuid=e194c6b3-6fbc-4a2e-a1be-206cf56d11b9"]}],"mendeley":{"formattedCitation":"(Cassiani-Cassiani et al., 2018)","manualFormatting":"(Cassiani et al., 2018)","plainTextFormattedCitation":"(Cassiani-Cassiani et al., 2018)","previouslyFormattedCitation":"(Cassiani-Cassiani et al., 2018)"},"properties":{"noteIndex":0},"schema":"https://github.com/citation-style-language/schema/raw/master/csl-citation.json"}</w:instrText>
      </w:r>
      <w:r w:rsidRPr="00D67BB8">
        <w:fldChar w:fldCharType="separate"/>
      </w:r>
      <w:r w:rsidR="00CB715F" w:rsidRPr="00CB715F">
        <w:rPr>
          <w:noProof/>
        </w:rPr>
        <w:t>(Cassian</w:t>
      </w:r>
      <w:r w:rsidR="00C104F1">
        <w:rPr>
          <w:noProof/>
        </w:rPr>
        <w:t>i et al.,</w:t>
      </w:r>
      <w:r w:rsidR="00CB715F" w:rsidRPr="00CB715F">
        <w:rPr>
          <w:noProof/>
        </w:rPr>
        <w:t xml:space="preserve"> 2018)</w:t>
      </w:r>
      <w:r w:rsidRPr="00D67BB8">
        <w:fldChar w:fldCharType="end"/>
      </w:r>
      <w:r w:rsidRPr="00D67BB8">
        <w:t>.</w:t>
      </w:r>
    </w:p>
    <w:p w14:paraId="777B59B1" w14:textId="77777777" w:rsidR="00ED1DF1" w:rsidRDefault="00D50D0B" w:rsidP="00ED1DF1">
      <w:pPr>
        <w:pStyle w:val="CETBodytext"/>
      </w:pPr>
      <w:r w:rsidRPr="00AD361E">
        <w:t xml:space="preserve">The output impacts PEI/h are greater for cases 2 and 4, according to Aguilar and Gonzalez </w:t>
      </w:r>
      <w:r w:rsidRPr="00AD361E">
        <w:fldChar w:fldCharType="begin" w:fldLock="1"/>
      </w:r>
      <w:r w:rsidR="00272A9A">
        <w:instrText>ADDIN CSL_CITATION {"citationItems":[{"id":"ITEM-1","itemData":{"DOI":"10.18273/revion.v34n1-2021010","author":[{"dropping-particle":"","family":"Aguilar Vásquez","given":"Eduardo","non-dropping-particle":"","parse-names":false,"suffix":""},{"dropping-particle":"","family":"González-delgado","given":"Ángel","non-dropping-particle":"","parse-names":false,"suffix":""}],"container-title":"Revista ION","id":"ITEM-1","issue":"1","issued":{"date-parts":[["2021"]]},"page":"121-136","title":"Environmental assessment for production of modified chitosan microbeads with TiO 2 and magnetite using waste reduction algorithm (WAR)","type":"article-journal","volume":"34"},"uris":["http://www.mendeley.com/documents/?uuid=e39e1d02-c98b-4399-ad35-2cc41c6fe408"]}],"mendeley":{"formattedCitation":"(Aguilar Vásquez &amp; González-delgado, 2021)","manualFormatting":"(2021)","plainTextFormattedCitation":"(Aguilar Vásquez &amp; González-delgado, 2021)","previouslyFormattedCitation":"(Aguilar Vásquez &amp; González-delgado, 2021)"},"properties":{"noteIndex":0},"schema":"https://github.com/citation-style-language/schema/raw/master/csl-citation.json"}</w:instrText>
      </w:r>
      <w:r w:rsidRPr="00AD361E">
        <w:fldChar w:fldCharType="separate"/>
      </w:r>
      <w:r w:rsidRPr="00AD361E">
        <w:rPr>
          <w:noProof/>
        </w:rPr>
        <w:t>(2021)</w:t>
      </w:r>
      <w:r w:rsidRPr="00AD361E">
        <w:fldChar w:fldCharType="end"/>
      </w:r>
      <w:r w:rsidRPr="00AD361E">
        <w:t xml:space="preserve">, is since energy contributes more to the increase of impacts than products. Otherwise, the generated and output impacts per kilogram of the product are low for all cases (range of 0.02 to 0.61 PEI/kg-p and 0.33 to 0.92 PEI/kg-p, respectively), that may be since the oil produced does not pose a risk to humans or ecosystems. The cases studied allow us to observe that the process has a good performance from an environmental point of view. </w:t>
      </w:r>
    </w:p>
    <w:p w14:paraId="522CE2B2" w14:textId="77777777" w:rsidR="00272A9A" w:rsidRPr="00AD361E" w:rsidRDefault="00272A9A" w:rsidP="00ED1DF1">
      <w:pPr>
        <w:pStyle w:val="CETBodytext"/>
      </w:pPr>
    </w:p>
    <w:p w14:paraId="1F01A932" w14:textId="77777777" w:rsidR="0074292C" w:rsidRPr="007A08A9" w:rsidRDefault="00D50D0B" w:rsidP="0074292C">
      <w:pPr>
        <w:spacing w:line="22" w:lineRule="atLeast"/>
        <w:rPr>
          <w:rFonts w:cs="Arial"/>
          <w:bCs/>
          <w:color w:val="8064A2" w:themeColor="accent4"/>
          <w:szCs w:val="18"/>
        </w:rPr>
      </w:pPr>
      <w:r w:rsidRPr="007A08A9">
        <w:rPr>
          <w:noProof/>
          <w:color w:val="8064A2" w:themeColor="accent4"/>
        </w:rPr>
        <w:drawing>
          <wp:inline distT="0" distB="0" distL="0" distR="0" wp14:anchorId="12631ECA" wp14:editId="7FA0F08A">
            <wp:extent cx="3705225" cy="243967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710307" cy="2443016"/>
                    </a:xfrm>
                    <a:prstGeom prst="rect">
                      <a:avLst/>
                    </a:prstGeom>
                    <a:noFill/>
                    <a:ln>
                      <a:noFill/>
                    </a:ln>
                  </pic:spPr>
                </pic:pic>
              </a:graphicData>
            </a:graphic>
          </wp:inline>
        </w:drawing>
      </w:r>
    </w:p>
    <w:p w14:paraId="1DC4B789" w14:textId="77777777" w:rsidR="00126603" w:rsidRDefault="00D50D0B" w:rsidP="00902AC4">
      <w:pPr>
        <w:pStyle w:val="CETCaption"/>
      </w:pPr>
      <w:r w:rsidRPr="00607CD5">
        <w:t xml:space="preserve">Figure </w:t>
      </w:r>
      <w:r w:rsidR="00951AD3" w:rsidRPr="00607CD5">
        <w:t>2</w:t>
      </w:r>
      <w:r w:rsidR="000C3E25">
        <w:t>:</w:t>
      </w:r>
      <w:r w:rsidRPr="00607CD5">
        <w:t xml:space="preserve"> Total generated and output impacts of the avocado oil production process.</w:t>
      </w:r>
    </w:p>
    <w:p w14:paraId="1EC1CA7A" w14:textId="77777777" w:rsidR="00ED1DF1" w:rsidRPr="00AD361E" w:rsidRDefault="00D50D0B" w:rsidP="00ED1DF1">
      <w:pPr>
        <w:pStyle w:val="CETBodytext"/>
      </w:pPr>
      <w:r w:rsidRPr="00AD361E">
        <w:fldChar w:fldCharType="begin" w:fldLock="1"/>
      </w:r>
      <w:r w:rsidR="00272A9A">
        <w:instrText>ADDIN CSL_CITATION {"citationItems":[{"id":"ITEM-1","itemData":{"author":[{"dropping-particle":"","family":"Montoya","given":"Maria","non-dropping-particle":"","parse-names":false,"suffix":""}],"id":"ITEM-1","issued":{"date-parts":[["2008"]]},"number-of-pages":"1-150","publisher":"Universidad Nacional de Colombia","title":"Evaluacion integral de la eficiencia económica y ambiental de proceso para la obtención de biodiesel","type":"thesis"},"uris":["http://www.mendeley.com/documents/?uuid=87c97333-1c87-49c3-82a2-c342f18783a9"]}],"mendeley":{"formattedCitation":"(Montoya, 2008)","manualFormatting":"Montoya (2008)","plainTextFormattedCitation":"(Montoya, 2008)","previouslyFormattedCitation":"(Montoya, 2008)"},"properties":{"noteIndex":0},"schema":"https://github.com/citation-style-language/schema/raw/master/csl-citation.json"}</w:instrText>
      </w:r>
      <w:r w:rsidRPr="00AD361E">
        <w:fldChar w:fldCharType="separate"/>
      </w:r>
      <w:r w:rsidRPr="00AD361E">
        <w:rPr>
          <w:noProof/>
        </w:rPr>
        <w:t>Montoya (2008)</w:t>
      </w:r>
      <w:r w:rsidRPr="00AD361E">
        <w:fldChar w:fldCharType="end"/>
      </w:r>
      <w:r w:rsidRPr="00AD361E">
        <w:t>, for the environmental evaluation of the process of obtaining biodiesel through extractive reaction, reported the highest total output impact value (4.83 E+04 PEI/h), which is above the data reported in this assessment; therefore, it is indicating that the process presents low impacts.</w:t>
      </w:r>
    </w:p>
    <w:p w14:paraId="0B817DA5" w14:textId="77777777" w:rsidR="0074292C" w:rsidRPr="00296ACA" w:rsidRDefault="00D50D0B" w:rsidP="001071AE">
      <w:pPr>
        <w:pStyle w:val="CETheadingx"/>
        <w:numPr>
          <w:ilvl w:val="0"/>
          <w:numId w:val="0"/>
        </w:numPr>
      </w:pPr>
      <w:r w:rsidRPr="00296ACA">
        <w:t>3.1.2 Atmospheric impacts from the process</w:t>
      </w:r>
    </w:p>
    <w:p w14:paraId="01BDD5D2" w14:textId="77777777" w:rsidR="0074292C" w:rsidRDefault="00D50D0B" w:rsidP="001071AE">
      <w:pPr>
        <w:pStyle w:val="CETBodytext"/>
      </w:pPr>
      <w:r w:rsidRPr="00296ACA">
        <w:t xml:space="preserve">Different categories were evaluated to determine the potential for the total environmental impact generated by the process. Figure </w:t>
      </w:r>
      <w:r w:rsidR="00951AD3" w:rsidRPr="00296ACA">
        <w:t>3</w:t>
      </w:r>
      <w:r w:rsidRPr="00296ACA">
        <w:t xml:space="preserve"> shows the generated and output atmospheric impacts. Within the atmospheric generated, there are regional impacts such as the AP acidification potential and the PCOP photochemical oxidation potential. The AP category presents equal values ​​for cases 3 and 4, both generated and output, while cases 1 and 2 present values ​​of 0 PEI/</w:t>
      </w:r>
      <w:r w:rsidR="00395C4A" w:rsidRPr="00296ACA">
        <w:t>h</w:t>
      </w:r>
      <w:r w:rsidRPr="00296ACA">
        <w:t>, that is because in cases 3 and 4, the source is taken into account of energy</w:t>
      </w:r>
      <w:r w:rsidR="00296ACA" w:rsidRPr="00296ACA">
        <w:t>.</w:t>
      </w:r>
    </w:p>
    <w:p w14:paraId="6AC09993" w14:textId="77777777" w:rsidR="0044706C" w:rsidRDefault="0044706C" w:rsidP="001071AE">
      <w:pPr>
        <w:pStyle w:val="CETBodytext"/>
      </w:pPr>
    </w:p>
    <w:p w14:paraId="79D096C2" w14:textId="77777777" w:rsidR="0044706C" w:rsidRPr="00296ACA" w:rsidRDefault="00D50D0B" w:rsidP="001071AE">
      <w:pPr>
        <w:pStyle w:val="CETBodytext"/>
      </w:pPr>
      <w:r>
        <w:rPr>
          <w:noProof/>
        </w:rPr>
        <w:drawing>
          <wp:inline distT="0" distB="0" distL="0" distR="0" wp14:anchorId="5C38D112" wp14:editId="0AB991F5">
            <wp:extent cx="2838449" cy="180975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pic:cNvPicPr>
                      <a:picLocks noChangeAspect="1" noChangeArrowheads="1"/>
                    </pic:cNvPicPr>
                  </pic:nvPicPr>
                  <pic:blipFill>
                    <a:blip r:embed="rId10">
                      <a:extLst>
                        <a:ext uri="{28A0092B-C50C-407E-A947-70E740481C1C}">
                          <a14:useLocalDpi xmlns:a14="http://schemas.microsoft.com/office/drawing/2010/main" val="0"/>
                        </a:ext>
                      </a:extLst>
                    </a:blip>
                    <a:srcRect l="1630" t="3553" r="1288"/>
                    <a:stretch>
                      <a:fillRect/>
                    </a:stretch>
                  </pic:blipFill>
                  <pic:spPr bwMode="auto">
                    <a:xfrm>
                      <a:off x="0" y="0"/>
                      <a:ext cx="2845885" cy="181449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0C21257F" wp14:editId="6EA8232B">
            <wp:extent cx="2670790" cy="18116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89310" cy="1824218"/>
                    </a:xfrm>
                    <a:prstGeom prst="rect">
                      <a:avLst/>
                    </a:prstGeom>
                    <a:noFill/>
                    <a:ln>
                      <a:noFill/>
                    </a:ln>
                  </pic:spPr>
                </pic:pic>
              </a:graphicData>
            </a:graphic>
          </wp:inline>
        </w:drawing>
      </w:r>
    </w:p>
    <w:p w14:paraId="52349912" w14:textId="77777777" w:rsidR="0074292C" w:rsidRDefault="00D50D0B" w:rsidP="0044706C">
      <w:pPr>
        <w:pStyle w:val="CETCaption"/>
      </w:pPr>
      <w:r w:rsidRPr="007A08A9">
        <w:rPr>
          <w:color w:val="8064A2" w:themeColor="accent4"/>
        </w:rPr>
        <w:t xml:space="preserve"> </w:t>
      </w:r>
      <w:r w:rsidRPr="00607CD5">
        <w:t xml:space="preserve">Figure </w:t>
      </w:r>
      <w:r w:rsidR="00951AD3" w:rsidRPr="00607CD5">
        <w:t>3</w:t>
      </w:r>
      <w:r w:rsidR="000C3E25">
        <w:t>:</w:t>
      </w:r>
      <w:r w:rsidRPr="00607CD5">
        <w:t xml:space="preserve"> Total output and generated atmospheric impacts</w:t>
      </w:r>
      <w:r w:rsidR="00663123">
        <w:t xml:space="preserve"> for avocado oil production in North Colombia</w:t>
      </w:r>
      <w:r w:rsidRPr="00607CD5">
        <w:t>.</w:t>
      </w:r>
    </w:p>
    <w:p w14:paraId="46E12679" w14:textId="77777777" w:rsidR="00660C46" w:rsidRPr="0044706C" w:rsidRDefault="00D50D0B" w:rsidP="0044706C">
      <w:pPr>
        <w:pStyle w:val="CETBodytext"/>
      </w:pPr>
      <w:r w:rsidRPr="0044706C">
        <w:t xml:space="preserve">Regarding the PCOP category, </w:t>
      </w:r>
      <w:r w:rsidR="00607CD5" w:rsidRPr="0044706C">
        <w:t>the</w:t>
      </w:r>
      <w:r w:rsidRPr="0044706C">
        <w:t xml:space="preserve"> values ​​related to the reduction of the potential impacts generated are observed, which occurs when substances are transformed or degraded in the processes </w:t>
      </w:r>
      <w:r w:rsidRPr="0044706C">
        <w:fldChar w:fldCharType="begin" w:fldLock="1"/>
      </w:r>
      <w:r w:rsidR="00272A9A">
        <w:instrText>ADDIN CSL_CITATION {"citationItems":[{"id":"ITEM-1","itemData":{"DOI":"10.3303/CET1870339","ISBN":"9788895608679","ISSN":"22839216","author":[{"dropping-particle":"","family":"Herrera-Rodriguez","given":"Tamy","non-dropping-particle":"","parse-names":false,"suffix":""},{"dropping-particle":"","family":"Parejo-Palacio","given":"Vianny","non-dropping-particle":"","parse-names":false,"suffix":""},{"dropping-particle":"","family":"González-Delgado","given":"Ángel Darío","non-dropping-particle":"","parse-names":false,"suffix":""}],"container-title":"Chemical Engineering Transactions","id":"ITEM-1","issued":{"date-parts":[["2018"]]},"page":"2029-2034","title":"Technoeconomic sensibility analysis of industrial agar production from red algae","type":"article-journal","volume":"70"},"uris":["http://www.mendeley.com/documents/?uuid=7b6398b5-7f16-4391-8fa9-38a5bc4a113c"]}],"mendeley":{"formattedCitation":"(Herrera-Rodriguez et al., 2018)","manualFormatting":"(Herrera et al., 2018)","plainTextFormattedCitation":"(Herrera-Rodriguez et al., 2018)","previouslyFormattedCitation":"(Herrera-Rodriguez et al., 2018)"},"properties":{"noteIndex":0},"schema":"https://github.com/citation-style-language/schema/raw/master/csl-citation.json"}</w:instrText>
      </w:r>
      <w:r w:rsidRPr="0044706C">
        <w:fldChar w:fldCharType="separate"/>
      </w:r>
      <w:r w:rsidR="00CB715F" w:rsidRPr="0044706C">
        <w:rPr>
          <w:noProof/>
        </w:rPr>
        <w:t>(Herrera</w:t>
      </w:r>
      <w:r w:rsidR="00C104F1" w:rsidRPr="0044706C">
        <w:rPr>
          <w:noProof/>
        </w:rPr>
        <w:t xml:space="preserve"> et al., </w:t>
      </w:r>
      <w:r w:rsidR="00CB715F" w:rsidRPr="0044706C">
        <w:rPr>
          <w:noProof/>
        </w:rPr>
        <w:t>2018)</w:t>
      </w:r>
      <w:r w:rsidRPr="0044706C">
        <w:fldChar w:fldCharType="end"/>
      </w:r>
      <w:r w:rsidRPr="0044706C">
        <w:t>. In this case, the decrease in potential impacts compared to those of the input is due to the solvent used in the extraction being recovered and recirculated back to the process.</w:t>
      </w:r>
    </w:p>
    <w:p w14:paraId="468DCF1E" w14:textId="77777777" w:rsidR="00951AD3" w:rsidRPr="0044706C" w:rsidRDefault="00D50D0B" w:rsidP="0044706C">
      <w:pPr>
        <w:pStyle w:val="CETBodytext"/>
      </w:pPr>
      <w:r w:rsidRPr="0044706C">
        <w:t>The global categories of atmospheric impacts show a good performance. The process shows low impacts for ODP in cases 3 and 4, as this category quantifies the decomposition of chemicals in the atmosphere. In general, for a chemical to have ODP, it must contain a chlorine or bromine atom, in this present process, NaClO is used to wash the fruit. These values take into account the decomposition of chemicals in the atmosphere. For the case of GWP, the values presented for cases 3 and 4 are small (0.</w:t>
      </w:r>
      <w:r w:rsidR="00BE4C41" w:rsidRPr="0044706C">
        <w:t>19</w:t>
      </w:r>
      <w:r w:rsidRPr="0044706C">
        <w:t xml:space="preserve"> PEI/h for both), understanding that the contribution of greenhouse gas emissions effect from the process is low. </w:t>
      </w:r>
    </w:p>
    <w:p w14:paraId="494F7F99" w14:textId="77777777" w:rsidR="001A25E3" w:rsidRPr="00F746AE" w:rsidRDefault="00D50D0B" w:rsidP="001071AE">
      <w:pPr>
        <w:pStyle w:val="CETheadingx"/>
        <w:numPr>
          <w:ilvl w:val="0"/>
          <w:numId w:val="0"/>
        </w:numPr>
      </w:pPr>
      <w:r w:rsidRPr="00F746AE">
        <w:lastRenderedPageBreak/>
        <w:t>3.1.3 Toxicological impacts from the process</w:t>
      </w:r>
    </w:p>
    <w:p w14:paraId="09DEF849" w14:textId="77777777" w:rsidR="00A607A2" w:rsidRPr="0044706C" w:rsidRDefault="00D50D0B" w:rsidP="0044706C">
      <w:pPr>
        <w:pStyle w:val="CETBodytext"/>
      </w:pPr>
      <w:r w:rsidRPr="0044706C">
        <w:t xml:space="preserve">The toxicological impacts generated show lower indices than the output ones; these impacts include categories that assess effects on humans and ecosystems as shown in </w:t>
      </w:r>
      <w:r w:rsidR="00FD0160" w:rsidRPr="0044706C">
        <w:t>f</w:t>
      </w:r>
      <w:r w:rsidRPr="0044706C">
        <w:t xml:space="preserve">igure 4. Cases 2 and 4 produce the highest impacts in the ATP category for generated and output impacts, these results are due to the effect that the use of hexane has in the extraction since it evaporates easily and can be deposited in the air reacting with oxygen, in the water remaining on its surface or the ground </w:t>
      </w:r>
      <w:r w:rsidRPr="0044706C">
        <w:fldChar w:fldCharType="begin" w:fldLock="1"/>
      </w:r>
      <w:r w:rsidR="00272A9A">
        <w:instrText>ADDIN CSL_CITATION {"citationItems":[{"id":"ITEM-1","itemData":{"author":[{"dropping-particle":"","family":"Department of health and human services","given":"","non-dropping-particle":"","parse-names":false,"suffix":""}],"container-title":"Public Health Service Agency for Toxic Substances and Disease Registry","id":"ITEM-1","issued":{"date-parts":[["1999"]]},"page":"1-7","title":"Public health statement n-hexane CAS#: 110-54-3","type":"article"},"uris":["http://www.mendeley.com/documents/?uuid=94631d8f-317d-47ec-a245-6b3940ebe844"]}],"mendeley":{"formattedCitation":"(Department of health and human services, 1999)","manualFormatting":"(Department of health and human services, 1999)","plainTextFormattedCitation":"(Department of health and human services, 1999)","previouslyFormattedCitation":"(Department of health and human services, 1999)"},"properties":{"noteIndex":0},"schema":"https://github.com/citation-style-language/schema/raw/master/csl-citation.json"}</w:instrText>
      </w:r>
      <w:r w:rsidRPr="0044706C">
        <w:fldChar w:fldCharType="separate"/>
      </w:r>
      <w:r w:rsidR="00CB715F" w:rsidRPr="0044706C">
        <w:rPr>
          <w:noProof/>
        </w:rPr>
        <w:t>(Department of health and human services</w:t>
      </w:r>
      <w:r w:rsidR="00C104F1" w:rsidRPr="0044706C">
        <w:rPr>
          <w:noProof/>
        </w:rPr>
        <w:t>,</w:t>
      </w:r>
      <w:r w:rsidR="00CB715F" w:rsidRPr="0044706C">
        <w:rPr>
          <w:noProof/>
        </w:rPr>
        <w:t xml:space="preserve"> 1999)</w:t>
      </w:r>
      <w:r w:rsidRPr="0044706C">
        <w:fldChar w:fldCharType="end"/>
      </w:r>
      <w:r w:rsidRPr="0044706C">
        <w:t xml:space="preserve">. </w:t>
      </w:r>
    </w:p>
    <w:p w14:paraId="49E7CAFB" w14:textId="77777777" w:rsidR="00A607A2" w:rsidRPr="0044706C" w:rsidRDefault="00D50D0B" w:rsidP="0044706C">
      <w:pPr>
        <w:pStyle w:val="CETBodytext"/>
      </w:pPr>
      <w:r w:rsidRPr="0044706C">
        <w:t>For cases 1 and 3, the impacts generated are negative (range of -2.78 and -2.75 PEI/h, respectively), which may be related to the reuse of streams in the process. On the other hand, HTPE presents lower values ​​than the other categories; this is a measure for the comparison of chemicals that pose a threat to human health through inhalation and dermal exposure. The values ​​obtained for the HTPE, HTPI, and TTP categories indicate that the process may have effects on humans and the terrestrial ecosystem, due to the presence of sodium hypochlorite (LD</w:t>
      </w:r>
      <w:r w:rsidRPr="00CE3629">
        <w:rPr>
          <w:vertAlign w:val="subscript"/>
        </w:rPr>
        <w:t>50</w:t>
      </w:r>
      <w:r w:rsidRPr="0044706C">
        <w:t xml:space="preserve"> of 8,910 mg/kg and LC</w:t>
      </w:r>
      <w:r w:rsidRPr="00CE3629">
        <w:rPr>
          <w:vertAlign w:val="subscript"/>
        </w:rPr>
        <w:t>50</w:t>
      </w:r>
      <w:r w:rsidRPr="0044706C">
        <w:t xml:space="preserve"> of 3 mg/L) used in the washing stage and hexane (LD</w:t>
      </w:r>
      <w:r w:rsidRPr="00CE3629">
        <w:rPr>
          <w:vertAlign w:val="subscript"/>
        </w:rPr>
        <w:t>50</w:t>
      </w:r>
      <w:r w:rsidRPr="0044706C">
        <w:t xml:space="preserve"> of 28,710 mg/kg and LC</w:t>
      </w:r>
      <w:r w:rsidRPr="00CE3629">
        <w:rPr>
          <w:vertAlign w:val="subscript"/>
        </w:rPr>
        <w:t>50</w:t>
      </w:r>
      <w:r w:rsidRPr="0044706C">
        <w:t xml:space="preserve"> of 2.5 mg/L) used as a solvent in the oil extraction stage.</w:t>
      </w:r>
    </w:p>
    <w:p w14:paraId="5C62DD71" w14:textId="77777777" w:rsidR="00AD361E" w:rsidRDefault="00AD361E" w:rsidP="00A607A2">
      <w:pPr>
        <w:pStyle w:val="CETBodytext"/>
        <w:rPr>
          <w:rFonts w:cs="Arial"/>
          <w:szCs w:val="18"/>
        </w:rPr>
      </w:pPr>
    </w:p>
    <w:p w14:paraId="57D62538" w14:textId="77777777" w:rsidR="00CE6148" w:rsidRDefault="00D50D0B" w:rsidP="00A607A2">
      <w:pPr>
        <w:pStyle w:val="CETBodytext"/>
        <w:rPr>
          <w:rFonts w:cs="Arial"/>
          <w:szCs w:val="18"/>
        </w:rPr>
      </w:pPr>
      <w:r>
        <w:rPr>
          <w:noProof/>
        </w:rPr>
        <w:drawing>
          <wp:inline distT="0" distB="0" distL="0" distR="0" wp14:anchorId="435A2501" wp14:editId="744A5EEB">
            <wp:extent cx="2846008" cy="17811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pic:cNvPicPr>
                      <a:picLocks noChangeAspect="1" noChangeArrowheads="1"/>
                    </pic:cNvPicPr>
                  </pic:nvPicPr>
                  <pic:blipFill>
                    <a:blip r:embed="rId12">
                      <a:extLst>
                        <a:ext uri="{28A0092B-C50C-407E-A947-70E740481C1C}">
                          <a14:useLocalDpi xmlns:a14="http://schemas.microsoft.com/office/drawing/2010/main" val="0"/>
                        </a:ext>
                      </a:extLst>
                    </a:blip>
                    <a:srcRect r="1121"/>
                    <a:stretch>
                      <a:fillRect/>
                    </a:stretch>
                  </pic:blipFill>
                  <pic:spPr bwMode="auto">
                    <a:xfrm>
                      <a:off x="0" y="0"/>
                      <a:ext cx="2854351" cy="1786396"/>
                    </a:xfrm>
                    <a:prstGeom prst="rect">
                      <a:avLst/>
                    </a:prstGeom>
                    <a:noFill/>
                    <a:ln>
                      <a:noFill/>
                    </a:ln>
                    <a:extLst>
                      <a:ext uri="{53640926-AAD7-44D8-BBD7-CCE9431645EC}">
                        <a14:shadowObscured xmlns:a14="http://schemas.microsoft.com/office/drawing/2010/main"/>
                      </a:ext>
                    </a:extLst>
                  </pic:spPr>
                </pic:pic>
              </a:graphicData>
            </a:graphic>
          </wp:inline>
        </w:drawing>
      </w:r>
      <w:r w:rsidRPr="00CE6148">
        <w:t xml:space="preserve"> </w:t>
      </w:r>
      <w:r>
        <w:rPr>
          <w:noProof/>
        </w:rPr>
        <w:drawing>
          <wp:inline distT="0" distB="0" distL="0" distR="0" wp14:anchorId="6428491E" wp14:editId="7889E587">
            <wp:extent cx="2646392" cy="1785921"/>
            <wp:effectExtent l="0" t="0" r="1905"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0"/>
                    <pic:cNvPicPr>
                      <a:picLocks noChangeAspect="1" noChangeArrowheads="1"/>
                    </pic:cNvPicPr>
                  </pic:nvPicPr>
                  <pic:blipFill>
                    <a:blip r:embed="rId13">
                      <a:extLst>
                        <a:ext uri="{28A0092B-C50C-407E-A947-70E740481C1C}">
                          <a14:useLocalDpi xmlns:a14="http://schemas.microsoft.com/office/drawing/2010/main" val="0"/>
                        </a:ext>
                      </a:extLst>
                    </a:blip>
                    <a:srcRect t="3525" r="2168"/>
                    <a:stretch>
                      <a:fillRect/>
                    </a:stretch>
                  </pic:blipFill>
                  <pic:spPr bwMode="auto">
                    <a:xfrm>
                      <a:off x="0" y="0"/>
                      <a:ext cx="2675000" cy="1805227"/>
                    </a:xfrm>
                    <a:prstGeom prst="rect">
                      <a:avLst/>
                    </a:prstGeom>
                    <a:noFill/>
                    <a:ln>
                      <a:noFill/>
                    </a:ln>
                    <a:extLst>
                      <a:ext uri="{53640926-AAD7-44D8-BBD7-CCE9431645EC}">
                        <a14:shadowObscured xmlns:a14="http://schemas.microsoft.com/office/drawing/2010/main"/>
                      </a:ext>
                    </a:extLst>
                  </pic:spPr>
                </pic:pic>
              </a:graphicData>
            </a:graphic>
          </wp:inline>
        </w:drawing>
      </w:r>
    </w:p>
    <w:p w14:paraId="4D5EC822" w14:textId="77777777" w:rsidR="00126603" w:rsidRDefault="00D50D0B" w:rsidP="00CE6148">
      <w:pPr>
        <w:pStyle w:val="CETCaption"/>
      </w:pPr>
      <w:r w:rsidRPr="00F746AE">
        <w:t xml:space="preserve">Figure </w:t>
      </w:r>
      <w:r w:rsidR="00951AD3" w:rsidRPr="00F746AE">
        <w:t>4</w:t>
      </w:r>
      <w:r w:rsidR="000C3E25">
        <w:t>:</w:t>
      </w:r>
      <w:r w:rsidRPr="00F746AE">
        <w:t xml:space="preserve"> Total output and generated toxicological impacts</w:t>
      </w:r>
      <w:r w:rsidR="00663123">
        <w:t xml:space="preserve"> for avocado oil production in North Colombia</w:t>
      </w:r>
      <w:r w:rsidR="00663123" w:rsidRPr="00607CD5">
        <w:t>.</w:t>
      </w:r>
    </w:p>
    <w:p w14:paraId="4830A4AE" w14:textId="77777777" w:rsidR="0074292C" w:rsidRPr="00272A9A" w:rsidRDefault="00D50D0B" w:rsidP="00272A9A">
      <w:pPr>
        <w:pStyle w:val="CETBodytext"/>
      </w:pPr>
      <w:r w:rsidRPr="00272A9A">
        <w:t>Pérez et al.</w:t>
      </w:r>
      <w:r w:rsidR="001F7FF9" w:rsidRPr="00272A9A">
        <w:t xml:space="preserve"> </w:t>
      </w:r>
      <w:r w:rsidRPr="00272A9A">
        <w:fldChar w:fldCharType="begin" w:fldLock="1"/>
      </w:r>
      <w:r w:rsidR="00272A9A" w:rsidRPr="00272A9A">
        <w:instrText>ADDIN CSL_CITATION {"citationItems":[{"id":"ITEM-1","itemData":{"author":[{"dropping-particle":"","family":"Perez Aldana","given":"Maria Angelica","non-dropping-particle":"","parse-names":false,"suffix":""},{"dropping-particle":"","family":"Rodriguez Linares","given":"Rafael Anibal","non-dropping-particle":"","parse-names":false,"suffix":""},{"dropping-particle":"","family":"Santos Lopez","given":"Alejandra Sarai","non-dropping-particle":"","parse-names":false,"suffix":""}],"container-title":"Universidad de El Salvador","id":"ITEM-1","issued":{"date-parts":[["2021"]]},"number-of-pages":"1-298","title":"Estudio de factibilidad del proceso de producción sostenible de aceite de aguacate (Persea americana miller) para uso en la industria de cosméticos","type":"thesis"},"uris":["http://www.mendeley.com/documents/?uuid=73f9eee7-8db4-4bf1-8418-6a15395e7778"]}],"mendeley":{"formattedCitation":"(Perez Aldana et al., 2021)","manualFormatting":"(2021)","plainTextFormattedCitation":"(Perez Aldana et al., 2021)","previouslyFormattedCitation":"(Perez Aldana et al., 2021)"},"properties":{"noteIndex":0},"schema":"https://github.com/citation-style-language/schema/raw/master/csl-citation.json"}</w:instrText>
      </w:r>
      <w:r w:rsidRPr="00272A9A">
        <w:fldChar w:fldCharType="separate"/>
      </w:r>
      <w:r w:rsidR="0015362B" w:rsidRPr="00272A9A">
        <w:t>(2021)</w:t>
      </w:r>
      <w:r w:rsidRPr="00272A9A">
        <w:fldChar w:fldCharType="end"/>
      </w:r>
      <w:r w:rsidRPr="00272A9A">
        <w:t>, In their feasibility study of an avocado oil production process for cosmetic use, indicates that due to the nature of the solvent, it is difficult to recover and eliminate from the process and as a sophisticated plant is needed to do so. In addition, to the fact that's, high energy expenditure is necessary since the extraction must be carried out over long periods to be efficient.</w:t>
      </w:r>
      <w:r w:rsidR="00ED1DF1" w:rsidRPr="00272A9A">
        <w:t xml:space="preserve"> </w:t>
      </w:r>
      <w:r w:rsidRPr="00272A9A">
        <w:t>The results obtained are similar to those reported by Moncada et al.</w:t>
      </w:r>
      <w:r w:rsidR="006E5B59" w:rsidRPr="00272A9A">
        <w:t xml:space="preserve"> </w:t>
      </w:r>
      <w:r w:rsidRPr="00272A9A">
        <w:fldChar w:fldCharType="begin" w:fldLock="1"/>
      </w:r>
      <w:r w:rsidR="00272A9A" w:rsidRPr="00272A9A">
        <w:instrText>ADDIN CSL_CITATION {"citationItems":[{"id":"ITEM-1","itemData":{"DOI":"10.1016/j.jclepro.2015.09.067","ISSN":"09596526","author":[{"dropping-particle":"","family":"Moncada","given":"Jonathan","non-dropping-particle":"","parse-names":false,"suffix":""},{"dropping-particle":"","family":"Tamayo","given":"Jhonny A.","non-dropping-particle":"","parse-names":false,"suffix":""},{"dropping-particle":"","family":"Cardona","given":"Carlos A.","non-dropping-particle":"","parse-names":false,"suffix":""}],"container-title":"Journal of Cleaner Production","id":"ITEM-1","issued":{"date-parts":[["2016"]]},"page":"172-181","publisher":"Elsevier Ltd","title":"Techno-economic and environmental assessment of essential oil extraction from Oregano (Origanum vulgare) and Rosemary (Rosmarinus officinalis) in Colombia","type":"article-journal","volume":"112"},"uris":["http://www.mendeley.com/documents/?uuid=3790c788-0fd2-4fa3-a66b-c0ece693672f"]}],"mendeley":{"formattedCitation":"(Moncada et al., 2016)","manualFormatting":"(2016)","plainTextFormattedCitation":"(Moncada et al., 2016)","previouslyFormattedCitation":"(Moncada et al., 2016)"},"properties":{"noteIndex":0},"schema":"https://github.com/citation-style-language/schema/raw/master/csl-citation.json"}</w:instrText>
      </w:r>
      <w:r w:rsidRPr="00272A9A">
        <w:fldChar w:fldCharType="separate"/>
      </w:r>
      <w:r w:rsidR="0015362B" w:rsidRPr="00272A9A">
        <w:t>(2016)</w:t>
      </w:r>
      <w:r w:rsidRPr="00272A9A">
        <w:fldChar w:fldCharType="end"/>
      </w:r>
      <w:r w:rsidRPr="00272A9A">
        <w:t>, where solvent extraction technologies showed the highest impacts in categories such as ATP and PCOP. The reason why is because hexane purge affects these categories due to the toxicity of the solvent and its harmful effects if it is not properly handled.</w:t>
      </w:r>
    </w:p>
    <w:p w14:paraId="0D2A895F" w14:textId="77777777" w:rsidR="00272A9A" w:rsidRPr="00DE2FB5" w:rsidRDefault="00D50D0B" w:rsidP="00DE2FB5">
      <w:pPr>
        <w:pStyle w:val="CETBodytext"/>
      </w:pPr>
      <w:r w:rsidRPr="00DE2FB5">
        <w:t xml:space="preserve">This process of obtaining </w:t>
      </w:r>
      <w:r w:rsidR="00B27B86" w:rsidRPr="00DE2FB5">
        <w:t xml:space="preserve">avocado </w:t>
      </w:r>
      <w:r w:rsidRPr="00DE2FB5">
        <w:t xml:space="preserve">oil can be considered friendly from the environmental point of view since its toxicological and atmospheric impacts are lower than those reported in existing works. </w:t>
      </w:r>
      <w:r w:rsidR="000839BB" w:rsidRPr="00DE2FB5">
        <w:t xml:space="preserve">This evaluation allows knowing the different effects caused by the process of extracting oil from the pulp of the avocado, as a way of taking advantage of the fruits that deteriorate in the Montes de María due to the presence of fungi or the damage they suffer during transport because under these conditions they are not an attractive fruit for human consumption. </w:t>
      </w:r>
      <w:r w:rsidRPr="00DE2FB5">
        <w:t>The use of seed and shell is suggested to generate less waste to the environment, obtaining a process with minimal contamination.</w:t>
      </w:r>
    </w:p>
    <w:p w14:paraId="33E4B30A" w14:textId="77777777" w:rsidR="00CF3097" w:rsidRPr="00272A9A" w:rsidRDefault="00D50D0B" w:rsidP="001071AE">
      <w:pPr>
        <w:pStyle w:val="CETHeading1"/>
        <w:numPr>
          <w:ilvl w:val="0"/>
          <w:numId w:val="0"/>
        </w:numPr>
      </w:pPr>
      <w:r w:rsidRPr="00272A9A">
        <w:t>4. Conclusion</w:t>
      </w:r>
      <w:r w:rsidR="007A08A9" w:rsidRPr="00272A9A">
        <w:t>s</w:t>
      </w:r>
      <w:r w:rsidRPr="00272A9A">
        <w:t xml:space="preserve"> </w:t>
      </w:r>
    </w:p>
    <w:p w14:paraId="67B562F1" w14:textId="77777777" w:rsidR="007A08A9" w:rsidRDefault="00D50D0B" w:rsidP="001071AE">
      <w:pPr>
        <w:pStyle w:val="CETBodytext"/>
      </w:pPr>
      <w:r w:rsidRPr="007A08A9">
        <w:t>The environmental evaluation of avocado oil production allows to obtaining satisfactory results. For a production plant built in Colombia, allowing for the characteristics and variations of the process shown in the study, it is possible to obtain a value-added product under safe environmental conditions. The impacts generated and the performance of the process are low since many reagents that can cause human or ecological damage are not used. When considering the source of energy in the process and the flow of products, an increase in toxicological impacts, both generated and produced, could be observed. Regarding the atmospheric impacts generated, the evaluation showed that the most affected category when studying cases 3 and 4 is the acidification potential (AP) since case 3 includes the product flow and case 4 the energy source and the product stream.</w:t>
      </w:r>
    </w:p>
    <w:p w14:paraId="73748E52" w14:textId="7A989204" w:rsidR="00E0293C" w:rsidRDefault="00E0293C" w:rsidP="00723848">
      <w:pPr>
        <w:rPr>
          <w:rFonts w:cs="Arial"/>
          <w:szCs w:val="18"/>
        </w:rPr>
      </w:pPr>
    </w:p>
    <w:p w14:paraId="4A268DC7" w14:textId="4419DB8B" w:rsidR="00CE3629" w:rsidRDefault="00CE3629" w:rsidP="00723848">
      <w:pPr>
        <w:rPr>
          <w:rFonts w:cs="Arial"/>
          <w:szCs w:val="18"/>
        </w:rPr>
      </w:pPr>
    </w:p>
    <w:p w14:paraId="2F082B94" w14:textId="677C9C90" w:rsidR="00CE3629" w:rsidRDefault="00CE3629" w:rsidP="00723848">
      <w:pPr>
        <w:rPr>
          <w:rFonts w:cs="Arial"/>
          <w:szCs w:val="18"/>
        </w:rPr>
      </w:pPr>
    </w:p>
    <w:p w14:paraId="328F2B50" w14:textId="77777777" w:rsidR="00CE3629" w:rsidRDefault="00CE3629" w:rsidP="00723848">
      <w:pPr>
        <w:rPr>
          <w:rFonts w:cs="Arial"/>
          <w:szCs w:val="18"/>
        </w:rPr>
      </w:pPr>
    </w:p>
    <w:p w14:paraId="39D14745" w14:textId="746C2280" w:rsidR="00723848" w:rsidRPr="00723848" w:rsidRDefault="00D50D0B" w:rsidP="00723848">
      <w:pPr>
        <w:rPr>
          <w:rFonts w:cs="Arial"/>
          <w:b/>
          <w:bCs/>
          <w:szCs w:val="18"/>
        </w:rPr>
        <w:sectPr w:rsidR="00723848" w:rsidRPr="00723848" w:rsidSect="005B165B">
          <w:type w:val="continuous"/>
          <w:pgSz w:w="11906" w:h="16838" w:code="9"/>
          <w:pgMar w:top="1701" w:right="1418" w:bottom="1701" w:left="1701" w:header="1701" w:footer="0" w:gutter="0"/>
          <w:cols w:space="708"/>
          <w:formProt w:val="0"/>
          <w:titlePg/>
          <w:docGrid w:linePitch="360"/>
        </w:sectPr>
      </w:pPr>
      <w:r w:rsidRPr="00723848">
        <w:rPr>
          <w:rFonts w:cs="Arial"/>
          <w:b/>
          <w:bCs/>
          <w:szCs w:val="18"/>
          <w:lang w:val="en-US"/>
        </w:rPr>
        <w:lastRenderedPageBreak/>
        <w:t>Nomenclature</w:t>
      </w:r>
    </w:p>
    <w:p w14:paraId="2CA7FCA8" w14:textId="77777777" w:rsidR="001373CA" w:rsidRDefault="001373CA" w:rsidP="00126603">
      <w:pPr>
        <w:rPr>
          <w:rFonts w:cs="Arial"/>
          <w:b/>
          <w:bCs/>
          <w:szCs w:val="18"/>
        </w:rPr>
      </w:pPr>
    </w:p>
    <w:p w14:paraId="439483A9" w14:textId="77777777" w:rsidR="00AF44A4" w:rsidRDefault="00AF44A4" w:rsidP="001071AE">
      <w:pPr>
        <w:pStyle w:val="CETBodytext"/>
        <w:sectPr w:rsidR="00AF44A4" w:rsidSect="00EF06D9">
          <w:type w:val="continuous"/>
          <w:pgSz w:w="11906" w:h="16838" w:code="9"/>
          <w:pgMar w:top="1701" w:right="1418" w:bottom="1701" w:left="1701" w:header="1701" w:footer="0" w:gutter="0"/>
          <w:cols w:space="708"/>
          <w:formProt w:val="0"/>
          <w:titlePg/>
          <w:docGrid w:linePitch="360"/>
        </w:sectPr>
      </w:pPr>
    </w:p>
    <w:p w14:paraId="338BC0F0" w14:textId="77777777" w:rsidR="001373CA" w:rsidRPr="005B165B" w:rsidRDefault="00D50D0B" w:rsidP="001071AE">
      <w:pPr>
        <w:pStyle w:val="CETBodytext"/>
      </w:pPr>
      <w:r w:rsidRPr="005B165B">
        <w:t>ODP</w:t>
      </w:r>
      <w:r>
        <w:t xml:space="preserve"> </w:t>
      </w:r>
      <w:r w:rsidRPr="00280FAF">
        <w:rPr>
          <w:rFonts w:eastAsia="SimSun"/>
        </w:rPr>
        <w:t>–</w:t>
      </w:r>
      <w:r>
        <w:rPr>
          <w:rFonts w:eastAsia="SimSun"/>
        </w:rPr>
        <w:t xml:space="preserve"> </w:t>
      </w:r>
      <w:r>
        <w:t>O</w:t>
      </w:r>
      <w:r w:rsidRPr="005B165B">
        <w:t>zone depletion potential</w:t>
      </w:r>
    </w:p>
    <w:p w14:paraId="13758929" w14:textId="77777777" w:rsidR="001373CA" w:rsidRDefault="00D50D0B" w:rsidP="001071AE">
      <w:pPr>
        <w:pStyle w:val="CETBodytext"/>
      </w:pPr>
      <w:r w:rsidRPr="005B165B">
        <w:t>GWP</w:t>
      </w:r>
      <w:r>
        <w:t xml:space="preserve"> </w:t>
      </w:r>
      <w:r w:rsidRPr="00280FAF">
        <w:rPr>
          <w:rFonts w:eastAsia="SimSun"/>
        </w:rPr>
        <w:t>–</w:t>
      </w:r>
      <w:r>
        <w:rPr>
          <w:rFonts w:eastAsia="SimSun"/>
        </w:rPr>
        <w:t xml:space="preserve"> </w:t>
      </w:r>
      <w:r>
        <w:t>G</w:t>
      </w:r>
      <w:r w:rsidRPr="005B165B">
        <w:t>lobal warming potential</w:t>
      </w:r>
    </w:p>
    <w:p w14:paraId="1F1BB8CC" w14:textId="77777777" w:rsidR="001373CA" w:rsidRDefault="00D50D0B" w:rsidP="001071AE">
      <w:pPr>
        <w:pStyle w:val="CETBodytext"/>
      </w:pPr>
      <w:r w:rsidRPr="005B165B">
        <w:t>PCOP</w:t>
      </w:r>
      <w:r>
        <w:t xml:space="preserve"> </w:t>
      </w:r>
      <w:r w:rsidRPr="00280FAF">
        <w:rPr>
          <w:rFonts w:eastAsia="SimSun"/>
        </w:rPr>
        <w:t>–</w:t>
      </w:r>
      <w:r>
        <w:rPr>
          <w:rFonts w:eastAsia="SimSun"/>
        </w:rPr>
        <w:t xml:space="preserve"> </w:t>
      </w:r>
      <w:r>
        <w:t>P</w:t>
      </w:r>
      <w:r w:rsidRPr="005B165B">
        <w:t>hotochemical oxidation potential</w:t>
      </w:r>
    </w:p>
    <w:p w14:paraId="058D27DB" w14:textId="77777777" w:rsidR="001373CA" w:rsidRDefault="00D50D0B" w:rsidP="001071AE">
      <w:pPr>
        <w:pStyle w:val="CETBodytext"/>
      </w:pPr>
      <w:r w:rsidRPr="005B165B">
        <w:t>AP</w:t>
      </w:r>
      <w:r>
        <w:t xml:space="preserve"> </w:t>
      </w:r>
      <w:r w:rsidRPr="00280FAF">
        <w:rPr>
          <w:rFonts w:eastAsia="SimSun"/>
        </w:rPr>
        <w:t>–</w:t>
      </w:r>
      <w:r>
        <w:rPr>
          <w:rFonts w:eastAsia="SimSun"/>
        </w:rPr>
        <w:t xml:space="preserve"> </w:t>
      </w:r>
      <w:r w:rsidRPr="005B165B">
        <w:t>Acidification potential</w:t>
      </w:r>
    </w:p>
    <w:p w14:paraId="133EA373" w14:textId="77777777" w:rsidR="001373CA" w:rsidRDefault="00D50D0B" w:rsidP="001071AE">
      <w:pPr>
        <w:pStyle w:val="CETBodytext"/>
      </w:pPr>
      <w:r w:rsidRPr="005B165B">
        <w:t>HTPI</w:t>
      </w:r>
      <w:r>
        <w:t xml:space="preserve"> </w:t>
      </w:r>
      <w:r w:rsidRPr="00280FAF">
        <w:rPr>
          <w:rFonts w:eastAsia="SimSun"/>
        </w:rPr>
        <w:t>–</w:t>
      </w:r>
      <w:r>
        <w:rPr>
          <w:rFonts w:eastAsia="SimSun"/>
        </w:rPr>
        <w:t xml:space="preserve"> </w:t>
      </w:r>
      <w:r w:rsidR="00E77B61" w:rsidRPr="005B165B">
        <w:t>Human</w:t>
      </w:r>
      <w:r w:rsidRPr="005B165B">
        <w:t xml:space="preserve"> toxicity potential by ingestion</w:t>
      </w:r>
    </w:p>
    <w:p w14:paraId="651130AB" w14:textId="77777777" w:rsidR="001373CA" w:rsidRDefault="00D50D0B" w:rsidP="001071AE">
      <w:pPr>
        <w:pStyle w:val="CETBodytext"/>
      </w:pPr>
      <w:r w:rsidRPr="005B165B">
        <w:t>HTPE</w:t>
      </w:r>
      <w:r>
        <w:t xml:space="preserve"> </w:t>
      </w:r>
      <w:r w:rsidRPr="00280FAF">
        <w:rPr>
          <w:rFonts w:eastAsia="SimSun"/>
        </w:rPr>
        <w:t>–</w:t>
      </w:r>
      <w:r>
        <w:rPr>
          <w:rFonts w:eastAsia="SimSun"/>
        </w:rPr>
        <w:t xml:space="preserve"> </w:t>
      </w:r>
      <w:r w:rsidR="00E77B61" w:rsidRPr="005B165B">
        <w:t>Potential</w:t>
      </w:r>
      <w:r w:rsidRPr="005B165B">
        <w:t xml:space="preserve"> human toxicity by inhalation or dermal exposure</w:t>
      </w:r>
    </w:p>
    <w:p w14:paraId="5F84EB4F" w14:textId="77777777" w:rsidR="001373CA" w:rsidRDefault="00D50D0B" w:rsidP="001071AE">
      <w:pPr>
        <w:pStyle w:val="CETBodytext"/>
      </w:pPr>
      <w:r w:rsidRPr="005B165B">
        <w:t>ATP</w:t>
      </w:r>
      <w:r w:rsidR="00E77B61">
        <w:t xml:space="preserve"> </w:t>
      </w:r>
      <w:r w:rsidR="00E77B61" w:rsidRPr="00280FAF">
        <w:rPr>
          <w:rFonts w:eastAsia="SimSun"/>
        </w:rPr>
        <w:t>–</w:t>
      </w:r>
      <w:r w:rsidR="00E77B61">
        <w:rPr>
          <w:rFonts w:eastAsia="SimSun"/>
        </w:rPr>
        <w:t xml:space="preserve"> </w:t>
      </w:r>
      <w:r w:rsidR="00E77B61" w:rsidRPr="005B165B">
        <w:t>Aquatic</w:t>
      </w:r>
      <w:r w:rsidRPr="005B165B">
        <w:t xml:space="preserve"> toxicity Potential</w:t>
      </w:r>
    </w:p>
    <w:p w14:paraId="094411B7" w14:textId="77777777" w:rsidR="00AF44A4" w:rsidRDefault="00D50D0B" w:rsidP="001071AE">
      <w:pPr>
        <w:pStyle w:val="CETBodytext"/>
        <w:sectPr w:rsidR="00AF44A4" w:rsidSect="00AF44A4">
          <w:type w:val="continuous"/>
          <w:pgSz w:w="11906" w:h="16838" w:code="9"/>
          <w:pgMar w:top="1701" w:right="1418" w:bottom="1701" w:left="1701" w:header="1701" w:footer="0" w:gutter="0"/>
          <w:cols w:space="708"/>
          <w:formProt w:val="0"/>
          <w:titlePg/>
          <w:docGrid w:linePitch="360"/>
        </w:sectPr>
      </w:pPr>
      <w:r w:rsidRPr="005B165B">
        <w:t>TTP</w:t>
      </w:r>
      <w:r w:rsidR="00E77B61">
        <w:t xml:space="preserve"> </w:t>
      </w:r>
      <w:r w:rsidR="00E77B61" w:rsidRPr="00280FAF">
        <w:rPr>
          <w:rFonts w:eastAsia="SimSun"/>
        </w:rPr>
        <w:t>–</w:t>
      </w:r>
      <w:r w:rsidR="00E77B61">
        <w:rPr>
          <w:rFonts w:eastAsia="SimSun"/>
        </w:rPr>
        <w:t xml:space="preserve"> </w:t>
      </w:r>
      <w:r w:rsidR="00E77B61" w:rsidRPr="005B165B">
        <w:t>Potential</w:t>
      </w:r>
      <w:r w:rsidRPr="005B165B">
        <w:t xml:space="preserve"> Terrestrial Toxicity</w:t>
      </w:r>
    </w:p>
    <w:p w14:paraId="13684F0F" w14:textId="77777777" w:rsidR="001373CA" w:rsidRDefault="001373CA" w:rsidP="001071AE">
      <w:pPr>
        <w:pStyle w:val="CETBodytext"/>
      </w:pPr>
    </w:p>
    <w:p w14:paraId="23ADA10F" w14:textId="77777777" w:rsidR="00AF44A4" w:rsidRDefault="00AF44A4" w:rsidP="00663123">
      <w:pPr>
        <w:pStyle w:val="CETAcknowledgementstitle"/>
        <w:rPr>
          <w:rFonts w:eastAsiaTheme="minorHAnsi"/>
          <w:lang w:val="en-US"/>
        </w:rPr>
        <w:sectPr w:rsidR="00AF44A4" w:rsidSect="00AF44A4">
          <w:type w:val="continuous"/>
          <w:pgSz w:w="11906" w:h="16838" w:code="9"/>
          <w:pgMar w:top="1701" w:right="1418" w:bottom="1701" w:left="1701" w:header="1701" w:footer="0" w:gutter="0"/>
          <w:cols w:num="2" w:space="708"/>
          <w:formProt w:val="0"/>
          <w:titlePg/>
          <w:docGrid w:linePitch="360"/>
        </w:sectPr>
      </w:pPr>
    </w:p>
    <w:p w14:paraId="57086F2D" w14:textId="77777777" w:rsidR="001A25E3" w:rsidRPr="001A25E3" w:rsidRDefault="00D50D0B" w:rsidP="00663123">
      <w:pPr>
        <w:pStyle w:val="CETAcknowledgementstitle"/>
        <w:rPr>
          <w:rFonts w:eastAsiaTheme="minorHAnsi"/>
          <w:lang w:val="en-US"/>
        </w:rPr>
      </w:pPr>
      <w:r w:rsidRPr="001A25E3">
        <w:rPr>
          <w:rFonts w:eastAsiaTheme="minorHAnsi"/>
          <w:lang w:val="en-US"/>
        </w:rPr>
        <w:t>Acknowledgments</w:t>
      </w:r>
      <w:r w:rsidR="00CB715F">
        <w:rPr>
          <w:rFonts w:eastAsiaTheme="minorHAnsi"/>
          <w:lang w:val="en-US"/>
        </w:rPr>
        <w:tab/>
      </w:r>
    </w:p>
    <w:p w14:paraId="799DEA0F" w14:textId="77777777" w:rsidR="001A25E3" w:rsidRPr="00723848" w:rsidRDefault="00D50D0B" w:rsidP="001071AE">
      <w:pPr>
        <w:pStyle w:val="CETBodytext"/>
        <w:rPr>
          <w:rFonts w:eastAsiaTheme="minorHAnsi"/>
        </w:rPr>
      </w:pPr>
      <w:r w:rsidRPr="00723848">
        <w:rPr>
          <w:rFonts w:eastAsiaTheme="minorHAnsi"/>
        </w:rPr>
        <w:t>Authors thank to University of Cartagena for the supply of equipment and software necessary to conclude</w:t>
      </w:r>
    </w:p>
    <w:p w14:paraId="3A29440D" w14:textId="108252F4" w:rsidR="00951AD3" w:rsidRPr="00E0293C" w:rsidRDefault="00D50D0B" w:rsidP="001071AE">
      <w:pPr>
        <w:pStyle w:val="CETBodytext"/>
        <w:rPr>
          <w:b/>
          <w:bCs/>
          <w:lang w:val="es-CO"/>
        </w:rPr>
      </w:pPr>
      <w:proofErr w:type="spellStart"/>
      <w:r w:rsidRPr="00E0293C">
        <w:rPr>
          <w:rFonts w:eastAsiaTheme="minorHAnsi"/>
          <w:lang w:val="es-CO"/>
        </w:rPr>
        <w:t>successfully</w:t>
      </w:r>
      <w:proofErr w:type="spellEnd"/>
      <w:r w:rsidRPr="00E0293C">
        <w:rPr>
          <w:rFonts w:eastAsiaTheme="minorHAnsi"/>
          <w:lang w:val="es-CO"/>
        </w:rPr>
        <w:t xml:space="preserve"> </w:t>
      </w:r>
      <w:proofErr w:type="spellStart"/>
      <w:r w:rsidR="00723848" w:rsidRPr="00E0293C">
        <w:rPr>
          <w:rFonts w:eastAsiaTheme="minorHAnsi"/>
          <w:lang w:val="es-CO"/>
        </w:rPr>
        <w:t>this</w:t>
      </w:r>
      <w:proofErr w:type="spellEnd"/>
      <w:r w:rsidR="00723848" w:rsidRPr="00E0293C">
        <w:rPr>
          <w:rFonts w:eastAsiaTheme="minorHAnsi"/>
          <w:lang w:val="es-CO"/>
        </w:rPr>
        <w:t xml:space="preserve"> </w:t>
      </w:r>
      <w:proofErr w:type="spellStart"/>
      <w:r w:rsidR="00723848" w:rsidRPr="00E0293C">
        <w:rPr>
          <w:rFonts w:eastAsiaTheme="minorHAnsi"/>
          <w:lang w:val="es-CO"/>
        </w:rPr>
        <w:t>wo</w:t>
      </w:r>
      <w:r w:rsidR="00C4066B">
        <w:rPr>
          <w:rFonts w:eastAsiaTheme="minorHAnsi"/>
          <w:lang w:val="es-CO"/>
        </w:rPr>
        <w:t>r</w:t>
      </w:r>
      <w:r w:rsidR="00723848" w:rsidRPr="00E0293C">
        <w:rPr>
          <w:rFonts w:eastAsiaTheme="minorHAnsi"/>
          <w:lang w:val="es-CO"/>
        </w:rPr>
        <w:t>k</w:t>
      </w:r>
      <w:proofErr w:type="spellEnd"/>
      <w:r w:rsidRPr="00E0293C">
        <w:rPr>
          <w:rFonts w:eastAsiaTheme="minorHAnsi"/>
          <w:lang w:val="es-CO"/>
        </w:rPr>
        <w:t>.</w:t>
      </w:r>
    </w:p>
    <w:p w14:paraId="5C247146" w14:textId="77777777" w:rsidR="00CF3097" w:rsidRPr="00791230" w:rsidRDefault="00D50D0B" w:rsidP="00E0293C">
      <w:pPr>
        <w:pStyle w:val="CETReference"/>
        <w:rPr>
          <w:lang w:val="es-CO"/>
        </w:rPr>
      </w:pPr>
      <w:proofErr w:type="spellStart"/>
      <w:r w:rsidRPr="00791230">
        <w:rPr>
          <w:lang w:val="es-CO"/>
        </w:rPr>
        <w:t>References</w:t>
      </w:r>
      <w:proofErr w:type="spellEnd"/>
    </w:p>
    <w:p w14:paraId="7D1A805D" w14:textId="77777777" w:rsidR="00272A9A" w:rsidRPr="00791230" w:rsidRDefault="00D50D0B" w:rsidP="00E0293C">
      <w:pPr>
        <w:pStyle w:val="CETReferencetext"/>
        <w:rPr>
          <w:lang w:val="es-CO"/>
        </w:rPr>
      </w:pPr>
      <w:r w:rsidRPr="00E0293C">
        <w:fldChar w:fldCharType="begin" w:fldLock="1"/>
      </w:r>
      <w:r w:rsidR="00CD4C9F" w:rsidRPr="00791230">
        <w:rPr>
          <w:lang w:val="es-CO"/>
        </w:rPr>
        <w:instrText xml:space="preserve">ADDIN Mendeley Bibliography CSL_BIBLIOGRAPHY </w:instrText>
      </w:r>
      <w:r w:rsidRPr="00E0293C">
        <w:fldChar w:fldCharType="separate"/>
      </w:r>
      <w:r w:rsidRPr="00791230">
        <w:rPr>
          <w:lang w:val="es-CO"/>
        </w:rPr>
        <w:t xml:space="preserve">Acosta M., 2011, </w:t>
      </w:r>
      <w:r w:rsidR="00AF44A4" w:rsidRPr="00791230">
        <w:rPr>
          <w:lang w:val="es-CO"/>
        </w:rPr>
        <w:t>Evaluación</w:t>
      </w:r>
      <w:r w:rsidRPr="00791230">
        <w:rPr>
          <w:lang w:val="es-CO"/>
        </w:rPr>
        <w:t xml:space="preserve"> y escalamiento del proceso de </w:t>
      </w:r>
      <w:r w:rsidR="00AF44A4" w:rsidRPr="00791230">
        <w:rPr>
          <w:lang w:val="es-CO"/>
        </w:rPr>
        <w:t>extracción</w:t>
      </w:r>
      <w:r w:rsidRPr="00791230">
        <w:rPr>
          <w:lang w:val="es-CO"/>
        </w:rPr>
        <w:t xml:space="preserve"> de aceite de aguacate utilizando tratamiento </w:t>
      </w:r>
      <w:r w:rsidR="00AF44A4" w:rsidRPr="00791230">
        <w:rPr>
          <w:lang w:val="es-CO"/>
        </w:rPr>
        <w:t>enzimático</w:t>
      </w:r>
      <w:r w:rsidRPr="00791230">
        <w:rPr>
          <w:lang w:val="es-CO"/>
        </w:rPr>
        <w:t>, Universidad Nacional de Colombia.</w:t>
      </w:r>
    </w:p>
    <w:p w14:paraId="7CBB6C3D" w14:textId="77777777" w:rsidR="00272A9A" w:rsidRPr="00E0293C" w:rsidRDefault="00D50D0B" w:rsidP="00E0293C">
      <w:pPr>
        <w:pStyle w:val="CETReferencetext"/>
      </w:pPr>
      <w:r w:rsidRPr="00E0293C">
        <w:t>Aguilar E.,</w:t>
      </w:r>
      <w:r w:rsidR="00AF44A4" w:rsidRPr="00E0293C">
        <w:t xml:space="preserve"> </w:t>
      </w:r>
      <w:r w:rsidRPr="00E0293C">
        <w:t>González</w:t>
      </w:r>
      <w:r w:rsidR="00AF44A4" w:rsidRPr="00E0293C">
        <w:t xml:space="preserve"> </w:t>
      </w:r>
      <w:r w:rsidRPr="00E0293C">
        <w:t>Á</w:t>
      </w:r>
      <w:r w:rsidR="00AF44A4" w:rsidRPr="00E0293C">
        <w:t xml:space="preserve">., </w:t>
      </w:r>
      <w:r w:rsidRPr="00E0293C">
        <w:t>2021</w:t>
      </w:r>
      <w:r w:rsidR="00AF44A4" w:rsidRPr="00E0293C">
        <w:t>,</w:t>
      </w:r>
      <w:r w:rsidRPr="00E0293C">
        <w:t xml:space="preserve"> Environmental assessment for production of modified chitosan microbeads with TiO2 and magnetite using waste reduction algorithm (WAR)</w:t>
      </w:r>
      <w:r w:rsidR="00AF44A4" w:rsidRPr="00E0293C">
        <w:t>,</w:t>
      </w:r>
      <w:r w:rsidRPr="00E0293C">
        <w:t xml:space="preserve"> Revista ION, 34(1), 121–136. https://doi.org/10.18273/revion.v34n1-2021010</w:t>
      </w:r>
    </w:p>
    <w:p w14:paraId="3D345520" w14:textId="77777777" w:rsidR="00272A9A" w:rsidRPr="00791230" w:rsidRDefault="00D50D0B" w:rsidP="00E0293C">
      <w:pPr>
        <w:pStyle w:val="CETReferencetext"/>
        <w:rPr>
          <w:lang w:val="es-CO"/>
        </w:rPr>
      </w:pPr>
      <w:r w:rsidRPr="00E0293C">
        <w:t xml:space="preserve">Ariza J., López F., Coyotl J., Ramos M., Diaz J., </w:t>
      </w:r>
      <w:r w:rsidR="00AF44A4" w:rsidRPr="00E0293C">
        <w:t>M</w:t>
      </w:r>
      <w:r w:rsidRPr="00E0293C">
        <w:t>artinez A.</w:t>
      </w:r>
      <w:r w:rsidR="00AF44A4" w:rsidRPr="00E0293C">
        <w:t>,</w:t>
      </w:r>
      <w:r w:rsidRPr="00E0293C">
        <w:t xml:space="preserve"> 201</w:t>
      </w:r>
      <w:r w:rsidR="00AF44A4" w:rsidRPr="00E0293C">
        <w:t xml:space="preserve">1, </w:t>
      </w:r>
      <w:r w:rsidRPr="00E0293C">
        <w:t xml:space="preserve">Effect of different extraction methods on the fatty acid profile in the avocado (Persea americana Mill. var. </w:t>
      </w:r>
      <w:r w:rsidRPr="00791230">
        <w:rPr>
          <w:lang w:val="es-CO"/>
        </w:rPr>
        <w:t>Hass) oil</w:t>
      </w:r>
      <w:r w:rsidR="00AF44A4" w:rsidRPr="00791230">
        <w:rPr>
          <w:lang w:val="es-CO"/>
        </w:rPr>
        <w:t>,</w:t>
      </w:r>
      <w:r w:rsidRPr="00791230">
        <w:rPr>
          <w:lang w:val="es-CO"/>
        </w:rPr>
        <w:t xml:space="preserve"> Revista Venezolana de Ciencia y Tecnolog</w:t>
      </w:r>
      <w:r w:rsidR="00AF44A4" w:rsidRPr="00791230">
        <w:rPr>
          <w:lang w:val="es-CO"/>
        </w:rPr>
        <w:t>í</w:t>
      </w:r>
      <w:r w:rsidRPr="00791230">
        <w:rPr>
          <w:lang w:val="es-CO"/>
        </w:rPr>
        <w:t>a de Alimentos, 2(2), 263–276.</w:t>
      </w:r>
    </w:p>
    <w:p w14:paraId="1BB274EF" w14:textId="77777777" w:rsidR="00272A9A" w:rsidRPr="00E0293C" w:rsidRDefault="00D50D0B" w:rsidP="00E0293C">
      <w:pPr>
        <w:pStyle w:val="CETReferencetext"/>
      </w:pPr>
      <w:r w:rsidRPr="00E0293C">
        <w:t>Cassiani D., Meza</w:t>
      </w:r>
      <w:r w:rsidR="00055275" w:rsidRPr="00E0293C">
        <w:t xml:space="preserve"> </w:t>
      </w:r>
      <w:r w:rsidRPr="00E0293C">
        <w:t>D., González Á.</w:t>
      </w:r>
      <w:r w:rsidR="00055275" w:rsidRPr="00E0293C">
        <w:t xml:space="preserve">, </w:t>
      </w:r>
      <w:r w:rsidRPr="00E0293C">
        <w:t>2018</w:t>
      </w:r>
      <w:r w:rsidR="00055275" w:rsidRPr="00E0293C">
        <w:t>,</w:t>
      </w:r>
      <w:r w:rsidRPr="00E0293C">
        <w:t xml:space="preserve"> Environmental evaluation of agar production from macroalgae Gracilaria sp</w:t>
      </w:r>
      <w:r w:rsidR="00055275" w:rsidRPr="00E0293C">
        <w:t xml:space="preserve">, </w:t>
      </w:r>
      <w:r w:rsidRPr="00E0293C">
        <w:t>Chemical Engineering Transactions, 70, 2005–2010. https://doi.org/10.3303/CET1870335</w:t>
      </w:r>
    </w:p>
    <w:p w14:paraId="283CB32B" w14:textId="77777777" w:rsidR="00272A9A" w:rsidRPr="00E0293C" w:rsidRDefault="00D50D0B" w:rsidP="00E0293C">
      <w:pPr>
        <w:pStyle w:val="CETReferencetext"/>
      </w:pPr>
      <w:r w:rsidRPr="00E0293C">
        <w:t>Department of health and human services</w:t>
      </w:r>
      <w:r w:rsidR="00055275" w:rsidRPr="00E0293C">
        <w:t xml:space="preserve">, </w:t>
      </w:r>
      <w:r w:rsidRPr="00E0293C">
        <w:t>1999</w:t>
      </w:r>
      <w:r w:rsidR="00055275" w:rsidRPr="00E0293C">
        <w:t>,</w:t>
      </w:r>
      <w:r w:rsidRPr="00E0293C">
        <w:t xml:space="preserve"> Public health statement n-hexane CAS#: 110-54-3</w:t>
      </w:r>
      <w:r w:rsidR="00055275" w:rsidRPr="00E0293C">
        <w:t xml:space="preserve">, </w:t>
      </w:r>
      <w:r w:rsidRPr="00E0293C">
        <w:t>In Public Health Service Agency for Toxic Substances and Disease Registry (pp. 1–7). https://www.atsdr.cdc.gov/ToxProfiles/tp113-c1-b.pdf</w:t>
      </w:r>
    </w:p>
    <w:p w14:paraId="3BB230E5" w14:textId="77777777" w:rsidR="00272A9A" w:rsidRPr="00E0293C" w:rsidRDefault="00D50D0B" w:rsidP="00E0293C">
      <w:pPr>
        <w:pStyle w:val="CETReferencetext"/>
      </w:pPr>
      <w:r w:rsidRPr="00E0293C">
        <w:t>Herrera</w:t>
      </w:r>
      <w:r w:rsidR="00B87642" w:rsidRPr="00E0293C">
        <w:t xml:space="preserve"> </w:t>
      </w:r>
      <w:r w:rsidRPr="00E0293C">
        <w:t>R., Salgado J., Peralta Y.,</w:t>
      </w:r>
      <w:r w:rsidR="00B87642" w:rsidRPr="00E0293C">
        <w:t xml:space="preserve"> </w:t>
      </w:r>
      <w:r w:rsidRPr="00E0293C">
        <w:t>González</w:t>
      </w:r>
      <w:r w:rsidR="00B87642" w:rsidRPr="00E0293C">
        <w:t xml:space="preserve"> </w:t>
      </w:r>
      <w:r w:rsidRPr="00E0293C">
        <w:t>Á.</w:t>
      </w:r>
      <w:r w:rsidR="00B87642" w:rsidRPr="00E0293C">
        <w:t xml:space="preserve">, </w:t>
      </w:r>
      <w:r w:rsidRPr="00E0293C">
        <w:t>2017</w:t>
      </w:r>
      <w:r w:rsidR="00B87642" w:rsidRPr="00E0293C">
        <w:t>,</w:t>
      </w:r>
      <w:r w:rsidRPr="00E0293C">
        <w:t xml:space="preserve"> Environmental evaluation of a palm-based biorefinery under North-Colombian conditions</w:t>
      </w:r>
      <w:r w:rsidR="00B87642" w:rsidRPr="00E0293C">
        <w:t>,</w:t>
      </w:r>
      <w:r w:rsidRPr="00E0293C">
        <w:t xml:space="preserve"> Chemical Engineering Transactions, 57, 193–198. https://doi.org/10.3303/CET1757033</w:t>
      </w:r>
    </w:p>
    <w:p w14:paraId="3E0A847A" w14:textId="77777777" w:rsidR="00272A9A" w:rsidRPr="00E0293C" w:rsidRDefault="00D50D0B" w:rsidP="00E0293C">
      <w:pPr>
        <w:pStyle w:val="CETReferencetext"/>
      </w:pPr>
      <w:r w:rsidRPr="00E0293C">
        <w:t>Herrera</w:t>
      </w:r>
      <w:r w:rsidR="00B87642" w:rsidRPr="00E0293C">
        <w:t xml:space="preserve"> </w:t>
      </w:r>
      <w:r w:rsidRPr="00E0293C">
        <w:t>T., Parejo V., González</w:t>
      </w:r>
      <w:r w:rsidR="00B87642" w:rsidRPr="00E0293C">
        <w:t xml:space="preserve"> </w:t>
      </w:r>
      <w:r w:rsidRPr="00E0293C">
        <w:t>Á.</w:t>
      </w:r>
      <w:r w:rsidR="00B87642" w:rsidRPr="00E0293C">
        <w:t xml:space="preserve">, </w:t>
      </w:r>
      <w:r w:rsidRPr="00E0293C">
        <w:t>2018</w:t>
      </w:r>
      <w:r w:rsidR="00B87642" w:rsidRPr="00E0293C">
        <w:t xml:space="preserve">, </w:t>
      </w:r>
      <w:r w:rsidRPr="00E0293C">
        <w:t>Technoeconomic sensibility analysis of industrial agar production from red algae</w:t>
      </w:r>
      <w:r w:rsidR="00B87642" w:rsidRPr="00E0293C">
        <w:t xml:space="preserve">, </w:t>
      </w:r>
      <w:r w:rsidRPr="00E0293C">
        <w:t>Chemical Engineering Transactions, 70, 2029–2034. https://doi.org/10.3303/CET1870339</w:t>
      </w:r>
    </w:p>
    <w:p w14:paraId="34891A82" w14:textId="77777777" w:rsidR="00272A9A" w:rsidRPr="00E0293C" w:rsidRDefault="00D50D0B" w:rsidP="00E0293C">
      <w:pPr>
        <w:pStyle w:val="CETReferencetext"/>
      </w:pPr>
      <w:r w:rsidRPr="00E0293C">
        <w:t>Moncada J., Tamayo</w:t>
      </w:r>
      <w:r w:rsidR="00B87642" w:rsidRPr="00E0293C">
        <w:t xml:space="preserve"> </w:t>
      </w:r>
      <w:r w:rsidRPr="00E0293C">
        <w:t>J., Cardona</w:t>
      </w:r>
      <w:r w:rsidR="00B87642" w:rsidRPr="00E0293C">
        <w:t xml:space="preserve"> </w:t>
      </w:r>
      <w:r w:rsidRPr="00E0293C">
        <w:t>C.</w:t>
      </w:r>
      <w:r w:rsidR="00B87642" w:rsidRPr="00E0293C">
        <w:t>,</w:t>
      </w:r>
      <w:r w:rsidRPr="00E0293C">
        <w:t xml:space="preserve"> 2016</w:t>
      </w:r>
      <w:r w:rsidR="00B87642" w:rsidRPr="00E0293C">
        <w:t>,</w:t>
      </w:r>
      <w:r w:rsidRPr="00E0293C">
        <w:t xml:space="preserve"> Techno-economic and environmental assessment of essential oil extraction from Oregano (Origanum vulgare) and Rosemary (Rosmarinus officinalis) in Colombia</w:t>
      </w:r>
      <w:r w:rsidR="00B87642" w:rsidRPr="00E0293C">
        <w:t xml:space="preserve">, </w:t>
      </w:r>
      <w:r w:rsidRPr="00E0293C">
        <w:t>Journal of Cleaner Production, 112, 172–181. https://doi.org/10.1016/j.jclepro.2015.09.067</w:t>
      </w:r>
    </w:p>
    <w:p w14:paraId="0ACAAD12" w14:textId="77777777" w:rsidR="00272A9A" w:rsidRPr="00791230" w:rsidRDefault="00D50D0B" w:rsidP="00E0293C">
      <w:pPr>
        <w:pStyle w:val="CETReferencetext"/>
        <w:rPr>
          <w:lang w:val="es-CO"/>
        </w:rPr>
      </w:pPr>
      <w:r w:rsidRPr="00791230">
        <w:rPr>
          <w:lang w:val="es-CO"/>
        </w:rPr>
        <w:t>Montoya M.</w:t>
      </w:r>
      <w:r w:rsidR="00B87642" w:rsidRPr="00791230">
        <w:rPr>
          <w:lang w:val="es-CO"/>
        </w:rPr>
        <w:t xml:space="preserve">, </w:t>
      </w:r>
      <w:r w:rsidRPr="00791230">
        <w:rPr>
          <w:lang w:val="es-CO"/>
        </w:rPr>
        <w:t>2008</w:t>
      </w:r>
      <w:r w:rsidR="00B87642" w:rsidRPr="00791230">
        <w:rPr>
          <w:lang w:val="es-CO"/>
        </w:rPr>
        <w:t>,</w:t>
      </w:r>
      <w:r w:rsidRPr="00791230">
        <w:rPr>
          <w:lang w:val="es-CO"/>
        </w:rPr>
        <w:t xml:space="preserve"> Evaluaci</w:t>
      </w:r>
      <w:r w:rsidR="00B87642" w:rsidRPr="00791230">
        <w:rPr>
          <w:lang w:val="es-CO"/>
        </w:rPr>
        <w:t>ó</w:t>
      </w:r>
      <w:r w:rsidRPr="00791230">
        <w:rPr>
          <w:lang w:val="es-CO"/>
        </w:rPr>
        <w:t>n integral de la eficiencia económica y ambiental de proceso para la obtención de biodiesel</w:t>
      </w:r>
      <w:r w:rsidR="00B87642" w:rsidRPr="00791230">
        <w:rPr>
          <w:lang w:val="es-CO"/>
        </w:rPr>
        <w:t>,</w:t>
      </w:r>
      <w:r w:rsidRPr="00791230">
        <w:rPr>
          <w:lang w:val="es-CO"/>
        </w:rPr>
        <w:t xml:space="preserve"> Universidad Nacional de Colombia.</w:t>
      </w:r>
    </w:p>
    <w:p w14:paraId="1C5E35BA" w14:textId="0B7A7877" w:rsidR="00272A9A" w:rsidRPr="00791230" w:rsidRDefault="00E0293C" w:rsidP="00E0293C">
      <w:pPr>
        <w:pStyle w:val="CETReferencetext"/>
        <w:rPr>
          <w:lang w:val="es-CO"/>
        </w:rPr>
      </w:pPr>
      <w:r w:rsidRPr="00791230">
        <w:rPr>
          <w:lang w:val="es-CO"/>
        </w:rPr>
        <w:t>Pérez</w:t>
      </w:r>
      <w:r w:rsidR="00D50D0B" w:rsidRPr="00791230">
        <w:rPr>
          <w:lang w:val="es-CO"/>
        </w:rPr>
        <w:t xml:space="preserve"> M., Rodriguez R., Santos A.</w:t>
      </w:r>
      <w:r w:rsidR="00B87642" w:rsidRPr="00791230">
        <w:rPr>
          <w:lang w:val="es-CO"/>
        </w:rPr>
        <w:t xml:space="preserve">, </w:t>
      </w:r>
      <w:r w:rsidR="00D50D0B" w:rsidRPr="00791230">
        <w:rPr>
          <w:lang w:val="es-CO"/>
        </w:rPr>
        <w:t>202</w:t>
      </w:r>
      <w:r w:rsidR="00B87642" w:rsidRPr="00791230">
        <w:rPr>
          <w:lang w:val="es-CO"/>
        </w:rPr>
        <w:t xml:space="preserve">1, </w:t>
      </w:r>
      <w:r w:rsidR="00D50D0B" w:rsidRPr="00791230">
        <w:rPr>
          <w:lang w:val="es-CO"/>
        </w:rPr>
        <w:t>Estudio de factibilidad del proceso de producción sostenible de aceite de aguacate (Persea americana miller) para uso en la industria de cosméticos</w:t>
      </w:r>
      <w:r w:rsidR="00B87642" w:rsidRPr="00791230">
        <w:rPr>
          <w:lang w:val="es-CO"/>
        </w:rPr>
        <w:t>,</w:t>
      </w:r>
      <w:r w:rsidR="00D50D0B" w:rsidRPr="00791230">
        <w:rPr>
          <w:lang w:val="es-CO"/>
        </w:rPr>
        <w:t xml:space="preserve"> In Universidad de El Salvador.</w:t>
      </w:r>
    </w:p>
    <w:p w14:paraId="653FDE29" w14:textId="77777777" w:rsidR="00272A9A" w:rsidRPr="00E0293C" w:rsidRDefault="00D50D0B" w:rsidP="00E0293C">
      <w:pPr>
        <w:pStyle w:val="CETReferencetext"/>
      </w:pPr>
      <w:r w:rsidRPr="00E0293C">
        <w:t>Poveda J., Piedrahita S.,</w:t>
      </w:r>
      <w:r w:rsidR="00B87642" w:rsidRPr="00E0293C">
        <w:t xml:space="preserve"> </w:t>
      </w:r>
      <w:r w:rsidRPr="00E0293C">
        <w:t>Cardona</w:t>
      </w:r>
      <w:r w:rsidR="00B87642" w:rsidRPr="00E0293C">
        <w:t xml:space="preserve"> </w:t>
      </w:r>
      <w:r w:rsidRPr="00E0293C">
        <w:t>C.</w:t>
      </w:r>
      <w:r w:rsidR="00B87642" w:rsidRPr="00E0293C">
        <w:t xml:space="preserve">, </w:t>
      </w:r>
      <w:r w:rsidRPr="00E0293C">
        <w:t>2021</w:t>
      </w:r>
      <w:r w:rsidR="00B87642" w:rsidRPr="00E0293C">
        <w:t xml:space="preserve">, </w:t>
      </w:r>
      <w:r w:rsidRPr="00E0293C">
        <w:t>Life Cycle Analysis of Biotechnological Processes based on the Composition of the Raw Material</w:t>
      </w:r>
      <w:r w:rsidR="00B87642" w:rsidRPr="00E0293C">
        <w:t>,</w:t>
      </w:r>
      <w:r w:rsidRPr="00E0293C">
        <w:t xml:space="preserve"> Eucalyptus, Avocado, and Plantain cases in a Biorefinery System</w:t>
      </w:r>
      <w:r w:rsidR="00B87642" w:rsidRPr="00E0293C">
        <w:t>,</w:t>
      </w:r>
      <w:r w:rsidRPr="00E0293C">
        <w:t xml:space="preserve"> Chemical Engineering Transactions, 83, 397–402. https://doi.org/10.3303/CET2183067</w:t>
      </w:r>
    </w:p>
    <w:p w14:paraId="5E3AB092" w14:textId="77777777" w:rsidR="00272A9A" w:rsidRPr="00E0293C" w:rsidRDefault="00D50D0B" w:rsidP="00E0293C">
      <w:pPr>
        <w:pStyle w:val="CETReferencetext"/>
      </w:pPr>
      <w:r w:rsidRPr="00E0293C">
        <w:t>Serpa G., Echeverri L., Lezcano C., Vélez A., Ríos A., Hincapié G</w:t>
      </w:r>
      <w:r w:rsidR="00B87642" w:rsidRPr="00E0293C">
        <w:t xml:space="preserve">., </w:t>
      </w:r>
      <w:r w:rsidRPr="00E0293C">
        <w:t>2014</w:t>
      </w:r>
      <w:r w:rsidR="00B87642" w:rsidRPr="00E0293C">
        <w:t>,</w:t>
      </w:r>
      <w:r w:rsidRPr="00E0293C">
        <w:t xml:space="preserve"> Oil extraction by cold pressing from freeze dried avocado variety “Hass” (Persea americana Mill)</w:t>
      </w:r>
      <w:r w:rsidR="00B87642" w:rsidRPr="00E0293C">
        <w:t xml:space="preserve">, </w:t>
      </w:r>
      <w:r w:rsidRPr="00E0293C">
        <w:t>Revista Investigaciones Aplicadas, 8(2), 113–123.</w:t>
      </w:r>
    </w:p>
    <w:p w14:paraId="0C94BD8A" w14:textId="65728B92" w:rsidR="00272A9A" w:rsidRPr="00791230" w:rsidRDefault="00D50D0B" w:rsidP="00E0293C">
      <w:pPr>
        <w:pStyle w:val="CETReferencetext"/>
        <w:rPr>
          <w:lang w:val="es-CO"/>
        </w:rPr>
      </w:pPr>
      <w:r w:rsidRPr="00791230">
        <w:rPr>
          <w:lang w:val="es-CO"/>
        </w:rPr>
        <w:t>Yabrudy J.</w:t>
      </w:r>
      <w:r w:rsidR="00B87642" w:rsidRPr="00791230">
        <w:rPr>
          <w:lang w:val="es-CO"/>
        </w:rPr>
        <w:t xml:space="preserve">, </w:t>
      </w:r>
      <w:r w:rsidRPr="00791230">
        <w:rPr>
          <w:lang w:val="es-CO"/>
        </w:rPr>
        <w:t>2012</w:t>
      </w:r>
      <w:r w:rsidR="00B87642" w:rsidRPr="00791230">
        <w:rPr>
          <w:lang w:val="es-CO"/>
        </w:rPr>
        <w:t>,</w:t>
      </w:r>
      <w:r w:rsidRPr="00791230">
        <w:rPr>
          <w:lang w:val="es-CO"/>
        </w:rPr>
        <w:t xml:space="preserve"> El aguacate en Colombia: Estudio de caso de los Montes de María, en el Caribe colombiano</w:t>
      </w:r>
      <w:r w:rsidR="00B87642" w:rsidRPr="00791230">
        <w:rPr>
          <w:lang w:val="es-CO"/>
        </w:rPr>
        <w:t xml:space="preserve">, </w:t>
      </w:r>
      <w:r w:rsidRPr="00791230">
        <w:rPr>
          <w:lang w:val="es-CO"/>
        </w:rPr>
        <w:t xml:space="preserve">In Banco de la </w:t>
      </w:r>
      <w:r w:rsidR="00E0293C" w:rsidRPr="00791230">
        <w:rPr>
          <w:lang w:val="es-CO"/>
        </w:rPr>
        <w:t>República</w:t>
      </w:r>
      <w:r w:rsidRPr="00791230">
        <w:rPr>
          <w:lang w:val="es-CO"/>
        </w:rPr>
        <w:t xml:space="preserve"> (pp. 1–35).</w:t>
      </w:r>
    </w:p>
    <w:p w14:paraId="41380B35" w14:textId="77777777" w:rsidR="00272A9A" w:rsidRPr="00E0293C" w:rsidRDefault="00D50D0B" w:rsidP="00E0293C">
      <w:pPr>
        <w:pStyle w:val="CETReferencetext"/>
      </w:pPr>
      <w:r w:rsidRPr="00E0293C">
        <w:t>Young</w:t>
      </w:r>
      <w:r w:rsidR="00B87642" w:rsidRPr="00E0293C">
        <w:t xml:space="preserve"> </w:t>
      </w:r>
      <w:r w:rsidRPr="00E0293C">
        <w:t>D., Cabezas H</w:t>
      </w:r>
      <w:r w:rsidR="00B87642" w:rsidRPr="00E0293C">
        <w:t>., 19</w:t>
      </w:r>
      <w:r w:rsidRPr="00E0293C">
        <w:t>99</w:t>
      </w:r>
      <w:r w:rsidR="00B87642" w:rsidRPr="00E0293C">
        <w:t>,</w:t>
      </w:r>
      <w:r w:rsidRPr="00E0293C">
        <w:t xml:space="preserve"> Designing sustainable processes with simulation: the waste reduction (WAR) algorithm</w:t>
      </w:r>
      <w:r w:rsidR="00B87642" w:rsidRPr="00E0293C">
        <w:t>,</w:t>
      </w:r>
      <w:r w:rsidRPr="00E0293C">
        <w:t xml:space="preserve"> Computers &amp; Chemical Engineering, 1354(December), 1477–1491. https://doi.org/10.1016/S0098-1354(99)00306-3</w:t>
      </w:r>
    </w:p>
    <w:p w14:paraId="1E12D350" w14:textId="15B7A425" w:rsidR="004A31F8" w:rsidRDefault="00D50D0B" w:rsidP="00E0293C">
      <w:pPr>
        <w:pStyle w:val="CETReferencetext"/>
      </w:pPr>
      <w:r w:rsidRPr="00E0293C">
        <w:fldChar w:fldCharType="end"/>
      </w:r>
    </w:p>
    <w:p w14:paraId="4120DAEF" w14:textId="2117120A" w:rsidR="00934627" w:rsidRDefault="00934627" w:rsidP="00E0293C">
      <w:pPr>
        <w:pStyle w:val="CETReferencetext"/>
      </w:pPr>
    </w:p>
    <w:p w14:paraId="0D1BC3B5" w14:textId="13C55F12" w:rsidR="00934627" w:rsidRDefault="00934627" w:rsidP="00E0293C">
      <w:pPr>
        <w:pStyle w:val="CETReferencetext"/>
      </w:pPr>
    </w:p>
    <w:p w14:paraId="5F1D9426" w14:textId="77777777" w:rsidR="00934627" w:rsidRPr="00ED5284" w:rsidRDefault="00934627" w:rsidP="00ED5284">
      <w:pPr>
        <w:pStyle w:val="CETReferencetext"/>
        <w:ind w:left="0" w:firstLine="0"/>
      </w:pPr>
    </w:p>
    <w:sectPr w:rsidR="00934627" w:rsidRPr="00ED5284" w:rsidSect="00EF06D9">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Light">
    <w:altName w:val="Segoe UI Light"/>
    <w:charset w:val="00"/>
    <w:family w:val="auto"/>
    <w:pitch w:val="default"/>
  </w:font>
  <w:font w:name="AdvP6960">
    <w:altName w:val="Cambria"/>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D722A68"/>
    <w:multiLevelType w:val="hybridMultilevel"/>
    <w:tmpl w:val="A8D8E930"/>
    <w:lvl w:ilvl="0" w:tplc="0980AEA0">
      <w:start w:val="1"/>
      <w:numFmt w:val="decimal"/>
      <w:lvlText w:val="%1."/>
      <w:lvlJc w:val="left"/>
      <w:pPr>
        <w:ind w:left="720" w:hanging="360"/>
      </w:pPr>
      <w:rPr>
        <w:rFonts w:hint="default"/>
      </w:rPr>
    </w:lvl>
    <w:lvl w:ilvl="1" w:tplc="BDD07080" w:tentative="1">
      <w:start w:val="1"/>
      <w:numFmt w:val="lowerLetter"/>
      <w:lvlText w:val="%2."/>
      <w:lvlJc w:val="left"/>
      <w:pPr>
        <w:ind w:left="1440" w:hanging="360"/>
      </w:pPr>
    </w:lvl>
    <w:lvl w:ilvl="2" w:tplc="795C5434" w:tentative="1">
      <w:start w:val="1"/>
      <w:numFmt w:val="lowerRoman"/>
      <w:lvlText w:val="%3."/>
      <w:lvlJc w:val="right"/>
      <w:pPr>
        <w:ind w:left="2160" w:hanging="180"/>
      </w:pPr>
    </w:lvl>
    <w:lvl w:ilvl="3" w:tplc="DF0A1E32" w:tentative="1">
      <w:start w:val="1"/>
      <w:numFmt w:val="decimal"/>
      <w:lvlText w:val="%4."/>
      <w:lvlJc w:val="left"/>
      <w:pPr>
        <w:ind w:left="2880" w:hanging="360"/>
      </w:pPr>
    </w:lvl>
    <w:lvl w:ilvl="4" w:tplc="A47E2910" w:tentative="1">
      <w:start w:val="1"/>
      <w:numFmt w:val="lowerLetter"/>
      <w:lvlText w:val="%5."/>
      <w:lvlJc w:val="left"/>
      <w:pPr>
        <w:ind w:left="3600" w:hanging="360"/>
      </w:pPr>
    </w:lvl>
    <w:lvl w:ilvl="5" w:tplc="B80E6C1C" w:tentative="1">
      <w:start w:val="1"/>
      <w:numFmt w:val="lowerRoman"/>
      <w:lvlText w:val="%6."/>
      <w:lvlJc w:val="right"/>
      <w:pPr>
        <w:ind w:left="4320" w:hanging="180"/>
      </w:pPr>
    </w:lvl>
    <w:lvl w:ilvl="6" w:tplc="F00489E4" w:tentative="1">
      <w:start w:val="1"/>
      <w:numFmt w:val="decimal"/>
      <w:lvlText w:val="%7."/>
      <w:lvlJc w:val="left"/>
      <w:pPr>
        <w:ind w:left="5040" w:hanging="360"/>
      </w:pPr>
    </w:lvl>
    <w:lvl w:ilvl="7" w:tplc="5DA6087A" w:tentative="1">
      <w:start w:val="1"/>
      <w:numFmt w:val="lowerLetter"/>
      <w:lvlText w:val="%8."/>
      <w:lvlJc w:val="left"/>
      <w:pPr>
        <w:ind w:left="5760" w:hanging="360"/>
      </w:pPr>
    </w:lvl>
    <w:lvl w:ilvl="8" w:tplc="845C6720"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8BB65F1A">
      <w:start w:val="1"/>
      <w:numFmt w:val="bullet"/>
      <w:lvlText w:val=""/>
      <w:lvlJc w:val="left"/>
      <w:pPr>
        <w:ind w:left="720" w:hanging="360"/>
      </w:pPr>
      <w:rPr>
        <w:rFonts w:ascii="Symbol" w:hAnsi="Symbol" w:hint="default"/>
      </w:rPr>
    </w:lvl>
    <w:lvl w:ilvl="1" w:tplc="F53A434A" w:tentative="1">
      <w:start w:val="1"/>
      <w:numFmt w:val="bullet"/>
      <w:lvlText w:val="o"/>
      <w:lvlJc w:val="left"/>
      <w:pPr>
        <w:ind w:left="1440" w:hanging="360"/>
      </w:pPr>
      <w:rPr>
        <w:rFonts w:ascii="Courier New" w:hAnsi="Courier New" w:cs="Courier New" w:hint="default"/>
      </w:rPr>
    </w:lvl>
    <w:lvl w:ilvl="2" w:tplc="FBD24EDC" w:tentative="1">
      <w:start w:val="1"/>
      <w:numFmt w:val="bullet"/>
      <w:lvlText w:val=""/>
      <w:lvlJc w:val="left"/>
      <w:pPr>
        <w:ind w:left="2160" w:hanging="360"/>
      </w:pPr>
      <w:rPr>
        <w:rFonts w:ascii="Wingdings" w:hAnsi="Wingdings" w:hint="default"/>
      </w:rPr>
    </w:lvl>
    <w:lvl w:ilvl="3" w:tplc="B95482C0" w:tentative="1">
      <w:start w:val="1"/>
      <w:numFmt w:val="bullet"/>
      <w:lvlText w:val=""/>
      <w:lvlJc w:val="left"/>
      <w:pPr>
        <w:ind w:left="2880" w:hanging="360"/>
      </w:pPr>
      <w:rPr>
        <w:rFonts w:ascii="Symbol" w:hAnsi="Symbol" w:hint="default"/>
      </w:rPr>
    </w:lvl>
    <w:lvl w:ilvl="4" w:tplc="6EC4B032" w:tentative="1">
      <w:start w:val="1"/>
      <w:numFmt w:val="bullet"/>
      <w:lvlText w:val="o"/>
      <w:lvlJc w:val="left"/>
      <w:pPr>
        <w:ind w:left="3600" w:hanging="360"/>
      </w:pPr>
      <w:rPr>
        <w:rFonts w:ascii="Courier New" w:hAnsi="Courier New" w:cs="Courier New" w:hint="default"/>
      </w:rPr>
    </w:lvl>
    <w:lvl w:ilvl="5" w:tplc="FD066C2C" w:tentative="1">
      <w:start w:val="1"/>
      <w:numFmt w:val="bullet"/>
      <w:lvlText w:val=""/>
      <w:lvlJc w:val="left"/>
      <w:pPr>
        <w:ind w:left="4320" w:hanging="360"/>
      </w:pPr>
      <w:rPr>
        <w:rFonts w:ascii="Wingdings" w:hAnsi="Wingdings" w:hint="default"/>
      </w:rPr>
    </w:lvl>
    <w:lvl w:ilvl="6" w:tplc="6B2A95C6" w:tentative="1">
      <w:start w:val="1"/>
      <w:numFmt w:val="bullet"/>
      <w:lvlText w:val=""/>
      <w:lvlJc w:val="left"/>
      <w:pPr>
        <w:ind w:left="5040" w:hanging="360"/>
      </w:pPr>
      <w:rPr>
        <w:rFonts w:ascii="Symbol" w:hAnsi="Symbol" w:hint="default"/>
      </w:rPr>
    </w:lvl>
    <w:lvl w:ilvl="7" w:tplc="383A8512" w:tentative="1">
      <w:start w:val="1"/>
      <w:numFmt w:val="bullet"/>
      <w:lvlText w:val="o"/>
      <w:lvlJc w:val="left"/>
      <w:pPr>
        <w:ind w:left="5760" w:hanging="360"/>
      </w:pPr>
      <w:rPr>
        <w:rFonts w:ascii="Courier New" w:hAnsi="Courier New" w:cs="Courier New" w:hint="default"/>
      </w:rPr>
    </w:lvl>
    <w:lvl w:ilvl="8" w:tplc="85744D26"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F874361A">
      <w:start w:val="1"/>
      <w:numFmt w:val="bullet"/>
      <w:pStyle w:val="CETnumberingbullets"/>
      <w:lvlText w:val=""/>
      <w:lvlJc w:val="left"/>
      <w:pPr>
        <w:ind w:left="340" w:hanging="227"/>
      </w:pPr>
      <w:rPr>
        <w:rFonts w:ascii="Symbol" w:hAnsi="Symbol" w:hint="default"/>
      </w:rPr>
    </w:lvl>
    <w:lvl w:ilvl="1" w:tplc="DA20BDF2" w:tentative="1">
      <w:start w:val="1"/>
      <w:numFmt w:val="bullet"/>
      <w:lvlText w:val="o"/>
      <w:lvlJc w:val="left"/>
      <w:pPr>
        <w:ind w:left="1440" w:hanging="360"/>
      </w:pPr>
      <w:rPr>
        <w:rFonts w:ascii="Courier New" w:hAnsi="Courier New" w:cs="Courier New" w:hint="default"/>
      </w:rPr>
    </w:lvl>
    <w:lvl w:ilvl="2" w:tplc="77A206A6" w:tentative="1">
      <w:start w:val="1"/>
      <w:numFmt w:val="bullet"/>
      <w:lvlText w:val=""/>
      <w:lvlJc w:val="left"/>
      <w:pPr>
        <w:ind w:left="2160" w:hanging="360"/>
      </w:pPr>
      <w:rPr>
        <w:rFonts w:ascii="Wingdings" w:hAnsi="Wingdings" w:hint="default"/>
      </w:rPr>
    </w:lvl>
    <w:lvl w:ilvl="3" w:tplc="4B1A8B5E" w:tentative="1">
      <w:start w:val="1"/>
      <w:numFmt w:val="bullet"/>
      <w:lvlText w:val=""/>
      <w:lvlJc w:val="left"/>
      <w:pPr>
        <w:ind w:left="2880" w:hanging="360"/>
      </w:pPr>
      <w:rPr>
        <w:rFonts w:ascii="Symbol" w:hAnsi="Symbol" w:hint="default"/>
      </w:rPr>
    </w:lvl>
    <w:lvl w:ilvl="4" w:tplc="F83E244E" w:tentative="1">
      <w:start w:val="1"/>
      <w:numFmt w:val="bullet"/>
      <w:lvlText w:val="o"/>
      <w:lvlJc w:val="left"/>
      <w:pPr>
        <w:ind w:left="3600" w:hanging="360"/>
      </w:pPr>
      <w:rPr>
        <w:rFonts w:ascii="Courier New" w:hAnsi="Courier New" w:cs="Courier New" w:hint="default"/>
      </w:rPr>
    </w:lvl>
    <w:lvl w:ilvl="5" w:tplc="4DF4DF82" w:tentative="1">
      <w:start w:val="1"/>
      <w:numFmt w:val="bullet"/>
      <w:lvlText w:val=""/>
      <w:lvlJc w:val="left"/>
      <w:pPr>
        <w:ind w:left="4320" w:hanging="360"/>
      </w:pPr>
      <w:rPr>
        <w:rFonts w:ascii="Wingdings" w:hAnsi="Wingdings" w:hint="default"/>
      </w:rPr>
    </w:lvl>
    <w:lvl w:ilvl="6" w:tplc="14DC9230" w:tentative="1">
      <w:start w:val="1"/>
      <w:numFmt w:val="bullet"/>
      <w:lvlText w:val=""/>
      <w:lvlJc w:val="left"/>
      <w:pPr>
        <w:ind w:left="5040" w:hanging="360"/>
      </w:pPr>
      <w:rPr>
        <w:rFonts w:ascii="Symbol" w:hAnsi="Symbol" w:hint="default"/>
      </w:rPr>
    </w:lvl>
    <w:lvl w:ilvl="7" w:tplc="E3F26D06" w:tentative="1">
      <w:start w:val="1"/>
      <w:numFmt w:val="bullet"/>
      <w:lvlText w:val="o"/>
      <w:lvlJc w:val="left"/>
      <w:pPr>
        <w:ind w:left="5760" w:hanging="360"/>
      </w:pPr>
      <w:rPr>
        <w:rFonts w:ascii="Courier New" w:hAnsi="Courier New" w:cs="Courier New" w:hint="default"/>
      </w:rPr>
    </w:lvl>
    <w:lvl w:ilvl="8" w:tplc="D98C6B80"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75CCBD0">
      <w:start w:val="1"/>
      <w:numFmt w:val="bullet"/>
      <w:lvlText w:val=""/>
      <w:lvlJc w:val="left"/>
      <w:pPr>
        <w:ind w:left="720" w:hanging="360"/>
      </w:pPr>
      <w:rPr>
        <w:rFonts w:ascii="Symbol" w:hAnsi="Symbol" w:hint="default"/>
      </w:rPr>
    </w:lvl>
    <w:lvl w:ilvl="1" w:tplc="9D36CD1A" w:tentative="1">
      <w:start w:val="1"/>
      <w:numFmt w:val="bullet"/>
      <w:lvlText w:val="o"/>
      <w:lvlJc w:val="left"/>
      <w:pPr>
        <w:ind w:left="1440" w:hanging="360"/>
      </w:pPr>
      <w:rPr>
        <w:rFonts w:ascii="Courier New" w:hAnsi="Courier New" w:cs="Courier New" w:hint="default"/>
      </w:rPr>
    </w:lvl>
    <w:lvl w:ilvl="2" w:tplc="EB6AD98A" w:tentative="1">
      <w:start w:val="1"/>
      <w:numFmt w:val="bullet"/>
      <w:lvlText w:val=""/>
      <w:lvlJc w:val="left"/>
      <w:pPr>
        <w:ind w:left="2160" w:hanging="360"/>
      </w:pPr>
      <w:rPr>
        <w:rFonts w:ascii="Wingdings" w:hAnsi="Wingdings" w:hint="default"/>
      </w:rPr>
    </w:lvl>
    <w:lvl w:ilvl="3" w:tplc="44B2BD10" w:tentative="1">
      <w:start w:val="1"/>
      <w:numFmt w:val="bullet"/>
      <w:lvlText w:val=""/>
      <w:lvlJc w:val="left"/>
      <w:pPr>
        <w:ind w:left="2880" w:hanging="360"/>
      </w:pPr>
      <w:rPr>
        <w:rFonts w:ascii="Symbol" w:hAnsi="Symbol" w:hint="default"/>
      </w:rPr>
    </w:lvl>
    <w:lvl w:ilvl="4" w:tplc="B8B0C882" w:tentative="1">
      <w:start w:val="1"/>
      <w:numFmt w:val="bullet"/>
      <w:lvlText w:val="o"/>
      <w:lvlJc w:val="left"/>
      <w:pPr>
        <w:ind w:left="3600" w:hanging="360"/>
      </w:pPr>
      <w:rPr>
        <w:rFonts w:ascii="Courier New" w:hAnsi="Courier New" w:cs="Courier New" w:hint="default"/>
      </w:rPr>
    </w:lvl>
    <w:lvl w:ilvl="5" w:tplc="DA0EEFC0" w:tentative="1">
      <w:start w:val="1"/>
      <w:numFmt w:val="bullet"/>
      <w:lvlText w:val=""/>
      <w:lvlJc w:val="left"/>
      <w:pPr>
        <w:ind w:left="4320" w:hanging="360"/>
      </w:pPr>
      <w:rPr>
        <w:rFonts w:ascii="Wingdings" w:hAnsi="Wingdings" w:hint="default"/>
      </w:rPr>
    </w:lvl>
    <w:lvl w:ilvl="6" w:tplc="30BAB5AA" w:tentative="1">
      <w:start w:val="1"/>
      <w:numFmt w:val="bullet"/>
      <w:lvlText w:val=""/>
      <w:lvlJc w:val="left"/>
      <w:pPr>
        <w:ind w:left="5040" w:hanging="360"/>
      </w:pPr>
      <w:rPr>
        <w:rFonts w:ascii="Symbol" w:hAnsi="Symbol" w:hint="default"/>
      </w:rPr>
    </w:lvl>
    <w:lvl w:ilvl="7" w:tplc="D1D68C74" w:tentative="1">
      <w:start w:val="1"/>
      <w:numFmt w:val="bullet"/>
      <w:lvlText w:val="o"/>
      <w:lvlJc w:val="left"/>
      <w:pPr>
        <w:ind w:left="5760" w:hanging="360"/>
      </w:pPr>
      <w:rPr>
        <w:rFonts w:ascii="Courier New" w:hAnsi="Courier New" w:cs="Courier New" w:hint="default"/>
      </w:rPr>
    </w:lvl>
    <w:lvl w:ilvl="8" w:tplc="BFF8043C"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3A3803F4">
      <w:start w:val="1"/>
      <w:numFmt w:val="decimal"/>
      <w:lvlText w:val="%1)"/>
      <w:lvlJc w:val="left"/>
      <w:pPr>
        <w:ind w:left="720" w:hanging="360"/>
      </w:pPr>
      <w:rPr>
        <w:rFonts w:hint="default"/>
      </w:rPr>
    </w:lvl>
    <w:lvl w:ilvl="1" w:tplc="1DB898E8" w:tentative="1">
      <w:start w:val="1"/>
      <w:numFmt w:val="lowerLetter"/>
      <w:lvlText w:val="%2."/>
      <w:lvlJc w:val="left"/>
      <w:pPr>
        <w:ind w:left="1440" w:hanging="360"/>
      </w:pPr>
    </w:lvl>
    <w:lvl w:ilvl="2" w:tplc="AC6C3704" w:tentative="1">
      <w:start w:val="1"/>
      <w:numFmt w:val="lowerRoman"/>
      <w:lvlText w:val="%3."/>
      <w:lvlJc w:val="right"/>
      <w:pPr>
        <w:ind w:left="2160" w:hanging="180"/>
      </w:pPr>
    </w:lvl>
    <w:lvl w:ilvl="3" w:tplc="1A26ACE2" w:tentative="1">
      <w:start w:val="1"/>
      <w:numFmt w:val="decimal"/>
      <w:lvlText w:val="%4."/>
      <w:lvlJc w:val="left"/>
      <w:pPr>
        <w:ind w:left="2880" w:hanging="360"/>
      </w:pPr>
    </w:lvl>
    <w:lvl w:ilvl="4" w:tplc="EACA05F2" w:tentative="1">
      <w:start w:val="1"/>
      <w:numFmt w:val="lowerLetter"/>
      <w:lvlText w:val="%5."/>
      <w:lvlJc w:val="left"/>
      <w:pPr>
        <w:ind w:left="3600" w:hanging="360"/>
      </w:pPr>
    </w:lvl>
    <w:lvl w:ilvl="5" w:tplc="5E600932" w:tentative="1">
      <w:start w:val="1"/>
      <w:numFmt w:val="lowerRoman"/>
      <w:lvlText w:val="%6."/>
      <w:lvlJc w:val="right"/>
      <w:pPr>
        <w:ind w:left="4320" w:hanging="180"/>
      </w:pPr>
    </w:lvl>
    <w:lvl w:ilvl="6" w:tplc="06D68E28" w:tentative="1">
      <w:start w:val="1"/>
      <w:numFmt w:val="decimal"/>
      <w:lvlText w:val="%7."/>
      <w:lvlJc w:val="left"/>
      <w:pPr>
        <w:ind w:left="5040" w:hanging="360"/>
      </w:pPr>
    </w:lvl>
    <w:lvl w:ilvl="7" w:tplc="FB7EDDB6" w:tentative="1">
      <w:start w:val="1"/>
      <w:numFmt w:val="lowerLetter"/>
      <w:lvlText w:val="%8."/>
      <w:lvlJc w:val="left"/>
      <w:pPr>
        <w:ind w:left="5760" w:hanging="360"/>
      </w:pPr>
    </w:lvl>
    <w:lvl w:ilvl="8" w:tplc="22D0CC3E" w:tentative="1">
      <w:start w:val="1"/>
      <w:numFmt w:val="lowerRoman"/>
      <w:lvlText w:val="%9."/>
      <w:lvlJc w:val="right"/>
      <w:pPr>
        <w:ind w:left="6480" w:hanging="180"/>
      </w:pPr>
    </w:lvl>
  </w:abstractNum>
  <w:abstractNum w:abstractNumId="16"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7" w15:restartNumberingAfterBreak="0">
    <w:nsid w:val="50A87BA7"/>
    <w:multiLevelType w:val="hybridMultilevel"/>
    <w:tmpl w:val="1F6A8AD4"/>
    <w:lvl w:ilvl="0" w:tplc="F426D734">
      <w:start w:val="1"/>
      <w:numFmt w:val="bullet"/>
      <w:lvlText w:val=""/>
      <w:lvlJc w:val="left"/>
      <w:pPr>
        <w:ind w:left="340" w:hanging="227"/>
      </w:pPr>
      <w:rPr>
        <w:rFonts w:ascii="Symbol" w:hAnsi="Symbol" w:hint="default"/>
      </w:rPr>
    </w:lvl>
    <w:lvl w:ilvl="1" w:tplc="959AAD02" w:tentative="1">
      <w:start w:val="1"/>
      <w:numFmt w:val="bullet"/>
      <w:lvlText w:val="o"/>
      <w:lvlJc w:val="left"/>
      <w:pPr>
        <w:ind w:left="1440" w:hanging="360"/>
      </w:pPr>
      <w:rPr>
        <w:rFonts w:ascii="Courier New" w:hAnsi="Courier New" w:cs="Courier New" w:hint="default"/>
      </w:rPr>
    </w:lvl>
    <w:lvl w:ilvl="2" w:tplc="BE7E82BE" w:tentative="1">
      <w:start w:val="1"/>
      <w:numFmt w:val="bullet"/>
      <w:lvlText w:val=""/>
      <w:lvlJc w:val="left"/>
      <w:pPr>
        <w:ind w:left="2160" w:hanging="360"/>
      </w:pPr>
      <w:rPr>
        <w:rFonts w:ascii="Wingdings" w:hAnsi="Wingdings" w:hint="default"/>
      </w:rPr>
    </w:lvl>
    <w:lvl w:ilvl="3" w:tplc="2C2ACC50" w:tentative="1">
      <w:start w:val="1"/>
      <w:numFmt w:val="bullet"/>
      <w:lvlText w:val=""/>
      <w:lvlJc w:val="left"/>
      <w:pPr>
        <w:ind w:left="2880" w:hanging="360"/>
      </w:pPr>
      <w:rPr>
        <w:rFonts w:ascii="Symbol" w:hAnsi="Symbol" w:hint="default"/>
      </w:rPr>
    </w:lvl>
    <w:lvl w:ilvl="4" w:tplc="97BA42E6" w:tentative="1">
      <w:start w:val="1"/>
      <w:numFmt w:val="bullet"/>
      <w:lvlText w:val="o"/>
      <w:lvlJc w:val="left"/>
      <w:pPr>
        <w:ind w:left="3600" w:hanging="360"/>
      </w:pPr>
      <w:rPr>
        <w:rFonts w:ascii="Courier New" w:hAnsi="Courier New" w:cs="Courier New" w:hint="default"/>
      </w:rPr>
    </w:lvl>
    <w:lvl w:ilvl="5" w:tplc="C2027CE2" w:tentative="1">
      <w:start w:val="1"/>
      <w:numFmt w:val="bullet"/>
      <w:lvlText w:val=""/>
      <w:lvlJc w:val="left"/>
      <w:pPr>
        <w:ind w:left="4320" w:hanging="360"/>
      </w:pPr>
      <w:rPr>
        <w:rFonts w:ascii="Wingdings" w:hAnsi="Wingdings" w:hint="default"/>
      </w:rPr>
    </w:lvl>
    <w:lvl w:ilvl="6" w:tplc="85D83522" w:tentative="1">
      <w:start w:val="1"/>
      <w:numFmt w:val="bullet"/>
      <w:lvlText w:val=""/>
      <w:lvlJc w:val="left"/>
      <w:pPr>
        <w:ind w:left="5040" w:hanging="360"/>
      </w:pPr>
      <w:rPr>
        <w:rFonts w:ascii="Symbol" w:hAnsi="Symbol" w:hint="default"/>
      </w:rPr>
    </w:lvl>
    <w:lvl w:ilvl="7" w:tplc="C8E8F1B4" w:tentative="1">
      <w:start w:val="1"/>
      <w:numFmt w:val="bullet"/>
      <w:lvlText w:val="o"/>
      <w:lvlJc w:val="left"/>
      <w:pPr>
        <w:ind w:left="5760" w:hanging="360"/>
      </w:pPr>
      <w:rPr>
        <w:rFonts w:ascii="Courier New" w:hAnsi="Courier New" w:cs="Courier New" w:hint="default"/>
      </w:rPr>
    </w:lvl>
    <w:lvl w:ilvl="8" w:tplc="41827B98"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4A5861EC">
      <w:start w:val="1"/>
      <w:numFmt w:val="decimal"/>
      <w:lvlText w:val="%1)"/>
      <w:lvlJc w:val="left"/>
      <w:pPr>
        <w:ind w:left="340" w:hanging="227"/>
      </w:pPr>
      <w:rPr>
        <w:rFonts w:hint="default"/>
      </w:rPr>
    </w:lvl>
    <w:lvl w:ilvl="1" w:tplc="190E9790" w:tentative="1">
      <w:start w:val="1"/>
      <w:numFmt w:val="bullet"/>
      <w:lvlText w:val="o"/>
      <w:lvlJc w:val="left"/>
      <w:pPr>
        <w:ind w:left="1440" w:hanging="360"/>
      </w:pPr>
      <w:rPr>
        <w:rFonts w:ascii="Courier New" w:hAnsi="Courier New" w:cs="Courier New" w:hint="default"/>
      </w:rPr>
    </w:lvl>
    <w:lvl w:ilvl="2" w:tplc="F0B287B0" w:tentative="1">
      <w:start w:val="1"/>
      <w:numFmt w:val="bullet"/>
      <w:lvlText w:val=""/>
      <w:lvlJc w:val="left"/>
      <w:pPr>
        <w:ind w:left="2160" w:hanging="360"/>
      </w:pPr>
      <w:rPr>
        <w:rFonts w:ascii="Wingdings" w:hAnsi="Wingdings" w:hint="default"/>
      </w:rPr>
    </w:lvl>
    <w:lvl w:ilvl="3" w:tplc="D42EA282" w:tentative="1">
      <w:start w:val="1"/>
      <w:numFmt w:val="bullet"/>
      <w:lvlText w:val=""/>
      <w:lvlJc w:val="left"/>
      <w:pPr>
        <w:ind w:left="2880" w:hanging="360"/>
      </w:pPr>
      <w:rPr>
        <w:rFonts w:ascii="Symbol" w:hAnsi="Symbol" w:hint="default"/>
      </w:rPr>
    </w:lvl>
    <w:lvl w:ilvl="4" w:tplc="EDE40D08" w:tentative="1">
      <w:start w:val="1"/>
      <w:numFmt w:val="bullet"/>
      <w:lvlText w:val="o"/>
      <w:lvlJc w:val="left"/>
      <w:pPr>
        <w:ind w:left="3600" w:hanging="360"/>
      </w:pPr>
      <w:rPr>
        <w:rFonts w:ascii="Courier New" w:hAnsi="Courier New" w:cs="Courier New" w:hint="default"/>
      </w:rPr>
    </w:lvl>
    <w:lvl w:ilvl="5" w:tplc="66CE56AC" w:tentative="1">
      <w:start w:val="1"/>
      <w:numFmt w:val="bullet"/>
      <w:lvlText w:val=""/>
      <w:lvlJc w:val="left"/>
      <w:pPr>
        <w:ind w:left="4320" w:hanging="360"/>
      </w:pPr>
      <w:rPr>
        <w:rFonts w:ascii="Wingdings" w:hAnsi="Wingdings" w:hint="default"/>
      </w:rPr>
    </w:lvl>
    <w:lvl w:ilvl="6" w:tplc="7A963CAC" w:tentative="1">
      <w:start w:val="1"/>
      <w:numFmt w:val="bullet"/>
      <w:lvlText w:val=""/>
      <w:lvlJc w:val="left"/>
      <w:pPr>
        <w:ind w:left="5040" w:hanging="360"/>
      </w:pPr>
      <w:rPr>
        <w:rFonts w:ascii="Symbol" w:hAnsi="Symbol" w:hint="default"/>
      </w:rPr>
    </w:lvl>
    <w:lvl w:ilvl="7" w:tplc="24DA1126" w:tentative="1">
      <w:start w:val="1"/>
      <w:numFmt w:val="bullet"/>
      <w:lvlText w:val="o"/>
      <w:lvlJc w:val="left"/>
      <w:pPr>
        <w:ind w:left="5760" w:hanging="360"/>
      </w:pPr>
      <w:rPr>
        <w:rFonts w:ascii="Courier New" w:hAnsi="Courier New" w:cs="Courier New" w:hint="default"/>
      </w:rPr>
    </w:lvl>
    <w:lvl w:ilvl="8" w:tplc="60344A24"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29A27FD6">
      <w:start w:val="1"/>
      <w:numFmt w:val="decimal"/>
      <w:pStyle w:val="CETnumbering1"/>
      <w:lvlText w:val="%1."/>
      <w:lvlJc w:val="left"/>
      <w:pPr>
        <w:ind w:left="720" w:hanging="360"/>
      </w:pPr>
    </w:lvl>
    <w:lvl w:ilvl="1" w:tplc="C58056C0" w:tentative="1">
      <w:start w:val="1"/>
      <w:numFmt w:val="lowerLetter"/>
      <w:lvlText w:val="%2."/>
      <w:lvlJc w:val="left"/>
      <w:pPr>
        <w:ind w:left="1440" w:hanging="360"/>
      </w:pPr>
    </w:lvl>
    <w:lvl w:ilvl="2" w:tplc="71AEA180" w:tentative="1">
      <w:start w:val="1"/>
      <w:numFmt w:val="lowerRoman"/>
      <w:lvlText w:val="%3."/>
      <w:lvlJc w:val="right"/>
      <w:pPr>
        <w:ind w:left="2160" w:hanging="180"/>
      </w:pPr>
    </w:lvl>
    <w:lvl w:ilvl="3" w:tplc="5184CA48" w:tentative="1">
      <w:start w:val="1"/>
      <w:numFmt w:val="decimal"/>
      <w:lvlText w:val="%4."/>
      <w:lvlJc w:val="left"/>
      <w:pPr>
        <w:ind w:left="2880" w:hanging="360"/>
      </w:pPr>
    </w:lvl>
    <w:lvl w:ilvl="4" w:tplc="A28668B0" w:tentative="1">
      <w:start w:val="1"/>
      <w:numFmt w:val="lowerLetter"/>
      <w:lvlText w:val="%5."/>
      <w:lvlJc w:val="left"/>
      <w:pPr>
        <w:ind w:left="3600" w:hanging="360"/>
      </w:pPr>
    </w:lvl>
    <w:lvl w:ilvl="5" w:tplc="AE6AA156" w:tentative="1">
      <w:start w:val="1"/>
      <w:numFmt w:val="lowerRoman"/>
      <w:lvlText w:val="%6."/>
      <w:lvlJc w:val="right"/>
      <w:pPr>
        <w:ind w:left="4320" w:hanging="180"/>
      </w:pPr>
    </w:lvl>
    <w:lvl w:ilvl="6" w:tplc="0680D7AC" w:tentative="1">
      <w:start w:val="1"/>
      <w:numFmt w:val="decimal"/>
      <w:lvlText w:val="%7."/>
      <w:lvlJc w:val="left"/>
      <w:pPr>
        <w:ind w:left="5040" w:hanging="360"/>
      </w:pPr>
    </w:lvl>
    <w:lvl w:ilvl="7" w:tplc="715C681A" w:tentative="1">
      <w:start w:val="1"/>
      <w:numFmt w:val="lowerLetter"/>
      <w:lvlText w:val="%8."/>
      <w:lvlJc w:val="left"/>
      <w:pPr>
        <w:ind w:left="5760" w:hanging="360"/>
      </w:pPr>
    </w:lvl>
    <w:lvl w:ilvl="8" w:tplc="0868C0A8" w:tentative="1">
      <w:start w:val="1"/>
      <w:numFmt w:val="lowerRoman"/>
      <w:lvlText w:val="%9."/>
      <w:lvlJc w:val="right"/>
      <w:pPr>
        <w:ind w:left="6480" w:hanging="180"/>
      </w:pPr>
    </w:lvl>
  </w:abstractNum>
  <w:abstractNum w:abstractNumId="21" w15:restartNumberingAfterBreak="0">
    <w:nsid w:val="62A80BDA"/>
    <w:multiLevelType w:val="hybridMultilevel"/>
    <w:tmpl w:val="B41C451E"/>
    <w:lvl w:ilvl="0" w:tplc="A9C8E2FE">
      <w:start w:val="1"/>
      <w:numFmt w:val="decimal"/>
      <w:lvlText w:val="%1."/>
      <w:lvlJc w:val="left"/>
      <w:pPr>
        <w:ind w:left="720" w:hanging="360"/>
      </w:pPr>
      <w:rPr>
        <w:rFonts w:hint="default"/>
      </w:rPr>
    </w:lvl>
    <w:lvl w:ilvl="1" w:tplc="ADE26602" w:tentative="1">
      <w:start w:val="1"/>
      <w:numFmt w:val="lowerLetter"/>
      <w:lvlText w:val="%2."/>
      <w:lvlJc w:val="left"/>
      <w:pPr>
        <w:ind w:left="1440" w:hanging="360"/>
      </w:pPr>
    </w:lvl>
    <w:lvl w:ilvl="2" w:tplc="C4487884" w:tentative="1">
      <w:start w:val="1"/>
      <w:numFmt w:val="lowerRoman"/>
      <w:lvlText w:val="%3."/>
      <w:lvlJc w:val="right"/>
      <w:pPr>
        <w:ind w:left="2160" w:hanging="180"/>
      </w:pPr>
    </w:lvl>
    <w:lvl w:ilvl="3" w:tplc="D3341878" w:tentative="1">
      <w:start w:val="1"/>
      <w:numFmt w:val="decimal"/>
      <w:lvlText w:val="%4."/>
      <w:lvlJc w:val="left"/>
      <w:pPr>
        <w:ind w:left="2880" w:hanging="360"/>
      </w:pPr>
    </w:lvl>
    <w:lvl w:ilvl="4" w:tplc="1722CAE8" w:tentative="1">
      <w:start w:val="1"/>
      <w:numFmt w:val="lowerLetter"/>
      <w:lvlText w:val="%5."/>
      <w:lvlJc w:val="left"/>
      <w:pPr>
        <w:ind w:left="3600" w:hanging="360"/>
      </w:pPr>
    </w:lvl>
    <w:lvl w:ilvl="5" w:tplc="B0808ECC" w:tentative="1">
      <w:start w:val="1"/>
      <w:numFmt w:val="lowerRoman"/>
      <w:lvlText w:val="%6."/>
      <w:lvlJc w:val="right"/>
      <w:pPr>
        <w:ind w:left="4320" w:hanging="180"/>
      </w:pPr>
    </w:lvl>
    <w:lvl w:ilvl="6" w:tplc="A244721E" w:tentative="1">
      <w:start w:val="1"/>
      <w:numFmt w:val="decimal"/>
      <w:lvlText w:val="%7."/>
      <w:lvlJc w:val="left"/>
      <w:pPr>
        <w:ind w:left="5040" w:hanging="360"/>
      </w:pPr>
    </w:lvl>
    <w:lvl w:ilvl="7" w:tplc="44141346" w:tentative="1">
      <w:start w:val="1"/>
      <w:numFmt w:val="lowerLetter"/>
      <w:lvlText w:val="%8."/>
      <w:lvlJc w:val="left"/>
      <w:pPr>
        <w:ind w:left="5760" w:hanging="360"/>
      </w:pPr>
    </w:lvl>
    <w:lvl w:ilvl="8" w:tplc="E50A68FC"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6BAC278A">
      <w:start w:val="1"/>
      <w:numFmt w:val="bullet"/>
      <w:lvlText w:val=""/>
      <w:lvlJc w:val="left"/>
      <w:pPr>
        <w:ind w:left="720" w:hanging="360"/>
      </w:pPr>
      <w:rPr>
        <w:rFonts w:ascii="Symbol" w:hAnsi="Symbol" w:hint="default"/>
      </w:rPr>
    </w:lvl>
    <w:lvl w:ilvl="1" w:tplc="58EE3E7A" w:tentative="1">
      <w:start w:val="1"/>
      <w:numFmt w:val="bullet"/>
      <w:lvlText w:val="o"/>
      <w:lvlJc w:val="left"/>
      <w:pPr>
        <w:ind w:left="1440" w:hanging="360"/>
      </w:pPr>
      <w:rPr>
        <w:rFonts w:ascii="Courier New" w:hAnsi="Courier New" w:cs="Courier New" w:hint="default"/>
      </w:rPr>
    </w:lvl>
    <w:lvl w:ilvl="2" w:tplc="5B36C090" w:tentative="1">
      <w:start w:val="1"/>
      <w:numFmt w:val="bullet"/>
      <w:lvlText w:val=""/>
      <w:lvlJc w:val="left"/>
      <w:pPr>
        <w:ind w:left="2160" w:hanging="360"/>
      </w:pPr>
      <w:rPr>
        <w:rFonts w:ascii="Wingdings" w:hAnsi="Wingdings" w:hint="default"/>
      </w:rPr>
    </w:lvl>
    <w:lvl w:ilvl="3" w:tplc="E362C76E" w:tentative="1">
      <w:start w:val="1"/>
      <w:numFmt w:val="bullet"/>
      <w:lvlText w:val=""/>
      <w:lvlJc w:val="left"/>
      <w:pPr>
        <w:ind w:left="2880" w:hanging="360"/>
      </w:pPr>
      <w:rPr>
        <w:rFonts w:ascii="Symbol" w:hAnsi="Symbol" w:hint="default"/>
      </w:rPr>
    </w:lvl>
    <w:lvl w:ilvl="4" w:tplc="594C127A" w:tentative="1">
      <w:start w:val="1"/>
      <w:numFmt w:val="bullet"/>
      <w:lvlText w:val="o"/>
      <w:lvlJc w:val="left"/>
      <w:pPr>
        <w:ind w:left="3600" w:hanging="360"/>
      </w:pPr>
      <w:rPr>
        <w:rFonts w:ascii="Courier New" w:hAnsi="Courier New" w:cs="Courier New" w:hint="default"/>
      </w:rPr>
    </w:lvl>
    <w:lvl w:ilvl="5" w:tplc="51E092C0" w:tentative="1">
      <w:start w:val="1"/>
      <w:numFmt w:val="bullet"/>
      <w:lvlText w:val=""/>
      <w:lvlJc w:val="left"/>
      <w:pPr>
        <w:ind w:left="4320" w:hanging="360"/>
      </w:pPr>
      <w:rPr>
        <w:rFonts w:ascii="Wingdings" w:hAnsi="Wingdings" w:hint="default"/>
      </w:rPr>
    </w:lvl>
    <w:lvl w:ilvl="6" w:tplc="3A564F88" w:tentative="1">
      <w:start w:val="1"/>
      <w:numFmt w:val="bullet"/>
      <w:lvlText w:val=""/>
      <w:lvlJc w:val="left"/>
      <w:pPr>
        <w:ind w:left="5040" w:hanging="360"/>
      </w:pPr>
      <w:rPr>
        <w:rFonts w:ascii="Symbol" w:hAnsi="Symbol" w:hint="default"/>
      </w:rPr>
    </w:lvl>
    <w:lvl w:ilvl="7" w:tplc="6276AFF6" w:tentative="1">
      <w:start w:val="1"/>
      <w:numFmt w:val="bullet"/>
      <w:lvlText w:val="o"/>
      <w:lvlJc w:val="left"/>
      <w:pPr>
        <w:ind w:left="5760" w:hanging="360"/>
      </w:pPr>
      <w:rPr>
        <w:rFonts w:ascii="Courier New" w:hAnsi="Courier New" w:cs="Courier New" w:hint="default"/>
      </w:rPr>
    </w:lvl>
    <w:lvl w:ilvl="8" w:tplc="FB8CB4E8"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DF2A138E">
      <w:start w:val="1"/>
      <w:numFmt w:val="lowerLetter"/>
      <w:pStyle w:val="CETnumberinga"/>
      <w:lvlText w:val="%1."/>
      <w:lvlJc w:val="left"/>
      <w:pPr>
        <w:ind w:left="340" w:hanging="227"/>
      </w:pPr>
      <w:rPr>
        <w:rFonts w:hint="default"/>
      </w:rPr>
    </w:lvl>
    <w:lvl w:ilvl="1" w:tplc="A7702406" w:tentative="1">
      <w:start w:val="1"/>
      <w:numFmt w:val="bullet"/>
      <w:lvlText w:val="o"/>
      <w:lvlJc w:val="left"/>
      <w:pPr>
        <w:ind w:left="1440" w:hanging="360"/>
      </w:pPr>
      <w:rPr>
        <w:rFonts w:ascii="Courier New" w:hAnsi="Courier New" w:cs="Courier New" w:hint="default"/>
      </w:rPr>
    </w:lvl>
    <w:lvl w:ilvl="2" w:tplc="66AE97DA" w:tentative="1">
      <w:start w:val="1"/>
      <w:numFmt w:val="bullet"/>
      <w:lvlText w:val=""/>
      <w:lvlJc w:val="left"/>
      <w:pPr>
        <w:ind w:left="2160" w:hanging="360"/>
      </w:pPr>
      <w:rPr>
        <w:rFonts w:ascii="Wingdings" w:hAnsi="Wingdings" w:hint="default"/>
      </w:rPr>
    </w:lvl>
    <w:lvl w:ilvl="3" w:tplc="33A23272" w:tentative="1">
      <w:start w:val="1"/>
      <w:numFmt w:val="bullet"/>
      <w:lvlText w:val=""/>
      <w:lvlJc w:val="left"/>
      <w:pPr>
        <w:ind w:left="2880" w:hanging="360"/>
      </w:pPr>
      <w:rPr>
        <w:rFonts w:ascii="Symbol" w:hAnsi="Symbol" w:hint="default"/>
      </w:rPr>
    </w:lvl>
    <w:lvl w:ilvl="4" w:tplc="87D0A0AE" w:tentative="1">
      <w:start w:val="1"/>
      <w:numFmt w:val="bullet"/>
      <w:lvlText w:val="o"/>
      <w:lvlJc w:val="left"/>
      <w:pPr>
        <w:ind w:left="3600" w:hanging="360"/>
      </w:pPr>
      <w:rPr>
        <w:rFonts w:ascii="Courier New" w:hAnsi="Courier New" w:cs="Courier New" w:hint="default"/>
      </w:rPr>
    </w:lvl>
    <w:lvl w:ilvl="5" w:tplc="C26C56BC" w:tentative="1">
      <w:start w:val="1"/>
      <w:numFmt w:val="bullet"/>
      <w:lvlText w:val=""/>
      <w:lvlJc w:val="left"/>
      <w:pPr>
        <w:ind w:left="4320" w:hanging="360"/>
      </w:pPr>
      <w:rPr>
        <w:rFonts w:ascii="Wingdings" w:hAnsi="Wingdings" w:hint="default"/>
      </w:rPr>
    </w:lvl>
    <w:lvl w:ilvl="6" w:tplc="EB2440C2" w:tentative="1">
      <w:start w:val="1"/>
      <w:numFmt w:val="bullet"/>
      <w:lvlText w:val=""/>
      <w:lvlJc w:val="left"/>
      <w:pPr>
        <w:ind w:left="5040" w:hanging="360"/>
      </w:pPr>
      <w:rPr>
        <w:rFonts w:ascii="Symbol" w:hAnsi="Symbol" w:hint="default"/>
      </w:rPr>
    </w:lvl>
    <w:lvl w:ilvl="7" w:tplc="CFC2EE4C" w:tentative="1">
      <w:start w:val="1"/>
      <w:numFmt w:val="bullet"/>
      <w:lvlText w:val="o"/>
      <w:lvlJc w:val="left"/>
      <w:pPr>
        <w:ind w:left="5760" w:hanging="360"/>
      </w:pPr>
      <w:rPr>
        <w:rFonts w:ascii="Courier New" w:hAnsi="Courier New" w:cs="Courier New" w:hint="default"/>
      </w:rPr>
    </w:lvl>
    <w:lvl w:ilvl="8" w:tplc="81ECC950" w:tentative="1">
      <w:start w:val="1"/>
      <w:numFmt w:val="bullet"/>
      <w:lvlText w:val=""/>
      <w:lvlJc w:val="left"/>
      <w:pPr>
        <w:ind w:left="6480" w:hanging="360"/>
      </w:pPr>
      <w:rPr>
        <w:rFonts w:ascii="Wingdings" w:hAnsi="Wingdings" w:hint="default"/>
      </w:rPr>
    </w:lvl>
  </w:abstractNum>
  <w:abstractNum w:abstractNumId="24" w15:restartNumberingAfterBreak="0">
    <w:nsid w:val="7C4535C4"/>
    <w:multiLevelType w:val="hybridMultilevel"/>
    <w:tmpl w:val="B40E0236"/>
    <w:lvl w:ilvl="0" w:tplc="8EE2FED0">
      <w:start w:val="1"/>
      <w:numFmt w:val="decimal"/>
      <w:lvlText w:val="%1."/>
      <w:lvlJc w:val="left"/>
      <w:pPr>
        <w:ind w:left="360" w:hanging="360"/>
      </w:pPr>
      <w:rPr>
        <w:rFonts w:hint="default"/>
      </w:rPr>
    </w:lvl>
    <w:lvl w:ilvl="1" w:tplc="F7C252BA" w:tentative="1">
      <w:start w:val="1"/>
      <w:numFmt w:val="lowerLetter"/>
      <w:lvlText w:val="%2."/>
      <w:lvlJc w:val="left"/>
      <w:pPr>
        <w:ind w:left="1080" w:hanging="360"/>
      </w:pPr>
    </w:lvl>
    <w:lvl w:ilvl="2" w:tplc="43A8F7E8" w:tentative="1">
      <w:start w:val="1"/>
      <w:numFmt w:val="lowerRoman"/>
      <w:lvlText w:val="%3."/>
      <w:lvlJc w:val="right"/>
      <w:pPr>
        <w:ind w:left="1800" w:hanging="180"/>
      </w:pPr>
    </w:lvl>
    <w:lvl w:ilvl="3" w:tplc="49D6EF9E" w:tentative="1">
      <w:start w:val="1"/>
      <w:numFmt w:val="decimal"/>
      <w:lvlText w:val="%4."/>
      <w:lvlJc w:val="left"/>
      <w:pPr>
        <w:ind w:left="2520" w:hanging="360"/>
      </w:pPr>
    </w:lvl>
    <w:lvl w:ilvl="4" w:tplc="13EEE2DC" w:tentative="1">
      <w:start w:val="1"/>
      <w:numFmt w:val="lowerLetter"/>
      <w:lvlText w:val="%5."/>
      <w:lvlJc w:val="left"/>
      <w:pPr>
        <w:ind w:left="3240" w:hanging="360"/>
      </w:pPr>
    </w:lvl>
    <w:lvl w:ilvl="5" w:tplc="CA1C1B80" w:tentative="1">
      <w:start w:val="1"/>
      <w:numFmt w:val="lowerRoman"/>
      <w:lvlText w:val="%6."/>
      <w:lvlJc w:val="right"/>
      <w:pPr>
        <w:ind w:left="3960" w:hanging="180"/>
      </w:pPr>
    </w:lvl>
    <w:lvl w:ilvl="6" w:tplc="75D051E8" w:tentative="1">
      <w:start w:val="1"/>
      <w:numFmt w:val="decimal"/>
      <w:lvlText w:val="%7."/>
      <w:lvlJc w:val="left"/>
      <w:pPr>
        <w:ind w:left="4680" w:hanging="360"/>
      </w:pPr>
    </w:lvl>
    <w:lvl w:ilvl="7" w:tplc="87FE85B0" w:tentative="1">
      <w:start w:val="1"/>
      <w:numFmt w:val="lowerLetter"/>
      <w:lvlText w:val="%8."/>
      <w:lvlJc w:val="left"/>
      <w:pPr>
        <w:ind w:left="5400" w:hanging="360"/>
      </w:pPr>
    </w:lvl>
    <w:lvl w:ilvl="8" w:tplc="34422CF6" w:tentative="1">
      <w:start w:val="1"/>
      <w:numFmt w:val="lowerRoman"/>
      <w:lvlText w:val="%9."/>
      <w:lvlJc w:val="right"/>
      <w:pPr>
        <w:ind w:left="6120" w:hanging="180"/>
      </w:pPr>
    </w:lvl>
  </w:abstractNum>
  <w:abstractNum w:abstractNumId="25" w15:restartNumberingAfterBreak="0">
    <w:nsid w:val="7F1058D5"/>
    <w:multiLevelType w:val="hybridMultilevel"/>
    <w:tmpl w:val="B796967C"/>
    <w:lvl w:ilvl="0" w:tplc="8900338C">
      <w:start w:val="1"/>
      <w:numFmt w:val="decimal"/>
      <w:lvlText w:val="%1."/>
      <w:lvlJc w:val="left"/>
      <w:pPr>
        <w:ind w:left="720" w:hanging="360"/>
      </w:pPr>
      <w:rPr>
        <w:rFonts w:hint="default"/>
      </w:rPr>
    </w:lvl>
    <w:lvl w:ilvl="1" w:tplc="DE9A5D8C" w:tentative="1">
      <w:start w:val="1"/>
      <w:numFmt w:val="lowerLetter"/>
      <w:lvlText w:val="%2."/>
      <w:lvlJc w:val="left"/>
      <w:pPr>
        <w:ind w:left="1440" w:hanging="360"/>
      </w:pPr>
    </w:lvl>
    <w:lvl w:ilvl="2" w:tplc="46CED61A" w:tentative="1">
      <w:start w:val="1"/>
      <w:numFmt w:val="lowerRoman"/>
      <w:lvlText w:val="%3."/>
      <w:lvlJc w:val="right"/>
      <w:pPr>
        <w:ind w:left="2160" w:hanging="180"/>
      </w:pPr>
    </w:lvl>
    <w:lvl w:ilvl="3" w:tplc="2E18A0E0" w:tentative="1">
      <w:start w:val="1"/>
      <w:numFmt w:val="decimal"/>
      <w:lvlText w:val="%4."/>
      <w:lvlJc w:val="left"/>
      <w:pPr>
        <w:ind w:left="2880" w:hanging="360"/>
      </w:pPr>
    </w:lvl>
    <w:lvl w:ilvl="4" w:tplc="4830D3AA" w:tentative="1">
      <w:start w:val="1"/>
      <w:numFmt w:val="lowerLetter"/>
      <w:lvlText w:val="%5."/>
      <w:lvlJc w:val="left"/>
      <w:pPr>
        <w:ind w:left="3600" w:hanging="360"/>
      </w:pPr>
    </w:lvl>
    <w:lvl w:ilvl="5" w:tplc="ABF44720" w:tentative="1">
      <w:start w:val="1"/>
      <w:numFmt w:val="lowerRoman"/>
      <w:lvlText w:val="%6."/>
      <w:lvlJc w:val="right"/>
      <w:pPr>
        <w:ind w:left="4320" w:hanging="180"/>
      </w:pPr>
    </w:lvl>
    <w:lvl w:ilvl="6" w:tplc="06BCCBF2" w:tentative="1">
      <w:start w:val="1"/>
      <w:numFmt w:val="decimal"/>
      <w:lvlText w:val="%7."/>
      <w:lvlJc w:val="left"/>
      <w:pPr>
        <w:ind w:left="5040" w:hanging="360"/>
      </w:pPr>
    </w:lvl>
    <w:lvl w:ilvl="7" w:tplc="A31C0DBC" w:tentative="1">
      <w:start w:val="1"/>
      <w:numFmt w:val="lowerLetter"/>
      <w:lvlText w:val="%8."/>
      <w:lvlJc w:val="left"/>
      <w:pPr>
        <w:ind w:left="5760" w:hanging="360"/>
      </w:pPr>
    </w:lvl>
    <w:lvl w:ilvl="8" w:tplc="40BA764C"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3"/>
  </w:num>
  <w:num w:numId="16">
    <w:abstractNumId w:val="22"/>
  </w:num>
  <w:num w:numId="17">
    <w:abstractNumId w:val="12"/>
  </w:num>
  <w:num w:numId="18">
    <w:abstractNumId w:val="13"/>
    <w:lvlOverride w:ilvl="0">
      <w:startOverride w:val="1"/>
    </w:lvlOverride>
  </w:num>
  <w:num w:numId="19">
    <w:abstractNumId w:val="18"/>
  </w:num>
  <w:num w:numId="20">
    <w:abstractNumId w:val="17"/>
  </w:num>
  <w:num w:numId="21">
    <w:abstractNumId w:val="15"/>
  </w:num>
  <w:num w:numId="22">
    <w:abstractNumId w:val="14"/>
  </w:num>
  <w:num w:numId="23">
    <w:abstractNumId w:val="25"/>
  </w:num>
  <w:num w:numId="24">
    <w:abstractNumId w:val="11"/>
  </w:num>
  <w:num w:numId="25">
    <w:abstractNumId w:val="16"/>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D83"/>
    <w:rsid w:val="000052FB"/>
    <w:rsid w:val="000117CB"/>
    <w:rsid w:val="00020F84"/>
    <w:rsid w:val="0003148D"/>
    <w:rsid w:val="00031EEC"/>
    <w:rsid w:val="00043153"/>
    <w:rsid w:val="00051566"/>
    <w:rsid w:val="00055275"/>
    <w:rsid w:val="00062A9A"/>
    <w:rsid w:val="00065058"/>
    <w:rsid w:val="000839BB"/>
    <w:rsid w:val="00086C39"/>
    <w:rsid w:val="000A03B2"/>
    <w:rsid w:val="000A7BAE"/>
    <w:rsid w:val="000C3E25"/>
    <w:rsid w:val="000D0268"/>
    <w:rsid w:val="000D34BE"/>
    <w:rsid w:val="000E102F"/>
    <w:rsid w:val="000E36F1"/>
    <w:rsid w:val="000E3A73"/>
    <w:rsid w:val="000E414A"/>
    <w:rsid w:val="000E5889"/>
    <w:rsid w:val="000F093C"/>
    <w:rsid w:val="000F787B"/>
    <w:rsid w:val="001071AE"/>
    <w:rsid w:val="0012091F"/>
    <w:rsid w:val="00121317"/>
    <w:rsid w:val="00126603"/>
    <w:rsid w:val="00126BC2"/>
    <w:rsid w:val="001308B6"/>
    <w:rsid w:val="0013121F"/>
    <w:rsid w:val="00131FE6"/>
    <w:rsid w:val="0013263F"/>
    <w:rsid w:val="001331DF"/>
    <w:rsid w:val="00134DE4"/>
    <w:rsid w:val="001373CA"/>
    <w:rsid w:val="0014034D"/>
    <w:rsid w:val="00144D16"/>
    <w:rsid w:val="00147B38"/>
    <w:rsid w:val="00150E59"/>
    <w:rsid w:val="00152DE3"/>
    <w:rsid w:val="0015362B"/>
    <w:rsid w:val="00164CF9"/>
    <w:rsid w:val="001667A6"/>
    <w:rsid w:val="00184AD6"/>
    <w:rsid w:val="00192808"/>
    <w:rsid w:val="001A25E3"/>
    <w:rsid w:val="001A4AF7"/>
    <w:rsid w:val="001B0349"/>
    <w:rsid w:val="001B06BA"/>
    <w:rsid w:val="001B1E93"/>
    <w:rsid w:val="001B65C1"/>
    <w:rsid w:val="001C62E6"/>
    <w:rsid w:val="001C684B"/>
    <w:rsid w:val="001D0CFB"/>
    <w:rsid w:val="001D53FC"/>
    <w:rsid w:val="001E7198"/>
    <w:rsid w:val="001F42A5"/>
    <w:rsid w:val="001F7B9D"/>
    <w:rsid w:val="001F7FF9"/>
    <w:rsid w:val="00201C93"/>
    <w:rsid w:val="002224B4"/>
    <w:rsid w:val="00233024"/>
    <w:rsid w:val="002339CB"/>
    <w:rsid w:val="00235724"/>
    <w:rsid w:val="002447EF"/>
    <w:rsid w:val="00251550"/>
    <w:rsid w:val="002631C7"/>
    <w:rsid w:val="00263B05"/>
    <w:rsid w:val="0027221A"/>
    <w:rsid w:val="00272A9A"/>
    <w:rsid w:val="00275B61"/>
    <w:rsid w:val="00280FAF"/>
    <w:rsid w:val="00282656"/>
    <w:rsid w:val="002950EC"/>
    <w:rsid w:val="00296ACA"/>
    <w:rsid w:val="00296B83"/>
    <w:rsid w:val="002A401F"/>
    <w:rsid w:val="002B0769"/>
    <w:rsid w:val="002B4015"/>
    <w:rsid w:val="002B78CE"/>
    <w:rsid w:val="002C2FB6"/>
    <w:rsid w:val="002C4A16"/>
    <w:rsid w:val="002D2B74"/>
    <w:rsid w:val="002D55DD"/>
    <w:rsid w:val="002E5F75"/>
    <w:rsid w:val="002E5FA7"/>
    <w:rsid w:val="002F3309"/>
    <w:rsid w:val="003008CE"/>
    <w:rsid w:val="003009B7"/>
    <w:rsid w:val="00300E56"/>
    <w:rsid w:val="0030469C"/>
    <w:rsid w:val="00321CA6"/>
    <w:rsid w:val="00323763"/>
    <w:rsid w:val="00331275"/>
    <w:rsid w:val="00334C09"/>
    <w:rsid w:val="00334C0C"/>
    <w:rsid w:val="0036487B"/>
    <w:rsid w:val="0037118E"/>
    <w:rsid w:val="003723D4"/>
    <w:rsid w:val="00381905"/>
    <w:rsid w:val="00384CC8"/>
    <w:rsid w:val="003871FD"/>
    <w:rsid w:val="00395C4A"/>
    <w:rsid w:val="003A1E30"/>
    <w:rsid w:val="003A2829"/>
    <w:rsid w:val="003A2DF7"/>
    <w:rsid w:val="003A7D1C"/>
    <w:rsid w:val="003B304B"/>
    <w:rsid w:val="003B3146"/>
    <w:rsid w:val="003D0689"/>
    <w:rsid w:val="003D0D47"/>
    <w:rsid w:val="003F015E"/>
    <w:rsid w:val="003F602B"/>
    <w:rsid w:val="00400414"/>
    <w:rsid w:val="0041446B"/>
    <w:rsid w:val="00431A84"/>
    <w:rsid w:val="0044329C"/>
    <w:rsid w:val="0044706C"/>
    <w:rsid w:val="00453E24"/>
    <w:rsid w:val="00457456"/>
    <w:rsid w:val="004577FE"/>
    <w:rsid w:val="00457B9C"/>
    <w:rsid w:val="0046164A"/>
    <w:rsid w:val="004628D2"/>
    <w:rsid w:val="00462DCD"/>
    <w:rsid w:val="004648AD"/>
    <w:rsid w:val="00465160"/>
    <w:rsid w:val="004703A9"/>
    <w:rsid w:val="004760DE"/>
    <w:rsid w:val="004763D7"/>
    <w:rsid w:val="004A004E"/>
    <w:rsid w:val="004A24CF"/>
    <w:rsid w:val="004A31F8"/>
    <w:rsid w:val="004A5E1A"/>
    <w:rsid w:val="004B04DD"/>
    <w:rsid w:val="004B0D80"/>
    <w:rsid w:val="004C1856"/>
    <w:rsid w:val="004C3D1D"/>
    <w:rsid w:val="004C70B7"/>
    <w:rsid w:val="004C7913"/>
    <w:rsid w:val="004C7BA8"/>
    <w:rsid w:val="004E1667"/>
    <w:rsid w:val="004E2825"/>
    <w:rsid w:val="004E4DD6"/>
    <w:rsid w:val="004E577B"/>
    <w:rsid w:val="004F2894"/>
    <w:rsid w:val="004F4620"/>
    <w:rsid w:val="004F5E36"/>
    <w:rsid w:val="00507B47"/>
    <w:rsid w:val="00507BEF"/>
    <w:rsid w:val="00507CC9"/>
    <w:rsid w:val="005119A5"/>
    <w:rsid w:val="005278B7"/>
    <w:rsid w:val="00532016"/>
    <w:rsid w:val="005346C8"/>
    <w:rsid w:val="00543E7D"/>
    <w:rsid w:val="00547A68"/>
    <w:rsid w:val="005531C9"/>
    <w:rsid w:val="005539E3"/>
    <w:rsid w:val="005570A5"/>
    <w:rsid w:val="00570C43"/>
    <w:rsid w:val="00571091"/>
    <w:rsid w:val="00584455"/>
    <w:rsid w:val="005934B7"/>
    <w:rsid w:val="005A2EAA"/>
    <w:rsid w:val="005B165B"/>
    <w:rsid w:val="005B2110"/>
    <w:rsid w:val="005B61E6"/>
    <w:rsid w:val="005C10BD"/>
    <w:rsid w:val="005C77E1"/>
    <w:rsid w:val="005D668A"/>
    <w:rsid w:val="005D6A2F"/>
    <w:rsid w:val="005E1A82"/>
    <w:rsid w:val="005E794C"/>
    <w:rsid w:val="005F0A28"/>
    <w:rsid w:val="005F0E5E"/>
    <w:rsid w:val="00600535"/>
    <w:rsid w:val="00607CD5"/>
    <w:rsid w:val="00610CD6"/>
    <w:rsid w:val="00620DEE"/>
    <w:rsid w:val="00621F92"/>
    <w:rsid w:val="0062280A"/>
    <w:rsid w:val="00625639"/>
    <w:rsid w:val="00626779"/>
    <w:rsid w:val="00631B33"/>
    <w:rsid w:val="0064184D"/>
    <w:rsid w:val="006422CC"/>
    <w:rsid w:val="00653DB2"/>
    <w:rsid w:val="00660C46"/>
    <w:rsid w:val="00660E3E"/>
    <w:rsid w:val="00661A27"/>
    <w:rsid w:val="00662E74"/>
    <w:rsid w:val="00663123"/>
    <w:rsid w:val="00675866"/>
    <w:rsid w:val="00680C23"/>
    <w:rsid w:val="00693766"/>
    <w:rsid w:val="006A3281"/>
    <w:rsid w:val="006B4888"/>
    <w:rsid w:val="006C2E45"/>
    <w:rsid w:val="006C359C"/>
    <w:rsid w:val="006C5579"/>
    <w:rsid w:val="006D6E8B"/>
    <w:rsid w:val="006E5B59"/>
    <w:rsid w:val="006E6A9A"/>
    <w:rsid w:val="006E737D"/>
    <w:rsid w:val="006F1228"/>
    <w:rsid w:val="007059F8"/>
    <w:rsid w:val="00713973"/>
    <w:rsid w:val="00720A24"/>
    <w:rsid w:val="00723848"/>
    <w:rsid w:val="00726E40"/>
    <w:rsid w:val="00732020"/>
    <w:rsid w:val="00732386"/>
    <w:rsid w:val="0073514D"/>
    <w:rsid w:val="007420CE"/>
    <w:rsid w:val="0074292C"/>
    <w:rsid w:val="007447F3"/>
    <w:rsid w:val="0075499F"/>
    <w:rsid w:val="007661C8"/>
    <w:rsid w:val="0077098D"/>
    <w:rsid w:val="00781C82"/>
    <w:rsid w:val="00791230"/>
    <w:rsid w:val="007931FA"/>
    <w:rsid w:val="00796055"/>
    <w:rsid w:val="007A08A9"/>
    <w:rsid w:val="007A4861"/>
    <w:rsid w:val="007A7BBA"/>
    <w:rsid w:val="007B0C50"/>
    <w:rsid w:val="007B48F9"/>
    <w:rsid w:val="007C1A43"/>
    <w:rsid w:val="0080013E"/>
    <w:rsid w:val="008063B6"/>
    <w:rsid w:val="00813288"/>
    <w:rsid w:val="008168FC"/>
    <w:rsid w:val="00830996"/>
    <w:rsid w:val="008345F1"/>
    <w:rsid w:val="00865B07"/>
    <w:rsid w:val="008667EA"/>
    <w:rsid w:val="0087637F"/>
    <w:rsid w:val="0088227D"/>
    <w:rsid w:val="00892AD5"/>
    <w:rsid w:val="008A1512"/>
    <w:rsid w:val="008A7FFB"/>
    <w:rsid w:val="008D32B9"/>
    <w:rsid w:val="008D433B"/>
    <w:rsid w:val="008E566E"/>
    <w:rsid w:val="008F3B9B"/>
    <w:rsid w:val="0090161A"/>
    <w:rsid w:val="00901EB6"/>
    <w:rsid w:val="00902AC4"/>
    <w:rsid w:val="00904269"/>
    <w:rsid w:val="00904C62"/>
    <w:rsid w:val="00910FB4"/>
    <w:rsid w:val="00922BA8"/>
    <w:rsid w:val="00924DAC"/>
    <w:rsid w:val="00927058"/>
    <w:rsid w:val="00934627"/>
    <w:rsid w:val="00934BBF"/>
    <w:rsid w:val="00942750"/>
    <w:rsid w:val="009450CE"/>
    <w:rsid w:val="00947179"/>
    <w:rsid w:val="0095164B"/>
    <w:rsid w:val="00951AD3"/>
    <w:rsid w:val="00954090"/>
    <w:rsid w:val="009573E7"/>
    <w:rsid w:val="00963E05"/>
    <w:rsid w:val="00966EC7"/>
    <w:rsid w:val="00967843"/>
    <w:rsid w:val="00967D54"/>
    <w:rsid w:val="00971028"/>
    <w:rsid w:val="00993B84"/>
    <w:rsid w:val="00996483"/>
    <w:rsid w:val="00996F5A"/>
    <w:rsid w:val="009B041A"/>
    <w:rsid w:val="009C3258"/>
    <w:rsid w:val="009C37C3"/>
    <w:rsid w:val="009C7C86"/>
    <w:rsid w:val="009D2FF7"/>
    <w:rsid w:val="009E7884"/>
    <w:rsid w:val="009E788A"/>
    <w:rsid w:val="009F0E08"/>
    <w:rsid w:val="009F17B1"/>
    <w:rsid w:val="009F4BB4"/>
    <w:rsid w:val="00A1763D"/>
    <w:rsid w:val="00A17CEC"/>
    <w:rsid w:val="00A27EF0"/>
    <w:rsid w:val="00A42361"/>
    <w:rsid w:val="00A43BB8"/>
    <w:rsid w:val="00A460D2"/>
    <w:rsid w:val="00A50B20"/>
    <w:rsid w:val="00A51390"/>
    <w:rsid w:val="00A52226"/>
    <w:rsid w:val="00A607A2"/>
    <w:rsid w:val="00A60D13"/>
    <w:rsid w:val="00A61F65"/>
    <w:rsid w:val="00A66041"/>
    <w:rsid w:val="00A72745"/>
    <w:rsid w:val="00A76EFC"/>
    <w:rsid w:val="00A91010"/>
    <w:rsid w:val="00A93BBA"/>
    <w:rsid w:val="00A97F29"/>
    <w:rsid w:val="00AA69E1"/>
    <w:rsid w:val="00AA702E"/>
    <w:rsid w:val="00AB0964"/>
    <w:rsid w:val="00AB5011"/>
    <w:rsid w:val="00AB52CB"/>
    <w:rsid w:val="00AC7113"/>
    <w:rsid w:val="00AC7368"/>
    <w:rsid w:val="00AD16B9"/>
    <w:rsid w:val="00AD347D"/>
    <w:rsid w:val="00AD361E"/>
    <w:rsid w:val="00AE377D"/>
    <w:rsid w:val="00AF0090"/>
    <w:rsid w:val="00AF0EBA"/>
    <w:rsid w:val="00AF312A"/>
    <w:rsid w:val="00AF44A4"/>
    <w:rsid w:val="00B02C8A"/>
    <w:rsid w:val="00B04557"/>
    <w:rsid w:val="00B17FBD"/>
    <w:rsid w:val="00B23C22"/>
    <w:rsid w:val="00B27B86"/>
    <w:rsid w:val="00B315A6"/>
    <w:rsid w:val="00B31813"/>
    <w:rsid w:val="00B33365"/>
    <w:rsid w:val="00B34097"/>
    <w:rsid w:val="00B515C8"/>
    <w:rsid w:val="00B57B36"/>
    <w:rsid w:val="00B57E6F"/>
    <w:rsid w:val="00B8686D"/>
    <w:rsid w:val="00B87642"/>
    <w:rsid w:val="00B93F69"/>
    <w:rsid w:val="00BB1DDC"/>
    <w:rsid w:val="00BB2510"/>
    <w:rsid w:val="00BC30C9"/>
    <w:rsid w:val="00BD077D"/>
    <w:rsid w:val="00BE3E58"/>
    <w:rsid w:val="00BE4C41"/>
    <w:rsid w:val="00BE7274"/>
    <w:rsid w:val="00C01616"/>
    <w:rsid w:val="00C0162B"/>
    <w:rsid w:val="00C068ED"/>
    <w:rsid w:val="00C104F1"/>
    <w:rsid w:val="00C22E0C"/>
    <w:rsid w:val="00C3413E"/>
    <w:rsid w:val="00C345B1"/>
    <w:rsid w:val="00C40142"/>
    <w:rsid w:val="00C4066B"/>
    <w:rsid w:val="00C52C3C"/>
    <w:rsid w:val="00C57182"/>
    <w:rsid w:val="00C57863"/>
    <w:rsid w:val="00C655FD"/>
    <w:rsid w:val="00C75407"/>
    <w:rsid w:val="00C7552A"/>
    <w:rsid w:val="00C870A8"/>
    <w:rsid w:val="00C94434"/>
    <w:rsid w:val="00CA044E"/>
    <w:rsid w:val="00CA0D75"/>
    <w:rsid w:val="00CA1C95"/>
    <w:rsid w:val="00CA5A9C"/>
    <w:rsid w:val="00CB715F"/>
    <w:rsid w:val="00CC4C20"/>
    <w:rsid w:val="00CD3517"/>
    <w:rsid w:val="00CD4C9F"/>
    <w:rsid w:val="00CD5FE2"/>
    <w:rsid w:val="00CE3629"/>
    <w:rsid w:val="00CE6148"/>
    <w:rsid w:val="00CE7C68"/>
    <w:rsid w:val="00CF3097"/>
    <w:rsid w:val="00D02B4C"/>
    <w:rsid w:val="00D040C4"/>
    <w:rsid w:val="00D139D0"/>
    <w:rsid w:val="00D3445B"/>
    <w:rsid w:val="00D36E16"/>
    <w:rsid w:val="00D45C6D"/>
    <w:rsid w:val="00D46B7E"/>
    <w:rsid w:val="00D50D0B"/>
    <w:rsid w:val="00D5298B"/>
    <w:rsid w:val="00D57C84"/>
    <w:rsid w:val="00D6057D"/>
    <w:rsid w:val="00D675F9"/>
    <w:rsid w:val="00D67BB8"/>
    <w:rsid w:val="00D836C5"/>
    <w:rsid w:val="00D84576"/>
    <w:rsid w:val="00D93F18"/>
    <w:rsid w:val="00DA1399"/>
    <w:rsid w:val="00DA17DD"/>
    <w:rsid w:val="00DA24C6"/>
    <w:rsid w:val="00DA3AE8"/>
    <w:rsid w:val="00DA4D7B"/>
    <w:rsid w:val="00DD07A6"/>
    <w:rsid w:val="00DD1A51"/>
    <w:rsid w:val="00DD6F84"/>
    <w:rsid w:val="00DE0F29"/>
    <w:rsid w:val="00DE264A"/>
    <w:rsid w:val="00DE2FB5"/>
    <w:rsid w:val="00DE3EE4"/>
    <w:rsid w:val="00DF5072"/>
    <w:rsid w:val="00E0293C"/>
    <w:rsid w:val="00E02D18"/>
    <w:rsid w:val="00E041E7"/>
    <w:rsid w:val="00E23CA1"/>
    <w:rsid w:val="00E409A8"/>
    <w:rsid w:val="00E50C12"/>
    <w:rsid w:val="00E65B91"/>
    <w:rsid w:val="00E7209D"/>
    <w:rsid w:val="00E72EAD"/>
    <w:rsid w:val="00E77223"/>
    <w:rsid w:val="00E77B61"/>
    <w:rsid w:val="00E8528B"/>
    <w:rsid w:val="00E85B94"/>
    <w:rsid w:val="00E978D0"/>
    <w:rsid w:val="00EA4613"/>
    <w:rsid w:val="00EA7F91"/>
    <w:rsid w:val="00EB1523"/>
    <w:rsid w:val="00EC0E49"/>
    <w:rsid w:val="00EC101F"/>
    <w:rsid w:val="00EC1D9F"/>
    <w:rsid w:val="00ED1DF1"/>
    <w:rsid w:val="00ED5284"/>
    <w:rsid w:val="00EE0131"/>
    <w:rsid w:val="00EE0B99"/>
    <w:rsid w:val="00EE17B0"/>
    <w:rsid w:val="00EF06D9"/>
    <w:rsid w:val="00F30C64"/>
    <w:rsid w:val="00F32BA2"/>
    <w:rsid w:val="00F32CDB"/>
    <w:rsid w:val="00F35341"/>
    <w:rsid w:val="00F51162"/>
    <w:rsid w:val="00F565FE"/>
    <w:rsid w:val="00F63A70"/>
    <w:rsid w:val="00F72D78"/>
    <w:rsid w:val="00F746AE"/>
    <w:rsid w:val="00F7534E"/>
    <w:rsid w:val="00FA21D0"/>
    <w:rsid w:val="00FA5F5F"/>
    <w:rsid w:val="00FB730C"/>
    <w:rsid w:val="00FC2695"/>
    <w:rsid w:val="00FC3E03"/>
    <w:rsid w:val="00FC3FC1"/>
    <w:rsid w:val="00FD0160"/>
    <w:rsid w:val="00FE760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6340C"/>
  <w14:defaultImageDpi w14:val="330"/>
  <w15:docId w15:val="{15B006F7-24C1-4286-8A23-DDDB1D35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uiPriority w:val="99"/>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uiPriority w:val="99"/>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paragraph" w:customStyle="1" w:styleId="Default">
    <w:name w:val="Default"/>
    <w:rsid w:val="00A460D2"/>
    <w:pPr>
      <w:autoSpaceDE w:val="0"/>
      <w:autoSpaceDN w:val="0"/>
      <w:adjustRightInd w:val="0"/>
      <w:spacing w:after="0" w:line="240" w:lineRule="auto"/>
    </w:pPr>
    <w:rPr>
      <w:rFonts w:ascii="Times New Roman" w:hAnsi="Times New Roman" w:cs="Times New Roman"/>
      <w:color w:val="000000"/>
      <w:sz w:val="24"/>
      <w:szCs w:val="24"/>
      <w:lang w:val="es-CO"/>
    </w:rPr>
  </w:style>
  <w:style w:type="paragraph" w:customStyle="1" w:styleId="TAMainText">
    <w:name w:val="TA_Main_Text"/>
    <w:basedOn w:val="Normal"/>
    <w:autoRedefine/>
    <w:rsid w:val="00004D83"/>
    <w:pPr>
      <w:tabs>
        <w:tab w:val="clear" w:pos="7100"/>
      </w:tabs>
      <w:spacing w:after="60" w:line="22" w:lineRule="atLeast"/>
    </w:pPr>
    <w:rPr>
      <w:rFonts w:eastAsia="Arial" w:cs="Arial"/>
      <w:kern w:val="21"/>
      <w:szCs w:val="18"/>
      <w:lang w:val="en-US"/>
    </w:rPr>
  </w:style>
  <w:style w:type="character" w:customStyle="1" w:styleId="Mencinsinresolver1">
    <w:name w:val="Mención sin resolver1"/>
    <w:basedOn w:val="Fuentedeprrafopredeter"/>
    <w:uiPriority w:val="99"/>
    <w:semiHidden/>
    <w:unhideWhenUsed/>
    <w:rsid w:val="00233024"/>
    <w:rPr>
      <w:color w:val="605E5C"/>
      <w:shd w:val="clear" w:color="auto" w:fill="E1DFDD"/>
    </w:rPr>
  </w:style>
  <w:style w:type="paragraph" w:customStyle="1" w:styleId="TDAckTitle">
    <w:name w:val="TD_Ack_Title"/>
    <w:basedOn w:val="Normal"/>
    <w:link w:val="TDAckTitleChar"/>
    <w:rsid w:val="00233024"/>
    <w:pPr>
      <w:tabs>
        <w:tab w:val="clear" w:pos="7100"/>
      </w:tabs>
      <w:spacing w:before="180" w:after="60" w:line="240" w:lineRule="auto"/>
    </w:pPr>
    <w:rPr>
      <w:rFonts w:ascii="Myriad Pro Light" w:hAnsi="Myriad Pro Light"/>
      <w:b/>
      <w:kern w:val="23"/>
      <w:sz w:val="21"/>
      <w:lang w:val="en-CA"/>
    </w:rPr>
  </w:style>
  <w:style w:type="character" w:customStyle="1" w:styleId="TDAckTitleChar">
    <w:name w:val="TD_Ack_Title Char"/>
    <w:link w:val="TDAckTitle"/>
    <w:rsid w:val="00233024"/>
    <w:rPr>
      <w:rFonts w:ascii="Myriad Pro Light" w:eastAsia="Times New Roman" w:hAnsi="Myriad Pro Light" w:cs="Times New Roman"/>
      <w:b/>
      <w:kern w:val="23"/>
      <w:sz w:val="21"/>
      <w:szCs w:val="20"/>
      <w:lang w:val="en-CA"/>
    </w:rPr>
  </w:style>
  <w:style w:type="table" w:styleId="Tabladecuadrcula2">
    <w:name w:val="Grid Table 2"/>
    <w:basedOn w:val="Tablanormal"/>
    <w:uiPriority w:val="47"/>
    <w:rsid w:val="005B165B"/>
    <w:pPr>
      <w:spacing w:after="0" w:line="240" w:lineRule="auto"/>
    </w:pPr>
    <w:rPr>
      <w:lang w:val="es-ES_trad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notaalpie">
    <w:name w:val="footnote reference"/>
    <w:basedOn w:val="Fuentedeprrafopredeter"/>
    <w:uiPriority w:val="99"/>
    <w:semiHidden/>
    <w:unhideWhenUsed/>
    <w:rsid w:val="00147B38"/>
    <w:rPr>
      <w:vertAlign w:val="superscript"/>
    </w:rPr>
  </w:style>
  <w:style w:type="table" w:styleId="Tablanormal4">
    <w:name w:val="Plain Table 4"/>
    <w:basedOn w:val="Tablanormal"/>
    <w:uiPriority w:val="44"/>
    <w:rsid w:val="002A401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5769</Words>
  <Characters>31730</Characters>
  <Application>Microsoft Office Word</Application>
  <DocSecurity>0</DocSecurity>
  <Lines>264</Lines>
  <Paragraphs>74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Tamy Carolina Herrera Rodriguez</cp:lastModifiedBy>
  <cp:revision>4</cp:revision>
  <cp:lastPrinted>2015-05-12T18:31:00Z</cp:lastPrinted>
  <dcterms:created xsi:type="dcterms:W3CDTF">2022-03-01T20:16:00Z</dcterms:created>
  <dcterms:modified xsi:type="dcterms:W3CDTF">2022-03-02T03:57:00Z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7a84b15f-83ac-3ce0-b509-370918df3003</vt:lpwstr>
  </property>
  <property fmtid="{D5CDD505-2E9C-101B-9397-08002B2CF9AE}" pid="25"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26" name="ZOTERO_PREF_2">
    <vt:lpwstr>me="storeReferences" value="true"/&gt;&lt;pref name="automaticJournalAbbreviations" value=""/&gt;&lt;pref name="noteType" value=""/&gt;&lt;/prefs&gt;&lt;/data&gt;</vt:lpwstr>
  </property>
</Properties>
</file>