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662DDFBC" w14:textId="77777777" w:rsidTr="00DE264A">
        <w:trPr>
          <w:trHeight w:val="852"/>
          <w:jc w:val="center"/>
        </w:trPr>
        <w:tc>
          <w:tcPr>
            <w:tcW w:w="6946" w:type="dxa"/>
            <w:vMerge w:val="restart"/>
            <w:tcBorders>
              <w:right w:val="single" w:sz="4" w:space="0" w:color="auto"/>
            </w:tcBorders>
          </w:tcPr>
          <w:p w14:paraId="12C75711"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93309678"/>
            <w:bookmarkEnd w:id="0"/>
            <w:r w:rsidRPr="00B57B36">
              <w:rPr>
                <w:rFonts w:ascii="AdvP6960" w:hAnsi="AdvP6960" w:cs="AdvP6960"/>
                <w:noProof/>
                <w:color w:val="241F20"/>
                <w:szCs w:val="18"/>
                <w:lang w:val="it-IT" w:eastAsia="it-IT"/>
              </w:rPr>
              <w:drawing>
                <wp:inline distT="0" distB="0" distL="0" distR="0" wp14:anchorId="483D4BD7" wp14:editId="729355AA">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0463D749" w14:textId="77777777"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0546B02A"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3E0E7EB" w14:textId="77777777" w:rsidR="000A03B2" w:rsidRPr="00B57B36" w:rsidRDefault="000A03B2" w:rsidP="00CD5FE2">
            <w:pPr>
              <w:jc w:val="right"/>
            </w:pPr>
            <w:r w:rsidRPr="00B57B36">
              <w:rPr>
                <w:noProof/>
                <w:lang w:val="it-IT" w:eastAsia="it-IT"/>
              </w:rPr>
              <w:drawing>
                <wp:inline distT="0" distB="0" distL="0" distR="0" wp14:anchorId="194A3D71" wp14:editId="5023D411">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660ECA8C" w14:textId="77777777" w:rsidTr="00DE264A">
        <w:trPr>
          <w:trHeight w:val="567"/>
          <w:jc w:val="center"/>
        </w:trPr>
        <w:tc>
          <w:tcPr>
            <w:tcW w:w="6946" w:type="dxa"/>
            <w:vMerge/>
            <w:tcBorders>
              <w:right w:val="single" w:sz="4" w:space="0" w:color="auto"/>
            </w:tcBorders>
          </w:tcPr>
          <w:p w14:paraId="08ED2670"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0CE842D3"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5584B9B"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67594090" w14:textId="77777777"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0CA4D737" w14:textId="77777777" w:rsidTr="00DE264A">
        <w:trPr>
          <w:trHeight w:val="68"/>
          <w:jc w:val="center"/>
        </w:trPr>
        <w:tc>
          <w:tcPr>
            <w:tcW w:w="8789" w:type="dxa"/>
            <w:gridSpan w:val="2"/>
          </w:tcPr>
          <w:p w14:paraId="607D4ED3" w14:textId="77777777" w:rsidR="00300E56" w:rsidRPr="00965B0D" w:rsidRDefault="00300E56" w:rsidP="00B57E6F">
            <w:pPr>
              <w:ind w:left="-107"/>
              <w:outlineLvl w:val="2"/>
              <w:rPr>
                <w:rFonts w:ascii="Tahoma" w:hAnsi="Tahoma" w:cs="Tahoma"/>
                <w:bCs/>
                <w:color w:val="000000"/>
                <w:sz w:val="14"/>
                <w:szCs w:val="14"/>
                <w:lang w:val="it-IT" w:eastAsia="it-IT"/>
              </w:rPr>
            </w:pPr>
            <w:r w:rsidRPr="00965B0D">
              <w:rPr>
                <w:rFonts w:ascii="Tahoma" w:hAnsi="Tahoma" w:cs="Tahoma"/>
                <w:iCs/>
                <w:color w:val="333333"/>
                <w:sz w:val="14"/>
                <w:szCs w:val="14"/>
                <w:lang w:val="it-IT" w:eastAsia="it-IT"/>
              </w:rPr>
              <w:t>Guest Editors:</w:t>
            </w:r>
            <w:r w:rsidR="00904C62" w:rsidRPr="00965B0D">
              <w:rPr>
                <w:rFonts w:ascii="Tahoma" w:hAnsi="Tahoma" w:cs="Tahoma"/>
                <w:iCs/>
                <w:color w:val="333333"/>
                <w:sz w:val="14"/>
                <w:szCs w:val="14"/>
                <w:lang w:val="it-IT" w:eastAsia="it-IT"/>
              </w:rPr>
              <w:t xml:space="preserve"> </w:t>
            </w:r>
            <w:r w:rsidR="00B57E6F" w:rsidRPr="00965B0D">
              <w:rPr>
                <w:rFonts w:ascii="Tahoma" w:hAnsi="Tahoma" w:cs="Tahoma"/>
                <w:color w:val="000000"/>
                <w:sz w:val="14"/>
                <w:szCs w:val="14"/>
                <w:shd w:val="clear" w:color="auto" w:fill="FFFFFF"/>
                <w:lang w:val="it-IT"/>
              </w:rPr>
              <w:t xml:space="preserve">Valerio </w:t>
            </w:r>
            <w:proofErr w:type="spellStart"/>
            <w:r w:rsidR="00B57E6F" w:rsidRPr="00965B0D">
              <w:rPr>
                <w:rFonts w:ascii="Tahoma" w:hAnsi="Tahoma" w:cs="Tahoma"/>
                <w:color w:val="000000"/>
                <w:sz w:val="14"/>
                <w:szCs w:val="14"/>
                <w:shd w:val="clear" w:color="auto" w:fill="FFFFFF"/>
                <w:lang w:val="it-IT"/>
              </w:rPr>
              <w:t>Cozzani</w:t>
            </w:r>
            <w:proofErr w:type="spellEnd"/>
            <w:r w:rsidR="00B57E6F" w:rsidRPr="00965B0D">
              <w:rPr>
                <w:rFonts w:ascii="Tahoma" w:hAnsi="Tahoma" w:cs="Tahoma"/>
                <w:color w:val="000000"/>
                <w:sz w:val="14"/>
                <w:szCs w:val="14"/>
                <w:shd w:val="clear" w:color="auto" w:fill="FFFFFF"/>
                <w:lang w:val="it-IT"/>
              </w:rPr>
              <w:t xml:space="preserve">, </w:t>
            </w:r>
            <w:r w:rsidR="001331DF" w:rsidRPr="00965B0D">
              <w:rPr>
                <w:rFonts w:ascii="Tahoma" w:hAnsi="Tahoma" w:cs="Tahoma"/>
                <w:color w:val="000000"/>
                <w:sz w:val="14"/>
                <w:szCs w:val="14"/>
                <w:shd w:val="clear" w:color="auto" w:fill="FFFFFF"/>
                <w:lang w:val="it-IT"/>
              </w:rPr>
              <w:t>Bruno Fabiano</w:t>
            </w:r>
            <w:r w:rsidR="00B57E6F" w:rsidRPr="00965B0D">
              <w:rPr>
                <w:rFonts w:ascii="Tahoma" w:hAnsi="Tahoma" w:cs="Tahoma"/>
                <w:color w:val="000000"/>
                <w:sz w:val="14"/>
                <w:szCs w:val="14"/>
                <w:shd w:val="clear" w:color="auto" w:fill="FFFFFF"/>
                <w:lang w:val="it-IT"/>
              </w:rPr>
              <w:t xml:space="preserve">, </w:t>
            </w:r>
            <w:proofErr w:type="spellStart"/>
            <w:r w:rsidR="00B57E6F" w:rsidRPr="00965B0D">
              <w:rPr>
                <w:rFonts w:ascii="Tahoma" w:hAnsi="Tahoma" w:cs="Tahoma"/>
                <w:bCs/>
                <w:color w:val="000000"/>
                <w:sz w:val="14"/>
                <w:szCs w:val="14"/>
                <w:lang w:val="it-IT" w:eastAsia="it-IT"/>
              </w:rPr>
              <w:t>Genserik</w:t>
            </w:r>
            <w:proofErr w:type="spellEnd"/>
            <w:r w:rsidR="00B57E6F" w:rsidRPr="00965B0D">
              <w:rPr>
                <w:rFonts w:ascii="Tahoma" w:hAnsi="Tahoma" w:cs="Tahoma"/>
                <w:bCs/>
                <w:color w:val="000000"/>
                <w:sz w:val="14"/>
                <w:szCs w:val="14"/>
                <w:lang w:val="it-IT" w:eastAsia="it-IT"/>
              </w:rPr>
              <w:t xml:space="preserve"> </w:t>
            </w:r>
            <w:proofErr w:type="spellStart"/>
            <w:r w:rsidR="00B57E6F" w:rsidRPr="00965B0D">
              <w:rPr>
                <w:rFonts w:ascii="Tahoma" w:hAnsi="Tahoma" w:cs="Tahoma"/>
                <w:bCs/>
                <w:color w:val="000000"/>
                <w:sz w:val="14"/>
                <w:szCs w:val="14"/>
                <w:lang w:val="it-IT" w:eastAsia="it-IT"/>
              </w:rPr>
              <w:t>Reniers</w:t>
            </w:r>
            <w:proofErr w:type="spellEnd"/>
          </w:p>
          <w:p w14:paraId="4245D90E" w14:textId="77777777"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AE10663"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15BEE0A7" w14:textId="77777777" w:rsidR="00E978D0" w:rsidRPr="00B57B36" w:rsidRDefault="00A755C0" w:rsidP="00E978D0">
      <w:pPr>
        <w:pStyle w:val="CETTitle"/>
      </w:pPr>
      <w:r w:rsidRPr="00A755C0">
        <w:t>Dynamic Assessment of the Probability of Release Caused by Equipment Deterioration</w:t>
      </w:r>
    </w:p>
    <w:p w14:paraId="56BD3498" w14:textId="77777777" w:rsidR="00B57E6F" w:rsidRPr="00D00B94" w:rsidRDefault="00A755C0" w:rsidP="00A755C0">
      <w:pPr>
        <w:pStyle w:val="CETAuthors"/>
        <w:rPr>
          <w:lang w:val="it-IT"/>
        </w:rPr>
      </w:pPr>
      <w:r w:rsidRPr="00AF0BBB">
        <w:rPr>
          <w:lang w:val="it-IT"/>
        </w:rPr>
        <w:t>Maria Francesca Milazzo</w:t>
      </w:r>
      <w:r w:rsidRPr="00AF0BBB">
        <w:rPr>
          <w:vertAlign w:val="superscript"/>
          <w:lang w:val="it-IT"/>
        </w:rPr>
        <w:t>a,</w:t>
      </w:r>
      <w:r w:rsidRPr="00AF0BBB">
        <w:rPr>
          <w:lang w:val="it-IT"/>
        </w:rPr>
        <w:t>*, Paolo Bragatto</w:t>
      </w:r>
      <w:r w:rsidRPr="00AF0BBB">
        <w:rPr>
          <w:vertAlign w:val="superscript"/>
          <w:lang w:val="it-IT"/>
        </w:rPr>
        <w:t>b</w:t>
      </w:r>
      <w:r w:rsidRPr="00AF0BBB">
        <w:rPr>
          <w:lang w:val="it-IT"/>
        </w:rPr>
        <w:t>, Vincenzo Bartolozzi</w:t>
      </w:r>
      <w:r w:rsidRPr="00AF0BBB">
        <w:rPr>
          <w:vertAlign w:val="superscript"/>
          <w:lang w:val="it-IT"/>
        </w:rPr>
        <w:t>c</w:t>
      </w:r>
      <w:r w:rsidRPr="00AF0BBB">
        <w:rPr>
          <w:lang w:val="it-IT"/>
        </w:rPr>
        <w:t>, Tomaso Vairo</w:t>
      </w:r>
      <w:r w:rsidRPr="00AF0BBB">
        <w:rPr>
          <w:vertAlign w:val="superscript"/>
          <w:lang w:val="it-IT"/>
        </w:rPr>
        <w:t>d</w:t>
      </w:r>
      <w:r w:rsidRPr="00AF0BBB">
        <w:rPr>
          <w:lang w:val="it-IT"/>
        </w:rPr>
        <w:t>, Bruno Fabiano</w:t>
      </w:r>
      <w:r w:rsidRPr="00AF0BBB">
        <w:rPr>
          <w:vertAlign w:val="superscript"/>
          <w:lang w:val="it-IT"/>
        </w:rPr>
        <w:t>e</w:t>
      </w:r>
    </w:p>
    <w:p w14:paraId="33978176" w14:textId="77777777" w:rsidR="00A755C0" w:rsidRPr="00B17C89" w:rsidRDefault="00A755C0" w:rsidP="00A755C0">
      <w:pPr>
        <w:pStyle w:val="CETAddress"/>
      </w:pPr>
      <w:r w:rsidRPr="00B17C89">
        <w:rPr>
          <w:vertAlign w:val="superscript"/>
        </w:rPr>
        <w:t>a</w:t>
      </w:r>
      <w:r w:rsidRPr="00B17C89">
        <w:t>Department of Engineering, University of Messina, Contrada di Dio, 98166 Messina, Italy</w:t>
      </w:r>
    </w:p>
    <w:p w14:paraId="564E6854" w14:textId="000DC4EE" w:rsidR="00A755C0" w:rsidRPr="00DF2A9D" w:rsidRDefault="00A755C0" w:rsidP="00A755C0">
      <w:pPr>
        <w:pStyle w:val="CETAddress"/>
        <w:rPr>
          <w:vertAlign w:val="superscript"/>
          <w:lang w:val="it-IT"/>
        </w:rPr>
      </w:pPr>
      <w:r w:rsidRPr="00DF2A9D">
        <w:rPr>
          <w:vertAlign w:val="superscript"/>
          <w:lang w:val="it-IT"/>
        </w:rPr>
        <w:t>b</w:t>
      </w:r>
      <w:r w:rsidRPr="00DF2A9D">
        <w:rPr>
          <w:lang w:val="it-IT"/>
        </w:rPr>
        <w:t>Department of Technological Innovation, INAIL, via Fontana Candid</w:t>
      </w:r>
      <w:r w:rsidR="00EC321A" w:rsidRPr="00DF2A9D">
        <w:rPr>
          <w:lang w:val="it-IT"/>
        </w:rPr>
        <w:t>a</w:t>
      </w:r>
      <w:r w:rsidRPr="00DF2A9D">
        <w:rPr>
          <w:lang w:val="it-IT"/>
        </w:rPr>
        <w:t xml:space="preserve">, </w:t>
      </w:r>
      <w:r w:rsidR="006014AA" w:rsidRPr="00DF2A9D">
        <w:rPr>
          <w:lang w:val="it-IT"/>
        </w:rPr>
        <w:t xml:space="preserve">00078 </w:t>
      </w:r>
      <w:r w:rsidRPr="00DF2A9D">
        <w:rPr>
          <w:lang w:val="it-IT"/>
        </w:rPr>
        <w:t>Monteporzio Catone, Italy</w:t>
      </w:r>
    </w:p>
    <w:p w14:paraId="19053DE7" w14:textId="77777777" w:rsidR="00A755C0" w:rsidRPr="00AF0BBB" w:rsidRDefault="00A755C0" w:rsidP="00A755C0">
      <w:pPr>
        <w:pStyle w:val="CETAddress"/>
        <w:rPr>
          <w:lang w:val="it-IT"/>
        </w:rPr>
      </w:pPr>
      <w:r w:rsidRPr="00AF0BBB">
        <w:rPr>
          <w:vertAlign w:val="superscript"/>
          <w:lang w:val="it-IT"/>
        </w:rPr>
        <w:t>c</w:t>
      </w:r>
      <w:r w:rsidRPr="00AF0BBB">
        <w:rPr>
          <w:lang w:val="it-IT"/>
        </w:rPr>
        <w:t>ARPA Sicilia, Via S. Lorenzo, 312 G, 90146, Palermo, Italy</w:t>
      </w:r>
    </w:p>
    <w:p w14:paraId="79248328" w14:textId="77777777" w:rsidR="00A755C0" w:rsidRPr="00AF0BBB" w:rsidRDefault="00A755C0" w:rsidP="00A755C0">
      <w:pPr>
        <w:pStyle w:val="CETAddress"/>
        <w:rPr>
          <w:lang w:val="it-IT"/>
        </w:rPr>
      </w:pPr>
      <w:r w:rsidRPr="00AF0BBB">
        <w:rPr>
          <w:vertAlign w:val="superscript"/>
          <w:lang w:val="it-IT"/>
        </w:rPr>
        <w:t>d</w:t>
      </w:r>
      <w:r w:rsidRPr="00AF0BBB">
        <w:rPr>
          <w:lang w:val="it-IT"/>
        </w:rPr>
        <w:t>ARPAL Grandi Rischi, via Bombrini 8, 16149 Genoa, Italy</w:t>
      </w:r>
    </w:p>
    <w:p w14:paraId="08C8973C" w14:textId="77777777" w:rsidR="00A755C0" w:rsidRPr="00B17C89" w:rsidRDefault="00A755C0" w:rsidP="00A755C0">
      <w:pPr>
        <w:pStyle w:val="CETAddress"/>
      </w:pPr>
      <w:r w:rsidRPr="00B17C89">
        <w:rPr>
          <w:vertAlign w:val="superscript"/>
        </w:rPr>
        <w:t>e</w:t>
      </w:r>
      <w:r w:rsidRPr="00B17C89">
        <w:t>Civil, Chemical and Environmental Engineering Department, University of Genoa, via Opera Pia 15, 16145 Genoa, Italy</w:t>
      </w:r>
    </w:p>
    <w:p w14:paraId="125E9C76" w14:textId="77777777" w:rsidR="00A755C0" w:rsidRPr="00B17C89" w:rsidRDefault="00A755C0" w:rsidP="00A755C0">
      <w:pPr>
        <w:pStyle w:val="CETemail"/>
      </w:pPr>
      <w:r>
        <w:t xml:space="preserve"> </w:t>
      </w:r>
      <w:r w:rsidRPr="00B17C89">
        <w:t>*mfmilazzo@unime.it</w:t>
      </w:r>
    </w:p>
    <w:p w14:paraId="52A50F2B" w14:textId="0DA29A21" w:rsidR="00A755C0" w:rsidRPr="00B57B36" w:rsidRDefault="00A755C0" w:rsidP="00600535">
      <w:pPr>
        <w:pStyle w:val="CETBodytext"/>
        <w:rPr>
          <w:lang w:val="en-GB"/>
        </w:rPr>
      </w:pPr>
      <w:bookmarkStart w:id="1" w:name="_Hlk495475023"/>
      <w:r w:rsidRPr="00A755C0">
        <w:rPr>
          <w:lang w:val="en-GB"/>
        </w:rPr>
        <w:t xml:space="preserve">Deterioration due to the corrosion is the cause of undesired consequences in establishments at major accident hazard </w:t>
      </w:r>
      <w:r>
        <w:rPr>
          <w:lang w:val="en-GB"/>
        </w:rPr>
        <w:t>as it increases</w:t>
      </w:r>
      <w:r w:rsidRPr="00A755C0">
        <w:rPr>
          <w:lang w:val="en-GB"/>
        </w:rPr>
        <w:t xml:space="preserve"> the potential for release of hazardous substances. If the damage mechanisms </w:t>
      </w:r>
      <w:r>
        <w:rPr>
          <w:lang w:val="en-GB"/>
        </w:rPr>
        <w:t xml:space="preserve">affecting the equipment </w:t>
      </w:r>
      <w:r w:rsidRPr="00A755C0">
        <w:rPr>
          <w:lang w:val="en-GB"/>
        </w:rPr>
        <w:t xml:space="preserve">are not properly managed, these could give severe impacts in terms of safety </w:t>
      </w:r>
      <w:r>
        <w:rPr>
          <w:lang w:val="en-GB"/>
        </w:rPr>
        <w:t xml:space="preserve">as well as </w:t>
      </w:r>
      <w:r w:rsidRPr="00A755C0">
        <w:rPr>
          <w:lang w:val="en-GB"/>
        </w:rPr>
        <w:t xml:space="preserve">business interruption. </w:t>
      </w:r>
      <w:r>
        <w:rPr>
          <w:lang w:val="en-GB"/>
        </w:rPr>
        <w:t>Risk assessment includes the analysis of scenarios due to the deterioration</w:t>
      </w:r>
      <w:r w:rsidR="00B505C2">
        <w:rPr>
          <w:lang w:val="en-GB"/>
        </w:rPr>
        <w:t>. G</w:t>
      </w:r>
      <w:r w:rsidRPr="00A755C0">
        <w:rPr>
          <w:lang w:val="en-GB"/>
        </w:rPr>
        <w:t>eneric probabilities</w:t>
      </w:r>
      <w:r w:rsidR="004D093A">
        <w:rPr>
          <w:lang w:val="en-GB"/>
        </w:rPr>
        <w:t xml:space="preserve"> </w:t>
      </w:r>
      <w:r w:rsidR="00DF2A9D">
        <w:rPr>
          <w:lang w:val="en-GB"/>
        </w:rPr>
        <w:t xml:space="preserve">associated with </w:t>
      </w:r>
      <w:r w:rsidR="000873F3">
        <w:rPr>
          <w:lang w:val="en-GB"/>
        </w:rPr>
        <w:t>this type o</w:t>
      </w:r>
      <w:r w:rsidR="00EE0C6F">
        <w:rPr>
          <w:lang w:val="en-GB"/>
        </w:rPr>
        <w:t>f</w:t>
      </w:r>
      <w:r w:rsidR="000873F3">
        <w:rPr>
          <w:lang w:val="en-GB"/>
        </w:rPr>
        <w:t xml:space="preserve"> lea</w:t>
      </w:r>
      <w:r w:rsidR="00EE0C6F">
        <w:rPr>
          <w:lang w:val="en-GB"/>
        </w:rPr>
        <w:t>k</w:t>
      </w:r>
      <w:r w:rsidR="000873F3">
        <w:rPr>
          <w:lang w:val="en-GB"/>
        </w:rPr>
        <w:t>age</w:t>
      </w:r>
      <w:r w:rsidR="00B505C2">
        <w:rPr>
          <w:lang w:val="en-GB"/>
        </w:rPr>
        <w:t xml:space="preserve"> are taken from public database</w:t>
      </w:r>
      <w:r>
        <w:rPr>
          <w:lang w:val="en-GB"/>
        </w:rPr>
        <w:t xml:space="preserve"> and usually adapted to the </w:t>
      </w:r>
      <w:r w:rsidR="00DF2A9D">
        <w:rPr>
          <w:lang w:val="en-GB"/>
        </w:rPr>
        <w:t xml:space="preserve">industrial </w:t>
      </w:r>
      <w:r>
        <w:rPr>
          <w:lang w:val="en-GB"/>
        </w:rPr>
        <w:t xml:space="preserve">context by </w:t>
      </w:r>
      <w:r w:rsidR="00B505C2">
        <w:rPr>
          <w:lang w:val="en-GB"/>
        </w:rPr>
        <w:t xml:space="preserve">means of </w:t>
      </w:r>
      <w:r w:rsidR="000873F3">
        <w:rPr>
          <w:lang w:val="en-GB"/>
        </w:rPr>
        <w:t xml:space="preserve">some </w:t>
      </w:r>
      <w:r w:rsidR="00B505C2">
        <w:rPr>
          <w:lang w:val="en-GB"/>
        </w:rPr>
        <w:t>modification</w:t>
      </w:r>
      <w:r>
        <w:rPr>
          <w:lang w:val="en-GB"/>
        </w:rPr>
        <w:t xml:space="preserve"> factors</w:t>
      </w:r>
      <w:r w:rsidR="00CD3FB4">
        <w:rPr>
          <w:lang w:val="en-GB"/>
        </w:rPr>
        <w:t>. I</w:t>
      </w:r>
      <w:r w:rsidR="00B505C2">
        <w:rPr>
          <w:lang w:val="en-GB"/>
        </w:rPr>
        <w:t xml:space="preserve">n any case </w:t>
      </w:r>
      <w:r w:rsidR="00CD3FB4">
        <w:rPr>
          <w:lang w:val="en-GB"/>
        </w:rPr>
        <w:t xml:space="preserve">probabilities </w:t>
      </w:r>
      <w:r w:rsidRPr="00A755C0">
        <w:rPr>
          <w:lang w:val="en-GB"/>
        </w:rPr>
        <w:t>suffer a major shortcoming that are non-specific</w:t>
      </w:r>
      <w:r w:rsidR="00CD3FB4">
        <w:rPr>
          <w:lang w:val="en-GB"/>
        </w:rPr>
        <w:t>,</w:t>
      </w:r>
      <w:r w:rsidRPr="00A755C0">
        <w:rPr>
          <w:lang w:val="en-GB"/>
        </w:rPr>
        <w:t xml:space="preserve"> therefore, there is the need to update them based on data collected inside the establishment for each specific equipment. In this work, a dynamic approach for the quantification of the probability of release is presented</w:t>
      </w:r>
      <w:r w:rsidR="00A22898">
        <w:rPr>
          <w:lang w:val="en-GB"/>
        </w:rPr>
        <w:t xml:space="preserve">. </w:t>
      </w:r>
      <w:r w:rsidR="00A22898" w:rsidRPr="00C1363C">
        <w:rPr>
          <w:lang w:val="en-GB"/>
        </w:rPr>
        <w:t>Dynamism is here intended as a last-minute update that is following the occurrence of a change</w:t>
      </w:r>
      <w:r w:rsidR="00EE0C6F">
        <w:rPr>
          <w:lang w:val="en-GB"/>
        </w:rPr>
        <w:t xml:space="preserve"> inside the establishment</w:t>
      </w:r>
      <w:r w:rsidRPr="00A755C0">
        <w:rPr>
          <w:lang w:val="en-GB"/>
        </w:rPr>
        <w:t xml:space="preserve">. The proposed approach is based on the use of a Fault Trees Analyses (FTA), which integrates additional branches accounting for equipment deterioration; then, the </w:t>
      </w:r>
      <w:r w:rsidRPr="00EE0C6F">
        <w:rPr>
          <w:lang w:val="en-GB"/>
        </w:rPr>
        <w:t xml:space="preserve">Bayes </w:t>
      </w:r>
      <w:r w:rsidR="00101E4A" w:rsidRPr="00EE0C6F">
        <w:rPr>
          <w:lang w:val="en-GB"/>
        </w:rPr>
        <w:t>formula</w:t>
      </w:r>
      <w:r w:rsidRPr="00A755C0">
        <w:rPr>
          <w:lang w:val="en-GB"/>
        </w:rPr>
        <w:t xml:space="preserve"> is used to update the generic probability connected to the deterioration by using incident and near-miss reports acquired in real-time. A case-study from a refinery shows the application of the approach and an updated probability of release, which account for the plant-specificity, is obtained</w:t>
      </w:r>
      <w:r>
        <w:rPr>
          <w:lang w:val="en-GB"/>
        </w:rPr>
        <w:t>.</w:t>
      </w:r>
    </w:p>
    <w:bookmarkEnd w:id="1"/>
    <w:p w14:paraId="2143B638" w14:textId="77777777" w:rsidR="00600535" w:rsidRPr="00B57B36" w:rsidRDefault="00600535" w:rsidP="00600535">
      <w:pPr>
        <w:pStyle w:val="CETHeading1"/>
        <w:rPr>
          <w:lang w:val="en-GB"/>
        </w:rPr>
      </w:pPr>
      <w:r w:rsidRPr="00B57B36">
        <w:rPr>
          <w:lang w:val="en-GB"/>
        </w:rPr>
        <w:t>Introduction</w:t>
      </w:r>
    </w:p>
    <w:p w14:paraId="7D6AB58C" w14:textId="2C77F6BE" w:rsidR="00A22898" w:rsidRPr="00BF2348" w:rsidRDefault="00A22898" w:rsidP="00A22898">
      <w:pPr>
        <w:pStyle w:val="CETBodytext"/>
        <w:rPr>
          <w:lang w:val="en-GB"/>
        </w:rPr>
      </w:pPr>
      <w:r w:rsidRPr="00B17C89">
        <w:rPr>
          <w:lang w:val="en-GB"/>
        </w:rPr>
        <w:t>In process safety and risk management, there is a need for dynamic risk assessment (</w:t>
      </w:r>
      <w:proofErr w:type="spellStart"/>
      <w:r w:rsidRPr="00B17C89">
        <w:rPr>
          <w:lang w:val="en-GB"/>
        </w:rPr>
        <w:t>Vairo</w:t>
      </w:r>
      <w:proofErr w:type="spellEnd"/>
      <w:r w:rsidRPr="00B17C89">
        <w:rPr>
          <w:lang w:val="en-GB"/>
        </w:rPr>
        <w:t xml:space="preserve"> et al., 2019)</w:t>
      </w:r>
      <w:r w:rsidR="00D00B94">
        <w:rPr>
          <w:lang w:val="en-GB"/>
        </w:rPr>
        <w:t>,</w:t>
      </w:r>
      <w:r w:rsidRPr="00B17C89">
        <w:rPr>
          <w:lang w:val="en-GB"/>
        </w:rPr>
        <w:t xml:space="preserve"> as external and internal changes inside major accident hazard establishments could cause perturbations to the processes that lead to modifications of the risk level. </w:t>
      </w:r>
      <w:r w:rsidR="001E59EB">
        <w:rPr>
          <w:lang w:val="en-GB"/>
        </w:rPr>
        <w:t>M</w:t>
      </w:r>
      <w:r w:rsidRPr="00B17C89">
        <w:rPr>
          <w:lang w:val="en-GB"/>
        </w:rPr>
        <w:t>odifications sometimes could be unexpected, as in the case of emerging risks, or could not be captured if a proper process monitoring, combined with the identification of specific indicators, is not adopted. Emerging risks might impact in several ways on the safety, as an example the COVID 19 pandemic highly stressed the safety management system of major accident hazard establishments (</w:t>
      </w:r>
      <w:proofErr w:type="spellStart"/>
      <w:r w:rsidRPr="00B17C89">
        <w:rPr>
          <w:lang w:val="en-GB"/>
        </w:rPr>
        <w:t>Bragatto</w:t>
      </w:r>
      <w:proofErr w:type="spellEnd"/>
      <w:r w:rsidRPr="00B17C89">
        <w:rPr>
          <w:lang w:val="en-GB"/>
        </w:rPr>
        <w:t xml:space="preserve"> et al., 2021). Equipment deterioration might lead to dangerous releases; the consequences strongly depend on the damage mechanism</w:t>
      </w:r>
      <w:r w:rsidR="002F767D">
        <w:rPr>
          <w:lang w:val="en-GB"/>
        </w:rPr>
        <w:t xml:space="preserve"> affecting the equipment</w:t>
      </w:r>
      <w:r w:rsidR="001E59EB">
        <w:rPr>
          <w:lang w:val="en-GB"/>
        </w:rPr>
        <w:t xml:space="preserve"> and</w:t>
      </w:r>
      <w:r w:rsidRPr="00B17C89">
        <w:rPr>
          <w:lang w:val="en-GB"/>
        </w:rPr>
        <w:t xml:space="preserve"> the </w:t>
      </w:r>
      <w:r w:rsidR="00EE0C6F" w:rsidRPr="00B17C89">
        <w:rPr>
          <w:lang w:val="en-GB"/>
        </w:rPr>
        <w:t>deviation</w:t>
      </w:r>
      <w:r w:rsidRPr="00B17C89">
        <w:rPr>
          <w:lang w:val="en-GB"/>
        </w:rPr>
        <w:t xml:space="preserve"> of the process variables</w:t>
      </w:r>
      <w:r w:rsidR="002F767D">
        <w:rPr>
          <w:lang w:val="en-GB"/>
        </w:rPr>
        <w:t xml:space="preserve">. This </w:t>
      </w:r>
      <w:r w:rsidR="00EE0C6F">
        <w:rPr>
          <w:lang w:val="en-GB"/>
        </w:rPr>
        <w:t xml:space="preserve">variation </w:t>
      </w:r>
      <w:r w:rsidR="002F767D">
        <w:rPr>
          <w:lang w:val="en-GB"/>
        </w:rPr>
        <w:t>from the normal operability</w:t>
      </w:r>
      <w:r w:rsidRPr="00B17C89">
        <w:rPr>
          <w:lang w:val="en-GB"/>
        </w:rPr>
        <w:t xml:space="preserve"> </w:t>
      </w:r>
      <w:r>
        <w:rPr>
          <w:lang w:val="en-GB"/>
        </w:rPr>
        <w:t>causes the</w:t>
      </w:r>
      <w:r w:rsidRPr="00B17C89">
        <w:rPr>
          <w:lang w:val="en-GB"/>
        </w:rPr>
        <w:t xml:space="preserve"> damage worsening (</w:t>
      </w:r>
      <w:proofErr w:type="gramStart"/>
      <w:r w:rsidR="002F767D">
        <w:rPr>
          <w:lang w:val="en-GB"/>
        </w:rPr>
        <w:t>i.e.</w:t>
      </w:r>
      <w:proofErr w:type="gramEnd"/>
      <w:r w:rsidR="002F767D">
        <w:rPr>
          <w:lang w:val="en-GB"/>
        </w:rPr>
        <w:t xml:space="preserve"> </w:t>
      </w:r>
      <w:r>
        <w:rPr>
          <w:lang w:val="en-GB"/>
        </w:rPr>
        <w:t xml:space="preserve">the </w:t>
      </w:r>
      <w:r w:rsidRPr="00B17C89">
        <w:rPr>
          <w:lang w:val="en-GB"/>
        </w:rPr>
        <w:t>increase of the propagation rate) or the develop</w:t>
      </w:r>
      <w:r>
        <w:rPr>
          <w:lang w:val="en-GB"/>
        </w:rPr>
        <w:t>ment</w:t>
      </w:r>
      <w:r w:rsidRPr="00B17C89">
        <w:rPr>
          <w:lang w:val="en-GB"/>
        </w:rPr>
        <w:t xml:space="preserve"> of a new </w:t>
      </w:r>
      <w:r w:rsidR="002F767D">
        <w:rPr>
          <w:lang w:val="en-GB"/>
        </w:rPr>
        <w:t xml:space="preserve">damage </w:t>
      </w:r>
      <w:r w:rsidRPr="00B17C89">
        <w:rPr>
          <w:lang w:val="en-GB"/>
        </w:rPr>
        <w:t>mechanism (</w:t>
      </w:r>
      <w:proofErr w:type="spellStart"/>
      <w:r w:rsidRPr="00B17C89">
        <w:rPr>
          <w:lang w:val="en-GB"/>
        </w:rPr>
        <w:t>Lagad</w:t>
      </w:r>
      <w:proofErr w:type="spellEnd"/>
      <w:r w:rsidRPr="00B17C89">
        <w:rPr>
          <w:lang w:val="en-GB"/>
        </w:rPr>
        <w:t xml:space="preserve"> and Zaman, 2015).</w:t>
      </w:r>
    </w:p>
    <w:p w14:paraId="4AE7BC98" w14:textId="76BBECE0" w:rsidR="00A22898" w:rsidRPr="00B17C89" w:rsidRDefault="00A22898" w:rsidP="00A22898">
      <w:r w:rsidRPr="00B17C89">
        <w:t xml:space="preserve">To perform a dynamic risk assessment that captures the impacts of perturbations, some efforts have been made by several scholars. A few works attempt to integrate organisational and human factors in a dynamic approach based on the Bayesian </w:t>
      </w:r>
      <w:r w:rsidR="00D00B94">
        <w:t>approach</w:t>
      </w:r>
      <w:r w:rsidRPr="00B17C89">
        <w:t xml:space="preserve"> </w:t>
      </w:r>
      <w:r w:rsidRPr="002A6FFF">
        <w:t>(</w:t>
      </w:r>
      <w:proofErr w:type="spellStart"/>
      <w:r w:rsidRPr="002A6FFF">
        <w:t>Kalantarnia</w:t>
      </w:r>
      <w:proofErr w:type="spellEnd"/>
      <w:r w:rsidRPr="002A6FFF">
        <w:t xml:space="preserve"> et al., 2009</w:t>
      </w:r>
      <w:r w:rsidR="002F1540">
        <w:t xml:space="preserve">; </w:t>
      </w:r>
      <w:proofErr w:type="spellStart"/>
      <w:r w:rsidR="002F1540" w:rsidRPr="002F1540">
        <w:t>Shafaghi</w:t>
      </w:r>
      <w:proofErr w:type="spellEnd"/>
      <w:r w:rsidR="002F1540" w:rsidRPr="002F1540">
        <w:t>, 2008</w:t>
      </w:r>
      <w:r w:rsidRPr="002A6FFF">
        <w:t xml:space="preserve">), others proposed a methodology for </w:t>
      </w:r>
      <w:r>
        <w:t xml:space="preserve">a </w:t>
      </w:r>
      <w:r w:rsidRPr="002A6FFF">
        <w:t>dynamic safety management by using statistical analyses of near-miss and incidents (</w:t>
      </w:r>
      <w:proofErr w:type="spellStart"/>
      <w:r w:rsidRPr="002A6FFF">
        <w:t>Meel</w:t>
      </w:r>
      <w:proofErr w:type="spellEnd"/>
      <w:r w:rsidRPr="002A6FFF">
        <w:t xml:space="preserve"> and </w:t>
      </w:r>
      <w:proofErr w:type="spellStart"/>
      <w:r w:rsidRPr="002A6FFF">
        <w:t>Seider</w:t>
      </w:r>
      <w:proofErr w:type="spellEnd"/>
      <w:r w:rsidRPr="002A6FFF">
        <w:t xml:space="preserve">, 2006). A dynamic risk assessment approach has also been proposed by </w:t>
      </w:r>
      <w:r>
        <w:t xml:space="preserve">Barua et al. (2016) and </w:t>
      </w:r>
      <w:proofErr w:type="spellStart"/>
      <w:r w:rsidRPr="002A6FFF">
        <w:t>Vairo</w:t>
      </w:r>
      <w:proofErr w:type="spellEnd"/>
      <w:r w:rsidRPr="002A6FFF">
        <w:t xml:space="preserve"> et al. (2019), </w:t>
      </w:r>
      <w:r w:rsidRPr="002A6FFF">
        <w:lastRenderedPageBreak/>
        <w:t xml:space="preserve">which </w:t>
      </w:r>
      <w:r>
        <w:t xml:space="preserve">makes </w:t>
      </w:r>
      <w:r w:rsidRPr="002A6FFF">
        <w:t>use</w:t>
      </w:r>
      <w:r>
        <w:t xml:space="preserve"> of</w:t>
      </w:r>
      <w:r w:rsidRPr="002A6FFF">
        <w:t xml:space="preserve"> a Bayesia</w:t>
      </w:r>
      <w:r w:rsidRPr="00B17C89">
        <w:t>n network</w:t>
      </w:r>
      <w:r>
        <w:t>,</w:t>
      </w:r>
      <w:r w:rsidRPr="00B17C89">
        <w:t xml:space="preserve"> constructed from </w:t>
      </w:r>
      <w:r>
        <w:t xml:space="preserve">the </w:t>
      </w:r>
      <w:r w:rsidRPr="00B17C89">
        <w:t>Fault Trees Analys</w:t>
      </w:r>
      <w:r>
        <w:t>i</w:t>
      </w:r>
      <w:r w:rsidRPr="00B17C89">
        <w:t>s (FTA)</w:t>
      </w:r>
      <w:r>
        <w:t>, to integrate information from the system monitoring</w:t>
      </w:r>
      <w:r w:rsidRPr="00B17C89">
        <w:t>.</w:t>
      </w:r>
    </w:p>
    <w:p w14:paraId="373AF048" w14:textId="31309F96" w:rsidR="00A22898" w:rsidRDefault="00A22898" w:rsidP="00A22898">
      <w:pPr>
        <w:pStyle w:val="CETBodytext"/>
        <w:rPr>
          <w:lang w:val="en-GB"/>
        </w:rPr>
      </w:pPr>
      <w:bookmarkStart w:id="2" w:name="_Hlk92279237"/>
      <w:r w:rsidRPr="00B17C89">
        <w:rPr>
          <w:lang w:val="en-GB"/>
        </w:rPr>
        <w:t xml:space="preserve">This </w:t>
      </w:r>
      <w:r w:rsidR="007D4EBF">
        <w:rPr>
          <w:lang w:val="en-GB"/>
        </w:rPr>
        <w:t>paper</w:t>
      </w:r>
      <w:r w:rsidRPr="00B17C89">
        <w:rPr>
          <w:lang w:val="en-GB"/>
        </w:rPr>
        <w:t xml:space="preserve"> </w:t>
      </w:r>
      <w:r w:rsidR="00634211">
        <w:rPr>
          <w:lang w:val="en-GB"/>
        </w:rPr>
        <w:t>proposes a</w:t>
      </w:r>
      <w:r w:rsidRPr="00B17C89">
        <w:rPr>
          <w:lang w:val="en-GB"/>
        </w:rPr>
        <w:t xml:space="preserve"> dynamic </w:t>
      </w:r>
      <w:r w:rsidR="0013592D" w:rsidRPr="00B17C89">
        <w:rPr>
          <w:lang w:val="en-GB"/>
        </w:rPr>
        <w:t xml:space="preserve">risk </w:t>
      </w:r>
      <w:r w:rsidRPr="00B17C89">
        <w:rPr>
          <w:lang w:val="en-GB"/>
        </w:rPr>
        <w:t xml:space="preserve">assessment </w:t>
      </w:r>
      <w:r w:rsidR="0013592D">
        <w:rPr>
          <w:lang w:val="en-GB"/>
        </w:rPr>
        <w:t>for scenarios triggered by the</w:t>
      </w:r>
      <w:r w:rsidRPr="00B17C89">
        <w:rPr>
          <w:lang w:val="en-GB"/>
        </w:rPr>
        <w:t xml:space="preserve"> equipment deterioration</w:t>
      </w:r>
      <w:r w:rsidR="002F767D">
        <w:rPr>
          <w:lang w:val="en-GB"/>
        </w:rPr>
        <w:t>, but the d</w:t>
      </w:r>
      <w:r w:rsidR="002F767D" w:rsidRPr="00C1363C">
        <w:rPr>
          <w:lang w:val="en-GB"/>
        </w:rPr>
        <w:t>ynamism is here intended as a last-minute update</w:t>
      </w:r>
      <w:r w:rsidR="002F767D">
        <w:rPr>
          <w:lang w:val="en-GB"/>
        </w:rPr>
        <w:t xml:space="preserve"> that integrate</w:t>
      </w:r>
      <w:r w:rsidR="00FE54FE">
        <w:rPr>
          <w:lang w:val="en-GB"/>
        </w:rPr>
        <w:t>s</w:t>
      </w:r>
      <w:r w:rsidR="002F767D">
        <w:rPr>
          <w:lang w:val="en-GB"/>
        </w:rPr>
        <w:t xml:space="preserve"> some evidenced changes</w:t>
      </w:r>
      <w:r w:rsidR="00D46417">
        <w:rPr>
          <w:lang w:val="en-GB"/>
        </w:rPr>
        <w:t xml:space="preserve"> inside the establishment </w:t>
      </w:r>
      <w:r w:rsidR="00FE54FE">
        <w:rPr>
          <w:lang w:val="en-GB"/>
        </w:rPr>
        <w:t>causing the</w:t>
      </w:r>
      <w:r w:rsidR="0013592D">
        <w:rPr>
          <w:lang w:val="en-GB"/>
        </w:rPr>
        <w:t xml:space="preserve"> modification</w:t>
      </w:r>
      <w:r w:rsidR="00D46417">
        <w:rPr>
          <w:lang w:val="en-GB"/>
        </w:rPr>
        <w:t xml:space="preserve"> of the risk level</w:t>
      </w:r>
      <w:r w:rsidR="002F767D" w:rsidRPr="00A755C0">
        <w:rPr>
          <w:lang w:val="en-GB"/>
        </w:rPr>
        <w:t xml:space="preserve">. </w:t>
      </w:r>
      <w:r w:rsidRPr="00B17C89">
        <w:rPr>
          <w:lang w:val="en-GB"/>
        </w:rPr>
        <w:t xml:space="preserve">Current standards and practices support the management of the equipment integrity by addressing time-based or risk-based inspection schedules and the use of guidelines to operate equipment in conditions that allow for a tolerable deterioration rate. The adoption of the RBI (risk-based inspection) </w:t>
      </w:r>
      <w:r w:rsidRPr="0019214C">
        <w:rPr>
          <w:lang w:val="en-GB"/>
        </w:rPr>
        <w:t>approach (API, 2016</w:t>
      </w:r>
      <w:r>
        <w:rPr>
          <w:lang w:val="en-GB"/>
        </w:rPr>
        <w:t>a</w:t>
      </w:r>
      <w:r w:rsidRPr="0019214C">
        <w:rPr>
          <w:lang w:val="en-GB"/>
        </w:rPr>
        <w:t>) and the creation of Integrity Operating Windows (IOW) (API, 2014) support a rigorous</w:t>
      </w:r>
      <w:r w:rsidRPr="00B17C89">
        <w:rPr>
          <w:lang w:val="en-GB"/>
        </w:rPr>
        <w:t xml:space="preserve"> integrity management program </w:t>
      </w:r>
      <w:proofErr w:type="gramStart"/>
      <w:r w:rsidRPr="00B17C89">
        <w:rPr>
          <w:lang w:val="en-GB"/>
        </w:rPr>
        <w:t>and also</w:t>
      </w:r>
      <w:proofErr w:type="gramEnd"/>
      <w:r w:rsidRPr="00B17C89">
        <w:rPr>
          <w:lang w:val="en-GB"/>
        </w:rPr>
        <w:t xml:space="preserve"> the handling of possible changes/deviations in the process. </w:t>
      </w:r>
      <w:bookmarkEnd w:id="2"/>
      <w:r w:rsidR="007D4EBF">
        <w:rPr>
          <w:lang w:val="en-GB"/>
        </w:rPr>
        <w:t xml:space="preserve">This work </w:t>
      </w:r>
      <w:r w:rsidR="00FE54FE">
        <w:rPr>
          <w:lang w:val="en-GB"/>
        </w:rPr>
        <w:t xml:space="preserve">focuses on </w:t>
      </w:r>
      <w:r w:rsidR="007D4EBF">
        <w:rPr>
          <w:lang w:val="en-GB"/>
        </w:rPr>
        <w:t>generic probabilities</w:t>
      </w:r>
      <w:r w:rsidR="00F23187">
        <w:rPr>
          <w:lang w:val="en-GB"/>
        </w:rPr>
        <w:t xml:space="preserve"> to be used in risk assessment</w:t>
      </w:r>
      <w:r w:rsidR="007D4EBF">
        <w:rPr>
          <w:lang w:val="en-GB"/>
        </w:rPr>
        <w:t>, these</w:t>
      </w:r>
      <w:r w:rsidR="007D4EBF" w:rsidRPr="00BB45AD">
        <w:rPr>
          <w:lang w:val="en-GB"/>
        </w:rPr>
        <w:t xml:space="preserve"> are publicly available</w:t>
      </w:r>
      <w:r w:rsidR="007D4EBF">
        <w:rPr>
          <w:lang w:val="en-GB"/>
        </w:rPr>
        <w:t xml:space="preserve"> </w:t>
      </w:r>
      <w:r w:rsidR="0013592D">
        <w:rPr>
          <w:lang w:val="en-GB"/>
        </w:rPr>
        <w:t xml:space="preserve">in open-access databases </w:t>
      </w:r>
      <w:r w:rsidR="007D4EBF">
        <w:rPr>
          <w:lang w:val="en-GB"/>
        </w:rPr>
        <w:t xml:space="preserve">but </w:t>
      </w:r>
      <w:r>
        <w:rPr>
          <w:lang w:val="en-GB"/>
        </w:rPr>
        <w:t xml:space="preserve">are </w:t>
      </w:r>
      <w:r w:rsidRPr="00BB45AD">
        <w:rPr>
          <w:lang w:val="en-GB"/>
        </w:rPr>
        <w:t>no</w:t>
      </w:r>
      <w:r>
        <w:rPr>
          <w:lang w:val="en-GB"/>
        </w:rPr>
        <w:t>t plant</w:t>
      </w:r>
      <w:r w:rsidRPr="00BB45AD">
        <w:rPr>
          <w:lang w:val="en-GB"/>
        </w:rPr>
        <w:t>-specific</w:t>
      </w:r>
      <w:r>
        <w:rPr>
          <w:lang w:val="en-GB"/>
        </w:rPr>
        <w:t xml:space="preserve">, on the other hand </w:t>
      </w:r>
      <w:r w:rsidRPr="005303A1">
        <w:rPr>
          <w:lang w:val="en-GB"/>
        </w:rPr>
        <w:t xml:space="preserve">plant specific data </w:t>
      </w:r>
      <w:r w:rsidR="007D4EBF">
        <w:rPr>
          <w:lang w:val="en-GB"/>
        </w:rPr>
        <w:t>could sometimes be</w:t>
      </w:r>
      <w:r w:rsidRPr="005303A1">
        <w:rPr>
          <w:lang w:val="en-GB"/>
        </w:rPr>
        <w:t xml:space="preserve"> statistically invalid</w:t>
      </w:r>
      <w:r>
        <w:rPr>
          <w:lang w:val="en-GB"/>
        </w:rPr>
        <w:t xml:space="preserve"> </w:t>
      </w:r>
      <w:r w:rsidRPr="005303A1">
        <w:rPr>
          <w:lang w:val="en-GB"/>
        </w:rPr>
        <w:t>due to a short duration of data collection or</w:t>
      </w:r>
      <w:r w:rsidR="007D4EBF">
        <w:rPr>
          <w:lang w:val="en-GB"/>
        </w:rPr>
        <w:t xml:space="preserve"> to a</w:t>
      </w:r>
      <w:r w:rsidRPr="005303A1">
        <w:rPr>
          <w:lang w:val="en-GB"/>
        </w:rPr>
        <w:t xml:space="preserve"> limited population</w:t>
      </w:r>
      <w:r>
        <w:rPr>
          <w:lang w:val="en-GB"/>
        </w:rPr>
        <w:t xml:space="preserve"> </w:t>
      </w:r>
      <w:r w:rsidRPr="005303A1">
        <w:rPr>
          <w:lang w:val="en-GB"/>
        </w:rPr>
        <w:t>of equipment</w:t>
      </w:r>
      <w:r>
        <w:rPr>
          <w:lang w:val="en-GB"/>
        </w:rPr>
        <w:t xml:space="preserve"> (</w:t>
      </w:r>
      <w:proofErr w:type="spellStart"/>
      <w:r>
        <w:rPr>
          <w:lang w:val="en-GB"/>
        </w:rPr>
        <w:t>Shafaghi</w:t>
      </w:r>
      <w:proofErr w:type="spellEnd"/>
      <w:r>
        <w:rPr>
          <w:lang w:val="en-GB"/>
        </w:rPr>
        <w:t>, 2008).</w:t>
      </w:r>
      <w:r w:rsidR="00FE54FE">
        <w:rPr>
          <w:lang w:val="en-GB"/>
        </w:rPr>
        <w:t xml:space="preserve"> In the current practice in major hazard establishments, the generic failure rates, are still used to comply with the requirements of Seveso Legislation</w:t>
      </w:r>
      <w:r w:rsidR="00F23187">
        <w:rPr>
          <w:lang w:val="en-GB"/>
        </w:rPr>
        <w:t xml:space="preserve"> but,</w:t>
      </w:r>
      <w:r w:rsidR="00FE54FE">
        <w:rPr>
          <w:lang w:val="en-GB"/>
        </w:rPr>
        <w:t xml:space="preserve"> </w:t>
      </w:r>
      <w:r w:rsidR="00F23187">
        <w:rPr>
          <w:lang w:val="en-GB"/>
        </w:rPr>
        <w:t>s</w:t>
      </w:r>
      <w:r w:rsidR="00FE54FE">
        <w:rPr>
          <w:lang w:val="en-GB"/>
        </w:rPr>
        <w:t>ince a decade, these have been considered misleading (</w:t>
      </w:r>
      <w:proofErr w:type="spellStart"/>
      <w:r w:rsidR="00FE54FE">
        <w:rPr>
          <w:lang w:val="en-GB"/>
        </w:rPr>
        <w:t>Bragatto</w:t>
      </w:r>
      <w:proofErr w:type="spellEnd"/>
      <w:r w:rsidR="00FE54FE">
        <w:rPr>
          <w:lang w:val="en-GB"/>
        </w:rPr>
        <w:t xml:space="preserve"> et al., 2013) and, for this reason, are corrected by means of </w:t>
      </w:r>
      <w:r w:rsidR="00FE54FE" w:rsidRPr="004A5E1B">
        <w:rPr>
          <w:lang w:val="en-GB"/>
        </w:rPr>
        <w:t xml:space="preserve">data </w:t>
      </w:r>
      <w:r w:rsidR="00FE54FE">
        <w:rPr>
          <w:lang w:val="en-GB"/>
        </w:rPr>
        <w:t>re</w:t>
      </w:r>
      <w:r w:rsidR="0013592D">
        <w:rPr>
          <w:lang w:val="en-GB"/>
        </w:rPr>
        <w:t>lated</w:t>
      </w:r>
      <w:r w:rsidR="00FE54FE">
        <w:rPr>
          <w:lang w:val="en-GB"/>
        </w:rPr>
        <w:t xml:space="preserve"> to </w:t>
      </w:r>
      <w:r w:rsidR="00FE54FE" w:rsidRPr="004A5E1B">
        <w:rPr>
          <w:lang w:val="en-GB"/>
        </w:rPr>
        <w:t xml:space="preserve">the specific context including </w:t>
      </w:r>
      <w:r w:rsidR="00FE54FE">
        <w:rPr>
          <w:lang w:val="en-GB"/>
        </w:rPr>
        <w:t xml:space="preserve">the actual </w:t>
      </w:r>
      <w:r w:rsidR="00FE54FE" w:rsidRPr="004A5E1B">
        <w:rPr>
          <w:lang w:val="en-GB"/>
        </w:rPr>
        <w:t>damage mechanisms and</w:t>
      </w:r>
      <w:r w:rsidR="00FE54FE">
        <w:rPr>
          <w:lang w:val="en-GB"/>
        </w:rPr>
        <w:t xml:space="preserve"> the operational experience. </w:t>
      </w:r>
      <w:r w:rsidR="00FE54FE" w:rsidRPr="004A5E1B">
        <w:rPr>
          <w:lang w:val="en-GB"/>
        </w:rPr>
        <w:t xml:space="preserve">This inevitably leads to </w:t>
      </w:r>
      <w:r w:rsidR="00FE54FE">
        <w:rPr>
          <w:lang w:val="en-GB"/>
        </w:rPr>
        <w:t>the application of</w:t>
      </w:r>
      <w:r w:rsidR="00FE54FE" w:rsidRPr="004A5E1B">
        <w:rPr>
          <w:lang w:val="en-GB"/>
        </w:rPr>
        <w:t xml:space="preserve"> a more dynamic approach </w:t>
      </w:r>
      <w:r w:rsidR="00FE54FE">
        <w:rPr>
          <w:lang w:val="en-GB"/>
        </w:rPr>
        <w:t>for the</w:t>
      </w:r>
      <w:r w:rsidR="00FE54FE" w:rsidRPr="004A5E1B">
        <w:rPr>
          <w:lang w:val="en-GB"/>
        </w:rPr>
        <w:t xml:space="preserve"> risk analysis</w:t>
      </w:r>
      <w:r w:rsidR="00FE54FE">
        <w:rPr>
          <w:lang w:val="en-GB"/>
        </w:rPr>
        <w:t>.</w:t>
      </w:r>
    </w:p>
    <w:p w14:paraId="6B20DB90" w14:textId="3EC0FAA9" w:rsidR="00A22898" w:rsidRPr="00B17C89" w:rsidRDefault="00634211" w:rsidP="00A22898">
      <w:pPr>
        <w:pStyle w:val="CETBodytext"/>
        <w:rPr>
          <w:lang w:val="en-GB"/>
        </w:rPr>
      </w:pPr>
      <w:r>
        <w:rPr>
          <w:lang w:val="en-GB"/>
        </w:rPr>
        <w:t>The proposed</w:t>
      </w:r>
      <w:r w:rsidR="00A22898">
        <w:rPr>
          <w:lang w:val="en-GB"/>
        </w:rPr>
        <w:t xml:space="preserve"> approach for the</w:t>
      </w:r>
      <w:r w:rsidR="00A22898" w:rsidRPr="00B17C89">
        <w:rPr>
          <w:lang w:val="en-GB"/>
        </w:rPr>
        <w:t xml:space="preserve"> quantification of the probability of release due to equipment deterioration </w:t>
      </w:r>
      <w:r w:rsidR="00C57C51">
        <w:rPr>
          <w:lang w:val="en-GB"/>
        </w:rPr>
        <w:t xml:space="preserve">makes use of </w:t>
      </w:r>
      <w:r w:rsidR="00A22898">
        <w:rPr>
          <w:lang w:val="en-GB"/>
        </w:rPr>
        <w:t>a</w:t>
      </w:r>
      <w:r w:rsidR="00A22898" w:rsidRPr="00B17C89">
        <w:rPr>
          <w:lang w:val="en-GB"/>
        </w:rPr>
        <w:t xml:space="preserve"> Fault Trees Analys</w:t>
      </w:r>
      <w:r w:rsidR="00A22898">
        <w:rPr>
          <w:lang w:val="en-GB"/>
        </w:rPr>
        <w:t>i</w:t>
      </w:r>
      <w:r w:rsidR="00A22898" w:rsidRPr="00B17C89">
        <w:rPr>
          <w:lang w:val="en-GB"/>
        </w:rPr>
        <w:t>s (FTA</w:t>
      </w:r>
      <w:r w:rsidR="00A22898">
        <w:rPr>
          <w:lang w:val="en-GB"/>
        </w:rPr>
        <w:t>) integrating further</w:t>
      </w:r>
      <w:r w:rsidR="00A22898" w:rsidRPr="00B17C89">
        <w:rPr>
          <w:lang w:val="en-GB"/>
        </w:rPr>
        <w:t xml:space="preserve"> branches related to the investigation of the causes of release due to the damage mechanisms affecting the equipment. </w:t>
      </w:r>
      <w:r w:rsidR="00A22898" w:rsidRPr="005303A1">
        <w:rPr>
          <w:lang w:val="en-GB"/>
        </w:rPr>
        <w:t xml:space="preserve">The Bayes </w:t>
      </w:r>
      <w:r w:rsidR="008C27EC">
        <w:rPr>
          <w:lang w:val="en-GB"/>
        </w:rPr>
        <w:t>approach</w:t>
      </w:r>
      <w:r w:rsidR="00A22898">
        <w:rPr>
          <w:lang w:val="en-GB"/>
        </w:rPr>
        <w:t xml:space="preserve"> is used to update </w:t>
      </w:r>
      <w:r w:rsidR="0013592D">
        <w:rPr>
          <w:lang w:val="en-GB"/>
        </w:rPr>
        <w:t xml:space="preserve">the </w:t>
      </w:r>
      <w:r w:rsidR="00A22898">
        <w:rPr>
          <w:lang w:val="en-GB"/>
        </w:rPr>
        <w:t>probability by using incident and near-miss reports</w:t>
      </w:r>
      <w:r w:rsidR="0051760F">
        <w:rPr>
          <w:lang w:val="en-GB"/>
        </w:rPr>
        <w:t xml:space="preserve"> collected inside the establishment</w:t>
      </w:r>
      <w:r w:rsidR="00A22898">
        <w:rPr>
          <w:lang w:val="en-GB"/>
        </w:rPr>
        <w:t xml:space="preserve">. </w:t>
      </w:r>
      <w:r w:rsidR="00A22898" w:rsidRPr="00B17C89">
        <w:rPr>
          <w:lang w:val="en-GB"/>
        </w:rPr>
        <w:t>The paper is structured in the following sections: Section 2 describe</w:t>
      </w:r>
      <w:r w:rsidR="002F1540">
        <w:rPr>
          <w:lang w:val="en-GB"/>
        </w:rPr>
        <w:t>s</w:t>
      </w:r>
      <w:r w:rsidR="00A22898" w:rsidRPr="00B17C89">
        <w:rPr>
          <w:lang w:val="en-GB"/>
        </w:rPr>
        <w:t xml:space="preserve"> the approach proposed for the dynamic quantification of the probability of release due to equipment deterioration; Section 3 presents the case study used for the validation of the approach; Section 4 presents the results of the study; and Section 5 provides the conclusion and describes future perspectives.</w:t>
      </w:r>
    </w:p>
    <w:p w14:paraId="6694023F" w14:textId="77777777" w:rsidR="0051760F" w:rsidRPr="00B17C89" w:rsidRDefault="0051760F" w:rsidP="0051760F">
      <w:pPr>
        <w:pStyle w:val="CETHeading1"/>
        <w:tabs>
          <w:tab w:val="clear" w:pos="360"/>
        </w:tabs>
        <w:rPr>
          <w:lang w:val="en-GB"/>
        </w:rPr>
      </w:pPr>
      <w:r>
        <w:rPr>
          <w:lang w:val="en-GB"/>
        </w:rPr>
        <w:t>D</w:t>
      </w:r>
      <w:r w:rsidRPr="009B6504">
        <w:rPr>
          <w:lang w:val="en-GB"/>
        </w:rPr>
        <w:t xml:space="preserve">ynamic quantification of the probability of release due to </w:t>
      </w:r>
      <w:r>
        <w:rPr>
          <w:lang w:val="en-GB"/>
        </w:rPr>
        <w:t xml:space="preserve">equipment </w:t>
      </w:r>
      <w:r w:rsidRPr="009B6504">
        <w:rPr>
          <w:lang w:val="en-GB"/>
        </w:rPr>
        <w:t>deterioration</w:t>
      </w:r>
    </w:p>
    <w:p w14:paraId="57270A1F" w14:textId="7A71151E" w:rsidR="002C6CCD" w:rsidRPr="002C6CCD" w:rsidRDefault="0051760F" w:rsidP="002C6CCD">
      <w:pPr>
        <w:pStyle w:val="CETBodytext"/>
        <w:rPr>
          <w:lang w:val="en-GB"/>
        </w:rPr>
      </w:pPr>
      <w:r>
        <w:rPr>
          <w:lang w:val="en-GB"/>
        </w:rPr>
        <w:t xml:space="preserve">The proposed dynamic </w:t>
      </w:r>
      <w:r w:rsidRPr="00066C25">
        <w:rPr>
          <w:lang w:val="en-GB"/>
        </w:rPr>
        <w:t xml:space="preserve">approach </w:t>
      </w:r>
      <w:r>
        <w:rPr>
          <w:lang w:val="en-GB"/>
        </w:rPr>
        <w:t xml:space="preserve">is </w:t>
      </w:r>
      <w:r w:rsidRPr="00066C25">
        <w:rPr>
          <w:lang w:val="en-GB"/>
        </w:rPr>
        <w:t xml:space="preserve">based on </w:t>
      </w:r>
      <w:r>
        <w:rPr>
          <w:lang w:val="en-GB"/>
        </w:rPr>
        <w:t>a</w:t>
      </w:r>
      <w:r w:rsidR="00E05D37">
        <w:rPr>
          <w:lang w:val="en-GB"/>
        </w:rPr>
        <w:t>n</w:t>
      </w:r>
      <w:r w:rsidRPr="00066C25">
        <w:rPr>
          <w:lang w:val="en-GB"/>
        </w:rPr>
        <w:t xml:space="preserve"> FTA</w:t>
      </w:r>
      <w:r>
        <w:rPr>
          <w:lang w:val="en-GB"/>
        </w:rPr>
        <w:t>,</w:t>
      </w:r>
      <w:r w:rsidRPr="00066C25">
        <w:rPr>
          <w:lang w:val="en-GB"/>
        </w:rPr>
        <w:t xml:space="preserve"> which integrates additional branches related to the investigation of the causes of release due to the damage mechanisms affecting the equipment. </w:t>
      </w:r>
      <w:r>
        <w:rPr>
          <w:lang w:val="en-GB"/>
        </w:rPr>
        <w:t>Then, t</w:t>
      </w:r>
      <w:r w:rsidRPr="005303A1">
        <w:rPr>
          <w:lang w:val="en-GB"/>
        </w:rPr>
        <w:t xml:space="preserve">he Bayes </w:t>
      </w:r>
      <w:r w:rsidR="00C57C51">
        <w:rPr>
          <w:lang w:val="en-GB"/>
        </w:rPr>
        <w:t xml:space="preserve">formula </w:t>
      </w:r>
      <w:r>
        <w:rPr>
          <w:lang w:val="en-GB"/>
        </w:rPr>
        <w:t>is used to update</w:t>
      </w:r>
      <w:r w:rsidR="007B0D61">
        <w:rPr>
          <w:lang w:val="en-GB"/>
        </w:rPr>
        <w:t xml:space="preserve"> the</w:t>
      </w:r>
      <w:r>
        <w:rPr>
          <w:lang w:val="en-GB"/>
        </w:rPr>
        <w:t xml:space="preserve"> probability of </w:t>
      </w:r>
      <w:r w:rsidR="007B0D61">
        <w:rPr>
          <w:lang w:val="en-GB"/>
        </w:rPr>
        <w:t>release</w:t>
      </w:r>
      <w:r>
        <w:rPr>
          <w:lang w:val="en-GB"/>
        </w:rPr>
        <w:t xml:space="preserve"> by </w:t>
      </w:r>
      <w:r w:rsidR="00C57C51">
        <w:rPr>
          <w:lang w:val="en-GB"/>
        </w:rPr>
        <w:t xml:space="preserve">integrating </w:t>
      </w:r>
      <w:r>
        <w:rPr>
          <w:lang w:val="en-GB"/>
        </w:rPr>
        <w:t>incident and near-miss reports collected inside the establishment.</w:t>
      </w:r>
      <w:r w:rsidR="007B0D61">
        <w:rPr>
          <w:lang w:val="en-GB"/>
        </w:rPr>
        <w:t xml:space="preserve"> </w:t>
      </w:r>
      <w:r w:rsidR="002C6CCD" w:rsidRPr="002C6CCD">
        <w:rPr>
          <w:lang w:val="en-GB"/>
        </w:rPr>
        <w:t>It should be observed that the probabilities</w:t>
      </w:r>
      <w:r w:rsidR="002C6CCD">
        <w:rPr>
          <w:lang w:val="en-GB"/>
        </w:rPr>
        <w:t>,</w:t>
      </w:r>
      <w:r w:rsidR="002C6CCD" w:rsidRPr="002C6CCD">
        <w:rPr>
          <w:lang w:val="en-GB"/>
        </w:rPr>
        <w:t xml:space="preserve"> used </w:t>
      </w:r>
      <w:r w:rsidR="002C6CCD">
        <w:rPr>
          <w:lang w:val="en-GB"/>
        </w:rPr>
        <w:t xml:space="preserve">in risk assessment, </w:t>
      </w:r>
      <w:r w:rsidR="002C6CCD" w:rsidRPr="002C6CCD">
        <w:rPr>
          <w:lang w:val="en-GB"/>
        </w:rPr>
        <w:t xml:space="preserve">are </w:t>
      </w:r>
      <w:r w:rsidR="007B0D61" w:rsidRPr="002C6CCD">
        <w:rPr>
          <w:lang w:val="en-GB"/>
        </w:rPr>
        <w:t>commonly</w:t>
      </w:r>
      <w:r w:rsidR="002C6CCD" w:rsidRPr="002C6CCD">
        <w:rPr>
          <w:lang w:val="en-GB"/>
        </w:rPr>
        <w:t xml:space="preserve"> obtained from</w:t>
      </w:r>
      <w:r w:rsidR="007B0D61">
        <w:rPr>
          <w:lang w:val="en-GB"/>
        </w:rPr>
        <w:t xml:space="preserve"> the</w:t>
      </w:r>
      <w:r w:rsidR="002C6CCD" w:rsidRPr="002C6CCD">
        <w:rPr>
          <w:lang w:val="en-GB"/>
        </w:rPr>
        <w:t xml:space="preserve"> literature</w:t>
      </w:r>
      <w:r w:rsidR="002C6CCD">
        <w:rPr>
          <w:lang w:val="en-GB"/>
        </w:rPr>
        <w:t>. T</w:t>
      </w:r>
      <w:r w:rsidR="002C6CCD" w:rsidRPr="002C6CCD">
        <w:rPr>
          <w:lang w:val="en-GB"/>
        </w:rPr>
        <w:t>he</w:t>
      </w:r>
      <w:r w:rsidR="002C6CCD">
        <w:rPr>
          <w:lang w:val="en-GB"/>
        </w:rPr>
        <w:t>se</w:t>
      </w:r>
      <w:r w:rsidR="002C6CCD" w:rsidRPr="002C6CCD">
        <w:rPr>
          <w:lang w:val="en-GB"/>
        </w:rPr>
        <w:t xml:space="preserve"> are modified </w:t>
      </w:r>
      <w:r w:rsidR="002C6CCD">
        <w:rPr>
          <w:lang w:val="en-GB"/>
        </w:rPr>
        <w:t>by means of</w:t>
      </w:r>
      <w:r w:rsidR="002C6CCD" w:rsidRPr="002C6CCD">
        <w:rPr>
          <w:lang w:val="en-GB"/>
        </w:rPr>
        <w:t xml:space="preserve"> factors that </w:t>
      </w:r>
      <w:proofErr w:type="gramStart"/>
      <w:r w:rsidR="002C6CCD" w:rsidRPr="002C6CCD">
        <w:rPr>
          <w:lang w:val="en-GB"/>
        </w:rPr>
        <w:t>take into account</w:t>
      </w:r>
      <w:proofErr w:type="gramEnd"/>
      <w:r w:rsidR="002C6CCD" w:rsidRPr="002C6CCD">
        <w:rPr>
          <w:lang w:val="en-GB"/>
        </w:rPr>
        <w:t xml:space="preserve"> the </w:t>
      </w:r>
      <w:r w:rsidR="00C57C51">
        <w:rPr>
          <w:lang w:val="en-GB"/>
        </w:rPr>
        <w:t xml:space="preserve">complexity of the system, the </w:t>
      </w:r>
      <w:r w:rsidR="002C6CCD" w:rsidRPr="002C6CCD">
        <w:rPr>
          <w:lang w:val="en-GB"/>
        </w:rPr>
        <w:t xml:space="preserve">damage </w:t>
      </w:r>
      <w:r w:rsidR="002C6CCD">
        <w:rPr>
          <w:lang w:val="en-GB"/>
        </w:rPr>
        <w:t xml:space="preserve">mechanisms (damage </w:t>
      </w:r>
      <w:r w:rsidR="002C6CCD" w:rsidRPr="002C6CCD">
        <w:rPr>
          <w:lang w:val="en-GB"/>
        </w:rPr>
        <w:t>factor</w:t>
      </w:r>
      <w:r w:rsidR="002C6CCD">
        <w:rPr>
          <w:lang w:val="en-GB"/>
        </w:rPr>
        <w:t>)</w:t>
      </w:r>
      <w:r w:rsidR="002C6CCD" w:rsidRPr="002C6CCD">
        <w:rPr>
          <w:lang w:val="en-GB"/>
        </w:rPr>
        <w:t xml:space="preserve"> and the safety management system adopted in the company (management factor). The updat</w:t>
      </w:r>
      <w:r w:rsidR="002C6CCD">
        <w:rPr>
          <w:lang w:val="en-GB"/>
        </w:rPr>
        <w:t>ing</w:t>
      </w:r>
      <w:r w:rsidR="002C6CCD" w:rsidRPr="002C6CCD">
        <w:rPr>
          <w:lang w:val="en-GB"/>
        </w:rPr>
        <w:t xml:space="preserve"> is still applied on the basic probabilities </w:t>
      </w:r>
      <w:proofErr w:type="gramStart"/>
      <w:r w:rsidR="002C6CCD" w:rsidRPr="002C6CCD">
        <w:rPr>
          <w:lang w:val="en-GB"/>
        </w:rPr>
        <w:t>in order to</w:t>
      </w:r>
      <w:proofErr w:type="gramEnd"/>
      <w:r w:rsidR="002C6CCD" w:rsidRPr="002C6CCD">
        <w:rPr>
          <w:lang w:val="en-GB"/>
        </w:rPr>
        <w:t xml:space="preserve"> </w:t>
      </w:r>
      <w:r w:rsidR="002C6CCD">
        <w:rPr>
          <w:lang w:val="en-GB"/>
        </w:rPr>
        <w:t xml:space="preserve">be </w:t>
      </w:r>
      <w:r w:rsidR="002C6CCD" w:rsidRPr="002C6CCD">
        <w:rPr>
          <w:lang w:val="en-GB"/>
        </w:rPr>
        <w:t>always reflect</w:t>
      </w:r>
      <w:r w:rsidR="002C6CCD">
        <w:rPr>
          <w:lang w:val="en-GB"/>
        </w:rPr>
        <w:t>ed</w:t>
      </w:r>
      <w:r w:rsidR="002C6CCD" w:rsidRPr="002C6CCD">
        <w:rPr>
          <w:lang w:val="en-GB"/>
        </w:rPr>
        <w:t xml:space="preserve"> on the </w:t>
      </w:r>
      <w:r w:rsidR="002C6CCD">
        <w:rPr>
          <w:lang w:val="en-GB"/>
        </w:rPr>
        <w:t xml:space="preserve">final </w:t>
      </w:r>
      <w:r w:rsidR="002C6CCD" w:rsidRPr="002C6CCD">
        <w:rPr>
          <w:lang w:val="en-GB"/>
        </w:rPr>
        <w:t>probabilities of release</w:t>
      </w:r>
      <w:r w:rsidR="00C57C51">
        <w:rPr>
          <w:lang w:val="en-GB"/>
        </w:rPr>
        <w:t xml:space="preserve"> scenarios</w:t>
      </w:r>
      <w:r w:rsidR="002C6CCD">
        <w:rPr>
          <w:lang w:val="en-GB"/>
        </w:rPr>
        <w:t>.</w:t>
      </w:r>
    </w:p>
    <w:p w14:paraId="0FBC1BEF" w14:textId="5F442AD0" w:rsidR="0051760F" w:rsidRPr="00745B2A" w:rsidRDefault="0051760F" w:rsidP="001E59EB">
      <w:pPr>
        <w:pStyle w:val="CETheadingx"/>
      </w:pPr>
      <w:r>
        <w:t>Bayes updating</w:t>
      </w:r>
      <w:r w:rsidR="00C57C51">
        <w:t xml:space="preserve"> methodology</w:t>
      </w:r>
    </w:p>
    <w:p w14:paraId="3E885D0B" w14:textId="6193A1F2" w:rsidR="0051760F" w:rsidRDefault="0051760F" w:rsidP="0051760F">
      <w:pPr>
        <w:pStyle w:val="CETBodytext"/>
        <w:rPr>
          <w:lang w:val="en-GB"/>
        </w:rPr>
      </w:pPr>
      <w:r w:rsidRPr="00571150">
        <w:rPr>
          <w:lang w:val="en-GB"/>
        </w:rPr>
        <w:t xml:space="preserve">The </w:t>
      </w:r>
      <w:r>
        <w:rPr>
          <w:lang w:val="en-GB"/>
        </w:rPr>
        <w:t>Bayes updating methodology</w:t>
      </w:r>
      <w:r w:rsidRPr="00571150">
        <w:rPr>
          <w:lang w:val="en-GB"/>
        </w:rPr>
        <w:t xml:space="preserve"> assign</w:t>
      </w:r>
      <w:r>
        <w:rPr>
          <w:lang w:val="en-GB"/>
        </w:rPr>
        <w:t>s</w:t>
      </w:r>
      <w:r w:rsidRPr="00571150">
        <w:rPr>
          <w:lang w:val="en-GB"/>
        </w:rPr>
        <w:t xml:space="preserve"> </w:t>
      </w:r>
      <w:r>
        <w:rPr>
          <w:lang w:val="en-GB"/>
        </w:rPr>
        <w:t xml:space="preserve">updated </w:t>
      </w:r>
      <w:r w:rsidRPr="00571150">
        <w:rPr>
          <w:lang w:val="en-GB"/>
        </w:rPr>
        <w:t xml:space="preserve">probabilities to </w:t>
      </w:r>
      <w:r>
        <w:rPr>
          <w:lang w:val="en-GB"/>
        </w:rPr>
        <w:t xml:space="preserve">the scenarios by </w:t>
      </w:r>
      <w:r w:rsidRPr="00571150">
        <w:rPr>
          <w:lang w:val="en-GB"/>
        </w:rPr>
        <w:t>combining</w:t>
      </w:r>
      <w:r>
        <w:rPr>
          <w:lang w:val="en-GB"/>
        </w:rPr>
        <w:t xml:space="preserve"> </w:t>
      </w:r>
      <w:r w:rsidRPr="00571150">
        <w:rPr>
          <w:lang w:val="en-GB"/>
        </w:rPr>
        <w:t>prior judgment</w:t>
      </w:r>
      <w:r w:rsidR="00773673">
        <w:rPr>
          <w:lang w:val="en-GB"/>
        </w:rPr>
        <w:t>s</w:t>
      </w:r>
      <w:r w:rsidRPr="00571150">
        <w:rPr>
          <w:lang w:val="en-GB"/>
        </w:rPr>
        <w:t xml:space="preserve"> and </w:t>
      </w:r>
      <w:proofErr w:type="gramStart"/>
      <w:r>
        <w:rPr>
          <w:lang w:val="en-GB"/>
        </w:rPr>
        <w:t>evidences</w:t>
      </w:r>
      <w:proofErr w:type="gramEnd"/>
      <w:r>
        <w:rPr>
          <w:lang w:val="en-GB"/>
        </w:rPr>
        <w:t xml:space="preserve"> collected inside the establishment (</w:t>
      </w:r>
      <w:proofErr w:type="spellStart"/>
      <w:r>
        <w:rPr>
          <w:lang w:val="en-GB"/>
        </w:rPr>
        <w:t>Shafaghi</w:t>
      </w:r>
      <w:proofErr w:type="spellEnd"/>
      <w:r>
        <w:rPr>
          <w:lang w:val="en-GB"/>
        </w:rPr>
        <w:t xml:space="preserve">, 2008). The </w:t>
      </w:r>
      <w:r w:rsidR="00773673">
        <w:rPr>
          <w:lang w:val="en-GB"/>
        </w:rPr>
        <w:t xml:space="preserve">method is </w:t>
      </w:r>
      <w:r>
        <w:rPr>
          <w:lang w:val="en-GB"/>
        </w:rPr>
        <w:t xml:space="preserve">articulated in the following </w:t>
      </w:r>
      <w:r w:rsidRPr="00571150">
        <w:rPr>
          <w:lang w:val="en-GB"/>
        </w:rPr>
        <w:t xml:space="preserve">three </w:t>
      </w:r>
      <w:r>
        <w:rPr>
          <w:lang w:val="en-GB"/>
        </w:rPr>
        <w:t>steps</w:t>
      </w:r>
      <w:r w:rsidRPr="00571150">
        <w:rPr>
          <w:lang w:val="en-GB"/>
        </w:rPr>
        <w:t>:</w:t>
      </w:r>
    </w:p>
    <w:p w14:paraId="106631D6" w14:textId="77777777" w:rsidR="0051760F" w:rsidRPr="00A9418A" w:rsidRDefault="0051760F" w:rsidP="0051760F">
      <w:pPr>
        <w:pStyle w:val="CETBodytext"/>
        <w:numPr>
          <w:ilvl w:val="0"/>
          <w:numId w:val="22"/>
        </w:numPr>
        <w:rPr>
          <w:lang w:val="en-GB"/>
        </w:rPr>
      </w:pPr>
      <w:r w:rsidRPr="00A9418A">
        <w:rPr>
          <w:lang w:val="en-GB"/>
        </w:rPr>
        <w:t>Defin</w:t>
      </w:r>
      <w:r>
        <w:rPr>
          <w:lang w:val="en-GB"/>
        </w:rPr>
        <w:t>ition of</w:t>
      </w:r>
      <w:r w:rsidRPr="00A9418A">
        <w:rPr>
          <w:lang w:val="en-GB"/>
        </w:rPr>
        <w:t xml:space="preserve"> a prior distribution for the equipment </w:t>
      </w:r>
      <w:proofErr w:type="gramStart"/>
      <w:r>
        <w:rPr>
          <w:lang w:val="en-GB"/>
        </w:rPr>
        <w:t>probability;</w:t>
      </w:r>
      <w:proofErr w:type="gramEnd"/>
    </w:p>
    <w:p w14:paraId="3B92931E" w14:textId="77777777" w:rsidR="0051760F" w:rsidRPr="00A9418A" w:rsidRDefault="0051760F" w:rsidP="0051760F">
      <w:pPr>
        <w:pStyle w:val="CETBodytext"/>
        <w:numPr>
          <w:ilvl w:val="0"/>
          <w:numId w:val="22"/>
        </w:numPr>
        <w:rPr>
          <w:lang w:val="en-GB"/>
        </w:rPr>
      </w:pPr>
      <w:r w:rsidRPr="00A9418A">
        <w:rPr>
          <w:lang w:val="en-GB"/>
        </w:rPr>
        <w:t>Gather</w:t>
      </w:r>
      <w:r>
        <w:rPr>
          <w:lang w:val="en-GB"/>
        </w:rPr>
        <w:t>ing</w:t>
      </w:r>
      <w:r w:rsidRPr="00A9418A">
        <w:rPr>
          <w:lang w:val="en-GB"/>
        </w:rPr>
        <w:t xml:space="preserve"> </w:t>
      </w:r>
      <w:proofErr w:type="gramStart"/>
      <w:r w:rsidRPr="00A9418A">
        <w:rPr>
          <w:lang w:val="en-GB"/>
        </w:rPr>
        <w:t>evidence</w:t>
      </w:r>
      <w:r w:rsidR="00773673">
        <w:rPr>
          <w:lang w:val="en-GB"/>
        </w:rPr>
        <w:t>s</w:t>
      </w:r>
      <w:proofErr w:type="gramEnd"/>
      <w:r>
        <w:rPr>
          <w:lang w:val="en-GB"/>
        </w:rPr>
        <w:t xml:space="preserve"> (</w:t>
      </w:r>
      <w:r w:rsidRPr="00A9418A">
        <w:rPr>
          <w:lang w:val="en-GB"/>
        </w:rPr>
        <w:t>likelihood function</w:t>
      </w:r>
      <w:r>
        <w:rPr>
          <w:lang w:val="en-GB"/>
        </w:rPr>
        <w:t>), i.e. plant specific data;</w:t>
      </w:r>
    </w:p>
    <w:p w14:paraId="0122BE78" w14:textId="77777777" w:rsidR="0051760F" w:rsidRDefault="0051760F" w:rsidP="0051760F">
      <w:pPr>
        <w:pStyle w:val="CETBodytext"/>
        <w:numPr>
          <w:ilvl w:val="0"/>
          <w:numId w:val="22"/>
        </w:numPr>
        <w:rPr>
          <w:lang w:val="en-GB"/>
        </w:rPr>
      </w:pPr>
      <w:r w:rsidRPr="00A9418A">
        <w:rPr>
          <w:lang w:val="en-GB"/>
        </w:rPr>
        <w:t>Construct</w:t>
      </w:r>
      <w:r>
        <w:rPr>
          <w:lang w:val="en-GB"/>
        </w:rPr>
        <w:t>ion of</w:t>
      </w:r>
      <w:r w:rsidRPr="00A9418A">
        <w:rPr>
          <w:lang w:val="en-GB"/>
        </w:rPr>
        <w:t xml:space="preserve"> the posterior distribution </w:t>
      </w:r>
      <w:r>
        <w:rPr>
          <w:lang w:val="en-GB"/>
        </w:rPr>
        <w:t xml:space="preserve">by </w:t>
      </w:r>
      <w:r w:rsidRPr="00A9418A">
        <w:rPr>
          <w:lang w:val="en-GB"/>
        </w:rPr>
        <w:t>using Bayes’ theorem.</w:t>
      </w:r>
    </w:p>
    <w:p w14:paraId="2CF1A988" w14:textId="552B64C6" w:rsidR="0051760F" w:rsidRDefault="0051760F" w:rsidP="0051760F">
      <w:pPr>
        <w:pStyle w:val="CETBodytext"/>
        <w:rPr>
          <w:lang w:val="en-GB"/>
        </w:rPr>
      </w:pPr>
      <w:r>
        <w:rPr>
          <w:lang w:val="en-GB"/>
        </w:rPr>
        <w:t xml:space="preserve">The Bayes </w:t>
      </w:r>
      <w:r w:rsidR="00A74E17">
        <w:rPr>
          <w:lang w:val="en-GB"/>
        </w:rPr>
        <w:t xml:space="preserve">formula </w:t>
      </w:r>
      <w:r>
        <w:rPr>
          <w:lang w:val="en-GB"/>
        </w:rPr>
        <w:t>is defined by the following well-known equation:</w:t>
      </w:r>
    </w:p>
    <w:tbl>
      <w:tblPr>
        <w:tblW w:w="5000" w:type="pct"/>
        <w:tblLook w:val="04A0" w:firstRow="1" w:lastRow="0" w:firstColumn="1" w:lastColumn="0" w:noHBand="0" w:noVBand="1"/>
      </w:tblPr>
      <w:tblGrid>
        <w:gridCol w:w="7989"/>
        <w:gridCol w:w="798"/>
      </w:tblGrid>
      <w:tr w:rsidR="0051760F" w:rsidRPr="00B17C89" w14:paraId="2802D1EA" w14:textId="77777777" w:rsidTr="00E5158A">
        <w:tc>
          <w:tcPr>
            <w:tcW w:w="8188" w:type="dxa"/>
            <w:shd w:val="clear" w:color="auto" w:fill="auto"/>
            <w:vAlign w:val="center"/>
          </w:tcPr>
          <w:p w14:paraId="4E019921" w14:textId="77777777" w:rsidR="0051760F" w:rsidRPr="00B17C89" w:rsidRDefault="0051760F" w:rsidP="00E5158A">
            <w:pPr>
              <w:pStyle w:val="CETEquation"/>
            </w:pPr>
            <w:r w:rsidRPr="00A9418A">
              <w:rPr>
                <w:position w:val="-14"/>
              </w:rPr>
              <w:object w:dxaOrig="3500" w:dyaOrig="400" w14:anchorId="098B7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8pt;height:20.25pt" o:ole="">
                  <v:imagedata r:id="rId10" o:title=""/>
                </v:shape>
                <o:OLEObject Type="Embed" ProgID="Equation.DSMT4" ShapeID="_x0000_i1025" DrawAspect="Content" ObjectID="_1710625776" r:id="rId11"/>
              </w:object>
            </w:r>
          </w:p>
        </w:tc>
        <w:tc>
          <w:tcPr>
            <w:tcW w:w="815" w:type="dxa"/>
            <w:shd w:val="clear" w:color="auto" w:fill="auto"/>
            <w:vAlign w:val="center"/>
          </w:tcPr>
          <w:p w14:paraId="2E5C5A59" w14:textId="77777777" w:rsidR="0051760F" w:rsidRPr="00B17C89" w:rsidRDefault="0051760F" w:rsidP="00E5158A">
            <w:pPr>
              <w:pStyle w:val="CETEquation"/>
              <w:jc w:val="right"/>
            </w:pPr>
            <w:r w:rsidRPr="00B17C89">
              <w:t>(1)</w:t>
            </w:r>
          </w:p>
        </w:tc>
      </w:tr>
    </w:tbl>
    <w:p w14:paraId="0F3BBFB9" w14:textId="77777777" w:rsidR="0051760F" w:rsidRDefault="0051760F" w:rsidP="0051760F">
      <w:pPr>
        <w:pStyle w:val="CETBodytext"/>
        <w:rPr>
          <w:lang w:val="en-GB"/>
        </w:rPr>
      </w:pPr>
      <w:r>
        <w:rPr>
          <w:lang w:val="en-GB"/>
        </w:rPr>
        <w:t xml:space="preserve">where: </w:t>
      </w:r>
      <w:r w:rsidRPr="003C6B9B">
        <w:rPr>
          <w:rFonts w:ascii="Times New Roman" w:hAnsi="Times New Roman"/>
          <w:i/>
          <w:iCs/>
          <w:lang w:val="en-GB"/>
        </w:rPr>
        <w:t>λ</w:t>
      </w:r>
      <w:r w:rsidRPr="000F614D">
        <w:rPr>
          <w:lang w:val="en-GB"/>
        </w:rPr>
        <w:t xml:space="preserve"> = equipment </w:t>
      </w:r>
      <w:r>
        <w:rPr>
          <w:lang w:val="en-GB"/>
        </w:rPr>
        <w:t>probability of release due to deterioration</w:t>
      </w:r>
      <w:r w:rsidRPr="000F614D">
        <w:rPr>
          <w:lang w:val="en-GB"/>
        </w:rPr>
        <w:t xml:space="preserve">; </w:t>
      </w:r>
      <w:proofErr w:type="spellStart"/>
      <w:r w:rsidRPr="003C6B9B">
        <w:rPr>
          <w:rFonts w:ascii="Times New Roman" w:hAnsi="Times New Roman"/>
          <w:i/>
          <w:iCs/>
          <w:lang w:val="en-GB"/>
        </w:rPr>
        <w:t>f</w:t>
      </w:r>
      <w:r w:rsidRPr="003C6B9B">
        <w:rPr>
          <w:rFonts w:ascii="Times New Roman" w:hAnsi="Times New Roman"/>
          <w:vertAlign w:val="subscript"/>
          <w:lang w:val="en-GB"/>
        </w:rPr>
        <w:t>prior</w:t>
      </w:r>
      <w:proofErr w:type="spellEnd"/>
      <w:r w:rsidRPr="003C6B9B">
        <w:rPr>
          <w:rFonts w:ascii="Times New Roman" w:hAnsi="Times New Roman"/>
          <w:lang w:val="en-GB"/>
        </w:rPr>
        <w:t>(</w:t>
      </w:r>
      <w:r w:rsidRPr="003C6B9B">
        <w:rPr>
          <w:rFonts w:ascii="Times New Roman" w:hAnsi="Times New Roman"/>
          <w:i/>
          <w:iCs/>
          <w:lang w:val="en-GB"/>
        </w:rPr>
        <w:t>λ</w:t>
      </w:r>
      <w:r w:rsidRPr="003C6B9B">
        <w:rPr>
          <w:rFonts w:ascii="Times New Roman" w:hAnsi="Times New Roman"/>
          <w:lang w:val="en-GB"/>
        </w:rPr>
        <w:t>)</w:t>
      </w:r>
      <w:r w:rsidRPr="000F614D">
        <w:rPr>
          <w:lang w:val="en-GB"/>
        </w:rPr>
        <w:t xml:space="preserve"> = </w:t>
      </w:r>
      <w:r>
        <w:rPr>
          <w:lang w:val="en-GB"/>
        </w:rPr>
        <w:t xml:space="preserve">a priori </w:t>
      </w:r>
      <w:r w:rsidRPr="000F614D">
        <w:rPr>
          <w:lang w:val="en-GB"/>
        </w:rPr>
        <w:t>distribution</w:t>
      </w:r>
      <w:r>
        <w:rPr>
          <w:lang w:val="en-GB"/>
        </w:rPr>
        <w:t xml:space="preserve"> of </w:t>
      </w:r>
      <w:r w:rsidRPr="003C6B9B">
        <w:rPr>
          <w:rFonts w:ascii="Times New Roman" w:hAnsi="Times New Roman"/>
          <w:i/>
          <w:iCs/>
          <w:lang w:val="en-GB"/>
        </w:rPr>
        <w:t>λ</w:t>
      </w:r>
      <w:r>
        <w:rPr>
          <w:lang w:val="en-GB"/>
        </w:rPr>
        <w:t xml:space="preserve">; </w:t>
      </w:r>
      <w:proofErr w:type="spellStart"/>
      <w:r w:rsidRPr="003C6B9B">
        <w:rPr>
          <w:rFonts w:ascii="Times New Roman" w:hAnsi="Times New Roman"/>
          <w:lang w:val="en-GB"/>
        </w:rPr>
        <w:t>Pr</w:t>
      </w:r>
      <w:proofErr w:type="spellEnd"/>
      <w:r>
        <w:rPr>
          <w:rFonts w:ascii="Times New Roman" w:hAnsi="Times New Roman"/>
          <w:lang w:val="en-GB"/>
        </w:rPr>
        <w:t>(</w:t>
      </w:r>
      <w:r>
        <w:rPr>
          <w:rFonts w:ascii="Times New Roman" w:hAnsi="Times New Roman"/>
          <w:i/>
          <w:iCs/>
          <w:lang w:val="en-GB"/>
        </w:rPr>
        <w:t>X=</w:t>
      </w:r>
      <w:proofErr w:type="spellStart"/>
      <w:r>
        <w:rPr>
          <w:rFonts w:ascii="Times New Roman" w:hAnsi="Times New Roman"/>
          <w:i/>
          <w:iCs/>
          <w:lang w:val="en-GB"/>
        </w:rPr>
        <w:t>x|</w:t>
      </w:r>
      <w:r w:rsidRPr="003C6B9B">
        <w:rPr>
          <w:rFonts w:ascii="Times New Roman" w:hAnsi="Times New Roman"/>
          <w:i/>
          <w:iCs/>
          <w:lang w:val="en-GB"/>
        </w:rPr>
        <w:t>λ</w:t>
      </w:r>
      <w:proofErr w:type="spellEnd"/>
      <w:r>
        <w:rPr>
          <w:rFonts w:ascii="Times New Roman" w:hAnsi="Times New Roman"/>
          <w:lang w:val="en-GB"/>
        </w:rPr>
        <w:t>)</w:t>
      </w:r>
      <w:r>
        <w:rPr>
          <w:lang w:val="en-GB"/>
        </w:rPr>
        <w:t xml:space="preserve"> = </w:t>
      </w:r>
      <w:r w:rsidRPr="000F614D">
        <w:rPr>
          <w:lang w:val="en-GB"/>
        </w:rPr>
        <w:t>likelihood function</w:t>
      </w:r>
      <w:r>
        <w:rPr>
          <w:lang w:val="en-GB"/>
        </w:rPr>
        <w:t xml:space="preserve"> of </w:t>
      </w:r>
      <w:r w:rsidRPr="003C6B9B">
        <w:rPr>
          <w:rFonts w:ascii="Times New Roman" w:hAnsi="Times New Roman"/>
          <w:i/>
          <w:iCs/>
          <w:lang w:val="en-GB"/>
        </w:rPr>
        <w:t>λ</w:t>
      </w:r>
      <w:r>
        <w:rPr>
          <w:lang w:val="en-GB"/>
        </w:rPr>
        <w:t xml:space="preserve"> for a given </w:t>
      </w:r>
      <w:r>
        <w:rPr>
          <w:rFonts w:ascii="Times New Roman" w:hAnsi="Times New Roman"/>
          <w:i/>
          <w:iCs/>
          <w:lang w:val="en-GB"/>
        </w:rPr>
        <w:t>x</w:t>
      </w:r>
      <w:r w:rsidRPr="000F614D">
        <w:rPr>
          <w:lang w:val="en-GB"/>
        </w:rPr>
        <w:t xml:space="preserve">; </w:t>
      </w:r>
      <w:proofErr w:type="spellStart"/>
      <w:r w:rsidRPr="003C6B9B">
        <w:rPr>
          <w:rFonts w:ascii="Times New Roman" w:hAnsi="Times New Roman"/>
          <w:i/>
          <w:iCs/>
          <w:lang w:val="en-GB"/>
        </w:rPr>
        <w:t>f</w:t>
      </w:r>
      <w:r w:rsidRPr="003C6B9B">
        <w:rPr>
          <w:rFonts w:ascii="Times New Roman" w:hAnsi="Times New Roman"/>
          <w:vertAlign w:val="subscript"/>
          <w:lang w:val="en-GB"/>
        </w:rPr>
        <w:t>p</w:t>
      </w:r>
      <w:r>
        <w:rPr>
          <w:rFonts w:ascii="Times New Roman" w:hAnsi="Times New Roman"/>
          <w:vertAlign w:val="subscript"/>
          <w:lang w:val="en-GB"/>
        </w:rPr>
        <w:t>osterior</w:t>
      </w:r>
      <w:proofErr w:type="spellEnd"/>
      <w:r w:rsidRPr="003C6B9B">
        <w:rPr>
          <w:rFonts w:ascii="Times New Roman" w:hAnsi="Times New Roman"/>
          <w:lang w:val="en-GB"/>
        </w:rPr>
        <w:t>(</w:t>
      </w:r>
      <w:r w:rsidRPr="003C6B9B">
        <w:rPr>
          <w:rFonts w:ascii="Times New Roman" w:hAnsi="Times New Roman"/>
          <w:i/>
          <w:iCs/>
          <w:lang w:val="en-GB"/>
        </w:rPr>
        <w:t>λ</w:t>
      </w:r>
      <w:r w:rsidRPr="003C6B9B">
        <w:rPr>
          <w:rFonts w:ascii="Times New Roman" w:hAnsi="Times New Roman"/>
          <w:lang w:val="en-GB"/>
        </w:rPr>
        <w:t>)</w:t>
      </w:r>
      <w:r w:rsidRPr="000F614D">
        <w:rPr>
          <w:lang w:val="en-GB"/>
        </w:rPr>
        <w:t xml:space="preserve"> = posterior</w:t>
      </w:r>
      <w:r>
        <w:rPr>
          <w:lang w:val="en-GB"/>
        </w:rPr>
        <w:t>i</w:t>
      </w:r>
      <w:r w:rsidRPr="000F614D">
        <w:rPr>
          <w:lang w:val="en-GB"/>
        </w:rPr>
        <w:t xml:space="preserve"> distribution of</w:t>
      </w:r>
      <w:r>
        <w:rPr>
          <w:lang w:val="en-GB"/>
        </w:rPr>
        <w:t xml:space="preserve"> </w:t>
      </w:r>
      <w:r w:rsidRPr="003C6B9B">
        <w:rPr>
          <w:rFonts w:ascii="Times New Roman" w:hAnsi="Times New Roman"/>
          <w:i/>
          <w:iCs/>
          <w:lang w:val="en-GB"/>
        </w:rPr>
        <w:t>λ</w:t>
      </w:r>
      <w:r>
        <w:rPr>
          <w:lang w:val="en-GB"/>
        </w:rPr>
        <w:t>.</w:t>
      </w:r>
    </w:p>
    <w:p w14:paraId="0236DB27" w14:textId="77777777" w:rsidR="002C6CCD" w:rsidRPr="00745B2A" w:rsidRDefault="002C6CCD" w:rsidP="001E59EB">
      <w:pPr>
        <w:pStyle w:val="CETheadingx"/>
      </w:pPr>
      <w:r>
        <w:t>Fault Tree Analysis</w:t>
      </w:r>
    </w:p>
    <w:p w14:paraId="0D820A76" w14:textId="693B4F1E" w:rsidR="002C6CCD" w:rsidRDefault="002C6CCD" w:rsidP="002C6CCD">
      <w:pPr>
        <w:pStyle w:val="CETBodytext"/>
        <w:rPr>
          <w:lang w:val="en-GB"/>
        </w:rPr>
      </w:pPr>
      <w:r w:rsidRPr="0033094C">
        <w:rPr>
          <w:lang w:val="en-GB"/>
        </w:rPr>
        <w:t xml:space="preserve">The </w:t>
      </w:r>
      <w:r>
        <w:rPr>
          <w:lang w:val="en-GB"/>
        </w:rPr>
        <w:t>F</w:t>
      </w:r>
      <w:r w:rsidRPr="0033094C">
        <w:rPr>
          <w:lang w:val="en-GB"/>
        </w:rPr>
        <w:t xml:space="preserve">ault </w:t>
      </w:r>
      <w:r>
        <w:rPr>
          <w:lang w:val="en-GB"/>
        </w:rPr>
        <w:t>T</w:t>
      </w:r>
      <w:r w:rsidRPr="0033094C">
        <w:rPr>
          <w:lang w:val="en-GB"/>
        </w:rPr>
        <w:t>ree</w:t>
      </w:r>
      <w:r>
        <w:rPr>
          <w:lang w:val="en-GB"/>
        </w:rPr>
        <w:t xml:space="preserve"> Analysis</w:t>
      </w:r>
      <w:r w:rsidRPr="0033094C">
        <w:rPr>
          <w:lang w:val="en-GB"/>
        </w:rPr>
        <w:t xml:space="preserve"> is a</w:t>
      </w:r>
      <w:r>
        <w:rPr>
          <w:lang w:val="en-GB"/>
        </w:rPr>
        <w:t xml:space="preserve"> widespread</w:t>
      </w:r>
      <w:r w:rsidRPr="0033094C">
        <w:rPr>
          <w:lang w:val="en-GB"/>
        </w:rPr>
        <w:t xml:space="preserve"> </w:t>
      </w:r>
      <w:r>
        <w:rPr>
          <w:lang w:val="en-GB"/>
        </w:rPr>
        <w:t>technique</w:t>
      </w:r>
      <w:r w:rsidRPr="0033094C">
        <w:rPr>
          <w:lang w:val="en-GB"/>
        </w:rPr>
        <w:t xml:space="preserve"> to identify and assess combinations of </w:t>
      </w:r>
      <w:r>
        <w:rPr>
          <w:lang w:val="en-GB"/>
        </w:rPr>
        <w:t>events</w:t>
      </w:r>
      <w:r w:rsidR="00A74E17">
        <w:rPr>
          <w:lang w:val="en-GB"/>
        </w:rPr>
        <w:t>, based on</w:t>
      </w:r>
      <w:r>
        <w:rPr>
          <w:lang w:val="en-GB"/>
        </w:rPr>
        <w:t xml:space="preserve"> the investigation of </w:t>
      </w:r>
      <w:r w:rsidRPr="00B066E9">
        <w:rPr>
          <w:lang w:val="en-GB"/>
        </w:rPr>
        <w:t>system opera</w:t>
      </w:r>
      <w:r>
        <w:rPr>
          <w:lang w:val="en-GB"/>
        </w:rPr>
        <w:t>bility</w:t>
      </w:r>
      <w:r w:rsidRPr="00B066E9">
        <w:rPr>
          <w:lang w:val="en-GB"/>
        </w:rPr>
        <w:t xml:space="preserve"> and </w:t>
      </w:r>
      <w:r>
        <w:rPr>
          <w:lang w:val="en-GB"/>
        </w:rPr>
        <w:t xml:space="preserve">the influence of </w:t>
      </w:r>
      <w:r w:rsidRPr="00B066E9">
        <w:rPr>
          <w:lang w:val="en-GB"/>
        </w:rPr>
        <w:t>its environment</w:t>
      </w:r>
      <w:r>
        <w:rPr>
          <w:lang w:val="en-GB"/>
        </w:rPr>
        <w:t>; the scope is the identification of combinations leading</w:t>
      </w:r>
      <w:r w:rsidRPr="00B066E9">
        <w:rPr>
          <w:lang w:val="en-GB"/>
        </w:rPr>
        <w:t xml:space="preserve"> to </w:t>
      </w:r>
      <w:r w:rsidR="004E50F1">
        <w:rPr>
          <w:lang w:val="en-GB"/>
        </w:rPr>
        <w:t>an</w:t>
      </w:r>
      <w:r w:rsidRPr="00B066E9">
        <w:rPr>
          <w:lang w:val="en-GB"/>
        </w:rPr>
        <w:t xml:space="preserve"> undesired</w:t>
      </w:r>
      <w:r>
        <w:rPr>
          <w:lang w:val="en-GB"/>
        </w:rPr>
        <w:t xml:space="preserve"> </w:t>
      </w:r>
      <w:r w:rsidRPr="00B066E9">
        <w:rPr>
          <w:lang w:val="en-GB"/>
        </w:rPr>
        <w:t>stat</w:t>
      </w:r>
      <w:r>
        <w:rPr>
          <w:lang w:val="en-GB"/>
        </w:rPr>
        <w:t>e of the system (</w:t>
      </w:r>
      <w:r>
        <w:t>Haas et la., 1981</w:t>
      </w:r>
      <w:r>
        <w:rPr>
          <w:lang w:val="en-GB"/>
        </w:rPr>
        <w:t>)</w:t>
      </w:r>
      <w:r w:rsidRPr="0033094C">
        <w:rPr>
          <w:lang w:val="en-GB"/>
        </w:rPr>
        <w:t>. Th</w:t>
      </w:r>
      <w:r>
        <w:rPr>
          <w:lang w:val="en-GB"/>
        </w:rPr>
        <w:t>e</w:t>
      </w:r>
      <w:r w:rsidRPr="0033094C">
        <w:rPr>
          <w:lang w:val="en-GB"/>
        </w:rPr>
        <w:t xml:space="preserve"> undesired state</w:t>
      </w:r>
      <w:r>
        <w:rPr>
          <w:lang w:val="en-GB"/>
        </w:rPr>
        <w:t xml:space="preserve"> is</w:t>
      </w:r>
      <w:r w:rsidRPr="0033094C">
        <w:rPr>
          <w:lang w:val="en-GB"/>
        </w:rPr>
        <w:t xml:space="preserve"> represented by a </w:t>
      </w:r>
      <w:r w:rsidRPr="009B1503">
        <w:rPr>
          <w:i/>
          <w:iCs/>
          <w:lang w:val="en-GB"/>
        </w:rPr>
        <w:t>top event</w:t>
      </w:r>
      <w:r>
        <w:rPr>
          <w:lang w:val="en-GB"/>
        </w:rPr>
        <w:t>. The</w:t>
      </w:r>
      <w:r w:rsidRPr="0033094C">
        <w:rPr>
          <w:lang w:val="en-GB"/>
        </w:rPr>
        <w:t xml:space="preserve"> logical gates integrate the primary events to the top event</w:t>
      </w:r>
      <w:r w:rsidR="00A74E17">
        <w:rPr>
          <w:lang w:val="en-GB"/>
        </w:rPr>
        <w:t>;</w:t>
      </w:r>
      <w:r w:rsidRPr="0033094C">
        <w:rPr>
          <w:lang w:val="en-GB"/>
        </w:rPr>
        <w:t xml:space="preserve"> primary events are </w:t>
      </w:r>
      <w:r>
        <w:rPr>
          <w:lang w:val="en-GB"/>
        </w:rPr>
        <w:t xml:space="preserve">those that </w:t>
      </w:r>
      <w:r w:rsidRPr="0033094C">
        <w:rPr>
          <w:lang w:val="en-GB"/>
        </w:rPr>
        <w:t>are not further developed</w:t>
      </w:r>
      <w:r>
        <w:rPr>
          <w:lang w:val="en-GB"/>
        </w:rPr>
        <w:t xml:space="preserve"> (</w:t>
      </w:r>
      <w:proofErr w:type="gramStart"/>
      <w:r w:rsidRPr="0033094C">
        <w:rPr>
          <w:lang w:val="en-GB"/>
        </w:rPr>
        <w:t>e.g.</w:t>
      </w:r>
      <w:proofErr w:type="gramEnd"/>
      <w:r w:rsidRPr="0033094C">
        <w:rPr>
          <w:lang w:val="en-GB"/>
        </w:rPr>
        <w:t xml:space="preserve"> component failures, missed actuation signals, human errors, unavailability due to the test and maintenance activities, common cause contributions</w:t>
      </w:r>
      <w:r>
        <w:rPr>
          <w:lang w:val="en-GB"/>
        </w:rPr>
        <w:t>)</w:t>
      </w:r>
      <w:r w:rsidRPr="0033094C">
        <w:rPr>
          <w:lang w:val="en-GB"/>
        </w:rPr>
        <w:t xml:space="preserve">. </w:t>
      </w:r>
    </w:p>
    <w:p w14:paraId="50D8198D" w14:textId="23572A9C" w:rsidR="002C6CCD" w:rsidRDefault="002C6CCD" w:rsidP="002C6CCD">
      <w:pPr>
        <w:pStyle w:val="CETBodytext"/>
        <w:rPr>
          <w:lang w:val="en-GB"/>
        </w:rPr>
      </w:pPr>
      <w:r>
        <w:rPr>
          <w:lang w:val="en-GB"/>
        </w:rPr>
        <w:lastRenderedPageBreak/>
        <w:t xml:space="preserve">To execute </w:t>
      </w:r>
      <w:r w:rsidR="007B0D61">
        <w:rPr>
          <w:lang w:val="en-GB"/>
        </w:rPr>
        <w:t xml:space="preserve">a </w:t>
      </w:r>
      <w:r>
        <w:rPr>
          <w:lang w:val="en-GB"/>
        </w:rPr>
        <w:t xml:space="preserve">quantitative assessment with respect to the top event, a probability must be assigned to each event included in the Fault Tree. In this work, the </w:t>
      </w:r>
      <w:r w:rsidR="007B0D61">
        <w:rPr>
          <w:lang w:val="en-GB"/>
        </w:rPr>
        <w:t>FTA</w:t>
      </w:r>
      <w:r>
        <w:rPr>
          <w:lang w:val="en-GB"/>
        </w:rPr>
        <w:t xml:space="preserve"> integrates events related to the equipment deterioration and, </w:t>
      </w:r>
      <w:proofErr w:type="gramStart"/>
      <w:r>
        <w:rPr>
          <w:lang w:val="en-GB"/>
        </w:rPr>
        <w:t>in order to</w:t>
      </w:r>
      <w:proofErr w:type="gramEnd"/>
      <w:r>
        <w:rPr>
          <w:lang w:val="en-GB"/>
        </w:rPr>
        <w:t xml:space="preserve"> assign a plant-specific probability to the event and make dynamic the analysis, the Bayes </w:t>
      </w:r>
      <w:r w:rsidR="00A74E17">
        <w:rPr>
          <w:lang w:val="en-GB"/>
        </w:rPr>
        <w:t>approach</w:t>
      </w:r>
      <w:r>
        <w:rPr>
          <w:lang w:val="en-GB"/>
        </w:rPr>
        <w:t xml:space="preserve"> updates generic probability by means of plant reports containing incidents and near-misses collected in real-time.</w:t>
      </w:r>
    </w:p>
    <w:p w14:paraId="0D59080C" w14:textId="77777777" w:rsidR="002C6CCD" w:rsidRPr="00B17C89" w:rsidRDefault="002C6CCD" w:rsidP="002C6CCD">
      <w:pPr>
        <w:pStyle w:val="CETHeading1"/>
        <w:tabs>
          <w:tab w:val="clear" w:pos="360"/>
        </w:tabs>
        <w:rPr>
          <w:lang w:val="en-GB"/>
        </w:rPr>
      </w:pPr>
      <w:r>
        <w:rPr>
          <w:lang w:val="en-GB"/>
        </w:rPr>
        <w:t>Case-study</w:t>
      </w:r>
    </w:p>
    <w:p w14:paraId="2B967553" w14:textId="6B0EC3DC" w:rsidR="002C6CCD" w:rsidRDefault="002C6CCD" w:rsidP="002C6CCD">
      <w:pPr>
        <w:pStyle w:val="CETBodytext"/>
        <w:rPr>
          <w:lang w:val="en-GB"/>
        </w:rPr>
      </w:pPr>
      <w:r w:rsidRPr="007C25F7">
        <w:rPr>
          <w:lang w:val="en-GB"/>
        </w:rPr>
        <w:t xml:space="preserve">The application of the methodology, described in </w:t>
      </w:r>
      <w:r>
        <w:rPr>
          <w:lang w:val="en-GB"/>
        </w:rPr>
        <w:t>S</w:t>
      </w:r>
      <w:r w:rsidRPr="007C25F7">
        <w:rPr>
          <w:lang w:val="en-GB"/>
        </w:rPr>
        <w:t xml:space="preserve">ection 2, </w:t>
      </w:r>
      <w:r w:rsidR="001134D0">
        <w:rPr>
          <w:lang w:val="en-GB"/>
        </w:rPr>
        <w:t>h</w:t>
      </w:r>
      <w:r w:rsidR="00853231">
        <w:rPr>
          <w:lang w:val="en-GB"/>
        </w:rPr>
        <w:t>as</w:t>
      </w:r>
      <w:r w:rsidR="001134D0">
        <w:rPr>
          <w:lang w:val="en-GB"/>
        </w:rPr>
        <w:t xml:space="preserve"> been</w:t>
      </w:r>
      <w:r w:rsidRPr="007C25F7">
        <w:rPr>
          <w:lang w:val="en-GB"/>
        </w:rPr>
        <w:t xml:space="preserve"> carried out for a top event included in a </w:t>
      </w:r>
      <w:bookmarkStart w:id="3" w:name="_Hlk93263318"/>
      <w:r w:rsidRPr="007C25F7">
        <w:rPr>
          <w:lang w:val="en-GB"/>
        </w:rPr>
        <w:t>desulphuri</w:t>
      </w:r>
      <w:r>
        <w:rPr>
          <w:lang w:val="en-GB"/>
        </w:rPr>
        <w:t>s</w:t>
      </w:r>
      <w:r w:rsidRPr="007C25F7">
        <w:rPr>
          <w:lang w:val="en-GB"/>
        </w:rPr>
        <w:t>ation unit of a refinery</w:t>
      </w:r>
      <w:bookmarkEnd w:id="3"/>
      <w:r w:rsidRPr="007C25F7">
        <w:rPr>
          <w:lang w:val="en-GB"/>
        </w:rPr>
        <w:t xml:space="preserve">. The top event is the overpressure </w:t>
      </w:r>
      <w:r w:rsidR="001134D0">
        <w:rPr>
          <w:lang w:val="en-GB"/>
        </w:rPr>
        <w:t>i</w:t>
      </w:r>
      <w:r w:rsidRPr="007C25F7">
        <w:rPr>
          <w:lang w:val="en-GB"/>
        </w:rPr>
        <w:t xml:space="preserve">n a </w:t>
      </w:r>
      <w:r>
        <w:rPr>
          <w:lang w:val="en-GB"/>
        </w:rPr>
        <w:t>stabilisation</w:t>
      </w:r>
      <w:r w:rsidRPr="007C25F7">
        <w:rPr>
          <w:lang w:val="en-GB"/>
        </w:rPr>
        <w:t xml:space="preserve"> column </w:t>
      </w:r>
      <w:r>
        <w:rPr>
          <w:lang w:val="en-GB"/>
        </w:rPr>
        <w:t xml:space="preserve">(T1931) </w:t>
      </w:r>
      <w:r w:rsidR="004E50F1">
        <w:rPr>
          <w:lang w:val="en-GB"/>
        </w:rPr>
        <w:t xml:space="preserve">which is </w:t>
      </w:r>
      <w:r w:rsidRPr="007C25F7">
        <w:rPr>
          <w:lang w:val="en-GB"/>
        </w:rPr>
        <w:t xml:space="preserve">upstream </w:t>
      </w:r>
      <w:r w:rsidR="00853231">
        <w:rPr>
          <w:lang w:val="en-GB"/>
        </w:rPr>
        <w:t>to</w:t>
      </w:r>
      <w:r w:rsidRPr="007C25F7">
        <w:rPr>
          <w:lang w:val="en-GB"/>
        </w:rPr>
        <w:t xml:space="preserve"> the desul</w:t>
      </w:r>
      <w:r w:rsidR="004E50F1">
        <w:rPr>
          <w:lang w:val="en-GB"/>
        </w:rPr>
        <w:t>ph</w:t>
      </w:r>
      <w:r w:rsidRPr="007C25F7">
        <w:rPr>
          <w:lang w:val="en-GB"/>
        </w:rPr>
        <w:t>uri</w:t>
      </w:r>
      <w:r w:rsidR="004E50F1">
        <w:rPr>
          <w:lang w:val="en-GB"/>
        </w:rPr>
        <w:t>s</w:t>
      </w:r>
      <w:r w:rsidRPr="007C25F7">
        <w:rPr>
          <w:lang w:val="en-GB"/>
        </w:rPr>
        <w:t xml:space="preserve">ation </w:t>
      </w:r>
      <w:r w:rsidR="001134D0">
        <w:rPr>
          <w:lang w:val="en-GB"/>
        </w:rPr>
        <w:t>reactor</w:t>
      </w:r>
      <w:r w:rsidRPr="007C25F7">
        <w:rPr>
          <w:lang w:val="en-GB"/>
        </w:rPr>
        <w:t>.</w:t>
      </w:r>
      <w:r>
        <w:rPr>
          <w:lang w:val="en-GB"/>
        </w:rPr>
        <w:t xml:space="preserve"> </w:t>
      </w:r>
      <w:r w:rsidRPr="00414561">
        <w:rPr>
          <w:lang w:val="en-GB"/>
        </w:rPr>
        <w:t xml:space="preserve">The column </w:t>
      </w:r>
      <w:r w:rsidR="00853231">
        <w:rPr>
          <w:lang w:val="en-GB"/>
        </w:rPr>
        <w:t xml:space="preserve">removes </w:t>
      </w:r>
      <w:r w:rsidRPr="00414561">
        <w:rPr>
          <w:lang w:val="en-GB"/>
        </w:rPr>
        <w:t xml:space="preserve">any entrainment of sulphur (hydrogen sulphide) in the naphtha to be sent to the </w:t>
      </w:r>
      <w:r w:rsidR="004E50F1" w:rsidRPr="007C25F7">
        <w:rPr>
          <w:lang w:val="en-GB"/>
        </w:rPr>
        <w:t>desul</w:t>
      </w:r>
      <w:r w:rsidR="004E50F1">
        <w:rPr>
          <w:lang w:val="en-GB"/>
        </w:rPr>
        <w:t>ph</w:t>
      </w:r>
      <w:r w:rsidR="004E50F1" w:rsidRPr="007C25F7">
        <w:rPr>
          <w:lang w:val="en-GB"/>
        </w:rPr>
        <w:t>uri</w:t>
      </w:r>
      <w:r w:rsidR="004E50F1">
        <w:rPr>
          <w:lang w:val="en-GB"/>
        </w:rPr>
        <w:t>s</w:t>
      </w:r>
      <w:r w:rsidR="004E50F1" w:rsidRPr="007C25F7">
        <w:rPr>
          <w:lang w:val="en-GB"/>
        </w:rPr>
        <w:t xml:space="preserve">ation </w:t>
      </w:r>
      <w:r w:rsidRPr="00414561">
        <w:rPr>
          <w:lang w:val="en-GB"/>
        </w:rPr>
        <w:t xml:space="preserve">reactor. Before entering the column, the </w:t>
      </w:r>
      <w:r>
        <w:rPr>
          <w:lang w:val="en-GB"/>
        </w:rPr>
        <w:t>feed</w:t>
      </w:r>
      <w:r w:rsidRPr="00414561">
        <w:rPr>
          <w:lang w:val="en-GB"/>
        </w:rPr>
        <w:t xml:space="preserve"> undergoes a preheating </w:t>
      </w:r>
      <w:r>
        <w:rPr>
          <w:lang w:val="en-GB"/>
        </w:rPr>
        <w:t xml:space="preserve">from the </w:t>
      </w:r>
      <w:r w:rsidR="00A74E17">
        <w:rPr>
          <w:lang w:val="en-GB"/>
        </w:rPr>
        <w:t xml:space="preserve">bottom </w:t>
      </w:r>
      <w:r>
        <w:rPr>
          <w:lang w:val="en-GB"/>
        </w:rPr>
        <w:t xml:space="preserve">stream </w:t>
      </w:r>
      <w:r w:rsidR="00A74E17">
        <w:rPr>
          <w:lang w:val="en-GB"/>
        </w:rPr>
        <w:t xml:space="preserve">of the </w:t>
      </w:r>
      <w:r w:rsidR="00ED2D7D">
        <w:rPr>
          <w:lang w:val="en-GB"/>
        </w:rPr>
        <w:t>stabiliser,</w:t>
      </w:r>
      <w:r w:rsidR="00A74E17">
        <w:rPr>
          <w:lang w:val="en-GB"/>
        </w:rPr>
        <w:t xml:space="preserve"> which </w:t>
      </w:r>
      <w:r w:rsidR="001134D0">
        <w:rPr>
          <w:lang w:val="en-GB"/>
        </w:rPr>
        <w:t xml:space="preserve">then </w:t>
      </w:r>
      <w:r w:rsidR="00A74E17">
        <w:rPr>
          <w:lang w:val="en-GB"/>
        </w:rPr>
        <w:t>is</w:t>
      </w:r>
      <w:r>
        <w:rPr>
          <w:lang w:val="en-GB"/>
        </w:rPr>
        <w:t xml:space="preserve"> </w:t>
      </w:r>
      <w:r w:rsidR="00A74E17">
        <w:rPr>
          <w:lang w:val="en-GB"/>
        </w:rPr>
        <w:t>fed</w:t>
      </w:r>
      <w:r>
        <w:rPr>
          <w:lang w:val="en-GB"/>
        </w:rPr>
        <w:t xml:space="preserve"> to the reactor</w:t>
      </w:r>
      <w:r w:rsidR="001134D0">
        <w:rPr>
          <w:lang w:val="en-GB"/>
        </w:rPr>
        <w:t xml:space="preserve"> as </w:t>
      </w:r>
      <w:r w:rsidR="001134D0" w:rsidRPr="007C25F7">
        <w:rPr>
          <w:lang w:val="en-GB"/>
        </w:rPr>
        <w:t>shown in Figure 1</w:t>
      </w:r>
      <w:r w:rsidRPr="00414561">
        <w:rPr>
          <w:lang w:val="en-GB"/>
        </w:rPr>
        <w:t>.</w:t>
      </w:r>
    </w:p>
    <w:p w14:paraId="461FB723" w14:textId="540CBEA3" w:rsidR="004E50F1" w:rsidRPr="00EB618F" w:rsidRDefault="00DC766D" w:rsidP="004E50F1">
      <w:pPr>
        <w:pStyle w:val="CETBodytext"/>
        <w:rPr>
          <w:lang w:val="it-IT"/>
        </w:rPr>
      </w:pPr>
      <w:r w:rsidRPr="00DC766D">
        <w:rPr>
          <w:noProof/>
          <w:lang w:val="it-IT"/>
        </w:rPr>
        <mc:AlternateContent>
          <mc:Choice Requires="wps">
            <w:drawing>
              <wp:anchor distT="45720" distB="45720" distL="114300" distR="114300" simplePos="0" relativeHeight="251659264" behindDoc="0" locked="0" layoutInCell="1" allowOverlap="1" wp14:anchorId="34BE63E2" wp14:editId="55428BF5">
                <wp:simplePos x="0" y="0"/>
                <wp:positionH relativeFrom="column">
                  <wp:posOffset>557169</wp:posOffset>
                </wp:positionH>
                <wp:positionV relativeFrom="paragraph">
                  <wp:posOffset>1010639</wp:posOffset>
                </wp:positionV>
                <wp:extent cx="554990" cy="1404620"/>
                <wp:effectExtent l="0" t="0" r="0" b="254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404620"/>
                        </a:xfrm>
                        <a:prstGeom prst="rect">
                          <a:avLst/>
                        </a:prstGeom>
                        <a:noFill/>
                        <a:ln w="9525">
                          <a:noFill/>
                          <a:miter lim="800000"/>
                          <a:headEnd/>
                          <a:tailEnd/>
                        </a:ln>
                      </wps:spPr>
                      <wps:txbx>
                        <w:txbxContent>
                          <w:p w14:paraId="3CBFE815" w14:textId="127129AB" w:rsidR="00DC766D" w:rsidRPr="00EB618F" w:rsidRDefault="00DC766D">
                            <w:pPr>
                              <w:rPr>
                                <w:lang w:val="it-IT"/>
                              </w:rPr>
                            </w:pPr>
                            <w:r>
                              <w:t>T1931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BE63E2" id="_x0000_t202" coordsize="21600,21600" o:spt="202" path="m,l,21600r21600,l21600,xe">
                <v:stroke joinstyle="miter"/>
                <v:path gradientshapeok="t" o:connecttype="rect"/>
              </v:shapetype>
              <v:shape id="Casella di testo 2" o:spid="_x0000_s1026" type="#_x0000_t202" style="position:absolute;left:0;text-align:left;margin-left:43.85pt;margin-top:79.6pt;width:43.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" filled="f" stroked="f">
                <v:textbox style="mso-fit-shape-to-text:t">
                  <w:txbxContent>
                    <w:p w14:paraId="3CBFE815" w14:textId="127129AB" w:rsidR="00DC766D" w:rsidRPr="00EB618F" w:rsidRDefault="00DC766D">
                      <w:pPr>
                        <w:rPr>
                          <w:lang w:val="it-IT"/>
                        </w:rPr>
                      </w:pPr>
                      <w:r>
                        <w:t>T1931</w:t>
                      </w:r>
                    </w:p>
                  </w:txbxContent>
                </v:textbox>
              </v:shape>
            </w:pict>
          </mc:Fallback>
        </mc:AlternateContent>
      </w:r>
      <w:r w:rsidR="008B30D5">
        <w:rPr>
          <w:noProof/>
          <w:lang w:val="it-IT"/>
        </w:rPr>
        <w:drawing>
          <wp:inline distT="0" distB="0" distL="0" distR="0" wp14:anchorId="14CF1965" wp14:editId="4E2B450A">
            <wp:extent cx="2702689" cy="2673350"/>
            <wp:effectExtent l="19050" t="19050" r="21590" b="1270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r="17801"/>
                    <a:stretch/>
                  </pic:blipFill>
                  <pic:spPr bwMode="auto">
                    <a:xfrm>
                      <a:off x="0" y="0"/>
                      <a:ext cx="2716300" cy="268681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9C18637" w14:textId="77777777" w:rsidR="004E50F1" w:rsidRDefault="004E50F1" w:rsidP="004E50F1">
      <w:pPr>
        <w:pStyle w:val="CETCaption"/>
        <w:rPr>
          <w:rStyle w:val="CETCaptionCarattere"/>
          <w:i/>
        </w:rPr>
      </w:pPr>
      <w:r w:rsidRPr="00B17C89">
        <w:rPr>
          <w:rStyle w:val="CETCaptionCarattere"/>
          <w:i/>
        </w:rPr>
        <w:t xml:space="preserve">Figure 1: </w:t>
      </w:r>
      <w:r>
        <w:rPr>
          <w:rStyle w:val="CETCaptionCarattere"/>
          <w:i/>
        </w:rPr>
        <w:t>D</w:t>
      </w:r>
      <w:r w:rsidRPr="00A60CD2">
        <w:rPr>
          <w:rStyle w:val="CETCaptionCarattere"/>
          <w:i/>
        </w:rPr>
        <w:t>esulphurisation unit</w:t>
      </w:r>
      <w:r>
        <w:rPr>
          <w:rStyle w:val="CETCaptionCarattere"/>
          <w:i/>
        </w:rPr>
        <w:t>.</w:t>
      </w:r>
    </w:p>
    <w:p w14:paraId="673BC20E" w14:textId="1A4DFEB3" w:rsidR="00465C51" w:rsidRDefault="00853231" w:rsidP="00853231">
      <w:pPr>
        <w:pStyle w:val="CETBodytext"/>
        <w:rPr>
          <w:lang w:val="en-GB"/>
        </w:rPr>
      </w:pPr>
      <w:r w:rsidRPr="00853231">
        <w:rPr>
          <w:lang w:val="en-GB"/>
        </w:rPr>
        <w:t xml:space="preserve">Figure 2 shows the fault tree </w:t>
      </w:r>
      <w:r w:rsidR="00ED2D7D">
        <w:rPr>
          <w:lang w:val="en-GB"/>
        </w:rPr>
        <w:t>related to</w:t>
      </w:r>
      <w:r w:rsidRPr="00853231">
        <w:rPr>
          <w:lang w:val="en-GB"/>
        </w:rPr>
        <w:t xml:space="preserve"> the top event to be investigated. A</w:t>
      </w:r>
      <w:r>
        <w:rPr>
          <w:lang w:val="en-GB"/>
        </w:rPr>
        <w:t>n</w:t>
      </w:r>
      <w:r w:rsidRPr="00853231">
        <w:rPr>
          <w:lang w:val="en-GB"/>
        </w:rPr>
        <w:t xml:space="preserve"> overpressure inside the column could be caused by: (</w:t>
      </w:r>
      <w:proofErr w:type="spellStart"/>
      <w:r w:rsidRPr="00853231">
        <w:rPr>
          <w:lang w:val="en-GB"/>
        </w:rPr>
        <w:t>i</w:t>
      </w:r>
      <w:proofErr w:type="spellEnd"/>
      <w:r w:rsidRPr="00853231">
        <w:rPr>
          <w:lang w:val="en-GB"/>
        </w:rPr>
        <w:t xml:space="preserve">) failures of the protection systems; (ii) </w:t>
      </w:r>
      <w:r w:rsidR="00844BF0">
        <w:rPr>
          <w:lang w:val="en-GB"/>
        </w:rPr>
        <w:t xml:space="preserve">the </w:t>
      </w:r>
      <w:r w:rsidRPr="00853231">
        <w:rPr>
          <w:lang w:val="en-GB"/>
        </w:rPr>
        <w:t>deterioration of the tubes of the heat exchanger</w:t>
      </w:r>
      <w:r w:rsidR="00ED2D7D">
        <w:rPr>
          <w:lang w:val="en-GB"/>
        </w:rPr>
        <w:t xml:space="preserve"> (bundle)</w:t>
      </w:r>
      <w:r w:rsidRPr="00853231">
        <w:rPr>
          <w:lang w:val="en-GB"/>
        </w:rPr>
        <w:t xml:space="preserve"> which determines a random</w:t>
      </w:r>
      <w:r w:rsidR="00B50563">
        <w:rPr>
          <w:lang w:val="en-GB"/>
        </w:rPr>
        <w:t xml:space="preserve"> failure </w:t>
      </w:r>
      <w:r w:rsidRPr="00853231">
        <w:rPr>
          <w:lang w:val="en-GB"/>
        </w:rPr>
        <w:t xml:space="preserve">and </w:t>
      </w:r>
      <w:r w:rsidR="00E611E6">
        <w:rPr>
          <w:lang w:val="en-GB"/>
        </w:rPr>
        <w:t>the</w:t>
      </w:r>
      <w:r w:rsidRPr="00853231">
        <w:rPr>
          <w:lang w:val="en-GB"/>
        </w:rPr>
        <w:t xml:space="preserve"> mixing of the heating stream with the feed</w:t>
      </w:r>
      <w:r w:rsidR="00E611E6">
        <w:rPr>
          <w:lang w:val="en-GB"/>
        </w:rPr>
        <w:t xml:space="preserve"> to the stabiliser</w:t>
      </w:r>
      <w:r w:rsidRPr="00853231">
        <w:rPr>
          <w:lang w:val="en-GB"/>
        </w:rPr>
        <w:t xml:space="preserve">, </w:t>
      </w:r>
      <w:proofErr w:type="gramStart"/>
      <w:r w:rsidRPr="00853231">
        <w:rPr>
          <w:lang w:val="en-GB"/>
        </w:rPr>
        <w:t>i.e.</w:t>
      </w:r>
      <w:proofErr w:type="gramEnd"/>
      <w:r w:rsidRPr="00853231">
        <w:rPr>
          <w:lang w:val="en-GB"/>
        </w:rPr>
        <w:t xml:space="preserve"> an overflow in the column; (iii) other causes of failure (e.g. overfilling of the column, overheating of the feed, blocked column exit).</w:t>
      </w:r>
      <w:r w:rsidR="00ED2D7D">
        <w:rPr>
          <w:lang w:val="en-GB"/>
        </w:rPr>
        <w:t xml:space="preserve"> The integration of the </w:t>
      </w:r>
      <w:r w:rsidR="00844BF0">
        <w:rPr>
          <w:lang w:val="en-GB"/>
        </w:rPr>
        <w:t xml:space="preserve">second </w:t>
      </w:r>
      <w:r w:rsidR="00ED2D7D">
        <w:rPr>
          <w:lang w:val="en-GB"/>
        </w:rPr>
        <w:t xml:space="preserve">cause </w:t>
      </w:r>
      <w:r w:rsidR="00844BF0">
        <w:rPr>
          <w:lang w:val="en-GB"/>
        </w:rPr>
        <w:t>in risk assessment</w:t>
      </w:r>
      <w:r w:rsidR="00ED2D7D">
        <w:rPr>
          <w:lang w:val="en-GB"/>
        </w:rPr>
        <w:t xml:space="preserve"> allows accounting for the effects of the equipment deterioration. It must be pointed that the overpressure inside the column due to a tube leakage could occur in case of small and medium holes, whereas </w:t>
      </w:r>
      <w:r w:rsidR="0073139D">
        <w:rPr>
          <w:lang w:val="en-GB"/>
        </w:rPr>
        <w:t>for</w:t>
      </w:r>
      <w:r w:rsidR="00ED2D7D">
        <w:rPr>
          <w:lang w:val="en-GB"/>
        </w:rPr>
        <w:t xml:space="preserve"> large holes or rupture </w:t>
      </w:r>
      <w:r w:rsidR="00E611E6">
        <w:rPr>
          <w:lang w:val="en-GB"/>
        </w:rPr>
        <w:t xml:space="preserve">a significant failure </w:t>
      </w:r>
      <w:r w:rsidR="00465C51">
        <w:rPr>
          <w:lang w:val="en-GB"/>
        </w:rPr>
        <w:t>of the heat exchanger is likely to occur.</w:t>
      </w:r>
    </w:p>
    <w:p w14:paraId="5D235FC6" w14:textId="4BCEB5AB" w:rsidR="00B7192D" w:rsidRDefault="00853231" w:rsidP="00853231">
      <w:pPr>
        <w:pStyle w:val="CETBodytext"/>
        <w:rPr>
          <w:lang w:val="en-GB"/>
        </w:rPr>
      </w:pPr>
      <w:r w:rsidRPr="00853231">
        <w:rPr>
          <w:lang w:val="en-GB"/>
        </w:rPr>
        <w:t>Table 1 gives the probabilities of the events</w:t>
      </w:r>
      <w:r w:rsidR="00465C51">
        <w:rPr>
          <w:lang w:val="en-GB"/>
        </w:rPr>
        <w:t xml:space="preserve"> included in the FTA</w:t>
      </w:r>
      <w:r w:rsidRPr="00853231">
        <w:rPr>
          <w:lang w:val="en-GB"/>
        </w:rPr>
        <w:t xml:space="preserve">. </w:t>
      </w:r>
      <w:r w:rsidR="005E0D65" w:rsidRPr="00853231">
        <w:rPr>
          <w:lang w:val="en-GB"/>
        </w:rPr>
        <w:t>Tables 2</w:t>
      </w:r>
      <w:r w:rsidR="005E0D65">
        <w:rPr>
          <w:lang w:val="en-GB"/>
        </w:rPr>
        <w:t>-4</w:t>
      </w:r>
      <w:r w:rsidR="005E0D65" w:rsidRPr="00853231">
        <w:rPr>
          <w:lang w:val="en-GB"/>
        </w:rPr>
        <w:t xml:space="preserve"> show the </w:t>
      </w:r>
      <w:r w:rsidR="005E0D65">
        <w:rPr>
          <w:lang w:val="en-GB"/>
        </w:rPr>
        <w:t xml:space="preserve">basic </w:t>
      </w:r>
      <w:r w:rsidR="005E0D65" w:rsidRPr="00853231">
        <w:rPr>
          <w:lang w:val="en-GB"/>
        </w:rPr>
        <w:t xml:space="preserve">probabilities </w:t>
      </w:r>
      <w:r w:rsidR="005E0D65">
        <w:rPr>
          <w:lang w:val="en-GB"/>
        </w:rPr>
        <w:t>for</w:t>
      </w:r>
      <w:r w:rsidR="005E0D65" w:rsidRPr="00853231">
        <w:rPr>
          <w:lang w:val="en-GB"/>
        </w:rPr>
        <w:t xml:space="preserve"> random failure</w:t>
      </w:r>
      <w:r w:rsidR="005E0D65">
        <w:rPr>
          <w:lang w:val="en-GB"/>
        </w:rPr>
        <w:t>s</w:t>
      </w:r>
      <w:r w:rsidR="005E0D65" w:rsidRPr="00853231">
        <w:rPr>
          <w:lang w:val="en-GB"/>
        </w:rPr>
        <w:t xml:space="preserve"> of heat exchanger</w:t>
      </w:r>
      <w:r w:rsidR="005E0D65">
        <w:rPr>
          <w:lang w:val="en-GB"/>
        </w:rPr>
        <w:t>s,</w:t>
      </w:r>
      <w:r w:rsidR="005E0D65" w:rsidRPr="00853231">
        <w:rPr>
          <w:lang w:val="en-GB"/>
        </w:rPr>
        <w:t xml:space="preserve"> collected </w:t>
      </w:r>
      <w:r w:rsidR="00E611E6">
        <w:rPr>
          <w:lang w:val="en-GB"/>
        </w:rPr>
        <w:t>from the most</w:t>
      </w:r>
      <w:r w:rsidR="00E611E6" w:rsidRPr="00853231">
        <w:rPr>
          <w:lang w:val="en-GB"/>
        </w:rPr>
        <w:t xml:space="preserve"> </w:t>
      </w:r>
      <w:r w:rsidR="005E0D65" w:rsidRPr="00853231">
        <w:rPr>
          <w:lang w:val="en-GB"/>
        </w:rPr>
        <w:t>popular databases</w:t>
      </w:r>
      <w:r w:rsidR="00E611E6">
        <w:rPr>
          <w:lang w:val="en-GB"/>
        </w:rPr>
        <w:t>. Those</w:t>
      </w:r>
      <w:r w:rsidR="005E0D65">
        <w:rPr>
          <w:lang w:val="en-GB"/>
        </w:rPr>
        <w:t xml:space="preserve"> to be used in calculating the probability of the event</w:t>
      </w:r>
      <w:r w:rsidR="00465C51">
        <w:rPr>
          <w:lang w:val="en-GB"/>
        </w:rPr>
        <w:t xml:space="preserve"> of case (ii)</w:t>
      </w:r>
      <w:r w:rsidR="005E0D65">
        <w:rPr>
          <w:lang w:val="en-GB"/>
        </w:rPr>
        <w:t xml:space="preserve"> </w:t>
      </w:r>
      <w:r w:rsidR="00E611E6">
        <w:rPr>
          <w:lang w:val="en-GB"/>
        </w:rPr>
        <w:t xml:space="preserve">have been </w:t>
      </w:r>
      <w:r w:rsidR="005E0D65">
        <w:rPr>
          <w:lang w:val="en-GB"/>
        </w:rPr>
        <w:t>selected and</w:t>
      </w:r>
      <w:r w:rsidRPr="00853231">
        <w:rPr>
          <w:lang w:val="en-GB"/>
        </w:rPr>
        <w:t xml:space="preserve"> updated</w:t>
      </w:r>
      <w:r w:rsidR="00465C51">
        <w:rPr>
          <w:lang w:val="en-GB"/>
        </w:rPr>
        <w:t xml:space="preserve"> by means of the Bayes formula</w:t>
      </w:r>
      <w:r w:rsidRPr="00853231">
        <w:rPr>
          <w:lang w:val="en-GB"/>
        </w:rPr>
        <w:t>.</w:t>
      </w:r>
      <w:r w:rsidR="00465C51">
        <w:rPr>
          <w:lang w:val="en-GB"/>
        </w:rPr>
        <w:t xml:space="preserve"> The process conditions have been</w:t>
      </w:r>
      <w:r w:rsidR="00E611E6">
        <w:rPr>
          <w:lang w:val="en-GB"/>
        </w:rPr>
        <w:t xml:space="preserve"> taken</w:t>
      </w:r>
      <w:r w:rsidR="00465C51">
        <w:rPr>
          <w:lang w:val="en-GB"/>
        </w:rPr>
        <w:t xml:space="preserve"> </w:t>
      </w:r>
      <w:r w:rsidR="00B7192D">
        <w:rPr>
          <w:lang w:val="en-GB"/>
        </w:rPr>
        <w:t xml:space="preserve">from the Safety Report </w:t>
      </w:r>
      <w:r w:rsidR="00A077E3">
        <w:rPr>
          <w:lang w:val="en-GB"/>
        </w:rPr>
        <w:t xml:space="preserve">of the establishment </w:t>
      </w:r>
      <w:r w:rsidR="00465C51">
        <w:rPr>
          <w:lang w:val="en-GB"/>
        </w:rPr>
        <w:t>and the modification factors (damage factor and managerial factor) have been calculated according to the API (2016b)</w:t>
      </w:r>
      <w:r w:rsidR="00B7192D">
        <w:rPr>
          <w:lang w:val="en-GB"/>
        </w:rPr>
        <w:t>:</w:t>
      </w:r>
    </w:p>
    <w:p w14:paraId="2046D748" w14:textId="4794D8E3" w:rsidR="00853231" w:rsidRDefault="00E00CD7" w:rsidP="001C2BD4">
      <w:pPr>
        <w:pStyle w:val="CETBodytext"/>
        <w:numPr>
          <w:ilvl w:val="0"/>
          <w:numId w:val="22"/>
        </w:numPr>
        <w:rPr>
          <w:lang w:val="en-GB"/>
        </w:rPr>
      </w:pPr>
      <w:r>
        <w:rPr>
          <w:lang w:val="en-GB"/>
        </w:rPr>
        <w:t>in-service year: 1975</w:t>
      </w:r>
    </w:p>
    <w:p w14:paraId="5C5B0BED" w14:textId="6DB58301" w:rsidR="00E00CD7" w:rsidRDefault="00E00CD7" w:rsidP="001C2BD4">
      <w:pPr>
        <w:pStyle w:val="CETBodytext"/>
        <w:numPr>
          <w:ilvl w:val="0"/>
          <w:numId w:val="22"/>
        </w:numPr>
        <w:rPr>
          <w:lang w:val="en-GB"/>
        </w:rPr>
      </w:pPr>
      <w:r>
        <w:rPr>
          <w:lang w:val="en-GB"/>
        </w:rPr>
        <w:t xml:space="preserve">operating pressure: 24.96 </w:t>
      </w:r>
      <w:proofErr w:type="spellStart"/>
      <w:r>
        <w:rPr>
          <w:lang w:val="en-GB"/>
        </w:rPr>
        <w:t>barg</w:t>
      </w:r>
      <w:proofErr w:type="spellEnd"/>
    </w:p>
    <w:p w14:paraId="43EE1D0C" w14:textId="02F2FA02" w:rsidR="00E00CD7" w:rsidRDefault="00E00CD7" w:rsidP="001C2BD4">
      <w:pPr>
        <w:pStyle w:val="CETBodytext"/>
        <w:numPr>
          <w:ilvl w:val="0"/>
          <w:numId w:val="22"/>
        </w:numPr>
        <w:rPr>
          <w:lang w:val="en-GB"/>
        </w:rPr>
      </w:pPr>
      <w:r>
        <w:rPr>
          <w:lang w:val="en-GB"/>
        </w:rPr>
        <w:t xml:space="preserve">operating </w:t>
      </w:r>
      <w:r w:rsidR="001C2BD4">
        <w:rPr>
          <w:lang w:val="en-GB"/>
        </w:rPr>
        <w:t xml:space="preserve">temperature: </w:t>
      </w:r>
      <w:r>
        <w:rPr>
          <w:lang w:val="en-GB"/>
        </w:rPr>
        <w:t>62.78°C</w:t>
      </w:r>
    </w:p>
    <w:p w14:paraId="099440DE" w14:textId="5F01AB9E" w:rsidR="00E00CD7" w:rsidRDefault="001C2BD4" w:rsidP="001C2BD4">
      <w:pPr>
        <w:pStyle w:val="CETBodytext"/>
        <w:numPr>
          <w:ilvl w:val="0"/>
          <w:numId w:val="22"/>
        </w:numPr>
        <w:rPr>
          <w:lang w:val="en-GB"/>
        </w:rPr>
      </w:pPr>
      <w:r>
        <w:rPr>
          <w:lang w:val="en-GB"/>
        </w:rPr>
        <w:t xml:space="preserve">damage mechanism: thinning due to </w:t>
      </w:r>
      <w:proofErr w:type="spellStart"/>
      <w:r>
        <w:rPr>
          <w:lang w:val="en-GB"/>
        </w:rPr>
        <w:t>sulphidation</w:t>
      </w:r>
      <w:proofErr w:type="spellEnd"/>
    </w:p>
    <w:p w14:paraId="5E21C5A2" w14:textId="5D9C4AE5" w:rsidR="004B0471" w:rsidRDefault="004B0471" w:rsidP="001C2BD4">
      <w:pPr>
        <w:pStyle w:val="CETBodytext"/>
        <w:numPr>
          <w:ilvl w:val="0"/>
          <w:numId w:val="22"/>
        </w:numPr>
        <w:rPr>
          <w:lang w:val="en-GB"/>
        </w:rPr>
      </w:pPr>
      <w:r>
        <w:rPr>
          <w:lang w:val="en-GB"/>
        </w:rPr>
        <w:t>material: carbon steel</w:t>
      </w:r>
    </w:p>
    <w:p w14:paraId="4FF21D84" w14:textId="59F5DF44" w:rsidR="004B0471" w:rsidRDefault="004B0471" w:rsidP="001C2BD4">
      <w:pPr>
        <w:pStyle w:val="CETBodytext"/>
        <w:numPr>
          <w:ilvl w:val="0"/>
          <w:numId w:val="22"/>
        </w:numPr>
        <w:rPr>
          <w:lang w:val="en-GB"/>
        </w:rPr>
      </w:pPr>
      <w:r>
        <w:rPr>
          <w:lang w:val="en-GB"/>
        </w:rPr>
        <w:t xml:space="preserve">inner diameter: </w:t>
      </w:r>
      <w:r w:rsidRPr="004B0471">
        <w:rPr>
          <w:lang w:val="en-GB"/>
        </w:rPr>
        <w:t>1</w:t>
      </w:r>
      <w:r>
        <w:rPr>
          <w:lang w:val="en-GB"/>
        </w:rPr>
        <w:t>.</w:t>
      </w:r>
      <w:r w:rsidRPr="004B0471">
        <w:rPr>
          <w:lang w:val="en-GB"/>
        </w:rPr>
        <w:t>092</w:t>
      </w:r>
      <w:r>
        <w:rPr>
          <w:lang w:val="en-GB"/>
        </w:rPr>
        <w:t xml:space="preserve"> mm</w:t>
      </w:r>
    </w:p>
    <w:p w14:paraId="3631CE57" w14:textId="77777777" w:rsidR="001E59EB" w:rsidRDefault="001E59EB" w:rsidP="00F17A5E">
      <w:pPr>
        <w:pStyle w:val="CETBodytext"/>
        <w:rPr>
          <w:lang w:val="en-GB"/>
        </w:rPr>
      </w:pPr>
      <w:r w:rsidRPr="001E59EB">
        <w:rPr>
          <w:lang w:val="en-GB"/>
        </w:rPr>
        <w:t>The case study represents an idealized situation, which reports information collected in various refineries</w:t>
      </w:r>
      <w:r>
        <w:rPr>
          <w:lang w:val="en-GB"/>
        </w:rPr>
        <w:t>.</w:t>
      </w:r>
    </w:p>
    <w:p w14:paraId="0F323271" w14:textId="4EC907DB" w:rsidR="00F17A5E" w:rsidRPr="007B0782" w:rsidRDefault="004B0471" w:rsidP="00F17A5E">
      <w:pPr>
        <w:pStyle w:val="CETBodytext"/>
        <w:rPr>
          <w:lang w:val="en-GB"/>
        </w:rPr>
      </w:pPr>
      <w:r w:rsidRPr="007B0782">
        <w:rPr>
          <w:noProof/>
          <w:lang w:val="en-GB"/>
        </w:rPr>
        <w:lastRenderedPageBreak/>
        <w:drawing>
          <wp:inline distT="0" distB="0" distL="0" distR="0" wp14:anchorId="4EF9E398" wp14:editId="3A87FD25">
            <wp:extent cx="3693600" cy="3394800"/>
            <wp:effectExtent l="0" t="0" r="254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3600" cy="3394800"/>
                    </a:xfrm>
                    <a:prstGeom prst="rect">
                      <a:avLst/>
                    </a:prstGeom>
                    <a:noFill/>
                  </pic:spPr>
                </pic:pic>
              </a:graphicData>
            </a:graphic>
          </wp:inline>
        </w:drawing>
      </w:r>
    </w:p>
    <w:p w14:paraId="13C5D106" w14:textId="093EF1E9" w:rsidR="00F17A5E" w:rsidRPr="007B0782" w:rsidRDefault="00F17A5E" w:rsidP="00F17A5E">
      <w:pPr>
        <w:pStyle w:val="CETCaption"/>
      </w:pPr>
      <w:r w:rsidRPr="007B0782">
        <w:rPr>
          <w:rStyle w:val="CETCaptionCarattere"/>
          <w:i/>
        </w:rPr>
        <w:t>Figure 2: Fault Tree for the investigation of the overpressure inside the stabilisation column.</w:t>
      </w:r>
    </w:p>
    <w:p w14:paraId="58BD9CD4" w14:textId="77777777" w:rsidR="004E50F1" w:rsidRPr="007B0782" w:rsidRDefault="004E50F1" w:rsidP="004E50F1">
      <w:pPr>
        <w:pStyle w:val="CETTabletitle"/>
      </w:pPr>
      <w:r w:rsidRPr="007B0782">
        <w:t>Table 1: Probabilities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69"/>
        <w:gridCol w:w="1560"/>
      </w:tblGrid>
      <w:tr w:rsidR="007B0782" w:rsidRPr="007B0782" w14:paraId="4F575232" w14:textId="77777777" w:rsidTr="00E5158A">
        <w:tc>
          <w:tcPr>
            <w:tcW w:w="3969" w:type="dxa"/>
            <w:tcBorders>
              <w:top w:val="single" w:sz="12" w:space="0" w:color="008000"/>
              <w:bottom w:val="single" w:sz="6" w:space="0" w:color="008000"/>
            </w:tcBorders>
            <w:shd w:val="clear" w:color="auto" w:fill="FFFFFF"/>
          </w:tcPr>
          <w:p w14:paraId="7D364947" w14:textId="77777777" w:rsidR="004E50F1" w:rsidRPr="007B0782" w:rsidRDefault="004E50F1" w:rsidP="00E5158A">
            <w:pPr>
              <w:pStyle w:val="CETBodytext"/>
              <w:rPr>
                <w:lang w:val="en-GB"/>
              </w:rPr>
            </w:pPr>
            <w:r w:rsidRPr="007B0782">
              <w:rPr>
                <w:lang w:val="en-GB"/>
              </w:rPr>
              <w:t>Event</w:t>
            </w:r>
          </w:p>
        </w:tc>
        <w:tc>
          <w:tcPr>
            <w:tcW w:w="1560" w:type="dxa"/>
            <w:tcBorders>
              <w:top w:val="single" w:sz="12" w:space="0" w:color="008000"/>
              <w:bottom w:val="single" w:sz="6" w:space="0" w:color="008000"/>
            </w:tcBorders>
            <w:shd w:val="clear" w:color="auto" w:fill="FFFFFF"/>
          </w:tcPr>
          <w:p w14:paraId="26A627F3" w14:textId="77777777" w:rsidR="004E50F1" w:rsidRPr="007B0782" w:rsidRDefault="004E50F1" w:rsidP="00E5158A">
            <w:pPr>
              <w:pStyle w:val="CETBodytext"/>
              <w:jc w:val="center"/>
              <w:rPr>
                <w:lang w:val="en-GB"/>
              </w:rPr>
            </w:pPr>
            <w:r w:rsidRPr="007B0782">
              <w:rPr>
                <w:lang w:val="en-GB"/>
              </w:rPr>
              <w:t>Probability</w:t>
            </w:r>
          </w:p>
        </w:tc>
      </w:tr>
      <w:tr w:rsidR="007B0782" w:rsidRPr="007B0782" w14:paraId="365AE8EB" w14:textId="77777777" w:rsidTr="00E5158A">
        <w:tc>
          <w:tcPr>
            <w:tcW w:w="3969" w:type="dxa"/>
            <w:shd w:val="clear" w:color="auto" w:fill="FFFFFF"/>
          </w:tcPr>
          <w:p w14:paraId="63F9157D" w14:textId="77777777" w:rsidR="004E50F1" w:rsidRPr="007B0782" w:rsidRDefault="004E50F1" w:rsidP="00E5158A">
            <w:pPr>
              <w:pStyle w:val="CETBodytext"/>
              <w:rPr>
                <w:lang w:val="en-GB"/>
              </w:rPr>
            </w:pPr>
            <w:r w:rsidRPr="007B0782">
              <w:rPr>
                <w:lang w:val="en-GB"/>
              </w:rPr>
              <w:t>Protection system failures</w:t>
            </w:r>
          </w:p>
        </w:tc>
        <w:tc>
          <w:tcPr>
            <w:tcW w:w="1560" w:type="dxa"/>
            <w:shd w:val="clear" w:color="auto" w:fill="FFFFFF"/>
          </w:tcPr>
          <w:p w14:paraId="65BA47A1" w14:textId="77777777" w:rsidR="004E50F1" w:rsidRPr="007B0782" w:rsidRDefault="004E50F1" w:rsidP="00E5158A">
            <w:pPr>
              <w:pStyle w:val="CETBodytext"/>
              <w:jc w:val="center"/>
              <w:rPr>
                <w:vertAlign w:val="superscript"/>
                <w:lang w:val="en-GB"/>
              </w:rPr>
            </w:pPr>
            <w:r w:rsidRPr="007B0782">
              <w:rPr>
                <w:lang w:val="en-GB"/>
              </w:rPr>
              <w:t>1.30</w:t>
            </w:r>
            <w:r w:rsidRPr="007B0782">
              <w:rPr>
                <w:rFonts w:cs="Arial"/>
                <w:lang w:val="en-GB"/>
              </w:rPr>
              <w:t>∙</w:t>
            </w:r>
            <w:r w:rsidRPr="007B0782">
              <w:rPr>
                <w:lang w:val="en-GB"/>
              </w:rPr>
              <w:t>10</w:t>
            </w:r>
            <w:r w:rsidRPr="007B0782">
              <w:rPr>
                <w:vertAlign w:val="superscript"/>
                <w:lang w:val="en-GB"/>
              </w:rPr>
              <w:t>-8</w:t>
            </w:r>
          </w:p>
        </w:tc>
      </w:tr>
      <w:tr w:rsidR="007B0782" w:rsidRPr="007B0782" w14:paraId="02F1868F" w14:textId="77777777" w:rsidTr="00E5158A">
        <w:tc>
          <w:tcPr>
            <w:tcW w:w="3969" w:type="dxa"/>
            <w:shd w:val="clear" w:color="auto" w:fill="FFFFFF"/>
          </w:tcPr>
          <w:p w14:paraId="58A65BC2" w14:textId="77777777" w:rsidR="004E50F1" w:rsidRPr="007B0782" w:rsidRDefault="004E50F1" w:rsidP="00E5158A">
            <w:pPr>
              <w:pStyle w:val="CETBodytext"/>
              <w:rPr>
                <w:lang w:val="en-GB"/>
              </w:rPr>
            </w:pPr>
            <w:r w:rsidRPr="007B0782">
              <w:rPr>
                <w:lang w:val="en-GB"/>
              </w:rPr>
              <w:t>Causes of failure</w:t>
            </w:r>
          </w:p>
        </w:tc>
        <w:tc>
          <w:tcPr>
            <w:tcW w:w="1560" w:type="dxa"/>
            <w:shd w:val="clear" w:color="auto" w:fill="FFFFFF"/>
          </w:tcPr>
          <w:p w14:paraId="011AF9E5" w14:textId="77777777" w:rsidR="004E50F1" w:rsidRPr="007B0782" w:rsidRDefault="004E50F1" w:rsidP="00E5158A">
            <w:pPr>
              <w:pStyle w:val="CETBodytext"/>
              <w:jc w:val="center"/>
              <w:rPr>
                <w:lang w:val="en-GB"/>
              </w:rPr>
            </w:pPr>
            <w:r w:rsidRPr="007B0782">
              <w:rPr>
                <w:lang w:val="en-GB"/>
              </w:rPr>
              <w:t>1.44</w:t>
            </w:r>
            <w:r w:rsidRPr="007B0782">
              <w:rPr>
                <w:rFonts w:cs="Arial"/>
                <w:lang w:val="en-GB"/>
              </w:rPr>
              <w:t>∙</w:t>
            </w:r>
            <w:r w:rsidRPr="007B0782">
              <w:rPr>
                <w:lang w:val="en-GB"/>
              </w:rPr>
              <w:t>10</w:t>
            </w:r>
            <w:r w:rsidRPr="007B0782">
              <w:rPr>
                <w:vertAlign w:val="superscript"/>
                <w:lang w:val="en-GB"/>
              </w:rPr>
              <w:t>-3</w:t>
            </w:r>
          </w:p>
        </w:tc>
      </w:tr>
    </w:tbl>
    <w:p w14:paraId="06C3D08E" w14:textId="77777777" w:rsidR="004E50F1" w:rsidRPr="007B0782" w:rsidRDefault="004E50F1" w:rsidP="004E50F1">
      <w:pPr>
        <w:pStyle w:val="CETTabletitle"/>
      </w:pPr>
      <w:r w:rsidRPr="007B0782">
        <w:t>Table 2: Probability of random failures of heat exchanger (API; 2016b) (failures/year)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1417"/>
        <w:gridCol w:w="1417"/>
        <w:gridCol w:w="1418"/>
        <w:gridCol w:w="1417"/>
        <w:gridCol w:w="1418"/>
      </w:tblGrid>
      <w:tr w:rsidR="007B0782" w:rsidRPr="007B0782" w14:paraId="28F59F12" w14:textId="77777777" w:rsidTr="00E5158A">
        <w:tc>
          <w:tcPr>
            <w:tcW w:w="1560" w:type="dxa"/>
            <w:tcBorders>
              <w:top w:val="single" w:sz="12" w:space="0" w:color="008000"/>
              <w:bottom w:val="single" w:sz="6" w:space="0" w:color="008000"/>
            </w:tcBorders>
            <w:shd w:val="clear" w:color="auto" w:fill="FFFFFF"/>
          </w:tcPr>
          <w:p w14:paraId="212483D5" w14:textId="77777777" w:rsidR="004E50F1" w:rsidRPr="007B0782" w:rsidRDefault="004E50F1" w:rsidP="00E5158A">
            <w:pPr>
              <w:pStyle w:val="CETBodytext"/>
              <w:rPr>
                <w:lang w:val="en-GB"/>
              </w:rPr>
            </w:pPr>
            <w:r w:rsidRPr="007B0782">
              <w:rPr>
                <w:lang w:val="en-GB"/>
              </w:rPr>
              <w:t>Component</w:t>
            </w:r>
          </w:p>
        </w:tc>
        <w:tc>
          <w:tcPr>
            <w:tcW w:w="1417" w:type="dxa"/>
            <w:tcBorders>
              <w:top w:val="single" w:sz="12" w:space="0" w:color="008000"/>
              <w:bottom w:val="single" w:sz="6" w:space="0" w:color="008000"/>
            </w:tcBorders>
            <w:shd w:val="clear" w:color="auto" w:fill="FFFFFF"/>
          </w:tcPr>
          <w:p w14:paraId="10E23BF9" w14:textId="77777777" w:rsidR="004E50F1" w:rsidRPr="007B0782" w:rsidRDefault="004E50F1" w:rsidP="00E5158A">
            <w:pPr>
              <w:pStyle w:val="CETBodytext"/>
              <w:jc w:val="center"/>
              <w:rPr>
                <w:lang w:val="en-GB"/>
              </w:rPr>
            </w:pPr>
            <w:r w:rsidRPr="007B0782">
              <w:t xml:space="preserve">Small </w:t>
            </w:r>
          </w:p>
        </w:tc>
        <w:tc>
          <w:tcPr>
            <w:tcW w:w="1417" w:type="dxa"/>
            <w:tcBorders>
              <w:top w:val="single" w:sz="12" w:space="0" w:color="008000"/>
              <w:bottom w:val="single" w:sz="6" w:space="0" w:color="008000"/>
            </w:tcBorders>
            <w:shd w:val="clear" w:color="auto" w:fill="FFFFFF"/>
          </w:tcPr>
          <w:p w14:paraId="522385AA" w14:textId="77777777" w:rsidR="004E50F1" w:rsidRPr="007B0782" w:rsidRDefault="004E50F1" w:rsidP="00E5158A">
            <w:pPr>
              <w:pStyle w:val="CETBodytext"/>
              <w:jc w:val="center"/>
              <w:rPr>
                <w:lang w:val="en-GB"/>
              </w:rPr>
            </w:pPr>
            <w:r w:rsidRPr="007B0782">
              <w:t xml:space="preserve">Medium </w:t>
            </w:r>
          </w:p>
        </w:tc>
        <w:tc>
          <w:tcPr>
            <w:tcW w:w="1418" w:type="dxa"/>
            <w:tcBorders>
              <w:top w:val="single" w:sz="12" w:space="0" w:color="008000"/>
              <w:bottom w:val="single" w:sz="6" w:space="0" w:color="008000"/>
            </w:tcBorders>
            <w:shd w:val="clear" w:color="auto" w:fill="FFFFFF"/>
          </w:tcPr>
          <w:p w14:paraId="37CBAC2A" w14:textId="77777777" w:rsidR="004E50F1" w:rsidRPr="007B0782" w:rsidRDefault="004E50F1" w:rsidP="00E5158A">
            <w:pPr>
              <w:pStyle w:val="CETBodytext"/>
              <w:jc w:val="center"/>
              <w:rPr>
                <w:lang w:val="en-GB"/>
              </w:rPr>
            </w:pPr>
            <w:r w:rsidRPr="007B0782">
              <w:t>Large</w:t>
            </w:r>
          </w:p>
        </w:tc>
        <w:tc>
          <w:tcPr>
            <w:tcW w:w="1417" w:type="dxa"/>
            <w:tcBorders>
              <w:top w:val="single" w:sz="12" w:space="0" w:color="008000"/>
              <w:bottom w:val="single" w:sz="6" w:space="0" w:color="008000"/>
            </w:tcBorders>
            <w:shd w:val="clear" w:color="auto" w:fill="FFFFFF"/>
          </w:tcPr>
          <w:p w14:paraId="1B98A632" w14:textId="77777777" w:rsidR="004E50F1" w:rsidRPr="007B0782" w:rsidRDefault="004E50F1" w:rsidP="00E5158A">
            <w:pPr>
              <w:pStyle w:val="CETBodytext"/>
              <w:jc w:val="center"/>
              <w:rPr>
                <w:lang w:val="en-GB"/>
              </w:rPr>
            </w:pPr>
            <w:r w:rsidRPr="007B0782">
              <w:t xml:space="preserve">Rupture </w:t>
            </w:r>
          </w:p>
        </w:tc>
        <w:tc>
          <w:tcPr>
            <w:tcW w:w="1418" w:type="dxa"/>
            <w:tcBorders>
              <w:top w:val="single" w:sz="12" w:space="0" w:color="008000"/>
              <w:bottom w:val="single" w:sz="6" w:space="0" w:color="008000"/>
            </w:tcBorders>
            <w:shd w:val="clear" w:color="auto" w:fill="FFFFFF"/>
          </w:tcPr>
          <w:p w14:paraId="4A2C84F6" w14:textId="77777777" w:rsidR="004E50F1" w:rsidRPr="007B0782" w:rsidRDefault="004E50F1" w:rsidP="00E5158A">
            <w:pPr>
              <w:pStyle w:val="CETBodytext"/>
              <w:jc w:val="center"/>
              <w:rPr>
                <w:lang w:val="en-GB"/>
              </w:rPr>
            </w:pPr>
            <w:r w:rsidRPr="007B0782">
              <w:t>Total</w:t>
            </w:r>
          </w:p>
        </w:tc>
      </w:tr>
      <w:tr w:rsidR="007B0782" w:rsidRPr="007B0782" w14:paraId="2421FD95" w14:textId="77777777" w:rsidTr="00E5158A">
        <w:tc>
          <w:tcPr>
            <w:tcW w:w="1560" w:type="dxa"/>
            <w:shd w:val="clear" w:color="auto" w:fill="FFFFFF"/>
          </w:tcPr>
          <w:p w14:paraId="71E436E0" w14:textId="655394F3" w:rsidR="004E50F1" w:rsidRPr="007B0782" w:rsidRDefault="004E50F1" w:rsidP="00E5158A">
            <w:pPr>
              <w:pStyle w:val="CETBodytext"/>
              <w:rPr>
                <w:lang w:val="it-IT"/>
              </w:rPr>
            </w:pPr>
            <w:r w:rsidRPr="007B0782">
              <w:rPr>
                <w:lang w:val="it-IT"/>
              </w:rPr>
              <w:t>Shell</w:t>
            </w:r>
            <w:r w:rsidR="001C2BD4" w:rsidRPr="007B0782">
              <w:rPr>
                <w:lang w:val="it-IT"/>
              </w:rPr>
              <w:t xml:space="preserve"> (</w:t>
            </w:r>
            <w:proofErr w:type="spellStart"/>
            <w:r w:rsidR="001C2BD4" w:rsidRPr="007B0782">
              <w:rPr>
                <w:lang w:val="it-IT"/>
              </w:rPr>
              <w:t>inner</w:t>
            </w:r>
            <w:proofErr w:type="spellEnd"/>
            <w:r w:rsidR="001C2BD4" w:rsidRPr="007B0782">
              <w:rPr>
                <w:lang w:val="it-IT"/>
              </w:rPr>
              <w:t xml:space="preserve"> </w:t>
            </w:r>
            <w:proofErr w:type="spellStart"/>
            <w:r w:rsidR="001C2BD4" w:rsidRPr="007B0782">
              <w:rPr>
                <w:lang w:val="it-IT"/>
              </w:rPr>
              <w:t>wall</w:t>
            </w:r>
            <w:proofErr w:type="spellEnd"/>
            <w:r w:rsidR="001C2BD4" w:rsidRPr="007B0782">
              <w:rPr>
                <w:lang w:val="it-IT"/>
              </w:rPr>
              <w:t>)</w:t>
            </w:r>
            <w:r w:rsidR="00423409" w:rsidRPr="007B0782">
              <w:rPr>
                <w:lang w:val="it-IT"/>
              </w:rPr>
              <w:t xml:space="preserve"> </w:t>
            </w:r>
          </w:p>
        </w:tc>
        <w:tc>
          <w:tcPr>
            <w:tcW w:w="1417" w:type="dxa"/>
            <w:shd w:val="clear" w:color="auto" w:fill="FFFFFF"/>
          </w:tcPr>
          <w:p w14:paraId="5B1A1833" w14:textId="77777777" w:rsidR="004E50F1" w:rsidRPr="007B0782" w:rsidRDefault="004E50F1" w:rsidP="00E5158A">
            <w:pPr>
              <w:pStyle w:val="CETBodytext"/>
              <w:ind w:right="-1"/>
              <w:jc w:val="center"/>
              <w:rPr>
                <w:rFonts w:cs="Arial"/>
                <w:szCs w:val="18"/>
                <w:lang w:val="en-GB"/>
              </w:rPr>
            </w:pPr>
            <w:r w:rsidRPr="007B0782">
              <w:rPr>
                <w:rFonts w:cs="Arial"/>
                <w:szCs w:val="18"/>
                <w:lang w:val="en-GB"/>
              </w:rPr>
              <w:t>8.00 10</w:t>
            </w:r>
            <w:r w:rsidRPr="007B0782">
              <w:rPr>
                <w:rFonts w:cs="Arial"/>
                <w:szCs w:val="18"/>
                <w:vertAlign w:val="superscript"/>
                <w:lang w:val="en-GB"/>
              </w:rPr>
              <w:t>-6</w:t>
            </w:r>
            <w:r w:rsidRPr="007B0782">
              <w:rPr>
                <w:rFonts w:cs="Arial"/>
                <w:szCs w:val="18"/>
                <w:lang w:val="en-GB"/>
              </w:rPr>
              <w:t xml:space="preserve"> </w:t>
            </w:r>
          </w:p>
        </w:tc>
        <w:tc>
          <w:tcPr>
            <w:tcW w:w="1417" w:type="dxa"/>
            <w:shd w:val="clear" w:color="auto" w:fill="FFFFFF"/>
          </w:tcPr>
          <w:p w14:paraId="131F3ADD" w14:textId="77777777" w:rsidR="004E50F1" w:rsidRPr="007B0782" w:rsidRDefault="004E50F1" w:rsidP="00E5158A">
            <w:pPr>
              <w:pStyle w:val="CETBodytext"/>
              <w:ind w:right="-1"/>
              <w:jc w:val="center"/>
              <w:rPr>
                <w:rFonts w:cs="Arial"/>
                <w:szCs w:val="18"/>
                <w:lang w:val="en-GB"/>
              </w:rPr>
            </w:pPr>
            <w:r w:rsidRPr="007B0782">
              <w:rPr>
                <w:rFonts w:cs="Arial"/>
                <w:szCs w:val="18"/>
                <w:lang w:val="en-GB"/>
              </w:rPr>
              <w:t>2.00 10</w:t>
            </w:r>
            <w:r w:rsidRPr="007B0782">
              <w:rPr>
                <w:rFonts w:cs="Arial"/>
                <w:szCs w:val="18"/>
                <w:vertAlign w:val="superscript"/>
                <w:lang w:val="en-GB"/>
              </w:rPr>
              <w:t>-5</w:t>
            </w:r>
            <w:r w:rsidRPr="007B0782">
              <w:rPr>
                <w:rFonts w:cs="Arial"/>
                <w:szCs w:val="18"/>
                <w:lang w:val="en-GB"/>
              </w:rPr>
              <w:t xml:space="preserve"> </w:t>
            </w:r>
          </w:p>
        </w:tc>
        <w:tc>
          <w:tcPr>
            <w:tcW w:w="1418" w:type="dxa"/>
            <w:shd w:val="clear" w:color="auto" w:fill="FFFFFF"/>
          </w:tcPr>
          <w:p w14:paraId="3021FE10" w14:textId="77777777" w:rsidR="004E50F1" w:rsidRPr="007B0782" w:rsidRDefault="004E50F1" w:rsidP="00E5158A">
            <w:pPr>
              <w:pStyle w:val="CETBodytext"/>
              <w:ind w:right="-1"/>
              <w:jc w:val="center"/>
              <w:rPr>
                <w:rFonts w:cs="Arial"/>
                <w:szCs w:val="18"/>
                <w:lang w:val="en-GB"/>
              </w:rPr>
            </w:pPr>
            <w:r w:rsidRPr="007B0782">
              <w:rPr>
                <w:rFonts w:cs="Arial"/>
                <w:szCs w:val="18"/>
                <w:lang w:val="en-GB"/>
              </w:rPr>
              <w:t>2.00 10</w:t>
            </w:r>
            <w:r w:rsidRPr="007B0782">
              <w:rPr>
                <w:rFonts w:cs="Arial"/>
                <w:szCs w:val="18"/>
                <w:vertAlign w:val="superscript"/>
                <w:lang w:val="en-GB"/>
              </w:rPr>
              <w:t>-6</w:t>
            </w:r>
            <w:r w:rsidRPr="007B0782">
              <w:rPr>
                <w:rFonts w:cs="Arial"/>
                <w:szCs w:val="18"/>
                <w:lang w:val="en-GB"/>
              </w:rPr>
              <w:t xml:space="preserve"> </w:t>
            </w:r>
          </w:p>
        </w:tc>
        <w:tc>
          <w:tcPr>
            <w:tcW w:w="1417" w:type="dxa"/>
            <w:shd w:val="clear" w:color="auto" w:fill="FFFFFF"/>
          </w:tcPr>
          <w:p w14:paraId="231C741F" w14:textId="77777777" w:rsidR="004E50F1" w:rsidRPr="007B0782" w:rsidRDefault="004E50F1" w:rsidP="00E5158A">
            <w:pPr>
              <w:pStyle w:val="CETBodytext"/>
              <w:ind w:right="-1"/>
              <w:jc w:val="center"/>
              <w:rPr>
                <w:rFonts w:cs="Arial"/>
                <w:szCs w:val="18"/>
                <w:lang w:val="en-GB"/>
              </w:rPr>
            </w:pPr>
            <w:r w:rsidRPr="007B0782">
              <w:rPr>
                <w:rFonts w:cs="Arial"/>
                <w:szCs w:val="18"/>
                <w:lang w:val="en-GB"/>
              </w:rPr>
              <w:t>6.00 10</w:t>
            </w:r>
            <w:r w:rsidRPr="007B0782">
              <w:rPr>
                <w:rFonts w:cs="Arial"/>
                <w:szCs w:val="18"/>
                <w:vertAlign w:val="superscript"/>
                <w:lang w:val="en-GB"/>
              </w:rPr>
              <w:t>-7</w:t>
            </w:r>
            <w:r w:rsidRPr="007B0782">
              <w:rPr>
                <w:rFonts w:cs="Arial"/>
                <w:szCs w:val="18"/>
                <w:lang w:val="en-GB"/>
              </w:rPr>
              <w:t xml:space="preserve"> </w:t>
            </w:r>
          </w:p>
        </w:tc>
        <w:tc>
          <w:tcPr>
            <w:tcW w:w="1418" w:type="dxa"/>
            <w:shd w:val="clear" w:color="auto" w:fill="FFFFFF"/>
          </w:tcPr>
          <w:p w14:paraId="159F879B" w14:textId="77777777" w:rsidR="004E50F1" w:rsidRPr="007B0782" w:rsidRDefault="004E50F1" w:rsidP="00E5158A">
            <w:pPr>
              <w:pStyle w:val="CETBodytext"/>
              <w:ind w:right="-1"/>
              <w:jc w:val="center"/>
              <w:rPr>
                <w:rFonts w:cs="Arial"/>
                <w:szCs w:val="18"/>
                <w:lang w:val="en-GB"/>
              </w:rPr>
            </w:pPr>
            <w:r w:rsidRPr="007B0782">
              <w:rPr>
                <w:rFonts w:cs="Arial"/>
                <w:szCs w:val="18"/>
                <w:lang w:val="en-GB"/>
              </w:rPr>
              <w:t>3.06 10</w:t>
            </w:r>
            <w:r w:rsidRPr="007B0782">
              <w:rPr>
                <w:rFonts w:cs="Arial"/>
                <w:szCs w:val="18"/>
                <w:vertAlign w:val="superscript"/>
                <w:lang w:val="en-GB"/>
              </w:rPr>
              <w:t>-5</w:t>
            </w:r>
          </w:p>
        </w:tc>
      </w:tr>
      <w:tr w:rsidR="001C2BD4" w:rsidRPr="007B0782" w14:paraId="1CE1E765" w14:textId="77777777" w:rsidTr="00E5158A">
        <w:tc>
          <w:tcPr>
            <w:tcW w:w="1560" w:type="dxa"/>
            <w:shd w:val="clear" w:color="auto" w:fill="FFFFFF"/>
          </w:tcPr>
          <w:p w14:paraId="5499F63E" w14:textId="52862CE8" w:rsidR="001C2BD4" w:rsidRPr="007B0782" w:rsidRDefault="001C2BD4" w:rsidP="001C2BD4">
            <w:pPr>
              <w:pStyle w:val="CETBodytext"/>
              <w:rPr>
                <w:lang w:val="it-IT"/>
              </w:rPr>
            </w:pPr>
            <w:r w:rsidRPr="007B0782">
              <w:rPr>
                <w:lang w:val="it-IT"/>
              </w:rPr>
              <w:t>Shell (</w:t>
            </w:r>
            <w:proofErr w:type="spellStart"/>
            <w:r w:rsidRPr="007B0782">
              <w:rPr>
                <w:lang w:val="it-IT"/>
              </w:rPr>
              <w:t>outer</w:t>
            </w:r>
            <w:proofErr w:type="spellEnd"/>
            <w:r w:rsidRPr="007B0782">
              <w:rPr>
                <w:lang w:val="it-IT"/>
              </w:rPr>
              <w:t xml:space="preserve"> </w:t>
            </w:r>
            <w:proofErr w:type="spellStart"/>
            <w:r w:rsidRPr="007B0782">
              <w:rPr>
                <w:lang w:val="it-IT"/>
              </w:rPr>
              <w:t>wall</w:t>
            </w:r>
            <w:proofErr w:type="spellEnd"/>
            <w:r w:rsidRPr="007B0782">
              <w:rPr>
                <w:lang w:val="it-IT"/>
              </w:rPr>
              <w:t>)</w:t>
            </w:r>
          </w:p>
        </w:tc>
        <w:tc>
          <w:tcPr>
            <w:tcW w:w="1417" w:type="dxa"/>
            <w:shd w:val="clear" w:color="auto" w:fill="FFFFFF"/>
          </w:tcPr>
          <w:p w14:paraId="31889E29" w14:textId="7109DF15" w:rsidR="001C2BD4" w:rsidRPr="007B0782" w:rsidRDefault="001C2BD4" w:rsidP="001C2BD4">
            <w:pPr>
              <w:pStyle w:val="CETBodytext"/>
              <w:ind w:right="-1"/>
              <w:jc w:val="center"/>
              <w:rPr>
                <w:rFonts w:cs="Arial"/>
                <w:szCs w:val="18"/>
                <w:lang w:val="en-GB"/>
              </w:rPr>
            </w:pPr>
            <w:r w:rsidRPr="007B0782">
              <w:rPr>
                <w:rFonts w:cs="Arial"/>
                <w:szCs w:val="18"/>
                <w:lang w:val="en-GB"/>
              </w:rPr>
              <w:t>8.00 10</w:t>
            </w:r>
            <w:r w:rsidRPr="007B0782">
              <w:rPr>
                <w:rFonts w:cs="Arial"/>
                <w:szCs w:val="18"/>
                <w:vertAlign w:val="superscript"/>
                <w:lang w:val="en-GB"/>
              </w:rPr>
              <w:t>-6</w:t>
            </w:r>
            <w:r w:rsidRPr="007B0782">
              <w:rPr>
                <w:rFonts w:cs="Arial"/>
                <w:szCs w:val="18"/>
                <w:lang w:val="en-GB"/>
              </w:rPr>
              <w:t xml:space="preserve"> </w:t>
            </w:r>
          </w:p>
        </w:tc>
        <w:tc>
          <w:tcPr>
            <w:tcW w:w="1417" w:type="dxa"/>
            <w:shd w:val="clear" w:color="auto" w:fill="FFFFFF"/>
          </w:tcPr>
          <w:p w14:paraId="61286B7A" w14:textId="22C013EE" w:rsidR="001C2BD4" w:rsidRPr="007B0782" w:rsidRDefault="001C2BD4" w:rsidP="001C2BD4">
            <w:pPr>
              <w:pStyle w:val="CETBodytext"/>
              <w:ind w:right="-1"/>
              <w:jc w:val="center"/>
              <w:rPr>
                <w:rFonts w:cs="Arial"/>
                <w:szCs w:val="18"/>
                <w:lang w:val="en-GB"/>
              </w:rPr>
            </w:pPr>
            <w:r w:rsidRPr="007B0782">
              <w:rPr>
                <w:rFonts w:cs="Arial"/>
                <w:szCs w:val="18"/>
                <w:lang w:val="en-GB"/>
              </w:rPr>
              <w:t>2.00 10</w:t>
            </w:r>
            <w:r w:rsidRPr="007B0782">
              <w:rPr>
                <w:rFonts w:cs="Arial"/>
                <w:szCs w:val="18"/>
                <w:vertAlign w:val="superscript"/>
                <w:lang w:val="en-GB"/>
              </w:rPr>
              <w:t>-5</w:t>
            </w:r>
            <w:r w:rsidRPr="007B0782">
              <w:rPr>
                <w:rFonts w:cs="Arial"/>
                <w:szCs w:val="18"/>
                <w:lang w:val="en-GB"/>
              </w:rPr>
              <w:t xml:space="preserve"> </w:t>
            </w:r>
          </w:p>
        </w:tc>
        <w:tc>
          <w:tcPr>
            <w:tcW w:w="1418" w:type="dxa"/>
            <w:shd w:val="clear" w:color="auto" w:fill="FFFFFF"/>
          </w:tcPr>
          <w:p w14:paraId="66B00654" w14:textId="3DC94922" w:rsidR="001C2BD4" w:rsidRPr="007B0782" w:rsidRDefault="001C2BD4" w:rsidP="001C2BD4">
            <w:pPr>
              <w:pStyle w:val="CETBodytext"/>
              <w:ind w:right="-1"/>
              <w:jc w:val="center"/>
              <w:rPr>
                <w:rFonts w:cs="Arial"/>
                <w:szCs w:val="18"/>
                <w:lang w:val="en-GB"/>
              </w:rPr>
            </w:pPr>
            <w:r w:rsidRPr="007B0782">
              <w:rPr>
                <w:rFonts w:cs="Arial"/>
                <w:szCs w:val="18"/>
                <w:lang w:val="en-GB"/>
              </w:rPr>
              <w:t>2.00 10</w:t>
            </w:r>
            <w:r w:rsidRPr="007B0782">
              <w:rPr>
                <w:rFonts w:cs="Arial"/>
                <w:szCs w:val="18"/>
                <w:vertAlign w:val="superscript"/>
                <w:lang w:val="en-GB"/>
              </w:rPr>
              <w:t>-6</w:t>
            </w:r>
            <w:r w:rsidRPr="007B0782">
              <w:rPr>
                <w:rFonts w:cs="Arial"/>
                <w:szCs w:val="18"/>
                <w:lang w:val="en-GB"/>
              </w:rPr>
              <w:t xml:space="preserve"> </w:t>
            </w:r>
          </w:p>
        </w:tc>
        <w:tc>
          <w:tcPr>
            <w:tcW w:w="1417" w:type="dxa"/>
            <w:shd w:val="clear" w:color="auto" w:fill="FFFFFF"/>
          </w:tcPr>
          <w:p w14:paraId="09EFAAA6" w14:textId="6E07759D" w:rsidR="001C2BD4" w:rsidRPr="007B0782" w:rsidRDefault="001C2BD4" w:rsidP="001C2BD4">
            <w:pPr>
              <w:pStyle w:val="CETBodytext"/>
              <w:ind w:right="-1"/>
              <w:jc w:val="center"/>
              <w:rPr>
                <w:rFonts w:cs="Arial"/>
                <w:szCs w:val="18"/>
                <w:lang w:val="en-GB"/>
              </w:rPr>
            </w:pPr>
            <w:r w:rsidRPr="007B0782">
              <w:rPr>
                <w:rFonts w:cs="Arial"/>
                <w:szCs w:val="18"/>
                <w:lang w:val="en-GB"/>
              </w:rPr>
              <w:t>6.00 10</w:t>
            </w:r>
            <w:r w:rsidRPr="007B0782">
              <w:rPr>
                <w:rFonts w:cs="Arial"/>
                <w:szCs w:val="18"/>
                <w:vertAlign w:val="superscript"/>
                <w:lang w:val="en-GB"/>
              </w:rPr>
              <w:t>-7</w:t>
            </w:r>
            <w:r w:rsidRPr="007B0782">
              <w:rPr>
                <w:rFonts w:cs="Arial"/>
                <w:szCs w:val="18"/>
                <w:lang w:val="en-GB"/>
              </w:rPr>
              <w:t xml:space="preserve"> </w:t>
            </w:r>
          </w:p>
        </w:tc>
        <w:tc>
          <w:tcPr>
            <w:tcW w:w="1418" w:type="dxa"/>
            <w:shd w:val="clear" w:color="auto" w:fill="FFFFFF"/>
          </w:tcPr>
          <w:p w14:paraId="4A724585" w14:textId="2F380731" w:rsidR="001C2BD4" w:rsidRPr="007B0782" w:rsidRDefault="001C2BD4" w:rsidP="001C2BD4">
            <w:pPr>
              <w:pStyle w:val="CETBodytext"/>
              <w:ind w:right="-1"/>
              <w:jc w:val="center"/>
              <w:rPr>
                <w:rFonts w:cs="Arial"/>
                <w:szCs w:val="18"/>
                <w:lang w:val="en-GB"/>
              </w:rPr>
            </w:pPr>
            <w:r w:rsidRPr="007B0782">
              <w:rPr>
                <w:rFonts w:cs="Arial"/>
                <w:szCs w:val="18"/>
                <w:lang w:val="en-GB"/>
              </w:rPr>
              <w:t>3.06 10</w:t>
            </w:r>
            <w:r w:rsidRPr="007B0782">
              <w:rPr>
                <w:rFonts w:cs="Arial"/>
                <w:szCs w:val="18"/>
                <w:vertAlign w:val="superscript"/>
                <w:lang w:val="en-GB"/>
              </w:rPr>
              <w:t>-5</w:t>
            </w:r>
          </w:p>
        </w:tc>
      </w:tr>
      <w:tr w:rsidR="007B0782" w:rsidRPr="007B0782" w14:paraId="25EAD80D" w14:textId="77777777" w:rsidTr="00E5158A">
        <w:tc>
          <w:tcPr>
            <w:tcW w:w="1560" w:type="dxa"/>
            <w:shd w:val="clear" w:color="auto" w:fill="FFFFFF"/>
          </w:tcPr>
          <w:p w14:paraId="470A006A" w14:textId="77777777" w:rsidR="004E50F1" w:rsidRPr="007B0782" w:rsidRDefault="004E50F1" w:rsidP="00E5158A">
            <w:pPr>
              <w:pStyle w:val="CETBodytext"/>
              <w:ind w:right="-1"/>
              <w:rPr>
                <w:rFonts w:cs="Arial"/>
                <w:szCs w:val="18"/>
                <w:lang w:val="en-GB"/>
              </w:rPr>
            </w:pPr>
            <w:r w:rsidRPr="007B0782">
              <w:rPr>
                <w:rFonts w:cs="Arial"/>
                <w:szCs w:val="18"/>
                <w:lang w:val="en-GB"/>
              </w:rPr>
              <w:t>Tubes</w:t>
            </w:r>
          </w:p>
        </w:tc>
        <w:tc>
          <w:tcPr>
            <w:tcW w:w="1417" w:type="dxa"/>
            <w:shd w:val="clear" w:color="auto" w:fill="FFFFFF"/>
          </w:tcPr>
          <w:p w14:paraId="65BEC0B1" w14:textId="77777777" w:rsidR="004E50F1" w:rsidRPr="007B0782" w:rsidRDefault="004E50F1" w:rsidP="00E5158A">
            <w:pPr>
              <w:pStyle w:val="CETBodytext"/>
              <w:ind w:right="-1"/>
              <w:jc w:val="center"/>
              <w:rPr>
                <w:rFonts w:cs="Arial"/>
                <w:i/>
                <w:iCs/>
                <w:szCs w:val="18"/>
                <w:lang w:val="en-GB"/>
              </w:rPr>
            </w:pPr>
            <w:r w:rsidRPr="007B0782">
              <w:rPr>
                <w:rFonts w:cs="Arial"/>
                <w:szCs w:val="18"/>
                <w:lang w:val="en-GB"/>
              </w:rPr>
              <w:t>8.00 10</w:t>
            </w:r>
            <w:r w:rsidRPr="007B0782">
              <w:rPr>
                <w:rFonts w:cs="Arial"/>
                <w:szCs w:val="18"/>
                <w:vertAlign w:val="superscript"/>
                <w:lang w:val="en-GB"/>
              </w:rPr>
              <w:t>-6</w:t>
            </w:r>
            <w:r w:rsidRPr="007B0782">
              <w:rPr>
                <w:rFonts w:cs="Arial"/>
                <w:szCs w:val="18"/>
                <w:lang w:val="en-GB"/>
              </w:rPr>
              <w:t xml:space="preserve"> </w:t>
            </w:r>
          </w:p>
        </w:tc>
        <w:tc>
          <w:tcPr>
            <w:tcW w:w="1417" w:type="dxa"/>
            <w:shd w:val="clear" w:color="auto" w:fill="FFFFFF"/>
          </w:tcPr>
          <w:p w14:paraId="61F32C80" w14:textId="77777777" w:rsidR="004E50F1" w:rsidRPr="007B0782" w:rsidRDefault="004E50F1" w:rsidP="00E5158A">
            <w:pPr>
              <w:pStyle w:val="CETBodytext"/>
              <w:ind w:right="-1"/>
              <w:jc w:val="center"/>
              <w:rPr>
                <w:rFonts w:cs="Arial"/>
                <w:i/>
                <w:iCs/>
                <w:szCs w:val="18"/>
                <w:lang w:val="en-GB"/>
              </w:rPr>
            </w:pPr>
            <w:r w:rsidRPr="007B0782">
              <w:rPr>
                <w:rFonts w:cs="Arial"/>
                <w:szCs w:val="18"/>
                <w:lang w:val="en-GB"/>
              </w:rPr>
              <w:t>2.00 10</w:t>
            </w:r>
            <w:r w:rsidRPr="007B0782">
              <w:rPr>
                <w:rFonts w:cs="Arial"/>
                <w:szCs w:val="18"/>
                <w:vertAlign w:val="superscript"/>
                <w:lang w:val="en-GB"/>
              </w:rPr>
              <w:t>-5</w:t>
            </w:r>
            <w:r w:rsidRPr="007B0782">
              <w:rPr>
                <w:rFonts w:cs="Arial"/>
                <w:szCs w:val="18"/>
                <w:lang w:val="en-GB"/>
              </w:rPr>
              <w:t xml:space="preserve"> </w:t>
            </w:r>
          </w:p>
        </w:tc>
        <w:tc>
          <w:tcPr>
            <w:tcW w:w="1418" w:type="dxa"/>
            <w:shd w:val="clear" w:color="auto" w:fill="FFFFFF"/>
          </w:tcPr>
          <w:p w14:paraId="48FF2169" w14:textId="77777777" w:rsidR="004E50F1" w:rsidRPr="007B0782" w:rsidRDefault="004E50F1" w:rsidP="00E5158A">
            <w:pPr>
              <w:pStyle w:val="CETBodytext"/>
              <w:ind w:right="-1"/>
              <w:jc w:val="center"/>
              <w:rPr>
                <w:rFonts w:cs="Arial"/>
                <w:i/>
                <w:iCs/>
                <w:szCs w:val="18"/>
                <w:lang w:val="en-GB"/>
              </w:rPr>
            </w:pPr>
            <w:r w:rsidRPr="007B0782">
              <w:rPr>
                <w:rFonts w:cs="Arial"/>
                <w:szCs w:val="18"/>
                <w:lang w:val="en-GB"/>
              </w:rPr>
              <w:t>2.00 10</w:t>
            </w:r>
            <w:r w:rsidRPr="007B0782">
              <w:rPr>
                <w:rFonts w:cs="Arial"/>
                <w:szCs w:val="18"/>
                <w:vertAlign w:val="superscript"/>
                <w:lang w:val="en-GB"/>
              </w:rPr>
              <w:t>-6</w:t>
            </w:r>
            <w:r w:rsidRPr="007B0782">
              <w:rPr>
                <w:rFonts w:cs="Arial"/>
                <w:szCs w:val="18"/>
                <w:lang w:val="en-GB"/>
              </w:rPr>
              <w:t xml:space="preserve"> </w:t>
            </w:r>
          </w:p>
        </w:tc>
        <w:tc>
          <w:tcPr>
            <w:tcW w:w="1417" w:type="dxa"/>
            <w:shd w:val="clear" w:color="auto" w:fill="FFFFFF"/>
          </w:tcPr>
          <w:p w14:paraId="7EB19D18" w14:textId="77777777" w:rsidR="004E50F1" w:rsidRPr="007B0782" w:rsidRDefault="004E50F1" w:rsidP="00E5158A">
            <w:pPr>
              <w:pStyle w:val="CETBodytext"/>
              <w:ind w:right="-1"/>
              <w:jc w:val="center"/>
              <w:rPr>
                <w:rFonts w:cs="Arial"/>
                <w:i/>
                <w:iCs/>
                <w:szCs w:val="18"/>
                <w:lang w:val="en-GB"/>
              </w:rPr>
            </w:pPr>
            <w:r w:rsidRPr="007B0782">
              <w:rPr>
                <w:rFonts w:cs="Arial"/>
                <w:szCs w:val="18"/>
                <w:lang w:val="en-GB"/>
              </w:rPr>
              <w:t>6.00 10</w:t>
            </w:r>
            <w:r w:rsidRPr="007B0782">
              <w:rPr>
                <w:rFonts w:cs="Arial"/>
                <w:szCs w:val="18"/>
                <w:vertAlign w:val="superscript"/>
                <w:lang w:val="en-GB"/>
              </w:rPr>
              <w:t>-7</w:t>
            </w:r>
            <w:r w:rsidRPr="007B0782">
              <w:rPr>
                <w:rFonts w:cs="Arial"/>
                <w:szCs w:val="18"/>
                <w:lang w:val="en-GB"/>
              </w:rPr>
              <w:t xml:space="preserve"> </w:t>
            </w:r>
          </w:p>
        </w:tc>
        <w:tc>
          <w:tcPr>
            <w:tcW w:w="1418" w:type="dxa"/>
            <w:shd w:val="clear" w:color="auto" w:fill="FFFFFF"/>
          </w:tcPr>
          <w:p w14:paraId="7EE4ADC2" w14:textId="77777777" w:rsidR="004E50F1" w:rsidRPr="007B0782" w:rsidRDefault="004E50F1" w:rsidP="00E5158A">
            <w:pPr>
              <w:pStyle w:val="CETBodytext"/>
              <w:ind w:right="-1"/>
              <w:jc w:val="center"/>
              <w:rPr>
                <w:rFonts w:cs="Arial"/>
                <w:i/>
                <w:iCs/>
                <w:szCs w:val="18"/>
                <w:lang w:val="en-GB"/>
              </w:rPr>
            </w:pPr>
            <w:r w:rsidRPr="007B0782">
              <w:rPr>
                <w:rFonts w:cs="Arial"/>
                <w:szCs w:val="18"/>
                <w:lang w:val="en-GB"/>
              </w:rPr>
              <w:t>3.06 10</w:t>
            </w:r>
            <w:r w:rsidRPr="007B0782">
              <w:rPr>
                <w:rFonts w:cs="Arial"/>
                <w:szCs w:val="18"/>
                <w:vertAlign w:val="superscript"/>
                <w:lang w:val="en-GB"/>
              </w:rPr>
              <w:t>-5</w:t>
            </w:r>
          </w:p>
        </w:tc>
      </w:tr>
    </w:tbl>
    <w:p w14:paraId="3D6F25D7" w14:textId="4A19723E" w:rsidR="004E50F1" w:rsidRPr="007B0782" w:rsidRDefault="004E50F1" w:rsidP="004E50F1">
      <w:pPr>
        <w:pStyle w:val="CETTabletitle"/>
      </w:pPr>
      <w:r w:rsidRPr="007B0782">
        <w:t>Table 3: Probability of random failures of heat exchanger (Flemish Government LNE Department Environment, Nature and Energy Policy Unit Safety Reporting Division; 2009)</w:t>
      </w:r>
      <w:r w:rsidR="007B0782" w:rsidRPr="00EF1414">
        <w:t xml:space="preserve"> </w:t>
      </w:r>
      <w:r w:rsidR="007B0782" w:rsidRPr="007B0782">
        <w:t>(failures/year)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3189"/>
        <w:gridCol w:w="3190"/>
      </w:tblGrid>
      <w:tr w:rsidR="007B0782" w:rsidRPr="007B0782" w14:paraId="492B2AD8" w14:textId="77777777" w:rsidTr="00E5158A">
        <w:tc>
          <w:tcPr>
            <w:tcW w:w="2268" w:type="dxa"/>
            <w:tcBorders>
              <w:top w:val="single" w:sz="12" w:space="0" w:color="008000"/>
              <w:bottom w:val="single" w:sz="6" w:space="0" w:color="008000"/>
            </w:tcBorders>
            <w:shd w:val="clear" w:color="auto" w:fill="FFFFFF"/>
          </w:tcPr>
          <w:p w14:paraId="6C0B8F01" w14:textId="77777777" w:rsidR="004E50F1" w:rsidRPr="007B0782" w:rsidRDefault="004E50F1" w:rsidP="00E5158A">
            <w:pPr>
              <w:pStyle w:val="CETBodytext"/>
              <w:rPr>
                <w:lang w:val="en-GB"/>
              </w:rPr>
            </w:pPr>
            <w:r w:rsidRPr="007B0782">
              <w:rPr>
                <w:lang w:val="en-GB"/>
              </w:rPr>
              <w:t>Leak size category (mm)</w:t>
            </w:r>
          </w:p>
        </w:tc>
        <w:tc>
          <w:tcPr>
            <w:tcW w:w="3189" w:type="dxa"/>
            <w:tcBorders>
              <w:top w:val="single" w:sz="12" w:space="0" w:color="008000"/>
              <w:bottom w:val="single" w:sz="6" w:space="0" w:color="008000"/>
            </w:tcBorders>
            <w:shd w:val="clear" w:color="auto" w:fill="FFFFFF"/>
          </w:tcPr>
          <w:p w14:paraId="127A1AC4" w14:textId="77777777" w:rsidR="004E50F1" w:rsidRPr="007B0782" w:rsidRDefault="004E50F1" w:rsidP="00E5158A">
            <w:pPr>
              <w:pStyle w:val="CETBodytext"/>
              <w:jc w:val="center"/>
              <w:rPr>
                <w:lang w:val="en-GB"/>
              </w:rPr>
            </w:pPr>
            <w:r w:rsidRPr="007B0782">
              <w:t xml:space="preserve">Equivalent leak size (mm) </w:t>
            </w:r>
          </w:p>
        </w:tc>
        <w:tc>
          <w:tcPr>
            <w:tcW w:w="3190" w:type="dxa"/>
            <w:tcBorders>
              <w:top w:val="single" w:sz="12" w:space="0" w:color="008000"/>
              <w:bottom w:val="single" w:sz="6" w:space="0" w:color="008000"/>
            </w:tcBorders>
            <w:shd w:val="clear" w:color="auto" w:fill="FFFFFF"/>
          </w:tcPr>
          <w:p w14:paraId="71619F5A" w14:textId="2CAD35BF" w:rsidR="004E50F1" w:rsidRPr="007B0782" w:rsidRDefault="004E50F1" w:rsidP="00E5158A">
            <w:pPr>
              <w:pStyle w:val="CETBodytext"/>
              <w:jc w:val="center"/>
              <w:rPr>
                <w:lang w:val="en-GB"/>
              </w:rPr>
            </w:pPr>
            <w:r w:rsidRPr="007B0782">
              <w:t>Failure range</w:t>
            </w:r>
          </w:p>
        </w:tc>
      </w:tr>
      <w:tr w:rsidR="007B0782" w:rsidRPr="007B0782" w14:paraId="03253D31" w14:textId="77777777" w:rsidTr="00E5158A">
        <w:tc>
          <w:tcPr>
            <w:tcW w:w="2268" w:type="dxa"/>
            <w:shd w:val="clear" w:color="auto" w:fill="FFFFFF"/>
          </w:tcPr>
          <w:p w14:paraId="181770B8" w14:textId="77777777" w:rsidR="004E50F1" w:rsidRPr="007B0782" w:rsidRDefault="004E50F1" w:rsidP="00E5158A">
            <w:pPr>
              <w:pStyle w:val="CETBodytext"/>
              <w:rPr>
                <w:lang w:val="en-GB"/>
              </w:rPr>
            </w:pPr>
            <w:r w:rsidRPr="007B0782">
              <w:rPr>
                <w:lang w:val="en-GB"/>
              </w:rPr>
              <w:t xml:space="preserve">0-25 </w:t>
            </w:r>
          </w:p>
        </w:tc>
        <w:tc>
          <w:tcPr>
            <w:tcW w:w="3189" w:type="dxa"/>
            <w:shd w:val="clear" w:color="auto" w:fill="FFFFFF"/>
          </w:tcPr>
          <w:p w14:paraId="564C0AEC" w14:textId="77777777" w:rsidR="004E50F1" w:rsidRPr="007B0782" w:rsidRDefault="004E50F1" w:rsidP="00E5158A">
            <w:pPr>
              <w:pStyle w:val="CETBodytext"/>
              <w:jc w:val="center"/>
              <w:rPr>
                <w:szCs w:val="18"/>
                <w:vertAlign w:val="superscript"/>
                <w:lang w:val="en-GB"/>
              </w:rPr>
            </w:pPr>
            <w:r w:rsidRPr="007B0782">
              <w:rPr>
                <w:rFonts w:cstheme="minorHAnsi"/>
                <w:szCs w:val="18"/>
              </w:rPr>
              <w:t xml:space="preserve">10 </w:t>
            </w:r>
          </w:p>
        </w:tc>
        <w:tc>
          <w:tcPr>
            <w:tcW w:w="3190" w:type="dxa"/>
            <w:shd w:val="clear" w:color="auto" w:fill="FFFFFF"/>
          </w:tcPr>
          <w:p w14:paraId="3E4BF5E6" w14:textId="77777777" w:rsidR="004E50F1" w:rsidRPr="007B0782" w:rsidRDefault="004E50F1" w:rsidP="00E5158A">
            <w:pPr>
              <w:pStyle w:val="CETBodytext"/>
              <w:jc w:val="center"/>
              <w:rPr>
                <w:szCs w:val="18"/>
                <w:lang w:val="en-GB"/>
              </w:rPr>
            </w:pPr>
            <w:r w:rsidRPr="007B0782">
              <w:rPr>
                <w:rFonts w:cstheme="minorHAnsi"/>
                <w:szCs w:val="18"/>
              </w:rPr>
              <w:t>3.8 10</w:t>
            </w:r>
            <w:r w:rsidRPr="007B0782">
              <w:rPr>
                <w:rFonts w:cstheme="minorHAnsi"/>
                <w:szCs w:val="18"/>
                <w:vertAlign w:val="superscript"/>
              </w:rPr>
              <w:t>-3</w:t>
            </w:r>
            <w:r w:rsidRPr="007B0782">
              <w:rPr>
                <w:rFonts w:cstheme="minorHAnsi"/>
                <w:szCs w:val="18"/>
              </w:rPr>
              <w:t xml:space="preserve"> – 6.0 10</w:t>
            </w:r>
            <w:r w:rsidRPr="007B0782">
              <w:rPr>
                <w:rFonts w:cstheme="minorHAnsi"/>
                <w:szCs w:val="18"/>
                <w:vertAlign w:val="superscript"/>
              </w:rPr>
              <w:t>-3</w:t>
            </w:r>
            <w:r w:rsidRPr="007B0782">
              <w:rPr>
                <w:rFonts w:cstheme="minorHAnsi"/>
                <w:szCs w:val="18"/>
              </w:rPr>
              <w:t xml:space="preserve"> – 8.6 10</w:t>
            </w:r>
            <w:r w:rsidRPr="007B0782">
              <w:rPr>
                <w:rFonts w:cstheme="minorHAnsi"/>
                <w:szCs w:val="18"/>
                <w:vertAlign w:val="superscript"/>
              </w:rPr>
              <w:t>-3</w:t>
            </w:r>
            <w:r w:rsidRPr="007B0782">
              <w:rPr>
                <w:rFonts w:cstheme="minorHAnsi"/>
                <w:szCs w:val="18"/>
              </w:rPr>
              <w:t xml:space="preserve"> </w:t>
            </w:r>
          </w:p>
        </w:tc>
      </w:tr>
      <w:tr w:rsidR="007B0782" w:rsidRPr="007B0782" w14:paraId="5CB79906" w14:textId="77777777" w:rsidTr="00E5158A">
        <w:tc>
          <w:tcPr>
            <w:tcW w:w="2268" w:type="dxa"/>
            <w:shd w:val="clear" w:color="auto" w:fill="FFFFFF"/>
          </w:tcPr>
          <w:p w14:paraId="46A942F6" w14:textId="77777777" w:rsidR="004E50F1" w:rsidRPr="007B0782" w:rsidRDefault="004E50F1" w:rsidP="00E5158A">
            <w:pPr>
              <w:pStyle w:val="CETBodytext"/>
              <w:rPr>
                <w:lang w:val="en-GB"/>
              </w:rPr>
            </w:pPr>
            <w:r w:rsidRPr="007B0782">
              <w:rPr>
                <w:lang w:val="en-GB"/>
              </w:rPr>
              <w:t xml:space="preserve">25-50 </w:t>
            </w:r>
          </w:p>
        </w:tc>
        <w:tc>
          <w:tcPr>
            <w:tcW w:w="3189" w:type="dxa"/>
            <w:shd w:val="clear" w:color="auto" w:fill="FFFFFF"/>
          </w:tcPr>
          <w:p w14:paraId="667AC01E" w14:textId="77777777" w:rsidR="004E50F1" w:rsidRPr="007B0782" w:rsidRDefault="004E50F1" w:rsidP="00E5158A">
            <w:pPr>
              <w:pStyle w:val="CETBodytext"/>
              <w:jc w:val="center"/>
              <w:rPr>
                <w:szCs w:val="18"/>
                <w:lang w:val="en-GB"/>
              </w:rPr>
            </w:pPr>
            <w:r w:rsidRPr="007B0782">
              <w:rPr>
                <w:rFonts w:cstheme="minorHAnsi"/>
                <w:szCs w:val="18"/>
              </w:rPr>
              <w:t xml:space="preserve">35 </w:t>
            </w:r>
          </w:p>
        </w:tc>
        <w:tc>
          <w:tcPr>
            <w:tcW w:w="3190" w:type="dxa"/>
            <w:shd w:val="clear" w:color="auto" w:fill="FFFFFF"/>
          </w:tcPr>
          <w:p w14:paraId="0E292D32" w14:textId="77777777" w:rsidR="004E50F1" w:rsidRPr="007B0782" w:rsidRDefault="004E50F1" w:rsidP="00E5158A">
            <w:pPr>
              <w:pStyle w:val="CETBodytext"/>
              <w:jc w:val="center"/>
              <w:rPr>
                <w:szCs w:val="18"/>
                <w:lang w:val="en-GB"/>
              </w:rPr>
            </w:pPr>
            <w:r w:rsidRPr="007B0782">
              <w:rPr>
                <w:rFonts w:cstheme="minorHAnsi"/>
                <w:szCs w:val="18"/>
              </w:rPr>
              <w:t>2.3 10</w:t>
            </w:r>
            <w:r w:rsidRPr="007B0782">
              <w:rPr>
                <w:rFonts w:cstheme="minorHAnsi"/>
                <w:szCs w:val="18"/>
                <w:vertAlign w:val="superscript"/>
              </w:rPr>
              <w:t>-3</w:t>
            </w:r>
            <w:r w:rsidRPr="007B0782">
              <w:rPr>
                <w:rFonts w:cstheme="minorHAnsi"/>
                <w:szCs w:val="18"/>
              </w:rPr>
              <w:t xml:space="preserve"> – 3.9 10</w:t>
            </w:r>
            <w:r w:rsidRPr="007B0782">
              <w:rPr>
                <w:rFonts w:cstheme="minorHAnsi"/>
                <w:szCs w:val="18"/>
                <w:vertAlign w:val="superscript"/>
              </w:rPr>
              <w:t>-3</w:t>
            </w:r>
            <w:r w:rsidRPr="007B0782">
              <w:rPr>
                <w:rFonts w:cstheme="minorHAnsi"/>
                <w:szCs w:val="18"/>
              </w:rPr>
              <w:t xml:space="preserve"> – 6.3 10</w:t>
            </w:r>
            <w:r w:rsidRPr="007B0782">
              <w:rPr>
                <w:rFonts w:cstheme="minorHAnsi"/>
                <w:szCs w:val="18"/>
                <w:vertAlign w:val="superscript"/>
              </w:rPr>
              <w:t>-3</w:t>
            </w:r>
            <w:r w:rsidRPr="007B0782">
              <w:rPr>
                <w:rFonts w:cstheme="minorHAnsi"/>
                <w:szCs w:val="18"/>
              </w:rPr>
              <w:t xml:space="preserve"> </w:t>
            </w:r>
          </w:p>
        </w:tc>
      </w:tr>
      <w:tr w:rsidR="007B0782" w:rsidRPr="007B0782" w14:paraId="2A160170" w14:textId="77777777" w:rsidTr="00E5158A">
        <w:tc>
          <w:tcPr>
            <w:tcW w:w="2268" w:type="dxa"/>
            <w:shd w:val="clear" w:color="auto" w:fill="FFFFFF"/>
          </w:tcPr>
          <w:p w14:paraId="0A766E6C" w14:textId="77777777" w:rsidR="004E50F1" w:rsidRPr="007B0782" w:rsidRDefault="004E50F1" w:rsidP="00E5158A">
            <w:pPr>
              <w:pStyle w:val="CETBodytext"/>
              <w:rPr>
                <w:lang w:val="en-GB"/>
              </w:rPr>
            </w:pPr>
            <w:r w:rsidRPr="007B0782">
              <w:rPr>
                <w:lang w:val="en-GB"/>
              </w:rPr>
              <w:t xml:space="preserve">50-150 </w:t>
            </w:r>
          </w:p>
        </w:tc>
        <w:tc>
          <w:tcPr>
            <w:tcW w:w="3189" w:type="dxa"/>
            <w:shd w:val="clear" w:color="auto" w:fill="FFFFFF"/>
          </w:tcPr>
          <w:p w14:paraId="7C76E6A5" w14:textId="77777777" w:rsidR="004E50F1" w:rsidRPr="007B0782" w:rsidRDefault="004E50F1" w:rsidP="00E5158A">
            <w:pPr>
              <w:pStyle w:val="CETBodytext"/>
              <w:jc w:val="center"/>
              <w:rPr>
                <w:szCs w:val="18"/>
                <w:lang w:val="en-GB"/>
              </w:rPr>
            </w:pPr>
            <w:r w:rsidRPr="007B0782">
              <w:rPr>
                <w:rFonts w:cstheme="minorHAnsi"/>
                <w:szCs w:val="18"/>
              </w:rPr>
              <w:t xml:space="preserve">100 </w:t>
            </w:r>
          </w:p>
        </w:tc>
        <w:tc>
          <w:tcPr>
            <w:tcW w:w="3190" w:type="dxa"/>
            <w:shd w:val="clear" w:color="auto" w:fill="FFFFFF"/>
          </w:tcPr>
          <w:p w14:paraId="787B37BB" w14:textId="77777777" w:rsidR="004E50F1" w:rsidRPr="007B0782" w:rsidRDefault="004E50F1" w:rsidP="00E5158A">
            <w:pPr>
              <w:pStyle w:val="CETBodytext"/>
              <w:jc w:val="center"/>
              <w:rPr>
                <w:szCs w:val="18"/>
                <w:lang w:val="en-GB"/>
              </w:rPr>
            </w:pPr>
            <w:r w:rsidRPr="007B0782">
              <w:rPr>
                <w:rFonts w:cstheme="minorHAnsi"/>
                <w:szCs w:val="18"/>
              </w:rPr>
              <w:t>4.1 10</w:t>
            </w:r>
            <w:r w:rsidRPr="007B0782">
              <w:rPr>
                <w:rFonts w:cstheme="minorHAnsi"/>
                <w:szCs w:val="18"/>
                <w:vertAlign w:val="superscript"/>
              </w:rPr>
              <w:t>-6</w:t>
            </w:r>
            <w:r w:rsidRPr="007B0782">
              <w:rPr>
                <w:rFonts w:cstheme="minorHAnsi"/>
                <w:szCs w:val="18"/>
              </w:rPr>
              <w:t>-1.6 10</w:t>
            </w:r>
            <w:r w:rsidRPr="007B0782">
              <w:rPr>
                <w:rFonts w:cstheme="minorHAnsi"/>
                <w:szCs w:val="18"/>
                <w:vertAlign w:val="superscript"/>
              </w:rPr>
              <w:t>-5</w:t>
            </w:r>
            <w:r w:rsidRPr="007B0782">
              <w:rPr>
                <w:rFonts w:cstheme="minorHAnsi"/>
                <w:szCs w:val="18"/>
              </w:rPr>
              <w:t xml:space="preserve"> – 4.6 10</w:t>
            </w:r>
            <w:r w:rsidRPr="007B0782">
              <w:rPr>
                <w:rFonts w:cstheme="minorHAnsi"/>
                <w:szCs w:val="18"/>
                <w:vertAlign w:val="superscript"/>
              </w:rPr>
              <w:t>-5</w:t>
            </w:r>
            <w:r w:rsidRPr="007B0782">
              <w:rPr>
                <w:rFonts w:cstheme="minorHAnsi"/>
                <w:szCs w:val="18"/>
              </w:rPr>
              <w:t xml:space="preserve"> </w:t>
            </w:r>
          </w:p>
        </w:tc>
      </w:tr>
      <w:tr w:rsidR="007B0782" w:rsidRPr="007B0782" w14:paraId="726FFEF3" w14:textId="77777777" w:rsidTr="00E5158A">
        <w:tc>
          <w:tcPr>
            <w:tcW w:w="2268" w:type="dxa"/>
            <w:shd w:val="clear" w:color="auto" w:fill="FFFFFF"/>
          </w:tcPr>
          <w:p w14:paraId="2941ECF2" w14:textId="77777777" w:rsidR="004E50F1" w:rsidRPr="007B0782" w:rsidRDefault="004E50F1" w:rsidP="00E5158A">
            <w:pPr>
              <w:pStyle w:val="CETBodytext"/>
              <w:rPr>
                <w:lang w:val="en-GB"/>
              </w:rPr>
            </w:pPr>
            <w:r w:rsidRPr="007B0782">
              <w:rPr>
                <w:lang w:val="en-GB"/>
              </w:rPr>
              <w:t xml:space="preserve">Catastrophic </w:t>
            </w:r>
          </w:p>
        </w:tc>
        <w:tc>
          <w:tcPr>
            <w:tcW w:w="3189" w:type="dxa"/>
            <w:shd w:val="clear" w:color="auto" w:fill="FFFFFF"/>
          </w:tcPr>
          <w:p w14:paraId="612BCFC9" w14:textId="77777777" w:rsidR="004E50F1" w:rsidRPr="007B0782" w:rsidRDefault="004E50F1" w:rsidP="00E5158A">
            <w:pPr>
              <w:pStyle w:val="CETBodytext"/>
              <w:jc w:val="center"/>
              <w:rPr>
                <w:szCs w:val="18"/>
                <w:lang w:val="en-GB"/>
              </w:rPr>
            </w:pPr>
            <w:r w:rsidRPr="007B0782">
              <w:rPr>
                <w:rFonts w:cstheme="minorHAnsi"/>
                <w:szCs w:val="18"/>
              </w:rPr>
              <w:t xml:space="preserve">Rupture </w:t>
            </w:r>
          </w:p>
        </w:tc>
        <w:tc>
          <w:tcPr>
            <w:tcW w:w="3190" w:type="dxa"/>
            <w:shd w:val="clear" w:color="auto" w:fill="FFFFFF"/>
          </w:tcPr>
          <w:p w14:paraId="68CF43FC" w14:textId="77777777" w:rsidR="004E50F1" w:rsidRPr="007B0782" w:rsidRDefault="004E50F1" w:rsidP="00E5158A">
            <w:pPr>
              <w:pStyle w:val="CETBodytext"/>
              <w:jc w:val="center"/>
              <w:rPr>
                <w:szCs w:val="18"/>
                <w:lang w:val="en-GB"/>
              </w:rPr>
            </w:pPr>
            <w:r w:rsidRPr="007B0782">
              <w:rPr>
                <w:rFonts w:cstheme="minorHAnsi"/>
                <w:szCs w:val="18"/>
              </w:rPr>
              <w:t>2.7 10</w:t>
            </w:r>
            <w:r w:rsidRPr="007B0782">
              <w:rPr>
                <w:rFonts w:cstheme="minorHAnsi"/>
                <w:szCs w:val="18"/>
                <w:vertAlign w:val="superscript"/>
              </w:rPr>
              <w:t>-6</w:t>
            </w:r>
            <w:r w:rsidRPr="007B0782">
              <w:rPr>
                <w:rFonts w:cstheme="minorHAnsi"/>
                <w:szCs w:val="18"/>
              </w:rPr>
              <w:t xml:space="preserve"> – 1.3 10</w:t>
            </w:r>
            <w:r w:rsidRPr="007B0782">
              <w:rPr>
                <w:rFonts w:cstheme="minorHAnsi"/>
                <w:szCs w:val="18"/>
                <w:vertAlign w:val="superscript"/>
              </w:rPr>
              <w:t>-5</w:t>
            </w:r>
            <w:r w:rsidRPr="007B0782">
              <w:rPr>
                <w:rFonts w:cstheme="minorHAnsi"/>
                <w:szCs w:val="18"/>
              </w:rPr>
              <w:t xml:space="preserve"> – 4.1 10</w:t>
            </w:r>
            <w:r w:rsidRPr="007B0782">
              <w:rPr>
                <w:rFonts w:cstheme="minorHAnsi"/>
                <w:szCs w:val="18"/>
                <w:vertAlign w:val="superscript"/>
              </w:rPr>
              <w:t>-5</w:t>
            </w:r>
            <w:r w:rsidRPr="007B0782">
              <w:rPr>
                <w:rFonts w:cstheme="minorHAnsi"/>
                <w:szCs w:val="18"/>
              </w:rPr>
              <w:t xml:space="preserve"> </w:t>
            </w:r>
          </w:p>
        </w:tc>
      </w:tr>
    </w:tbl>
    <w:p w14:paraId="59B4353C" w14:textId="0BF3A95F" w:rsidR="002D08DD" w:rsidRPr="007B0782" w:rsidRDefault="002D08DD" w:rsidP="002D08DD">
      <w:pPr>
        <w:pStyle w:val="CETTabletitle"/>
      </w:pPr>
      <w:r w:rsidRPr="007B0782">
        <w:t>Table 4: Probability of random failures of heat exchanger (</w:t>
      </w:r>
      <w:proofErr w:type="spellStart"/>
      <w:r w:rsidR="00CB23B0" w:rsidRPr="007B0782">
        <w:t>Uijt</w:t>
      </w:r>
      <w:proofErr w:type="spellEnd"/>
      <w:r w:rsidR="00CB23B0" w:rsidRPr="007B0782">
        <w:t xml:space="preserve"> de Haag and Ale, 2005</w:t>
      </w:r>
      <w:r w:rsidRPr="007B0782">
        <w:t>)</w:t>
      </w:r>
      <w:r w:rsidR="007B0782" w:rsidRPr="007B0782">
        <w:t xml:space="preserve"> (failures/year)</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5"/>
        <w:gridCol w:w="1464"/>
        <w:gridCol w:w="1465"/>
        <w:gridCol w:w="1465"/>
      </w:tblGrid>
      <w:tr w:rsidR="007B0782" w:rsidRPr="007B0782" w14:paraId="5381F4CE" w14:textId="77777777" w:rsidTr="007B0782">
        <w:tc>
          <w:tcPr>
            <w:tcW w:w="4395" w:type="dxa"/>
            <w:tcBorders>
              <w:top w:val="single" w:sz="12" w:space="0" w:color="008000"/>
              <w:bottom w:val="single" w:sz="6" w:space="0" w:color="008000"/>
            </w:tcBorders>
            <w:shd w:val="clear" w:color="auto" w:fill="FFFFFF"/>
          </w:tcPr>
          <w:p w14:paraId="5F8630CF" w14:textId="4AB1E7DF" w:rsidR="007B0782" w:rsidRPr="007B0782" w:rsidRDefault="007B0782" w:rsidP="007B0782">
            <w:pPr>
              <w:pStyle w:val="CETBodytext"/>
              <w:rPr>
                <w:szCs w:val="18"/>
                <w:lang w:val="en-GB"/>
              </w:rPr>
            </w:pPr>
            <w:r w:rsidRPr="007B0782">
              <w:rPr>
                <w:rFonts w:cstheme="minorHAnsi"/>
                <w:szCs w:val="18"/>
                <w:lang w:val="en-GB"/>
              </w:rPr>
              <w:t>Configuration</w:t>
            </w:r>
          </w:p>
        </w:tc>
        <w:tc>
          <w:tcPr>
            <w:tcW w:w="1464" w:type="dxa"/>
            <w:tcBorders>
              <w:top w:val="single" w:sz="12" w:space="0" w:color="008000"/>
              <w:bottom w:val="single" w:sz="6" w:space="0" w:color="008000"/>
            </w:tcBorders>
            <w:shd w:val="clear" w:color="auto" w:fill="FFFFFF"/>
          </w:tcPr>
          <w:p w14:paraId="3A0B5A21" w14:textId="261931CD" w:rsidR="007B0782" w:rsidRPr="007B0782" w:rsidRDefault="007B0782" w:rsidP="007B0782">
            <w:pPr>
              <w:pStyle w:val="CETBodytext"/>
              <w:jc w:val="center"/>
              <w:rPr>
                <w:lang w:val="en-GB"/>
              </w:rPr>
            </w:pPr>
            <w:r w:rsidRPr="007B0782">
              <w:t>Instantaneous</w:t>
            </w:r>
          </w:p>
        </w:tc>
        <w:tc>
          <w:tcPr>
            <w:tcW w:w="1465" w:type="dxa"/>
            <w:tcBorders>
              <w:top w:val="single" w:sz="12" w:space="0" w:color="008000"/>
              <w:bottom w:val="single" w:sz="6" w:space="0" w:color="008000"/>
            </w:tcBorders>
            <w:shd w:val="clear" w:color="auto" w:fill="FFFFFF"/>
          </w:tcPr>
          <w:p w14:paraId="608D712A" w14:textId="2F984C82" w:rsidR="007B0782" w:rsidRPr="007B0782" w:rsidRDefault="007B0782" w:rsidP="007B0782">
            <w:pPr>
              <w:pStyle w:val="CETBodytext"/>
              <w:jc w:val="center"/>
              <w:rPr>
                <w:lang w:val="en-GB"/>
              </w:rPr>
            </w:pPr>
            <w:r w:rsidRPr="007B0782">
              <w:t>Continuous</w:t>
            </w:r>
          </w:p>
        </w:tc>
        <w:tc>
          <w:tcPr>
            <w:tcW w:w="1465" w:type="dxa"/>
            <w:tcBorders>
              <w:top w:val="single" w:sz="12" w:space="0" w:color="008000"/>
              <w:bottom w:val="single" w:sz="6" w:space="0" w:color="008000"/>
            </w:tcBorders>
            <w:shd w:val="clear" w:color="auto" w:fill="FFFFFF"/>
          </w:tcPr>
          <w:p w14:paraId="2D3B358C" w14:textId="706A9F82" w:rsidR="007B0782" w:rsidRPr="007B0782" w:rsidRDefault="007B0782" w:rsidP="007B0782">
            <w:pPr>
              <w:pStyle w:val="CETBodytext"/>
              <w:jc w:val="center"/>
              <w:rPr>
                <w:lang w:val="en-GB"/>
              </w:rPr>
            </w:pPr>
            <w:r w:rsidRPr="007B0782">
              <w:t>Continuous size 10mm</w:t>
            </w:r>
          </w:p>
        </w:tc>
      </w:tr>
      <w:tr w:rsidR="007B0782" w:rsidRPr="007B0782" w14:paraId="4006C3CB" w14:textId="77777777" w:rsidTr="007B0782">
        <w:tc>
          <w:tcPr>
            <w:tcW w:w="4395" w:type="dxa"/>
            <w:shd w:val="clear" w:color="auto" w:fill="FFFFFF"/>
          </w:tcPr>
          <w:p w14:paraId="3B995E79" w14:textId="3354C4F2" w:rsidR="00CB23B0" w:rsidRPr="007B0782" w:rsidRDefault="007B0782" w:rsidP="00CB23B0">
            <w:pPr>
              <w:pStyle w:val="CETBodytext"/>
              <w:rPr>
                <w:szCs w:val="18"/>
                <w:lang w:val="en-GB"/>
              </w:rPr>
            </w:pPr>
            <w:r>
              <w:rPr>
                <w:rFonts w:cstheme="minorHAnsi"/>
                <w:szCs w:val="18"/>
                <w:lang w:val="en-GB"/>
              </w:rPr>
              <w:t>H</w:t>
            </w:r>
            <w:r w:rsidR="00CB23B0" w:rsidRPr="007B0782">
              <w:rPr>
                <w:rFonts w:cstheme="minorHAnsi"/>
                <w:szCs w:val="18"/>
                <w:lang w:val="en-GB"/>
              </w:rPr>
              <w:t>eat exchanger, dangerous substance outside pipes</w:t>
            </w:r>
          </w:p>
        </w:tc>
        <w:tc>
          <w:tcPr>
            <w:tcW w:w="1464" w:type="dxa"/>
            <w:shd w:val="clear" w:color="auto" w:fill="FFFFFF"/>
          </w:tcPr>
          <w:p w14:paraId="05CA276B" w14:textId="61BAF545" w:rsidR="00CB23B0" w:rsidRPr="007B0782" w:rsidRDefault="007B0782" w:rsidP="00CB23B0">
            <w:pPr>
              <w:pStyle w:val="CETBodytext"/>
              <w:ind w:right="-1"/>
              <w:jc w:val="center"/>
              <w:rPr>
                <w:rFonts w:cs="Arial"/>
                <w:szCs w:val="18"/>
                <w:lang w:val="en-GB"/>
              </w:rPr>
            </w:pPr>
            <w:r w:rsidRPr="007B0782">
              <w:rPr>
                <w:rFonts w:cs="Arial"/>
                <w:szCs w:val="18"/>
                <w:lang w:val="en-GB"/>
              </w:rPr>
              <w:t>5</w:t>
            </w:r>
            <w:r w:rsidR="00CB23B0" w:rsidRPr="007B0782">
              <w:rPr>
                <w:rFonts w:cs="Arial"/>
                <w:szCs w:val="18"/>
                <w:lang w:val="en-GB"/>
              </w:rPr>
              <w:t>.00 10</w:t>
            </w:r>
            <w:r w:rsidR="00CB23B0" w:rsidRPr="007B0782">
              <w:rPr>
                <w:rFonts w:cs="Arial"/>
                <w:szCs w:val="18"/>
                <w:vertAlign w:val="superscript"/>
                <w:lang w:val="en-GB"/>
              </w:rPr>
              <w:t>-</w:t>
            </w:r>
            <w:r w:rsidRPr="007B0782">
              <w:rPr>
                <w:rFonts w:cs="Arial"/>
                <w:szCs w:val="18"/>
                <w:vertAlign w:val="superscript"/>
                <w:lang w:val="en-GB"/>
              </w:rPr>
              <w:t>5</w:t>
            </w:r>
            <w:r w:rsidR="00CB23B0" w:rsidRPr="007B0782">
              <w:rPr>
                <w:rFonts w:cs="Arial"/>
                <w:szCs w:val="18"/>
                <w:lang w:val="en-GB"/>
              </w:rPr>
              <w:t xml:space="preserve"> </w:t>
            </w:r>
          </w:p>
        </w:tc>
        <w:tc>
          <w:tcPr>
            <w:tcW w:w="1465" w:type="dxa"/>
            <w:shd w:val="clear" w:color="auto" w:fill="FFFFFF"/>
          </w:tcPr>
          <w:p w14:paraId="3756F715" w14:textId="5C6030DB" w:rsidR="00CB23B0" w:rsidRPr="007B0782" w:rsidRDefault="007B0782" w:rsidP="00CB23B0">
            <w:pPr>
              <w:pStyle w:val="CETBodytext"/>
              <w:ind w:right="-1"/>
              <w:jc w:val="center"/>
              <w:rPr>
                <w:rFonts w:cs="Arial"/>
                <w:szCs w:val="18"/>
                <w:lang w:val="en-GB"/>
              </w:rPr>
            </w:pPr>
            <w:r w:rsidRPr="007B0782">
              <w:rPr>
                <w:rFonts w:cs="Arial"/>
                <w:szCs w:val="18"/>
                <w:lang w:val="en-GB"/>
              </w:rPr>
              <w:t>5</w:t>
            </w:r>
            <w:r w:rsidR="00CB23B0" w:rsidRPr="007B0782">
              <w:rPr>
                <w:rFonts w:cs="Arial"/>
                <w:szCs w:val="18"/>
                <w:lang w:val="en-GB"/>
              </w:rPr>
              <w:t>.00 10</w:t>
            </w:r>
            <w:r w:rsidR="00CB23B0" w:rsidRPr="007B0782">
              <w:rPr>
                <w:rFonts w:cs="Arial"/>
                <w:szCs w:val="18"/>
                <w:vertAlign w:val="superscript"/>
                <w:lang w:val="en-GB"/>
              </w:rPr>
              <w:t>-5</w:t>
            </w:r>
            <w:r w:rsidR="00CB23B0" w:rsidRPr="007B0782">
              <w:rPr>
                <w:rFonts w:cs="Arial"/>
                <w:szCs w:val="18"/>
                <w:lang w:val="en-GB"/>
              </w:rPr>
              <w:t xml:space="preserve"> </w:t>
            </w:r>
          </w:p>
        </w:tc>
        <w:tc>
          <w:tcPr>
            <w:tcW w:w="1465" w:type="dxa"/>
            <w:shd w:val="clear" w:color="auto" w:fill="FFFFFF"/>
          </w:tcPr>
          <w:p w14:paraId="1E51B7D9" w14:textId="1F17125F" w:rsidR="00CB23B0" w:rsidRPr="007B0782" w:rsidRDefault="007B0782" w:rsidP="00CB23B0">
            <w:pPr>
              <w:pStyle w:val="CETBodytext"/>
              <w:ind w:right="-1"/>
              <w:jc w:val="center"/>
              <w:rPr>
                <w:rFonts w:cs="Arial"/>
                <w:szCs w:val="18"/>
                <w:lang w:val="en-GB"/>
              </w:rPr>
            </w:pPr>
            <w:r w:rsidRPr="007B0782">
              <w:rPr>
                <w:rFonts w:cs="Arial"/>
                <w:szCs w:val="18"/>
                <w:lang w:val="en-GB"/>
              </w:rPr>
              <w:t>5</w:t>
            </w:r>
            <w:r w:rsidR="00CB23B0" w:rsidRPr="007B0782">
              <w:rPr>
                <w:rFonts w:cs="Arial"/>
                <w:szCs w:val="18"/>
                <w:lang w:val="en-GB"/>
              </w:rPr>
              <w:t>.00 10</w:t>
            </w:r>
            <w:r w:rsidR="00CB23B0" w:rsidRPr="007B0782">
              <w:rPr>
                <w:rFonts w:cs="Arial"/>
                <w:szCs w:val="18"/>
                <w:vertAlign w:val="superscript"/>
                <w:lang w:val="en-GB"/>
              </w:rPr>
              <w:t>-</w:t>
            </w:r>
            <w:r w:rsidRPr="007B0782">
              <w:rPr>
                <w:rFonts w:cs="Arial"/>
                <w:szCs w:val="18"/>
                <w:vertAlign w:val="superscript"/>
                <w:lang w:val="en-GB"/>
              </w:rPr>
              <w:t>3</w:t>
            </w:r>
          </w:p>
        </w:tc>
      </w:tr>
      <w:tr w:rsidR="007B0782" w:rsidRPr="007B0782" w14:paraId="35D1788F" w14:textId="77777777" w:rsidTr="007B0782">
        <w:tc>
          <w:tcPr>
            <w:tcW w:w="4395" w:type="dxa"/>
            <w:shd w:val="clear" w:color="auto" w:fill="FFFFFF"/>
          </w:tcPr>
          <w:p w14:paraId="5E9212EB" w14:textId="56143FC5" w:rsidR="00CB23B0" w:rsidRPr="007B0782" w:rsidRDefault="007B0782" w:rsidP="00CB23B0">
            <w:pPr>
              <w:pStyle w:val="CETBodytext"/>
              <w:rPr>
                <w:szCs w:val="18"/>
                <w:lang w:val="en-GB"/>
              </w:rPr>
            </w:pPr>
            <w:r>
              <w:rPr>
                <w:rFonts w:cstheme="minorHAnsi"/>
                <w:szCs w:val="18"/>
                <w:lang w:val="en-GB"/>
              </w:rPr>
              <w:t>H</w:t>
            </w:r>
            <w:r w:rsidR="00CB23B0" w:rsidRPr="007B0782">
              <w:rPr>
                <w:rFonts w:cstheme="minorHAnsi"/>
                <w:szCs w:val="18"/>
                <w:lang w:val="en-GB"/>
              </w:rPr>
              <w:t>eat exchanger, dangerous substance inside pipes, design pressure outer shell less than pressure of dangerous substance</w:t>
            </w:r>
          </w:p>
        </w:tc>
        <w:tc>
          <w:tcPr>
            <w:tcW w:w="1464" w:type="dxa"/>
            <w:shd w:val="clear" w:color="auto" w:fill="FFFFFF"/>
          </w:tcPr>
          <w:p w14:paraId="24ECA8D9" w14:textId="536F49FC" w:rsidR="00CB23B0" w:rsidRPr="007B0782" w:rsidRDefault="00CB23B0" w:rsidP="00CB23B0">
            <w:pPr>
              <w:pStyle w:val="CETBodytext"/>
              <w:ind w:right="-1"/>
              <w:jc w:val="center"/>
              <w:rPr>
                <w:rFonts w:cs="Arial"/>
                <w:szCs w:val="18"/>
                <w:lang w:val="en-GB"/>
              </w:rPr>
            </w:pPr>
            <w:r w:rsidRPr="007B0782">
              <w:rPr>
                <w:rFonts w:cs="Arial"/>
                <w:szCs w:val="18"/>
                <w:lang w:val="en-GB"/>
              </w:rPr>
              <w:t>10</w:t>
            </w:r>
            <w:r w:rsidRPr="007B0782">
              <w:rPr>
                <w:rFonts w:cs="Arial"/>
                <w:szCs w:val="18"/>
                <w:vertAlign w:val="superscript"/>
                <w:lang w:val="en-GB"/>
              </w:rPr>
              <w:t>-</w:t>
            </w:r>
            <w:r w:rsidR="007B0782" w:rsidRPr="007B0782">
              <w:rPr>
                <w:rFonts w:cs="Arial"/>
                <w:szCs w:val="18"/>
                <w:vertAlign w:val="superscript"/>
                <w:lang w:val="en-GB"/>
              </w:rPr>
              <w:t>5</w:t>
            </w:r>
            <w:r w:rsidRPr="007B0782">
              <w:rPr>
                <w:rFonts w:cs="Arial"/>
                <w:szCs w:val="18"/>
                <w:lang w:val="en-GB"/>
              </w:rPr>
              <w:t xml:space="preserve"> </w:t>
            </w:r>
          </w:p>
        </w:tc>
        <w:tc>
          <w:tcPr>
            <w:tcW w:w="1465" w:type="dxa"/>
            <w:shd w:val="clear" w:color="auto" w:fill="FFFFFF"/>
          </w:tcPr>
          <w:p w14:paraId="261660C1" w14:textId="159F9925" w:rsidR="00CB23B0" w:rsidRPr="007B0782" w:rsidRDefault="00CB23B0" w:rsidP="00CB23B0">
            <w:pPr>
              <w:pStyle w:val="CETBodytext"/>
              <w:ind w:right="-1"/>
              <w:jc w:val="center"/>
              <w:rPr>
                <w:rFonts w:cs="Arial"/>
                <w:szCs w:val="18"/>
                <w:lang w:val="en-GB"/>
              </w:rPr>
            </w:pPr>
            <w:r w:rsidRPr="007B0782">
              <w:rPr>
                <w:rFonts w:cs="Arial"/>
                <w:szCs w:val="18"/>
                <w:lang w:val="en-GB"/>
              </w:rPr>
              <w:t>10</w:t>
            </w:r>
            <w:r w:rsidRPr="007B0782">
              <w:rPr>
                <w:rFonts w:cs="Arial"/>
                <w:szCs w:val="18"/>
                <w:vertAlign w:val="superscript"/>
                <w:lang w:val="en-GB"/>
              </w:rPr>
              <w:t>-</w:t>
            </w:r>
            <w:r w:rsidR="007B0782" w:rsidRPr="007B0782">
              <w:rPr>
                <w:rFonts w:cs="Arial"/>
                <w:szCs w:val="18"/>
                <w:vertAlign w:val="superscript"/>
                <w:lang w:val="en-GB"/>
              </w:rPr>
              <w:t>3</w:t>
            </w:r>
          </w:p>
        </w:tc>
        <w:tc>
          <w:tcPr>
            <w:tcW w:w="1465" w:type="dxa"/>
            <w:shd w:val="clear" w:color="auto" w:fill="FFFFFF"/>
          </w:tcPr>
          <w:p w14:paraId="438A9060" w14:textId="24D30571" w:rsidR="00CB23B0" w:rsidRPr="007B0782" w:rsidRDefault="00CB23B0" w:rsidP="00CB23B0">
            <w:pPr>
              <w:pStyle w:val="CETBodytext"/>
              <w:ind w:right="-1"/>
              <w:jc w:val="center"/>
              <w:rPr>
                <w:rFonts w:cs="Arial"/>
                <w:szCs w:val="18"/>
                <w:lang w:val="en-GB"/>
              </w:rPr>
            </w:pPr>
            <w:r w:rsidRPr="007B0782">
              <w:rPr>
                <w:rFonts w:cs="Arial"/>
                <w:szCs w:val="18"/>
                <w:lang w:val="en-GB"/>
              </w:rPr>
              <w:t>10</w:t>
            </w:r>
            <w:r w:rsidRPr="007B0782">
              <w:rPr>
                <w:rFonts w:cs="Arial"/>
                <w:szCs w:val="18"/>
                <w:vertAlign w:val="superscript"/>
                <w:lang w:val="en-GB"/>
              </w:rPr>
              <w:t>-</w:t>
            </w:r>
            <w:r w:rsidR="007B0782" w:rsidRPr="007B0782">
              <w:rPr>
                <w:rFonts w:cs="Arial"/>
                <w:szCs w:val="18"/>
                <w:vertAlign w:val="superscript"/>
                <w:lang w:val="en-GB"/>
              </w:rPr>
              <w:t>2</w:t>
            </w:r>
          </w:p>
        </w:tc>
      </w:tr>
      <w:tr w:rsidR="007B0782" w:rsidRPr="007B0782" w14:paraId="1BA23077" w14:textId="77777777" w:rsidTr="007B0782">
        <w:tc>
          <w:tcPr>
            <w:tcW w:w="4395" w:type="dxa"/>
            <w:shd w:val="clear" w:color="auto" w:fill="FFFFFF"/>
          </w:tcPr>
          <w:p w14:paraId="400ADCF1" w14:textId="61DF49D2" w:rsidR="00CB23B0" w:rsidRPr="007B0782" w:rsidRDefault="007B0782" w:rsidP="00CB23B0">
            <w:pPr>
              <w:pStyle w:val="CETBodytext"/>
              <w:ind w:right="-1"/>
              <w:rPr>
                <w:rFonts w:cs="Arial"/>
                <w:szCs w:val="18"/>
                <w:lang w:val="en-GB"/>
              </w:rPr>
            </w:pPr>
            <w:r>
              <w:rPr>
                <w:rFonts w:cstheme="minorHAnsi"/>
                <w:szCs w:val="18"/>
                <w:lang w:val="en-GB"/>
              </w:rPr>
              <w:t>H</w:t>
            </w:r>
            <w:r w:rsidR="00CB23B0" w:rsidRPr="007B0782">
              <w:rPr>
                <w:rFonts w:cstheme="minorHAnsi"/>
                <w:szCs w:val="18"/>
                <w:lang w:val="en-GB"/>
              </w:rPr>
              <w:t>eat exchanger, dangerous substance inside pipes, design pressure outer shell more than pressure of dangerous substance</w:t>
            </w:r>
          </w:p>
        </w:tc>
        <w:tc>
          <w:tcPr>
            <w:tcW w:w="1464" w:type="dxa"/>
            <w:shd w:val="clear" w:color="auto" w:fill="FFFFFF"/>
          </w:tcPr>
          <w:p w14:paraId="7BCADEF7" w14:textId="4F1F1C5D" w:rsidR="00CB23B0" w:rsidRPr="007B0782" w:rsidRDefault="00CB23B0" w:rsidP="00CB23B0">
            <w:pPr>
              <w:pStyle w:val="CETBodytext"/>
              <w:ind w:right="-1"/>
              <w:jc w:val="center"/>
              <w:rPr>
                <w:rFonts w:cs="Arial"/>
                <w:i/>
                <w:iCs/>
                <w:szCs w:val="18"/>
                <w:lang w:val="en-GB"/>
              </w:rPr>
            </w:pPr>
            <w:r w:rsidRPr="007B0782">
              <w:rPr>
                <w:rFonts w:cs="Arial"/>
                <w:szCs w:val="18"/>
                <w:lang w:val="en-GB"/>
              </w:rPr>
              <w:t>10</w:t>
            </w:r>
            <w:r w:rsidRPr="007B0782">
              <w:rPr>
                <w:rFonts w:cs="Arial"/>
                <w:szCs w:val="18"/>
                <w:vertAlign w:val="superscript"/>
                <w:lang w:val="en-GB"/>
              </w:rPr>
              <w:t>-6</w:t>
            </w:r>
            <w:r w:rsidRPr="007B0782">
              <w:rPr>
                <w:rFonts w:cs="Arial"/>
                <w:szCs w:val="18"/>
                <w:lang w:val="en-GB"/>
              </w:rPr>
              <w:t xml:space="preserve"> </w:t>
            </w:r>
          </w:p>
        </w:tc>
        <w:tc>
          <w:tcPr>
            <w:tcW w:w="1465" w:type="dxa"/>
            <w:shd w:val="clear" w:color="auto" w:fill="FFFFFF"/>
          </w:tcPr>
          <w:p w14:paraId="30D8ACA2" w14:textId="68E00C05" w:rsidR="00CB23B0" w:rsidRPr="007B0782" w:rsidRDefault="007B0782" w:rsidP="00CB23B0">
            <w:pPr>
              <w:pStyle w:val="CETBodytext"/>
              <w:ind w:right="-1"/>
              <w:jc w:val="center"/>
              <w:rPr>
                <w:rFonts w:cs="Arial"/>
                <w:i/>
                <w:iCs/>
                <w:szCs w:val="18"/>
                <w:lang w:val="en-GB"/>
              </w:rPr>
            </w:pPr>
            <w:r w:rsidRPr="007B0782">
              <w:rPr>
                <w:rFonts w:cs="Arial"/>
                <w:szCs w:val="18"/>
                <w:lang w:val="en-GB"/>
              </w:rPr>
              <w:t>--</w:t>
            </w:r>
            <w:r w:rsidR="00CB23B0" w:rsidRPr="007B0782">
              <w:rPr>
                <w:rFonts w:cs="Arial"/>
                <w:szCs w:val="18"/>
                <w:lang w:val="en-GB"/>
              </w:rPr>
              <w:t xml:space="preserve"> </w:t>
            </w:r>
          </w:p>
        </w:tc>
        <w:tc>
          <w:tcPr>
            <w:tcW w:w="1465" w:type="dxa"/>
            <w:shd w:val="clear" w:color="auto" w:fill="FFFFFF"/>
          </w:tcPr>
          <w:p w14:paraId="036382EB" w14:textId="547442B0" w:rsidR="00CB23B0" w:rsidRPr="007B0782" w:rsidRDefault="007B0782" w:rsidP="00CB23B0">
            <w:pPr>
              <w:pStyle w:val="CETBodytext"/>
              <w:ind w:right="-1"/>
              <w:jc w:val="center"/>
              <w:rPr>
                <w:rFonts w:cs="Arial"/>
                <w:i/>
                <w:iCs/>
                <w:szCs w:val="18"/>
                <w:lang w:val="en-GB"/>
              </w:rPr>
            </w:pPr>
            <w:r w:rsidRPr="007B0782">
              <w:rPr>
                <w:rFonts w:cs="Arial"/>
                <w:szCs w:val="18"/>
                <w:lang w:val="en-GB"/>
              </w:rPr>
              <w:t>--</w:t>
            </w:r>
          </w:p>
        </w:tc>
      </w:tr>
    </w:tbl>
    <w:p w14:paraId="6BEE65FE" w14:textId="34ED3122" w:rsidR="00433096" w:rsidRPr="00CB23B0" w:rsidRDefault="002D08DD" w:rsidP="004E50F1">
      <w:pPr>
        <w:pStyle w:val="CETBodytext"/>
        <w:rPr>
          <w:lang w:val="en-GB"/>
        </w:rPr>
      </w:pPr>
      <w:r w:rsidRPr="00CB23B0">
        <w:rPr>
          <w:lang w:val="en-GB"/>
        </w:rPr>
        <w:lastRenderedPageBreak/>
        <w:t>Concerning</w:t>
      </w:r>
      <w:r w:rsidR="007B0782">
        <w:rPr>
          <w:lang w:val="en-GB"/>
        </w:rPr>
        <w:t xml:space="preserve"> the</w:t>
      </w:r>
      <w:r w:rsidRPr="00CB23B0">
        <w:rPr>
          <w:lang w:val="en-GB"/>
        </w:rPr>
        <w:t xml:space="preserve"> data of Table 3, </w:t>
      </w:r>
      <w:r w:rsidR="002F1540">
        <w:rPr>
          <w:lang w:val="en-GB"/>
        </w:rPr>
        <w:t>three</w:t>
      </w:r>
      <w:r w:rsidR="0073139D">
        <w:rPr>
          <w:lang w:val="en-GB"/>
        </w:rPr>
        <w:t xml:space="preserve"> values are given but</w:t>
      </w:r>
      <w:r w:rsidRPr="00CB23B0">
        <w:rPr>
          <w:lang w:val="en-GB"/>
        </w:rPr>
        <w:t xml:space="preserve"> AMINAL suggests using the central value in the safety report</w:t>
      </w:r>
      <w:r w:rsidR="0073139D">
        <w:rPr>
          <w:lang w:val="en-GB"/>
        </w:rPr>
        <w:t>s</w:t>
      </w:r>
      <w:r w:rsidRPr="00CB23B0">
        <w:rPr>
          <w:lang w:val="en-GB"/>
        </w:rPr>
        <w:t>. The extreme values (lower and upper) are reported in background information (appendix of AMINAL).</w:t>
      </w:r>
      <w:r w:rsidR="00CB23B0" w:rsidRPr="00CB23B0">
        <w:rPr>
          <w:lang w:val="en-GB"/>
        </w:rPr>
        <w:t xml:space="preserve"> Table 4 classifies failure rate based on amount of loss of containment.</w:t>
      </w:r>
    </w:p>
    <w:p w14:paraId="6458B17B" w14:textId="4DCE7FDF" w:rsidR="007B0D61" w:rsidRDefault="007B0D61" w:rsidP="007B0D61">
      <w:pPr>
        <w:pStyle w:val="CETBodytext"/>
        <w:rPr>
          <w:lang w:val="en-GB"/>
        </w:rPr>
      </w:pPr>
      <w:r>
        <w:rPr>
          <w:lang w:val="en-GB"/>
        </w:rPr>
        <w:t xml:space="preserve">By </w:t>
      </w:r>
      <w:r w:rsidR="00F92E1F">
        <w:rPr>
          <w:lang w:val="en-GB"/>
        </w:rPr>
        <w:t>focusing on</w:t>
      </w:r>
      <w:r w:rsidR="00F92E1F" w:rsidRPr="00CB568E">
        <w:rPr>
          <w:lang w:val="en-GB"/>
        </w:rPr>
        <w:t xml:space="preserve"> </w:t>
      </w:r>
      <w:r w:rsidRPr="00CB568E">
        <w:rPr>
          <w:lang w:val="en-GB"/>
        </w:rPr>
        <w:t>the heat exchanger</w:t>
      </w:r>
      <w:r>
        <w:rPr>
          <w:lang w:val="en-GB"/>
        </w:rPr>
        <w:t xml:space="preserve"> used for preheating purpose</w:t>
      </w:r>
      <w:r w:rsidRPr="00CB568E">
        <w:rPr>
          <w:lang w:val="en-GB"/>
        </w:rPr>
        <w:t xml:space="preserve">, data </w:t>
      </w:r>
      <w:r>
        <w:rPr>
          <w:lang w:val="en-GB"/>
        </w:rPr>
        <w:t>concerning</w:t>
      </w:r>
      <w:r w:rsidRPr="00CB568E">
        <w:rPr>
          <w:lang w:val="en-GB"/>
        </w:rPr>
        <w:t xml:space="preserve"> near-misses and </w:t>
      </w:r>
      <w:r>
        <w:rPr>
          <w:lang w:val="en-GB"/>
        </w:rPr>
        <w:t>tube rupture</w:t>
      </w:r>
      <w:r w:rsidRPr="00CB568E">
        <w:rPr>
          <w:lang w:val="en-GB"/>
        </w:rPr>
        <w:t xml:space="preserve">s occurred within the plant were collected. The observation period runs from </w:t>
      </w:r>
      <w:r>
        <w:rPr>
          <w:lang w:val="en-GB"/>
        </w:rPr>
        <w:t xml:space="preserve">the </w:t>
      </w:r>
      <w:proofErr w:type="gramStart"/>
      <w:r w:rsidRPr="00CB568E">
        <w:rPr>
          <w:lang w:val="en-GB"/>
        </w:rPr>
        <w:t>1</w:t>
      </w:r>
      <w:r>
        <w:rPr>
          <w:lang w:val="en-GB"/>
        </w:rPr>
        <w:t>st</w:t>
      </w:r>
      <w:proofErr w:type="gramEnd"/>
      <w:r w:rsidRPr="00CB568E">
        <w:rPr>
          <w:lang w:val="en-GB"/>
        </w:rPr>
        <w:t xml:space="preserve"> September 2009 to </w:t>
      </w:r>
      <w:r>
        <w:rPr>
          <w:lang w:val="en-GB"/>
        </w:rPr>
        <w:t xml:space="preserve">the </w:t>
      </w:r>
      <w:r w:rsidRPr="00CB568E">
        <w:rPr>
          <w:lang w:val="en-GB"/>
        </w:rPr>
        <w:t>31</w:t>
      </w:r>
      <w:r>
        <w:rPr>
          <w:lang w:val="en-GB"/>
        </w:rPr>
        <w:t>st</w:t>
      </w:r>
      <w:r w:rsidRPr="00CB568E">
        <w:rPr>
          <w:lang w:val="en-GB"/>
        </w:rPr>
        <w:t xml:space="preserve"> October 2021</w:t>
      </w:r>
      <w:r w:rsidR="001E59EB">
        <w:rPr>
          <w:lang w:val="en-GB"/>
        </w:rPr>
        <w:t xml:space="preserve"> (12 years)</w:t>
      </w:r>
      <w:r w:rsidRPr="00CB568E">
        <w:rPr>
          <w:lang w:val="en-GB"/>
        </w:rPr>
        <w:t xml:space="preserve"> and 65 near misses </w:t>
      </w:r>
      <w:r w:rsidR="00213813">
        <w:rPr>
          <w:lang w:val="en-GB"/>
        </w:rPr>
        <w:t xml:space="preserve">have been gathered, involving different items </w:t>
      </w:r>
      <w:r w:rsidR="006E210D">
        <w:rPr>
          <w:lang w:val="en-GB"/>
        </w:rPr>
        <w:t>of the plant. Near misses include failures, rupture</w:t>
      </w:r>
      <w:r w:rsidR="00E53D2C">
        <w:rPr>
          <w:lang w:val="en-GB"/>
        </w:rPr>
        <w:t>s</w:t>
      </w:r>
      <w:r w:rsidR="006E210D">
        <w:rPr>
          <w:lang w:val="en-GB"/>
        </w:rPr>
        <w:t>, misuse</w:t>
      </w:r>
      <w:r w:rsidR="00E53D2C">
        <w:rPr>
          <w:lang w:val="en-GB"/>
        </w:rPr>
        <w:t>s</w:t>
      </w:r>
      <w:r w:rsidR="006E210D">
        <w:rPr>
          <w:lang w:val="en-GB"/>
        </w:rPr>
        <w:t>, misfunction</w:t>
      </w:r>
      <w:r w:rsidR="00E53D2C">
        <w:rPr>
          <w:lang w:val="en-GB"/>
        </w:rPr>
        <w:t>s</w:t>
      </w:r>
      <w:r w:rsidR="006E210D">
        <w:rPr>
          <w:lang w:val="en-GB"/>
        </w:rPr>
        <w:t xml:space="preserve"> of technical systems as well as human errors. </w:t>
      </w:r>
      <w:r w:rsidR="00E53D2C" w:rsidRPr="00E53D2C">
        <w:t>There are</w:t>
      </w:r>
      <w:r w:rsidR="00CB54B3" w:rsidRPr="00E53D2C">
        <w:t xml:space="preserve"> 78 heat exchangers </w:t>
      </w:r>
      <w:r w:rsidR="00E53D2C" w:rsidRPr="00E53D2C">
        <w:t xml:space="preserve">in the unit </w:t>
      </w:r>
      <w:r w:rsidR="00E53D2C">
        <w:t>that were in service during the observation period</w:t>
      </w:r>
      <w:r w:rsidR="00F43BF8">
        <w:t>.</w:t>
      </w:r>
      <w:r w:rsidR="00E53D2C">
        <w:t xml:space="preserve"> </w:t>
      </w:r>
      <w:r w:rsidR="006E210D">
        <w:rPr>
          <w:lang w:val="en-GB"/>
        </w:rPr>
        <w:t>2</w:t>
      </w:r>
      <w:r w:rsidRPr="00CB568E">
        <w:rPr>
          <w:lang w:val="en-GB"/>
        </w:rPr>
        <w:t xml:space="preserve"> </w:t>
      </w:r>
      <w:r w:rsidR="00E53D2C">
        <w:rPr>
          <w:lang w:val="en-GB"/>
        </w:rPr>
        <w:t xml:space="preserve">minor leakages due to corrosion damages in tube bundle </w:t>
      </w:r>
      <w:r w:rsidRPr="00CB568E">
        <w:rPr>
          <w:lang w:val="en-GB"/>
        </w:rPr>
        <w:t>were recorded</w:t>
      </w:r>
      <w:r w:rsidR="00F43BF8">
        <w:rPr>
          <w:lang w:val="en-GB"/>
        </w:rPr>
        <w:t xml:space="preserve"> in the database</w:t>
      </w:r>
      <w:r w:rsidR="006E210D">
        <w:rPr>
          <w:lang w:val="en-GB"/>
        </w:rPr>
        <w:t xml:space="preserve">. </w:t>
      </w:r>
      <w:r w:rsidR="00E53D2C">
        <w:rPr>
          <w:lang w:val="en-GB"/>
        </w:rPr>
        <w:t>In addition,</w:t>
      </w:r>
      <w:r w:rsidR="006E210D">
        <w:rPr>
          <w:lang w:val="en-GB"/>
        </w:rPr>
        <w:t xml:space="preserve"> 2 near miss</w:t>
      </w:r>
      <w:r w:rsidR="00A23BD4">
        <w:rPr>
          <w:lang w:val="en-GB"/>
        </w:rPr>
        <w:t>es</w:t>
      </w:r>
      <w:r w:rsidR="006E210D">
        <w:rPr>
          <w:lang w:val="en-GB"/>
        </w:rPr>
        <w:t>, involving heat exchanger</w:t>
      </w:r>
      <w:r w:rsidR="00A23BD4">
        <w:rPr>
          <w:lang w:val="en-GB"/>
        </w:rPr>
        <w:t>s</w:t>
      </w:r>
      <w:r w:rsidR="006E210D">
        <w:rPr>
          <w:lang w:val="en-GB"/>
        </w:rPr>
        <w:t xml:space="preserve">, </w:t>
      </w:r>
      <w:r w:rsidR="00DC370F">
        <w:rPr>
          <w:lang w:val="en-GB"/>
        </w:rPr>
        <w:t>we</w:t>
      </w:r>
      <w:r w:rsidR="006E210D">
        <w:rPr>
          <w:lang w:val="en-GB"/>
        </w:rPr>
        <w:t xml:space="preserve">re related to </w:t>
      </w:r>
      <w:r w:rsidR="00A23BD4">
        <w:rPr>
          <w:lang w:val="en-GB"/>
        </w:rPr>
        <w:t xml:space="preserve">inappropriate actions during maintenance, </w:t>
      </w:r>
      <w:r w:rsidR="00A23BD4" w:rsidRPr="00A23BD4">
        <w:rPr>
          <w:lang w:val="en-GB"/>
        </w:rPr>
        <w:t>but only one of these led to a loss of material, albeit well controlled.</w:t>
      </w:r>
      <w:r w:rsidR="00A23BD4">
        <w:rPr>
          <w:lang w:val="en-GB"/>
        </w:rPr>
        <w:t xml:space="preserve"> </w:t>
      </w:r>
    </w:p>
    <w:p w14:paraId="59C783A9" w14:textId="77777777" w:rsidR="00853231" w:rsidRPr="00B17C89" w:rsidRDefault="00853231" w:rsidP="00853231">
      <w:pPr>
        <w:pStyle w:val="CETHeading1"/>
        <w:rPr>
          <w:lang w:val="en-GB"/>
        </w:rPr>
      </w:pPr>
      <w:r>
        <w:rPr>
          <w:lang w:val="en-GB"/>
        </w:rPr>
        <w:t>Results</w:t>
      </w:r>
    </w:p>
    <w:p w14:paraId="46B269D1" w14:textId="77777777" w:rsidR="00DC370F" w:rsidRDefault="00DC370F" w:rsidP="00DC370F">
      <w:pPr>
        <w:pStyle w:val="CETBodytext"/>
        <w:rPr>
          <w:lang w:val="en-GB"/>
        </w:rPr>
      </w:pPr>
      <w:r>
        <w:rPr>
          <w:lang w:val="en-GB"/>
        </w:rPr>
        <w:t>T</w:t>
      </w:r>
      <w:r w:rsidRPr="00CB568E">
        <w:rPr>
          <w:lang w:val="en-GB"/>
        </w:rPr>
        <w:t>he gamma</w:t>
      </w:r>
      <w:r>
        <w:rPr>
          <w:lang w:val="en-GB"/>
        </w:rPr>
        <w:t xml:space="preserve"> </w:t>
      </w:r>
      <w:r w:rsidRPr="00CB568E">
        <w:rPr>
          <w:lang w:val="en-GB"/>
        </w:rPr>
        <w:t xml:space="preserve">distribution </w:t>
      </w:r>
      <w:r>
        <w:rPr>
          <w:lang w:val="en-GB"/>
        </w:rPr>
        <w:t xml:space="preserve">(Eq. 2) has been chosen for </w:t>
      </w:r>
      <w:r w:rsidRPr="00CB568E">
        <w:rPr>
          <w:lang w:val="en-GB"/>
        </w:rPr>
        <w:t>the prior</w:t>
      </w:r>
      <w:r>
        <w:rPr>
          <w:lang w:val="en-GB"/>
        </w:rPr>
        <w:t xml:space="preserve"> probability of failure data, whereas t</w:t>
      </w:r>
      <w:r w:rsidRPr="00F74FBD">
        <w:rPr>
          <w:lang w:val="en-GB"/>
        </w:rPr>
        <w:t>he likelihood function</w:t>
      </w:r>
      <w:r>
        <w:rPr>
          <w:lang w:val="en-GB"/>
        </w:rPr>
        <w:t xml:space="preserve"> i</w:t>
      </w:r>
      <w:r w:rsidRPr="00F74FBD">
        <w:rPr>
          <w:lang w:val="en-GB"/>
        </w:rPr>
        <w:t xml:space="preserve">s </w:t>
      </w:r>
      <w:r>
        <w:rPr>
          <w:lang w:val="en-GB"/>
        </w:rPr>
        <w:t xml:space="preserve">generally well represented </w:t>
      </w:r>
      <w:r w:rsidRPr="00F74FBD">
        <w:rPr>
          <w:lang w:val="en-GB"/>
        </w:rPr>
        <w:t xml:space="preserve">by the Poisson distribution </w:t>
      </w:r>
      <w:r>
        <w:rPr>
          <w:lang w:val="en-GB"/>
        </w:rPr>
        <w:t>(Eq. 3) (</w:t>
      </w:r>
      <w:proofErr w:type="spellStart"/>
      <w:r>
        <w:rPr>
          <w:lang w:val="en-GB"/>
        </w:rPr>
        <w:t>Sharaghi</w:t>
      </w:r>
      <w:proofErr w:type="spellEnd"/>
      <w:r>
        <w:rPr>
          <w:lang w:val="en-GB"/>
        </w:rPr>
        <w:t xml:space="preserve">, 2008). By updating the prior gamma distribution </w:t>
      </w:r>
      <w:r w:rsidRPr="00CB568E">
        <w:rPr>
          <w:lang w:val="en-GB"/>
        </w:rPr>
        <w:t>by the Poisson likelihood</w:t>
      </w:r>
      <w:r>
        <w:rPr>
          <w:lang w:val="en-GB"/>
        </w:rPr>
        <w:t xml:space="preserve"> </w:t>
      </w:r>
      <w:r w:rsidRPr="00CB568E">
        <w:rPr>
          <w:lang w:val="en-GB"/>
        </w:rPr>
        <w:t>model, the posterior distribution is also</w:t>
      </w:r>
      <w:r>
        <w:rPr>
          <w:lang w:val="en-GB"/>
        </w:rPr>
        <w:t xml:space="preserve"> represented </w:t>
      </w:r>
      <w:r w:rsidRPr="00CB568E">
        <w:rPr>
          <w:lang w:val="en-GB"/>
        </w:rPr>
        <w:t>by the</w:t>
      </w:r>
      <w:r>
        <w:rPr>
          <w:lang w:val="en-GB"/>
        </w:rPr>
        <w:t xml:space="preserve"> </w:t>
      </w:r>
      <w:r w:rsidRPr="00CB568E">
        <w:rPr>
          <w:lang w:val="en-GB"/>
        </w:rPr>
        <w:t>gamma distribution</w:t>
      </w:r>
      <w:r>
        <w:rPr>
          <w:lang w:val="en-GB"/>
        </w:rPr>
        <w:t xml:space="preserve"> (Eq. 4):</w:t>
      </w:r>
    </w:p>
    <w:tbl>
      <w:tblPr>
        <w:tblW w:w="5000" w:type="pct"/>
        <w:tblLook w:val="04A0" w:firstRow="1" w:lastRow="0" w:firstColumn="1" w:lastColumn="0" w:noHBand="0" w:noVBand="1"/>
      </w:tblPr>
      <w:tblGrid>
        <w:gridCol w:w="7990"/>
        <w:gridCol w:w="797"/>
      </w:tblGrid>
      <w:tr w:rsidR="00DC370F" w:rsidRPr="00B17C89" w14:paraId="682C9823" w14:textId="77777777" w:rsidTr="00E5158A">
        <w:tc>
          <w:tcPr>
            <w:tcW w:w="8188" w:type="dxa"/>
            <w:shd w:val="clear" w:color="auto" w:fill="auto"/>
            <w:vAlign w:val="center"/>
          </w:tcPr>
          <w:p w14:paraId="45925290" w14:textId="77777777" w:rsidR="00DC370F" w:rsidRPr="00B17C89" w:rsidRDefault="00DC370F" w:rsidP="00E5158A">
            <w:pPr>
              <w:pStyle w:val="CETEquation"/>
            </w:pPr>
            <w:r w:rsidRPr="008A218D">
              <w:rPr>
                <w:position w:val="-28"/>
              </w:rPr>
              <w:object w:dxaOrig="2600" w:dyaOrig="700" w14:anchorId="0CB7F104">
                <v:shape id="_x0000_i1026" type="#_x0000_t75" style="width:129.75pt;height:35.25pt" o:ole="">
                  <v:imagedata r:id="rId14" o:title=""/>
                </v:shape>
                <o:OLEObject Type="Embed" ProgID="Equation.DSMT4" ShapeID="_x0000_i1026" DrawAspect="Content" ObjectID="_1710625777" r:id="rId15"/>
              </w:object>
            </w:r>
          </w:p>
        </w:tc>
        <w:tc>
          <w:tcPr>
            <w:tcW w:w="815" w:type="dxa"/>
            <w:shd w:val="clear" w:color="auto" w:fill="auto"/>
            <w:vAlign w:val="center"/>
          </w:tcPr>
          <w:p w14:paraId="19763DC6" w14:textId="77777777" w:rsidR="00DC370F" w:rsidRPr="00B17C89" w:rsidRDefault="00DC370F" w:rsidP="00E5158A">
            <w:pPr>
              <w:pStyle w:val="CETEquation"/>
              <w:jc w:val="right"/>
            </w:pPr>
            <w:r w:rsidRPr="00B17C89">
              <w:t>(</w:t>
            </w:r>
            <w:r>
              <w:t>2</w:t>
            </w:r>
            <w:r w:rsidRPr="00B17C89">
              <w:t>)</w:t>
            </w:r>
          </w:p>
        </w:tc>
      </w:tr>
      <w:tr w:rsidR="00DC370F" w:rsidRPr="00B17C89" w14:paraId="2BEEF037" w14:textId="77777777" w:rsidTr="00E5158A">
        <w:tc>
          <w:tcPr>
            <w:tcW w:w="8188" w:type="dxa"/>
            <w:shd w:val="clear" w:color="auto" w:fill="auto"/>
            <w:vAlign w:val="center"/>
          </w:tcPr>
          <w:p w14:paraId="11D5744C" w14:textId="77777777" w:rsidR="00DC370F" w:rsidRPr="00B17C89" w:rsidRDefault="00DC370F" w:rsidP="00E5158A">
            <w:pPr>
              <w:pStyle w:val="CETEquation"/>
            </w:pPr>
            <w:r w:rsidRPr="008A218D">
              <w:rPr>
                <w:position w:val="-24"/>
              </w:rPr>
              <w:object w:dxaOrig="2520" w:dyaOrig="720" w14:anchorId="07A5CBEC">
                <v:shape id="_x0000_i1027" type="#_x0000_t75" style="width:126pt;height:36pt" o:ole="">
                  <v:imagedata r:id="rId16" o:title=""/>
                </v:shape>
                <o:OLEObject Type="Embed" ProgID="Equation.DSMT4" ShapeID="_x0000_i1027" DrawAspect="Content" ObjectID="_1710625778" r:id="rId17"/>
              </w:object>
            </w:r>
          </w:p>
        </w:tc>
        <w:tc>
          <w:tcPr>
            <w:tcW w:w="815" w:type="dxa"/>
            <w:shd w:val="clear" w:color="auto" w:fill="auto"/>
            <w:vAlign w:val="center"/>
          </w:tcPr>
          <w:p w14:paraId="44DB4B92" w14:textId="77777777" w:rsidR="00DC370F" w:rsidRPr="00B17C89" w:rsidRDefault="00DC370F" w:rsidP="00E5158A">
            <w:pPr>
              <w:pStyle w:val="CETEquation"/>
              <w:jc w:val="right"/>
            </w:pPr>
            <w:r w:rsidRPr="00B17C89">
              <w:t>(</w:t>
            </w:r>
            <w:r>
              <w:t>3</w:t>
            </w:r>
            <w:r w:rsidRPr="00B17C89">
              <w:t>)</w:t>
            </w:r>
          </w:p>
        </w:tc>
      </w:tr>
      <w:tr w:rsidR="00DC370F" w:rsidRPr="00B17C89" w14:paraId="3C0E7AD7" w14:textId="77777777" w:rsidTr="00E5158A">
        <w:tc>
          <w:tcPr>
            <w:tcW w:w="8188" w:type="dxa"/>
            <w:shd w:val="clear" w:color="auto" w:fill="auto"/>
            <w:vAlign w:val="center"/>
          </w:tcPr>
          <w:p w14:paraId="08822F19" w14:textId="77777777" w:rsidR="00DC370F" w:rsidRPr="00B17C89" w:rsidRDefault="00DC370F" w:rsidP="00E5158A">
            <w:pPr>
              <w:pStyle w:val="CETEquation"/>
            </w:pPr>
            <w:r w:rsidRPr="008A218D">
              <w:rPr>
                <w:position w:val="-28"/>
              </w:rPr>
              <w:object w:dxaOrig="3900" w:dyaOrig="760" w14:anchorId="7E8CC950">
                <v:shape id="_x0000_i1028" type="#_x0000_t75" style="width:195pt;height:38.25pt" o:ole="">
                  <v:imagedata r:id="rId18" o:title=""/>
                </v:shape>
                <o:OLEObject Type="Embed" ProgID="Equation.DSMT4" ShapeID="_x0000_i1028" DrawAspect="Content" ObjectID="_1710625779" r:id="rId19"/>
              </w:object>
            </w:r>
          </w:p>
        </w:tc>
        <w:tc>
          <w:tcPr>
            <w:tcW w:w="815" w:type="dxa"/>
            <w:shd w:val="clear" w:color="auto" w:fill="auto"/>
            <w:vAlign w:val="center"/>
          </w:tcPr>
          <w:p w14:paraId="05557FA4" w14:textId="77777777" w:rsidR="00DC370F" w:rsidRPr="00B17C89" w:rsidRDefault="00DC370F" w:rsidP="00E5158A">
            <w:pPr>
              <w:pStyle w:val="CETEquation"/>
              <w:jc w:val="right"/>
            </w:pPr>
            <w:r w:rsidRPr="00B17C89">
              <w:t>(</w:t>
            </w:r>
            <w:r>
              <w:t>4</w:t>
            </w:r>
            <w:r w:rsidRPr="00B17C89">
              <w:t>)</w:t>
            </w:r>
          </w:p>
        </w:tc>
      </w:tr>
    </w:tbl>
    <w:p w14:paraId="128B4FCB" w14:textId="77777777" w:rsidR="00DC370F" w:rsidRPr="00CF17B3" w:rsidRDefault="00DC370F" w:rsidP="00DC370F">
      <w:pPr>
        <w:pStyle w:val="CETBodytext"/>
      </w:pPr>
      <w:r>
        <w:rPr>
          <w:lang w:val="en-GB"/>
        </w:rPr>
        <w:t xml:space="preserve">where: </w:t>
      </w:r>
      <w:r w:rsidRPr="00CF17B3">
        <w:rPr>
          <w:rFonts w:ascii="Times New Roman" w:hAnsi="Times New Roman"/>
          <w:i/>
          <w:iCs/>
          <w:lang w:val="en-GB"/>
        </w:rPr>
        <w:t>α</w:t>
      </w:r>
      <w:r>
        <w:rPr>
          <w:lang w:val="en-GB"/>
        </w:rPr>
        <w:t xml:space="preserve"> =</w:t>
      </w:r>
      <w:r w:rsidRPr="00CF17B3">
        <w:rPr>
          <w:lang w:val="en-GB"/>
        </w:rPr>
        <w:t xml:space="preserve"> scale factor</w:t>
      </w:r>
      <w:r>
        <w:rPr>
          <w:lang w:val="en-GB"/>
        </w:rPr>
        <w:t xml:space="preserve">; </w:t>
      </w:r>
      <w:r w:rsidRPr="00CF17B3">
        <w:rPr>
          <w:rFonts w:ascii="Times New Roman" w:hAnsi="Times New Roman"/>
          <w:i/>
          <w:iCs/>
          <w:lang w:val="en-GB"/>
        </w:rPr>
        <w:t>β</w:t>
      </w:r>
      <w:r w:rsidRPr="00CF17B3">
        <w:rPr>
          <w:lang w:val="en-GB"/>
        </w:rPr>
        <w:t xml:space="preserve"> </w:t>
      </w:r>
      <w:r>
        <w:rPr>
          <w:lang w:val="en-GB"/>
        </w:rPr>
        <w:t xml:space="preserve">= </w:t>
      </w:r>
      <w:r w:rsidRPr="00CF17B3">
        <w:rPr>
          <w:lang w:val="en-GB"/>
        </w:rPr>
        <w:t>shape factor</w:t>
      </w:r>
      <w:r>
        <w:rPr>
          <w:lang w:val="en-GB"/>
        </w:rPr>
        <w:t>.</w:t>
      </w:r>
    </w:p>
    <w:p w14:paraId="39A06B4B" w14:textId="77777777" w:rsidR="00DC370F" w:rsidRDefault="00DC370F" w:rsidP="00DC370F">
      <w:pPr>
        <w:pStyle w:val="CETBodytext"/>
        <w:rPr>
          <w:lang w:val="en-GB"/>
        </w:rPr>
      </w:pPr>
      <w:r>
        <w:rPr>
          <w:lang w:val="en-GB"/>
        </w:rPr>
        <w:t>By comparing Equation 2 and 3, the following can be obtained:</w:t>
      </w:r>
    </w:p>
    <w:tbl>
      <w:tblPr>
        <w:tblW w:w="5000" w:type="pct"/>
        <w:tblLook w:val="04A0" w:firstRow="1" w:lastRow="0" w:firstColumn="1" w:lastColumn="0" w:noHBand="0" w:noVBand="1"/>
      </w:tblPr>
      <w:tblGrid>
        <w:gridCol w:w="7984"/>
        <w:gridCol w:w="803"/>
      </w:tblGrid>
      <w:tr w:rsidR="00DC370F" w:rsidRPr="00B17C89" w14:paraId="32D4E636" w14:textId="77777777" w:rsidTr="00E5158A">
        <w:tc>
          <w:tcPr>
            <w:tcW w:w="8188" w:type="dxa"/>
            <w:shd w:val="clear" w:color="auto" w:fill="auto"/>
            <w:vAlign w:val="center"/>
          </w:tcPr>
          <w:p w14:paraId="5A40F8C8" w14:textId="77777777" w:rsidR="00DC370F" w:rsidRPr="00B17C89" w:rsidRDefault="00DC370F" w:rsidP="00E5158A">
            <w:pPr>
              <w:pStyle w:val="CETEquation"/>
            </w:pPr>
            <w:r w:rsidRPr="00CF17B3">
              <w:rPr>
                <w:position w:val="-14"/>
              </w:rPr>
              <w:object w:dxaOrig="1760" w:dyaOrig="380" w14:anchorId="7A14052F">
                <v:shape id="_x0000_i1029" type="#_x0000_t75" style="width:87.75pt;height:18.75pt" o:ole="">
                  <v:imagedata r:id="rId20" o:title=""/>
                </v:shape>
                <o:OLEObject Type="Embed" ProgID="Equation.DSMT4" ShapeID="_x0000_i1029" DrawAspect="Content" ObjectID="_1710625780" r:id="rId21"/>
              </w:object>
            </w:r>
          </w:p>
        </w:tc>
        <w:tc>
          <w:tcPr>
            <w:tcW w:w="815" w:type="dxa"/>
            <w:shd w:val="clear" w:color="auto" w:fill="auto"/>
            <w:vAlign w:val="center"/>
          </w:tcPr>
          <w:p w14:paraId="0994F703" w14:textId="77777777" w:rsidR="00DC370F" w:rsidRPr="00B17C89" w:rsidRDefault="00DC370F" w:rsidP="00E5158A">
            <w:pPr>
              <w:pStyle w:val="CETEquation"/>
              <w:jc w:val="right"/>
            </w:pPr>
            <w:r w:rsidRPr="00B17C89">
              <w:t>(</w:t>
            </w:r>
            <w:r>
              <w:t>5</w:t>
            </w:r>
            <w:r w:rsidRPr="00B17C89">
              <w:t>)</w:t>
            </w:r>
          </w:p>
        </w:tc>
      </w:tr>
      <w:tr w:rsidR="00DC370F" w:rsidRPr="00B17C89" w14:paraId="278D5801" w14:textId="77777777" w:rsidTr="00E5158A">
        <w:tc>
          <w:tcPr>
            <w:tcW w:w="8188" w:type="dxa"/>
            <w:shd w:val="clear" w:color="auto" w:fill="auto"/>
            <w:vAlign w:val="center"/>
          </w:tcPr>
          <w:p w14:paraId="2C908155" w14:textId="77777777" w:rsidR="00DC370F" w:rsidRPr="00B17C89" w:rsidRDefault="00DC370F" w:rsidP="00E5158A">
            <w:pPr>
              <w:pStyle w:val="CETEquation"/>
            </w:pPr>
            <w:r w:rsidRPr="00CF17B3">
              <w:rPr>
                <w:position w:val="-14"/>
              </w:rPr>
              <w:object w:dxaOrig="1700" w:dyaOrig="380" w14:anchorId="6D17D77B">
                <v:shape id="_x0000_i1030" type="#_x0000_t75" style="width:84.75pt;height:18.75pt" o:ole="">
                  <v:imagedata r:id="rId22" o:title=""/>
                </v:shape>
                <o:OLEObject Type="Embed" ProgID="Equation.DSMT4" ShapeID="_x0000_i1030" DrawAspect="Content" ObjectID="_1710625781" r:id="rId23"/>
              </w:object>
            </w:r>
          </w:p>
        </w:tc>
        <w:tc>
          <w:tcPr>
            <w:tcW w:w="815" w:type="dxa"/>
            <w:shd w:val="clear" w:color="auto" w:fill="auto"/>
            <w:vAlign w:val="center"/>
          </w:tcPr>
          <w:p w14:paraId="3EBE59F1" w14:textId="77777777" w:rsidR="00DC370F" w:rsidRPr="00B17C89" w:rsidRDefault="00DC370F" w:rsidP="00E5158A">
            <w:pPr>
              <w:pStyle w:val="CETEquation"/>
              <w:jc w:val="right"/>
            </w:pPr>
            <w:r w:rsidRPr="00B17C89">
              <w:t>(</w:t>
            </w:r>
            <w:r>
              <w:t>6</w:t>
            </w:r>
            <w:r w:rsidRPr="00B17C89">
              <w:t>)</w:t>
            </w:r>
          </w:p>
        </w:tc>
      </w:tr>
    </w:tbl>
    <w:p w14:paraId="719B54FD" w14:textId="77777777" w:rsidR="00241AA5" w:rsidRDefault="00241AA5" w:rsidP="00DC370F">
      <w:pPr>
        <w:pStyle w:val="CETBodytext"/>
        <w:rPr>
          <w:lang w:val="en-GB"/>
        </w:rPr>
      </w:pPr>
    </w:p>
    <w:p w14:paraId="7475F5F4" w14:textId="753E499F" w:rsidR="00DC370F" w:rsidRPr="00CB568E" w:rsidRDefault="00DC370F" w:rsidP="00DC370F">
      <w:pPr>
        <w:pStyle w:val="CETBodytext"/>
      </w:pPr>
      <w:r>
        <w:rPr>
          <w:lang w:val="en-GB"/>
        </w:rPr>
        <w:t xml:space="preserve">In addition, it must be recalled that the mean of the gamma distribution is </w:t>
      </w:r>
      <w:r w:rsidRPr="00496883">
        <w:rPr>
          <w:rFonts w:ascii="Times New Roman" w:hAnsi="Times New Roman"/>
          <w:i/>
          <w:iCs/>
          <w:lang w:val="en-GB"/>
        </w:rPr>
        <w:t>α</w:t>
      </w:r>
      <w:r w:rsidRPr="00496883">
        <w:rPr>
          <w:rFonts w:ascii="Times New Roman" w:hAnsi="Times New Roman"/>
          <w:lang w:val="en-GB"/>
        </w:rPr>
        <w:t>/</w:t>
      </w:r>
      <w:r w:rsidRPr="00496883">
        <w:rPr>
          <w:rFonts w:ascii="Times New Roman" w:hAnsi="Times New Roman"/>
          <w:i/>
          <w:iCs/>
          <w:lang w:val="en-GB"/>
        </w:rPr>
        <w:t>β</w:t>
      </w:r>
      <w:r>
        <w:rPr>
          <w:lang w:val="en-GB"/>
        </w:rPr>
        <w:t xml:space="preserve"> = 0.5 and the variance is </w:t>
      </w:r>
      <w:r w:rsidRPr="00496883">
        <w:rPr>
          <w:rFonts w:ascii="Times New Roman" w:hAnsi="Times New Roman"/>
          <w:i/>
          <w:iCs/>
          <w:lang w:val="en-GB"/>
        </w:rPr>
        <w:t>α</w:t>
      </w:r>
      <w:r w:rsidRPr="00496883">
        <w:rPr>
          <w:rFonts w:ascii="Times New Roman" w:hAnsi="Times New Roman"/>
          <w:lang w:val="en-GB"/>
        </w:rPr>
        <w:t>/</w:t>
      </w:r>
      <w:r w:rsidRPr="00496883">
        <w:rPr>
          <w:rFonts w:ascii="Times New Roman" w:hAnsi="Times New Roman"/>
          <w:i/>
          <w:iCs/>
          <w:lang w:val="en-GB"/>
        </w:rPr>
        <w:t>β</w:t>
      </w:r>
      <w:r>
        <w:rPr>
          <w:rFonts w:ascii="Times New Roman" w:hAnsi="Times New Roman"/>
          <w:vertAlign w:val="superscript"/>
          <w:lang w:val="en-GB"/>
        </w:rPr>
        <w:t>2</w:t>
      </w:r>
      <w:r>
        <w:rPr>
          <w:lang w:val="en-GB"/>
        </w:rPr>
        <w:t>. Then, it is possible to derive the parameters of the posterior distribution.</w:t>
      </w:r>
    </w:p>
    <w:p w14:paraId="5612D9F6" w14:textId="28D22631" w:rsidR="00853231" w:rsidRDefault="00853231" w:rsidP="00853231">
      <w:pPr>
        <w:pStyle w:val="CETBodytext"/>
        <w:rPr>
          <w:lang w:val="en-GB"/>
        </w:rPr>
      </w:pPr>
      <w:r>
        <w:rPr>
          <w:lang w:val="en-GB"/>
        </w:rPr>
        <w:t>T</w:t>
      </w:r>
      <w:r w:rsidRPr="00496883">
        <w:rPr>
          <w:lang w:val="en-GB"/>
        </w:rPr>
        <w:t xml:space="preserve">he parameters of the </w:t>
      </w:r>
      <w:r w:rsidR="0073139D" w:rsidRPr="00496883">
        <w:rPr>
          <w:lang w:val="en-GB"/>
        </w:rPr>
        <w:t>p</w:t>
      </w:r>
      <w:r w:rsidR="0073139D">
        <w:rPr>
          <w:lang w:val="en-GB"/>
        </w:rPr>
        <w:t>osterior</w:t>
      </w:r>
      <w:r w:rsidR="0073139D" w:rsidRPr="00496883">
        <w:rPr>
          <w:lang w:val="en-GB"/>
        </w:rPr>
        <w:t xml:space="preserve"> </w:t>
      </w:r>
      <w:r w:rsidRPr="00496883">
        <w:rPr>
          <w:lang w:val="en-GB"/>
        </w:rPr>
        <w:t xml:space="preserve">distribution </w:t>
      </w:r>
      <w:r>
        <w:rPr>
          <w:lang w:val="en-GB"/>
        </w:rPr>
        <w:t xml:space="preserve">have been calculated for the heat exchanger by updating data </w:t>
      </w:r>
      <w:r w:rsidR="0073139D">
        <w:rPr>
          <w:lang w:val="en-GB"/>
        </w:rPr>
        <w:t>by accountin</w:t>
      </w:r>
      <w:r w:rsidR="00D65E8B">
        <w:rPr>
          <w:lang w:val="en-GB"/>
        </w:rPr>
        <w:t xml:space="preserve">g </w:t>
      </w:r>
      <w:r>
        <w:rPr>
          <w:lang w:val="en-GB"/>
        </w:rPr>
        <w:t xml:space="preserve">for near misses and tube ruptures. The </w:t>
      </w:r>
      <w:r w:rsidR="00D65E8B">
        <w:rPr>
          <w:lang w:val="en-GB"/>
        </w:rPr>
        <w:t xml:space="preserve">prior </w:t>
      </w:r>
      <w:r>
        <w:rPr>
          <w:lang w:val="en-GB"/>
        </w:rPr>
        <w:t>probability of release from the tubes has been quantified by using the RBI methodology (API, 2016b)</w:t>
      </w:r>
      <w:r w:rsidR="00F43BF8">
        <w:rPr>
          <w:lang w:val="en-GB"/>
        </w:rPr>
        <w:t>: the generic probability is the sum of the failure rate associated to small and medium leakages</w:t>
      </w:r>
      <w:r w:rsidR="0041173A">
        <w:rPr>
          <w:lang w:val="en-GB"/>
        </w:rPr>
        <w:t xml:space="preserve"> (from AMINAL</w:t>
      </w:r>
      <w:r w:rsidR="005E1D49">
        <w:rPr>
          <w:lang w:val="en-GB"/>
        </w:rPr>
        <w:t xml:space="preserve">, </w:t>
      </w:r>
      <w:proofErr w:type="gramStart"/>
      <w:r w:rsidR="005E1D49">
        <w:rPr>
          <w:lang w:val="en-GB"/>
        </w:rPr>
        <w:t>i.e.</w:t>
      </w:r>
      <w:proofErr w:type="gramEnd"/>
      <w:r w:rsidR="005E1D49">
        <w:rPr>
          <w:lang w:val="en-GB"/>
        </w:rPr>
        <w:t xml:space="preserve"> 9</w:t>
      </w:r>
      <w:r w:rsidR="005E1D49" w:rsidRPr="009E3D36">
        <w:rPr>
          <w:lang w:val="en-GB"/>
        </w:rPr>
        <w:t>.</w:t>
      </w:r>
      <w:r w:rsidR="005E1D49">
        <w:rPr>
          <w:lang w:val="en-GB"/>
        </w:rPr>
        <w:t>9</w:t>
      </w:r>
      <w:r w:rsidR="005E1D49" w:rsidRPr="009E3D36">
        <w:rPr>
          <w:lang w:val="en-GB"/>
        </w:rPr>
        <w:t>0</w:t>
      </w:r>
      <w:r w:rsidR="005E1D49" w:rsidRPr="009E3D36">
        <w:rPr>
          <w:rFonts w:cs="Arial"/>
          <w:lang w:val="en-GB"/>
        </w:rPr>
        <w:t>∙</w:t>
      </w:r>
      <w:r w:rsidR="005E1D49" w:rsidRPr="009E3D36">
        <w:rPr>
          <w:lang w:val="en-GB"/>
        </w:rPr>
        <w:t>10</w:t>
      </w:r>
      <w:r w:rsidR="005E1D49" w:rsidRPr="009E3D36">
        <w:rPr>
          <w:vertAlign w:val="superscript"/>
          <w:lang w:val="en-GB"/>
        </w:rPr>
        <w:t>-3</w:t>
      </w:r>
      <w:r w:rsidR="0041173A">
        <w:rPr>
          <w:lang w:val="en-GB"/>
        </w:rPr>
        <w:t>)</w:t>
      </w:r>
      <w:r w:rsidR="00F43BF8">
        <w:rPr>
          <w:lang w:val="en-GB"/>
        </w:rPr>
        <w:t>, the damage factor and the managerial factor</w:t>
      </w:r>
      <w:r w:rsidR="0041173A">
        <w:rPr>
          <w:lang w:val="en-GB"/>
        </w:rPr>
        <w:t xml:space="preserve"> </w:t>
      </w:r>
      <w:r w:rsidR="00D65E8B">
        <w:rPr>
          <w:lang w:val="en-GB"/>
        </w:rPr>
        <w:t xml:space="preserve">have been quantified to be </w:t>
      </w:r>
      <w:r w:rsidR="0041173A">
        <w:rPr>
          <w:lang w:val="en-GB"/>
        </w:rPr>
        <w:t>respectively 1.5453 and</w:t>
      </w:r>
      <w:r>
        <w:rPr>
          <w:lang w:val="en-GB"/>
        </w:rPr>
        <w:t xml:space="preserve"> </w:t>
      </w:r>
      <w:r w:rsidR="0041173A">
        <w:rPr>
          <w:lang w:val="en-GB"/>
        </w:rPr>
        <w:t xml:space="preserve">0.111. Then, the resulting probability of release was </w:t>
      </w:r>
      <w:r w:rsidR="005E1D49" w:rsidRPr="008E0482">
        <w:rPr>
          <w:lang w:val="en-GB"/>
        </w:rPr>
        <w:t>1</w:t>
      </w:r>
      <w:r w:rsidRPr="008E0482">
        <w:rPr>
          <w:lang w:val="en-GB"/>
        </w:rPr>
        <w:t>.</w:t>
      </w:r>
      <w:r w:rsidR="005E1D49" w:rsidRPr="008E0482">
        <w:rPr>
          <w:lang w:val="en-GB"/>
        </w:rPr>
        <w:t>7</w:t>
      </w:r>
      <w:r w:rsidRPr="008E0482">
        <w:rPr>
          <w:lang w:val="en-GB"/>
        </w:rPr>
        <w:t>0</w:t>
      </w:r>
      <w:r w:rsidRPr="008E0482">
        <w:rPr>
          <w:rFonts w:cs="Arial"/>
          <w:lang w:val="en-GB"/>
        </w:rPr>
        <w:t>∙</w:t>
      </w:r>
      <w:r w:rsidRPr="008E0482">
        <w:rPr>
          <w:lang w:val="en-GB"/>
        </w:rPr>
        <w:t>10</w:t>
      </w:r>
      <w:r w:rsidRPr="008E0482">
        <w:rPr>
          <w:vertAlign w:val="superscript"/>
          <w:lang w:val="en-GB"/>
        </w:rPr>
        <w:t>-</w:t>
      </w:r>
      <w:r w:rsidR="0041173A" w:rsidRPr="008E0482">
        <w:rPr>
          <w:vertAlign w:val="superscript"/>
          <w:lang w:val="en-GB"/>
        </w:rPr>
        <w:t>3</w:t>
      </w:r>
      <w:r w:rsidR="0041173A">
        <w:rPr>
          <w:lang w:val="en-GB"/>
        </w:rPr>
        <w:t xml:space="preserve">, this value </w:t>
      </w:r>
      <w:r w:rsidR="00BC7FDC">
        <w:rPr>
          <w:lang w:val="en-GB"/>
        </w:rPr>
        <w:t>h</w:t>
      </w:r>
      <w:r w:rsidR="0041173A">
        <w:rPr>
          <w:lang w:val="en-GB"/>
        </w:rPr>
        <w:t>as</w:t>
      </w:r>
      <w:r w:rsidR="00BC7FDC">
        <w:rPr>
          <w:lang w:val="en-GB"/>
        </w:rPr>
        <w:t xml:space="preserve"> been</w:t>
      </w:r>
      <w:r w:rsidR="0041173A">
        <w:rPr>
          <w:lang w:val="en-GB"/>
        </w:rPr>
        <w:t xml:space="preserve"> updated </w:t>
      </w:r>
      <w:r>
        <w:rPr>
          <w:lang w:val="en-GB"/>
        </w:rPr>
        <w:t xml:space="preserve">by the Bayes </w:t>
      </w:r>
      <w:r w:rsidR="0041173A">
        <w:rPr>
          <w:lang w:val="en-GB"/>
        </w:rPr>
        <w:t xml:space="preserve">approach. The results of the </w:t>
      </w:r>
      <w:r w:rsidR="005E1D49">
        <w:rPr>
          <w:lang w:val="en-GB"/>
        </w:rPr>
        <w:t>Bayesian</w:t>
      </w:r>
      <w:r w:rsidR="0041173A">
        <w:rPr>
          <w:lang w:val="en-GB"/>
        </w:rPr>
        <w:t xml:space="preserve"> </w:t>
      </w:r>
      <w:r>
        <w:rPr>
          <w:lang w:val="en-GB"/>
        </w:rPr>
        <w:t xml:space="preserve">updating are summarised in Table </w:t>
      </w:r>
      <w:r w:rsidR="0041173A">
        <w:rPr>
          <w:lang w:val="en-GB"/>
        </w:rPr>
        <w:t>5</w:t>
      </w:r>
      <w:r w:rsidR="00D65E8B">
        <w:rPr>
          <w:lang w:val="en-GB"/>
        </w:rPr>
        <w:t xml:space="preserve"> and compared with the prior data</w:t>
      </w:r>
      <w:r>
        <w:rPr>
          <w:lang w:val="en-GB"/>
        </w:rPr>
        <w:t>.</w:t>
      </w:r>
    </w:p>
    <w:p w14:paraId="2C409DF7" w14:textId="7DB39D91" w:rsidR="00853231" w:rsidRPr="00B17C89" w:rsidRDefault="00853231" w:rsidP="00853231">
      <w:pPr>
        <w:pStyle w:val="CETTabletitle"/>
      </w:pPr>
      <w:r w:rsidRPr="00B17C89">
        <w:t xml:space="preserve">Table </w:t>
      </w:r>
      <w:r w:rsidR="005E1D49">
        <w:t>5</w:t>
      </w:r>
      <w:r w:rsidRPr="00B17C89">
        <w:t xml:space="preserve">: </w:t>
      </w:r>
      <w:r>
        <w:t>Data updated</w:t>
      </w:r>
    </w:p>
    <w:tbl>
      <w:tblPr>
        <w:tblW w:w="907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56"/>
        <w:gridCol w:w="1221"/>
        <w:gridCol w:w="18"/>
        <w:gridCol w:w="1240"/>
        <w:gridCol w:w="1239"/>
        <w:gridCol w:w="19"/>
        <w:gridCol w:w="1221"/>
        <w:gridCol w:w="37"/>
        <w:gridCol w:w="1142"/>
        <w:gridCol w:w="116"/>
        <w:gridCol w:w="1063"/>
      </w:tblGrid>
      <w:tr w:rsidR="00B50563" w:rsidRPr="00B17C89" w14:paraId="75777B7E" w14:textId="5FF98347" w:rsidTr="008E0482">
        <w:trPr>
          <w:trHeight w:val="115"/>
        </w:trPr>
        <w:tc>
          <w:tcPr>
            <w:tcW w:w="1756" w:type="dxa"/>
            <w:vMerge w:val="restart"/>
            <w:tcBorders>
              <w:top w:val="single" w:sz="12" w:space="0" w:color="008000"/>
            </w:tcBorders>
            <w:shd w:val="clear" w:color="auto" w:fill="FFFFFF"/>
          </w:tcPr>
          <w:p w14:paraId="45F8E047" w14:textId="77777777" w:rsidR="00B50563" w:rsidRPr="00B17C89" w:rsidRDefault="00B50563" w:rsidP="00B50563">
            <w:pPr>
              <w:pStyle w:val="CETBodytext"/>
              <w:rPr>
                <w:lang w:val="en-GB"/>
              </w:rPr>
            </w:pPr>
          </w:p>
        </w:tc>
        <w:tc>
          <w:tcPr>
            <w:tcW w:w="2479" w:type="dxa"/>
            <w:gridSpan w:val="3"/>
            <w:tcBorders>
              <w:top w:val="single" w:sz="12" w:space="0" w:color="008000"/>
              <w:bottom w:val="single" w:sz="4" w:space="0" w:color="006600"/>
            </w:tcBorders>
            <w:shd w:val="clear" w:color="auto" w:fill="FFFFFF"/>
          </w:tcPr>
          <w:p w14:paraId="77C0CB92" w14:textId="6EB0B5CA" w:rsidR="00B50563" w:rsidRPr="00B17C89" w:rsidRDefault="00B50563" w:rsidP="00B50563">
            <w:pPr>
              <w:pStyle w:val="CETBodytext"/>
              <w:jc w:val="center"/>
              <w:rPr>
                <w:lang w:val="en-GB"/>
              </w:rPr>
            </w:pPr>
            <w:r>
              <w:rPr>
                <w:lang w:val="en-GB"/>
              </w:rPr>
              <w:t>Small and medium leakage</w:t>
            </w:r>
          </w:p>
        </w:tc>
        <w:tc>
          <w:tcPr>
            <w:tcW w:w="2479" w:type="dxa"/>
            <w:gridSpan w:val="3"/>
            <w:tcBorders>
              <w:top w:val="single" w:sz="12" w:space="0" w:color="008000"/>
              <w:bottom w:val="single" w:sz="4" w:space="0" w:color="006600"/>
            </w:tcBorders>
            <w:shd w:val="clear" w:color="auto" w:fill="FFFFFF"/>
          </w:tcPr>
          <w:p w14:paraId="54FB09C3" w14:textId="44C4E124" w:rsidR="00B50563" w:rsidRDefault="00B50563" w:rsidP="00B50563">
            <w:pPr>
              <w:pStyle w:val="CETBodytext"/>
              <w:jc w:val="center"/>
              <w:rPr>
                <w:lang w:val="en-GB"/>
              </w:rPr>
            </w:pPr>
            <w:r>
              <w:rPr>
                <w:lang w:val="en-GB"/>
              </w:rPr>
              <w:t>Large leakage and rupture</w:t>
            </w:r>
          </w:p>
        </w:tc>
        <w:tc>
          <w:tcPr>
            <w:tcW w:w="2358" w:type="dxa"/>
            <w:gridSpan w:val="4"/>
            <w:tcBorders>
              <w:top w:val="single" w:sz="12" w:space="0" w:color="008000"/>
              <w:bottom w:val="single" w:sz="4" w:space="0" w:color="006600"/>
            </w:tcBorders>
            <w:shd w:val="clear" w:color="auto" w:fill="FFFFFF"/>
          </w:tcPr>
          <w:p w14:paraId="022E20D9" w14:textId="4C6509F9" w:rsidR="00B50563" w:rsidRDefault="00B50563" w:rsidP="00B50563">
            <w:pPr>
              <w:pStyle w:val="CETBodytext"/>
              <w:jc w:val="center"/>
              <w:rPr>
                <w:lang w:val="en-GB"/>
              </w:rPr>
            </w:pPr>
            <w:r>
              <w:rPr>
                <w:lang w:val="en-GB"/>
              </w:rPr>
              <w:t>Total failure</w:t>
            </w:r>
          </w:p>
        </w:tc>
      </w:tr>
      <w:tr w:rsidR="00B50563" w:rsidRPr="00B17C89" w14:paraId="6AAA245C" w14:textId="7EA0D6F5" w:rsidTr="00E5158A">
        <w:trPr>
          <w:trHeight w:val="115"/>
        </w:trPr>
        <w:tc>
          <w:tcPr>
            <w:tcW w:w="1756" w:type="dxa"/>
            <w:vMerge/>
            <w:tcBorders>
              <w:bottom w:val="single" w:sz="12" w:space="0" w:color="008000"/>
            </w:tcBorders>
            <w:shd w:val="clear" w:color="auto" w:fill="FFFFFF"/>
          </w:tcPr>
          <w:p w14:paraId="48F5BB6A" w14:textId="77777777" w:rsidR="00B50563" w:rsidRPr="00B17C89" w:rsidRDefault="00B50563" w:rsidP="00B50563">
            <w:pPr>
              <w:pStyle w:val="CETBodytext"/>
              <w:rPr>
                <w:lang w:val="en-GB"/>
              </w:rPr>
            </w:pPr>
          </w:p>
        </w:tc>
        <w:tc>
          <w:tcPr>
            <w:tcW w:w="1239" w:type="dxa"/>
            <w:gridSpan w:val="2"/>
            <w:tcBorders>
              <w:top w:val="single" w:sz="12" w:space="0" w:color="008000"/>
              <w:bottom w:val="single" w:sz="12" w:space="0" w:color="008000"/>
            </w:tcBorders>
            <w:shd w:val="clear" w:color="auto" w:fill="FFFFFF"/>
          </w:tcPr>
          <w:p w14:paraId="26D181CB" w14:textId="09C5B9F5" w:rsidR="00B50563" w:rsidRDefault="00B50563" w:rsidP="00B50563">
            <w:pPr>
              <w:pStyle w:val="CETBodytext"/>
              <w:jc w:val="center"/>
              <w:rPr>
                <w:lang w:val="en-GB"/>
              </w:rPr>
            </w:pPr>
            <w:r>
              <w:rPr>
                <w:lang w:val="en-GB"/>
              </w:rPr>
              <w:t>Prior</w:t>
            </w:r>
          </w:p>
        </w:tc>
        <w:tc>
          <w:tcPr>
            <w:tcW w:w="1240" w:type="dxa"/>
            <w:tcBorders>
              <w:top w:val="single" w:sz="12" w:space="0" w:color="008000"/>
              <w:bottom w:val="single" w:sz="12" w:space="0" w:color="008000"/>
            </w:tcBorders>
            <w:shd w:val="clear" w:color="auto" w:fill="FFFFFF"/>
          </w:tcPr>
          <w:p w14:paraId="1623A8E1" w14:textId="764832A0" w:rsidR="00B50563" w:rsidRDefault="00B50563" w:rsidP="00B50563">
            <w:pPr>
              <w:pStyle w:val="CETBodytext"/>
              <w:jc w:val="center"/>
              <w:rPr>
                <w:lang w:val="en-GB"/>
              </w:rPr>
            </w:pPr>
            <w:r>
              <w:rPr>
                <w:lang w:val="en-GB"/>
              </w:rPr>
              <w:t>Posterior</w:t>
            </w:r>
          </w:p>
        </w:tc>
        <w:tc>
          <w:tcPr>
            <w:tcW w:w="1239" w:type="dxa"/>
            <w:tcBorders>
              <w:top w:val="single" w:sz="12" w:space="0" w:color="008000"/>
              <w:bottom w:val="single" w:sz="12" w:space="0" w:color="008000"/>
            </w:tcBorders>
            <w:shd w:val="clear" w:color="auto" w:fill="FFFFFF"/>
          </w:tcPr>
          <w:p w14:paraId="67BF9CF9" w14:textId="546AE3D5" w:rsidR="00B50563" w:rsidRDefault="00B50563" w:rsidP="00B50563">
            <w:pPr>
              <w:pStyle w:val="CETBodytext"/>
              <w:jc w:val="center"/>
              <w:rPr>
                <w:lang w:val="en-GB"/>
              </w:rPr>
            </w:pPr>
            <w:r>
              <w:rPr>
                <w:lang w:val="en-GB"/>
              </w:rPr>
              <w:t>Prior</w:t>
            </w:r>
          </w:p>
        </w:tc>
        <w:tc>
          <w:tcPr>
            <w:tcW w:w="1240" w:type="dxa"/>
            <w:gridSpan w:val="2"/>
            <w:tcBorders>
              <w:top w:val="single" w:sz="12" w:space="0" w:color="008000"/>
              <w:bottom w:val="single" w:sz="12" w:space="0" w:color="008000"/>
            </w:tcBorders>
            <w:shd w:val="clear" w:color="auto" w:fill="FFFFFF"/>
          </w:tcPr>
          <w:p w14:paraId="144F5AD2" w14:textId="23B33ADD" w:rsidR="00B50563" w:rsidRDefault="00B50563" w:rsidP="00B50563">
            <w:pPr>
              <w:pStyle w:val="CETBodytext"/>
              <w:jc w:val="center"/>
              <w:rPr>
                <w:lang w:val="en-GB"/>
              </w:rPr>
            </w:pPr>
            <w:r>
              <w:rPr>
                <w:lang w:val="en-GB"/>
              </w:rPr>
              <w:t>Posterior</w:t>
            </w:r>
          </w:p>
        </w:tc>
        <w:tc>
          <w:tcPr>
            <w:tcW w:w="1179" w:type="dxa"/>
            <w:gridSpan w:val="2"/>
            <w:tcBorders>
              <w:top w:val="single" w:sz="12" w:space="0" w:color="008000"/>
              <w:bottom w:val="single" w:sz="12" w:space="0" w:color="008000"/>
            </w:tcBorders>
            <w:shd w:val="clear" w:color="auto" w:fill="FFFFFF"/>
          </w:tcPr>
          <w:p w14:paraId="6837583B" w14:textId="2DE5E855" w:rsidR="00B50563" w:rsidRDefault="00B50563" w:rsidP="00B50563">
            <w:pPr>
              <w:pStyle w:val="CETBodytext"/>
              <w:jc w:val="center"/>
              <w:rPr>
                <w:lang w:val="en-GB"/>
              </w:rPr>
            </w:pPr>
            <w:r>
              <w:rPr>
                <w:lang w:val="en-GB"/>
              </w:rPr>
              <w:t>Prior</w:t>
            </w:r>
          </w:p>
        </w:tc>
        <w:tc>
          <w:tcPr>
            <w:tcW w:w="1179" w:type="dxa"/>
            <w:gridSpan w:val="2"/>
            <w:tcBorders>
              <w:top w:val="single" w:sz="12" w:space="0" w:color="008000"/>
              <w:bottom w:val="single" w:sz="12" w:space="0" w:color="008000"/>
            </w:tcBorders>
            <w:shd w:val="clear" w:color="auto" w:fill="FFFFFF"/>
          </w:tcPr>
          <w:p w14:paraId="435BEE66" w14:textId="680ED99F" w:rsidR="00B50563" w:rsidRDefault="00B50563" w:rsidP="00B50563">
            <w:pPr>
              <w:pStyle w:val="CETBodytext"/>
              <w:jc w:val="center"/>
              <w:rPr>
                <w:lang w:val="en-GB"/>
              </w:rPr>
            </w:pPr>
            <w:r>
              <w:rPr>
                <w:lang w:val="en-GB"/>
              </w:rPr>
              <w:t>Posterior</w:t>
            </w:r>
          </w:p>
        </w:tc>
      </w:tr>
      <w:tr w:rsidR="00B50563" w:rsidRPr="00B17C89" w14:paraId="75494268" w14:textId="77777777" w:rsidTr="008E0482">
        <w:tc>
          <w:tcPr>
            <w:tcW w:w="1756" w:type="dxa"/>
            <w:tcBorders>
              <w:top w:val="single" w:sz="12" w:space="0" w:color="008000"/>
            </w:tcBorders>
            <w:shd w:val="clear" w:color="auto" w:fill="FFFFFF"/>
          </w:tcPr>
          <w:p w14:paraId="73C634E3" w14:textId="77777777" w:rsidR="00B50563" w:rsidRPr="00B17C89" w:rsidRDefault="00B50563" w:rsidP="00B50563">
            <w:pPr>
              <w:pStyle w:val="CETBodytext"/>
              <w:rPr>
                <w:lang w:val="en-GB"/>
              </w:rPr>
            </w:pPr>
            <w:r>
              <w:rPr>
                <w:lang w:val="en-GB"/>
              </w:rPr>
              <w:t>Scale parameter</w:t>
            </w:r>
          </w:p>
        </w:tc>
        <w:tc>
          <w:tcPr>
            <w:tcW w:w="1221" w:type="dxa"/>
            <w:tcBorders>
              <w:top w:val="single" w:sz="12" w:space="0" w:color="008000"/>
            </w:tcBorders>
            <w:shd w:val="clear" w:color="auto" w:fill="FFFFFF"/>
          </w:tcPr>
          <w:p w14:paraId="15E7CDB2" w14:textId="77777777" w:rsidR="00B50563" w:rsidRPr="0033461B" w:rsidRDefault="00B50563" w:rsidP="00B50563">
            <w:pPr>
              <w:pStyle w:val="CETBodytext"/>
              <w:jc w:val="center"/>
              <w:rPr>
                <w:lang w:val="en-GB"/>
              </w:rPr>
            </w:pPr>
            <w:r w:rsidRPr="0033461B">
              <w:rPr>
                <w:lang w:val="en-GB"/>
              </w:rPr>
              <w:t>0.5</w:t>
            </w:r>
          </w:p>
        </w:tc>
        <w:tc>
          <w:tcPr>
            <w:tcW w:w="1258" w:type="dxa"/>
            <w:gridSpan w:val="2"/>
            <w:tcBorders>
              <w:top w:val="single" w:sz="12" w:space="0" w:color="008000"/>
            </w:tcBorders>
            <w:shd w:val="clear" w:color="auto" w:fill="FFFFFF"/>
          </w:tcPr>
          <w:p w14:paraId="6B240615" w14:textId="58DF9DBA" w:rsidR="00B50563" w:rsidRDefault="00B50563" w:rsidP="00B50563">
            <w:pPr>
              <w:pStyle w:val="CETBodytext"/>
              <w:jc w:val="center"/>
              <w:rPr>
                <w:lang w:val="en-GB"/>
              </w:rPr>
            </w:pPr>
            <w:r>
              <w:rPr>
                <w:lang w:val="en-GB"/>
              </w:rPr>
              <w:t>65</w:t>
            </w:r>
            <w:r w:rsidRPr="0033461B">
              <w:rPr>
                <w:lang w:val="en-GB"/>
              </w:rPr>
              <w:t>.5</w:t>
            </w:r>
          </w:p>
        </w:tc>
        <w:tc>
          <w:tcPr>
            <w:tcW w:w="1258" w:type="dxa"/>
            <w:gridSpan w:val="2"/>
            <w:tcBorders>
              <w:top w:val="single" w:sz="12" w:space="0" w:color="008000"/>
            </w:tcBorders>
            <w:shd w:val="clear" w:color="auto" w:fill="FFFFFF"/>
          </w:tcPr>
          <w:p w14:paraId="782FF86D" w14:textId="6CD0B156" w:rsidR="00B50563" w:rsidRDefault="00BC7FDC" w:rsidP="00B50563">
            <w:pPr>
              <w:pStyle w:val="CETBodytext"/>
              <w:jc w:val="center"/>
              <w:rPr>
                <w:lang w:val="en-GB"/>
              </w:rPr>
            </w:pPr>
            <w:r>
              <w:rPr>
                <w:lang w:val="en-GB"/>
              </w:rPr>
              <w:t>0</w:t>
            </w:r>
            <w:r w:rsidR="00B50563">
              <w:rPr>
                <w:lang w:val="en-GB"/>
              </w:rPr>
              <w:t>.5</w:t>
            </w:r>
          </w:p>
        </w:tc>
        <w:tc>
          <w:tcPr>
            <w:tcW w:w="1258" w:type="dxa"/>
            <w:gridSpan w:val="2"/>
            <w:tcBorders>
              <w:top w:val="single" w:sz="12" w:space="0" w:color="008000"/>
            </w:tcBorders>
            <w:shd w:val="clear" w:color="auto" w:fill="FFFFFF"/>
          </w:tcPr>
          <w:p w14:paraId="635A6675" w14:textId="17A3064F" w:rsidR="00B50563" w:rsidRDefault="00BC7FDC" w:rsidP="00B50563">
            <w:pPr>
              <w:pStyle w:val="CETBodytext"/>
              <w:jc w:val="center"/>
              <w:rPr>
                <w:lang w:val="en-GB"/>
              </w:rPr>
            </w:pPr>
            <w:r>
              <w:rPr>
                <w:lang w:val="en-GB"/>
              </w:rPr>
              <w:t>2</w:t>
            </w:r>
            <w:r w:rsidR="00B50563">
              <w:rPr>
                <w:lang w:val="en-GB"/>
              </w:rPr>
              <w:t>.5</w:t>
            </w:r>
          </w:p>
        </w:tc>
        <w:tc>
          <w:tcPr>
            <w:tcW w:w="1258" w:type="dxa"/>
            <w:gridSpan w:val="2"/>
            <w:tcBorders>
              <w:top w:val="single" w:sz="12" w:space="0" w:color="008000"/>
            </w:tcBorders>
            <w:shd w:val="clear" w:color="auto" w:fill="FFFFFF"/>
          </w:tcPr>
          <w:p w14:paraId="600A54BB" w14:textId="54EDC318" w:rsidR="00B50563" w:rsidRDefault="00BC7FDC" w:rsidP="00B50563">
            <w:pPr>
              <w:pStyle w:val="CETBodytext"/>
              <w:jc w:val="center"/>
              <w:rPr>
                <w:lang w:val="en-GB"/>
              </w:rPr>
            </w:pPr>
            <w:r>
              <w:rPr>
                <w:lang w:val="en-GB"/>
              </w:rPr>
              <w:t>0</w:t>
            </w:r>
            <w:r w:rsidR="00B50563">
              <w:rPr>
                <w:lang w:val="en-GB"/>
              </w:rPr>
              <w:t>.5</w:t>
            </w:r>
          </w:p>
        </w:tc>
        <w:tc>
          <w:tcPr>
            <w:tcW w:w="1063" w:type="dxa"/>
            <w:tcBorders>
              <w:top w:val="single" w:sz="12" w:space="0" w:color="008000"/>
            </w:tcBorders>
            <w:shd w:val="clear" w:color="auto" w:fill="FFFFFF"/>
          </w:tcPr>
          <w:p w14:paraId="78CAE86C" w14:textId="0C3AF8CD" w:rsidR="00B50563" w:rsidRPr="0033461B" w:rsidRDefault="00B50563" w:rsidP="00B50563">
            <w:pPr>
              <w:pStyle w:val="CETBodytext"/>
              <w:jc w:val="center"/>
              <w:rPr>
                <w:lang w:val="en-GB"/>
              </w:rPr>
            </w:pPr>
            <w:r>
              <w:rPr>
                <w:lang w:val="en-GB"/>
              </w:rPr>
              <w:t>6</w:t>
            </w:r>
            <w:r w:rsidR="00BC7FDC">
              <w:rPr>
                <w:lang w:val="en-GB"/>
              </w:rPr>
              <w:t>7</w:t>
            </w:r>
            <w:r>
              <w:rPr>
                <w:lang w:val="en-GB"/>
              </w:rPr>
              <w:t>.5</w:t>
            </w:r>
          </w:p>
        </w:tc>
      </w:tr>
      <w:tr w:rsidR="00BC7FDC" w:rsidRPr="00BC7FDC" w14:paraId="7D8ADD73" w14:textId="77777777" w:rsidTr="008E0482">
        <w:tc>
          <w:tcPr>
            <w:tcW w:w="1756" w:type="dxa"/>
            <w:shd w:val="clear" w:color="auto" w:fill="FFFFFF"/>
          </w:tcPr>
          <w:p w14:paraId="16858426" w14:textId="77777777" w:rsidR="00BC7FDC" w:rsidRPr="00BC7FDC" w:rsidRDefault="00BC7FDC" w:rsidP="00BC7FDC">
            <w:pPr>
              <w:pStyle w:val="CETBodytext"/>
              <w:rPr>
                <w:lang w:val="en-GB"/>
              </w:rPr>
            </w:pPr>
            <w:r w:rsidRPr="00BC7FDC">
              <w:rPr>
                <w:lang w:val="en-GB"/>
              </w:rPr>
              <w:t>Shape parameter</w:t>
            </w:r>
          </w:p>
        </w:tc>
        <w:tc>
          <w:tcPr>
            <w:tcW w:w="1221" w:type="dxa"/>
            <w:shd w:val="clear" w:color="auto" w:fill="FFFFFF"/>
          </w:tcPr>
          <w:p w14:paraId="1B2B5CBB" w14:textId="499C8D77" w:rsidR="00BC7FDC" w:rsidRPr="008E0482" w:rsidRDefault="00BC7FDC" w:rsidP="00BC7FDC">
            <w:pPr>
              <w:pStyle w:val="CETBodytext"/>
              <w:jc w:val="center"/>
              <w:rPr>
                <w:vertAlign w:val="superscript"/>
                <w:lang w:val="en-GB"/>
              </w:rPr>
            </w:pPr>
            <w:r w:rsidRPr="008E0482">
              <w:rPr>
                <w:lang w:val="en-GB"/>
              </w:rPr>
              <w:t>294</w:t>
            </w:r>
          </w:p>
        </w:tc>
        <w:tc>
          <w:tcPr>
            <w:tcW w:w="1258" w:type="dxa"/>
            <w:gridSpan w:val="2"/>
            <w:shd w:val="clear" w:color="auto" w:fill="FFFFFF"/>
          </w:tcPr>
          <w:p w14:paraId="3E0F76AC" w14:textId="623E26D9" w:rsidR="00BC7FDC" w:rsidRPr="00BC7FDC" w:rsidRDefault="00BC7FDC" w:rsidP="00BC7FDC">
            <w:pPr>
              <w:pStyle w:val="CETBodytext"/>
              <w:jc w:val="center"/>
              <w:rPr>
                <w:lang w:val="en-GB"/>
              </w:rPr>
            </w:pPr>
            <w:r w:rsidRPr="008E0482">
              <w:rPr>
                <w:lang w:val="en-GB"/>
              </w:rPr>
              <w:t>1230</w:t>
            </w:r>
          </w:p>
        </w:tc>
        <w:tc>
          <w:tcPr>
            <w:tcW w:w="1258" w:type="dxa"/>
            <w:gridSpan w:val="2"/>
            <w:shd w:val="clear" w:color="auto" w:fill="FFFFFF"/>
          </w:tcPr>
          <w:p w14:paraId="50E6726A" w14:textId="64E476EC" w:rsidR="00BC7FDC" w:rsidRPr="00BC7FDC" w:rsidRDefault="00BC7FDC" w:rsidP="00BC7FDC">
            <w:pPr>
              <w:pStyle w:val="CETBodytext"/>
              <w:jc w:val="center"/>
              <w:rPr>
                <w:lang w:val="en-GB"/>
              </w:rPr>
            </w:pPr>
            <w:r>
              <w:rPr>
                <w:lang w:val="en-GB"/>
              </w:rPr>
              <w:t>1.72</w:t>
            </w:r>
            <w:r w:rsidRPr="009E3D36">
              <w:rPr>
                <w:rFonts w:cs="Arial"/>
                <w:lang w:val="en-GB"/>
              </w:rPr>
              <w:t>∙</w:t>
            </w:r>
            <w:r w:rsidRPr="009E3D36">
              <w:rPr>
                <w:lang w:val="en-GB"/>
              </w:rPr>
              <w:t>10</w:t>
            </w:r>
            <w:r>
              <w:rPr>
                <w:vertAlign w:val="superscript"/>
                <w:lang w:val="en-GB"/>
              </w:rPr>
              <w:t>4</w:t>
            </w:r>
          </w:p>
        </w:tc>
        <w:tc>
          <w:tcPr>
            <w:tcW w:w="1258" w:type="dxa"/>
            <w:gridSpan w:val="2"/>
            <w:shd w:val="clear" w:color="auto" w:fill="FFFFFF"/>
          </w:tcPr>
          <w:p w14:paraId="33C03EA0" w14:textId="68CFA308" w:rsidR="00BC7FDC" w:rsidRPr="00BC7FDC" w:rsidRDefault="00BC7FDC" w:rsidP="00BC7FDC">
            <w:pPr>
              <w:pStyle w:val="CETBodytext"/>
              <w:jc w:val="center"/>
              <w:rPr>
                <w:lang w:val="en-GB"/>
              </w:rPr>
            </w:pPr>
            <w:r>
              <w:rPr>
                <w:lang w:val="en-GB"/>
              </w:rPr>
              <w:t>1.82</w:t>
            </w:r>
            <w:r w:rsidRPr="009E3D36">
              <w:rPr>
                <w:rFonts w:cs="Arial"/>
                <w:lang w:val="en-GB"/>
              </w:rPr>
              <w:t>∙</w:t>
            </w:r>
            <w:r w:rsidRPr="009E3D36">
              <w:rPr>
                <w:lang w:val="en-GB"/>
              </w:rPr>
              <w:t>10</w:t>
            </w:r>
            <w:r>
              <w:rPr>
                <w:vertAlign w:val="superscript"/>
                <w:lang w:val="en-GB"/>
              </w:rPr>
              <w:t>4</w:t>
            </w:r>
          </w:p>
        </w:tc>
        <w:tc>
          <w:tcPr>
            <w:tcW w:w="1258" w:type="dxa"/>
            <w:gridSpan w:val="2"/>
            <w:shd w:val="clear" w:color="auto" w:fill="FFFFFF"/>
          </w:tcPr>
          <w:p w14:paraId="72487315" w14:textId="13F5C6B4" w:rsidR="00BC7FDC" w:rsidRPr="00BC7FDC" w:rsidRDefault="00BC7FDC" w:rsidP="00BC7FDC">
            <w:pPr>
              <w:pStyle w:val="CETBodytext"/>
              <w:jc w:val="center"/>
              <w:rPr>
                <w:lang w:val="en-GB"/>
              </w:rPr>
            </w:pPr>
            <w:r w:rsidRPr="009E3D36">
              <w:rPr>
                <w:lang w:val="en-GB"/>
              </w:rPr>
              <w:t>2</w:t>
            </w:r>
            <w:r>
              <w:rPr>
                <w:lang w:val="en-GB"/>
              </w:rPr>
              <w:t>89</w:t>
            </w:r>
          </w:p>
        </w:tc>
        <w:tc>
          <w:tcPr>
            <w:tcW w:w="1063" w:type="dxa"/>
            <w:shd w:val="clear" w:color="auto" w:fill="FFFFFF"/>
          </w:tcPr>
          <w:p w14:paraId="69912AE0" w14:textId="6835AA9E" w:rsidR="00BC7FDC" w:rsidRPr="00BC7FDC" w:rsidRDefault="00BC7FDC" w:rsidP="00BC7FDC">
            <w:pPr>
              <w:pStyle w:val="CETBodytext"/>
              <w:jc w:val="center"/>
              <w:rPr>
                <w:lang w:val="en-GB"/>
              </w:rPr>
            </w:pPr>
            <w:r w:rsidRPr="009E3D36">
              <w:rPr>
                <w:lang w:val="en-GB"/>
              </w:rPr>
              <w:t>1230</w:t>
            </w:r>
          </w:p>
        </w:tc>
      </w:tr>
      <w:tr w:rsidR="00BC7FDC" w:rsidRPr="00B17C89" w14:paraId="78E313B4" w14:textId="77777777" w:rsidTr="008E0482">
        <w:tc>
          <w:tcPr>
            <w:tcW w:w="1756" w:type="dxa"/>
            <w:shd w:val="clear" w:color="auto" w:fill="FFFFFF"/>
          </w:tcPr>
          <w:p w14:paraId="535E8DD2" w14:textId="77777777" w:rsidR="00BC7FDC" w:rsidRPr="00BC7FDC" w:rsidRDefault="00BC7FDC" w:rsidP="00BC7FDC">
            <w:pPr>
              <w:pStyle w:val="CETBodytext"/>
              <w:ind w:right="-1"/>
              <w:rPr>
                <w:rFonts w:cs="Arial"/>
                <w:szCs w:val="18"/>
                <w:lang w:val="en-GB"/>
              </w:rPr>
            </w:pPr>
            <w:r w:rsidRPr="00BC7FDC">
              <w:rPr>
                <w:rFonts w:cs="Arial"/>
                <w:szCs w:val="18"/>
                <w:lang w:val="en-GB"/>
              </w:rPr>
              <w:t>Probability</w:t>
            </w:r>
          </w:p>
        </w:tc>
        <w:tc>
          <w:tcPr>
            <w:tcW w:w="1221" w:type="dxa"/>
            <w:shd w:val="clear" w:color="auto" w:fill="FFFFFF"/>
          </w:tcPr>
          <w:p w14:paraId="6D7393AB" w14:textId="6AA07803" w:rsidR="00BC7FDC" w:rsidRPr="008E0482" w:rsidRDefault="00BC7FDC" w:rsidP="00BC7FDC">
            <w:pPr>
              <w:pStyle w:val="CETBodytext"/>
              <w:ind w:right="-1"/>
              <w:jc w:val="center"/>
              <w:rPr>
                <w:rFonts w:cs="Arial"/>
                <w:szCs w:val="18"/>
                <w:lang w:val="en-GB"/>
              </w:rPr>
            </w:pPr>
            <w:r w:rsidRPr="008E0482">
              <w:rPr>
                <w:lang w:val="en-GB"/>
              </w:rPr>
              <w:t>1.70</w:t>
            </w:r>
            <w:r w:rsidRPr="008E0482">
              <w:rPr>
                <w:rFonts w:cs="Arial"/>
                <w:lang w:val="en-GB"/>
              </w:rPr>
              <w:t>∙</w:t>
            </w:r>
            <w:r w:rsidRPr="008E0482">
              <w:rPr>
                <w:lang w:val="en-GB"/>
              </w:rPr>
              <w:t>10</w:t>
            </w:r>
            <w:r w:rsidRPr="008E0482">
              <w:rPr>
                <w:vertAlign w:val="superscript"/>
                <w:lang w:val="en-GB"/>
              </w:rPr>
              <w:t>-3</w:t>
            </w:r>
          </w:p>
        </w:tc>
        <w:tc>
          <w:tcPr>
            <w:tcW w:w="1258" w:type="dxa"/>
            <w:gridSpan w:val="2"/>
            <w:shd w:val="clear" w:color="auto" w:fill="FFFFFF"/>
          </w:tcPr>
          <w:p w14:paraId="57ADF771" w14:textId="54488EB0" w:rsidR="00BC7FDC" w:rsidRPr="00B17C89" w:rsidRDefault="00BC7FDC" w:rsidP="00BC7FDC">
            <w:pPr>
              <w:pStyle w:val="CETBodytext"/>
              <w:ind w:right="-1"/>
              <w:jc w:val="center"/>
              <w:rPr>
                <w:rFonts w:cs="Arial"/>
                <w:szCs w:val="18"/>
                <w:lang w:val="en-GB"/>
              </w:rPr>
            </w:pPr>
            <w:r w:rsidRPr="008E0482">
              <w:rPr>
                <w:lang w:val="en-GB"/>
              </w:rPr>
              <w:t>5.32</w:t>
            </w:r>
            <w:r w:rsidRPr="008E0482">
              <w:rPr>
                <w:rFonts w:cs="Arial"/>
                <w:lang w:val="en-GB"/>
              </w:rPr>
              <w:t>∙</w:t>
            </w:r>
            <w:r w:rsidRPr="008E0482">
              <w:rPr>
                <w:lang w:val="en-GB"/>
              </w:rPr>
              <w:t>10</w:t>
            </w:r>
            <w:r w:rsidRPr="008E0482">
              <w:rPr>
                <w:vertAlign w:val="superscript"/>
                <w:lang w:val="en-GB"/>
              </w:rPr>
              <w:t>-2</w:t>
            </w:r>
          </w:p>
        </w:tc>
        <w:tc>
          <w:tcPr>
            <w:tcW w:w="1258" w:type="dxa"/>
            <w:gridSpan w:val="2"/>
            <w:shd w:val="clear" w:color="auto" w:fill="FFFFFF"/>
          </w:tcPr>
          <w:p w14:paraId="3E876254" w14:textId="4A49FA8A" w:rsidR="00BC7FDC" w:rsidRPr="00B17C89" w:rsidRDefault="00BC7FDC" w:rsidP="00BC7FDC">
            <w:pPr>
              <w:pStyle w:val="CETBodytext"/>
              <w:ind w:right="-1"/>
              <w:jc w:val="center"/>
              <w:rPr>
                <w:rFonts w:cs="Arial"/>
                <w:szCs w:val="18"/>
                <w:lang w:val="en-GB"/>
              </w:rPr>
            </w:pPr>
            <w:r>
              <w:rPr>
                <w:lang w:val="en-GB"/>
              </w:rPr>
              <w:t>2</w:t>
            </w:r>
            <w:r w:rsidRPr="009E3D36">
              <w:rPr>
                <w:lang w:val="en-GB"/>
              </w:rPr>
              <w:t>.</w:t>
            </w:r>
            <w:r>
              <w:rPr>
                <w:lang w:val="en-GB"/>
              </w:rPr>
              <w:t>9</w:t>
            </w:r>
            <w:r w:rsidRPr="009E3D36">
              <w:rPr>
                <w:lang w:val="en-GB"/>
              </w:rPr>
              <w:t>0</w:t>
            </w:r>
            <w:r w:rsidRPr="009E3D36">
              <w:rPr>
                <w:rFonts w:cs="Arial"/>
                <w:lang w:val="en-GB"/>
              </w:rPr>
              <w:t>∙</w:t>
            </w:r>
            <w:r w:rsidRPr="009E3D36">
              <w:rPr>
                <w:lang w:val="en-GB"/>
              </w:rPr>
              <w:t>10</w:t>
            </w:r>
            <w:r w:rsidRPr="009E3D36">
              <w:rPr>
                <w:vertAlign w:val="superscript"/>
                <w:lang w:val="en-GB"/>
              </w:rPr>
              <w:t>-</w:t>
            </w:r>
            <w:r>
              <w:rPr>
                <w:vertAlign w:val="superscript"/>
                <w:lang w:val="en-GB"/>
              </w:rPr>
              <w:t>5</w:t>
            </w:r>
          </w:p>
        </w:tc>
        <w:tc>
          <w:tcPr>
            <w:tcW w:w="1258" w:type="dxa"/>
            <w:gridSpan w:val="2"/>
            <w:shd w:val="clear" w:color="auto" w:fill="FFFFFF"/>
          </w:tcPr>
          <w:p w14:paraId="6AD4051B" w14:textId="00C54935" w:rsidR="00BC7FDC" w:rsidRPr="00B17C89" w:rsidRDefault="00BC7FDC" w:rsidP="00BC7FDC">
            <w:pPr>
              <w:pStyle w:val="CETBodytext"/>
              <w:ind w:right="-1"/>
              <w:jc w:val="center"/>
              <w:rPr>
                <w:rFonts w:cs="Arial"/>
                <w:szCs w:val="18"/>
                <w:lang w:val="en-GB"/>
              </w:rPr>
            </w:pPr>
            <w:r>
              <w:rPr>
                <w:lang w:val="en-GB"/>
              </w:rPr>
              <w:t>1</w:t>
            </w:r>
            <w:r w:rsidRPr="009E3D36">
              <w:rPr>
                <w:lang w:val="en-GB"/>
              </w:rPr>
              <w:t>.3</w:t>
            </w:r>
            <w:r>
              <w:rPr>
                <w:lang w:val="en-GB"/>
              </w:rPr>
              <w:t>8</w:t>
            </w:r>
            <w:r w:rsidRPr="009E3D36">
              <w:rPr>
                <w:rFonts w:cs="Arial"/>
                <w:lang w:val="en-GB"/>
              </w:rPr>
              <w:t>∙</w:t>
            </w:r>
            <w:r w:rsidRPr="009E3D36">
              <w:rPr>
                <w:lang w:val="en-GB"/>
              </w:rPr>
              <w:t>10</w:t>
            </w:r>
            <w:r w:rsidRPr="009E3D36">
              <w:rPr>
                <w:vertAlign w:val="superscript"/>
                <w:lang w:val="en-GB"/>
              </w:rPr>
              <w:t>-</w:t>
            </w:r>
            <w:r>
              <w:rPr>
                <w:vertAlign w:val="superscript"/>
                <w:lang w:val="en-GB"/>
              </w:rPr>
              <w:t>4</w:t>
            </w:r>
          </w:p>
        </w:tc>
        <w:tc>
          <w:tcPr>
            <w:tcW w:w="1258" w:type="dxa"/>
            <w:gridSpan w:val="2"/>
            <w:shd w:val="clear" w:color="auto" w:fill="FFFFFF"/>
          </w:tcPr>
          <w:p w14:paraId="47FA8CCE" w14:textId="1BA5CD18" w:rsidR="00BC7FDC" w:rsidRPr="00B17C89" w:rsidRDefault="00BC7FDC" w:rsidP="00BC7FDC">
            <w:pPr>
              <w:pStyle w:val="CETBodytext"/>
              <w:ind w:right="-1"/>
              <w:jc w:val="center"/>
              <w:rPr>
                <w:rFonts w:cs="Arial"/>
                <w:szCs w:val="18"/>
                <w:lang w:val="en-GB"/>
              </w:rPr>
            </w:pPr>
            <w:r w:rsidRPr="009E3D36">
              <w:rPr>
                <w:lang w:val="en-GB"/>
              </w:rPr>
              <w:t>1.7</w:t>
            </w:r>
            <w:r>
              <w:rPr>
                <w:lang w:val="en-GB"/>
              </w:rPr>
              <w:t>3</w:t>
            </w:r>
            <w:r w:rsidRPr="009E3D36">
              <w:rPr>
                <w:rFonts w:cs="Arial"/>
                <w:lang w:val="en-GB"/>
              </w:rPr>
              <w:t>∙</w:t>
            </w:r>
            <w:r w:rsidRPr="009E3D36">
              <w:rPr>
                <w:lang w:val="en-GB"/>
              </w:rPr>
              <w:t>10</w:t>
            </w:r>
            <w:r w:rsidRPr="009E3D36">
              <w:rPr>
                <w:vertAlign w:val="superscript"/>
                <w:lang w:val="en-GB"/>
              </w:rPr>
              <w:t>-3</w:t>
            </w:r>
          </w:p>
        </w:tc>
        <w:tc>
          <w:tcPr>
            <w:tcW w:w="1063" w:type="dxa"/>
            <w:shd w:val="clear" w:color="auto" w:fill="FFFFFF"/>
          </w:tcPr>
          <w:p w14:paraId="05F4F3EC" w14:textId="44836284" w:rsidR="00BC7FDC" w:rsidRPr="00B17C89" w:rsidRDefault="00BC7FDC" w:rsidP="00BC7FDC">
            <w:pPr>
              <w:pStyle w:val="CETBodytext"/>
              <w:ind w:right="-1"/>
              <w:jc w:val="center"/>
              <w:rPr>
                <w:rFonts w:cs="Arial"/>
                <w:szCs w:val="18"/>
                <w:lang w:val="en-GB"/>
              </w:rPr>
            </w:pPr>
            <w:r w:rsidRPr="009E3D36">
              <w:rPr>
                <w:lang w:val="en-GB"/>
              </w:rPr>
              <w:t>5.</w:t>
            </w:r>
            <w:r>
              <w:rPr>
                <w:lang w:val="en-GB"/>
              </w:rPr>
              <w:t>51</w:t>
            </w:r>
            <w:r w:rsidRPr="009E3D36">
              <w:rPr>
                <w:rFonts w:cs="Arial"/>
                <w:lang w:val="en-GB"/>
              </w:rPr>
              <w:t>∙</w:t>
            </w:r>
            <w:r w:rsidRPr="009E3D36">
              <w:rPr>
                <w:lang w:val="en-GB"/>
              </w:rPr>
              <w:t>10</w:t>
            </w:r>
            <w:r w:rsidRPr="009E3D36">
              <w:rPr>
                <w:vertAlign w:val="superscript"/>
                <w:lang w:val="en-GB"/>
              </w:rPr>
              <w:t>-2</w:t>
            </w:r>
          </w:p>
        </w:tc>
      </w:tr>
    </w:tbl>
    <w:p w14:paraId="3A77C9F7" w14:textId="77777777" w:rsidR="00853231" w:rsidRDefault="00853231" w:rsidP="00853231">
      <w:pPr>
        <w:pStyle w:val="CETBodytext"/>
        <w:rPr>
          <w:lang w:val="en-GB"/>
        </w:rPr>
      </w:pPr>
    </w:p>
    <w:p w14:paraId="208BE006" w14:textId="3ED9FB56" w:rsidR="00853231" w:rsidRDefault="00853231" w:rsidP="00853231">
      <w:pPr>
        <w:pStyle w:val="CETBodytext"/>
        <w:rPr>
          <w:lang w:val="en-GB"/>
        </w:rPr>
      </w:pPr>
      <w:r>
        <w:rPr>
          <w:lang w:val="en-GB"/>
        </w:rPr>
        <w:lastRenderedPageBreak/>
        <w:t xml:space="preserve">The inclusion of the updated data in the quantitative FTA of Figure 2 allows quantifying the final probability to be assigned to the top event. The probability of the overpressure in the stabiliser column is </w:t>
      </w:r>
      <w:r w:rsidR="003078FB">
        <w:rPr>
          <w:lang w:val="en-GB"/>
        </w:rPr>
        <w:t xml:space="preserve">derived </w:t>
      </w:r>
      <w:proofErr w:type="gramStart"/>
      <w:r w:rsidR="003078FB">
        <w:rPr>
          <w:lang w:val="en-GB"/>
        </w:rPr>
        <w:t>taken into account</w:t>
      </w:r>
      <w:proofErr w:type="gramEnd"/>
      <w:r w:rsidR="003078FB">
        <w:rPr>
          <w:lang w:val="en-GB"/>
        </w:rPr>
        <w:t xml:space="preserve"> data of Table 1 and Boolean rules</w:t>
      </w:r>
      <w:r w:rsidR="00D65E8B">
        <w:rPr>
          <w:lang w:val="en-GB"/>
        </w:rPr>
        <w:t xml:space="preserve"> and resulted</w:t>
      </w:r>
      <w:r w:rsidR="003078FB">
        <w:rPr>
          <w:lang w:val="en-GB"/>
        </w:rPr>
        <w:t xml:space="preserve"> </w:t>
      </w:r>
      <w:r w:rsidR="00BC7FDC" w:rsidRPr="009E3D36">
        <w:rPr>
          <w:lang w:val="en-GB"/>
        </w:rPr>
        <w:t>5.32</w:t>
      </w:r>
      <w:r w:rsidR="00BC7FDC" w:rsidRPr="009E3D36">
        <w:rPr>
          <w:rFonts w:cs="Arial"/>
          <w:lang w:val="en-GB"/>
        </w:rPr>
        <w:t>∙</w:t>
      </w:r>
      <w:r w:rsidR="00BC7FDC" w:rsidRPr="009E3D36">
        <w:rPr>
          <w:lang w:val="en-GB"/>
        </w:rPr>
        <w:t>10</w:t>
      </w:r>
      <w:r w:rsidR="00BC7FDC" w:rsidRPr="009E3D36">
        <w:rPr>
          <w:vertAlign w:val="superscript"/>
          <w:lang w:val="en-GB"/>
        </w:rPr>
        <w:t>-2</w:t>
      </w:r>
      <w:r w:rsidR="003078FB">
        <w:rPr>
          <w:lang w:val="en-GB"/>
        </w:rPr>
        <w:t xml:space="preserve"> that is equal to the probability of failure of the tube bundle due to corrosion</w:t>
      </w:r>
      <w:r>
        <w:rPr>
          <w:lang w:val="en-GB"/>
        </w:rPr>
        <w:t>.</w:t>
      </w:r>
    </w:p>
    <w:p w14:paraId="69832B39" w14:textId="77777777" w:rsidR="00853231" w:rsidRPr="00B17C89" w:rsidRDefault="00853231" w:rsidP="00853231">
      <w:pPr>
        <w:pStyle w:val="CETHeading1"/>
        <w:tabs>
          <w:tab w:val="clear" w:pos="360"/>
        </w:tabs>
        <w:rPr>
          <w:lang w:val="en-GB"/>
        </w:rPr>
      </w:pPr>
      <w:r w:rsidRPr="00B17C89">
        <w:rPr>
          <w:lang w:val="en-GB"/>
        </w:rPr>
        <w:t>Conclusions</w:t>
      </w:r>
    </w:p>
    <w:p w14:paraId="74221508" w14:textId="021D33B6" w:rsidR="003078FB" w:rsidRDefault="003078FB" w:rsidP="003078FB">
      <w:pPr>
        <w:pStyle w:val="CETBodytext"/>
        <w:rPr>
          <w:lang w:val="en-GB"/>
        </w:rPr>
      </w:pPr>
      <w:r w:rsidRPr="0088028C">
        <w:rPr>
          <w:lang w:val="en-GB"/>
        </w:rPr>
        <w:t>Operational experience, which includes</w:t>
      </w:r>
      <w:r>
        <w:rPr>
          <w:lang w:val="en-GB"/>
        </w:rPr>
        <w:t xml:space="preserve"> the collection of data of</w:t>
      </w:r>
      <w:r w:rsidRPr="0088028C">
        <w:rPr>
          <w:lang w:val="en-GB"/>
        </w:rPr>
        <w:t xml:space="preserve"> accidents, near-misses, use or maintenance errors, breakages, failures, </w:t>
      </w:r>
      <w:proofErr w:type="gramStart"/>
      <w:r w:rsidRPr="0088028C">
        <w:rPr>
          <w:lang w:val="en-GB"/>
        </w:rPr>
        <w:t>anomalies</w:t>
      </w:r>
      <w:proofErr w:type="gramEnd"/>
      <w:r w:rsidRPr="0088028C">
        <w:rPr>
          <w:lang w:val="en-GB"/>
        </w:rPr>
        <w:t xml:space="preserve"> and malfunctions, is one of the pillars of the management system for the prevention of major accidents </w:t>
      </w:r>
      <w:r>
        <w:rPr>
          <w:lang w:val="en-GB"/>
        </w:rPr>
        <w:t>in</w:t>
      </w:r>
      <w:r w:rsidRPr="0088028C">
        <w:rPr>
          <w:lang w:val="en-GB"/>
        </w:rPr>
        <w:t xml:space="preserve"> Seveso sites. It is widely recogni</w:t>
      </w:r>
      <w:r>
        <w:rPr>
          <w:lang w:val="en-GB"/>
        </w:rPr>
        <w:t>s</w:t>
      </w:r>
      <w:r w:rsidRPr="0088028C">
        <w:rPr>
          <w:lang w:val="en-GB"/>
        </w:rPr>
        <w:t xml:space="preserve">ed as a study of the experience gathered is valuable for continuously improving safety and involving personnel in the management system. Less obvious is the possibility of using the operational experience also to </w:t>
      </w:r>
      <w:r>
        <w:rPr>
          <w:lang w:val="en-GB"/>
        </w:rPr>
        <w:t>improve</w:t>
      </w:r>
      <w:r w:rsidRPr="0088028C">
        <w:rPr>
          <w:lang w:val="en-GB"/>
        </w:rPr>
        <w:t xml:space="preserve"> reliability data and </w:t>
      </w:r>
      <w:r>
        <w:rPr>
          <w:lang w:val="en-GB"/>
        </w:rPr>
        <w:t>use them to increase the credibility of the risk analysis used to comply the Seveso legislation</w:t>
      </w:r>
      <w:r w:rsidRPr="0088028C">
        <w:rPr>
          <w:lang w:val="en-GB"/>
        </w:rPr>
        <w:t xml:space="preserve">. The results presented here show how </w:t>
      </w:r>
      <w:r>
        <w:rPr>
          <w:lang w:val="en-GB"/>
        </w:rPr>
        <w:t>a quite simple calculation</w:t>
      </w:r>
      <w:r w:rsidRPr="0088028C">
        <w:rPr>
          <w:lang w:val="en-GB"/>
        </w:rPr>
        <w:t xml:space="preserve"> </w:t>
      </w:r>
      <w:r>
        <w:rPr>
          <w:lang w:val="en-GB"/>
        </w:rPr>
        <w:t>allows</w:t>
      </w:r>
      <w:r w:rsidRPr="0088028C">
        <w:rPr>
          <w:lang w:val="en-GB"/>
        </w:rPr>
        <w:t xml:space="preserve"> to exploit the data of the operational experience to have a refinement of the failure rates to be used in the </w:t>
      </w:r>
      <w:r>
        <w:rPr>
          <w:lang w:val="en-GB"/>
        </w:rPr>
        <w:t xml:space="preserve">standard </w:t>
      </w:r>
      <w:r w:rsidRPr="0088028C">
        <w:rPr>
          <w:lang w:val="en-GB"/>
        </w:rPr>
        <w:t>risk analysi</w:t>
      </w:r>
      <w:r>
        <w:rPr>
          <w:lang w:val="en-GB"/>
        </w:rPr>
        <w:t>s</w:t>
      </w:r>
      <w:r w:rsidRPr="0088028C">
        <w:rPr>
          <w:lang w:val="en-GB"/>
        </w:rPr>
        <w:t xml:space="preserve"> to respond to the temporal evolution of the context.</w:t>
      </w:r>
      <w:r>
        <w:rPr>
          <w:lang w:val="en-GB"/>
        </w:rPr>
        <w:t xml:space="preserve"> Thus, a p</w:t>
      </w:r>
      <w:r w:rsidRPr="0088028C">
        <w:rPr>
          <w:lang w:val="en-GB"/>
        </w:rPr>
        <w:t xml:space="preserve">unctual reporting of operational experience </w:t>
      </w:r>
      <w:r>
        <w:rPr>
          <w:lang w:val="en-GB"/>
        </w:rPr>
        <w:t>should be</w:t>
      </w:r>
      <w:r w:rsidRPr="0088028C">
        <w:rPr>
          <w:lang w:val="en-GB"/>
        </w:rPr>
        <w:t xml:space="preserve"> </w:t>
      </w:r>
      <w:r>
        <w:rPr>
          <w:lang w:val="en-GB"/>
        </w:rPr>
        <w:t>highly recommended</w:t>
      </w:r>
      <w:r w:rsidRPr="0088028C">
        <w:rPr>
          <w:lang w:val="en-GB"/>
        </w:rPr>
        <w:t xml:space="preserve"> for </w:t>
      </w:r>
      <w:r>
        <w:rPr>
          <w:lang w:val="en-GB"/>
        </w:rPr>
        <w:t>both an</w:t>
      </w:r>
      <w:r w:rsidRPr="0088028C">
        <w:rPr>
          <w:lang w:val="en-GB"/>
        </w:rPr>
        <w:t xml:space="preserve"> effective management and a reliable and </w:t>
      </w:r>
      <w:r>
        <w:rPr>
          <w:lang w:val="en-GB"/>
        </w:rPr>
        <w:t>adaptive</w:t>
      </w:r>
      <w:r w:rsidRPr="0088028C">
        <w:rPr>
          <w:lang w:val="en-GB"/>
        </w:rPr>
        <w:t xml:space="preserve"> risk assessment.</w:t>
      </w:r>
    </w:p>
    <w:p w14:paraId="0A37F427" w14:textId="3CD09749" w:rsidR="003078FB" w:rsidRDefault="003078FB" w:rsidP="003078FB">
      <w:pPr>
        <w:pStyle w:val="CETBodytext"/>
        <w:rPr>
          <w:lang w:val="en-GB"/>
        </w:rPr>
      </w:pPr>
      <w:r w:rsidRPr="00510A86">
        <w:rPr>
          <w:lang w:val="en-GB"/>
        </w:rPr>
        <w:t xml:space="preserve">The refineries operating in </w:t>
      </w:r>
      <w:r>
        <w:rPr>
          <w:lang w:val="en-GB"/>
        </w:rPr>
        <w:t>Europe</w:t>
      </w:r>
      <w:r w:rsidR="00D65E8B">
        <w:rPr>
          <w:lang w:val="en-GB"/>
        </w:rPr>
        <w:t xml:space="preserve"> </w:t>
      </w:r>
      <w:r w:rsidRPr="00510A86">
        <w:rPr>
          <w:lang w:val="en-GB"/>
        </w:rPr>
        <w:t>have been operating fifty years or more. While waiting for the new carbon free technologies</w:t>
      </w:r>
      <w:r w:rsidR="00D65E8B">
        <w:rPr>
          <w:lang w:val="en-GB"/>
        </w:rPr>
        <w:t xml:space="preserve"> and to</w:t>
      </w:r>
      <w:r w:rsidRPr="00510A86">
        <w:rPr>
          <w:lang w:val="en-GB"/>
        </w:rPr>
        <w:t xml:space="preserve"> survive in a competitive market, even "difficult" crude oils are processed. The combined effect of ag</w:t>
      </w:r>
      <w:r>
        <w:rPr>
          <w:lang w:val="en-GB"/>
        </w:rPr>
        <w:t>e</w:t>
      </w:r>
      <w:r w:rsidRPr="00510A86">
        <w:rPr>
          <w:lang w:val="en-GB"/>
        </w:rPr>
        <w:t xml:space="preserve">ing and operating conditions, often close to the limit, greatly affects the reliability of the equipment and this must be </w:t>
      </w:r>
      <w:proofErr w:type="gramStart"/>
      <w:r w:rsidRPr="00510A86">
        <w:rPr>
          <w:lang w:val="en-GB"/>
        </w:rPr>
        <w:t>taken into account</w:t>
      </w:r>
      <w:proofErr w:type="gramEnd"/>
      <w:r w:rsidRPr="00510A86">
        <w:rPr>
          <w:lang w:val="en-GB"/>
        </w:rPr>
        <w:t xml:space="preserve"> in </w:t>
      </w:r>
      <w:r w:rsidR="00D65E8B">
        <w:rPr>
          <w:lang w:val="en-GB"/>
        </w:rPr>
        <w:t>the</w:t>
      </w:r>
      <w:r w:rsidRPr="00510A86">
        <w:rPr>
          <w:lang w:val="en-GB"/>
        </w:rPr>
        <w:t xml:space="preserve"> management, ensuring plant integrity and prevention of major accidents. A continuous updating of the values used in the analysis and assessment of risk is a need to which the results presented </w:t>
      </w:r>
      <w:r>
        <w:rPr>
          <w:lang w:val="en-GB"/>
        </w:rPr>
        <w:t xml:space="preserve">here </w:t>
      </w:r>
      <w:r w:rsidRPr="00510A86">
        <w:rPr>
          <w:lang w:val="en-GB"/>
        </w:rPr>
        <w:t xml:space="preserve">can give a </w:t>
      </w:r>
      <w:r>
        <w:rPr>
          <w:lang w:val="en-GB"/>
        </w:rPr>
        <w:t xml:space="preserve">simple </w:t>
      </w:r>
      <w:r w:rsidRPr="00510A86">
        <w:rPr>
          <w:lang w:val="en-GB"/>
        </w:rPr>
        <w:t>practical answer.</w:t>
      </w:r>
    </w:p>
    <w:p w14:paraId="64946B58" w14:textId="77777777" w:rsidR="00853231" w:rsidRPr="00B17C89" w:rsidRDefault="00853231" w:rsidP="00853231">
      <w:pPr>
        <w:pStyle w:val="CETAcknowledgementstitle"/>
      </w:pPr>
      <w:r w:rsidRPr="00B17C89">
        <w:t>Acknowledgments</w:t>
      </w:r>
    </w:p>
    <w:p w14:paraId="2CE70B5A" w14:textId="7F096281" w:rsidR="00853231" w:rsidRDefault="00853231" w:rsidP="00853231">
      <w:pPr>
        <w:pStyle w:val="CETBodytext"/>
        <w:rPr>
          <w:lang w:val="en-GB"/>
        </w:rPr>
      </w:pPr>
      <w:r w:rsidRPr="00217A5F">
        <w:rPr>
          <w:lang w:val="en-GB"/>
        </w:rPr>
        <w:t xml:space="preserve">This work has been funded by INAIL within the </w:t>
      </w:r>
      <w:r>
        <w:rPr>
          <w:lang w:val="en-GB"/>
        </w:rPr>
        <w:t>call</w:t>
      </w:r>
      <w:r w:rsidR="00EB618F">
        <w:rPr>
          <w:lang w:val="en-GB"/>
        </w:rPr>
        <w:t>s</w:t>
      </w:r>
      <w:r>
        <w:rPr>
          <w:lang w:val="en-GB"/>
        </w:rPr>
        <w:t xml:space="preserve"> </w:t>
      </w:r>
      <w:r w:rsidRPr="00217A5F">
        <w:rPr>
          <w:lang w:val="en-GB"/>
        </w:rPr>
        <w:t>BRIC/2019 ID = 02 project DYN-RISK</w:t>
      </w:r>
      <w:r w:rsidR="00EB618F">
        <w:rPr>
          <w:lang w:val="en-GB"/>
        </w:rPr>
        <w:t xml:space="preserve"> and </w:t>
      </w:r>
      <w:r w:rsidR="00EB618F" w:rsidRPr="00EB618F">
        <w:rPr>
          <w:lang w:val="en-GB"/>
        </w:rPr>
        <w:t>BRIC/2018 ID = 11 project MAC4PRO</w:t>
      </w:r>
      <w:r>
        <w:rPr>
          <w:lang w:val="en-GB"/>
        </w:rPr>
        <w:t>.</w:t>
      </w:r>
    </w:p>
    <w:p w14:paraId="36AB4341" w14:textId="77777777" w:rsidR="00812FF2" w:rsidRPr="00B17C89" w:rsidRDefault="00812FF2" w:rsidP="00812FF2">
      <w:pPr>
        <w:pStyle w:val="CETReference"/>
      </w:pPr>
      <w:r w:rsidRPr="00B17C89">
        <w:t>References</w:t>
      </w:r>
    </w:p>
    <w:p w14:paraId="633FD9FF" w14:textId="77777777" w:rsidR="00812FF2" w:rsidRPr="0019214C" w:rsidRDefault="00812FF2" w:rsidP="00812FF2">
      <w:pPr>
        <w:pStyle w:val="CETReferencetext"/>
        <w:rPr>
          <w:lang w:val="en-US"/>
        </w:rPr>
      </w:pPr>
      <w:r>
        <w:t>API (</w:t>
      </w:r>
      <w:r w:rsidRPr="0019214C">
        <w:t>A</w:t>
      </w:r>
      <w:r>
        <w:t xml:space="preserve">merican </w:t>
      </w:r>
      <w:r w:rsidRPr="0019214C">
        <w:t>P</w:t>
      </w:r>
      <w:r>
        <w:t xml:space="preserve">etroleum </w:t>
      </w:r>
      <w:r w:rsidRPr="0019214C">
        <w:t>I</w:t>
      </w:r>
      <w:r>
        <w:t>nstitute)</w:t>
      </w:r>
      <w:r w:rsidRPr="0019214C">
        <w:t>, 201</w:t>
      </w:r>
      <w:r>
        <w:t>4,</w:t>
      </w:r>
      <w:r w:rsidRPr="0019214C">
        <w:t xml:space="preserve"> </w:t>
      </w:r>
      <w:r w:rsidRPr="0019214C">
        <w:rPr>
          <w:lang w:val="en-US"/>
        </w:rPr>
        <w:t>Integrity Operating Windows</w:t>
      </w:r>
      <w:r>
        <w:rPr>
          <w:lang w:val="en-US"/>
        </w:rPr>
        <w:t>,</w:t>
      </w:r>
      <w:r w:rsidRPr="0019214C">
        <w:rPr>
          <w:lang w:val="en-US"/>
        </w:rPr>
        <w:t xml:space="preserve"> API </w:t>
      </w:r>
      <w:r>
        <w:rPr>
          <w:lang w:val="en-US"/>
        </w:rPr>
        <w:t>RP</w:t>
      </w:r>
      <w:r w:rsidRPr="0019214C">
        <w:rPr>
          <w:lang w:val="en-US"/>
        </w:rPr>
        <w:t xml:space="preserve"> 584</w:t>
      </w:r>
      <w:r>
        <w:rPr>
          <w:lang w:val="en-US"/>
        </w:rPr>
        <w:t>,</w:t>
      </w:r>
      <w:r w:rsidRPr="0019214C">
        <w:rPr>
          <w:lang w:val="en-US"/>
        </w:rPr>
        <w:t xml:space="preserve"> </w:t>
      </w:r>
      <w:r w:rsidRPr="0019214C">
        <w:t>API Publishing Services, Washington.</w:t>
      </w:r>
    </w:p>
    <w:p w14:paraId="239AED1F" w14:textId="77777777" w:rsidR="00812FF2" w:rsidRDefault="00812FF2" w:rsidP="00812FF2">
      <w:pPr>
        <w:pStyle w:val="CETReferencetext"/>
      </w:pPr>
      <w:r>
        <w:t>API (</w:t>
      </w:r>
      <w:r w:rsidRPr="0019214C">
        <w:t>A</w:t>
      </w:r>
      <w:r>
        <w:t xml:space="preserve">merican </w:t>
      </w:r>
      <w:r w:rsidRPr="0019214C">
        <w:t>P</w:t>
      </w:r>
      <w:r>
        <w:t xml:space="preserve">etroleum </w:t>
      </w:r>
      <w:r w:rsidRPr="0019214C">
        <w:t>I</w:t>
      </w:r>
      <w:r>
        <w:t>nstitute)</w:t>
      </w:r>
      <w:r w:rsidRPr="0019214C">
        <w:t>, 2016</w:t>
      </w:r>
      <w:r>
        <w:t>a,</w:t>
      </w:r>
      <w:r w:rsidRPr="0019214C">
        <w:t xml:space="preserve"> Risk-Based Inspection</w:t>
      </w:r>
      <w:r>
        <w:t>,</w:t>
      </w:r>
      <w:r w:rsidRPr="0019214C">
        <w:t xml:space="preserve"> API RP 580, 3rd ed. API Publishing Services, Washington.</w:t>
      </w:r>
    </w:p>
    <w:p w14:paraId="09877DCE" w14:textId="77777777" w:rsidR="00812FF2" w:rsidRDefault="00812FF2" w:rsidP="00812FF2">
      <w:pPr>
        <w:pStyle w:val="CETReferencetext"/>
      </w:pPr>
      <w:r>
        <w:t>API (</w:t>
      </w:r>
      <w:r w:rsidRPr="0019214C">
        <w:t>A</w:t>
      </w:r>
      <w:r>
        <w:t xml:space="preserve">merican </w:t>
      </w:r>
      <w:r w:rsidRPr="0019214C">
        <w:t>P</w:t>
      </w:r>
      <w:r>
        <w:t xml:space="preserve">etroleum </w:t>
      </w:r>
      <w:r w:rsidRPr="0019214C">
        <w:t>I</w:t>
      </w:r>
      <w:r>
        <w:t>nstitute)</w:t>
      </w:r>
      <w:r w:rsidRPr="0019214C">
        <w:t>, 2016</w:t>
      </w:r>
      <w:r>
        <w:t>b,</w:t>
      </w:r>
      <w:r w:rsidRPr="0019214C">
        <w:t xml:space="preserve"> Risk-Based Inspection</w:t>
      </w:r>
      <w:r>
        <w:t xml:space="preserve"> Methodology,</w:t>
      </w:r>
      <w:r w:rsidRPr="0019214C">
        <w:t xml:space="preserve"> API RP 58</w:t>
      </w:r>
      <w:r>
        <w:t>1</w:t>
      </w:r>
      <w:r w:rsidRPr="0019214C">
        <w:t>, 3rd ed. API Publishing Services, Washington.</w:t>
      </w:r>
    </w:p>
    <w:p w14:paraId="2DF1FC83" w14:textId="77777777" w:rsidR="00812FF2" w:rsidRDefault="00812FF2" w:rsidP="00812FF2">
      <w:pPr>
        <w:pStyle w:val="CETReferencetext"/>
      </w:pPr>
      <w:r w:rsidRPr="00AF0BBB">
        <w:t>Barua</w:t>
      </w:r>
      <w:r>
        <w:t xml:space="preserve"> S., </w:t>
      </w:r>
      <w:r w:rsidRPr="00AF0BBB">
        <w:t>Gao</w:t>
      </w:r>
      <w:r>
        <w:t xml:space="preserve"> X., </w:t>
      </w:r>
      <w:proofErr w:type="spellStart"/>
      <w:r w:rsidRPr="00AF0BBB">
        <w:t>Pasman</w:t>
      </w:r>
      <w:proofErr w:type="spellEnd"/>
      <w:r>
        <w:t xml:space="preserve"> H., </w:t>
      </w:r>
      <w:r w:rsidRPr="00AF0BBB">
        <w:t>Mannan</w:t>
      </w:r>
      <w:r>
        <w:t xml:space="preserve"> M.S., 2016, </w:t>
      </w:r>
      <w:r w:rsidRPr="00AF0BBB">
        <w:t>Bayesian network based dynamic operational risk assessment</w:t>
      </w:r>
      <w:r>
        <w:t>, Journal of Loss Prevention in the Process Industries, 41, 399 – 410.</w:t>
      </w:r>
    </w:p>
    <w:p w14:paraId="15EAC7D8" w14:textId="64AB290A" w:rsidR="003078FB" w:rsidRDefault="005D1B4B" w:rsidP="00812FF2">
      <w:pPr>
        <w:pStyle w:val="CETReferencetext"/>
        <w:rPr>
          <w:lang w:val="en-US"/>
        </w:rPr>
      </w:pPr>
      <w:proofErr w:type="spellStart"/>
      <w:r w:rsidRPr="005D1B4B">
        <w:rPr>
          <w:lang w:val="en-US"/>
        </w:rPr>
        <w:t>Bragatto</w:t>
      </w:r>
      <w:proofErr w:type="spellEnd"/>
      <w:r w:rsidRPr="005D1B4B">
        <w:rPr>
          <w:lang w:val="en-US"/>
        </w:rPr>
        <w:t xml:space="preserve"> P., </w:t>
      </w:r>
      <w:proofErr w:type="spellStart"/>
      <w:r w:rsidRPr="005D1B4B">
        <w:rPr>
          <w:lang w:val="en-US"/>
        </w:rPr>
        <w:t>Ansaldi</w:t>
      </w:r>
      <w:proofErr w:type="spellEnd"/>
      <w:r w:rsidRPr="005D1B4B">
        <w:rPr>
          <w:lang w:val="en-US"/>
        </w:rPr>
        <w:t xml:space="preserve"> S., </w:t>
      </w:r>
      <w:proofErr w:type="spellStart"/>
      <w:r w:rsidRPr="005D1B4B">
        <w:rPr>
          <w:lang w:val="en-US"/>
        </w:rPr>
        <w:t>Delle</w:t>
      </w:r>
      <w:proofErr w:type="spellEnd"/>
      <w:r w:rsidRPr="005D1B4B">
        <w:rPr>
          <w:lang w:val="en-US"/>
        </w:rPr>
        <w:t xml:space="preserve"> Site C., 2013, A pooled knowledge basis on pressure equipment failures to</w:t>
      </w:r>
      <w:r w:rsidR="003078FB">
        <w:rPr>
          <w:lang w:val="en-US"/>
        </w:rPr>
        <w:t xml:space="preserve"> </w:t>
      </w:r>
      <w:r>
        <w:rPr>
          <w:lang w:val="en-US"/>
        </w:rPr>
        <w:t>improve risk management in I</w:t>
      </w:r>
      <w:r w:rsidRPr="005D1B4B">
        <w:rPr>
          <w:lang w:val="en-US"/>
        </w:rPr>
        <w:t>taly, Chemical Engineering Transactions, 33, 433-438</w:t>
      </w:r>
      <w:r w:rsidR="003078FB">
        <w:rPr>
          <w:lang w:val="en-US"/>
        </w:rPr>
        <w:t>.</w:t>
      </w:r>
    </w:p>
    <w:p w14:paraId="5FF2A768" w14:textId="497E8616" w:rsidR="00812FF2" w:rsidRDefault="00812FF2" w:rsidP="00812FF2">
      <w:pPr>
        <w:pStyle w:val="CETReferencetext"/>
      </w:pPr>
      <w:proofErr w:type="spellStart"/>
      <w:r w:rsidRPr="00B17C89">
        <w:t>Bragatto</w:t>
      </w:r>
      <w:proofErr w:type="spellEnd"/>
      <w:r w:rsidRPr="00B17C89">
        <w:t xml:space="preserve"> P., </w:t>
      </w:r>
      <w:proofErr w:type="spellStart"/>
      <w:r w:rsidRPr="00B17C89">
        <w:t>Vairo</w:t>
      </w:r>
      <w:proofErr w:type="spellEnd"/>
      <w:r w:rsidRPr="00B17C89">
        <w:t xml:space="preserve"> T., Milazzo M.F., Fabiano B., 2021, The impact of the COVID-19 pandemic on the safety management in Italian Seveso industries, Journal of Loss Prevention in the Process Industries, 70, 104393.</w:t>
      </w:r>
    </w:p>
    <w:p w14:paraId="7B0D20E9" w14:textId="77777777" w:rsidR="00812FF2" w:rsidRDefault="00812FF2" w:rsidP="00812FF2">
      <w:pPr>
        <w:pStyle w:val="CETReferencetext"/>
      </w:pPr>
      <w:r w:rsidRPr="00262C2C">
        <w:t>Flemish Government LNE Department Environment, Nature and Energy Policy Unit Safety Reporting Division</w:t>
      </w:r>
      <w:r>
        <w:t xml:space="preserve">, 2009, </w:t>
      </w:r>
      <w:proofErr w:type="spellStart"/>
      <w:r w:rsidRPr="00262C2C">
        <w:t>Aminal</w:t>
      </w:r>
      <w:proofErr w:type="spellEnd"/>
      <w:r w:rsidRPr="00262C2C">
        <w:t xml:space="preserve"> Handbook Failure Frequencies</w:t>
      </w:r>
      <w:r>
        <w:t>.</w:t>
      </w:r>
    </w:p>
    <w:p w14:paraId="41B48C92" w14:textId="77777777" w:rsidR="00812FF2" w:rsidRPr="00B17C89" w:rsidRDefault="00812FF2" w:rsidP="00812FF2">
      <w:pPr>
        <w:pStyle w:val="CETReferencetext"/>
      </w:pPr>
      <w:proofErr w:type="spellStart"/>
      <w:r>
        <w:t>Haasl</w:t>
      </w:r>
      <w:proofErr w:type="spellEnd"/>
      <w:r w:rsidRPr="00EC326B">
        <w:t xml:space="preserve"> </w:t>
      </w:r>
      <w:r>
        <w:t>D.F., Roberts</w:t>
      </w:r>
      <w:r w:rsidRPr="00EC326B">
        <w:t xml:space="preserve"> </w:t>
      </w:r>
      <w:r>
        <w:t>N.H., Vesely</w:t>
      </w:r>
      <w:r w:rsidRPr="00EC326B">
        <w:t xml:space="preserve"> </w:t>
      </w:r>
      <w:r>
        <w:t>W.E., Goldberg F.F., 1981, Fault tree handbook.</w:t>
      </w:r>
    </w:p>
    <w:p w14:paraId="468195AE" w14:textId="77777777" w:rsidR="00812FF2" w:rsidRPr="00B17C89" w:rsidRDefault="00812FF2" w:rsidP="00812FF2">
      <w:pPr>
        <w:pStyle w:val="CETReferencetext"/>
      </w:pPr>
      <w:proofErr w:type="spellStart"/>
      <w:r>
        <w:t>Kalantarnia</w:t>
      </w:r>
      <w:proofErr w:type="spellEnd"/>
      <w:r>
        <w:t xml:space="preserve"> M., Khan F., </w:t>
      </w:r>
      <w:proofErr w:type="spellStart"/>
      <w:r>
        <w:t>Hawboldt</w:t>
      </w:r>
      <w:proofErr w:type="spellEnd"/>
      <w:r>
        <w:t xml:space="preserve"> K., 2009, Dynamic risk assessment using failure assessment and Bayesian theory, Journal of Loss Prevention in the Process Industries, 22, 600–606.</w:t>
      </w:r>
    </w:p>
    <w:p w14:paraId="7458097A" w14:textId="77777777" w:rsidR="00812FF2" w:rsidRDefault="00812FF2" w:rsidP="00812FF2">
      <w:pPr>
        <w:pStyle w:val="CETReferencetext"/>
      </w:pPr>
      <w:proofErr w:type="spellStart"/>
      <w:r w:rsidRPr="00B17C89">
        <w:t>Lagad</w:t>
      </w:r>
      <w:proofErr w:type="spellEnd"/>
      <w:r w:rsidRPr="00B17C89">
        <w:t xml:space="preserve"> V., Zaman V., 2015, Utilizing Integrity Operating Windows (IOWs) for enhanced plant reliability &amp; safety, Journal of Loss Prevention in the Process Industries, 35, 352–356.</w:t>
      </w:r>
    </w:p>
    <w:p w14:paraId="70708248" w14:textId="77777777" w:rsidR="00812FF2" w:rsidRDefault="00812FF2" w:rsidP="00812FF2">
      <w:pPr>
        <w:pStyle w:val="CETReferencetext"/>
      </w:pPr>
      <w:proofErr w:type="spellStart"/>
      <w:r>
        <w:t>Meel</w:t>
      </w:r>
      <w:proofErr w:type="spellEnd"/>
      <w:r>
        <w:t xml:space="preserve"> A., </w:t>
      </w:r>
      <w:proofErr w:type="spellStart"/>
      <w:r>
        <w:t>Seider</w:t>
      </w:r>
      <w:proofErr w:type="spellEnd"/>
      <w:r>
        <w:t xml:space="preserve"> W., 2006, Plant-specific dynamic failure assessment using Bayesian theory, Chemical Engineering Science, 61(21), 7036-7056.</w:t>
      </w:r>
    </w:p>
    <w:p w14:paraId="2742F2D4" w14:textId="55742CEF" w:rsidR="00812FF2" w:rsidRPr="0024662A" w:rsidRDefault="00812FF2" w:rsidP="00812FF2">
      <w:pPr>
        <w:pStyle w:val="CETReferencetext"/>
        <w:rPr>
          <w:lang w:val="en-US"/>
        </w:rPr>
      </w:pPr>
      <w:proofErr w:type="spellStart"/>
      <w:r>
        <w:t>Shafaghi</w:t>
      </w:r>
      <w:proofErr w:type="spellEnd"/>
      <w:r>
        <w:t xml:space="preserve"> A., 2008, </w:t>
      </w:r>
      <w:r w:rsidRPr="0024662A">
        <w:t>Equipment failure rate updating—Bayesian estimation</w:t>
      </w:r>
      <w:r>
        <w:t>,</w:t>
      </w:r>
      <w:r w:rsidRPr="0024662A">
        <w:t xml:space="preserve"> Journal of Hazardous Materials</w:t>
      </w:r>
      <w:r>
        <w:t>,</w:t>
      </w:r>
      <w:r w:rsidRPr="0024662A">
        <w:t xml:space="preserve"> 159</w:t>
      </w:r>
      <w:r>
        <w:t xml:space="preserve">, </w:t>
      </w:r>
      <w:r w:rsidRPr="0024662A">
        <w:t>87–91</w:t>
      </w:r>
      <w:r>
        <w:t>.</w:t>
      </w:r>
    </w:p>
    <w:p w14:paraId="4E6A6D6E" w14:textId="2297CE4E" w:rsidR="00812FF2" w:rsidRDefault="00812FF2" w:rsidP="00812FF2">
      <w:pPr>
        <w:pStyle w:val="CETReferencetext"/>
      </w:pPr>
      <w:r w:rsidRPr="00B17C89">
        <w:t xml:space="preserve">Schmitz P., </w:t>
      </w:r>
      <w:proofErr w:type="spellStart"/>
      <w:r w:rsidRPr="00B17C89">
        <w:t>Swuste</w:t>
      </w:r>
      <w:proofErr w:type="spellEnd"/>
      <w:r w:rsidRPr="00B17C89">
        <w:t xml:space="preserve"> P., </w:t>
      </w:r>
      <w:proofErr w:type="spellStart"/>
      <w:r w:rsidRPr="00B17C89">
        <w:t>Reniers</w:t>
      </w:r>
      <w:proofErr w:type="spellEnd"/>
      <w:r w:rsidRPr="00B17C89">
        <w:t xml:space="preserve"> G., van </w:t>
      </w:r>
      <w:proofErr w:type="spellStart"/>
      <w:r w:rsidRPr="00B17C89">
        <w:t>Nunen</w:t>
      </w:r>
      <w:proofErr w:type="spellEnd"/>
      <w:r w:rsidRPr="00B17C89">
        <w:t xml:space="preserve"> K., 2020, Mechanical integrity of process installations: Barrier alarm management based on bowties, Process Safety and Environmental Protection, 138, 139–147.</w:t>
      </w:r>
    </w:p>
    <w:p w14:paraId="34D2505E" w14:textId="769F07A0" w:rsidR="00DC370F" w:rsidRPr="00B17C89" w:rsidRDefault="00DC370F" w:rsidP="00812FF2">
      <w:pPr>
        <w:pStyle w:val="CETReferencetext"/>
      </w:pPr>
      <w:proofErr w:type="spellStart"/>
      <w:r w:rsidRPr="00DC370F">
        <w:t>Uijt</w:t>
      </w:r>
      <w:proofErr w:type="spellEnd"/>
      <w:r w:rsidRPr="00DC370F">
        <w:t xml:space="preserve"> de Haag P.A.M.</w:t>
      </w:r>
      <w:r>
        <w:t>,</w:t>
      </w:r>
      <w:r w:rsidRPr="00DC370F">
        <w:t xml:space="preserve"> Ale B.J.M.</w:t>
      </w:r>
      <w:r>
        <w:t>,</w:t>
      </w:r>
      <w:r w:rsidRPr="00DC370F">
        <w:t xml:space="preserve"> 2005</w:t>
      </w:r>
      <w:r>
        <w:t>,</w:t>
      </w:r>
      <w:r w:rsidRPr="00DC370F">
        <w:t xml:space="preserve"> Guidelines for quantitative risk assessment RIVM Publication Series on Dangerous Substances (PGS 3)</w:t>
      </w:r>
      <w:r>
        <w:t>,</w:t>
      </w:r>
      <w:r w:rsidRPr="00DC370F">
        <w:t xml:space="preserve"> Utrecht NL</w:t>
      </w:r>
    </w:p>
    <w:p w14:paraId="63F4FA90" w14:textId="77777777" w:rsidR="00A22898" w:rsidRDefault="00812FF2" w:rsidP="00812FF2">
      <w:pPr>
        <w:pStyle w:val="CETReferencetext"/>
      </w:pPr>
      <w:proofErr w:type="spellStart"/>
      <w:r w:rsidRPr="00B17C89">
        <w:t>Vairo</w:t>
      </w:r>
      <w:proofErr w:type="spellEnd"/>
      <w:r w:rsidRPr="00B17C89">
        <w:t xml:space="preserve"> T., Milazzo M.F., </w:t>
      </w:r>
      <w:proofErr w:type="spellStart"/>
      <w:r w:rsidRPr="00B17C89">
        <w:t>Bragatto</w:t>
      </w:r>
      <w:proofErr w:type="spellEnd"/>
      <w:r w:rsidRPr="00B17C89">
        <w:t xml:space="preserve"> P., Fabiano B., 2019, A Dynamic Approach to Fault Tree Analysis based on Bayesian Beliefs Networks, Chemical Engineering Transactions, 77, 829–834.</w:t>
      </w:r>
    </w:p>
    <w:sectPr w:rsidR="00A2289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5D96" w14:textId="77777777" w:rsidR="00D9107F" w:rsidRDefault="00D9107F" w:rsidP="004F5E36">
      <w:r>
        <w:separator/>
      </w:r>
    </w:p>
  </w:endnote>
  <w:endnote w:type="continuationSeparator" w:id="0">
    <w:p w14:paraId="60DA0A19" w14:textId="77777777" w:rsidR="00D9107F" w:rsidRDefault="00D9107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7E51" w14:textId="77777777" w:rsidR="00D9107F" w:rsidRDefault="00D9107F" w:rsidP="004F5E36">
      <w:r>
        <w:separator/>
      </w:r>
    </w:p>
  </w:footnote>
  <w:footnote w:type="continuationSeparator" w:id="0">
    <w:p w14:paraId="54C78CA5" w14:textId="77777777" w:rsidR="00D9107F" w:rsidRDefault="00D9107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539CEB1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4144419">
    <w:abstractNumId w:val="10"/>
  </w:num>
  <w:num w:numId="2" w16cid:durableId="1503544967">
    <w:abstractNumId w:val="8"/>
  </w:num>
  <w:num w:numId="3" w16cid:durableId="1902209562">
    <w:abstractNumId w:val="3"/>
  </w:num>
  <w:num w:numId="4" w16cid:durableId="546453233">
    <w:abstractNumId w:val="2"/>
  </w:num>
  <w:num w:numId="5" w16cid:durableId="2109112282">
    <w:abstractNumId w:val="1"/>
  </w:num>
  <w:num w:numId="6" w16cid:durableId="1170829420">
    <w:abstractNumId w:val="0"/>
  </w:num>
  <w:num w:numId="7" w16cid:durableId="2052724886">
    <w:abstractNumId w:val="9"/>
  </w:num>
  <w:num w:numId="8" w16cid:durableId="475147958">
    <w:abstractNumId w:val="7"/>
  </w:num>
  <w:num w:numId="9" w16cid:durableId="172108273">
    <w:abstractNumId w:val="6"/>
  </w:num>
  <w:num w:numId="10" w16cid:durableId="1593854085">
    <w:abstractNumId w:val="5"/>
  </w:num>
  <w:num w:numId="11" w16cid:durableId="2023966698">
    <w:abstractNumId w:val="4"/>
  </w:num>
  <w:num w:numId="12" w16cid:durableId="902644800">
    <w:abstractNumId w:val="17"/>
  </w:num>
  <w:num w:numId="13" w16cid:durableId="1765884492">
    <w:abstractNumId w:val="12"/>
  </w:num>
  <w:num w:numId="14" w16cid:durableId="2093434079">
    <w:abstractNumId w:val="18"/>
  </w:num>
  <w:num w:numId="15" w16cid:durableId="553195548">
    <w:abstractNumId w:val="20"/>
  </w:num>
  <w:num w:numId="16" w16cid:durableId="1402561622">
    <w:abstractNumId w:val="19"/>
  </w:num>
  <w:num w:numId="17" w16cid:durableId="1814519705">
    <w:abstractNumId w:val="11"/>
  </w:num>
  <w:num w:numId="18" w16cid:durableId="939920342">
    <w:abstractNumId w:val="12"/>
    <w:lvlOverride w:ilvl="0">
      <w:startOverride w:val="1"/>
    </w:lvlOverride>
  </w:num>
  <w:num w:numId="19" w16cid:durableId="1683168994">
    <w:abstractNumId w:val="16"/>
  </w:num>
  <w:num w:numId="20" w16cid:durableId="1433474502">
    <w:abstractNumId w:val="15"/>
  </w:num>
  <w:num w:numId="21" w16cid:durableId="871461693">
    <w:abstractNumId w:val="14"/>
  </w:num>
  <w:num w:numId="22" w16cid:durableId="20877219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374C"/>
    <w:rsid w:val="0003148D"/>
    <w:rsid w:val="00031EEC"/>
    <w:rsid w:val="00051566"/>
    <w:rsid w:val="00062A9A"/>
    <w:rsid w:val="00065058"/>
    <w:rsid w:val="00082E7B"/>
    <w:rsid w:val="00086C39"/>
    <w:rsid w:val="000873F3"/>
    <w:rsid w:val="000A03B2"/>
    <w:rsid w:val="000B4104"/>
    <w:rsid w:val="000D0268"/>
    <w:rsid w:val="000D34BE"/>
    <w:rsid w:val="000E102F"/>
    <w:rsid w:val="000E36F1"/>
    <w:rsid w:val="000E3A73"/>
    <w:rsid w:val="000E414A"/>
    <w:rsid w:val="000F093C"/>
    <w:rsid w:val="000F787B"/>
    <w:rsid w:val="00101E4A"/>
    <w:rsid w:val="001134D0"/>
    <w:rsid w:val="0012091F"/>
    <w:rsid w:val="00126BC2"/>
    <w:rsid w:val="001308B6"/>
    <w:rsid w:val="0013121F"/>
    <w:rsid w:val="00131FE6"/>
    <w:rsid w:val="0013263F"/>
    <w:rsid w:val="001331DF"/>
    <w:rsid w:val="00134DE4"/>
    <w:rsid w:val="0013592D"/>
    <w:rsid w:val="0014034D"/>
    <w:rsid w:val="00144D16"/>
    <w:rsid w:val="00150E59"/>
    <w:rsid w:val="00152DE3"/>
    <w:rsid w:val="00164CF9"/>
    <w:rsid w:val="001667A6"/>
    <w:rsid w:val="00184AD6"/>
    <w:rsid w:val="001A4AF7"/>
    <w:rsid w:val="001B0349"/>
    <w:rsid w:val="001B1E93"/>
    <w:rsid w:val="001B65C1"/>
    <w:rsid w:val="001C2BD4"/>
    <w:rsid w:val="001C684B"/>
    <w:rsid w:val="001D0CFB"/>
    <w:rsid w:val="001D53FC"/>
    <w:rsid w:val="001D65EA"/>
    <w:rsid w:val="001E1B63"/>
    <w:rsid w:val="001E59EB"/>
    <w:rsid w:val="001F42A5"/>
    <w:rsid w:val="001F7B9D"/>
    <w:rsid w:val="00201C93"/>
    <w:rsid w:val="00213813"/>
    <w:rsid w:val="002224B4"/>
    <w:rsid w:val="00241AA5"/>
    <w:rsid w:val="002447EF"/>
    <w:rsid w:val="00251550"/>
    <w:rsid w:val="00263B05"/>
    <w:rsid w:val="0027221A"/>
    <w:rsid w:val="00275B61"/>
    <w:rsid w:val="00280FAF"/>
    <w:rsid w:val="00282656"/>
    <w:rsid w:val="00296B83"/>
    <w:rsid w:val="002B4015"/>
    <w:rsid w:val="002B78CE"/>
    <w:rsid w:val="002C2FB6"/>
    <w:rsid w:val="002C6CCD"/>
    <w:rsid w:val="002D08DD"/>
    <w:rsid w:val="002E5FA7"/>
    <w:rsid w:val="002F1540"/>
    <w:rsid w:val="002F3309"/>
    <w:rsid w:val="002F767D"/>
    <w:rsid w:val="003008CE"/>
    <w:rsid w:val="003009B7"/>
    <w:rsid w:val="00300E56"/>
    <w:rsid w:val="0030469C"/>
    <w:rsid w:val="003078FB"/>
    <w:rsid w:val="00321CA6"/>
    <w:rsid w:val="00323763"/>
    <w:rsid w:val="00334C09"/>
    <w:rsid w:val="0034719D"/>
    <w:rsid w:val="003723D4"/>
    <w:rsid w:val="00381905"/>
    <w:rsid w:val="00384CC8"/>
    <w:rsid w:val="003871FD"/>
    <w:rsid w:val="003A1E30"/>
    <w:rsid w:val="003A2829"/>
    <w:rsid w:val="003A7D1C"/>
    <w:rsid w:val="003B304B"/>
    <w:rsid w:val="003B3146"/>
    <w:rsid w:val="003D2F1B"/>
    <w:rsid w:val="003F015E"/>
    <w:rsid w:val="00400414"/>
    <w:rsid w:val="0041173A"/>
    <w:rsid w:val="0041446B"/>
    <w:rsid w:val="00423409"/>
    <w:rsid w:val="00433096"/>
    <w:rsid w:val="00436408"/>
    <w:rsid w:val="0044329C"/>
    <w:rsid w:val="00453E24"/>
    <w:rsid w:val="00457456"/>
    <w:rsid w:val="004577FE"/>
    <w:rsid w:val="00457B9C"/>
    <w:rsid w:val="0046164A"/>
    <w:rsid w:val="004628D2"/>
    <w:rsid w:val="00462DCD"/>
    <w:rsid w:val="004648AD"/>
    <w:rsid w:val="00465C51"/>
    <w:rsid w:val="004703A9"/>
    <w:rsid w:val="004760DE"/>
    <w:rsid w:val="004763D7"/>
    <w:rsid w:val="004A004E"/>
    <w:rsid w:val="004A24CF"/>
    <w:rsid w:val="004A318E"/>
    <w:rsid w:val="004A5E1B"/>
    <w:rsid w:val="004B0471"/>
    <w:rsid w:val="004C3D1D"/>
    <w:rsid w:val="004C7913"/>
    <w:rsid w:val="004D093A"/>
    <w:rsid w:val="004E4DD6"/>
    <w:rsid w:val="004E50F1"/>
    <w:rsid w:val="004F5E36"/>
    <w:rsid w:val="00507B47"/>
    <w:rsid w:val="00507BEF"/>
    <w:rsid w:val="00507CC9"/>
    <w:rsid w:val="005119A5"/>
    <w:rsid w:val="0051760F"/>
    <w:rsid w:val="005278B7"/>
    <w:rsid w:val="00532016"/>
    <w:rsid w:val="005346C8"/>
    <w:rsid w:val="00543E7D"/>
    <w:rsid w:val="00547A68"/>
    <w:rsid w:val="005531C9"/>
    <w:rsid w:val="0056369B"/>
    <w:rsid w:val="00570C43"/>
    <w:rsid w:val="005A0A68"/>
    <w:rsid w:val="005B2110"/>
    <w:rsid w:val="005B61E6"/>
    <w:rsid w:val="005C77E1"/>
    <w:rsid w:val="005D1B4B"/>
    <w:rsid w:val="005D668A"/>
    <w:rsid w:val="005D6A2F"/>
    <w:rsid w:val="005E0D65"/>
    <w:rsid w:val="005E1A82"/>
    <w:rsid w:val="005E1D49"/>
    <w:rsid w:val="005E794C"/>
    <w:rsid w:val="005F0A28"/>
    <w:rsid w:val="005F0E5E"/>
    <w:rsid w:val="00600535"/>
    <w:rsid w:val="006014AA"/>
    <w:rsid w:val="00610CD6"/>
    <w:rsid w:val="00620DEE"/>
    <w:rsid w:val="00621F92"/>
    <w:rsid w:val="0062280A"/>
    <w:rsid w:val="00625639"/>
    <w:rsid w:val="00631B33"/>
    <w:rsid w:val="00634211"/>
    <w:rsid w:val="0064184D"/>
    <w:rsid w:val="006422CC"/>
    <w:rsid w:val="00660E3E"/>
    <w:rsid w:val="00662E74"/>
    <w:rsid w:val="00680C23"/>
    <w:rsid w:val="00693766"/>
    <w:rsid w:val="006A3281"/>
    <w:rsid w:val="006B4888"/>
    <w:rsid w:val="006C2E45"/>
    <w:rsid w:val="006C359C"/>
    <w:rsid w:val="006C5579"/>
    <w:rsid w:val="006D6E8B"/>
    <w:rsid w:val="006E210D"/>
    <w:rsid w:val="006E737D"/>
    <w:rsid w:val="00713973"/>
    <w:rsid w:val="00720A24"/>
    <w:rsid w:val="0073139D"/>
    <w:rsid w:val="00732386"/>
    <w:rsid w:val="0073514D"/>
    <w:rsid w:val="007447F3"/>
    <w:rsid w:val="0075499F"/>
    <w:rsid w:val="007661C8"/>
    <w:rsid w:val="0077098D"/>
    <w:rsid w:val="00773673"/>
    <w:rsid w:val="007931FA"/>
    <w:rsid w:val="007A4861"/>
    <w:rsid w:val="007A7BBA"/>
    <w:rsid w:val="007B0782"/>
    <w:rsid w:val="007B0C50"/>
    <w:rsid w:val="007B0D61"/>
    <w:rsid w:val="007B48F9"/>
    <w:rsid w:val="007C1A43"/>
    <w:rsid w:val="007D14B7"/>
    <w:rsid w:val="007D4EBF"/>
    <w:rsid w:val="007D5B00"/>
    <w:rsid w:val="0080013E"/>
    <w:rsid w:val="00810418"/>
    <w:rsid w:val="00812FF2"/>
    <w:rsid w:val="00813288"/>
    <w:rsid w:val="008168FC"/>
    <w:rsid w:val="00830996"/>
    <w:rsid w:val="008345F1"/>
    <w:rsid w:val="00844BF0"/>
    <w:rsid w:val="00853231"/>
    <w:rsid w:val="00865B07"/>
    <w:rsid w:val="008667EA"/>
    <w:rsid w:val="0087637F"/>
    <w:rsid w:val="00892AD5"/>
    <w:rsid w:val="008A1512"/>
    <w:rsid w:val="008B30D5"/>
    <w:rsid w:val="008C27EC"/>
    <w:rsid w:val="008D32B9"/>
    <w:rsid w:val="008D433B"/>
    <w:rsid w:val="008E0482"/>
    <w:rsid w:val="008E566E"/>
    <w:rsid w:val="0090161A"/>
    <w:rsid w:val="00901EB6"/>
    <w:rsid w:val="00903BA5"/>
    <w:rsid w:val="00904C62"/>
    <w:rsid w:val="00922BA8"/>
    <w:rsid w:val="00924DAC"/>
    <w:rsid w:val="00927058"/>
    <w:rsid w:val="00942750"/>
    <w:rsid w:val="009450CE"/>
    <w:rsid w:val="00947179"/>
    <w:rsid w:val="0095164B"/>
    <w:rsid w:val="00954090"/>
    <w:rsid w:val="00954E99"/>
    <w:rsid w:val="009573E7"/>
    <w:rsid w:val="00963E05"/>
    <w:rsid w:val="00965B0D"/>
    <w:rsid w:val="00967843"/>
    <w:rsid w:val="00967D54"/>
    <w:rsid w:val="00971028"/>
    <w:rsid w:val="00993B84"/>
    <w:rsid w:val="00996483"/>
    <w:rsid w:val="00996F5A"/>
    <w:rsid w:val="009B041A"/>
    <w:rsid w:val="009B1503"/>
    <w:rsid w:val="009C37C3"/>
    <w:rsid w:val="009C7C86"/>
    <w:rsid w:val="009D2FF7"/>
    <w:rsid w:val="009E7884"/>
    <w:rsid w:val="009E788A"/>
    <w:rsid w:val="009F0E08"/>
    <w:rsid w:val="00A077E3"/>
    <w:rsid w:val="00A1763D"/>
    <w:rsid w:val="00A17CEC"/>
    <w:rsid w:val="00A22898"/>
    <w:rsid w:val="00A23BD4"/>
    <w:rsid w:val="00A27EF0"/>
    <w:rsid w:val="00A42361"/>
    <w:rsid w:val="00A50B20"/>
    <w:rsid w:val="00A51390"/>
    <w:rsid w:val="00A60D13"/>
    <w:rsid w:val="00A61B7E"/>
    <w:rsid w:val="00A72745"/>
    <w:rsid w:val="00A74E17"/>
    <w:rsid w:val="00A755C0"/>
    <w:rsid w:val="00A76EFC"/>
    <w:rsid w:val="00A91010"/>
    <w:rsid w:val="00A97F29"/>
    <w:rsid w:val="00AA702E"/>
    <w:rsid w:val="00AB0964"/>
    <w:rsid w:val="00AB5011"/>
    <w:rsid w:val="00AC7368"/>
    <w:rsid w:val="00AD16B9"/>
    <w:rsid w:val="00AE377D"/>
    <w:rsid w:val="00AF0EBA"/>
    <w:rsid w:val="00B0064A"/>
    <w:rsid w:val="00B02C8A"/>
    <w:rsid w:val="00B17FBD"/>
    <w:rsid w:val="00B315A6"/>
    <w:rsid w:val="00B31813"/>
    <w:rsid w:val="00B33365"/>
    <w:rsid w:val="00B50563"/>
    <w:rsid w:val="00B505C2"/>
    <w:rsid w:val="00B57B36"/>
    <w:rsid w:val="00B57E6F"/>
    <w:rsid w:val="00B65E90"/>
    <w:rsid w:val="00B7192D"/>
    <w:rsid w:val="00B8686D"/>
    <w:rsid w:val="00B93F69"/>
    <w:rsid w:val="00BB1DDC"/>
    <w:rsid w:val="00BC30C9"/>
    <w:rsid w:val="00BC7FDC"/>
    <w:rsid w:val="00BD077D"/>
    <w:rsid w:val="00BE3E58"/>
    <w:rsid w:val="00BF2348"/>
    <w:rsid w:val="00C01616"/>
    <w:rsid w:val="00C0162B"/>
    <w:rsid w:val="00C068ED"/>
    <w:rsid w:val="00C22E0C"/>
    <w:rsid w:val="00C345B1"/>
    <w:rsid w:val="00C40142"/>
    <w:rsid w:val="00C52C3C"/>
    <w:rsid w:val="00C57182"/>
    <w:rsid w:val="00C57863"/>
    <w:rsid w:val="00C57C51"/>
    <w:rsid w:val="00C655FD"/>
    <w:rsid w:val="00C75407"/>
    <w:rsid w:val="00C870A8"/>
    <w:rsid w:val="00C94434"/>
    <w:rsid w:val="00C94BE0"/>
    <w:rsid w:val="00CA0D75"/>
    <w:rsid w:val="00CA1C95"/>
    <w:rsid w:val="00CA5A9C"/>
    <w:rsid w:val="00CB23B0"/>
    <w:rsid w:val="00CB54B3"/>
    <w:rsid w:val="00CC4C20"/>
    <w:rsid w:val="00CD3517"/>
    <w:rsid w:val="00CD3FB4"/>
    <w:rsid w:val="00CD4CCE"/>
    <w:rsid w:val="00CD5FE2"/>
    <w:rsid w:val="00CE7C68"/>
    <w:rsid w:val="00D00B94"/>
    <w:rsid w:val="00D02B4C"/>
    <w:rsid w:val="00D040C4"/>
    <w:rsid w:val="00D46417"/>
    <w:rsid w:val="00D46B7E"/>
    <w:rsid w:val="00D57C84"/>
    <w:rsid w:val="00D6057D"/>
    <w:rsid w:val="00D65E8B"/>
    <w:rsid w:val="00D836C5"/>
    <w:rsid w:val="00D84576"/>
    <w:rsid w:val="00D9107F"/>
    <w:rsid w:val="00DA1399"/>
    <w:rsid w:val="00DA24C6"/>
    <w:rsid w:val="00DA4D7B"/>
    <w:rsid w:val="00DC370F"/>
    <w:rsid w:val="00DC766D"/>
    <w:rsid w:val="00DE0CA9"/>
    <w:rsid w:val="00DE264A"/>
    <w:rsid w:val="00DF2A9D"/>
    <w:rsid w:val="00DF5072"/>
    <w:rsid w:val="00E00CD7"/>
    <w:rsid w:val="00E02D18"/>
    <w:rsid w:val="00E041E7"/>
    <w:rsid w:val="00E05D37"/>
    <w:rsid w:val="00E23CA1"/>
    <w:rsid w:val="00E409A8"/>
    <w:rsid w:val="00E43BFA"/>
    <w:rsid w:val="00E50C12"/>
    <w:rsid w:val="00E5158A"/>
    <w:rsid w:val="00E53D2C"/>
    <w:rsid w:val="00E611E6"/>
    <w:rsid w:val="00E65B91"/>
    <w:rsid w:val="00E7209D"/>
    <w:rsid w:val="00E72EAD"/>
    <w:rsid w:val="00E77223"/>
    <w:rsid w:val="00E8528B"/>
    <w:rsid w:val="00E85B94"/>
    <w:rsid w:val="00E978D0"/>
    <w:rsid w:val="00EA4613"/>
    <w:rsid w:val="00EA7F91"/>
    <w:rsid w:val="00EB1523"/>
    <w:rsid w:val="00EB618F"/>
    <w:rsid w:val="00EC0E49"/>
    <w:rsid w:val="00EC101F"/>
    <w:rsid w:val="00EC1D9F"/>
    <w:rsid w:val="00EC321A"/>
    <w:rsid w:val="00EC578D"/>
    <w:rsid w:val="00ED2D7D"/>
    <w:rsid w:val="00EE0131"/>
    <w:rsid w:val="00EE0C6F"/>
    <w:rsid w:val="00EE17B0"/>
    <w:rsid w:val="00EF06D9"/>
    <w:rsid w:val="00F17A5E"/>
    <w:rsid w:val="00F23187"/>
    <w:rsid w:val="00F27F46"/>
    <w:rsid w:val="00F30C64"/>
    <w:rsid w:val="00F32BA2"/>
    <w:rsid w:val="00F32CDB"/>
    <w:rsid w:val="00F3540E"/>
    <w:rsid w:val="00F43BF8"/>
    <w:rsid w:val="00F565FE"/>
    <w:rsid w:val="00F63A70"/>
    <w:rsid w:val="00F7534E"/>
    <w:rsid w:val="00F92E1F"/>
    <w:rsid w:val="00FA21D0"/>
    <w:rsid w:val="00FA5F5F"/>
    <w:rsid w:val="00FB730C"/>
    <w:rsid w:val="00FC2695"/>
    <w:rsid w:val="00FC3E03"/>
    <w:rsid w:val="00FC3FC1"/>
    <w:rsid w:val="00FE54F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B8CD87"/>
  <w15:docId w15:val="{2DCE920F-B0FB-4D95-8E85-34B01E61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E59EB"/>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E59EB"/>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DF2A9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902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53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image" Target="media/image3.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01F32-24A6-4802-B77C-9FA8FB83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3058</Words>
  <Characters>17432</Characters>
  <Application>Microsoft Office Word</Application>
  <DocSecurity>0</DocSecurity>
  <Lines>145</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Maria Francesca Milazzo</cp:lastModifiedBy>
  <cp:revision>3</cp:revision>
  <cp:lastPrinted>2015-05-12T18:31:00Z</cp:lastPrinted>
  <dcterms:created xsi:type="dcterms:W3CDTF">2022-04-04T22:21:00Z</dcterms:created>
  <dcterms:modified xsi:type="dcterms:W3CDTF">2022-04-04T23:03:00Z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