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76D60" w14:paraId="2A131A54" w14:textId="77777777" w:rsidTr="00DE264A">
        <w:trPr>
          <w:trHeight w:val="852"/>
          <w:jc w:val="center"/>
        </w:trPr>
        <w:tc>
          <w:tcPr>
            <w:tcW w:w="6946" w:type="dxa"/>
            <w:vMerge w:val="restart"/>
            <w:tcBorders>
              <w:right w:val="single" w:sz="4" w:space="0" w:color="auto"/>
            </w:tcBorders>
          </w:tcPr>
          <w:p w14:paraId="38C3D2BA" w14:textId="58DD1A11" w:rsidR="000A03B2" w:rsidRPr="00B76D60" w:rsidRDefault="000A03B2" w:rsidP="00DE264A">
            <w:pPr>
              <w:tabs>
                <w:tab w:val="left" w:pos="-108"/>
              </w:tabs>
              <w:ind w:left="-108"/>
              <w:jc w:val="left"/>
              <w:rPr>
                <w:rFonts w:cs="Arial"/>
                <w:b/>
                <w:bCs/>
                <w:i/>
                <w:iCs/>
                <w:color w:val="000066"/>
                <w:sz w:val="12"/>
                <w:szCs w:val="12"/>
                <w:lang w:val="en-US" w:eastAsia="it-IT"/>
              </w:rPr>
            </w:pPr>
            <w:r w:rsidRPr="00B76D60">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76D60">
              <w:rPr>
                <w:rFonts w:ascii="AdvP6960" w:hAnsi="AdvP6960" w:cs="AdvP6960"/>
                <w:color w:val="241F20"/>
                <w:szCs w:val="18"/>
                <w:lang w:val="en-US" w:eastAsia="it-IT"/>
              </w:rPr>
              <w:t xml:space="preserve"> </w:t>
            </w:r>
            <w:r w:rsidRPr="00B76D60">
              <w:rPr>
                <w:rFonts w:cs="Arial"/>
                <w:b/>
                <w:bCs/>
                <w:i/>
                <w:iCs/>
                <w:color w:val="000066"/>
                <w:sz w:val="24"/>
                <w:szCs w:val="24"/>
                <w:lang w:val="en-US" w:eastAsia="it-IT"/>
              </w:rPr>
              <w:t>CHEMICAL ENGINEERING</w:t>
            </w:r>
            <w:r w:rsidRPr="00B76D60">
              <w:rPr>
                <w:rFonts w:cs="Arial"/>
                <w:b/>
                <w:bCs/>
                <w:i/>
                <w:iCs/>
                <w:color w:val="0033FF"/>
                <w:sz w:val="24"/>
                <w:szCs w:val="24"/>
                <w:lang w:val="en-US" w:eastAsia="it-IT"/>
              </w:rPr>
              <w:t xml:space="preserve"> </w:t>
            </w:r>
            <w:r w:rsidRPr="00B76D60">
              <w:rPr>
                <w:rFonts w:cs="Arial"/>
                <w:b/>
                <w:bCs/>
                <w:i/>
                <w:iCs/>
                <w:color w:val="666666"/>
                <w:sz w:val="24"/>
                <w:szCs w:val="24"/>
                <w:lang w:val="en-US" w:eastAsia="it-IT"/>
              </w:rPr>
              <w:t>TRANSACTIONS</w:t>
            </w:r>
            <w:r w:rsidRPr="00B76D60">
              <w:rPr>
                <w:rFonts w:cs="Arial"/>
                <w:b/>
                <w:bCs/>
                <w:i/>
                <w:iCs/>
                <w:color w:val="000066"/>
                <w:sz w:val="27"/>
                <w:szCs w:val="27"/>
                <w:lang w:val="en-US" w:eastAsia="it-IT"/>
              </w:rPr>
              <w:br/>
            </w:r>
          </w:p>
          <w:p w14:paraId="4B780582" w14:textId="740002EE" w:rsidR="000A03B2" w:rsidRPr="00B76D60" w:rsidRDefault="00A76EFC" w:rsidP="00B57E6F">
            <w:pPr>
              <w:tabs>
                <w:tab w:val="left" w:pos="-108"/>
              </w:tabs>
              <w:ind w:left="-108"/>
              <w:rPr>
                <w:rFonts w:cs="Arial"/>
                <w:b/>
                <w:bCs/>
                <w:i/>
                <w:iCs/>
                <w:color w:val="000066"/>
                <w:sz w:val="22"/>
                <w:szCs w:val="22"/>
                <w:lang w:val="en-US" w:eastAsia="it-IT"/>
              </w:rPr>
            </w:pPr>
            <w:r w:rsidRPr="00B76D60">
              <w:rPr>
                <w:rFonts w:cs="Arial"/>
                <w:b/>
                <w:bCs/>
                <w:i/>
                <w:iCs/>
                <w:color w:val="000066"/>
                <w:sz w:val="22"/>
                <w:szCs w:val="22"/>
                <w:lang w:val="en-US" w:eastAsia="it-IT"/>
              </w:rPr>
              <w:t xml:space="preserve">VOL. </w:t>
            </w:r>
            <w:r w:rsidR="00D46B7E" w:rsidRPr="00B76D60">
              <w:rPr>
                <w:rFonts w:cs="Arial"/>
                <w:b/>
                <w:bCs/>
                <w:i/>
                <w:iCs/>
                <w:color w:val="000066"/>
                <w:sz w:val="22"/>
                <w:szCs w:val="22"/>
                <w:lang w:val="en-US" w:eastAsia="it-IT"/>
              </w:rPr>
              <w:t>9</w:t>
            </w:r>
            <w:r w:rsidR="00B57E6F" w:rsidRPr="00B76D60">
              <w:rPr>
                <w:rFonts w:cs="Arial"/>
                <w:b/>
                <w:bCs/>
                <w:i/>
                <w:iCs/>
                <w:color w:val="000066"/>
                <w:sz w:val="22"/>
                <w:szCs w:val="22"/>
                <w:lang w:val="en-US" w:eastAsia="it-IT"/>
              </w:rPr>
              <w:t>1</w:t>
            </w:r>
            <w:r w:rsidR="007B48F9" w:rsidRPr="00B76D60">
              <w:rPr>
                <w:rFonts w:cs="Arial"/>
                <w:b/>
                <w:bCs/>
                <w:i/>
                <w:iCs/>
                <w:color w:val="000066"/>
                <w:sz w:val="22"/>
                <w:szCs w:val="22"/>
                <w:lang w:val="en-US" w:eastAsia="it-IT"/>
              </w:rPr>
              <w:t>,</w:t>
            </w:r>
            <w:r w:rsidR="00FA5F5F" w:rsidRPr="00B76D60">
              <w:rPr>
                <w:rFonts w:cs="Arial"/>
                <w:b/>
                <w:bCs/>
                <w:i/>
                <w:iCs/>
                <w:color w:val="000066"/>
                <w:sz w:val="22"/>
                <w:szCs w:val="22"/>
                <w:lang w:val="en-US" w:eastAsia="it-IT"/>
              </w:rPr>
              <w:t xml:space="preserve"> 20</w:t>
            </w:r>
            <w:r w:rsidR="00DF5072" w:rsidRPr="00B76D60">
              <w:rPr>
                <w:rFonts w:cs="Arial"/>
                <w:b/>
                <w:bCs/>
                <w:i/>
                <w:iCs/>
                <w:color w:val="000066"/>
                <w:sz w:val="22"/>
                <w:szCs w:val="22"/>
                <w:lang w:val="en-US" w:eastAsia="it-IT"/>
              </w:rPr>
              <w:t>2</w:t>
            </w:r>
            <w:r w:rsidR="007B48F9" w:rsidRPr="00B76D60">
              <w:rPr>
                <w:rFonts w:cs="Arial"/>
                <w:b/>
                <w:bCs/>
                <w:i/>
                <w:iCs/>
                <w:color w:val="000066"/>
                <w:sz w:val="22"/>
                <w:szCs w:val="22"/>
                <w:lang w:val="en-US" w:eastAsia="it-IT"/>
              </w:rPr>
              <w:t>2</w:t>
            </w:r>
          </w:p>
        </w:tc>
        <w:tc>
          <w:tcPr>
            <w:tcW w:w="1843" w:type="dxa"/>
            <w:tcBorders>
              <w:left w:val="single" w:sz="4" w:space="0" w:color="auto"/>
              <w:bottom w:val="nil"/>
              <w:right w:val="single" w:sz="4" w:space="0" w:color="auto"/>
            </w:tcBorders>
          </w:tcPr>
          <w:p w14:paraId="56782132" w14:textId="77777777" w:rsidR="000A03B2" w:rsidRPr="00B76D60" w:rsidRDefault="000A03B2" w:rsidP="00CD5FE2">
            <w:pPr>
              <w:spacing w:line="140" w:lineRule="atLeast"/>
              <w:jc w:val="right"/>
              <w:rPr>
                <w:rFonts w:cs="Arial"/>
                <w:sz w:val="14"/>
                <w:szCs w:val="14"/>
                <w:lang w:val="en-US"/>
              </w:rPr>
            </w:pPr>
            <w:r w:rsidRPr="00B76D60">
              <w:rPr>
                <w:rFonts w:cs="Arial"/>
                <w:sz w:val="14"/>
                <w:szCs w:val="14"/>
                <w:lang w:val="en-US"/>
              </w:rPr>
              <w:t>A publication of</w:t>
            </w:r>
          </w:p>
          <w:p w14:paraId="599E5441" w14:textId="77777777" w:rsidR="000A03B2" w:rsidRPr="00B76D60" w:rsidRDefault="000A03B2" w:rsidP="00CD5FE2">
            <w:pPr>
              <w:jc w:val="right"/>
              <w:rPr>
                <w:lang w:val="en-US"/>
              </w:rPr>
            </w:pPr>
            <w:r w:rsidRPr="00B76D60">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76D60" w14:paraId="380FA3CD" w14:textId="77777777" w:rsidTr="00DE264A">
        <w:trPr>
          <w:trHeight w:val="567"/>
          <w:jc w:val="center"/>
        </w:trPr>
        <w:tc>
          <w:tcPr>
            <w:tcW w:w="6946" w:type="dxa"/>
            <w:vMerge/>
            <w:tcBorders>
              <w:right w:val="single" w:sz="4" w:space="0" w:color="auto"/>
            </w:tcBorders>
          </w:tcPr>
          <w:p w14:paraId="39E5E4C1" w14:textId="77777777" w:rsidR="000A03B2" w:rsidRPr="00B76D60" w:rsidRDefault="000A03B2" w:rsidP="00CD5FE2">
            <w:pPr>
              <w:tabs>
                <w:tab w:val="left" w:pos="-108"/>
              </w:tabs>
              <w:rPr>
                <w:lang w:val="en-US"/>
              </w:rPr>
            </w:pPr>
          </w:p>
        </w:tc>
        <w:tc>
          <w:tcPr>
            <w:tcW w:w="1843" w:type="dxa"/>
            <w:tcBorders>
              <w:left w:val="single" w:sz="4" w:space="0" w:color="auto"/>
              <w:bottom w:val="nil"/>
              <w:right w:val="single" w:sz="4" w:space="0" w:color="auto"/>
            </w:tcBorders>
          </w:tcPr>
          <w:p w14:paraId="43858A98" w14:textId="77777777" w:rsidR="000A03B2" w:rsidRPr="00B76D60" w:rsidRDefault="000A03B2" w:rsidP="00CD5FE2">
            <w:pPr>
              <w:spacing w:line="140" w:lineRule="atLeast"/>
              <w:jc w:val="right"/>
              <w:rPr>
                <w:rFonts w:cs="Arial"/>
                <w:sz w:val="14"/>
                <w:szCs w:val="14"/>
                <w:lang w:val="en-US"/>
              </w:rPr>
            </w:pPr>
            <w:r w:rsidRPr="00B76D60">
              <w:rPr>
                <w:rFonts w:cs="Arial"/>
                <w:sz w:val="14"/>
                <w:szCs w:val="14"/>
                <w:lang w:val="en-US"/>
              </w:rPr>
              <w:t>The Italian Association</w:t>
            </w:r>
          </w:p>
          <w:p w14:paraId="7522B1D2" w14:textId="77777777" w:rsidR="000A03B2" w:rsidRPr="00B76D60" w:rsidRDefault="000A03B2" w:rsidP="00CD5FE2">
            <w:pPr>
              <w:spacing w:line="140" w:lineRule="atLeast"/>
              <w:jc w:val="right"/>
              <w:rPr>
                <w:rFonts w:cs="Arial"/>
                <w:sz w:val="14"/>
                <w:szCs w:val="14"/>
                <w:lang w:val="en-US"/>
              </w:rPr>
            </w:pPr>
            <w:r w:rsidRPr="00B76D60">
              <w:rPr>
                <w:rFonts w:cs="Arial"/>
                <w:sz w:val="14"/>
                <w:szCs w:val="14"/>
                <w:lang w:val="en-US"/>
              </w:rPr>
              <w:t>of Chemical Engineering</w:t>
            </w:r>
          </w:p>
          <w:p w14:paraId="4F0CC5DE" w14:textId="47FDB2FC" w:rsidR="000A03B2" w:rsidRPr="00B76D60" w:rsidRDefault="000D0268" w:rsidP="00CD5FE2">
            <w:pPr>
              <w:spacing w:line="140" w:lineRule="atLeast"/>
              <w:jc w:val="right"/>
              <w:rPr>
                <w:rFonts w:cs="Arial"/>
                <w:sz w:val="13"/>
                <w:szCs w:val="13"/>
                <w:lang w:val="en-US"/>
              </w:rPr>
            </w:pPr>
            <w:r w:rsidRPr="00B76D60">
              <w:rPr>
                <w:rFonts w:cs="Arial"/>
                <w:sz w:val="13"/>
                <w:szCs w:val="13"/>
                <w:lang w:val="en-US"/>
              </w:rPr>
              <w:t>Online at www.cetjournal.it</w:t>
            </w:r>
          </w:p>
        </w:tc>
      </w:tr>
      <w:tr w:rsidR="000A03B2" w:rsidRPr="00B76D60" w14:paraId="2D1B7169" w14:textId="77777777" w:rsidTr="00DE264A">
        <w:trPr>
          <w:trHeight w:val="68"/>
          <w:jc w:val="center"/>
        </w:trPr>
        <w:tc>
          <w:tcPr>
            <w:tcW w:w="8789" w:type="dxa"/>
            <w:gridSpan w:val="2"/>
          </w:tcPr>
          <w:p w14:paraId="4B0BB442" w14:textId="4EADF2C2" w:rsidR="00300E56" w:rsidRPr="00B76D60" w:rsidRDefault="00300E56" w:rsidP="00B57E6F">
            <w:pPr>
              <w:ind w:left="-107"/>
              <w:outlineLvl w:val="2"/>
              <w:rPr>
                <w:rFonts w:ascii="Tahoma" w:hAnsi="Tahoma" w:cs="Tahoma"/>
                <w:bCs/>
                <w:color w:val="000000"/>
                <w:sz w:val="14"/>
                <w:szCs w:val="14"/>
                <w:lang w:val="it-IT" w:eastAsia="it-IT"/>
              </w:rPr>
            </w:pPr>
            <w:r w:rsidRPr="00B76D60">
              <w:rPr>
                <w:rFonts w:ascii="Tahoma" w:hAnsi="Tahoma" w:cs="Tahoma"/>
                <w:iCs/>
                <w:color w:val="333333"/>
                <w:sz w:val="14"/>
                <w:szCs w:val="14"/>
                <w:lang w:val="it-IT" w:eastAsia="it-IT"/>
              </w:rPr>
              <w:t>Guest Editors:</w:t>
            </w:r>
            <w:r w:rsidR="00904C62" w:rsidRPr="00B76D60">
              <w:rPr>
                <w:rFonts w:ascii="Tahoma" w:hAnsi="Tahoma" w:cs="Tahoma"/>
                <w:iCs/>
                <w:color w:val="333333"/>
                <w:sz w:val="14"/>
                <w:szCs w:val="14"/>
                <w:lang w:val="it-IT" w:eastAsia="it-IT"/>
              </w:rPr>
              <w:t xml:space="preserve"> </w:t>
            </w:r>
            <w:r w:rsidR="00B57E6F" w:rsidRPr="00B76D60">
              <w:rPr>
                <w:rFonts w:ascii="Tahoma" w:hAnsi="Tahoma" w:cs="Tahoma"/>
                <w:color w:val="000000"/>
                <w:sz w:val="14"/>
                <w:szCs w:val="14"/>
                <w:shd w:val="clear" w:color="auto" w:fill="FFFFFF"/>
                <w:lang w:val="it-IT"/>
              </w:rPr>
              <w:t xml:space="preserve">Valerio Cozzani, </w:t>
            </w:r>
            <w:r w:rsidR="001331DF" w:rsidRPr="00B76D60">
              <w:rPr>
                <w:rFonts w:ascii="Tahoma" w:hAnsi="Tahoma" w:cs="Tahoma"/>
                <w:color w:val="000000"/>
                <w:sz w:val="14"/>
                <w:szCs w:val="14"/>
                <w:shd w:val="clear" w:color="auto" w:fill="FFFFFF"/>
                <w:lang w:val="it-IT"/>
              </w:rPr>
              <w:t>Bruno Fabiano</w:t>
            </w:r>
            <w:r w:rsidR="00B57E6F" w:rsidRPr="00B76D60">
              <w:rPr>
                <w:rFonts w:ascii="Tahoma" w:hAnsi="Tahoma" w:cs="Tahoma"/>
                <w:color w:val="000000"/>
                <w:sz w:val="14"/>
                <w:szCs w:val="14"/>
                <w:shd w:val="clear" w:color="auto" w:fill="FFFFFF"/>
                <w:lang w:val="it-IT"/>
              </w:rPr>
              <w:t xml:space="preserve">, </w:t>
            </w:r>
            <w:r w:rsidR="00B57E6F" w:rsidRPr="00B76D60">
              <w:rPr>
                <w:rFonts w:ascii="Tahoma" w:hAnsi="Tahoma" w:cs="Tahoma"/>
                <w:bCs/>
                <w:color w:val="000000"/>
                <w:sz w:val="14"/>
                <w:szCs w:val="14"/>
                <w:lang w:val="it-IT" w:eastAsia="it-IT"/>
              </w:rPr>
              <w:t>Genserik Reniers</w:t>
            </w:r>
          </w:p>
          <w:p w14:paraId="1B0F1814" w14:textId="08709475" w:rsidR="000A03B2" w:rsidRPr="00B76D60" w:rsidRDefault="00FA5F5F" w:rsidP="00B57E6F">
            <w:pPr>
              <w:tabs>
                <w:tab w:val="left" w:pos="-108"/>
              </w:tabs>
              <w:spacing w:line="140" w:lineRule="atLeast"/>
              <w:ind w:left="-107"/>
              <w:jc w:val="left"/>
              <w:rPr>
                <w:lang w:val="en-US"/>
              </w:rPr>
            </w:pPr>
            <w:r w:rsidRPr="00B76D60">
              <w:rPr>
                <w:rFonts w:ascii="Tahoma" w:hAnsi="Tahoma" w:cs="Tahoma"/>
                <w:iCs/>
                <w:color w:val="333333"/>
                <w:sz w:val="14"/>
                <w:szCs w:val="14"/>
                <w:lang w:val="en-US" w:eastAsia="it-IT"/>
              </w:rPr>
              <w:t>Copyright © 20</w:t>
            </w:r>
            <w:r w:rsidR="00DF5072" w:rsidRPr="00B76D60">
              <w:rPr>
                <w:rFonts w:ascii="Tahoma" w:hAnsi="Tahoma" w:cs="Tahoma"/>
                <w:iCs/>
                <w:color w:val="333333"/>
                <w:sz w:val="14"/>
                <w:szCs w:val="14"/>
                <w:lang w:val="en-US" w:eastAsia="it-IT"/>
              </w:rPr>
              <w:t>2</w:t>
            </w:r>
            <w:r w:rsidR="00E72EAD" w:rsidRPr="00B76D60">
              <w:rPr>
                <w:rFonts w:ascii="Tahoma" w:hAnsi="Tahoma" w:cs="Tahoma"/>
                <w:iCs/>
                <w:color w:val="333333"/>
                <w:sz w:val="14"/>
                <w:szCs w:val="14"/>
                <w:lang w:val="en-US" w:eastAsia="it-IT"/>
              </w:rPr>
              <w:t>2</w:t>
            </w:r>
            <w:r w:rsidR="00904C62" w:rsidRPr="00B76D60">
              <w:rPr>
                <w:rFonts w:ascii="Tahoma" w:hAnsi="Tahoma" w:cs="Tahoma"/>
                <w:iCs/>
                <w:color w:val="333333"/>
                <w:sz w:val="14"/>
                <w:szCs w:val="14"/>
                <w:lang w:val="en-US" w:eastAsia="it-IT"/>
              </w:rPr>
              <w:t>, AIDIC Servizi S.r.l.</w:t>
            </w:r>
            <w:r w:rsidR="00300E56" w:rsidRPr="00B76D60">
              <w:rPr>
                <w:rFonts w:ascii="Tahoma" w:hAnsi="Tahoma" w:cs="Tahoma"/>
                <w:iCs/>
                <w:color w:val="333333"/>
                <w:sz w:val="14"/>
                <w:szCs w:val="14"/>
                <w:lang w:val="en-US" w:eastAsia="it-IT"/>
              </w:rPr>
              <w:br/>
            </w:r>
            <w:r w:rsidR="00300E56" w:rsidRPr="00B76D60">
              <w:rPr>
                <w:rFonts w:ascii="Tahoma" w:hAnsi="Tahoma" w:cs="Tahoma"/>
                <w:b/>
                <w:iCs/>
                <w:color w:val="000000"/>
                <w:sz w:val="14"/>
                <w:szCs w:val="14"/>
                <w:lang w:val="en-US" w:eastAsia="it-IT"/>
              </w:rPr>
              <w:t>ISBN</w:t>
            </w:r>
            <w:r w:rsidR="00300E56" w:rsidRPr="00B76D60">
              <w:rPr>
                <w:rFonts w:ascii="Tahoma" w:hAnsi="Tahoma" w:cs="Tahoma"/>
                <w:iCs/>
                <w:color w:val="000000"/>
                <w:sz w:val="14"/>
                <w:szCs w:val="14"/>
                <w:lang w:val="en-US" w:eastAsia="it-IT"/>
              </w:rPr>
              <w:t xml:space="preserve"> </w:t>
            </w:r>
            <w:r w:rsidR="008D32B9" w:rsidRPr="00B76D60">
              <w:rPr>
                <w:rFonts w:ascii="Tahoma" w:hAnsi="Tahoma" w:cs="Tahoma"/>
                <w:sz w:val="14"/>
                <w:szCs w:val="14"/>
                <w:lang w:val="en-US"/>
              </w:rPr>
              <w:t>978-88-95608</w:t>
            </w:r>
            <w:r w:rsidR="00D46B7E" w:rsidRPr="00B76D60">
              <w:rPr>
                <w:rFonts w:ascii="Tahoma" w:hAnsi="Tahoma" w:cs="Tahoma"/>
                <w:sz w:val="14"/>
                <w:szCs w:val="14"/>
                <w:lang w:val="en-US"/>
              </w:rPr>
              <w:t>-8</w:t>
            </w:r>
            <w:r w:rsidR="00B57E6F" w:rsidRPr="00B76D60">
              <w:rPr>
                <w:rFonts w:ascii="Tahoma" w:hAnsi="Tahoma" w:cs="Tahoma"/>
                <w:sz w:val="14"/>
                <w:szCs w:val="14"/>
                <w:lang w:val="en-US"/>
              </w:rPr>
              <w:t>9</w:t>
            </w:r>
            <w:r w:rsidR="00D46B7E" w:rsidRPr="00B76D60">
              <w:rPr>
                <w:rFonts w:ascii="Tahoma" w:hAnsi="Tahoma" w:cs="Tahoma"/>
                <w:sz w:val="14"/>
                <w:szCs w:val="14"/>
                <w:lang w:val="en-US"/>
              </w:rPr>
              <w:t>-</w:t>
            </w:r>
            <w:r w:rsidR="00B57E6F" w:rsidRPr="00B76D60">
              <w:rPr>
                <w:rFonts w:ascii="Tahoma" w:hAnsi="Tahoma" w:cs="Tahoma"/>
                <w:sz w:val="14"/>
                <w:szCs w:val="14"/>
                <w:lang w:val="en-US"/>
              </w:rPr>
              <w:t>1</w:t>
            </w:r>
            <w:r w:rsidR="007B48F9" w:rsidRPr="00B76D60">
              <w:rPr>
                <w:rFonts w:ascii="Tahoma" w:hAnsi="Tahoma" w:cs="Tahoma"/>
                <w:iCs/>
                <w:color w:val="333333"/>
                <w:sz w:val="14"/>
                <w:szCs w:val="14"/>
                <w:lang w:val="en-US" w:eastAsia="it-IT"/>
              </w:rPr>
              <w:t>;</w:t>
            </w:r>
            <w:r w:rsidR="00300E56" w:rsidRPr="00B76D60">
              <w:rPr>
                <w:rFonts w:ascii="Tahoma" w:hAnsi="Tahoma" w:cs="Tahoma"/>
                <w:iCs/>
                <w:color w:val="333333"/>
                <w:sz w:val="14"/>
                <w:szCs w:val="14"/>
                <w:lang w:val="en-US" w:eastAsia="it-IT"/>
              </w:rPr>
              <w:t xml:space="preserve"> </w:t>
            </w:r>
            <w:r w:rsidR="00300E56" w:rsidRPr="00B76D60">
              <w:rPr>
                <w:rFonts w:ascii="Tahoma" w:hAnsi="Tahoma" w:cs="Tahoma"/>
                <w:b/>
                <w:iCs/>
                <w:color w:val="333333"/>
                <w:sz w:val="14"/>
                <w:szCs w:val="14"/>
                <w:lang w:val="en-US" w:eastAsia="it-IT"/>
              </w:rPr>
              <w:t>ISSN</w:t>
            </w:r>
            <w:r w:rsidR="00300E56" w:rsidRPr="00B76D60">
              <w:rPr>
                <w:rFonts w:ascii="Tahoma" w:hAnsi="Tahoma" w:cs="Tahoma"/>
                <w:iCs/>
                <w:color w:val="333333"/>
                <w:sz w:val="14"/>
                <w:szCs w:val="14"/>
                <w:lang w:val="en-US" w:eastAsia="it-IT"/>
              </w:rPr>
              <w:t xml:space="preserve"> 2283-9216</w:t>
            </w:r>
          </w:p>
        </w:tc>
      </w:tr>
    </w:tbl>
    <w:p w14:paraId="10DAA130" w14:textId="77777777" w:rsidR="000A03B2" w:rsidRPr="00B76D60" w:rsidRDefault="000A03B2" w:rsidP="000A03B2">
      <w:pPr>
        <w:pStyle w:val="CETAuthors"/>
        <w:rPr>
          <w:lang w:val="en-US"/>
        </w:rPr>
        <w:sectPr w:rsidR="000A03B2" w:rsidRPr="00B76D60" w:rsidSect="00CD5FE2">
          <w:type w:val="continuous"/>
          <w:pgSz w:w="11906" w:h="16838" w:code="9"/>
          <w:pgMar w:top="1701" w:right="1418" w:bottom="1701" w:left="1701" w:header="1701" w:footer="0" w:gutter="0"/>
          <w:cols w:space="708"/>
          <w:titlePg/>
          <w:docGrid w:linePitch="360"/>
        </w:sectPr>
      </w:pPr>
    </w:p>
    <w:p w14:paraId="2E667253" w14:textId="67F4F7BC" w:rsidR="00E978D0" w:rsidRPr="00B76D60" w:rsidRDefault="00C66BA4" w:rsidP="00E978D0">
      <w:pPr>
        <w:pStyle w:val="CETTitle"/>
        <w:rPr>
          <w:lang w:val="en-US"/>
        </w:rPr>
      </w:pPr>
      <w:r w:rsidRPr="00B76D60">
        <w:rPr>
          <w:lang w:val="en-US"/>
        </w:rPr>
        <w:t>Sustainable Removal of Nitrates from Wastewater using Membrane Bioreactors</w:t>
      </w:r>
    </w:p>
    <w:p w14:paraId="0488FED2" w14:textId="373547E4" w:rsidR="00B57E6F" w:rsidRPr="00B76D60" w:rsidRDefault="00E20223" w:rsidP="00B57E6F">
      <w:pPr>
        <w:pStyle w:val="CETAuthors"/>
        <w:rPr>
          <w:lang w:val="it-IT"/>
        </w:rPr>
      </w:pPr>
      <w:r w:rsidRPr="00B76D60">
        <w:rPr>
          <w:lang w:val="it-IT"/>
        </w:rPr>
        <w:t>Loris Pietrelli</w:t>
      </w:r>
      <w:r w:rsidR="00B57E6F" w:rsidRPr="00B76D60">
        <w:rPr>
          <w:vertAlign w:val="superscript"/>
          <w:lang w:val="it-IT"/>
        </w:rPr>
        <w:t>a</w:t>
      </w:r>
      <w:r w:rsidR="00B57E6F" w:rsidRPr="00B76D60">
        <w:rPr>
          <w:lang w:val="it-IT"/>
        </w:rPr>
        <w:t xml:space="preserve">, </w:t>
      </w:r>
      <w:r w:rsidRPr="00B76D60">
        <w:rPr>
          <w:lang w:val="it-IT"/>
        </w:rPr>
        <w:t>Sergio Ferro</w:t>
      </w:r>
      <w:r w:rsidR="00B57E6F" w:rsidRPr="00B76D60">
        <w:rPr>
          <w:vertAlign w:val="superscript"/>
          <w:lang w:val="it-IT"/>
        </w:rPr>
        <w:t>b</w:t>
      </w:r>
      <w:r w:rsidR="00B57E6F" w:rsidRPr="00B76D60">
        <w:rPr>
          <w:lang w:val="it-IT"/>
        </w:rPr>
        <w:t xml:space="preserve">, </w:t>
      </w:r>
      <w:r w:rsidRPr="00B76D60">
        <w:rPr>
          <w:lang w:val="it-IT"/>
        </w:rPr>
        <w:t>Andrea P. Reverberi</w:t>
      </w:r>
      <w:r w:rsidRPr="00B76D60">
        <w:rPr>
          <w:vertAlign w:val="superscript"/>
          <w:lang w:val="it-IT"/>
        </w:rPr>
        <w:t>c</w:t>
      </w:r>
      <w:r w:rsidRPr="00B76D60">
        <w:rPr>
          <w:lang w:val="it-IT"/>
        </w:rPr>
        <w:t>, Marco Vocciante</w:t>
      </w:r>
      <w:r w:rsidRPr="00B76D60">
        <w:rPr>
          <w:vertAlign w:val="superscript"/>
          <w:lang w:val="it-IT"/>
        </w:rPr>
        <w:t>c,</w:t>
      </w:r>
      <w:r w:rsidRPr="00B76D60">
        <w:rPr>
          <w:lang w:val="it-IT"/>
        </w:rPr>
        <w:t>*</w:t>
      </w:r>
    </w:p>
    <w:p w14:paraId="1A32C5E7" w14:textId="77777777" w:rsidR="00E20223" w:rsidRPr="00B76D60" w:rsidRDefault="00B57E6F" w:rsidP="00B57E6F">
      <w:pPr>
        <w:pStyle w:val="CETAddress"/>
        <w:rPr>
          <w:lang w:val="it-IT"/>
        </w:rPr>
      </w:pPr>
      <w:r w:rsidRPr="00B76D60">
        <w:rPr>
          <w:vertAlign w:val="superscript"/>
          <w:lang w:val="it-IT"/>
        </w:rPr>
        <w:t>a</w:t>
      </w:r>
      <w:r w:rsidR="004B3AA8" w:rsidRPr="00B76D60">
        <w:rPr>
          <w:lang w:val="it-IT"/>
        </w:rPr>
        <w:t>Dipartimento di Chimica, Università di Roma La Sapienza, Piazzale Aldo Moro, 5, 00185 Roma, Italy</w:t>
      </w:r>
    </w:p>
    <w:p w14:paraId="6B2D21B3" w14:textId="0AC641CD" w:rsidR="00B57E6F" w:rsidRPr="00B76D60" w:rsidRDefault="00E20223" w:rsidP="00B57E6F">
      <w:pPr>
        <w:pStyle w:val="CETAddress"/>
        <w:rPr>
          <w:lang w:val="en-US"/>
        </w:rPr>
      </w:pPr>
      <w:r w:rsidRPr="00B76D60">
        <w:rPr>
          <w:vertAlign w:val="superscript"/>
          <w:lang w:val="en-US"/>
        </w:rPr>
        <w:t>b</w:t>
      </w:r>
      <w:r w:rsidR="00664A66" w:rsidRPr="00B76D60">
        <w:rPr>
          <w:lang w:val="en-US"/>
        </w:rPr>
        <w:t xml:space="preserve">Ecas4 Australia Pty Ltd, </w:t>
      </w:r>
      <w:r w:rsidR="00A87660" w:rsidRPr="00B76D60">
        <w:rPr>
          <w:lang w:val="en-US"/>
        </w:rPr>
        <w:t xml:space="preserve">8/1 London Road, </w:t>
      </w:r>
      <w:r w:rsidR="00664A66" w:rsidRPr="00B76D60">
        <w:rPr>
          <w:lang w:val="en-US"/>
        </w:rPr>
        <w:t xml:space="preserve">Mile End South, </w:t>
      </w:r>
      <w:r w:rsidR="002A6095" w:rsidRPr="00B76D60">
        <w:rPr>
          <w:lang w:val="en-US"/>
        </w:rPr>
        <w:t>SA</w:t>
      </w:r>
      <w:r w:rsidR="00B57E6F" w:rsidRPr="00B76D60">
        <w:rPr>
          <w:lang w:val="en-US"/>
        </w:rPr>
        <w:t xml:space="preserve"> </w:t>
      </w:r>
      <w:r w:rsidR="00664A66" w:rsidRPr="00B76D60">
        <w:rPr>
          <w:lang w:val="en-US"/>
        </w:rPr>
        <w:t>5031, Australia</w:t>
      </w:r>
    </w:p>
    <w:p w14:paraId="3D72B0B0" w14:textId="72D6FE15" w:rsidR="00B57E6F" w:rsidRPr="00B76D60" w:rsidRDefault="00E20223" w:rsidP="00B57E6F">
      <w:pPr>
        <w:pStyle w:val="CETAddress"/>
        <w:rPr>
          <w:lang w:val="it-IT"/>
        </w:rPr>
      </w:pPr>
      <w:r w:rsidRPr="00B76D60">
        <w:rPr>
          <w:vertAlign w:val="superscript"/>
          <w:lang w:val="it-IT"/>
        </w:rPr>
        <w:t>c</w:t>
      </w:r>
      <w:r w:rsidR="004B3AA8" w:rsidRPr="00B76D60">
        <w:rPr>
          <w:lang w:val="it-IT"/>
        </w:rPr>
        <w:t>DCCI, Dipartimento di Chimica e Chimica Industriale, Università degli Studi di Genova, Via Dodecaneso 31, 16145 Genova, Italy</w:t>
      </w:r>
    </w:p>
    <w:p w14:paraId="73F1267A" w14:textId="353DF0D1" w:rsidR="00B57E6F" w:rsidRPr="00B76D60" w:rsidRDefault="004B3AA8" w:rsidP="00B57E6F">
      <w:pPr>
        <w:pStyle w:val="CETemail"/>
        <w:rPr>
          <w:lang w:val="en-US"/>
        </w:rPr>
      </w:pPr>
      <w:r w:rsidRPr="00B76D60">
        <w:rPr>
          <w:lang w:val="en-US"/>
        </w:rPr>
        <w:t>marco.vocciante</w:t>
      </w:r>
      <w:r w:rsidR="00B57E6F" w:rsidRPr="00B76D60">
        <w:rPr>
          <w:lang w:val="en-US"/>
        </w:rPr>
        <w:t>@</w:t>
      </w:r>
      <w:r w:rsidRPr="00B76D60">
        <w:rPr>
          <w:lang w:val="en-US"/>
        </w:rPr>
        <w:t>unige</w:t>
      </w:r>
      <w:r w:rsidR="00B57E6F" w:rsidRPr="00B76D60">
        <w:rPr>
          <w:lang w:val="en-US"/>
        </w:rPr>
        <w:t>.</w:t>
      </w:r>
      <w:r w:rsidRPr="00B76D60">
        <w:rPr>
          <w:lang w:val="en-US"/>
        </w:rPr>
        <w:t>it</w:t>
      </w:r>
    </w:p>
    <w:p w14:paraId="6B879BC0" w14:textId="2405302E" w:rsidR="00C27200" w:rsidRPr="00B76D60" w:rsidRDefault="00C27200" w:rsidP="00C27200">
      <w:pPr>
        <w:pStyle w:val="CETBodytext"/>
      </w:pPr>
      <w:bookmarkStart w:id="0" w:name="_Hlk495475023"/>
      <w:r w:rsidRPr="00B76D60">
        <w:t xml:space="preserve">The presence of nitrogen compounds in surface and groundwater </w:t>
      </w:r>
      <w:r w:rsidR="0085395A" w:rsidRPr="00B76D60">
        <w:t>is</w:t>
      </w:r>
      <w:r w:rsidRPr="00B76D60">
        <w:t xml:space="preserve"> a serious concern. T</w:t>
      </w:r>
      <w:r w:rsidR="0085395A" w:rsidRPr="00B76D60">
        <w:t>he t</w:t>
      </w:r>
      <w:r w:rsidRPr="00B76D60">
        <w:t>reatment technologies currently used</w:t>
      </w:r>
      <w:r w:rsidR="0085395A" w:rsidRPr="00B76D60">
        <w:t>,</w:t>
      </w:r>
      <w:r w:rsidRPr="00B76D60">
        <w:t xml:space="preserve"> </w:t>
      </w:r>
      <w:r w:rsidR="0085395A" w:rsidRPr="00B76D60">
        <w:t xml:space="preserve">based </w:t>
      </w:r>
      <w:r w:rsidRPr="00B76D60">
        <w:t xml:space="preserve">mainly on membrane and ion exchange processes, </w:t>
      </w:r>
      <w:r w:rsidR="0085395A" w:rsidRPr="00B76D60">
        <w:t>are</w:t>
      </w:r>
      <w:r w:rsidRPr="00B76D60">
        <w:t xml:space="preserve"> expensive</w:t>
      </w:r>
      <w:r w:rsidR="0085395A" w:rsidRPr="00B76D60">
        <w:t>,</w:t>
      </w:r>
      <w:r w:rsidRPr="00B76D60">
        <w:t xml:space="preserve"> </w:t>
      </w:r>
      <w:r w:rsidR="0085395A" w:rsidRPr="00B76D60">
        <w:t xml:space="preserve">complex </w:t>
      </w:r>
      <w:r w:rsidRPr="00B76D60">
        <w:t xml:space="preserve">and above all not very selective. </w:t>
      </w:r>
      <w:r w:rsidR="00F12917" w:rsidRPr="00B76D60">
        <w:t>On the other hand, b</w:t>
      </w:r>
      <w:r w:rsidR="0085395A" w:rsidRPr="00B76D60">
        <w:t xml:space="preserve">iological processes </w:t>
      </w:r>
      <w:r w:rsidRPr="00B76D60">
        <w:t xml:space="preserve">are very efficient and selective towards nitrate, but </w:t>
      </w:r>
      <w:r w:rsidR="00F12917" w:rsidRPr="00B76D60">
        <w:t xml:space="preserve">the phases following denitrification, in which the treated water is separated from the biomass (potentially harmful to public health), are </w:t>
      </w:r>
      <w:r w:rsidRPr="00B76D60">
        <w:t>still very expensive.</w:t>
      </w:r>
    </w:p>
    <w:p w14:paraId="04B319EE" w14:textId="2ECB89E4" w:rsidR="00600535" w:rsidRPr="00B76D60" w:rsidRDefault="00C27200" w:rsidP="00C27200">
      <w:pPr>
        <w:pStyle w:val="CETBodytext"/>
      </w:pPr>
      <w:r w:rsidRPr="00B76D60">
        <w:t xml:space="preserve">In </w:t>
      </w:r>
      <w:r w:rsidR="002A6095" w:rsidRPr="00B76D60">
        <w:t>this work</w:t>
      </w:r>
      <w:r w:rsidRPr="00B76D60">
        <w:t xml:space="preserve">, an original solution is proposed </w:t>
      </w:r>
      <w:r w:rsidR="00F12917" w:rsidRPr="00B76D60">
        <w:t>that</w:t>
      </w:r>
      <w:r w:rsidRPr="00B76D60">
        <w:t xml:space="preserve"> combines biological treatment with the use of membranes </w:t>
      </w:r>
      <w:r w:rsidR="005813F2" w:rsidRPr="00B76D60">
        <w:t>to</w:t>
      </w:r>
      <w:r w:rsidRPr="00B76D60">
        <w:t xml:space="preserve"> keep the water to be treated separate from bacterial cultures, </w:t>
      </w:r>
      <w:r w:rsidR="000B335B" w:rsidRPr="00B76D60">
        <w:t xml:space="preserve">thus </w:t>
      </w:r>
      <w:r w:rsidRPr="00B76D60">
        <w:t xml:space="preserve">limiting or eliminating the subsequent disinfection stages. </w:t>
      </w:r>
      <w:r w:rsidR="000B335B" w:rsidRPr="00B76D60">
        <w:t>As a result</w:t>
      </w:r>
      <w:r w:rsidRPr="00B76D60">
        <w:t xml:space="preserve">, efficiencies of up to 98% </w:t>
      </w:r>
      <w:r w:rsidR="000B335B" w:rsidRPr="00B76D60">
        <w:t>ar</w:t>
      </w:r>
      <w:r w:rsidRPr="00B76D60">
        <w:t xml:space="preserve">e achieved depending on operating conditions, while keeping costs </w:t>
      </w:r>
      <w:r w:rsidR="000B335B" w:rsidRPr="00B76D60">
        <w:t>low</w:t>
      </w:r>
      <w:r w:rsidRPr="00B76D60">
        <w:t>.</w:t>
      </w:r>
    </w:p>
    <w:bookmarkEnd w:id="0"/>
    <w:p w14:paraId="476B2F2E" w14:textId="77777777" w:rsidR="00600535" w:rsidRPr="00B76D60" w:rsidRDefault="00600535" w:rsidP="00600535">
      <w:pPr>
        <w:pStyle w:val="CETHeading1"/>
      </w:pPr>
      <w:r w:rsidRPr="00B76D60">
        <w:t>Introduction</w:t>
      </w:r>
    </w:p>
    <w:p w14:paraId="4258BB0E" w14:textId="20BAF545" w:rsidR="00C41D51" w:rsidRPr="00B76D60" w:rsidRDefault="007C246D" w:rsidP="00901B77">
      <w:pPr>
        <w:pStyle w:val="CETBodytext"/>
        <w:rPr>
          <w:szCs w:val="18"/>
        </w:rPr>
      </w:pPr>
      <w:r w:rsidRPr="00B76D60">
        <w:rPr>
          <w:szCs w:val="18"/>
        </w:rPr>
        <w:t>Contamination of groundwater with nitrates is becoming a serious problem in drinking water consumption.</w:t>
      </w:r>
    </w:p>
    <w:p w14:paraId="73D2E036" w14:textId="49483BE6" w:rsidR="000B0E55" w:rsidRPr="00B76D60" w:rsidRDefault="00632DAF" w:rsidP="00901B77">
      <w:pPr>
        <w:pStyle w:val="CETBodytext"/>
        <w:rPr>
          <w:szCs w:val="18"/>
        </w:rPr>
      </w:pPr>
      <w:r w:rsidRPr="00B76D60">
        <w:rPr>
          <w:szCs w:val="18"/>
          <w:lang w:val="en"/>
        </w:rPr>
        <w:t xml:space="preserve">Among the numerous </w:t>
      </w:r>
      <w:r w:rsidR="002D3F5C" w:rsidRPr="00B76D60">
        <w:rPr>
          <w:szCs w:val="18"/>
          <w:lang w:val="en"/>
        </w:rPr>
        <w:t>anthropogenic activities</w:t>
      </w:r>
      <w:r w:rsidR="00B210D6" w:rsidRPr="00B76D60">
        <w:rPr>
          <w:szCs w:val="18"/>
          <w:lang w:val="en"/>
        </w:rPr>
        <w:t>,</w:t>
      </w:r>
      <w:r w:rsidR="002D3F5C" w:rsidRPr="00B76D60">
        <w:rPr>
          <w:szCs w:val="18"/>
          <w:lang w:val="en"/>
        </w:rPr>
        <w:t xml:space="preserve"> </w:t>
      </w:r>
      <w:r w:rsidRPr="00B76D60">
        <w:rPr>
          <w:szCs w:val="18"/>
          <w:lang w:val="en"/>
        </w:rPr>
        <w:t xml:space="preserve">possible sources of pollution, the </w:t>
      </w:r>
      <w:r w:rsidR="00B210D6" w:rsidRPr="00B76D60">
        <w:rPr>
          <w:szCs w:val="18"/>
          <w:lang w:val="en"/>
        </w:rPr>
        <w:t>most freque</w:t>
      </w:r>
      <w:r w:rsidR="00513E57" w:rsidRPr="00B76D60">
        <w:rPr>
          <w:szCs w:val="18"/>
          <w:lang w:val="en"/>
        </w:rPr>
        <w:t>n</w:t>
      </w:r>
      <w:r w:rsidR="00B210D6" w:rsidRPr="00B76D60">
        <w:rPr>
          <w:szCs w:val="18"/>
          <w:lang w:val="en"/>
        </w:rPr>
        <w:t xml:space="preserve">t </w:t>
      </w:r>
      <w:r w:rsidRPr="00B76D60">
        <w:rPr>
          <w:szCs w:val="18"/>
          <w:lang w:val="en"/>
        </w:rPr>
        <w:t>ca</w:t>
      </w:r>
      <w:r w:rsidR="00513E57" w:rsidRPr="00B76D60">
        <w:rPr>
          <w:szCs w:val="18"/>
          <w:lang w:val="en"/>
        </w:rPr>
        <w:t>u</w:t>
      </w:r>
      <w:r w:rsidRPr="00B76D60">
        <w:rPr>
          <w:szCs w:val="18"/>
          <w:lang w:val="en"/>
        </w:rPr>
        <w:t xml:space="preserve">se of nitrate </w:t>
      </w:r>
      <w:r w:rsidR="00513E57" w:rsidRPr="00B76D60">
        <w:rPr>
          <w:szCs w:val="18"/>
          <w:lang w:val="en"/>
        </w:rPr>
        <w:t>contamination is</w:t>
      </w:r>
      <w:r w:rsidRPr="00B76D60">
        <w:rPr>
          <w:szCs w:val="18"/>
          <w:lang w:val="en"/>
        </w:rPr>
        <w:t xml:space="preserve"> probably to be </w:t>
      </w:r>
      <w:r w:rsidR="00513E57" w:rsidRPr="00B76D60">
        <w:rPr>
          <w:szCs w:val="18"/>
          <w:lang w:val="en"/>
        </w:rPr>
        <w:t>identified</w:t>
      </w:r>
      <w:r w:rsidRPr="00B76D60">
        <w:rPr>
          <w:szCs w:val="18"/>
          <w:lang w:val="en"/>
        </w:rPr>
        <w:t xml:space="preserve"> in the agricultural practices adopted. </w:t>
      </w:r>
      <w:r w:rsidR="005820FB" w:rsidRPr="00B76D60">
        <w:rPr>
          <w:szCs w:val="18"/>
        </w:rPr>
        <w:t xml:space="preserve">Nitric nitrogen is the form absorbed by plants, </w:t>
      </w:r>
      <w:r w:rsidR="005D51C9" w:rsidRPr="00B76D60">
        <w:rPr>
          <w:szCs w:val="18"/>
        </w:rPr>
        <w:t>so</w:t>
      </w:r>
      <w:r w:rsidR="005820FB" w:rsidRPr="00B76D60">
        <w:rPr>
          <w:szCs w:val="18"/>
        </w:rPr>
        <w:t xml:space="preserve"> its</w:t>
      </w:r>
      <w:r w:rsidR="003F3B69" w:rsidRPr="00B76D60">
        <w:rPr>
          <w:szCs w:val="18"/>
        </w:rPr>
        <w:t xml:space="preserve"> presence in irrigation waters </w:t>
      </w:r>
      <w:r w:rsidR="00513E57" w:rsidRPr="00B76D60">
        <w:rPr>
          <w:szCs w:val="18"/>
        </w:rPr>
        <w:t>is</w:t>
      </w:r>
      <w:r w:rsidR="005820FB" w:rsidRPr="00B76D60">
        <w:rPr>
          <w:szCs w:val="18"/>
        </w:rPr>
        <w:t xml:space="preserve"> </w:t>
      </w:r>
      <w:r w:rsidR="005D51C9" w:rsidRPr="00B76D60">
        <w:rPr>
          <w:szCs w:val="18"/>
        </w:rPr>
        <w:t>beneficial</w:t>
      </w:r>
      <w:r w:rsidR="00513E57" w:rsidRPr="00B76D60">
        <w:rPr>
          <w:szCs w:val="18"/>
        </w:rPr>
        <w:t>; however,</w:t>
      </w:r>
      <w:r w:rsidR="005820FB" w:rsidRPr="00B76D60">
        <w:rPr>
          <w:szCs w:val="18"/>
        </w:rPr>
        <w:t xml:space="preserve"> </w:t>
      </w:r>
      <w:r w:rsidR="003F3B69" w:rsidRPr="00B76D60">
        <w:rPr>
          <w:szCs w:val="18"/>
          <w:lang w:val="en"/>
        </w:rPr>
        <w:t xml:space="preserve">nitrates are </w:t>
      </w:r>
      <w:r w:rsidR="003F3B69" w:rsidRPr="00B76D60">
        <w:rPr>
          <w:szCs w:val="18"/>
        </w:rPr>
        <w:t xml:space="preserve">not retained by the colloids of the soil and end up reaching the deep layers of the soil, and </w:t>
      </w:r>
      <w:r w:rsidR="005D51C9" w:rsidRPr="00B76D60">
        <w:rPr>
          <w:szCs w:val="18"/>
        </w:rPr>
        <w:t>hence</w:t>
      </w:r>
      <w:r w:rsidR="003F3B69" w:rsidRPr="00B76D60">
        <w:rPr>
          <w:szCs w:val="18"/>
        </w:rPr>
        <w:t xml:space="preserve"> the aquifers, rivers and lakes. </w:t>
      </w:r>
      <w:r w:rsidR="00513E57" w:rsidRPr="00B76D60">
        <w:rPr>
          <w:szCs w:val="18"/>
        </w:rPr>
        <w:t>As a result</w:t>
      </w:r>
      <w:r w:rsidR="000B0E55" w:rsidRPr="00B76D60">
        <w:rPr>
          <w:szCs w:val="18"/>
        </w:rPr>
        <w:t xml:space="preserve">, the concentration of nitrates in most groundwater reserves is increasing and it seems inevitable that </w:t>
      </w:r>
      <w:r w:rsidR="004300B3" w:rsidRPr="00B76D60">
        <w:rPr>
          <w:szCs w:val="18"/>
        </w:rPr>
        <w:t xml:space="preserve">intense anthropogenic activity will further aggravate </w:t>
      </w:r>
      <w:r w:rsidR="000B0E55" w:rsidRPr="00B76D60">
        <w:rPr>
          <w:szCs w:val="18"/>
        </w:rPr>
        <w:t>the problem (Bouchard et al.,1992),</w:t>
      </w:r>
      <w:r w:rsidR="000B0E55" w:rsidRPr="00B76D60">
        <w:rPr>
          <w:rFonts w:ascii="Times New Roman" w:eastAsiaTheme="minorEastAsia" w:hAnsi="Times New Roman"/>
          <w:szCs w:val="18"/>
          <w:lang w:eastAsia="it-IT"/>
        </w:rPr>
        <w:t xml:space="preserve"> </w:t>
      </w:r>
      <w:r w:rsidR="000B0E55" w:rsidRPr="00B76D60">
        <w:rPr>
          <w:szCs w:val="18"/>
          <w:lang w:val="en-GB"/>
        </w:rPr>
        <w:t xml:space="preserve">with consequent </w:t>
      </w:r>
      <w:r w:rsidR="004300B3" w:rsidRPr="00B76D60">
        <w:rPr>
          <w:szCs w:val="18"/>
          <w:lang w:val="en-GB"/>
        </w:rPr>
        <w:t>damaging</w:t>
      </w:r>
      <w:r w:rsidR="000B0E55" w:rsidRPr="00B76D60">
        <w:rPr>
          <w:szCs w:val="18"/>
          <w:lang w:val="en-GB"/>
        </w:rPr>
        <w:t xml:space="preserve"> effects </w:t>
      </w:r>
      <w:r w:rsidR="004300B3" w:rsidRPr="00B76D60">
        <w:rPr>
          <w:szCs w:val="18"/>
          <w:lang w:val="en-GB"/>
        </w:rPr>
        <w:t>on</w:t>
      </w:r>
      <w:r w:rsidR="000B0E55" w:rsidRPr="00B76D60">
        <w:rPr>
          <w:szCs w:val="18"/>
          <w:lang w:val="en-GB"/>
        </w:rPr>
        <w:t xml:space="preserve"> water bodies (Ferro, 2012)</w:t>
      </w:r>
      <w:r w:rsidR="000B0E55" w:rsidRPr="00B76D60">
        <w:rPr>
          <w:szCs w:val="18"/>
        </w:rPr>
        <w:t>.</w:t>
      </w:r>
    </w:p>
    <w:p w14:paraId="78CC5E91" w14:textId="6F462D09" w:rsidR="00833404" w:rsidRPr="00B76D60" w:rsidRDefault="00EF7DD7" w:rsidP="00901B77">
      <w:pPr>
        <w:pStyle w:val="CETBodytext"/>
        <w:rPr>
          <w:szCs w:val="18"/>
        </w:rPr>
      </w:pPr>
      <w:r w:rsidRPr="00B76D60">
        <w:rPr>
          <w:szCs w:val="18"/>
          <w:lang w:val="en-GB"/>
        </w:rPr>
        <w:t>Both c</w:t>
      </w:r>
      <w:r w:rsidR="00A2628C" w:rsidRPr="00B76D60">
        <w:rPr>
          <w:szCs w:val="18"/>
          <w:lang w:val="en-GB"/>
        </w:rPr>
        <w:t xml:space="preserve">hanges in chemical conditions </w:t>
      </w:r>
      <w:r w:rsidRPr="00B76D60">
        <w:rPr>
          <w:szCs w:val="18"/>
          <w:lang w:val="en-GB"/>
        </w:rPr>
        <w:t>and</w:t>
      </w:r>
      <w:r w:rsidR="00A2628C" w:rsidRPr="00B76D60">
        <w:rPr>
          <w:szCs w:val="18"/>
          <w:lang w:val="en-GB"/>
        </w:rPr>
        <w:t xml:space="preserve"> biological processes </w:t>
      </w:r>
      <w:r w:rsidR="001B0D08" w:rsidRPr="00B76D60">
        <w:rPr>
          <w:szCs w:val="18"/>
          <w:lang w:val="en-GB"/>
        </w:rPr>
        <w:t>can</w:t>
      </w:r>
      <w:r w:rsidR="00A2628C" w:rsidRPr="00B76D60">
        <w:rPr>
          <w:szCs w:val="18"/>
          <w:lang w:val="en-GB"/>
        </w:rPr>
        <w:t xml:space="preserve"> lead to </w:t>
      </w:r>
      <w:r w:rsidR="000B0E55" w:rsidRPr="00B76D60">
        <w:rPr>
          <w:szCs w:val="18"/>
          <w:lang w:val="en-GB"/>
        </w:rPr>
        <w:t xml:space="preserve">the </w:t>
      </w:r>
      <w:r w:rsidR="00A2628C" w:rsidRPr="00B76D60">
        <w:rPr>
          <w:szCs w:val="18"/>
          <w:lang w:val="en-GB"/>
        </w:rPr>
        <w:t xml:space="preserve">conversion </w:t>
      </w:r>
      <w:r w:rsidR="000B0E55" w:rsidRPr="00B76D60">
        <w:rPr>
          <w:szCs w:val="18"/>
          <w:lang w:val="en-GB"/>
        </w:rPr>
        <w:t xml:space="preserve">of nitrates </w:t>
      </w:r>
      <w:r w:rsidR="00A2628C" w:rsidRPr="00B76D60">
        <w:rPr>
          <w:szCs w:val="18"/>
          <w:lang w:val="en-GB"/>
        </w:rPr>
        <w:t xml:space="preserve">into other compounds. </w:t>
      </w:r>
      <w:r w:rsidR="00C41D51" w:rsidRPr="00B76D60">
        <w:rPr>
          <w:szCs w:val="18"/>
        </w:rPr>
        <w:t>When</w:t>
      </w:r>
      <w:r w:rsidR="00EF55C7" w:rsidRPr="00B76D60">
        <w:rPr>
          <w:szCs w:val="18"/>
        </w:rPr>
        <w:t xml:space="preserve"> found</w:t>
      </w:r>
      <w:r w:rsidR="00C41D51" w:rsidRPr="00B76D60">
        <w:rPr>
          <w:szCs w:val="18"/>
        </w:rPr>
        <w:t xml:space="preserve"> i</w:t>
      </w:r>
      <w:r w:rsidR="00240648" w:rsidRPr="00B76D60">
        <w:rPr>
          <w:szCs w:val="18"/>
        </w:rPr>
        <w:t xml:space="preserve">n surface and groundwater, </w:t>
      </w:r>
      <w:r w:rsidR="00EF55C7" w:rsidRPr="00B76D60">
        <w:rPr>
          <w:szCs w:val="18"/>
        </w:rPr>
        <w:t>nitrates</w:t>
      </w:r>
      <w:r w:rsidR="00240648" w:rsidRPr="00B76D60">
        <w:rPr>
          <w:szCs w:val="18"/>
        </w:rPr>
        <w:t xml:space="preserve"> are converted into ammonia and its salts</w:t>
      </w:r>
      <w:r w:rsidR="00A2628C" w:rsidRPr="00B76D60">
        <w:rPr>
          <w:szCs w:val="18"/>
        </w:rPr>
        <w:t>, which are</w:t>
      </w:r>
      <w:r w:rsidR="007C246D" w:rsidRPr="00B76D60">
        <w:rPr>
          <w:szCs w:val="18"/>
          <w:lang w:val="en-GB"/>
        </w:rPr>
        <w:t xml:space="preserve"> toxic </w:t>
      </w:r>
      <w:r w:rsidR="00EF55C7" w:rsidRPr="00B76D60">
        <w:rPr>
          <w:szCs w:val="18"/>
          <w:lang w:val="en-GB"/>
        </w:rPr>
        <w:t>to</w:t>
      </w:r>
      <w:r w:rsidR="007C246D" w:rsidRPr="00B76D60">
        <w:rPr>
          <w:szCs w:val="18"/>
          <w:lang w:val="en-GB"/>
        </w:rPr>
        <w:t xml:space="preserve"> fish (Randall and Tsui, 2002) and </w:t>
      </w:r>
      <w:r w:rsidR="00EF55C7" w:rsidRPr="00B76D60">
        <w:rPr>
          <w:szCs w:val="18"/>
          <w:lang w:val="en-GB"/>
        </w:rPr>
        <w:t>a</w:t>
      </w:r>
      <w:r w:rsidR="007C246D" w:rsidRPr="00B76D60">
        <w:rPr>
          <w:szCs w:val="18"/>
          <w:lang w:val="en-GB"/>
        </w:rPr>
        <w:t xml:space="preserve"> </w:t>
      </w:r>
      <w:r w:rsidR="00EF55C7" w:rsidRPr="00B76D60">
        <w:rPr>
          <w:szCs w:val="18"/>
          <w:lang w:val="en-GB"/>
        </w:rPr>
        <w:t>major</w:t>
      </w:r>
      <w:r w:rsidR="007C246D" w:rsidRPr="00B76D60">
        <w:rPr>
          <w:szCs w:val="18"/>
          <w:lang w:val="en-GB"/>
        </w:rPr>
        <w:t xml:space="preserve"> cause of eutrophication (Smith et al., 1999).</w:t>
      </w:r>
    </w:p>
    <w:p w14:paraId="4E856A90" w14:textId="723AB11F" w:rsidR="0035334B" w:rsidRPr="00B76D60" w:rsidRDefault="00E95750" w:rsidP="00901B77">
      <w:pPr>
        <w:pStyle w:val="CETBodytext"/>
        <w:rPr>
          <w:szCs w:val="18"/>
        </w:rPr>
      </w:pPr>
      <w:r w:rsidRPr="00B76D60">
        <w:rPr>
          <w:szCs w:val="18"/>
        </w:rPr>
        <w:t xml:space="preserve">Water </w:t>
      </w:r>
      <w:r w:rsidR="00E43B76" w:rsidRPr="00B76D60">
        <w:rPr>
          <w:rStyle w:val="jlqj4b"/>
          <w:szCs w:val="18"/>
          <w:lang w:val="en"/>
        </w:rPr>
        <w:t xml:space="preserve">containing </w:t>
      </w:r>
      <w:r w:rsidRPr="00B76D60">
        <w:rPr>
          <w:szCs w:val="18"/>
        </w:rPr>
        <w:t>nitrate</w:t>
      </w:r>
      <w:r w:rsidR="005D51C9" w:rsidRPr="00B76D60">
        <w:rPr>
          <w:szCs w:val="18"/>
        </w:rPr>
        <w:t>s</w:t>
      </w:r>
      <w:r w:rsidRPr="00B76D60">
        <w:rPr>
          <w:szCs w:val="18"/>
        </w:rPr>
        <w:t xml:space="preserve"> </w:t>
      </w:r>
      <w:r w:rsidR="00901B77" w:rsidRPr="00B76D60">
        <w:rPr>
          <w:szCs w:val="18"/>
        </w:rPr>
        <w:t xml:space="preserve">has negative effects on human health, </w:t>
      </w:r>
      <w:r w:rsidRPr="00B76D60">
        <w:rPr>
          <w:szCs w:val="18"/>
        </w:rPr>
        <w:t>as</w:t>
      </w:r>
      <w:r w:rsidR="00901B77" w:rsidRPr="00B76D60">
        <w:rPr>
          <w:szCs w:val="18"/>
        </w:rPr>
        <w:t xml:space="preserve"> </w:t>
      </w:r>
      <w:r w:rsidR="00BE4D7E" w:rsidRPr="00B76D60">
        <w:rPr>
          <w:szCs w:val="18"/>
        </w:rPr>
        <w:t xml:space="preserve">bacteria in the gastrointestinal tract convert </w:t>
      </w:r>
      <w:r w:rsidR="00901B77" w:rsidRPr="00B76D60">
        <w:rPr>
          <w:szCs w:val="18"/>
        </w:rPr>
        <w:t>nitrate</w:t>
      </w:r>
      <w:r w:rsidR="00BE4D7E" w:rsidRPr="00B76D60">
        <w:rPr>
          <w:szCs w:val="18"/>
        </w:rPr>
        <w:t>s</w:t>
      </w:r>
      <w:r w:rsidR="00901B77" w:rsidRPr="00B76D60">
        <w:rPr>
          <w:szCs w:val="18"/>
        </w:rPr>
        <w:t xml:space="preserve"> </w:t>
      </w:r>
      <w:r w:rsidR="00BE4D7E" w:rsidRPr="00B76D60">
        <w:rPr>
          <w:szCs w:val="18"/>
        </w:rPr>
        <w:t>in</w:t>
      </w:r>
      <w:r w:rsidR="00901B77" w:rsidRPr="00B76D60">
        <w:rPr>
          <w:szCs w:val="18"/>
        </w:rPr>
        <w:t>to nitrite</w:t>
      </w:r>
      <w:r w:rsidR="00BE4D7E" w:rsidRPr="00B76D60">
        <w:rPr>
          <w:szCs w:val="18"/>
        </w:rPr>
        <w:t>s, which are</w:t>
      </w:r>
      <w:r w:rsidR="00901B77" w:rsidRPr="00B76D60">
        <w:rPr>
          <w:szCs w:val="18"/>
        </w:rPr>
        <w:t xml:space="preserve"> the cause of methemoglobinemia</w:t>
      </w:r>
      <w:r w:rsidR="00EF7DD7" w:rsidRPr="00B76D60">
        <w:rPr>
          <w:szCs w:val="18"/>
        </w:rPr>
        <w:t>,</w:t>
      </w:r>
      <w:r w:rsidR="00901B77" w:rsidRPr="00B76D60">
        <w:rPr>
          <w:szCs w:val="18"/>
        </w:rPr>
        <w:t xml:space="preserve"> or “blue baby” syndrome, and </w:t>
      </w:r>
      <w:r w:rsidR="00BE4D7E" w:rsidRPr="00B76D60">
        <w:rPr>
          <w:szCs w:val="18"/>
        </w:rPr>
        <w:t>a</w:t>
      </w:r>
      <w:r w:rsidR="00901B77" w:rsidRPr="00B76D60">
        <w:rPr>
          <w:szCs w:val="18"/>
        </w:rPr>
        <w:t xml:space="preserve"> potential cause of both gastric cancer and </w:t>
      </w:r>
      <w:r w:rsidR="00BE4D7E" w:rsidRPr="00B76D60">
        <w:rPr>
          <w:rStyle w:val="jlqj4b"/>
          <w:szCs w:val="18"/>
        </w:rPr>
        <w:t xml:space="preserve">miscarriages </w:t>
      </w:r>
      <w:r w:rsidR="00901B77" w:rsidRPr="00B76D60">
        <w:rPr>
          <w:szCs w:val="18"/>
        </w:rPr>
        <w:t>(Lee et al.,1995).</w:t>
      </w:r>
      <w:r w:rsidR="00B60F91" w:rsidRPr="00B76D60">
        <w:rPr>
          <w:szCs w:val="18"/>
        </w:rPr>
        <w:t xml:space="preserve"> </w:t>
      </w:r>
      <w:r w:rsidR="0033494E" w:rsidRPr="00B76D60">
        <w:rPr>
          <w:szCs w:val="18"/>
          <w:lang w:val="en-GB"/>
        </w:rPr>
        <w:t>Further</w:t>
      </w:r>
      <w:r w:rsidR="00B60F91" w:rsidRPr="00B76D60">
        <w:rPr>
          <w:szCs w:val="18"/>
          <w:lang w:val="en-GB"/>
        </w:rPr>
        <w:t xml:space="preserve"> possible consequences of </w:t>
      </w:r>
      <w:r w:rsidR="00FD7F67" w:rsidRPr="00B76D60">
        <w:rPr>
          <w:szCs w:val="18"/>
          <w:lang w:val="en-GB"/>
        </w:rPr>
        <w:t xml:space="preserve">nitrates </w:t>
      </w:r>
      <w:r w:rsidR="00B60F91" w:rsidRPr="00B76D60">
        <w:rPr>
          <w:szCs w:val="18"/>
          <w:lang w:val="en-GB"/>
        </w:rPr>
        <w:t>presence include the formation of carcinogenic compounds such as nitrosamines (Nawrocki and Andrzejewski, 2011)</w:t>
      </w:r>
      <w:r w:rsidR="0033494E" w:rsidRPr="00B76D60">
        <w:rPr>
          <w:szCs w:val="18"/>
          <w:lang w:val="en-GB"/>
        </w:rPr>
        <w:t>.</w:t>
      </w:r>
    </w:p>
    <w:p w14:paraId="1585C7D7" w14:textId="3356683A" w:rsidR="00901B77" w:rsidRPr="00B76D60" w:rsidRDefault="00085671" w:rsidP="00901B77">
      <w:pPr>
        <w:pStyle w:val="CETBodytext"/>
      </w:pPr>
      <w:r w:rsidRPr="00B76D60">
        <w:rPr>
          <w:szCs w:val="18"/>
          <w:lang w:val="en-GB"/>
        </w:rPr>
        <w:t>Among the</w:t>
      </w:r>
      <w:r w:rsidR="002D3F5C" w:rsidRPr="00B76D60">
        <w:rPr>
          <w:szCs w:val="18"/>
          <w:lang w:val="en-GB"/>
        </w:rPr>
        <w:t xml:space="preserve"> variety of approaches available</w:t>
      </w:r>
      <w:r w:rsidRPr="00B76D60">
        <w:rPr>
          <w:szCs w:val="18"/>
          <w:lang w:val="en-GB"/>
        </w:rPr>
        <w:t xml:space="preserve">, </w:t>
      </w:r>
      <w:r w:rsidRPr="00B76D60">
        <w:rPr>
          <w:szCs w:val="18"/>
        </w:rPr>
        <w:t>t</w:t>
      </w:r>
      <w:r w:rsidR="00E43B76" w:rsidRPr="00B76D60">
        <w:rPr>
          <w:szCs w:val="18"/>
        </w:rPr>
        <w:t xml:space="preserve">he problem of removing nitrates from water can be </w:t>
      </w:r>
      <w:r w:rsidR="00EF7DD7" w:rsidRPr="00B76D60">
        <w:rPr>
          <w:szCs w:val="18"/>
        </w:rPr>
        <w:t>addressed</w:t>
      </w:r>
      <w:r w:rsidR="00E43B76" w:rsidRPr="00B76D60">
        <w:rPr>
          <w:szCs w:val="18"/>
        </w:rPr>
        <w:t xml:space="preserve"> </w:t>
      </w:r>
      <w:r w:rsidR="00EF7DD7" w:rsidRPr="00B76D60">
        <w:rPr>
          <w:szCs w:val="18"/>
        </w:rPr>
        <w:t>by</w:t>
      </w:r>
      <w:r w:rsidR="00E43B76" w:rsidRPr="00B76D60">
        <w:rPr>
          <w:szCs w:val="18"/>
        </w:rPr>
        <w:t xml:space="preserve"> physicochemical methods, or biological processes</w:t>
      </w:r>
      <w:r w:rsidR="00901B77" w:rsidRPr="00B76D60">
        <w:rPr>
          <w:szCs w:val="18"/>
        </w:rPr>
        <w:t>.</w:t>
      </w:r>
      <w:r w:rsidR="002D3F5C" w:rsidRPr="00B76D60">
        <w:rPr>
          <w:szCs w:val="18"/>
        </w:rPr>
        <w:t xml:space="preserve"> </w:t>
      </w:r>
      <w:r w:rsidR="00571AF2" w:rsidRPr="00B76D60">
        <w:t>In particular, t</w:t>
      </w:r>
      <w:r w:rsidR="006F03B2" w:rsidRPr="00B76D60">
        <w:t xml:space="preserve">he biological reduction of nitrates to nitrogen is a process that occurs spontaneously in nature, and which can be usefully exploited; </w:t>
      </w:r>
      <w:r w:rsidR="00482BC6" w:rsidRPr="00B76D60">
        <w:t xml:space="preserve">however, </w:t>
      </w:r>
      <w:r w:rsidR="006F03B2" w:rsidRPr="00B76D60">
        <w:t xml:space="preserve">the reaction involves several steps </w:t>
      </w:r>
      <w:r w:rsidR="00901B77" w:rsidRPr="00B76D60">
        <w:t>(NO</w:t>
      </w:r>
      <w:r w:rsidR="00901B77" w:rsidRPr="00B76D60">
        <w:rPr>
          <w:vertAlign w:val="subscript"/>
        </w:rPr>
        <w:t>3</w:t>
      </w:r>
      <w:r w:rsidR="00C56CA1" w:rsidRPr="00B76D60">
        <w:rPr>
          <w:vertAlign w:val="superscript"/>
        </w:rPr>
        <w:t>-</w:t>
      </w:r>
      <w:r w:rsidR="00910FFE" w:rsidRPr="00B76D60">
        <w:t xml:space="preserve"> </w:t>
      </w:r>
      <w:r w:rsidR="00901B77" w:rsidRPr="00B76D60">
        <w:sym w:font="Symbol" w:char="F0AE"/>
      </w:r>
      <w:r w:rsidR="00910FFE" w:rsidRPr="00B76D60">
        <w:t xml:space="preserve"> </w:t>
      </w:r>
      <w:r w:rsidR="00901B77" w:rsidRPr="00B76D60">
        <w:t>NO</w:t>
      </w:r>
      <w:r w:rsidR="00901B77" w:rsidRPr="00B76D60">
        <w:rPr>
          <w:vertAlign w:val="subscript"/>
        </w:rPr>
        <w:t>2</w:t>
      </w:r>
      <w:r w:rsidR="00C56CA1" w:rsidRPr="00B76D60">
        <w:rPr>
          <w:vertAlign w:val="superscript"/>
        </w:rPr>
        <w:t>-</w:t>
      </w:r>
      <w:r w:rsidR="00901B77" w:rsidRPr="00B76D60">
        <w:t xml:space="preserve"> </w:t>
      </w:r>
      <w:r w:rsidR="00901B77" w:rsidRPr="00B76D60">
        <w:sym w:font="Symbol" w:char="F0AE"/>
      </w:r>
      <w:r w:rsidR="00910FFE" w:rsidRPr="00B76D60">
        <w:t xml:space="preserve"> </w:t>
      </w:r>
      <w:r w:rsidR="00901B77" w:rsidRPr="00B76D60">
        <w:t>NO</w:t>
      </w:r>
      <w:r w:rsidR="00910FFE" w:rsidRPr="00B76D60">
        <w:t xml:space="preserve"> </w:t>
      </w:r>
      <w:r w:rsidR="00901B77" w:rsidRPr="00B76D60">
        <w:sym w:font="Symbol" w:char="F0AE"/>
      </w:r>
      <w:r w:rsidR="00901B77" w:rsidRPr="00B76D60">
        <w:t xml:space="preserve"> N</w:t>
      </w:r>
      <w:r w:rsidR="00901B77" w:rsidRPr="00B76D60">
        <w:rPr>
          <w:vertAlign w:val="subscript"/>
        </w:rPr>
        <w:t>2</w:t>
      </w:r>
      <w:r w:rsidR="00901B77" w:rsidRPr="00B76D60">
        <w:t xml:space="preserve">O </w:t>
      </w:r>
      <w:r w:rsidR="00901B77" w:rsidRPr="00B76D60">
        <w:sym w:font="Symbol" w:char="F0AE"/>
      </w:r>
      <w:r w:rsidR="00910FFE" w:rsidRPr="00B76D60">
        <w:t xml:space="preserve"> </w:t>
      </w:r>
      <w:r w:rsidR="00901B77" w:rsidRPr="00B76D60">
        <w:t>N</w:t>
      </w:r>
      <w:r w:rsidR="00901B77" w:rsidRPr="00B76D60">
        <w:rPr>
          <w:vertAlign w:val="subscript"/>
        </w:rPr>
        <w:t>2</w:t>
      </w:r>
      <w:r w:rsidR="00901B77" w:rsidRPr="00B76D60">
        <w:t xml:space="preserve">) </w:t>
      </w:r>
      <w:r w:rsidR="006F03B2" w:rsidRPr="00B76D60">
        <w:t>and unfortunately most bacteria can only perform one or two of these</w:t>
      </w:r>
      <w:r w:rsidR="00901B77" w:rsidRPr="00B76D60">
        <w:t xml:space="preserve">. </w:t>
      </w:r>
      <w:r w:rsidR="006B632B" w:rsidRPr="00B76D60">
        <w:t xml:space="preserve">Therefore, the denitrifying microflora is actually made up of a group of complementary microorganisms capable of converting </w:t>
      </w:r>
      <w:r w:rsidR="00901B77" w:rsidRPr="00B76D60">
        <w:t>NO</w:t>
      </w:r>
      <w:r w:rsidR="00901B77" w:rsidRPr="00B76D60">
        <w:rPr>
          <w:vertAlign w:val="subscript"/>
        </w:rPr>
        <w:t>3</w:t>
      </w:r>
      <w:r w:rsidR="00EF7DD7" w:rsidRPr="00B76D60">
        <w:rPr>
          <w:vertAlign w:val="superscript"/>
        </w:rPr>
        <w:t>-</w:t>
      </w:r>
      <w:r w:rsidR="00901B77" w:rsidRPr="00B76D60">
        <w:t xml:space="preserve"> to N</w:t>
      </w:r>
      <w:r w:rsidR="00901B77" w:rsidRPr="00B76D60">
        <w:rPr>
          <w:vertAlign w:val="subscript"/>
        </w:rPr>
        <w:t>2</w:t>
      </w:r>
      <w:r w:rsidR="00901B77" w:rsidRPr="00B76D60">
        <w:t xml:space="preserve"> in its entirety. Most denitrifying bacteria </w:t>
      </w:r>
      <w:r w:rsidR="00F1384F" w:rsidRPr="00B76D60">
        <w:t>can</w:t>
      </w:r>
      <w:r w:rsidR="00901B77" w:rsidRPr="00B76D60">
        <w:t xml:space="preserve"> u</w:t>
      </w:r>
      <w:r w:rsidR="005750EB" w:rsidRPr="00B76D60">
        <w:t>s</w:t>
      </w:r>
      <w:r w:rsidR="00901B77" w:rsidRPr="00B76D60">
        <w:t>e a wide range of carbon compounds (sugar</w:t>
      </w:r>
      <w:r w:rsidR="005A5DBB" w:rsidRPr="00B76D60">
        <w:t>s</w:t>
      </w:r>
      <w:r w:rsidR="00901B77" w:rsidRPr="00B76D60">
        <w:t xml:space="preserve">, organic acids, amino acids) as </w:t>
      </w:r>
      <w:r w:rsidR="006B632B" w:rsidRPr="00B76D60">
        <w:t xml:space="preserve">a source of </w:t>
      </w:r>
      <w:r w:rsidR="005750EB" w:rsidRPr="00B76D60">
        <w:t>electron</w:t>
      </w:r>
      <w:r w:rsidR="006B632B" w:rsidRPr="00B76D60">
        <w:t>s</w:t>
      </w:r>
      <w:r w:rsidR="00D718F7" w:rsidRPr="00B76D60">
        <w:t xml:space="preserve">, </w:t>
      </w:r>
      <w:r w:rsidR="00BB6049" w:rsidRPr="00B76D60">
        <w:t xml:space="preserve">but </w:t>
      </w:r>
      <w:r w:rsidR="00F1384F" w:rsidRPr="00B76D60">
        <w:t xml:space="preserve">bacterial </w:t>
      </w:r>
      <w:r w:rsidR="00BB6049" w:rsidRPr="00B76D60">
        <w:t xml:space="preserve">activity is </w:t>
      </w:r>
      <w:r w:rsidR="00BB6049" w:rsidRPr="00B76D60">
        <w:lastRenderedPageBreak/>
        <w:t>affected by the type of organic substance act</w:t>
      </w:r>
      <w:r w:rsidR="00F1384F" w:rsidRPr="00B76D60">
        <w:t>ing</w:t>
      </w:r>
      <w:r w:rsidR="00BB6049" w:rsidRPr="00B76D60">
        <w:t xml:space="preserve"> as </w:t>
      </w:r>
      <w:r w:rsidR="00F1384F" w:rsidRPr="00B76D60">
        <w:t xml:space="preserve">a </w:t>
      </w:r>
      <w:r w:rsidR="00BB6049" w:rsidRPr="00B76D60">
        <w:rPr>
          <w:rStyle w:val="jlqj4b"/>
          <w:lang w:val="en"/>
        </w:rPr>
        <w:t>reducing agent</w:t>
      </w:r>
      <w:r w:rsidR="00901B77" w:rsidRPr="00B76D60">
        <w:t xml:space="preserve">. </w:t>
      </w:r>
      <w:r w:rsidR="005A5DBB" w:rsidRPr="00B76D60">
        <w:t xml:space="preserve">Taking glucose </w:t>
      </w:r>
      <w:r w:rsidR="00E6385E" w:rsidRPr="00B76D60">
        <w:t xml:space="preserve">and ethanol </w:t>
      </w:r>
      <w:r w:rsidR="005A5DBB" w:rsidRPr="00B76D60">
        <w:t>as carbon source</w:t>
      </w:r>
      <w:r w:rsidR="00E6385E" w:rsidRPr="00B76D60">
        <w:t>s</w:t>
      </w:r>
      <w:r w:rsidR="005A5DBB" w:rsidRPr="00B76D60">
        <w:t xml:space="preserve">, the </w:t>
      </w:r>
      <w:r w:rsidR="001A3654" w:rsidRPr="00B76D60">
        <w:t xml:space="preserve">corresponding </w:t>
      </w:r>
      <w:r w:rsidR="005A5DBB" w:rsidRPr="00B76D60">
        <w:t>biological denitrification reaction</w:t>
      </w:r>
      <w:r w:rsidR="00E6385E" w:rsidRPr="00B76D60">
        <w:t>s</w:t>
      </w:r>
      <w:r w:rsidR="005A5DBB" w:rsidRPr="00B76D60">
        <w:t xml:space="preserve"> can be written as follows</w:t>
      </w:r>
      <w:r w:rsidR="00901B77" w:rsidRPr="00B76D60">
        <w:t>:</w:t>
      </w:r>
    </w:p>
    <w:p w14:paraId="5EF7ED29" w14:textId="615A4B4F" w:rsidR="00DE6AD1" w:rsidRPr="00B76D60" w:rsidRDefault="0097409A" w:rsidP="00DE6AD1">
      <w:pPr>
        <w:pStyle w:val="CETBodytext"/>
        <w:rPr>
          <w:lang w:val="pl-PL"/>
        </w:rPr>
      </w:pPr>
      <w:r w:rsidRPr="00B76D60">
        <w:rPr>
          <w:lang w:val="pl-PL"/>
        </w:rPr>
        <w:t xml:space="preserve">5 </w:t>
      </w:r>
      <w:r w:rsidR="00DE6AD1" w:rsidRPr="00B76D60">
        <w:rPr>
          <w:lang w:val="pl-PL"/>
        </w:rPr>
        <w:t>C</w:t>
      </w:r>
      <w:r w:rsidR="00DE6AD1" w:rsidRPr="00B76D60">
        <w:rPr>
          <w:vertAlign w:val="subscript"/>
          <w:lang w:val="pl-PL"/>
        </w:rPr>
        <w:t>6</w:t>
      </w:r>
      <w:r w:rsidR="00DE6AD1" w:rsidRPr="00B76D60">
        <w:rPr>
          <w:lang w:val="pl-PL"/>
        </w:rPr>
        <w:t>H</w:t>
      </w:r>
      <w:r w:rsidR="00DE6AD1" w:rsidRPr="00B76D60">
        <w:rPr>
          <w:vertAlign w:val="subscript"/>
          <w:lang w:val="pl-PL"/>
        </w:rPr>
        <w:t>12</w:t>
      </w:r>
      <w:r w:rsidR="00DE6AD1" w:rsidRPr="00B76D60">
        <w:rPr>
          <w:lang w:val="pl-PL"/>
        </w:rPr>
        <w:t>O</w:t>
      </w:r>
      <w:r w:rsidR="00DE6AD1" w:rsidRPr="00B76D60">
        <w:rPr>
          <w:vertAlign w:val="subscript"/>
          <w:lang w:val="pl-PL"/>
        </w:rPr>
        <w:t>6</w:t>
      </w:r>
      <w:r w:rsidR="00DE6AD1" w:rsidRPr="00B76D60">
        <w:rPr>
          <w:lang w:val="pl-PL"/>
        </w:rPr>
        <w:t xml:space="preserve"> + </w:t>
      </w:r>
      <w:r w:rsidRPr="00B76D60">
        <w:rPr>
          <w:lang w:val="pl-PL"/>
        </w:rPr>
        <w:t>24</w:t>
      </w:r>
      <w:r w:rsidR="00DE6AD1" w:rsidRPr="00B76D60">
        <w:rPr>
          <w:lang w:val="pl-PL"/>
        </w:rPr>
        <w:t xml:space="preserve"> NO</w:t>
      </w:r>
      <w:r w:rsidR="00DE6AD1" w:rsidRPr="00B76D60">
        <w:rPr>
          <w:vertAlign w:val="subscript"/>
          <w:lang w:val="pl-PL"/>
        </w:rPr>
        <w:t>3</w:t>
      </w:r>
      <w:r w:rsidR="00DE6AD1" w:rsidRPr="00B76D60">
        <w:rPr>
          <w:vertAlign w:val="superscript"/>
          <w:lang w:val="pl-PL"/>
        </w:rPr>
        <w:t>-</w:t>
      </w:r>
      <w:r w:rsidR="00DE6AD1" w:rsidRPr="00B76D60">
        <w:rPr>
          <w:lang w:val="pl-PL"/>
        </w:rPr>
        <w:t xml:space="preserve"> </w:t>
      </w:r>
      <w:r w:rsidR="00E6385E" w:rsidRPr="00B76D60">
        <w:rPr>
          <w:lang w:val="pl-PL"/>
        </w:rPr>
        <w:t>+</w:t>
      </w:r>
      <w:r w:rsidRPr="00B76D60">
        <w:rPr>
          <w:lang w:val="pl-PL"/>
        </w:rPr>
        <w:t xml:space="preserve"> 2</w:t>
      </w:r>
      <w:r w:rsidR="00E6385E" w:rsidRPr="00B76D60">
        <w:rPr>
          <w:lang w:val="pl-PL"/>
        </w:rPr>
        <w:t>4 H</w:t>
      </w:r>
      <w:r w:rsidR="00E6385E" w:rsidRPr="00B76D60">
        <w:rPr>
          <w:vertAlign w:val="superscript"/>
          <w:lang w:val="pl-PL"/>
        </w:rPr>
        <w:t>+</w:t>
      </w:r>
      <w:r w:rsidR="00E6385E" w:rsidRPr="00B76D60">
        <w:rPr>
          <w:lang w:val="pl-PL"/>
        </w:rPr>
        <w:t xml:space="preserve"> </w:t>
      </w:r>
      <w:r w:rsidR="00DE6AD1" w:rsidRPr="00B76D60">
        <w:sym w:font="Symbol" w:char="F0AE"/>
      </w:r>
      <w:r w:rsidR="00DE6AD1" w:rsidRPr="00B76D60">
        <w:rPr>
          <w:lang w:val="pl-PL"/>
        </w:rPr>
        <w:t xml:space="preserve"> </w:t>
      </w:r>
      <w:r w:rsidRPr="00B76D60">
        <w:rPr>
          <w:lang w:val="pl-PL"/>
        </w:rPr>
        <w:t>30</w:t>
      </w:r>
      <w:r w:rsidR="00011144" w:rsidRPr="00B76D60">
        <w:rPr>
          <w:lang w:val="pl-PL"/>
        </w:rPr>
        <w:t xml:space="preserve"> </w:t>
      </w:r>
      <w:r w:rsidR="00DE6AD1" w:rsidRPr="00B76D60">
        <w:rPr>
          <w:lang w:val="pl-PL"/>
        </w:rPr>
        <w:t>CO</w:t>
      </w:r>
      <w:r w:rsidR="00DE6AD1" w:rsidRPr="00B76D60">
        <w:rPr>
          <w:vertAlign w:val="subscript"/>
          <w:lang w:val="pl-PL"/>
        </w:rPr>
        <w:t>2</w:t>
      </w:r>
      <w:r w:rsidR="00DE6AD1" w:rsidRPr="00B76D60">
        <w:rPr>
          <w:lang w:val="pl-PL"/>
        </w:rPr>
        <w:t xml:space="preserve"> + </w:t>
      </w:r>
      <w:r w:rsidRPr="00B76D60">
        <w:rPr>
          <w:lang w:val="pl-PL"/>
        </w:rPr>
        <w:t>42</w:t>
      </w:r>
      <w:r w:rsidR="00DE6AD1" w:rsidRPr="00B76D60">
        <w:rPr>
          <w:lang w:val="pl-PL"/>
        </w:rPr>
        <w:t xml:space="preserve"> H</w:t>
      </w:r>
      <w:r w:rsidR="00DE6AD1" w:rsidRPr="00B76D60">
        <w:rPr>
          <w:vertAlign w:val="subscript"/>
          <w:lang w:val="pl-PL"/>
        </w:rPr>
        <w:t>2</w:t>
      </w:r>
      <w:r w:rsidR="00DE6AD1" w:rsidRPr="00B76D60">
        <w:rPr>
          <w:lang w:val="pl-PL"/>
        </w:rPr>
        <w:t xml:space="preserve">O + </w:t>
      </w:r>
      <w:r w:rsidRPr="00B76D60">
        <w:rPr>
          <w:lang w:val="pl-PL"/>
        </w:rPr>
        <w:t>12</w:t>
      </w:r>
      <w:r w:rsidR="00DE6AD1" w:rsidRPr="00B76D60">
        <w:rPr>
          <w:lang w:val="pl-PL"/>
        </w:rPr>
        <w:t xml:space="preserve"> N</w:t>
      </w:r>
      <w:r w:rsidR="00DE6AD1" w:rsidRPr="00B76D60">
        <w:rPr>
          <w:vertAlign w:val="subscript"/>
          <w:lang w:val="pl-PL"/>
        </w:rPr>
        <w:t>2</w:t>
      </w:r>
    </w:p>
    <w:p w14:paraId="4F522542" w14:textId="4EACE973" w:rsidR="00C30076" w:rsidRPr="00B76D60" w:rsidRDefault="005E6F82" w:rsidP="00C30076">
      <w:pPr>
        <w:pStyle w:val="CETBodytext"/>
        <w:rPr>
          <w:lang w:val="pl-PL"/>
        </w:rPr>
      </w:pPr>
      <w:r w:rsidRPr="00B76D60">
        <w:rPr>
          <w:lang w:val="pl-PL"/>
        </w:rPr>
        <w:t xml:space="preserve">5 </w:t>
      </w:r>
      <w:r w:rsidR="00C30076" w:rsidRPr="00B76D60">
        <w:rPr>
          <w:lang w:val="pl-PL"/>
        </w:rPr>
        <w:t>C</w:t>
      </w:r>
      <w:r w:rsidR="003A219C" w:rsidRPr="00B76D60">
        <w:rPr>
          <w:lang w:val="pl-PL"/>
        </w:rPr>
        <w:t>H</w:t>
      </w:r>
      <w:r w:rsidR="003A219C" w:rsidRPr="00B76D60">
        <w:rPr>
          <w:vertAlign w:val="subscript"/>
          <w:lang w:val="pl-PL"/>
        </w:rPr>
        <w:t>3</w:t>
      </w:r>
      <w:r w:rsidR="003A219C" w:rsidRPr="00B76D60">
        <w:rPr>
          <w:lang w:val="pl-PL"/>
        </w:rPr>
        <w:t>C</w:t>
      </w:r>
      <w:r w:rsidR="00C30076" w:rsidRPr="00B76D60">
        <w:rPr>
          <w:lang w:val="pl-PL"/>
        </w:rPr>
        <w:t>H</w:t>
      </w:r>
      <w:r w:rsidR="003A219C" w:rsidRPr="00B76D60">
        <w:rPr>
          <w:vertAlign w:val="subscript"/>
          <w:lang w:val="pl-PL"/>
        </w:rPr>
        <w:t>2</w:t>
      </w:r>
      <w:r w:rsidR="00C30076" w:rsidRPr="00B76D60">
        <w:rPr>
          <w:lang w:val="pl-PL"/>
        </w:rPr>
        <w:t>O</w:t>
      </w:r>
      <w:r w:rsidR="003A219C" w:rsidRPr="00B76D60">
        <w:rPr>
          <w:lang w:val="pl-PL"/>
        </w:rPr>
        <w:t>H</w:t>
      </w:r>
      <w:r w:rsidR="00C30076" w:rsidRPr="00B76D60">
        <w:rPr>
          <w:lang w:val="pl-PL"/>
        </w:rPr>
        <w:t xml:space="preserve"> + </w:t>
      </w:r>
      <w:r w:rsidRPr="00B76D60">
        <w:rPr>
          <w:lang w:val="pl-PL"/>
        </w:rPr>
        <w:t>1</w:t>
      </w:r>
      <w:r w:rsidR="00E6385E" w:rsidRPr="00B76D60">
        <w:rPr>
          <w:lang w:val="pl-PL"/>
        </w:rPr>
        <w:t>2</w:t>
      </w:r>
      <w:r w:rsidR="00C30076" w:rsidRPr="00B76D60">
        <w:rPr>
          <w:lang w:val="pl-PL"/>
        </w:rPr>
        <w:t xml:space="preserve"> NO</w:t>
      </w:r>
      <w:r w:rsidR="00C30076" w:rsidRPr="00B76D60">
        <w:rPr>
          <w:vertAlign w:val="subscript"/>
          <w:lang w:val="pl-PL"/>
        </w:rPr>
        <w:t>3</w:t>
      </w:r>
      <w:r w:rsidR="00C30076" w:rsidRPr="00B76D60">
        <w:rPr>
          <w:vertAlign w:val="superscript"/>
          <w:lang w:val="pl-PL"/>
        </w:rPr>
        <w:t>-</w:t>
      </w:r>
      <w:r w:rsidR="00C30076" w:rsidRPr="00B76D60">
        <w:rPr>
          <w:lang w:val="pl-PL"/>
        </w:rPr>
        <w:t xml:space="preserve"> </w:t>
      </w:r>
      <w:r w:rsidRPr="00B76D60">
        <w:rPr>
          <w:lang w:val="pl-PL"/>
        </w:rPr>
        <w:t xml:space="preserve">+ </w:t>
      </w:r>
      <w:r w:rsidR="00E6385E" w:rsidRPr="00B76D60">
        <w:rPr>
          <w:lang w:val="pl-PL"/>
        </w:rPr>
        <w:t xml:space="preserve">12 </w:t>
      </w:r>
      <w:r w:rsidRPr="00B76D60">
        <w:rPr>
          <w:lang w:val="pl-PL"/>
        </w:rPr>
        <w:t>H</w:t>
      </w:r>
      <w:r w:rsidRPr="00B76D60">
        <w:rPr>
          <w:vertAlign w:val="superscript"/>
          <w:lang w:val="pl-PL"/>
        </w:rPr>
        <w:t>+</w:t>
      </w:r>
      <w:r w:rsidRPr="00B76D60">
        <w:rPr>
          <w:lang w:val="pl-PL"/>
        </w:rPr>
        <w:t xml:space="preserve"> </w:t>
      </w:r>
      <w:r w:rsidR="00C30076" w:rsidRPr="00B76D60">
        <w:sym w:font="Symbol" w:char="F0AE"/>
      </w:r>
      <w:r w:rsidR="00C30076" w:rsidRPr="00B76D60">
        <w:rPr>
          <w:lang w:val="pl-PL"/>
        </w:rPr>
        <w:t xml:space="preserve"> </w:t>
      </w:r>
      <w:r w:rsidRPr="00B76D60">
        <w:rPr>
          <w:lang w:val="pl-PL"/>
        </w:rPr>
        <w:t>10</w:t>
      </w:r>
      <w:r w:rsidR="00C30076" w:rsidRPr="00B76D60">
        <w:rPr>
          <w:lang w:val="pl-PL"/>
        </w:rPr>
        <w:t xml:space="preserve"> CO</w:t>
      </w:r>
      <w:r w:rsidR="00C30076" w:rsidRPr="00B76D60">
        <w:rPr>
          <w:vertAlign w:val="subscript"/>
          <w:lang w:val="pl-PL"/>
        </w:rPr>
        <w:t>2</w:t>
      </w:r>
      <w:r w:rsidR="00C30076" w:rsidRPr="00B76D60">
        <w:rPr>
          <w:lang w:val="pl-PL"/>
        </w:rPr>
        <w:t xml:space="preserve"> + </w:t>
      </w:r>
      <w:r w:rsidR="00E6385E" w:rsidRPr="00B76D60">
        <w:rPr>
          <w:lang w:val="pl-PL"/>
        </w:rPr>
        <w:t>21</w:t>
      </w:r>
      <w:r w:rsidR="00C30076" w:rsidRPr="00B76D60">
        <w:rPr>
          <w:lang w:val="pl-PL"/>
        </w:rPr>
        <w:t xml:space="preserve"> H</w:t>
      </w:r>
      <w:r w:rsidR="00C30076" w:rsidRPr="00B76D60">
        <w:rPr>
          <w:vertAlign w:val="subscript"/>
          <w:lang w:val="pl-PL"/>
        </w:rPr>
        <w:t>2</w:t>
      </w:r>
      <w:r w:rsidR="00C30076" w:rsidRPr="00B76D60">
        <w:rPr>
          <w:lang w:val="pl-PL"/>
        </w:rPr>
        <w:t xml:space="preserve">O + </w:t>
      </w:r>
      <w:r w:rsidR="00E6385E" w:rsidRPr="00B76D60">
        <w:rPr>
          <w:lang w:val="pl-PL"/>
        </w:rPr>
        <w:t>6</w:t>
      </w:r>
      <w:r w:rsidRPr="00B76D60">
        <w:rPr>
          <w:lang w:val="pl-PL"/>
        </w:rPr>
        <w:t xml:space="preserve"> </w:t>
      </w:r>
      <w:r w:rsidR="00C30076" w:rsidRPr="00B76D60">
        <w:rPr>
          <w:lang w:val="pl-PL"/>
        </w:rPr>
        <w:t>N</w:t>
      </w:r>
      <w:r w:rsidR="00C30076" w:rsidRPr="00B76D60">
        <w:rPr>
          <w:vertAlign w:val="subscript"/>
          <w:lang w:val="pl-PL"/>
        </w:rPr>
        <w:t>2</w:t>
      </w:r>
    </w:p>
    <w:p w14:paraId="0A56A703" w14:textId="6D698BEE" w:rsidR="00482BC6" w:rsidRPr="00B76D60" w:rsidRDefault="00901B77" w:rsidP="00901B77">
      <w:pPr>
        <w:pStyle w:val="CETBodytext"/>
      </w:pPr>
      <w:r w:rsidRPr="00B76D60">
        <w:t xml:space="preserve">The common </w:t>
      </w:r>
      <w:r w:rsidR="00E73582" w:rsidRPr="00B76D60">
        <w:t xml:space="preserve">configuration of a </w:t>
      </w:r>
      <w:r w:rsidRPr="00B76D60">
        <w:t xml:space="preserve">denitrification process </w:t>
      </w:r>
      <w:r w:rsidR="00B240EF" w:rsidRPr="00B76D60">
        <w:t>involve</w:t>
      </w:r>
      <w:r w:rsidR="0065666F" w:rsidRPr="00B76D60">
        <w:t>s</w:t>
      </w:r>
      <w:r w:rsidRPr="00B76D60">
        <w:t xml:space="preserve"> direct contact of the water </w:t>
      </w:r>
      <w:r w:rsidR="00241360" w:rsidRPr="00B76D60">
        <w:t xml:space="preserve">to be treated </w:t>
      </w:r>
      <w:r w:rsidRPr="00B76D60">
        <w:t>with the denitrifying microorganisms</w:t>
      </w:r>
      <w:r w:rsidR="00241360" w:rsidRPr="00B76D60">
        <w:t>,</w:t>
      </w:r>
      <w:r w:rsidRPr="00B76D60">
        <w:t xml:space="preserve"> </w:t>
      </w:r>
      <w:r w:rsidR="00B240EF" w:rsidRPr="00B76D60">
        <w:t>with the consequence that the residual organic substances can represent a problem from the point of view of water quality</w:t>
      </w:r>
      <w:r w:rsidRPr="00B76D60">
        <w:t>.</w:t>
      </w:r>
    </w:p>
    <w:p w14:paraId="4D09344E" w14:textId="51B6262E" w:rsidR="00F837FC" w:rsidRPr="00B76D60" w:rsidRDefault="0047294B" w:rsidP="00901B77">
      <w:pPr>
        <w:pStyle w:val="CETBodytext"/>
        <w:rPr>
          <w:strike/>
        </w:rPr>
      </w:pPr>
      <w:r w:rsidRPr="00B76D60">
        <w:t xml:space="preserve">This work presents a biological </w:t>
      </w:r>
      <w:r w:rsidR="006706B4" w:rsidRPr="00B76D60">
        <w:t xml:space="preserve">process of </w:t>
      </w:r>
      <w:r w:rsidRPr="00B76D60">
        <w:t>nitric nitrogen removal based on the use of biological membrane reactors; th</w:t>
      </w:r>
      <w:r w:rsidR="006706B4" w:rsidRPr="00B76D60">
        <w:t>e</w:t>
      </w:r>
      <w:r w:rsidRPr="00B76D60">
        <w:t xml:space="preserve"> </w:t>
      </w:r>
      <w:r w:rsidR="006706B4" w:rsidRPr="00B76D60">
        <w:t>membrane is</w:t>
      </w:r>
      <w:r w:rsidRPr="00B76D60">
        <w:t xml:space="preserve"> permeable to nitrates</w:t>
      </w:r>
      <w:r w:rsidR="006706B4" w:rsidRPr="00B76D60">
        <w:t xml:space="preserve"> and</w:t>
      </w:r>
      <w:r w:rsidRPr="00B76D60">
        <w:t xml:space="preserve"> divides the reactor into two physically distinct environments: </w:t>
      </w:r>
      <w:r w:rsidR="004366CF" w:rsidRPr="00B76D60">
        <w:t xml:space="preserve">the water to be treated circulates on one side, while the bacterial film grows on the other. The latter </w:t>
      </w:r>
      <w:r w:rsidR="00DC1E33" w:rsidRPr="00B76D60">
        <w:t>needs</w:t>
      </w:r>
      <w:r w:rsidR="004366CF" w:rsidRPr="00B76D60">
        <w:t xml:space="preserve"> nutrients and </w:t>
      </w:r>
      <w:r w:rsidR="00DC1E33" w:rsidRPr="00B76D60">
        <w:t xml:space="preserve">a </w:t>
      </w:r>
      <w:r w:rsidR="004366CF" w:rsidRPr="00B76D60">
        <w:t xml:space="preserve">carbon source </w:t>
      </w:r>
      <w:r w:rsidR="00DC1E33" w:rsidRPr="00B76D60">
        <w:t>to carry out</w:t>
      </w:r>
      <w:r w:rsidR="004366CF" w:rsidRPr="00B76D60">
        <w:t xml:space="preserve"> the process</w:t>
      </w:r>
      <w:r w:rsidRPr="00B76D60">
        <w:t xml:space="preserve">. In this way, the water to be treated never comes into direct contact with either the denitrifying biomass or the carbon source which, leaving no residues in the water, can also be of poor quality and low cost. </w:t>
      </w:r>
      <w:r w:rsidR="00DC1E33" w:rsidRPr="00B76D60">
        <w:t>Extensive</w:t>
      </w:r>
      <w:r w:rsidR="004366CF" w:rsidRPr="00B76D60">
        <w:t xml:space="preserve"> research has previously </w:t>
      </w:r>
      <w:r w:rsidR="00DC1E33" w:rsidRPr="00B76D60">
        <w:t xml:space="preserve">been </w:t>
      </w:r>
      <w:r w:rsidR="004366CF" w:rsidRPr="00B76D60">
        <w:t xml:space="preserve">carried out by other authors </w:t>
      </w:r>
      <w:r w:rsidRPr="00B76D60">
        <w:t>(McCleaf and Schroeder, 1995)</w:t>
      </w:r>
      <w:r w:rsidR="0020090E" w:rsidRPr="00B76D60">
        <w:t xml:space="preserve">, who have </w:t>
      </w:r>
      <w:r w:rsidR="00DC1E33" w:rsidRPr="00B76D60">
        <w:t>achieved</w:t>
      </w:r>
      <w:r w:rsidR="0020090E" w:rsidRPr="00B76D60">
        <w:t xml:space="preserve"> good results using flat membranes;</w:t>
      </w:r>
      <w:r w:rsidRPr="00B76D60">
        <w:t xml:space="preserve"> </w:t>
      </w:r>
      <w:r w:rsidR="007075F0" w:rsidRPr="00B76D60">
        <w:t>in</w:t>
      </w:r>
      <w:r w:rsidRPr="00B76D60">
        <w:t xml:space="preserve"> this research, the use of a hollow fiber membrane</w:t>
      </w:r>
      <w:r w:rsidR="0020090E" w:rsidRPr="00B76D60">
        <w:t xml:space="preserve"> was considered</w:t>
      </w:r>
      <w:r w:rsidR="009B010F" w:rsidRPr="00B76D60">
        <w:t xml:space="preserve">, able </w:t>
      </w:r>
      <w:r w:rsidR="00DC1E33" w:rsidRPr="00B76D60">
        <w:t>to</w:t>
      </w:r>
      <w:r w:rsidR="009B010F" w:rsidRPr="00B76D60">
        <w:t xml:space="preserve"> guarantee </w:t>
      </w:r>
      <w:r w:rsidR="00DC1E33" w:rsidRPr="00B76D60">
        <w:t xml:space="preserve">a </w:t>
      </w:r>
      <w:r w:rsidR="009B010F" w:rsidRPr="00B76D60">
        <w:t xml:space="preserve">high exchange surface </w:t>
      </w:r>
      <w:r w:rsidR="00DC1E33" w:rsidRPr="00B76D60">
        <w:t>while</w:t>
      </w:r>
      <w:r w:rsidR="009B010F" w:rsidRPr="00B76D60">
        <w:t xml:space="preserve"> </w:t>
      </w:r>
      <w:r w:rsidR="00DC1E33" w:rsidRPr="00B76D60">
        <w:t>maintaining a small size for</w:t>
      </w:r>
      <w:r w:rsidR="009B010F" w:rsidRPr="00B76D60">
        <w:t xml:space="preserve"> the reactors and components.</w:t>
      </w:r>
      <w:r w:rsidR="008E487A" w:rsidRPr="00B76D60">
        <w:t xml:space="preserve"> The aim of the research is to provide a technology capable of treating polluted groundwater by minimizing the problems of microbial contamination of the water itself, providing a solution in line with the adoption of "green methods” (Reverberi et al., 2017) and </w:t>
      </w:r>
      <w:r w:rsidR="00DC1E33" w:rsidRPr="00B76D60">
        <w:t xml:space="preserve">allowing </w:t>
      </w:r>
      <w:r w:rsidR="008E487A" w:rsidRPr="00B76D60">
        <w:t>the replacement of processes and materials with eco-friendly alternatives (Reverberi et al., 2018).</w:t>
      </w:r>
    </w:p>
    <w:p w14:paraId="0575AEFF" w14:textId="045A9886" w:rsidR="00623E40" w:rsidRPr="00B76D60" w:rsidRDefault="00623E40" w:rsidP="00623E40">
      <w:pPr>
        <w:pStyle w:val="CETHeading1"/>
      </w:pPr>
      <w:r w:rsidRPr="00B76D60">
        <w:t>Materials and Methods</w:t>
      </w:r>
    </w:p>
    <w:p w14:paraId="53BF2044" w14:textId="0D7D73F0" w:rsidR="00623E40" w:rsidRPr="00B76D60" w:rsidRDefault="00623E40" w:rsidP="00CF7BC1">
      <w:pPr>
        <w:pStyle w:val="CETBodytext"/>
      </w:pPr>
      <w:r w:rsidRPr="00B76D60">
        <w:t xml:space="preserve">The </w:t>
      </w:r>
      <w:r w:rsidR="003F16D1" w:rsidRPr="00B76D60">
        <w:t xml:space="preserve">flow-through </w:t>
      </w:r>
      <w:r w:rsidR="00E221B6" w:rsidRPr="00B76D60">
        <w:t xml:space="preserve">experimental </w:t>
      </w:r>
      <w:r w:rsidR="003F16D1" w:rsidRPr="00B76D60">
        <w:t>setup</w:t>
      </w:r>
      <w:r w:rsidRPr="00B76D60">
        <w:t xml:space="preserve">, </w:t>
      </w:r>
      <w:r w:rsidR="00E221B6" w:rsidRPr="00B76D60">
        <w:t xml:space="preserve">schematically </w:t>
      </w:r>
      <w:r w:rsidRPr="00B76D60">
        <w:t>described in Fig</w:t>
      </w:r>
      <w:r w:rsidR="00821DC9" w:rsidRPr="00B76D60">
        <w:t xml:space="preserve">ure </w:t>
      </w:r>
      <w:r w:rsidRPr="00B76D60">
        <w:t xml:space="preserve">1, </w:t>
      </w:r>
      <w:r w:rsidR="00E221B6" w:rsidRPr="00B76D60">
        <w:t>w</w:t>
      </w:r>
      <w:r w:rsidRPr="00B76D60">
        <w:t xml:space="preserve">as developed and tested </w:t>
      </w:r>
      <w:r w:rsidR="00E221B6" w:rsidRPr="00B76D60">
        <w:t>on a</w:t>
      </w:r>
      <w:r w:rsidRPr="00B76D60">
        <w:t xml:space="preserve"> laboratory scale. </w:t>
      </w:r>
      <w:r w:rsidR="00064701" w:rsidRPr="00B76D60">
        <w:t xml:space="preserve">The system </w:t>
      </w:r>
      <w:r w:rsidR="00E221B6" w:rsidRPr="00B76D60">
        <w:t xml:space="preserve">was </w:t>
      </w:r>
      <w:r w:rsidR="00064701" w:rsidRPr="00B76D60">
        <w:t>mainly co</w:t>
      </w:r>
      <w:r w:rsidR="00E221B6" w:rsidRPr="00B76D60">
        <w:t>mposed</w:t>
      </w:r>
      <w:r w:rsidR="00064701" w:rsidRPr="00B76D60">
        <w:t xml:space="preserve"> of</w:t>
      </w:r>
      <w:r w:rsidRPr="00B76D60">
        <w:t xml:space="preserve">: </w:t>
      </w:r>
      <w:r w:rsidR="00F362B5" w:rsidRPr="00B76D60">
        <w:t>(</w:t>
      </w:r>
      <w:r w:rsidR="00CF7BC1" w:rsidRPr="00B76D60">
        <w:t xml:space="preserve">i) </w:t>
      </w:r>
      <w:r w:rsidRPr="00B76D60">
        <w:t xml:space="preserve">a hollow </w:t>
      </w:r>
      <w:r w:rsidR="00D71B59" w:rsidRPr="00B76D60">
        <w:t>fiber</w:t>
      </w:r>
      <w:r w:rsidRPr="00B76D60">
        <w:t xml:space="preserve"> module</w:t>
      </w:r>
      <w:r w:rsidR="00464257" w:rsidRPr="00B76D60">
        <w:t xml:space="preserve"> (cut-off</w:t>
      </w:r>
      <w:r w:rsidR="00BA64CB" w:rsidRPr="00B76D60">
        <w:t xml:space="preserve"> </w:t>
      </w:r>
      <w:r w:rsidR="00F721B3" w:rsidRPr="00B76D60">
        <w:t xml:space="preserve">from </w:t>
      </w:r>
      <w:r w:rsidR="00464257" w:rsidRPr="00B76D60">
        <w:t>2</w:t>
      </w:r>
      <w:r w:rsidR="005074DB" w:rsidRPr="00B76D60">
        <w:t>,</w:t>
      </w:r>
      <w:r w:rsidR="00464257" w:rsidRPr="00B76D60">
        <w:t>000</w:t>
      </w:r>
      <w:r w:rsidR="00F721B3" w:rsidRPr="00B76D60">
        <w:t xml:space="preserve"> to 100,000</w:t>
      </w:r>
      <w:r w:rsidR="00464257" w:rsidRPr="00B76D60">
        <w:t>D)</w:t>
      </w:r>
      <w:r w:rsidRPr="00B76D60">
        <w:t>;</w:t>
      </w:r>
      <w:r w:rsidR="00CF7BC1" w:rsidRPr="00B76D60">
        <w:t xml:space="preserve"> </w:t>
      </w:r>
      <w:r w:rsidR="00F362B5" w:rsidRPr="00B76D60">
        <w:t>(</w:t>
      </w:r>
      <w:r w:rsidR="00CF7BC1" w:rsidRPr="00B76D60">
        <w:t xml:space="preserve">ii) </w:t>
      </w:r>
      <w:r w:rsidRPr="00B76D60">
        <w:t xml:space="preserve">a </w:t>
      </w:r>
      <w:r w:rsidR="00F362B5" w:rsidRPr="00B76D60">
        <w:t xml:space="preserve">suspended growth </w:t>
      </w:r>
      <w:r w:rsidR="00E221B6" w:rsidRPr="00B76D60">
        <w:t>denitrifying culture bioreactor</w:t>
      </w:r>
      <w:r w:rsidRPr="00B76D60">
        <w:t>;</w:t>
      </w:r>
      <w:r w:rsidR="00CF7BC1" w:rsidRPr="00B76D60">
        <w:t xml:space="preserve"> </w:t>
      </w:r>
      <w:r w:rsidR="00F362B5" w:rsidRPr="00B76D60">
        <w:t>(</w:t>
      </w:r>
      <w:r w:rsidR="00CF7BC1" w:rsidRPr="00B76D60">
        <w:t xml:space="preserve">iii) </w:t>
      </w:r>
      <w:r w:rsidRPr="00B76D60">
        <w:t xml:space="preserve">a storage tank for </w:t>
      </w:r>
      <w:r w:rsidR="00F362B5" w:rsidRPr="00B76D60">
        <w:t>nitrate-</w:t>
      </w:r>
      <w:r w:rsidR="00E221B6" w:rsidRPr="00B76D60">
        <w:t xml:space="preserve">contaminated </w:t>
      </w:r>
      <w:r w:rsidR="00F362B5" w:rsidRPr="00B76D60">
        <w:t>water</w:t>
      </w:r>
      <w:r w:rsidRPr="00B76D60">
        <w:t>;</w:t>
      </w:r>
      <w:r w:rsidR="00CF7BC1" w:rsidRPr="00B76D60">
        <w:t xml:space="preserve"> </w:t>
      </w:r>
      <w:r w:rsidR="00F362B5" w:rsidRPr="00B76D60">
        <w:t>(</w:t>
      </w:r>
      <w:r w:rsidR="00CF7BC1" w:rsidRPr="00B76D60">
        <w:t xml:space="preserve">iv) </w:t>
      </w:r>
      <w:r w:rsidRPr="00B76D60">
        <w:t>two recirculation pump</w:t>
      </w:r>
      <w:r w:rsidR="00E221B6" w:rsidRPr="00B76D60">
        <w:t>s</w:t>
      </w:r>
      <w:r w:rsidRPr="00B76D60">
        <w:t>.</w:t>
      </w:r>
    </w:p>
    <w:p w14:paraId="40E04762" w14:textId="26BB8587" w:rsidR="00B3797E" w:rsidRPr="00B76D60" w:rsidRDefault="00B3797E" w:rsidP="00F362B5">
      <w:pPr>
        <w:pStyle w:val="CETBodytext"/>
        <w:spacing w:before="120"/>
      </w:pPr>
      <w:r w:rsidRPr="00B76D60">
        <w:rPr>
          <w:noProof/>
          <w:lang w:val="it-IT" w:eastAsia="it-IT"/>
        </w:rPr>
        <w:drawing>
          <wp:inline distT="0" distB="0" distL="0" distR="0" wp14:anchorId="62B2D442" wp14:editId="19320C01">
            <wp:extent cx="5292000" cy="1607073"/>
            <wp:effectExtent l="0" t="0" r="444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292000" cy="1607073"/>
                    </a:xfrm>
                    <a:prstGeom prst="rect">
                      <a:avLst/>
                    </a:prstGeom>
                    <a:noFill/>
                    <a:ln>
                      <a:noFill/>
                    </a:ln>
                    <a:extLst>
                      <a:ext uri="{53640926-AAD7-44D8-BBD7-CCE9431645EC}">
                        <a14:shadowObscured xmlns:a14="http://schemas.microsoft.com/office/drawing/2010/main"/>
                      </a:ext>
                    </a:extLst>
                  </pic:spPr>
                </pic:pic>
              </a:graphicData>
            </a:graphic>
          </wp:inline>
        </w:drawing>
      </w:r>
    </w:p>
    <w:p w14:paraId="0DCFE154" w14:textId="0A7FA325" w:rsidR="00B3797E" w:rsidRPr="00B76D60" w:rsidRDefault="00B3797E" w:rsidP="00F362B5">
      <w:pPr>
        <w:pStyle w:val="CETCaption"/>
        <w:spacing w:before="120"/>
        <w:rPr>
          <w:lang w:val="en-US"/>
        </w:rPr>
      </w:pPr>
      <w:r w:rsidRPr="00B76D60">
        <w:rPr>
          <w:rStyle w:val="CETCaptionCarattere"/>
          <w:i/>
          <w:lang w:val="en-US"/>
        </w:rPr>
        <w:t xml:space="preserve">Figure 1: </w:t>
      </w:r>
      <w:r w:rsidRPr="00B76D60">
        <w:rPr>
          <w:lang w:val="en-US"/>
        </w:rPr>
        <w:t>Membrane biofilm denitrification system</w:t>
      </w:r>
    </w:p>
    <w:p w14:paraId="31F6BE60" w14:textId="7641DBEA" w:rsidR="00C44C6C" w:rsidRPr="00B76D60" w:rsidRDefault="00C44C6C" w:rsidP="00C44C6C">
      <w:pPr>
        <w:pStyle w:val="CETBodytext"/>
      </w:pPr>
      <w:r w:rsidRPr="00B76D60">
        <w:t xml:space="preserve">The water containing </w:t>
      </w:r>
      <w:r w:rsidR="003F16D1" w:rsidRPr="00B76D60">
        <w:t xml:space="preserve">the </w:t>
      </w:r>
      <w:r w:rsidRPr="00B76D60">
        <w:t xml:space="preserve">nitrates was circulated </w:t>
      </w:r>
      <w:r w:rsidR="002B13CC" w:rsidRPr="00B76D60">
        <w:t>to</w:t>
      </w:r>
      <w:r w:rsidRPr="00B76D60">
        <w:t xml:space="preserve"> the </w:t>
      </w:r>
      <w:r w:rsidR="007208F6" w:rsidRPr="00B76D60">
        <w:t>in</w:t>
      </w:r>
      <w:r w:rsidR="002B13CC" w:rsidRPr="00B76D60">
        <w:t>ner</w:t>
      </w:r>
      <w:r w:rsidRPr="00B76D60">
        <w:t xml:space="preserve"> side of the fibers, while </w:t>
      </w:r>
      <w:r w:rsidR="002B13CC" w:rsidRPr="00B76D60">
        <w:t xml:space="preserve">the </w:t>
      </w:r>
      <w:r w:rsidRPr="00B76D60">
        <w:t>biomass and nutrients (</w:t>
      </w:r>
      <w:r w:rsidR="003F16D1" w:rsidRPr="00B76D60">
        <w:t>phosphates</w:t>
      </w:r>
      <w:r w:rsidRPr="00B76D60">
        <w:t xml:space="preserve">, glucose) were supplied from the outside. Nitrates are removed from contaminated water by molecular diffusion through the fibers, which allows them to reach and be metabolized by denitrifying microorganisms. In this way, the water remains completely separated from the biomass and nutrients, and it is possible to maintain the necessary anoxic conditions by blowing in gaseous nitrogen. The </w:t>
      </w:r>
      <w:r w:rsidR="00DB408A" w:rsidRPr="00B76D60">
        <w:t xml:space="preserve">phenomenon of </w:t>
      </w:r>
      <w:r w:rsidRPr="00B76D60">
        <w:t>molecular diffusion is governed exclusively by the concentration gradient: nitrates diffuse through the membrane, and since they are continuously consumed by the biological film present on the outer side of the membrane, this guarantees the maintenance of the maximum concentration gradient. At the same time, the biofilm limits the counter-diffusion of nutrients.</w:t>
      </w:r>
    </w:p>
    <w:p w14:paraId="0D02707D" w14:textId="52984FA5" w:rsidR="00FC75A7" w:rsidRPr="00B76D60" w:rsidRDefault="000337B8" w:rsidP="00EF6D7C">
      <w:pPr>
        <w:pStyle w:val="CETBodytext"/>
      </w:pPr>
      <w:r w:rsidRPr="00B76D60">
        <w:t xml:space="preserve">To maintain the </w:t>
      </w:r>
      <w:r w:rsidR="00C44C6C" w:rsidRPr="00B76D60">
        <w:t>aforementioned</w:t>
      </w:r>
      <w:r w:rsidRPr="00B76D60">
        <w:t xml:space="preserve"> anoxic conditions, the water tank (V = 30L) was kept under </w:t>
      </w:r>
      <w:r w:rsidR="002B13CC" w:rsidRPr="00B76D60">
        <w:t>nitrogen</w:t>
      </w:r>
      <w:r w:rsidRPr="00B76D60">
        <w:t xml:space="preserve"> flow</w:t>
      </w:r>
      <w:r w:rsidR="002769AF" w:rsidRPr="00B76D60">
        <w:t xml:space="preserve">. </w:t>
      </w:r>
      <w:r w:rsidR="002B13CC" w:rsidRPr="00B76D60">
        <w:t>For the recirculation of the solutions, t</w:t>
      </w:r>
      <w:r w:rsidRPr="00B76D60">
        <w:t>wo peristaltic pumps with variable flow rates between 60 and 6,000 mL/h</w:t>
      </w:r>
      <w:r w:rsidR="002B13CC" w:rsidRPr="00B76D60">
        <w:t xml:space="preserve"> were exploited</w:t>
      </w:r>
      <w:r w:rsidRPr="00B76D60">
        <w:t>, mostly used at very low speeds.</w:t>
      </w:r>
    </w:p>
    <w:p w14:paraId="65B214FA" w14:textId="0BA2043D" w:rsidR="00623E40" w:rsidRPr="00B76D60" w:rsidRDefault="001540A0" w:rsidP="00901B77">
      <w:pPr>
        <w:pStyle w:val="CETBodytext"/>
      </w:pPr>
      <w:r w:rsidRPr="00B76D60">
        <w:t>For the execution of the experiment</w:t>
      </w:r>
      <w:r w:rsidR="00DB408A" w:rsidRPr="00B76D60">
        <w:t>al test</w:t>
      </w:r>
      <w:r w:rsidRPr="00B76D60">
        <w:t xml:space="preserve">s, a commercial </w:t>
      </w:r>
      <w:r w:rsidR="001420E2" w:rsidRPr="00B76D60">
        <w:t xml:space="preserve">hollow fiber </w:t>
      </w:r>
      <w:r w:rsidRPr="00B76D60">
        <w:t xml:space="preserve">module (Amicon, Millipore) was used, made of polysulfone, a polymer that has sufficient resistance to temperature (max 75 °C), and an excellent tolerance to </w:t>
      </w:r>
      <w:r w:rsidR="00DB408A" w:rsidRPr="00B76D60">
        <w:t xml:space="preserve">pH </w:t>
      </w:r>
      <w:r w:rsidRPr="00B76D60">
        <w:t xml:space="preserve">variations </w:t>
      </w:r>
      <w:r w:rsidR="00B64CED" w:rsidRPr="00B76D60">
        <w:t>(</w:t>
      </w:r>
      <w:r w:rsidR="00DB408A" w:rsidRPr="00B76D60">
        <w:t xml:space="preserve">within the values from </w:t>
      </w:r>
      <w:r w:rsidR="00B64CED" w:rsidRPr="00B76D60">
        <w:t>1.5</w:t>
      </w:r>
      <w:r w:rsidR="00DB408A" w:rsidRPr="00B76D60">
        <w:t xml:space="preserve"> to </w:t>
      </w:r>
      <w:r w:rsidR="00B64CED" w:rsidRPr="00B76D60">
        <w:t>13).</w:t>
      </w:r>
      <w:r w:rsidR="007208F6" w:rsidRPr="00B76D60">
        <w:t xml:space="preserve"> </w:t>
      </w:r>
      <w:r w:rsidR="00652FFC" w:rsidRPr="00B76D60">
        <w:t>C</w:t>
      </w:r>
      <w:r w:rsidR="001420E2" w:rsidRPr="00B76D60">
        <w:t xml:space="preserve">ommercial modules contain membranes with an average pore diameter between 10 and 200 Angstroms, corresponding to a </w:t>
      </w:r>
      <w:r w:rsidR="002B13CC" w:rsidRPr="00B76D60">
        <w:t xml:space="preserve">molecular weight </w:t>
      </w:r>
      <w:r w:rsidR="001420E2" w:rsidRPr="00B76D60">
        <w:t xml:space="preserve">cut-off (MWCO) </w:t>
      </w:r>
      <w:r w:rsidR="002B13CC" w:rsidRPr="00B76D60">
        <w:t xml:space="preserve">between </w:t>
      </w:r>
      <w:r w:rsidR="001420E2" w:rsidRPr="00B76D60">
        <w:t xml:space="preserve">1,000 </w:t>
      </w:r>
      <w:r w:rsidR="002B13CC" w:rsidRPr="00B76D60">
        <w:t>and</w:t>
      </w:r>
      <w:r w:rsidR="001420E2" w:rsidRPr="00B76D60">
        <w:t xml:space="preserve"> 500,000 Dalton. The fiber bundle is enclosed in a plastic container (housing) which has the task of keeping it compact and limiting the volume of the external area of the module. </w:t>
      </w:r>
      <w:r w:rsidR="00623E40" w:rsidRPr="00B76D60">
        <w:t>The main physical characteristics of the module</w:t>
      </w:r>
      <w:r w:rsidR="002B42F2" w:rsidRPr="00B76D60">
        <w:t>s considered in this work</w:t>
      </w:r>
      <w:r w:rsidR="00623E40" w:rsidRPr="00B76D60">
        <w:t xml:space="preserve"> are shown in Table 1.</w:t>
      </w:r>
    </w:p>
    <w:p w14:paraId="1AF14F1C" w14:textId="3A164FFE" w:rsidR="00B63394" w:rsidRPr="00B76D60" w:rsidRDefault="00B63394" w:rsidP="00B63394">
      <w:pPr>
        <w:pStyle w:val="CETTabletitle"/>
        <w:rPr>
          <w:lang w:val="en-US"/>
        </w:rPr>
      </w:pPr>
      <w:r w:rsidRPr="00B76D60">
        <w:rPr>
          <w:lang w:val="en-US"/>
        </w:rPr>
        <w:lastRenderedPageBreak/>
        <w:t xml:space="preserve">Table 1: </w:t>
      </w:r>
      <w:r w:rsidR="00D71B59" w:rsidRPr="00B76D60">
        <w:rPr>
          <w:lang w:val="en-US"/>
        </w:rPr>
        <w:t xml:space="preserve">Main characteristics of </w:t>
      </w:r>
      <w:r w:rsidR="00E221B6" w:rsidRPr="00B76D60">
        <w:rPr>
          <w:lang w:val="en-US"/>
        </w:rPr>
        <w:t xml:space="preserve">the </w:t>
      </w:r>
      <w:r w:rsidR="00D71B59" w:rsidRPr="00B76D60">
        <w:rPr>
          <w:lang w:val="en-US"/>
        </w:rPr>
        <w:t>hollow fiber membrane</w:t>
      </w:r>
      <w:r w:rsidR="001420E2" w:rsidRPr="00B76D60">
        <w:rPr>
          <w:lang w:val="en-US"/>
        </w:rPr>
        <w:t>s</w:t>
      </w:r>
      <w:r w:rsidR="00D32879" w:rsidRPr="00B76D60">
        <w:rPr>
          <w:lang w:val="en-US"/>
        </w:rPr>
        <w:t xml:space="preserve"> considered.</w:t>
      </w:r>
    </w:p>
    <w:tbl>
      <w:tblPr>
        <w:tblW w:w="8789"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1701"/>
        <w:gridCol w:w="1134"/>
        <w:gridCol w:w="1134"/>
        <w:gridCol w:w="1134"/>
        <w:gridCol w:w="1418"/>
        <w:gridCol w:w="1134"/>
        <w:gridCol w:w="1134"/>
      </w:tblGrid>
      <w:tr w:rsidR="00A2102D" w:rsidRPr="00B76D60" w14:paraId="1FD9C60E" w14:textId="0B968460" w:rsidTr="001D73B3">
        <w:trPr>
          <w:cantSplit/>
          <w:trHeight w:val="510"/>
        </w:trPr>
        <w:tc>
          <w:tcPr>
            <w:tcW w:w="1701" w:type="dxa"/>
            <w:tcBorders>
              <w:top w:val="single" w:sz="12" w:space="0" w:color="008000"/>
              <w:bottom w:val="single" w:sz="4" w:space="0" w:color="008000"/>
            </w:tcBorders>
            <w:shd w:val="clear" w:color="auto" w:fill="FFFFFF"/>
            <w:vAlign w:val="center"/>
          </w:tcPr>
          <w:p w14:paraId="367495F3" w14:textId="30F2C3A9" w:rsidR="00A2102D" w:rsidRPr="00B76D60" w:rsidRDefault="00A2102D" w:rsidP="00E221B6">
            <w:pPr>
              <w:pStyle w:val="CETBodytext"/>
              <w:jc w:val="left"/>
            </w:pPr>
            <w:r w:rsidRPr="00B76D60">
              <w:t>Membrane type</w:t>
            </w:r>
          </w:p>
        </w:tc>
        <w:tc>
          <w:tcPr>
            <w:tcW w:w="1134" w:type="dxa"/>
            <w:tcBorders>
              <w:top w:val="single" w:sz="12" w:space="0" w:color="008000"/>
              <w:bottom w:val="single" w:sz="4" w:space="0" w:color="008000"/>
            </w:tcBorders>
            <w:shd w:val="clear" w:color="auto" w:fill="FFFFFF"/>
            <w:vAlign w:val="center"/>
          </w:tcPr>
          <w:p w14:paraId="2213ACC7" w14:textId="39A8183C" w:rsidR="00A2102D" w:rsidRPr="00B76D60" w:rsidRDefault="00A2102D" w:rsidP="00620D96">
            <w:pPr>
              <w:pStyle w:val="CETBodytext"/>
              <w:jc w:val="center"/>
            </w:pPr>
            <w:r w:rsidRPr="00B76D60">
              <w:t>Cut</w:t>
            </w:r>
            <w:r w:rsidR="00C56CA1" w:rsidRPr="00B76D60">
              <w:t>-</w:t>
            </w:r>
            <w:r w:rsidRPr="00B76D60">
              <w:t>off</w:t>
            </w:r>
          </w:p>
          <w:p w14:paraId="31A96EA2" w14:textId="726DE47E" w:rsidR="00A2102D" w:rsidRPr="00B76D60" w:rsidRDefault="00A2102D" w:rsidP="00620D96">
            <w:pPr>
              <w:pStyle w:val="CETBodytext"/>
              <w:jc w:val="center"/>
            </w:pPr>
            <w:r w:rsidRPr="00B76D60">
              <w:t>(MW)</w:t>
            </w:r>
          </w:p>
        </w:tc>
        <w:tc>
          <w:tcPr>
            <w:tcW w:w="1134" w:type="dxa"/>
            <w:tcBorders>
              <w:top w:val="single" w:sz="12" w:space="0" w:color="008000"/>
              <w:bottom w:val="single" w:sz="4" w:space="0" w:color="008000"/>
            </w:tcBorders>
            <w:shd w:val="clear" w:color="auto" w:fill="FFFFFF"/>
            <w:vAlign w:val="center"/>
          </w:tcPr>
          <w:p w14:paraId="5EB261BF" w14:textId="77777777" w:rsidR="00A2102D" w:rsidRPr="00B76D60" w:rsidRDefault="00A2102D" w:rsidP="00620D96">
            <w:pPr>
              <w:pStyle w:val="CETBodytext"/>
              <w:jc w:val="center"/>
            </w:pPr>
            <w:r w:rsidRPr="00B76D60">
              <w:t>Surface</w:t>
            </w:r>
          </w:p>
          <w:p w14:paraId="4C061125" w14:textId="7C5CCA14" w:rsidR="00A2102D" w:rsidRPr="00B76D60" w:rsidRDefault="00A2102D" w:rsidP="00620D96">
            <w:pPr>
              <w:pStyle w:val="CETBodytext"/>
              <w:jc w:val="center"/>
            </w:pPr>
            <w:r w:rsidRPr="00B76D60">
              <w:t>(m</w:t>
            </w:r>
            <w:r w:rsidRPr="00B76D60">
              <w:rPr>
                <w:vertAlign w:val="superscript"/>
              </w:rPr>
              <w:t>2</w:t>
            </w:r>
            <w:r w:rsidRPr="00B76D60">
              <w:t>)</w:t>
            </w:r>
          </w:p>
        </w:tc>
        <w:tc>
          <w:tcPr>
            <w:tcW w:w="1134" w:type="dxa"/>
            <w:tcBorders>
              <w:top w:val="single" w:sz="12" w:space="0" w:color="008000"/>
              <w:bottom w:val="single" w:sz="4" w:space="0" w:color="008000"/>
            </w:tcBorders>
            <w:shd w:val="clear" w:color="auto" w:fill="FFFFFF"/>
            <w:vAlign w:val="center"/>
          </w:tcPr>
          <w:p w14:paraId="7182EFA1" w14:textId="7CE39A79" w:rsidR="00A2102D" w:rsidRPr="00B76D60" w:rsidRDefault="00A2102D" w:rsidP="00620D96">
            <w:pPr>
              <w:pStyle w:val="CETBodytext"/>
              <w:jc w:val="center"/>
              <w:rPr>
                <w:rFonts w:cs="Arial"/>
                <w:szCs w:val="18"/>
              </w:rPr>
            </w:pPr>
            <w:r w:rsidRPr="00B76D60">
              <w:rPr>
                <w:rFonts w:cs="Arial"/>
                <w:szCs w:val="18"/>
              </w:rPr>
              <w:t>Length</w:t>
            </w:r>
          </w:p>
          <w:p w14:paraId="1FCC9F8C" w14:textId="472FD5A5" w:rsidR="00A2102D" w:rsidRPr="00B76D60" w:rsidRDefault="00A2102D" w:rsidP="00620D96">
            <w:pPr>
              <w:pStyle w:val="CETBodytext"/>
              <w:ind w:right="-1"/>
              <w:jc w:val="center"/>
              <w:rPr>
                <w:rFonts w:cs="Arial"/>
                <w:szCs w:val="18"/>
              </w:rPr>
            </w:pPr>
            <w:r w:rsidRPr="00B76D60">
              <w:rPr>
                <w:rFonts w:cs="Arial"/>
                <w:szCs w:val="18"/>
              </w:rPr>
              <w:t>(cm)</w:t>
            </w:r>
          </w:p>
        </w:tc>
        <w:tc>
          <w:tcPr>
            <w:tcW w:w="1418" w:type="dxa"/>
            <w:tcBorders>
              <w:top w:val="single" w:sz="12" w:space="0" w:color="008000"/>
              <w:bottom w:val="single" w:sz="4" w:space="0" w:color="008000"/>
            </w:tcBorders>
            <w:shd w:val="clear" w:color="auto" w:fill="FFFFFF"/>
            <w:vAlign w:val="center"/>
          </w:tcPr>
          <w:p w14:paraId="01C22C69" w14:textId="085A1AE5" w:rsidR="00A2102D" w:rsidRPr="00B76D60" w:rsidRDefault="00A2102D" w:rsidP="00620D96">
            <w:pPr>
              <w:pStyle w:val="CETBodytext"/>
              <w:jc w:val="center"/>
              <w:rPr>
                <w:rFonts w:cs="Arial"/>
                <w:szCs w:val="18"/>
              </w:rPr>
            </w:pPr>
            <w:r w:rsidRPr="00B76D60">
              <w:rPr>
                <w:rFonts w:cs="Arial"/>
                <w:szCs w:val="18"/>
              </w:rPr>
              <w:t>Internal fiber</w:t>
            </w:r>
          </w:p>
          <w:p w14:paraId="43362F4E" w14:textId="112E6C13" w:rsidR="00A2102D" w:rsidRPr="00B76D60" w:rsidRDefault="00A2102D" w:rsidP="00620D96">
            <w:pPr>
              <w:pStyle w:val="CETBodytext"/>
              <w:ind w:right="-1"/>
              <w:jc w:val="center"/>
              <w:rPr>
                <w:rFonts w:cs="Arial"/>
                <w:szCs w:val="18"/>
              </w:rPr>
            </w:pPr>
            <w:r w:rsidRPr="00B76D60">
              <w:rPr>
                <w:rFonts w:cs="Arial"/>
                <w:szCs w:val="18"/>
              </w:rPr>
              <w:t>(mm)</w:t>
            </w:r>
          </w:p>
        </w:tc>
        <w:tc>
          <w:tcPr>
            <w:tcW w:w="1134" w:type="dxa"/>
            <w:tcBorders>
              <w:top w:val="single" w:sz="12" w:space="0" w:color="008000"/>
              <w:bottom w:val="single" w:sz="4" w:space="0" w:color="008000"/>
            </w:tcBorders>
            <w:shd w:val="clear" w:color="auto" w:fill="FFFFFF"/>
            <w:vAlign w:val="center"/>
          </w:tcPr>
          <w:p w14:paraId="3AB7738F" w14:textId="77777777" w:rsidR="00A2102D" w:rsidRPr="00B76D60" w:rsidRDefault="00A2102D" w:rsidP="00620D96">
            <w:pPr>
              <w:pStyle w:val="CETBodytext"/>
              <w:jc w:val="center"/>
              <w:rPr>
                <w:rFonts w:cs="Arial"/>
                <w:szCs w:val="18"/>
              </w:rPr>
            </w:pPr>
            <w:r w:rsidRPr="00B76D60">
              <w:rPr>
                <w:rFonts w:cs="Arial"/>
                <w:szCs w:val="18"/>
              </w:rPr>
              <w:t>Thickness</w:t>
            </w:r>
          </w:p>
          <w:p w14:paraId="08116EF1" w14:textId="2AD90606" w:rsidR="00A2102D" w:rsidRPr="00B76D60" w:rsidRDefault="00A2102D" w:rsidP="00620D96">
            <w:pPr>
              <w:pStyle w:val="CETBodytext"/>
              <w:ind w:right="-1"/>
              <w:jc w:val="center"/>
              <w:rPr>
                <w:rFonts w:cs="Arial"/>
                <w:szCs w:val="18"/>
              </w:rPr>
            </w:pPr>
            <w:r w:rsidRPr="00B76D60">
              <w:rPr>
                <w:rFonts w:cs="Arial"/>
                <w:szCs w:val="18"/>
              </w:rPr>
              <w:t>(</w:t>
            </w:r>
            <w:r w:rsidRPr="00B76D60">
              <w:rPr>
                <w:rFonts w:cs="Arial"/>
                <w:szCs w:val="18"/>
              </w:rPr>
              <w:sym w:font="Symbol" w:char="F06D"/>
            </w:r>
            <w:r w:rsidRPr="00B76D60">
              <w:rPr>
                <w:rFonts w:cs="Arial"/>
                <w:szCs w:val="18"/>
              </w:rPr>
              <w:t>m)</w:t>
            </w:r>
          </w:p>
        </w:tc>
        <w:tc>
          <w:tcPr>
            <w:tcW w:w="1134" w:type="dxa"/>
            <w:tcBorders>
              <w:top w:val="single" w:sz="12" w:space="0" w:color="008000"/>
              <w:bottom w:val="single" w:sz="4" w:space="0" w:color="008000"/>
            </w:tcBorders>
            <w:shd w:val="clear" w:color="auto" w:fill="FFFFFF"/>
          </w:tcPr>
          <w:p w14:paraId="28611F1C" w14:textId="492706AC" w:rsidR="00A2102D" w:rsidRPr="00B76D60" w:rsidRDefault="00A2102D" w:rsidP="00620D96">
            <w:pPr>
              <w:pStyle w:val="CETBodytext"/>
              <w:jc w:val="center"/>
              <w:rPr>
                <w:rFonts w:cs="Arial"/>
                <w:szCs w:val="18"/>
              </w:rPr>
            </w:pPr>
            <w:r w:rsidRPr="00B76D60">
              <w:rPr>
                <w:rFonts w:cs="Arial"/>
                <w:szCs w:val="18"/>
              </w:rPr>
              <w:t>Number</w:t>
            </w:r>
            <w:r w:rsidR="001D73B3" w:rsidRPr="00B76D60">
              <w:rPr>
                <w:rFonts w:cs="Arial"/>
                <w:szCs w:val="18"/>
              </w:rPr>
              <w:br/>
            </w:r>
            <w:r w:rsidRPr="00B76D60">
              <w:rPr>
                <w:rFonts w:cs="Arial"/>
                <w:szCs w:val="18"/>
              </w:rPr>
              <w:t>of fibers</w:t>
            </w:r>
          </w:p>
        </w:tc>
      </w:tr>
      <w:tr w:rsidR="00A2102D" w:rsidRPr="00B76D60" w14:paraId="1C68B852" w14:textId="30F32C8C" w:rsidTr="001D73B3">
        <w:trPr>
          <w:cantSplit/>
          <w:trHeight w:val="283"/>
        </w:trPr>
        <w:tc>
          <w:tcPr>
            <w:tcW w:w="1701" w:type="dxa"/>
            <w:tcBorders>
              <w:top w:val="nil"/>
              <w:bottom w:val="nil"/>
            </w:tcBorders>
            <w:shd w:val="clear" w:color="auto" w:fill="FFFFFF"/>
            <w:vAlign w:val="center"/>
          </w:tcPr>
          <w:p w14:paraId="5FAA826E" w14:textId="08C409A8" w:rsidR="00A2102D" w:rsidRPr="00B76D60" w:rsidRDefault="00A2102D" w:rsidP="00DD1560">
            <w:pPr>
              <w:pStyle w:val="CETBodytext"/>
              <w:jc w:val="left"/>
            </w:pPr>
            <w:r w:rsidRPr="00B76D60">
              <w:rPr>
                <w:lang w:val="en-GB"/>
              </w:rPr>
              <w:t>H5P2-43</w:t>
            </w:r>
          </w:p>
        </w:tc>
        <w:tc>
          <w:tcPr>
            <w:tcW w:w="1134" w:type="dxa"/>
            <w:tcBorders>
              <w:top w:val="nil"/>
              <w:bottom w:val="nil"/>
            </w:tcBorders>
            <w:shd w:val="clear" w:color="auto" w:fill="FFFFFF"/>
            <w:vAlign w:val="center"/>
          </w:tcPr>
          <w:p w14:paraId="2B5AA35C" w14:textId="21BA84B9" w:rsidR="00A2102D" w:rsidRPr="00B76D60" w:rsidRDefault="00A2102D" w:rsidP="00620D96">
            <w:pPr>
              <w:pStyle w:val="CETBodytext"/>
              <w:jc w:val="center"/>
            </w:pPr>
            <w:r w:rsidRPr="00B76D60">
              <w:rPr>
                <w:lang w:val="en-GB"/>
              </w:rPr>
              <w:t>2,000</w:t>
            </w:r>
          </w:p>
        </w:tc>
        <w:tc>
          <w:tcPr>
            <w:tcW w:w="1134" w:type="dxa"/>
            <w:tcBorders>
              <w:top w:val="nil"/>
              <w:bottom w:val="nil"/>
            </w:tcBorders>
            <w:shd w:val="clear" w:color="auto" w:fill="FFFFFF"/>
            <w:vAlign w:val="center"/>
          </w:tcPr>
          <w:p w14:paraId="4F39BB64" w14:textId="0000E725" w:rsidR="00A2102D" w:rsidRPr="00B76D60" w:rsidRDefault="00A2102D" w:rsidP="00620D96">
            <w:pPr>
              <w:pStyle w:val="CETBodytext"/>
              <w:jc w:val="center"/>
            </w:pPr>
            <w:r w:rsidRPr="00B76D60">
              <w:t>0.45</w:t>
            </w:r>
          </w:p>
        </w:tc>
        <w:tc>
          <w:tcPr>
            <w:tcW w:w="1134" w:type="dxa"/>
            <w:tcBorders>
              <w:top w:val="nil"/>
              <w:bottom w:val="nil"/>
            </w:tcBorders>
            <w:shd w:val="clear" w:color="auto" w:fill="FFFFFF"/>
            <w:vAlign w:val="center"/>
          </w:tcPr>
          <w:p w14:paraId="74D6C34B" w14:textId="59EDB77E" w:rsidR="00A2102D" w:rsidRPr="00B76D60" w:rsidRDefault="00A2102D" w:rsidP="00620D96">
            <w:pPr>
              <w:pStyle w:val="CETBodytext"/>
              <w:jc w:val="center"/>
              <w:rPr>
                <w:rFonts w:cs="Arial"/>
                <w:szCs w:val="18"/>
              </w:rPr>
            </w:pPr>
            <w:r w:rsidRPr="00B76D60">
              <w:rPr>
                <w:rFonts w:cs="Arial"/>
                <w:szCs w:val="18"/>
              </w:rPr>
              <w:t>63.8</w:t>
            </w:r>
          </w:p>
        </w:tc>
        <w:tc>
          <w:tcPr>
            <w:tcW w:w="1418" w:type="dxa"/>
            <w:tcBorders>
              <w:top w:val="nil"/>
              <w:bottom w:val="nil"/>
            </w:tcBorders>
            <w:shd w:val="clear" w:color="auto" w:fill="FFFFFF"/>
            <w:vAlign w:val="center"/>
          </w:tcPr>
          <w:p w14:paraId="6E0EF786" w14:textId="48E95AEE" w:rsidR="00A2102D" w:rsidRPr="00B76D60" w:rsidRDefault="00A2102D" w:rsidP="00620D96">
            <w:pPr>
              <w:pStyle w:val="CETBodytext"/>
              <w:jc w:val="center"/>
              <w:rPr>
                <w:rFonts w:cs="Arial"/>
                <w:szCs w:val="18"/>
              </w:rPr>
            </w:pPr>
            <w:r w:rsidRPr="00B76D60">
              <w:rPr>
                <w:rFonts w:cs="Arial"/>
                <w:szCs w:val="18"/>
              </w:rPr>
              <w:t>1.1</w:t>
            </w:r>
          </w:p>
        </w:tc>
        <w:tc>
          <w:tcPr>
            <w:tcW w:w="1134" w:type="dxa"/>
            <w:tcBorders>
              <w:top w:val="nil"/>
              <w:bottom w:val="nil"/>
            </w:tcBorders>
            <w:shd w:val="clear" w:color="auto" w:fill="FFFFFF"/>
            <w:vAlign w:val="center"/>
          </w:tcPr>
          <w:p w14:paraId="4F3AC371" w14:textId="3606CB69" w:rsidR="00A2102D" w:rsidRPr="00B76D60" w:rsidRDefault="00A2102D" w:rsidP="00620D96">
            <w:pPr>
              <w:pStyle w:val="CETBodytext"/>
              <w:jc w:val="center"/>
              <w:rPr>
                <w:rFonts w:cs="Arial"/>
                <w:szCs w:val="18"/>
              </w:rPr>
            </w:pPr>
            <w:r w:rsidRPr="00B76D60">
              <w:rPr>
                <w:rFonts w:cs="Arial"/>
                <w:szCs w:val="18"/>
              </w:rPr>
              <w:t>200</w:t>
            </w:r>
          </w:p>
        </w:tc>
        <w:tc>
          <w:tcPr>
            <w:tcW w:w="1134" w:type="dxa"/>
            <w:tcBorders>
              <w:top w:val="nil"/>
              <w:bottom w:val="nil"/>
            </w:tcBorders>
            <w:shd w:val="clear" w:color="auto" w:fill="FFFFFF"/>
          </w:tcPr>
          <w:p w14:paraId="7C00B340" w14:textId="3C48B40E" w:rsidR="00A2102D" w:rsidRPr="00B76D60" w:rsidRDefault="00A2102D" w:rsidP="00620D96">
            <w:pPr>
              <w:pStyle w:val="CETBodytext"/>
              <w:jc w:val="center"/>
              <w:rPr>
                <w:rFonts w:cs="Arial"/>
                <w:szCs w:val="18"/>
              </w:rPr>
            </w:pPr>
            <w:r w:rsidRPr="00B76D60">
              <w:rPr>
                <w:rFonts w:cs="Arial"/>
                <w:szCs w:val="18"/>
              </w:rPr>
              <w:t>235</w:t>
            </w:r>
          </w:p>
        </w:tc>
      </w:tr>
      <w:tr w:rsidR="00A2102D" w:rsidRPr="00B76D60" w14:paraId="2637D0CD" w14:textId="41E98786" w:rsidTr="001D73B3">
        <w:trPr>
          <w:cantSplit/>
          <w:trHeight w:val="283"/>
        </w:trPr>
        <w:tc>
          <w:tcPr>
            <w:tcW w:w="1701" w:type="dxa"/>
            <w:tcBorders>
              <w:top w:val="nil"/>
              <w:bottom w:val="nil"/>
            </w:tcBorders>
            <w:shd w:val="clear" w:color="auto" w:fill="FFFFFF"/>
            <w:vAlign w:val="center"/>
          </w:tcPr>
          <w:p w14:paraId="47D219F0" w14:textId="4A509A7D" w:rsidR="00A2102D" w:rsidRPr="00B76D60" w:rsidRDefault="00A2102D" w:rsidP="00DD1560">
            <w:pPr>
              <w:pStyle w:val="CETBodytext"/>
              <w:jc w:val="left"/>
              <w:rPr>
                <w:lang w:val="en-GB"/>
              </w:rPr>
            </w:pPr>
            <w:r w:rsidRPr="00B76D60">
              <w:rPr>
                <w:lang w:val="en-GB"/>
              </w:rPr>
              <w:t>H1P3-20</w:t>
            </w:r>
          </w:p>
        </w:tc>
        <w:tc>
          <w:tcPr>
            <w:tcW w:w="1134" w:type="dxa"/>
            <w:tcBorders>
              <w:top w:val="nil"/>
              <w:bottom w:val="nil"/>
            </w:tcBorders>
            <w:shd w:val="clear" w:color="auto" w:fill="FFFFFF"/>
            <w:vAlign w:val="center"/>
          </w:tcPr>
          <w:p w14:paraId="6239DFBB" w14:textId="0B8271D8" w:rsidR="00A2102D" w:rsidRPr="00B76D60" w:rsidRDefault="00A2102D" w:rsidP="00620D96">
            <w:pPr>
              <w:pStyle w:val="CETBodytext"/>
              <w:jc w:val="center"/>
              <w:rPr>
                <w:lang w:val="en-GB"/>
              </w:rPr>
            </w:pPr>
            <w:r w:rsidRPr="00B76D60">
              <w:rPr>
                <w:lang w:val="en-GB"/>
              </w:rPr>
              <w:t>3,000</w:t>
            </w:r>
          </w:p>
        </w:tc>
        <w:tc>
          <w:tcPr>
            <w:tcW w:w="1134" w:type="dxa"/>
            <w:tcBorders>
              <w:top w:val="nil"/>
              <w:bottom w:val="nil"/>
            </w:tcBorders>
            <w:shd w:val="clear" w:color="auto" w:fill="FFFFFF"/>
            <w:vAlign w:val="center"/>
          </w:tcPr>
          <w:p w14:paraId="6149028A" w14:textId="1F1D4CB6" w:rsidR="00A2102D" w:rsidRPr="00B76D60" w:rsidRDefault="00A2102D" w:rsidP="00620D96">
            <w:pPr>
              <w:pStyle w:val="CETBodytext"/>
              <w:jc w:val="center"/>
            </w:pPr>
            <w:r w:rsidRPr="00B76D60">
              <w:t>0.06</w:t>
            </w:r>
          </w:p>
        </w:tc>
        <w:tc>
          <w:tcPr>
            <w:tcW w:w="1134" w:type="dxa"/>
            <w:tcBorders>
              <w:top w:val="nil"/>
              <w:bottom w:val="nil"/>
            </w:tcBorders>
            <w:shd w:val="clear" w:color="auto" w:fill="FFFFFF"/>
            <w:vAlign w:val="center"/>
          </w:tcPr>
          <w:p w14:paraId="48F360C4" w14:textId="6E0B1B79" w:rsidR="00A2102D" w:rsidRPr="00B76D60" w:rsidRDefault="00A2102D" w:rsidP="00620D96">
            <w:pPr>
              <w:pStyle w:val="CETBodytext"/>
              <w:jc w:val="center"/>
              <w:rPr>
                <w:rFonts w:cs="Arial"/>
                <w:szCs w:val="18"/>
              </w:rPr>
            </w:pPr>
            <w:r w:rsidRPr="00B76D60">
              <w:rPr>
                <w:rFonts w:cs="Arial"/>
                <w:szCs w:val="18"/>
              </w:rPr>
              <w:t>20.3</w:t>
            </w:r>
          </w:p>
        </w:tc>
        <w:tc>
          <w:tcPr>
            <w:tcW w:w="1418" w:type="dxa"/>
            <w:tcBorders>
              <w:top w:val="nil"/>
              <w:bottom w:val="nil"/>
            </w:tcBorders>
            <w:shd w:val="clear" w:color="auto" w:fill="FFFFFF"/>
            <w:vAlign w:val="center"/>
          </w:tcPr>
          <w:p w14:paraId="3BD429FA" w14:textId="461C2B80" w:rsidR="00A2102D" w:rsidRPr="00B76D60" w:rsidRDefault="00A2102D" w:rsidP="00620D96">
            <w:pPr>
              <w:pStyle w:val="CETBodytext"/>
              <w:jc w:val="center"/>
              <w:rPr>
                <w:rFonts w:cs="Arial"/>
                <w:szCs w:val="18"/>
              </w:rPr>
            </w:pPr>
            <w:r w:rsidRPr="00B76D60">
              <w:rPr>
                <w:rFonts w:cs="Arial"/>
                <w:szCs w:val="18"/>
              </w:rPr>
              <w:t>0.5</w:t>
            </w:r>
          </w:p>
        </w:tc>
        <w:tc>
          <w:tcPr>
            <w:tcW w:w="1134" w:type="dxa"/>
            <w:tcBorders>
              <w:top w:val="nil"/>
              <w:bottom w:val="nil"/>
            </w:tcBorders>
            <w:shd w:val="clear" w:color="auto" w:fill="FFFFFF"/>
            <w:vAlign w:val="center"/>
          </w:tcPr>
          <w:p w14:paraId="555B2F70" w14:textId="04F2F0F9" w:rsidR="00A2102D" w:rsidRPr="00B76D60" w:rsidRDefault="00A2102D" w:rsidP="00620D96">
            <w:pPr>
              <w:pStyle w:val="CETBodytext"/>
              <w:jc w:val="center"/>
              <w:rPr>
                <w:rFonts w:cs="Arial"/>
                <w:szCs w:val="18"/>
              </w:rPr>
            </w:pPr>
            <w:r w:rsidRPr="00B76D60">
              <w:rPr>
                <w:rFonts w:cs="Arial"/>
                <w:szCs w:val="18"/>
              </w:rPr>
              <w:t>120</w:t>
            </w:r>
          </w:p>
        </w:tc>
        <w:tc>
          <w:tcPr>
            <w:tcW w:w="1134" w:type="dxa"/>
            <w:tcBorders>
              <w:top w:val="nil"/>
              <w:bottom w:val="nil"/>
            </w:tcBorders>
            <w:shd w:val="clear" w:color="auto" w:fill="FFFFFF"/>
          </w:tcPr>
          <w:p w14:paraId="37010176" w14:textId="1683FEF3" w:rsidR="00A2102D" w:rsidRPr="00B76D60" w:rsidRDefault="00A2102D" w:rsidP="00620D96">
            <w:pPr>
              <w:pStyle w:val="CETBodytext"/>
              <w:jc w:val="center"/>
              <w:rPr>
                <w:rFonts w:cs="Arial"/>
                <w:szCs w:val="18"/>
              </w:rPr>
            </w:pPr>
            <w:r w:rsidRPr="00B76D60">
              <w:rPr>
                <w:rFonts w:cs="Arial"/>
                <w:szCs w:val="18"/>
              </w:rPr>
              <w:t>250</w:t>
            </w:r>
          </w:p>
        </w:tc>
      </w:tr>
      <w:tr w:rsidR="00A2102D" w:rsidRPr="00B76D60" w14:paraId="6BF9DC5C" w14:textId="3CA1E748" w:rsidTr="001D73B3">
        <w:trPr>
          <w:cantSplit/>
          <w:trHeight w:val="283"/>
        </w:trPr>
        <w:tc>
          <w:tcPr>
            <w:tcW w:w="1701" w:type="dxa"/>
            <w:tcBorders>
              <w:top w:val="nil"/>
              <w:bottom w:val="nil"/>
            </w:tcBorders>
            <w:shd w:val="clear" w:color="auto" w:fill="FFFFFF"/>
            <w:vAlign w:val="center"/>
          </w:tcPr>
          <w:p w14:paraId="335F5FE6" w14:textId="20AD7281" w:rsidR="00A2102D" w:rsidRPr="00B76D60" w:rsidRDefault="00A2102D" w:rsidP="00DD1560">
            <w:pPr>
              <w:pStyle w:val="CETBodytext"/>
              <w:jc w:val="left"/>
              <w:rPr>
                <w:lang w:val="en-GB"/>
              </w:rPr>
            </w:pPr>
            <w:r w:rsidRPr="00B76D60">
              <w:rPr>
                <w:lang w:val="en-GB"/>
              </w:rPr>
              <w:t>H1P30-20</w:t>
            </w:r>
          </w:p>
        </w:tc>
        <w:tc>
          <w:tcPr>
            <w:tcW w:w="1134" w:type="dxa"/>
            <w:tcBorders>
              <w:top w:val="nil"/>
              <w:bottom w:val="nil"/>
            </w:tcBorders>
            <w:shd w:val="clear" w:color="auto" w:fill="FFFFFF"/>
            <w:vAlign w:val="center"/>
          </w:tcPr>
          <w:p w14:paraId="6CEEBA3E" w14:textId="26562DA2" w:rsidR="00A2102D" w:rsidRPr="00B76D60" w:rsidRDefault="00A2102D" w:rsidP="00620D96">
            <w:pPr>
              <w:pStyle w:val="CETBodytext"/>
              <w:jc w:val="center"/>
              <w:rPr>
                <w:lang w:val="en-GB"/>
              </w:rPr>
            </w:pPr>
            <w:r w:rsidRPr="00B76D60">
              <w:rPr>
                <w:lang w:val="en-GB"/>
              </w:rPr>
              <w:t>30,000</w:t>
            </w:r>
          </w:p>
        </w:tc>
        <w:tc>
          <w:tcPr>
            <w:tcW w:w="1134" w:type="dxa"/>
            <w:tcBorders>
              <w:top w:val="nil"/>
              <w:bottom w:val="nil"/>
            </w:tcBorders>
            <w:shd w:val="clear" w:color="auto" w:fill="FFFFFF"/>
            <w:vAlign w:val="center"/>
          </w:tcPr>
          <w:p w14:paraId="1D6BC580" w14:textId="672B31CB" w:rsidR="00A2102D" w:rsidRPr="00B76D60" w:rsidRDefault="00A2102D" w:rsidP="00620D96">
            <w:pPr>
              <w:pStyle w:val="CETBodytext"/>
              <w:jc w:val="center"/>
            </w:pPr>
            <w:r w:rsidRPr="00B76D60">
              <w:t>0.06</w:t>
            </w:r>
          </w:p>
        </w:tc>
        <w:tc>
          <w:tcPr>
            <w:tcW w:w="1134" w:type="dxa"/>
            <w:tcBorders>
              <w:top w:val="nil"/>
              <w:bottom w:val="nil"/>
            </w:tcBorders>
            <w:shd w:val="clear" w:color="auto" w:fill="FFFFFF"/>
            <w:vAlign w:val="center"/>
          </w:tcPr>
          <w:p w14:paraId="4A848568" w14:textId="45E707C1" w:rsidR="00A2102D" w:rsidRPr="00B76D60" w:rsidRDefault="00A2102D" w:rsidP="00620D96">
            <w:pPr>
              <w:pStyle w:val="CETBodytext"/>
              <w:jc w:val="center"/>
              <w:rPr>
                <w:rFonts w:cs="Arial"/>
                <w:szCs w:val="18"/>
              </w:rPr>
            </w:pPr>
            <w:r w:rsidRPr="00B76D60">
              <w:rPr>
                <w:rFonts w:cs="Arial"/>
                <w:szCs w:val="18"/>
              </w:rPr>
              <w:t>20.3</w:t>
            </w:r>
          </w:p>
        </w:tc>
        <w:tc>
          <w:tcPr>
            <w:tcW w:w="1418" w:type="dxa"/>
            <w:tcBorders>
              <w:top w:val="nil"/>
              <w:bottom w:val="nil"/>
            </w:tcBorders>
            <w:shd w:val="clear" w:color="auto" w:fill="FFFFFF"/>
            <w:vAlign w:val="center"/>
          </w:tcPr>
          <w:p w14:paraId="58FED2AD" w14:textId="5C372476" w:rsidR="00A2102D" w:rsidRPr="00B76D60" w:rsidRDefault="00A2102D" w:rsidP="00620D96">
            <w:pPr>
              <w:pStyle w:val="CETBodytext"/>
              <w:jc w:val="center"/>
              <w:rPr>
                <w:rFonts w:cs="Arial"/>
                <w:szCs w:val="18"/>
              </w:rPr>
            </w:pPr>
            <w:r w:rsidRPr="00B76D60">
              <w:rPr>
                <w:rFonts w:cs="Arial"/>
                <w:szCs w:val="18"/>
              </w:rPr>
              <w:t>0.5</w:t>
            </w:r>
          </w:p>
        </w:tc>
        <w:tc>
          <w:tcPr>
            <w:tcW w:w="1134" w:type="dxa"/>
            <w:tcBorders>
              <w:top w:val="nil"/>
              <w:bottom w:val="nil"/>
            </w:tcBorders>
            <w:shd w:val="clear" w:color="auto" w:fill="FFFFFF"/>
            <w:vAlign w:val="center"/>
          </w:tcPr>
          <w:p w14:paraId="42E52644" w14:textId="42C1FEF2" w:rsidR="00A2102D" w:rsidRPr="00B76D60" w:rsidRDefault="00A2102D" w:rsidP="00620D96">
            <w:pPr>
              <w:pStyle w:val="CETBodytext"/>
              <w:jc w:val="center"/>
              <w:rPr>
                <w:rFonts w:cs="Arial"/>
                <w:szCs w:val="18"/>
              </w:rPr>
            </w:pPr>
            <w:r w:rsidRPr="00B76D60">
              <w:rPr>
                <w:rFonts w:cs="Arial"/>
                <w:szCs w:val="18"/>
              </w:rPr>
              <w:t>120</w:t>
            </w:r>
          </w:p>
        </w:tc>
        <w:tc>
          <w:tcPr>
            <w:tcW w:w="1134" w:type="dxa"/>
            <w:tcBorders>
              <w:top w:val="nil"/>
              <w:bottom w:val="nil"/>
            </w:tcBorders>
            <w:shd w:val="clear" w:color="auto" w:fill="FFFFFF"/>
          </w:tcPr>
          <w:p w14:paraId="2A327FB6" w14:textId="4F919448" w:rsidR="00A2102D" w:rsidRPr="00B76D60" w:rsidRDefault="00A2102D" w:rsidP="00620D96">
            <w:pPr>
              <w:pStyle w:val="CETBodytext"/>
              <w:jc w:val="center"/>
              <w:rPr>
                <w:rFonts w:cs="Arial"/>
                <w:szCs w:val="18"/>
              </w:rPr>
            </w:pPr>
            <w:r w:rsidRPr="00B76D60">
              <w:rPr>
                <w:rFonts w:cs="Arial"/>
                <w:szCs w:val="18"/>
              </w:rPr>
              <w:t>250</w:t>
            </w:r>
          </w:p>
        </w:tc>
      </w:tr>
      <w:tr w:rsidR="00A2102D" w:rsidRPr="00B76D60" w14:paraId="0E7F762F" w14:textId="6E5A38B0" w:rsidTr="001D73B3">
        <w:trPr>
          <w:cantSplit/>
          <w:trHeight w:val="283"/>
        </w:trPr>
        <w:tc>
          <w:tcPr>
            <w:tcW w:w="1701" w:type="dxa"/>
            <w:tcBorders>
              <w:top w:val="nil"/>
            </w:tcBorders>
            <w:shd w:val="clear" w:color="auto" w:fill="FFFFFF"/>
            <w:vAlign w:val="center"/>
          </w:tcPr>
          <w:p w14:paraId="010BC42A" w14:textId="1D7FC7E7" w:rsidR="00A2102D" w:rsidRPr="00B76D60" w:rsidRDefault="00A2102D" w:rsidP="00DD1560">
            <w:pPr>
              <w:pStyle w:val="CETBodytext"/>
              <w:ind w:right="-1"/>
              <w:jc w:val="left"/>
              <w:rPr>
                <w:rFonts w:cs="Arial"/>
                <w:szCs w:val="18"/>
              </w:rPr>
            </w:pPr>
            <w:r w:rsidRPr="00B76D60">
              <w:rPr>
                <w:rFonts w:cs="Arial"/>
                <w:szCs w:val="18"/>
              </w:rPr>
              <w:t>H1P100-20</w:t>
            </w:r>
          </w:p>
        </w:tc>
        <w:tc>
          <w:tcPr>
            <w:tcW w:w="1134" w:type="dxa"/>
            <w:tcBorders>
              <w:top w:val="nil"/>
            </w:tcBorders>
            <w:shd w:val="clear" w:color="auto" w:fill="FFFFFF"/>
            <w:vAlign w:val="center"/>
          </w:tcPr>
          <w:p w14:paraId="3B71277F" w14:textId="42AA18F4" w:rsidR="00A2102D" w:rsidRPr="00B76D60" w:rsidRDefault="00A2102D" w:rsidP="00620D96">
            <w:pPr>
              <w:pStyle w:val="CETBodytext"/>
              <w:ind w:right="-1"/>
              <w:jc w:val="center"/>
              <w:rPr>
                <w:rFonts w:cs="Arial"/>
                <w:szCs w:val="18"/>
              </w:rPr>
            </w:pPr>
            <w:r w:rsidRPr="00B76D60">
              <w:rPr>
                <w:rFonts w:cs="Arial"/>
                <w:szCs w:val="18"/>
              </w:rPr>
              <w:t>100,000</w:t>
            </w:r>
          </w:p>
        </w:tc>
        <w:tc>
          <w:tcPr>
            <w:tcW w:w="1134" w:type="dxa"/>
            <w:tcBorders>
              <w:top w:val="nil"/>
            </w:tcBorders>
            <w:shd w:val="clear" w:color="auto" w:fill="FFFFFF"/>
            <w:vAlign w:val="center"/>
          </w:tcPr>
          <w:p w14:paraId="7F04FB5E" w14:textId="724C7310" w:rsidR="00A2102D" w:rsidRPr="00B76D60" w:rsidRDefault="00A2102D" w:rsidP="00620D96">
            <w:pPr>
              <w:pStyle w:val="CETBodytext"/>
              <w:ind w:right="-1"/>
              <w:jc w:val="center"/>
              <w:rPr>
                <w:rFonts w:cs="Arial"/>
                <w:szCs w:val="18"/>
              </w:rPr>
            </w:pPr>
            <w:r w:rsidRPr="00B76D60">
              <w:rPr>
                <w:rFonts w:cs="Arial"/>
                <w:szCs w:val="18"/>
              </w:rPr>
              <w:t>0.06</w:t>
            </w:r>
          </w:p>
        </w:tc>
        <w:tc>
          <w:tcPr>
            <w:tcW w:w="1134" w:type="dxa"/>
            <w:tcBorders>
              <w:top w:val="nil"/>
            </w:tcBorders>
            <w:shd w:val="clear" w:color="auto" w:fill="FFFFFF"/>
            <w:vAlign w:val="center"/>
          </w:tcPr>
          <w:p w14:paraId="7D2C2E58" w14:textId="6C429C17" w:rsidR="00A2102D" w:rsidRPr="00B76D60" w:rsidRDefault="00A2102D" w:rsidP="00620D96">
            <w:pPr>
              <w:pStyle w:val="CETBodytext"/>
              <w:ind w:right="-1"/>
              <w:jc w:val="center"/>
              <w:rPr>
                <w:rFonts w:cs="Arial"/>
                <w:szCs w:val="18"/>
              </w:rPr>
            </w:pPr>
            <w:r w:rsidRPr="00B76D60">
              <w:rPr>
                <w:rFonts w:cs="Arial"/>
                <w:szCs w:val="18"/>
              </w:rPr>
              <w:t>20.3</w:t>
            </w:r>
          </w:p>
        </w:tc>
        <w:tc>
          <w:tcPr>
            <w:tcW w:w="1418" w:type="dxa"/>
            <w:tcBorders>
              <w:top w:val="nil"/>
            </w:tcBorders>
            <w:shd w:val="clear" w:color="auto" w:fill="FFFFFF"/>
            <w:vAlign w:val="center"/>
          </w:tcPr>
          <w:p w14:paraId="5C25EA33" w14:textId="61215C54" w:rsidR="00A2102D" w:rsidRPr="00B76D60" w:rsidRDefault="00A2102D" w:rsidP="00620D96">
            <w:pPr>
              <w:pStyle w:val="CETBodytext"/>
              <w:ind w:right="-1"/>
              <w:jc w:val="center"/>
              <w:rPr>
                <w:rFonts w:cs="Arial"/>
                <w:szCs w:val="18"/>
              </w:rPr>
            </w:pPr>
            <w:r w:rsidRPr="00B76D60">
              <w:rPr>
                <w:rFonts w:cs="Arial"/>
                <w:szCs w:val="18"/>
              </w:rPr>
              <w:t>0.5</w:t>
            </w:r>
          </w:p>
        </w:tc>
        <w:tc>
          <w:tcPr>
            <w:tcW w:w="1134" w:type="dxa"/>
            <w:tcBorders>
              <w:top w:val="nil"/>
            </w:tcBorders>
            <w:shd w:val="clear" w:color="auto" w:fill="FFFFFF"/>
            <w:vAlign w:val="center"/>
          </w:tcPr>
          <w:p w14:paraId="22FAE713" w14:textId="447E5E04" w:rsidR="00A2102D" w:rsidRPr="00B76D60" w:rsidRDefault="00A2102D" w:rsidP="00620D96">
            <w:pPr>
              <w:pStyle w:val="CETBodytext"/>
              <w:ind w:right="-1"/>
              <w:jc w:val="center"/>
              <w:rPr>
                <w:rFonts w:cs="Arial"/>
                <w:szCs w:val="18"/>
              </w:rPr>
            </w:pPr>
            <w:r w:rsidRPr="00B76D60">
              <w:rPr>
                <w:rFonts w:cs="Arial"/>
                <w:szCs w:val="18"/>
              </w:rPr>
              <w:t>120</w:t>
            </w:r>
          </w:p>
        </w:tc>
        <w:tc>
          <w:tcPr>
            <w:tcW w:w="1134" w:type="dxa"/>
            <w:tcBorders>
              <w:top w:val="nil"/>
            </w:tcBorders>
            <w:shd w:val="clear" w:color="auto" w:fill="FFFFFF"/>
          </w:tcPr>
          <w:p w14:paraId="163DB465" w14:textId="605D396A" w:rsidR="00A2102D" w:rsidRPr="00B76D60" w:rsidRDefault="00A2102D" w:rsidP="00620D96">
            <w:pPr>
              <w:pStyle w:val="CETBodytext"/>
              <w:ind w:right="-1"/>
              <w:jc w:val="center"/>
              <w:rPr>
                <w:rFonts w:cs="Arial"/>
                <w:szCs w:val="18"/>
              </w:rPr>
            </w:pPr>
            <w:r w:rsidRPr="00B76D60">
              <w:rPr>
                <w:rFonts w:cs="Arial"/>
                <w:szCs w:val="18"/>
              </w:rPr>
              <w:t>250</w:t>
            </w:r>
          </w:p>
        </w:tc>
      </w:tr>
    </w:tbl>
    <w:p w14:paraId="35863F2A" w14:textId="7A320F49" w:rsidR="00623E40" w:rsidRPr="00B76D60" w:rsidRDefault="00623E40" w:rsidP="00901B77">
      <w:pPr>
        <w:pStyle w:val="CETBodytext"/>
      </w:pPr>
    </w:p>
    <w:p w14:paraId="64FE4507" w14:textId="67A27CE2" w:rsidR="00AD3963" w:rsidRPr="00B76D60" w:rsidRDefault="00064701" w:rsidP="00064701">
      <w:pPr>
        <w:pStyle w:val="CETBodytext"/>
      </w:pPr>
      <w:r w:rsidRPr="00B76D60">
        <w:t xml:space="preserve">Nitrate standards were prepared using potassium nitrate (analytical grade) and </w:t>
      </w:r>
      <w:r w:rsidR="00F9272B" w:rsidRPr="00B76D60">
        <w:t>deionized</w:t>
      </w:r>
      <w:r w:rsidRPr="00B76D60">
        <w:t xml:space="preserve"> water. </w:t>
      </w:r>
      <w:r w:rsidR="00ED4A81" w:rsidRPr="00B76D60">
        <w:t>The nitrates and phosphate c</w:t>
      </w:r>
      <w:r w:rsidR="00F9272B" w:rsidRPr="00B76D60">
        <w:t xml:space="preserve">oncentrations </w:t>
      </w:r>
      <w:r w:rsidRPr="00B76D60">
        <w:t xml:space="preserve">were measured using </w:t>
      </w:r>
      <w:r w:rsidR="00995FBB" w:rsidRPr="00B76D60">
        <w:t xml:space="preserve">a </w:t>
      </w:r>
      <w:r w:rsidRPr="00B76D60">
        <w:t xml:space="preserve">Dionex DX-500 Ion-chromatograph. </w:t>
      </w:r>
      <w:r w:rsidR="00622B3E" w:rsidRPr="00B76D60">
        <w:t xml:space="preserve">The concentrations of </w:t>
      </w:r>
      <w:r w:rsidRPr="00B76D60">
        <w:t xml:space="preserve">Total Suspended Solids (TSS) </w:t>
      </w:r>
      <w:r w:rsidR="003C513B" w:rsidRPr="00B76D60">
        <w:t xml:space="preserve">and Volatile Suspended Solids (VSS) </w:t>
      </w:r>
      <w:r w:rsidRPr="00B76D60">
        <w:t>were measured accord</w:t>
      </w:r>
      <w:r w:rsidR="00995FBB" w:rsidRPr="00B76D60">
        <w:t>ing to</w:t>
      </w:r>
      <w:r w:rsidRPr="00B76D60">
        <w:t xml:space="preserve"> </w:t>
      </w:r>
      <w:r w:rsidR="00622B3E" w:rsidRPr="00B76D60">
        <w:t xml:space="preserve">standard </w:t>
      </w:r>
      <w:r w:rsidRPr="00B76D60">
        <w:t xml:space="preserve">ASTM </w:t>
      </w:r>
      <w:r w:rsidR="00622B3E" w:rsidRPr="00B76D60">
        <w:t>m</w:t>
      </w:r>
      <w:r w:rsidRPr="00B76D60">
        <w:t>ethods</w:t>
      </w:r>
      <w:r w:rsidR="001F7E2B" w:rsidRPr="00B76D60">
        <w:t xml:space="preserve"> (</w:t>
      </w:r>
      <w:r w:rsidR="002C6F61" w:rsidRPr="00B76D60">
        <w:t xml:space="preserve">gravimetrically, by preliminary filtration, followed by drying in an oven at 105 °C and subsequent combustion at 550 °C, in order to cause the </w:t>
      </w:r>
      <w:r w:rsidR="008F7C5D" w:rsidRPr="00B76D60">
        <w:t>destruc</w:t>
      </w:r>
      <w:r w:rsidR="002C6F61" w:rsidRPr="00B76D60">
        <w:t>tion of any organic substance present)</w:t>
      </w:r>
      <w:r w:rsidRPr="00B76D60">
        <w:t xml:space="preserve">. Total </w:t>
      </w:r>
      <w:r w:rsidR="00622B3E" w:rsidRPr="00B76D60">
        <w:t>O</w:t>
      </w:r>
      <w:r w:rsidRPr="00B76D60">
        <w:t xml:space="preserve">rganic </w:t>
      </w:r>
      <w:r w:rsidR="00622B3E" w:rsidRPr="00B76D60">
        <w:t>C</w:t>
      </w:r>
      <w:r w:rsidRPr="00B76D60">
        <w:t>arbon (TOC) con</w:t>
      </w:r>
      <w:r w:rsidR="002C6F61" w:rsidRPr="00B76D60">
        <w:t>te</w:t>
      </w:r>
      <w:r w:rsidRPr="00B76D60">
        <w:t>n</w:t>
      </w:r>
      <w:r w:rsidR="002C6F61" w:rsidRPr="00B76D60">
        <w:t>t</w:t>
      </w:r>
      <w:r w:rsidRPr="00B76D60">
        <w:t xml:space="preserve"> w</w:t>
      </w:r>
      <w:r w:rsidR="002C6F61" w:rsidRPr="00B76D60">
        <w:t>as</w:t>
      </w:r>
      <w:r w:rsidRPr="00B76D60">
        <w:t xml:space="preserve"> measured using </w:t>
      </w:r>
      <w:r w:rsidR="00995FBB" w:rsidRPr="00B76D60">
        <w:t xml:space="preserve">a </w:t>
      </w:r>
      <w:r w:rsidRPr="00B76D60">
        <w:t>Dohrmann DC-190 High Temperature TOC Analyzer (Rosemount Analytical Inc.)</w:t>
      </w:r>
      <w:r w:rsidR="002C6F61" w:rsidRPr="00B76D60">
        <w:t>, while</w:t>
      </w:r>
      <w:r w:rsidR="005D0FF0" w:rsidRPr="00B76D60">
        <w:t xml:space="preserve"> </w:t>
      </w:r>
      <w:r w:rsidR="00AD3963" w:rsidRPr="00B76D60">
        <w:t xml:space="preserve">pH, conductivity and dissolved oxygen </w:t>
      </w:r>
      <w:r w:rsidR="00622B3E" w:rsidRPr="00B76D60">
        <w:t xml:space="preserve">measurements </w:t>
      </w:r>
      <w:r w:rsidR="00AD3963" w:rsidRPr="00B76D60">
        <w:t>were performed with the aid of a single instrument (M</w:t>
      </w:r>
      <w:r w:rsidR="001F7E2B" w:rsidRPr="00B76D60">
        <w:t>ulti</w:t>
      </w:r>
      <w:r w:rsidR="00AD3963" w:rsidRPr="00B76D60">
        <w:t>L</w:t>
      </w:r>
      <w:r w:rsidR="001F7E2B" w:rsidRPr="00B76D60">
        <w:t>ine</w:t>
      </w:r>
      <w:r w:rsidR="00AD3963" w:rsidRPr="00B76D60">
        <w:t xml:space="preserve"> P4</w:t>
      </w:r>
      <w:r w:rsidR="001F7E2B" w:rsidRPr="00B76D60">
        <w:t>, WTW</w:t>
      </w:r>
      <w:r w:rsidR="00AD3963" w:rsidRPr="00B76D60">
        <w:t>), capable of analyzing and recording data with variable time intervals.</w:t>
      </w:r>
    </w:p>
    <w:p w14:paraId="339AFC32" w14:textId="742E4B06" w:rsidR="0060472B" w:rsidRPr="00B76D60" w:rsidRDefault="0060472B" w:rsidP="0060472B">
      <w:pPr>
        <w:pStyle w:val="CETheadingx"/>
      </w:pPr>
      <w:r w:rsidRPr="00B76D60">
        <w:t>Hydraulic characterization tests</w:t>
      </w:r>
    </w:p>
    <w:p w14:paraId="0F64D185" w14:textId="6C7F513D" w:rsidR="005E2542" w:rsidRPr="00B76D60" w:rsidRDefault="0024661A" w:rsidP="005E2542">
      <w:pPr>
        <w:pStyle w:val="CETBodytext"/>
      </w:pPr>
      <w:r w:rsidRPr="00B76D60">
        <w:t>The p</w:t>
      </w:r>
      <w:r w:rsidR="0060472B" w:rsidRPr="00B76D60">
        <w:t xml:space="preserve">ermeability tests were </w:t>
      </w:r>
      <w:r w:rsidRPr="00B76D60">
        <w:t>carried out</w:t>
      </w:r>
      <w:r w:rsidR="0060472B" w:rsidRPr="00B76D60">
        <w:t xml:space="preserve"> by circulating deionized water inside the hollow fibers with variable flow and pressure</w:t>
      </w:r>
      <w:r w:rsidR="00A61664" w:rsidRPr="00B76D60">
        <w:t>, to evaluate the quantit</w:t>
      </w:r>
      <w:r w:rsidRPr="00B76D60">
        <w:t>y</w:t>
      </w:r>
      <w:r w:rsidR="00A61664" w:rsidRPr="00B76D60">
        <w:t xml:space="preserve"> of water that permeate</w:t>
      </w:r>
      <w:r w:rsidRPr="00B76D60">
        <w:t>s</w:t>
      </w:r>
      <w:r w:rsidR="00A61664" w:rsidRPr="00B76D60">
        <w:t xml:space="preserve"> from the inside to the outside of the fiber according to the module and the operating conditions adopted. The tests were conducted by varying the influent flow rate in a decreasing way between </w:t>
      </w:r>
      <w:r w:rsidRPr="00B76D60">
        <w:t xml:space="preserve">522 </w:t>
      </w:r>
      <w:r w:rsidR="00A61664" w:rsidRPr="00B76D60">
        <w:t xml:space="preserve">and </w:t>
      </w:r>
      <w:r w:rsidRPr="00B76D60">
        <w:t xml:space="preserve">160 </w:t>
      </w:r>
      <w:r w:rsidR="00A61664" w:rsidRPr="00B76D60">
        <w:t>mL/h, setting the external recirculation flow rate first to 170 mL/h and subsequently to 240 mL/h, and evaluating the flow rate of the permeate overflowing from the external circuit.</w:t>
      </w:r>
      <w:r w:rsidR="0060472B" w:rsidRPr="00B76D60">
        <w:t xml:space="preserve"> </w:t>
      </w:r>
      <w:r w:rsidR="009C587A" w:rsidRPr="00B76D60">
        <w:t>With</w:t>
      </w:r>
      <w:r w:rsidR="005E2542" w:rsidRPr="00B76D60">
        <w:t xml:space="preserve"> each change in flow rate, it took approximately 20 minutes for the flows to stabilize before measurement. The measurement of the quantity permeated to the outside was carried out by measuring the variation in the volumes entering and leaving the external compartment, using calibrated tanks.</w:t>
      </w:r>
    </w:p>
    <w:p w14:paraId="4C8FA4C0" w14:textId="7AAE1E6A" w:rsidR="00F05ED9" w:rsidRPr="00B76D60" w:rsidRDefault="00806B33" w:rsidP="0060472B">
      <w:pPr>
        <w:pStyle w:val="CETBodytext"/>
      </w:pPr>
      <w:r w:rsidRPr="00B76D60">
        <w:t xml:space="preserve">Diffusion tests were also </w:t>
      </w:r>
      <w:r w:rsidR="0081711B" w:rsidRPr="00B76D60">
        <w:t>carried out</w:t>
      </w:r>
      <w:r w:rsidRPr="00B76D60">
        <w:t xml:space="preserve"> to evaluate the diffusivity characteristics of the </w:t>
      </w:r>
      <w:r w:rsidR="0081711B" w:rsidRPr="00B76D60">
        <w:t xml:space="preserve">various </w:t>
      </w:r>
      <w:r w:rsidRPr="00B76D60">
        <w:t xml:space="preserve">membranes used against the various compounds involved, namely nitrates, </w:t>
      </w:r>
      <w:r w:rsidR="0081711B" w:rsidRPr="00B76D60">
        <w:t xml:space="preserve">the </w:t>
      </w:r>
      <w:r w:rsidRPr="00B76D60">
        <w:t xml:space="preserve">carbon source and phosphates. </w:t>
      </w:r>
      <w:r w:rsidR="004A6BA7" w:rsidRPr="00B76D60">
        <w:t xml:space="preserve">The tests were carried out by circulating the solution with </w:t>
      </w:r>
      <w:r w:rsidR="0037045D" w:rsidRPr="00B76D60">
        <w:t xml:space="preserve">the </w:t>
      </w:r>
      <w:r w:rsidR="004A6BA7" w:rsidRPr="00B76D60">
        <w:t xml:space="preserve">nitrates inside the fibers and the nutrient solution outside the fibers, alternately replacing </w:t>
      </w:r>
      <w:r w:rsidR="0037045D" w:rsidRPr="00B76D60">
        <w:rPr>
          <w:lang w:val="en"/>
        </w:rPr>
        <w:t>one</w:t>
      </w:r>
      <w:r w:rsidR="004A6BA7" w:rsidRPr="00B76D60">
        <w:rPr>
          <w:lang w:val="en"/>
        </w:rPr>
        <w:t xml:space="preserve"> of the</w:t>
      </w:r>
      <w:r w:rsidR="004A6BA7" w:rsidRPr="00B76D60">
        <w:t xml:space="preserve"> two solutions with deionized water to </w:t>
      </w:r>
      <w:r w:rsidR="001C5000" w:rsidRPr="00B76D60">
        <w:t>avoid</w:t>
      </w:r>
      <w:r w:rsidR="004A6BA7" w:rsidRPr="00B76D60">
        <w:t xml:space="preserve"> the </w:t>
      </w:r>
      <w:r w:rsidR="001C5000" w:rsidRPr="00B76D60">
        <w:t>triggering</w:t>
      </w:r>
      <w:r w:rsidR="004A6BA7" w:rsidRPr="00B76D60">
        <w:t xml:space="preserve"> of unwanted denitrification reactions.</w:t>
      </w:r>
      <w:r w:rsidR="008B7344" w:rsidRPr="00B76D60">
        <w:t xml:space="preserve"> To evaluate the diffusion effect</w:t>
      </w:r>
      <w:r w:rsidR="001C5000" w:rsidRPr="00B76D60">
        <w:t xml:space="preserve"> only</w:t>
      </w:r>
      <w:r w:rsidR="008B7344" w:rsidRPr="00B76D60">
        <w:t xml:space="preserve">, limiting the permeation as much as possible, </w:t>
      </w:r>
      <w:r w:rsidR="001C5000" w:rsidRPr="00B76D60">
        <w:t xml:space="preserve">low </w:t>
      </w:r>
      <w:r w:rsidR="008B7344" w:rsidRPr="00B76D60">
        <w:t xml:space="preserve">flow rates were </w:t>
      </w:r>
      <w:r w:rsidR="001C5000" w:rsidRPr="00B76D60">
        <w:t>maintained</w:t>
      </w:r>
      <w:r w:rsidR="008B7344" w:rsidRPr="00B76D60">
        <w:t xml:space="preserve">, in </w:t>
      </w:r>
      <w:r w:rsidR="001C5000" w:rsidRPr="00B76D60">
        <w:t>the</w:t>
      </w:r>
      <w:r w:rsidR="008B7344" w:rsidRPr="00B76D60">
        <w:t xml:space="preserve"> range 200 ÷ 400 mL/h, similar to </w:t>
      </w:r>
      <w:r w:rsidR="008B7344" w:rsidRPr="00B76D60">
        <w:rPr>
          <w:lang w:val="en"/>
        </w:rPr>
        <w:t xml:space="preserve">the values estimated </w:t>
      </w:r>
      <w:r w:rsidR="0081711B" w:rsidRPr="00B76D60">
        <w:rPr>
          <w:lang w:val="en"/>
        </w:rPr>
        <w:t>for</w:t>
      </w:r>
      <w:r w:rsidR="008B7344" w:rsidRPr="00B76D60">
        <w:rPr>
          <w:lang w:val="en"/>
        </w:rPr>
        <w:t xml:space="preserve"> use in continuous operation, evaluable between 100 and </w:t>
      </w:r>
      <w:r w:rsidR="00585429" w:rsidRPr="00B76D60">
        <w:rPr>
          <w:lang w:val="en"/>
        </w:rPr>
        <w:t>6</w:t>
      </w:r>
      <w:r w:rsidR="008B7344" w:rsidRPr="00B76D60">
        <w:rPr>
          <w:lang w:val="en"/>
        </w:rPr>
        <w:t>00 mL/h.</w:t>
      </w:r>
      <w:r w:rsidR="008B7344" w:rsidRPr="00B76D60">
        <w:t xml:space="preserve"> </w:t>
      </w:r>
      <w:r w:rsidR="00F05ED9" w:rsidRPr="00B76D60">
        <w:t xml:space="preserve">Indicating with A and B </w:t>
      </w:r>
      <w:r w:rsidR="0024661A" w:rsidRPr="00B76D60">
        <w:t xml:space="preserve">respectively </w:t>
      </w:r>
      <w:r w:rsidR="00F05ED9" w:rsidRPr="00B76D60">
        <w:t>the internal and external compartment</w:t>
      </w:r>
      <w:r w:rsidR="0081711B" w:rsidRPr="00B76D60">
        <w:t>s</w:t>
      </w:r>
      <w:r w:rsidR="00F05ED9" w:rsidRPr="00B76D60">
        <w:t xml:space="preserve"> </w:t>
      </w:r>
      <w:r w:rsidR="0081711B" w:rsidRPr="00B76D60">
        <w:t>of</w:t>
      </w:r>
      <w:r w:rsidR="00F05ED9" w:rsidRPr="00B76D60">
        <w:t xml:space="preserve"> the fibers,</w:t>
      </w:r>
      <w:r w:rsidR="0081711B" w:rsidRPr="00B76D60">
        <w:t xml:space="preserve"> </w:t>
      </w:r>
      <w:r w:rsidR="00F05ED9" w:rsidRPr="00B76D60">
        <w:t>the experimental conditions can be summarized as follows:</w:t>
      </w:r>
    </w:p>
    <w:p w14:paraId="443DD64C" w14:textId="6082C079" w:rsidR="00E60D16" w:rsidRPr="00B76D60" w:rsidRDefault="00E60D16" w:rsidP="00E60D16">
      <w:pPr>
        <w:pStyle w:val="CETBodytext"/>
        <w:numPr>
          <w:ilvl w:val="0"/>
          <w:numId w:val="30"/>
        </w:numPr>
      </w:pPr>
      <w:r w:rsidRPr="00B76D60">
        <w:t xml:space="preserve">Diffusion of nitrates: solution </w:t>
      </w:r>
      <w:r w:rsidR="00094B4A" w:rsidRPr="00B76D60">
        <w:rPr>
          <w:rStyle w:val="jlqj4b"/>
          <w:lang w:val="en"/>
        </w:rPr>
        <w:t xml:space="preserve">containing </w:t>
      </w:r>
      <w:r w:rsidRPr="00B76D60">
        <w:t>nitrates (A) and deionized water (B); V</w:t>
      </w:r>
      <w:r w:rsidRPr="00B76D60">
        <w:rPr>
          <w:vertAlign w:val="subscript"/>
        </w:rPr>
        <w:t>A</w:t>
      </w:r>
      <w:r w:rsidRPr="00B76D60">
        <w:t>=V</w:t>
      </w:r>
      <w:r w:rsidRPr="00B76D60">
        <w:rPr>
          <w:vertAlign w:val="subscript"/>
        </w:rPr>
        <w:t>B</w:t>
      </w:r>
      <w:r w:rsidRPr="00B76D60">
        <w:t>=1000 mL; P</w:t>
      </w:r>
      <w:r w:rsidRPr="00B76D60">
        <w:rPr>
          <w:vertAlign w:val="subscript"/>
        </w:rPr>
        <w:t>A</w:t>
      </w:r>
      <w:r w:rsidRPr="00B76D60">
        <w:t>=P</w:t>
      </w:r>
      <w:r w:rsidRPr="00B76D60">
        <w:rPr>
          <w:vertAlign w:val="subscript"/>
        </w:rPr>
        <w:t>B</w:t>
      </w:r>
      <w:r w:rsidRPr="00B76D60">
        <w:t>=0.04 kg/cm</w:t>
      </w:r>
      <w:r w:rsidRPr="00B76D60">
        <w:rPr>
          <w:vertAlign w:val="superscript"/>
        </w:rPr>
        <w:t>2</w:t>
      </w:r>
      <w:r w:rsidRPr="00B76D60">
        <w:t>; Q</w:t>
      </w:r>
      <w:r w:rsidRPr="00B76D60">
        <w:rPr>
          <w:vertAlign w:val="subscript"/>
        </w:rPr>
        <w:t>A</w:t>
      </w:r>
      <w:r w:rsidRPr="00B76D60">
        <w:t>=330-450 mL/h; Q</w:t>
      </w:r>
      <w:r w:rsidRPr="00B76D60">
        <w:rPr>
          <w:vertAlign w:val="subscript"/>
        </w:rPr>
        <w:t>B</w:t>
      </w:r>
      <w:r w:rsidRPr="00B76D60">
        <w:t>=200-350 mL/h</w:t>
      </w:r>
      <w:r w:rsidR="00585429" w:rsidRPr="00B76D60">
        <w:t>.</w:t>
      </w:r>
    </w:p>
    <w:p w14:paraId="1352F0E3" w14:textId="39B69A38" w:rsidR="00E60D16" w:rsidRPr="00B76D60" w:rsidRDefault="00E60D16" w:rsidP="00E60D16">
      <w:pPr>
        <w:pStyle w:val="CETBodytext"/>
        <w:numPr>
          <w:ilvl w:val="0"/>
          <w:numId w:val="30"/>
        </w:numPr>
      </w:pPr>
      <w:r w:rsidRPr="00B76D60">
        <w:rPr>
          <w:lang w:val="en-GB"/>
        </w:rPr>
        <w:t>Diffusion of glucose and phosphates: deionized water (A) and solution of glucose and phosphates (B); V</w:t>
      </w:r>
      <w:r w:rsidRPr="00B76D60">
        <w:rPr>
          <w:vertAlign w:val="subscript"/>
          <w:lang w:val="en-GB"/>
        </w:rPr>
        <w:t>A</w:t>
      </w:r>
      <w:r w:rsidRPr="00B76D60">
        <w:rPr>
          <w:lang w:val="en-GB"/>
        </w:rPr>
        <w:t>=V</w:t>
      </w:r>
      <w:r w:rsidRPr="00B76D60">
        <w:rPr>
          <w:vertAlign w:val="subscript"/>
          <w:lang w:val="en-GB"/>
        </w:rPr>
        <w:t>B</w:t>
      </w:r>
      <w:r w:rsidRPr="00B76D60">
        <w:rPr>
          <w:lang w:val="en-GB"/>
        </w:rPr>
        <w:t>=1000 mL; P</w:t>
      </w:r>
      <w:r w:rsidRPr="00B76D60">
        <w:rPr>
          <w:vertAlign w:val="subscript"/>
          <w:lang w:val="en-GB"/>
        </w:rPr>
        <w:t>A</w:t>
      </w:r>
      <w:r w:rsidRPr="00B76D60">
        <w:rPr>
          <w:lang w:val="en-GB"/>
        </w:rPr>
        <w:t>=0.02 kg/cm</w:t>
      </w:r>
      <w:r w:rsidRPr="00B76D60">
        <w:rPr>
          <w:vertAlign w:val="superscript"/>
          <w:lang w:val="en-GB"/>
        </w:rPr>
        <w:t>2</w:t>
      </w:r>
      <w:r w:rsidRPr="00B76D60">
        <w:rPr>
          <w:lang w:val="en-GB"/>
        </w:rPr>
        <w:t>; P</w:t>
      </w:r>
      <w:r w:rsidRPr="00B76D60">
        <w:rPr>
          <w:vertAlign w:val="subscript"/>
          <w:lang w:val="en-GB"/>
        </w:rPr>
        <w:t>B</w:t>
      </w:r>
      <w:r w:rsidRPr="00B76D60">
        <w:rPr>
          <w:lang w:val="en-GB"/>
        </w:rPr>
        <w:t>=0.03 kg/cm</w:t>
      </w:r>
      <w:r w:rsidRPr="00B76D60">
        <w:rPr>
          <w:vertAlign w:val="superscript"/>
          <w:lang w:val="en-GB"/>
        </w:rPr>
        <w:t>2</w:t>
      </w:r>
      <w:r w:rsidRPr="00B76D60">
        <w:rPr>
          <w:lang w:val="en-GB"/>
        </w:rPr>
        <w:t>; Q</w:t>
      </w:r>
      <w:r w:rsidRPr="00B76D60">
        <w:rPr>
          <w:vertAlign w:val="subscript"/>
          <w:lang w:val="en-GB"/>
        </w:rPr>
        <w:t>A</w:t>
      </w:r>
      <w:r w:rsidRPr="00B76D60">
        <w:rPr>
          <w:lang w:val="en-GB"/>
        </w:rPr>
        <w:t>=</w:t>
      </w:r>
      <w:r w:rsidRPr="00B76D60">
        <w:t>300-310 m</w:t>
      </w:r>
      <w:r w:rsidRPr="00B76D60">
        <w:rPr>
          <w:lang w:val="en-GB"/>
        </w:rPr>
        <w:t>L/h;</w:t>
      </w:r>
      <w:r w:rsidRPr="00B76D60">
        <w:t xml:space="preserve"> Q</w:t>
      </w:r>
      <w:r w:rsidRPr="00B76D60">
        <w:rPr>
          <w:vertAlign w:val="subscript"/>
        </w:rPr>
        <w:t>B</w:t>
      </w:r>
      <w:r w:rsidRPr="00B76D60">
        <w:t>=380-430 mL/h.</w:t>
      </w:r>
    </w:p>
    <w:p w14:paraId="2F60EE14" w14:textId="1E116788" w:rsidR="00ED259E" w:rsidRPr="00B76D60" w:rsidRDefault="00266A04" w:rsidP="00ED259E">
      <w:pPr>
        <w:pStyle w:val="CETBodytext"/>
      </w:pPr>
      <w:r w:rsidRPr="00B76D60">
        <w:t>The diffusion test lasted seven hours, with hourly sampling; at each sampling all pressure values were recorded: inlet (external and internal) and outlet (external and internal); the values of flow rates and concentrations (external and internal) were also measured.</w:t>
      </w:r>
      <w:r w:rsidR="00585429" w:rsidRPr="00B76D60">
        <w:t xml:space="preserve"> </w:t>
      </w:r>
      <w:r w:rsidR="0055509C" w:rsidRPr="00B76D60">
        <w:t>D</w:t>
      </w:r>
      <w:r w:rsidR="0037045D" w:rsidRPr="00B76D60">
        <w:t>iffusion coefficients calculated using Fick</w:t>
      </w:r>
      <w:r w:rsidR="0055509C" w:rsidRPr="00B76D60">
        <w:t>’s</w:t>
      </w:r>
      <w:r w:rsidR="0037045D" w:rsidRPr="00B76D60">
        <w:t xml:space="preserve"> equation were used t</w:t>
      </w:r>
      <w:r w:rsidR="00ED259E" w:rsidRPr="00B76D60">
        <w:t>o compare the diffusion of the different compounds.</w:t>
      </w:r>
    </w:p>
    <w:p w14:paraId="28D58342" w14:textId="09D207F8" w:rsidR="0060472B" w:rsidRPr="00B76D60" w:rsidRDefault="007132DE" w:rsidP="007132DE">
      <w:pPr>
        <w:pStyle w:val="CETheadingx"/>
      </w:pPr>
      <w:r w:rsidRPr="00B76D60">
        <w:t xml:space="preserve">Activity tests of </w:t>
      </w:r>
      <w:r w:rsidR="00940D45" w:rsidRPr="00B76D60">
        <w:t xml:space="preserve">the </w:t>
      </w:r>
      <w:r w:rsidRPr="00B76D60">
        <w:t>denitrifying biomass</w:t>
      </w:r>
    </w:p>
    <w:p w14:paraId="69643DCF" w14:textId="6B6C175D" w:rsidR="00E939C2" w:rsidRPr="00B76D60" w:rsidRDefault="00CF1BCF" w:rsidP="00237EE5">
      <w:pPr>
        <w:pStyle w:val="CETBodytext"/>
        <w:tabs>
          <w:tab w:val="clear" w:pos="7100"/>
        </w:tabs>
      </w:pPr>
      <w:r w:rsidRPr="00B76D60">
        <w:t>The d</w:t>
      </w:r>
      <w:r w:rsidR="0045403F" w:rsidRPr="00B76D60">
        <w:t>enitrifying culture</w:t>
      </w:r>
      <w:r w:rsidR="001067FB" w:rsidRPr="00B76D60">
        <w:t>s</w:t>
      </w:r>
      <w:r w:rsidR="0045403F" w:rsidRPr="00B76D60">
        <w:t xml:space="preserve"> </w:t>
      </w:r>
      <w:r w:rsidR="001067FB" w:rsidRPr="00B76D60">
        <w:t xml:space="preserve">were </w:t>
      </w:r>
      <w:r w:rsidR="0045403F" w:rsidRPr="00B76D60">
        <w:t xml:space="preserve">extracted from </w:t>
      </w:r>
      <w:r w:rsidR="00924819" w:rsidRPr="00B76D60">
        <w:t xml:space="preserve">an activated sludge reactor of </w:t>
      </w:r>
      <w:r w:rsidR="0045403F" w:rsidRPr="00B76D60">
        <w:t>a municipal wastewater treatment plant</w:t>
      </w:r>
      <w:r w:rsidR="00064701" w:rsidRPr="00B76D60">
        <w:t>.</w:t>
      </w:r>
      <w:r w:rsidR="00924819" w:rsidRPr="00B76D60">
        <w:t xml:space="preserve"> The selection of </w:t>
      </w:r>
      <w:r w:rsidR="00924819" w:rsidRPr="00B76D60">
        <w:rPr>
          <w:lang w:val="en-GB"/>
        </w:rPr>
        <w:t xml:space="preserve">the denitrifying biomass to be inoculated inside the </w:t>
      </w:r>
      <w:r w:rsidR="00000A87" w:rsidRPr="00B76D60">
        <w:t>fiber</w:t>
      </w:r>
      <w:r w:rsidR="00000A87" w:rsidRPr="00B76D60">
        <w:rPr>
          <w:lang w:val="en-GB"/>
        </w:rPr>
        <w:t xml:space="preserve"> </w:t>
      </w:r>
      <w:r w:rsidR="00924819" w:rsidRPr="00B76D60">
        <w:rPr>
          <w:lang w:val="en-GB"/>
        </w:rPr>
        <w:t xml:space="preserve">bioreactor </w:t>
      </w:r>
      <w:r w:rsidR="00924819" w:rsidRPr="00B76D60">
        <w:t xml:space="preserve">was </w:t>
      </w:r>
      <w:r w:rsidR="00A973DE" w:rsidRPr="00B76D60">
        <w:t>carried out</w:t>
      </w:r>
      <w:r w:rsidR="00924819" w:rsidRPr="00B76D60">
        <w:t xml:space="preserve"> </w:t>
      </w:r>
      <w:r w:rsidR="00924819" w:rsidRPr="00B76D60">
        <w:rPr>
          <w:lang w:val="en-GB"/>
        </w:rPr>
        <w:t xml:space="preserve">according to the procedure proposed by Reising </w:t>
      </w:r>
      <w:r w:rsidR="00F34E29" w:rsidRPr="00B76D60">
        <w:rPr>
          <w:lang w:val="en-GB"/>
        </w:rPr>
        <w:t>&amp;</w:t>
      </w:r>
      <w:r w:rsidR="00924819" w:rsidRPr="00B76D60">
        <w:rPr>
          <w:lang w:val="en-GB"/>
        </w:rPr>
        <w:t xml:space="preserve"> Schroeder (1996)</w:t>
      </w:r>
      <w:r w:rsidR="00A806A7" w:rsidRPr="00B76D60">
        <w:rPr>
          <w:lang w:val="en-GB"/>
        </w:rPr>
        <w:t xml:space="preserve">, </w:t>
      </w:r>
      <w:r w:rsidR="00A973DE" w:rsidRPr="00B76D60">
        <w:rPr>
          <w:lang w:val="en-GB"/>
        </w:rPr>
        <w:t xml:space="preserve">by administering glucose and potassium nitrate (3 g of glucose </w:t>
      </w:r>
      <w:r w:rsidR="00333075" w:rsidRPr="00B76D60">
        <w:rPr>
          <w:lang w:val="en-GB"/>
        </w:rPr>
        <w:t>per</w:t>
      </w:r>
      <w:r w:rsidR="00A973DE" w:rsidRPr="00B76D60">
        <w:rPr>
          <w:lang w:val="en-GB"/>
        </w:rPr>
        <w:t xml:space="preserve"> g of NO</w:t>
      </w:r>
      <w:r w:rsidR="00A973DE" w:rsidRPr="00B76D60">
        <w:rPr>
          <w:vertAlign w:val="subscript"/>
          <w:lang w:val="en-GB"/>
        </w:rPr>
        <w:t>3</w:t>
      </w:r>
      <w:r w:rsidR="00C56CA1" w:rsidRPr="00B76D60">
        <w:rPr>
          <w:lang w:val="en-GB"/>
        </w:rPr>
        <w:t>-N</w:t>
      </w:r>
      <w:r w:rsidR="00A973DE" w:rsidRPr="00B76D60">
        <w:rPr>
          <w:lang w:val="en-GB"/>
        </w:rPr>
        <w:t>) to the biomass kept in a shaken and sealed flask.</w:t>
      </w:r>
      <w:r w:rsidR="00A973DE" w:rsidRPr="00B76D60">
        <w:t xml:space="preserve"> The culture was buffered to approximate</w:t>
      </w:r>
      <w:r w:rsidR="00EF0532" w:rsidRPr="00B76D60">
        <w:t>ly neutral</w:t>
      </w:r>
      <w:r w:rsidR="00A973DE" w:rsidRPr="00B76D60">
        <w:t xml:space="preserve"> pH </w:t>
      </w:r>
      <w:r w:rsidR="00EF0532" w:rsidRPr="00B76D60">
        <w:t>by adding</w:t>
      </w:r>
      <w:r w:rsidR="00A973DE" w:rsidRPr="00B76D60">
        <w:t xml:space="preserve"> 17.4 g/L of KH</w:t>
      </w:r>
      <w:r w:rsidR="00A973DE" w:rsidRPr="00B76D60">
        <w:rPr>
          <w:vertAlign w:val="subscript"/>
        </w:rPr>
        <w:t>2</w:t>
      </w:r>
      <w:r w:rsidR="00A973DE" w:rsidRPr="00B76D60">
        <w:t>PO</w:t>
      </w:r>
      <w:r w:rsidR="00A973DE" w:rsidRPr="00B76D60">
        <w:rPr>
          <w:vertAlign w:val="subscript"/>
        </w:rPr>
        <w:t>4</w:t>
      </w:r>
      <w:r w:rsidR="00A973DE" w:rsidRPr="00B76D60">
        <w:t xml:space="preserve"> and 21.4 g/L of K</w:t>
      </w:r>
      <w:r w:rsidR="00A973DE" w:rsidRPr="00B76D60">
        <w:rPr>
          <w:vertAlign w:val="subscript"/>
        </w:rPr>
        <w:t>2</w:t>
      </w:r>
      <w:r w:rsidR="00A973DE" w:rsidRPr="00B76D60">
        <w:t>HPO</w:t>
      </w:r>
      <w:r w:rsidR="00A973DE" w:rsidRPr="00B76D60">
        <w:rPr>
          <w:vertAlign w:val="subscript"/>
        </w:rPr>
        <w:t>4</w:t>
      </w:r>
      <w:r w:rsidR="00A973DE" w:rsidRPr="00B76D60">
        <w:t xml:space="preserve"> per g/L of NO</w:t>
      </w:r>
      <w:r w:rsidR="00A973DE" w:rsidRPr="00B76D60">
        <w:rPr>
          <w:vertAlign w:val="subscript"/>
        </w:rPr>
        <w:t>3</w:t>
      </w:r>
      <w:r w:rsidR="00A973DE" w:rsidRPr="00B76D60">
        <w:t>-N fed. Every</w:t>
      </w:r>
      <w:r w:rsidR="007132DE" w:rsidRPr="00B76D60">
        <w:t xml:space="preserve"> three</w:t>
      </w:r>
      <w:r w:rsidR="00A973DE" w:rsidRPr="00B76D60">
        <w:t xml:space="preserve"> </w:t>
      </w:r>
      <w:r w:rsidR="007132DE" w:rsidRPr="00B76D60">
        <w:t>days, the culture was allowed to settle, half the liquid volume was removed, and the flask was refilled with water, glucose, potassium nitrate and phosphate buffer.</w:t>
      </w:r>
    </w:p>
    <w:p w14:paraId="6A5D7169" w14:textId="77437B0C" w:rsidR="00F731CD" w:rsidRPr="00B76D60" w:rsidRDefault="00482896" w:rsidP="00237EE5">
      <w:pPr>
        <w:pStyle w:val="CETBodytext"/>
        <w:tabs>
          <w:tab w:val="clear" w:pos="7100"/>
        </w:tabs>
        <w:rPr>
          <w:lang w:val="en-AU"/>
        </w:rPr>
      </w:pPr>
      <w:r w:rsidRPr="00B76D60">
        <w:t xml:space="preserve">For </w:t>
      </w:r>
      <w:r w:rsidR="00CF1BCF" w:rsidRPr="00B76D60">
        <w:t xml:space="preserve">the </w:t>
      </w:r>
      <w:r w:rsidRPr="00B76D60">
        <w:t xml:space="preserve">denitrification tests, </w:t>
      </w:r>
      <w:r w:rsidR="00F731CD" w:rsidRPr="00B76D60">
        <w:t xml:space="preserve">the inoculation phase of the bioreactor took place </w:t>
      </w:r>
      <w:r w:rsidRPr="00B76D60">
        <w:t>as follows</w:t>
      </w:r>
      <w:r w:rsidR="00F731CD" w:rsidRPr="00B76D60">
        <w:t xml:space="preserve">: once the denitrifying biomass was introduced into the external compartment, the recirculation circuit was activated, </w:t>
      </w:r>
      <w:r w:rsidR="00CF1BCF" w:rsidRPr="00B76D60">
        <w:t>ensuring</w:t>
      </w:r>
      <w:r w:rsidR="00F731CD" w:rsidRPr="00B76D60">
        <w:t xml:space="preserve"> a continuous supply of nitrates, phosphates and organic substance. During this phase the internal line was kept deactivated.</w:t>
      </w:r>
      <w:r w:rsidR="0006540F" w:rsidRPr="00B76D60">
        <w:t xml:space="preserve"> The biomass used was fed daily with constant quantities of carbon, nitrates and phosphates, dosed to obtain the </w:t>
      </w:r>
      <w:r w:rsidR="003A16A2" w:rsidRPr="00B76D60">
        <w:t xml:space="preserve">following </w:t>
      </w:r>
      <w:r w:rsidR="0006540F" w:rsidRPr="00B76D60">
        <w:t>initial concentrations:</w:t>
      </w:r>
      <w:r w:rsidR="00E71D3C" w:rsidRPr="00B76D60">
        <w:t xml:space="preserve"> </w:t>
      </w:r>
      <w:r w:rsidR="00333075" w:rsidRPr="00B76D60">
        <w:t>N-</w:t>
      </w:r>
      <w:r w:rsidR="00E71D3C" w:rsidRPr="00B76D60">
        <w:rPr>
          <w:lang w:val="en-AU"/>
        </w:rPr>
        <w:t>NO</w:t>
      </w:r>
      <w:r w:rsidR="00E71D3C" w:rsidRPr="00B76D60">
        <w:rPr>
          <w:vertAlign w:val="subscript"/>
          <w:lang w:val="en-AU"/>
        </w:rPr>
        <w:t>3</w:t>
      </w:r>
      <w:r w:rsidR="00E71D3C" w:rsidRPr="00B76D60">
        <w:rPr>
          <w:vertAlign w:val="superscript"/>
          <w:lang w:val="en-AU"/>
        </w:rPr>
        <w:t>-</w:t>
      </w:r>
      <w:r w:rsidR="00E71D3C" w:rsidRPr="00B76D60">
        <w:rPr>
          <w:lang w:val="en-AU"/>
        </w:rPr>
        <w:t xml:space="preserve"> = </w:t>
      </w:r>
      <w:r w:rsidR="0006540F" w:rsidRPr="00B76D60">
        <w:rPr>
          <w:lang w:val="en-AU"/>
        </w:rPr>
        <w:t>200 mg/L</w:t>
      </w:r>
      <w:r w:rsidR="00E71D3C" w:rsidRPr="00B76D60">
        <w:rPr>
          <w:lang w:val="en-AU"/>
        </w:rPr>
        <w:t>, P-PO</w:t>
      </w:r>
      <w:r w:rsidR="00E71D3C" w:rsidRPr="00B76D60">
        <w:rPr>
          <w:vertAlign w:val="subscript"/>
          <w:lang w:val="en-AU"/>
        </w:rPr>
        <w:t>4</w:t>
      </w:r>
      <w:r w:rsidR="00E71D3C" w:rsidRPr="00B76D60">
        <w:rPr>
          <w:vertAlign w:val="superscript"/>
          <w:lang w:val="en-AU"/>
        </w:rPr>
        <w:t>3-</w:t>
      </w:r>
      <w:r w:rsidR="00E71D3C" w:rsidRPr="00B76D60">
        <w:rPr>
          <w:lang w:val="en-AU"/>
        </w:rPr>
        <w:t xml:space="preserve"> = </w:t>
      </w:r>
      <w:r w:rsidR="0006540F" w:rsidRPr="00B76D60">
        <w:rPr>
          <w:lang w:val="en-AU"/>
        </w:rPr>
        <w:t>10 mg</w:t>
      </w:r>
      <w:r w:rsidRPr="00B76D60">
        <w:rPr>
          <w:lang w:val="en-AU"/>
        </w:rPr>
        <w:t>/</w:t>
      </w:r>
      <w:r w:rsidR="0006540F" w:rsidRPr="00B76D60">
        <w:rPr>
          <w:lang w:val="en-AU"/>
        </w:rPr>
        <w:t>L</w:t>
      </w:r>
      <w:r w:rsidR="00E71D3C" w:rsidRPr="00B76D60">
        <w:rPr>
          <w:lang w:val="en-AU"/>
        </w:rPr>
        <w:t xml:space="preserve">, and TOC = </w:t>
      </w:r>
      <w:r w:rsidR="0006540F" w:rsidRPr="00B76D60">
        <w:rPr>
          <w:lang w:val="en-AU"/>
        </w:rPr>
        <w:t>200 mg/L.</w:t>
      </w:r>
    </w:p>
    <w:p w14:paraId="35D444B6" w14:textId="4563233C" w:rsidR="00F731CD" w:rsidRPr="00B76D60" w:rsidRDefault="00F731CD" w:rsidP="00237EE5">
      <w:pPr>
        <w:pStyle w:val="CETBodytext"/>
        <w:tabs>
          <w:tab w:val="clear" w:pos="7100"/>
        </w:tabs>
      </w:pPr>
      <w:r w:rsidRPr="00B76D60">
        <w:lastRenderedPageBreak/>
        <w:t xml:space="preserve">The duration of the inoculation phase was 24 hours, time considered sufficient </w:t>
      </w:r>
      <w:r w:rsidR="006123B9" w:rsidRPr="00B76D60">
        <w:rPr>
          <w:lang w:val="en"/>
        </w:rPr>
        <w:t xml:space="preserve">(based on previous tests) </w:t>
      </w:r>
      <w:r w:rsidRPr="00B76D60">
        <w:t xml:space="preserve">for the colonization of the fibers </w:t>
      </w:r>
      <w:r w:rsidR="006123B9" w:rsidRPr="00B76D60">
        <w:t>but such as to limit the clogging of the recirculation circuit (problem encountered for longer times).</w:t>
      </w:r>
    </w:p>
    <w:p w14:paraId="5B0A7F41" w14:textId="5ED21957" w:rsidR="00F731CD" w:rsidRPr="00B76D60" w:rsidRDefault="009E5A81" w:rsidP="00237EE5">
      <w:pPr>
        <w:pStyle w:val="CETBodytext"/>
        <w:tabs>
          <w:tab w:val="clear" w:pos="7100"/>
        </w:tabs>
      </w:pPr>
      <w:r w:rsidRPr="00B76D60">
        <w:t xml:space="preserve">After the inoculation phase (always </w:t>
      </w:r>
      <w:r w:rsidR="006123B9" w:rsidRPr="00B76D60">
        <w:t>performed</w:t>
      </w:r>
      <w:r w:rsidRPr="00B76D60">
        <w:t xml:space="preserve"> in the same way), v</w:t>
      </w:r>
      <w:r w:rsidR="0006540F" w:rsidRPr="00B76D60">
        <w:t xml:space="preserve">arious test cycles </w:t>
      </w:r>
      <w:r w:rsidR="0060312A" w:rsidRPr="00B76D60">
        <w:t xml:space="preserve">were then conducted </w:t>
      </w:r>
      <w:r w:rsidR="0006540F" w:rsidRPr="00B76D60">
        <w:t xml:space="preserve">(not </w:t>
      </w:r>
      <w:r w:rsidR="007360E4" w:rsidRPr="00B76D60">
        <w:t>discussed in this work</w:t>
      </w:r>
      <w:r w:rsidR="0006540F" w:rsidRPr="00B76D60">
        <w:t xml:space="preserve">) to determine the effects on </w:t>
      </w:r>
      <w:r w:rsidR="0060312A" w:rsidRPr="00B76D60">
        <w:t xml:space="preserve">the </w:t>
      </w:r>
      <w:r w:rsidR="0006540F" w:rsidRPr="00B76D60">
        <w:t>process efficienc</w:t>
      </w:r>
      <w:r w:rsidR="0060312A" w:rsidRPr="00B76D60">
        <w:t>y</w:t>
      </w:r>
      <w:r w:rsidR="0006540F" w:rsidRPr="00B76D60">
        <w:t xml:space="preserve"> of parameters such as:</w:t>
      </w:r>
      <w:r w:rsidR="00F85D44" w:rsidRPr="00B76D60">
        <w:t xml:space="preserve"> </w:t>
      </w:r>
      <w:r w:rsidR="0060312A" w:rsidRPr="00B76D60">
        <w:t>(</w:t>
      </w:r>
      <w:r w:rsidR="00F85D44" w:rsidRPr="00B76D60">
        <w:t xml:space="preserve">i) </w:t>
      </w:r>
      <w:r w:rsidR="0006540F" w:rsidRPr="00B76D60">
        <w:t>concentration of nitrate in the internal compartment;</w:t>
      </w:r>
      <w:r w:rsidR="00F85D44" w:rsidRPr="00B76D60">
        <w:t xml:space="preserve"> </w:t>
      </w:r>
      <w:r w:rsidR="0060312A" w:rsidRPr="00B76D60">
        <w:t>(</w:t>
      </w:r>
      <w:r w:rsidR="00F85D44" w:rsidRPr="00B76D60">
        <w:t xml:space="preserve">ii) </w:t>
      </w:r>
      <w:r w:rsidR="0006540F" w:rsidRPr="00B76D60">
        <w:t xml:space="preserve">concentration of the carbon source in the external </w:t>
      </w:r>
      <w:r w:rsidR="0060312A" w:rsidRPr="00B76D60">
        <w:rPr>
          <w:rStyle w:val="jlqj4b"/>
          <w:lang w:val="en"/>
        </w:rPr>
        <w:t>compartment</w:t>
      </w:r>
      <w:r w:rsidR="0006540F" w:rsidRPr="00B76D60">
        <w:t>;</w:t>
      </w:r>
      <w:r w:rsidR="00F85D44" w:rsidRPr="00B76D60">
        <w:t xml:space="preserve"> </w:t>
      </w:r>
      <w:r w:rsidR="0060312A" w:rsidRPr="00B76D60">
        <w:t>(</w:t>
      </w:r>
      <w:r w:rsidR="00F85D44" w:rsidRPr="00B76D60">
        <w:t xml:space="preserve">iii) </w:t>
      </w:r>
      <w:r w:rsidR="0006540F" w:rsidRPr="00B76D60">
        <w:t xml:space="preserve">residence time of the water contaminated </w:t>
      </w:r>
      <w:r w:rsidR="006123B9" w:rsidRPr="00B76D60">
        <w:t>by</w:t>
      </w:r>
      <w:r w:rsidR="0006540F" w:rsidRPr="00B76D60">
        <w:t xml:space="preserve"> nitrate</w:t>
      </w:r>
      <w:r w:rsidR="006123B9" w:rsidRPr="00B76D60">
        <w:t>s</w:t>
      </w:r>
      <w:r w:rsidR="0006540F" w:rsidRPr="00B76D60">
        <w:t xml:space="preserve"> inside the fibers;</w:t>
      </w:r>
      <w:r w:rsidR="00F85D44" w:rsidRPr="00B76D60">
        <w:t xml:space="preserve"> </w:t>
      </w:r>
      <w:r w:rsidR="0060312A" w:rsidRPr="00B76D60">
        <w:t>(</w:t>
      </w:r>
      <w:r w:rsidR="00F85D44" w:rsidRPr="00B76D60">
        <w:t>iv)</w:t>
      </w:r>
      <w:r w:rsidR="0006540F" w:rsidRPr="00B76D60">
        <w:t xml:space="preserve"> pressure regime in the external </w:t>
      </w:r>
      <w:r w:rsidR="0060312A" w:rsidRPr="00B76D60">
        <w:rPr>
          <w:rStyle w:val="jlqj4b"/>
          <w:lang w:val="en"/>
        </w:rPr>
        <w:t>compartment</w:t>
      </w:r>
      <w:r w:rsidR="00237EE5" w:rsidRPr="00B76D60">
        <w:t>.</w:t>
      </w:r>
      <w:r w:rsidR="00272D06" w:rsidRPr="00B76D60">
        <w:t xml:space="preserve"> </w:t>
      </w:r>
      <w:r w:rsidR="005023B0" w:rsidRPr="00B76D60">
        <w:t xml:space="preserve">In these tests, excessive pressure differences on the two sides of the membranes were avoided to limit the permeation from one compartment to the other and therefore the </w:t>
      </w:r>
      <w:r w:rsidR="0060312A" w:rsidRPr="00B76D60">
        <w:t>overlap</w:t>
      </w:r>
      <w:r w:rsidR="005023B0" w:rsidRPr="00B76D60">
        <w:t xml:space="preserve"> of the two phenomena, and</w:t>
      </w:r>
      <w:r w:rsidR="005023B0" w:rsidRPr="00B76D60">
        <w:rPr>
          <w:lang w:val="en"/>
        </w:rPr>
        <w:t xml:space="preserve"> the diffusive transport mechanism of the nitrate was favored </w:t>
      </w:r>
      <w:r w:rsidR="005023B0" w:rsidRPr="00B76D60">
        <w:t xml:space="preserve">by high concentration gradients close to the membranes. </w:t>
      </w:r>
      <w:r w:rsidR="007526E1" w:rsidRPr="00B76D60">
        <w:t>The final setup for the experimental tests is summarized in Table 2.</w:t>
      </w:r>
    </w:p>
    <w:p w14:paraId="3262E96F" w14:textId="5A252BBD" w:rsidR="004616BB" w:rsidRPr="00B76D60" w:rsidRDefault="004616BB" w:rsidP="004616BB">
      <w:pPr>
        <w:pStyle w:val="CETTabletitle"/>
        <w:rPr>
          <w:lang w:val="en-US"/>
        </w:rPr>
      </w:pPr>
      <w:r w:rsidRPr="00B76D60">
        <w:rPr>
          <w:lang w:val="en-US"/>
        </w:rPr>
        <w:t xml:space="preserve">Table </w:t>
      </w:r>
      <w:r w:rsidR="00862543" w:rsidRPr="00B76D60">
        <w:rPr>
          <w:lang w:val="en-US"/>
        </w:rPr>
        <w:t>2</w:t>
      </w:r>
      <w:r w:rsidRPr="00B76D60">
        <w:rPr>
          <w:lang w:val="en-US"/>
        </w:rPr>
        <w:t xml:space="preserve">: </w:t>
      </w:r>
      <w:r w:rsidR="00862543" w:rsidRPr="00B76D60">
        <w:rPr>
          <w:lang w:val="en-US"/>
        </w:rPr>
        <w:t>Composition of solutions used in denitrification tests</w:t>
      </w:r>
      <w:r w:rsidR="00F44B10" w:rsidRPr="00B76D60">
        <w:rPr>
          <w:lang w:val="en-US"/>
        </w:rPr>
        <w:t>.</w:t>
      </w:r>
    </w:p>
    <w:tbl>
      <w:tblPr>
        <w:tblW w:w="0" w:type="auto"/>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1758"/>
        <w:gridCol w:w="1361"/>
        <w:gridCol w:w="1418"/>
        <w:gridCol w:w="1418"/>
        <w:gridCol w:w="1418"/>
        <w:gridCol w:w="1418"/>
      </w:tblGrid>
      <w:tr w:rsidR="00ED4923" w:rsidRPr="00B76D60" w14:paraId="035B80E4" w14:textId="77777777" w:rsidTr="00620D96">
        <w:tc>
          <w:tcPr>
            <w:tcW w:w="1758" w:type="dxa"/>
            <w:tcBorders>
              <w:top w:val="single" w:sz="12" w:space="0" w:color="008000"/>
              <w:bottom w:val="single" w:sz="6" w:space="0" w:color="008000"/>
            </w:tcBorders>
            <w:shd w:val="clear" w:color="auto" w:fill="FFFFFF"/>
          </w:tcPr>
          <w:p w14:paraId="17A2212B" w14:textId="39704F4F" w:rsidR="00ED4923" w:rsidRPr="00B76D60" w:rsidRDefault="00ED4923" w:rsidP="00862543">
            <w:pPr>
              <w:pStyle w:val="CETBodytext"/>
            </w:pPr>
          </w:p>
        </w:tc>
        <w:tc>
          <w:tcPr>
            <w:tcW w:w="1361" w:type="dxa"/>
            <w:tcBorders>
              <w:top w:val="single" w:sz="12" w:space="0" w:color="008000"/>
              <w:bottom w:val="single" w:sz="6" w:space="0" w:color="008000"/>
            </w:tcBorders>
            <w:shd w:val="clear" w:color="auto" w:fill="FFFFFF"/>
          </w:tcPr>
          <w:p w14:paraId="4C73E06B" w14:textId="44BF9422" w:rsidR="00ED4923" w:rsidRPr="00B76D60" w:rsidRDefault="00620D96" w:rsidP="00620D96">
            <w:pPr>
              <w:pStyle w:val="CETBodytext"/>
              <w:jc w:val="center"/>
              <w:rPr>
                <w:rFonts w:cs="Arial"/>
                <w:szCs w:val="18"/>
              </w:rPr>
            </w:pPr>
            <w:r w:rsidRPr="00B76D60">
              <w:rPr>
                <w:rStyle w:val="jlqj4b"/>
                <w:lang w:val="en"/>
              </w:rPr>
              <w:t>Compartment</w:t>
            </w:r>
          </w:p>
        </w:tc>
        <w:tc>
          <w:tcPr>
            <w:tcW w:w="1418" w:type="dxa"/>
            <w:tcBorders>
              <w:top w:val="single" w:sz="12" w:space="0" w:color="008000"/>
              <w:bottom w:val="single" w:sz="6" w:space="0" w:color="008000"/>
            </w:tcBorders>
            <w:shd w:val="clear" w:color="auto" w:fill="FFFFFF"/>
          </w:tcPr>
          <w:p w14:paraId="31EB86F6" w14:textId="033968BE" w:rsidR="00ED4923" w:rsidRPr="00B76D60" w:rsidRDefault="00ED4923" w:rsidP="00620D96">
            <w:pPr>
              <w:pStyle w:val="CETBodytext"/>
              <w:jc w:val="center"/>
            </w:pPr>
            <w:r w:rsidRPr="00B76D60">
              <w:rPr>
                <w:rFonts w:cs="Arial"/>
                <w:szCs w:val="18"/>
              </w:rPr>
              <w:t>Q (L/h)</w:t>
            </w:r>
          </w:p>
        </w:tc>
        <w:tc>
          <w:tcPr>
            <w:tcW w:w="1418" w:type="dxa"/>
            <w:tcBorders>
              <w:top w:val="single" w:sz="12" w:space="0" w:color="008000"/>
              <w:bottom w:val="single" w:sz="6" w:space="0" w:color="008000"/>
            </w:tcBorders>
            <w:shd w:val="clear" w:color="auto" w:fill="FFFFFF"/>
          </w:tcPr>
          <w:p w14:paraId="41DF19EE" w14:textId="2BD8738F" w:rsidR="00ED4923" w:rsidRPr="00B76D60" w:rsidRDefault="00ED4923" w:rsidP="00620D96">
            <w:pPr>
              <w:pStyle w:val="CETBodytext"/>
              <w:jc w:val="center"/>
            </w:pPr>
            <w:r w:rsidRPr="00B76D60">
              <w:t>N-NO</w:t>
            </w:r>
            <w:r w:rsidRPr="00B76D60">
              <w:rPr>
                <w:vertAlign w:val="subscript"/>
              </w:rPr>
              <w:t>3</w:t>
            </w:r>
            <w:r w:rsidRPr="00B76D60">
              <w:rPr>
                <w:vertAlign w:val="superscript"/>
              </w:rPr>
              <w:t>-</w:t>
            </w:r>
            <w:r w:rsidRPr="00B76D60">
              <w:t xml:space="preserve"> (mg/L)</w:t>
            </w:r>
          </w:p>
        </w:tc>
        <w:tc>
          <w:tcPr>
            <w:tcW w:w="1418" w:type="dxa"/>
            <w:tcBorders>
              <w:top w:val="single" w:sz="12" w:space="0" w:color="008000"/>
              <w:bottom w:val="single" w:sz="6" w:space="0" w:color="008000"/>
            </w:tcBorders>
            <w:shd w:val="clear" w:color="auto" w:fill="FFFFFF"/>
          </w:tcPr>
          <w:p w14:paraId="26F298DA" w14:textId="1098545F" w:rsidR="00ED4923" w:rsidRPr="00B76D60" w:rsidRDefault="00ED4923" w:rsidP="00620D96">
            <w:pPr>
              <w:pStyle w:val="CETBodytext"/>
              <w:jc w:val="center"/>
            </w:pPr>
            <w:r w:rsidRPr="00B76D60">
              <w:t>P-PO</w:t>
            </w:r>
            <w:r w:rsidRPr="00B76D60">
              <w:rPr>
                <w:vertAlign w:val="subscript"/>
              </w:rPr>
              <w:t>4</w:t>
            </w:r>
            <w:r w:rsidRPr="00B76D60">
              <w:rPr>
                <w:vertAlign w:val="superscript"/>
              </w:rPr>
              <w:t>3-</w:t>
            </w:r>
            <w:r w:rsidRPr="00B76D60">
              <w:t xml:space="preserve"> (mg/L)</w:t>
            </w:r>
          </w:p>
        </w:tc>
        <w:tc>
          <w:tcPr>
            <w:tcW w:w="1418" w:type="dxa"/>
            <w:tcBorders>
              <w:top w:val="single" w:sz="12" w:space="0" w:color="008000"/>
              <w:bottom w:val="single" w:sz="6" w:space="0" w:color="008000"/>
            </w:tcBorders>
            <w:shd w:val="clear" w:color="auto" w:fill="FFFFFF"/>
          </w:tcPr>
          <w:p w14:paraId="43DEB16C" w14:textId="11474AB0" w:rsidR="00ED4923" w:rsidRPr="00B76D60" w:rsidRDefault="00ED4923" w:rsidP="00620D96">
            <w:pPr>
              <w:pStyle w:val="CETBodytext"/>
              <w:ind w:right="-1"/>
              <w:jc w:val="center"/>
              <w:rPr>
                <w:rFonts w:cs="Arial"/>
                <w:szCs w:val="18"/>
              </w:rPr>
            </w:pPr>
            <w:r w:rsidRPr="00B76D60">
              <w:t>C (mg/L)</w:t>
            </w:r>
          </w:p>
        </w:tc>
      </w:tr>
      <w:tr w:rsidR="00ED4923" w:rsidRPr="00B76D60" w14:paraId="1B811C6C" w14:textId="77777777" w:rsidTr="00620D96">
        <w:tc>
          <w:tcPr>
            <w:tcW w:w="1758" w:type="dxa"/>
            <w:shd w:val="clear" w:color="auto" w:fill="FFFFFF"/>
          </w:tcPr>
          <w:p w14:paraId="686C6558" w14:textId="7BFD9586" w:rsidR="00ED4923" w:rsidRPr="00B76D60" w:rsidRDefault="00ED4923" w:rsidP="004616BB">
            <w:pPr>
              <w:pStyle w:val="CETBodytext"/>
            </w:pPr>
            <w:r w:rsidRPr="00B76D60">
              <w:rPr>
                <w:lang w:val="en-GB"/>
              </w:rPr>
              <w:t>Contaminated water</w:t>
            </w:r>
          </w:p>
        </w:tc>
        <w:tc>
          <w:tcPr>
            <w:tcW w:w="1361" w:type="dxa"/>
            <w:shd w:val="clear" w:color="auto" w:fill="FFFFFF"/>
          </w:tcPr>
          <w:p w14:paraId="722B41AD" w14:textId="41EA6888" w:rsidR="00ED4923" w:rsidRPr="00B76D60" w:rsidRDefault="00ED4923" w:rsidP="00620D96">
            <w:pPr>
              <w:pStyle w:val="CETBodytext"/>
              <w:jc w:val="center"/>
            </w:pPr>
            <w:r w:rsidRPr="00B76D60">
              <w:t>A</w:t>
            </w:r>
          </w:p>
        </w:tc>
        <w:tc>
          <w:tcPr>
            <w:tcW w:w="1418" w:type="dxa"/>
            <w:shd w:val="clear" w:color="auto" w:fill="FFFFFF"/>
          </w:tcPr>
          <w:p w14:paraId="674BA069" w14:textId="60D9E1DB" w:rsidR="00ED4923" w:rsidRPr="00B76D60" w:rsidRDefault="00ED4923" w:rsidP="00620D96">
            <w:pPr>
              <w:pStyle w:val="CETBodytext"/>
              <w:jc w:val="center"/>
            </w:pPr>
            <w:r w:rsidRPr="00B76D60">
              <w:t>0.2</w:t>
            </w:r>
            <w:r w:rsidR="00620D96" w:rsidRPr="00B76D60">
              <w:t xml:space="preserve">, </w:t>
            </w:r>
            <w:r w:rsidRPr="00B76D60">
              <w:t>0.4</w:t>
            </w:r>
            <w:r w:rsidR="00620D96" w:rsidRPr="00B76D60">
              <w:t xml:space="preserve">, </w:t>
            </w:r>
            <w:r w:rsidRPr="00B76D60">
              <w:t>0.6</w:t>
            </w:r>
          </w:p>
        </w:tc>
        <w:tc>
          <w:tcPr>
            <w:tcW w:w="1418" w:type="dxa"/>
            <w:shd w:val="clear" w:color="auto" w:fill="FFFFFF"/>
          </w:tcPr>
          <w:p w14:paraId="2178DBDA" w14:textId="1DBAD396" w:rsidR="00ED4923" w:rsidRPr="00B76D60" w:rsidRDefault="00ED4923" w:rsidP="00620D96">
            <w:pPr>
              <w:pStyle w:val="CETBodytext"/>
              <w:jc w:val="center"/>
            </w:pPr>
            <w:r w:rsidRPr="00B76D60">
              <w:t>110</w:t>
            </w:r>
          </w:p>
        </w:tc>
        <w:tc>
          <w:tcPr>
            <w:tcW w:w="1418" w:type="dxa"/>
            <w:shd w:val="clear" w:color="auto" w:fill="FFFFFF"/>
          </w:tcPr>
          <w:p w14:paraId="34970FD7" w14:textId="3613D92E" w:rsidR="00ED4923" w:rsidRPr="00B76D60" w:rsidRDefault="00ED4923" w:rsidP="00620D96">
            <w:pPr>
              <w:pStyle w:val="CETBodytext"/>
              <w:jc w:val="center"/>
            </w:pPr>
            <w:r w:rsidRPr="00B76D60">
              <w:t>0</w:t>
            </w:r>
          </w:p>
        </w:tc>
        <w:tc>
          <w:tcPr>
            <w:tcW w:w="1418" w:type="dxa"/>
            <w:shd w:val="clear" w:color="auto" w:fill="FFFFFF"/>
          </w:tcPr>
          <w:p w14:paraId="22477630" w14:textId="327F9C05" w:rsidR="00ED4923" w:rsidRPr="00B76D60" w:rsidRDefault="00ED4923" w:rsidP="00620D96">
            <w:pPr>
              <w:pStyle w:val="CETBodytext"/>
              <w:ind w:right="-1"/>
              <w:jc w:val="center"/>
              <w:rPr>
                <w:rFonts w:cs="Arial"/>
                <w:szCs w:val="18"/>
              </w:rPr>
            </w:pPr>
            <w:r w:rsidRPr="00B76D60">
              <w:rPr>
                <w:rFonts w:cs="Arial"/>
                <w:szCs w:val="18"/>
              </w:rPr>
              <w:t>0</w:t>
            </w:r>
          </w:p>
        </w:tc>
      </w:tr>
      <w:tr w:rsidR="00ED4923" w:rsidRPr="00B76D60" w14:paraId="1BD6BA73" w14:textId="77777777" w:rsidTr="00620D96">
        <w:tc>
          <w:tcPr>
            <w:tcW w:w="1758" w:type="dxa"/>
            <w:shd w:val="clear" w:color="auto" w:fill="FFFFFF"/>
          </w:tcPr>
          <w:p w14:paraId="432C2C62" w14:textId="553CDDDC" w:rsidR="00ED4923" w:rsidRPr="00B76D60" w:rsidRDefault="00ED4923" w:rsidP="004616BB">
            <w:pPr>
              <w:pStyle w:val="CETBodytext"/>
              <w:ind w:right="-1"/>
              <w:rPr>
                <w:rFonts w:cs="Arial"/>
                <w:szCs w:val="18"/>
              </w:rPr>
            </w:pPr>
            <w:r w:rsidRPr="00B76D60">
              <w:rPr>
                <w:rFonts w:cs="Arial"/>
                <w:szCs w:val="18"/>
              </w:rPr>
              <w:t>Nutrient solution</w:t>
            </w:r>
          </w:p>
        </w:tc>
        <w:tc>
          <w:tcPr>
            <w:tcW w:w="1361" w:type="dxa"/>
            <w:shd w:val="clear" w:color="auto" w:fill="FFFFFF"/>
          </w:tcPr>
          <w:p w14:paraId="506DF0D1" w14:textId="58B90C29" w:rsidR="00ED4923" w:rsidRPr="00B76D60" w:rsidRDefault="00ED4923" w:rsidP="00620D96">
            <w:pPr>
              <w:pStyle w:val="CETBodytext"/>
              <w:ind w:right="-1"/>
              <w:jc w:val="center"/>
              <w:rPr>
                <w:rFonts w:cs="Arial"/>
                <w:szCs w:val="18"/>
              </w:rPr>
            </w:pPr>
            <w:r w:rsidRPr="00B76D60">
              <w:rPr>
                <w:rFonts w:cs="Arial"/>
                <w:szCs w:val="18"/>
              </w:rPr>
              <w:t>B</w:t>
            </w:r>
          </w:p>
        </w:tc>
        <w:tc>
          <w:tcPr>
            <w:tcW w:w="1418" w:type="dxa"/>
            <w:shd w:val="clear" w:color="auto" w:fill="FFFFFF"/>
          </w:tcPr>
          <w:p w14:paraId="5B2C7834" w14:textId="0083840F" w:rsidR="00ED4923" w:rsidRPr="00B76D60" w:rsidRDefault="00ED4923" w:rsidP="00620D96">
            <w:pPr>
              <w:pStyle w:val="CETBodytext"/>
              <w:ind w:right="-1"/>
              <w:jc w:val="center"/>
              <w:rPr>
                <w:rFonts w:cs="Arial"/>
                <w:szCs w:val="18"/>
              </w:rPr>
            </w:pPr>
            <w:r w:rsidRPr="00B76D60">
              <w:rPr>
                <w:rFonts w:cs="Arial"/>
                <w:szCs w:val="18"/>
              </w:rPr>
              <w:t>1.8</w:t>
            </w:r>
          </w:p>
        </w:tc>
        <w:tc>
          <w:tcPr>
            <w:tcW w:w="1418" w:type="dxa"/>
            <w:shd w:val="clear" w:color="auto" w:fill="FFFFFF"/>
          </w:tcPr>
          <w:p w14:paraId="10AF7A94" w14:textId="011CA3CC" w:rsidR="00ED4923" w:rsidRPr="00B76D60" w:rsidRDefault="00ED4923" w:rsidP="00620D96">
            <w:pPr>
              <w:pStyle w:val="CETBodytext"/>
              <w:ind w:right="-1"/>
              <w:jc w:val="center"/>
              <w:rPr>
                <w:rFonts w:cs="Arial"/>
                <w:szCs w:val="18"/>
              </w:rPr>
            </w:pPr>
            <w:r w:rsidRPr="00B76D60">
              <w:rPr>
                <w:rFonts w:cs="Arial"/>
                <w:szCs w:val="18"/>
              </w:rPr>
              <w:t>0</w:t>
            </w:r>
          </w:p>
        </w:tc>
        <w:tc>
          <w:tcPr>
            <w:tcW w:w="1418" w:type="dxa"/>
            <w:shd w:val="clear" w:color="auto" w:fill="FFFFFF"/>
          </w:tcPr>
          <w:p w14:paraId="36FE447A" w14:textId="59CCA2F7" w:rsidR="00ED4923" w:rsidRPr="00B76D60" w:rsidRDefault="00ED4923" w:rsidP="00620D96">
            <w:pPr>
              <w:pStyle w:val="CETBodytext"/>
              <w:ind w:right="-1"/>
              <w:jc w:val="center"/>
              <w:rPr>
                <w:rFonts w:cs="Arial"/>
                <w:szCs w:val="18"/>
              </w:rPr>
            </w:pPr>
            <w:r w:rsidRPr="00B76D60">
              <w:rPr>
                <w:rFonts w:cs="Arial"/>
                <w:szCs w:val="18"/>
              </w:rPr>
              <w:t>10-15</w:t>
            </w:r>
          </w:p>
        </w:tc>
        <w:tc>
          <w:tcPr>
            <w:tcW w:w="1418" w:type="dxa"/>
            <w:shd w:val="clear" w:color="auto" w:fill="FFFFFF"/>
          </w:tcPr>
          <w:p w14:paraId="5395C573" w14:textId="58B976D8" w:rsidR="00ED4923" w:rsidRPr="00B76D60" w:rsidRDefault="00ED4923" w:rsidP="00620D96">
            <w:pPr>
              <w:pStyle w:val="CETBodytext"/>
              <w:ind w:right="-1"/>
              <w:jc w:val="center"/>
              <w:rPr>
                <w:rFonts w:cs="Arial"/>
                <w:szCs w:val="18"/>
              </w:rPr>
            </w:pPr>
            <w:r w:rsidRPr="00B76D60">
              <w:rPr>
                <w:rFonts w:cs="Arial"/>
                <w:szCs w:val="18"/>
              </w:rPr>
              <w:t>110-160</w:t>
            </w:r>
          </w:p>
        </w:tc>
      </w:tr>
    </w:tbl>
    <w:p w14:paraId="731CC949" w14:textId="77777777" w:rsidR="004616BB" w:rsidRPr="00B76D60" w:rsidRDefault="004616BB" w:rsidP="00237EE5">
      <w:pPr>
        <w:pStyle w:val="CETBodytext"/>
        <w:tabs>
          <w:tab w:val="clear" w:pos="7100"/>
        </w:tabs>
      </w:pPr>
    </w:p>
    <w:p w14:paraId="19A7ABAF" w14:textId="6B9271FC" w:rsidR="007A0F75" w:rsidRPr="00B76D60" w:rsidRDefault="00697C87" w:rsidP="007A0F75">
      <w:pPr>
        <w:pStyle w:val="CETBodytext"/>
      </w:pPr>
      <w:r w:rsidRPr="00B76D60">
        <w:t xml:space="preserve">The </w:t>
      </w:r>
      <w:r w:rsidR="00633FCD" w:rsidRPr="00B76D60">
        <w:rPr>
          <w:lang w:val="en-GB"/>
        </w:rPr>
        <w:t xml:space="preserve">recirculation </w:t>
      </w:r>
      <w:r w:rsidRPr="00B76D60">
        <w:t>rate</w:t>
      </w:r>
      <w:r w:rsidRPr="00B76D60">
        <w:rPr>
          <w:lang w:val="en-GB"/>
        </w:rPr>
        <w:t xml:space="preserve"> of the nutrient solution </w:t>
      </w:r>
      <w:r w:rsidRPr="00B76D60">
        <w:t xml:space="preserve">(1.8 L/h) was </w:t>
      </w:r>
      <w:r w:rsidR="004F3F25" w:rsidRPr="00B76D60">
        <w:t>chosen</w:t>
      </w:r>
      <w:r w:rsidRPr="00B76D60">
        <w:t xml:space="preserve"> </w:t>
      </w:r>
      <w:r w:rsidR="004F3F25" w:rsidRPr="00B76D60">
        <w:rPr>
          <w:lang w:val="en-GB"/>
        </w:rPr>
        <w:t>to avoid</w:t>
      </w:r>
      <w:r w:rsidRPr="00B76D60">
        <w:rPr>
          <w:lang w:val="en-GB"/>
        </w:rPr>
        <w:t xml:space="preserve"> excessive clogging </w:t>
      </w:r>
      <w:r w:rsidR="00633FCD" w:rsidRPr="00B76D60">
        <w:rPr>
          <w:lang w:val="en-GB"/>
        </w:rPr>
        <w:t>by</w:t>
      </w:r>
      <w:r w:rsidRPr="00B76D60">
        <w:rPr>
          <w:lang w:val="en-GB"/>
        </w:rPr>
        <w:t xml:space="preserve"> the biomass in the external part of the module</w:t>
      </w:r>
      <w:r w:rsidR="00237A95" w:rsidRPr="00B76D60">
        <w:rPr>
          <w:lang w:val="en-GB"/>
        </w:rPr>
        <w:t xml:space="preserve"> (</w:t>
      </w:r>
      <w:r w:rsidR="00643B0A" w:rsidRPr="00B76D60">
        <w:rPr>
          <w:lang w:val="en-GB"/>
        </w:rPr>
        <w:t xml:space="preserve">problem highlighted </w:t>
      </w:r>
      <w:r w:rsidR="00633FCD" w:rsidRPr="00B76D60">
        <w:rPr>
          <w:lang w:val="en-GB"/>
        </w:rPr>
        <w:t>in</w:t>
      </w:r>
      <w:r w:rsidR="00643B0A" w:rsidRPr="00B76D60">
        <w:rPr>
          <w:lang w:val="en-GB"/>
        </w:rPr>
        <w:t xml:space="preserve"> previous tests</w:t>
      </w:r>
      <w:r w:rsidR="00633FCD" w:rsidRPr="00B76D60">
        <w:rPr>
          <w:lang w:val="en-GB"/>
        </w:rPr>
        <w:t>, not discussed in this work</w:t>
      </w:r>
      <w:r w:rsidR="00237A95" w:rsidRPr="00B76D60">
        <w:rPr>
          <w:lang w:val="en-GB"/>
        </w:rPr>
        <w:t>)</w:t>
      </w:r>
      <w:r w:rsidR="00643B0A" w:rsidRPr="00B76D60">
        <w:rPr>
          <w:lang w:val="en-GB"/>
        </w:rPr>
        <w:t>.</w:t>
      </w:r>
      <w:r w:rsidR="009F58C3" w:rsidRPr="00B76D60">
        <w:rPr>
          <w:lang w:val="en-GB"/>
        </w:rPr>
        <w:t xml:space="preserve"> </w:t>
      </w:r>
      <w:r w:rsidR="00633FCD" w:rsidRPr="00B76D60">
        <w:rPr>
          <w:lang w:val="en-GB"/>
        </w:rPr>
        <w:t>T</w:t>
      </w:r>
      <w:r w:rsidR="00237A95" w:rsidRPr="00B76D60">
        <w:rPr>
          <w:lang w:val="en-GB"/>
        </w:rPr>
        <w:t xml:space="preserve">he biomass inside the reactor was </w:t>
      </w:r>
      <w:r w:rsidR="00633FCD" w:rsidRPr="00B76D60">
        <w:t xml:space="preserve">continuously </w:t>
      </w:r>
      <w:r w:rsidR="004F3F25" w:rsidRPr="00B76D60">
        <w:t>recirculated</w:t>
      </w:r>
      <w:r w:rsidR="00237A95" w:rsidRPr="00B76D60">
        <w:t xml:space="preserve">, </w:t>
      </w:r>
      <w:r w:rsidR="00237A95" w:rsidRPr="00B76D60">
        <w:rPr>
          <w:lang w:val="en-GB"/>
        </w:rPr>
        <w:t>similar</w:t>
      </w:r>
      <w:r w:rsidR="004F3F25" w:rsidRPr="00B76D60">
        <w:rPr>
          <w:lang w:val="en-GB"/>
        </w:rPr>
        <w:t>ly</w:t>
      </w:r>
      <w:r w:rsidR="00237A95" w:rsidRPr="00B76D60">
        <w:rPr>
          <w:lang w:val="en-GB"/>
        </w:rPr>
        <w:t xml:space="preserve"> to what is </w:t>
      </w:r>
      <w:r w:rsidR="004F3F25" w:rsidRPr="00B76D60">
        <w:rPr>
          <w:rStyle w:val="jlqj4b"/>
          <w:lang w:val="en"/>
        </w:rPr>
        <w:t xml:space="preserve">expected </w:t>
      </w:r>
      <w:r w:rsidR="009F58C3" w:rsidRPr="00B76D60">
        <w:rPr>
          <w:lang w:val="en-GB"/>
        </w:rPr>
        <w:t>at the plant level</w:t>
      </w:r>
      <w:r w:rsidR="004F3F25" w:rsidRPr="00B76D60">
        <w:rPr>
          <w:lang w:val="en-GB"/>
        </w:rPr>
        <w:t>;</w:t>
      </w:r>
      <w:r w:rsidR="009F58C3" w:rsidRPr="00B76D60">
        <w:rPr>
          <w:lang w:val="en-GB"/>
        </w:rPr>
        <w:t xml:space="preserve"> </w:t>
      </w:r>
      <w:r w:rsidR="009F58C3" w:rsidRPr="00B76D60">
        <w:t>the addition of nutrients was</w:t>
      </w:r>
      <w:r w:rsidR="009F58C3" w:rsidRPr="00B76D60">
        <w:rPr>
          <w:lang w:val="en-GB"/>
        </w:rPr>
        <w:t xml:space="preserve"> carried out directly in the recirculation</w:t>
      </w:r>
      <w:r w:rsidR="007E3752" w:rsidRPr="00B76D60">
        <w:rPr>
          <w:lang w:val="en-GB"/>
        </w:rPr>
        <w:t xml:space="preserve">, </w:t>
      </w:r>
      <w:r w:rsidR="00633FCD" w:rsidRPr="00B76D60">
        <w:rPr>
          <w:lang w:val="en-GB"/>
        </w:rPr>
        <w:t>delivering</w:t>
      </w:r>
      <w:r w:rsidR="007E3752" w:rsidRPr="00B76D60">
        <w:rPr>
          <w:lang w:val="en-GB"/>
        </w:rPr>
        <w:t xml:space="preserve"> the </w:t>
      </w:r>
      <w:r w:rsidR="004F3F25" w:rsidRPr="00B76D60">
        <w:rPr>
          <w:lang w:val="en-GB"/>
        </w:rPr>
        <w:t>aforementioned</w:t>
      </w:r>
      <w:r w:rsidR="007E3752" w:rsidRPr="00B76D60">
        <w:rPr>
          <w:lang w:val="en-GB"/>
        </w:rPr>
        <w:t xml:space="preserve"> quantities every 8h by means of a timed </w:t>
      </w:r>
      <w:r w:rsidR="00633FCD" w:rsidRPr="00B76D60">
        <w:rPr>
          <w:lang w:val="en-GB"/>
        </w:rPr>
        <w:t>dos</w:t>
      </w:r>
      <w:r w:rsidR="00620D96" w:rsidRPr="00B76D60">
        <w:rPr>
          <w:lang w:val="en-GB"/>
        </w:rPr>
        <w:t>age</w:t>
      </w:r>
      <w:r w:rsidR="007E3752" w:rsidRPr="00B76D60">
        <w:rPr>
          <w:lang w:val="en-GB"/>
        </w:rPr>
        <w:t xml:space="preserve">. </w:t>
      </w:r>
      <w:r w:rsidR="009F58C3" w:rsidRPr="00B76D60">
        <w:t>With these operating conditions, the process worked with both adhere</w:t>
      </w:r>
      <w:r w:rsidR="00633FCD" w:rsidRPr="00B76D60">
        <w:t>nt</w:t>
      </w:r>
      <w:r w:rsidR="009F58C3" w:rsidRPr="00B76D60">
        <w:t xml:space="preserve"> and suspended biomass</w:t>
      </w:r>
      <w:r w:rsidR="003A6609" w:rsidRPr="00B76D60">
        <w:t xml:space="preserve">, but the compromise of </w:t>
      </w:r>
      <w:r w:rsidR="00633FCD" w:rsidRPr="00B76D60">
        <w:t xml:space="preserve">a </w:t>
      </w:r>
      <w:r w:rsidR="003A6609" w:rsidRPr="00B76D60">
        <w:t>partial permeation towards the interior had to be accepted</w:t>
      </w:r>
      <w:r w:rsidR="005023B0" w:rsidRPr="00B76D60">
        <w:t>.</w:t>
      </w:r>
    </w:p>
    <w:p w14:paraId="6445DB3C" w14:textId="14BDD535" w:rsidR="00A70EDB" w:rsidRPr="00B76D60" w:rsidRDefault="003A6609" w:rsidP="00A70EDB">
      <w:pPr>
        <w:pStyle w:val="CETBodytext"/>
      </w:pPr>
      <w:r w:rsidRPr="00B76D60">
        <w:t>All solutions, even those used to simulate groundwater, were prepared using tap water</w:t>
      </w:r>
      <w:r w:rsidR="002870D4" w:rsidRPr="00B76D60">
        <w:t xml:space="preserve"> with the following average characteristics</w:t>
      </w:r>
      <w:r w:rsidRPr="00B76D60">
        <w:t xml:space="preserve">: </w:t>
      </w:r>
      <w:r w:rsidR="00A70EDB" w:rsidRPr="00B76D60">
        <w:t>N</w:t>
      </w:r>
      <w:r w:rsidR="00B32837" w:rsidRPr="00B76D60">
        <w:t>O</w:t>
      </w:r>
      <w:r w:rsidR="00B32837" w:rsidRPr="00B76D60">
        <w:rPr>
          <w:vertAlign w:val="subscript"/>
        </w:rPr>
        <w:t>3</w:t>
      </w:r>
      <w:r w:rsidR="00620D96" w:rsidRPr="00B76D60">
        <w:rPr>
          <w:vertAlign w:val="superscript"/>
        </w:rPr>
        <w:t>-</w:t>
      </w:r>
      <w:r w:rsidR="00B32837" w:rsidRPr="00B76D60">
        <w:t>, NO</w:t>
      </w:r>
      <w:r w:rsidR="00B32837" w:rsidRPr="00B76D60">
        <w:rPr>
          <w:vertAlign w:val="subscript"/>
        </w:rPr>
        <w:t>2</w:t>
      </w:r>
      <w:r w:rsidR="00620D96" w:rsidRPr="00B76D60">
        <w:rPr>
          <w:vertAlign w:val="superscript"/>
        </w:rPr>
        <w:t>-</w:t>
      </w:r>
      <w:r w:rsidR="00B32837" w:rsidRPr="00B76D60">
        <w:t>, C, PO</w:t>
      </w:r>
      <w:r w:rsidR="00B32837" w:rsidRPr="00B76D60">
        <w:rPr>
          <w:vertAlign w:val="subscript"/>
        </w:rPr>
        <w:t>4</w:t>
      </w:r>
      <w:r w:rsidR="00F154E2" w:rsidRPr="00B76D60">
        <w:rPr>
          <w:vertAlign w:val="superscript"/>
        </w:rPr>
        <w:t>3-</w:t>
      </w:r>
      <w:r w:rsidR="00B32837" w:rsidRPr="00B76D60">
        <w:t xml:space="preserve"> = 0</w:t>
      </w:r>
      <w:r w:rsidR="00A70EDB" w:rsidRPr="00B76D60">
        <w:t xml:space="preserve"> mg/</w:t>
      </w:r>
      <w:r w:rsidR="00B32837" w:rsidRPr="00B76D60">
        <w:t>L</w:t>
      </w:r>
      <w:r w:rsidR="00A70EDB" w:rsidRPr="00B76D60">
        <w:t>, SO</w:t>
      </w:r>
      <w:r w:rsidR="00B32837" w:rsidRPr="00B76D60">
        <w:rPr>
          <w:vertAlign w:val="subscript"/>
        </w:rPr>
        <w:t>4</w:t>
      </w:r>
      <w:r w:rsidR="00620D96" w:rsidRPr="00B76D60">
        <w:rPr>
          <w:vertAlign w:val="superscript"/>
        </w:rPr>
        <w:t>2-</w:t>
      </w:r>
      <w:r w:rsidRPr="00B76D60">
        <w:t xml:space="preserve"> </w:t>
      </w:r>
      <w:r w:rsidR="00B32837" w:rsidRPr="00B76D60">
        <w:t>=</w:t>
      </w:r>
      <w:r w:rsidR="00A70EDB" w:rsidRPr="00B76D60">
        <w:t xml:space="preserve"> 1</w:t>
      </w:r>
      <w:r w:rsidR="00B32837" w:rsidRPr="00B76D60">
        <w:t>.</w:t>
      </w:r>
      <w:r w:rsidR="00A70EDB" w:rsidRPr="00B76D60">
        <w:t>6 mg/</w:t>
      </w:r>
      <w:r w:rsidR="00B32837" w:rsidRPr="00B76D60">
        <w:t>L</w:t>
      </w:r>
      <w:r w:rsidR="00A70EDB" w:rsidRPr="00B76D60">
        <w:t xml:space="preserve">, </w:t>
      </w:r>
      <w:r w:rsidR="00B32837" w:rsidRPr="00B76D60">
        <w:t>Cl</w:t>
      </w:r>
      <w:r w:rsidR="00B32837" w:rsidRPr="00B76D60">
        <w:rPr>
          <w:vertAlign w:val="superscript"/>
        </w:rPr>
        <w:t>-</w:t>
      </w:r>
      <w:r w:rsidRPr="00B76D60">
        <w:t xml:space="preserve"> </w:t>
      </w:r>
      <w:r w:rsidR="00B32837" w:rsidRPr="00B76D60">
        <w:t>=</w:t>
      </w:r>
      <w:r w:rsidRPr="00B76D60">
        <w:t xml:space="preserve"> </w:t>
      </w:r>
      <w:r w:rsidR="00A70EDB" w:rsidRPr="00B76D60">
        <w:t>29</w:t>
      </w:r>
      <w:r w:rsidR="00B32837" w:rsidRPr="00B76D60">
        <w:t>.</w:t>
      </w:r>
      <w:r w:rsidR="00A70EDB" w:rsidRPr="00B76D60">
        <w:t>3 mg/</w:t>
      </w:r>
      <w:r w:rsidR="00B32837" w:rsidRPr="00B76D60">
        <w:t>L</w:t>
      </w:r>
      <w:r w:rsidR="00A70EDB" w:rsidRPr="00B76D60">
        <w:t>, temperatur</w:t>
      </w:r>
      <w:r w:rsidR="001F6552" w:rsidRPr="00B76D60">
        <w:t>e</w:t>
      </w:r>
      <w:r w:rsidR="00A70EDB" w:rsidRPr="00B76D60">
        <w:t xml:space="preserve"> 18</w:t>
      </w:r>
      <w:r w:rsidR="00280BAF" w:rsidRPr="00B76D60">
        <w:t xml:space="preserve"> </w:t>
      </w:r>
      <w:r w:rsidR="00A70EDB" w:rsidRPr="00B76D60">
        <w:t xml:space="preserve">°C, </w:t>
      </w:r>
      <w:r w:rsidR="00280BAF" w:rsidRPr="00B76D60">
        <w:t xml:space="preserve">pH 7.15, </w:t>
      </w:r>
      <w:r w:rsidR="001F6552" w:rsidRPr="00B76D60">
        <w:t xml:space="preserve">conductivity </w:t>
      </w:r>
      <w:r w:rsidR="00A70EDB" w:rsidRPr="00B76D60">
        <w:t>3</w:t>
      </w:r>
      <w:r w:rsidR="00620D96" w:rsidRPr="00B76D60">
        <w:t>50</w:t>
      </w:r>
      <w:r w:rsidR="00A70EDB" w:rsidRPr="00B76D60">
        <w:t xml:space="preserve"> </w:t>
      </w:r>
      <w:r w:rsidR="00A70EDB" w:rsidRPr="00B76D60">
        <w:rPr>
          <w:lang w:val="it-IT"/>
        </w:rPr>
        <w:t>μ</w:t>
      </w:r>
      <w:r w:rsidR="00A70EDB" w:rsidRPr="00B76D60">
        <w:t>S</w:t>
      </w:r>
      <w:r w:rsidRPr="00B76D60">
        <w:t>/cm</w:t>
      </w:r>
      <w:r w:rsidR="00A70EDB" w:rsidRPr="00B76D60">
        <w:t xml:space="preserve">, </w:t>
      </w:r>
      <w:r w:rsidR="00DA22B4" w:rsidRPr="00B76D60">
        <w:rPr>
          <w:iCs/>
        </w:rPr>
        <w:t>dissolved oxygen</w:t>
      </w:r>
      <w:r w:rsidR="00A70EDB" w:rsidRPr="00B76D60">
        <w:rPr>
          <w:i/>
          <w:iCs/>
        </w:rPr>
        <w:t xml:space="preserve"> </w:t>
      </w:r>
      <w:r w:rsidR="00A70EDB" w:rsidRPr="00B76D60">
        <w:t>5</w:t>
      </w:r>
      <w:r w:rsidR="00B32837" w:rsidRPr="00B76D60">
        <w:t>.</w:t>
      </w:r>
      <w:r w:rsidR="00A70EDB" w:rsidRPr="00B76D60">
        <w:t>6 mg/</w:t>
      </w:r>
      <w:r w:rsidR="00B32837" w:rsidRPr="00B76D60">
        <w:t>L</w:t>
      </w:r>
      <w:r w:rsidR="002870D4" w:rsidRPr="00B76D60">
        <w:t>;</w:t>
      </w:r>
      <w:r w:rsidR="00B32837" w:rsidRPr="00B76D60">
        <w:t xml:space="preserve"> </w:t>
      </w:r>
      <w:r w:rsidR="002870D4" w:rsidRPr="00B76D60">
        <w:t>the presence of further mineral salts is possible but has not been evaluated.</w:t>
      </w:r>
    </w:p>
    <w:p w14:paraId="5741900F" w14:textId="35B804C6" w:rsidR="00453E24" w:rsidRPr="00B76D60" w:rsidRDefault="007132DE" w:rsidP="00453E24">
      <w:pPr>
        <w:pStyle w:val="CETHeading1"/>
      </w:pPr>
      <w:r w:rsidRPr="00B76D60">
        <w:t>Results</w:t>
      </w:r>
    </w:p>
    <w:p w14:paraId="4CC22E41" w14:textId="55265094" w:rsidR="007132DE" w:rsidRPr="00B76D60" w:rsidRDefault="00723A2E" w:rsidP="00453E24">
      <w:pPr>
        <w:pStyle w:val="CETBodytext"/>
      </w:pPr>
      <w:r w:rsidRPr="00B76D60">
        <w:t xml:space="preserve">The results of the tests described in the previous section are shown below. For reasons of brevity, the complete data are </w:t>
      </w:r>
      <w:r w:rsidR="00C25BAE" w:rsidRPr="00B76D60">
        <w:t>shown</w:t>
      </w:r>
      <w:r w:rsidRPr="00B76D60">
        <w:t xml:space="preserve"> only for the H5P2-43 module which proved to be the most performing, while for the other modules only the general performance and the differences in behavior compared to H5P2-43 will be highlighted.</w:t>
      </w:r>
    </w:p>
    <w:p w14:paraId="1F5401C8" w14:textId="17F25402" w:rsidR="007132DE" w:rsidRPr="00B76D60" w:rsidRDefault="002561AB" w:rsidP="00EF1264">
      <w:pPr>
        <w:pStyle w:val="CETheadingx"/>
      </w:pPr>
      <w:r w:rsidRPr="00B76D60">
        <w:t>Hydraulic characterization tests</w:t>
      </w:r>
    </w:p>
    <w:p w14:paraId="73F8024B" w14:textId="48443A77" w:rsidR="00215796" w:rsidRPr="00B76D60" w:rsidRDefault="00C70991" w:rsidP="00781FE0">
      <w:pPr>
        <w:pStyle w:val="CETCaption"/>
        <w:spacing w:before="0"/>
        <w:rPr>
          <w:i w:val="0"/>
          <w:lang w:val="en-US"/>
        </w:rPr>
      </w:pPr>
      <w:r w:rsidRPr="00B76D60">
        <w:rPr>
          <w:i w:val="0"/>
          <w:lang w:val="en-US"/>
        </w:rPr>
        <w:t xml:space="preserve">Preliminary tests (not shown) made it possible to highlight that the permeate flow strongly depends on the water pressure, which is why all the tests were conducted with low pressures, in </w:t>
      </w:r>
      <w:r w:rsidR="005706B7" w:rsidRPr="00B76D60">
        <w:rPr>
          <w:i w:val="0"/>
          <w:lang w:val="en-US"/>
        </w:rPr>
        <w:t>an attempt to</w:t>
      </w:r>
      <w:r w:rsidRPr="00B76D60">
        <w:rPr>
          <w:i w:val="0"/>
          <w:lang w:val="en-US"/>
        </w:rPr>
        <w:t xml:space="preserve"> limit the gradient between the inside and outside of the membrane. </w:t>
      </w:r>
      <w:r w:rsidR="003541DA" w:rsidRPr="00B76D60">
        <w:rPr>
          <w:i w:val="0"/>
          <w:lang w:val="en-US"/>
        </w:rPr>
        <w:t>The results of the p</w:t>
      </w:r>
      <w:r w:rsidR="00215796" w:rsidRPr="00B76D60">
        <w:rPr>
          <w:i w:val="0"/>
          <w:lang w:val="en-US"/>
        </w:rPr>
        <w:t>ermeation test</w:t>
      </w:r>
      <w:r w:rsidR="00981D47" w:rsidRPr="00B76D60">
        <w:rPr>
          <w:i w:val="0"/>
          <w:lang w:val="en-US"/>
        </w:rPr>
        <w:t>,</w:t>
      </w:r>
      <w:r w:rsidR="00215796" w:rsidRPr="00B76D60">
        <w:rPr>
          <w:i w:val="0"/>
          <w:lang w:val="en-US"/>
        </w:rPr>
        <w:t xml:space="preserve"> </w:t>
      </w:r>
      <w:r w:rsidR="003541DA" w:rsidRPr="00B76D60">
        <w:rPr>
          <w:i w:val="0"/>
          <w:lang w:val="en-US"/>
        </w:rPr>
        <w:t>reported</w:t>
      </w:r>
      <w:r w:rsidR="00215796" w:rsidRPr="00B76D60">
        <w:rPr>
          <w:i w:val="0"/>
          <w:lang w:val="en-US"/>
        </w:rPr>
        <w:t xml:space="preserve"> </w:t>
      </w:r>
      <w:r w:rsidR="003541DA" w:rsidRPr="00B76D60">
        <w:rPr>
          <w:i w:val="0"/>
          <w:lang w:val="en-US"/>
        </w:rPr>
        <w:t>in Table 3 for the H5P2-43 module</w:t>
      </w:r>
      <w:r w:rsidR="00981D47" w:rsidRPr="00B76D60">
        <w:rPr>
          <w:i w:val="0"/>
          <w:lang w:val="en-US"/>
        </w:rPr>
        <w:t>,</w:t>
      </w:r>
      <w:r w:rsidR="003541DA" w:rsidRPr="00B76D60">
        <w:rPr>
          <w:i w:val="0"/>
          <w:lang w:val="en-US"/>
        </w:rPr>
        <w:t xml:space="preserve"> show that</w:t>
      </w:r>
      <w:r w:rsidR="003541DA" w:rsidRPr="00B76D60">
        <w:t xml:space="preserve"> </w:t>
      </w:r>
      <w:r w:rsidR="003541DA" w:rsidRPr="00B76D60">
        <w:rPr>
          <w:i w:val="0"/>
          <w:iCs/>
        </w:rPr>
        <w:t xml:space="preserve">the permeation varies </w:t>
      </w:r>
      <w:r w:rsidR="001B7077" w:rsidRPr="00B76D60">
        <w:rPr>
          <w:i w:val="0"/>
          <w:iCs/>
        </w:rPr>
        <w:t>according to</w:t>
      </w:r>
      <w:r w:rsidR="003541DA" w:rsidRPr="00B76D60">
        <w:rPr>
          <w:i w:val="0"/>
          <w:iCs/>
        </w:rPr>
        <w:t xml:space="preserve"> the flow rate; in particular, the permeate flow rate decreases as the external flow rate increases (from 170 to 240 mL/h), while it decreases in absolute </w:t>
      </w:r>
      <w:r w:rsidR="001B7077" w:rsidRPr="00B76D60">
        <w:rPr>
          <w:i w:val="0"/>
          <w:iCs/>
        </w:rPr>
        <w:t>value</w:t>
      </w:r>
      <w:r w:rsidR="003541DA" w:rsidRPr="00B76D60">
        <w:rPr>
          <w:i w:val="0"/>
          <w:iCs/>
        </w:rPr>
        <w:t xml:space="preserve"> (but increases in percentage) as the internal flow rate decreases (from 522 to 160 </w:t>
      </w:r>
      <w:r w:rsidR="0055509C" w:rsidRPr="00B76D60">
        <w:rPr>
          <w:i w:val="0"/>
          <w:iCs/>
        </w:rPr>
        <w:t>mL/h)</w:t>
      </w:r>
      <w:r w:rsidR="003541DA" w:rsidRPr="00B76D60">
        <w:rPr>
          <w:i w:val="0"/>
          <w:iCs/>
        </w:rPr>
        <w:t>.</w:t>
      </w:r>
      <w:r w:rsidR="00661A99" w:rsidRPr="00B76D60">
        <w:t xml:space="preserve"> </w:t>
      </w:r>
      <w:r w:rsidR="00661A99" w:rsidRPr="00B76D60">
        <w:rPr>
          <w:i w:val="0"/>
        </w:rPr>
        <w:t>In Table 3</w:t>
      </w:r>
      <w:r w:rsidR="00C24F6B" w:rsidRPr="00B76D60">
        <w:rPr>
          <w:i w:val="0"/>
        </w:rPr>
        <w:t xml:space="preserve"> </w:t>
      </w:r>
      <w:r w:rsidR="00C24F6B" w:rsidRPr="00B76D60">
        <w:rPr>
          <w:i w:val="0"/>
          <w:lang w:val="en"/>
        </w:rPr>
        <w:t>and thereafter</w:t>
      </w:r>
      <w:r w:rsidR="00661A99" w:rsidRPr="00B76D60">
        <w:t>,</w:t>
      </w:r>
      <w:r w:rsidR="00661A99" w:rsidRPr="00B76D60">
        <w:rPr>
          <w:i w:val="0"/>
        </w:rPr>
        <w:t xml:space="preserve"> </w:t>
      </w:r>
      <w:r w:rsidR="00661A99" w:rsidRPr="00B76D60">
        <w:rPr>
          <w:i w:val="0"/>
          <w:iCs/>
        </w:rPr>
        <w:t xml:space="preserve">A and B respectively indicate the internal and external </w:t>
      </w:r>
      <w:r w:rsidR="001B7077" w:rsidRPr="00B76D60">
        <w:rPr>
          <w:i w:val="0"/>
          <w:iCs/>
        </w:rPr>
        <w:t>compartments</w:t>
      </w:r>
      <w:r w:rsidR="00661A99" w:rsidRPr="00B76D60">
        <w:rPr>
          <w:i w:val="0"/>
          <w:iCs/>
        </w:rPr>
        <w:t>; IN and OUT indicate the value</w:t>
      </w:r>
      <w:r w:rsidR="001B7077" w:rsidRPr="00B76D60">
        <w:rPr>
          <w:i w:val="0"/>
          <w:iCs/>
        </w:rPr>
        <w:t>s</w:t>
      </w:r>
      <w:r w:rsidR="00661A99" w:rsidRPr="00B76D60">
        <w:rPr>
          <w:i w:val="0"/>
          <w:iCs/>
        </w:rPr>
        <w:t xml:space="preserve"> at the inlet and at the outlet of the module, respectively.</w:t>
      </w:r>
    </w:p>
    <w:p w14:paraId="44B78D7F" w14:textId="05E5C0E1" w:rsidR="00D86EEA" w:rsidRPr="00B76D60" w:rsidRDefault="00D86EEA" w:rsidP="00D86EEA">
      <w:pPr>
        <w:pStyle w:val="CETTabletitle"/>
        <w:rPr>
          <w:lang w:val="en-US"/>
        </w:rPr>
      </w:pPr>
      <w:r w:rsidRPr="00B76D60">
        <w:rPr>
          <w:lang w:val="en-US"/>
        </w:rPr>
        <w:t xml:space="preserve">Table </w:t>
      </w:r>
      <w:r w:rsidR="00323BD9" w:rsidRPr="00B76D60">
        <w:rPr>
          <w:lang w:val="en-US"/>
        </w:rPr>
        <w:t>3</w:t>
      </w:r>
      <w:r w:rsidRPr="00B76D60">
        <w:rPr>
          <w:lang w:val="en-US"/>
        </w:rPr>
        <w:t xml:space="preserve">: </w:t>
      </w:r>
      <w:r w:rsidR="00C22CC7" w:rsidRPr="00B76D60">
        <w:rPr>
          <w:lang w:val="en-US"/>
        </w:rPr>
        <w:t>Permeate flow rate as the internal flow rate to the fibers varies, with two different external flow rates</w:t>
      </w:r>
      <w:r w:rsidR="00F44B10" w:rsidRPr="00B76D60">
        <w:rPr>
          <w:lang w:val="en-US"/>
        </w:rPr>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784"/>
        <w:gridCol w:w="784"/>
        <w:gridCol w:w="785"/>
        <w:gridCol w:w="785"/>
        <w:gridCol w:w="1022"/>
        <w:gridCol w:w="991"/>
        <w:gridCol w:w="991"/>
        <w:gridCol w:w="892"/>
        <w:gridCol w:w="892"/>
        <w:gridCol w:w="861"/>
      </w:tblGrid>
      <w:tr w:rsidR="00296850" w:rsidRPr="00B76D60" w14:paraId="2F316EF7" w14:textId="52BB01C0" w:rsidTr="00296850">
        <w:tc>
          <w:tcPr>
            <w:tcW w:w="1568" w:type="dxa"/>
            <w:gridSpan w:val="2"/>
            <w:tcBorders>
              <w:top w:val="single" w:sz="12" w:space="0" w:color="008000"/>
              <w:bottom w:val="single" w:sz="6" w:space="0" w:color="008000"/>
            </w:tcBorders>
            <w:shd w:val="clear" w:color="auto" w:fill="FFFFFF"/>
            <w:vAlign w:val="center"/>
          </w:tcPr>
          <w:p w14:paraId="486247E4" w14:textId="2997D43A" w:rsidR="00296850" w:rsidRPr="00B76D60" w:rsidRDefault="00296850" w:rsidP="00296850">
            <w:pPr>
              <w:pStyle w:val="CETBodytext"/>
              <w:jc w:val="center"/>
            </w:pPr>
            <w:r w:rsidRPr="00B76D60">
              <w:t>P</w:t>
            </w:r>
            <w:r w:rsidRPr="00B76D60">
              <w:rPr>
                <w:vertAlign w:val="subscript"/>
              </w:rPr>
              <w:t xml:space="preserve">IN </w:t>
            </w:r>
            <w:r w:rsidRPr="00B76D60">
              <w:t>(g/cm</w:t>
            </w:r>
            <w:r w:rsidRPr="00B76D60">
              <w:rPr>
                <w:vertAlign w:val="superscript"/>
              </w:rPr>
              <w:t>2</w:t>
            </w:r>
            <w:r w:rsidRPr="00B76D60">
              <w:t>)</w:t>
            </w:r>
          </w:p>
        </w:tc>
        <w:tc>
          <w:tcPr>
            <w:tcW w:w="1570" w:type="dxa"/>
            <w:gridSpan w:val="2"/>
            <w:tcBorders>
              <w:top w:val="single" w:sz="12" w:space="0" w:color="008000"/>
              <w:bottom w:val="single" w:sz="6" w:space="0" w:color="008000"/>
            </w:tcBorders>
            <w:shd w:val="clear" w:color="auto" w:fill="FFFFFF"/>
            <w:vAlign w:val="center"/>
          </w:tcPr>
          <w:p w14:paraId="452CA962" w14:textId="61CF3CC4" w:rsidR="00296850" w:rsidRPr="00B76D60" w:rsidRDefault="00296850" w:rsidP="00296850">
            <w:pPr>
              <w:pStyle w:val="CETBodytext"/>
              <w:jc w:val="center"/>
            </w:pPr>
            <w:r w:rsidRPr="00B76D60">
              <w:t>P</w:t>
            </w:r>
            <w:r w:rsidRPr="00B76D60">
              <w:rPr>
                <w:vertAlign w:val="subscript"/>
              </w:rPr>
              <w:t xml:space="preserve">OUT </w:t>
            </w:r>
            <w:r w:rsidRPr="00B76D60">
              <w:t>(g/cm</w:t>
            </w:r>
            <w:r w:rsidRPr="00B76D60">
              <w:rPr>
                <w:vertAlign w:val="superscript"/>
              </w:rPr>
              <w:t>2</w:t>
            </w:r>
            <w:r w:rsidRPr="00B76D60">
              <w:t>)</w:t>
            </w:r>
          </w:p>
        </w:tc>
        <w:tc>
          <w:tcPr>
            <w:tcW w:w="1022" w:type="dxa"/>
            <w:vMerge w:val="restart"/>
            <w:tcBorders>
              <w:top w:val="single" w:sz="12" w:space="0" w:color="008000"/>
            </w:tcBorders>
            <w:shd w:val="clear" w:color="auto" w:fill="FFFFFF"/>
            <w:vAlign w:val="center"/>
          </w:tcPr>
          <w:p w14:paraId="50BC20F8" w14:textId="29377A10" w:rsidR="00296850" w:rsidRPr="00B76D60" w:rsidRDefault="00296850" w:rsidP="00296850">
            <w:pPr>
              <w:pStyle w:val="CETBodytext"/>
              <w:jc w:val="center"/>
            </w:pPr>
            <w:r w:rsidRPr="00B76D60">
              <w:t>Tc</w:t>
            </w:r>
            <w:r w:rsidR="00473F88" w:rsidRPr="00B76D60">
              <w:t xml:space="preserve"> (°C)</w:t>
            </w:r>
          </w:p>
        </w:tc>
        <w:tc>
          <w:tcPr>
            <w:tcW w:w="991" w:type="dxa"/>
            <w:vMerge w:val="restart"/>
            <w:tcBorders>
              <w:top w:val="single" w:sz="12" w:space="0" w:color="008000"/>
            </w:tcBorders>
            <w:shd w:val="clear" w:color="auto" w:fill="FFFFFF"/>
            <w:vAlign w:val="center"/>
          </w:tcPr>
          <w:p w14:paraId="5C49B025" w14:textId="4E7D124A" w:rsidR="00296850" w:rsidRPr="00B76D60" w:rsidRDefault="00296850" w:rsidP="00473F88">
            <w:pPr>
              <w:pStyle w:val="CETBodytext"/>
              <w:jc w:val="center"/>
            </w:pPr>
            <w:r w:rsidRPr="00B76D60">
              <w:t>Q</w:t>
            </w:r>
            <w:r w:rsidR="00473F88" w:rsidRPr="00B76D60">
              <w:rPr>
                <w:vertAlign w:val="subscript"/>
              </w:rPr>
              <w:t>A</w:t>
            </w:r>
            <w:r w:rsidR="00473F88" w:rsidRPr="00B76D60">
              <w:t xml:space="preserve"> (mL/h)</w:t>
            </w:r>
          </w:p>
        </w:tc>
        <w:tc>
          <w:tcPr>
            <w:tcW w:w="1883" w:type="dxa"/>
            <w:gridSpan w:val="2"/>
            <w:tcBorders>
              <w:top w:val="single" w:sz="12" w:space="0" w:color="008000"/>
              <w:bottom w:val="single" w:sz="6" w:space="0" w:color="008000"/>
            </w:tcBorders>
            <w:shd w:val="clear" w:color="auto" w:fill="FFFFFF"/>
            <w:vAlign w:val="center"/>
          </w:tcPr>
          <w:p w14:paraId="5AD422B4" w14:textId="105AC900" w:rsidR="00296850" w:rsidRPr="00B76D60" w:rsidRDefault="00296850" w:rsidP="00473F88">
            <w:pPr>
              <w:pStyle w:val="CETBodytext"/>
              <w:ind w:right="-1"/>
              <w:jc w:val="center"/>
              <w:rPr>
                <w:rFonts w:cs="Arial"/>
                <w:szCs w:val="18"/>
              </w:rPr>
            </w:pPr>
            <w:r w:rsidRPr="00B76D60">
              <w:rPr>
                <w:rFonts w:cs="Arial"/>
                <w:szCs w:val="18"/>
              </w:rPr>
              <w:t>Q</w:t>
            </w:r>
            <w:r w:rsidR="00473F88" w:rsidRPr="00B76D60">
              <w:rPr>
                <w:rFonts w:cs="Arial"/>
                <w:szCs w:val="18"/>
                <w:vertAlign w:val="subscript"/>
              </w:rPr>
              <w:t>B</w:t>
            </w:r>
            <w:r w:rsidRPr="00B76D60">
              <w:rPr>
                <w:rFonts w:cs="Arial"/>
                <w:szCs w:val="18"/>
              </w:rPr>
              <w:t>=170 mL/h</w:t>
            </w:r>
          </w:p>
        </w:tc>
        <w:tc>
          <w:tcPr>
            <w:tcW w:w="1753" w:type="dxa"/>
            <w:gridSpan w:val="2"/>
            <w:tcBorders>
              <w:top w:val="single" w:sz="12" w:space="0" w:color="008000"/>
              <w:bottom w:val="single" w:sz="6" w:space="0" w:color="008000"/>
            </w:tcBorders>
            <w:shd w:val="clear" w:color="auto" w:fill="FFFFFF"/>
            <w:vAlign w:val="center"/>
          </w:tcPr>
          <w:p w14:paraId="6B3F04C1" w14:textId="281FF94B" w:rsidR="00296850" w:rsidRPr="00B76D60" w:rsidRDefault="00296850" w:rsidP="00473F88">
            <w:pPr>
              <w:pStyle w:val="CETBodytext"/>
              <w:ind w:right="-1"/>
              <w:jc w:val="center"/>
              <w:rPr>
                <w:rFonts w:cs="Arial"/>
                <w:szCs w:val="18"/>
              </w:rPr>
            </w:pPr>
            <w:r w:rsidRPr="00B76D60">
              <w:rPr>
                <w:rFonts w:cs="Arial"/>
                <w:szCs w:val="18"/>
              </w:rPr>
              <w:t>Q</w:t>
            </w:r>
            <w:r w:rsidR="00473F88" w:rsidRPr="00B76D60">
              <w:rPr>
                <w:rFonts w:cs="Arial"/>
                <w:szCs w:val="18"/>
                <w:vertAlign w:val="subscript"/>
              </w:rPr>
              <w:t>B</w:t>
            </w:r>
            <w:r w:rsidRPr="00B76D60">
              <w:rPr>
                <w:rFonts w:cs="Arial"/>
                <w:szCs w:val="18"/>
              </w:rPr>
              <w:t>=240 mL/h</w:t>
            </w:r>
          </w:p>
        </w:tc>
      </w:tr>
      <w:tr w:rsidR="00296850" w:rsidRPr="00B76D60" w14:paraId="43C64D03" w14:textId="6BA6506E" w:rsidTr="00296850">
        <w:tc>
          <w:tcPr>
            <w:tcW w:w="784" w:type="dxa"/>
            <w:shd w:val="clear" w:color="auto" w:fill="FFFFFF"/>
            <w:vAlign w:val="center"/>
          </w:tcPr>
          <w:p w14:paraId="3316073E" w14:textId="473475D2" w:rsidR="00296850" w:rsidRPr="00B76D60" w:rsidRDefault="002A6918" w:rsidP="00296850">
            <w:pPr>
              <w:pStyle w:val="CETBodytext"/>
              <w:jc w:val="center"/>
            </w:pPr>
            <w:r w:rsidRPr="00B76D60">
              <w:t>A</w:t>
            </w:r>
          </w:p>
        </w:tc>
        <w:tc>
          <w:tcPr>
            <w:tcW w:w="784" w:type="dxa"/>
            <w:shd w:val="clear" w:color="auto" w:fill="FFFFFF"/>
            <w:vAlign w:val="center"/>
          </w:tcPr>
          <w:p w14:paraId="50AA18D6" w14:textId="7E60CE34" w:rsidR="00296850" w:rsidRPr="00B76D60" w:rsidRDefault="002A6918" w:rsidP="00296850">
            <w:pPr>
              <w:pStyle w:val="CETBodytext"/>
              <w:jc w:val="center"/>
            </w:pPr>
            <w:r w:rsidRPr="00B76D60">
              <w:t>B</w:t>
            </w:r>
          </w:p>
        </w:tc>
        <w:tc>
          <w:tcPr>
            <w:tcW w:w="785" w:type="dxa"/>
            <w:shd w:val="clear" w:color="auto" w:fill="FFFFFF"/>
            <w:vAlign w:val="center"/>
          </w:tcPr>
          <w:p w14:paraId="205134B4" w14:textId="6DE30FED" w:rsidR="00296850" w:rsidRPr="00B76D60" w:rsidRDefault="002A6918" w:rsidP="00296850">
            <w:pPr>
              <w:pStyle w:val="CETBodytext"/>
              <w:jc w:val="center"/>
            </w:pPr>
            <w:r w:rsidRPr="00B76D60">
              <w:t>A</w:t>
            </w:r>
          </w:p>
        </w:tc>
        <w:tc>
          <w:tcPr>
            <w:tcW w:w="785" w:type="dxa"/>
            <w:shd w:val="clear" w:color="auto" w:fill="FFFFFF"/>
            <w:vAlign w:val="center"/>
          </w:tcPr>
          <w:p w14:paraId="68E2E6E3" w14:textId="47798FDD" w:rsidR="00296850" w:rsidRPr="00B76D60" w:rsidRDefault="002A6918" w:rsidP="00296850">
            <w:pPr>
              <w:pStyle w:val="CETBodytext"/>
              <w:jc w:val="center"/>
            </w:pPr>
            <w:r w:rsidRPr="00B76D60">
              <w:t>B</w:t>
            </w:r>
          </w:p>
        </w:tc>
        <w:tc>
          <w:tcPr>
            <w:tcW w:w="1022" w:type="dxa"/>
            <w:vMerge/>
            <w:shd w:val="clear" w:color="auto" w:fill="FFFFFF"/>
          </w:tcPr>
          <w:p w14:paraId="167AD705" w14:textId="406DDC10" w:rsidR="00296850" w:rsidRPr="00B76D60" w:rsidRDefault="00296850" w:rsidP="00EF3D3B">
            <w:pPr>
              <w:pStyle w:val="CETBodytext"/>
            </w:pPr>
          </w:p>
        </w:tc>
        <w:tc>
          <w:tcPr>
            <w:tcW w:w="991" w:type="dxa"/>
            <w:vMerge/>
            <w:shd w:val="clear" w:color="auto" w:fill="FFFFFF"/>
          </w:tcPr>
          <w:p w14:paraId="019793C4" w14:textId="791BDECB" w:rsidR="00296850" w:rsidRPr="00B76D60" w:rsidRDefault="00296850" w:rsidP="00EF3D3B">
            <w:pPr>
              <w:pStyle w:val="CETBodytext"/>
            </w:pPr>
          </w:p>
        </w:tc>
        <w:tc>
          <w:tcPr>
            <w:tcW w:w="991" w:type="dxa"/>
            <w:shd w:val="clear" w:color="auto" w:fill="FFFFFF"/>
            <w:vAlign w:val="center"/>
          </w:tcPr>
          <w:p w14:paraId="2F0C7B7A" w14:textId="062D610C" w:rsidR="00296850" w:rsidRPr="00B76D60" w:rsidRDefault="00296850" w:rsidP="00296850">
            <w:pPr>
              <w:pStyle w:val="CETBodytext"/>
              <w:jc w:val="center"/>
            </w:pPr>
            <w:r w:rsidRPr="00B76D60">
              <w:t>Permeate</w:t>
            </w:r>
          </w:p>
        </w:tc>
        <w:tc>
          <w:tcPr>
            <w:tcW w:w="892" w:type="dxa"/>
            <w:shd w:val="clear" w:color="auto" w:fill="FFFFFF"/>
            <w:vAlign w:val="center"/>
          </w:tcPr>
          <w:p w14:paraId="0CE9D6C9" w14:textId="1964297F" w:rsidR="00296850" w:rsidRPr="00B76D60" w:rsidRDefault="00296850" w:rsidP="00296850">
            <w:pPr>
              <w:pStyle w:val="CETBodytext"/>
              <w:ind w:right="-1"/>
              <w:jc w:val="center"/>
              <w:rPr>
                <w:rFonts w:cs="Arial"/>
                <w:szCs w:val="18"/>
              </w:rPr>
            </w:pPr>
            <w:r w:rsidRPr="00B76D60">
              <w:rPr>
                <w:rFonts w:cs="Arial"/>
                <w:szCs w:val="18"/>
              </w:rPr>
              <w:t>%</w:t>
            </w:r>
          </w:p>
        </w:tc>
        <w:tc>
          <w:tcPr>
            <w:tcW w:w="892" w:type="dxa"/>
            <w:shd w:val="clear" w:color="auto" w:fill="FFFFFF"/>
            <w:vAlign w:val="center"/>
          </w:tcPr>
          <w:p w14:paraId="01E1855F" w14:textId="5939CC6C" w:rsidR="00296850" w:rsidRPr="00B76D60" w:rsidRDefault="00296850" w:rsidP="00296850">
            <w:pPr>
              <w:pStyle w:val="CETBodytext"/>
              <w:ind w:right="-1"/>
              <w:jc w:val="center"/>
              <w:rPr>
                <w:rFonts w:cs="Arial"/>
                <w:szCs w:val="18"/>
              </w:rPr>
            </w:pPr>
            <w:r w:rsidRPr="00B76D60">
              <w:rPr>
                <w:rFonts w:cs="Arial"/>
                <w:szCs w:val="18"/>
              </w:rPr>
              <w:t>Permeate</w:t>
            </w:r>
          </w:p>
        </w:tc>
        <w:tc>
          <w:tcPr>
            <w:tcW w:w="861" w:type="dxa"/>
            <w:shd w:val="clear" w:color="auto" w:fill="FFFFFF"/>
            <w:vAlign w:val="center"/>
          </w:tcPr>
          <w:p w14:paraId="66687096" w14:textId="3298B3F2" w:rsidR="00296850" w:rsidRPr="00B76D60" w:rsidRDefault="00296850" w:rsidP="00296850">
            <w:pPr>
              <w:pStyle w:val="CETBodytext"/>
              <w:ind w:right="-1"/>
              <w:jc w:val="center"/>
              <w:rPr>
                <w:rFonts w:cs="Arial"/>
                <w:szCs w:val="18"/>
              </w:rPr>
            </w:pPr>
            <w:r w:rsidRPr="00B76D60">
              <w:rPr>
                <w:rFonts w:cs="Arial"/>
                <w:szCs w:val="18"/>
              </w:rPr>
              <w:t>%</w:t>
            </w:r>
          </w:p>
        </w:tc>
      </w:tr>
      <w:tr w:rsidR="00EF3D3B" w:rsidRPr="00B76D60" w14:paraId="72F5544D" w14:textId="4FB42899" w:rsidTr="00D3687A">
        <w:tc>
          <w:tcPr>
            <w:tcW w:w="784" w:type="dxa"/>
            <w:shd w:val="clear" w:color="auto" w:fill="FFFFFF"/>
            <w:vAlign w:val="center"/>
          </w:tcPr>
          <w:p w14:paraId="500081FB" w14:textId="23435561" w:rsidR="00EF3D3B" w:rsidRPr="00B76D60" w:rsidRDefault="00EF3D3B" w:rsidP="00D3687A">
            <w:pPr>
              <w:pStyle w:val="CETBodytext"/>
              <w:jc w:val="center"/>
            </w:pPr>
            <w:r w:rsidRPr="00B76D60">
              <w:t>70</w:t>
            </w:r>
          </w:p>
        </w:tc>
        <w:tc>
          <w:tcPr>
            <w:tcW w:w="784" w:type="dxa"/>
            <w:shd w:val="clear" w:color="auto" w:fill="FFFFFF"/>
            <w:vAlign w:val="center"/>
          </w:tcPr>
          <w:p w14:paraId="7A4A3261" w14:textId="0368B963" w:rsidR="00EF3D3B" w:rsidRPr="00B76D60" w:rsidRDefault="00EF3D3B" w:rsidP="00D3687A">
            <w:pPr>
              <w:pStyle w:val="CETBodytext"/>
              <w:jc w:val="center"/>
            </w:pPr>
            <w:r w:rsidRPr="00B76D60">
              <w:t>60</w:t>
            </w:r>
          </w:p>
        </w:tc>
        <w:tc>
          <w:tcPr>
            <w:tcW w:w="785" w:type="dxa"/>
            <w:shd w:val="clear" w:color="auto" w:fill="FFFFFF"/>
            <w:vAlign w:val="center"/>
          </w:tcPr>
          <w:p w14:paraId="7B56A58B" w14:textId="7790D33E" w:rsidR="00EF3D3B" w:rsidRPr="00B76D60" w:rsidRDefault="00EF3D3B" w:rsidP="00D3687A">
            <w:pPr>
              <w:pStyle w:val="CETBodytext"/>
              <w:jc w:val="center"/>
            </w:pPr>
            <w:r w:rsidRPr="00B76D60">
              <w:t>10</w:t>
            </w:r>
          </w:p>
        </w:tc>
        <w:tc>
          <w:tcPr>
            <w:tcW w:w="785" w:type="dxa"/>
            <w:shd w:val="clear" w:color="auto" w:fill="FFFFFF"/>
            <w:vAlign w:val="center"/>
          </w:tcPr>
          <w:p w14:paraId="6A6C0276" w14:textId="415721FF" w:rsidR="00EF3D3B" w:rsidRPr="00B76D60" w:rsidRDefault="00EF3D3B" w:rsidP="00D3687A">
            <w:pPr>
              <w:pStyle w:val="CETBodytext"/>
              <w:jc w:val="center"/>
            </w:pPr>
            <w:r w:rsidRPr="00B76D60">
              <w:t>5</w:t>
            </w:r>
          </w:p>
        </w:tc>
        <w:tc>
          <w:tcPr>
            <w:tcW w:w="1022" w:type="dxa"/>
            <w:shd w:val="clear" w:color="auto" w:fill="FFFFFF"/>
            <w:vAlign w:val="center"/>
          </w:tcPr>
          <w:p w14:paraId="14C3AC75" w14:textId="63C07C43" w:rsidR="00EF3D3B" w:rsidRPr="00B76D60" w:rsidRDefault="00EF3D3B" w:rsidP="00D3687A">
            <w:pPr>
              <w:pStyle w:val="CETBodytext"/>
              <w:jc w:val="center"/>
            </w:pPr>
            <w:r w:rsidRPr="00B76D60">
              <w:t>13.1</w:t>
            </w:r>
          </w:p>
        </w:tc>
        <w:tc>
          <w:tcPr>
            <w:tcW w:w="991" w:type="dxa"/>
            <w:shd w:val="clear" w:color="auto" w:fill="FFFFFF"/>
            <w:vAlign w:val="center"/>
          </w:tcPr>
          <w:p w14:paraId="31BBD115" w14:textId="36B80FB8" w:rsidR="00EF3D3B" w:rsidRPr="00B76D60" w:rsidRDefault="00EF3D3B" w:rsidP="00D3687A">
            <w:pPr>
              <w:pStyle w:val="CETBodytext"/>
              <w:jc w:val="center"/>
            </w:pPr>
            <w:r w:rsidRPr="00B76D60">
              <w:t>522</w:t>
            </w:r>
          </w:p>
        </w:tc>
        <w:tc>
          <w:tcPr>
            <w:tcW w:w="991" w:type="dxa"/>
            <w:shd w:val="clear" w:color="auto" w:fill="FFFFFF"/>
            <w:vAlign w:val="center"/>
          </w:tcPr>
          <w:p w14:paraId="0D50DE89" w14:textId="32D1846F" w:rsidR="00EF3D3B" w:rsidRPr="00B76D60" w:rsidRDefault="00EF3D3B" w:rsidP="00D3687A">
            <w:pPr>
              <w:pStyle w:val="CETBodytext"/>
              <w:jc w:val="center"/>
            </w:pPr>
            <w:r w:rsidRPr="00B76D60">
              <w:t>30</w:t>
            </w:r>
          </w:p>
        </w:tc>
        <w:tc>
          <w:tcPr>
            <w:tcW w:w="892" w:type="dxa"/>
            <w:shd w:val="clear" w:color="auto" w:fill="FFFFFF"/>
            <w:vAlign w:val="center"/>
          </w:tcPr>
          <w:p w14:paraId="7275E151" w14:textId="76914966" w:rsidR="00EF3D3B" w:rsidRPr="00B76D60" w:rsidRDefault="00EF3D3B" w:rsidP="00D3687A">
            <w:pPr>
              <w:pStyle w:val="CETBodytext"/>
              <w:ind w:right="-1"/>
              <w:jc w:val="center"/>
              <w:rPr>
                <w:rFonts w:cs="Arial"/>
                <w:szCs w:val="18"/>
              </w:rPr>
            </w:pPr>
            <w:r w:rsidRPr="00B76D60">
              <w:rPr>
                <w:rFonts w:cs="Arial"/>
                <w:szCs w:val="18"/>
              </w:rPr>
              <w:t>5.7</w:t>
            </w:r>
          </w:p>
        </w:tc>
        <w:tc>
          <w:tcPr>
            <w:tcW w:w="892" w:type="dxa"/>
            <w:shd w:val="clear" w:color="auto" w:fill="FFFFFF"/>
            <w:vAlign w:val="center"/>
          </w:tcPr>
          <w:p w14:paraId="2F51DF6E" w14:textId="42F90840" w:rsidR="00EF3D3B" w:rsidRPr="00B76D60" w:rsidRDefault="00EF3D3B" w:rsidP="00D3687A">
            <w:pPr>
              <w:pStyle w:val="CETBodytext"/>
              <w:ind w:right="-1"/>
              <w:jc w:val="center"/>
              <w:rPr>
                <w:rFonts w:cs="Arial"/>
                <w:szCs w:val="18"/>
              </w:rPr>
            </w:pPr>
            <w:r w:rsidRPr="00B76D60">
              <w:rPr>
                <w:rFonts w:cs="Arial"/>
                <w:szCs w:val="18"/>
              </w:rPr>
              <w:t>22</w:t>
            </w:r>
          </w:p>
        </w:tc>
        <w:tc>
          <w:tcPr>
            <w:tcW w:w="861" w:type="dxa"/>
            <w:shd w:val="clear" w:color="auto" w:fill="FFFFFF"/>
            <w:vAlign w:val="center"/>
          </w:tcPr>
          <w:p w14:paraId="4D8643F5" w14:textId="75DE8128" w:rsidR="00EF3D3B" w:rsidRPr="00B76D60" w:rsidRDefault="00EF3D3B" w:rsidP="00D3687A">
            <w:pPr>
              <w:pStyle w:val="CETBodytext"/>
              <w:ind w:right="-1"/>
              <w:jc w:val="center"/>
              <w:rPr>
                <w:rFonts w:cs="Arial"/>
                <w:szCs w:val="18"/>
              </w:rPr>
            </w:pPr>
            <w:r w:rsidRPr="00B76D60">
              <w:rPr>
                <w:rFonts w:cs="Arial"/>
                <w:szCs w:val="18"/>
              </w:rPr>
              <w:t>4.2</w:t>
            </w:r>
          </w:p>
        </w:tc>
      </w:tr>
      <w:tr w:rsidR="00EF3D3B" w:rsidRPr="00B76D60" w14:paraId="11A5D922" w14:textId="32E9E7B2" w:rsidTr="00D3687A">
        <w:tc>
          <w:tcPr>
            <w:tcW w:w="784" w:type="dxa"/>
            <w:shd w:val="clear" w:color="auto" w:fill="FFFFFF"/>
            <w:vAlign w:val="center"/>
          </w:tcPr>
          <w:p w14:paraId="678FC8C8" w14:textId="7852EA46" w:rsidR="00EF3D3B" w:rsidRPr="00B76D60" w:rsidRDefault="00EF3D3B" w:rsidP="00D3687A">
            <w:pPr>
              <w:pStyle w:val="CETBodytext"/>
              <w:jc w:val="center"/>
            </w:pPr>
            <w:r w:rsidRPr="00B76D60">
              <w:t>70</w:t>
            </w:r>
          </w:p>
        </w:tc>
        <w:tc>
          <w:tcPr>
            <w:tcW w:w="784" w:type="dxa"/>
            <w:shd w:val="clear" w:color="auto" w:fill="FFFFFF"/>
            <w:vAlign w:val="center"/>
          </w:tcPr>
          <w:p w14:paraId="22359818" w14:textId="111D1163" w:rsidR="00EF3D3B" w:rsidRPr="00B76D60" w:rsidRDefault="00EF3D3B" w:rsidP="00D3687A">
            <w:pPr>
              <w:pStyle w:val="CETBodytext"/>
              <w:jc w:val="center"/>
            </w:pPr>
            <w:r w:rsidRPr="00B76D60">
              <w:t>60</w:t>
            </w:r>
          </w:p>
        </w:tc>
        <w:tc>
          <w:tcPr>
            <w:tcW w:w="785" w:type="dxa"/>
            <w:shd w:val="clear" w:color="auto" w:fill="FFFFFF"/>
            <w:vAlign w:val="center"/>
          </w:tcPr>
          <w:p w14:paraId="61FC613A" w14:textId="773F2668" w:rsidR="00EF3D3B" w:rsidRPr="00B76D60" w:rsidRDefault="00EF3D3B" w:rsidP="00D3687A">
            <w:pPr>
              <w:pStyle w:val="CETBodytext"/>
              <w:jc w:val="center"/>
            </w:pPr>
            <w:r w:rsidRPr="00B76D60">
              <w:t>10</w:t>
            </w:r>
          </w:p>
        </w:tc>
        <w:tc>
          <w:tcPr>
            <w:tcW w:w="785" w:type="dxa"/>
            <w:shd w:val="clear" w:color="auto" w:fill="FFFFFF"/>
            <w:vAlign w:val="center"/>
          </w:tcPr>
          <w:p w14:paraId="48550450" w14:textId="46C01711" w:rsidR="00EF3D3B" w:rsidRPr="00B76D60" w:rsidRDefault="00EF3D3B" w:rsidP="00D3687A">
            <w:pPr>
              <w:pStyle w:val="CETBodytext"/>
              <w:jc w:val="center"/>
            </w:pPr>
            <w:r w:rsidRPr="00B76D60">
              <w:t>0</w:t>
            </w:r>
          </w:p>
        </w:tc>
        <w:tc>
          <w:tcPr>
            <w:tcW w:w="1022" w:type="dxa"/>
            <w:shd w:val="clear" w:color="auto" w:fill="FFFFFF"/>
            <w:vAlign w:val="center"/>
          </w:tcPr>
          <w:p w14:paraId="38F8D754" w14:textId="4CA746D4" w:rsidR="00EF3D3B" w:rsidRPr="00B76D60" w:rsidRDefault="00EF3D3B" w:rsidP="00D3687A">
            <w:pPr>
              <w:pStyle w:val="CETBodytext"/>
              <w:jc w:val="center"/>
            </w:pPr>
            <w:r w:rsidRPr="00B76D60">
              <w:t>16.3</w:t>
            </w:r>
          </w:p>
        </w:tc>
        <w:tc>
          <w:tcPr>
            <w:tcW w:w="991" w:type="dxa"/>
            <w:shd w:val="clear" w:color="auto" w:fill="FFFFFF"/>
            <w:vAlign w:val="center"/>
          </w:tcPr>
          <w:p w14:paraId="3D6981D7" w14:textId="07A2BB0F" w:rsidR="00EF3D3B" w:rsidRPr="00B76D60" w:rsidRDefault="00EF3D3B" w:rsidP="00D3687A">
            <w:pPr>
              <w:pStyle w:val="CETBodytext"/>
              <w:jc w:val="center"/>
            </w:pPr>
            <w:r w:rsidRPr="00B76D60">
              <w:t>420</w:t>
            </w:r>
          </w:p>
        </w:tc>
        <w:tc>
          <w:tcPr>
            <w:tcW w:w="991" w:type="dxa"/>
            <w:shd w:val="clear" w:color="auto" w:fill="FFFFFF"/>
            <w:vAlign w:val="center"/>
          </w:tcPr>
          <w:p w14:paraId="13A6E428" w14:textId="645FB85D" w:rsidR="00EF3D3B" w:rsidRPr="00B76D60" w:rsidRDefault="00EF3D3B" w:rsidP="00D3687A">
            <w:pPr>
              <w:pStyle w:val="CETBodytext"/>
              <w:jc w:val="center"/>
            </w:pPr>
            <w:r w:rsidRPr="00B76D60">
              <w:t>28</w:t>
            </w:r>
          </w:p>
        </w:tc>
        <w:tc>
          <w:tcPr>
            <w:tcW w:w="892" w:type="dxa"/>
            <w:shd w:val="clear" w:color="auto" w:fill="FFFFFF"/>
            <w:vAlign w:val="center"/>
          </w:tcPr>
          <w:p w14:paraId="048B9E36" w14:textId="47337D64" w:rsidR="00EF3D3B" w:rsidRPr="00B76D60" w:rsidRDefault="00EF3D3B" w:rsidP="00D3687A">
            <w:pPr>
              <w:pStyle w:val="CETBodytext"/>
              <w:ind w:right="-1"/>
              <w:jc w:val="center"/>
              <w:rPr>
                <w:rFonts w:cs="Arial"/>
                <w:szCs w:val="18"/>
              </w:rPr>
            </w:pPr>
            <w:r w:rsidRPr="00B76D60">
              <w:rPr>
                <w:rFonts w:cs="Arial"/>
                <w:szCs w:val="18"/>
              </w:rPr>
              <w:t>6.7</w:t>
            </w:r>
          </w:p>
        </w:tc>
        <w:tc>
          <w:tcPr>
            <w:tcW w:w="892" w:type="dxa"/>
            <w:shd w:val="clear" w:color="auto" w:fill="FFFFFF"/>
            <w:vAlign w:val="center"/>
          </w:tcPr>
          <w:p w14:paraId="7B41429F" w14:textId="2F66D94A" w:rsidR="00EF3D3B" w:rsidRPr="00B76D60" w:rsidRDefault="00EF3D3B" w:rsidP="00D3687A">
            <w:pPr>
              <w:pStyle w:val="CETBodytext"/>
              <w:ind w:right="-1"/>
              <w:jc w:val="center"/>
              <w:rPr>
                <w:rFonts w:cs="Arial"/>
                <w:szCs w:val="18"/>
              </w:rPr>
            </w:pPr>
            <w:r w:rsidRPr="00B76D60">
              <w:rPr>
                <w:rFonts w:cs="Arial"/>
                <w:szCs w:val="18"/>
              </w:rPr>
              <w:t>19</w:t>
            </w:r>
          </w:p>
        </w:tc>
        <w:tc>
          <w:tcPr>
            <w:tcW w:w="861" w:type="dxa"/>
            <w:shd w:val="clear" w:color="auto" w:fill="FFFFFF"/>
            <w:vAlign w:val="center"/>
          </w:tcPr>
          <w:p w14:paraId="526A5B66" w14:textId="706BB16E" w:rsidR="00EF3D3B" w:rsidRPr="00B76D60" w:rsidRDefault="00EF3D3B" w:rsidP="00D3687A">
            <w:pPr>
              <w:pStyle w:val="CETBodytext"/>
              <w:ind w:right="-1"/>
              <w:jc w:val="center"/>
              <w:rPr>
                <w:rFonts w:cs="Arial"/>
                <w:szCs w:val="18"/>
              </w:rPr>
            </w:pPr>
            <w:r w:rsidRPr="00B76D60">
              <w:rPr>
                <w:rFonts w:cs="Arial"/>
                <w:szCs w:val="18"/>
              </w:rPr>
              <w:t>4.5</w:t>
            </w:r>
          </w:p>
        </w:tc>
      </w:tr>
      <w:tr w:rsidR="00EF3D3B" w:rsidRPr="00B76D60" w14:paraId="0B12A709" w14:textId="554139AF" w:rsidTr="00D3687A">
        <w:tc>
          <w:tcPr>
            <w:tcW w:w="784" w:type="dxa"/>
            <w:shd w:val="clear" w:color="auto" w:fill="FFFFFF"/>
            <w:vAlign w:val="center"/>
          </w:tcPr>
          <w:p w14:paraId="07993B72" w14:textId="1FF27465" w:rsidR="00EF3D3B" w:rsidRPr="00B76D60" w:rsidRDefault="00EF3D3B" w:rsidP="00D3687A">
            <w:pPr>
              <w:pStyle w:val="CETBodytext"/>
              <w:jc w:val="center"/>
            </w:pPr>
            <w:r w:rsidRPr="00B76D60">
              <w:t>70</w:t>
            </w:r>
          </w:p>
        </w:tc>
        <w:tc>
          <w:tcPr>
            <w:tcW w:w="784" w:type="dxa"/>
            <w:shd w:val="clear" w:color="auto" w:fill="FFFFFF"/>
            <w:vAlign w:val="center"/>
          </w:tcPr>
          <w:p w14:paraId="34A1F526" w14:textId="2057ED44" w:rsidR="00EF3D3B" w:rsidRPr="00B76D60" w:rsidRDefault="00EF3D3B" w:rsidP="00D3687A">
            <w:pPr>
              <w:pStyle w:val="CETBodytext"/>
              <w:jc w:val="center"/>
            </w:pPr>
            <w:r w:rsidRPr="00B76D60">
              <w:t>55</w:t>
            </w:r>
          </w:p>
        </w:tc>
        <w:tc>
          <w:tcPr>
            <w:tcW w:w="785" w:type="dxa"/>
            <w:shd w:val="clear" w:color="auto" w:fill="FFFFFF"/>
            <w:vAlign w:val="center"/>
          </w:tcPr>
          <w:p w14:paraId="47C815DB" w14:textId="4C67015D" w:rsidR="00EF3D3B" w:rsidRPr="00B76D60" w:rsidRDefault="00EF3D3B" w:rsidP="00D3687A">
            <w:pPr>
              <w:pStyle w:val="CETBodytext"/>
              <w:jc w:val="center"/>
            </w:pPr>
            <w:r w:rsidRPr="00B76D60">
              <w:t>10</w:t>
            </w:r>
          </w:p>
        </w:tc>
        <w:tc>
          <w:tcPr>
            <w:tcW w:w="785" w:type="dxa"/>
            <w:shd w:val="clear" w:color="auto" w:fill="FFFFFF"/>
            <w:vAlign w:val="center"/>
          </w:tcPr>
          <w:p w14:paraId="2E232C4A" w14:textId="5241C270" w:rsidR="00EF3D3B" w:rsidRPr="00B76D60" w:rsidRDefault="00EF3D3B" w:rsidP="00D3687A">
            <w:pPr>
              <w:pStyle w:val="CETBodytext"/>
              <w:jc w:val="center"/>
            </w:pPr>
            <w:r w:rsidRPr="00B76D60">
              <w:t>0</w:t>
            </w:r>
          </w:p>
        </w:tc>
        <w:tc>
          <w:tcPr>
            <w:tcW w:w="1022" w:type="dxa"/>
            <w:shd w:val="clear" w:color="auto" w:fill="FFFFFF"/>
            <w:vAlign w:val="center"/>
          </w:tcPr>
          <w:p w14:paraId="65AC60DE" w14:textId="00934DFA" w:rsidR="00EF3D3B" w:rsidRPr="00B76D60" w:rsidRDefault="00EF3D3B" w:rsidP="00D3687A">
            <w:pPr>
              <w:pStyle w:val="CETBodytext"/>
              <w:jc w:val="center"/>
            </w:pPr>
            <w:r w:rsidRPr="00B76D60">
              <w:t>19.5</w:t>
            </w:r>
          </w:p>
        </w:tc>
        <w:tc>
          <w:tcPr>
            <w:tcW w:w="991" w:type="dxa"/>
            <w:shd w:val="clear" w:color="auto" w:fill="FFFFFF"/>
            <w:vAlign w:val="center"/>
          </w:tcPr>
          <w:p w14:paraId="210D0130" w14:textId="29627622" w:rsidR="00EF3D3B" w:rsidRPr="00B76D60" w:rsidRDefault="00EF3D3B" w:rsidP="00D3687A">
            <w:pPr>
              <w:pStyle w:val="CETBodytext"/>
              <w:jc w:val="center"/>
            </w:pPr>
            <w:r w:rsidRPr="00B76D60">
              <w:t>350</w:t>
            </w:r>
          </w:p>
        </w:tc>
        <w:tc>
          <w:tcPr>
            <w:tcW w:w="991" w:type="dxa"/>
            <w:shd w:val="clear" w:color="auto" w:fill="FFFFFF"/>
            <w:vAlign w:val="center"/>
          </w:tcPr>
          <w:p w14:paraId="0AF34E6E" w14:textId="36DD9EF4" w:rsidR="00EF3D3B" w:rsidRPr="00B76D60" w:rsidRDefault="00EF3D3B" w:rsidP="00D3687A">
            <w:pPr>
              <w:pStyle w:val="CETBodytext"/>
              <w:jc w:val="center"/>
            </w:pPr>
            <w:r w:rsidRPr="00B76D60">
              <w:t>26.5</w:t>
            </w:r>
          </w:p>
        </w:tc>
        <w:tc>
          <w:tcPr>
            <w:tcW w:w="892" w:type="dxa"/>
            <w:shd w:val="clear" w:color="auto" w:fill="FFFFFF"/>
            <w:vAlign w:val="center"/>
          </w:tcPr>
          <w:p w14:paraId="33148A15" w14:textId="55F282E3" w:rsidR="00EF3D3B" w:rsidRPr="00B76D60" w:rsidRDefault="00EF3D3B" w:rsidP="00D3687A">
            <w:pPr>
              <w:pStyle w:val="CETBodytext"/>
              <w:ind w:right="-1"/>
              <w:jc w:val="center"/>
              <w:rPr>
                <w:rFonts w:cs="Arial"/>
                <w:szCs w:val="18"/>
              </w:rPr>
            </w:pPr>
            <w:r w:rsidRPr="00B76D60">
              <w:rPr>
                <w:rFonts w:cs="Arial"/>
                <w:szCs w:val="18"/>
              </w:rPr>
              <w:t>7.6</w:t>
            </w:r>
          </w:p>
        </w:tc>
        <w:tc>
          <w:tcPr>
            <w:tcW w:w="892" w:type="dxa"/>
            <w:shd w:val="clear" w:color="auto" w:fill="FFFFFF"/>
            <w:vAlign w:val="center"/>
          </w:tcPr>
          <w:p w14:paraId="36022358" w14:textId="08DB50A6" w:rsidR="00EF3D3B" w:rsidRPr="00B76D60" w:rsidRDefault="00EF3D3B" w:rsidP="00D3687A">
            <w:pPr>
              <w:pStyle w:val="CETBodytext"/>
              <w:ind w:right="-1"/>
              <w:jc w:val="center"/>
              <w:rPr>
                <w:rFonts w:cs="Arial"/>
                <w:szCs w:val="18"/>
              </w:rPr>
            </w:pPr>
            <w:r w:rsidRPr="00B76D60">
              <w:rPr>
                <w:rFonts w:cs="Arial"/>
                <w:szCs w:val="18"/>
              </w:rPr>
              <w:t>18</w:t>
            </w:r>
          </w:p>
        </w:tc>
        <w:tc>
          <w:tcPr>
            <w:tcW w:w="861" w:type="dxa"/>
            <w:shd w:val="clear" w:color="auto" w:fill="FFFFFF"/>
            <w:vAlign w:val="center"/>
          </w:tcPr>
          <w:p w14:paraId="424EE26A" w14:textId="4E6ACD77" w:rsidR="00EF3D3B" w:rsidRPr="00B76D60" w:rsidRDefault="00EF3D3B" w:rsidP="00D3687A">
            <w:pPr>
              <w:pStyle w:val="CETBodytext"/>
              <w:ind w:right="-1"/>
              <w:jc w:val="center"/>
              <w:rPr>
                <w:rFonts w:cs="Arial"/>
                <w:szCs w:val="18"/>
              </w:rPr>
            </w:pPr>
            <w:r w:rsidRPr="00B76D60">
              <w:rPr>
                <w:rFonts w:cs="Arial"/>
                <w:szCs w:val="18"/>
              </w:rPr>
              <w:t>5.1</w:t>
            </w:r>
          </w:p>
        </w:tc>
      </w:tr>
      <w:tr w:rsidR="00EF3D3B" w:rsidRPr="00B76D60" w14:paraId="3E91A8C1" w14:textId="6750CF4D" w:rsidTr="00D3687A">
        <w:tc>
          <w:tcPr>
            <w:tcW w:w="784" w:type="dxa"/>
            <w:shd w:val="clear" w:color="auto" w:fill="FFFFFF"/>
            <w:vAlign w:val="center"/>
          </w:tcPr>
          <w:p w14:paraId="7C7B03E9" w14:textId="33680F00" w:rsidR="00EF3D3B" w:rsidRPr="00B76D60" w:rsidRDefault="00EF3D3B" w:rsidP="00D3687A">
            <w:pPr>
              <w:pStyle w:val="CETBodytext"/>
              <w:jc w:val="center"/>
            </w:pPr>
            <w:r w:rsidRPr="00B76D60">
              <w:t>70</w:t>
            </w:r>
          </w:p>
        </w:tc>
        <w:tc>
          <w:tcPr>
            <w:tcW w:w="784" w:type="dxa"/>
            <w:shd w:val="clear" w:color="auto" w:fill="FFFFFF"/>
            <w:vAlign w:val="center"/>
          </w:tcPr>
          <w:p w14:paraId="62C4D9A5" w14:textId="7D0A5F2D" w:rsidR="00EF3D3B" w:rsidRPr="00B76D60" w:rsidRDefault="00EF3D3B" w:rsidP="00D3687A">
            <w:pPr>
              <w:pStyle w:val="CETBodytext"/>
              <w:jc w:val="center"/>
            </w:pPr>
            <w:r w:rsidRPr="00B76D60">
              <w:t>55</w:t>
            </w:r>
          </w:p>
        </w:tc>
        <w:tc>
          <w:tcPr>
            <w:tcW w:w="785" w:type="dxa"/>
            <w:shd w:val="clear" w:color="auto" w:fill="FFFFFF"/>
            <w:vAlign w:val="center"/>
          </w:tcPr>
          <w:p w14:paraId="037A7687" w14:textId="26AC2893" w:rsidR="00EF3D3B" w:rsidRPr="00B76D60" w:rsidRDefault="00EF3D3B" w:rsidP="00D3687A">
            <w:pPr>
              <w:pStyle w:val="CETBodytext"/>
              <w:jc w:val="center"/>
            </w:pPr>
            <w:r w:rsidRPr="00B76D60">
              <w:t>10</w:t>
            </w:r>
          </w:p>
        </w:tc>
        <w:tc>
          <w:tcPr>
            <w:tcW w:w="785" w:type="dxa"/>
            <w:shd w:val="clear" w:color="auto" w:fill="FFFFFF"/>
            <w:vAlign w:val="center"/>
          </w:tcPr>
          <w:p w14:paraId="03300DEE" w14:textId="3FCD25AB" w:rsidR="00EF3D3B" w:rsidRPr="00B76D60" w:rsidRDefault="00EF3D3B" w:rsidP="00D3687A">
            <w:pPr>
              <w:pStyle w:val="CETBodytext"/>
              <w:jc w:val="center"/>
            </w:pPr>
            <w:r w:rsidRPr="00B76D60">
              <w:t>0</w:t>
            </w:r>
          </w:p>
        </w:tc>
        <w:tc>
          <w:tcPr>
            <w:tcW w:w="1022" w:type="dxa"/>
            <w:shd w:val="clear" w:color="auto" w:fill="FFFFFF"/>
            <w:vAlign w:val="center"/>
          </w:tcPr>
          <w:p w14:paraId="701E75F8" w14:textId="1666DCC4" w:rsidR="00EF3D3B" w:rsidRPr="00B76D60" w:rsidRDefault="00EF3D3B" w:rsidP="00D3687A">
            <w:pPr>
              <w:pStyle w:val="CETBodytext"/>
              <w:jc w:val="center"/>
            </w:pPr>
            <w:r w:rsidRPr="00B76D60">
              <w:t>25.3</w:t>
            </w:r>
          </w:p>
        </w:tc>
        <w:tc>
          <w:tcPr>
            <w:tcW w:w="991" w:type="dxa"/>
            <w:shd w:val="clear" w:color="auto" w:fill="FFFFFF"/>
            <w:vAlign w:val="center"/>
          </w:tcPr>
          <w:p w14:paraId="5BA08B60" w14:textId="37206A9E" w:rsidR="00EF3D3B" w:rsidRPr="00B76D60" w:rsidRDefault="00EF3D3B" w:rsidP="00D3687A">
            <w:pPr>
              <w:pStyle w:val="CETBodytext"/>
              <w:jc w:val="center"/>
            </w:pPr>
            <w:r w:rsidRPr="00B76D60">
              <w:t>270</w:t>
            </w:r>
          </w:p>
        </w:tc>
        <w:tc>
          <w:tcPr>
            <w:tcW w:w="991" w:type="dxa"/>
            <w:shd w:val="clear" w:color="auto" w:fill="FFFFFF"/>
            <w:vAlign w:val="center"/>
          </w:tcPr>
          <w:p w14:paraId="390FCB73" w14:textId="63060C6B" w:rsidR="00EF3D3B" w:rsidRPr="00B76D60" w:rsidRDefault="00EF3D3B" w:rsidP="00D3687A">
            <w:pPr>
              <w:pStyle w:val="CETBodytext"/>
              <w:jc w:val="center"/>
            </w:pPr>
            <w:r w:rsidRPr="00B76D60">
              <w:t>24</w:t>
            </w:r>
          </w:p>
        </w:tc>
        <w:tc>
          <w:tcPr>
            <w:tcW w:w="892" w:type="dxa"/>
            <w:shd w:val="clear" w:color="auto" w:fill="FFFFFF"/>
            <w:vAlign w:val="center"/>
          </w:tcPr>
          <w:p w14:paraId="2DFCD1FF" w14:textId="249E3251" w:rsidR="00EF3D3B" w:rsidRPr="00B76D60" w:rsidRDefault="00EF3D3B" w:rsidP="00D3687A">
            <w:pPr>
              <w:pStyle w:val="CETBodytext"/>
              <w:ind w:right="-1"/>
              <w:jc w:val="center"/>
              <w:rPr>
                <w:rFonts w:cs="Arial"/>
                <w:szCs w:val="18"/>
              </w:rPr>
            </w:pPr>
            <w:r w:rsidRPr="00B76D60">
              <w:rPr>
                <w:rFonts w:cs="Arial"/>
                <w:szCs w:val="18"/>
              </w:rPr>
              <w:t>8.9</w:t>
            </w:r>
          </w:p>
        </w:tc>
        <w:tc>
          <w:tcPr>
            <w:tcW w:w="892" w:type="dxa"/>
            <w:shd w:val="clear" w:color="auto" w:fill="FFFFFF"/>
            <w:vAlign w:val="center"/>
          </w:tcPr>
          <w:p w14:paraId="5710E798" w14:textId="18D6CD7D" w:rsidR="00EF3D3B" w:rsidRPr="00B76D60" w:rsidRDefault="00EF3D3B" w:rsidP="00D3687A">
            <w:pPr>
              <w:pStyle w:val="CETBodytext"/>
              <w:ind w:right="-1"/>
              <w:jc w:val="center"/>
              <w:rPr>
                <w:rFonts w:cs="Arial"/>
                <w:szCs w:val="18"/>
              </w:rPr>
            </w:pPr>
            <w:r w:rsidRPr="00B76D60">
              <w:rPr>
                <w:rFonts w:cs="Arial"/>
                <w:szCs w:val="18"/>
              </w:rPr>
              <w:t>16</w:t>
            </w:r>
          </w:p>
        </w:tc>
        <w:tc>
          <w:tcPr>
            <w:tcW w:w="861" w:type="dxa"/>
            <w:shd w:val="clear" w:color="auto" w:fill="FFFFFF"/>
            <w:vAlign w:val="center"/>
          </w:tcPr>
          <w:p w14:paraId="222DB22A" w14:textId="49A9E7E0" w:rsidR="00EF3D3B" w:rsidRPr="00B76D60" w:rsidRDefault="00EF3D3B" w:rsidP="00D3687A">
            <w:pPr>
              <w:pStyle w:val="CETBodytext"/>
              <w:ind w:right="-1"/>
              <w:jc w:val="center"/>
              <w:rPr>
                <w:rFonts w:cs="Arial"/>
                <w:szCs w:val="18"/>
              </w:rPr>
            </w:pPr>
            <w:r w:rsidRPr="00B76D60">
              <w:rPr>
                <w:rFonts w:cs="Arial"/>
                <w:szCs w:val="18"/>
              </w:rPr>
              <w:t>5.9</w:t>
            </w:r>
          </w:p>
        </w:tc>
      </w:tr>
      <w:tr w:rsidR="00EF3D3B" w:rsidRPr="00B76D60" w14:paraId="77CC9535" w14:textId="4E18AC08" w:rsidTr="00D3687A">
        <w:tc>
          <w:tcPr>
            <w:tcW w:w="784" w:type="dxa"/>
            <w:shd w:val="clear" w:color="auto" w:fill="FFFFFF"/>
            <w:vAlign w:val="center"/>
          </w:tcPr>
          <w:p w14:paraId="64D85FA9" w14:textId="3A143157" w:rsidR="00EF3D3B" w:rsidRPr="00B76D60" w:rsidRDefault="00EF3D3B" w:rsidP="00D3687A">
            <w:pPr>
              <w:pStyle w:val="CETBodytext"/>
              <w:jc w:val="center"/>
            </w:pPr>
            <w:r w:rsidRPr="00B76D60">
              <w:t>70</w:t>
            </w:r>
          </w:p>
        </w:tc>
        <w:tc>
          <w:tcPr>
            <w:tcW w:w="784" w:type="dxa"/>
            <w:shd w:val="clear" w:color="auto" w:fill="FFFFFF"/>
            <w:vAlign w:val="center"/>
          </w:tcPr>
          <w:p w14:paraId="559FB8B8" w14:textId="172B2024" w:rsidR="00EF3D3B" w:rsidRPr="00B76D60" w:rsidRDefault="00EF3D3B" w:rsidP="00D3687A">
            <w:pPr>
              <w:pStyle w:val="CETBodytext"/>
              <w:jc w:val="center"/>
            </w:pPr>
            <w:r w:rsidRPr="00B76D60">
              <w:t>55</w:t>
            </w:r>
          </w:p>
        </w:tc>
        <w:tc>
          <w:tcPr>
            <w:tcW w:w="785" w:type="dxa"/>
            <w:shd w:val="clear" w:color="auto" w:fill="FFFFFF"/>
            <w:vAlign w:val="center"/>
          </w:tcPr>
          <w:p w14:paraId="09116C16" w14:textId="359D566F" w:rsidR="00EF3D3B" w:rsidRPr="00B76D60" w:rsidRDefault="00EF3D3B" w:rsidP="00D3687A">
            <w:pPr>
              <w:pStyle w:val="CETBodytext"/>
              <w:jc w:val="center"/>
            </w:pPr>
            <w:r w:rsidRPr="00B76D60">
              <w:t>10</w:t>
            </w:r>
          </w:p>
        </w:tc>
        <w:tc>
          <w:tcPr>
            <w:tcW w:w="785" w:type="dxa"/>
            <w:shd w:val="clear" w:color="auto" w:fill="FFFFFF"/>
            <w:vAlign w:val="center"/>
          </w:tcPr>
          <w:p w14:paraId="5855263E" w14:textId="3C2AE8F0" w:rsidR="00EF3D3B" w:rsidRPr="00B76D60" w:rsidRDefault="00EF3D3B" w:rsidP="00D3687A">
            <w:pPr>
              <w:pStyle w:val="CETBodytext"/>
              <w:jc w:val="center"/>
            </w:pPr>
            <w:r w:rsidRPr="00B76D60">
              <w:t>0</w:t>
            </w:r>
          </w:p>
        </w:tc>
        <w:tc>
          <w:tcPr>
            <w:tcW w:w="1022" w:type="dxa"/>
            <w:shd w:val="clear" w:color="auto" w:fill="FFFFFF"/>
            <w:vAlign w:val="center"/>
          </w:tcPr>
          <w:p w14:paraId="139EDC7E" w14:textId="65932090" w:rsidR="00EF3D3B" w:rsidRPr="00B76D60" w:rsidRDefault="00EF3D3B" w:rsidP="00D3687A">
            <w:pPr>
              <w:pStyle w:val="CETBodytext"/>
              <w:jc w:val="center"/>
            </w:pPr>
            <w:r w:rsidRPr="00B76D60">
              <w:t>29.7</w:t>
            </w:r>
          </w:p>
        </w:tc>
        <w:tc>
          <w:tcPr>
            <w:tcW w:w="991" w:type="dxa"/>
            <w:shd w:val="clear" w:color="auto" w:fill="FFFFFF"/>
            <w:vAlign w:val="center"/>
          </w:tcPr>
          <w:p w14:paraId="507D922F" w14:textId="05D13531" w:rsidR="00EF3D3B" w:rsidRPr="00B76D60" w:rsidRDefault="00EF3D3B" w:rsidP="00D3687A">
            <w:pPr>
              <w:pStyle w:val="CETBodytext"/>
              <w:jc w:val="center"/>
            </w:pPr>
            <w:r w:rsidRPr="00B76D60">
              <w:t>230</w:t>
            </w:r>
          </w:p>
        </w:tc>
        <w:tc>
          <w:tcPr>
            <w:tcW w:w="991" w:type="dxa"/>
            <w:shd w:val="clear" w:color="auto" w:fill="FFFFFF"/>
            <w:vAlign w:val="center"/>
          </w:tcPr>
          <w:p w14:paraId="7C5DE8B1" w14:textId="6A8849DF" w:rsidR="00EF3D3B" w:rsidRPr="00B76D60" w:rsidRDefault="00EF3D3B" w:rsidP="00D3687A">
            <w:pPr>
              <w:pStyle w:val="CETBodytext"/>
              <w:jc w:val="center"/>
            </w:pPr>
            <w:r w:rsidRPr="00B76D60">
              <w:t>22</w:t>
            </w:r>
          </w:p>
        </w:tc>
        <w:tc>
          <w:tcPr>
            <w:tcW w:w="892" w:type="dxa"/>
            <w:shd w:val="clear" w:color="auto" w:fill="FFFFFF"/>
            <w:vAlign w:val="center"/>
          </w:tcPr>
          <w:p w14:paraId="39B4C36A" w14:textId="78EAF703" w:rsidR="00EF3D3B" w:rsidRPr="00B76D60" w:rsidRDefault="00EF3D3B" w:rsidP="00D3687A">
            <w:pPr>
              <w:pStyle w:val="CETBodytext"/>
              <w:ind w:right="-1"/>
              <w:jc w:val="center"/>
              <w:rPr>
                <w:rFonts w:cs="Arial"/>
                <w:szCs w:val="18"/>
              </w:rPr>
            </w:pPr>
            <w:r w:rsidRPr="00B76D60">
              <w:rPr>
                <w:rFonts w:cs="Arial"/>
                <w:szCs w:val="18"/>
              </w:rPr>
              <w:t>9.6</w:t>
            </w:r>
          </w:p>
        </w:tc>
        <w:tc>
          <w:tcPr>
            <w:tcW w:w="892" w:type="dxa"/>
            <w:shd w:val="clear" w:color="auto" w:fill="FFFFFF"/>
            <w:vAlign w:val="center"/>
          </w:tcPr>
          <w:p w14:paraId="66B98FC0" w14:textId="296C3B73" w:rsidR="00EF3D3B" w:rsidRPr="00B76D60" w:rsidRDefault="00EF3D3B" w:rsidP="00D3687A">
            <w:pPr>
              <w:pStyle w:val="CETBodytext"/>
              <w:ind w:right="-1"/>
              <w:jc w:val="center"/>
              <w:rPr>
                <w:rFonts w:cs="Arial"/>
                <w:szCs w:val="18"/>
              </w:rPr>
            </w:pPr>
            <w:r w:rsidRPr="00B76D60">
              <w:rPr>
                <w:rFonts w:cs="Arial"/>
                <w:szCs w:val="18"/>
              </w:rPr>
              <w:t>13</w:t>
            </w:r>
          </w:p>
        </w:tc>
        <w:tc>
          <w:tcPr>
            <w:tcW w:w="861" w:type="dxa"/>
            <w:shd w:val="clear" w:color="auto" w:fill="FFFFFF"/>
            <w:vAlign w:val="center"/>
          </w:tcPr>
          <w:p w14:paraId="238C8048" w14:textId="6E1F01D1" w:rsidR="00EF3D3B" w:rsidRPr="00B76D60" w:rsidRDefault="00EF3D3B" w:rsidP="00D3687A">
            <w:pPr>
              <w:pStyle w:val="CETBodytext"/>
              <w:ind w:right="-1"/>
              <w:jc w:val="center"/>
              <w:rPr>
                <w:rFonts w:cs="Arial"/>
                <w:szCs w:val="18"/>
              </w:rPr>
            </w:pPr>
            <w:r w:rsidRPr="00B76D60">
              <w:rPr>
                <w:rFonts w:cs="Arial"/>
                <w:szCs w:val="18"/>
              </w:rPr>
              <w:t>5.7</w:t>
            </w:r>
          </w:p>
        </w:tc>
      </w:tr>
      <w:tr w:rsidR="00EF3D3B" w:rsidRPr="00B76D60" w14:paraId="46C8AE3B" w14:textId="602207AC" w:rsidTr="00D3687A">
        <w:tc>
          <w:tcPr>
            <w:tcW w:w="784" w:type="dxa"/>
            <w:shd w:val="clear" w:color="auto" w:fill="FFFFFF"/>
            <w:vAlign w:val="center"/>
          </w:tcPr>
          <w:p w14:paraId="734275F4" w14:textId="33B5B53E" w:rsidR="00EF3D3B" w:rsidRPr="00B76D60" w:rsidRDefault="00EF3D3B" w:rsidP="00D3687A">
            <w:pPr>
              <w:pStyle w:val="CETBodytext"/>
              <w:ind w:right="-1"/>
              <w:jc w:val="center"/>
              <w:rPr>
                <w:rFonts w:cs="Arial"/>
                <w:szCs w:val="18"/>
              </w:rPr>
            </w:pPr>
            <w:r w:rsidRPr="00B76D60">
              <w:t>70</w:t>
            </w:r>
          </w:p>
        </w:tc>
        <w:tc>
          <w:tcPr>
            <w:tcW w:w="784" w:type="dxa"/>
            <w:shd w:val="clear" w:color="auto" w:fill="FFFFFF"/>
            <w:vAlign w:val="center"/>
          </w:tcPr>
          <w:p w14:paraId="6A3F8FA7" w14:textId="088D0814" w:rsidR="00EF3D3B" w:rsidRPr="00B76D60" w:rsidRDefault="00EF3D3B" w:rsidP="00D3687A">
            <w:pPr>
              <w:pStyle w:val="CETBodytext"/>
              <w:ind w:right="-1"/>
              <w:jc w:val="center"/>
              <w:rPr>
                <w:rFonts w:cs="Arial"/>
                <w:szCs w:val="18"/>
              </w:rPr>
            </w:pPr>
            <w:r w:rsidRPr="00B76D60">
              <w:rPr>
                <w:rFonts w:cs="Arial"/>
                <w:szCs w:val="18"/>
              </w:rPr>
              <w:t>55</w:t>
            </w:r>
          </w:p>
        </w:tc>
        <w:tc>
          <w:tcPr>
            <w:tcW w:w="785" w:type="dxa"/>
            <w:shd w:val="clear" w:color="auto" w:fill="FFFFFF"/>
            <w:vAlign w:val="center"/>
          </w:tcPr>
          <w:p w14:paraId="5DE7AB23" w14:textId="7009C1A7" w:rsidR="00EF3D3B" w:rsidRPr="00B76D60" w:rsidRDefault="00EF3D3B" w:rsidP="00D3687A">
            <w:pPr>
              <w:pStyle w:val="CETBodytext"/>
              <w:ind w:right="-1"/>
              <w:jc w:val="center"/>
              <w:rPr>
                <w:rFonts w:cs="Arial"/>
                <w:szCs w:val="18"/>
              </w:rPr>
            </w:pPr>
            <w:r w:rsidRPr="00B76D60">
              <w:t>10</w:t>
            </w:r>
          </w:p>
        </w:tc>
        <w:tc>
          <w:tcPr>
            <w:tcW w:w="785" w:type="dxa"/>
            <w:shd w:val="clear" w:color="auto" w:fill="FFFFFF"/>
            <w:vAlign w:val="center"/>
          </w:tcPr>
          <w:p w14:paraId="4F0778B4" w14:textId="55371488" w:rsidR="00EF3D3B" w:rsidRPr="00B76D60" w:rsidRDefault="00EF3D3B" w:rsidP="00D3687A">
            <w:pPr>
              <w:pStyle w:val="CETBodytext"/>
              <w:ind w:right="-1"/>
              <w:jc w:val="center"/>
              <w:rPr>
                <w:rFonts w:cs="Arial"/>
                <w:szCs w:val="18"/>
              </w:rPr>
            </w:pPr>
            <w:r w:rsidRPr="00B76D60">
              <w:rPr>
                <w:rFonts w:cs="Arial"/>
                <w:szCs w:val="18"/>
              </w:rPr>
              <w:t>0</w:t>
            </w:r>
          </w:p>
        </w:tc>
        <w:tc>
          <w:tcPr>
            <w:tcW w:w="1022" w:type="dxa"/>
            <w:shd w:val="clear" w:color="auto" w:fill="FFFFFF"/>
            <w:vAlign w:val="center"/>
          </w:tcPr>
          <w:p w14:paraId="298556D4" w14:textId="55A8FD3A" w:rsidR="00EF3D3B" w:rsidRPr="00B76D60" w:rsidRDefault="00EF3D3B" w:rsidP="00D3687A">
            <w:pPr>
              <w:pStyle w:val="CETBodytext"/>
              <w:ind w:right="-1"/>
              <w:jc w:val="center"/>
              <w:rPr>
                <w:rFonts w:cs="Arial"/>
                <w:szCs w:val="18"/>
              </w:rPr>
            </w:pPr>
            <w:r w:rsidRPr="00B76D60">
              <w:rPr>
                <w:rFonts w:cs="Arial"/>
                <w:szCs w:val="18"/>
              </w:rPr>
              <w:t>42.8</w:t>
            </w:r>
          </w:p>
        </w:tc>
        <w:tc>
          <w:tcPr>
            <w:tcW w:w="991" w:type="dxa"/>
            <w:shd w:val="clear" w:color="auto" w:fill="FFFFFF"/>
            <w:vAlign w:val="center"/>
          </w:tcPr>
          <w:p w14:paraId="7B60D6EF" w14:textId="2C242E34" w:rsidR="00EF3D3B" w:rsidRPr="00B76D60" w:rsidRDefault="00EF3D3B" w:rsidP="00D3687A">
            <w:pPr>
              <w:pStyle w:val="CETBodytext"/>
              <w:ind w:right="-1"/>
              <w:jc w:val="center"/>
              <w:rPr>
                <w:rFonts w:cs="Arial"/>
                <w:szCs w:val="18"/>
              </w:rPr>
            </w:pPr>
            <w:r w:rsidRPr="00B76D60">
              <w:rPr>
                <w:rFonts w:cs="Arial"/>
                <w:szCs w:val="18"/>
              </w:rPr>
              <w:t>160</w:t>
            </w:r>
          </w:p>
        </w:tc>
        <w:tc>
          <w:tcPr>
            <w:tcW w:w="991" w:type="dxa"/>
            <w:shd w:val="clear" w:color="auto" w:fill="FFFFFF"/>
            <w:vAlign w:val="center"/>
          </w:tcPr>
          <w:p w14:paraId="4D227972" w14:textId="1589E462" w:rsidR="00EF3D3B" w:rsidRPr="00B76D60" w:rsidRDefault="00EF3D3B" w:rsidP="00D3687A">
            <w:pPr>
              <w:pStyle w:val="CETBodytext"/>
              <w:ind w:right="-1"/>
              <w:jc w:val="center"/>
              <w:rPr>
                <w:rFonts w:cs="Arial"/>
                <w:szCs w:val="18"/>
              </w:rPr>
            </w:pPr>
            <w:r w:rsidRPr="00B76D60">
              <w:rPr>
                <w:rFonts w:cs="Arial"/>
                <w:szCs w:val="18"/>
              </w:rPr>
              <w:t>20</w:t>
            </w:r>
          </w:p>
        </w:tc>
        <w:tc>
          <w:tcPr>
            <w:tcW w:w="892" w:type="dxa"/>
            <w:shd w:val="clear" w:color="auto" w:fill="FFFFFF"/>
            <w:vAlign w:val="center"/>
          </w:tcPr>
          <w:p w14:paraId="3E99F689" w14:textId="5AD6CE93" w:rsidR="00EF3D3B" w:rsidRPr="00B76D60" w:rsidRDefault="00EF3D3B" w:rsidP="00D3687A">
            <w:pPr>
              <w:pStyle w:val="CETBodytext"/>
              <w:ind w:right="-1"/>
              <w:jc w:val="center"/>
              <w:rPr>
                <w:rFonts w:cs="Arial"/>
                <w:szCs w:val="18"/>
              </w:rPr>
            </w:pPr>
            <w:r w:rsidRPr="00B76D60">
              <w:rPr>
                <w:rFonts w:cs="Arial"/>
                <w:szCs w:val="18"/>
              </w:rPr>
              <w:t>12.5</w:t>
            </w:r>
          </w:p>
        </w:tc>
        <w:tc>
          <w:tcPr>
            <w:tcW w:w="892" w:type="dxa"/>
            <w:shd w:val="clear" w:color="auto" w:fill="FFFFFF"/>
            <w:vAlign w:val="center"/>
          </w:tcPr>
          <w:p w14:paraId="3393C3BB" w14:textId="764BD60A" w:rsidR="00EF3D3B" w:rsidRPr="00B76D60" w:rsidRDefault="00EF3D3B" w:rsidP="00D3687A">
            <w:pPr>
              <w:pStyle w:val="CETBodytext"/>
              <w:ind w:right="-1"/>
              <w:jc w:val="center"/>
              <w:rPr>
                <w:rFonts w:cs="Arial"/>
                <w:szCs w:val="18"/>
              </w:rPr>
            </w:pPr>
            <w:r w:rsidRPr="00B76D60">
              <w:rPr>
                <w:rFonts w:cs="Arial"/>
                <w:szCs w:val="18"/>
              </w:rPr>
              <w:t>12.5</w:t>
            </w:r>
          </w:p>
        </w:tc>
        <w:tc>
          <w:tcPr>
            <w:tcW w:w="861" w:type="dxa"/>
            <w:shd w:val="clear" w:color="auto" w:fill="FFFFFF"/>
            <w:vAlign w:val="center"/>
          </w:tcPr>
          <w:p w14:paraId="148D3032" w14:textId="635D9534" w:rsidR="00EF3D3B" w:rsidRPr="00B76D60" w:rsidRDefault="00EF3D3B" w:rsidP="00D3687A">
            <w:pPr>
              <w:pStyle w:val="CETBodytext"/>
              <w:ind w:right="-1"/>
              <w:jc w:val="center"/>
              <w:rPr>
                <w:rFonts w:cs="Arial"/>
                <w:szCs w:val="18"/>
              </w:rPr>
            </w:pPr>
            <w:r w:rsidRPr="00B76D60">
              <w:rPr>
                <w:rFonts w:cs="Arial"/>
                <w:szCs w:val="18"/>
              </w:rPr>
              <w:t>7.8</w:t>
            </w:r>
          </w:p>
        </w:tc>
      </w:tr>
    </w:tbl>
    <w:p w14:paraId="04F50CAD" w14:textId="77777777" w:rsidR="00F17977" w:rsidRPr="00B76D60" w:rsidRDefault="00F17977" w:rsidP="00C27242">
      <w:pPr>
        <w:pStyle w:val="CETBodytext"/>
        <w:rPr>
          <w:lang w:val="it-IT"/>
        </w:rPr>
      </w:pPr>
    </w:p>
    <w:p w14:paraId="016112DE" w14:textId="16110625" w:rsidR="00215796" w:rsidRPr="00B76D60" w:rsidRDefault="00215796" w:rsidP="00EA3CAA">
      <w:pPr>
        <w:pStyle w:val="CETBodytext"/>
      </w:pPr>
      <w:r w:rsidRPr="00B76D60">
        <w:t xml:space="preserve">From the </w:t>
      </w:r>
      <w:r w:rsidR="0055509C" w:rsidRPr="00B76D60">
        <w:t xml:space="preserve">measured </w:t>
      </w:r>
      <w:r w:rsidRPr="00B76D60">
        <w:t xml:space="preserve">permeability data </w:t>
      </w:r>
      <w:r w:rsidR="0055509C" w:rsidRPr="00B76D60">
        <w:t>(Table 3 values for H5P2-43, data not shown for the remaining modules),</w:t>
      </w:r>
      <w:r w:rsidRPr="00B76D60">
        <w:t xml:space="preserve"> </w:t>
      </w:r>
      <w:r w:rsidR="0055583A" w:rsidRPr="00B76D60">
        <w:t>the permeability constant of the various fibers was calculated using</w:t>
      </w:r>
      <w:r w:rsidRPr="00B76D60">
        <w:t xml:space="preserve"> Darcy</w:t>
      </w:r>
      <w:r w:rsidR="002A2820" w:rsidRPr="00B76D60">
        <w:t>’</w:t>
      </w:r>
      <w:r w:rsidRPr="00B76D60">
        <w:t>s law</w:t>
      </w:r>
      <w:r w:rsidR="00AA192E" w:rsidRPr="00B76D60">
        <w:t>;</w:t>
      </w:r>
      <w:r w:rsidRPr="00B76D60">
        <w:t xml:space="preserve"> </w:t>
      </w:r>
      <w:r w:rsidR="00AA192E" w:rsidRPr="00B76D60">
        <w:t>t</w:t>
      </w:r>
      <w:r w:rsidR="0055583A" w:rsidRPr="00B76D60">
        <w:t>he v</w:t>
      </w:r>
      <w:r w:rsidRPr="00B76D60">
        <w:t>al</w:t>
      </w:r>
      <w:r w:rsidR="0055583A" w:rsidRPr="00B76D60">
        <w:t>u</w:t>
      </w:r>
      <w:r w:rsidRPr="00B76D60">
        <w:t xml:space="preserve">es </w:t>
      </w:r>
      <w:r w:rsidR="0055509C" w:rsidRPr="00B76D60">
        <w:t xml:space="preserve">obtained </w:t>
      </w:r>
      <w:r w:rsidRPr="00B76D60">
        <w:t xml:space="preserve">are summarized in Table </w:t>
      </w:r>
      <w:r w:rsidR="00F6531A" w:rsidRPr="00B76D60">
        <w:t>4</w:t>
      </w:r>
      <w:r w:rsidRPr="00B76D60">
        <w:t>.</w:t>
      </w:r>
    </w:p>
    <w:p w14:paraId="3F6FA234" w14:textId="69F20CE6" w:rsidR="00215796" w:rsidRPr="00B76D60" w:rsidRDefault="00215796" w:rsidP="00215796">
      <w:pPr>
        <w:pStyle w:val="CETTabletitle"/>
        <w:rPr>
          <w:lang w:val="en-US"/>
        </w:rPr>
      </w:pPr>
      <w:r w:rsidRPr="00B76D60">
        <w:rPr>
          <w:lang w:val="en-US"/>
        </w:rPr>
        <w:lastRenderedPageBreak/>
        <w:t xml:space="preserve">Table </w:t>
      </w:r>
      <w:r w:rsidR="00F6531A" w:rsidRPr="00B76D60">
        <w:rPr>
          <w:lang w:val="en-US"/>
        </w:rPr>
        <w:t>4</w:t>
      </w:r>
      <w:r w:rsidRPr="00B76D60">
        <w:rPr>
          <w:lang w:val="en-US"/>
        </w:rPr>
        <w:t xml:space="preserve">: </w:t>
      </w:r>
      <w:r w:rsidR="0066196D" w:rsidRPr="00B76D60">
        <w:rPr>
          <w:lang w:val="en-US"/>
        </w:rPr>
        <w:t>Comparison between the permeability of the various modules tested</w:t>
      </w:r>
      <w:r w:rsidR="00F44B10" w:rsidRPr="00B76D60">
        <w:rPr>
          <w:lang w:val="en-US"/>
        </w:rPr>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18"/>
        <w:gridCol w:w="1418"/>
        <w:gridCol w:w="1418"/>
        <w:gridCol w:w="1418"/>
        <w:gridCol w:w="1418"/>
      </w:tblGrid>
      <w:tr w:rsidR="00215796" w:rsidRPr="00B76D60" w14:paraId="436C3731" w14:textId="77777777" w:rsidTr="002C42D4">
        <w:tc>
          <w:tcPr>
            <w:tcW w:w="1418" w:type="dxa"/>
            <w:tcBorders>
              <w:top w:val="single" w:sz="12" w:space="0" w:color="008000"/>
              <w:bottom w:val="single" w:sz="6" w:space="0" w:color="008000"/>
            </w:tcBorders>
            <w:shd w:val="clear" w:color="auto" w:fill="FFFFFF"/>
          </w:tcPr>
          <w:p w14:paraId="38AE69FA" w14:textId="64EB1C99" w:rsidR="00215796" w:rsidRPr="00B76D60" w:rsidRDefault="00215796" w:rsidP="002971F9">
            <w:pPr>
              <w:pStyle w:val="CETBodytext"/>
            </w:pPr>
          </w:p>
        </w:tc>
        <w:tc>
          <w:tcPr>
            <w:tcW w:w="1418" w:type="dxa"/>
            <w:tcBorders>
              <w:top w:val="single" w:sz="12" w:space="0" w:color="008000"/>
              <w:bottom w:val="single" w:sz="6" w:space="0" w:color="008000"/>
            </w:tcBorders>
            <w:shd w:val="clear" w:color="auto" w:fill="FFFFFF"/>
          </w:tcPr>
          <w:p w14:paraId="1624616E" w14:textId="107C3EA3" w:rsidR="00215796" w:rsidRPr="00B76D60" w:rsidRDefault="0066196D" w:rsidP="002C42D4">
            <w:pPr>
              <w:pStyle w:val="CETBodytext"/>
              <w:jc w:val="center"/>
            </w:pPr>
            <w:r w:rsidRPr="00B76D60">
              <w:t>H5P2-43</w:t>
            </w:r>
          </w:p>
        </w:tc>
        <w:tc>
          <w:tcPr>
            <w:tcW w:w="1418" w:type="dxa"/>
            <w:tcBorders>
              <w:top w:val="single" w:sz="12" w:space="0" w:color="008000"/>
              <w:bottom w:val="single" w:sz="6" w:space="0" w:color="008000"/>
            </w:tcBorders>
            <w:shd w:val="clear" w:color="auto" w:fill="FFFFFF"/>
          </w:tcPr>
          <w:p w14:paraId="0CBA88FD" w14:textId="5A5A0E72" w:rsidR="00215796" w:rsidRPr="00B76D60" w:rsidRDefault="0066196D" w:rsidP="002C42D4">
            <w:pPr>
              <w:pStyle w:val="CETBodytext"/>
              <w:jc w:val="center"/>
            </w:pPr>
            <w:r w:rsidRPr="00B76D60">
              <w:t>H1P3-20</w:t>
            </w:r>
          </w:p>
        </w:tc>
        <w:tc>
          <w:tcPr>
            <w:tcW w:w="1418" w:type="dxa"/>
            <w:tcBorders>
              <w:top w:val="single" w:sz="12" w:space="0" w:color="008000"/>
              <w:bottom w:val="single" w:sz="6" w:space="0" w:color="008000"/>
            </w:tcBorders>
            <w:shd w:val="clear" w:color="auto" w:fill="FFFFFF"/>
          </w:tcPr>
          <w:p w14:paraId="6B260515" w14:textId="3712E70D" w:rsidR="00215796" w:rsidRPr="00B76D60" w:rsidRDefault="0066196D" w:rsidP="002C42D4">
            <w:pPr>
              <w:pStyle w:val="CETBodytext"/>
              <w:ind w:right="-1"/>
              <w:jc w:val="center"/>
              <w:rPr>
                <w:rFonts w:cs="Arial"/>
                <w:szCs w:val="18"/>
              </w:rPr>
            </w:pPr>
            <w:r w:rsidRPr="00B76D60">
              <w:t>H1P30-20</w:t>
            </w:r>
          </w:p>
        </w:tc>
        <w:tc>
          <w:tcPr>
            <w:tcW w:w="1418" w:type="dxa"/>
            <w:tcBorders>
              <w:top w:val="single" w:sz="12" w:space="0" w:color="008000"/>
              <w:bottom w:val="single" w:sz="6" w:space="0" w:color="008000"/>
            </w:tcBorders>
            <w:shd w:val="clear" w:color="auto" w:fill="FFFFFF"/>
          </w:tcPr>
          <w:p w14:paraId="2C9DF928" w14:textId="1DFEE024" w:rsidR="00215796" w:rsidRPr="00B76D60" w:rsidRDefault="0066196D" w:rsidP="002C42D4">
            <w:pPr>
              <w:pStyle w:val="CETBodytext"/>
              <w:ind w:right="-1"/>
              <w:jc w:val="center"/>
              <w:rPr>
                <w:rFonts w:cs="Arial"/>
                <w:szCs w:val="18"/>
              </w:rPr>
            </w:pPr>
            <w:r w:rsidRPr="00B76D60">
              <w:t>H1P100-20</w:t>
            </w:r>
          </w:p>
        </w:tc>
      </w:tr>
      <w:tr w:rsidR="00215796" w:rsidRPr="00B76D60" w14:paraId="56A098CD" w14:textId="77777777" w:rsidTr="002C42D4">
        <w:tc>
          <w:tcPr>
            <w:tcW w:w="1418" w:type="dxa"/>
            <w:shd w:val="clear" w:color="auto" w:fill="FFFFFF"/>
          </w:tcPr>
          <w:p w14:paraId="298E2D77" w14:textId="67ABC20B" w:rsidR="00215796" w:rsidRPr="00B76D60" w:rsidRDefault="0066196D" w:rsidP="002971F9">
            <w:pPr>
              <w:pStyle w:val="CETBodytext"/>
            </w:pPr>
            <w:r w:rsidRPr="00B76D60">
              <w:t>K (cm</w:t>
            </w:r>
            <w:r w:rsidRPr="00B76D60">
              <w:rPr>
                <w:vertAlign w:val="superscript"/>
              </w:rPr>
              <w:t>2</w:t>
            </w:r>
            <w:r w:rsidR="00D0536B" w:rsidRPr="00B76D60">
              <w:t xml:space="preserve"> </w:t>
            </w:r>
            <w:r w:rsidRPr="00B76D60">
              <w:t>/ kg h)</w:t>
            </w:r>
          </w:p>
        </w:tc>
        <w:tc>
          <w:tcPr>
            <w:tcW w:w="1418" w:type="dxa"/>
            <w:shd w:val="clear" w:color="auto" w:fill="FFFFFF"/>
          </w:tcPr>
          <w:p w14:paraId="4E72FFD4" w14:textId="501DAD38" w:rsidR="00215796" w:rsidRPr="00B76D60" w:rsidRDefault="0066196D" w:rsidP="002C42D4">
            <w:pPr>
              <w:pStyle w:val="CETBodytext"/>
              <w:jc w:val="center"/>
            </w:pPr>
            <w:r w:rsidRPr="00B76D60">
              <w:t>8.43</w:t>
            </w:r>
          </w:p>
        </w:tc>
        <w:tc>
          <w:tcPr>
            <w:tcW w:w="1418" w:type="dxa"/>
            <w:shd w:val="clear" w:color="auto" w:fill="FFFFFF"/>
          </w:tcPr>
          <w:p w14:paraId="2CCD3A70" w14:textId="1F218961" w:rsidR="00215796" w:rsidRPr="00B76D60" w:rsidRDefault="0066196D" w:rsidP="002C42D4">
            <w:pPr>
              <w:pStyle w:val="CETBodytext"/>
              <w:jc w:val="center"/>
            </w:pPr>
            <w:r w:rsidRPr="00B76D60">
              <w:t>2</w:t>
            </w:r>
            <w:r w:rsidR="00AA192E" w:rsidRPr="00B76D60">
              <w:t>.00</w:t>
            </w:r>
          </w:p>
        </w:tc>
        <w:tc>
          <w:tcPr>
            <w:tcW w:w="1418" w:type="dxa"/>
            <w:shd w:val="clear" w:color="auto" w:fill="FFFFFF"/>
          </w:tcPr>
          <w:p w14:paraId="5847AD08" w14:textId="267B5BB1" w:rsidR="00215796" w:rsidRPr="00B76D60" w:rsidRDefault="0066196D" w:rsidP="002C42D4">
            <w:pPr>
              <w:pStyle w:val="CETBodytext"/>
              <w:ind w:right="-1"/>
              <w:jc w:val="center"/>
              <w:rPr>
                <w:rFonts w:cs="Arial"/>
                <w:szCs w:val="18"/>
              </w:rPr>
            </w:pPr>
            <w:r w:rsidRPr="00B76D60">
              <w:rPr>
                <w:rFonts w:cs="Arial"/>
                <w:szCs w:val="18"/>
              </w:rPr>
              <w:t>39.57</w:t>
            </w:r>
          </w:p>
        </w:tc>
        <w:tc>
          <w:tcPr>
            <w:tcW w:w="1418" w:type="dxa"/>
            <w:shd w:val="clear" w:color="auto" w:fill="FFFFFF"/>
          </w:tcPr>
          <w:p w14:paraId="50C5FDA6" w14:textId="22F6BB24" w:rsidR="00215796" w:rsidRPr="00B76D60" w:rsidRDefault="0066196D" w:rsidP="002C42D4">
            <w:pPr>
              <w:pStyle w:val="CETBodytext"/>
              <w:ind w:right="-1"/>
              <w:jc w:val="center"/>
              <w:rPr>
                <w:rFonts w:cs="Arial"/>
                <w:szCs w:val="18"/>
              </w:rPr>
            </w:pPr>
            <w:r w:rsidRPr="00B76D60">
              <w:rPr>
                <w:rFonts w:cs="Arial"/>
                <w:szCs w:val="18"/>
              </w:rPr>
              <w:t>4.49</w:t>
            </w:r>
          </w:p>
        </w:tc>
      </w:tr>
      <w:tr w:rsidR="00215796" w:rsidRPr="00B76D60" w14:paraId="259EF190" w14:textId="77777777" w:rsidTr="002C42D4">
        <w:tc>
          <w:tcPr>
            <w:tcW w:w="1418" w:type="dxa"/>
            <w:shd w:val="clear" w:color="auto" w:fill="FFFFFF"/>
          </w:tcPr>
          <w:p w14:paraId="1E296E44" w14:textId="3796D696" w:rsidR="00215796" w:rsidRPr="00B76D60" w:rsidRDefault="0066196D" w:rsidP="002971F9">
            <w:pPr>
              <w:pStyle w:val="CETBodytext"/>
            </w:pPr>
            <w:r w:rsidRPr="00B76D60">
              <w:t>S (cm</w:t>
            </w:r>
            <w:r w:rsidRPr="00B76D60">
              <w:rPr>
                <w:vertAlign w:val="superscript"/>
              </w:rPr>
              <w:t>2</w:t>
            </w:r>
            <w:r w:rsidRPr="00B76D60">
              <w:t>)</w:t>
            </w:r>
          </w:p>
        </w:tc>
        <w:tc>
          <w:tcPr>
            <w:tcW w:w="1418" w:type="dxa"/>
            <w:shd w:val="clear" w:color="auto" w:fill="FFFFFF"/>
          </w:tcPr>
          <w:p w14:paraId="3677F1C8" w14:textId="2BCAD5EB" w:rsidR="00215796" w:rsidRPr="00B76D60" w:rsidRDefault="0066196D" w:rsidP="002C42D4">
            <w:pPr>
              <w:pStyle w:val="CETBodytext"/>
              <w:jc w:val="center"/>
            </w:pPr>
            <w:r w:rsidRPr="00B76D60">
              <w:t>4500</w:t>
            </w:r>
          </w:p>
        </w:tc>
        <w:tc>
          <w:tcPr>
            <w:tcW w:w="1418" w:type="dxa"/>
            <w:shd w:val="clear" w:color="auto" w:fill="FFFFFF"/>
          </w:tcPr>
          <w:p w14:paraId="32835FA5" w14:textId="153C0F3E" w:rsidR="00215796" w:rsidRPr="00B76D60" w:rsidRDefault="0066196D" w:rsidP="002C42D4">
            <w:pPr>
              <w:pStyle w:val="CETBodytext"/>
              <w:jc w:val="center"/>
            </w:pPr>
            <w:r w:rsidRPr="00B76D60">
              <w:t>600</w:t>
            </w:r>
          </w:p>
        </w:tc>
        <w:tc>
          <w:tcPr>
            <w:tcW w:w="1418" w:type="dxa"/>
            <w:shd w:val="clear" w:color="auto" w:fill="FFFFFF"/>
          </w:tcPr>
          <w:p w14:paraId="74F91C8C" w14:textId="3C84E8C1" w:rsidR="00215796" w:rsidRPr="00B76D60" w:rsidRDefault="0066196D" w:rsidP="002C42D4">
            <w:pPr>
              <w:pStyle w:val="CETBodytext"/>
              <w:ind w:right="-1"/>
              <w:jc w:val="center"/>
              <w:rPr>
                <w:rFonts w:cs="Arial"/>
                <w:szCs w:val="18"/>
              </w:rPr>
            </w:pPr>
            <w:r w:rsidRPr="00B76D60">
              <w:rPr>
                <w:rFonts w:cs="Arial"/>
                <w:szCs w:val="18"/>
              </w:rPr>
              <w:t>600</w:t>
            </w:r>
          </w:p>
        </w:tc>
        <w:tc>
          <w:tcPr>
            <w:tcW w:w="1418" w:type="dxa"/>
            <w:shd w:val="clear" w:color="auto" w:fill="FFFFFF"/>
          </w:tcPr>
          <w:p w14:paraId="13C91E5F" w14:textId="438358AB" w:rsidR="00215796" w:rsidRPr="00B76D60" w:rsidRDefault="0066196D" w:rsidP="002C42D4">
            <w:pPr>
              <w:pStyle w:val="CETBodytext"/>
              <w:ind w:right="-1"/>
              <w:jc w:val="center"/>
              <w:rPr>
                <w:rFonts w:cs="Arial"/>
                <w:szCs w:val="18"/>
              </w:rPr>
            </w:pPr>
            <w:r w:rsidRPr="00B76D60">
              <w:rPr>
                <w:rFonts w:cs="Arial"/>
                <w:szCs w:val="18"/>
              </w:rPr>
              <w:t>600</w:t>
            </w:r>
          </w:p>
        </w:tc>
      </w:tr>
      <w:tr w:rsidR="00215796" w:rsidRPr="00B76D60" w14:paraId="581129CE" w14:textId="77777777" w:rsidTr="002C42D4">
        <w:tc>
          <w:tcPr>
            <w:tcW w:w="1418" w:type="dxa"/>
            <w:shd w:val="clear" w:color="auto" w:fill="FFFFFF"/>
          </w:tcPr>
          <w:p w14:paraId="6F58EF80" w14:textId="2AB515AA" w:rsidR="00215796" w:rsidRPr="00B76D60" w:rsidRDefault="0066196D" w:rsidP="002971F9">
            <w:pPr>
              <w:pStyle w:val="CETBodytext"/>
            </w:pPr>
            <w:r w:rsidRPr="00B76D60">
              <w:t>K/S (1</w:t>
            </w:r>
            <w:r w:rsidR="00AA192E" w:rsidRPr="00B76D60">
              <w:t xml:space="preserve"> </w:t>
            </w:r>
            <w:r w:rsidRPr="00B76D60">
              <w:t>/ kg h)</w:t>
            </w:r>
          </w:p>
        </w:tc>
        <w:tc>
          <w:tcPr>
            <w:tcW w:w="1418" w:type="dxa"/>
            <w:shd w:val="clear" w:color="auto" w:fill="FFFFFF"/>
          </w:tcPr>
          <w:p w14:paraId="41E9024D" w14:textId="741596DE" w:rsidR="00215796" w:rsidRPr="00B76D60" w:rsidRDefault="0066196D" w:rsidP="002C42D4">
            <w:pPr>
              <w:pStyle w:val="CETBodytext"/>
              <w:jc w:val="center"/>
            </w:pPr>
            <w:r w:rsidRPr="00B76D60">
              <w:t>0.0187</w:t>
            </w:r>
          </w:p>
        </w:tc>
        <w:tc>
          <w:tcPr>
            <w:tcW w:w="1418" w:type="dxa"/>
            <w:shd w:val="clear" w:color="auto" w:fill="FFFFFF"/>
          </w:tcPr>
          <w:p w14:paraId="230A271B" w14:textId="5C0B9DD3" w:rsidR="00215796" w:rsidRPr="00B76D60" w:rsidRDefault="0066196D" w:rsidP="002C42D4">
            <w:pPr>
              <w:pStyle w:val="CETBodytext"/>
              <w:jc w:val="center"/>
            </w:pPr>
            <w:r w:rsidRPr="00B76D60">
              <w:t>0.033</w:t>
            </w:r>
          </w:p>
        </w:tc>
        <w:tc>
          <w:tcPr>
            <w:tcW w:w="1418" w:type="dxa"/>
            <w:shd w:val="clear" w:color="auto" w:fill="FFFFFF"/>
          </w:tcPr>
          <w:p w14:paraId="578AF632" w14:textId="2788B167" w:rsidR="00215796" w:rsidRPr="00B76D60" w:rsidRDefault="0066196D" w:rsidP="002C42D4">
            <w:pPr>
              <w:pStyle w:val="CETBodytext"/>
              <w:ind w:right="-1"/>
              <w:jc w:val="center"/>
              <w:rPr>
                <w:rFonts w:cs="Arial"/>
                <w:szCs w:val="18"/>
              </w:rPr>
            </w:pPr>
            <w:r w:rsidRPr="00B76D60">
              <w:rPr>
                <w:rFonts w:cs="Arial"/>
                <w:szCs w:val="18"/>
              </w:rPr>
              <w:t>0.659</w:t>
            </w:r>
          </w:p>
        </w:tc>
        <w:tc>
          <w:tcPr>
            <w:tcW w:w="1418" w:type="dxa"/>
            <w:shd w:val="clear" w:color="auto" w:fill="FFFFFF"/>
          </w:tcPr>
          <w:p w14:paraId="0913CFA2" w14:textId="0760F207" w:rsidR="00215796" w:rsidRPr="00B76D60" w:rsidRDefault="0066196D" w:rsidP="002C42D4">
            <w:pPr>
              <w:pStyle w:val="CETBodytext"/>
              <w:ind w:right="-1"/>
              <w:jc w:val="center"/>
              <w:rPr>
                <w:rFonts w:cs="Arial"/>
                <w:szCs w:val="18"/>
              </w:rPr>
            </w:pPr>
            <w:r w:rsidRPr="00B76D60">
              <w:rPr>
                <w:rFonts w:cs="Arial"/>
                <w:szCs w:val="18"/>
              </w:rPr>
              <w:t>0.074</w:t>
            </w:r>
          </w:p>
        </w:tc>
      </w:tr>
      <w:tr w:rsidR="00215796" w:rsidRPr="00B76D60" w14:paraId="67AA2532" w14:textId="77777777" w:rsidTr="002C42D4">
        <w:tc>
          <w:tcPr>
            <w:tcW w:w="1418" w:type="dxa"/>
            <w:shd w:val="clear" w:color="auto" w:fill="FFFFFF"/>
          </w:tcPr>
          <w:p w14:paraId="6A12E5F5" w14:textId="3046F45C" w:rsidR="00215796" w:rsidRPr="00B76D60" w:rsidRDefault="002A2820" w:rsidP="002971F9">
            <w:pPr>
              <w:pStyle w:val="CETBodytext"/>
              <w:ind w:right="-1"/>
              <w:rPr>
                <w:rFonts w:cs="Arial"/>
                <w:szCs w:val="18"/>
              </w:rPr>
            </w:pPr>
            <w:r w:rsidRPr="00B76D60">
              <w:rPr>
                <w:rFonts w:cs="Arial"/>
                <w:szCs w:val="18"/>
              </w:rPr>
              <w:t>ratio of K/S</w:t>
            </w:r>
          </w:p>
        </w:tc>
        <w:tc>
          <w:tcPr>
            <w:tcW w:w="1418" w:type="dxa"/>
            <w:shd w:val="clear" w:color="auto" w:fill="FFFFFF"/>
          </w:tcPr>
          <w:p w14:paraId="720CE103" w14:textId="2D31AE11" w:rsidR="00215796" w:rsidRPr="00B76D60" w:rsidRDefault="0066196D" w:rsidP="002C42D4">
            <w:pPr>
              <w:pStyle w:val="CETBodytext"/>
              <w:ind w:right="-1"/>
              <w:jc w:val="center"/>
              <w:rPr>
                <w:rFonts w:cs="Arial"/>
                <w:szCs w:val="18"/>
              </w:rPr>
            </w:pPr>
            <w:r w:rsidRPr="00B76D60">
              <w:rPr>
                <w:rFonts w:cs="Arial"/>
                <w:szCs w:val="18"/>
              </w:rPr>
              <w:t>1</w:t>
            </w:r>
          </w:p>
        </w:tc>
        <w:tc>
          <w:tcPr>
            <w:tcW w:w="1418" w:type="dxa"/>
            <w:shd w:val="clear" w:color="auto" w:fill="FFFFFF"/>
          </w:tcPr>
          <w:p w14:paraId="73211757" w14:textId="153160A6" w:rsidR="00215796" w:rsidRPr="00B76D60" w:rsidRDefault="0066196D" w:rsidP="002C42D4">
            <w:pPr>
              <w:pStyle w:val="CETBodytext"/>
              <w:ind w:right="-1"/>
              <w:jc w:val="center"/>
              <w:rPr>
                <w:rFonts w:cs="Arial"/>
                <w:szCs w:val="18"/>
              </w:rPr>
            </w:pPr>
            <w:r w:rsidRPr="00B76D60">
              <w:rPr>
                <w:rFonts w:cs="Arial"/>
                <w:szCs w:val="18"/>
              </w:rPr>
              <w:t>1.8</w:t>
            </w:r>
          </w:p>
        </w:tc>
        <w:tc>
          <w:tcPr>
            <w:tcW w:w="1418" w:type="dxa"/>
            <w:shd w:val="clear" w:color="auto" w:fill="FFFFFF"/>
          </w:tcPr>
          <w:p w14:paraId="57894A22" w14:textId="074924AB" w:rsidR="00215796" w:rsidRPr="00B76D60" w:rsidRDefault="0066196D" w:rsidP="002C42D4">
            <w:pPr>
              <w:pStyle w:val="CETBodytext"/>
              <w:ind w:right="-1"/>
              <w:jc w:val="center"/>
              <w:rPr>
                <w:rFonts w:cs="Arial"/>
                <w:szCs w:val="18"/>
              </w:rPr>
            </w:pPr>
            <w:r w:rsidRPr="00B76D60">
              <w:rPr>
                <w:rFonts w:cs="Arial"/>
                <w:szCs w:val="18"/>
              </w:rPr>
              <w:t>35.2</w:t>
            </w:r>
          </w:p>
        </w:tc>
        <w:tc>
          <w:tcPr>
            <w:tcW w:w="1418" w:type="dxa"/>
            <w:shd w:val="clear" w:color="auto" w:fill="FFFFFF"/>
          </w:tcPr>
          <w:p w14:paraId="48EDD8FC" w14:textId="55318C38" w:rsidR="00215796" w:rsidRPr="00B76D60" w:rsidRDefault="0066196D" w:rsidP="002C42D4">
            <w:pPr>
              <w:pStyle w:val="CETBodytext"/>
              <w:ind w:right="-1"/>
              <w:jc w:val="center"/>
              <w:rPr>
                <w:rFonts w:cs="Arial"/>
                <w:szCs w:val="18"/>
              </w:rPr>
            </w:pPr>
            <w:r w:rsidRPr="00B76D60">
              <w:rPr>
                <w:rFonts w:cs="Arial"/>
                <w:szCs w:val="18"/>
              </w:rPr>
              <w:t>4.0</w:t>
            </w:r>
          </w:p>
        </w:tc>
      </w:tr>
    </w:tbl>
    <w:p w14:paraId="0CCB70D0" w14:textId="00D07675" w:rsidR="00215796" w:rsidRPr="00B76D60" w:rsidRDefault="00215796" w:rsidP="00EA3CAA">
      <w:pPr>
        <w:pStyle w:val="CETBodytext"/>
      </w:pPr>
    </w:p>
    <w:p w14:paraId="5120C7BF" w14:textId="2D3A06B6" w:rsidR="00B71DC8" w:rsidRPr="00B76D60" w:rsidRDefault="00B71DC8" w:rsidP="00583D18">
      <w:pPr>
        <w:pStyle w:val="CETBodytext"/>
      </w:pPr>
      <w:r w:rsidRPr="00B76D60">
        <w:t>The significant</w:t>
      </w:r>
      <w:r w:rsidR="002A2820" w:rsidRPr="00B76D60">
        <w:t>ly high</w:t>
      </w:r>
      <w:r w:rsidRPr="00B76D60">
        <w:t xml:space="preserve"> permeability observed for the H1P30-20 module </w:t>
      </w:r>
      <w:r w:rsidR="00D0536B" w:rsidRPr="00B76D60">
        <w:t xml:space="preserve">and the </w:t>
      </w:r>
      <w:r w:rsidR="002C42D4" w:rsidRPr="00B76D60">
        <w:t>resulting</w:t>
      </w:r>
      <w:r w:rsidR="00D0536B" w:rsidRPr="00B76D60">
        <w:t xml:space="preserve"> process problems that would arise</w:t>
      </w:r>
      <w:r w:rsidRPr="00B76D60">
        <w:t xml:space="preserve"> led to the exclusion of this module from subsequent experiments.</w:t>
      </w:r>
    </w:p>
    <w:p w14:paraId="14163041" w14:textId="5F197CF3" w:rsidR="00B44F9E" w:rsidRPr="00B76D60" w:rsidRDefault="00B44F9E" w:rsidP="00C65F8F">
      <w:pPr>
        <w:pStyle w:val="CETCaption"/>
        <w:spacing w:before="0" w:after="0"/>
        <w:rPr>
          <w:i w:val="0"/>
          <w:lang w:val="en-US"/>
        </w:rPr>
      </w:pPr>
      <w:r w:rsidRPr="00B76D60">
        <w:rPr>
          <w:i w:val="0"/>
          <w:lang w:val="en-US"/>
        </w:rPr>
        <w:t xml:space="preserve">The results of the nitrate diffusion </w:t>
      </w:r>
      <w:bookmarkStart w:id="1" w:name="_Hlk94533237"/>
      <w:r w:rsidR="002C42D4" w:rsidRPr="00B76D60">
        <w:rPr>
          <w:i w:val="0"/>
          <w:lang w:val="en-US"/>
        </w:rPr>
        <w:t>across</w:t>
      </w:r>
      <w:r w:rsidR="00C65F8F" w:rsidRPr="00B76D60">
        <w:rPr>
          <w:i w:val="0"/>
          <w:lang w:val="en-US"/>
        </w:rPr>
        <w:t xml:space="preserve"> the H5P2-43 membrane </w:t>
      </w:r>
      <w:bookmarkEnd w:id="1"/>
      <w:r w:rsidRPr="00B76D60">
        <w:rPr>
          <w:i w:val="0"/>
          <w:lang w:val="en-US"/>
        </w:rPr>
        <w:t>are shown in Table 5.</w:t>
      </w:r>
    </w:p>
    <w:p w14:paraId="0462197D" w14:textId="4B656425" w:rsidR="00521DA2" w:rsidRPr="00B76D60" w:rsidRDefault="00521DA2" w:rsidP="00C65F8F">
      <w:pPr>
        <w:pStyle w:val="CETTabletitle"/>
        <w:rPr>
          <w:lang w:val="en-US"/>
        </w:rPr>
      </w:pPr>
      <w:r w:rsidRPr="00B76D60">
        <w:rPr>
          <w:lang w:val="en-US"/>
        </w:rPr>
        <w:t xml:space="preserve">Table </w:t>
      </w:r>
      <w:r w:rsidR="00374602" w:rsidRPr="00B76D60">
        <w:rPr>
          <w:lang w:val="en-US"/>
        </w:rPr>
        <w:t>5</w:t>
      </w:r>
      <w:r w:rsidRPr="00B76D60">
        <w:rPr>
          <w:lang w:val="en-US"/>
        </w:rPr>
        <w:t xml:space="preserve">: </w:t>
      </w:r>
      <w:r w:rsidR="00417D76" w:rsidRPr="00B76D60">
        <w:rPr>
          <w:lang w:val="en-US"/>
        </w:rPr>
        <w:t>Nitrate diffusion tests</w:t>
      </w:r>
      <w:r w:rsidR="00C65F8F" w:rsidRPr="00B76D60">
        <w:t xml:space="preserve"> </w:t>
      </w:r>
      <w:r w:rsidR="00C65F8F" w:rsidRPr="00B76D60">
        <w:rPr>
          <w:lang w:val="en-US"/>
        </w:rPr>
        <w:t>through the H5P2-43 membrane</w:t>
      </w:r>
      <w:r w:rsidR="00C24F6B" w:rsidRPr="00B76D60">
        <w:rPr>
          <w:lang w:val="en-US"/>
        </w:rPr>
        <w:t xml:space="preserve"> (</w:t>
      </w:r>
      <w:r w:rsidR="00374602" w:rsidRPr="00B76D60">
        <w:rPr>
          <w:lang w:val="en-US"/>
        </w:rPr>
        <w:t>P</w:t>
      </w:r>
      <w:r w:rsidR="00374602" w:rsidRPr="00B76D60">
        <w:rPr>
          <w:vertAlign w:val="subscript"/>
          <w:lang w:val="en-US"/>
        </w:rPr>
        <w:t>IN</w:t>
      </w:r>
      <w:r w:rsidR="005219AC" w:rsidRPr="00B76D60">
        <w:rPr>
          <w:lang w:val="en-US"/>
        </w:rPr>
        <w:t xml:space="preserve"> </w:t>
      </w:r>
      <w:r w:rsidR="00374602" w:rsidRPr="00B76D60">
        <w:rPr>
          <w:lang w:val="en-US"/>
        </w:rPr>
        <w:t>=</w:t>
      </w:r>
      <w:r w:rsidR="005219AC" w:rsidRPr="00B76D60">
        <w:rPr>
          <w:lang w:val="en-US"/>
        </w:rPr>
        <w:t xml:space="preserve"> </w:t>
      </w:r>
      <w:r w:rsidR="00374602" w:rsidRPr="00B76D60">
        <w:rPr>
          <w:lang w:val="en-US"/>
        </w:rPr>
        <w:t>20 g/cm</w:t>
      </w:r>
      <w:r w:rsidR="00374602" w:rsidRPr="00B76D60">
        <w:rPr>
          <w:vertAlign w:val="superscript"/>
          <w:lang w:val="en-US"/>
        </w:rPr>
        <w:t>2</w:t>
      </w:r>
      <w:r w:rsidR="00374602" w:rsidRPr="00B76D60">
        <w:rPr>
          <w:lang w:val="en-US"/>
        </w:rPr>
        <w:t>; P</w:t>
      </w:r>
      <w:r w:rsidR="00374602" w:rsidRPr="00B76D60">
        <w:rPr>
          <w:vertAlign w:val="subscript"/>
          <w:lang w:val="en-US"/>
        </w:rPr>
        <w:t>OUT</w:t>
      </w:r>
      <w:r w:rsidR="005219AC" w:rsidRPr="00B76D60">
        <w:rPr>
          <w:lang w:val="en-US"/>
        </w:rPr>
        <w:t xml:space="preserve"> </w:t>
      </w:r>
      <w:r w:rsidR="00374602" w:rsidRPr="00B76D60">
        <w:rPr>
          <w:lang w:val="en-US"/>
        </w:rPr>
        <w:t>=</w:t>
      </w:r>
      <w:r w:rsidR="005219AC" w:rsidRPr="00B76D60">
        <w:rPr>
          <w:lang w:val="en-US"/>
        </w:rPr>
        <w:t xml:space="preserve"> </w:t>
      </w:r>
      <w:r w:rsidR="00374602" w:rsidRPr="00B76D60">
        <w:rPr>
          <w:lang w:val="en-US"/>
        </w:rPr>
        <w:t>0 g/cm</w:t>
      </w:r>
      <w:r w:rsidR="00374602" w:rsidRPr="00B76D60">
        <w:rPr>
          <w:vertAlign w:val="superscript"/>
          <w:lang w:val="en-US"/>
        </w:rPr>
        <w:t>2</w:t>
      </w:r>
      <w:r w:rsidR="00C24F6B" w:rsidRPr="00B76D60">
        <w:rPr>
          <w:lang w:val="en-US"/>
        </w:rPr>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tblGrid>
      <w:tr w:rsidR="00374602" w:rsidRPr="00B76D60" w14:paraId="5E2BA7E9" w14:textId="77777777" w:rsidTr="002C42D4">
        <w:tc>
          <w:tcPr>
            <w:tcW w:w="1134" w:type="dxa"/>
            <w:vMerge w:val="restart"/>
            <w:tcBorders>
              <w:top w:val="single" w:sz="12" w:space="0" w:color="008000"/>
              <w:bottom w:val="nil"/>
            </w:tcBorders>
            <w:shd w:val="clear" w:color="auto" w:fill="FFFFFF"/>
            <w:vAlign w:val="center"/>
          </w:tcPr>
          <w:p w14:paraId="6C5FB930" w14:textId="6D5584F4" w:rsidR="00374602" w:rsidRPr="00B76D60" w:rsidRDefault="00374602" w:rsidP="00C65F8F">
            <w:pPr>
              <w:pStyle w:val="CETBodytext"/>
              <w:jc w:val="center"/>
            </w:pPr>
            <w:r w:rsidRPr="00B76D60">
              <w:t>Time (h)</w:t>
            </w:r>
          </w:p>
        </w:tc>
        <w:tc>
          <w:tcPr>
            <w:tcW w:w="1134" w:type="dxa"/>
            <w:gridSpan w:val="2"/>
            <w:tcBorders>
              <w:top w:val="single" w:sz="12" w:space="0" w:color="008000"/>
              <w:bottom w:val="single" w:sz="6" w:space="0" w:color="008000"/>
            </w:tcBorders>
            <w:shd w:val="clear" w:color="auto" w:fill="FFFFFF"/>
            <w:vAlign w:val="center"/>
          </w:tcPr>
          <w:p w14:paraId="3A8FB28D" w14:textId="5ACCA512" w:rsidR="00374602" w:rsidRPr="00B76D60" w:rsidRDefault="00374602" w:rsidP="00C65F8F">
            <w:pPr>
              <w:pStyle w:val="CETBodytext"/>
              <w:ind w:right="-1"/>
              <w:jc w:val="center"/>
              <w:rPr>
                <w:rFonts w:cs="Arial"/>
                <w:szCs w:val="18"/>
              </w:rPr>
            </w:pPr>
            <w:r w:rsidRPr="00B76D60">
              <w:rPr>
                <w:rFonts w:cs="Arial"/>
                <w:szCs w:val="18"/>
              </w:rPr>
              <w:t>NO</w:t>
            </w:r>
            <w:r w:rsidRPr="00B76D60">
              <w:rPr>
                <w:rFonts w:cs="Arial"/>
                <w:szCs w:val="18"/>
                <w:vertAlign w:val="subscript"/>
              </w:rPr>
              <w:t>3</w:t>
            </w:r>
            <w:r w:rsidR="00261E7F" w:rsidRPr="00B76D60">
              <w:rPr>
                <w:rFonts w:cs="Arial"/>
                <w:szCs w:val="18"/>
                <w:vertAlign w:val="superscript"/>
              </w:rPr>
              <w:t>-</w:t>
            </w:r>
            <w:r w:rsidRPr="00B76D60">
              <w:rPr>
                <w:rFonts w:cs="Arial"/>
                <w:szCs w:val="18"/>
              </w:rPr>
              <w:t xml:space="preserve"> (mg/L)</w:t>
            </w:r>
          </w:p>
        </w:tc>
        <w:tc>
          <w:tcPr>
            <w:tcW w:w="1134" w:type="dxa"/>
            <w:gridSpan w:val="2"/>
            <w:tcBorders>
              <w:top w:val="single" w:sz="12" w:space="0" w:color="008000"/>
              <w:bottom w:val="single" w:sz="6" w:space="0" w:color="008000"/>
            </w:tcBorders>
            <w:shd w:val="clear" w:color="auto" w:fill="FFFFFF"/>
            <w:vAlign w:val="center"/>
          </w:tcPr>
          <w:p w14:paraId="35C192DB" w14:textId="04EE0980" w:rsidR="00374602" w:rsidRPr="00B76D60" w:rsidRDefault="00374602" w:rsidP="00C65F8F">
            <w:pPr>
              <w:pStyle w:val="CETBodytext"/>
              <w:ind w:right="-1"/>
              <w:jc w:val="center"/>
              <w:rPr>
                <w:rFonts w:cs="Arial"/>
                <w:szCs w:val="18"/>
              </w:rPr>
            </w:pPr>
            <w:r w:rsidRPr="00B76D60">
              <w:rPr>
                <w:rFonts w:cs="Arial"/>
                <w:szCs w:val="18"/>
              </w:rPr>
              <w:t>Q</w:t>
            </w:r>
            <w:r w:rsidRPr="00B76D60">
              <w:rPr>
                <w:rFonts w:cs="Arial"/>
                <w:szCs w:val="18"/>
                <w:vertAlign w:val="subscript"/>
              </w:rPr>
              <w:t>OUT</w:t>
            </w:r>
            <w:r w:rsidRPr="00B76D60">
              <w:rPr>
                <w:rFonts w:cs="Arial"/>
                <w:szCs w:val="18"/>
              </w:rPr>
              <w:t xml:space="preserve"> (L/h)</w:t>
            </w:r>
          </w:p>
        </w:tc>
      </w:tr>
      <w:tr w:rsidR="00374602" w:rsidRPr="00B76D60" w14:paraId="1EAEE75B" w14:textId="77777777" w:rsidTr="002C42D4">
        <w:tc>
          <w:tcPr>
            <w:tcW w:w="1134" w:type="dxa"/>
            <w:vMerge/>
            <w:tcBorders>
              <w:top w:val="nil"/>
              <w:bottom w:val="single" w:sz="6" w:space="0" w:color="008000"/>
            </w:tcBorders>
            <w:shd w:val="clear" w:color="auto" w:fill="FFFFFF"/>
          </w:tcPr>
          <w:p w14:paraId="6E76C146" w14:textId="77777777" w:rsidR="00374602" w:rsidRPr="00B76D60" w:rsidRDefault="00374602" w:rsidP="00C65F8F">
            <w:pPr>
              <w:pStyle w:val="CETBodytext"/>
            </w:pPr>
          </w:p>
        </w:tc>
        <w:tc>
          <w:tcPr>
            <w:tcW w:w="1134" w:type="dxa"/>
            <w:tcBorders>
              <w:top w:val="single" w:sz="6" w:space="0" w:color="008000"/>
              <w:bottom w:val="single" w:sz="6" w:space="0" w:color="008000"/>
            </w:tcBorders>
            <w:shd w:val="clear" w:color="auto" w:fill="FFFFFF"/>
            <w:vAlign w:val="center"/>
          </w:tcPr>
          <w:p w14:paraId="527AF2B0" w14:textId="75002C7E" w:rsidR="00374602" w:rsidRPr="00B76D60" w:rsidRDefault="00661A99" w:rsidP="00C65F8F">
            <w:pPr>
              <w:pStyle w:val="CETBodytext"/>
              <w:jc w:val="center"/>
            </w:pPr>
            <w:r w:rsidRPr="00B76D60">
              <w:t>A</w:t>
            </w:r>
          </w:p>
        </w:tc>
        <w:tc>
          <w:tcPr>
            <w:tcW w:w="1134" w:type="dxa"/>
            <w:tcBorders>
              <w:top w:val="single" w:sz="6" w:space="0" w:color="008000"/>
              <w:bottom w:val="single" w:sz="6" w:space="0" w:color="008000"/>
            </w:tcBorders>
            <w:shd w:val="clear" w:color="auto" w:fill="FFFFFF"/>
            <w:vAlign w:val="center"/>
          </w:tcPr>
          <w:p w14:paraId="51BD35D5" w14:textId="00FFA643" w:rsidR="00374602" w:rsidRPr="00B76D60" w:rsidRDefault="00661A99" w:rsidP="00C65F8F">
            <w:pPr>
              <w:pStyle w:val="CETBodytext"/>
              <w:ind w:right="-1"/>
              <w:jc w:val="center"/>
              <w:rPr>
                <w:rFonts w:cs="Arial"/>
                <w:szCs w:val="18"/>
              </w:rPr>
            </w:pPr>
            <w:r w:rsidRPr="00B76D60">
              <w:rPr>
                <w:rFonts w:cs="Arial"/>
                <w:szCs w:val="18"/>
              </w:rPr>
              <w:t>B</w:t>
            </w:r>
          </w:p>
        </w:tc>
        <w:tc>
          <w:tcPr>
            <w:tcW w:w="1134" w:type="dxa"/>
            <w:tcBorders>
              <w:top w:val="single" w:sz="6" w:space="0" w:color="008000"/>
              <w:bottom w:val="single" w:sz="6" w:space="0" w:color="008000"/>
            </w:tcBorders>
            <w:shd w:val="clear" w:color="auto" w:fill="FFFFFF"/>
            <w:vAlign w:val="center"/>
          </w:tcPr>
          <w:p w14:paraId="62C71BCC" w14:textId="34D22AEF" w:rsidR="00374602" w:rsidRPr="00B76D60" w:rsidRDefault="00661A99" w:rsidP="00C65F8F">
            <w:pPr>
              <w:pStyle w:val="CETBodytext"/>
              <w:ind w:right="-1"/>
              <w:jc w:val="center"/>
              <w:rPr>
                <w:rFonts w:cs="Arial"/>
                <w:szCs w:val="18"/>
              </w:rPr>
            </w:pPr>
            <w:r w:rsidRPr="00B76D60">
              <w:rPr>
                <w:rFonts w:cs="Arial"/>
                <w:szCs w:val="18"/>
              </w:rPr>
              <w:t>A</w:t>
            </w:r>
          </w:p>
        </w:tc>
        <w:tc>
          <w:tcPr>
            <w:tcW w:w="1134" w:type="dxa"/>
            <w:tcBorders>
              <w:top w:val="single" w:sz="6" w:space="0" w:color="008000"/>
              <w:bottom w:val="single" w:sz="6" w:space="0" w:color="008000"/>
            </w:tcBorders>
            <w:shd w:val="clear" w:color="auto" w:fill="FFFFFF"/>
            <w:vAlign w:val="center"/>
          </w:tcPr>
          <w:p w14:paraId="0B823EC6" w14:textId="2AF2E001" w:rsidR="00374602" w:rsidRPr="00B76D60" w:rsidRDefault="00661A99" w:rsidP="00C65F8F">
            <w:pPr>
              <w:pStyle w:val="CETBodytext"/>
              <w:ind w:right="-1"/>
              <w:jc w:val="center"/>
              <w:rPr>
                <w:rFonts w:cs="Arial"/>
                <w:szCs w:val="18"/>
              </w:rPr>
            </w:pPr>
            <w:r w:rsidRPr="00B76D60">
              <w:rPr>
                <w:rFonts w:cs="Arial"/>
                <w:szCs w:val="18"/>
              </w:rPr>
              <w:t>B</w:t>
            </w:r>
          </w:p>
        </w:tc>
      </w:tr>
      <w:tr w:rsidR="00374602" w:rsidRPr="00B76D60" w14:paraId="72624F79" w14:textId="77777777" w:rsidTr="002C42D4">
        <w:tc>
          <w:tcPr>
            <w:tcW w:w="1134" w:type="dxa"/>
            <w:tcBorders>
              <w:top w:val="single" w:sz="6" w:space="0" w:color="008000"/>
            </w:tcBorders>
            <w:shd w:val="clear" w:color="auto" w:fill="FFFFFF"/>
            <w:vAlign w:val="center"/>
          </w:tcPr>
          <w:p w14:paraId="64D74198" w14:textId="04DA7B68" w:rsidR="00374602" w:rsidRPr="00B76D60" w:rsidRDefault="00374602" w:rsidP="00C65F8F">
            <w:pPr>
              <w:pStyle w:val="CETBodytext"/>
              <w:jc w:val="center"/>
            </w:pPr>
            <w:r w:rsidRPr="00B76D60">
              <w:t>0</w:t>
            </w:r>
          </w:p>
        </w:tc>
        <w:tc>
          <w:tcPr>
            <w:tcW w:w="1134" w:type="dxa"/>
            <w:tcBorders>
              <w:top w:val="single" w:sz="6" w:space="0" w:color="008000"/>
            </w:tcBorders>
            <w:shd w:val="clear" w:color="auto" w:fill="FFFFFF"/>
            <w:vAlign w:val="center"/>
          </w:tcPr>
          <w:p w14:paraId="59444758" w14:textId="010E08DA" w:rsidR="00374602" w:rsidRPr="00B76D60" w:rsidRDefault="00374602" w:rsidP="00C65F8F">
            <w:pPr>
              <w:pStyle w:val="CETBodytext"/>
              <w:jc w:val="center"/>
            </w:pPr>
            <w:r w:rsidRPr="00B76D60">
              <w:t>65.5</w:t>
            </w:r>
          </w:p>
        </w:tc>
        <w:tc>
          <w:tcPr>
            <w:tcW w:w="1134" w:type="dxa"/>
            <w:tcBorders>
              <w:top w:val="single" w:sz="6" w:space="0" w:color="008000"/>
            </w:tcBorders>
            <w:shd w:val="clear" w:color="auto" w:fill="FFFFFF"/>
            <w:vAlign w:val="center"/>
          </w:tcPr>
          <w:p w14:paraId="2B71D050" w14:textId="51773C5B" w:rsidR="00374602" w:rsidRPr="00B76D60" w:rsidRDefault="00374602" w:rsidP="00C65F8F">
            <w:pPr>
              <w:pStyle w:val="CETBodytext"/>
              <w:ind w:right="-1"/>
              <w:jc w:val="center"/>
              <w:rPr>
                <w:rFonts w:cs="Arial"/>
                <w:szCs w:val="18"/>
              </w:rPr>
            </w:pPr>
            <w:r w:rsidRPr="00B76D60">
              <w:rPr>
                <w:rFonts w:cs="Arial"/>
                <w:szCs w:val="18"/>
              </w:rPr>
              <w:t>0</w:t>
            </w:r>
          </w:p>
        </w:tc>
        <w:tc>
          <w:tcPr>
            <w:tcW w:w="1134" w:type="dxa"/>
            <w:tcBorders>
              <w:top w:val="single" w:sz="6" w:space="0" w:color="008000"/>
            </w:tcBorders>
            <w:shd w:val="clear" w:color="auto" w:fill="FFFFFF"/>
            <w:vAlign w:val="center"/>
          </w:tcPr>
          <w:p w14:paraId="485162A1" w14:textId="2274012A" w:rsidR="00374602" w:rsidRPr="00B76D60" w:rsidRDefault="00374602" w:rsidP="00C65F8F">
            <w:pPr>
              <w:pStyle w:val="CETBodytext"/>
              <w:ind w:right="-1"/>
              <w:jc w:val="center"/>
              <w:rPr>
                <w:rFonts w:cs="Arial"/>
                <w:szCs w:val="18"/>
              </w:rPr>
            </w:pPr>
            <w:r w:rsidRPr="00B76D60">
              <w:rPr>
                <w:rFonts w:cs="Arial"/>
                <w:szCs w:val="18"/>
              </w:rPr>
              <w:t>0</w:t>
            </w:r>
          </w:p>
        </w:tc>
        <w:tc>
          <w:tcPr>
            <w:tcW w:w="1134" w:type="dxa"/>
            <w:tcBorders>
              <w:top w:val="single" w:sz="6" w:space="0" w:color="008000"/>
            </w:tcBorders>
            <w:shd w:val="clear" w:color="auto" w:fill="FFFFFF"/>
            <w:vAlign w:val="center"/>
          </w:tcPr>
          <w:p w14:paraId="7541A4F5" w14:textId="6422E0E6" w:rsidR="00374602" w:rsidRPr="00B76D60" w:rsidRDefault="00374602" w:rsidP="00C65F8F">
            <w:pPr>
              <w:pStyle w:val="CETBodytext"/>
              <w:ind w:right="-1"/>
              <w:jc w:val="center"/>
              <w:rPr>
                <w:rFonts w:cs="Arial"/>
                <w:szCs w:val="18"/>
              </w:rPr>
            </w:pPr>
            <w:r w:rsidRPr="00B76D60">
              <w:rPr>
                <w:rFonts w:cs="Arial"/>
                <w:szCs w:val="18"/>
              </w:rPr>
              <w:t>0</w:t>
            </w:r>
          </w:p>
        </w:tc>
      </w:tr>
      <w:tr w:rsidR="00374602" w:rsidRPr="00B76D60" w14:paraId="6F3518F9" w14:textId="77777777" w:rsidTr="002C42D4">
        <w:tc>
          <w:tcPr>
            <w:tcW w:w="1134" w:type="dxa"/>
            <w:shd w:val="clear" w:color="auto" w:fill="FFFFFF"/>
            <w:vAlign w:val="center"/>
          </w:tcPr>
          <w:p w14:paraId="26ADB6F1" w14:textId="4CBCF483" w:rsidR="00374602" w:rsidRPr="00B76D60" w:rsidRDefault="00374602" w:rsidP="00C65F8F">
            <w:pPr>
              <w:pStyle w:val="CETBodytext"/>
              <w:jc w:val="center"/>
            </w:pPr>
            <w:r w:rsidRPr="00B76D60">
              <w:t>1</w:t>
            </w:r>
          </w:p>
        </w:tc>
        <w:tc>
          <w:tcPr>
            <w:tcW w:w="1134" w:type="dxa"/>
            <w:shd w:val="clear" w:color="auto" w:fill="FFFFFF"/>
            <w:vAlign w:val="center"/>
          </w:tcPr>
          <w:p w14:paraId="27997747" w14:textId="2BBAD4B9" w:rsidR="00374602" w:rsidRPr="00B76D60" w:rsidRDefault="00374602" w:rsidP="00C65F8F">
            <w:pPr>
              <w:pStyle w:val="CETBodytext"/>
              <w:jc w:val="center"/>
            </w:pPr>
            <w:r w:rsidRPr="00B76D60">
              <w:t>49.8</w:t>
            </w:r>
          </w:p>
        </w:tc>
        <w:tc>
          <w:tcPr>
            <w:tcW w:w="1134" w:type="dxa"/>
            <w:shd w:val="clear" w:color="auto" w:fill="FFFFFF"/>
            <w:vAlign w:val="center"/>
          </w:tcPr>
          <w:p w14:paraId="4581B389" w14:textId="6E9332D1" w:rsidR="00374602" w:rsidRPr="00B76D60" w:rsidRDefault="00374602" w:rsidP="00C65F8F">
            <w:pPr>
              <w:pStyle w:val="CETBodytext"/>
              <w:ind w:right="-1"/>
              <w:jc w:val="center"/>
              <w:rPr>
                <w:rFonts w:cs="Arial"/>
                <w:szCs w:val="18"/>
              </w:rPr>
            </w:pPr>
            <w:r w:rsidRPr="00B76D60">
              <w:rPr>
                <w:rFonts w:cs="Arial"/>
                <w:szCs w:val="18"/>
              </w:rPr>
              <w:t>22.6</w:t>
            </w:r>
          </w:p>
        </w:tc>
        <w:tc>
          <w:tcPr>
            <w:tcW w:w="1134" w:type="dxa"/>
            <w:shd w:val="clear" w:color="auto" w:fill="FFFFFF"/>
            <w:vAlign w:val="center"/>
          </w:tcPr>
          <w:p w14:paraId="1BD17952" w14:textId="5AAE1547" w:rsidR="00374602" w:rsidRPr="00B76D60" w:rsidRDefault="00374602" w:rsidP="00C65F8F">
            <w:pPr>
              <w:pStyle w:val="CETBodytext"/>
              <w:ind w:right="-1"/>
              <w:jc w:val="center"/>
              <w:rPr>
                <w:rFonts w:cs="Arial"/>
                <w:szCs w:val="18"/>
              </w:rPr>
            </w:pPr>
            <w:r w:rsidRPr="00B76D60">
              <w:rPr>
                <w:rFonts w:cs="Arial"/>
                <w:szCs w:val="18"/>
              </w:rPr>
              <w:t>0.33</w:t>
            </w:r>
          </w:p>
        </w:tc>
        <w:tc>
          <w:tcPr>
            <w:tcW w:w="1134" w:type="dxa"/>
            <w:shd w:val="clear" w:color="auto" w:fill="FFFFFF"/>
            <w:vAlign w:val="center"/>
          </w:tcPr>
          <w:p w14:paraId="4E27FD81" w14:textId="56FDDD62" w:rsidR="00374602" w:rsidRPr="00B76D60" w:rsidRDefault="00374602" w:rsidP="00C65F8F">
            <w:pPr>
              <w:pStyle w:val="CETBodytext"/>
              <w:ind w:right="-1"/>
              <w:jc w:val="center"/>
              <w:rPr>
                <w:rFonts w:cs="Arial"/>
                <w:szCs w:val="18"/>
              </w:rPr>
            </w:pPr>
            <w:r w:rsidRPr="00B76D60">
              <w:rPr>
                <w:rFonts w:cs="Arial"/>
                <w:szCs w:val="18"/>
              </w:rPr>
              <w:t>0.35</w:t>
            </w:r>
          </w:p>
        </w:tc>
      </w:tr>
      <w:tr w:rsidR="00374602" w:rsidRPr="00B76D60" w14:paraId="39C9A69B" w14:textId="77777777" w:rsidTr="002C42D4">
        <w:tc>
          <w:tcPr>
            <w:tcW w:w="1134" w:type="dxa"/>
            <w:shd w:val="clear" w:color="auto" w:fill="FFFFFF"/>
            <w:vAlign w:val="center"/>
          </w:tcPr>
          <w:p w14:paraId="7159D841" w14:textId="07FD141E" w:rsidR="00374602" w:rsidRPr="00B76D60" w:rsidRDefault="00374602" w:rsidP="00C65F8F">
            <w:pPr>
              <w:pStyle w:val="CETBodytext"/>
              <w:jc w:val="center"/>
            </w:pPr>
            <w:r w:rsidRPr="00B76D60">
              <w:t>2</w:t>
            </w:r>
          </w:p>
        </w:tc>
        <w:tc>
          <w:tcPr>
            <w:tcW w:w="1134" w:type="dxa"/>
            <w:shd w:val="clear" w:color="auto" w:fill="FFFFFF"/>
            <w:vAlign w:val="center"/>
          </w:tcPr>
          <w:p w14:paraId="4E0C69D8" w14:textId="0C6874F5" w:rsidR="00374602" w:rsidRPr="00B76D60" w:rsidRDefault="00374602" w:rsidP="00C65F8F">
            <w:pPr>
              <w:pStyle w:val="CETBodytext"/>
              <w:jc w:val="center"/>
            </w:pPr>
            <w:r w:rsidRPr="00B76D60">
              <w:t>35.4</w:t>
            </w:r>
          </w:p>
        </w:tc>
        <w:tc>
          <w:tcPr>
            <w:tcW w:w="1134" w:type="dxa"/>
            <w:shd w:val="clear" w:color="auto" w:fill="FFFFFF"/>
            <w:vAlign w:val="center"/>
          </w:tcPr>
          <w:p w14:paraId="4D456F37" w14:textId="09F2FC2B" w:rsidR="00374602" w:rsidRPr="00B76D60" w:rsidRDefault="00374602" w:rsidP="00C65F8F">
            <w:pPr>
              <w:pStyle w:val="CETBodytext"/>
              <w:ind w:right="-1"/>
              <w:jc w:val="center"/>
              <w:rPr>
                <w:rFonts w:cs="Arial"/>
                <w:szCs w:val="18"/>
              </w:rPr>
            </w:pPr>
            <w:r w:rsidRPr="00B76D60">
              <w:rPr>
                <w:rFonts w:cs="Arial"/>
                <w:szCs w:val="18"/>
              </w:rPr>
              <w:t>29.2</w:t>
            </w:r>
          </w:p>
        </w:tc>
        <w:tc>
          <w:tcPr>
            <w:tcW w:w="1134" w:type="dxa"/>
            <w:shd w:val="clear" w:color="auto" w:fill="FFFFFF"/>
            <w:vAlign w:val="center"/>
          </w:tcPr>
          <w:p w14:paraId="7BC87275" w14:textId="006FB424" w:rsidR="00374602" w:rsidRPr="00B76D60" w:rsidRDefault="00374602" w:rsidP="00C65F8F">
            <w:pPr>
              <w:pStyle w:val="CETBodytext"/>
              <w:ind w:right="-1"/>
              <w:jc w:val="center"/>
              <w:rPr>
                <w:rFonts w:cs="Arial"/>
                <w:szCs w:val="18"/>
              </w:rPr>
            </w:pPr>
            <w:r w:rsidRPr="00B76D60">
              <w:rPr>
                <w:rFonts w:cs="Arial"/>
                <w:szCs w:val="18"/>
              </w:rPr>
              <w:t>0.36</w:t>
            </w:r>
          </w:p>
        </w:tc>
        <w:tc>
          <w:tcPr>
            <w:tcW w:w="1134" w:type="dxa"/>
            <w:shd w:val="clear" w:color="auto" w:fill="FFFFFF"/>
            <w:vAlign w:val="center"/>
          </w:tcPr>
          <w:p w14:paraId="53DBFEC5" w14:textId="2D662170" w:rsidR="00374602" w:rsidRPr="00B76D60" w:rsidRDefault="00374602" w:rsidP="00C65F8F">
            <w:pPr>
              <w:pStyle w:val="CETBodytext"/>
              <w:ind w:right="-1"/>
              <w:jc w:val="center"/>
              <w:rPr>
                <w:rFonts w:cs="Arial"/>
                <w:szCs w:val="18"/>
              </w:rPr>
            </w:pPr>
            <w:r w:rsidRPr="00B76D60">
              <w:rPr>
                <w:rFonts w:cs="Arial"/>
                <w:szCs w:val="18"/>
              </w:rPr>
              <w:t>0.36</w:t>
            </w:r>
          </w:p>
        </w:tc>
      </w:tr>
      <w:tr w:rsidR="00374602" w:rsidRPr="00B76D60" w14:paraId="07858E46" w14:textId="77777777" w:rsidTr="002C42D4">
        <w:tc>
          <w:tcPr>
            <w:tcW w:w="1134" w:type="dxa"/>
            <w:shd w:val="clear" w:color="auto" w:fill="FFFFFF"/>
            <w:vAlign w:val="center"/>
          </w:tcPr>
          <w:p w14:paraId="4D96A4CA" w14:textId="12F9842A" w:rsidR="00374602" w:rsidRPr="00B76D60" w:rsidRDefault="00374602" w:rsidP="00C65F8F">
            <w:pPr>
              <w:pStyle w:val="CETBodytext"/>
              <w:jc w:val="center"/>
            </w:pPr>
            <w:r w:rsidRPr="00B76D60">
              <w:t>3</w:t>
            </w:r>
          </w:p>
        </w:tc>
        <w:tc>
          <w:tcPr>
            <w:tcW w:w="1134" w:type="dxa"/>
            <w:shd w:val="clear" w:color="auto" w:fill="FFFFFF"/>
            <w:vAlign w:val="center"/>
          </w:tcPr>
          <w:p w14:paraId="5E866572" w14:textId="651AF6CE" w:rsidR="00374602" w:rsidRPr="00B76D60" w:rsidRDefault="00374602" w:rsidP="00C65F8F">
            <w:pPr>
              <w:pStyle w:val="CETBodytext"/>
              <w:jc w:val="center"/>
            </w:pPr>
            <w:r w:rsidRPr="00B76D60">
              <w:t>31.9</w:t>
            </w:r>
          </w:p>
        </w:tc>
        <w:tc>
          <w:tcPr>
            <w:tcW w:w="1134" w:type="dxa"/>
            <w:shd w:val="clear" w:color="auto" w:fill="FFFFFF"/>
            <w:vAlign w:val="center"/>
          </w:tcPr>
          <w:p w14:paraId="64EEBB60" w14:textId="272B5CC7" w:rsidR="00374602" w:rsidRPr="00B76D60" w:rsidRDefault="00374602" w:rsidP="00C65F8F">
            <w:pPr>
              <w:pStyle w:val="CETBodytext"/>
              <w:ind w:right="-1"/>
              <w:jc w:val="center"/>
              <w:rPr>
                <w:rFonts w:cs="Arial"/>
                <w:szCs w:val="18"/>
              </w:rPr>
            </w:pPr>
            <w:r w:rsidRPr="00B76D60">
              <w:rPr>
                <w:rFonts w:cs="Arial"/>
                <w:szCs w:val="18"/>
              </w:rPr>
              <w:t>33.5</w:t>
            </w:r>
          </w:p>
        </w:tc>
        <w:tc>
          <w:tcPr>
            <w:tcW w:w="1134" w:type="dxa"/>
            <w:shd w:val="clear" w:color="auto" w:fill="FFFFFF"/>
            <w:vAlign w:val="center"/>
          </w:tcPr>
          <w:p w14:paraId="35974078" w14:textId="42881737" w:rsidR="00374602" w:rsidRPr="00B76D60" w:rsidRDefault="00374602" w:rsidP="00C65F8F">
            <w:pPr>
              <w:pStyle w:val="CETBodytext"/>
              <w:ind w:right="-1"/>
              <w:jc w:val="center"/>
              <w:rPr>
                <w:rFonts w:cs="Arial"/>
                <w:szCs w:val="18"/>
              </w:rPr>
            </w:pPr>
            <w:r w:rsidRPr="00B76D60">
              <w:rPr>
                <w:rFonts w:cs="Arial"/>
                <w:szCs w:val="18"/>
              </w:rPr>
              <w:t>0.45</w:t>
            </w:r>
          </w:p>
        </w:tc>
        <w:tc>
          <w:tcPr>
            <w:tcW w:w="1134" w:type="dxa"/>
            <w:shd w:val="clear" w:color="auto" w:fill="FFFFFF"/>
            <w:vAlign w:val="center"/>
          </w:tcPr>
          <w:p w14:paraId="06911955" w14:textId="36B4159E" w:rsidR="00374602" w:rsidRPr="00B76D60" w:rsidRDefault="00374602" w:rsidP="00C65F8F">
            <w:pPr>
              <w:pStyle w:val="CETBodytext"/>
              <w:ind w:right="-1"/>
              <w:jc w:val="center"/>
              <w:rPr>
                <w:rFonts w:cs="Arial"/>
                <w:szCs w:val="18"/>
              </w:rPr>
            </w:pPr>
            <w:r w:rsidRPr="00B76D60">
              <w:rPr>
                <w:rFonts w:cs="Arial"/>
                <w:szCs w:val="18"/>
              </w:rPr>
              <w:t>0.26</w:t>
            </w:r>
          </w:p>
        </w:tc>
      </w:tr>
      <w:tr w:rsidR="00374602" w:rsidRPr="00B76D60" w14:paraId="1F3DF38A" w14:textId="77777777" w:rsidTr="002C42D4">
        <w:tc>
          <w:tcPr>
            <w:tcW w:w="1134" w:type="dxa"/>
            <w:shd w:val="clear" w:color="auto" w:fill="FFFFFF"/>
            <w:vAlign w:val="center"/>
          </w:tcPr>
          <w:p w14:paraId="484A581F" w14:textId="094FFAC1" w:rsidR="00374602" w:rsidRPr="00B76D60" w:rsidRDefault="00374602" w:rsidP="00C65F8F">
            <w:pPr>
              <w:pStyle w:val="CETBodytext"/>
              <w:jc w:val="center"/>
            </w:pPr>
            <w:r w:rsidRPr="00B76D60">
              <w:t>4</w:t>
            </w:r>
          </w:p>
        </w:tc>
        <w:tc>
          <w:tcPr>
            <w:tcW w:w="1134" w:type="dxa"/>
            <w:shd w:val="clear" w:color="auto" w:fill="FFFFFF"/>
            <w:vAlign w:val="center"/>
          </w:tcPr>
          <w:p w14:paraId="54470D04" w14:textId="5AF85058" w:rsidR="00374602" w:rsidRPr="00B76D60" w:rsidRDefault="00374602" w:rsidP="00C65F8F">
            <w:pPr>
              <w:pStyle w:val="CETBodytext"/>
              <w:jc w:val="center"/>
            </w:pPr>
            <w:r w:rsidRPr="00B76D60">
              <w:t>31.4</w:t>
            </w:r>
          </w:p>
        </w:tc>
        <w:tc>
          <w:tcPr>
            <w:tcW w:w="1134" w:type="dxa"/>
            <w:shd w:val="clear" w:color="auto" w:fill="FFFFFF"/>
            <w:vAlign w:val="center"/>
          </w:tcPr>
          <w:p w14:paraId="44CB3908" w14:textId="64F3B197" w:rsidR="00374602" w:rsidRPr="00B76D60" w:rsidRDefault="00374602" w:rsidP="00C65F8F">
            <w:pPr>
              <w:pStyle w:val="CETBodytext"/>
              <w:ind w:right="-1"/>
              <w:jc w:val="center"/>
              <w:rPr>
                <w:rFonts w:cs="Arial"/>
                <w:szCs w:val="18"/>
              </w:rPr>
            </w:pPr>
            <w:r w:rsidRPr="00B76D60">
              <w:rPr>
                <w:rFonts w:cs="Arial"/>
                <w:szCs w:val="18"/>
              </w:rPr>
              <w:t>33.8</w:t>
            </w:r>
          </w:p>
        </w:tc>
        <w:tc>
          <w:tcPr>
            <w:tcW w:w="1134" w:type="dxa"/>
            <w:shd w:val="clear" w:color="auto" w:fill="FFFFFF"/>
            <w:vAlign w:val="center"/>
          </w:tcPr>
          <w:p w14:paraId="4357B4EF" w14:textId="14951023" w:rsidR="00374602" w:rsidRPr="00B76D60" w:rsidRDefault="00374602" w:rsidP="00C65F8F">
            <w:pPr>
              <w:pStyle w:val="CETBodytext"/>
              <w:ind w:right="-1"/>
              <w:jc w:val="center"/>
              <w:rPr>
                <w:rFonts w:cs="Arial"/>
                <w:szCs w:val="18"/>
              </w:rPr>
            </w:pPr>
            <w:r w:rsidRPr="00B76D60">
              <w:rPr>
                <w:rFonts w:cs="Arial"/>
                <w:szCs w:val="18"/>
              </w:rPr>
              <w:t>0.42</w:t>
            </w:r>
          </w:p>
        </w:tc>
        <w:tc>
          <w:tcPr>
            <w:tcW w:w="1134" w:type="dxa"/>
            <w:shd w:val="clear" w:color="auto" w:fill="FFFFFF"/>
            <w:vAlign w:val="center"/>
          </w:tcPr>
          <w:p w14:paraId="16C5042D" w14:textId="3B26B482" w:rsidR="00374602" w:rsidRPr="00B76D60" w:rsidRDefault="00374602" w:rsidP="00C65F8F">
            <w:pPr>
              <w:pStyle w:val="CETBodytext"/>
              <w:ind w:right="-1"/>
              <w:jc w:val="center"/>
              <w:rPr>
                <w:rFonts w:cs="Arial"/>
                <w:szCs w:val="18"/>
              </w:rPr>
            </w:pPr>
            <w:r w:rsidRPr="00B76D60">
              <w:rPr>
                <w:rFonts w:cs="Arial"/>
                <w:szCs w:val="18"/>
              </w:rPr>
              <w:t>0.27</w:t>
            </w:r>
          </w:p>
        </w:tc>
      </w:tr>
      <w:tr w:rsidR="00374602" w:rsidRPr="00B76D60" w14:paraId="2D27AFA1" w14:textId="77777777" w:rsidTr="002C42D4">
        <w:tc>
          <w:tcPr>
            <w:tcW w:w="1134" w:type="dxa"/>
            <w:shd w:val="clear" w:color="auto" w:fill="FFFFFF"/>
            <w:vAlign w:val="center"/>
          </w:tcPr>
          <w:p w14:paraId="51DDA3E8" w14:textId="66897CD7" w:rsidR="00374602" w:rsidRPr="00B76D60" w:rsidRDefault="00374602" w:rsidP="00C65F8F">
            <w:pPr>
              <w:pStyle w:val="CETBodytext"/>
              <w:jc w:val="center"/>
            </w:pPr>
            <w:r w:rsidRPr="00B76D60">
              <w:t>5</w:t>
            </w:r>
          </w:p>
        </w:tc>
        <w:tc>
          <w:tcPr>
            <w:tcW w:w="1134" w:type="dxa"/>
            <w:shd w:val="clear" w:color="auto" w:fill="FFFFFF"/>
            <w:vAlign w:val="center"/>
          </w:tcPr>
          <w:p w14:paraId="11592182" w14:textId="65D186D1" w:rsidR="00374602" w:rsidRPr="00B76D60" w:rsidRDefault="00374602" w:rsidP="00C65F8F">
            <w:pPr>
              <w:pStyle w:val="CETBodytext"/>
              <w:jc w:val="center"/>
            </w:pPr>
            <w:r w:rsidRPr="00B76D60">
              <w:t>30.6</w:t>
            </w:r>
          </w:p>
        </w:tc>
        <w:tc>
          <w:tcPr>
            <w:tcW w:w="1134" w:type="dxa"/>
            <w:shd w:val="clear" w:color="auto" w:fill="FFFFFF"/>
            <w:vAlign w:val="center"/>
          </w:tcPr>
          <w:p w14:paraId="2367294F" w14:textId="52FE044A" w:rsidR="00374602" w:rsidRPr="00B76D60" w:rsidRDefault="00374602" w:rsidP="00C65F8F">
            <w:pPr>
              <w:pStyle w:val="CETBodytext"/>
              <w:ind w:right="-1"/>
              <w:jc w:val="center"/>
              <w:rPr>
                <w:rFonts w:cs="Arial"/>
                <w:szCs w:val="18"/>
              </w:rPr>
            </w:pPr>
            <w:r w:rsidRPr="00B76D60">
              <w:rPr>
                <w:rFonts w:cs="Arial"/>
                <w:szCs w:val="18"/>
              </w:rPr>
              <w:t>31.7</w:t>
            </w:r>
          </w:p>
        </w:tc>
        <w:tc>
          <w:tcPr>
            <w:tcW w:w="1134" w:type="dxa"/>
            <w:shd w:val="clear" w:color="auto" w:fill="FFFFFF"/>
            <w:vAlign w:val="center"/>
          </w:tcPr>
          <w:p w14:paraId="47A86E33" w14:textId="37E988E1" w:rsidR="00374602" w:rsidRPr="00B76D60" w:rsidRDefault="00374602" w:rsidP="00C65F8F">
            <w:pPr>
              <w:pStyle w:val="CETBodytext"/>
              <w:ind w:right="-1"/>
              <w:jc w:val="center"/>
              <w:rPr>
                <w:rFonts w:cs="Arial"/>
                <w:szCs w:val="18"/>
              </w:rPr>
            </w:pPr>
            <w:r w:rsidRPr="00B76D60">
              <w:rPr>
                <w:rFonts w:cs="Arial"/>
                <w:szCs w:val="18"/>
              </w:rPr>
              <w:t>0.35</w:t>
            </w:r>
          </w:p>
        </w:tc>
        <w:tc>
          <w:tcPr>
            <w:tcW w:w="1134" w:type="dxa"/>
            <w:shd w:val="clear" w:color="auto" w:fill="FFFFFF"/>
            <w:vAlign w:val="center"/>
          </w:tcPr>
          <w:p w14:paraId="239884B4" w14:textId="4096CA2C" w:rsidR="00374602" w:rsidRPr="00B76D60" w:rsidRDefault="00374602" w:rsidP="00C65F8F">
            <w:pPr>
              <w:pStyle w:val="CETBodytext"/>
              <w:ind w:right="-1"/>
              <w:jc w:val="center"/>
              <w:rPr>
                <w:rFonts w:cs="Arial"/>
                <w:szCs w:val="18"/>
              </w:rPr>
            </w:pPr>
            <w:r w:rsidRPr="00B76D60">
              <w:rPr>
                <w:rFonts w:cs="Arial"/>
                <w:szCs w:val="18"/>
              </w:rPr>
              <w:t>0.31</w:t>
            </w:r>
          </w:p>
        </w:tc>
      </w:tr>
      <w:tr w:rsidR="00374602" w:rsidRPr="00B76D60" w14:paraId="47D19173" w14:textId="77777777" w:rsidTr="002C42D4">
        <w:tc>
          <w:tcPr>
            <w:tcW w:w="1134" w:type="dxa"/>
            <w:shd w:val="clear" w:color="auto" w:fill="FFFFFF"/>
            <w:vAlign w:val="center"/>
          </w:tcPr>
          <w:p w14:paraId="70C34A14" w14:textId="43873DA4" w:rsidR="00374602" w:rsidRPr="00B76D60" w:rsidRDefault="00374602" w:rsidP="00C65F8F">
            <w:pPr>
              <w:pStyle w:val="CETBodytext"/>
              <w:jc w:val="center"/>
            </w:pPr>
            <w:r w:rsidRPr="00B76D60">
              <w:t>6</w:t>
            </w:r>
          </w:p>
        </w:tc>
        <w:tc>
          <w:tcPr>
            <w:tcW w:w="1134" w:type="dxa"/>
            <w:shd w:val="clear" w:color="auto" w:fill="FFFFFF"/>
            <w:vAlign w:val="center"/>
          </w:tcPr>
          <w:p w14:paraId="3BAB96C2" w14:textId="715AF65C" w:rsidR="00374602" w:rsidRPr="00B76D60" w:rsidRDefault="00374602" w:rsidP="00C65F8F">
            <w:pPr>
              <w:pStyle w:val="CETBodytext"/>
              <w:jc w:val="center"/>
            </w:pPr>
            <w:r w:rsidRPr="00B76D60">
              <w:t>30.6</w:t>
            </w:r>
          </w:p>
        </w:tc>
        <w:tc>
          <w:tcPr>
            <w:tcW w:w="1134" w:type="dxa"/>
            <w:shd w:val="clear" w:color="auto" w:fill="FFFFFF"/>
            <w:vAlign w:val="center"/>
          </w:tcPr>
          <w:p w14:paraId="40C35676" w14:textId="61B39F28" w:rsidR="00374602" w:rsidRPr="00B76D60" w:rsidRDefault="00374602" w:rsidP="00C65F8F">
            <w:pPr>
              <w:pStyle w:val="CETBodytext"/>
              <w:ind w:right="-1"/>
              <w:jc w:val="center"/>
              <w:rPr>
                <w:rFonts w:cs="Arial"/>
                <w:szCs w:val="18"/>
              </w:rPr>
            </w:pPr>
            <w:r w:rsidRPr="00B76D60">
              <w:rPr>
                <w:rFonts w:cs="Arial"/>
                <w:szCs w:val="18"/>
              </w:rPr>
              <w:t>31.6</w:t>
            </w:r>
          </w:p>
        </w:tc>
        <w:tc>
          <w:tcPr>
            <w:tcW w:w="1134" w:type="dxa"/>
            <w:shd w:val="clear" w:color="auto" w:fill="FFFFFF"/>
            <w:vAlign w:val="center"/>
          </w:tcPr>
          <w:p w14:paraId="20D8B95F" w14:textId="1F2E5095" w:rsidR="00374602" w:rsidRPr="00B76D60" w:rsidRDefault="00374602" w:rsidP="00C65F8F">
            <w:pPr>
              <w:pStyle w:val="CETBodytext"/>
              <w:ind w:right="-1"/>
              <w:jc w:val="center"/>
              <w:rPr>
                <w:rFonts w:cs="Arial"/>
                <w:szCs w:val="18"/>
              </w:rPr>
            </w:pPr>
            <w:r w:rsidRPr="00B76D60">
              <w:rPr>
                <w:rFonts w:cs="Arial"/>
                <w:szCs w:val="18"/>
              </w:rPr>
              <w:t>0.42</w:t>
            </w:r>
          </w:p>
        </w:tc>
        <w:tc>
          <w:tcPr>
            <w:tcW w:w="1134" w:type="dxa"/>
            <w:shd w:val="clear" w:color="auto" w:fill="FFFFFF"/>
            <w:vAlign w:val="center"/>
          </w:tcPr>
          <w:p w14:paraId="354C3672" w14:textId="5C286371" w:rsidR="00374602" w:rsidRPr="00B76D60" w:rsidRDefault="00374602" w:rsidP="00C65F8F">
            <w:pPr>
              <w:pStyle w:val="CETBodytext"/>
              <w:ind w:right="-1"/>
              <w:jc w:val="center"/>
              <w:rPr>
                <w:rFonts w:cs="Arial"/>
                <w:szCs w:val="18"/>
              </w:rPr>
            </w:pPr>
            <w:r w:rsidRPr="00B76D60">
              <w:rPr>
                <w:rFonts w:cs="Arial"/>
                <w:szCs w:val="18"/>
              </w:rPr>
              <w:t>0.23</w:t>
            </w:r>
          </w:p>
        </w:tc>
      </w:tr>
      <w:tr w:rsidR="00374602" w:rsidRPr="00B76D60" w14:paraId="47A82230" w14:textId="77777777" w:rsidTr="002C42D4">
        <w:tc>
          <w:tcPr>
            <w:tcW w:w="1134" w:type="dxa"/>
            <w:shd w:val="clear" w:color="auto" w:fill="FFFFFF"/>
            <w:vAlign w:val="center"/>
          </w:tcPr>
          <w:p w14:paraId="47F7612B" w14:textId="365487E2" w:rsidR="00374602" w:rsidRPr="00B76D60" w:rsidRDefault="00374602" w:rsidP="00C65F8F">
            <w:pPr>
              <w:pStyle w:val="CETBodytext"/>
              <w:ind w:right="-1"/>
              <w:jc w:val="center"/>
              <w:rPr>
                <w:rFonts w:cs="Arial"/>
                <w:szCs w:val="18"/>
              </w:rPr>
            </w:pPr>
            <w:r w:rsidRPr="00B76D60">
              <w:rPr>
                <w:rFonts w:cs="Arial"/>
                <w:szCs w:val="18"/>
              </w:rPr>
              <w:t>7</w:t>
            </w:r>
          </w:p>
        </w:tc>
        <w:tc>
          <w:tcPr>
            <w:tcW w:w="1134" w:type="dxa"/>
            <w:shd w:val="clear" w:color="auto" w:fill="FFFFFF"/>
            <w:vAlign w:val="center"/>
          </w:tcPr>
          <w:p w14:paraId="52377BBC" w14:textId="337959CF" w:rsidR="00374602" w:rsidRPr="00B76D60" w:rsidRDefault="00374602" w:rsidP="00C65F8F">
            <w:pPr>
              <w:pStyle w:val="CETBodytext"/>
              <w:ind w:right="-1"/>
              <w:jc w:val="center"/>
              <w:rPr>
                <w:rFonts w:cs="Arial"/>
                <w:szCs w:val="18"/>
              </w:rPr>
            </w:pPr>
            <w:r w:rsidRPr="00B76D60">
              <w:rPr>
                <w:rFonts w:cs="Arial"/>
                <w:szCs w:val="18"/>
              </w:rPr>
              <w:t>28.4</w:t>
            </w:r>
          </w:p>
        </w:tc>
        <w:tc>
          <w:tcPr>
            <w:tcW w:w="1134" w:type="dxa"/>
            <w:shd w:val="clear" w:color="auto" w:fill="FFFFFF"/>
            <w:vAlign w:val="center"/>
          </w:tcPr>
          <w:p w14:paraId="3592C2C6" w14:textId="6AB7A64E" w:rsidR="00374602" w:rsidRPr="00B76D60" w:rsidRDefault="00374602" w:rsidP="00C65F8F">
            <w:pPr>
              <w:pStyle w:val="CETBodytext"/>
              <w:ind w:right="-1"/>
              <w:jc w:val="center"/>
              <w:rPr>
                <w:rFonts w:cs="Arial"/>
                <w:szCs w:val="18"/>
              </w:rPr>
            </w:pPr>
            <w:r w:rsidRPr="00B76D60">
              <w:rPr>
                <w:rFonts w:cs="Arial"/>
                <w:szCs w:val="18"/>
              </w:rPr>
              <w:t>30.8</w:t>
            </w:r>
          </w:p>
        </w:tc>
        <w:tc>
          <w:tcPr>
            <w:tcW w:w="1134" w:type="dxa"/>
            <w:shd w:val="clear" w:color="auto" w:fill="FFFFFF"/>
            <w:vAlign w:val="center"/>
          </w:tcPr>
          <w:p w14:paraId="5A46F9D9" w14:textId="6CAB928C" w:rsidR="00374602" w:rsidRPr="00B76D60" w:rsidRDefault="00374602" w:rsidP="00C65F8F">
            <w:pPr>
              <w:pStyle w:val="CETBodytext"/>
              <w:ind w:right="-1"/>
              <w:jc w:val="center"/>
              <w:rPr>
                <w:rFonts w:cs="Arial"/>
                <w:szCs w:val="18"/>
              </w:rPr>
            </w:pPr>
            <w:r w:rsidRPr="00B76D60">
              <w:rPr>
                <w:rFonts w:cs="Arial"/>
                <w:szCs w:val="18"/>
              </w:rPr>
              <w:t>0.45</w:t>
            </w:r>
          </w:p>
        </w:tc>
        <w:tc>
          <w:tcPr>
            <w:tcW w:w="1134" w:type="dxa"/>
            <w:shd w:val="clear" w:color="auto" w:fill="FFFFFF"/>
            <w:vAlign w:val="center"/>
          </w:tcPr>
          <w:p w14:paraId="6FEBE474" w14:textId="41042D0D" w:rsidR="00374602" w:rsidRPr="00B76D60" w:rsidRDefault="00374602" w:rsidP="00C65F8F">
            <w:pPr>
              <w:pStyle w:val="CETBodytext"/>
              <w:ind w:right="-1"/>
              <w:jc w:val="center"/>
              <w:rPr>
                <w:rFonts w:cs="Arial"/>
                <w:szCs w:val="18"/>
              </w:rPr>
            </w:pPr>
            <w:r w:rsidRPr="00B76D60">
              <w:rPr>
                <w:rFonts w:cs="Arial"/>
                <w:szCs w:val="18"/>
              </w:rPr>
              <w:t>0.2</w:t>
            </w:r>
          </w:p>
        </w:tc>
      </w:tr>
    </w:tbl>
    <w:p w14:paraId="18346295" w14:textId="77777777" w:rsidR="00521DA2" w:rsidRPr="00B76D60" w:rsidRDefault="00521DA2" w:rsidP="00C65F8F">
      <w:pPr>
        <w:pStyle w:val="CETBodytext"/>
        <w:rPr>
          <w:lang w:val="it-IT"/>
        </w:rPr>
      </w:pPr>
    </w:p>
    <w:p w14:paraId="15A2EAF1" w14:textId="7560CC85" w:rsidR="00AD20A2" w:rsidRPr="00B76D60" w:rsidRDefault="00AD20A2" w:rsidP="00AD20A2">
      <w:pPr>
        <w:pStyle w:val="CETBodytext"/>
      </w:pPr>
      <w:r w:rsidRPr="00B76D60">
        <w:t xml:space="preserve">The temporal trend shows that the nitrate concentrations inside and outside the fibers are practically the same after just two hours of recirculation. At the third hour, the concentration on the outside of the fibers was slightly higher than on the inside. This phenomenon is attributable to a permeation effect </w:t>
      </w:r>
      <w:r w:rsidR="002C42D4" w:rsidRPr="00B76D60">
        <w:t>which</w:t>
      </w:r>
      <w:r w:rsidRPr="00B76D60">
        <w:t>, despite the modest pressures involved, cannot be eliminated.</w:t>
      </w:r>
      <w:r w:rsidR="001E01B7" w:rsidRPr="00B76D60">
        <w:t xml:space="preserve"> </w:t>
      </w:r>
      <w:r w:rsidRPr="00B76D60">
        <w:t>For the evaluation of the diffusion coefficient, the concentration values evaluated after one hour were used. In fact, at this stage, the internal-external gradient is close to that actually found during the continuous tests and the presence of the permeation does not cause excessive disturbance.</w:t>
      </w:r>
    </w:p>
    <w:p w14:paraId="1FB067B4" w14:textId="10068A3E" w:rsidR="008F56E0" w:rsidRPr="00B76D60" w:rsidRDefault="002C42D4" w:rsidP="00133E51">
      <w:pPr>
        <w:pStyle w:val="CETBodytext"/>
        <w:rPr>
          <w:lang w:val="en-AU"/>
        </w:rPr>
      </w:pPr>
      <w:r w:rsidRPr="00B76D60">
        <w:rPr>
          <w:lang w:val="en-AU"/>
        </w:rPr>
        <w:t>D</w:t>
      </w:r>
      <w:r w:rsidR="00302AD2" w:rsidRPr="00B76D60">
        <w:rPr>
          <w:lang w:val="en-AU"/>
        </w:rPr>
        <w:t xml:space="preserve">iffusion tests with the carbon source (glucose) and </w:t>
      </w:r>
      <w:r w:rsidRPr="00B76D60">
        <w:rPr>
          <w:lang w:val="en-AU"/>
        </w:rPr>
        <w:t xml:space="preserve">with </w:t>
      </w:r>
      <w:r w:rsidR="00302AD2" w:rsidRPr="00B76D60">
        <w:rPr>
          <w:lang w:val="en-AU"/>
        </w:rPr>
        <w:t xml:space="preserve">the phosphates were </w:t>
      </w:r>
      <w:r w:rsidRPr="00B76D60">
        <w:rPr>
          <w:lang w:val="en-AU"/>
        </w:rPr>
        <w:t>performed</w:t>
      </w:r>
      <w:r w:rsidR="00302AD2" w:rsidRPr="00B76D60">
        <w:rPr>
          <w:lang w:val="en-AU"/>
        </w:rPr>
        <w:t xml:space="preserve"> with similar operating procedures.</w:t>
      </w:r>
      <w:r w:rsidR="00D11D5D" w:rsidRPr="00B76D60">
        <w:rPr>
          <w:lang w:val="en-AU"/>
        </w:rPr>
        <w:t xml:space="preserve"> </w:t>
      </w:r>
      <w:r w:rsidR="007C70AE" w:rsidRPr="00B76D60">
        <w:rPr>
          <w:lang w:val="en-AU"/>
        </w:rPr>
        <w:t xml:space="preserve">The diffusivity data </w:t>
      </w:r>
      <w:r w:rsidR="00D11D5D" w:rsidRPr="00B76D60">
        <w:rPr>
          <w:lang w:val="en-AU"/>
        </w:rPr>
        <w:t xml:space="preserve">for the three species involved and </w:t>
      </w:r>
      <w:r w:rsidR="007C70AE" w:rsidRPr="00B76D60">
        <w:rPr>
          <w:lang w:val="en-AU"/>
        </w:rPr>
        <w:t xml:space="preserve">for the three investigated membranes (as anticipated, the H1P30-20 membrane </w:t>
      </w:r>
      <w:r w:rsidR="0015525E" w:rsidRPr="00B76D60">
        <w:rPr>
          <w:lang w:val="en-AU"/>
        </w:rPr>
        <w:t>has</w:t>
      </w:r>
      <w:r w:rsidR="007C70AE" w:rsidRPr="00B76D60">
        <w:rPr>
          <w:lang w:val="en-AU"/>
        </w:rPr>
        <w:t xml:space="preserve"> not</w:t>
      </w:r>
      <w:r w:rsidR="0015525E" w:rsidRPr="00B76D60">
        <w:rPr>
          <w:lang w:val="en-AU"/>
        </w:rPr>
        <w:t xml:space="preserve"> been</w:t>
      </w:r>
      <w:r w:rsidR="007C70AE" w:rsidRPr="00B76D60">
        <w:rPr>
          <w:lang w:val="en-AU"/>
        </w:rPr>
        <w:t xml:space="preserve"> further investigated, due to its anomalous permeability) are shown in Table </w:t>
      </w:r>
      <w:r w:rsidR="00D11D5D" w:rsidRPr="00B76D60">
        <w:rPr>
          <w:lang w:val="en-AU"/>
        </w:rPr>
        <w:t>6</w:t>
      </w:r>
      <w:r w:rsidR="007C70AE" w:rsidRPr="00B76D60">
        <w:rPr>
          <w:lang w:val="en-AU"/>
        </w:rPr>
        <w:t>.</w:t>
      </w:r>
    </w:p>
    <w:p w14:paraId="1E3A9E83" w14:textId="75276EB5" w:rsidR="007C70AE" w:rsidRPr="00B76D60" w:rsidRDefault="007C70AE" w:rsidP="007C70AE">
      <w:pPr>
        <w:pStyle w:val="CETTabletitle"/>
        <w:rPr>
          <w:lang w:val="en-US"/>
        </w:rPr>
      </w:pPr>
      <w:r w:rsidRPr="00B76D60">
        <w:rPr>
          <w:lang w:val="en-US"/>
        </w:rPr>
        <w:t xml:space="preserve">Table </w:t>
      </w:r>
      <w:r w:rsidR="00D11D5D" w:rsidRPr="00B76D60">
        <w:rPr>
          <w:lang w:val="en-US"/>
        </w:rPr>
        <w:t>6</w:t>
      </w:r>
      <w:r w:rsidRPr="00B76D60">
        <w:rPr>
          <w:lang w:val="en-US"/>
        </w:rPr>
        <w:t xml:space="preserve">: Comparison between the </w:t>
      </w:r>
      <w:r w:rsidR="004C400C" w:rsidRPr="00B76D60">
        <w:rPr>
          <w:lang w:val="en-AU"/>
        </w:rPr>
        <w:t xml:space="preserve">diffusivity </w:t>
      </w:r>
      <w:r w:rsidRPr="00B76D60">
        <w:rPr>
          <w:lang w:val="en-US"/>
        </w:rPr>
        <w:t>of the various modules tested</w:t>
      </w:r>
      <w:r w:rsidR="000B1C15" w:rsidRPr="00B76D60">
        <w:rPr>
          <w:lang w:val="en-US"/>
        </w:rPr>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18"/>
        <w:gridCol w:w="1134"/>
        <w:gridCol w:w="1134"/>
        <w:gridCol w:w="1134"/>
      </w:tblGrid>
      <w:tr w:rsidR="004C400C" w:rsidRPr="00B76D60" w14:paraId="083EC5B5" w14:textId="77777777" w:rsidTr="0015525E">
        <w:tc>
          <w:tcPr>
            <w:tcW w:w="1418" w:type="dxa"/>
            <w:vMerge w:val="restart"/>
            <w:tcBorders>
              <w:top w:val="single" w:sz="12" w:space="0" w:color="008000"/>
            </w:tcBorders>
            <w:shd w:val="clear" w:color="auto" w:fill="FFFFFF"/>
            <w:vAlign w:val="center"/>
          </w:tcPr>
          <w:p w14:paraId="49DFB718" w14:textId="1211477D" w:rsidR="004C400C" w:rsidRPr="00B76D60" w:rsidRDefault="004C400C" w:rsidP="004C400C">
            <w:pPr>
              <w:pStyle w:val="CETBodytext"/>
              <w:jc w:val="left"/>
            </w:pPr>
            <w:r w:rsidRPr="00B76D60">
              <w:t>Compounds</w:t>
            </w:r>
          </w:p>
        </w:tc>
        <w:tc>
          <w:tcPr>
            <w:tcW w:w="1134" w:type="dxa"/>
            <w:gridSpan w:val="3"/>
            <w:tcBorders>
              <w:top w:val="single" w:sz="12" w:space="0" w:color="008000"/>
              <w:bottom w:val="single" w:sz="6" w:space="0" w:color="008000"/>
            </w:tcBorders>
            <w:shd w:val="clear" w:color="auto" w:fill="FFFFFF"/>
          </w:tcPr>
          <w:p w14:paraId="17934806" w14:textId="289A5686" w:rsidR="004C400C" w:rsidRPr="00B76D60" w:rsidRDefault="004C400C" w:rsidP="004C400C">
            <w:pPr>
              <w:pStyle w:val="CETBodytext"/>
              <w:ind w:right="-1"/>
              <w:jc w:val="center"/>
              <w:rPr>
                <w:rFonts w:cs="Arial"/>
                <w:szCs w:val="18"/>
              </w:rPr>
            </w:pPr>
            <w:r w:rsidRPr="00B76D60">
              <w:t>D (cm</w:t>
            </w:r>
            <w:r w:rsidRPr="00B76D60">
              <w:rPr>
                <w:vertAlign w:val="superscript"/>
              </w:rPr>
              <w:t>2</w:t>
            </w:r>
            <w:r w:rsidRPr="00B76D60">
              <w:t>/s)</w:t>
            </w:r>
          </w:p>
        </w:tc>
      </w:tr>
      <w:tr w:rsidR="004C400C" w:rsidRPr="00B76D60" w14:paraId="0B65FA47" w14:textId="77777777" w:rsidTr="0015525E">
        <w:tc>
          <w:tcPr>
            <w:tcW w:w="1418" w:type="dxa"/>
            <w:vMerge/>
            <w:tcBorders>
              <w:bottom w:val="single" w:sz="6" w:space="0" w:color="008000"/>
            </w:tcBorders>
            <w:shd w:val="clear" w:color="auto" w:fill="FFFFFF"/>
          </w:tcPr>
          <w:p w14:paraId="6B14EFA6" w14:textId="77777777" w:rsidR="004C400C" w:rsidRPr="00B76D60" w:rsidRDefault="004C400C" w:rsidP="004C400C">
            <w:pPr>
              <w:pStyle w:val="CETBodytext"/>
            </w:pPr>
          </w:p>
        </w:tc>
        <w:tc>
          <w:tcPr>
            <w:tcW w:w="1134" w:type="dxa"/>
            <w:tcBorders>
              <w:top w:val="single" w:sz="12" w:space="0" w:color="008000"/>
              <w:bottom w:val="single" w:sz="6" w:space="0" w:color="008000"/>
            </w:tcBorders>
            <w:shd w:val="clear" w:color="auto" w:fill="FFFFFF"/>
          </w:tcPr>
          <w:p w14:paraId="1D3AA1FB" w14:textId="736478F2" w:rsidR="004C400C" w:rsidRPr="00B76D60" w:rsidRDefault="004C400C" w:rsidP="0015525E">
            <w:pPr>
              <w:pStyle w:val="CETBodytext"/>
              <w:jc w:val="center"/>
            </w:pPr>
            <w:r w:rsidRPr="00B76D60">
              <w:t>H5P2-43</w:t>
            </w:r>
          </w:p>
        </w:tc>
        <w:tc>
          <w:tcPr>
            <w:tcW w:w="1134" w:type="dxa"/>
            <w:tcBorders>
              <w:top w:val="single" w:sz="12" w:space="0" w:color="008000"/>
              <w:bottom w:val="single" w:sz="6" w:space="0" w:color="008000"/>
            </w:tcBorders>
            <w:shd w:val="clear" w:color="auto" w:fill="FFFFFF"/>
          </w:tcPr>
          <w:p w14:paraId="6D64C929" w14:textId="7080D718" w:rsidR="004C400C" w:rsidRPr="00B76D60" w:rsidRDefault="004C400C" w:rsidP="0015525E">
            <w:pPr>
              <w:pStyle w:val="CETBodytext"/>
              <w:jc w:val="center"/>
            </w:pPr>
            <w:r w:rsidRPr="00B76D60">
              <w:t>H1P3-20</w:t>
            </w:r>
          </w:p>
        </w:tc>
        <w:tc>
          <w:tcPr>
            <w:tcW w:w="1134" w:type="dxa"/>
            <w:tcBorders>
              <w:top w:val="single" w:sz="12" w:space="0" w:color="008000"/>
              <w:bottom w:val="single" w:sz="6" w:space="0" w:color="008000"/>
            </w:tcBorders>
            <w:shd w:val="clear" w:color="auto" w:fill="FFFFFF"/>
          </w:tcPr>
          <w:p w14:paraId="4E8625D3" w14:textId="19C8A53D" w:rsidR="004C400C" w:rsidRPr="00B76D60" w:rsidRDefault="004C400C" w:rsidP="0015525E">
            <w:pPr>
              <w:pStyle w:val="CETBodytext"/>
              <w:ind w:right="-1"/>
              <w:jc w:val="center"/>
            </w:pPr>
            <w:r w:rsidRPr="00B76D60">
              <w:t>H1P100-20</w:t>
            </w:r>
          </w:p>
        </w:tc>
      </w:tr>
      <w:tr w:rsidR="004C400C" w:rsidRPr="00B76D60" w14:paraId="6D414A31" w14:textId="77777777" w:rsidTr="0015525E">
        <w:tc>
          <w:tcPr>
            <w:tcW w:w="1418" w:type="dxa"/>
            <w:shd w:val="clear" w:color="auto" w:fill="FFFFFF"/>
          </w:tcPr>
          <w:p w14:paraId="6B3354B8" w14:textId="32581672" w:rsidR="004C400C" w:rsidRPr="00B76D60" w:rsidRDefault="004C400C" w:rsidP="002971F9">
            <w:pPr>
              <w:pStyle w:val="CETBodytext"/>
            </w:pPr>
            <w:r w:rsidRPr="00B76D60">
              <w:t>Nitrates</w:t>
            </w:r>
          </w:p>
        </w:tc>
        <w:tc>
          <w:tcPr>
            <w:tcW w:w="1134" w:type="dxa"/>
            <w:shd w:val="clear" w:color="auto" w:fill="FFFFFF"/>
          </w:tcPr>
          <w:p w14:paraId="2B45F7E1" w14:textId="4D1522EC" w:rsidR="004C400C" w:rsidRPr="00B76D60" w:rsidRDefault="004C400C" w:rsidP="0015525E">
            <w:pPr>
              <w:pStyle w:val="CETBodytext"/>
              <w:jc w:val="center"/>
              <w:rPr>
                <w:vertAlign w:val="superscript"/>
              </w:rPr>
            </w:pPr>
            <w:r w:rsidRPr="00B76D60">
              <w:t>2.6</w:t>
            </w:r>
            <w:r w:rsidRPr="00B76D60">
              <w:rPr>
                <w:rFonts w:cs="Arial"/>
              </w:rPr>
              <w:t>×</w:t>
            </w:r>
            <w:r w:rsidRPr="00B76D60">
              <w:t>10</w:t>
            </w:r>
            <w:r w:rsidRPr="00B76D60">
              <w:rPr>
                <w:vertAlign w:val="superscript"/>
              </w:rPr>
              <w:t>-7</w:t>
            </w:r>
          </w:p>
        </w:tc>
        <w:tc>
          <w:tcPr>
            <w:tcW w:w="1134" w:type="dxa"/>
            <w:shd w:val="clear" w:color="auto" w:fill="FFFFFF"/>
          </w:tcPr>
          <w:p w14:paraId="36432EE8" w14:textId="070E48B2" w:rsidR="004C400C" w:rsidRPr="00B76D60" w:rsidRDefault="004C400C" w:rsidP="0015525E">
            <w:pPr>
              <w:pStyle w:val="CETBodytext"/>
              <w:jc w:val="center"/>
              <w:rPr>
                <w:vertAlign w:val="superscript"/>
              </w:rPr>
            </w:pPr>
            <w:r w:rsidRPr="00B76D60">
              <w:t>5.81</w:t>
            </w:r>
            <w:r w:rsidRPr="00B76D60">
              <w:rPr>
                <w:rFonts w:cs="Arial"/>
              </w:rPr>
              <w:t>×</w:t>
            </w:r>
            <w:r w:rsidRPr="00B76D60">
              <w:t>10</w:t>
            </w:r>
            <w:r w:rsidRPr="00B76D60">
              <w:rPr>
                <w:vertAlign w:val="superscript"/>
              </w:rPr>
              <w:t>-6</w:t>
            </w:r>
          </w:p>
        </w:tc>
        <w:tc>
          <w:tcPr>
            <w:tcW w:w="1134" w:type="dxa"/>
            <w:shd w:val="clear" w:color="auto" w:fill="FFFFFF"/>
          </w:tcPr>
          <w:p w14:paraId="11B52461" w14:textId="643023BC" w:rsidR="004C400C" w:rsidRPr="00B76D60" w:rsidRDefault="004C400C" w:rsidP="0015525E">
            <w:pPr>
              <w:pStyle w:val="CETBodytext"/>
              <w:ind w:right="-1"/>
              <w:jc w:val="center"/>
              <w:rPr>
                <w:rFonts w:cs="Arial"/>
                <w:szCs w:val="18"/>
                <w:vertAlign w:val="superscript"/>
              </w:rPr>
            </w:pPr>
            <w:r w:rsidRPr="00B76D60">
              <w:rPr>
                <w:rFonts w:cs="Arial"/>
                <w:szCs w:val="18"/>
              </w:rPr>
              <w:t>1.35×10</w:t>
            </w:r>
            <w:r w:rsidRPr="00B76D60">
              <w:rPr>
                <w:rFonts w:cs="Arial"/>
                <w:szCs w:val="18"/>
                <w:vertAlign w:val="superscript"/>
              </w:rPr>
              <w:t>-5</w:t>
            </w:r>
          </w:p>
        </w:tc>
      </w:tr>
      <w:tr w:rsidR="004C400C" w:rsidRPr="00B76D60" w14:paraId="61C133FE" w14:textId="77777777" w:rsidTr="0015525E">
        <w:trPr>
          <w:trHeight w:val="227"/>
        </w:trPr>
        <w:tc>
          <w:tcPr>
            <w:tcW w:w="1418" w:type="dxa"/>
            <w:shd w:val="clear" w:color="auto" w:fill="FFFFFF"/>
          </w:tcPr>
          <w:p w14:paraId="7CC83966" w14:textId="5DA67BF6" w:rsidR="004C400C" w:rsidRPr="00B76D60" w:rsidRDefault="004C400C" w:rsidP="002971F9">
            <w:pPr>
              <w:pStyle w:val="CETBodytext"/>
            </w:pPr>
            <w:r w:rsidRPr="00B76D60">
              <w:t>Carbon</w:t>
            </w:r>
          </w:p>
        </w:tc>
        <w:tc>
          <w:tcPr>
            <w:tcW w:w="1134" w:type="dxa"/>
            <w:shd w:val="clear" w:color="auto" w:fill="FFFFFF"/>
          </w:tcPr>
          <w:p w14:paraId="284F0B25" w14:textId="614FE699" w:rsidR="004C400C" w:rsidRPr="00B76D60" w:rsidRDefault="004C400C" w:rsidP="0015525E">
            <w:pPr>
              <w:pStyle w:val="CETBodytext"/>
              <w:jc w:val="center"/>
            </w:pPr>
            <w:r w:rsidRPr="00B76D60">
              <w:t>1.94</w:t>
            </w:r>
            <w:r w:rsidRPr="00B76D60">
              <w:rPr>
                <w:rFonts w:cs="Arial"/>
              </w:rPr>
              <w:t>×</w:t>
            </w:r>
            <w:r w:rsidRPr="00B76D60">
              <w:t>10</w:t>
            </w:r>
            <w:r w:rsidRPr="00B76D60">
              <w:rPr>
                <w:vertAlign w:val="superscript"/>
              </w:rPr>
              <w:t>-7</w:t>
            </w:r>
          </w:p>
        </w:tc>
        <w:tc>
          <w:tcPr>
            <w:tcW w:w="1134" w:type="dxa"/>
            <w:shd w:val="clear" w:color="auto" w:fill="FFFFFF"/>
          </w:tcPr>
          <w:p w14:paraId="7B6B657A" w14:textId="62EFBD91" w:rsidR="004C400C" w:rsidRPr="00B76D60" w:rsidRDefault="004C400C" w:rsidP="0015525E">
            <w:pPr>
              <w:pStyle w:val="CETBodytext"/>
              <w:jc w:val="center"/>
              <w:rPr>
                <w:vertAlign w:val="superscript"/>
              </w:rPr>
            </w:pPr>
            <w:r w:rsidRPr="00B76D60">
              <w:t>4.35</w:t>
            </w:r>
            <w:r w:rsidRPr="00B76D60">
              <w:rPr>
                <w:rFonts w:cs="Arial"/>
              </w:rPr>
              <w:t>×</w:t>
            </w:r>
            <w:r w:rsidRPr="00B76D60">
              <w:t>10</w:t>
            </w:r>
            <w:r w:rsidRPr="00B76D60">
              <w:rPr>
                <w:vertAlign w:val="superscript"/>
              </w:rPr>
              <w:t>-6</w:t>
            </w:r>
          </w:p>
        </w:tc>
        <w:tc>
          <w:tcPr>
            <w:tcW w:w="1134" w:type="dxa"/>
            <w:shd w:val="clear" w:color="auto" w:fill="FFFFFF"/>
          </w:tcPr>
          <w:p w14:paraId="244E0FCF" w14:textId="3823FCAA" w:rsidR="004C400C" w:rsidRPr="00B76D60" w:rsidRDefault="004C400C" w:rsidP="0015525E">
            <w:pPr>
              <w:pStyle w:val="CETBodytext"/>
              <w:ind w:right="-1"/>
              <w:jc w:val="center"/>
              <w:rPr>
                <w:rFonts w:cs="Arial"/>
                <w:szCs w:val="18"/>
              </w:rPr>
            </w:pPr>
            <w:r w:rsidRPr="00B76D60">
              <w:rPr>
                <w:rFonts w:cs="Arial"/>
                <w:szCs w:val="18"/>
              </w:rPr>
              <w:t>1.49×10</w:t>
            </w:r>
            <w:r w:rsidRPr="00B76D60">
              <w:rPr>
                <w:rFonts w:cs="Arial"/>
                <w:szCs w:val="18"/>
                <w:vertAlign w:val="superscript"/>
              </w:rPr>
              <w:t>-5</w:t>
            </w:r>
          </w:p>
        </w:tc>
      </w:tr>
      <w:tr w:rsidR="004C400C" w:rsidRPr="00B76D60" w14:paraId="3528A718" w14:textId="77777777" w:rsidTr="0015525E">
        <w:tc>
          <w:tcPr>
            <w:tcW w:w="1418" w:type="dxa"/>
            <w:shd w:val="clear" w:color="auto" w:fill="FFFFFF"/>
          </w:tcPr>
          <w:p w14:paraId="15DB7044" w14:textId="14F13FE0" w:rsidR="004C400C" w:rsidRPr="00B76D60" w:rsidRDefault="004C400C" w:rsidP="002971F9">
            <w:pPr>
              <w:pStyle w:val="CETBodytext"/>
              <w:ind w:right="-1"/>
              <w:rPr>
                <w:rFonts w:cs="Arial"/>
                <w:szCs w:val="18"/>
              </w:rPr>
            </w:pPr>
            <w:r w:rsidRPr="00B76D60">
              <w:rPr>
                <w:rFonts w:cs="Arial"/>
                <w:szCs w:val="18"/>
              </w:rPr>
              <w:t>Phosphates</w:t>
            </w:r>
          </w:p>
        </w:tc>
        <w:tc>
          <w:tcPr>
            <w:tcW w:w="1134" w:type="dxa"/>
            <w:shd w:val="clear" w:color="auto" w:fill="FFFFFF"/>
          </w:tcPr>
          <w:p w14:paraId="1E6EAF28" w14:textId="52ADB36F" w:rsidR="004C400C" w:rsidRPr="00B76D60" w:rsidRDefault="004C400C" w:rsidP="0015525E">
            <w:pPr>
              <w:pStyle w:val="CETBodytext"/>
              <w:ind w:right="-1"/>
              <w:jc w:val="center"/>
              <w:rPr>
                <w:rFonts w:cs="Arial"/>
                <w:szCs w:val="18"/>
                <w:vertAlign w:val="superscript"/>
              </w:rPr>
            </w:pPr>
            <w:r w:rsidRPr="00B76D60">
              <w:rPr>
                <w:rFonts w:cs="Arial"/>
                <w:szCs w:val="18"/>
              </w:rPr>
              <w:t>2.23×10</w:t>
            </w:r>
            <w:r w:rsidRPr="00B76D60">
              <w:rPr>
                <w:rFonts w:cs="Arial"/>
                <w:szCs w:val="18"/>
                <w:vertAlign w:val="superscript"/>
              </w:rPr>
              <w:t>-7</w:t>
            </w:r>
          </w:p>
        </w:tc>
        <w:tc>
          <w:tcPr>
            <w:tcW w:w="1134" w:type="dxa"/>
            <w:shd w:val="clear" w:color="auto" w:fill="FFFFFF"/>
          </w:tcPr>
          <w:p w14:paraId="17424BD4" w14:textId="1EE50CA5" w:rsidR="004C400C" w:rsidRPr="00B76D60" w:rsidRDefault="004C400C" w:rsidP="0015525E">
            <w:pPr>
              <w:pStyle w:val="CETBodytext"/>
              <w:ind w:right="-1"/>
              <w:jc w:val="center"/>
              <w:rPr>
                <w:rFonts w:cs="Arial"/>
                <w:szCs w:val="18"/>
                <w:vertAlign w:val="superscript"/>
              </w:rPr>
            </w:pPr>
            <w:r w:rsidRPr="00B76D60">
              <w:rPr>
                <w:rFonts w:cs="Arial"/>
                <w:szCs w:val="18"/>
              </w:rPr>
              <w:t>6.56×10</w:t>
            </w:r>
            <w:r w:rsidRPr="00B76D60">
              <w:rPr>
                <w:rFonts w:cs="Arial"/>
                <w:szCs w:val="18"/>
                <w:vertAlign w:val="superscript"/>
              </w:rPr>
              <w:t>-6</w:t>
            </w:r>
          </w:p>
        </w:tc>
        <w:tc>
          <w:tcPr>
            <w:tcW w:w="1134" w:type="dxa"/>
            <w:shd w:val="clear" w:color="auto" w:fill="FFFFFF"/>
          </w:tcPr>
          <w:p w14:paraId="3F54D97F" w14:textId="2B639F96" w:rsidR="004C400C" w:rsidRPr="00B76D60" w:rsidRDefault="00E37A3E" w:rsidP="0015525E">
            <w:pPr>
              <w:pStyle w:val="CETBodytext"/>
              <w:ind w:right="-1"/>
              <w:jc w:val="center"/>
              <w:rPr>
                <w:rFonts w:cs="Arial"/>
                <w:szCs w:val="18"/>
              </w:rPr>
            </w:pPr>
            <w:r w:rsidRPr="00B76D60">
              <w:rPr>
                <w:rFonts w:cs="Arial"/>
                <w:szCs w:val="18"/>
              </w:rPr>
              <w:t>6.56×10</w:t>
            </w:r>
            <w:r w:rsidRPr="00B76D60">
              <w:rPr>
                <w:rFonts w:cs="Arial"/>
                <w:szCs w:val="18"/>
                <w:vertAlign w:val="superscript"/>
              </w:rPr>
              <w:t>-6</w:t>
            </w:r>
          </w:p>
        </w:tc>
      </w:tr>
    </w:tbl>
    <w:p w14:paraId="64A535ED" w14:textId="5A5F51F0" w:rsidR="007132DE" w:rsidRPr="00B76D60" w:rsidRDefault="007132DE" w:rsidP="007132DE">
      <w:pPr>
        <w:pStyle w:val="CETBodytext"/>
      </w:pPr>
    </w:p>
    <w:p w14:paraId="15D74B4B" w14:textId="67B86BAE" w:rsidR="008F558F" w:rsidRPr="00B76D60" w:rsidRDefault="008F558F" w:rsidP="009439A0">
      <w:pPr>
        <w:pStyle w:val="CETBodytext"/>
      </w:pPr>
      <w:r w:rsidRPr="00B76D60">
        <w:t>Similarly to what emerged with the permeation values, the diffusion values</w:t>
      </w:r>
      <w:r w:rsidR="009439A0" w:rsidRPr="00B76D60">
        <w:t xml:space="preserve"> </w:t>
      </w:r>
      <w:r w:rsidR="00E72135" w:rsidRPr="00B76D60">
        <w:t xml:space="preserve">also </w:t>
      </w:r>
      <w:r w:rsidRPr="00B76D60">
        <w:t>decrease as the membrane cut-off decreases</w:t>
      </w:r>
      <w:r w:rsidR="009439A0" w:rsidRPr="00B76D60">
        <w:t xml:space="preserve">, demonstrating </w:t>
      </w:r>
      <w:r w:rsidR="009439A0" w:rsidRPr="00B76D60">
        <w:rPr>
          <w:lang w:val="en"/>
        </w:rPr>
        <w:t xml:space="preserve">the importance </w:t>
      </w:r>
      <w:r w:rsidR="00E72135" w:rsidRPr="00B76D60">
        <w:rPr>
          <w:lang w:val="en"/>
        </w:rPr>
        <w:t>of a careful choice with regard to the characteristics at the molecular level of the fibers used</w:t>
      </w:r>
      <w:r w:rsidR="009439A0" w:rsidRPr="00B76D60">
        <w:rPr>
          <w:lang w:val="en"/>
        </w:rPr>
        <w:t>.</w:t>
      </w:r>
    </w:p>
    <w:p w14:paraId="614B2174" w14:textId="77DB142D" w:rsidR="00815924" w:rsidRPr="00B76D60" w:rsidRDefault="00BA4200" w:rsidP="007132DE">
      <w:pPr>
        <w:pStyle w:val="CETBodytext"/>
        <w:rPr>
          <w:lang w:val="en-AU"/>
        </w:rPr>
      </w:pPr>
      <w:r w:rsidRPr="00B76D60">
        <w:rPr>
          <w:lang w:val="en-AU"/>
        </w:rPr>
        <w:t xml:space="preserve">The data </w:t>
      </w:r>
      <w:r w:rsidR="00E72135" w:rsidRPr="00B76D60">
        <w:rPr>
          <w:lang w:val="en-AU"/>
        </w:rPr>
        <w:t>in</w:t>
      </w:r>
      <w:r w:rsidRPr="00B76D60">
        <w:rPr>
          <w:lang w:val="en-AU"/>
        </w:rPr>
        <w:t xml:space="preserve"> Table </w:t>
      </w:r>
      <w:r w:rsidR="005A78EF" w:rsidRPr="00B76D60">
        <w:rPr>
          <w:lang w:val="en-AU"/>
        </w:rPr>
        <w:t>6</w:t>
      </w:r>
      <w:r w:rsidRPr="00B76D60">
        <w:rPr>
          <w:lang w:val="en-AU"/>
        </w:rPr>
        <w:t xml:space="preserve"> </w:t>
      </w:r>
      <w:r w:rsidR="00626CA8" w:rsidRPr="00B76D60">
        <w:rPr>
          <w:lang w:val="en-AU"/>
        </w:rPr>
        <w:t xml:space="preserve">show how better </w:t>
      </w:r>
      <w:r w:rsidR="009B2173" w:rsidRPr="00B76D60">
        <w:rPr>
          <w:lang w:val="en-AU"/>
        </w:rPr>
        <w:t xml:space="preserve">permeation </w:t>
      </w:r>
      <w:r w:rsidR="00626CA8" w:rsidRPr="00B76D60">
        <w:rPr>
          <w:lang w:val="en-AU"/>
        </w:rPr>
        <w:t xml:space="preserve">limitations can be achieved using the H5P2-43 membrane, even if this </w:t>
      </w:r>
      <w:r w:rsidR="009B2173" w:rsidRPr="00B76D60">
        <w:rPr>
          <w:lang w:val="en-AU"/>
        </w:rPr>
        <w:t>results in</w:t>
      </w:r>
      <w:r w:rsidR="00626CA8" w:rsidRPr="00B76D60">
        <w:rPr>
          <w:lang w:val="en-AU"/>
        </w:rPr>
        <w:t xml:space="preserve"> a more limited diffusion of nitrates (disadvantage) and nutrients (advantage).</w:t>
      </w:r>
    </w:p>
    <w:p w14:paraId="1F11F195" w14:textId="6573B449" w:rsidR="009439A0" w:rsidRPr="00B76D60" w:rsidRDefault="009439A0" w:rsidP="007132DE">
      <w:pPr>
        <w:pStyle w:val="CETBodytext"/>
        <w:rPr>
          <w:lang w:val="en-AU"/>
        </w:rPr>
      </w:pPr>
      <w:r w:rsidRPr="00B76D60">
        <w:rPr>
          <w:lang w:val="en-AU"/>
        </w:rPr>
        <w:t xml:space="preserve">Overall, this </w:t>
      </w:r>
      <w:r w:rsidR="009B2173" w:rsidRPr="00B76D60">
        <w:rPr>
          <w:lang w:val="en-AU"/>
        </w:rPr>
        <w:t>outcome</w:t>
      </w:r>
      <w:r w:rsidRPr="00B76D60">
        <w:rPr>
          <w:lang w:val="en-AU"/>
        </w:rPr>
        <w:t xml:space="preserve"> led to </w:t>
      </w:r>
      <w:r w:rsidR="009B2173" w:rsidRPr="00B76D60">
        <w:rPr>
          <w:lang w:val="en-AU"/>
        </w:rPr>
        <w:t>a</w:t>
      </w:r>
      <w:r w:rsidRPr="00B76D60">
        <w:rPr>
          <w:lang w:val="en-AU"/>
        </w:rPr>
        <w:t xml:space="preserve"> preference</w:t>
      </w:r>
      <w:r w:rsidR="00626CA8" w:rsidRPr="00B76D60">
        <w:t xml:space="preserve"> </w:t>
      </w:r>
      <w:r w:rsidR="009B2173" w:rsidRPr="00B76D60">
        <w:rPr>
          <w:lang w:val="en-AU"/>
        </w:rPr>
        <w:t>for</w:t>
      </w:r>
      <w:r w:rsidR="00626CA8" w:rsidRPr="00B76D60">
        <w:rPr>
          <w:lang w:val="en-AU"/>
        </w:rPr>
        <w:t xml:space="preserve"> the H5P2-43 module for the </w:t>
      </w:r>
      <w:r w:rsidR="00FA0554" w:rsidRPr="00B76D60">
        <w:rPr>
          <w:lang w:val="en-AU"/>
        </w:rPr>
        <w:t>later</w:t>
      </w:r>
      <w:r w:rsidR="00626CA8" w:rsidRPr="00B76D60">
        <w:rPr>
          <w:lang w:val="en-AU"/>
        </w:rPr>
        <w:t xml:space="preserve"> </w:t>
      </w:r>
      <w:r w:rsidR="009B2173" w:rsidRPr="00B76D60">
        <w:rPr>
          <w:lang w:val="en-AU"/>
        </w:rPr>
        <w:t>stages</w:t>
      </w:r>
      <w:r w:rsidR="00626CA8" w:rsidRPr="00B76D60">
        <w:rPr>
          <w:lang w:val="en-AU"/>
        </w:rPr>
        <w:t xml:space="preserve"> of the research</w:t>
      </w:r>
      <w:r w:rsidR="00FA0554" w:rsidRPr="00B76D60">
        <w:rPr>
          <w:lang w:val="en-AU"/>
        </w:rPr>
        <w:t>.</w:t>
      </w:r>
      <w:r w:rsidR="00626CA8" w:rsidRPr="00B76D60">
        <w:rPr>
          <w:lang w:val="en-AU"/>
        </w:rPr>
        <w:t xml:space="preserve"> </w:t>
      </w:r>
      <w:r w:rsidR="00FA0554" w:rsidRPr="00B76D60">
        <w:rPr>
          <w:lang w:val="en-AU"/>
        </w:rPr>
        <w:t xml:space="preserve">In fact, </w:t>
      </w:r>
      <w:r w:rsidR="009B2173" w:rsidRPr="00B76D60">
        <w:rPr>
          <w:lang w:val="en-AU"/>
        </w:rPr>
        <w:t>despite being</w:t>
      </w:r>
      <w:r w:rsidR="00FA0554" w:rsidRPr="00B76D60">
        <w:rPr>
          <w:lang w:val="en-AU"/>
        </w:rPr>
        <w:t xml:space="preserve"> characterized by a lower diffusivity than the other modules, it allows to minimize the phenomenon of counter-diffusion of the organic substance towards the inside of the fibres (and consequently minimize the contamination of the treated water); the diffusion coefficient with respect to nitrates (higher than that of nutrients) is in any case such as to allow the </w:t>
      </w:r>
      <w:r w:rsidR="009B2173" w:rsidRPr="00B76D60">
        <w:rPr>
          <w:lang w:val="en-AU"/>
        </w:rPr>
        <w:t xml:space="preserve">correct carrying out of the </w:t>
      </w:r>
      <w:r w:rsidR="00FA0554" w:rsidRPr="00B76D60">
        <w:rPr>
          <w:lang w:val="en-AU"/>
        </w:rPr>
        <w:t xml:space="preserve">process. </w:t>
      </w:r>
      <w:r w:rsidRPr="00B76D60">
        <w:rPr>
          <w:lang w:val="en-AU"/>
        </w:rPr>
        <w:t>Ultimately, it was considered that the molecular cut</w:t>
      </w:r>
      <w:r w:rsidR="009B2173" w:rsidRPr="00B76D60">
        <w:rPr>
          <w:lang w:val="en-AU"/>
        </w:rPr>
        <w:t>-off</w:t>
      </w:r>
      <w:r w:rsidRPr="00B76D60">
        <w:rPr>
          <w:lang w:val="en-AU"/>
        </w:rPr>
        <w:t xml:space="preserve"> </w:t>
      </w:r>
      <w:r w:rsidR="009B2173" w:rsidRPr="00B76D60">
        <w:rPr>
          <w:lang w:val="en-AU"/>
        </w:rPr>
        <w:t>at</w:t>
      </w:r>
      <w:r w:rsidRPr="00B76D60">
        <w:rPr>
          <w:lang w:val="en-AU"/>
        </w:rPr>
        <w:t xml:space="preserve"> 2000 </w:t>
      </w:r>
      <w:r w:rsidR="00FA0554" w:rsidRPr="00B76D60">
        <w:rPr>
          <w:lang w:val="en-AU"/>
        </w:rPr>
        <w:t>Dalton</w:t>
      </w:r>
      <w:r w:rsidRPr="00B76D60">
        <w:rPr>
          <w:lang w:val="en-AU"/>
        </w:rPr>
        <w:t xml:space="preserve"> guaranteed the best compromise between the diffusion of nitrates and the counter diffusion of nutrients.</w:t>
      </w:r>
    </w:p>
    <w:p w14:paraId="22F06896" w14:textId="78F8EFA7" w:rsidR="009A5064" w:rsidRPr="00B76D60" w:rsidRDefault="00142903" w:rsidP="00142903">
      <w:pPr>
        <w:pStyle w:val="CETheadingx"/>
      </w:pPr>
      <w:r w:rsidRPr="00B76D60">
        <w:lastRenderedPageBreak/>
        <w:t>Denitrification test under continuous conditions</w:t>
      </w:r>
    </w:p>
    <w:p w14:paraId="0F48B7C0" w14:textId="418C4A3D" w:rsidR="00680F1D" w:rsidRPr="00B76D60" w:rsidRDefault="00680F1D" w:rsidP="009A5064">
      <w:pPr>
        <w:pStyle w:val="CETBodytext"/>
      </w:pPr>
      <w:r w:rsidRPr="00B76D60">
        <w:t xml:space="preserve">Table 7 presents a summary of the main results obtained during the last </w:t>
      </w:r>
      <w:r w:rsidR="00694279" w:rsidRPr="00B76D60">
        <w:t xml:space="preserve">test </w:t>
      </w:r>
      <w:r w:rsidRPr="00B76D60">
        <w:t xml:space="preserve">cycle, characterized by different values of the </w:t>
      </w:r>
      <w:r w:rsidR="00694279" w:rsidRPr="00B76D60">
        <w:t>feed</w:t>
      </w:r>
      <w:r w:rsidRPr="00B76D60">
        <w:t xml:space="preserve"> rate and, therefore, of the time </w:t>
      </w:r>
      <w:r w:rsidR="00145D23" w:rsidRPr="00B76D60">
        <w:t>spent by</w:t>
      </w:r>
      <w:r w:rsidRPr="00B76D60">
        <w:t xml:space="preserve"> the contaminated water inside the fibers.</w:t>
      </w:r>
    </w:p>
    <w:p w14:paraId="6EF0B00D" w14:textId="3EC5DCE1" w:rsidR="00680F1D" w:rsidRPr="00B76D60" w:rsidRDefault="00680F1D" w:rsidP="00145D23">
      <w:pPr>
        <w:pStyle w:val="CETTabletitle"/>
        <w:jc w:val="both"/>
        <w:rPr>
          <w:lang w:val="en-US"/>
        </w:rPr>
      </w:pPr>
      <w:r w:rsidRPr="00B76D60">
        <w:rPr>
          <w:lang w:val="en-US"/>
        </w:rPr>
        <w:t xml:space="preserve">Table 7: </w:t>
      </w:r>
      <w:r w:rsidR="00EA3DC7" w:rsidRPr="00B76D60">
        <w:rPr>
          <w:lang w:val="en-US"/>
        </w:rPr>
        <w:t xml:space="preserve">Summary of the results obtained </w:t>
      </w:r>
      <w:r w:rsidR="00145D23" w:rsidRPr="00B76D60">
        <w:rPr>
          <w:lang w:val="en-US"/>
        </w:rPr>
        <w:t>from</w:t>
      </w:r>
      <w:r w:rsidR="00EA3DC7" w:rsidRPr="00B76D60">
        <w:rPr>
          <w:lang w:val="en-US"/>
        </w:rPr>
        <w:t xml:space="preserve"> </w:t>
      </w:r>
      <w:r w:rsidR="00145D23" w:rsidRPr="00B76D60">
        <w:rPr>
          <w:lang w:val="en-US"/>
        </w:rPr>
        <w:t xml:space="preserve">the </w:t>
      </w:r>
      <w:r w:rsidR="00EA3DC7" w:rsidRPr="00B76D60">
        <w:rPr>
          <w:lang w:val="en-US"/>
        </w:rPr>
        <w:t xml:space="preserve">denitrification tests under continuous conditions </w:t>
      </w:r>
      <w:r w:rsidR="00145D23" w:rsidRPr="00B76D60">
        <w:rPr>
          <w:lang w:val="en-US"/>
        </w:rPr>
        <w:t>with</w:t>
      </w:r>
      <w:r w:rsidR="00EA3DC7" w:rsidRPr="00B76D60">
        <w:rPr>
          <w:lang w:val="en-US"/>
        </w:rPr>
        <w:t xml:space="preserve"> </w:t>
      </w:r>
      <w:r w:rsidR="00145D23" w:rsidRPr="00B76D60">
        <w:rPr>
          <w:lang w:val="en-US"/>
        </w:rPr>
        <w:t>the</w:t>
      </w:r>
      <w:r w:rsidR="00833FC6" w:rsidRPr="00B76D60">
        <w:rPr>
          <w:lang w:val="en-US"/>
        </w:rPr>
        <w:t xml:space="preserve"> </w:t>
      </w:r>
      <w:r w:rsidR="00A6582D" w:rsidRPr="00B76D60">
        <w:rPr>
          <w:lang w:val="en-US"/>
        </w:rPr>
        <w:t xml:space="preserve">H5P2-43 </w:t>
      </w:r>
      <w:r w:rsidR="00EA3DC7" w:rsidRPr="00B76D60">
        <w:rPr>
          <w:lang w:val="en-US"/>
        </w:rPr>
        <w:t>module</w:t>
      </w:r>
      <w:r w:rsidR="00145D23" w:rsidRPr="00B76D60">
        <w:rPr>
          <w:lang w:val="en-US"/>
        </w:rPr>
        <w:t>.</w:t>
      </w:r>
    </w:p>
    <w:tbl>
      <w:tblPr>
        <w:tblW w:w="0" w:type="auto"/>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851"/>
        <w:gridCol w:w="907"/>
        <w:gridCol w:w="1134"/>
        <w:gridCol w:w="1247"/>
        <w:gridCol w:w="1701"/>
        <w:gridCol w:w="1531"/>
        <w:gridCol w:w="1418"/>
      </w:tblGrid>
      <w:tr w:rsidR="00360958" w:rsidRPr="00B76D60" w14:paraId="2B6CD948" w14:textId="353CE1A8" w:rsidTr="00360958">
        <w:tc>
          <w:tcPr>
            <w:tcW w:w="851" w:type="dxa"/>
            <w:tcBorders>
              <w:top w:val="single" w:sz="12" w:space="0" w:color="008000"/>
              <w:bottom w:val="single" w:sz="6" w:space="0" w:color="008000"/>
            </w:tcBorders>
            <w:shd w:val="clear" w:color="auto" w:fill="FFFFFF"/>
            <w:vAlign w:val="center"/>
          </w:tcPr>
          <w:p w14:paraId="4728DB41" w14:textId="77777777" w:rsidR="00360958" w:rsidRPr="00B76D60" w:rsidRDefault="00360958" w:rsidP="00694279">
            <w:pPr>
              <w:pStyle w:val="CETBodytext"/>
              <w:jc w:val="center"/>
            </w:pPr>
            <w:r w:rsidRPr="00B76D60">
              <w:t>Q</w:t>
            </w:r>
            <w:r w:rsidRPr="00B76D60">
              <w:rPr>
                <w:vertAlign w:val="subscript"/>
              </w:rPr>
              <w:t>A</w:t>
            </w:r>
          </w:p>
          <w:p w14:paraId="229EE33A" w14:textId="78F41725" w:rsidR="00360958" w:rsidRPr="00B76D60" w:rsidRDefault="00360958" w:rsidP="00694279">
            <w:pPr>
              <w:pStyle w:val="CETBodytext"/>
              <w:jc w:val="center"/>
            </w:pPr>
            <w:r w:rsidRPr="00B76D60">
              <w:t>(mL/h)</w:t>
            </w:r>
          </w:p>
        </w:tc>
        <w:tc>
          <w:tcPr>
            <w:tcW w:w="907" w:type="dxa"/>
            <w:tcBorders>
              <w:top w:val="single" w:sz="12" w:space="0" w:color="008000"/>
              <w:bottom w:val="single" w:sz="6" w:space="0" w:color="008000"/>
            </w:tcBorders>
            <w:shd w:val="clear" w:color="auto" w:fill="FFFFFF"/>
            <w:vAlign w:val="center"/>
          </w:tcPr>
          <w:p w14:paraId="7D206FE4" w14:textId="77777777" w:rsidR="00360958" w:rsidRPr="00B76D60" w:rsidRDefault="00360958" w:rsidP="00694279">
            <w:pPr>
              <w:pStyle w:val="CETBodytext"/>
              <w:jc w:val="center"/>
            </w:pPr>
            <w:r w:rsidRPr="00B76D60">
              <w:t>Duration</w:t>
            </w:r>
          </w:p>
          <w:p w14:paraId="447FEF54" w14:textId="3B8875EA" w:rsidR="00360958" w:rsidRPr="00B76D60" w:rsidRDefault="00360958" w:rsidP="00694279">
            <w:pPr>
              <w:pStyle w:val="CETBodytext"/>
              <w:jc w:val="center"/>
            </w:pPr>
            <w:r w:rsidRPr="00B76D60">
              <w:t>(h)</w:t>
            </w:r>
          </w:p>
        </w:tc>
        <w:tc>
          <w:tcPr>
            <w:tcW w:w="1134" w:type="dxa"/>
            <w:tcBorders>
              <w:top w:val="single" w:sz="12" w:space="0" w:color="008000"/>
              <w:bottom w:val="single" w:sz="6" w:space="0" w:color="008000"/>
            </w:tcBorders>
            <w:shd w:val="clear" w:color="auto" w:fill="FFFFFF"/>
            <w:vAlign w:val="center"/>
          </w:tcPr>
          <w:p w14:paraId="7AA9C558" w14:textId="77777777" w:rsidR="00360958" w:rsidRPr="00B76D60" w:rsidRDefault="00360958" w:rsidP="00694279">
            <w:pPr>
              <w:pStyle w:val="CETBodytext"/>
              <w:jc w:val="center"/>
            </w:pPr>
            <w:r w:rsidRPr="00B76D60">
              <w:t>Contact time</w:t>
            </w:r>
          </w:p>
          <w:p w14:paraId="7B0D3963" w14:textId="5E04C9C9" w:rsidR="00360958" w:rsidRPr="00B76D60" w:rsidRDefault="00360958" w:rsidP="00694279">
            <w:pPr>
              <w:pStyle w:val="CETBodytext"/>
              <w:jc w:val="center"/>
            </w:pPr>
            <w:r w:rsidRPr="00B76D60">
              <w:t>(min)</w:t>
            </w:r>
          </w:p>
        </w:tc>
        <w:tc>
          <w:tcPr>
            <w:tcW w:w="1247" w:type="dxa"/>
            <w:tcBorders>
              <w:top w:val="single" w:sz="12" w:space="0" w:color="008000"/>
              <w:bottom w:val="single" w:sz="6" w:space="0" w:color="008000"/>
            </w:tcBorders>
            <w:shd w:val="clear" w:color="auto" w:fill="FFFFFF"/>
            <w:vAlign w:val="center"/>
          </w:tcPr>
          <w:p w14:paraId="02483CB7" w14:textId="77777777" w:rsidR="00360958" w:rsidRPr="00B76D60" w:rsidRDefault="00360958" w:rsidP="00694279">
            <w:pPr>
              <w:pStyle w:val="CETBodytext"/>
              <w:ind w:right="-1"/>
              <w:jc w:val="center"/>
              <w:rPr>
                <w:rFonts w:cs="Arial"/>
                <w:szCs w:val="18"/>
              </w:rPr>
            </w:pPr>
            <w:r w:rsidRPr="00B76D60">
              <w:rPr>
                <w:rFonts w:cs="Arial"/>
                <w:szCs w:val="18"/>
              </w:rPr>
              <w:t>NO</w:t>
            </w:r>
            <w:r w:rsidRPr="00B76D60">
              <w:rPr>
                <w:rFonts w:cs="Arial"/>
                <w:szCs w:val="18"/>
                <w:vertAlign w:val="subscript"/>
              </w:rPr>
              <w:t>3</w:t>
            </w:r>
            <w:r w:rsidRPr="00B76D60">
              <w:rPr>
                <w:rFonts w:cs="Arial"/>
                <w:szCs w:val="18"/>
                <w:vertAlign w:val="superscript"/>
              </w:rPr>
              <w:t>-</w:t>
            </w:r>
            <w:r w:rsidRPr="00B76D60">
              <w:rPr>
                <w:rFonts w:cs="Arial"/>
                <w:szCs w:val="18"/>
              </w:rPr>
              <w:t xml:space="preserve"> removal</w:t>
            </w:r>
          </w:p>
          <w:p w14:paraId="455F7CEE" w14:textId="2FA90597" w:rsidR="00360958" w:rsidRPr="00B76D60" w:rsidRDefault="00360958" w:rsidP="00694279">
            <w:pPr>
              <w:pStyle w:val="CETBodytext"/>
              <w:ind w:right="-1"/>
              <w:jc w:val="center"/>
              <w:rPr>
                <w:rFonts w:cs="Arial"/>
                <w:szCs w:val="18"/>
              </w:rPr>
            </w:pPr>
            <w:r w:rsidRPr="00B76D60">
              <w:rPr>
                <w:rFonts w:cs="Arial"/>
                <w:szCs w:val="18"/>
              </w:rPr>
              <w:t>(%)</w:t>
            </w:r>
          </w:p>
        </w:tc>
        <w:tc>
          <w:tcPr>
            <w:tcW w:w="1701" w:type="dxa"/>
            <w:tcBorders>
              <w:top w:val="single" w:sz="12" w:space="0" w:color="008000"/>
              <w:bottom w:val="single" w:sz="6" w:space="0" w:color="008000"/>
            </w:tcBorders>
            <w:shd w:val="clear" w:color="auto" w:fill="FFFFFF"/>
            <w:vAlign w:val="center"/>
          </w:tcPr>
          <w:p w14:paraId="13B2F927" w14:textId="004B3502" w:rsidR="00360958" w:rsidRPr="00B76D60" w:rsidRDefault="00360958" w:rsidP="00694279">
            <w:pPr>
              <w:pStyle w:val="CETBodytext"/>
              <w:ind w:right="-1"/>
              <w:jc w:val="center"/>
              <w:rPr>
                <w:rFonts w:cs="Arial"/>
                <w:szCs w:val="18"/>
              </w:rPr>
            </w:pPr>
            <w:r w:rsidRPr="00B76D60">
              <w:rPr>
                <w:rFonts w:cs="Arial"/>
                <w:szCs w:val="18"/>
              </w:rPr>
              <w:t>Denitrification rate</w:t>
            </w:r>
          </w:p>
          <w:p w14:paraId="616C0FF6" w14:textId="44126ACB" w:rsidR="00360958" w:rsidRPr="00B76D60" w:rsidRDefault="00360958" w:rsidP="00694279">
            <w:pPr>
              <w:pStyle w:val="CETBodytext"/>
              <w:ind w:right="-1"/>
              <w:jc w:val="center"/>
              <w:rPr>
                <w:rFonts w:cs="Arial"/>
                <w:szCs w:val="18"/>
              </w:rPr>
            </w:pPr>
            <w:r w:rsidRPr="00B76D60">
              <w:rPr>
                <w:rFonts w:cs="Arial"/>
                <w:szCs w:val="18"/>
              </w:rPr>
              <w:t>(g N-NO</w:t>
            </w:r>
            <w:r w:rsidRPr="00B76D60">
              <w:rPr>
                <w:rFonts w:cs="Arial"/>
                <w:szCs w:val="18"/>
                <w:vertAlign w:val="subscript"/>
              </w:rPr>
              <w:t>3</w:t>
            </w:r>
            <w:r w:rsidRPr="00B76D60">
              <w:rPr>
                <w:rFonts w:cs="Arial"/>
                <w:szCs w:val="18"/>
                <w:vertAlign w:val="superscript"/>
              </w:rPr>
              <w:t>-</w:t>
            </w:r>
            <w:r w:rsidRPr="00B76D60">
              <w:rPr>
                <w:rFonts w:cs="Arial"/>
                <w:szCs w:val="18"/>
              </w:rPr>
              <w:t xml:space="preserve"> / m</w:t>
            </w:r>
            <w:r w:rsidRPr="00B76D60">
              <w:rPr>
                <w:rFonts w:cs="Arial"/>
                <w:szCs w:val="18"/>
                <w:vertAlign w:val="superscript"/>
              </w:rPr>
              <w:t>2</w:t>
            </w:r>
            <w:r w:rsidRPr="00B76D60">
              <w:rPr>
                <w:rFonts w:cs="Arial"/>
                <w:szCs w:val="18"/>
              </w:rPr>
              <w:t xml:space="preserve"> d)</w:t>
            </w:r>
          </w:p>
        </w:tc>
        <w:tc>
          <w:tcPr>
            <w:tcW w:w="1531" w:type="dxa"/>
            <w:tcBorders>
              <w:top w:val="single" w:sz="12" w:space="0" w:color="008000"/>
              <w:bottom w:val="single" w:sz="6" w:space="0" w:color="008000"/>
            </w:tcBorders>
            <w:shd w:val="clear" w:color="auto" w:fill="FFFFFF"/>
            <w:vAlign w:val="center"/>
          </w:tcPr>
          <w:p w14:paraId="4AE5D4F1" w14:textId="77777777" w:rsidR="00360958" w:rsidRPr="00B76D60" w:rsidRDefault="00360958" w:rsidP="00694279">
            <w:pPr>
              <w:pStyle w:val="CETBodytext"/>
              <w:ind w:right="-1"/>
              <w:jc w:val="center"/>
              <w:rPr>
                <w:rFonts w:cs="Arial"/>
                <w:szCs w:val="18"/>
              </w:rPr>
            </w:pPr>
            <w:r w:rsidRPr="00B76D60">
              <w:rPr>
                <w:rFonts w:cs="Arial"/>
                <w:szCs w:val="18"/>
              </w:rPr>
              <w:t>C specific consumption</w:t>
            </w:r>
          </w:p>
          <w:p w14:paraId="41A4562A" w14:textId="78174F7A" w:rsidR="00360958" w:rsidRPr="00B76D60" w:rsidRDefault="00360958" w:rsidP="00694279">
            <w:pPr>
              <w:pStyle w:val="CETBodytext"/>
              <w:ind w:right="-1"/>
              <w:jc w:val="center"/>
              <w:rPr>
                <w:rFonts w:cs="Arial"/>
                <w:szCs w:val="18"/>
              </w:rPr>
            </w:pPr>
            <w:r w:rsidRPr="00B76D60">
              <w:rPr>
                <w:rFonts w:cs="Arial"/>
                <w:szCs w:val="18"/>
              </w:rPr>
              <w:t>(g C / g N-NO</w:t>
            </w:r>
            <w:r w:rsidRPr="00B76D60">
              <w:rPr>
                <w:rFonts w:cs="Arial"/>
                <w:szCs w:val="18"/>
                <w:vertAlign w:val="subscript"/>
              </w:rPr>
              <w:t>3</w:t>
            </w:r>
            <w:r w:rsidRPr="00B76D60">
              <w:rPr>
                <w:rFonts w:cs="Arial"/>
                <w:szCs w:val="18"/>
                <w:vertAlign w:val="superscript"/>
              </w:rPr>
              <w:t>-</w:t>
            </w:r>
            <w:r w:rsidRPr="00B76D60">
              <w:rPr>
                <w:rFonts w:cs="Arial"/>
                <w:szCs w:val="18"/>
              </w:rPr>
              <w:t>)</w:t>
            </w:r>
          </w:p>
        </w:tc>
        <w:tc>
          <w:tcPr>
            <w:tcW w:w="1418" w:type="dxa"/>
            <w:tcBorders>
              <w:top w:val="single" w:sz="12" w:space="0" w:color="008000"/>
              <w:bottom w:val="single" w:sz="6" w:space="0" w:color="008000"/>
            </w:tcBorders>
            <w:shd w:val="clear" w:color="auto" w:fill="FFFFFF"/>
            <w:vAlign w:val="center"/>
          </w:tcPr>
          <w:p w14:paraId="276570ED" w14:textId="77777777" w:rsidR="00360958" w:rsidRPr="00B76D60" w:rsidRDefault="00360958" w:rsidP="00694279">
            <w:pPr>
              <w:pStyle w:val="CETBodytext"/>
              <w:ind w:right="-1"/>
              <w:jc w:val="center"/>
              <w:rPr>
                <w:rFonts w:cs="Arial"/>
                <w:szCs w:val="18"/>
              </w:rPr>
            </w:pPr>
            <w:r w:rsidRPr="00B76D60">
              <w:rPr>
                <w:rFonts w:cs="Arial"/>
                <w:szCs w:val="18"/>
              </w:rPr>
              <w:t>P specific consumption</w:t>
            </w:r>
          </w:p>
          <w:p w14:paraId="7BA9B7BB" w14:textId="07E876CC" w:rsidR="00360958" w:rsidRPr="00B76D60" w:rsidRDefault="00360958" w:rsidP="00694279">
            <w:pPr>
              <w:pStyle w:val="CETBodytext"/>
              <w:ind w:right="-1"/>
              <w:jc w:val="center"/>
              <w:rPr>
                <w:rFonts w:cs="Arial"/>
                <w:szCs w:val="18"/>
              </w:rPr>
            </w:pPr>
            <w:r w:rsidRPr="00B76D60">
              <w:rPr>
                <w:rFonts w:cs="Arial"/>
                <w:szCs w:val="18"/>
              </w:rPr>
              <w:t>(g P / g N-NO</w:t>
            </w:r>
            <w:r w:rsidRPr="00B76D60">
              <w:rPr>
                <w:rFonts w:cs="Arial"/>
                <w:szCs w:val="18"/>
                <w:vertAlign w:val="subscript"/>
              </w:rPr>
              <w:t>3</w:t>
            </w:r>
            <w:r w:rsidRPr="00B76D60">
              <w:rPr>
                <w:rFonts w:cs="Arial"/>
                <w:szCs w:val="18"/>
                <w:vertAlign w:val="superscript"/>
              </w:rPr>
              <w:t>-</w:t>
            </w:r>
            <w:r w:rsidRPr="00B76D60">
              <w:rPr>
                <w:rFonts w:cs="Arial"/>
                <w:szCs w:val="18"/>
              </w:rPr>
              <w:t>)</w:t>
            </w:r>
          </w:p>
        </w:tc>
      </w:tr>
      <w:tr w:rsidR="00360958" w:rsidRPr="00B76D60" w14:paraId="799DB1CD" w14:textId="38FA68A3" w:rsidTr="00360958">
        <w:tc>
          <w:tcPr>
            <w:tcW w:w="851" w:type="dxa"/>
            <w:shd w:val="clear" w:color="auto" w:fill="FFFFFF"/>
          </w:tcPr>
          <w:p w14:paraId="09D86ECF" w14:textId="1384A6A8" w:rsidR="00360958" w:rsidRPr="00B76D60" w:rsidRDefault="00360958" w:rsidP="00694279">
            <w:pPr>
              <w:pStyle w:val="CETBodytext"/>
              <w:jc w:val="center"/>
            </w:pPr>
            <w:r w:rsidRPr="00B76D60">
              <w:t>200</w:t>
            </w:r>
          </w:p>
        </w:tc>
        <w:tc>
          <w:tcPr>
            <w:tcW w:w="907" w:type="dxa"/>
            <w:shd w:val="clear" w:color="auto" w:fill="FFFFFF"/>
          </w:tcPr>
          <w:p w14:paraId="4F1FB1E5" w14:textId="2FD4927E" w:rsidR="00360958" w:rsidRPr="00B76D60" w:rsidRDefault="00360958" w:rsidP="00694279">
            <w:pPr>
              <w:pStyle w:val="CETBodytext"/>
              <w:jc w:val="center"/>
            </w:pPr>
            <w:r w:rsidRPr="00B76D60">
              <w:t>170</w:t>
            </w:r>
          </w:p>
        </w:tc>
        <w:tc>
          <w:tcPr>
            <w:tcW w:w="1134" w:type="dxa"/>
            <w:shd w:val="clear" w:color="auto" w:fill="FFFFFF"/>
          </w:tcPr>
          <w:p w14:paraId="0DF88EF6" w14:textId="42BE940D" w:rsidR="00360958" w:rsidRPr="00B76D60" w:rsidRDefault="00360958" w:rsidP="00694279">
            <w:pPr>
              <w:pStyle w:val="CETBodytext"/>
              <w:jc w:val="center"/>
            </w:pPr>
            <w:r w:rsidRPr="00B76D60">
              <w:t>35</w:t>
            </w:r>
          </w:p>
        </w:tc>
        <w:tc>
          <w:tcPr>
            <w:tcW w:w="1247" w:type="dxa"/>
            <w:shd w:val="clear" w:color="auto" w:fill="FFFFFF"/>
          </w:tcPr>
          <w:p w14:paraId="13913502" w14:textId="1B2711EF" w:rsidR="00360958" w:rsidRPr="00B76D60" w:rsidRDefault="00360958" w:rsidP="00694279">
            <w:pPr>
              <w:pStyle w:val="CETBodytext"/>
              <w:ind w:right="-1"/>
              <w:jc w:val="center"/>
              <w:rPr>
                <w:rFonts w:cs="Arial"/>
                <w:szCs w:val="18"/>
              </w:rPr>
            </w:pPr>
            <w:r w:rsidRPr="00B76D60">
              <w:rPr>
                <w:rFonts w:cs="Arial"/>
                <w:szCs w:val="18"/>
              </w:rPr>
              <w:t>98.2</w:t>
            </w:r>
          </w:p>
        </w:tc>
        <w:tc>
          <w:tcPr>
            <w:tcW w:w="1701" w:type="dxa"/>
            <w:shd w:val="clear" w:color="auto" w:fill="FFFFFF"/>
          </w:tcPr>
          <w:p w14:paraId="5466D758" w14:textId="00B17362" w:rsidR="00360958" w:rsidRPr="00B76D60" w:rsidRDefault="00360958" w:rsidP="00694279">
            <w:pPr>
              <w:pStyle w:val="CETBodytext"/>
              <w:ind w:right="-1"/>
              <w:jc w:val="center"/>
              <w:rPr>
                <w:rFonts w:cs="Arial"/>
                <w:szCs w:val="18"/>
              </w:rPr>
            </w:pPr>
            <w:r w:rsidRPr="00B76D60">
              <w:rPr>
                <w:rFonts w:cs="Arial"/>
                <w:szCs w:val="18"/>
              </w:rPr>
              <w:t>1.71</w:t>
            </w:r>
          </w:p>
        </w:tc>
        <w:tc>
          <w:tcPr>
            <w:tcW w:w="1531" w:type="dxa"/>
            <w:shd w:val="clear" w:color="auto" w:fill="FFFFFF"/>
          </w:tcPr>
          <w:p w14:paraId="50D77E71" w14:textId="149BD5A4" w:rsidR="00360958" w:rsidRPr="00B76D60" w:rsidRDefault="00360958" w:rsidP="00694279">
            <w:pPr>
              <w:pStyle w:val="CETBodytext"/>
              <w:ind w:right="-1"/>
              <w:jc w:val="center"/>
              <w:rPr>
                <w:rFonts w:cs="Arial"/>
                <w:szCs w:val="18"/>
              </w:rPr>
            </w:pPr>
            <w:r w:rsidRPr="00B76D60">
              <w:rPr>
                <w:rFonts w:cs="Arial"/>
                <w:szCs w:val="18"/>
              </w:rPr>
              <w:t>4.87</w:t>
            </w:r>
          </w:p>
        </w:tc>
        <w:tc>
          <w:tcPr>
            <w:tcW w:w="1418" w:type="dxa"/>
            <w:shd w:val="clear" w:color="auto" w:fill="FFFFFF"/>
          </w:tcPr>
          <w:p w14:paraId="798CF7AC" w14:textId="1B9F9EE2" w:rsidR="00360958" w:rsidRPr="00B76D60" w:rsidRDefault="00360958" w:rsidP="00694279">
            <w:pPr>
              <w:pStyle w:val="CETBodytext"/>
              <w:ind w:right="-1"/>
              <w:jc w:val="center"/>
              <w:rPr>
                <w:rFonts w:cs="Arial"/>
                <w:szCs w:val="18"/>
              </w:rPr>
            </w:pPr>
            <w:r w:rsidRPr="00B76D60">
              <w:rPr>
                <w:rFonts w:cs="Arial"/>
                <w:szCs w:val="18"/>
              </w:rPr>
              <w:t>0.09</w:t>
            </w:r>
          </w:p>
        </w:tc>
      </w:tr>
      <w:tr w:rsidR="00360958" w:rsidRPr="00B76D60" w14:paraId="37FD3126" w14:textId="3006861C" w:rsidTr="00360958">
        <w:tc>
          <w:tcPr>
            <w:tcW w:w="851" w:type="dxa"/>
            <w:shd w:val="clear" w:color="auto" w:fill="FFFFFF"/>
          </w:tcPr>
          <w:p w14:paraId="1F440C6E" w14:textId="57C0863C" w:rsidR="00360958" w:rsidRPr="00B76D60" w:rsidRDefault="00360958" w:rsidP="00694279">
            <w:pPr>
              <w:pStyle w:val="CETBodytext"/>
              <w:jc w:val="center"/>
            </w:pPr>
            <w:r w:rsidRPr="00B76D60">
              <w:t>400</w:t>
            </w:r>
          </w:p>
        </w:tc>
        <w:tc>
          <w:tcPr>
            <w:tcW w:w="907" w:type="dxa"/>
            <w:shd w:val="clear" w:color="auto" w:fill="FFFFFF"/>
          </w:tcPr>
          <w:p w14:paraId="109D8CDD" w14:textId="5A2D5BD7" w:rsidR="00360958" w:rsidRPr="00B76D60" w:rsidRDefault="00360958" w:rsidP="00694279">
            <w:pPr>
              <w:pStyle w:val="CETBodytext"/>
              <w:jc w:val="center"/>
            </w:pPr>
            <w:r w:rsidRPr="00B76D60">
              <w:t>170</w:t>
            </w:r>
          </w:p>
        </w:tc>
        <w:tc>
          <w:tcPr>
            <w:tcW w:w="1134" w:type="dxa"/>
            <w:shd w:val="clear" w:color="auto" w:fill="FFFFFF"/>
          </w:tcPr>
          <w:p w14:paraId="0731B6E8" w14:textId="288877CC" w:rsidR="00360958" w:rsidRPr="00B76D60" w:rsidRDefault="00360958" w:rsidP="00694279">
            <w:pPr>
              <w:pStyle w:val="CETBodytext"/>
              <w:jc w:val="center"/>
            </w:pPr>
            <w:r w:rsidRPr="00B76D60">
              <w:t>18</w:t>
            </w:r>
          </w:p>
        </w:tc>
        <w:tc>
          <w:tcPr>
            <w:tcW w:w="1247" w:type="dxa"/>
            <w:shd w:val="clear" w:color="auto" w:fill="FFFFFF"/>
          </w:tcPr>
          <w:p w14:paraId="194293BD" w14:textId="0B2692E2" w:rsidR="00360958" w:rsidRPr="00B76D60" w:rsidRDefault="00360958" w:rsidP="00694279">
            <w:pPr>
              <w:pStyle w:val="CETBodytext"/>
              <w:ind w:right="-1"/>
              <w:jc w:val="center"/>
              <w:rPr>
                <w:rFonts w:cs="Arial"/>
                <w:szCs w:val="18"/>
              </w:rPr>
            </w:pPr>
            <w:r w:rsidRPr="00B76D60">
              <w:rPr>
                <w:rFonts w:cs="Arial"/>
                <w:szCs w:val="18"/>
              </w:rPr>
              <w:t>73.1</w:t>
            </w:r>
          </w:p>
        </w:tc>
        <w:tc>
          <w:tcPr>
            <w:tcW w:w="1701" w:type="dxa"/>
            <w:shd w:val="clear" w:color="auto" w:fill="FFFFFF"/>
          </w:tcPr>
          <w:p w14:paraId="6F845BEC" w14:textId="25DA00E3" w:rsidR="00360958" w:rsidRPr="00B76D60" w:rsidRDefault="00360958" w:rsidP="00694279">
            <w:pPr>
              <w:pStyle w:val="CETBodytext"/>
              <w:ind w:right="-1"/>
              <w:jc w:val="center"/>
              <w:rPr>
                <w:rFonts w:cs="Arial"/>
                <w:szCs w:val="18"/>
              </w:rPr>
            </w:pPr>
            <w:r w:rsidRPr="00B76D60">
              <w:rPr>
                <w:rFonts w:cs="Arial"/>
                <w:szCs w:val="18"/>
              </w:rPr>
              <w:t>2.35</w:t>
            </w:r>
          </w:p>
        </w:tc>
        <w:tc>
          <w:tcPr>
            <w:tcW w:w="1531" w:type="dxa"/>
            <w:shd w:val="clear" w:color="auto" w:fill="FFFFFF"/>
          </w:tcPr>
          <w:p w14:paraId="755E41AF" w14:textId="2723D96C" w:rsidR="00360958" w:rsidRPr="00B76D60" w:rsidRDefault="00360958" w:rsidP="00694279">
            <w:pPr>
              <w:pStyle w:val="CETBodytext"/>
              <w:ind w:right="-1"/>
              <w:jc w:val="center"/>
              <w:rPr>
                <w:rFonts w:cs="Arial"/>
                <w:szCs w:val="18"/>
              </w:rPr>
            </w:pPr>
            <w:r w:rsidRPr="00B76D60">
              <w:rPr>
                <w:rFonts w:cs="Arial"/>
                <w:szCs w:val="18"/>
              </w:rPr>
              <w:t>7.79</w:t>
            </w:r>
          </w:p>
        </w:tc>
        <w:tc>
          <w:tcPr>
            <w:tcW w:w="1418" w:type="dxa"/>
            <w:shd w:val="clear" w:color="auto" w:fill="FFFFFF"/>
          </w:tcPr>
          <w:p w14:paraId="0553A722" w14:textId="2B76D92E" w:rsidR="00360958" w:rsidRPr="00B76D60" w:rsidRDefault="00360958" w:rsidP="00694279">
            <w:pPr>
              <w:pStyle w:val="CETBodytext"/>
              <w:ind w:right="-1"/>
              <w:jc w:val="center"/>
              <w:rPr>
                <w:rFonts w:cs="Arial"/>
                <w:szCs w:val="18"/>
              </w:rPr>
            </w:pPr>
            <w:r w:rsidRPr="00B76D60">
              <w:rPr>
                <w:rFonts w:cs="Arial"/>
                <w:szCs w:val="18"/>
              </w:rPr>
              <w:t>0.22</w:t>
            </w:r>
          </w:p>
        </w:tc>
      </w:tr>
      <w:tr w:rsidR="00360958" w:rsidRPr="00B76D60" w14:paraId="6168F16D" w14:textId="753F7759" w:rsidTr="00360958">
        <w:tc>
          <w:tcPr>
            <w:tcW w:w="851" w:type="dxa"/>
            <w:shd w:val="clear" w:color="auto" w:fill="FFFFFF"/>
          </w:tcPr>
          <w:p w14:paraId="31BAF425" w14:textId="41C38C36" w:rsidR="00360958" w:rsidRPr="00B76D60" w:rsidRDefault="00360958" w:rsidP="00694279">
            <w:pPr>
              <w:pStyle w:val="CETBodytext"/>
              <w:ind w:right="-1"/>
              <w:jc w:val="center"/>
              <w:rPr>
                <w:rFonts w:cs="Arial"/>
                <w:szCs w:val="18"/>
              </w:rPr>
            </w:pPr>
            <w:r w:rsidRPr="00B76D60">
              <w:rPr>
                <w:rFonts w:cs="Arial"/>
                <w:szCs w:val="18"/>
              </w:rPr>
              <w:t>600</w:t>
            </w:r>
          </w:p>
        </w:tc>
        <w:tc>
          <w:tcPr>
            <w:tcW w:w="907" w:type="dxa"/>
            <w:shd w:val="clear" w:color="auto" w:fill="FFFFFF"/>
          </w:tcPr>
          <w:p w14:paraId="6C34EDDB" w14:textId="5DA1CA64" w:rsidR="00360958" w:rsidRPr="00B76D60" w:rsidRDefault="00360958" w:rsidP="00694279">
            <w:pPr>
              <w:pStyle w:val="CETBodytext"/>
              <w:ind w:right="-1"/>
              <w:jc w:val="center"/>
              <w:rPr>
                <w:rFonts w:cs="Arial"/>
                <w:szCs w:val="18"/>
              </w:rPr>
            </w:pPr>
            <w:r w:rsidRPr="00B76D60">
              <w:rPr>
                <w:rFonts w:cs="Arial"/>
                <w:szCs w:val="18"/>
              </w:rPr>
              <w:t>65</w:t>
            </w:r>
          </w:p>
        </w:tc>
        <w:tc>
          <w:tcPr>
            <w:tcW w:w="1134" w:type="dxa"/>
            <w:shd w:val="clear" w:color="auto" w:fill="FFFFFF"/>
          </w:tcPr>
          <w:p w14:paraId="4595D029" w14:textId="44EE2B93" w:rsidR="00360958" w:rsidRPr="00B76D60" w:rsidRDefault="00360958" w:rsidP="00694279">
            <w:pPr>
              <w:pStyle w:val="CETBodytext"/>
              <w:ind w:right="-1"/>
              <w:jc w:val="center"/>
              <w:rPr>
                <w:rFonts w:cs="Arial"/>
                <w:szCs w:val="18"/>
              </w:rPr>
            </w:pPr>
            <w:r w:rsidRPr="00B76D60">
              <w:rPr>
                <w:rFonts w:cs="Arial"/>
                <w:szCs w:val="18"/>
              </w:rPr>
              <w:t>12</w:t>
            </w:r>
          </w:p>
        </w:tc>
        <w:tc>
          <w:tcPr>
            <w:tcW w:w="1247" w:type="dxa"/>
            <w:shd w:val="clear" w:color="auto" w:fill="FFFFFF"/>
          </w:tcPr>
          <w:p w14:paraId="1F5F9A6D" w14:textId="154D9E32" w:rsidR="00360958" w:rsidRPr="00B76D60" w:rsidRDefault="00360958" w:rsidP="00694279">
            <w:pPr>
              <w:pStyle w:val="CETBodytext"/>
              <w:ind w:right="-1"/>
              <w:jc w:val="center"/>
              <w:rPr>
                <w:rFonts w:cs="Arial"/>
                <w:szCs w:val="18"/>
              </w:rPr>
            </w:pPr>
            <w:r w:rsidRPr="00B76D60">
              <w:rPr>
                <w:rFonts w:cs="Arial"/>
                <w:szCs w:val="18"/>
              </w:rPr>
              <w:t>53.3</w:t>
            </w:r>
          </w:p>
        </w:tc>
        <w:tc>
          <w:tcPr>
            <w:tcW w:w="1701" w:type="dxa"/>
            <w:shd w:val="clear" w:color="auto" w:fill="FFFFFF"/>
          </w:tcPr>
          <w:p w14:paraId="54A2653F" w14:textId="609AC0BD" w:rsidR="00360958" w:rsidRPr="00B76D60" w:rsidRDefault="00360958" w:rsidP="00694279">
            <w:pPr>
              <w:pStyle w:val="CETBodytext"/>
              <w:ind w:right="-1"/>
              <w:jc w:val="center"/>
              <w:rPr>
                <w:rFonts w:cs="Arial"/>
                <w:szCs w:val="18"/>
              </w:rPr>
            </w:pPr>
            <w:r w:rsidRPr="00B76D60">
              <w:rPr>
                <w:rFonts w:cs="Arial"/>
                <w:szCs w:val="18"/>
              </w:rPr>
              <w:t>2.6</w:t>
            </w:r>
          </w:p>
        </w:tc>
        <w:tc>
          <w:tcPr>
            <w:tcW w:w="1531" w:type="dxa"/>
            <w:shd w:val="clear" w:color="auto" w:fill="FFFFFF"/>
          </w:tcPr>
          <w:p w14:paraId="0700E07E" w14:textId="657C1A4E" w:rsidR="00360958" w:rsidRPr="00B76D60" w:rsidRDefault="00360958" w:rsidP="00694279">
            <w:pPr>
              <w:pStyle w:val="CETBodytext"/>
              <w:ind w:right="-1"/>
              <w:jc w:val="center"/>
              <w:rPr>
                <w:rFonts w:cs="Arial"/>
                <w:szCs w:val="18"/>
              </w:rPr>
            </w:pPr>
            <w:r w:rsidRPr="00B76D60">
              <w:rPr>
                <w:rFonts w:cs="Arial"/>
                <w:szCs w:val="18"/>
              </w:rPr>
              <w:t>8.64</w:t>
            </w:r>
          </w:p>
        </w:tc>
        <w:tc>
          <w:tcPr>
            <w:tcW w:w="1418" w:type="dxa"/>
            <w:shd w:val="clear" w:color="auto" w:fill="FFFFFF"/>
          </w:tcPr>
          <w:p w14:paraId="1ED293C9" w14:textId="66DE76B2" w:rsidR="00360958" w:rsidRPr="00B76D60" w:rsidRDefault="00360958" w:rsidP="00694279">
            <w:pPr>
              <w:pStyle w:val="CETBodytext"/>
              <w:ind w:right="-1"/>
              <w:jc w:val="center"/>
              <w:rPr>
                <w:rFonts w:cs="Arial"/>
                <w:szCs w:val="18"/>
              </w:rPr>
            </w:pPr>
            <w:r w:rsidRPr="00B76D60">
              <w:rPr>
                <w:rFonts w:cs="Arial"/>
                <w:szCs w:val="18"/>
              </w:rPr>
              <w:t>0.31</w:t>
            </w:r>
          </w:p>
        </w:tc>
      </w:tr>
    </w:tbl>
    <w:p w14:paraId="06C98E01" w14:textId="77777777" w:rsidR="00680F1D" w:rsidRPr="00B76D60" w:rsidRDefault="00680F1D" w:rsidP="009A5064">
      <w:pPr>
        <w:pStyle w:val="CETBodytext"/>
      </w:pPr>
    </w:p>
    <w:p w14:paraId="6D970095" w14:textId="410E66A9" w:rsidR="00680F1D" w:rsidRPr="00B76D60" w:rsidRDefault="00EA3DC7" w:rsidP="009A5064">
      <w:pPr>
        <w:pStyle w:val="CETBodytext"/>
      </w:pPr>
      <w:r w:rsidRPr="00B76D60">
        <w:t xml:space="preserve">From the data </w:t>
      </w:r>
      <w:r w:rsidR="00A6582D" w:rsidRPr="00B76D60">
        <w:t xml:space="preserve">of Table 7 </w:t>
      </w:r>
      <w:r w:rsidRPr="00B76D60">
        <w:t xml:space="preserve">it is possible to observe that a longer contact time (lower internal flow rate) determines increasing percentage </w:t>
      </w:r>
      <w:r w:rsidR="0026134C" w:rsidRPr="00B76D60">
        <w:t xml:space="preserve">yields </w:t>
      </w:r>
      <w:r w:rsidRPr="00B76D60">
        <w:t>of nitrate</w:t>
      </w:r>
      <w:r w:rsidR="0026134C" w:rsidRPr="00B76D60">
        <w:t xml:space="preserve"> removal</w:t>
      </w:r>
      <w:r w:rsidRPr="00B76D60">
        <w:t>, but lower specific denitrification rates.</w:t>
      </w:r>
    </w:p>
    <w:p w14:paraId="52835854" w14:textId="29DB9A0C" w:rsidR="00EA3DC7" w:rsidRPr="00B76D60" w:rsidRDefault="00EA3DC7" w:rsidP="009A5064">
      <w:pPr>
        <w:pStyle w:val="CETBodytext"/>
      </w:pPr>
      <w:r w:rsidRPr="00B76D60">
        <w:t xml:space="preserve">Unlike </w:t>
      </w:r>
      <w:r w:rsidR="00A6582D" w:rsidRPr="00B76D60">
        <w:t xml:space="preserve">the </w:t>
      </w:r>
      <w:r w:rsidRPr="00B76D60">
        <w:t>previous experimental phases, the choice not to remove the suspended biomass from the external compartment allowed to improve the biological removal yields of nitrates</w:t>
      </w:r>
      <w:r w:rsidR="00D24D5B" w:rsidRPr="00B76D60">
        <w:t>.</w:t>
      </w:r>
      <w:r w:rsidRPr="00B76D60">
        <w:t xml:space="preserve"> </w:t>
      </w:r>
      <w:r w:rsidR="00D24D5B" w:rsidRPr="00B76D60">
        <w:t>In fact, t</w:t>
      </w:r>
      <w:r w:rsidRPr="00B76D60">
        <w:t xml:space="preserve">he presence of </w:t>
      </w:r>
      <w:r w:rsidR="00D24D5B" w:rsidRPr="00B76D60">
        <w:t xml:space="preserve">suspended </w:t>
      </w:r>
      <w:r w:rsidRPr="00B76D60">
        <w:t xml:space="preserve">biomass allows </w:t>
      </w:r>
      <w:r w:rsidR="00C84041" w:rsidRPr="00B76D60">
        <w:t>to</w:t>
      </w:r>
      <w:r w:rsidRPr="00B76D60">
        <w:t xml:space="preserve"> remov</w:t>
      </w:r>
      <w:r w:rsidR="00C84041" w:rsidRPr="00B76D60">
        <w:t>e</w:t>
      </w:r>
      <w:r w:rsidRPr="00B76D60">
        <w:t xml:space="preserve"> th</w:t>
      </w:r>
      <w:r w:rsidR="00D24D5B" w:rsidRPr="00B76D60">
        <w:t>os</w:t>
      </w:r>
      <w:r w:rsidRPr="00B76D60">
        <w:t>e nitrate</w:t>
      </w:r>
      <w:r w:rsidR="00C84041" w:rsidRPr="00B76D60">
        <w:t>s</w:t>
      </w:r>
      <w:r w:rsidRPr="00B76D60">
        <w:t xml:space="preserve"> which, </w:t>
      </w:r>
      <w:r w:rsidR="00C84041" w:rsidRPr="00B76D60">
        <w:t xml:space="preserve">not </w:t>
      </w:r>
      <w:r w:rsidR="00D24D5B" w:rsidRPr="00B76D60">
        <w:t xml:space="preserve">having been </w:t>
      </w:r>
      <w:r w:rsidRPr="00B76D60">
        <w:t>degraded by the biomass</w:t>
      </w:r>
      <w:r w:rsidR="00D24D5B" w:rsidRPr="00B76D60">
        <w:t xml:space="preserve"> </w:t>
      </w:r>
      <w:r w:rsidR="00D24D5B" w:rsidRPr="00B76D60">
        <w:rPr>
          <w:rStyle w:val="jlqj4b"/>
          <w:lang w:val="en"/>
        </w:rPr>
        <w:t>attached to the membrane</w:t>
      </w:r>
      <w:r w:rsidRPr="00B76D60">
        <w:t xml:space="preserve">, </w:t>
      </w:r>
      <w:r w:rsidR="00C84041" w:rsidRPr="00B76D60">
        <w:t>manage to reach</w:t>
      </w:r>
      <w:r w:rsidRPr="00B76D60">
        <w:t xml:space="preserve"> the external compartment; </w:t>
      </w:r>
      <w:r w:rsidR="00C84041" w:rsidRPr="00B76D60">
        <w:t xml:space="preserve">it is important to note that </w:t>
      </w:r>
      <w:r w:rsidR="00D24D5B" w:rsidRPr="00B76D60">
        <w:t xml:space="preserve">a zero concentration of nitrates on the outside allows to maximize the diffusion of nitrates from the inside to the </w:t>
      </w:r>
      <w:r w:rsidR="0063173C" w:rsidRPr="00B76D60">
        <w:t>outside.</w:t>
      </w:r>
    </w:p>
    <w:p w14:paraId="3226289E" w14:textId="06F5AA22" w:rsidR="00323964" w:rsidRPr="00B76D60" w:rsidRDefault="00541F09" w:rsidP="002326D5">
      <w:pPr>
        <w:pStyle w:val="CETBodytext"/>
      </w:pPr>
      <w:r w:rsidRPr="00B76D60">
        <w:t xml:space="preserve">In </w:t>
      </w:r>
      <w:r w:rsidR="0063173C" w:rsidRPr="00B76D60">
        <w:t>a subsequent phase</w:t>
      </w:r>
      <w:r w:rsidRPr="00B76D60">
        <w:t xml:space="preserve">, </w:t>
      </w:r>
      <w:r w:rsidR="001641E7" w:rsidRPr="00B76D60">
        <w:t>a specific experimentation will try to investigate</w:t>
      </w:r>
      <w:r w:rsidR="001641E7" w:rsidRPr="00B76D60">
        <w:rPr>
          <w:lang w:val="en-GB"/>
        </w:rPr>
        <w:t xml:space="preserve"> </w:t>
      </w:r>
      <w:r w:rsidR="006D071B" w:rsidRPr="00B76D60">
        <w:rPr>
          <w:lang w:val="en-GB"/>
        </w:rPr>
        <w:t>the use of higher</w:t>
      </w:r>
      <w:r w:rsidR="006D071B" w:rsidRPr="00B76D60">
        <w:t xml:space="preserve"> concentrations of carbon and phosphorus</w:t>
      </w:r>
      <w:r w:rsidR="0026134C" w:rsidRPr="00B76D60">
        <w:t>,</w:t>
      </w:r>
      <w:r w:rsidR="006D071B" w:rsidRPr="00B76D60">
        <w:t xml:space="preserve"> </w:t>
      </w:r>
      <w:r w:rsidR="001641E7" w:rsidRPr="00B76D60">
        <w:rPr>
          <w:lang w:val="en-GB"/>
        </w:rPr>
        <w:t xml:space="preserve">looking for the optimal conditions to reduce contact times without penalizing the </w:t>
      </w:r>
      <w:r w:rsidR="0026134C" w:rsidRPr="00B76D60">
        <w:rPr>
          <w:lang w:val="en-GB"/>
        </w:rPr>
        <w:t xml:space="preserve">nitrate removal </w:t>
      </w:r>
      <w:r w:rsidR="001641E7" w:rsidRPr="00B76D60">
        <w:rPr>
          <w:lang w:val="en-GB"/>
        </w:rPr>
        <w:t>efficiency and at the same time avoiding the contamination of the treated water</w:t>
      </w:r>
      <w:r w:rsidRPr="00B76D60">
        <w:t>.</w:t>
      </w:r>
    </w:p>
    <w:p w14:paraId="57985D21" w14:textId="77777777" w:rsidR="007E4823" w:rsidRPr="00B76D60" w:rsidRDefault="007E4823" w:rsidP="007E4823">
      <w:pPr>
        <w:pStyle w:val="CETHeading1"/>
      </w:pPr>
      <w:r w:rsidRPr="00B76D60">
        <w:t>Conclusions</w:t>
      </w:r>
    </w:p>
    <w:p w14:paraId="54AEEFDA" w14:textId="1ABB52A7" w:rsidR="00EF1264" w:rsidRPr="00B76D60" w:rsidRDefault="00EF1264" w:rsidP="00EF1264">
      <w:pPr>
        <w:pStyle w:val="CETBodytext"/>
        <w:rPr>
          <w:lang w:val="en-GB"/>
        </w:rPr>
      </w:pPr>
      <w:r w:rsidRPr="00B76D60">
        <w:rPr>
          <w:lang w:val="en-GB"/>
        </w:rPr>
        <w:t xml:space="preserve">The extensive experimentation conducted confirmed the possibility of obtaining satisfactory yields of biological nitrate removal by using hollow </w:t>
      </w:r>
      <w:r w:rsidR="00920EAF" w:rsidRPr="00B76D60">
        <w:rPr>
          <w:lang w:val="en-GB"/>
        </w:rPr>
        <w:t>fibres</w:t>
      </w:r>
      <w:r w:rsidRPr="00B76D60">
        <w:rPr>
          <w:lang w:val="en-GB"/>
        </w:rPr>
        <w:t xml:space="preserve"> as a support for the denitrifying biofilm and as a separator element between the water to be treated and the nutrient solution necessary for bacterial activity.</w:t>
      </w:r>
    </w:p>
    <w:p w14:paraId="33A0463B" w14:textId="7D7BEC6F" w:rsidR="00EF1264" w:rsidRPr="00B76D60" w:rsidRDefault="00EF1264" w:rsidP="00EF1264">
      <w:pPr>
        <w:pStyle w:val="CETBodytext"/>
        <w:rPr>
          <w:lang w:val="en-GB"/>
        </w:rPr>
      </w:pPr>
      <w:r w:rsidRPr="00B76D60">
        <w:rPr>
          <w:lang w:val="en-GB"/>
        </w:rPr>
        <w:t xml:space="preserve">It has been observed that the use of membranes with reduced cut-off provides greater guarantees against </w:t>
      </w:r>
      <w:r w:rsidR="00920EAF" w:rsidRPr="00B76D60">
        <w:rPr>
          <w:lang w:val="en-GB"/>
        </w:rPr>
        <w:t xml:space="preserve">the </w:t>
      </w:r>
      <w:r w:rsidRPr="00B76D60">
        <w:rPr>
          <w:lang w:val="en-GB"/>
        </w:rPr>
        <w:t xml:space="preserve">contamination of the water to be treated </w:t>
      </w:r>
      <w:r w:rsidR="00D722A0" w:rsidRPr="00B76D60">
        <w:rPr>
          <w:lang w:val="en-GB"/>
        </w:rPr>
        <w:t xml:space="preserve">by </w:t>
      </w:r>
      <w:r w:rsidR="00920EAF" w:rsidRPr="00B76D60">
        <w:rPr>
          <w:lang w:val="en-GB"/>
        </w:rPr>
        <w:t>nutrient</w:t>
      </w:r>
      <w:r w:rsidR="00D722A0" w:rsidRPr="00B76D60">
        <w:rPr>
          <w:lang w:val="en-GB"/>
        </w:rPr>
        <w:t>s</w:t>
      </w:r>
      <w:r w:rsidR="00920EAF" w:rsidRPr="00B76D60">
        <w:rPr>
          <w:lang w:val="en-GB"/>
        </w:rPr>
        <w:t xml:space="preserve"> </w:t>
      </w:r>
      <w:r w:rsidRPr="00B76D60">
        <w:rPr>
          <w:lang w:val="en-GB"/>
        </w:rPr>
        <w:t>and that controlled acclimatization methods and times can significantly improve the yield of the entire process.</w:t>
      </w:r>
      <w:r w:rsidR="00F67B6D" w:rsidRPr="00B76D60">
        <w:rPr>
          <w:lang w:val="en-GB"/>
        </w:rPr>
        <w:t xml:space="preserve"> </w:t>
      </w:r>
      <w:r w:rsidRPr="00B76D60">
        <w:rPr>
          <w:lang w:val="en-GB"/>
        </w:rPr>
        <w:t xml:space="preserve">From the point of view of the denitrification process, the tests </w:t>
      </w:r>
      <w:r w:rsidR="00D722A0" w:rsidRPr="00B76D60">
        <w:rPr>
          <w:lang w:val="en-GB"/>
        </w:rPr>
        <w:t>carried out</w:t>
      </w:r>
      <w:r w:rsidRPr="00B76D60">
        <w:rPr>
          <w:lang w:val="en-GB"/>
        </w:rPr>
        <w:t xml:space="preserve"> under continuous conditions</w:t>
      </w:r>
      <w:r w:rsidR="003B041C" w:rsidRPr="00B76D60">
        <w:rPr>
          <w:lang w:val="en-GB"/>
        </w:rPr>
        <w:t xml:space="preserve"> have</w:t>
      </w:r>
      <w:r w:rsidRPr="00B76D60">
        <w:rPr>
          <w:lang w:val="en-GB"/>
        </w:rPr>
        <w:t xml:space="preserve"> show</w:t>
      </w:r>
      <w:r w:rsidR="003B041C" w:rsidRPr="00B76D60">
        <w:rPr>
          <w:lang w:val="en-GB"/>
        </w:rPr>
        <w:t>n</w:t>
      </w:r>
      <w:r w:rsidRPr="00B76D60">
        <w:rPr>
          <w:lang w:val="en-GB"/>
        </w:rPr>
        <w:t xml:space="preserve"> </w:t>
      </w:r>
      <w:r w:rsidR="00360958" w:rsidRPr="00B76D60">
        <w:rPr>
          <w:lang w:val="en-GB"/>
        </w:rPr>
        <w:t>removal</w:t>
      </w:r>
      <w:r w:rsidR="00AE6474" w:rsidRPr="00B76D60">
        <w:rPr>
          <w:lang w:val="en-GB"/>
        </w:rPr>
        <w:t xml:space="preserve"> </w:t>
      </w:r>
      <w:r w:rsidRPr="00B76D60">
        <w:rPr>
          <w:lang w:val="en-GB"/>
        </w:rPr>
        <w:t xml:space="preserve">yields up to 98%, </w:t>
      </w:r>
      <w:r w:rsidR="00D722A0" w:rsidRPr="00B76D60">
        <w:rPr>
          <w:lang w:val="en-GB"/>
        </w:rPr>
        <w:t xml:space="preserve">which </w:t>
      </w:r>
      <w:r w:rsidRPr="00B76D60">
        <w:rPr>
          <w:lang w:val="en-GB"/>
        </w:rPr>
        <w:t xml:space="preserve">vary with the flow rate. </w:t>
      </w:r>
      <w:r w:rsidR="00AE6474" w:rsidRPr="00B76D60">
        <w:rPr>
          <w:lang w:val="en-GB"/>
        </w:rPr>
        <w:t>S</w:t>
      </w:r>
      <w:r w:rsidRPr="00B76D60">
        <w:rPr>
          <w:lang w:val="en-GB"/>
        </w:rPr>
        <w:t>pecific</w:t>
      </w:r>
      <w:r w:rsidR="00AE6474" w:rsidRPr="00B76D60">
        <w:rPr>
          <w:lang w:val="en-GB"/>
        </w:rPr>
        <w:t>ally</w:t>
      </w:r>
      <w:r w:rsidRPr="00B76D60">
        <w:rPr>
          <w:lang w:val="en-GB"/>
        </w:rPr>
        <w:t xml:space="preserve">, the nitrate abatements </w:t>
      </w:r>
      <w:r w:rsidR="00D722A0" w:rsidRPr="00B76D60">
        <w:rPr>
          <w:lang w:val="en-GB"/>
        </w:rPr>
        <w:t>ranged from</w:t>
      </w:r>
      <w:r w:rsidRPr="00B76D60">
        <w:rPr>
          <w:lang w:val="en-GB"/>
        </w:rPr>
        <w:t xml:space="preserve"> 1.71 </w:t>
      </w:r>
      <w:r w:rsidR="00D722A0" w:rsidRPr="00B76D60">
        <w:rPr>
          <w:lang w:val="en-GB"/>
        </w:rPr>
        <w:t>to</w:t>
      </w:r>
      <w:r w:rsidRPr="00B76D60">
        <w:rPr>
          <w:lang w:val="en-GB"/>
        </w:rPr>
        <w:t xml:space="preserve"> 2.6 gN-NO</w:t>
      </w:r>
      <w:r w:rsidRPr="00B76D60">
        <w:rPr>
          <w:vertAlign w:val="subscript"/>
          <w:lang w:val="en-GB"/>
        </w:rPr>
        <w:t>3</w:t>
      </w:r>
      <w:r w:rsidRPr="00B76D60">
        <w:rPr>
          <w:lang w:val="en-GB"/>
        </w:rPr>
        <w:t xml:space="preserve"> </w:t>
      </w:r>
      <w:r w:rsidR="00D722A0" w:rsidRPr="00B76D60">
        <w:rPr>
          <w:lang w:val="en-GB"/>
        </w:rPr>
        <w:t xml:space="preserve">/ </w:t>
      </w:r>
      <w:r w:rsidRPr="00B76D60">
        <w:rPr>
          <w:lang w:val="en-GB"/>
        </w:rPr>
        <w:t>m</w:t>
      </w:r>
      <w:r w:rsidRPr="00B76D60">
        <w:rPr>
          <w:vertAlign w:val="superscript"/>
          <w:lang w:val="en-GB"/>
        </w:rPr>
        <w:t>2</w:t>
      </w:r>
      <w:r w:rsidRPr="00B76D60">
        <w:rPr>
          <w:lang w:val="en-GB"/>
        </w:rPr>
        <w:t xml:space="preserve"> d.</w:t>
      </w:r>
    </w:p>
    <w:p w14:paraId="17D30DE6" w14:textId="74FDE1E4" w:rsidR="00EF1264" w:rsidRPr="00B76D60" w:rsidRDefault="00EF1264" w:rsidP="00EF1264">
      <w:pPr>
        <w:pStyle w:val="CETBodytext"/>
      </w:pPr>
      <w:r w:rsidRPr="00B76D60">
        <w:t xml:space="preserve">This nitrate treatment technology can be particularly economical when applied to the treatment of </w:t>
      </w:r>
      <w:r w:rsidR="00AE6474" w:rsidRPr="00B76D60">
        <w:t xml:space="preserve">contaminated water streams on a </w:t>
      </w:r>
      <w:r w:rsidRPr="00B76D60">
        <w:t>large</w:t>
      </w:r>
      <w:r w:rsidR="00AE6474" w:rsidRPr="00B76D60">
        <w:t xml:space="preserve"> </w:t>
      </w:r>
      <w:r w:rsidRPr="00B76D60">
        <w:t>scale</w:t>
      </w:r>
      <w:r w:rsidR="00AC2310" w:rsidRPr="00B76D60">
        <w:t xml:space="preserve"> (e.g. potable water from contaminated aquifers)</w:t>
      </w:r>
      <w:r w:rsidRPr="00B76D60">
        <w:t xml:space="preserve">. </w:t>
      </w:r>
      <w:r w:rsidR="00D722A0" w:rsidRPr="00B76D60">
        <w:t>R</w:t>
      </w:r>
      <w:r w:rsidRPr="00B76D60">
        <w:t xml:space="preserve">esearch will continue </w:t>
      </w:r>
      <w:r w:rsidR="00D722A0" w:rsidRPr="00B76D60">
        <w:t>by taking</w:t>
      </w:r>
      <w:r w:rsidR="00C83761" w:rsidRPr="00B76D60">
        <w:t xml:space="preserve"> the process to a </w:t>
      </w:r>
      <w:r w:rsidR="00D722A0" w:rsidRPr="00B76D60">
        <w:t>larger</w:t>
      </w:r>
      <w:r w:rsidR="00C83761" w:rsidRPr="00B76D60">
        <w:t xml:space="preserve"> scale </w:t>
      </w:r>
      <w:r w:rsidRPr="00B76D60">
        <w:t xml:space="preserve">and using methanol instead of glucose as a carbon source. Furthermore, it will be necessary to </w:t>
      </w:r>
      <w:r w:rsidR="00D722A0" w:rsidRPr="00B76D60">
        <w:t>check</w:t>
      </w:r>
      <w:r w:rsidRPr="00B76D60">
        <w:t xml:space="preserve"> whether the denitrifying activity remains stable </w:t>
      </w:r>
      <w:r w:rsidR="00AE6474" w:rsidRPr="00B76D60">
        <w:t>over time</w:t>
      </w:r>
      <w:r w:rsidRPr="00B76D60">
        <w:t>.</w:t>
      </w:r>
    </w:p>
    <w:p w14:paraId="33B07C19" w14:textId="77777777" w:rsidR="007E4823" w:rsidRPr="00B76D60" w:rsidRDefault="007E4823" w:rsidP="007E4823">
      <w:pPr>
        <w:pStyle w:val="CETReference"/>
        <w:rPr>
          <w:lang w:val="en-US"/>
        </w:rPr>
      </w:pPr>
      <w:r w:rsidRPr="00B76D60">
        <w:rPr>
          <w:lang w:val="en-US"/>
        </w:rPr>
        <w:t>References</w:t>
      </w:r>
    </w:p>
    <w:p w14:paraId="34D1AF1B" w14:textId="7A689542" w:rsidR="007E4823" w:rsidRPr="00B76D60" w:rsidRDefault="00E7153C" w:rsidP="007E4823">
      <w:pPr>
        <w:pStyle w:val="CETReferencetext"/>
        <w:rPr>
          <w:lang w:val="en-US"/>
        </w:rPr>
      </w:pPr>
      <w:r w:rsidRPr="00B76D60">
        <w:rPr>
          <w:lang w:val="en-US"/>
        </w:rPr>
        <w:t>Bouchard D.C., Williams M.K., Surampalli, R.Y., 1992, Nitrate contamination of groundwaters: sources of potential public health effects, Journal of American Water Works Association, 84, 85–90.</w:t>
      </w:r>
    </w:p>
    <w:p w14:paraId="1E5CD9B5" w14:textId="2ADA765C" w:rsidR="005F2E9C" w:rsidRPr="00B76D60" w:rsidRDefault="00215005" w:rsidP="007E4823">
      <w:pPr>
        <w:pStyle w:val="CETReferencetext"/>
        <w:rPr>
          <w:lang w:val="en-US"/>
        </w:rPr>
      </w:pPr>
      <w:r w:rsidRPr="00B76D60">
        <w:rPr>
          <w:lang w:val="en-US"/>
        </w:rPr>
        <w:t>Ferro S., 2012</w:t>
      </w:r>
      <w:r w:rsidR="000617A5" w:rsidRPr="00B76D60">
        <w:rPr>
          <w:lang w:val="en-US"/>
        </w:rPr>
        <w:t>,</w:t>
      </w:r>
      <w:r w:rsidRPr="00B76D60">
        <w:rPr>
          <w:lang w:val="en-US"/>
        </w:rPr>
        <w:t xml:space="preserve"> Removal of nitrates from </w:t>
      </w:r>
      <w:r w:rsidR="00CE51EE" w:rsidRPr="00B76D60">
        <w:rPr>
          <w:lang w:val="en-US"/>
        </w:rPr>
        <w:t>highly contaminated</w:t>
      </w:r>
      <w:r w:rsidRPr="00B76D60">
        <w:rPr>
          <w:lang w:val="en-US"/>
        </w:rPr>
        <w:t xml:space="preserve"> industrial wastewater, Chim. Ind.</w:t>
      </w:r>
      <w:r w:rsidR="00A34857" w:rsidRPr="00B76D60">
        <w:rPr>
          <w:lang w:val="en-US"/>
        </w:rPr>
        <w:t xml:space="preserve">, </w:t>
      </w:r>
      <w:r w:rsidRPr="00B76D60">
        <w:rPr>
          <w:lang w:val="en-US"/>
        </w:rPr>
        <w:t>94(</w:t>
      </w:r>
      <w:r w:rsidR="00EF183E" w:rsidRPr="00B76D60">
        <w:rPr>
          <w:lang w:val="en-US"/>
        </w:rPr>
        <w:t>2</w:t>
      </w:r>
      <w:r w:rsidRPr="00B76D60">
        <w:rPr>
          <w:lang w:val="en-US"/>
        </w:rPr>
        <w:t>), 100–110.</w:t>
      </w:r>
    </w:p>
    <w:p w14:paraId="3CAC6552" w14:textId="5F10F116" w:rsidR="00E7153C" w:rsidRPr="00B76D60" w:rsidRDefault="0049628F" w:rsidP="007E4823">
      <w:pPr>
        <w:pStyle w:val="CETReferencetext"/>
        <w:rPr>
          <w:lang w:val="en-US"/>
        </w:rPr>
      </w:pPr>
      <w:r w:rsidRPr="00B76D60">
        <w:rPr>
          <w:lang w:val="en-US"/>
        </w:rPr>
        <w:t>Lee</w:t>
      </w:r>
      <w:r w:rsidR="0014292F" w:rsidRPr="00B76D60">
        <w:rPr>
          <w:lang w:val="en-US"/>
        </w:rPr>
        <w:t xml:space="preserve"> Y.W., Dahab M.F., Bogardi I.</w:t>
      </w:r>
      <w:r w:rsidRPr="00B76D60">
        <w:rPr>
          <w:lang w:val="en-US"/>
        </w:rPr>
        <w:t xml:space="preserve">, </w:t>
      </w:r>
      <w:r w:rsidR="0014292F" w:rsidRPr="00B76D60">
        <w:rPr>
          <w:lang w:val="en-US"/>
        </w:rPr>
        <w:t>1995</w:t>
      </w:r>
      <w:r w:rsidRPr="00B76D60">
        <w:rPr>
          <w:lang w:val="en-US"/>
        </w:rPr>
        <w:t xml:space="preserve">, </w:t>
      </w:r>
      <w:r w:rsidR="0014292F" w:rsidRPr="00B76D60">
        <w:rPr>
          <w:lang w:val="en-US"/>
        </w:rPr>
        <w:t>Nitrate-Risk Assessment Using Fuzz</w:t>
      </w:r>
      <w:r w:rsidR="00F30B8F" w:rsidRPr="00B76D60">
        <w:rPr>
          <w:lang w:val="en-US"/>
        </w:rPr>
        <w:t>y</w:t>
      </w:r>
      <w:r w:rsidR="0014292F" w:rsidRPr="00B76D60">
        <w:rPr>
          <w:lang w:val="en-US"/>
        </w:rPr>
        <w:t>-Set Approach</w:t>
      </w:r>
      <w:r w:rsidRPr="00B76D60">
        <w:rPr>
          <w:lang w:val="en-US"/>
        </w:rPr>
        <w:t>,</w:t>
      </w:r>
      <w:r w:rsidR="0014292F" w:rsidRPr="00B76D60">
        <w:rPr>
          <w:lang w:val="en-US"/>
        </w:rPr>
        <w:t xml:space="preserve"> J</w:t>
      </w:r>
      <w:r w:rsidRPr="00B76D60">
        <w:rPr>
          <w:lang w:val="en-US"/>
        </w:rPr>
        <w:t>ournal</w:t>
      </w:r>
      <w:r w:rsidR="0014292F" w:rsidRPr="00B76D60">
        <w:rPr>
          <w:lang w:val="en-US"/>
        </w:rPr>
        <w:t xml:space="preserve"> of Environmental Engineering, 121, 245.</w:t>
      </w:r>
    </w:p>
    <w:p w14:paraId="54C0C17B" w14:textId="1C1C34AE" w:rsidR="00980F9E" w:rsidRPr="00B76D60" w:rsidRDefault="00980F9E" w:rsidP="007E4823">
      <w:pPr>
        <w:pStyle w:val="CETReferencetext"/>
        <w:rPr>
          <w:lang w:val="en-US"/>
        </w:rPr>
      </w:pPr>
      <w:r w:rsidRPr="00B76D60">
        <w:rPr>
          <w:lang w:val="en-US"/>
        </w:rPr>
        <w:t>Mc</w:t>
      </w:r>
      <w:r w:rsidR="003A57C3" w:rsidRPr="00B76D60">
        <w:rPr>
          <w:lang w:val="en-US"/>
        </w:rPr>
        <w:t>C</w:t>
      </w:r>
      <w:r w:rsidRPr="00B76D60">
        <w:rPr>
          <w:lang w:val="en-US"/>
        </w:rPr>
        <w:t>leaf P.R., Schroeder E.D., 1995, Denitrification Using a Membrane Immobilized Biofilm, Journal of American Water Works Association, 87, 77–86.</w:t>
      </w:r>
    </w:p>
    <w:p w14:paraId="06FC76F9" w14:textId="7EB37B7F" w:rsidR="002E7DAC" w:rsidRPr="00B76D60" w:rsidRDefault="00215005" w:rsidP="007E4823">
      <w:pPr>
        <w:pStyle w:val="CETReferencetext"/>
        <w:rPr>
          <w:lang w:val="en-US"/>
        </w:rPr>
      </w:pPr>
      <w:r w:rsidRPr="00B76D60">
        <w:rPr>
          <w:lang w:val="en-US"/>
        </w:rPr>
        <w:t>Nawrocki J., Andrzejewski P., 2011</w:t>
      </w:r>
      <w:r w:rsidR="000A174C" w:rsidRPr="00B76D60">
        <w:rPr>
          <w:lang w:val="en-US"/>
        </w:rPr>
        <w:t>,</w:t>
      </w:r>
      <w:r w:rsidRPr="00B76D60">
        <w:rPr>
          <w:lang w:val="en-US"/>
        </w:rPr>
        <w:t xml:space="preserve"> Nitrosamines and water, J</w:t>
      </w:r>
      <w:r w:rsidR="00CF2136" w:rsidRPr="00B76D60">
        <w:rPr>
          <w:lang w:val="en-US"/>
        </w:rPr>
        <w:t>ournal of</w:t>
      </w:r>
      <w:r w:rsidRPr="00B76D60">
        <w:rPr>
          <w:lang w:val="en-US"/>
        </w:rPr>
        <w:t xml:space="preserve"> Hazard</w:t>
      </w:r>
      <w:r w:rsidR="00CF2136" w:rsidRPr="00B76D60">
        <w:rPr>
          <w:lang w:val="en-US"/>
        </w:rPr>
        <w:t>ous</w:t>
      </w:r>
      <w:r w:rsidRPr="00B76D60">
        <w:rPr>
          <w:lang w:val="en-US"/>
        </w:rPr>
        <w:t xml:space="preserve"> Mater</w:t>
      </w:r>
      <w:r w:rsidR="00CF2136" w:rsidRPr="00B76D60">
        <w:rPr>
          <w:lang w:val="en-US"/>
        </w:rPr>
        <w:t>ials</w:t>
      </w:r>
      <w:r w:rsidR="000A174C" w:rsidRPr="00B76D60">
        <w:rPr>
          <w:lang w:val="en-US"/>
        </w:rPr>
        <w:t>,</w:t>
      </w:r>
      <w:r w:rsidRPr="00B76D60">
        <w:rPr>
          <w:lang w:val="en-US"/>
        </w:rPr>
        <w:t xml:space="preserve"> 189, 1–18.</w:t>
      </w:r>
    </w:p>
    <w:p w14:paraId="654E9718" w14:textId="28F5E87B" w:rsidR="002E7DAC" w:rsidRPr="00B76D60" w:rsidRDefault="00215005" w:rsidP="007E4823">
      <w:pPr>
        <w:pStyle w:val="CETReferencetext"/>
        <w:rPr>
          <w:lang w:val="en-US"/>
        </w:rPr>
      </w:pPr>
      <w:r w:rsidRPr="00B76D60">
        <w:rPr>
          <w:lang w:val="it-IT"/>
        </w:rPr>
        <w:t xml:space="preserve">Randall D.J., Tsui T.K.N., 2002. </w:t>
      </w:r>
      <w:r w:rsidRPr="00B76D60">
        <w:rPr>
          <w:lang w:val="en-US"/>
        </w:rPr>
        <w:t>Ammonia toxicity in fish, Mar</w:t>
      </w:r>
      <w:r w:rsidR="00CF2136" w:rsidRPr="00B76D60">
        <w:rPr>
          <w:lang w:val="en-US"/>
        </w:rPr>
        <w:t>ine</w:t>
      </w:r>
      <w:r w:rsidRPr="00B76D60">
        <w:rPr>
          <w:lang w:val="en-US"/>
        </w:rPr>
        <w:t xml:space="preserve"> Poll</w:t>
      </w:r>
      <w:r w:rsidR="00CF2136" w:rsidRPr="00B76D60">
        <w:rPr>
          <w:lang w:val="en-US"/>
        </w:rPr>
        <w:t>ution</w:t>
      </w:r>
      <w:r w:rsidRPr="00B76D60">
        <w:rPr>
          <w:lang w:val="en-US"/>
        </w:rPr>
        <w:t xml:space="preserve"> Bull</w:t>
      </w:r>
      <w:r w:rsidR="00CF2136" w:rsidRPr="00B76D60">
        <w:rPr>
          <w:lang w:val="en-US"/>
        </w:rPr>
        <w:t>etin</w:t>
      </w:r>
      <w:r w:rsidR="000A174C" w:rsidRPr="00B76D60">
        <w:rPr>
          <w:lang w:val="en-US"/>
        </w:rPr>
        <w:t>,</w:t>
      </w:r>
      <w:r w:rsidRPr="00B76D60">
        <w:rPr>
          <w:lang w:val="en-US"/>
        </w:rPr>
        <w:t xml:space="preserve"> 45, 17–23.</w:t>
      </w:r>
    </w:p>
    <w:p w14:paraId="1F609C37" w14:textId="433B356E" w:rsidR="0015605A" w:rsidRPr="00B76D60" w:rsidRDefault="0015605A" w:rsidP="007E4823">
      <w:pPr>
        <w:pStyle w:val="CETReferencetext"/>
        <w:rPr>
          <w:lang w:val="en-US"/>
        </w:rPr>
      </w:pPr>
      <w:r w:rsidRPr="00B76D60">
        <w:rPr>
          <w:lang w:val="en-US"/>
        </w:rPr>
        <w:t>Reising A.R., Schroeder E.D., 1996, Denitr</w:t>
      </w:r>
      <w:r w:rsidR="003737CF" w:rsidRPr="00B76D60">
        <w:rPr>
          <w:lang w:val="en-US"/>
        </w:rPr>
        <w:t>i</w:t>
      </w:r>
      <w:r w:rsidRPr="00B76D60">
        <w:rPr>
          <w:lang w:val="en-US"/>
        </w:rPr>
        <w:t>fication Incorporating Microporous Membranes, Journal of Environmental Engineering, 122, 599.</w:t>
      </w:r>
    </w:p>
    <w:p w14:paraId="0F53072A" w14:textId="45738CF6" w:rsidR="00281F0C" w:rsidRPr="00B76D60" w:rsidRDefault="00281F0C" w:rsidP="007E4823">
      <w:pPr>
        <w:pStyle w:val="CETReferencetext"/>
      </w:pPr>
      <w:r w:rsidRPr="00B76D60">
        <w:rPr>
          <w:lang w:val="en-US"/>
        </w:rPr>
        <w:t xml:space="preserve">Reverberi A.P., Vocciante M., Lunghi E., Pietrelli L., Fabiano, B., </w:t>
      </w:r>
      <w:r w:rsidRPr="00B76D60">
        <w:t>2017, New trends in the synthesis of nanoparticles by green methods</w:t>
      </w:r>
      <w:r w:rsidR="005A17A8" w:rsidRPr="00B76D60">
        <w:t>,</w:t>
      </w:r>
      <w:r w:rsidRPr="00B76D60">
        <w:t xml:space="preserve"> Chemical Engineering Transactions, 61, 667–672.</w:t>
      </w:r>
    </w:p>
    <w:p w14:paraId="517DA749" w14:textId="1A019A56" w:rsidR="00281F0C" w:rsidRPr="00B76D60" w:rsidRDefault="00281F0C" w:rsidP="007E4823">
      <w:pPr>
        <w:pStyle w:val="CETReferencetext"/>
        <w:rPr>
          <w:lang w:val="en-US"/>
        </w:rPr>
      </w:pPr>
      <w:r w:rsidRPr="00B76D60">
        <w:t>Reverberi A.P., Varbanov P.S., Lauciello S., Salerno M., Fabiano B., 2018, An eco-friendly process for zerovalent bismuth nanoparticles synthesis, Journal of Cleaner Production, 198, 37–45.</w:t>
      </w:r>
    </w:p>
    <w:p w14:paraId="374BAC75" w14:textId="6A915552" w:rsidR="00653FD3" w:rsidRPr="003B46FB" w:rsidRDefault="00215005" w:rsidP="003B46FB">
      <w:pPr>
        <w:pStyle w:val="CETReferencetext"/>
        <w:rPr>
          <w:lang w:val="en-US"/>
        </w:rPr>
      </w:pPr>
      <w:r w:rsidRPr="00B76D60">
        <w:rPr>
          <w:lang w:val="en-US"/>
        </w:rPr>
        <w:t>Smith V.H., Tilman G.D., Nekola J.C., 1999</w:t>
      </w:r>
      <w:r w:rsidR="000A174C" w:rsidRPr="00B76D60">
        <w:rPr>
          <w:lang w:val="en-US"/>
        </w:rPr>
        <w:t>,</w:t>
      </w:r>
      <w:r w:rsidRPr="00B76D60">
        <w:rPr>
          <w:lang w:val="en-US"/>
        </w:rPr>
        <w:t xml:space="preserve"> Eutrophication: impacts of excess nutrient inputs on freshwater, marine, and terrestrial ecosystems, Environ</w:t>
      </w:r>
      <w:r w:rsidR="000230CC" w:rsidRPr="00B76D60">
        <w:rPr>
          <w:lang w:val="en-US"/>
        </w:rPr>
        <w:t>mental</w:t>
      </w:r>
      <w:r w:rsidRPr="00B76D60">
        <w:rPr>
          <w:lang w:val="en-US"/>
        </w:rPr>
        <w:t xml:space="preserve"> Pollut</w:t>
      </w:r>
      <w:r w:rsidR="000230CC" w:rsidRPr="00B76D60">
        <w:rPr>
          <w:lang w:val="en-US"/>
        </w:rPr>
        <w:t>ion,</w:t>
      </w:r>
      <w:r w:rsidRPr="00B76D60">
        <w:rPr>
          <w:lang w:val="en-US"/>
        </w:rPr>
        <w:t xml:space="preserve"> 100, 179–196.</w:t>
      </w:r>
      <w:bookmarkStart w:id="2" w:name="_GoBack"/>
      <w:bookmarkEnd w:id="2"/>
    </w:p>
    <w:sectPr w:rsidR="00653FD3" w:rsidRPr="003B46FB"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E4A47" w14:textId="77777777" w:rsidR="00CB0733" w:rsidRDefault="00CB0733" w:rsidP="004F5E36">
      <w:r>
        <w:separator/>
      </w:r>
    </w:p>
  </w:endnote>
  <w:endnote w:type="continuationSeparator" w:id="0">
    <w:p w14:paraId="50514684" w14:textId="77777777" w:rsidR="00CB0733" w:rsidRDefault="00CB0733"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B6E7B" w14:textId="77777777" w:rsidR="00CB0733" w:rsidRDefault="00CB0733" w:rsidP="004F5E36">
      <w:r>
        <w:separator/>
      </w:r>
    </w:p>
  </w:footnote>
  <w:footnote w:type="continuationSeparator" w:id="0">
    <w:p w14:paraId="6F704625" w14:textId="77777777" w:rsidR="00CB0733" w:rsidRDefault="00CB0733"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36161A4"/>
    <w:multiLevelType w:val="hybridMultilevel"/>
    <w:tmpl w:val="20BE8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FB24B35"/>
    <w:multiLevelType w:val="hybridMultilevel"/>
    <w:tmpl w:val="DA2688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1D718B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C5931A4"/>
    <w:multiLevelType w:val="hybridMultilevel"/>
    <w:tmpl w:val="74287D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2"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C9270DE"/>
    <w:multiLevelType w:val="hybridMultilevel"/>
    <w:tmpl w:val="71A430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CAD778B"/>
    <w:multiLevelType w:val="hybridMultilevel"/>
    <w:tmpl w:val="DA2688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0E72B02"/>
    <w:multiLevelType w:val="hybridMultilevel"/>
    <w:tmpl w:val="6D78F3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D9469FA"/>
    <w:multiLevelType w:val="hybridMultilevel"/>
    <w:tmpl w:val="C8282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1"/>
  </w:num>
  <w:num w:numId="13">
    <w:abstractNumId w:val="15"/>
  </w:num>
  <w:num w:numId="14">
    <w:abstractNumId w:val="22"/>
  </w:num>
  <w:num w:numId="15">
    <w:abstractNumId w:val="24"/>
  </w:num>
  <w:num w:numId="16">
    <w:abstractNumId w:val="23"/>
  </w:num>
  <w:num w:numId="17">
    <w:abstractNumId w:val="14"/>
  </w:num>
  <w:num w:numId="18">
    <w:abstractNumId w:val="15"/>
    <w:lvlOverride w:ilvl="0">
      <w:startOverride w:val="1"/>
    </w:lvlOverride>
  </w:num>
  <w:num w:numId="19">
    <w:abstractNumId w:val="20"/>
  </w:num>
  <w:num w:numId="20">
    <w:abstractNumId w:val="19"/>
  </w:num>
  <w:num w:numId="21">
    <w:abstractNumId w:val="17"/>
  </w:num>
  <w:num w:numId="22">
    <w:abstractNumId w:val="16"/>
  </w:num>
  <w:num w:numId="23">
    <w:abstractNumId w:val="12"/>
  </w:num>
  <w:num w:numId="24">
    <w:abstractNumId w:val="13"/>
  </w:num>
  <w:num w:numId="25">
    <w:abstractNumId w:val="13"/>
  </w:num>
  <w:num w:numId="26">
    <w:abstractNumId w:val="28"/>
  </w:num>
  <w:num w:numId="27">
    <w:abstractNumId w:val="11"/>
  </w:num>
  <w:num w:numId="28">
    <w:abstractNumId w:val="10"/>
  </w:num>
  <w:num w:numId="29">
    <w:abstractNumId w:val="25"/>
  </w:num>
  <w:num w:numId="30">
    <w:abstractNumId w:val="26"/>
  </w:num>
  <w:num w:numId="31">
    <w:abstractNumId w:val="2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A87"/>
    <w:rsid w:val="000027C0"/>
    <w:rsid w:val="000052FB"/>
    <w:rsid w:val="00011144"/>
    <w:rsid w:val="000117CB"/>
    <w:rsid w:val="000135C7"/>
    <w:rsid w:val="000230CC"/>
    <w:rsid w:val="00025C7C"/>
    <w:rsid w:val="0002731E"/>
    <w:rsid w:val="0003148D"/>
    <w:rsid w:val="00031EEC"/>
    <w:rsid w:val="000337B8"/>
    <w:rsid w:val="00033D92"/>
    <w:rsid w:val="00033FCF"/>
    <w:rsid w:val="00051566"/>
    <w:rsid w:val="000617A5"/>
    <w:rsid w:val="00062A9A"/>
    <w:rsid w:val="00064701"/>
    <w:rsid w:val="000648B2"/>
    <w:rsid w:val="00064D27"/>
    <w:rsid w:val="00065058"/>
    <w:rsid w:val="0006540F"/>
    <w:rsid w:val="00066C5D"/>
    <w:rsid w:val="000711BE"/>
    <w:rsid w:val="00085671"/>
    <w:rsid w:val="00086C39"/>
    <w:rsid w:val="000903C6"/>
    <w:rsid w:val="00094B4A"/>
    <w:rsid w:val="000952E5"/>
    <w:rsid w:val="000955E5"/>
    <w:rsid w:val="00097CCF"/>
    <w:rsid w:val="000A03B2"/>
    <w:rsid w:val="000A174C"/>
    <w:rsid w:val="000A6032"/>
    <w:rsid w:val="000B0E55"/>
    <w:rsid w:val="000B1C15"/>
    <w:rsid w:val="000B335B"/>
    <w:rsid w:val="000B38CC"/>
    <w:rsid w:val="000C0602"/>
    <w:rsid w:val="000D0268"/>
    <w:rsid w:val="000D34BE"/>
    <w:rsid w:val="000D3FC0"/>
    <w:rsid w:val="000E102F"/>
    <w:rsid w:val="000E36F1"/>
    <w:rsid w:val="000E3A73"/>
    <w:rsid w:val="000E414A"/>
    <w:rsid w:val="000E4277"/>
    <w:rsid w:val="000E4648"/>
    <w:rsid w:val="000E50DF"/>
    <w:rsid w:val="000E51BC"/>
    <w:rsid w:val="000F093C"/>
    <w:rsid w:val="000F58F8"/>
    <w:rsid w:val="000F780B"/>
    <w:rsid w:val="000F787B"/>
    <w:rsid w:val="001067FB"/>
    <w:rsid w:val="00106E52"/>
    <w:rsid w:val="00113812"/>
    <w:rsid w:val="0012091F"/>
    <w:rsid w:val="00126BC2"/>
    <w:rsid w:val="001308B6"/>
    <w:rsid w:val="0013121F"/>
    <w:rsid w:val="00131FE6"/>
    <w:rsid w:val="0013263F"/>
    <w:rsid w:val="001331DF"/>
    <w:rsid w:val="00133E51"/>
    <w:rsid w:val="00134DE4"/>
    <w:rsid w:val="0014034D"/>
    <w:rsid w:val="001420E2"/>
    <w:rsid w:val="00142903"/>
    <w:rsid w:val="0014292F"/>
    <w:rsid w:val="00144D16"/>
    <w:rsid w:val="00145D23"/>
    <w:rsid w:val="00150E59"/>
    <w:rsid w:val="00152DE3"/>
    <w:rsid w:val="001540A0"/>
    <w:rsid w:val="0015414F"/>
    <w:rsid w:val="0015525E"/>
    <w:rsid w:val="0015605A"/>
    <w:rsid w:val="00156F48"/>
    <w:rsid w:val="0016084D"/>
    <w:rsid w:val="001641E7"/>
    <w:rsid w:val="00164CF9"/>
    <w:rsid w:val="001667A6"/>
    <w:rsid w:val="001670EB"/>
    <w:rsid w:val="00167801"/>
    <w:rsid w:val="00176165"/>
    <w:rsid w:val="001801E7"/>
    <w:rsid w:val="001816A7"/>
    <w:rsid w:val="00184AD6"/>
    <w:rsid w:val="00192738"/>
    <w:rsid w:val="001A3654"/>
    <w:rsid w:val="001A4AF7"/>
    <w:rsid w:val="001B0349"/>
    <w:rsid w:val="001B0D08"/>
    <w:rsid w:val="001B1E93"/>
    <w:rsid w:val="001B5E38"/>
    <w:rsid w:val="001B65C1"/>
    <w:rsid w:val="001B7077"/>
    <w:rsid w:val="001C5000"/>
    <w:rsid w:val="001C684B"/>
    <w:rsid w:val="001D0CFB"/>
    <w:rsid w:val="001D49CF"/>
    <w:rsid w:val="001D5182"/>
    <w:rsid w:val="001D53FC"/>
    <w:rsid w:val="001D7230"/>
    <w:rsid w:val="001D73B3"/>
    <w:rsid w:val="001E01B7"/>
    <w:rsid w:val="001F3EFB"/>
    <w:rsid w:val="001F42A5"/>
    <w:rsid w:val="001F6552"/>
    <w:rsid w:val="001F7B9D"/>
    <w:rsid w:val="001F7E2B"/>
    <w:rsid w:val="0020090E"/>
    <w:rsid w:val="00201C93"/>
    <w:rsid w:val="00207C2D"/>
    <w:rsid w:val="00210E80"/>
    <w:rsid w:val="00215005"/>
    <w:rsid w:val="00215796"/>
    <w:rsid w:val="0022161B"/>
    <w:rsid w:val="002224B4"/>
    <w:rsid w:val="00223285"/>
    <w:rsid w:val="002326D5"/>
    <w:rsid w:val="00233550"/>
    <w:rsid w:val="00233ECA"/>
    <w:rsid w:val="00237A95"/>
    <w:rsid w:val="00237EE5"/>
    <w:rsid w:val="00240648"/>
    <w:rsid w:val="00241360"/>
    <w:rsid w:val="002447EF"/>
    <w:rsid w:val="0024661A"/>
    <w:rsid w:val="00250834"/>
    <w:rsid w:val="00251550"/>
    <w:rsid w:val="0025358F"/>
    <w:rsid w:val="002552FA"/>
    <w:rsid w:val="002561AB"/>
    <w:rsid w:val="0026134C"/>
    <w:rsid w:val="002618CD"/>
    <w:rsid w:val="00261E7F"/>
    <w:rsid w:val="00263B05"/>
    <w:rsid w:val="00266A04"/>
    <w:rsid w:val="0027221A"/>
    <w:rsid w:val="00272D06"/>
    <w:rsid w:val="002737FA"/>
    <w:rsid w:val="00273C9F"/>
    <w:rsid w:val="00275B61"/>
    <w:rsid w:val="002769AF"/>
    <w:rsid w:val="00280BAF"/>
    <w:rsid w:val="00280FAF"/>
    <w:rsid w:val="00281F0C"/>
    <w:rsid w:val="00282656"/>
    <w:rsid w:val="00284246"/>
    <w:rsid w:val="00285F29"/>
    <w:rsid w:val="002870D4"/>
    <w:rsid w:val="002941DC"/>
    <w:rsid w:val="00296850"/>
    <w:rsid w:val="00296B83"/>
    <w:rsid w:val="002971F9"/>
    <w:rsid w:val="002A2575"/>
    <w:rsid w:val="002A2820"/>
    <w:rsid w:val="002A6095"/>
    <w:rsid w:val="002A6918"/>
    <w:rsid w:val="002B07CC"/>
    <w:rsid w:val="002B13CC"/>
    <w:rsid w:val="002B4015"/>
    <w:rsid w:val="002B42F2"/>
    <w:rsid w:val="002B5579"/>
    <w:rsid w:val="002B68A8"/>
    <w:rsid w:val="002B78CE"/>
    <w:rsid w:val="002C2FB6"/>
    <w:rsid w:val="002C42D4"/>
    <w:rsid w:val="002C6325"/>
    <w:rsid w:val="002C6F61"/>
    <w:rsid w:val="002D3F5C"/>
    <w:rsid w:val="002D4FFD"/>
    <w:rsid w:val="002E5FA7"/>
    <w:rsid w:val="002E6E19"/>
    <w:rsid w:val="002E6F9E"/>
    <w:rsid w:val="002E77DF"/>
    <w:rsid w:val="002E7DAC"/>
    <w:rsid w:val="002F1972"/>
    <w:rsid w:val="002F3309"/>
    <w:rsid w:val="003008CE"/>
    <w:rsid w:val="003009B7"/>
    <w:rsid w:val="00300E56"/>
    <w:rsid w:val="00302AD2"/>
    <w:rsid w:val="003039A9"/>
    <w:rsid w:val="0030469C"/>
    <w:rsid w:val="00310C88"/>
    <w:rsid w:val="00321CA6"/>
    <w:rsid w:val="00323763"/>
    <w:rsid w:val="00323964"/>
    <w:rsid w:val="00323BD9"/>
    <w:rsid w:val="00332682"/>
    <w:rsid w:val="00333075"/>
    <w:rsid w:val="0033494E"/>
    <w:rsid w:val="00334C09"/>
    <w:rsid w:val="003470B2"/>
    <w:rsid w:val="00351447"/>
    <w:rsid w:val="0035334B"/>
    <w:rsid w:val="00353BBE"/>
    <w:rsid w:val="003541DA"/>
    <w:rsid w:val="00357BA9"/>
    <w:rsid w:val="0036017B"/>
    <w:rsid w:val="00360958"/>
    <w:rsid w:val="003701F4"/>
    <w:rsid w:val="0037045D"/>
    <w:rsid w:val="00371148"/>
    <w:rsid w:val="003723D4"/>
    <w:rsid w:val="003737CF"/>
    <w:rsid w:val="00374602"/>
    <w:rsid w:val="00381905"/>
    <w:rsid w:val="00384CC8"/>
    <w:rsid w:val="003871FD"/>
    <w:rsid w:val="003A16A2"/>
    <w:rsid w:val="003A1E30"/>
    <w:rsid w:val="003A219C"/>
    <w:rsid w:val="003A2829"/>
    <w:rsid w:val="003A57C3"/>
    <w:rsid w:val="003A6609"/>
    <w:rsid w:val="003A7175"/>
    <w:rsid w:val="003A7D1C"/>
    <w:rsid w:val="003B041C"/>
    <w:rsid w:val="003B0DBF"/>
    <w:rsid w:val="003B2C06"/>
    <w:rsid w:val="003B304B"/>
    <w:rsid w:val="003B3146"/>
    <w:rsid w:val="003B46FB"/>
    <w:rsid w:val="003B7977"/>
    <w:rsid w:val="003C14E4"/>
    <w:rsid w:val="003C1F8E"/>
    <w:rsid w:val="003C513B"/>
    <w:rsid w:val="003D5A3F"/>
    <w:rsid w:val="003E1E44"/>
    <w:rsid w:val="003E4CDA"/>
    <w:rsid w:val="003F015E"/>
    <w:rsid w:val="003F0805"/>
    <w:rsid w:val="003F16D1"/>
    <w:rsid w:val="003F1E59"/>
    <w:rsid w:val="003F3B69"/>
    <w:rsid w:val="00400414"/>
    <w:rsid w:val="00405D99"/>
    <w:rsid w:val="00412E4C"/>
    <w:rsid w:val="0041446B"/>
    <w:rsid w:val="0041478E"/>
    <w:rsid w:val="00417D76"/>
    <w:rsid w:val="0042392C"/>
    <w:rsid w:val="00425673"/>
    <w:rsid w:val="004300B3"/>
    <w:rsid w:val="00432A8E"/>
    <w:rsid w:val="004366CF"/>
    <w:rsid w:val="004425DE"/>
    <w:rsid w:val="004431F4"/>
    <w:rsid w:val="0044329C"/>
    <w:rsid w:val="00447C0E"/>
    <w:rsid w:val="00453E24"/>
    <w:rsid w:val="0045403F"/>
    <w:rsid w:val="00457456"/>
    <w:rsid w:val="004577FE"/>
    <w:rsid w:val="00457B9C"/>
    <w:rsid w:val="00460ACD"/>
    <w:rsid w:val="0046164A"/>
    <w:rsid w:val="004616BB"/>
    <w:rsid w:val="004628D2"/>
    <w:rsid w:val="00462DCD"/>
    <w:rsid w:val="00464257"/>
    <w:rsid w:val="004648AD"/>
    <w:rsid w:val="00466DEF"/>
    <w:rsid w:val="004703A9"/>
    <w:rsid w:val="0047294B"/>
    <w:rsid w:val="00473F88"/>
    <w:rsid w:val="004760DE"/>
    <w:rsid w:val="004763D7"/>
    <w:rsid w:val="00480471"/>
    <w:rsid w:val="00482896"/>
    <w:rsid w:val="00482BC6"/>
    <w:rsid w:val="00484F08"/>
    <w:rsid w:val="00486A05"/>
    <w:rsid w:val="00490E5E"/>
    <w:rsid w:val="00494CD5"/>
    <w:rsid w:val="0049628F"/>
    <w:rsid w:val="004A004E"/>
    <w:rsid w:val="004A24CF"/>
    <w:rsid w:val="004A318E"/>
    <w:rsid w:val="004A44B0"/>
    <w:rsid w:val="004A5E68"/>
    <w:rsid w:val="004A6BA7"/>
    <w:rsid w:val="004A7C15"/>
    <w:rsid w:val="004A7ED3"/>
    <w:rsid w:val="004B2A63"/>
    <w:rsid w:val="004B2AEB"/>
    <w:rsid w:val="004B3AA8"/>
    <w:rsid w:val="004B65F3"/>
    <w:rsid w:val="004C3D1D"/>
    <w:rsid w:val="004C400C"/>
    <w:rsid w:val="004C5126"/>
    <w:rsid w:val="004C7913"/>
    <w:rsid w:val="004D1F90"/>
    <w:rsid w:val="004D48F0"/>
    <w:rsid w:val="004D4E05"/>
    <w:rsid w:val="004E4DD6"/>
    <w:rsid w:val="004E6A43"/>
    <w:rsid w:val="004E7DC7"/>
    <w:rsid w:val="004F3F25"/>
    <w:rsid w:val="004F5E36"/>
    <w:rsid w:val="005008A5"/>
    <w:rsid w:val="005023B0"/>
    <w:rsid w:val="005074DB"/>
    <w:rsid w:val="00507B47"/>
    <w:rsid w:val="00507BEF"/>
    <w:rsid w:val="00507CC9"/>
    <w:rsid w:val="005119A5"/>
    <w:rsid w:val="00513E57"/>
    <w:rsid w:val="00515C0E"/>
    <w:rsid w:val="00520696"/>
    <w:rsid w:val="005219AC"/>
    <w:rsid w:val="00521DA2"/>
    <w:rsid w:val="00526055"/>
    <w:rsid w:val="005278B7"/>
    <w:rsid w:val="00532016"/>
    <w:rsid w:val="00533FBC"/>
    <w:rsid w:val="005346C8"/>
    <w:rsid w:val="00541F09"/>
    <w:rsid w:val="00543E7D"/>
    <w:rsid w:val="005457A7"/>
    <w:rsid w:val="00545FD5"/>
    <w:rsid w:val="00547A68"/>
    <w:rsid w:val="005513B8"/>
    <w:rsid w:val="005531C9"/>
    <w:rsid w:val="0055509C"/>
    <w:rsid w:val="0055583A"/>
    <w:rsid w:val="00556B66"/>
    <w:rsid w:val="00562BE8"/>
    <w:rsid w:val="00563C00"/>
    <w:rsid w:val="00564E51"/>
    <w:rsid w:val="005706B7"/>
    <w:rsid w:val="00570C43"/>
    <w:rsid w:val="00570E85"/>
    <w:rsid w:val="00571AF2"/>
    <w:rsid w:val="005750EB"/>
    <w:rsid w:val="00575D79"/>
    <w:rsid w:val="005813F2"/>
    <w:rsid w:val="005820FB"/>
    <w:rsid w:val="00583D18"/>
    <w:rsid w:val="005844E0"/>
    <w:rsid w:val="00585429"/>
    <w:rsid w:val="00586547"/>
    <w:rsid w:val="00590EFC"/>
    <w:rsid w:val="005A17A8"/>
    <w:rsid w:val="005A4D38"/>
    <w:rsid w:val="005A51EF"/>
    <w:rsid w:val="005A5670"/>
    <w:rsid w:val="005A5C74"/>
    <w:rsid w:val="005A5DBB"/>
    <w:rsid w:val="005A78EF"/>
    <w:rsid w:val="005B0F25"/>
    <w:rsid w:val="005B2110"/>
    <w:rsid w:val="005B2B28"/>
    <w:rsid w:val="005B61E6"/>
    <w:rsid w:val="005C31FA"/>
    <w:rsid w:val="005C4803"/>
    <w:rsid w:val="005C77E1"/>
    <w:rsid w:val="005D0FF0"/>
    <w:rsid w:val="005D51C9"/>
    <w:rsid w:val="005D5F58"/>
    <w:rsid w:val="005D668A"/>
    <w:rsid w:val="005D6A2F"/>
    <w:rsid w:val="005E1A82"/>
    <w:rsid w:val="005E2542"/>
    <w:rsid w:val="005E3BDC"/>
    <w:rsid w:val="005E5538"/>
    <w:rsid w:val="005E6280"/>
    <w:rsid w:val="005E6F82"/>
    <w:rsid w:val="005E794C"/>
    <w:rsid w:val="005F017C"/>
    <w:rsid w:val="005F0A28"/>
    <w:rsid w:val="005F0E5E"/>
    <w:rsid w:val="005F2E9C"/>
    <w:rsid w:val="00600535"/>
    <w:rsid w:val="0060312A"/>
    <w:rsid w:val="0060472B"/>
    <w:rsid w:val="00610CD6"/>
    <w:rsid w:val="00611D25"/>
    <w:rsid w:val="006123B9"/>
    <w:rsid w:val="00620D96"/>
    <w:rsid w:val="00620DEE"/>
    <w:rsid w:val="00621F92"/>
    <w:rsid w:val="0062280A"/>
    <w:rsid w:val="00622B3E"/>
    <w:rsid w:val="00623028"/>
    <w:rsid w:val="00623E40"/>
    <w:rsid w:val="006240B4"/>
    <w:rsid w:val="00625639"/>
    <w:rsid w:val="00626CA8"/>
    <w:rsid w:val="0062737B"/>
    <w:rsid w:val="0062771E"/>
    <w:rsid w:val="00627FCB"/>
    <w:rsid w:val="0063173C"/>
    <w:rsid w:val="00631B33"/>
    <w:rsid w:val="006322FB"/>
    <w:rsid w:val="006324F7"/>
    <w:rsid w:val="00632DAF"/>
    <w:rsid w:val="00633429"/>
    <w:rsid w:val="00633FCD"/>
    <w:rsid w:val="00637428"/>
    <w:rsid w:val="006415CC"/>
    <w:rsid w:val="0064184D"/>
    <w:rsid w:val="006422CC"/>
    <w:rsid w:val="00643B0A"/>
    <w:rsid w:val="006523D8"/>
    <w:rsid w:val="00652FFC"/>
    <w:rsid w:val="00653A9E"/>
    <w:rsid w:val="00653BFE"/>
    <w:rsid w:val="00653FD3"/>
    <w:rsid w:val="0065666F"/>
    <w:rsid w:val="00660E3E"/>
    <w:rsid w:val="0066196D"/>
    <w:rsid w:val="00661A99"/>
    <w:rsid w:val="00661AA9"/>
    <w:rsid w:val="00662E74"/>
    <w:rsid w:val="00664A66"/>
    <w:rsid w:val="006669AE"/>
    <w:rsid w:val="00666A43"/>
    <w:rsid w:val="00666E47"/>
    <w:rsid w:val="006706B4"/>
    <w:rsid w:val="00671B36"/>
    <w:rsid w:val="0067228F"/>
    <w:rsid w:val="00680C23"/>
    <w:rsid w:val="00680F1D"/>
    <w:rsid w:val="0068417B"/>
    <w:rsid w:val="00684D8C"/>
    <w:rsid w:val="00693766"/>
    <w:rsid w:val="006941CD"/>
    <w:rsid w:val="00694279"/>
    <w:rsid w:val="00694956"/>
    <w:rsid w:val="00697114"/>
    <w:rsid w:val="00697C87"/>
    <w:rsid w:val="006A3281"/>
    <w:rsid w:val="006A62BC"/>
    <w:rsid w:val="006B4888"/>
    <w:rsid w:val="006B632B"/>
    <w:rsid w:val="006C2E45"/>
    <w:rsid w:val="006C359C"/>
    <w:rsid w:val="006C36F7"/>
    <w:rsid w:val="006C5579"/>
    <w:rsid w:val="006D071B"/>
    <w:rsid w:val="006D2C46"/>
    <w:rsid w:val="006D2C83"/>
    <w:rsid w:val="006D47F4"/>
    <w:rsid w:val="006D5909"/>
    <w:rsid w:val="006D5EFE"/>
    <w:rsid w:val="006D6E8B"/>
    <w:rsid w:val="006E4BBB"/>
    <w:rsid w:val="006E737D"/>
    <w:rsid w:val="006F03B2"/>
    <w:rsid w:val="006F5090"/>
    <w:rsid w:val="0070210E"/>
    <w:rsid w:val="007075F0"/>
    <w:rsid w:val="00710BD1"/>
    <w:rsid w:val="007112F2"/>
    <w:rsid w:val="007132DE"/>
    <w:rsid w:val="00713973"/>
    <w:rsid w:val="0071765F"/>
    <w:rsid w:val="007208F6"/>
    <w:rsid w:val="00720A24"/>
    <w:rsid w:val="007210EA"/>
    <w:rsid w:val="00723A2E"/>
    <w:rsid w:val="00727145"/>
    <w:rsid w:val="00732386"/>
    <w:rsid w:val="0073514D"/>
    <w:rsid w:val="007360E4"/>
    <w:rsid w:val="007371EA"/>
    <w:rsid w:val="007419D5"/>
    <w:rsid w:val="00743012"/>
    <w:rsid w:val="007447F3"/>
    <w:rsid w:val="00745909"/>
    <w:rsid w:val="00746811"/>
    <w:rsid w:val="00750C3D"/>
    <w:rsid w:val="00751FD8"/>
    <w:rsid w:val="007526E1"/>
    <w:rsid w:val="007528D5"/>
    <w:rsid w:val="0075499F"/>
    <w:rsid w:val="00755B5B"/>
    <w:rsid w:val="007661C8"/>
    <w:rsid w:val="00767A6B"/>
    <w:rsid w:val="0077098D"/>
    <w:rsid w:val="007759F5"/>
    <w:rsid w:val="00781FE0"/>
    <w:rsid w:val="00783960"/>
    <w:rsid w:val="00785776"/>
    <w:rsid w:val="00790C9B"/>
    <w:rsid w:val="007931FA"/>
    <w:rsid w:val="007A0F75"/>
    <w:rsid w:val="007A4861"/>
    <w:rsid w:val="007A7127"/>
    <w:rsid w:val="007A7BBA"/>
    <w:rsid w:val="007B0C50"/>
    <w:rsid w:val="007B1820"/>
    <w:rsid w:val="007B48F9"/>
    <w:rsid w:val="007B6798"/>
    <w:rsid w:val="007C1A43"/>
    <w:rsid w:val="007C246D"/>
    <w:rsid w:val="007C70AE"/>
    <w:rsid w:val="007D1E50"/>
    <w:rsid w:val="007D4FA7"/>
    <w:rsid w:val="007E1868"/>
    <w:rsid w:val="007E3752"/>
    <w:rsid w:val="007E4823"/>
    <w:rsid w:val="007E60FE"/>
    <w:rsid w:val="007F1010"/>
    <w:rsid w:val="007F44E8"/>
    <w:rsid w:val="007F6321"/>
    <w:rsid w:val="0080013E"/>
    <w:rsid w:val="00801B52"/>
    <w:rsid w:val="00805A5D"/>
    <w:rsid w:val="00806086"/>
    <w:rsid w:val="00806B33"/>
    <w:rsid w:val="0081004D"/>
    <w:rsid w:val="00813288"/>
    <w:rsid w:val="00815924"/>
    <w:rsid w:val="008168FC"/>
    <w:rsid w:val="0081711B"/>
    <w:rsid w:val="008179F7"/>
    <w:rsid w:val="00821BC3"/>
    <w:rsid w:val="00821DC9"/>
    <w:rsid w:val="00826677"/>
    <w:rsid w:val="00827B65"/>
    <w:rsid w:val="00830996"/>
    <w:rsid w:val="00833404"/>
    <w:rsid w:val="00833FC6"/>
    <w:rsid w:val="008345F1"/>
    <w:rsid w:val="0084081D"/>
    <w:rsid w:val="008412BF"/>
    <w:rsid w:val="00847C82"/>
    <w:rsid w:val="0085395A"/>
    <w:rsid w:val="008608F5"/>
    <w:rsid w:val="00862543"/>
    <w:rsid w:val="00865B07"/>
    <w:rsid w:val="008667EA"/>
    <w:rsid w:val="008746A1"/>
    <w:rsid w:val="00875A0C"/>
    <w:rsid w:val="0087637F"/>
    <w:rsid w:val="00883EDB"/>
    <w:rsid w:val="0088470D"/>
    <w:rsid w:val="00886727"/>
    <w:rsid w:val="008875AD"/>
    <w:rsid w:val="00892AD5"/>
    <w:rsid w:val="0089785C"/>
    <w:rsid w:val="008A1512"/>
    <w:rsid w:val="008B4DF4"/>
    <w:rsid w:val="008B59FD"/>
    <w:rsid w:val="008B5D06"/>
    <w:rsid w:val="008B6168"/>
    <w:rsid w:val="008B676B"/>
    <w:rsid w:val="008B7344"/>
    <w:rsid w:val="008C3AF7"/>
    <w:rsid w:val="008C7CD0"/>
    <w:rsid w:val="008D32B9"/>
    <w:rsid w:val="008D433B"/>
    <w:rsid w:val="008D7156"/>
    <w:rsid w:val="008E1503"/>
    <w:rsid w:val="008E487A"/>
    <w:rsid w:val="008E566E"/>
    <w:rsid w:val="008E6492"/>
    <w:rsid w:val="008E7D10"/>
    <w:rsid w:val="008F558F"/>
    <w:rsid w:val="008F56E0"/>
    <w:rsid w:val="008F7C5D"/>
    <w:rsid w:val="00900D56"/>
    <w:rsid w:val="0090161A"/>
    <w:rsid w:val="00901B77"/>
    <w:rsid w:val="00901EB6"/>
    <w:rsid w:val="00904C2D"/>
    <w:rsid w:val="00904C62"/>
    <w:rsid w:val="00905347"/>
    <w:rsid w:val="00910FFE"/>
    <w:rsid w:val="009146CF"/>
    <w:rsid w:val="00920EAF"/>
    <w:rsid w:val="00922BA8"/>
    <w:rsid w:val="00924819"/>
    <w:rsid w:val="00924DAC"/>
    <w:rsid w:val="00925B12"/>
    <w:rsid w:val="00927058"/>
    <w:rsid w:val="00940D45"/>
    <w:rsid w:val="00942750"/>
    <w:rsid w:val="009439A0"/>
    <w:rsid w:val="009450CE"/>
    <w:rsid w:val="00947179"/>
    <w:rsid w:val="009473BF"/>
    <w:rsid w:val="0095164B"/>
    <w:rsid w:val="00954090"/>
    <w:rsid w:val="009573E7"/>
    <w:rsid w:val="00963E05"/>
    <w:rsid w:val="0096683C"/>
    <w:rsid w:val="00967843"/>
    <w:rsid w:val="00967D54"/>
    <w:rsid w:val="00971028"/>
    <w:rsid w:val="0097409A"/>
    <w:rsid w:val="00980F9E"/>
    <w:rsid w:val="00981D47"/>
    <w:rsid w:val="00982F73"/>
    <w:rsid w:val="00987C5F"/>
    <w:rsid w:val="00993B84"/>
    <w:rsid w:val="00995FBB"/>
    <w:rsid w:val="00996483"/>
    <w:rsid w:val="00996F5A"/>
    <w:rsid w:val="009A5064"/>
    <w:rsid w:val="009B010F"/>
    <w:rsid w:val="009B041A"/>
    <w:rsid w:val="009B2173"/>
    <w:rsid w:val="009B49B6"/>
    <w:rsid w:val="009B4D4C"/>
    <w:rsid w:val="009C37C3"/>
    <w:rsid w:val="009C3CD6"/>
    <w:rsid w:val="009C55F4"/>
    <w:rsid w:val="009C587A"/>
    <w:rsid w:val="009C7C86"/>
    <w:rsid w:val="009D0059"/>
    <w:rsid w:val="009D2FF7"/>
    <w:rsid w:val="009D7B62"/>
    <w:rsid w:val="009E21BD"/>
    <w:rsid w:val="009E231B"/>
    <w:rsid w:val="009E5A81"/>
    <w:rsid w:val="009E7884"/>
    <w:rsid w:val="009E788A"/>
    <w:rsid w:val="009F0E08"/>
    <w:rsid w:val="009F4A0C"/>
    <w:rsid w:val="009F58C3"/>
    <w:rsid w:val="00A07265"/>
    <w:rsid w:val="00A1480B"/>
    <w:rsid w:val="00A16140"/>
    <w:rsid w:val="00A1763D"/>
    <w:rsid w:val="00A17CEC"/>
    <w:rsid w:val="00A17DEB"/>
    <w:rsid w:val="00A2102D"/>
    <w:rsid w:val="00A2199F"/>
    <w:rsid w:val="00A2628C"/>
    <w:rsid w:val="00A27EF0"/>
    <w:rsid w:val="00A34857"/>
    <w:rsid w:val="00A36389"/>
    <w:rsid w:val="00A37032"/>
    <w:rsid w:val="00A42361"/>
    <w:rsid w:val="00A42377"/>
    <w:rsid w:val="00A50B20"/>
    <w:rsid w:val="00A51390"/>
    <w:rsid w:val="00A51C70"/>
    <w:rsid w:val="00A56EB5"/>
    <w:rsid w:val="00A60D13"/>
    <w:rsid w:val="00A61664"/>
    <w:rsid w:val="00A630AA"/>
    <w:rsid w:val="00A63131"/>
    <w:rsid w:val="00A643B3"/>
    <w:rsid w:val="00A6582D"/>
    <w:rsid w:val="00A70B1C"/>
    <w:rsid w:val="00A70EDB"/>
    <w:rsid w:val="00A71000"/>
    <w:rsid w:val="00A72745"/>
    <w:rsid w:val="00A76EFC"/>
    <w:rsid w:val="00A806A7"/>
    <w:rsid w:val="00A8235D"/>
    <w:rsid w:val="00A87660"/>
    <w:rsid w:val="00A91010"/>
    <w:rsid w:val="00A973DE"/>
    <w:rsid w:val="00A97F29"/>
    <w:rsid w:val="00AA192E"/>
    <w:rsid w:val="00AA702E"/>
    <w:rsid w:val="00AB0964"/>
    <w:rsid w:val="00AB3C24"/>
    <w:rsid w:val="00AB5011"/>
    <w:rsid w:val="00AC2310"/>
    <w:rsid w:val="00AC7368"/>
    <w:rsid w:val="00AC79AA"/>
    <w:rsid w:val="00AD16B9"/>
    <w:rsid w:val="00AD209B"/>
    <w:rsid w:val="00AD20A2"/>
    <w:rsid w:val="00AD3963"/>
    <w:rsid w:val="00AD5FB1"/>
    <w:rsid w:val="00AE377D"/>
    <w:rsid w:val="00AE40CF"/>
    <w:rsid w:val="00AE6474"/>
    <w:rsid w:val="00AE7D18"/>
    <w:rsid w:val="00AF0988"/>
    <w:rsid w:val="00AF0EBA"/>
    <w:rsid w:val="00AF156D"/>
    <w:rsid w:val="00B008BD"/>
    <w:rsid w:val="00B02C8A"/>
    <w:rsid w:val="00B07641"/>
    <w:rsid w:val="00B17FBD"/>
    <w:rsid w:val="00B210D6"/>
    <w:rsid w:val="00B240EF"/>
    <w:rsid w:val="00B257CA"/>
    <w:rsid w:val="00B315A6"/>
    <w:rsid w:val="00B31813"/>
    <w:rsid w:val="00B32837"/>
    <w:rsid w:val="00B33365"/>
    <w:rsid w:val="00B35DFD"/>
    <w:rsid w:val="00B37054"/>
    <w:rsid w:val="00B3797E"/>
    <w:rsid w:val="00B44F9E"/>
    <w:rsid w:val="00B450C2"/>
    <w:rsid w:val="00B57B36"/>
    <w:rsid w:val="00B57E6F"/>
    <w:rsid w:val="00B60F91"/>
    <w:rsid w:val="00B63394"/>
    <w:rsid w:val="00B64CED"/>
    <w:rsid w:val="00B67208"/>
    <w:rsid w:val="00B67D6F"/>
    <w:rsid w:val="00B71DC8"/>
    <w:rsid w:val="00B76D60"/>
    <w:rsid w:val="00B80C1E"/>
    <w:rsid w:val="00B85009"/>
    <w:rsid w:val="00B86291"/>
    <w:rsid w:val="00B8686D"/>
    <w:rsid w:val="00B876C1"/>
    <w:rsid w:val="00B90282"/>
    <w:rsid w:val="00B924E3"/>
    <w:rsid w:val="00B93F69"/>
    <w:rsid w:val="00BA2A69"/>
    <w:rsid w:val="00BA4200"/>
    <w:rsid w:val="00BA4A5A"/>
    <w:rsid w:val="00BA64CB"/>
    <w:rsid w:val="00BB1DDC"/>
    <w:rsid w:val="00BB6049"/>
    <w:rsid w:val="00BC1C3E"/>
    <w:rsid w:val="00BC30C9"/>
    <w:rsid w:val="00BC47E3"/>
    <w:rsid w:val="00BC71A0"/>
    <w:rsid w:val="00BD077D"/>
    <w:rsid w:val="00BD2324"/>
    <w:rsid w:val="00BE3E58"/>
    <w:rsid w:val="00BE4D7E"/>
    <w:rsid w:val="00BF1FC5"/>
    <w:rsid w:val="00BF7081"/>
    <w:rsid w:val="00BF78A0"/>
    <w:rsid w:val="00C01616"/>
    <w:rsid w:val="00C0162B"/>
    <w:rsid w:val="00C068ED"/>
    <w:rsid w:val="00C12E2C"/>
    <w:rsid w:val="00C20117"/>
    <w:rsid w:val="00C22CC7"/>
    <w:rsid w:val="00C22E0C"/>
    <w:rsid w:val="00C24F6B"/>
    <w:rsid w:val="00C25BAE"/>
    <w:rsid w:val="00C27200"/>
    <w:rsid w:val="00C27242"/>
    <w:rsid w:val="00C27761"/>
    <w:rsid w:val="00C30076"/>
    <w:rsid w:val="00C319A7"/>
    <w:rsid w:val="00C345B1"/>
    <w:rsid w:val="00C40142"/>
    <w:rsid w:val="00C40BF6"/>
    <w:rsid w:val="00C41D51"/>
    <w:rsid w:val="00C44C6C"/>
    <w:rsid w:val="00C45206"/>
    <w:rsid w:val="00C45C6F"/>
    <w:rsid w:val="00C527E7"/>
    <w:rsid w:val="00C52C3C"/>
    <w:rsid w:val="00C56CA1"/>
    <w:rsid w:val="00C57182"/>
    <w:rsid w:val="00C57863"/>
    <w:rsid w:val="00C60A8E"/>
    <w:rsid w:val="00C655FD"/>
    <w:rsid w:val="00C65F8F"/>
    <w:rsid w:val="00C66BA4"/>
    <w:rsid w:val="00C70991"/>
    <w:rsid w:val="00C71068"/>
    <w:rsid w:val="00C711C1"/>
    <w:rsid w:val="00C75407"/>
    <w:rsid w:val="00C83761"/>
    <w:rsid w:val="00C84041"/>
    <w:rsid w:val="00C870A8"/>
    <w:rsid w:val="00C9397F"/>
    <w:rsid w:val="00C94434"/>
    <w:rsid w:val="00CA0D75"/>
    <w:rsid w:val="00CA1C95"/>
    <w:rsid w:val="00CA5A9C"/>
    <w:rsid w:val="00CB0733"/>
    <w:rsid w:val="00CB3308"/>
    <w:rsid w:val="00CC4C20"/>
    <w:rsid w:val="00CD19E2"/>
    <w:rsid w:val="00CD3517"/>
    <w:rsid w:val="00CD380B"/>
    <w:rsid w:val="00CD5FE2"/>
    <w:rsid w:val="00CD6271"/>
    <w:rsid w:val="00CD74D5"/>
    <w:rsid w:val="00CE51EE"/>
    <w:rsid w:val="00CE7C68"/>
    <w:rsid w:val="00CF15E0"/>
    <w:rsid w:val="00CF1BCF"/>
    <w:rsid w:val="00CF2136"/>
    <w:rsid w:val="00CF214A"/>
    <w:rsid w:val="00CF7BC1"/>
    <w:rsid w:val="00D01A87"/>
    <w:rsid w:val="00D02B4C"/>
    <w:rsid w:val="00D040C4"/>
    <w:rsid w:val="00D0536B"/>
    <w:rsid w:val="00D11C35"/>
    <w:rsid w:val="00D11D5D"/>
    <w:rsid w:val="00D20416"/>
    <w:rsid w:val="00D21B05"/>
    <w:rsid w:val="00D232D8"/>
    <w:rsid w:val="00D23954"/>
    <w:rsid w:val="00D24D5B"/>
    <w:rsid w:val="00D2614E"/>
    <w:rsid w:val="00D32879"/>
    <w:rsid w:val="00D3687A"/>
    <w:rsid w:val="00D444D2"/>
    <w:rsid w:val="00D448D0"/>
    <w:rsid w:val="00D44E0C"/>
    <w:rsid w:val="00D4560B"/>
    <w:rsid w:val="00D46B7E"/>
    <w:rsid w:val="00D47E2F"/>
    <w:rsid w:val="00D57C84"/>
    <w:rsid w:val="00D57CEA"/>
    <w:rsid w:val="00D6057D"/>
    <w:rsid w:val="00D613F6"/>
    <w:rsid w:val="00D663C3"/>
    <w:rsid w:val="00D6718C"/>
    <w:rsid w:val="00D718F7"/>
    <w:rsid w:val="00D71B59"/>
    <w:rsid w:val="00D722A0"/>
    <w:rsid w:val="00D80D15"/>
    <w:rsid w:val="00D836C5"/>
    <w:rsid w:val="00D84576"/>
    <w:rsid w:val="00D86EEA"/>
    <w:rsid w:val="00DA1399"/>
    <w:rsid w:val="00DA22B4"/>
    <w:rsid w:val="00DA24C6"/>
    <w:rsid w:val="00DA4D7B"/>
    <w:rsid w:val="00DB408A"/>
    <w:rsid w:val="00DC1E33"/>
    <w:rsid w:val="00DC2C89"/>
    <w:rsid w:val="00DC5CB4"/>
    <w:rsid w:val="00DD1560"/>
    <w:rsid w:val="00DD6736"/>
    <w:rsid w:val="00DE264A"/>
    <w:rsid w:val="00DE6AD1"/>
    <w:rsid w:val="00DE6D33"/>
    <w:rsid w:val="00DE7C1D"/>
    <w:rsid w:val="00DF5072"/>
    <w:rsid w:val="00DF5B53"/>
    <w:rsid w:val="00E02D18"/>
    <w:rsid w:val="00E03457"/>
    <w:rsid w:val="00E04043"/>
    <w:rsid w:val="00E041E7"/>
    <w:rsid w:val="00E111FC"/>
    <w:rsid w:val="00E20223"/>
    <w:rsid w:val="00E221B6"/>
    <w:rsid w:val="00E235BF"/>
    <w:rsid w:val="00E23CA1"/>
    <w:rsid w:val="00E35312"/>
    <w:rsid w:val="00E37A3E"/>
    <w:rsid w:val="00E405F7"/>
    <w:rsid w:val="00E406BA"/>
    <w:rsid w:val="00E409A8"/>
    <w:rsid w:val="00E43B76"/>
    <w:rsid w:val="00E50C12"/>
    <w:rsid w:val="00E52169"/>
    <w:rsid w:val="00E536EA"/>
    <w:rsid w:val="00E53E09"/>
    <w:rsid w:val="00E544C8"/>
    <w:rsid w:val="00E60D16"/>
    <w:rsid w:val="00E62FA8"/>
    <w:rsid w:val="00E6385E"/>
    <w:rsid w:val="00E65B91"/>
    <w:rsid w:val="00E7153C"/>
    <w:rsid w:val="00E71999"/>
    <w:rsid w:val="00E71D3C"/>
    <w:rsid w:val="00E7209D"/>
    <w:rsid w:val="00E72135"/>
    <w:rsid w:val="00E72EAD"/>
    <w:rsid w:val="00E73582"/>
    <w:rsid w:val="00E74E67"/>
    <w:rsid w:val="00E7688E"/>
    <w:rsid w:val="00E77223"/>
    <w:rsid w:val="00E82A5F"/>
    <w:rsid w:val="00E830DC"/>
    <w:rsid w:val="00E83525"/>
    <w:rsid w:val="00E8528B"/>
    <w:rsid w:val="00E85B94"/>
    <w:rsid w:val="00E939C2"/>
    <w:rsid w:val="00E95750"/>
    <w:rsid w:val="00E978D0"/>
    <w:rsid w:val="00EA38A3"/>
    <w:rsid w:val="00EA3CAA"/>
    <w:rsid w:val="00EA3DC7"/>
    <w:rsid w:val="00EA4613"/>
    <w:rsid w:val="00EA7F91"/>
    <w:rsid w:val="00EB1523"/>
    <w:rsid w:val="00EB171C"/>
    <w:rsid w:val="00EB5E3E"/>
    <w:rsid w:val="00EB62A6"/>
    <w:rsid w:val="00EB66D9"/>
    <w:rsid w:val="00EC07A6"/>
    <w:rsid w:val="00EC0E49"/>
    <w:rsid w:val="00EC101F"/>
    <w:rsid w:val="00EC1D9F"/>
    <w:rsid w:val="00ED0F90"/>
    <w:rsid w:val="00ED259E"/>
    <w:rsid w:val="00ED4923"/>
    <w:rsid w:val="00ED4A81"/>
    <w:rsid w:val="00ED59EC"/>
    <w:rsid w:val="00ED6BD7"/>
    <w:rsid w:val="00EE0131"/>
    <w:rsid w:val="00EE17B0"/>
    <w:rsid w:val="00EF0532"/>
    <w:rsid w:val="00EF06D9"/>
    <w:rsid w:val="00EF1264"/>
    <w:rsid w:val="00EF183E"/>
    <w:rsid w:val="00EF3D3B"/>
    <w:rsid w:val="00EF55C7"/>
    <w:rsid w:val="00EF5B31"/>
    <w:rsid w:val="00EF6D7C"/>
    <w:rsid w:val="00EF7DD7"/>
    <w:rsid w:val="00F018F0"/>
    <w:rsid w:val="00F05ED9"/>
    <w:rsid w:val="00F12917"/>
    <w:rsid w:val="00F1384F"/>
    <w:rsid w:val="00F154E2"/>
    <w:rsid w:val="00F15A6B"/>
    <w:rsid w:val="00F17977"/>
    <w:rsid w:val="00F30B8F"/>
    <w:rsid w:val="00F30C64"/>
    <w:rsid w:val="00F32BA2"/>
    <w:rsid w:val="00F32CDB"/>
    <w:rsid w:val="00F33FBB"/>
    <w:rsid w:val="00F34E29"/>
    <w:rsid w:val="00F362B5"/>
    <w:rsid w:val="00F41472"/>
    <w:rsid w:val="00F41887"/>
    <w:rsid w:val="00F42C39"/>
    <w:rsid w:val="00F44B10"/>
    <w:rsid w:val="00F46B7E"/>
    <w:rsid w:val="00F53A22"/>
    <w:rsid w:val="00F565FE"/>
    <w:rsid w:val="00F63A70"/>
    <w:rsid w:val="00F6531A"/>
    <w:rsid w:val="00F67B6D"/>
    <w:rsid w:val="00F721B3"/>
    <w:rsid w:val="00F72CCF"/>
    <w:rsid w:val="00F731CD"/>
    <w:rsid w:val="00F746BA"/>
    <w:rsid w:val="00F7534E"/>
    <w:rsid w:val="00F80BFB"/>
    <w:rsid w:val="00F837FC"/>
    <w:rsid w:val="00F85D44"/>
    <w:rsid w:val="00F873DD"/>
    <w:rsid w:val="00F9272B"/>
    <w:rsid w:val="00FA0219"/>
    <w:rsid w:val="00FA0554"/>
    <w:rsid w:val="00FA09FE"/>
    <w:rsid w:val="00FA1816"/>
    <w:rsid w:val="00FA21D0"/>
    <w:rsid w:val="00FA5A2F"/>
    <w:rsid w:val="00FA5E6E"/>
    <w:rsid w:val="00FA5F5F"/>
    <w:rsid w:val="00FB1796"/>
    <w:rsid w:val="00FB730C"/>
    <w:rsid w:val="00FC2695"/>
    <w:rsid w:val="00FC3E03"/>
    <w:rsid w:val="00FC3FC1"/>
    <w:rsid w:val="00FC75A7"/>
    <w:rsid w:val="00FC7ACE"/>
    <w:rsid w:val="00FD6FC3"/>
    <w:rsid w:val="00FD7F67"/>
    <w:rsid w:val="00FF30A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C37F57AE-7984-498B-AEEC-FF5A7B5A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unhideWhenUsed/>
    <w:rsid w:val="0003148D"/>
    <w:pPr>
      <w:spacing w:after="120"/>
    </w:pPr>
  </w:style>
  <w:style w:type="character" w:customStyle="1" w:styleId="CorpotestoCarattere">
    <w:name w:val="Corpo testo Carattere"/>
    <w:basedOn w:val="Carpredefinitoparagrafo"/>
    <w:link w:val="Corpotesto"/>
    <w:uiPriority w:val="99"/>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jlqj4b">
    <w:name w:val="jlqj4b"/>
    <w:basedOn w:val="Carpredefinitoparagrafo"/>
    <w:rsid w:val="00BE4D7E"/>
  </w:style>
  <w:style w:type="character" w:customStyle="1" w:styleId="UnresolvedMention1">
    <w:name w:val="Unresolved Mention1"/>
    <w:basedOn w:val="Carpredefinitoparagrafo"/>
    <w:uiPriority w:val="99"/>
    <w:semiHidden/>
    <w:unhideWhenUsed/>
    <w:rsid w:val="002737FA"/>
    <w:rPr>
      <w:color w:val="605E5C"/>
      <w:shd w:val="clear" w:color="auto" w:fill="E1DFDD"/>
    </w:rPr>
  </w:style>
  <w:style w:type="character" w:styleId="Collegamentovisitato">
    <w:name w:val="FollowedHyperlink"/>
    <w:basedOn w:val="Carpredefinitoparagrafo"/>
    <w:uiPriority w:val="99"/>
    <w:semiHidden/>
    <w:unhideWhenUsed/>
    <w:rsid w:val="002737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824A-4688-4EA2-B1A5-699AD975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6</Pages>
  <Words>3736</Words>
  <Characters>21299</Characters>
  <Application>Microsoft Office Word</Application>
  <DocSecurity>0</DocSecurity>
  <Lines>177</Lines>
  <Paragraphs>49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Marco Vocciante</cp:lastModifiedBy>
  <cp:revision>28</cp:revision>
  <cp:lastPrinted>2015-05-12T18:31:00Z</cp:lastPrinted>
  <dcterms:created xsi:type="dcterms:W3CDTF">2022-03-01T23:39:00Z</dcterms:created>
  <dcterms:modified xsi:type="dcterms:W3CDTF">2022-03-02T08:12:00Z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