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92891902"/>
            <w:bookmarkStart w:id="1" w:name="_GoBack"/>
            <w:bookmarkEnd w:id="0"/>
            <w:bookmarkEnd w:id="1"/>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6CE52C7C" w:rsidR="000A03B2" w:rsidRPr="00B57B36" w:rsidRDefault="0014464F" w:rsidP="00180860">
            <w:pPr>
              <w:tabs>
                <w:tab w:val="left" w:pos="-108"/>
              </w:tabs>
              <w:spacing w:line="140" w:lineRule="atLeast"/>
              <w:ind w:left="-108"/>
              <w:jc w:val="left"/>
            </w:pPr>
            <w:r>
              <w:rPr>
                <w:rFonts w:ascii="Tahoma" w:hAnsi="Tahoma" w:cs="Tahoma"/>
                <w:iCs/>
                <w:color w:val="333333"/>
                <w:sz w:val="14"/>
                <w:szCs w:val="14"/>
                <w:lang w:eastAsia="it-IT"/>
              </w:rPr>
              <w:t xml:space="preserve">Copyright © </w:t>
            </w:r>
            <w:r w:rsidR="00904C62" w:rsidRPr="00B57B36">
              <w:rPr>
                <w:rFonts w:ascii="Tahoma" w:hAnsi="Tahoma" w:cs="Tahoma"/>
                <w:iCs/>
                <w:color w:val="333333"/>
                <w:sz w:val="14"/>
                <w:szCs w:val="14"/>
                <w:lang w:eastAsia="it-IT"/>
              </w:rPr>
              <w:t xml:space="preserve"> AIDIC Servizi S.r.l.</w:t>
            </w:r>
            <w:r w:rsidR="00300E56" w:rsidRPr="00B57B36">
              <w:rPr>
                <w:rFonts w:ascii="Tahoma" w:hAnsi="Tahoma" w:cs="Tahoma"/>
                <w:iCs/>
                <w:color w:val="333333"/>
                <w:sz w:val="14"/>
                <w:szCs w:val="14"/>
                <w:lang w:eastAsia="it-IT"/>
              </w:rPr>
              <w:br/>
            </w:r>
            <w:r w:rsidR="00180860" w:rsidRPr="00B57B36">
              <w:rPr>
                <w:rFonts w:ascii="Tahoma" w:hAnsi="Tahoma" w:cs="Tahoma"/>
                <w:b/>
                <w:iCs/>
                <w:color w:val="333333"/>
                <w:sz w:val="14"/>
                <w:szCs w:val="14"/>
                <w:lang w:eastAsia="it-IT"/>
              </w:rPr>
              <w:t>IS</w:t>
            </w:r>
            <w:r w:rsidR="00180860">
              <w:rPr>
                <w:rFonts w:ascii="Tahoma" w:hAnsi="Tahoma" w:cs="Tahoma"/>
                <w:b/>
                <w:iCs/>
                <w:color w:val="333333"/>
                <w:sz w:val="14"/>
                <w:szCs w:val="14"/>
                <w:lang w:eastAsia="it-IT"/>
              </w:rPr>
              <w:t xml:space="preserve">BN </w:t>
            </w:r>
            <w:r w:rsidR="00180860" w:rsidRPr="00D642A9">
              <w:rPr>
                <w:rFonts w:ascii="Tahoma" w:hAnsi="Tahoma" w:cs="Tahoma"/>
                <w:sz w:val="14"/>
                <w:szCs w:val="14"/>
                <w:lang w:val="en-US"/>
              </w:rPr>
              <w:t>978-88-95608</w:t>
            </w:r>
            <w:r w:rsidR="00180860">
              <w:rPr>
                <w:rFonts w:ascii="Tahoma" w:hAnsi="Tahoma" w:cs="Tahoma"/>
                <w:sz w:val="14"/>
                <w:szCs w:val="14"/>
                <w:lang w:val="en-US"/>
              </w:rPr>
              <w:t xml:space="preserve">-xx-x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006A528E" w:rsidR="00E978D0" w:rsidRPr="00B57B36" w:rsidRDefault="00C24997" w:rsidP="000E455B">
      <w:pPr>
        <w:pStyle w:val="CETTitle"/>
      </w:pPr>
      <w:r w:rsidRPr="00C24997">
        <w:t>Earthquake NaTech risk assessment in major-hazard industrial plants, a case study: cylindrical liquid storage tank with floating roof</w:t>
      </w:r>
    </w:p>
    <w:p w14:paraId="2B3CA35C" w14:textId="7145A0B5" w:rsidR="00E978D0" w:rsidRPr="00C24997" w:rsidRDefault="00C24997" w:rsidP="000E455B">
      <w:pPr>
        <w:pStyle w:val="CETAuthors"/>
        <w:rPr>
          <w:lang w:val="it-IT"/>
        </w:rPr>
      </w:pPr>
      <w:r w:rsidRPr="00C24997">
        <w:rPr>
          <w:lang w:val="it-IT"/>
        </w:rPr>
        <w:t>Michela Salimbeni</w:t>
      </w:r>
      <w:r w:rsidR="00600535" w:rsidRPr="00C24997">
        <w:rPr>
          <w:vertAlign w:val="superscript"/>
          <w:lang w:val="it-IT"/>
        </w:rPr>
        <w:t>a</w:t>
      </w:r>
      <w:r w:rsidR="000E455B">
        <w:rPr>
          <w:vertAlign w:val="superscript"/>
          <w:lang w:val="it-IT"/>
        </w:rPr>
        <w:t>,</w:t>
      </w:r>
      <w:r w:rsidR="000E455B" w:rsidRPr="000E455B">
        <w:rPr>
          <w:lang w:val="it-IT"/>
        </w:rPr>
        <w:t>*</w:t>
      </w:r>
      <w:r w:rsidR="00600535" w:rsidRPr="00C24997">
        <w:rPr>
          <w:lang w:val="it-IT"/>
        </w:rPr>
        <w:t xml:space="preserve">, </w:t>
      </w:r>
      <w:r w:rsidRPr="00C24997">
        <w:rPr>
          <w:lang w:val="it-IT"/>
        </w:rPr>
        <w:t>Maurizio De Angelis</w:t>
      </w:r>
      <w:r w:rsidRPr="00C24997">
        <w:rPr>
          <w:vertAlign w:val="superscript"/>
          <w:lang w:val="it-IT"/>
        </w:rPr>
        <w:t>a</w:t>
      </w:r>
      <w:r w:rsidRPr="00C24997">
        <w:rPr>
          <w:lang w:val="it-IT"/>
        </w:rPr>
        <w:t>,</w:t>
      </w:r>
      <w:r>
        <w:rPr>
          <w:lang w:val="it-IT"/>
        </w:rPr>
        <w:t xml:space="preserve"> </w:t>
      </w:r>
      <w:r w:rsidRPr="00C24997">
        <w:rPr>
          <w:lang w:val="it-IT"/>
        </w:rPr>
        <w:t>Mariano Ciucci</w:t>
      </w:r>
      <w:r w:rsidR="00600535" w:rsidRPr="00C24997">
        <w:rPr>
          <w:vertAlign w:val="superscript"/>
          <w:lang w:val="it-IT"/>
        </w:rPr>
        <w:t>b</w:t>
      </w:r>
    </w:p>
    <w:p w14:paraId="5053C5A8" w14:textId="7A87CF53" w:rsidR="00E978D0" w:rsidRPr="00B57B36" w:rsidRDefault="00E978D0" w:rsidP="000E455B">
      <w:pPr>
        <w:pStyle w:val="CETAddress"/>
      </w:pPr>
      <w:r w:rsidRPr="00B57B36">
        <w:rPr>
          <w:vertAlign w:val="superscript"/>
        </w:rPr>
        <w:t>a</w:t>
      </w:r>
      <w:r w:rsidR="00C24997" w:rsidRPr="00C24997">
        <w:t xml:space="preserve"> Sapienza University of Rome, Department of Structural and Geotechnical Engineering</w:t>
      </w:r>
      <w:r w:rsidR="00C24997">
        <w:t>, via Eudossiana 18, Rome</w:t>
      </w:r>
    </w:p>
    <w:p w14:paraId="38D29194" w14:textId="6228A092" w:rsidR="00E978D0" w:rsidRPr="000E455B" w:rsidRDefault="00E978D0" w:rsidP="000E455B">
      <w:pPr>
        <w:pStyle w:val="CETAddress"/>
      </w:pPr>
      <w:r w:rsidRPr="00B57B36">
        <w:rPr>
          <w:vertAlign w:val="superscript"/>
        </w:rPr>
        <w:t>b</w:t>
      </w:r>
      <w:r w:rsidR="00C24997" w:rsidRPr="00C24997">
        <w:t xml:space="preserve"> </w:t>
      </w:r>
      <w:r w:rsidR="00C24997" w:rsidRPr="000E455B">
        <w:t>INAIL, Department of Technological Innovations and Safety of Plants</w:t>
      </w:r>
      <w:r w:rsidRPr="000E455B">
        <w:t>,</w:t>
      </w:r>
      <w:r w:rsidR="00C24997" w:rsidRPr="000E455B">
        <w:t xml:space="preserve"> via del Torraccio di Torrenova</w:t>
      </w:r>
      <w:r w:rsidRPr="000E455B">
        <w:t xml:space="preserve"> </w:t>
      </w:r>
    </w:p>
    <w:p w14:paraId="0127A28D" w14:textId="34368BA4" w:rsidR="00E978D0" w:rsidRDefault="00AB5011" w:rsidP="000E455B">
      <w:pPr>
        <w:pStyle w:val="CETemail"/>
      </w:pPr>
      <w:r>
        <w:t xml:space="preserve"> </w:t>
      </w:r>
      <w:r w:rsidR="00C24997">
        <w:t>michela.salimbeni@uniroma1.it</w:t>
      </w:r>
      <w:r w:rsidR="00600535" w:rsidRPr="00B57B36">
        <w:t xml:space="preserve"> </w:t>
      </w:r>
    </w:p>
    <w:p w14:paraId="2B97DC76" w14:textId="77777777" w:rsidR="000E455B" w:rsidRPr="00B57B36" w:rsidRDefault="000E455B" w:rsidP="000E455B">
      <w:pPr>
        <w:pStyle w:val="CETAddress"/>
      </w:pPr>
    </w:p>
    <w:p w14:paraId="2FFDF109" w14:textId="61F60157" w:rsidR="00954102" w:rsidRDefault="00954102" w:rsidP="008E157E">
      <w:pPr>
        <w:pStyle w:val="CETBodytext"/>
        <w:rPr>
          <w:b/>
        </w:rPr>
      </w:pPr>
      <w:r w:rsidRPr="00704DA5">
        <w:t xml:space="preserve">The experience of several failures of equipment in industrial plants due to earthquake has shown that incidental scenarios like explosion, fire or hazardous release can occur. In Italy, industrial plants that operate with hazardous substances are subject to </w:t>
      </w:r>
      <w:r w:rsidR="00CC6AFE" w:rsidRPr="00704DA5">
        <w:t>Italian</w:t>
      </w:r>
      <w:r w:rsidRPr="00704DA5">
        <w:t xml:space="preserve"> standard D.Lgs. 105/2015, that requires to carry out a risk analysis, also considering the seismic risk. Earthquake is one of the natural events which is part of NaTech events (Natural Hazard Triggering Technological Disasters)</w:t>
      </w:r>
      <w:r w:rsidR="00704DA5" w:rsidRPr="00704DA5">
        <w:t xml:space="preserve">. </w:t>
      </w:r>
      <w:r w:rsidRPr="00704DA5">
        <w:t xml:space="preserve">The aim of this paper is to </w:t>
      </w:r>
      <w:r w:rsidR="00035527">
        <w:t>discuss a critical aspect</w:t>
      </w:r>
      <w:r w:rsidR="00B30B03">
        <w:t xml:space="preserve"> about</w:t>
      </w:r>
      <w:r w:rsidRPr="00704DA5">
        <w:t xml:space="preserve"> methodology </w:t>
      </w:r>
      <w:r w:rsidR="00704DA5">
        <w:t>for assessment of</w:t>
      </w:r>
      <w:r w:rsidR="00DE0AE7">
        <w:t xml:space="preserve"> the earthquake NaT</w:t>
      </w:r>
      <w:r w:rsidRPr="00704DA5">
        <w:t>ech risk in major-hazard industrial plants</w:t>
      </w:r>
      <w:r w:rsidR="00704DA5">
        <w:t xml:space="preserve">. </w:t>
      </w:r>
      <w:r w:rsidR="008E157E" w:rsidRPr="00704DA5">
        <w:rPr>
          <w:bCs/>
        </w:rPr>
        <w:t>Particularly,</w:t>
      </w:r>
      <w:r w:rsidR="00E7147D" w:rsidRPr="00704DA5">
        <w:rPr>
          <w:bCs/>
        </w:rPr>
        <w:t xml:space="preserve"> </w:t>
      </w:r>
      <w:r w:rsidR="008E157E" w:rsidRPr="00704DA5">
        <w:rPr>
          <w:bCs/>
        </w:rPr>
        <w:t>t</w:t>
      </w:r>
      <w:r w:rsidRPr="00704DA5">
        <w:rPr>
          <w:bCs/>
        </w:rPr>
        <w:t>o</w:t>
      </w:r>
      <w:r w:rsidRPr="00704DA5">
        <w:t xml:space="preserve"> evaluate the seismic vulnerability of equipment, both data from a structural safety verification and fragility curves can be used. At the end of the seismic vulnerability analysis, it should be identified the possible </w:t>
      </w:r>
      <w:r w:rsidR="00B30B03">
        <w:t>incidental</w:t>
      </w:r>
      <w:r w:rsidRPr="00704DA5">
        <w:t xml:space="preserve"> scenarios involving one or more industrial components and, for each scenario, to evaluate the frequency of occurrence.</w:t>
      </w:r>
      <w:r w:rsidRPr="00704DA5">
        <w:rPr>
          <w:b/>
        </w:rPr>
        <w:t xml:space="preserve"> </w:t>
      </w:r>
      <w:r w:rsidRPr="00704DA5">
        <w:t>The attention is focused on a typical industrial equipment, a cylindrical liquid storage tanks with floating roof. Not only failure of structural elements can cause hazardous release, but also the non-structural elements must be considered. Particularly, the presence of floating roof and the seal rim is often neglected in seismic analysis and, consequently, in risk analysis.</w:t>
      </w:r>
    </w:p>
    <w:p w14:paraId="48733AB9" w14:textId="2E488AB4" w:rsidR="00344B81" w:rsidRPr="00954102" w:rsidRDefault="00600535" w:rsidP="00954102">
      <w:pPr>
        <w:pStyle w:val="CETHeading1"/>
        <w:rPr>
          <w:b w:val="0"/>
          <w:sz w:val="18"/>
          <w:lang w:val="en-GB"/>
        </w:rPr>
      </w:pPr>
      <w:r w:rsidRPr="00954102">
        <w:t>Introduction</w:t>
      </w:r>
    </w:p>
    <w:p w14:paraId="204E0DFF" w14:textId="1E522A1E" w:rsidR="00344B81" w:rsidRPr="00344B81" w:rsidRDefault="000C6A8E" w:rsidP="00344B81">
      <w:pPr>
        <w:pStyle w:val="CETBodytext"/>
        <w:rPr>
          <w:b/>
          <w:sz w:val="20"/>
        </w:rPr>
      </w:pPr>
      <w:r>
        <w:t>P</w:t>
      </w:r>
      <w:r w:rsidR="00344B81">
        <w:t>ast</w:t>
      </w:r>
      <w:r w:rsidR="00344B81" w:rsidRPr="00344B81">
        <w:t xml:space="preserve"> </w:t>
      </w:r>
      <w:r w:rsidR="00344B81">
        <w:t xml:space="preserve">earthquakes </w:t>
      </w:r>
      <w:r w:rsidR="00245D7A">
        <w:t>like</w:t>
      </w:r>
      <w:r w:rsidR="00877F8A">
        <w:t xml:space="preserve"> Long Beach </w:t>
      </w:r>
      <w:r w:rsidR="00100E0F">
        <w:t xml:space="preserve">in </w:t>
      </w:r>
      <w:r w:rsidR="00877F8A">
        <w:t xml:space="preserve">1933, </w:t>
      </w:r>
      <w:r w:rsidR="00100E0F">
        <w:t xml:space="preserve">Kern County in 1952, </w:t>
      </w:r>
      <w:r w:rsidR="00877F8A">
        <w:t xml:space="preserve">Alaska </w:t>
      </w:r>
      <w:r w:rsidR="00100E0F">
        <w:t xml:space="preserve">in </w:t>
      </w:r>
      <w:r w:rsidR="00877F8A">
        <w:t>1964,</w:t>
      </w:r>
      <w:r w:rsidR="00100E0F">
        <w:t xml:space="preserve"> Niigata in 1964,</w:t>
      </w:r>
      <w:r w:rsidR="00877F8A">
        <w:t xml:space="preserve"> </w:t>
      </w:r>
      <w:r w:rsidR="00877F8A" w:rsidRPr="006679F4">
        <w:t xml:space="preserve">San Fernando </w:t>
      </w:r>
      <w:r w:rsidR="00100E0F" w:rsidRPr="006679F4">
        <w:t xml:space="preserve">in </w:t>
      </w:r>
      <w:r w:rsidR="00877F8A" w:rsidRPr="006679F4">
        <w:t>1971</w:t>
      </w:r>
      <w:r w:rsidR="00344B81" w:rsidRPr="006679F4">
        <w:t>,</w:t>
      </w:r>
      <w:r w:rsidR="00100E0F" w:rsidRPr="006679F4">
        <w:t xml:space="preserve"> Managua in 1972, Miyagi-Ken-Oki in 1978, Imperial County in 1979, Greenville in 1980, Central Greece in 1981, Coalinga in 1983 </w:t>
      </w:r>
      <w:r w:rsidR="00923D73">
        <w:rPr>
          <w:rStyle w:val="Rimandonotaapidipagina"/>
        </w:rPr>
        <w:fldChar w:fldCharType="begin" w:fldLock="1"/>
      </w:r>
      <w:r w:rsidR="00923D73">
        <w:instrText>ADDIN CSL_CITATION {"citationItems":[{"id":"ITEM-1","itemData":{"abstract":"Seismic risk to major industrial facilities has been studied primarily in relation to nuclear power plants. Recently, however, attention has been focused on other large industrial plants due to the increasing awareness of the potential of damage of such plants and the consequences from failures at such plants. The overall goal of this study was to develop a general methodology for seismic risk evaluation at major industrial facilities. Such a methodology includes (1) methods for estimating the damage to structures and equipment, (2) methods for evaluating the performance of the overall system, and (3) formulations for estimating the economic and other losses.","author":[{"dropping-particle":"","family":"Kiremidjian","given":"Anne S.","non-dropping-particle":"","parse-names":false,"suffix":""},{"dropping-particle":"","family":"Ortiz","given":"Keith","non-dropping-particle":"","parse-names":false,"suffix":""},{"dropping-particle":"","family":"Nielsen","given":"Richard","non-dropping-particle":"","parse-names":false,"suffix":""},{"dropping-particle":"","family":"Safavi","given":"Bahram","non-dropping-particle":"","parse-names":false,"suffix":""}],"container-title":"Report - Stanford University, John A. Blume Earthquake Engineering Center","id":"ITEM-1","issue":"72","issued":{"date-parts":[["1985"]]},"title":"Seismic risk to major industrial facilities","type":"article-journal"},"uris":["http://www.mendeley.com/documents/?uuid=02ed0f37-5bc4-43e3-b2fe-aa4726195d42"]}],"mendeley":{"formattedCitation":"(Kiremidjian et al., 1985)","plainTextFormattedCitation":"(Kiremidjian et al., 1985)","previouslyFormattedCitation":"(Kiremidjian et al., 1985)"},"properties":{"noteIndex":0},"schema":"https://github.com/citation-style-language/schema/raw/master/csl-citation.json"}</w:instrText>
      </w:r>
      <w:r w:rsidR="00923D73">
        <w:rPr>
          <w:rStyle w:val="Rimandonotaapidipagina"/>
        </w:rPr>
        <w:fldChar w:fldCharType="separate"/>
      </w:r>
      <w:r w:rsidR="00923D73" w:rsidRPr="00923D73">
        <w:rPr>
          <w:bCs/>
          <w:noProof/>
        </w:rPr>
        <w:t>(Kiremidjian et al., 1985)</w:t>
      </w:r>
      <w:r w:rsidR="00923D73">
        <w:rPr>
          <w:rStyle w:val="Rimandonotaapidipagina"/>
        </w:rPr>
        <w:fldChar w:fldCharType="end"/>
      </w:r>
      <w:r w:rsidR="00100E0F" w:rsidRPr="006679F4">
        <w:t>,</w:t>
      </w:r>
      <w:r w:rsidR="00344B81" w:rsidRPr="006679F4">
        <w:t xml:space="preserve"> </w:t>
      </w:r>
      <w:r w:rsidR="00416FFA" w:rsidRPr="006679F4">
        <w:t xml:space="preserve">Northridge in </w:t>
      </w:r>
      <w:r w:rsidR="006679F4" w:rsidRPr="006679F4">
        <w:t xml:space="preserve">1994, Kobe in 1995, </w:t>
      </w:r>
      <w:r w:rsidR="00344B81" w:rsidRPr="006679F4">
        <w:t xml:space="preserve">Izmit </w:t>
      </w:r>
      <w:r w:rsidR="006679F4" w:rsidRPr="006679F4">
        <w:t xml:space="preserve">in </w:t>
      </w:r>
      <w:r w:rsidR="00344B81" w:rsidRPr="006679F4">
        <w:t xml:space="preserve">1999, </w:t>
      </w:r>
      <w:r w:rsidR="006679F4" w:rsidRPr="006679F4">
        <w:t>Wenchuan 2008, Chile in 2010</w:t>
      </w:r>
      <w:r w:rsidR="00353F03">
        <w:t>, T</w:t>
      </w:r>
      <w:r w:rsidR="00353F03" w:rsidRPr="00353F03">
        <w:t>ohoku-Japan</w:t>
      </w:r>
      <w:r w:rsidR="00353F03">
        <w:t xml:space="preserve"> in 2011</w:t>
      </w:r>
      <w:r>
        <w:t xml:space="preserve"> </w:t>
      </w:r>
      <w:r w:rsidR="00923D73">
        <w:rPr>
          <w:rStyle w:val="Rimandonotaapidipagina"/>
        </w:rPr>
        <w:fldChar w:fldCharType="begin" w:fldLock="1"/>
      </w:r>
      <w:r w:rsidR="00923D73">
        <w:instrText>ADDIN CSL_CITATION {"citationItems":[{"id":"ITEM-1","itemData":{"DOI":"10.1007/978-3-658-02810-7_6","ISBN":"9783658028091","author":[{"dropping-particle":"","family":"Erdik","given":"Mustafa","non-dropping-particle":"","parse-names":false,"suffix":""},{"dropping-particle":"","family":"Eren","given":"Uckanm","non-dropping-particle":"","parse-names":false,"suffix":""}],"container-title":"International Conference on Seismic Design of Industrial Facilities 2013, RWTH Aachen University","id":"ITEM-1","issued":{"date-parts":[["2014"]]},"page":"3-13","title":"Earthquake damage and fragilities of industrial facilities","type":"paper-conference"},"uris":["http://www.mendeley.com/documents/?uuid=8c3c67bf-e39c-41ed-8bfc-5d257765a558"]}],"mendeley":{"formattedCitation":"(Erdik &amp; Eren, 2014)","plainTextFormattedCitation":"(Erdik &amp; Eren, 2014)","previouslyFormattedCitation":"(Erdik &amp; Eren, 2014)"},"properties":{"noteIndex":0},"schema":"https://github.com/citation-style-language/schema/raw/master/csl-citation.json"}</w:instrText>
      </w:r>
      <w:r w:rsidR="00923D73">
        <w:rPr>
          <w:rStyle w:val="Rimandonotaapidipagina"/>
        </w:rPr>
        <w:fldChar w:fldCharType="separate"/>
      </w:r>
      <w:r w:rsidR="00923D73" w:rsidRPr="00923D73">
        <w:rPr>
          <w:bCs/>
          <w:noProof/>
        </w:rPr>
        <w:t>(Erdik &amp; Eren, 2014)</w:t>
      </w:r>
      <w:r w:rsidR="00923D73">
        <w:rPr>
          <w:rStyle w:val="Rimandonotaapidipagina"/>
        </w:rPr>
        <w:fldChar w:fldCharType="end"/>
      </w:r>
      <w:r w:rsidR="006679F4" w:rsidRPr="006679F4">
        <w:t xml:space="preserve"> </w:t>
      </w:r>
      <w:r w:rsidR="00344B81" w:rsidRPr="006679F4">
        <w:t xml:space="preserve">highlighted that natural disasters </w:t>
      </w:r>
      <w:r w:rsidR="00214652">
        <w:t>can cause</w:t>
      </w:r>
      <w:r w:rsidR="00344B81" w:rsidRPr="006679F4">
        <w:t xml:space="preserve"> significant damage to industrial plants, often causing the release of dangerous substances. These disasters are called NaTech events </w:t>
      </w:r>
      <w:r w:rsidR="00271C35">
        <w:t>(Natural Hazard Triggering Tech</w:t>
      </w:r>
      <w:r w:rsidR="00344B81" w:rsidRPr="006679F4">
        <w:t>nological Disasters)</w:t>
      </w:r>
      <w:r w:rsidR="00214652">
        <w:t xml:space="preserve"> </w:t>
      </w:r>
      <w:r w:rsidR="00923D73">
        <w:rPr>
          <w:rStyle w:val="Rimandonotaapidipagina"/>
        </w:rPr>
        <w:fldChar w:fldCharType="begin" w:fldLock="1"/>
      </w:r>
      <w:r w:rsidR="00923D73">
        <w:instrText>ADDIN CSL_CITATION {"citationItems":[{"id":"ITEM-1","itemData":{"ISSN":"1018-5593","abstract":"JRC.G.7-Traceability and vulnerability assessment","author":[{"dropping-particle":"","family":"Campedel","given":"Michela","non-dropping-particle":"","parse-names":false,"suffix":""}],"container-title":"JRC Scientific and Technical Reports","id":"ITEM-1","issued":{"date-parts":[["2008"]]},"title":"Analysis of major industrial accidents triggered by natural events reported in the principal available chemical accident databases","type":"article-journal"},"uris":["http://www.mendeley.com/documents/?uuid=6c470af0-0e8a-4988-a388-defbcce2d637"]}],"mendeley":{"formattedCitation":"(Campedel, 2008)","plainTextFormattedCitation":"(Campedel, 2008)","previouslyFormattedCitation":"(Campedel, 2008)"},"properties":{"noteIndex":0},"schema":"https://github.com/citation-style-language/schema/raw/master/csl-citation.json"}</w:instrText>
      </w:r>
      <w:r w:rsidR="00923D73">
        <w:rPr>
          <w:rStyle w:val="Rimandonotaapidipagina"/>
        </w:rPr>
        <w:fldChar w:fldCharType="separate"/>
      </w:r>
      <w:r w:rsidR="00923D73" w:rsidRPr="00923D73">
        <w:rPr>
          <w:noProof/>
        </w:rPr>
        <w:t>(Campedel, 2008)</w:t>
      </w:r>
      <w:r w:rsidR="00923D73">
        <w:rPr>
          <w:rStyle w:val="Rimandonotaapidipagina"/>
        </w:rPr>
        <w:fldChar w:fldCharType="end"/>
      </w:r>
      <w:r w:rsidR="00214652">
        <w:t>,</w:t>
      </w:r>
      <w:r w:rsidR="00344B81" w:rsidRPr="006679F4">
        <w:t xml:space="preserve"> arise from the interaction between natural hazards and industrial risk and can </w:t>
      </w:r>
      <w:r w:rsidR="00214652">
        <w:t>produce</w:t>
      </w:r>
      <w:r w:rsidR="00344B81" w:rsidRPr="006679F4">
        <w:t xml:space="preserve"> major accidents</w:t>
      </w:r>
      <w:r w:rsidR="00214652">
        <w:t xml:space="preserve"> when</w:t>
      </w:r>
      <w:r w:rsidR="00344B81" w:rsidRPr="00344B81">
        <w:t xml:space="preserve"> dangerous substances are involved. Among the NaTech events, the earthquake is one of the most significant, it simultaneously affects the entire </w:t>
      </w:r>
      <w:r w:rsidR="003155EE" w:rsidRPr="00344B81">
        <w:t>plant,</w:t>
      </w:r>
      <w:r w:rsidR="00344B81" w:rsidRPr="00344B81">
        <w:t xml:space="preserve"> and </w:t>
      </w:r>
      <w:r w:rsidR="00035527">
        <w:t xml:space="preserve">it </w:t>
      </w:r>
      <w:r w:rsidR="00344B81" w:rsidRPr="00344B81">
        <w:t>can cause simultaneous damage</w:t>
      </w:r>
      <w:r w:rsidR="00035527">
        <w:t>s</w:t>
      </w:r>
      <w:r w:rsidR="00344B81" w:rsidRPr="00344B81">
        <w:t xml:space="preserve"> to equipment. The vulnerability of industrial plants derives, above all, from the complexity of the layout and from the possibility of accidental chains forming, with a possible domino effect, which can cause explosions, fires and releases of dangerous substances stored and used in industrial processes </w:t>
      </w:r>
      <w:r w:rsidR="00923D73">
        <w:rPr>
          <w:rStyle w:val="Rimandonotaapidipagina"/>
        </w:rPr>
        <w:fldChar w:fldCharType="begin" w:fldLock="1"/>
      </w:r>
      <w:r w:rsidR="00923D73">
        <w:instrText>ADDIN CSL_CITATION {"citationItems":[{"id":"ITEM-1","itemData":{"abstract":"In this paper the main results obtained within different research projects, developed about the applicability of seismic passive control of major-hazard industrial installations are shown. The work concerns the main components of a refinery that have been classified and collected into a limited number of classes on the basis of the geometrical and mechanical characteristics. For each class, the main damages caused by past earthquakes have been described and the most vulnerable component have been identified. Finally, a synthesis of the effects of earthquakes on the different typology of process components has been carried out and the most suitable innovative seismic protection systems, in particular of passive type, have been recognized. Finally an example of using dissipative coupling between a distillation column and an adjacent service frame is illustrated.","author":[{"dropping-particle":"","family":"Paolacci","given":"Fabrizio","non-dropping-particle":"","parse-names":false,"suffix":""},{"dropping-particle":"","family":"Giannini","given":"Renato","non-dropping-particle":"","parse-names":false,"suffix":""},{"dropping-particle":"","family":"Angelis","given":"Maurizio","non-dropping-particle":"De","parse-names":false,"suffix":""},{"dropping-particle":"","family":"Ciucci","given":"Mariano","non-dropping-particle":"","parse-names":false,"suffix":""}],"container-title":"11th World Conference on Seismic Isolation, Energy Dissipation and Active Vibration Control of Structures, Guangzhou, China","id":"ITEM-1","issued":{"date-parts":[["2009"]]},"title":"Seismic vulnerability of major-hazard industrial plants and applicability of innovative seismic protection systems for its reduction","type":"paper-conference"},"uris":["http://www.mendeley.com/documents/?uuid=a196cb2f-0098-4d0d-a1b8-ee1138f3e7e4"]}],"mendeley":{"formattedCitation":"(Paolacci et al., 2009)","plainTextFormattedCitation":"(Paolacci et al., 2009)","previouslyFormattedCitation":"(Paolacci et al., 2009)"},"properties":{"noteIndex":0},"schema":"https://github.com/citation-style-language/schema/raw/master/csl-citation.json"}</w:instrText>
      </w:r>
      <w:r w:rsidR="00923D73">
        <w:rPr>
          <w:rStyle w:val="Rimandonotaapidipagina"/>
        </w:rPr>
        <w:fldChar w:fldCharType="separate"/>
      </w:r>
      <w:r w:rsidR="00923D73" w:rsidRPr="00923D73">
        <w:rPr>
          <w:bCs/>
          <w:noProof/>
        </w:rPr>
        <w:t>(Paolacci et al., 2009)</w:t>
      </w:r>
      <w:r w:rsidR="00923D73">
        <w:rPr>
          <w:rStyle w:val="Rimandonotaapidipagina"/>
        </w:rPr>
        <w:fldChar w:fldCharType="end"/>
      </w:r>
      <w:r w:rsidR="00344B81" w:rsidRPr="00344B81">
        <w:t>.</w:t>
      </w:r>
    </w:p>
    <w:p w14:paraId="05F08815" w14:textId="437A254A" w:rsidR="00A11A79" w:rsidRDefault="00344B81" w:rsidP="00A11A79">
      <w:pPr>
        <w:pStyle w:val="CETBodytext"/>
      </w:pPr>
      <w:r w:rsidRPr="00344B81">
        <w:t>In terms of safety,</w:t>
      </w:r>
      <w:r w:rsidR="00E355B4">
        <w:t xml:space="preserve"> i</w:t>
      </w:r>
      <w:r w:rsidR="00E355B4" w:rsidRPr="00E355B4">
        <w:t xml:space="preserve">n Italy industrial plants that operate with hazardous substances are called </w:t>
      </w:r>
      <w:r w:rsidR="00334078">
        <w:t>“</w:t>
      </w:r>
      <w:r w:rsidR="00E355B4" w:rsidRPr="00E355B4">
        <w:t>major hazard industrial plants</w:t>
      </w:r>
      <w:r w:rsidR="00334078">
        <w:t>”</w:t>
      </w:r>
      <w:r w:rsidR="00E355B4" w:rsidRPr="00E355B4">
        <w:t xml:space="preserve"> and are subject to </w:t>
      </w:r>
      <w:r w:rsidR="004C3C45" w:rsidRPr="00E355B4">
        <w:t>Italian</w:t>
      </w:r>
      <w:r w:rsidR="00E355B4" w:rsidRPr="00E355B4">
        <w:t xml:space="preserve"> standard D.Lgs. 105/2015,</w:t>
      </w:r>
      <w:r w:rsidR="00B62A1C">
        <w:t xml:space="preserve"> transposition of Directive 2012/18/EC – Seveso III,</w:t>
      </w:r>
      <w:r w:rsidR="00E355B4" w:rsidRPr="00E355B4">
        <w:t xml:space="preserve"> that requires to carry out a risk analysis, also considering the seismic risk</w:t>
      </w:r>
      <w:r w:rsidRPr="00344B81">
        <w:t xml:space="preserve">. </w:t>
      </w:r>
      <w:r w:rsidR="003155EE" w:rsidRPr="003155EE">
        <w:t>However, at present, regulatory codes and guidelines are not adequate for conducting a complete vulnerability analysis of equipment, nor for seismic risk analysis.</w:t>
      </w:r>
      <w:r w:rsidRPr="00344B81">
        <w:t xml:space="preserve"> </w:t>
      </w:r>
      <w:r w:rsidR="0093134F" w:rsidRPr="0093134F">
        <w:t xml:space="preserve">In fact, safety </w:t>
      </w:r>
      <w:r w:rsidR="0093134F">
        <w:t>checks</w:t>
      </w:r>
      <w:r w:rsidR="0093134F" w:rsidRPr="0093134F">
        <w:t xml:space="preserve"> mostly focus on the structural aspects of </w:t>
      </w:r>
      <w:r w:rsidR="0093134F">
        <w:t>equipment</w:t>
      </w:r>
      <w:r w:rsidR="0093134F" w:rsidRPr="0093134F">
        <w:t xml:space="preserve">, neglecting the possibility of </w:t>
      </w:r>
      <w:r w:rsidR="0093134F">
        <w:t>failure of</w:t>
      </w:r>
      <w:r w:rsidR="0093134F" w:rsidRPr="0093134F">
        <w:t xml:space="preserve"> non-structural elements</w:t>
      </w:r>
      <w:r w:rsidR="0093134F">
        <w:t>,</w:t>
      </w:r>
      <w:r w:rsidR="0093134F" w:rsidRPr="0093134F">
        <w:t xml:space="preserve"> that may also be involved in major accident</w:t>
      </w:r>
      <w:r w:rsidR="0093134F">
        <w:t>s</w:t>
      </w:r>
      <w:r w:rsidR="0093134F" w:rsidRPr="0093134F">
        <w:t>.</w:t>
      </w:r>
      <w:r w:rsidR="0093134F">
        <w:t xml:space="preserve"> </w:t>
      </w:r>
      <w:r w:rsidR="00655E4B" w:rsidRPr="00655E4B">
        <w:t>For this reason,</w:t>
      </w:r>
      <w:r w:rsidR="00655E4B">
        <w:t xml:space="preserve"> </w:t>
      </w:r>
      <w:r w:rsidR="00655E4B" w:rsidRPr="00655E4B">
        <w:t xml:space="preserve">the case of cylindrical liquid storage tanks with floating roof, a </w:t>
      </w:r>
      <w:r w:rsidR="00655E4B">
        <w:t>typical</w:t>
      </w:r>
      <w:r w:rsidR="00655E4B" w:rsidRPr="00655E4B">
        <w:t xml:space="preserve"> </w:t>
      </w:r>
      <w:r w:rsidR="002B0EA5">
        <w:t>vessel</w:t>
      </w:r>
      <w:r w:rsidR="00655E4B" w:rsidRPr="00655E4B">
        <w:t xml:space="preserve"> </w:t>
      </w:r>
      <w:r w:rsidR="002B0EA5">
        <w:t>for storage of</w:t>
      </w:r>
      <w:r w:rsidR="00655E4B" w:rsidRPr="00655E4B">
        <w:t xml:space="preserve"> hazardous </w:t>
      </w:r>
      <w:r w:rsidR="00655E4B" w:rsidRPr="00655E4B">
        <w:lastRenderedPageBreak/>
        <w:t xml:space="preserve">substances, is </w:t>
      </w:r>
      <w:r w:rsidR="00655E4B">
        <w:t xml:space="preserve">shown. </w:t>
      </w:r>
      <w:r w:rsidR="00655E4B" w:rsidRPr="00655E4B">
        <w:t>Particularly, the presence of</w:t>
      </w:r>
      <w:r w:rsidR="00617AA9">
        <w:t xml:space="preserve"> the</w:t>
      </w:r>
      <w:r w:rsidR="00655E4B" w:rsidRPr="00655E4B">
        <w:t xml:space="preserve"> floating roof and the seal rim is often neglected in seismic analysis and, consequently, in risk analysis.</w:t>
      </w:r>
      <w:r w:rsidR="002B0EA5">
        <w:t xml:space="preserve"> </w:t>
      </w:r>
      <w:r w:rsidR="00035527">
        <w:t>Furthermore</w:t>
      </w:r>
      <w:r w:rsidR="007A3A0D">
        <w:t xml:space="preserve">, </w:t>
      </w:r>
      <w:r w:rsidR="00B62A1C">
        <w:t>codes</w:t>
      </w:r>
      <w:r w:rsidR="00035527">
        <w:t xml:space="preserve"> do</w:t>
      </w:r>
      <w:r w:rsidR="007A3A0D">
        <w:t xml:space="preserve"> not specify methodologies </w:t>
      </w:r>
      <w:r w:rsidR="003D1F9E" w:rsidRPr="003D1F9E">
        <w:t xml:space="preserve">to carry out a risk analysis, which consists of several steps: identification of possible </w:t>
      </w:r>
      <w:r w:rsidR="003D1F9E">
        <w:t>incidental</w:t>
      </w:r>
      <w:r w:rsidR="003D1F9E" w:rsidRPr="003D1F9E">
        <w:t xml:space="preserve"> scenarios,</w:t>
      </w:r>
      <w:r w:rsidR="003D1F9E">
        <w:t xml:space="preserve"> </w:t>
      </w:r>
      <w:r w:rsidR="003D1F9E" w:rsidRPr="003D1F9E">
        <w:t xml:space="preserve">estimation of their frequency of occurrence, assessment of consequences and introduction of mitigation </w:t>
      </w:r>
      <w:r w:rsidR="003D1F9E">
        <w:t>strategies</w:t>
      </w:r>
      <w:r w:rsidR="003D1F9E" w:rsidRPr="003D1F9E">
        <w:t>.</w:t>
      </w:r>
      <w:r w:rsidR="00E35631">
        <w:t xml:space="preserve"> </w:t>
      </w:r>
      <w:r w:rsidR="003D1F9E">
        <w:t>Thus</w:t>
      </w:r>
      <w:r w:rsidR="00A11A79">
        <w:t xml:space="preserve">, a methodology is presented </w:t>
      </w:r>
      <w:r w:rsidR="00C2340E">
        <w:t>in</w:t>
      </w:r>
      <w:r w:rsidR="00A11A79">
        <w:t xml:space="preserve"> </w:t>
      </w:r>
      <w:r w:rsidR="009A4E69">
        <w:t>a</w:t>
      </w:r>
      <w:r w:rsidR="00A11A79">
        <w:t xml:space="preserve"> preliminary assessment of frequency of occurrence of incidental scenarios involving hazardous substances. </w:t>
      </w:r>
      <w:r w:rsidR="00C2340E" w:rsidRPr="00C2340E">
        <w:t>The focus is on assessing the seismic vulnerability of the equipment as part of the seismic risk analysis, taking into account the security requirements of the codes.</w:t>
      </w:r>
      <w:r w:rsidR="00A11A79">
        <w:t xml:space="preserve"> </w:t>
      </w:r>
      <w:r w:rsidR="00704DA5">
        <w:t>F</w:t>
      </w:r>
      <w:r w:rsidR="00A11A79">
        <w:t>ragility curves</w:t>
      </w:r>
      <w:r w:rsidR="00704DA5">
        <w:t xml:space="preserve">, </w:t>
      </w:r>
      <w:r w:rsidR="00035527">
        <w:t xml:space="preserve">a </w:t>
      </w:r>
      <w:r w:rsidR="009A4E69">
        <w:t>commonly used</w:t>
      </w:r>
      <w:r w:rsidR="00A11A79">
        <w:t xml:space="preserve"> tool for the assessment of vulnerability in probabilistic terms</w:t>
      </w:r>
      <w:r w:rsidR="00704DA5">
        <w:t xml:space="preserve">, </w:t>
      </w:r>
      <w:r w:rsidR="00A11A79">
        <w:t>can be constructed using different approaches, but they should always take into account the real conditions of the structure.</w:t>
      </w:r>
    </w:p>
    <w:p w14:paraId="4D4B6197" w14:textId="77777777" w:rsidR="006241BF" w:rsidRDefault="006241BF" w:rsidP="006241BF">
      <w:pPr>
        <w:pStyle w:val="CETHeading1"/>
      </w:pPr>
      <w:bookmarkStart w:id="2" w:name="_Hlk92869254"/>
      <w:r>
        <w:t>C</w:t>
      </w:r>
      <w:r w:rsidRPr="00655E4B">
        <w:t>ylindrical liquid storage tanks with floating roof</w:t>
      </w:r>
    </w:p>
    <w:p w14:paraId="5FEBA94E" w14:textId="77777777" w:rsidR="006241BF" w:rsidRPr="00D20379" w:rsidRDefault="006241BF" w:rsidP="006241BF">
      <w:pPr>
        <w:pStyle w:val="CETheadingx"/>
      </w:pPr>
      <w:r>
        <w:t>Basic operation</w:t>
      </w:r>
    </w:p>
    <w:bookmarkEnd w:id="2"/>
    <w:p w14:paraId="7F84C69F" w14:textId="6B3B3DC0" w:rsidR="006241BF" w:rsidRDefault="006241BF" w:rsidP="006241BF">
      <w:pPr>
        <w:pStyle w:val="CETBodytext"/>
      </w:pPr>
      <w:r>
        <w:t xml:space="preserve">Liquid products that produce </w:t>
      </w:r>
      <w:r w:rsidR="003102E2">
        <w:t>a lot of</w:t>
      </w:r>
      <w:r>
        <w:t xml:space="preserve"> gas or vapor are stored in vertical cylindrical tanks</w:t>
      </w:r>
      <w:r w:rsidR="003102E2">
        <w:t xml:space="preserve"> with floating roof:</w:t>
      </w:r>
      <w:r>
        <w:t xml:space="preserve"> the roof is located on the surface of the product and</w:t>
      </w:r>
      <w:r w:rsidR="006F1955">
        <w:t xml:space="preserve"> can</w:t>
      </w:r>
      <w:r>
        <w:t xml:space="preserve"> slid</w:t>
      </w:r>
      <w:r w:rsidR="006F1955">
        <w:t>e</w:t>
      </w:r>
      <w:r>
        <w:t xml:space="preserve"> vertically along the shell for product inlet</w:t>
      </w:r>
      <w:r w:rsidR="00C2340E">
        <w:t xml:space="preserve"> </w:t>
      </w:r>
      <w:r>
        <w:t>/</w:t>
      </w:r>
      <w:r w:rsidR="00C2340E">
        <w:t xml:space="preserve"> </w:t>
      </w:r>
      <w:r>
        <w:t>outlet</w:t>
      </w:r>
      <w:r w:rsidR="006F1955">
        <w:t>. So,</w:t>
      </w:r>
      <w:r>
        <w:t xml:space="preserve"> </w:t>
      </w:r>
      <w:r w:rsidR="006F1955">
        <w:t>t</w:t>
      </w:r>
      <w:r>
        <w:t xml:space="preserve">he floating roof </w:t>
      </w:r>
      <w:r w:rsidR="006F1955">
        <w:t>reduce</w:t>
      </w:r>
      <w:r w:rsidR="006A7732">
        <w:t>s</w:t>
      </w:r>
      <w:r w:rsidR="006F1955">
        <w:t xml:space="preserve"> the product losses and</w:t>
      </w:r>
      <w:r>
        <w:t xml:space="preserve"> the potential for explosions in the vapor space and eliminates the possibility of boilover</w:t>
      </w:r>
      <w:r w:rsidR="003102E2">
        <w:t xml:space="preserve">. </w:t>
      </w:r>
      <w:r>
        <w:t xml:space="preserve">The floating roof is a circular steel structure equipped with floating caissons that allow it to float above the product stored in a closed or open tank. Generally, the overall diameter of the floating roof is about 400 mm smaller than the inside diameter of the tank. The space between the outer edge of the roof and the inside of the tank shell is closed by means of a flexible sealing system, which also allows the position of the roof in the tank to be centralized. There are two main types of </w:t>
      </w:r>
      <w:r w:rsidR="00C2340E">
        <w:t xml:space="preserve">a </w:t>
      </w:r>
      <w:r>
        <w:t xml:space="preserve">floating roof, single </w:t>
      </w:r>
      <w:r w:rsidR="003155EE">
        <w:t>pontoon,</w:t>
      </w:r>
      <w:r>
        <w:t xml:space="preserve"> and double pontoon. The single pontoon roof is the most common type of floating roof, owing its buoyancy to an outer annular pontoon divided radially into</w:t>
      </w:r>
      <w:r w:rsidR="009D2D96">
        <w:t xml:space="preserve"> </w:t>
      </w:r>
      <w:r>
        <w:t>compartments. The central part is formed by a membrane of steel plates welded together and connected to the inner edge of the caissons. The double pontoon roof consists of an upper and lower steel membrane separated by a series of radially divided circumferential stiffeners. T</w:t>
      </w:r>
      <w:r w:rsidRPr="004D58C6">
        <w:t>he single pontoon roof is considerably more deformable than the double pontoon.</w:t>
      </w:r>
      <w:r>
        <w:t xml:space="preserve"> Also,</w:t>
      </w:r>
      <w:r w:rsidRPr="00226051">
        <w:t xml:space="preserve"> </w:t>
      </w:r>
      <w:r>
        <w:t>some</w:t>
      </w:r>
      <w:r w:rsidRPr="00226051">
        <w:t xml:space="preserve"> elements are required for the </w:t>
      </w:r>
      <w:r>
        <w:t>functionality</w:t>
      </w:r>
      <w:r w:rsidRPr="00226051">
        <w:t xml:space="preserve"> of the tank, such as flexible piping systems, edge vents, rain drainage system, roof supports, guide pipe, stilling pipe and floating roof sealing system</w:t>
      </w:r>
      <w:r w:rsidR="009D2D96">
        <w:t xml:space="preserve"> </w:t>
      </w:r>
      <w:r w:rsidR="009D2D96">
        <w:fldChar w:fldCharType="begin" w:fldLock="1"/>
      </w:r>
      <w:r w:rsidR="006A7732">
        <w:instrText>ADDIN CSL_CITATION {"citationItems":[{"id":"ITEM-1","itemData":{"ISBN":"9781860584312","author":[{"dropping-particle":"","family":"Long","given":"B","non-dropping-particle":"","parse-names":false,"suffix":""},{"dropping-particle":"","family":"Gardner","given":"B","non-dropping-particle":"","parse-names":false,"suffix":""}],"collection-title":"European Guide Series (REP)","id":"ITEM-1","issued":{"date-parts":[["2004"]]},"publisher":"Wiley","title":"Guide to Storage Tanks and Equipment","type":"book"},"uris":["http://www.mendeley.com/documents/?uuid=7c06ac36-a997-4403-9c9b-80f3587d05a7"]}],"mendeley":{"formattedCitation":"(Long &amp; Gardner, 2004)","plainTextFormattedCitation":"(Long &amp; Gardner, 2004)","previouslyFormattedCitation":"(Long &amp; Gardner, 2004)"},"properties":{"noteIndex":0},"schema":"https://github.com/citation-style-language/schema/raw/master/csl-citation.json"}</w:instrText>
      </w:r>
      <w:r w:rsidR="009D2D96">
        <w:fldChar w:fldCharType="separate"/>
      </w:r>
      <w:r w:rsidR="009D2D96" w:rsidRPr="009D2D96">
        <w:rPr>
          <w:noProof/>
        </w:rPr>
        <w:t>(Long &amp; Gardner, 2004)</w:t>
      </w:r>
      <w:r w:rsidR="009D2D96">
        <w:fldChar w:fldCharType="end"/>
      </w:r>
      <w:r w:rsidR="009D2D96">
        <w:t>.</w:t>
      </w:r>
    </w:p>
    <w:p w14:paraId="23C4BB39" w14:textId="77777777" w:rsidR="006241BF" w:rsidRDefault="006241BF" w:rsidP="006241BF">
      <w:pPr>
        <w:pStyle w:val="CETheadingx"/>
      </w:pPr>
      <w:r>
        <w:t>Dynamic behavior</w:t>
      </w:r>
    </w:p>
    <w:p w14:paraId="4D4F3E1E" w14:textId="74CF83AC" w:rsidR="006241BF" w:rsidRDefault="006241BF" w:rsidP="006241BF">
      <w:pPr>
        <w:pStyle w:val="CETBodytext"/>
      </w:pPr>
      <w:r>
        <w:t xml:space="preserve">The dynamic behavior of an atmospheric tank is essentially </w:t>
      </w:r>
      <w:r w:rsidR="00035527">
        <w:t>related</w:t>
      </w:r>
      <w:r>
        <w:t xml:space="preserve"> to earthquake-induced dynamics of the fluid. Given a cylindrical tank with a vertical axis subject to horizontal acceleration at the base, the fluid in motion exerts a hydrodynamic pressure on the tank that can be conveniently divided into three components </w:t>
      </w:r>
      <w:r>
        <w:rPr>
          <w:rStyle w:val="Rimandonotaapidipagina"/>
        </w:rPr>
        <w:fldChar w:fldCharType="begin" w:fldLock="1"/>
      </w:r>
      <w:r>
        <w:instrText>ADDIN CSL_CITATION {"citationItems":[{"id":"ITEM-1","itemData":{"DOI":"10.1115/1.3119154","ISSN":"00036900","abstract":"This is a state-of-the-art review of various treatments of earthquake loaded liquid filled shells by the methods of earthquake engineering, fluid dynamics, structural and soil dynamics, as well as the theory of stability and computational mechanics. Different types of tanks and different possibilities of tank failure will be discussed. We will emphasize cylindrical above-ground liquid storage tanks with a vertical axis. But many of the treatments are also valid for other tank configurations. For the calculation of the dynamically activated pressure due to an earthquake a fluid-structure-soil interaction problem must be solved. The review will describe the methods, proposed by different authors, to solve this interaction problem. To study the dynamic behavior of liquid storage tanks, one must distinguish between anchored and unanchored tanks. In the case of an anchored tank, the tank bottom edge is fixed to the foundation. If the tank is unanchored, partial lifting of the tank's bottom may occur, and a strongly nonlinear problem has to be solved. We will compare the various analytical and numerical models applicable to this problem, in combination with experimental data. An essential aim of this review is to give a summary of methods applicable as tools for an earthquake resistant design, which can be used by an engineer engaged in the construction of liquid storage tanks. © 1990 American Society of Mechanical Engineers.","author":[{"dropping-particle":"","family":"Rammerstorfer","given":"Franz G.","non-dropping-particle":"","parse-names":false,"suffix":""},{"dropping-particle":"","family":"Scharf","given":"Knut","non-dropping-particle":"","parse-names":false,"suffix":""},{"dropping-particle":"","family":"Fisher","given":"Franz D.","non-dropping-particle":"","parse-names":false,"suffix":""}],"container-title":"Applied Mechanics Reviews","id":"ITEM-1","issue":"11","issued":{"date-parts":[["1990"]]},"page":"261-282","title":"Storage tanks under earthquake loading","type":"article-journal","volume":"43"},"uris":["http://www.mendeley.com/documents/?uuid=6db63322-fa3a-43cc-b00a-b274ec12b4f9"]}],"mendeley":{"formattedCitation":"(Rammerstorfer et al., 1990)","plainTextFormattedCitation":"(Rammerstorfer et al., 1990)","previouslyFormattedCitation":"(Rammerstorfer et al., 1990)"},"properties":{"noteIndex":0},"schema":"https://github.com/citation-style-language/schema/raw/master/csl-citation.json"}</w:instrText>
      </w:r>
      <w:r>
        <w:rPr>
          <w:rStyle w:val="Rimandonotaapidipagina"/>
        </w:rPr>
        <w:fldChar w:fldCharType="separate"/>
      </w:r>
      <w:r w:rsidRPr="00923D73">
        <w:rPr>
          <w:bCs/>
          <w:noProof/>
        </w:rPr>
        <w:t>(Rammerstorfer et al., 1990)</w:t>
      </w:r>
      <w:r>
        <w:rPr>
          <w:rStyle w:val="Rimandonotaapidipagina"/>
        </w:rPr>
        <w:fldChar w:fldCharType="end"/>
      </w:r>
      <w:r>
        <w:t xml:space="preserve">: </w:t>
      </w:r>
    </w:p>
    <w:p w14:paraId="740ED884" w14:textId="0D306974" w:rsidR="006241BF" w:rsidRDefault="00C2340E" w:rsidP="00E23E8D">
      <w:pPr>
        <w:pStyle w:val="CETBodytext"/>
        <w:numPr>
          <w:ilvl w:val="0"/>
          <w:numId w:val="25"/>
        </w:numPr>
        <w:ind w:left="227" w:hanging="227"/>
      </w:pPr>
      <w:r>
        <w:t>H</w:t>
      </w:r>
      <w:r w:rsidR="006241BF">
        <w:t>ydrodynamic pressure due to the acceleration of the ground considering the rigid tank, called "impulsive"</w:t>
      </w:r>
    </w:p>
    <w:p w14:paraId="78953510" w14:textId="5C69C90D" w:rsidR="006241BF" w:rsidRDefault="00C2340E" w:rsidP="00E23E8D">
      <w:pPr>
        <w:pStyle w:val="CETBodytext"/>
        <w:numPr>
          <w:ilvl w:val="0"/>
          <w:numId w:val="25"/>
        </w:numPr>
        <w:ind w:left="227" w:hanging="227"/>
      </w:pPr>
      <w:r>
        <w:t>H</w:t>
      </w:r>
      <w:r w:rsidR="006241BF">
        <w:t>ydrodynamic pressure due to the oscillatory motion of the fluid surface, known as "sloshing" or "convective"</w:t>
      </w:r>
    </w:p>
    <w:p w14:paraId="0F21A36C" w14:textId="43213D42" w:rsidR="006241BF" w:rsidRDefault="00C2340E" w:rsidP="00E23E8D">
      <w:pPr>
        <w:pStyle w:val="CETBodytext"/>
        <w:numPr>
          <w:ilvl w:val="0"/>
          <w:numId w:val="25"/>
        </w:numPr>
        <w:ind w:left="227" w:hanging="227"/>
      </w:pPr>
      <w:r>
        <w:t>H</w:t>
      </w:r>
      <w:r w:rsidR="006241BF">
        <w:t>ydrodynamic pressure due to the flexibility of the tank walls, called "flexible".</w:t>
      </w:r>
    </w:p>
    <w:p w14:paraId="18871C69" w14:textId="0AE149C4" w:rsidR="006241BF" w:rsidRDefault="006241BF" w:rsidP="006241BF">
      <w:pPr>
        <w:pStyle w:val="CETBodytext"/>
      </w:pPr>
      <w:r>
        <w:t xml:space="preserve">Tanks are geometrically characterized by the aspect ratio </w:t>
      </w:r>
      <m:oMath>
        <m:r>
          <w:rPr>
            <w:rFonts w:ascii="Cambria Math" w:hAnsi="Cambria Math"/>
          </w:rPr>
          <m:t>s=H/R</m:t>
        </m:r>
      </m:oMath>
      <w:r>
        <w:t xml:space="preserve">, where </w:t>
      </w:r>
      <m:oMath>
        <m:r>
          <w:rPr>
            <w:rFonts w:ascii="Cambria Math" w:hAnsi="Cambria Math"/>
          </w:rPr>
          <m:t>H</m:t>
        </m:r>
      </m:oMath>
      <w:r>
        <w:t xml:space="preserve"> is the filling height and </w:t>
      </w:r>
      <m:oMath>
        <m:r>
          <w:rPr>
            <w:rFonts w:ascii="Cambria Math" w:hAnsi="Cambria Math"/>
          </w:rPr>
          <m:t>R</m:t>
        </m:r>
      </m:oMath>
      <w:r>
        <w:t xml:space="preserve"> the radius of the tank; in particular, the convective modes depend exclusively on the geometry of the tank. Tanks with floating roofs are considered as squat structures, with </w:t>
      </w:r>
      <m:oMath>
        <m:r>
          <w:rPr>
            <w:rFonts w:ascii="Cambria Math" w:hAnsi="Cambria Math"/>
          </w:rPr>
          <m:t>s</m:t>
        </m:r>
      </m:oMath>
      <w:r>
        <w:t xml:space="preserve"> between 0.3 and 1.5. For such values of </w:t>
      </w:r>
      <m:oMath>
        <m:r>
          <w:rPr>
            <w:rFonts w:ascii="Cambria Math" w:hAnsi="Cambria Math"/>
          </w:rPr>
          <m:t>s</m:t>
        </m:r>
      </m:oMath>
      <w:r>
        <w:t xml:space="preserve">, the flexible component of the hydrodynamic pressure is not significant, while the convective component cannot be neglected </w:t>
      </w:r>
      <w:r>
        <w:rPr>
          <w:rStyle w:val="Rimandonotaapidipagina"/>
        </w:rPr>
        <w:fldChar w:fldCharType="begin" w:fldLock="1"/>
      </w:r>
      <w:r>
        <w:instrText>ADDIN CSL_CITATION {"citationItems":[{"id":"ITEM-1","itemData":{"DOI":"10.1016/S0308-0161(99)00047-2","ISSN":"03080161","abstract":"Sloshing in terms of liquid surface displacement in vertical liquid-filled cylindrical tanks under earthquake excitation is a well studied phenomenon. Various design rules exist for liquid storage tanks to sustain the corresponding liquid pressure due to seismic excitation and to take into account the necessary freeboard. However, usually the sloshing motion is considered under the assumption of a rigid tank with an earthquake excitation at the base circle. The arguments used so far in justifying this assumption are of rather qualitative but not of quantitative nature. Since it is important to have a quantitative measure of that which is neglected, it is the intention of this paper to show that this engineering approach is based on rigorous theoretical quantitative results. Therefore, in this paper coupling of sloshing with the deformations of a flexible tank wall during earthquake excitation is investigated in a refined analysis. In contrast to former papers which have studied the negligible influence of the wall deformations due to sloshing itself, in this paper the more important coupling including the wall deformations caused by the impulsive effect of the contained liquid is taken into account. An analytical procedure is presented which allows one to study explicity the influence of the wall deformations on both the liquid pressure and the surface elevation for typical wall deformation shapes, i.e. vibration modes. From the rather complex mathematical derivations a simple formula is drawn which enables the engineer to get a quick guess of the magnitude of the influence of the wall deformations on the convective pressure contributions due to sloshing and hence to decide whether or not the assumption of a rigid tank wall is suitable. It is shown that for tanks made of less stiff materials, such as for instant polymers, this rigid wall assumption which is suitable for steel tanks may become questionable.","author":[{"dropping-particle":"","family":"Fischer","given":"F. D.","non-dropping-particle":"","parse-names":false,"suffix":""},{"dropping-particle":"","family":"Rammerstorfer","given":"F. G.","non-dropping-particle":"","parse-names":false,"suffix":""}],"container-title":"International Journal of Pressure Vessels and Piping","id":"ITEM-1","issue":"10","issued":{"date-parts":[["1999"]]},"page":"693-709","title":"A refined analysis of sloshing effects in seismically excited tanks","type":"article-journal","volume":"76"},"uris":["http://www.mendeley.com/documents/?uuid=70d85fcf-d4f4-4310-be30-116c3ed2833d"]}],"mendeley":{"formattedCitation":"(Fischer &amp; Rammerstorfer, 1999)","plainTextFormattedCitation":"(Fischer &amp; Rammerstorfer, 1999)","previouslyFormattedCitation":"(Fischer &amp; Rammerstorfer, 1999)"},"properties":{"noteIndex":0},"schema":"https://github.com/citation-style-language/schema/raw/master/csl-citation.json"}</w:instrText>
      </w:r>
      <w:r>
        <w:rPr>
          <w:rStyle w:val="Rimandonotaapidipagina"/>
        </w:rPr>
        <w:fldChar w:fldCharType="separate"/>
      </w:r>
      <w:r w:rsidRPr="00923D73">
        <w:rPr>
          <w:bCs/>
          <w:noProof/>
          <w:lang w:val="it-IT"/>
        </w:rPr>
        <w:t>(Fischer &amp; Rammerstorfer, 1999)</w:t>
      </w:r>
      <w:r>
        <w:rPr>
          <w:rStyle w:val="Rimandonotaapidipagina"/>
        </w:rPr>
        <w:fldChar w:fldCharType="end"/>
      </w:r>
      <w:r>
        <w:t>.</w:t>
      </w:r>
    </w:p>
    <w:p w14:paraId="1259A823" w14:textId="77777777" w:rsidR="006241BF" w:rsidRDefault="006241BF" w:rsidP="006241BF">
      <w:pPr>
        <w:pStyle w:val="CETheadingx"/>
      </w:pPr>
      <w:r>
        <w:t>Typical seismic damages</w:t>
      </w:r>
    </w:p>
    <w:p w14:paraId="1493FED7" w14:textId="7A716B0C" w:rsidR="006241BF" w:rsidRDefault="006241BF" w:rsidP="006241BF">
      <w:pPr>
        <w:pStyle w:val="CETBodytext"/>
      </w:pPr>
      <w:r>
        <w:t xml:space="preserve">Several failures to </w:t>
      </w:r>
      <w:r w:rsidRPr="005D1A3B">
        <w:t>tanks with floating roof</w:t>
      </w:r>
      <w:r>
        <w:t xml:space="preserve"> are caused by an earthquake and they depend on the impulsive and convective components of the</w:t>
      </w:r>
      <w:r w:rsidR="009D2D96">
        <w:t xml:space="preserve"> fluid</w:t>
      </w:r>
      <w:r>
        <w:t xml:space="preserve"> motion. Damage due to the impulsive component mainly involves the structural elements:</w:t>
      </w:r>
    </w:p>
    <w:p w14:paraId="0CA43375" w14:textId="7EB5945A" w:rsidR="006241BF" w:rsidRDefault="006241BF" w:rsidP="00E23E8D">
      <w:pPr>
        <w:pStyle w:val="CETBodytext"/>
        <w:numPr>
          <w:ilvl w:val="0"/>
          <w:numId w:val="22"/>
        </w:numPr>
        <w:ind w:left="170" w:hanging="170"/>
      </w:pPr>
      <w:r>
        <w:t>E</w:t>
      </w:r>
      <w:r w:rsidRPr="004C0E3C">
        <w:t>lephant’s foot buckling</w:t>
      </w:r>
      <w:r>
        <w:t xml:space="preserve">. </w:t>
      </w:r>
      <w:r w:rsidRPr="006B2C7E">
        <w:t>The deformation is a consequence of the phenomenon of elasto-plastic instability, which occurs when th</w:t>
      </w:r>
      <w:r>
        <w:t>e</w:t>
      </w:r>
      <w:r w:rsidRPr="006B2C7E">
        <w:t xml:space="preserve"> </w:t>
      </w:r>
      <w:r>
        <w:t>stress</w:t>
      </w:r>
      <w:r w:rsidRPr="006B2C7E">
        <w:t xml:space="preserve"> state</w:t>
      </w:r>
      <w:r>
        <w:t xml:space="preserve"> of the wall is such that the steel is close to yield stress</w:t>
      </w:r>
      <w:r w:rsidRPr="006B2C7E">
        <w:t xml:space="preserve">; the circumferential stresses, together with the vertical compression stresses, increase due to the combined action of hydrostatic </w:t>
      </w:r>
      <w:r>
        <w:t>force</w:t>
      </w:r>
      <w:r w:rsidRPr="006B2C7E">
        <w:t xml:space="preserve"> and overpressures caused by the earthquake, until, at the bottom, local instability is produced, which manifests itself through</w:t>
      </w:r>
      <w:r w:rsidR="00C2340E">
        <w:t xml:space="preserve"> the</w:t>
      </w:r>
      <w:r w:rsidRPr="006B2C7E">
        <w:t xml:space="preserve"> </w:t>
      </w:r>
      <w:r>
        <w:t>bulge</w:t>
      </w:r>
      <w:r w:rsidRPr="006B2C7E">
        <w:t xml:space="preserve"> of the </w:t>
      </w:r>
      <w:r>
        <w:t>wall</w:t>
      </w:r>
      <w:r w:rsidRPr="006B2C7E">
        <w:t xml:space="preserve"> itself.</w:t>
      </w:r>
    </w:p>
    <w:p w14:paraId="1256CF92" w14:textId="77777777" w:rsidR="006241BF" w:rsidRDefault="006241BF" w:rsidP="00E23E8D">
      <w:pPr>
        <w:pStyle w:val="CETBodytext"/>
        <w:numPr>
          <w:ilvl w:val="0"/>
          <w:numId w:val="22"/>
        </w:numPr>
        <w:ind w:left="170" w:hanging="170"/>
      </w:pPr>
      <w:r>
        <w:t>D</w:t>
      </w:r>
      <w:r w:rsidRPr="004C0E3C">
        <w:t>iamond buckling</w:t>
      </w:r>
      <w:r>
        <w:t xml:space="preserve">. </w:t>
      </w:r>
      <w:r w:rsidRPr="002E25DD">
        <w:t>The phenomenon of elastic buckling occurs when the vertical stress exceeds the critical value of the vertical membrane stress, depending on the axial compressive forces developed at the generic meridian line, due to the weight of the tank walls and the roof, in addition to the increase given by the seismic action.</w:t>
      </w:r>
    </w:p>
    <w:p w14:paraId="2765D321" w14:textId="7D0B8895" w:rsidR="006241BF" w:rsidRDefault="00B771BD" w:rsidP="00E23E8D">
      <w:pPr>
        <w:pStyle w:val="CETBodytext"/>
        <w:numPr>
          <w:ilvl w:val="0"/>
          <w:numId w:val="22"/>
        </w:numPr>
        <w:ind w:left="170" w:hanging="170"/>
      </w:pPr>
      <w:r>
        <w:t>Upl</w:t>
      </w:r>
      <w:r w:rsidR="006241BF" w:rsidRPr="004C0E3C">
        <w:t xml:space="preserve">ifting of the bottom and its consequences, such as </w:t>
      </w:r>
      <w:r w:rsidR="006241BF">
        <w:t>failure</w:t>
      </w:r>
      <w:r w:rsidR="006241BF" w:rsidRPr="004C0E3C">
        <w:t xml:space="preserve"> of weld</w:t>
      </w:r>
      <w:r w:rsidR="006241BF">
        <w:t>ed connection</w:t>
      </w:r>
      <w:r w:rsidR="006241BF" w:rsidRPr="004C0E3C">
        <w:t xml:space="preserve"> between bottom and shell in non-anchored tanks, </w:t>
      </w:r>
      <w:r w:rsidR="006241BF">
        <w:t xml:space="preserve">failure of the anchorage system if present, </w:t>
      </w:r>
      <w:r w:rsidR="006241BF" w:rsidRPr="004C0E3C">
        <w:t>breakage at the inlet</w:t>
      </w:r>
      <w:r w:rsidR="00C2340E">
        <w:t xml:space="preserve"> </w:t>
      </w:r>
      <w:r w:rsidR="006241BF" w:rsidRPr="004C0E3C">
        <w:t>/</w:t>
      </w:r>
      <w:r w:rsidR="00C2340E">
        <w:t xml:space="preserve"> </w:t>
      </w:r>
      <w:r w:rsidR="006241BF" w:rsidRPr="004C0E3C">
        <w:t>outlet pipes</w:t>
      </w:r>
      <w:r w:rsidR="006241BF">
        <w:t>.</w:t>
      </w:r>
    </w:p>
    <w:p w14:paraId="08617095" w14:textId="244E3013" w:rsidR="006241BF" w:rsidRDefault="006241BF" w:rsidP="006241BF">
      <w:pPr>
        <w:pStyle w:val="CETBodytext"/>
      </w:pPr>
      <w:r w:rsidRPr="004C0E3C">
        <w:lastRenderedPageBreak/>
        <w:t>The convective component, on the other hand, is responsible for damage to the upper part of the shell and the roof of the tank, such as excessive deformation</w:t>
      </w:r>
      <w:r>
        <w:t xml:space="preserve">, buckling of inner and outer rim of the pontoon </w:t>
      </w:r>
      <w:r>
        <w:rPr>
          <w:rStyle w:val="Rimandonotaapidipagina"/>
        </w:rPr>
        <w:fldChar w:fldCharType="begin" w:fldLock="1"/>
      </w:r>
      <w:r>
        <w:instrText>ADDIN CSL_CITATION {"citationItems":[{"id":"ITEM-1","itemData":{"abstract":"The 2003 Tokachi-oki earthquake caused the severe damage to oil storage tanks by liquid sloshing. Especially at Tomakomai in Hokkaido, the ground motions at the periods of 3 to 8 sec predominated, which were harmonized with the natural period of liquid sloshing of oil storage tanks, then seven single-deck-type floating roofs were damaged and sank. For the 30,000kl FRT(φ42.7m), one of those tanks, with about 7 sec of fundamental sloshing period, maximum sloshing wave height was estimated 3m and over. On the other hand, for the 100,000kl FRT(φ78.2m) with about 12 sec of fundamental sloshing period, maximum sloshing wave height was estimated about 1.5m and the excitation of 2nd sloshing mode was considered to be strongly excited. Considering both of nonlinear behavior of a large amplitude wave of 1st sloshing mode and nonlinear effects of large deflection of a deck plate at 2nd sloshing mode, we established the simplified method of seismic design of single-deck-type floating roofs using modified velocity response spectrum. This spectrum was based on many studies, investigated by Zama [1] and others, of the prediction of long-period strong ground motion and of liquid sloshing of oil tanks in Japan.","author":[{"dropping-particle":"","family":"Yamauchi","given":"Yoshihiko","non-dropping-particle":"","parse-names":false,"suffix":""},{"dropping-particle":"","family":"Kamei","given":"Asamichi","non-dropping-particle":"","parse-names":false,"suffix":""},{"dropping-particle":"","family":"Zama","given":"Sinsaku","non-dropping-particle":"","parse-names":false,"suffix":""},{"dropping-particle":"","family":"Uchida","given":"Yoshinori","non-dropping-particle":"","parse-names":false,"suffix":""}],"container-title":"Proceedings of ASME 2006 Pressure Vessels and Piping Division Conference","id":"ITEM-1","issued":{"date-parts":[["2006"]]},"title":"Seismic design of floating roof of oil storage tanks under liquid sloshing","type":"paper-conference"},"uris":["http://www.mendeley.com/documents/?uuid=d38a9f8c-6b72-4cee-af61-30b2199184c1"]}],"mendeley":{"formattedCitation":"(Yamauchi et al., 2006)","plainTextFormattedCitation":"(Yamauchi et al., 2006)","previouslyFormattedCitation":"(Yamauchi et al., 2006)"},"properties":{"noteIndex":0},"schema":"https://github.com/citation-style-language/schema/raw/master/csl-citation.json"}</w:instrText>
      </w:r>
      <w:r>
        <w:rPr>
          <w:rStyle w:val="Rimandonotaapidipagina"/>
        </w:rPr>
        <w:fldChar w:fldCharType="separate"/>
      </w:r>
      <w:r w:rsidRPr="00923D73">
        <w:rPr>
          <w:noProof/>
        </w:rPr>
        <w:t>(Yamauchi et al., 2006)</w:t>
      </w:r>
      <w:r>
        <w:rPr>
          <w:rStyle w:val="Rimandonotaapidipagina"/>
        </w:rPr>
        <w:fldChar w:fldCharType="end"/>
      </w:r>
      <w:r w:rsidRPr="004C0E3C">
        <w:t>, tilting and sinking of the roof. In particular, the failure of the floating roof and, above all, of the non-structural elements connected to it (e.g.: roof sealing system, rainwater drainage systems, safety systems), can lead to the leakage of hazardous substances</w:t>
      </w:r>
      <w:r w:rsidR="00E23E8D">
        <w:t xml:space="preserve">, </w:t>
      </w:r>
      <w:r w:rsidRPr="004C0E3C">
        <w:t xml:space="preserve">pollutants and flammable </w:t>
      </w:r>
      <w:r w:rsidR="00E23E8D">
        <w:t>substances,</w:t>
      </w:r>
      <w:r w:rsidRPr="004C0E3C">
        <w:t xml:space="preserve"> with the possible triggering of fires and explosions; in addition to the combustion of spilled substances, a fire can be triggered by repeated impacts between the floating roof and the shell</w:t>
      </w:r>
      <w:r>
        <w:t xml:space="preserve"> </w:t>
      </w:r>
      <w:r>
        <w:rPr>
          <w:rStyle w:val="Rimandonotaapidipagina"/>
        </w:rPr>
        <w:fldChar w:fldCharType="begin" w:fldLock="1"/>
      </w:r>
      <w:r>
        <w:instrText>ADDIN CSL_CITATION {"citationItems":[{"id":"ITEM-1","itemData":{"DOI":"10.1007/s10950-007-9066-y","ISSN":"13834649","abstract":"The 2003 Tokachi-oki earthquake (Mw 8.0) in northern Japan generated large-amplitude long-period (4-8 s) ground motions in the Yufutsu sedimentary basin, causing severe damage to seven large oil storage tanks with floating roof structures because of severe sloshing of oil. The 30,000-40,000-m3 tanks having suffered the severe damage such as fires and sinking of floating roofs experienced the sloshing with large amplitudes exceeding 3 m in which the fundamental mode was predominant. The second mode of sloshing was also excited in the 110,000-m3 tanks in which their floating roofs sank into oil, indicating that the higher modes of sloshing as well as the fundamental mode should be considered in damage prediction. The strong ground motion recordings demonstrated the earthquake dependency of predominant periods and the substantial spatial variation of the long-period shaking observed within the Yufutsu basin, meaning the necessity of source- and site-specific prediction of long-period strong ground motions. The two-dimensional numerical modeling suggested the importance of detailed structures of soft near-surface sediments as well as deep basin structure for accurate prediction of long-period strong ground motions in deep sedimentary basins. © Springer Science+Business Media B.V. 2007.","author":[{"dropping-particle":"","family":"Hatayama","given":"Ken","non-dropping-particle":"","parse-names":false,"suffix":""}],"container-title":"Journal of Seismology","id":"ITEM-1","issue":"2","issued":{"date-parts":[["2008"]]},"page":"255-263","title":"Lessons from the 2003 Tokachi-oki, Japan, earthquake for prediction of long-period strong ground motions and sloshing damage to oil storage tanks","type":"article-journal","volume":"12"},"uris":["http://www.mendeley.com/documents/?uuid=06c3101e-e0cf-4dbc-b6b7-ab073b682291"]}],"mendeley":{"formattedCitation":"(Hatayama, 2008)","plainTextFormattedCitation":"(Hatayama, 2008)","previouslyFormattedCitation":"(Hatayama, 2008)"},"properties":{"noteIndex":0},"schema":"https://github.com/citation-style-language/schema/raw/master/csl-citation.json"}</w:instrText>
      </w:r>
      <w:r>
        <w:rPr>
          <w:rStyle w:val="Rimandonotaapidipagina"/>
        </w:rPr>
        <w:fldChar w:fldCharType="separate"/>
      </w:r>
      <w:r w:rsidRPr="00B62A1C">
        <w:rPr>
          <w:bCs/>
          <w:noProof/>
        </w:rPr>
        <w:t>(Hatayama, 2008)</w:t>
      </w:r>
      <w:r>
        <w:rPr>
          <w:rStyle w:val="Rimandonotaapidipagina"/>
        </w:rPr>
        <w:fldChar w:fldCharType="end"/>
      </w:r>
      <w:r w:rsidR="00E23E8D">
        <w:t>, due to the failure of seal system.</w:t>
      </w:r>
    </w:p>
    <w:p w14:paraId="2F4D9C77" w14:textId="0BA826DB" w:rsidR="003102E2" w:rsidRDefault="003102E2" w:rsidP="006241BF">
      <w:pPr>
        <w:pStyle w:val="CETBodytext"/>
      </w:pPr>
      <w:r w:rsidRPr="003102E2">
        <w:t>Therefore, damage related to the convective component of fluid motion is the most involved in accidents that can become major</w:t>
      </w:r>
      <w:r>
        <w:t>.</w:t>
      </w:r>
    </w:p>
    <w:p w14:paraId="1D28C492" w14:textId="77777777" w:rsidR="006241BF" w:rsidRDefault="006241BF" w:rsidP="00184297">
      <w:pPr>
        <w:pStyle w:val="CETBodytext"/>
        <w:spacing w:line="240" w:lineRule="auto"/>
      </w:pPr>
    </w:p>
    <w:p w14:paraId="4009D09B" w14:textId="61A78422" w:rsidR="006241BF" w:rsidRDefault="008C7E74" w:rsidP="008C7E74">
      <w:pPr>
        <w:pStyle w:val="CETBodytext"/>
        <w:keepNext/>
        <w:jc w:val="left"/>
      </w:pPr>
      <w:r w:rsidRPr="008C7E74">
        <w:t>a)</w:t>
      </w:r>
      <w:r>
        <w:t xml:space="preserve"> </w:t>
      </w:r>
      <w:r w:rsidR="006241BF" w:rsidRPr="003444EC">
        <w:rPr>
          <w:noProof/>
          <w:lang w:val="it-IT" w:eastAsia="it-IT"/>
        </w:rPr>
        <w:drawing>
          <wp:inline distT="0" distB="0" distL="0" distR="0" wp14:anchorId="2E87C11B" wp14:editId="0D7F2942">
            <wp:extent cx="1623979" cy="1296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847" r="1534"/>
                    <a:stretch/>
                  </pic:blipFill>
                  <pic:spPr bwMode="auto">
                    <a:xfrm>
                      <a:off x="0" y="0"/>
                      <a:ext cx="1623979" cy="1296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b) </w:t>
      </w:r>
      <w:r w:rsidR="00366335" w:rsidRPr="00215B38">
        <w:rPr>
          <w:noProof/>
          <w:lang w:val="it-IT" w:eastAsia="it-IT"/>
        </w:rPr>
        <w:drawing>
          <wp:inline distT="0" distB="0" distL="0" distR="0" wp14:anchorId="51266B7F" wp14:editId="7387E77A">
            <wp:extent cx="1253431" cy="1296000"/>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465" r="20841"/>
                    <a:stretch/>
                  </pic:blipFill>
                  <pic:spPr bwMode="auto">
                    <a:xfrm>
                      <a:off x="0" y="0"/>
                      <a:ext cx="1253431" cy="1296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c) </w:t>
      </w:r>
      <w:r w:rsidR="00366335" w:rsidRPr="00215B38">
        <w:rPr>
          <w:noProof/>
          <w:lang w:val="it-IT" w:eastAsia="it-IT"/>
        </w:rPr>
        <w:drawing>
          <wp:inline distT="0" distB="0" distL="0" distR="0" wp14:anchorId="00FF84D4" wp14:editId="58098070">
            <wp:extent cx="1308768" cy="1296000"/>
            <wp:effectExtent l="0" t="0" r="571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6201" r="19447"/>
                    <a:stretch/>
                  </pic:blipFill>
                  <pic:spPr bwMode="auto">
                    <a:xfrm>
                      <a:off x="0" y="0"/>
                      <a:ext cx="1308768" cy="1296000"/>
                    </a:xfrm>
                    <a:prstGeom prst="rect">
                      <a:avLst/>
                    </a:prstGeom>
                    <a:noFill/>
                    <a:ln>
                      <a:noFill/>
                    </a:ln>
                    <a:extLst>
                      <a:ext uri="{53640926-AAD7-44D8-BBD7-CCE9431645EC}">
                        <a14:shadowObscured xmlns:a14="http://schemas.microsoft.com/office/drawing/2010/main"/>
                      </a:ext>
                    </a:extLst>
                  </pic:spPr>
                </pic:pic>
              </a:graphicData>
            </a:graphic>
          </wp:inline>
        </w:drawing>
      </w:r>
    </w:p>
    <w:p w14:paraId="5658FA50" w14:textId="63345AB4" w:rsidR="006241BF" w:rsidRDefault="006241BF" w:rsidP="008C7E74">
      <w:pPr>
        <w:pStyle w:val="CETCaption"/>
      </w:pPr>
      <w:r>
        <w:t xml:space="preserve">Figure </w:t>
      </w:r>
      <w:r>
        <w:fldChar w:fldCharType="begin"/>
      </w:r>
      <w:r>
        <w:instrText xml:space="preserve"> SEQ Figure \* ARABIC </w:instrText>
      </w:r>
      <w:r>
        <w:fldChar w:fldCharType="separate"/>
      </w:r>
      <w:r w:rsidR="00E7147D">
        <w:rPr>
          <w:noProof/>
        </w:rPr>
        <w:t>1</w:t>
      </w:r>
      <w:r>
        <w:fldChar w:fldCharType="end"/>
      </w:r>
      <w:r w:rsidR="008C7E74">
        <w:t xml:space="preserve">: a) tilting of floating roof and burned tank </w:t>
      </w:r>
      <w:r>
        <w:rPr>
          <w:rStyle w:val="Rimandonotaapidipagina"/>
        </w:rPr>
        <w:fldChar w:fldCharType="begin" w:fldLock="1"/>
      </w:r>
      <w:r>
        <w:instrText>ADDIN CSL_CITATION {"citationItems":[{"id":"ITEM-1","itemData":{"DOI":"10.1007/s10950-007-9066-y","ISSN":"13834649","abstract":"The 2003 Tokachi-oki earthquake (Mw 8.0) in northern Japan generated large-amplitude long-period (4-8 s) ground motions in the Yufutsu sedimentary basin, causing severe damage to seven large oil storage tanks with floating roof structures because of severe sloshing of oil. The 30,000-40,000-m3 tanks having suffered the severe damage such as fires and sinking of floating roofs experienced the sloshing with large amplitudes exceeding 3 m in which the fundamental mode was predominant. The second mode of sloshing was also excited in the 110,000-m3 tanks in which their floating roofs sank into oil, indicating that the higher modes of sloshing as well as the fundamental mode should be considered in damage prediction. The strong ground motion recordings demonstrated the earthquake dependency of predominant periods and the substantial spatial variation of the long-period shaking observed within the Yufutsu basin, meaning the necessity of source- and site-specific prediction of long-period strong ground motions. The two-dimensional numerical modeling suggested the importance of detailed structures of soft near-surface sediments as well as deep basin structure for accurate prediction of long-period strong ground motions in deep sedimentary basins. © Springer Science+Business Media B.V. 2007.","author":[{"dropping-particle":"","family":"Hatayama","given":"Ken","non-dropping-particle":"","parse-names":false,"suffix":""}],"container-title":"Journal of Seismology","id":"ITEM-1","issue":"2","issued":{"date-parts":[["2008"]]},"page":"255-263","title":"Lessons from the 2003 Tokachi-oki, Japan, earthquake for prediction of long-period strong ground motions and sloshing damage to oil storage tanks","type":"article-journal","volume":"12"},"uris":["http://www.mendeley.com/documents/?uuid=06c3101e-e0cf-4dbc-b6b7-ab073b682291"]}],"mendeley":{"formattedCitation":"(Hatayama, 2008)","plainTextFormattedCitation":"(Hatayama, 2008)","previouslyFormattedCitation":"(Hatayama, 2008)"},"properties":{"noteIndex":0},"schema":"https://github.com/citation-style-language/schema/raw/master/csl-citation.json"}</w:instrText>
      </w:r>
      <w:r>
        <w:rPr>
          <w:rStyle w:val="Rimandonotaapidipagina"/>
        </w:rPr>
        <w:fldChar w:fldCharType="separate"/>
      </w:r>
      <w:r w:rsidRPr="00923D73">
        <w:rPr>
          <w:noProof/>
        </w:rPr>
        <w:t>(Hatayama, 2008)</w:t>
      </w:r>
      <w:r>
        <w:rPr>
          <w:rStyle w:val="Rimandonotaapidipagina"/>
        </w:rPr>
        <w:fldChar w:fldCharType="end"/>
      </w:r>
      <w:r w:rsidR="008C7E74">
        <w:t xml:space="preserve">, b) buckling of inner pontoon, c) buckling of outer pontoon </w:t>
      </w:r>
      <w:r w:rsidRPr="008C7E74">
        <w:fldChar w:fldCharType="begin" w:fldLock="1"/>
      </w:r>
      <w:r w:rsidRPr="008C7E74">
        <w:instrText>ADDIN CSL_CITATION {"citationItems":[{"id":"ITEM-1","itemData":{"abstract":"The 2003 Tokachi-oki earthquake caused the severe damage to oil storage tanks by liquid sloshing. Especially at Tomakomai in Hokkaido, the ground motions at the periods of 3 to 8 sec predominated, which were harmonized with the natural period of liquid sloshing of oil storage tanks, then seven single-deck-type floating roofs were damaged and sank. For the 30,000kl FRT(φ42.7m), one of those tanks, with about 7 sec of fundamental sloshing period, maximum sloshing wave height was estimated 3m and over. On the other hand, for the 100,000kl FRT(φ78.2m) with about 12 sec of fundamental sloshing period, maximum sloshing wave height was estimated about 1.5m and the excitation of 2nd sloshing mode was considered to be strongly excited. Considering both of nonlinear behavior of a large amplitude wave of 1st sloshing mode and nonlinear effects of large deflection of a deck plate at 2nd sloshing mode, we established the simplified method of seismic design of single-deck-type floating roofs using modified velocity response spectrum. This spectrum was based on many studies, investigated by Zama [1] and others, of the prediction of long-period strong ground motion and of liquid sloshing of oil tanks in Japan.","author":[{"dropping-particle":"","family":"Yamauchi","given":"Yoshihiko","non-dropping-particle":"","parse-names":false,"suffix":""},{"dropping-particle":"","family":"Kamei","given":"Asamichi","non-dropping-particle":"","parse-names":false,"suffix":""},{"dropping-particle":"","family":"Zama","given":"Sinsaku","non-dropping-particle":"","parse-names":false,"suffix":""},{"dropping-particle":"","family":"Uchida","given":"Yoshinori","non-dropping-particle":"","parse-names":false,"suffix":""}],"container-title":"Proceedings of ASME 2006 Pressure Vessels and Piping Division Conference","id":"ITEM-1","issued":{"date-parts":[["2006"]]},"title":"Seismic design of floating roof of oil storage tanks under liquid sloshing","type":"paper-conference"},"uris":["http://www.mendeley.com/documents/?uuid=d38a9f8c-6b72-4cee-af61-30b2199184c1"]}],"mendeley":{"formattedCitation":"(Yamauchi et al., 2006)","plainTextFormattedCitation":"(Yamauchi et al., 2006)","previouslyFormattedCitation":"(Yamauchi et al., 2006)"},"properties":{"noteIndex":0},"schema":"https://github.com/citation-style-language/schema/raw/master/csl-citation.json"}</w:instrText>
      </w:r>
      <w:r w:rsidRPr="008C7E74">
        <w:fldChar w:fldCharType="separate"/>
      </w:r>
      <w:r w:rsidRPr="008C7E74">
        <w:rPr>
          <w:noProof/>
        </w:rPr>
        <w:t>(Yamauchi et al., 2006)</w:t>
      </w:r>
      <w:r w:rsidRPr="008C7E74">
        <w:fldChar w:fldCharType="end"/>
      </w:r>
    </w:p>
    <w:p w14:paraId="102C0CE6" w14:textId="213D9EA2" w:rsidR="00266751" w:rsidRPr="00266751" w:rsidRDefault="00176156" w:rsidP="00266751">
      <w:pPr>
        <w:pStyle w:val="CETHeading1"/>
      </w:pPr>
      <w:r>
        <w:t>Seismic risk analysis</w:t>
      </w:r>
    </w:p>
    <w:p w14:paraId="47C7F031" w14:textId="4885D6B8" w:rsidR="00442979" w:rsidRDefault="00266751" w:rsidP="00266751">
      <w:pPr>
        <w:pStyle w:val="CETBodytext"/>
      </w:pPr>
      <w:r w:rsidRPr="00266751">
        <w:t xml:space="preserve">Risk analysis is the process by which all internal and external hazards associated with industrial activity and conditions that may lead to accidental events with harmful consequences for people, the environment and property are identified. </w:t>
      </w:r>
      <w:r w:rsidR="003155EE">
        <w:t>P</w:t>
      </w:r>
      <w:r>
        <w:t>lants</w:t>
      </w:r>
      <w:r w:rsidRPr="00266751">
        <w:t xml:space="preserve"> where dangerous substances are involved in industrial processes are defined as </w:t>
      </w:r>
      <w:r>
        <w:t>“major ha</w:t>
      </w:r>
      <w:r w:rsidRPr="00266751">
        <w:t>zard</w:t>
      </w:r>
      <w:r>
        <w:t xml:space="preserve"> industrial plant”</w:t>
      </w:r>
      <w:r w:rsidRPr="00266751">
        <w:t>.</w:t>
      </w:r>
      <w:r>
        <w:t xml:space="preserve"> </w:t>
      </w:r>
    </w:p>
    <w:p w14:paraId="4C4D6CAE" w14:textId="1D1011A2" w:rsidR="00275C7B" w:rsidRDefault="00CC6AFE" w:rsidP="00CC6AFE">
      <w:pPr>
        <w:pStyle w:val="CETBodytext"/>
        <w:keepNext/>
        <w:jc w:val="left"/>
      </w:pPr>
      <w:r>
        <w:rPr>
          <w:noProof/>
          <w:lang w:val="it-IT" w:eastAsia="it-IT"/>
        </w:rPr>
        <w:drawing>
          <wp:inline distT="0" distB="0" distL="0" distR="0" wp14:anchorId="3B2877F4" wp14:editId="214C6B8A">
            <wp:extent cx="5263920" cy="3168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13"/>
                    <a:srcRect t="-1847" b="1588"/>
                    <a:stretch/>
                  </pic:blipFill>
                  <pic:spPr bwMode="auto">
                    <a:xfrm>
                      <a:off x="0" y="0"/>
                      <a:ext cx="5263920" cy="3168000"/>
                    </a:xfrm>
                    <a:prstGeom prst="rect">
                      <a:avLst/>
                    </a:prstGeom>
                    <a:ln>
                      <a:noFill/>
                    </a:ln>
                    <a:extLst>
                      <a:ext uri="{53640926-AAD7-44D8-BBD7-CCE9431645EC}">
                        <a14:shadowObscured xmlns:a14="http://schemas.microsoft.com/office/drawing/2010/main"/>
                      </a:ext>
                    </a:extLst>
                  </pic:spPr>
                </pic:pic>
              </a:graphicData>
            </a:graphic>
          </wp:inline>
        </w:drawing>
      </w:r>
    </w:p>
    <w:p w14:paraId="7250A317" w14:textId="34C94A5C" w:rsidR="00275C7B" w:rsidRDefault="00275C7B" w:rsidP="00275C7B">
      <w:pPr>
        <w:pStyle w:val="CETCaption"/>
      </w:pPr>
      <w:r>
        <w:t xml:space="preserve">Figure </w:t>
      </w:r>
      <w:r>
        <w:fldChar w:fldCharType="begin"/>
      </w:r>
      <w:r>
        <w:instrText xml:space="preserve"> SEQ Figure \* ARABIC </w:instrText>
      </w:r>
      <w:r>
        <w:fldChar w:fldCharType="separate"/>
      </w:r>
      <w:r w:rsidR="00E7147D">
        <w:rPr>
          <w:noProof/>
        </w:rPr>
        <w:t>2</w:t>
      </w:r>
      <w:r>
        <w:fldChar w:fldCharType="end"/>
      </w:r>
      <w:r>
        <w:t>: Methodology for seismic risk analysis for major hazard industrial plants</w:t>
      </w:r>
    </w:p>
    <w:p w14:paraId="3E32AED9" w14:textId="17982A12" w:rsidR="00442979" w:rsidRDefault="00E406E3" w:rsidP="00442979">
      <w:pPr>
        <w:pStyle w:val="CETBodytext"/>
      </w:pPr>
      <w:r>
        <w:t>Risk analysis is based on a probabilistic approach, since the random variables involved in the assessment of major accidents; risk is generally defined as the probability of a given event occurring in a given period and under specific circumstances.</w:t>
      </w:r>
      <w:r w:rsidR="00184297">
        <w:t xml:space="preserve"> </w:t>
      </w:r>
      <w:r w:rsidR="00442979">
        <w:t>At present</w:t>
      </w:r>
      <w:r w:rsidR="00442979" w:rsidRPr="00E462AD">
        <w:t>, standard</w:t>
      </w:r>
      <w:r w:rsidR="00442979">
        <w:t>s and guidelines</w:t>
      </w:r>
      <w:r w:rsidR="00442979" w:rsidRPr="00E462AD">
        <w:t xml:space="preserve"> do not specify</w:t>
      </w:r>
      <w:r w:rsidR="00442979">
        <w:t xml:space="preserve"> clear</w:t>
      </w:r>
      <w:r w:rsidR="00442979" w:rsidRPr="00E462AD">
        <w:t xml:space="preserve"> methodologies to carry out a risk analysis</w:t>
      </w:r>
      <w:r w:rsidR="00442979">
        <w:t xml:space="preserve"> related to hazardous substance release, </w:t>
      </w:r>
      <w:r w:rsidR="00442979" w:rsidRPr="000D6C80">
        <w:t>due to the occurrence of a leak/break/failure of an equipment</w:t>
      </w:r>
      <w:r w:rsidR="00442979">
        <w:t xml:space="preserve">. A common methodology for the seismic risk assessment in major hazard industrial plants is shown </w:t>
      </w:r>
      <w:r w:rsidR="00442979">
        <w:lastRenderedPageBreak/>
        <w:t xml:space="preserve">in Figure 2. </w:t>
      </w:r>
      <w:r w:rsidR="00442979" w:rsidRPr="000D6C80">
        <w:t xml:space="preserve">The first step </w:t>
      </w:r>
      <w:r w:rsidR="00442979">
        <w:t xml:space="preserve">is to characterize both the seismic event, in terms of site hazard, and the behavior of equipment, </w:t>
      </w:r>
      <w:r w:rsidR="003155EE">
        <w:t>to</w:t>
      </w:r>
      <w:r w:rsidR="00442979">
        <w:t xml:space="preserve"> evaluate </w:t>
      </w:r>
      <w:r w:rsidR="00442979" w:rsidRPr="00AB07CA">
        <w:t xml:space="preserve">the seismic vulnerability, </w:t>
      </w:r>
      <w:r w:rsidR="00442979">
        <w:t>both by</w:t>
      </w:r>
      <w:r w:rsidR="00442979" w:rsidRPr="00AB07CA">
        <w:t xml:space="preserve"> the safety checks </w:t>
      </w:r>
      <w:r w:rsidR="00442979">
        <w:t>from</w:t>
      </w:r>
      <w:r w:rsidR="00442979" w:rsidRPr="00AB07CA">
        <w:t xml:space="preserve"> the regulatory codes and </w:t>
      </w:r>
      <w:r w:rsidR="00442979">
        <w:t>by</w:t>
      </w:r>
      <w:r w:rsidR="00442979" w:rsidRPr="00AB07CA">
        <w:t xml:space="preserve"> fragility </w:t>
      </w:r>
      <w:r w:rsidR="00442979">
        <w:t>analysis. Once the critical structural and non-structural elements have been identified, possible accident scenarios involving hazardous substances can be identified. T</w:t>
      </w:r>
      <w:r w:rsidR="00442979" w:rsidRPr="000D6C80">
        <w:t>his can be carried out using various complementary te</w:t>
      </w:r>
      <w:r w:rsidR="00442979" w:rsidRPr="008F7CE8">
        <w:t xml:space="preserve">chniques, such as historical analysis, checklists, what-if analysis, HazOp analysis, </w:t>
      </w:r>
      <w:r w:rsidR="00442979">
        <w:t>f</w:t>
      </w:r>
      <w:r w:rsidR="00442979" w:rsidRPr="008F7CE8">
        <w:t xml:space="preserve">ailure </w:t>
      </w:r>
      <w:r w:rsidR="00442979">
        <w:t>m</w:t>
      </w:r>
      <w:r w:rsidR="00442979" w:rsidRPr="008F7CE8">
        <w:t xml:space="preserve">odes and </w:t>
      </w:r>
      <w:r w:rsidR="00442979">
        <w:t>e</w:t>
      </w:r>
      <w:r w:rsidR="00442979" w:rsidRPr="008F7CE8">
        <w:t xml:space="preserve">ffects </w:t>
      </w:r>
      <w:r w:rsidR="00442979">
        <w:t>a</w:t>
      </w:r>
      <w:r w:rsidR="00442979" w:rsidRPr="008F7CE8">
        <w:t xml:space="preserve">nalysis </w:t>
      </w:r>
      <w:r w:rsidR="00442979">
        <w:t xml:space="preserve">or </w:t>
      </w:r>
      <w:r w:rsidR="00442979" w:rsidRPr="008F7CE8">
        <w:t xml:space="preserve">random failure analysis. </w:t>
      </w:r>
      <w:r w:rsidR="00442979">
        <w:t>Then, two analyses are required to identify the expected frequency of an incidental scenario:</w:t>
      </w:r>
    </w:p>
    <w:p w14:paraId="396A7EDE" w14:textId="77777777" w:rsidR="00442979" w:rsidRDefault="00442979" w:rsidP="00442979">
      <w:pPr>
        <w:pStyle w:val="CETBodytext"/>
        <w:numPr>
          <w:ilvl w:val="0"/>
          <w:numId w:val="23"/>
        </w:numPr>
        <w:ind w:left="340" w:hanging="227"/>
      </w:pPr>
      <w:r>
        <w:t xml:space="preserve">Fault Trees Analysis (FTA) aims to assess the expected frequency of the incidental scenario starting from the causes and prevention interventions. FTA involves the construction of a logical decision tree using initiator events, enabler events and logical gates linking the various events. The values to be assigned to the causes must be expressed in occasions/year.  </w:t>
      </w:r>
    </w:p>
    <w:p w14:paraId="4591E1CA" w14:textId="77777777" w:rsidR="00442979" w:rsidRDefault="00442979" w:rsidP="00442979">
      <w:pPr>
        <w:pStyle w:val="CETBodytext"/>
        <w:numPr>
          <w:ilvl w:val="0"/>
          <w:numId w:val="23"/>
        </w:numPr>
        <w:ind w:left="340" w:hanging="227"/>
      </w:pPr>
      <w:r>
        <w:t>Event Trees Analysis (ETA) aims to assess and assign an expected frequency to all possible event evolutions, also considering protection interventions.</w:t>
      </w:r>
    </w:p>
    <w:p w14:paraId="088FE5BE" w14:textId="0FE59ED0" w:rsidR="00442979" w:rsidRDefault="00442979" w:rsidP="00442979">
      <w:pPr>
        <w:pStyle w:val="CETBodytext"/>
      </w:pPr>
      <w:r w:rsidRPr="00644EAA">
        <w:t xml:space="preserve">Subsequently, the calculation of consequences is carried out from a set of boundary conditions, some defined by the </w:t>
      </w:r>
      <w:r w:rsidR="00E406E3">
        <w:t>codes</w:t>
      </w:r>
      <w:r w:rsidRPr="00644EAA">
        <w:t xml:space="preserve"> and others to be identified for each individual industrial site or at the level of an individual scenario.</w:t>
      </w:r>
    </w:p>
    <w:p w14:paraId="293673E1" w14:textId="64D412BD" w:rsidR="00442979" w:rsidRPr="00442979" w:rsidRDefault="00442979" w:rsidP="00442979">
      <w:pPr>
        <w:pStyle w:val="CETBodytext"/>
      </w:pPr>
      <w:r w:rsidRPr="00650997">
        <w:t xml:space="preserve">The final objective of a </w:t>
      </w:r>
      <w:r>
        <w:t>r</w:t>
      </w:r>
      <w:r w:rsidRPr="00650997">
        <w:t xml:space="preserve">isk </w:t>
      </w:r>
      <w:r>
        <w:t>a</w:t>
      </w:r>
      <w:r w:rsidRPr="00650997">
        <w:t>nalysis is to quantify the risk and, if this is not considered acceptable, to reduce it through some improvements.</w:t>
      </w:r>
      <w:r>
        <w:t xml:space="preserve"> </w:t>
      </w:r>
    </w:p>
    <w:p w14:paraId="7CAB112E" w14:textId="7620C66C" w:rsidR="008F7CE8" w:rsidRDefault="009A4E69" w:rsidP="009A4E69">
      <w:pPr>
        <w:pStyle w:val="CETHeading1"/>
      </w:pPr>
      <w:r>
        <w:t>Fragility curves</w:t>
      </w:r>
    </w:p>
    <w:p w14:paraId="62691A4A" w14:textId="428BFE86" w:rsidR="00A32AE5" w:rsidRPr="00A32AE5" w:rsidRDefault="00A32AE5" w:rsidP="00A32AE5">
      <w:pPr>
        <w:pStyle w:val="CETheadingx"/>
      </w:pPr>
      <w:r>
        <w:t>Definition</w:t>
      </w:r>
    </w:p>
    <w:p w14:paraId="4794A346" w14:textId="539991CC" w:rsidR="009A4E69" w:rsidRDefault="009A4E69" w:rsidP="009A4E69">
      <w:pPr>
        <w:pStyle w:val="CETBodytext"/>
      </w:pPr>
      <w:r w:rsidRPr="009A4E69">
        <w:t>The fragility function represents the probability that the seismic demand (</w:t>
      </w:r>
      <m:oMath>
        <m:sSub>
          <m:sSubPr>
            <m:ctrlPr>
              <w:rPr>
                <w:rFonts w:ascii="Cambria Math" w:hAnsi="Cambria Math" w:cs="Cambria Math"/>
                <w:i/>
              </w:rPr>
            </m:ctrlPr>
          </m:sSubPr>
          <m:e>
            <m:r>
              <w:rPr>
                <w:rFonts w:ascii="Cambria Math" w:hAnsi="Cambria Math" w:cs="Cambria Math"/>
              </w:rPr>
              <m:t>D</m:t>
            </m:r>
          </m:e>
          <m:sub>
            <m:r>
              <m:rPr>
                <m:sty m:val="p"/>
              </m:rPr>
              <w:rPr>
                <w:rFonts w:ascii="Cambria Math" w:hAnsi="Cambria Math" w:cs="Cambria Math"/>
              </w:rPr>
              <m:t>EDP</m:t>
            </m:r>
          </m:sub>
        </m:sSub>
      </m:oMath>
      <w:r w:rsidRPr="009A4E69">
        <w:t xml:space="preserve"> </w:t>
      </w:r>
      <w:r w:rsidR="00067980">
        <w:t>–</w:t>
      </w:r>
      <w:r w:rsidRPr="009A4E69">
        <w:t xml:space="preserve"> </w:t>
      </w:r>
      <w:r w:rsidR="00067980">
        <w:t>demand in term of</w:t>
      </w:r>
      <w:r w:rsidR="008437F3">
        <w:t xml:space="preserve"> an</w:t>
      </w:r>
      <w:r w:rsidR="00067980">
        <w:t xml:space="preserve"> </w:t>
      </w:r>
      <w:r w:rsidRPr="009A4E69">
        <w:t xml:space="preserve">Engineering Demand Parameter) on a building exceeds the </w:t>
      </w:r>
      <w:r w:rsidR="00067980">
        <w:t>L</w:t>
      </w:r>
      <w:r w:rsidRPr="009A4E69">
        <w:t xml:space="preserve">imit </w:t>
      </w:r>
      <w:r w:rsidR="00067980">
        <w:t>S</w:t>
      </w:r>
      <w:r w:rsidRPr="009A4E69">
        <w:t>tate (</w:t>
      </w:r>
      <m:oMath>
        <m:r>
          <w:rPr>
            <w:rFonts w:ascii="Cambria Math" w:hAnsi="Cambria Math" w:cs="Cambria Math"/>
          </w:rPr>
          <m:t>LS</m:t>
        </m:r>
      </m:oMath>
      <w:r w:rsidRPr="009A4E69">
        <w:t xml:space="preserve">) as an undesirable condition for a specific </w:t>
      </w:r>
      <w:r w:rsidR="00067980">
        <w:t>I</w:t>
      </w:r>
      <w:r w:rsidRPr="009A4E69">
        <w:t xml:space="preserve">ntensity </w:t>
      </w:r>
      <w:r w:rsidR="00067980">
        <w:t>M</w:t>
      </w:r>
      <w:r w:rsidRPr="009A4E69">
        <w:t>easure (</w:t>
      </w:r>
      <m:oMath>
        <m:r>
          <w:rPr>
            <w:rFonts w:ascii="Cambria Math" w:hAnsi="Cambria Math" w:cs="Cambria Math"/>
          </w:rPr>
          <m:t>IM</m:t>
        </m:r>
      </m:oMath>
      <w:r w:rsidRPr="009A4E69">
        <w:t>).</w:t>
      </w:r>
      <w:r>
        <w:t xml:space="preserve"> There are three methods for deriving fragility curves</w:t>
      </w:r>
      <w:r w:rsidR="00C40AC7">
        <w:t xml:space="preserve"> </w:t>
      </w:r>
      <w:r w:rsidR="00923D73">
        <w:rPr>
          <w:rStyle w:val="Rimandonotaapidipagina"/>
        </w:rPr>
        <w:fldChar w:fldCharType="begin" w:fldLock="1"/>
      </w:r>
      <w:r w:rsidR="00923D73">
        <w:instrText>ADDIN CSL_CITATION {"citationItems":[{"id":"ITEM-1","itemData":{"ISBN":"9780387938363","author":[{"dropping-particle":"","family":"Porter","given":"Keith","non-dropping-particle":"","parse-names":false,"suffix":""}],"container-title":"University of Colorado Boulder","id":"ITEM-1","issued":{"date-parts":[["2021"]]},"page":"139","title":"A Beginner ’s Guide to Fragility, Vulnerability, and Risk","type":"article-journal"},"uris":["http://www.mendeley.com/documents/?uuid=95cfd139-cbf0-441f-8abc-763cc242c77c"]}],"mendeley":{"formattedCitation":"(Porter, 2021)","plainTextFormattedCitation":"(Porter, 2021)","previouslyFormattedCitation":"(Porter, 2021)"},"properties":{"noteIndex":0},"schema":"https://github.com/citation-style-language/schema/raw/master/csl-citation.json"}</w:instrText>
      </w:r>
      <w:r w:rsidR="00923D73">
        <w:rPr>
          <w:rStyle w:val="Rimandonotaapidipagina"/>
        </w:rPr>
        <w:fldChar w:fldCharType="separate"/>
      </w:r>
      <w:r w:rsidR="00923D73" w:rsidRPr="00923D73">
        <w:rPr>
          <w:noProof/>
        </w:rPr>
        <w:t>(Porter, 2021)</w:t>
      </w:r>
      <w:r w:rsidR="00923D73">
        <w:rPr>
          <w:rStyle w:val="Rimandonotaapidipagina"/>
        </w:rPr>
        <w:fldChar w:fldCharType="end"/>
      </w:r>
      <w:r>
        <w:t>:</w:t>
      </w:r>
    </w:p>
    <w:p w14:paraId="2C4897B6" w14:textId="14EA0ED7" w:rsidR="009A4E69" w:rsidRDefault="008437F3" w:rsidP="002A3071">
      <w:pPr>
        <w:pStyle w:val="CETBodytext"/>
        <w:numPr>
          <w:ilvl w:val="0"/>
          <w:numId w:val="24"/>
        </w:numPr>
        <w:ind w:left="340" w:hanging="227"/>
      </w:pPr>
      <w:r>
        <w:t>The e</w:t>
      </w:r>
      <w:r w:rsidR="009A4E69">
        <w:t>mpirical</w:t>
      </w:r>
      <w:r>
        <w:t xml:space="preserve"> </w:t>
      </w:r>
      <w:r w:rsidR="009A4E69">
        <w:t>/</w:t>
      </w:r>
      <w:r>
        <w:t xml:space="preserve"> </w:t>
      </w:r>
      <w:r w:rsidR="009A4E69">
        <w:t>observational approach allows</w:t>
      </w:r>
      <w:r w:rsidR="00C40AC7">
        <w:t xml:space="preserve"> to derive</w:t>
      </w:r>
      <w:r w:rsidR="009A4E69">
        <w:t xml:space="preserve"> fragility curves through statistical procedures that describe the probability of experiencing or exceeding a particular level of damage as a function of earthquake intensity </w:t>
      </w:r>
      <w:r w:rsidR="00923D73">
        <w:rPr>
          <w:rStyle w:val="Rimandonotaapidipagina"/>
        </w:rPr>
        <w:fldChar w:fldCharType="begin" w:fldLock="1"/>
      </w:r>
      <w:r w:rsidR="00923D73">
        <w:instrText>ADDIN CSL_CITATION {"citationItems":[{"id":"ITEM-1","itemData":{"DOI":"10.1002/eqe","abstract":"This paper describes statistical procedures for developing earthquake damage fragility functions. Although fragility curves abound in earthquake engineering and risk assessment literature, the focus has generally been on the methods for obtaining the damage data (i.e., the analysis of structures), and little emphasis is placed on the process for fitting fragility curves to this data. This paper provides a synthesis of the most com- monly used methods for fitting fragility curves and highlights some of their significant limitations. More novel methods are described for parametric fragility curve development (generalized linear models and cumulative link models) and non-parametric curves (generalized additive model and Gaussian kernel smoothing). An extensive discussion of the advantages and disadvantages of each method is provided, as well as examples using both empirical and analytical data. The paper further proposes methods for treating the uncertainty in intensity measure, an issue common with empirical data. Finally, the paper describes approaches for choosing among various fragility models, based on an evaluation of prediction error for a user-defined loss function.","author":[{"dropping-particle":"","family":"Lallemant","given":"David","non-dropping-particle":"","parse-names":false,"suffix":""},{"dropping-particle":"","family":"Kiremidjian","given":"Anne S.","non-dropping-particle":"","parse-names":false,"suffix":""},{"dropping-particle":"","family":"Burton","given":"Henry","non-dropping-particle":"","parse-names":false,"suffix":""}],"container-title":"Earthquake Engineering &amp; Structural Dynamics","id":"ITEM-1","issued":{"date-parts":[["2015"]]},"title":"Statistical procedures for developing earthquake damage fragility curves","type":"article-journal"},"uris":["http://www.mendeley.com/documents/?uuid=5f41d202-09a7-480e-9708-e2e19df1ed4b"]}],"mendeley":{"formattedCitation":"(Lallemant et al., 2015)","plainTextFormattedCitation":"(Lallemant et al., 2015)","previouslyFormattedCitation":"(Lallemant et al., 2015)"},"properties":{"noteIndex":0},"schema":"https://github.com/citation-style-language/schema/raw/master/csl-citation.json"}</w:instrText>
      </w:r>
      <w:r w:rsidR="00923D73">
        <w:rPr>
          <w:rStyle w:val="Rimandonotaapidipagina"/>
        </w:rPr>
        <w:fldChar w:fldCharType="separate"/>
      </w:r>
      <w:r w:rsidR="00923D73" w:rsidRPr="00923D73">
        <w:rPr>
          <w:noProof/>
        </w:rPr>
        <w:t>(Lallemant et al., 2015)</w:t>
      </w:r>
      <w:r w:rsidR="00923D73">
        <w:rPr>
          <w:rStyle w:val="Rimandonotaapidipagina"/>
        </w:rPr>
        <w:fldChar w:fldCharType="end"/>
      </w:r>
      <w:r w:rsidR="009A4E69">
        <w:t xml:space="preserve">. In the past, fragility curves have been developed using relatively small data sets. However, the number of samples is known to affect the reliability of the fragility estimate. In the case of empirical data, this problem is much more </w:t>
      </w:r>
      <w:r w:rsidR="00C40AC7">
        <w:t>emphasized</w:t>
      </w:r>
      <w:r w:rsidR="009A4E69">
        <w:t xml:space="preserve"> due to measurement errors, </w:t>
      </w:r>
      <w:r>
        <w:t xml:space="preserve">the </w:t>
      </w:r>
      <w:r w:rsidR="009A4E69">
        <w:t xml:space="preserve">indirect nature of the observations and various uncertainties affecting the </w:t>
      </w:r>
      <w:r w:rsidR="00A636CA">
        <w:t>information.</w:t>
      </w:r>
    </w:p>
    <w:p w14:paraId="77F0EE71" w14:textId="27B34386" w:rsidR="009A4E69" w:rsidRDefault="008437F3" w:rsidP="002A3071">
      <w:pPr>
        <w:pStyle w:val="CETBodytext"/>
        <w:numPr>
          <w:ilvl w:val="0"/>
          <w:numId w:val="24"/>
        </w:numPr>
        <w:ind w:left="340" w:hanging="227"/>
      </w:pPr>
      <w:r>
        <w:t>The a</w:t>
      </w:r>
      <w:r w:rsidR="009A4E69">
        <w:t>nalytical approach</w:t>
      </w:r>
      <w:r w:rsidR="00C40AC7">
        <w:t xml:space="preserve"> allows to develop</w:t>
      </w:r>
      <w:r w:rsidR="009A4E69">
        <w:t xml:space="preserve"> case specific fragility curves </w:t>
      </w:r>
      <w:r w:rsidR="00291E3E" w:rsidRPr="00291E3E">
        <w:t>based on the results of structural analyses carried out on</w:t>
      </w:r>
      <w:r w:rsidR="00291E3E">
        <w:t xml:space="preserve"> an</w:t>
      </w:r>
      <w:r w:rsidR="009A4E69">
        <w:t xml:space="preserve"> appropriate model </w:t>
      </w:r>
      <w:r w:rsidR="00291E3E">
        <w:t xml:space="preserve">of the structure. </w:t>
      </w:r>
      <w:r w:rsidR="009A4E69">
        <w:t xml:space="preserve">The analysis may be carried out by different methods. The </w:t>
      </w:r>
      <w:r w:rsidR="00291E3E">
        <w:t>behavior</w:t>
      </w:r>
      <w:r w:rsidR="009A4E69">
        <w:t xml:space="preserve"> of the structure is a function of certain vectors of basic variables. These variables determine both the</w:t>
      </w:r>
      <w:r w:rsidR="00291E3E">
        <w:t xml:space="preserve"> seismic demand and the</w:t>
      </w:r>
      <w:r w:rsidR="009A4E69">
        <w:t xml:space="preserve"> capacity of </w:t>
      </w:r>
      <w:r w:rsidR="00291E3E">
        <w:t>the</w:t>
      </w:r>
      <w:r w:rsidR="009A4E69">
        <w:t xml:space="preserve"> structur</w:t>
      </w:r>
      <w:r w:rsidR="00291E3E">
        <w:t>e</w:t>
      </w:r>
      <w:r w:rsidR="009A4E69">
        <w:t xml:space="preserve">. Once the limit function, or limit state, has been defined, the probability of exceeding the limit states is calculated </w:t>
      </w:r>
      <w:r w:rsidR="00923D73">
        <w:rPr>
          <w:rStyle w:val="Rimandonotaapidipagina"/>
        </w:rPr>
        <w:fldChar w:fldCharType="begin" w:fldLock="1"/>
      </w:r>
      <w:r w:rsidR="00923D73">
        <w:instrText>ADDIN CSL_CITATION {"citationItems":[{"id":"ITEM-1","itemData":{"author":[{"dropping-particle":"","family":"Singhal","given":"Ajay","non-dropping-particle":"","parse-names":false,"suffix":""},{"dropping-particle":"","family":"Kiremidjian","given":"Anne S.","non-dropping-particle":"","parse-names":false,"suffix":""}],"container-title":"Journal of Structural Engineering","id":"ITEM-1","issue":"December","issued":{"date-parts":[["1996"]]},"page":"1459-1467","title":"Method for probabilistic evaluation of seismic structural damage","type":"article-journal","volume":"122"},"uris":["http://www.mendeley.com/documents/?uuid=4369cecb-dc1f-4a35-9519-0d08316247da"]}],"mendeley":{"formattedCitation":"(Singhal &amp; Kiremidjian, 1996)","plainTextFormattedCitation":"(Singhal &amp; Kiremidjian, 1996)","previouslyFormattedCitation":"(Singhal &amp; Kiremidjian, 1996)"},"properties":{"noteIndex":0},"schema":"https://github.com/citation-style-language/schema/raw/master/csl-citation.json"}</w:instrText>
      </w:r>
      <w:r w:rsidR="00923D73">
        <w:rPr>
          <w:rStyle w:val="Rimandonotaapidipagina"/>
        </w:rPr>
        <w:fldChar w:fldCharType="separate"/>
      </w:r>
      <w:r w:rsidR="00923D73" w:rsidRPr="00923D73">
        <w:rPr>
          <w:noProof/>
        </w:rPr>
        <w:t>(Singhal &amp; Kiremidjian, 1996)</w:t>
      </w:r>
      <w:r w:rsidR="00923D73">
        <w:rPr>
          <w:rStyle w:val="Rimandonotaapidipagina"/>
        </w:rPr>
        <w:fldChar w:fldCharType="end"/>
      </w:r>
      <w:r w:rsidR="009A4E69">
        <w:t>.</w:t>
      </w:r>
    </w:p>
    <w:p w14:paraId="176C631E" w14:textId="7057997B" w:rsidR="00A636CA" w:rsidRDefault="008437F3" w:rsidP="00A636CA">
      <w:pPr>
        <w:pStyle w:val="CETBodytext"/>
        <w:numPr>
          <w:ilvl w:val="0"/>
          <w:numId w:val="24"/>
        </w:numPr>
        <w:ind w:left="340" w:hanging="227"/>
      </w:pPr>
      <w:r>
        <w:t>The a</w:t>
      </w:r>
      <w:r w:rsidR="009A4E69">
        <w:t xml:space="preserve">pproach based on expert opinions or judgements, whereby fragility curves of structures are created </w:t>
      </w:r>
      <w:r>
        <w:t xml:space="preserve">by </w:t>
      </w:r>
      <w:r w:rsidR="009A4E69">
        <w:t>experts judging the probability of failure as a function of seismic intensity.</w:t>
      </w:r>
    </w:p>
    <w:p w14:paraId="715A84F2" w14:textId="3E61024A" w:rsidR="00A32AE5" w:rsidRDefault="00A32AE5" w:rsidP="00A32AE5">
      <w:pPr>
        <w:pStyle w:val="CETheadingx"/>
      </w:pPr>
      <w:r>
        <w:t>Literature fragility curves for storage tanks</w:t>
      </w:r>
    </w:p>
    <w:p w14:paraId="0F28B07D" w14:textId="235CAAE2" w:rsidR="006B56BB" w:rsidRDefault="005F0ECC" w:rsidP="00CB34D7">
      <w:pPr>
        <w:pStyle w:val="CETBodytext"/>
      </w:pPr>
      <w:r>
        <w:t xml:space="preserve">O'Rourke and So </w:t>
      </w:r>
      <w:r w:rsidR="00923D73">
        <w:rPr>
          <w:rStyle w:val="Rimandonotaapidipagina"/>
        </w:rPr>
        <w:fldChar w:fldCharType="begin" w:fldLock="1"/>
      </w:r>
      <w:r w:rsidR="00923D73">
        <w:instrText>ADDIN CSL_CITATION {"citationItems":[{"id":"ITEM-1","itemData":{"DOI":"10.1193/1.1586140","ISSN":"87552930","abstract":"The study reported herein attempts to characterize the seismic behavior of cylindrical on-grade, steel liquid storage tanks subject to the ground shaking hazard. The behavior is quantified by fragility curves that resulted from an analysis of the reported performance of over 400 tanks in nine separate earthquake events. The damage states used herein to characterize damage (i.e., slight, moderate, etc.) are intended to mirror damage state descriptions in the HAZUS Earthquake Loss Estimation Methodology. The amount of ground shaking is quantified by the peak ground acceleration (PGA) at the site. The influence of the tank's height to diameter ratio, H/D, as well as the relative amount of stored contents, % Full, are investigated and were found to have had a significant effect upon tank seismic performance. Finally, the fragility curves developed herein are compared to corresponding relations currently available in the technical literature.","author":[{"dropping-particle":"","family":"O'Rourke","given":"Michael J.","non-dropping-particle":"","parse-names":false,"suffix":""},{"dropping-particle":"","family":"So","given":"Pak","non-dropping-particle":"","parse-names":false,"suffix":""}],"container-title":"Earthquake Spectra","id":"ITEM-1","issue":"4","issued":{"date-parts":[["2000"]]},"page":"801-815","title":"Seismic fragility curves for on-grade steel tanks","type":"article","volume":"16"},"uris":["http://www.mendeley.com/documents/?uuid=b3bfbb85-b659-47f8-9a88-29c265305d61"]}],"mendeley":{"formattedCitation":"(O’Rourke &amp; So, 2000)","plainTextFormattedCitation":"(O’Rourke &amp; So, 2000)","previouslyFormattedCitation":"(O’Rourke &amp; So, 2000)"},"properties":{"noteIndex":0},"schema":"https://github.com/citation-style-language/schema/raw/master/csl-citation.json"}</w:instrText>
      </w:r>
      <w:r w:rsidR="00923D73">
        <w:rPr>
          <w:rStyle w:val="Rimandonotaapidipagina"/>
        </w:rPr>
        <w:fldChar w:fldCharType="separate"/>
      </w:r>
      <w:r w:rsidR="00923D73" w:rsidRPr="00923D73">
        <w:rPr>
          <w:noProof/>
        </w:rPr>
        <w:t>(O’Rourke &amp; So, 2000)</w:t>
      </w:r>
      <w:r w:rsidR="00923D73">
        <w:rPr>
          <w:rStyle w:val="Rimandonotaapidipagina"/>
        </w:rPr>
        <w:fldChar w:fldCharType="end"/>
      </w:r>
      <w:r>
        <w:t xml:space="preserve"> characterized the seismic behavior of cylindrical steel storage tanks by developing fragility curves using a logistic regression analysis of the performance of 397 tanks in 9 earthquakes. The damage states adopted to characterize the damage were </w:t>
      </w:r>
      <w:r w:rsidRPr="005F0ECC">
        <w:t>in agreement</w:t>
      </w:r>
      <w:r>
        <w:t xml:space="preserve"> with the damage state description </w:t>
      </w:r>
      <w:r w:rsidR="008437F3">
        <w:t>of</w:t>
      </w:r>
      <w:r>
        <w:t xml:space="preserve"> the HAZUS methodology </w:t>
      </w:r>
      <w:r w:rsidR="00923D73">
        <w:rPr>
          <w:rStyle w:val="Rimandonotaapidipagina"/>
        </w:rPr>
        <w:fldChar w:fldCharType="begin" w:fldLock="1"/>
      </w:r>
      <w:r w:rsidR="00923D73">
        <w:instrText>ADDIN CSL_CITATION {"citationItems":[{"id":"ITEM-1","itemData":{"author":[{"dropping-particle":"","family":"FEMA","given":"","non-dropping-particle":"","parse-names":false,"suffix":""}],"container-title":"Federal Emergency Management Agency, Washington, …","id":"ITEM-1","issued":{"date-parts":[["2003"]]},"title":"HAZUS-MH MR4 Multi-Hazar d Loss Estimation Methodology – Earthquake Model","type":"article-journal"},"uris":["http://www.mendeley.com/documents/?uuid=0326e511-40b4-45c8-89a4-9a798846090b"]}],"mendeley":{"formattedCitation":"(FEMA, 2003)","plainTextFormattedCitation":"(FEMA, 2003)","previouslyFormattedCitation":"(FEMA, 2003)"},"properties":{"noteIndex":0},"schema":"https://github.com/citation-style-language/schema/raw/master/csl-citation.json"}</w:instrText>
      </w:r>
      <w:r w:rsidR="00923D73">
        <w:rPr>
          <w:rStyle w:val="Rimandonotaapidipagina"/>
        </w:rPr>
        <w:fldChar w:fldCharType="separate"/>
      </w:r>
      <w:r w:rsidR="00923D73" w:rsidRPr="00923D73">
        <w:rPr>
          <w:noProof/>
        </w:rPr>
        <w:t>(FEMA, 2003)</w:t>
      </w:r>
      <w:r w:rsidR="00923D73">
        <w:rPr>
          <w:rStyle w:val="Rimandonotaapidipagina"/>
        </w:rPr>
        <w:fldChar w:fldCharType="end"/>
      </w:r>
      <w:r>
        <w:t xml:space="preserve">. Fragility relationships were obtained as a function of aspect ratio and fill percentage. The American Lifeline Alliance </w:t>
      </w:r>
      <w:r w:rsidR="00923D73">
        <w:rPr>
          <w:rStyle w:val="Rimandonotaapidipagina"/>
        </w:rPr>
        <w:fldChar w:fldCharType="begin" w:fldLock="1"/>
      </w:r>
      <w:r w:rsidR="00366335">
        <w:instrText>ADDIN CSL_CITATION {"citationItems":[{"id":"ITEM-1","itemData":{"author":[{"dropping-particle":"","family":"ALA","given":"","non-dropping-particle":"","parse-names":false,"suffix":""}],"id":"ITEM-1","issued":{"date-parts":[["2001"]]},"title":"Seismic fragility formulations for water systems. Part 1- Guideline","type":"article-journal"},"uris":["http://www.mendeley.com/documents/?uuid=2a581e2b-cbdf-4274-a3c6-7f476259ada4"]}],"mendeley":{"formattedCitation":"(ALA, 2001)","plainTextFormattedCitation":"(ALA, 2001)","previouslyFormattedCitation":"(ALA, 2001)"},"properties":{"noteIndex":0},"schema":"https://github.com/citation-style-language/schema/raw/master/csl-citation.json"}</w:instrText>
      </w:r>
      <w:r w:rsidR="00923D73">
        <w:rPr>
          <w:rStyle w:val="Rimandonotaapidipagina"/>
        </w:rPr>
        <w:fldChar w:fldCharType="separate"/>
      </w:r>
      <w:r w:rsidR="00694186" w:rsidRPr="00694186">
        <w:rPr>
          <w:bCs/>
          <w:noProof/>
        </w:rPr>
        <w:t>(ALA, 2001)</w:t>
      </w:r>
      <w:r w:rsidR="00923D73">
        <w:rPr>
          <w:rStyle w:val="Rimandonotaapidipagina"/>
        </w:rPr>
        <w:fldChar w:fldCharType="end"/>
      </w:r>
      <w:r>
        <w:t xml:space="preserve"> obtained the fragility curves using a larger data collection, including 532 </w:t>
      </w:r>
      <w:r w:rsidR="004B4FB9">
        <w:t>tanks</w:t>
      </w:r>
      <w:r>
        <w:t xml:space="preserve"> exposed to 21</w:t>
      </w:r>
      <w:r w:rsidR="00072ACB">
        <w:t xml:space="preserve"> earthquakes</w:t>
      </w:r>
      <w:r w:rsidR="004B4FB9">
        <w:t xml:space="preserve">. </w:t>
      </w:r>
      <w:r>
        <w:t xml:space="preserve">Least squares regression was used to estimate the median acceleration to reach a particular damage state and the associated lognormal dispersion parameter. The influence of </w:t>
      </w:r>
      <w:r w:rsidR="008437F3">
        <w:t xml:space="preserve">the </w:t>
      </w:r>
      <w:r>
        <w:t xml:space="preserve">fill level and </w:t>
      </w:r>
      <w:r w:rsidR="008437F3">
        <w:t xml:space="preserve">the </w:t>
      </w:r>
      <w:r>
        <w:t xml:space="preserve">anchorage was also studied. Berahman </w:t>
      </w:r>
      <w:r w:rsidR="00923D73">
        <w:rPr>
          <w:rStyle w:val="Rimandonotaapidipagina"/>
        </w:rPr>
        <w:fldChar w:fldCharType="begin" w:fldLock="1"/>
      </w:r>
      <w:r w:rsidR="00923D73">
        <w:instrText>ADDIN CSL_CITATION {"citationItems":[{"id":"ITEM-1","itemData":{"DOI":"10.1080/13632460601125722","ISSN":"13632469","abstract":"In this article, Bayesian approach is used for estimation of seismic fragility of un-anchored on-grade steel storage tanks based on historical data and American Lifeline Alliance tanks database. The approach properly accounts for epistemic as well as aleatory uncertainties. The point and interval estimates of the fragility are formulated based on structural reliability method that implicitly or explicitly reflects the influence of epistemic uncertainty. The fragility curves developed herein are compared to corresponding relations currently available in the technical literature, the comparison suggest that actual tank performance is better than that predicted in the literature. Finally, application of fragilities in loss estimation methodology is investigated and showing a considerable scatter in the results corresponding to different fragilities.","author":[{"dropping-particle":"","family":"Berahman","given":"Farshad","non-dropping-particle":"","parse-names":false,"suffix":""},{"dropping-particle":"","family":"Behnamfar","given":"Farhad","non-dropping-particle":"","parse-names":false,"suffix":""}],"container-title":"Journal of Earthquake Engineering","id":"ITEM-1","issue":"2","issued":{"date-parts":[["2007"]]},"page":"166-192","title":"Seismic fragility curves for un-anchored on-grade steel storage tanks: Bayesian approach","type":"article-journal","volume":"11"},"uris":["http://www.mendeley.com/documents/?uuid=61263cbf-9d32-42e2-87c5-63838c290bc2"]}],"mendeley":{"formattedCitation":"(Berahman &amp; Behnamfar, 2007)","plainTextFormattedCitation":"(Berahman &amp; Behnamfar, 2007)","previouslyFormattedCitation":"(Berahman &amp; Behnamfar, 2007)"},"properties":{"noteIndex":0},"schema":"https://github.com/citation-style-language/schema/raw/master/csl-citation.json"}</w:instrText>
      </w:r>
      <w:r w:rsidR="00923D73">
        <w:rPr>
          <w:rStyle w:val="Rimandonotaapidipagina"/>
        </w:rPr>
        <w:fldChar w:fldCharType="separate"/>
      </w:r>
      <w:r w:rsidR="00923D73" w:rsidRPr="00923D73">
        <w:rPr>
          <w:bCs/>
          <w:noProof/>
        </w:rPr>
        <w:t>(Berahman &amp; Behnamfar, 2007)</w:t>
      </w:r>
      <w:r w:rsidR="00923D73">
        <w:rPr>
          <w:rStyle w:val="Rimandonotaapidipagina"/>
        </w:rPr>
        <w:fldChar w:fldCharType="end"/>
      </w:r>
      <w:r w:rsidR="004B4FB9">
        <w:t xml:space="preserve"> analyzed</w:t>
      </w:r>
      <w:r>
        <w:t xml:space="preserve"> steel storage tanks with a fill level greater than 50% from the ALA database and calculated the seismic fragility of unanchored tanks by adopting a Bayesian approach, adopting ALA damage states. </w:t>
      </w:r>
      <w:r w:rsidR="00A716AE">
        <w:t xml:space="preserve">In </w:t>
      </w:r>
      <w:r w:rsidR="00923D73">
        <w:rPr>
          <w:rStyle w:val="Rimandonotaapidipagina"/>
        </w:rPr>
        <w:fldChar w:fldCharType="begin" w:fldLock="1"/>
      </w:r>
      <w:r w:rsidR="00923D73">
        <w:instrText>ADDIN CSL_CITATION {"citationItems":[{"id":"ITEM-1","itemData":{"DOI":"10.1016/S0950-4230(03)00052-4","ISSN":"09504230","abstract":"The quantitative risk assessment of industrial facilities is based on integrated procedures to quantify human, environmental and economical losses related to relevant accidents. Accordingly, seismic risk analysis has to be integrated in order to obtain reliable results. In this work, some considerations regarding the intensity and probability of occurrence of earthquakes and the vulnerability of atmospheric storage tanks subjected to seismic actions are given. Structural vulnerability based on observational data has been processed in the form of \"probit analysis\", a simple and useful statistic tool. Suggestions concerning industrial seismic-related accidental scenarios are also given. © 2003 Elsevier Ltd. All rights reserved.","author":[{"dropping-particle":"","family":"Salzano","given":"E.","non-dropping-particle":"","parse-names":false,"suffix":""},{"dropping-particle":"","family":"Iervolino","given":"I.","non-dropping-particle":"","parse-names":false,"suffix":""},{"dropping-particle":"","family":"Fabbrocino","given":"G.","non-dropping-particle":"","parse-names":false,"suffix":""}],"container-title":"Journal of Loss Prevention in the Process Industries","id":"ITEM-1","issue":"5","issued":{"date-parts":[["2003"]]},"page":"403-409","publisher":"Elsevier BV","title":"Seismic risk of atmospheric storage tanks in the framework of quantitative risk analysis","type":"article-journal","volume":"16"},"uris":["http://www.mendeley.com/documents/?uuid=e034869e-9341-3357-a100-04a8b662802a"]}],"mendeley":{"formattedCitation":"(Salzano et al., 2003)","plainTextFormattedCitation":"(Salzano et al., 2003)","previouslyFormattedCitation":"(Salzano et al., 2003)"},"properties":{"noteIndex":0},"schema":"https://github.com/citation-style-language/schema/raw/master/csl-citation.json"}</w:instrText>
      </w:r>
      <w:r w:rsidR="00923D73">
        <w:rPr>
          <w:rStyle w:val="Rimandonotaapidipagina"/>
        </w:rPr>
        <w:fldChar w:fldCharType="separate"/>
      </w:r>
      <w:r w:rsidR="00923D73" w:rsidRPr="00923D73">
        <w:rPr>
          <w:bCs/>
          <w:noProof/>
        </w:rPr>
        <w:t>(Salzano et al., 2003)</w:t>
      </w:r>
      <w:r w:rsidR="00923D73">
        <w:rPr>
          <w:rStyle w:val="Rimandonotaapidipagina"/>
        </w:rPr>
        <w:fldChar w:fldCharType="end"/>
      </w:r>
      <w:r>
        <w:t xml:space="preserve"> empirical fragilities in terms of content release intensity, adopting </w:t>
      </w:r>
      <w:r w:rsidR="00035527">
        <w:t>P</w:t>
      </w:r>
      <w:r>
        <w:t xml:space="preserve">robit </w:t>
      </w:r>
      <w:r w:rsidR="00035527">
        <w:t>A</w:t>
      </w:r>
      <w:r>
        <w:t>nalysis</w:t>
      </w:r>
      <w:r w:rsidR="00923D73">
        <w:t>,</w:t>
      </w:r>
      <w:r w:rsidR="00A716AE">
        <w:t xml:space="preserve"> is presented</w:t>
      </w:r>
      <w:r>
        <w:t xml:space="preserve">. </w:t>
      </w:r>
      <w:r w:rsidR="00A716AE">
        <w:t>I</w:t>
      </w:r>
      <w:r>
        <w:t>n this case</w:t>
      </w:r>
      <w:r w:rsidR="00A93305">
        <w:t>,</w:t>
      </w:r>
      <w:r>
        <w:t xml:space="preserve"> the authors divided the </w:t>
      </w:r>
      <w:r w:rsidR="00A716AE">
        <w:t xml:space="preserve">tanks of </w:t>
      </w:r>
      <w:r w:rsidR="00A93305">
        <w:t xml:space="preserve">the same database of the </w:t>
      </w:r>
      <w:r w:rsidR="00A716AE">
        <w:t>previ</w:t>
      </w:r>
      <w:r w:rsidR="00A93305">
        <w:t>ous works</w:t>
      </w:r>
      <w:r>
        <w:t xml:space="preserve"> into release states, depending on the loss of contents caused by damage. </w:t>
      </w:r>
      <w:r w:rsidR="00CB34D7" w:rsidRPr="00CB34D7">
        <w:t xml:space="preserve">Although the various works agree that the higher the fill level, the lower the median acceleration required to reach a certain damage state, and that anchored tanks perform better overall than non-anchored tanks, past databases have contained relatively small numbers of samples. Furthermore, the development of the fragility curves was based on the use of damage matrices, in which the tanks were divided into PGA ranges and the value of the dispersion parameter was defined </w:t>
      </w:r>
      <w:r w:rsidR="00CB34D7" w:rsidRPr="00035527">
        <w:rPr>
          <w:i/>
        </w:rPr>
        <w:t>a priori</w:t>
      </w:r>
      <w:r w:rsidR="00CB34D7" w:rsidRPr="00CB34D7">
        <w:t>.</w:t>
      </w:r>
      <w:r w:rsidR="006B56BB">
        <w:t xml:space="preserve"> </w:t>
      </w:r>
    </w:p>
    <w:p w14:paraId="51F99761" w14:textId="2DED1F0F" w:rsidR="006B56BB" w:rsidRDefault="006B56BB" w:rsidP="00CB34D7">
      <w:pPr>
        <w:pStyle w:val="CETBodytext"/>
      </w:pPr>
      <w:r>
        <w:t>The advantages of using the empirical/observational approach are the immediate applicability, so they don’t need to build a structural model or carry out heavy analysis</w:t>
      </w:r>
      <w:r w:rsidR="00072ACB">
        <w:t>, and</w:t>
      </w:r>
      <w:r>
        <w:t xml:space="preserve">  they are based on a few macroscopic </w:t>
      </w:r>
      <w:r>
        <w:lastRenderedPageBreak/>
        <w:t xml:space="preserve">parameters; on the other hand, </w:t>
      </w:r>
      <w:r w:rsidR="00072ACB">
        <w:t>there are the limited</w:t>
      </w:r>
      <w:r>
        <w:t xml:space="preserve"> availability of meaningful data, the subjectivity for the assignment of damage stat</w:t>
      </w:r>
      <w:r w:rsidR="00072ACB">
        <w:t>e</w:t>
      </w:r>
      <w:r>
        <w:t>, the impossibility to distinguish the influence of different damage mode (for structural or non-structural element), the difficulty in assessing the influence on damage of actual building conditions and boundary conditions and also it’s not easy to deduce the influence of dimensional or structural parameters. In the light of these considerations, the empirical/observational approach clashes with a high degree of dispersion, which leads to poor interpretability and usability of the results. F</w:t>
      </w:r>
      <w:r w:rsidRPr="006B56BB">
        <w:t xml:space="preserve">inally, fragility curves are not available in the literature for all types of </w:t>
      </w:r>
      <w:r w:rsidR="002934F9">
        <w:t xml:space="preserve">industrial </w:t>
      </w:r>
      <w:r w:rsidRPr="006B56BB">
        <w:t>equipment</w:t>
      </w:r>
      <w:r>
        <w:t>.</w:t>
      </w:r>
    </w:p>
    <w:p w14:paraId="6100187F" w14:textId="6C34F117" w:rsidR="00A32AE5" w:rsidRDefault="00A32AE5" w:rsidP="00CB34D7">
      <w:pPr>
        <w:pStyle w:val="CETheadingx"/>
      </w:pPr>
      <w:r>
        <w:t xml:space="preserve">Analytical </w:t>
      </w:r>
      <w:r w:rsidR="00CF0C10">
        <w:t>fragility curves</w:t>
      </w:r>
    </w:p>
    <w:p w14:paraId="49727AE0" w14:textId="3069FFDD" w:rsidR="00CF0C10" w:rsidRDefault="00E406E3" w:rsidP="00CF0C10">
      <w:pPr>
        <w:pStyle w:val="CETBodytext"/>
      </w:pPr>
      <w:r>
        <w:t>For analytical</w:t>
      </w:r>
      <w:r w:rsidR="00CF0C10">
        <w:t xml:space="preserve"> fragility curves, the following aspects should be taken into account:</w:t>
      </w:r>
    </w:p>
    <w:p w14:paraId="3EF6CFD3" w14:textId="598BFAFD" w:rsidR="00CF0C10" w:rsidRDefault="00067980" w:rsidP="00E23E8D">
      <w:pPr>
        <w:pStyle w:val="CETBodytext"/>
        <w:numPr>
          <w:ilvl w:val="0"/>
          <w:numId w:val="26"/>
        </w:numPr>
        <w:ind w:left="227" w:hanging="227"/>
      </w:pPr>
      <w:r>
        <w:t>Real</w:t>
      </w:r>
      <w:r w:rsidR="00CF0C10">
        <w:t xml:space="preserve"> structural state. The </w:t>
      </w:r>
      <w:r>
        <w:t>real</w:t>
      </w:r>
      <w:r w:rsidR="00CF0C10">
        <w:t xml:space="preserve"> condition of the structural and non-structural elements of equipment must be </w:t>
      </w:r>
      <w:r w:rsidR="002934F9">
        <w:t>considered</w:t>
      </w:r>
      <w:r w:rsidR="00CF0C10">
        <w:t>. Fabrication defects, inadequate maintenance, ageing and degradation of materials may lead to structural performances that can be significant</w:t>
      </w:r>
      <w:r w:rsidR="008437F3">
        <w:t>ly</w:t>
      </w:r>
      <w:r w:rsidR="00CF0C10">
        <w:t xml:space="preserve"> different from those of newly built structures. A </w:t>
      </w:r>
      <w:r>
        <w:t>meaningful</w:t>
      </w:r>
      <w:r w:rsidR="00CF0C10">
        <w:t xml:space="preserve"> indication is provided </w:t>
      </w:r>
      <w:r>
        <w:t>by results of</w:t>
      </w:r>
      <w:r w:rsidR="00CF0C10">
        <w:t xml:space="preserve"> </w:t>
      </w:r>
      <w:r>
        <w:t>assessment of</w:t>
      </w:r>
      <w:r w:rsidR="00CF0C10">
        <w:t xml:space="preserve"> safety requirements according to the regulatory codes. </w:t>
      </w:r>
    </w:p>
    <w:p w14:paraId="65FB4DDD" w14:textId="7CAEF7C4" w:rsidR="00CF0C10" w:rsidRDefault="00067980" w:rsidP="00E23E8D">
      <w:pPr>
        <w:pStyle w:val="CETBodytext"/>
        <w:numPr>
          <w:ilvl w:val="0"/>
          <w:numId w:val="26"/>
        </w:numPr>
        <w:ind w:left="227" w:hanging="227"/>
      </w:pPr>
      <w:r>
        <w:t>S</w:t>
      </w:r>
      <w:r w:rsidR="00CF0C10">
        <w:t xml:space="preserve">tructural model. </w:t>
      </w:r>
    </w:p>
    <w:p w14:paraId="1D0A1C0F" w14:textId="48ED4BB7" w:rsidR="004E5AA6" w:rsidRDefault="00CF0C10" w:rsidP="00E23E8D">
      <w:pPr>
        <w:pStyle w:val="CETBodytext"/>
        <w:numPr>
          <w:ilvl w:val="0"/>
          <w:numId w:val="26"/>
        </w:numPr>
        <w:ind w:left="227" w:hanging="227"/>
      </w:pPr>
      <w:r>
        <w:t>Types of</w:t>
      </w:r>
      <w:r w:rsidR="000E3577">
        <w:t xml:space="preserve"> structural</w:t>
      </w:r>
      <w:r>
        <w:t xml:space="preserve"> analysis</w:t>
      </w:r>
      <w:r w:rsidR="000E3577">
        <w:t xml:space="preserve"> and related seismic input</w:t>
      </w:r>
      <w:r>
        <w:t xml:space="preserve"> </w:t>
      </w:r>
    </w:p>
    <w:p w14:paraId="4D0022B3" w14:textId="1AB2A395" w:rsidR="00CF0C10" w:rsidRDefault="006B56BB" w:rsidP="00E23E8D">
      <w:pPr>
        <w:pStyle w:val="CETBodytext"/>
        <w:numPr>
          <w:ilvl w:val="0"/>
          <w:numId w:val="26"/>
        </w:numPr>
        <w:ind w:left="227" w:hanging="227"/>
      </w:pPr>
      <w:r>
        <w:t>D</w:t>
      </w:r>
      <w:r w:rsidR="00CF0C10">
        <w:t>amage or limit state</w:t>
      </w:r>
      <w:r w:rsidR="004E5AA6">
        <w:t>. T</w:t>
      </w:r>
      <w:r w:rsidR="00CF0C10">
        <w:t>he effects of seismic actions are</w:t>
      </w:r>
      <w:r w:rsidR="004E5AA6">
        <w:t xml:space="preserve"> often</w:t>
      </w:r>
      <w:r w:rsidR="00CF0C10">
        <w:t xml:space="preserve"> correlated to damage</w:t>
      </w:r>
      <w:r w:rsidR="008437F3">
        <w:t>,</w:t>
      </w:r>
      <w:r w:rsidR="00CF0C10">
        <w:t xml:space="preserve"> according to HAZUS</w:t>
      </w:r>
      <w:r w:rsidR="006B4E32">
        <w:t xml:space="preserve"> damage categories</w:t>
      </w:r>
      <w:r w:rsidR="00CF0C10">
        <w:t xml:space="preserve"> </w:t>
      </w:r>
      <w:r w:rsidR="00923D73">
        <w:rPr>
          <w:rStyle w:val="Rimandonotaapidipagina"/>
        </w:rPr>
        <w:fldChar w:fldCharType="begin" w:fldLock="1"/>
      </w:r>
      <w:r w:rsidR="00923D73">
        <w:instrText>ADDIN CSL_CITATION {"citationItems":[{"id":"ITEM-1","itemData":{"author":[{"dropping-particle":"","family":"FEMA","given":"","non-dropping-particle":"","parse-names":false,"suffix":""}],"container-title":"Federal Emergency Management Agency, Washington, …","id":"ITEM-1","issued":{"date-parts":[["2003"]]},"title":"HAZUS-MH MR4 Multi-Hazar d Loss Estimation Methodology – Earthquake Model","type":"article-journal"},"uris":["http://www.mendeley.com/documents/?uuid=0326e511-40b4-45c8-89a4-9a798846090b"]}],"mendeley":{"formattedCitation":"(FEMA, 2003)","plainTextFormattedCitation":"(FEMA, 2003)","previouslyFormattedCitation":"(FEMA, 2003)"},"properties":{"noteIndex":0},"schema":"https://github.com/citation-style-language/schema/raw/master/csl-citation.json"}</w:instrText>
      </w:r>
      <w:r w:rsidR="00923D73">
        <w:rPr>
          <w:rStyle w:val="Rimandonotaapidipagina"/>
        </w:rPr>
        <w:fldChar w:fldCharType="separate"/>
      </w:r>
      <w:r w:rsidR="00923D73" w:rsidRPr="00923D73">
        <w:rPr>
          <w:noProof/>
        </w:rPr>
        <w:t>(FEMA, 2003)</w:t>
      </w:r>
      <w:r w:rsidR="00923D73">
        <w:rPr>
          <w:rStyle w:val="Rimandonotaapidipagina"/>
        </w:rPr>
        <w:fldChar w:fldCharType="end"/>
      </w:r>
      <w:r w:rsidR="004E5AA6">
        <w:t xml:space="preserve"> </w:t>
      </w:r>
      <w:r w:rsidR="00CF0C10">
        <w:t xml:space="preserve">or damage states are determined on the basis of </w:t>
      </w:r>
      <w:r w:rsidR="008437F3">
        <w:t xml:space="preserve">the </w:t>
      </w:r>
      <w:r w:rsidR="00CF0C10">
        <w:t xml:space="preserve">ranges of EDP values adopted for the description of a particular damage mode </w:t>
      </w:r>
      <w:r w:rsidR="00923D73">
        <w:rPr>
          <w:rStyle w:val="Rimandonotaapidipagina"/>
        </w:rPr>
        <w:fldChar w:fldCharType="begin" w:fldLock="1"/>
      </w:r>
      <w:r w:rsidR="00923D73">
        <w:instrText>ADDIN CSL_CITATION {"citationItems":[{"id":"ITEM-1","itemData":{"DOI":"10.7712/120115.3522.1040","abstract":"Earthquakes can cause significant damages to industrial liquid storage tanks resulting in losses of functionality, fires or environmental contamination due to the leakage of hazardous chemicals. Typical damages of ground supported tanks during past earthquakes were in the form of cracking at the corner of the bottom plate and compression buckling of tank wall due to uplift, sliding of the base, anchorage failure, sloshing damage around the roof, failure of piping systems and plastic deformation of base plate. Liquid tanks can be also located at some elevated positions due to operational purposes. This makes them susceptible to collapse due to increased base shears and overturning moments. The seismic response of elevated tanks has been widely investigated in the past considering different materials and configurations of support structures. This paper addresses the problem of elevated tanks with particular attention focused on the steel storage tanks resting on short RC columns. The vulnerability of a real example of elevated tanks is assessed though the probabilistic analysis performed using non-linear lumped mass models. Consequently different fragility curves are built for identifying the most important damage states and calculating the corresponding probability of occurrence. The results show how the support structure, especially when composed by RC columns, is the most influencing one, whereas the remaining damage states have a limited influence.","author":[{"dropping-particle":"","family":"Paolacci","given":"Fabrizio","non-dropping-particle":"","parse-names":false,"suffix":""},{"dropping-particle":"","family":"Phan","given":"Hoang N.","non-dropping-particle":"","parse-names":false,"suffix":""},{"dropping-particle":"","family":"Corritore","given":"Daniele","non-dropping-particle":"","parse-names":false,"suffix":""},{"dropping-particle":"","family":"Alessandri","given":"Silvia","non-dropping-particle":"","parse-names":false,"suffix":""},{"dropping-particle":"","family":"Bursi","given":"Oreste S.","non-dropping-particle":"","parse-names":false,"suffix":""},{"dropping-particle":"","family":"Reza","given":"M. Shahin","non-dropping-particle":"","parse-names":false,"suffix":""}],"container-title":"COMPDYN 2015 - 5th ECCOMAS Thematic Conference on Computational Methods in Structural Dynamics and Earthquake Engineering","id":"ITEM-1","issue":"March","issued":{"date-parts":[["2015"]]},"page":"2054-2065","title":"Seismic fragility analysis of steel storage tanks","type":"article-journal"},"uris":["http://www.mendeley.com/documents/?uuid=8ffee355-6983-47d3-b258-05ef4dc6d996"]}],"mendeley":{"formattedCitation":"(Paolacci et al., 2015)","plainTextFormattedCitation":"(Paolacci et al., 2015)","previouslyFormattedCitation":"(Paolacci et al., 2015)"},"properties":{"noteIndex":0},"schema":"https://github.com/citation-style-language/schema/raw/master/csl-citation.json"}</w:instrText>
      </w:r>
      <w:r w:rsidR="00923D73">
        <w:rPr>
          <w:rStyle w:val="Rimandonotaapidipagina"/>
        </w:rPr>
        <w:fldChar w:fldCharType="separate"/>
      </w:r>
      <w:r w:rsidR="00923D73" w:rsidRPr="00923D73">
        <w:rPr>
          <w:bCs/>
          <w:noProof/>
          <w:lang w:val="it-IT"/>
        </w:rPr>
        <w:t>(Paolacci et al., 2015)</w:t>
      </w:r>
      <w:r w:rsidR="00923D73">
        <w:rPr>
          <w:rStyle w:val="Rimandonotaapidipagina"/>
        </w:rPr>
        <w:fldChar w:fldCharType="end"/>
      </w:r>
      <w:r w:rsidR="00CF0C10">
        <w:t>.</w:t>
      </w:r>
    </w:p>
    <w:p w14:paraId="4F168B05" w14:textId="348A6E87" w:rsidR="00C3183B" w:rsidRDefault="00C3183B" w:rsidP="00E23E8D">
      <w:pPr>
        <w:pStyle w:val="CETBodytext"/>
        <w:numPr>
          <w:ilvl w:val="0"/>
          <w:numId w:val="26"/>
        </w:numPr>
        <w:ind w:left="227" w:hanging="227"/>
      </w:pPr>
      <w:r>
        <w:t>D</w:t>
      </w:r>
      <w:r w:rsidR="00CF0C10">
        <w:t>amage-related EDP</w:t>
      </w:r>
      <w:r>
        <w:t xml:space="preserve">. </w:t>
      </w:r>
      <w:r w:rsidR="00CF0C10">
        <w:t xml:space="preserve">If damage states are determined </w:t>
      </w:r>
      <w:r w:rsidR="000E3577">
        <w:t>based on</w:t>
      </w:r>
      <w:r w:rsidR="00CF0C10">
        <w:t xml:space="preserve"> value ranges of an EDP, the EDP that best describes the </w:t>
      </w:r>
      <w:r w:rsidR="000E3577">
        <w:t>specific</w:t>
      </w:r>
      <w:r w:rsidR="00CF0C10">
        <w:t xml:space="preserve"> damage mode must be identified. </w:t>
      </w:r>
    </w:p>
    <w:p w14:paraId="3B530638" w14:textId="74A228B9" w:rsidR="00C3183B" w:rsidRDefault="006B56BB" w:rsidP="00E23E8D">
      <w:pPr>
        <w:pStyle w:val="CETBodytext"/>
        <w:numPr>
          <w:ilvl w:val="0"/>
          <w:numId w:val="26"/>
        </w:numPr>
        <w:ind w:left="227" w:hanging="227"/>
      </w:pPr>
      <w:r>
        <w:t>I</w:t>
      </w:r>
      <w:r w:rsidR="00CF0C10">
        <w:t>nput intensity measure</w:t>
      </w:r>
      <w:r w:rsidR="00CF0C10">
        <w:tab/>
      </w:r>
      <w:r w:rsidR="00C3183B">
        <w:t xml:space="preserve"> </w:t>
      </w:r>
    </w:p>
    <w:p w14:paraId="1C4BA921" w14:textId="67A147F7" w:rsidR="00CF0C10" w:rsidRDefault="006B56BB" w:rsidP="00E23E8D">
      <w:pPr>
        <w:pStyle w:val="CETBodytext"/>
        <w:numPr>
          <w:ilvl w:val="0"/>
          <w:numId w:val="26"/>
        </w:numPr>
        <w:ind w:left="227" w:hanging="227"/>
      </w:pPr>
      <w:r>
        <w:t>P</w:t>
      </w:r>
      <w:r w:rsidR="00CF0C10">
        <w:t>robability distribution for the random variables of interest</w:t>
      </w:r>
      <w:r w:rsidR="00C3183B">
        <w:t xml:space="preserve">. </w:t>
      </w:r>
      <w:r w:rsidR="00CF0C10">
        <w:t xml:space="preserve">The most common form of a seismic fragility function (but not universal, </w:t>
      </w:r>
      <w:r w:rsidR="003155EE">
        <w:t>best,</w:t>
      </w:r>
      <w:r w:rsidR="00CF0C10">
        <w:t xml:space="preserve"> or always correct) is the lognormal cumulative distribution function (CDF).</w:t>
      </w:r>
      <w:r w:rsidR="000E3577">
        <w:t xml:space="preserve"> </w:t>
      </w:r>
      <w:r w:rsidR="000E3577" w:rsidRPr="000E3577">
        <w:t>The lognormal distribution is usually used because of the simple and parametric form, so for the distribution of a random variable the mean and standard deviation must be estimated, also it has been widely used for several decades in earthquake engineering and it is often a reasonable fit to the observed distributions of the quantities of interest.</w:t>
      </w:r>
      <w:r w:rsidR="00CF0C10">
        <w:t xml:space="preserve"> It is of the form</w:t>
      </w:r>
    </w:p>
    <w:tbl>
      <w:tblPr>
        <w:tblW w:w="4920" w:type="pct"/>
        <w:tblInd w:w="142" w:type="dxa"/>
        <w:tblLook w:val="04A0" w:firstRow="1" w:lastRow="0" w:firstColumn="1" w:lastColumn="0" w:noHBand="0" w:noVBand="1"/>
      </w:tblPr>
      <w:tblGrid>
        <w:gridCol w:w="7984"/>
        <w:gridCol w:w="662"/>
      </w:tblGrid>
      <w:tr w:rsidR="00F301E6" w:rsidRPr="00B57B36" w14:paraId="6BBB7A9C" w14:textId="77777777" w:rsidTr="00E23E8D">
        <w:tc>
          <w:tcPr>
            <w:tcW w:w="7985" w:type="dxa"/>
            <w:shd w:val="clear" w:color="auto" w:fill="auto"/>
            <w:vAlign w:val="center"/>
          </w:tcPr>
          <w:p w14:paraId="1C90E4B6" w14:textId="63F05FCD" w:rsidR="00F301E6" w:rsidRPr="00366335" w:rsidRDefault="00F301E6" w:rsidP="000E4895">
            <w:pPr>
              <w:pStyle w:val="CETEquation"/>
              <w:spacing w:line="240" w:lineRule="auto"/>
            </w:pPr>
            <m:oMathPara>
              <m:oMathParaPr>
                <m:jc m:val="left"/>
              </m:oMathParaPr>
              <m:oMath>
                <m:r>
                  <w:rPr>
                    <w:rFonts w:ascii="Cambria Math" w:hAnsi="Cambria Math"/>
                  </w:rPr>
                  <m:t>P</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EDP</m:t>
                        </m:r>
                      </m:sub>
                    </m:sSub>
                    <m:r>
                      <m:rPr>
                        <m:sty m:val="p"/>
                      </m:rPr>
                      <w:rPr>
                        <w:rFonts w:ascii="Cambria Math" w:hAnsi="Cambria Math"/>
                      </w:rPr>
                      <m:t>≥</m:t>
                    </m:r>
                    <m:r>
                      <w:rPr>
                        <w:rFonts w:ascii="Cambria Math" w:hAnsi="Cambria Math"/>
                      </w:rPr>
                      <m:t>LS</m:t>
                    </m:r>
                    <m:r>
                      <m:rPr>
                        <m:sty m:val="p"/>
                      </m:rPr>
                      <w:rPr>
                        <w:rFonts w:ascii="Cambria Math" w:hAnsi="Cambria Math"/>
                      </w:rPr>
                      <m:t>|</m:t>
                    </m:r>
                    <m:r>
                      <w:rPr>
                        <w:rFonts w:ascii="Cambria Math" w:hAnsi="Cambria Math"/>
                      </w:rPr>
                      <m:t>IM</m:t>
                    </m:r>
                  </m:e>
                </m:d>
                <m:r>
                  <m:rPr>
                    <m:sty m:val="p"/>
                  </m:rPr>
                  <w:rPr>
                    <w:rFonts w:ascii="Cambria Math" w:hAnsi="Cambria Math"/>
                  </w:rPr>
                  <m:t>=1-Φ</m:t>
                </m:r>
                <m:d>
                  <m:dPr>
                    <m:begChr m:val="["/>
                    <m:endChr m:val="]"/>
                    <m:ctrlPr>
                      <w:rPr>
                        <w:rFonts w:ascii="Cambria Math" w:hAnsi="Cambria Math"/>
                      </w:rPr>
                    </m:ctrlPr>
                  </m:dPr>
                  <m:e>
                    <m:f>
                      <m:fPr>
                        <m:type m:val="lin"/>
                        <m:ctrlPr>
                          <w:rPr>
                            <w:rFonts w:ascii="Cambria Math" w:hAnsi="Cambria Math"/>
                            <w:i/>
                          </w:rPr>
                        </m:ctrlPr>
                      </m:fPr>
                      <m:num>
                        <m:d>
                          <m:dPr>
                            <m:ctrlPr>
                              <w:rPr>
                                <w:rFonts w:ascii="Cambria Math" w:hAnsi="Cambria Math"/>
                                <w:i/>
                              </w:rPr>
                            </m:ctrlPr>
                          </m:dPr>
                          <m:e>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LS</m:t>
                                    </m:r>
                                  </m:e>
                                  <m:sub>
                                    <m:r>
                                      <w:rPr>
                                        <w:rFonts w:ascii="Cambria Math" w:hAnsi="Cambria Math"/>
                                      </w:rPr>
                                      <m:t>m</m:t>
                                    </m:r>
                                  </m:sub>
                                </m:sSub>
                              </m:e>
                            </m:d>
                            <m:r>
                              <m:rPr>
                                <m:sty m:val="p"/>
                              </m:rPr>
                              <w:rPr>
                                <w:rFonts w:ascii="Cambria Math" w:hAnsi="Cambria Math"/>
                              </w:rPr>
                              <m:t>-</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m</m:t>
                                    </m:r>
                                  </m:sub>
                                </m:sSub>
                              </m:e>
                            </m:d>
                          </m:e>
                        </m:d>
                      </m:num>
                      <m:den>
                        <m:sSub>
                          <m:sSubPr>
                            <m:ctrlPr>
                              <w:rPr>
                                <w:rFonts w:ascii="Cambria Math" w:hAnsi="Cambria Math"/>
                              </w:rPr>
                            </m:ctrlPr>
                          </m:sSubPr>
                          <m:e>
                            <m:r>
                              <w:rPr>
                                <w:rFonts w:ascii="Cambria Math" w:hAnsi="Cambria Math"/>
                              </w:rPr>
                              <m:t>β</m:t>
                            </m:r>
                          </m:e>
                          <m:sub>
                            <m:r>
                              <w:rPr>
                                <w:rFonts w:ascii="Cambria Math" w:hAnsi="Cambria Math"/>
                              </w:rPr>
                              <m:t>d</m:t>
                            </m:r>
                          </m:sub>
                        </m:sSub>
                      </m:den>
                    </m:f>
                  </m:e>
                </m:d>
              </m:oMath>
            </m:oMathPara>
          </w:p>
        </w:tc>
        <w:tc>
          <w:tcPr>
            <w:tcW w:w="662" w:type="dxa"/>
            <w:shd w:val="clear" w:color="auto" w:fill="auto"/>
            <w:vAlign w:val="center"/>
          </w:tcPr>
          <w:p w14:paraId="7DA2DB14" w14:textId="77777777" w:rsidR="00F301E6" w:rsidRPr="00B57B36" w:rsidRDefault="00F301E6" w:rsidP="000E4895">
            <w:pPr>
              <w:pStyle w:val="CETEquation"/>
              <w:spacing w:line="240" w:lineRule="auto"/>
              <w:jc w:val="right"/>
            </w:pPr>
            <w:r w:rsidRPr="00B57B36">
              <w:t>(1)</w:t>
            </w:r>
          </w:p>
        </w:tc>
      </w:tr>
    </w:tbl>
    <w:p w14:paraId="590B15B9" w14:textId="556DF312" w:rsidR="00CF0C10" w:rsidRDefault="00E23E8D" w:rsidP="00E23E8D">
      <w:pPr>
        <w:pStyle w:val="CETBodytext"/>
        <w:ind w:left="284"/>
      </w:pPr>
      <w:r>
        <w:t>w</w:t>
      </w:r>
      <w:r w:rsidR="00CF0C10">
        <w:t>here</w:t>
      </w:r>
      <w:r>
        <w:t xml:space="preserve"> </w:t>
      </w:r>
      <m:oMath>
        <m:r>
          <w:rPr>
            <w:rFonts w:ascii="Cambria Math" w:hAnsi="Cambria Math"/>
          </w:rPr>
          <m:t>P[A|B]</m:t>
        </m:r>
      </m:oMath>
      <w:r w:rsidR="00CF0C10">
        <w:t xml:space="preserve"> is the probability that A is true given that B is true</w:t>
      </w:r>
      <w:r>
        <w:t xml:space="preserve">, </w:t>
      </w:r>
      <m:oMath>
        <m:sSub>
          <m:sSubPr>
            <m:ctrlPr>
              <w:rPr>
                <w:rFonts w:ascii="Cambria Math" w:hAnsi="Cambria Math"/>
                <w:i/>
              </w:rPr>
            </m:ctrlPr>
          </m:sSubPr>
          <m:e>
            <m:r>
              <w:rPr>
                <w:rFonts w:ascii="Cambria Math" w:hAnsi="Cambria Math"/>
              </w:rPr>
              <m:t>D</m:t>
            </m:r>
          </m:e>
          <m:sub>
            <m:r>
              <w:rPr>
                <w:rFonts w:ascii="Cambria Math" w:hAnsi="Cambria Math"/>
              </w:rPr>
              <m:t>EDP</m:t>
            </m:r>
          </m:sub>
        </m:sSub>
      </m:oMath>
      <w:r w:rsidR="00CF0C10">
        <w:t xml:space="preserve"> is the damage state of a particular component</w:t>
      </w:r>
      <w:r>
        <w:t xml:space="preserve">, </w:t>
      </w:r>
      <w:r w:rsidR="00CF0C10">
        <w:tab/>
      </w:r>
      <m:oMath>
        <m:sSub>
          <m:sSubPr>
            <m:ctrlPr>
              <w:rPr>
                <w:rFonts w:ascii="Cambria Math" w:hAnsi="Cambria Math"/>
                <w:i/>
              </w:rPr>
            </m:ctrlPr>
          </m:sSubPr>
          <m:e>
            <m:r>
              <w:rPr>
                <w:rFonts w:ascii="Cambria Math" w:hAnsi="Cambria Math"/>
              </w:rPr>
              <m:t>LS</m:t>
            </m:r>
          </m:e>
          <m:sub>
            <m:r>
              <w:rPr>
                <w:rFonts w:ascii="Cambria Math" w:hAnsi="Cambria Math"/>
              </w:rPr>
              <m:t>m</m:t>
            </m:r>
          </m:sub>
        </m:sSub>
      </m:oMath>
      <w:r w:rsidR="00CF0C10">
        <w:t xml:space="preserve"> is the estimated mean of the parameter </w:t>
      </w:r>
      <m:oMath>
        <m:r>
          <w:rPr>
            <w:rFonts w:ascii="Cambria Math" w:hAnsi="Cambria Math"/>
          </w:rPr>
          <m:t>D</m:t>
        </m:r>
      </m:oMath>
      <w:r w:rsidR="00CF0C10">
        <w:t xml:space="preserve"> that results in the damage state or boundary state</w:t>
      </w:r>
      <w:r>
        <w:t xml:space="preserve">, </w:t>
      </w:r>
      <m:oMath>
        <m:r>
          <w:rPr>
            <w:rFonts w:ascii="Cambria Math" w:hAnsi="Cambria Math"/>
          </w:rPr>
          <m:t>IM</m:t>
        </m:r>
      </m:oMath>
      <w:r w:rsidR="00CF0C10">
        <w:t xml:space="preserve"> is the random seismic intensity, referred to as EDP</w:t>
      </w:r>
      <w:r>
        <w:t xml:space="preserve">,  </w:t>
      </w:r>
      <m:oMath>
        <m:r>
          <w:rPr>
            <w:rFonts w:ascii="Cambria Math" w:hAnsi="Cambria Math"/>
          </w:rPr>
          <m:t>x</m:t>
        </m:r>
      </m:oMath>
      <w:r w:rsidR="00CF0C10">
        <w:t xml:space="preserve"> is a particular value of </w:t>
      </w:r>
      <m:oMath>
        <m:r>
          <w:rPr>
            <w:rFonts w:ascii="Cambria Math" w:hAnsi="Cambria Math"/>
          </w:rPr>
          <m:t>X</m:t>
        </m:r>
      </m:oMath>
      <w:r w:rsidR="00CF0C10">
        <w:t>, therefore free of uncertainty</w:t>
      </w:r>
      <w:r w:rsidR="00067980">
        <w:t xml:space="preserve">, </w:t>
      </w:r>
      <m:oMath>
        <m:r>
          <w:rPr>
            <w:rFonts w:ascii="Cambria Math" w:hAnsi="Cambria Math"/>
          </w:rPr>
          <m:t>Φ</m:t>
        </m:r>
      </m:oMath>
      <w:r w:rsidR="00CF0C10">
        <w:t xml:space="preserve"> is the standard cumulative normal distribution function</w:t>
      </w:r>
      <w:r>
        <w:t xml:space="preserve">, </w:t>
      </w:r>
      <m:oMath>
        <m:r>
          <w:rPr>
            <w:rFonts w:ascii="Cambria Math" w:hAnsi="Cambria Math"/>
          </w:rPr>
          <m:t>ln</m:t>
        </m:r>
      </m:oMath>
      <w:r w:rsidR="00CF0C10">
        <w:t xml:space="preserve"> is the natural logarithm</w:t>
      </w:r>
      <w:r>
        <w:t xml:space="preserve">, </w:t>
      </w:r>
      <m:oMath>
        <m:sSub>
          <m:sSubPr>
            <m:ctrlPr>
              <w:rPr>
                <w:rFonts w:ascii="Cambria Math" w:hAnsi="Cambria Math"/>
                <w:i/>
              </w:rPr>
            </m:ctrlPr>
          </m:sSubPr>
          <m:e>
            <m:r>
              <w:rPr>
                <w:rFonts w:ascii="Cambria Math" w:hAnsi="Cambria Math"/>
              </w:rPr>
              <m:t>D</m:t>
            </m:r>
          </m:e>
          <m:sub>
            <m:r>
              <w:rPr>
                <w:rFonts w:ascii="Cambria Math" w:hAnsi="Cambria Math"/>
              </w:rPr>
              <m:t>m</m:t>
            </m:r>
          </m:sub>
        </m:sSub>
      </m:oMath>
      <w:r w:rsidR="00CF0C10">
        <w:t xml:space="preserve"> is the average </w:t>
      </w:r>
      <w:r w:rsidR="002A3071">
        <w:t xml:space="preserve">structural </w:t>
      </w:r>
      <w:r w:rsidR="00CF0C10">
        <w:t xml:space="preserve">capacity to resist damage state </w:t>
      </w:r>
      <m:oMath>
        <m:r>
          <w:rPr>
            <w:rFonts w:ascii="Cambria Math" w:hAnsi="Cambria Math"/>
          </w:rPr>
          <m:t>d</m:t>
        </m:r>
      </m:oMath>
      <w:r>
        <w:t xml:space="preserve">, </w:t>
      </w:r>
      <w:r w:rsidR="00CF0C10">
        <w:tab/>
      </w:r>
      <m:oMath>
        <m:sSub>
          <m:sSubPr>
            <m:ctrlPr>
              <w:rPr>
                <w:rFonts w:ascii="Cambria Math" w:hAnsi="Cambria Math"/>
                <w:i/>
              </w:rPr>
            </m:ctrlPr>
          </m:sSubPr>
          <m:e>
            <m:r>
              <w:rPr>
                <w:rFonts w:ascii="Cambria Math" w:hAnsi="Cambria Math"/>
              </w:rPr>
              <m:t>β</m:t>
            </m:r>
          </m:e>
          <m:sub>
            <m:r>
              <w:rPr>
                <w:rFonts w:ascii="Cambria Math" w:hAnsi="Cambria Math"/>
              </w:rPr>
              <m:t>d</m:t>
            </m:r>
          </m:sub>
        </m:sSub>
      </m:oMath>
      <w:r w:rsidR="00CF0C10">
        <w:t xml:space="preserve"> is the standard deviation of the natural logarithm of the</w:t>
      </w:r>
      <w:r w:rsidR="002A3071">
        <w:t xml:space="preserve"> structural</w:t>
      </w:r>
      <w:r w:rsidR="00CF0C10">
        <w:t xml:space="preserve"> capacity to resist damage state </w:t>
      </w:r>
      <m:oMath>
        <m:r>
          <w:rPr>
            <w:rFonts w:ascii="Cambria Math" w:hAnsi="Cambria Math"/>
          </w:rPr>
          <m:t>d</m:t>
        </m:r>
      </m:oMath>
      <w:r w:rsidR="00067980">
        <w:t>.</w:t>
      </w:r>
    </w:p>
    <w:p w14:paraId="4777E7DB" w14:textId="272FF82F" w:rsidR="00CF0C10" w:rsidRDefault="00704DA5" w:rsidP="00CF0C10">
      <w:pPr>
        <w:pStyle w:val="CETheadingx"/>
      </w:pPr>
      <w:r>
        <w:t>Simplified</w:t>
      </w:r>
      <w:r w:rsidR="00CF0C10">
        <w:t xml:space="preserve"> a</w:t>
      </w:r>
      <w:r w:rsidR="00CF0C10" w:rsidRPr="00CF0C10">
        <w:t>nalytical fragility curves</w:t>
      </w:r>
    </w:p>
    <w:p w14:paraId="0492019A" w14:textId="4AB4A850" w:rsidR="000E3577" w:rsidRDefault="002934F9" w:rsidP="000E3577">
      <w:pPr>
        <w:pStyle w:val="CETBodytext"/>
      </w:pPr>
      <w:r>
        <w:t>In order to reduce computational burden, o</w:t>
      </w:r>
      <w:r w:rsidR="00CF0C10">
        <w:t xml:space="preserve">nly </w:t>
      </w:r>
      <w:r w:rsidR="000E3577">
        <w:t xml:space="preserve">for a preliminary evaluation of the seismic fragility, it is possible to make specific fragility curves for a construction considering the current geometric-mechanical conditions (e.g.: variation of resistant area, mechanical quality of the material, etc...), by performing linear static analyses. In fact, subjecting the model of the structure </w:t>
      </w:r>
      <w:r w:rsidR="00184297">
        <w:t>in</w:t>
      </w:r>
      <w:r w:rsidR="000E3577">
        <w:t xml:space="preserve">to equivalent static action with increasing seismic acceleration in a sufficiently wide range of values, one obtains the pairs of points </w:t>
      </w:r>
      <m:oMath>
        <m:d>
          <m:dPr>
            <m:ctrlPr>
              <w:rPr>
                <w:rFonts w:ascii="Cambria Math" w:hAnsi="Cambria Math"/>
                <w:i/>
              </w:rPr>
            </m:ctrlPr>
          </m:dPr>
          <m:e>
            <m:sSub>
              <m:sSubPr>
                <m:ctrlPr>
                  <w:rPr>
                    <w:rFonts w:ascii="Cambria Math" w:hAnsi="Cambria Math"/>
                    <w:i/>
                  </w:rPr>
                </m:ctrlPr>
              </m:sSubPr>
              <m:e>
                <m:r>
                  <w:rPr>
                    <w:rFonts w:ascii="Cambria Math" w:hAnsi="Cambria Math"/>
                  </w:rPr>
                  <m:t>IM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oMath>
      <w:r w:rsidR="000E3577">
        <w:t xml:space="preserve">, to be intended </w:t>
      </w:r>
      <m:oMath>
        <m:r>
          <w:rPr>
            <w:rFonts w:ascii="Cambria Math" w:hAnsi="Cambria Math"/>
          </w:rPr>
          <m:t>IM</m:t>
        </m:r>
      </m:oMath>
      <w:r w:rsidR="000E3577">
        <w:t xml:space="preserve"> as the spectral acceleration associated with the first period of vibration of the structure. </w:t>
      </w:r>
      <w:r w:rsidR="00F301E6">
        <w:t>If</w:t>
      </w:r>
      <w:r w:rsidR="000E3577">
        <w:t xml:space="preserve"> seismic capacity and seismic demand acting on the structure follow a lognormal probability distribution, the pairs of points </w:t>
      </w:r>
      <m:oMath>
        <m:d>
          <m:dPr>
            <m:ctrlPr>
              <w:rPr>
                <w:rFonts w:ascii="Cambria Math" w:hAnsi="Cambria Math"/>
                <w:i/>
              </w:rPr>
            </m:ctrlPr>
          </m:dPr>
          <m:e>
            <m:sSub>
              <m:sSubPr>
                <m:ctrlPr>
                  <w:rPr>
                    <w:rFonts w:ascii="Cambria Math" w:hAnsi="Cambria Math"/>
                    <w:i/>
                  </w:rPr>
                </m:ctrlPr>
              </m:sSubPr>
              <m:e>
                <m:r>
                  <w:rPr>
                    <w:rFonts w:ascii="Cambria Math" w:hAnsi="Cambria Math"/>
                  </w:rPr>
                  <m:t>IM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oMath>
      <w:r w:rsidR="000E3577">
        <w:t xml:space="preserve"> are arranged, on the bilogarithmic plane, along a straight line with slope </w:t>
      </w:r>
      <m:oMath>
        <m:r>
          <w:rPr>
            <w:rFonts w:ascii="Cambria Math" w:hAnsi="Cambria Math"/>
          </w:rPr>
          <m:t>m</m:t>
        </m:r>
      </m:oMath>
      <w:r w:rsidR="000E3577">
        <w:t xml:space="preserve"> and intercept </w:t>
      </w:r>
      <m:oMath>
        <m:r>
          <w:rPr>
            <w:rFonts w:ascii="Cambria Math" w:hAnsi="Cambria Math"/>
          </w:rPr>
          <m:t>q</m:t>
        </m:r>
      </m:oMath>
      <w:r w:rsidR="000E3577">
        <w:t xml:space="preserve">. Performing, then, a linear regression operation, we obtain the average demand on the structure as </w:t>
      </w:r>
    </w:p>
    <w:tbl>
      <w:tblPr>
        <w:tblW w:w="5000" w:type="pct"/>
        <w:tblLook w:val="04A0" w:firstRow="1" w:lastRow="0" w:firstColumn="1" w:lastColumn="0" w:noHBand="0" w:noVBand="1"/>
      </w:tblPr>
      <w:tblGrid>
        <w:gridCol w:w="7985"/>
        <w:gridCol w:w="802"/>
      </w:tblGrid>
      <w:tr w:rsidR="002A3071" w:rsidRPr="00B57B36" w14:paraId="3AE45CEB" w14:textId="77777777" w:rsidTr="00B07055">
        <w:tc>
          <w:tcPr>
            <w:tcW w:w="7985" w:type="dxa"/>
            <w:shd w:val="clear" w:color="auto" w:fill="auto"/>
            <w:vAlign w:val="center"/>
          </w:tcPr>
          <w:p w14:paraId="2BB6858A" w14:textId="11D24260" w:rsidR="002A3071" w:rsidRPr="00F301E6" w:rsidRDefault="00DE229C" w:rsidP="000E4895">
            <w:pPr>
              <w:pStyle w:val="CETEquation"/>
              <w:spacing w:line="240" w:lineRule="auto"/>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m</m:t>
                    </m:r>
                  </m:sub>
                </m:sSub>
                <m:r>
                  <w:rPr>
                    <w:rFonts w:ascii="Cambria Math" w:hAnsi="Cambria Math"/>
                  </w:rPr>
                  <m:t>= a</m:t>
                </m:r>
                <m:sSup>
                  <m:sSupPr>
                    <m:ctrlPr>
                      <w:rPr>
                        <w:rFonts w:ascii="Cambria Math" w:hAnsi="Cambria Math"/>
                        <w:i/>
                      </w:rPr>
                    </m:ctrlPr>
                  </m:sSupPr>
                  <m:e>
                    <m:d>
                      <m:dPr>
                        <m:ctrlPr>
                          <w:rPr>
                            <w:rFonts w:ascii="Cambria Math" w:hAnsi="Cambria Math"/>
                            <w:i/>
                          </w:rPr>
                        </m:ctrlPr>
                      </m:dPr>
                      <m:e>
                        <m:r>
                          <w:rPr>
                            <w:rFonts w:ascii="Cambria Math" w:hAnsi="Cambria Math"/>
                          </w:rPr>
                          <m:t>IM</m:t>
                        </m:r>
                      </m:e>
                    </m:d>
                  </m:e>
                  <m:sup>
                    <m:r>
                      <w:rPr>
                        <w:rFonts w:ascii="Cambria Math" w:hAnsi="Cambria Math"/>
                      </w:rPr>
                      <m:t>b</m:t>
                    </m:r>
                  </m:sup>
                </m:sSup>
              </m:oMath>
            </m:oMathPara>
          </w:p>
        </w:tc>
        <w:tc>
          <w:tcPr>
            <w:tcW w:w="802" w:type="dxa"/>
            <w:shd w:val="clear" w:color="auto" w:fill="auto"/>
            <w:vAlign w:val="center"/>
          </w:tcPr>
          <w:p w14:paraId="142DC4D2" w14:textId="364A4341" w:rsidR="002A3071" w:rsidRPr="00B57B36" w:rsidRDefault="002A3071" w:rsidP="000E4895">
            <w:pPr>
              <w:pStyle w:val="CETEquation"/>
              <w:spacing w:line="240" w:lineRule="auto"/>
              <w:jc w:val="right"/>
            </w:pPr>
            <w:r w:rsidRPr="00B57B36">
              <w:t>(</w:t>
            </w:r>
            <w:r w:rsidR="00067980">
              <w:t>2</w:t>
            </w:r>
            <w:r w:rsidRPr="00B57B36">
              <w:t>)</w:t>
            </w:r>
          </w:p>
        </w:tc>
      </w:tr>
    </w:tbl>
    <w:p w14:paraId="0BD63AED" w14:textId="47881123" w:rsidR="002A3071" w:rsidRDefault="000E3577" w:rsidP="00F301E6">
      <w:r>
        <w:t xml:space="preserve">where </w:t>
      </w:r>
      <m:oMath>
        <m:r>
          <w:rPr>
            <w:rFonts w:ascii="Cambria Math" w:hAnsi="Cambria Math"/>
          </w:rPr>
          <m:t>a</m:t>
        </m:r>
      </m:oMath>
      <w:r>
        <w:t xml:space="preserve"> and </w:t>
      </w:r>
      <m:oMath>
        <m:r>
          <w:rPr>
            <w:rFonts w:ascii="Cambria Math" w:hAnsi="Cambria Math"/>
          </w:rPr>
          <m:t>b</m:t>
        </m:r>
      </m:oMath>
      <w:r>
        <w:t xml:space="preserve"> are the linear regression coefficients on the logarithmic plane of the pairs of points </w:t>
      </w:r>
      <m:oMath>
        <m:d>
          <m:dPr>
            <m:ctrlPr>
              <w:rPr>
                <w:rFonts w:ascii="Cambria Math" w:hAnsi="Cambria Math"/>
                <w:i/>
              </w:rPr>
            </m:ctrlPr>
          </m:dPr>
          <m:e>
            <m:sSub>
              <m:sSubPr>
                <m:ctrlPr>
                  <w:rPr>
                    <w:rFonts w:ascii="Cambria Math" w:hAnsi="Cambria Math"/>
                    <w:i/>
                  </w:rPr>
                </m:ctrlPr>
              </m:sSubPr>
              <m:e>
                <m:r>
                  <w:rPr>
                    <w:rFonts w:ascii="Cambria Math" w:hAnsi="Cambria Math"/>
                  </w:rPr>
                  <m:t>IM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oMath>
      <w:r w:rsidR="00E66301">
        <w:t xml:space="preserve"> </w:t>
      </w:r>
    </w:p>
    <w:tbl>
      <w:tblPr>
        <w:tblW w:w="5000" w:type="pct"/>
        <w:tblLook w:val="04A0" w:firstRow="1" w:lastRow="0" w:firstColumn="1" w:lastColumn="0" w:noHBand="0" w:noVBand="1"/>
      </w:tblPr>
      <w:tblGrid>
        <w:gridCol w:w="7982"/>
        <w:gridCol w:w="805"/>
      </w:tblGrid>
      <w:tr w:rsidR="00067980" w:rsidRPr="00B57B36" w14:paraId="79099BAA" w14:textId="77777777" w:rsidTr="000E4895">
        <w:trPr>
          <w:trHeight w:val="227"/>
        </w:trPr>
        <w:tc>
          <w:tcPr>
            <w:tcW w:w="7984" w:type="dxa"/>
            <w:shd w:val="clear" w:color="auto" w:fill="auto"/>
            <w:vAlign w:val="center"/>
          </w:tcPr>
          <w:p w14:paraId="6FA9B31B" w14:textId="59414E80" w:rsidR="00067980" w:rsidRPr="00366335" w:rsidRDefault="00067980" w:rsidP="000E4895">
            <w:pPr>
              <w:pStyle w:val="CETEquation"/>
              <w:spacing w:after="0" w:line="240" w:lineRule="auto"/>
            </w:pPr>
            <m:oMathPara>
              <m:oMathParaPr>
                <m:jc m:val="left"/>
              </m:oMathParaPr>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q</m:t>
                    </m:r>
                  </m:sup>
                </m:sSup>
              </m:oMath>
            </m:oMathPara>
          </w:p>
        </w:tc>
        <w:tc>
          <w:tcPr>
            <w:tcW w:w="805" w:type="dxa"/>
            <w:shd w:val="clear" w:color="auto" w:fill="auto"/>
            <w:vAlign w:val="center"/>
          </w:tcPr>
          <w:p w14:paraId="5C4909CB" w14:textId="5FA08F67" w:rsidR="00067980" w:rsidRPr="00B57B36" w:rsidRDefault="00067980" w:rsidP="000E4895">
            <w:pPr>
              <w:pStyle w:val="CETEquation"/>
              <w:spacing w:after="0" w:line="240" w:lineRule="auto"/>
              <w:jc w:val="right"/>
            </w:pPr>
            <w:r w:rsidRPr="00B57B36">
              <w:t>(</w:t>
            </w:r>
            <w:r>
              <w:t>3</w:t>
            </w:r>
            <w:r w:rsidRPr="00B57B36">
              <w:t>)</w:t>
            </w:r>
          </w:p>
        </w:tc>
      </w:tr>
      <w:tr w:rsidR="00067980" w:rsidRPr="00B57B36" w14:paraId="381D0D04" w14:textId="77777777" w:rsidTr="000E4895">
        <w:trPr>
          <w:trHeight w:val="227"/>
        </w:trPr>
        <w:tc>
          <w:tcPr>
            <w:tcW w:w="7984" w:type="dxa"/>
            <w:shd w:val="clear" w:color="auto" w:fill="auto"/>
            <w:vAlign w:val="center"/>
          </w:tcPr>
          <w:p w14:paraId="17C735CD" w14:textId="74059497" w:rsidR="00067980" w:rsidRPr="00067980" w:rsidRDefault="00067980" w:rsidP="000E4895">
            <w:pPr>
              <w:pStyle w:val="CETEquation"/>
              <w:spacing w:before="0" w:line="240" w:lineRule="auto"/>
              <w:rPr>
                <w:rFonts w:ascii="Cambria Math" w:hAnsi="Cambria Math"/>
                <w:oMath/>
              </w:rPr>
            </w:pPr>
            <m:oMathPara>
              <m:oMathParaPr>
                <m:jc m:val="left"/>
              </m:oMathParaPr>
              <m:oMath>
                <m:r>
                  <w:rPr>
                    <w:rFonts w:ascii="Cambria Math" w:hAnsi="Cambria Math"/>
                  </w:rPr>
                  <m:t>b=m</m:t>
                </m:r>
              </m:oMath>
            </m:oMathPara>
          </w:p>
        </w:tc>
        <w:tc>
          <w:tcPr>
            <w:tcW w:w="805" w:type="dxa"/>
            <w:shd w:val="clear" w:color="auto" w:fill="auto"/>
            <w:vAlign w:val="center"/>
          </w:tcPr>
          <w:p w14:paraId="5067C5D3" w14:textId="7BAD69E8" w:rsidR="00067980" w:rsidRPr="00B57B36" w:rsidRDefault="00067980" w:rsidP="000E4895">
            <w:pPr>
              <w:pStyle w:val="CETEquation"/>
              <w:spacing w:before="0" w:line="240" w:lineRule="auto"/>
              <w:jc w:val="right"/>
            </w:pPr>
            <w:r w:rsidRPr="00B57B36">
              <w:t>(</w:t>
            </w:r>
            <w:r>
              <w:t>4</w:t>
            </w:r>
            <w:r w:rsidRPr="00B57B36">
              <w:t>)</w:t>
            </w:r>
          </w:p>
        </w:tc>
      </w:tr>
    </w:tbl>
    <w:p w14:paraId="539D6EE4" w14:textId="6C05CAA9" w:rsidR="000E3577" w:rsidRDefault="000E3577" w:rsidP="00F301E6">
      <w:pPr>
        <w:pStyle w:val="CETBodytext"/>
      </w:pPr>
      <w:r>
        <w:t xml:space="preserve">Defining the EDP value associated with the </w:t>
      </w:r>
      <m:oMath>
        <m:r>
          <w:rPr>
            <w:rFonts w:ascii="Cambria Math" w:hAnsi="Cambria Math"/>
          </w:rPr>
          <m:t>LS</m:t>
        </m:r>
      </m:oMath>
      <w:r>
        <w:t xml:space="preserve">, we obtain </w:t>
      </w:r>
      <m:oMath>
        <m:sSub>
          <m:sSubPr>
            <m:ctrlPr>
              <w:rPr>
                <w:rFonts w:ascii="Cambria Math" w:hAnsi="Cambria Math"/>
                <w:i/>
              </w:rPr>
            </m:ctrlPr>
          </m:sSubPr>
          <m:e>
            <m:r>
              <w:rPr>
                <w:rFonts w:ascii="Cambria Math" w:hAnsi="Cambria Math"/>
              </w:rPr>
              <m:t>LS</m:t>
            </m:r>
          </m:e>
          <m:sub>
            <m:r>
              <w:rPr>
                <w:rFonts w:ascii="Cambria Math" w:hAnsi="Cambria Math"/>
              </w:rPr>
              <m:t>m</m:t>
            </m:r>
          </m:sub>
        </m:sSub>
      </m:oMath>
      <w:r>
        <w:t xml:space="preserve">, </w:t>
      </w:r>
      <w:r w:rsidR="003155EE">
        <w:t>i.e.,</w:t>
      </w:r>
      <w:r>
        <w:t xml:space="preserve"> the threshold limit for the EDP beyond which the undesired condition occurs. Having performed linear static analyses and having defined </w:t>
      </w:r>
      <m:oMath>
        <m:sSub>
          <m:sSubPr>
            <m:ctrlPr>
              <w:rPr>
                <w:rFonts w:ascii="Cambria Math" w:hAnsi="Cambria Math"/>
                <w:i/>
              </w:rPr>
            </m:ctrlPr>
          </m:sSubPr>
          <m:e>
            <m:r>
              <w:rPr>
                <w:rFonts w:ascii="Cambria Math" w:hAnsi="Cambria Math"/>
              </w:rPr>
              <m:t>LS</m:t>
            </m:r>
          </m:e>
          <m:sub>
            <m:r>
              <w:rPr>
                <w:rFonts w:ascii="Cambria Math" w:hAnsi="Cambria Math"/>
              </w:rPr>
              <m:t>m</m:t>
            </m:r>
          </m:sub>
        </m:sSub>
      </m:oMath>
      <w:r w:rsidR="00E66301">
        <w:t xml:space="preserve"> </w:t>
      </w:r>
      <w:r>
        <w:t xml:space="preserve">in a "deterministic" </w:t>
      </w:r>
      <w:r w:rsidR="00E66301">
        <w:t>way</w:t>
      </w:r>
      <w:r>
        <w:t xml:space="preserve">, no uncertainties were introduced in the model, </w:t>
      </w:r>
      <w:r w:rsidR="003155EE">
        <w:t>i.e.,</w:t>
      </w:r>
      <w:r>
        <w:t xml:space="preserve"> neither the randomness of the seismic demand nor that of the structural capacity was considered. As a first step, a total uncertainty </w:t>
      </w:r>
      <m:oMath>
        <m:sSub>
          <m:sSubPr>
            <m:ctrlPr>
              <w:rPr>
                <w:rFonts w:ascii="Cambria Math" w:hAnsi="Cambria Math"/>
                <w:i/>
              </w:rPr>
            </m:ctrlPr>
          </m:sSubPr>
          <m:e>
            <m:r>
              <w:rPr>
                <w:rFonts w:ascii="Cambria Math" w:hAnsi="Cambria Math"/>
              </w:rPr>
              <m:t>β</m:t>
            </m:r>
          </m:e>
          <m:sub>
            <m:r>
              <w:rPr>
                <w:rFonts w:ascii="Cambria Math" w:hAnsi="Cambria Math"/>
              </w:rPr>
              <m:t>d</m:t>
            </m:r>
          </m:sub>
        </m:sSub>
      </m:oMath>
      <w:r>
        <w:t xml:space="preserve"> can be introduced such that</w:t>
      </w:r>
      <w:r w:rsidR="00E66301">
        <w:t xml:space="preserve"> It’s respected </w:t>
      </w:r>
      <w:r>
        <w:t>the principle</w:t>
      </w:r>
      <w:r w:rsidR="00E66301">
        <w:t xml:space="preserve"> that, </w:t>
      </w:r>
      <w:r w:rsidR="00F301E6">
        <w:t>because of</w:t>
      </w:r>
      <w:r>
        <w:t xml:space="preserve"> the use of static analysis in a linear field for the </w:t>
      </w:r>
      <w:r>
        <w:lastRenderedPageBreak/>
        <w:t>definition of the average demand on the structure conditional on the seismic intensity measurement, the total uncertainty will be larger the more severe the damage condition considered</w:t>
      </w:r>
      <w:r w:rsidR="00E66301">
        <w:t>.</w:t>
      </w:r>
    </w:p>
    <w:p w14:paraId="4C10A1B1" w14:textId="4D582107" w:rsidR="00CF0C10" w:rsidRDefault="000E3577" w:rsidP="000E3577">
      <w:pPr>
        <w:pStyle w:val="CETBodytext"/>
      </w:pPr>
      <w:r>
        <w:t xml:space="preserve">In addition, in order to </w:t>
      </w:r>
      <w:r w:rsidR="00B30B03">
        <w:t>consider</w:t>
      </w:r>
      <w:r>
        <w:t xml:space="preserve"> the </w:t>
      </w:r>
      <w:r w:rsidR="00B30B03">
        <w:t xml:space="preserve">real </w:t>
      </w:r>
      <w:r>
        <w:t>geometric</w:t>
      </w:r>
      <w:r w:rsidR="00B30B03">
        <w:t xml:space="preserve">al and </w:t>
      </w:r>
      <w:r>
        <w:t xml:space="preserve">mechanical conditions of the </w:t>
      </w:r>
      <w:r w:rsidR="00B30B03">
        <w:t>structure</w:t>
      </w:r>
      <w:r>
        <w:t xml:space="preserve">, it is appropriate to </w:t>
      </w:r>
      <w:r w:rsidR="00E66301">
        <w:t xml:space="preserve">realize </w:t>
      </w:r>
      <w:r>
        <w:t>several fragility curves, each considering different conditions that differ from the design (e.g.: construction defects, inadequate maintenance, ageing and degradation of materials, ...).</w:t>
      </w:r>
    </w:p>
    <w:p w14:paraId="64317A85" w14:textId="44148F92" w:rsidR="009552CE" w:rsidRDefault="00F301E6" w:rsidP="00F301E6">
      <w:pPr>
        <w:pStyle w:val="CETHeading1"/>
      </w:pPr>
      <w:r>
        <w:t>Conclusions</w:t>
      </w:r>
    </w:p>
    <w:p w14:paraId="34EABB11" w14:textId="0E6E178C" w:rsidR="00CC6AFE" w:rsidRDefault="00CC6AFE" w:rsidP="00CC6AFE">
      <w:pPr>
        <w:pStyle w:val="CETBodytext"/>
      </w:pPr>
      <w:r>
        <w:t>For the e</w:t>
      </w:r>
      <w:r w:rsidRPr="004F03EA">
        <w:t>arthquake NaTech risk assessment in major-hazard industrial plants</w:t>
      </w:r>
      <w:r>
        <w:t xml:space="preserve">, </w:t>
      </w:r>
      <w:r w:rsidRPr="001C171E">
        <w:t>no complete methodologies</w:t>
      </w:r>
      <w:r>
        <w:t xml:space="preserve"> are available that allow risk reduction. This is outlined by t</w:t>
      </w:r>
      <w:r w:rsidRPr="001C171E">
        <w:rPr>
          <w:lang w:val="en-GB"/>
        </w:rPr>
        <w:t>he consequences of past earthquakes</w:t>
      </w:r>
      <w:r>
        <w:rPr>
          <w:lang w:val="en-GB"/>
        </w:rPr>
        <w:t xml:space="preserve"> on major hazard industrial plants. Furthermore, regulation and codes do not provide complete indications about the same issue.</w:t>
      </w:r>
    </w:p>
    <w:p w14:paraId="2C174236" w14:textId="77777777" w:rsidR="00CC6AFE" w:rsidRDefault="00CC6AFE" w:rsidP="00CC6AFE">
      <w:pPr>
        <w:pStyle w:val="CETBodytext"/>
      </w:pPr>
      <w:r>
        <w:t xml:space="preserve">There are some main aspects related to seismic risk assessment to be considered: </w:t>
      </w:r>
    </w:p>
    <w:p w14:paraId="1353CC97" w14:textId="1568C597" w:rsidR="00CC6AFE" w:rsidRDefault="00CC6AFE" w:rsidP="00CC6AFE">
      <w:pPr>
        <w:pStyle w:val="CETBodytext"/>
        <w:numPr>
          <w:ilvl w:val="0"/>
          <w:numId w:val="28"/>
        </w:numPr>
        <w:ind w:left="227" w:hanging="227"/>
      </w:pPr>
      <w:r>
        <w:t>For that concerns industrial plants, damages related either to structural and non-structural elements are equally relevant when discussing about the release of hazardous substances: cylindrical liquid storage tanks with floating roof are an evident example.</w:t>
      </w:r>
    </w:p>
    <w:p w14:paraId="10DC6E76" w14:textId="0D65F50C" w:rsidR="00CC6AFE" w:rsidRDefault="00CC6AFE" w:rsidP="00CC6AFE">
      <w:pPr>
        <w:pStyle w:val="CETBodytext"/>
        <w:numPr>
          <w:ilvl w:val="0"/>
          <w:numId w:val="28"/>
        </w:numPr>
        <w:ind w:left="227" w:hanging="227"/>
      </w:pPr>
      <w:r>
        <w:t>Fragility curves formulated according to an empirical</w:t>
      </w:r>
      <w:r w:rsidR="00184297">
        <w:t xml:space="preserve"> </w:t>
      </w:r>
      <w:r>
        <w:t>/</w:t>
      </w:r>
      <w:r w:rsidR="00184297">
        <w:t xml:space="preserve"> </w:t>
      </w:r>
      <w:r>
        <w:t>observational approach present</w:t>
      </w:r>
      <w:r w:rsidR="00184297">
        <w:t>ed</w:t>
      </w:r>
      <w:r>
        <w:t xml:space="preserve"> in the literature for cylindrical liquid storage tanks, that are not available for all industrial elements, don’t always represent a reliable tool for the calculation of the frequencies of occurrence of accident scenarios. </w:t>
      </w:r>
    </w:p>
    <w:p w14:paraId="738661C8" w14:textId="42BB478D" w:rsidR="00CC6AFE" w:rsidRDefault="00CC6AFE" w:rsidP="00CC6AFE">
      <w:pPr>
        <w:pStyle w:val="CETBodytext"/>
        <w:numPr>
          <w:ilvl w:val="0"/>
          <w:numId w:val="28"/>
        </w:numPr>
        <w:ind w:left="227" w:hanging="227"/>
      </w:pPr>
      <w:r>
        <w:t xml:space="preserve">In order to better estimate the actual probability of occurrence of structural and non-structural damage, </w:t>
      </w:r>
      <w:r w:rsidRPr="004F03EA">
        <w:rPr>
          <w:i/>
          <w:iCs/>
        </w:rPr>
        <w:t>ad hoc</w:t>
      </w:r>
      <w:r>
        <w:t xml:space="preserve"> analytical fragility curves can be formulated, considering the real condition of considered element taking into account the results of the safety verifications based on normative and codes. </w:t>
      </w:r>
    </w:p>
    <w:p w14:paraId="05622959" w14:textId="77777777" w:rsidR="00CC6AFE" w:rsidRDefault="00CC6AFE" w:rsidP="00CC6AFE">
      <w:pPr>
        <w:pStyle w:val="CETBodytext"/>
        <w:numPr>
          <w:ilvl w:val="0"/>
          <w:numId w:val="28"/>
        </w:numPr>
        <w:ind w:left="227" w:hanging="227"/>
      </w:pPr>
      <w:r>
        <w:t>Only for a preliminary estimation of the structural vulnerability, a simplified analytical approach for the realization of fragility curves is proposed, able to streamline the onerous structural analyses, by performing linear static analyses.</w:t>
      </w:r>
    </w:p>
    <w:p w14:paraId="21D90031" w14:textId="77777777" w:rsidR="00CC6AFE" w:rsidRPr="006A7732" w:rsidRDefault="00CC6AFE" w:rsidP="00CC6AFE">
      <w:pPr>
        <w:pStyle w:val="CETBodytext"/>
      </w:pPr>
      <w:r>
        <w:t xml:space="preserve">As outlined in this paper, in order to evaluate the </w:t>
      </w:r>
      <w:r w:rsidRPr="004208D5">
        <w:rPr>
          <w:lang w:val="en-GB"/>
        </w:rPr>
        <w:t>frequencies of occurrence of accident scenarios</w:t>
      </w:r>
      <w:r>
        <w:rPr>
          <w:lang w:val="en-GB"/>
        </w:rPr>
        <w:t>, it is necessary to implement an appropriate use of fragility curves approach, that takes into account the actual conditions of the industrial element considered in the analysis.</w:t>
      </w:r>
    </w:p>
    <w:p w14:paraId="4F1327F8" w14:textId="65CF2999" w:rsidR="00600535" w:rsidRPr="004B4FB9" w:rsidRDefault="00600535" w:rsidP="00600535">
      <w:pPr>
        <w:pStyle w:val="CETReference"/>
        <w:rPr>
          <w:lang w:val="en-US"/>
        </w:rPr>
      </w:pPr>
      <w:r w:rsidRPr="004B4FB9">
        <w:rPr>
          <w:lang w:val="en-US"/>
        </w:rPr>
        <w:t>References</w:t>
      </w:r>
    </w:p>
    <w:p w14:paraId="08B6C9B8" w14:textId="2D62B737" w:rsidR="006A7732" w:rsidRPr="004F3D2D" w:rsidRDefault="00176156" w:rsidP="006A7732">
      <w:pPr>
        <w:widowControl w:val="0"/>
        <w:autoSpaceDE w:val="0"/>
        <w:autoSpaceDN w:val="0"/>
        <w:adjustRightInd w:val="0"/>
        <w:spacing w:line="240" w:lineRule="auto"/>
        <w:ind w:left="480" w:hanging="480"/>
        <w:rPr>
          <w:rFonts w:cs="Arial"/>
          <w:noProof/>
          <w:szCs w:val="24"/>
        </w:rPr>
      </w:pPr>
      <w:r w:rsidRPr="004F3D2D">
        <w:fldChar w:fldCharType="begin" w:fldLock="1"/>
      </w:r>
      <w:r w:rsidRPr="004F3D2D">
        <w:rPr>
          <w:lang w:val="en-US"/>
        </w:rPr>
        <w:instrText xml:space="preserve">ADDIN Mendeley Bibliography CSL_BIBLIOGRAPHY </w:instrText>
      </w:r>
      <w:r w:rsidRPr="004F3D2D">
        <w:fldChar w:fldCharType="separate"/>
      </w:r>
      <w:r w:rsidR="006A7732" w:rsidRPr="004F3D2D">
        <w:rPr>
          <w:rFonts w:cs="Arial"/>
          <w:noProof/>
          <w:szCs w:val="24"/>
        </w:rPr>
        <w:t xml:space="preserve">ALA. (2001). Seismic fragility formulations for water systems. Part 1- Guideline. </w:t>
      </w:r>
    </w:p>
    <w:p w14:paraId="676545C6" w14:textId="53D1F7E5"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Berahman, F., Behnamfar, F.</w:t>
      </w:r>
      <w:r w:rsidR="00D10BB2">
        <w:rPr>
          <w:rFonts w:cs="Arial"/>
          <w:noProof/>
          <w:szCs w:val="24"/>
        </w:rPr>
        <w:t xml:space="preserve">, </w:t>
      </w:r>
      <w:r w:rsidRPr="004F3D2D">
        <w:rPr>
          <w:rFonts w:cs="Arial"/>
          <w:noProof/>
          <w:szCs w:val="24"/>
        </w:rPr>
        <w:t>2007</w:t>
      </w:r>
      <w:r w:rsidR="00D10BB2">
        <w:rPr>
          <w:rFonts w:cs="Arial"/>
          <w:noProof/>
          <w:szCs w:val="24"/>
        </w:rPr>
        <w:t>,</w:t>
      </w:r>
      <w:r w:rsidRPr="004F3D2D">
        <w:rPr>
          <w:rFonts w:cs="Arial"/>
          <w:noProof/>
          <w:szCs w:val="24"/>
        </w:rPr>
        <w:t xml:space="preserve"> Seismic fragility curves for un-anchored on-grade steel storage tanks: Bayesian approach</w:t>
      </w:r>
      <w:r w:rsidR="00D10BB2">
        <w:rPr>
          <w:rFonts w:cs="Arial"/>
          <w:noProof/>
          <w:szCs w:val="24"/>
        </w:rPr>
        <w:t>,</w:t>
      </w:r>
      <w:r w:rsidRPr="004F3D2D">
        <w:rPr>
          <w:rFonts w:cs="Arial"/>
          <w:noProof/>
          <w:szCs w:val="24"/>
        </w:rPr>
        <w:t xml:space="preserve"> Journal of Earthquake Engineering, 11, 166–192. </w:t>
      </w:r>
    </w:p>
    <w:p w14:paraId="3332A408" w14:textId="1B5DDE3C"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Campedel, M.</w:t>
      </w:r>
      <w:r w:rsidR="00D10BB2">
        <w:rPr>
          <w:rFonts w:cs="Arial"/>
          <w:noProof/>
          <w:szCs w:val="24"/>
        </w:rPr>
        <w:t xml:space="preserve">, </w:t>
      </w:r>
      <w:r w:rsidRPr="004F3D2D">
        <w:rPr>
          <w:rFonts w:cs="Arial"/>
          <w:noProof/>
          <w:szCs w:val="24"/>
        </w:rPr>
        <w:t>2008</w:t>
      </w:r>
      <w:r w:rsidR="00D10BB2">
        <w:rPr>
          <w:rFonts w:cs="Arial"/>
          <w:noProof/>
          <w:szCs w:val="24"/>
        </w:rPr>
        <w:t>,</w:t>
      </w:r>
      <w:r w:rsidRPr="004F3D2D">
        <w:rPr>
          <w:rFonts w:cs="Arial"/>
          <w:noProof/>
          <w:szCs w:val="24"/>
        </w:rPr>
        <w:t xml:space="preserve"> Analysis of major industrial accidents triggered by natural events reported in the principal available chemical accident databases</w:t>
      </w:r>
      <w:r w:rsidR="00D10BB2">
        <w:rPr>
          <w:rFonts w:cs="Arial"/>
          <w:noProof/>
          <w:szCs w:val="24"/>
        </w:rPr>
        <w:t>,</w:t>
      </w:r>
      <w:r w:rsidRPr="004F3D2D">
        <w:rPr>
          <w:rFonts w:cs="Arial"/>
          <w:noProof/>
          <w:szCs w:val="24"/>
        </w:rPr>
        <w:t xml:space="preserve"> JRC Scientific and Technical Reports.</w:t>
      </w:r>
    </w:p>
    <w:p w14:paraId="38CB9E59" w14:textId="5A89F531"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Erdik, M., Eren, U.</w:t>
      </w:r>
      <w:r w:rsidR="00D10BB2">
        <w:rPr>
          <w:rFonts w:cs="Arial"/>
          <w:noProof/>
          <w:szCs w:val="24"/>
        </w:rPr>
        <w:t xml:space="preserve">, </w:t>
      </w:r>
      <w:r w:rsidRPr="004F3D2D">
        <w:rPr>
          <w:rFonts w:cs="Arial"/>
          <w:noProof/>
          <w:szCs w:val="24"/>
        </w:rPr>
        <w:t>2014</w:t>
      </w:r>
      <w:r w:rsidR="00D10BB2">
        <w:rPr>
          <w:rFonts w:cs="Arial"/>
          <w:noProof/>
          <w:szCs w:val="24"/>
        </w:rPr>
        <w:t>,</w:t>
      </w:r>
      <w:r w:rsidRPr="004F3D2D">
        <w:rPr>
          <w:rFonts w:cs="Arial"/>
          <w:noProof/>
          <w:szCs w:val="24"/>
        </w:rPr>
        <w:t xml:space="preserve"> Earthquake damage and fragilities of industrial facilities. International Conference on Seismic Design of Industrial Facilities, 3–13. </w:t>
      </w:r>
    </w:p>
    <w:p w14:paraId="76869532" w14:textId="20171626"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FEMA</w:t>
      </w:r>
      <w:r w:rsidR="00D10BB2">
        <w:rPr>
          <w:rFonts w:cs="Arial"/>
          <w:noProof/>
          <w:szCs w:val="24"/>
        </w:rPr>
        <w:t xml:space="preserve">, </w:t>
      </w:r>
      <w:r w:rsidRPr="004F3D2D">
        <w:rPr>
          <w:rFonts w:cs="Arial"/>
          <w:noProof/>
          <w:szCs w:val="24"/>
        </w:rPr>
        <w:t>2003</w:t>
      </w:r>
      <w:r w:rsidR="00D10BB2">
        <w:rPr>
          <w:rFonts w:cs="Arial"/>
          <w:noProof/>
          <w:szCs w:val="24"/>
        </w:rPr>
        <w:t>,</w:t>
      </w:r>
      <w:r w:rsidRPr="004F3D2D">
        <w:rPr>
          <w:rFonts w:cs="Arial"/>
          <w:noProof/>
          <w:szCs w:val="24"/>
        </w:rPr>
        <w:t xml:space="preserve"> HAZUS Multi-Hazard Loss Estimation Methodology – Earthquake Model</w:t>
      </w:r>
      <w:r w:rsidR="00D10BB2">
        <w:rPr>
          <w:rFonts w:cs="Arial"/>
          <w:noProof/>
          <w:szCs w:val="24"/>
        </w:rPr>
        <w:t>,</w:t>
      </w:r>
      <w:r w:rsidRPr="004F3D2D">
        <w:rPr>
          <w:rFonts w:cs="Arial"/>
          <w:noProof/>
          <w:szCs w:val="24"/>
        </w:rPr>
        <w:t xml:space="preserve"> Federal Emergency Management Agency, Washington</w:t>
      </w:r>
      <w:r w:rsidR="00D10BB2">
        <w:rPr>
          <w:rFonts w:cs="Arial"/>
          <w:noProof/>
          <w:szCs w:val="24"/>
        </w:rPr>
        <w:t>.</w:t>
      </w:r>
    </w:p>
    <w:p w14:paraId="24168957" w14:textId="353288EF"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Fischer, F. D., &amp; Rammerstorfer, F. G.</w:t>
      </w:r>
      <w:r w:rsidR="00D10BB2">
        <w:rPr>
          <w:rFonts w:cs="Arial"/>
          <w:noProof/>
          <w:szCs w:val="24"/>
        </w:rPr>
        <w:t xml:space="preserve">, </w:t>
      </w:r>
      <w:r w:rsidRPr="004F3D2D">
        <w:rPr>
          <w:rFonts w:cs="Arial"/>
          <w:noProof/>
          <w:szCs w:val="24"/>
        </w:rPr>
        <w:t>1999</w:t>
      </w:r>
      <w:r w:rsidR="00D10BB2">
        <w:rPr>
          <w:rFonts w:cs="Arial"/>
          <w:noProof/>
          <w:szCs w:val="24"/>
        </w:rPr>
        <w:t>,</w:t>
      </w:r>
      <w:r w:rsidRPr="004F3D2D">
        <w:rPr>
          <w:rFonts w:cs="Arial"/>
          <w:noProof/>
          <w:szCs w:val="24"/>
        </w:rPr>
        <w:t xml:space="preserve"> A refined analysis of sloshing effects in seismically excited tanks</w:t>
      </w:r>
      <w:r w:rsidR="00D10BB2">
        <w:rPr>
          <w:rFonts w:cs="Arial"/>
          <w:noProof/>
          <w:szCs w:val="24"/>
        </w:rPr>
        <w:t>,</w:t>
      </w:r>
      <w:r w:rsidRPr="004F3D2D">
        <w:rPr>
          <w:rFonts w:cs="Arial"/>
          <w:noProof/>
          <w:szCs w:val="24"/>
        </w:rPr>
        <w:t xml:space="preserve"> International Journal of Pressure Vessels and Piping, 76, 693–709. </w:t>
      </w:r>
    </w:p>
    <w:p w14:paraId="0F9F90EC" w14:textId="656EA7F6"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Hatayama, K.</w:t>
      </w:r>
      <w:r w:rsidR="00D10BB2">
        <w:rPr>
          <w:rFonts w:cs="Arial"/>
          <w:noProof/>
          <w:szCs w:val="24"/>
        </w:rPr>
        <w:t xml:space="preserve">, </w:t>
      </w:r>
      <w:r w:rsidRPr="004F3D2D">
        <w:rPr>
          <w:rFonts w:cs="Arial"/>
          <w:noProof/>
          <w:szCs w:val="24"/>
        </w:rPr>
        <w:t>2008</w:t>
      </w:r>
      <w:r w:rsidR="00D10BB2">
        <w:rPr>
          <w:rFonts w:cs="Arial"/>
          <w:noProof/>
          <w:szCs w:val="24"/>
        </w:rPr>
        <w:t>,</w:t>
      </w:r>
      <w:r w:rsidRPr="004F3D2D">
        <w:rPr>
          <w:rFonts w:cs="Arial"/>
          <w:noProof/>
          <w:szCs w:val="24"/>
        </w:rPr>
        <w:t xml:space="preserve"> Lessons from the 2003 Tokachi-oki, Japan, earthquake for prediction of long-period strong ground motions and sloshing damage to oil storage tanks</w:t>
      </w:r>
      <w:r w:rsidR="00D10BB2">
        <w:rPr>
          <w:rFonts w:cs="Arial"/>
          <w:noProof/>
          <w:szCs w:val="24"/>
        </w:rPr>
        <w:t>,</w:t>
      </w:r>
      <w:r w:rsidRPr="004F3D2D">
        <w:rPr>
          <w:rFonts w:cs="Arial"/>
          <w:noProof/>
          <w:szCs w:val="24"/>
        </w:rPr>
        <w:t xml:space="preserve"> Journal of Seismology, 12, 255–263. </w:t>
      </w:r>
    </w:p>
    <w:p w14:paraId="778757B1" w14:textId="5926CF2B"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Kiremidjian, A. S., Ortiz, K., Nielsen, R., Safavi, B.</w:t>
      </w:r>
      <w:r w:rsidR="00D10BB2">
        <w:rPr>
          <w:rFonts w:cs="Arial"/>
          <w:noProof/>
          <w:szCs w:val="24"/>
        </w:rPr>
        <w:t xml:space="preserve">, </w:t>
      </w:r>
      <w:r w:rsidRPr="004F3D2D">
        <w:rPr>
          <w:rFonts w:cs="Arial"/>
          <w:noProof/>
          <w:szCs w:val="24"/>
        </w:rPr>
        <w:t>1985</w:t>
      </w:r>
      <w:r w:rsidR="00D10BB2">
        <w:rPr>
          <w:rFonts w:cs="Arial"/>
          <w:noProof/>
          <w:szCs w:val="24"/>
        </w:rPr>
        <w:t>,</w:t>
      </w:r>
      <w:r w:rsidRPr="004F3D2D">
        <w:rPr>
          <w:rFonts w:cs="Arial"/>
          <w:noProof/>
          <w:szCs w:val="24"/>
        </w:rPr>
        <w:t xml:space="preserve"> Seismic risk to major industrial facilities. Report - Stanford University, 72.</w:t>
      </w:r>
    </w:p>
    <w:p w14:paraId="1E3C16B7" w14:textId="61416179"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Lallemant, D., Kiremidjian, A. S., Burton, H.</w:t>
      </w:r>
      <w:r w:rsidR="00D10BB2">
        <w:rPr>
          <w:rFonts w:cs="Arial"/>
          <w:noProof/>
          <w:szCs w:val="24"/>
        </w:rPr>
        <w:t xml:space="preserve">, </w:t>
      </w:r>
      <w:r w:rsidRPr="004F3D2D">
        <w:rPr>
          <w:rFonts w:cs="Arial"/>
          <w:noProof/>
          <w:szCs w:val="24"/>
        </w:rPr>
        <w:t>2015</w:t>
      </w:r>
      <w:r w:rsidR="00D10BB2">
        <w:rPr>
          <w:rFonts w:cs="Arial"/>
          <w:noProof/>
          <w:szCs w:val="24"/>
        </w:rPr>
        <w:t>,</w:t>
      </w:r>
      <w:r w:rsidRPr="004F3D2D">
        <w:rPr>
          <w:rFonts w:cs="Arial"/>
          <w:noProof/>
          <w:szCs w:val="24"/>
        </w:rPr>
        <w:t xml:space="preserve"> Statistical procedures for developing earthquake damage fragility curves</w:t>
      </w:r>
      <w:r w:rsidR="00D10BB2">
        <w:rPr>
          <w:rFonts w:cs="Arial"/>
          <w:noProof/>
          <w:szCs w:val="24"/>
        </w:rPr>
        <w:t>,</w:t>
      </w:r>
      <w:r w:rsidRPr="004F3D2D">
        <w:rPr>
          <w:rFonts w:cs="Arial"/>
          <w:noProof/>
          <w:szCs w:val="24"/>
        </w:rPr>
        <w:t xml:space="preserve"> Earthquake Engineering &amp; Structural Dynamics. </w:t>
      </w:r>
    </w:p>
    <w:p w14:paraId="0240363D" w14:textId="3F452C38"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Long, B., &amp; Gardner, B.</w:t>
      </w:r>
      <w:r w:rsidR="00D10BB2">
        <w:rPr>
          <w:rFonts w:cs="Arial"/>
          <w:noProof/>
          <w:szCs w:val="24"/>
        </w:rPr>
        <w:t xml:space="preserve">, </w:t>
      </w:r>
      <w:r w:rsidRPr="004F3D2D">
        <w:rPr>
          <w:rFonts w:cs="Arial"/>
          <w:noProof/>
          <w:szCs w:val="24"/>
        </w:rPr>
        <w:t>2004</w:t>
      </w:r>
      <w:r w:rsidR="00D10BB2">
        <w:rPr>
          <w:rFonts w:cs="Arial"/>
          <w:noProof/>
          <w:szCs w:val="24"/>
        </w:rPr>
        <w:t>,</w:t>
      </w:r>
      <w:r w:rsidRPr="004F3D2D">
        <w:rPr>
          <w:rFonts w:cs="Arial"/>
          <w:noProof/>
          <w:szCs w:val="24"/>
        </w:rPr>
        <w:t xml:space="preserve"> Guide to Storage Tanks and Equipment</w:t>
      </w:r>
      <w:r w:rsidR="00D10BB2">
        <w:rPr>
          <w:rFonts w:cs="Arial"/>
          <w:noProof/>
          <w:szCs w:val="24"/>
        </w:rPr>
        <w:t>,</w:t>
      </w:r>
      <w:r w:rsidRPr="004F3D2D">
        <w:rPr>
          <w:rFonts w:cs="Arial"/>
          <w:noProof/>
          <w:szCs w:val="24"/>
        </w:rPr>
        <w:t xml:space="preserve"> Wiley. </w:t>
      </w:r>
    </w:p>
    <w:p w14:paraId="2432F7D1" w14:textId="7F3274E4"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O’Rourke, M. J., So, P.</w:t>
      </w:r>
      <w:r w:rsidR="004F3D2D">
        <w:rPr>
          <w:rFonts w:cs="Arial"/>
          <w:noProof/>
          <w:szCs w:val="24"/>
        </w:rPr>
        <w:t>,</w:t>
      </w:r>
      <w:r w:rsidR="00D10BB2">
        <w:rPr>
          <w:rFonts w:cs="Arial"/>
          <w:noProof/>
          <w:szCs w:val="24"/>
        </w:rPr>
        <w:t xml:space="preserve"> </w:t>
      </w:r>
      <w:r w:rsidRPr="004F3D2D">
        <w:rPr>
          <w:rFonts w:cs="Arial"/>
          <w:noProof/>
          <w:szCs w:val="24"/>
        </w:rPr>
        <w:t>2000</w:t>
      </w:r>
      <w:r w:rsidR="004F3D2D">
        <w:rPr>
          <w:rFonts w:cs="Arial"/>
          <w:noProof/>
          <w:szCs w:val="24"/>
        </w:rPr>
        <w:t>,</w:t>
      </w:r>
      <w:r w:rsidRPr="004F3D2D">
        <w:rPr>
          <w:rFonts w:cs="Arial"/>
          <w:noProof/>
          <w:szCs w:val="24"/>
        </w:rPr>
        <w:t xml:space="preserve"> Seismic fragility curves for on-grade steel tanks</w:t>
      </w:r>
      <w:r w:rsidR="006B4E32">
        <w:rPr>
          <w:rFonts w:cs="Arial"/>
          <w:noProof/>
          <w:szCs w:val="24"/>
        </w:rPr>
        <w:t xml:space="preserve">, </w:t>
      </w:r>
      <w:r w:rsidRPr="004F3D2D">
        <w:rPr>
          <w:rFonts w:cs="Arial"/>
          <w:noProof/>
          <w:szCs w:val="24"/>
        </w:rPr>
        <w:t>Earthquake Spectra</w:t>
      </w:r>
      <w:r w:rsidR="004F3D2D">
        <w:rPr>
          <w:rFonts w:cs="Arial"/>
          <w:noProof/>
          <w:szCs w:val="24"/>
        </w:rPr>
        <w:t>, 1</w:t>
      </w:r>
      <w:r w:rsidRPr="004F3D2D">
        <w:rPr>
          <w:rFonts w:cs="Arial"/>
          <w:noProof/>
          <w:szCs w:val="24"/>
        </w:rPr>
        <w:t>6,</w:t>
      </w:r>
      <w:r w:rsidR="004F3D2D">
        <w:rPr>
          <w:rFonts w:cs="Arial"/>
          <w:noProof/>
          <w:szCs w:val="24"/>
        </w:rPr>
        <w:t xml:space="preserve"> </w:t>
      </w:r>
      <w:r w:rsidRPr="004F3D2D">
        <w:rPr>
          <w:rFonts w:cs="Arial"/>
          <w:noProof/>
          <w:szCs w:val="24"/>
        </w:rPr>
        <w:t>801–815</w:t>
      </w:r>
      <w:r w:rsidR="004F3D2D">
        <w:rPr>
          <w:rFonts w:cs="Arial"/>
          <w:noProof/>
          <w:szCs w:val="24"/>
        </w:rPr>
        <w:t>.</w:t>
      </w:r>
      <w:r w:rsidRPr="004F3D2D">
        <w:rPr>
          <w:rFonts w:cs="Arial"/>
          <w:noProof/>
          <w:szCs w:val="24"/>
        </w:rPr>
        <w:t xml:space="preserve"> </w:t>
      </w:r>
    </w:p>
    <w:p w14:paraId="5259D215" w14:textId="529902BC"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Paolacci, F., Giannini, R., De Angelis, M.,</w:t>
      </w:r>
      <w:r w:rsidR="004F3D2D">
        <w:rPr>
          <w:rFonts w:cs="Arial"/>
          <w:noProof/>
          <w:szCs w:val="24"/>
        </w:rPr>
        <w:t xml:space="preserve"> </w:t>
      </w:r>
      <w:r w:rsidRPr="004F3D2D">
        <w:rPr>
          <w:rFonts w:cs="Arial"/>
          <w:noProof/>
          <w:szCs w:val="24"/>
        </w:rPr>
        <w:t>Ciucci, M.</w:t>
      </w:r>
      <w:r w:rsidR="004F3D2D">
        <w:rPr>
          <w:rFonts w:cs="Arial"/>
          <w:noProof/>
          <w:szCs w:val="24"/>
        </w:rPr>
        <w:t xml:space="preserve">, </w:t>
      </w:r>
      <w:r w:rsidRPr="004F3D2D">
        <w:rPr>
          <w:rFonts w:cs="Arial"/>
          <w:noProof/>
          <w:szCs w:val="24"/>
        </w:rPr>
        <w:t>2009</w:t>
      </w:r>
      <w:r w:rsidR="004F3D2D">
        <w:rPr>
          <w:rFonts w:cs="Arial"/>
          <w:noProof/>
          <w:szCs w:val="24"/>
        </w:rPr>
        <w:t>,</w:t>
      </w:r>
      <w:r w:rsidRPr="004F3D2D">
        <w:rPr>
          <w:rFonts w:cs="Arial"/>
          <w:noProof/>
          <w:szCs w:val="24"/>
        </w:rPr>
        <w:t xml:space="preserve"> Seismic vulnerability of major-hazard industrial plants and applicability of innovative seismic protection systems for its reduction</w:t>
      </w:r>
      <w:r w:rsidR="004F3D2D">
        <w:rPr>
          <w:rFonts w:cs="Arial"/>
          <w:noProof/>
          <w:szCs w:val="24"/>
        </w:rPr>
        <w:t>, 1</w:t>
      </w:r>
      <w:r w:rsidRPr="004F3D2D">
        <w:rPr>
          <w:rFonts w:cs="Arial"/>
          <w:noProof/>
          <w:szCs w:val="24"/>
        </w:rPr>
        <w:t>1th World Conference on Seismic Isolation, Energy Dissipation and Active Vibration Control of Structures, Guangzhou, China.</w:t>
      </w:r>
    </w:p>
    <w:p w14:paraId="5ADD6291" w14:textId="530AB4F9"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Paolacci, F., Phan, H. N., Corritore, D., Alessandri, S., Bursi, O. S., Reza, M. S.</w:t>
      </w:r>
      <w:r w:rsidR="004F3D2D">
        <w:rPr>
          <w:rFonts w:cs="Arial"/>
          <w:noProof/>
          <w:szCs w:val="24"/>
        </w:rPr>
        <w:t>,</w:t>
      </w:r>
      <w:r w:rsidRPr="004F3D2D">
        <w:rPr>
          <w:rFonts w:cs="Arial"/>
          <w:noProof/>
          <w:szCs w:val="24"/>
        </w:rPr>
        <w:t>2015</w:t>
      </w:r>
      <w:r w:rsidR="004F3D2D">
        <w:rPr>
          <w:rFonts w:cs="Arial"/>
          <w:noProof/>
          <w:szCs w:val="24"/>
        </w:rPr>
        <w:t>,</w:t>
      </w:r>
      <w:r w:rsidRPr="004F3D2D">
        <w:rPr>
          <w:rFonts w:cs="Arial"/>
          <w:noProof/>
          <w:szCs w:val="24"/>
        </w:rPr>
        <w:t xml:space="preserve"> Seismic fragility analysis of steel storage tanks</w:t>
      </w:r>
      <w:r w:rsidR="004F3D2D">
        <w:rPr>
          <w:rFonts w:cs="Arial"/>
          <w:noProof/>
          <w:szCs w:val="24"/>
        </w:rPr>
        <w:t>,</w:t>
      </w:r>
      <w:r w:rsidRPr="004F3D2D">
        <w:rPr>
          <w:rFonts w:cs="Arial"/>
          <w:noProof/>
          <w:szCs w:val="24"/>
        </w:rPr>
        <w:t xml:space="preserve"> COMPDYN 2015</w:t>
      </w:r>
      <w:r w:rsidR="004F3D2D">
        <w:rPr>
          <w:rFonts w:cs="Arial"/>
          <w:noProof/>
          <w:szCs w:val="24"/>
        </w:rPr>
        <w:t>.</w:t>
      </w:r>
    </w:p>
    <w:p w14:paraId="7A1B46F0" w14:textId="1BFBA42F"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Porter, K.</w:t>
      </w:r>
      <w:r w:rsidR="004F3D2D">
        <w:rPr>
          <w:rFonts w:cs="Arial"/>
          <w:noProof/>
          <w:szCs w:val="24"/>
        </w:rPr>
        <w:t>,</w:t>
      </w:r>
      <w:r w:rsidRPr="004F3D2D">
        <w:rPr>
          <w:rFonts w:cs="Arial"/>
          <w:noProof/>
          <w:szCs w:val="24"/>
        </w:rPr>
        <w:t>2021</w:t>
      </w:r>
      <w:r w:rsidR="004F3D2D">
        <w:rPr>
          <w:rFonts w:cs="Arial"/>
          <w:noProof/>
          <w:szCs w:val="24"/>
        </w:rPr>
        <w:t>,</w:t>
      </w:r>
      <w:r w:rsidRPr="004F3D2D">
        <w:rPr>
          <w:rFonts w:cs="Arial"/>
          <w:noProof/>
          <w:szCs w:val="24"/>
        </w:rPr>
        <w:t xml:space="preserve"> A Beginner ’s Guide to Fragility, Vulnerability, and Risk. University of Colorado Boulder</w:t>
      </w:r>
      <w:r w:rsidR="004F3D2D">
        <w:rPr>
          <w:rFonts w:cs="Arial"/>
          <w:noProof/>
          <w:szCs w:val="24"/>
        </w:rPr>
        <w:t>.</w:t>
      </w:r>
      <w:r w:rsidRPr="004F3D2D">
        <w:rPr>
          <w:rFonts w:cs="Arial"/>
          <w:noProof/>
          <w:szCs w:val="24"/>
        </w:rPr>
        <w:t xml:space="preserve"> </w:t>
      </w:r>
    </w:p>
    <w:p w14:paraId="037D6578" w14:textId="70ECA612"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Rammerstorfer, F. G., Scharf, K.,</w:t>
      </w:r>
      <w:r w:rsidR="004F3D2D">
        <w:rPr>
          <w:rFonts w:cs="Arial"/>
          <w:noProof/>
          <w:szCs w:val="24"/>
        </w:rPr>
        <w:t xml:space="preserve"> </w:t>
      </w:r>
      <w:r w:rsidRPr="004F3D2D">
        <w:rPr>
          <w:rFonts w:cs="Arial"/>
          <w:noProof/>
          <w:szCs w:val="24"/>
        </w:rPr>
        <w:t>Fisher, F. D.</w:t>
      </w:r>
      <w:r w:rsidR="004F3D2D">
        <w:rPr>
          <w:rFonts w:cs="Arial"/>
          <w:noProof/>
          <w:szCs w:val="24"/>
        </w:rPr>
        <w:t>,</w:t>
      </w:r>
      <w:r w:rsidRPr="004F3D2D">
        <w:rPr>
          <w:rFonts w:cs="Arial"/>
          <w:noProof/>
          <w:szCs w:val="24"/>
        </w:rPr>
        <w:t>1990</w:t>
      </w:r>
      <w:r w:rsidR="004F3D2D">
        <w:rPr>
          <w:rFonts w:cs="Arial"/>
          <w:noProof/>
          <w:szCs w:val="24"/>
        </w:rPr>
        <w:t>,</w:t>
      </w:r>
      <w:r w:rsidRPr="004F3D2D">
        <w:rPr>
          <w:rFonts w:cs="Arial"/>
          <w:noProof/>
          <w:szCs w:val="24"/>
        </w:rPr>
        <w:t xml:space="preserve"> Storage tanks under earthquake loading. Applied Mechanics Reviews, 43, 261–282. </w:t>
      </w:r>
    </w:p>
    <w:p w14:paraId="2F066648" w14:textId="7AAE987E" w:rsidR="006A7732" w:rsidRPr="004F3D2D" w:rsidRDefault="006A7732" w:rsidP="006A7732">
      <w:pPr>
        <w:widowControl w:val="0"/>
        <w:autoSpaceDE w:val="0"/>
        <w:autoSpaceDN w:val="0"/>
        <w:adjustRightInd w:val="0"/>
        <w:spacing w:line="240" w:lineRule="auto"/>
        <w:ind w:left="480" w:hanging="480"/>
        <w:rPr>
          <w:rFonts w:cs="Arial"/>
          <w:noProof/>
          <w:szCs w:val="24"/>
        </w:rPr>
      </w:pPr>
      <w:r w:rsidRPr="004F3D2D">
        <w:rPr>
          <w:rFonts w:cs="Arial"/>
          <w:noProof/>
          <w:szCs w:val="24"/>
        </w:rPr>
        <w:t>Singhal, A., Kiremidjian, A. S.</w:t>
      </w:r>
      <w:r w:rsidR="004F3D2D" w:rsidRPr="004F3D2D">
        <w:rPr>
          <w:rFonts w:cs="Arial"/>
          <w:noProof/>
          <w:szCs w:val="24"/>
        </w:rPr>
        <w:t>,</w:t>
      </w:r>
      <w:r w:rsidRPr="004F3D2D">
        <w:rPr>
          <w:rFonts w:cs="Arial"/>
          <w:noProof/>
          <w:szCs w:val="24"/>
        </w:rPr>
        <w:t>1996</w:t>
      </w:r>
      <w:r w:rsidR="004F3D2D" w:rsidRPr="004F3D2D">
        <w:rPr>
          <w:rFonts w:cs="Arial"/>
          <w:noProof/>
          <w:szCs w:val="24"/>
        </w:rPr>
        <w:t>,</w:t>
      </w:r>
      <w:r w:rsidRPr="004F3D2D">
        <w:rPr>
          <w:rFonts w:cs="Arial"/>
          <w:noProof/>
          <w:szCs w:val="24"/>
        </w:rPr>
        <w:t xml:space="preserve"> Method for probabilistic evaluation of seismic structural damage</w:t>
      </w:r>
      <w:r w:rsidR="004F3D2D" w:rsidRPr="004F3D2D">
        <w:rPr>
          <w:rFonts w:cs="Arial"/>
          <w:noProof/>
          <w:szCs w:val="24"/>
        </w:rPr>
        <w:t>,</w:t>
      </w:r>
      <w:r w:rsidRPr="004F3D2D">
        <w:rPr>
          <w:rFonts w:cs="Arial"/>
          <w:noProof/>
          <w:szCs w:val="24"/>
        </w:rPr>
        <w:t xml:space="preserve"> Journal of Structural Engineering, 122, 1459–1467.</w:t>
      </w:r>
    </w:p>
    <w:p w14:paraId="19C4FC68" w14:textId="57FB4BED" w:rsidR="004628D2" w:rsidRDefault="006A7732" w:rsidP="00035527">
      <w:pPr>
        <w:widowControl w:val="0"/>
        <w:autoSpaceDE w:val="0"/>
        <w:autoSpaceDN w:val="0"/>
        <w:adjustRightInd w:val="0"/>
        <w:spacing w:line="240" w:lineRule="auto"/>
        <w:ind w:left="480" w:hanging="480"/>
      </w:pPr>
      <w:r w:rsidRPr="004F3D2D">
        <w:rPr>
          <w:rFonts w:cs="Arial"/>
          <w:noProof/>
          <w:szCs w:val="24"/>
        </w:rPr>
        <w:t>Yamauchi, Y., Kamei, A., Zama, S., Uchida, Y.</w:t>
      </w:r>
      <w:r w:rsidR="004F3D2D" w:rsidRPr="004F3D2D">
        <w:rPr>
          <w:rFonts w:cs="Arial"/>
          <w:noProof/>
          <w:szCs w:val="24"/>
        </w:rPr>
        <w:t xml:space="preserve">, </w:t>
      </w:r>
      <w:r w:rsidRPr="004F3D2D">
        <w:rPr>
          <w:rFonts w:cs="Arial"/>
          <w:noProof/>
          <w:szCs w:val="24"/>
        </w:rPr>
        <w:t>2006</w:t>
      </w:r>
      <w:r w:rsidR="004F3D2D" w:rsidRPr="004F3D2D">
        <w:rPr>
          <w:rFonts w:cs="Arial"/>
          <w:noProof/>
          <w:szCs w:val="24"/>
        </w:rPr>
        <w:t>,</w:t>
      </w:r>
      <w:r w:rsidRPr="004F3D2D">
        <w:rPr>
          <w:rFonts w:cs="Arial"/>
          <w:noProof/>
          <w:szCs w:val="24"/>
        </w:rPr>
        <w:t xml:space="preserve"> Seismic design of floating roof of oil storage tanks under liquid sloshing</w:t>
      </w:r>
      <w:r w:rsidR="004F3D2D" w:rsidRPr="004F3D2D">
        <w:rPr>
          <w:rFonts w:cs="Arial"/>
          <w:noProof/>
          <w:szCs w:val="24"/>
        </w:rPr>
        <w:t>,</w:t>
      </w:r>
      <w:r w:rsidRPr="004F3D2D">
        <w:rPr>
          <w:rFonts w:cs="Arial"/>
          <w:noProof/>
          <w:szCs w:val="24"/>
        </w:rPr>
        <w:t xml:space="preserve"> Proceedings of ASME</w:t>
      </w:r>
      <w:r w:rsidR="004F3D2D">
        <w:rPr>
          <w:rFonts w:cs="Arial"/>
          <w:noProof/>
          <w:szCs w:val="24"/>
        </w:rPr>
        <w:t>.</w:t>
      </w:r>
      <w:r w:rsidR="00176156" w:rsidRPr="004F3D2D">
        <w:fldChar w:fldCharType="end"/>
      </w:r>
    </w:p>
    <w:sectPr w:rsidR="004628D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A0388" w14:textId="77777777" w:rsidR="00DE229C" w:rsidRDefault="00DE229C" w:rsidP="004F5E36">
      <w:r>
        <w:separator/>
      </w:r>
    </w:p>
  </w:endnote>
  <w:endnote w:type="continuationSeparator" w:id="0">
    <w:p w14:paraId="58A20C72" w14:textId="77777777" w:rsidR="00DE229C" w:rsidRDefault="00DE229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18144" w14:textId="77777777" w:rsidR="00DE229C" w:rsidRDefault="00DE229C" w:rsidP="004F5E36">
      <w:r>
        <w:separator/>
      </w:r>
    </w:p>
  </w:footnote>
  <w:footnote w:type="continuationSeparator" w:id="0">
    <w:p w14:paraId="1F13A1D6" w14:textId="77777777" w:rsidR="00DE229C" w:rsidRDefault="00DE229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8706816"/>
    <w:multiLevelType w:val="hybridMultilevel"/>
    <w:tmpl w:val="443E52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446641D"/>
    <w:multiLevelType w:val="hybridMultilevel"/>
    <w:tmpl w:val="DA72E3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8AA3788"/>
    <w:multiLevelType w:val="hybridMultilevel"/>
    <w:tmpl w:val="786E8A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19A17BD"/>
    <w:multiLevelType w:val="hybridMultilevel"/>
    <w:tmpl w:val="A344F9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25E453D"/>
    <w:multiLevelType w:val="hybridMultilevel"/>
    <w:tmpl w:val="D4B01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C1B5295"/>
    <w:multiLevelType w:val="hybridMultilevel"/>
    <w:tmpl w:val="C4FEFE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6FC01B6"/>
    <w:multiLevelType w:val="hybridMultilevel"/>
    <w:tmpl w:val="C9CC2A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6"/>
  </w:num>
  <w:num w:numId="14">
    <w:abstractNumId w:val="22"/>
  </w:num>
  <w:num w:numId="15">
    <w:abstractNumId w:val="25"/>
  </w:num>
  <w:num w:numId="16">
    <w:abstractNumId w:val="24"/>
  </w:num>
  <w:num w:numId="17">
    <w:abstractNumId w:val="15"/>
  </w:num>
  <w:num w:numId="18">
    <w:abstractNumId w:val="16"/>
    <w:lvlOverride w:ilvl="0">
      <w:startOverride w:val="1"/>
    </w:lvlOverride>
  </w:num>
  <w:num w:numId="19">
    <w:abstractNumId w:val="20"/>
  </w:num>
  <w:num w:numId="20">
    <w:abstractNumId w:val="19"/>
  </w:num>
  <w:num w:numId="21">
    <w:abstractNumId w:val="17"/>
  </w:num>
  <w:num w:numId="22">
    <w:abstractNumId w:val="18"/>
  </w:num>
  <w:num w:numId="23">
    <w:abstractNumId w:val="14"/>
  </w:num>
  <w:num w:numId="24">
    <w:abstractNumId w:val="10"/>
  </w:num>
  <w:num w:numId="25">
    <w:abstractNumId w:val="26"/>
  </w:num>
  <w:num w:numId="26">
    <w:abstractNumId w:val="11"/>
  </w:num>
  <w:num w:numId="27">
    <w:abstractNumId w:val="13"/>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5527"/>
    <w:rsid w:val="00051566"/>
    <w:rsid w:val="00062A9A"/>
    <w:rsid w:val="00065058"/>
    <w:rsid w:val="00067980"/>
    <w:rsid w:val="00072ACB"/>
    <w:rsid w:val="00086C39"/>
    <w:rsid w:val="000A03B2"/>
    <w:rsid w:val="000A2495"/>
    <w:rsid w:val="000C6A8E"/>
    <w:rsid w:val="000D34BE"/>
    <w:rsid w:val="000D6C80"/>
    <w:rsid w:val="000E102F"/>
    <w:rsid w:val="000E3577"/>
    <w:rsid w:val="000E36F1"/>
    <w:rsid w:val="000E3A73"/>
    <w:rsid w:val="000E414A"/>
    <w:rsid w:val="000E455B"/>
    <w:rsid w:val="000E4895"/>
    <w:rsid w:val="000F093C"/>
    <w:rsid w:val="000F787B"/>
    <w:rsid w:val="00100E0F"/>
    <w:rsid w:val="00106B47"/>
    <w:rsid w:val="0012091F"/>
    <w:rsid w:val="00126BC2"/>
    <w:rsid w:val="001272F4"/>
    <w:rsid w:val="001308B6"/>
    <w:rsid w:val="0013121F"/>
    <w:rsid w:val="00131FE6"/>
    <w:rsid w:val="0013263F"/>
    <w:rsid w:val="00134DE4"/>
    <w:rsid w:val="0014034D"/>
    <w:rsid w:val="0014464F"/>
    <w:rsid w:val="00150E59"/>
    <w:rsid w:val="00152DE3"/>
    <w:rsid w:val="00164192"/>
    <w:rsid w:val="00164CF9"/>
    <w:rsid w:val="00176156"/>
    <w:rsid w:val="00176D23"/>
    <w:rsid w:val="00180860"/>
    <w:rsid w:val="00184297"/>
    <w:rsid w:val="00184AD6"/>
    <w:rsid w:val="001A5B78"/>
    <w:rsid w:val="001B0349"/>
    <w:rsid w:val="001B65C1"/>
    <w:rsid w:val="001C684B"/>
    <w:rsid w:val="001D53FC"/>
    <w:rsid w:val="001F42A5"/>
    <w:rsid w:val="001F7B9D"/>
    <w:rsid w:val="00207F8F"/>
    <w:rsid w:val="00214652"/>
    <w:rsid w:val="00215B38"/>
    <w:rsid w:val="002224B4"/>
    <w:rsid w:val="00226051"/>
    <w:rsid w:val="002447EF"/>
    <w:rsid w:val="00245D7A"/>
    <w:rsid w:val="00251550"/>
    <w:rsid w:val="00263B05"/>
    <w:rsid w:val="00266751"/>
    <w:rsid w:val="002702AA"/>
    <w:rsid w:val="00271C35"/>
    <w:rsid w:val="0027221A"/>
    <w:rsid w:val="00275B61"/>
    <w:rsid w:val="00275C7B"/>
    <w:rsid w:val="00282656"/>
    <w:rsid w:val="00282D60"/>
    <w:rsid w:val="00291E3E"/>
    <w:rsid w:val="002934F9"/>
    <w:rsid w:val="00296B83"/>
    <w:rsid w:val="002A3071"/>
    <w:rsid w:val="002B0EA5"/>
    <w:rsid w:val="002B78CE"/>
    <w:rsid w:val="002C2FB6"/>
    <w:rsid w:val="002E25DD"/>
    <w:rsid w:val="003003D3"/>
    <w:rsid w:val="003009B7"/>
    <w:rsid w:val="00300E56"/>
    <w:rsid w:val="0030469C"/>
    <w:rsid w:val="003102E2"/>
    <w:rsid w:val="003155EE"/>
    <w:rsid w:val="00321CA6"/>
    <w:rsid w:val="00334078"/>
    <w:rsid w:val="00334C09"/>
    <w:rsid w:val="003444EC"/>
    <w:rsid w:val="00344B81"/>
    <w:rsid w:val="00353F03"/>
    <w:rsid w:val="00366335"/>
    <w:rsid w:val="003723D4"/>
    <w:rsid w:val="00383F4B"/>
    <w:rsid w:val="00384CC8"/>
    <w:rsid w:val="003871FD"/>
    <w:rsid w:val="003A1E30"/>
    <w:rsid w:val="003A7D1C"/>
    <w:rsid w:val="003B304B"/>
    <w:rsid w:val="003B3146"/>
    <w:rsid w:val="003C2129"/>
    <w:rsid w:val="003D1F9E"/>
    <w:rsid w:val="003F015E"/>
    <w:rsid w:val="00400414"/>
    <w:rsid w:val="0041446B"/>
    <w:rsid w:val="00416FFA"/>
    <w:rsid w:val="00434A32"/>
    <w:rsid w:val="00442979"/>
    <w:rsid w:val="0044329C"/>
    <w:rsid w:val="004577FE"/>
    <w:rsid w:val="00457B9C"/>
    <w:rsid w:val="0046164A"/>
    <w:rsid w:val="004628D2"/>
    <w:rsid w:val="00462DCD"/>
    <w:rsid w:val="004648AD"/>
    <w:rsid w:val="004703A9"/>
    <w:rsid w:val="004760DE"/>
    <w:rsid w:val="004A004E"/>
    <w:rsid w:val="004A24CF"/>
    <w:rsid w:val="004B4FB9"/>
    <w:rsid w:val="004C0E3C"/>
    <w:rsid w:val="004C3C45"/>
    <w:rsid w:val="004C3D1D"/>
    <w:rsid w:val="004C7913"/>
    <w:rsid w:val="004D58C6"/>
    <w:rsid w:val="004E4DD6"/>
    <w:rsid w:val="004E5AA6"/>
    <w:rsid w:val="004F03EA"/>
    <w:rsid w:val="004F3D2D"/>
    <w:rsid w:val="004F5E36"/>
    <w:rsid w:val="00507B47"/>
    <w:rsid w:val="00507CC9"/>
    <w:rsid w:val="005119A5"/>
    <w:rsid w:val="00516D93"/>
    <w:rsid w:val="005278B7"/>
    <w:rsid w:val="00532016"/>
    <w:rsid w:val="005346C8"/>
    <w:rsid w:val="00543E7D"/>
    <w:rsid w:val="00547A68"/>
    <w:rsid w:val="005531C9"/>
    <w:rsid w:val="00584CD8"/>
    <w:rsid w:val="005A3E9C"/>
    <w:rsid w:val="005B2110"/>
    <w:rsid w:val="005B61E6"/>
    <w:rsid w:val="005C77E1"/>
    <w:rsid w:val="005D1A3B"/>
    <w:rsid w:val="005D6A2F"/>
    <w:rsid w:val="005E1A82"/>
    <w:rsid w:val="005E794C"/>
    <w:rsid w:val="005F0A28"/>
    <w:rsid w:val="005F0E5E"/>
    <w:rsid w:val="005F0ECC"/>
    <w:rsid w:val="00600535"/>
    <w:rsid w:val="00610CD6"/>
    <w:rsid w:val="00617AA9"/>
    <w:rsid w:val="00620C11"/>
    <w:rsid w:val="00620DEE"/>
    <w:rsid w:val="00621F92"/>
    <w:rsid w:val="006241BF"/>
    <w:rsid w:val="00625639"/>
    <w:rsid w:val="00625EED"/>
    <w:rsid w:val="00631B33"/>
    <w:rsid w:val="0064184D"/>
    <w:rsid w:val="00644EAA"/>
    <w:rsid w:val="00650997"/>
    <w:rsid w:val="00655E4B"/>
    <w:rsid w:val="00660E3E"/>
    <w:rsid w:val="00662E74"/>
    <w:rsid w:val="00664A0F"/>
    <w:rsid w:val="006679F4"/>
    <w:rsid w:val="00680557"/>
    <w:rsid w:val="00680C23"/>
    <w:rsid w:val="00693766"/>
    <w:rsid w:val="00694186"/>
    <w:rsid w:val="006A3281"/>
    <w:rsid w:val="006A7732"/>
    <w:rsid w:val="006B2C7E"/>
    <w:rsid w:val="006B4888"/>
    <w:rsid w:val="006B4E32"/>
    <w:rsid w:val="006B56BB"/>
    <w:rsid w:val="006C2E45"/>
    <w:rsid w:val="006C359C"/>
    <w:rsid w:val="006C5579"/>
    <w:rsid w:val="006D2C8A"/>
    <w:rsid w:val="006E737D"/>
    <w:rsid w:val="006F1955"/>
    <w:rsid w:val="00704DA5"/>
    <w:rsid w:val="00720A24"/>
    <w:rsid w:val="00732386"/>
    <w:rsid w:val="007447F3"/>
    <w:rsid w:val="0075499F"/>
    <w:rsid w:val="007661C8"/>
    <w:rsid w:val="0077098D"/>
    <w:rsid w:val="007A3312"/>
    <w:rsid w:val="007A3A0D"/>
    <w:rsid w:val="007A7BBA"/>
    <w:rsid w:val="007B0C50"/>
    <w:rsid w:val="007B7A41"/>
    <w:rsid w:val="007C1A43"/>
    <w:rsid w:val="007F7AA0"/>
    <w:rsid w:val="00813288"/>
    <w:rsid w:val="008168FC"/>
    <w:rsid w:val="00830996"/>
    <w:rsid w:val="008345F1"/>
    <w:rsid w:val="008437F3"/>
    <w:rsid w:val="00862C19"/>
    <w:rsid w:val="00865B07"/>
    <w:rsid w:val="008667EA"/>
    <w:rsid w:val="00873D70"/>
    <w:rsid w:val="0087637F"/>
    <w:rsid w:val="00877F8A"/>
    <w:rsid w:val="00892AD5"/>
    <w:rsid w:val="008A1512"/>
    <w:rsid w:val="008B2946"/>
    <w:rsid w:val="008C7E74"/>
    <w:rsid w:val="008D433B"/>
    <w:rsid w:val="008E157E"/>
    <w:rsid w:val="008E204F"/>
    <w:rsid w:val="008E566E"/>
    <w:rsid w:val="008F7CE8"/>
    <w:rsid w:val="0090161A"/>
    <w:rsid w:val="00901EB6"/>
    <w:rsid w:val="00904C62"/>
    <w:rsid w:val="00923D73"/>
    <w:rsid w:val="00924DAC"/>
    <w:rsid w:val="00927058"/>
    <w:rsid w:val="0093134F"/>
    <w:rsid w:val="009450CE"/>
    <w:rsid w:val="00947179"/>
    <w:rsid w:val="0095164B"/>
    <w:rsid w:val="00954090"/>
    <w:rsid w:val="00954102"/>
    <w:rsid w:val="009552CE"/>
    <w:rsid w:val="009573E7"/>
    <w:rsid w:val="00963E05"/>
    <w:rsid w:val="00967D54"/>
    <w:rsid w:val="00975B99"/>
    <w:rsid w:val="00996483"/>
    <w:rsid w:val="00996F5A"/>
    <w:rsid w:val="009A4794"/>
    <w:rsid w:val="009A4E69"/>
    <w:rsid w:val="009B041A"/>
    <w:rsid w:val="009C7C86"/>
    <w:rsid w:val="009D2D96"/>
    <w:rsid w:val="009D2FF7"/>
    <w:rsid w:val="009E7884"/>
    <w:rsid w:val="009E788A"/>
    <w:rsid w:val="009F0E08"/>
    <w:rsid w:val="009F7F64"/>
    <w:rsid w:val="00A11A79"/>
    <w:rsid w:val="00A1763D"/>
    <w:rsid w:val="00A17CEC"/>
    <w:rsid w:val="00A27EF0"/>
    <w:rsid w:val="00A32AE5"/>
    <w:rsid w:val="00A4644B"/>
    <w:rsid w:val="00A50B20"/>
    <w:rsid w:val="00A51390"/>
    <w:rsid w:val="00A60D13"/>
    <w:rsid w:val="00A636CA"/>
    <w:rsid w:val="00A716AE"/>
    <w:rsid w:val="00A72745"/>
    <w:rsid w:val="00A729A9"/>
    <w:rsid w:val="00A76EFC"/>
    <w:rsid w:val="00A91010"/>
    <w:rsid w:val="00A93305"/>
    <w:rsid w:val="00A97F29"/>
    <w:rsid w:val="00AA3004"/>
    <w:rsid w:val="00AA702E"/>
    <w:rsid w:val="00AB07CA"/>
    <w:rsid w:val="00AB0964"/>
    <w:rsid w:val="00AB5011"/>
    <w:rsid w:val="00AC7368"/>
    <w:rsid w:val="00AD16B9"/>
    <w:rsid w:val="00AE2DBB"/>
    <w:rsid w:val="00AE377D"/>
    <w:rsid w:val="00B17FBD"/>
    <w:rsid w:val="00B30B03"/>
    <w:rsid w:val="00B315A6"/>
    <w:rsid w:val="00B31813"/>
    <w:rsid w:val="00B33365"/>
    <w:rsid w:val="00B52892"/>
    <w:rsid w:val="00B57B36"/>
    <w:rsid w:val="00B62A1C"/>
    <w:rsid w:val="00B638F0"/>
    <w:rsid w:val="00B771BD"/>
    <w:rsid w:val="00B8686D"/>
    <w:rsid w:val="00B86DCD"/>
    <w:rsid w:val="00BC30C9"/>
    <w:rsid w:val="00BE3E58"/>
    <w:rsid w:val="00BF2E07"/>
    <w:rsid w:val="00C01616"/>
    <w:rsid w:val="00C0162B"/>
    <w:rsid w:val="00C2340E"/>
    <w:rsid w:val="00C24997"/>
    <w:rsid w:val="00C3183B"/>
    <w:rsid w:val="00C345B1"/>
    <w:rsid w:val="00C40142"/>
    <w:rsid w:val="00C40AC7"/>
    <w:rsid w:val="00C57182"/>
    <w:rsid w:val="00C57863"/>
    <w:rsid w:val="00C655FD"/>
    <w:rsid w:val="00C71FB5"/>
    <w:rsid w:val="00C870A8"/>
    <w:rsid w:val="00C94434"/>
    <w:rsid w:val="00CA0D75"/>
    <w:rsid w:val="00CA1C95"/>
    <w:rsid w:val="00CA5A9C"/>
    <w:rsid w:val="00CB34D7"/>
    <w:rsid w:val="00CC6AFE"/>
    <w:rsid w:val="00CD5FE2"/>
    <w:rsid w:val="00CE7C68"/>
    <w:rsid w:val="00CF0C10"/>
    <w:rsid w:val="00CF35A6"/>
    <w:rsid w:val="00CF366A"/>
    <w:rsid w:val="00D02B4C"/>
    <w:rsid w:val="00D040C4"/>
    <w:rsid w:val="00D10BB2"/>
    <w:rsid w:val="00D20379"/>
    <w:rsid w:val="00D34E5F"/>
    <w:rsid w:val="00D57C84"/>
    <w:rsid w:val="00D6057D"/>
    <w:rsid w:val="00D6668A"/>
    <w:rsid w:val="00D84576"/>
    <w:rsid w:val="00DA1323"/>
    <w:rsid w:val="00DA1399"/>
    <w:rsid w:val="00DA24C6"/>
    <w:rsid w:val="00DA2E24"/>
    <w:rsid w:val="00DA4D7B"/>
    <w:rsid w:val="00DA65A9"/>
    <w:rsid w:val="00DE0AE7"/>
    <w:rsid w:val="00DE229C"/>
    <w:rsid w:val="00DE264A"/>
    <w:rsid w:val="00E02D18"/>
    <w:rsid w:val="00E041E7"/>
    <w:rsid w:val="00E11928"/>
    <w:rsid w:val="00E23CA1"/>
    <w:rsid w:val="00E23E8D"/>
    <w:rsid w:val="00E355B4"/>
    <w:rsid w:val="00E35631"/>
    <w:rsid w:val="00E406E3"/>
    <w:rsid w:val="00E409A8"/>
    <w:rsid w:val="00E462AD"/>
    <w:rsid w:val="00E50C12"/>
    <w:rsid w:val="00E65B91"/>
    <w:rsid w:val="00E66301"/>
    <w:rsid w:val="00E7147D"/>
    <w:rsid w:val="00E7209D"/>
    <w:rsid w:val="00E77223"/>
    <w:rsid w:val="00E8528B"/>
    <w:rsid w:val="00E85B94"/>
    <w:rsid w:val="00E978D0"/>
    <w:rsid w:val="00EA4613"/>
    <w:rsid w:val="00EA7F91"/>
    <w:rsid w:val="00EB1523"/>
    <w:rsid w:val="00EC0E49"/>
    <w:rsid w:val="00EC6199"/>
    <w:rsid w:val="00EE0131"/>
    <w:rsid w:val="00EF2394"/>
    <w:rsid w:val="00F301E6"/>
    <w:rsid w:val="00F30C64"/>
    <w:rsid w:val="00F32CDB"/>
    <w:rsid w:val="00F63A70"/>
    <w:rsid w:val="00FA21D0"/>
    <w:rsid w:val="00FA4844"/>
    <w:rsid w:val="00FA5F5F"/>
    <w:rsid w:val="00FB730C"/>
    <w:rsid w:val="00FC2695"/>
    <w:rsid w:val="00FC3E03"/>
    <w:rsid w:val="00FC3FC1"/>
    <w:rsid w:val="00FE480D"/>
    <w:rsid w:val="00FF70F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98B07625-6EEB-43E8-8F82-F5E958F3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Rimandonotaapidipagina">
    <w:name w:val="footnote reference"/>
    <w:basedOn w:val="Carpredefinitoparagrafo"/>
    <w:uiPriority w:val="99"/>
    <w:semiHidden/>
    <w:unhideWhenUsed/>
    <w:rsid w:val="00923D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Ordinamento per nome" Version="2003"/>
</file>

<file path=customXml/itemProps1.xml><?xml version="1.0" encoding="utf-8"?>
<ds:datastoreItem xmlns:ds="http://schemas.openxmlformats.org/officeDocument/2006/customXml" ds:itemID="{F48CBF13-67E1-4417-9910-6D6441288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9484</Words>
  <Characters>54060</Characters>
  <Application>Microsoft Office Word</Application>
  <DocSecurity>0</DocSecurity>
  <Lines>450</Lines>
  <Paragraphs>126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63418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Ciucci Mariano</cp:lastModifiedBy>
  <cp:revision>2</cp:revision>
  <cp:lastPrinted>2022-01-12T15:01:00Z</cp:lastPrinted>
  <dcterms:created xsi:type="dcterms:W3CDTF">2022-02-26T06:44:00Z</dcterms:created>
  <dcterms:modified xsi:type="dcterms:W3CDTF">2022-02-26T06:44:00Z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http://www.zotero.org/styles/apa</vt:lpwstr>
  </property>
  <property fmtid="{D5CDD505-2E9C-101B-9397-08002B2CF9AE}" pid="26" name="Mendeley Unique User Id_1">
    <vt:lpwstr>1e50b7a9-06d0-34f6-b8a0-2fdc00835c20</vt:lpwstr>
  </property>
</Properties>
</file>