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35A3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135A3E" w:rsidRDefault="000A03B2" w:rsidP="00DE264A">
            <w:pPr>
              <w:tabs>
                <w:tab w:val="left" w:pos="-108"/>
              </w:tabs>
              <w:ind w:left="-108"/>
              <w:jc w:val="left"/>
              <w:rPr>
                <w:rFonts w:cs="Arial"/>
                <w:b/>
                <w:bCs/>
                <w:i/>
                <w:iCs/>
                <w:color w:val="000066"/>
                <w:sz w:val="12"/>
                <w:szCs w:val="12"/>
                <w:lang w:eastAsia="it-IT"/>
              </w:rPr>
            </w:pPr>
            <w:r w:rsidRPr="00135A3E">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35A3E">
              <w:rPr>
                <w:rFonts w:ascii="AdvP6960" w:hAnsi="AdvP6960" w:cs="AdvP6960"/>
                <w:color w:val="241F20"/>
                <w:szCs w:val="18"/>
                <w:lang w:eastAsia="it-IT"/>
              </w:rPr>
              <w:t xml:space="preserve"> </w:t>
            </w:r>
            <w:r w:rsidRPr="00135A3E">
              <w:rPr>
                <w:rFonts w:cs="Arial"/>
                <w:b/>
                <w:bCs/>
                <w:i/>
                <w:iCs/>
                <w:color w:val="000066"/>
                <w:sz w:val="24"/>
                <w:szCs w:val="24"/>
                <w:lang w:eastAsia="it-IT"/>
              </w:rPr>
              <w:t>CHEMICAL ENGINEERING</w:t>
            </w:r>
            <w:r w:rsidRPr="00135A3E">
              <w:rPr>
                <w:rFonts w:cs="Arial"/>
                <w:b/>
                <w:bCs/>
                <w:i/>
                <w:iCs/>
                <w:color w:val="0033FF"/>
                <w:sz w:val="24"/>
                <w:szCs w:val="24"/>
                <w:lang w:eastAsia="it-IT"/>
              </w:rPr>
              <w:t xml:space="preserve"> </w:t>
            </w:r>
            <w:r w:rsidRPr="00135A3E">
              <w:rPr>
                <w:rFonts w:cs="Arial"/>
                <w:b/>
                <w:bCs/>
                <w:i/>
                <w:iCs/>
                <w:color w:val="666666"/>
                <w:sz w:val="24"/>
                <w:szCs w:val="24"/>
                <w:lang w:eastAsia="it-IT"/>
              </w:rPr>
              <w:t>TRANSACTIONS</w:t>
            </w:r>
            <w:r w:rsidRPr="00135A3E">
              <w:rPr>
                <w:color w:val="333333"/>
                <w:sz w:val="24"/>
                <w:szCs w:val="24"/>
                <w:lang w:eastAsia="it-IT"/>
              </w:rPr>
              <w:t xml:space="preserve"> </w:t>
            </w:r>
            <w:r w:rsidRPr="00135A3E">
              <w:rPr>
                <w:rFonts w:cs="Arial"/>
                <w:b/>
                <w:bCs/>
                <w:i/>
                <w:iCs/>
                <w:color w:val="000066"/>
                <w:sz w:val="27"/>
                <w:szCs w:val="27"/>
                <w:lang w:eastAsia="it-IT"/>
              </w:rPr>
              <w:br/>
            </w:r>
          </w:p>
          <w:p w14:paraId="4B780582" w14:textId="1EEF6F50" w:rsidR="000A03B2" w:rsidRPr="00135A3E" w:rsidRDefault="00A76EFC" w:rsidP="004C3D1D">
            <w:pPr>
              <w:tabs>
                <w:tab w:val="left" w:pos="-108"/>
              </w:tabs>
              <w:ind w:left="-108"/>
              <w:rPr>
                <w:rFonts w:cs="Arial"/>
                <w:b/>
                <w:bCs/>
                <w:i/>
                <w:iCs/>
                <w:color w:val="000066"/>
                <w:sz w:val="22"/>
                <w:szCs w:val="22"/>
                <w:lang w:eastAsia="it-IT"/>
              </w:rPr>
            </w:pPr>
            <w:r w:rsidRPr="00135A3E">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135A3E" w:rsidRDefault="000A03B2" w:rsidP="00CD5FE2">
            <w:pPr>
              <w:spacing w:line="140" w:lineRule="atLeast"/>
              <w:jc w:val="right"/>
              <w:rPr>
                <w:rFonts w:cs="Arial"/>
                <w:sz w:val="14"/>
                <w:szCs w:val="14"/>
              </w:rPr>
            </w:pPr>
            <w:r w:rsidRPr="00135A3E">
              <w:rPr>
                <w:rFonts w:cs="Arial"/>
                <w:sz w:val="14"/>
                <w:szCs w:val="14"/>
              </w:rPr>
              <w:t>A publication of</w:t>
            </w:r>
          </w:p>
          <w:p w14:paraId="599E5441" w14:textId="77777777" w:rsidR="000A03B2" w:rsidRPr="00135A3E" w:rsidRDefault="000A03B2" w:rsidP="00CD5FE2">
            <w:pPr>
              <w:jc w:val="right"/>
            </w:pPr>
            <w:r w:rsidRPr="00135A3E">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35A3E" w14:paraId="380FA3CD" w14:textId="77777777" w:rsidTr="00DE264A">
        <w:trPr>
          <w:trHeight w:val="567"/>
          <w:jc w:val="center"/>
        </w:trPr>
        <w:tc>
          <w:tcPr>
            <w:tcW w:w="6946" w:type="dxa"/>
            <w:vMerge/>
            <w:tcBorders>
              <w:right w:val="single" w:sz="4" w:space="0" w:color="auto"/>
            </w:tcBorders>
          </w:tcPr>
          <w:p w14:paraId="39E5E4C1" w14:textId="77777777" w:rsidR="000A03B2" w:rsidRPr="00135A3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135A3E" w:rsidRDefault="000A03B2" w:rsidP="00CD5FE2">
            <w:pPr>
              <w:spacing w:line="140" w:lineRule="atLeast"/>
              <w:jc w:val="right"/>
              <w:rPr>
                <w:rFonts w:cs="Arial"/>
                <w:sz w:val="14"/>
                <w:szCs w:val="14"/>
              </w:rPr>
            </w:pPr>
            <w:r w:rsidRPr="00135A3E">
              <w:rPr>
                <w:rFonts w:cs="Arial"/>
                <w:sz w:val="14"/>
                <w:szCs w:val="14"/>
              </w:rPr>
              <w:t>The Italian Association</w:t>
            </w:r>
          </w:p>
          <w:p w14:paraId="7522B1D2" w14:textId="77777777" w:rsidR="000A03B2" w:rsidRPr="00135A3E" w:rsidRDefault="000A03B2" w:rsidP="00CD5FE2">
            <w:pPr>
              <w:spacing w:line="140" w:lineRule="atLeast"/>
              <w:jc w:val="right"/>
              <w:rPr>
                <w:rFonts w:cs="Arial"/>
                <w:sz w:val="14"/>
                <w:szCs w:val="14"/>
              </w:rPr>
            </w:pPr>
            <w:r w:rsidRPr="00135A3E">
              <w:rPr>
                <w:rFonts w:cs="Arial"/>
                <w:sz w:val="14"/>
                <w:szCs w:val="14"/>
              </w:rPr>
              <w:t>of Chemical Engineering</w:t>
            </w:r>
          </w:p>
          <w:p w14:paraId="4F0CC5DE" w14:textId="35204533" w:rsidR="000A03B2" w:rsidRPr="00135A3E" w:rsidRDefault="005A3E9C" w:rsidP="00CD5FE2">
            <w:pPr>
              <w:spacing w:line="140" w:lineRule="atLeast"/>
              <w:jc w:val="right"/>
              <w:rPr>
                <w:rFonts w:cs="Arial"/>
                <w:sz w:val="14"/>
                <w:szCs w:val="14"/>
              </w:rPr>
            </w:pPr>
            <w:r w:rsidRPr="00135A3E">
              <w:rPr>
                <w:rFonts w:cs="Arial"/>
                <w:sz w:val="13"/>
                <w:szCs w:val="13"/>
              </w:rPr>
              <w:t>Online at www.cetjournal.it</w:t>
            </w:r>
          </w:p>
        </w:tc>
      </w:tr>
      <w:tr w:rsidR="000A03B2" w:rsidRPr="00135A3E" w14:paraId="2D1B7169" w14:textId="77777777" w:rsidTr="00DE264A">
        <w:trPr>
          <w:trHeight w:val="68"/>
          <w:jc w:val="center"/>
        </w:trPr>
        <w:tc>
          <w:tcPr>
            <w:tcW w:w="8789" w:type="dxa"/>
            <w:gridSpan w:val="2"/>
          </w:tcPr>
          <w:p w14:paraId="4B0BB442" w14:textId="7D24D70F" w:rsidR="00300E56" w:rsidRPr="00135A3E"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35A3E">
              <w:rPr>
                <w:rFonts w:ascii="Tahoma" w:hAnsi="Tahoma" w:cs="Tahoma"/>
                <w:iCs/>
                <w:color w:val="333333"/>
                <w:sz w:val="14"/>
                <w:szCs w:val="14"/>
                <w:lang w:val="en-US" w:eastAsia="it-IT"/>
              </w:rPr>
              <w:t>Guest Editors:</w:t>
            </w:r>
            <w:r w:rsidR="00904C62" w:rsidRPr="00135A3E">
              <w:rPr>
                <w:rFonts w:ascii="Tahoma" w:hAnsi="Tahoma" w:cs="Tahoma"/>
                <w:iCs/>
                <w:color w:val="333333"/>
                <w:sz w:val="14"/>
                <w:szCs w:val="14"/>
                <w:lang w:val="en-US" w:eastAsia="it-IT"/>
              </w:rPr>
              <w:t xml:space="preserve"> </w:t>
            </w:r>
          </w:p>
          <w:p w14:paraId="1B0F1814" w14:textId="6CE52C7C" w:rsidR="000A03B2" w:rsidRPr="00135A3E" w:rsidRDefault="0014464F" w:rsidP="00180860">
            <w:pPr>
              <w:tabs>
                <w:tab w:val="left" w:pos="-108"/>
              </w:tabs>
              <w:spacing w:line="140" w:lineRule="atLeast"/>
              <w:ind w:left="-108"/>
              <w:jc w:val="left"/>
            </w:pPr>
            <w:r w:rsidRPr="00135A3E">
              <w:rPr>
                <w:rFonts w:ascii="Tahoma" w:hAnsi="Tahoma" w:cs="Tahoma"/>
                <w:iCs/>
                <w:color w:val="333333"/>
                <w:sz w:val="14"/>
                <w:szCs w:val="14"/>
                <w:lang w:eastAsia="it-IT"/>
              </w:rPr>
              <w:t xml:space="preserve">Copyright © </w:t>
            </w:r>
            <w:r w:rsidR="00904C62" w:rsidRPr="00135A3E">
              <w:rPr>
                <w:rFonts w:ascii="Tahoma" w:hAnsi="Tahoma" w:cs="Tahoma"/>
                <w:iCs/>
                <w:color w:val="333333"/>
                <w:sz w:val="14"/>
                <w:szCs w:val="14"/>
                <w:lang w:eastAsia="it-IT"/>
              </w:rPr>
              <w:t xml:space="preserve"> AIDIC Servizi S.r.l.</w:t>
            </w:r>
            <w:r w:rsidR="00300E56" w:rsidRPr="00135A3E">
              <w:rPr>
                <w:rFonts w:ascii="Tahoma" w:hAnsi="Tahoma" w:cs="Tahoma"/>
                <w:iCs/>
                <w:color w:val="333333"/>
                <w:sz w:val="14"/>
                <w:szCs w:val="14"/>
                <w:lang w:eastAsia="it-IT"/>
              </w:rPr>
              <w:br/>
            </w:r>
            <w:r w:rsidR="00180860" w:rsidRPr="00135A3E">
              <w:rPr>
                <w:rFonts w:ascii="Tahoma" w:hAnsi="Tahoma" w:cs="Tahoma"/>
                <w:b/>
                <w:iCs/>
                <w:color w:val="333333"/>
                <w:sz w:val="14"/>
                <w:szCs w:val="14"/>
                <w:lang w:eastAsia="it-IT"/>
              </w:rPr>
              <w:t xml:space="preserve">ISBN </w:t>
            </w:r>
            <w:r w:rsidR="00180860" w:rsidRPr="00135A3E">
              <w:rPr>
                <w:rFonts w:ascii="Tahoma" w:hAnsi="Tahoma" w:cs="Tahoma"/>
                <w:sz w:val="14"/>
                <w:szCs w:val="14"/>
                <w:lang w:val="en-US"/>
              </w:rPr>
              <w:t xml:space="preserve">978-88-95608-xx-x </w:t>
            </w:r>
            <w:r w:rsidR="00300E56" w:rsidRPr="00135A3E">
              <w:rPr>
                <w:rFonts w:ascii="Tahoma" w:hAnsi="Tahoma" w:cs="Tahoma"/>
                <w:b/>
                <w:iCs/>
                <w:color w:val="333333"/>
                <w:sz w:val="14"/>
                <w:szCs w:val="14"/>
                <w:lang w:eastAsia="it-IT"/>
              </w:rPr>
              <w:t>ISSN</w:t>
            </w:r>
            <w:r w:rsidR="00300E56" w:rsidRPr="00135A3E">
              <w:rPr>
                <w:rFonts w:ascii="Tahoma" w:hAnsi="Tahoma" w:cs="Tahoma"/>
                <w:iCs/>
                <w:color w:val="333333"/>
                <w:sz w:val="14"/>
                <w:szCs w:val="14"/>
                <w:lang w:eastAsia="it-IT"/>
              </w:rPr>
              <w:t xml:space="preserve"> 2283-9216</w:t>
            </w:r>
          </w:p>
        </w:tc>
      </w:tr>
    </w:tbl>
    <w:p w14:paraId="10DAA130" w14:textId="77777777" w:rsidR="000A03B2" w:rsidRPr="00135A3E" w:rsidRDefault="000A03B2" w:rsidP="000A03B2">
      <w:pPr>
        <w:pStyle w:val="CETAuthors"/>
        <w:sectPr w:rsidR="000A03B2" w:rsidRPr="00135A3E" w:rsidSect="00CD5FE2">
          <w:type w:val="continuous"/>
          <w:pgSz w:w="11906" w:h="16838" w:code="9"/>
          <w:pgMar w:top="1701" w:right="1418" w:bottom="1701" w:left="1701" w:header="1701" w:footer="0" w:gutter="0"/>
          <w:cols w:space="708"/>
          <w:titlePg/>
          <w:docGrid w:linePitch="360"/>
        </w:sectPr>
      </w:pPr>
    </w:p>
    <w:p w14:paraId="2E667253" w14:textId="56FC54A6" w:rsidR="00E978D0" w:rsidRPr="00135A3E" w:rsidRDefault="005C4566" w:rsidP="00E978D0">
      <w:pPr>
        <w:pStyle w:val="CETTitle"/>
      </w:pPr>
      <w:r w:rsidRPr="005C4566">
        <w:t xml:space="preserve">Safety Challenges on Runaway Reactions: </w:t>
      </w:r>
      <w:r w:rsidR="00A96076" w:rsidRPr="005C4566">
        <w:t>The</w:t>
      </w:r>
      <w:r w:rsidRPr="005C4566">
        <w:t xml:space="preserve"> </w:t>
      </w:r>
      <w:r>
        <w:t>E</w:t>
      </w:r>
      <w:r w:rsidRPr="005C4566">
        <w:t xml:space="preserve">sterification of </w:t>
      </w:r>
      <w:r>
        <w:t>A</w:t>
      </w:r>
      <w:r w:rsidRPr="005C4566">
        <w:t xml:space="preserve">cetic </w:t>
      </w:r>
      <w:r>
        <w:t>A</w:t>
      </w:r>
      <w:r w:rsidRPr="005C4566">
        <w:t xml:space="preserve">nhydride with </w:t>
      </w:r>
      <w:r>
        <w:t>M</w:t>
      </w:r>
      <w:r w:rsidRPr="005C4566">
        <w:t>ethanol</w:t>
      </w:r>
    </w:p>
    <w:p w14:paraId="1B3B50D3" w14:textId="56E705D2" w:rsidR="00831148" w:rsidRPr="0099153B" w:rsidRDefault="00831148" w:rsidP="00831148">
      <w:pPr>
        <w:pStyle w:val="CETAuthors"/>
        <w:rPr>
          <w:lang w:val="it-IT"/>
        </w:rPr>
      </w:pPr>
      <w:r w:rsidRPr="0099153B">
        <w:rPr>
          <w:lang w:val="it-IT"/>
        </w:rPr>
        <w:t>Federico Florit</w:t>
      </w:r>
      <w:r w:rsidRPr="0099153B">
        <w:rPr>
          <w:vertAlign w:val="superscript"/>
          <w:lang w:val="it-IT"/>
        </w:rPr>
        <w:t>a</w:t>
      </w:r>
      <w:r w:rsidRPr="0099153B">
        <w:rPr>
          <w:lang w:val="it-IT"/>
        </w:rPr>
        <w:t>, Sabrina Copelli*</w:t>
      </w:r>
      <w:r w:rsidR="005C4566" w:rsidRPr="005C4566">
        <w:rPr>
          <w:vertAlign w:val="superscript"/>
          <w:lang w:val="it-IT"/>
        </w:rPr>
        <w:t>,</w:t>
      </w:r>
      <w:r w:rsidRPr="0099153B">
        <w:rPr>
          <w:vertAlign w:val="superscript"/>
          <w:lang w:val="it-IT"/>
        </w:rPr>
        <w:t>b</w:t>
      </w:r>
    </w:p>
    <w:p w14:paraId="47B7DE12" w14:textId="77777777" w:rsidR="0017241E" w:rsidRPr="0099153B" w:rsidRDefault="00831148" w:rsidP="00831148">
      <w:pPr>
        <w:pStyle w:val="CETAddress"/>
        <w:rPr>
          <w:lang w:val="it-IT"/>
        </w:rPr>
      </w:pPr>
      <w:r w:rsidRPr="0099153B">
        <w:rPr>
          <w:vertAlign w:val="superscript"/>
          <w:lang w:val="it-IT"/>
        </w:rPr>
        <w:t>a</w:t>
      </w:r>
      <w:r w:rsidRPr="0099153B">
        <w:rPr>
          <w:lang w:val="it-IT"/>
        </w:rPr>
        <w:t>Politecnico di Milano, Dip. di Chimica, Materiali e Ingegneria Chimica “G. Natta”, Via Mancinelli 7 - 20131 Milano – Italy</w:t>
      </w:r>
    </w:p>
    <w:p w14:paraId="6D017ABD" w14:textId="0834BED2" w:rsidR="00831148" w:rsidRPr="005C4566" w:rsidRDefault="00831148" w:rsidP="00831148">
      <w:pPr>
        <w:pStyle w:val="CETAddress"/>
        <w:rPr>
          <w:lang w:val="it-IT"/>
        </w:rPr>
      </w:pPr>
      <w:r w:rsidRPr="005C4566">
        <w:rPr>
          <w:vertAlign w:val="superscript"/>
          <w:lang w:val="it-IT"/>
        </w:rPr>
        <w:t>b</w:t>
      </w:r>
      <w:r w:rsidR="005C4566" w:rsidRPr="005C4566">
        <w:rPr>
          <w:lang w:val="it-IT"/>
        </w:rPr>
        <w:t>Università degli Studi dell’Insubria, Dip. di Scienza e Alta Tecnologia, Via Valleggio 9 – 22100 Como - Italy</w:t>
      </w:r>
    </w:p>
    <w:p w14:paraId="6490EB0B" w14:textId="77D72B71" w:rsidR="0017241E" w:rsidRDefault="005C4566" w:rsidP="0017241E">
      <w:pPr>
        <w:pStyle w:val="CETAddress"/>
        <w:spacing w:after="200"/>
      </w:pPr>
      <w:r>
        <w:t>*</w:t>
      </w:r>
      <w:r w:rsidR="0017241E">
        <w:t>sabrina.copelli@</w:t>
      </w:r>
      <w:r>
        <w:t>uninsubria.it</w:t>
      </w:r>
    </w:p>
    <w:p w14:paraId="52992DB8" w14:textId="000E6B6D" w:rsidR="00A96076" w:rsidRDefault="005C4566" w:rsidP="005C4566">
      <w:pPr>
        <w:pStyle w:val="CETBodytext"/>
      </w:pPr>
      <w:r>
        <w:t xml:space="preserve">Esterification reactions are commonly used in industrial practice. These reactions are </w:t>
      </w:r>
      <w:r w:rsidR="00007AEB">
        <w:t xml:space="preserve">fast and </w:t>
      </w:r>
      <w:r>
        <w:t xml:space="preserve">moderately exothermic thus they are prone to exhibit a runaway behavior, that is a thermal loss of control of the synthesis reactor. </w:t>
      </w:r>
    </w:p>
    <w:p w14:paraId="7B30A9B1" w14:textId="77777777" w:rsidR="00A96076" w:rsidRDefault="005C4566" w:rsidP="005C4566">
      <w:pPr>
        <w:pStyle w:val="CETBodytext"/>
      </w:pPr>
      <w:r>
        <w:t xml:space="preserve">This scenario may lead to either quality issues, such as formation of undesired side products, or safety concerns, as pressurization and rupture of the reactor itself. </w:t>
      </w:r>
    </w:p>
    <w:p w14:paraId="1C8514D6" w14:textId="597BBDE4" w:rsidR="005C4566" w:rsidRDefault="005C4566" w:rsidP="005C4566">
      <w:pPr>
        <w:pStyle w:val="CETBodytext"/>
      </w:pPr>
      <w:r>
        <w:t>To mitigate the risk, proper recipes should be designed and optimized for a safe conduction of the reaction at the full-plant scale. This can be done by knowing the kinetics of the involved reactions, both desired and undesired.</w:t>
      </w:r>
    </w:p>
    <w:p w14:paraId="2450C67A" w14:textId="77777777" w:rsidR="00A96076" w:rsidRDefault="005C4566" w:rsidP="005C4566">
      <w:pPr>
        <w:pStyle w:val="CETBodytext"/>
      </w:pPr>
      <w:r>
        <w:t xml:space="preserve">The aim of this work is to determine the kinetic parameters of the esterification of acetic anhydride with methanol (forming methyl acetate) in the presence of sulfuric acid as a catalyst to be used in a cost-effective safe optimization protocol. This reaction has been analyzed in the past because of its exothermicity, but without fully describing the involved reactions (both desired and side). </w:t>
      </w:r>
    </w:p>
    <w:p w14:paraId="261C5B18" w14:textId="6ACBB7A3" w:rsidR="00CE19CC" w:rsidRPr="00135A3E" w:rsidRDefault="005C4566" w:rsidP="005C4566">
      <w:pPr>
        <w:pStyle w:val="CETBodytext"/>
      </w:pPr>
      <w:r>
        <w:t>In this work, calorimetric measurements are used to observe both the thermic and quality characteristics of the overall synthesis run in a semi-batch, lab-scale reactor. Both a detailed kinetic scheme and the associated parameters are determined to provide safe and productive operating conditions for the process, properly considering all the side reactions than could emerge during the synthesis. The study also required the implementation of a dedicated mathematical model for the simulation of the lab-scale semi-continuous reactor.</w:t>
      </w:r>
    </w:p>
    <w:p w14:paraId="1AB941FA" w14:textId="28661C76" w:rsidR="00255FA8" w:rsidRDefault="00255FA8" w:rsidP="00255FA8">
      <w:pPr>
        <w:pStyle w:val="CETHeading1"/>
      </w:pPr>
      <w:r w:rsidRPr="00135A3E">
        <w:t>Introduction</w:t>
      </w:r>
    </w:p>
    <w:p w14:paraId="3B250DDC" w14:textId="7E10A0E9" w:rsidR="002541DF" w:rsidRDefault="00D87DEE" w:rsidP="00D87DEE">
      <w:pPr>
        <w:pStyle w:val="CETBodytext"/>
      </w:pPr>
      <w:r>
        <w:t xml:space="preserve">Runaway phenomena in chemical reactors have been </w:t>
      </w:r>
      <w:r w:rsidR="007B12F9">
        <w:t xml:space="preserve">extensively </w:t>
      </w:r>
      <w:r>
        <w:t xml:space="preserve">analyzed in the process safety literature of the last thirty-five years </w:t>
      </w:r>
      <w:r w:rsidRPr="003C5978">
        <w:t>(e.g., Maestri et al., 2009; Copelli et al., 201</w:t>
      </w:r>
      <w:r w:rsidR="002F594A">
        <w:t>0, 2013</w:t>
      </w:r>
      <w:r w:rsidRPr="003C5978">
        <w:t>; Casson et al., 2012</w:t>
      </w:r>
      <w:r w:rsidR="007408A3">
        <w:t>, 2016</w:t>
      </w:r>
      <w:r w:rsidRPr="003C5978">
        <w:t>).</w:t>
      </w:r>
      <w:r>
        <w:t xml:space="preserve"> </w:t>
      </w:r>
      <w:r w:rsidR="00FB7EAF">
        <w:t xml:space="preserve">Particularly, </w:t>
      </w:r>
      <w:r>
        <w:t xml:space="preserve">a runaway reaction </w:t>
      </w:r>
      <w:r w:rsidR="00FB7EAF">
        <w:t xml:space="preserve">can be described as </w:t>
      </w:r>
      <w:r>
        <w:t xml:space="preserve">the consequence of </w:t>
      </w:r>
      <w:r w:rsidR="00FB7EAF">
        <w:t>the</w:t>
      </w:r>
      <w:r>
        <w:t xml:space="preserve"> thermal loss of control </w:t>
      </w:r>
      <w:r w:rsidR="00FB7EAF">
        <w:t xml:space="preserve">of a reacting system, </w:t>
      </w:r>
      <w:r>
        <w:t xml:space="preserve">triggered by </w:t>
      </w:r>
      <w:r w:rsidR="00FB7EAF">
        <w:t xml:space="preserve">a number of different </w:t>
      </w:r>
      <w:r>
        <w:t xml:space="preserve">upset operating conditions: e.g., </w:t>
      </w:r>
      <w:r w:rsidR="002541DF">
        <w:t>anomalies</w:t>
      </w:r>
      <w:r w:rsidR="00FB7EAF">
        <w:t xml:space="preserve"> in the dosing line</w:t>
      </w:r>
      <w:r>
        <w:t xml:space="preserve">, cooling system </w:t>
      </w:r>
      <w:r w:rsidR="00FB7EAF">
        <w:t>failures</w:t>
      </w:r>
      <w:r>
        <w:t xml:space="preserve">, temperature controller </w:t>
      </w:r>
      <w:r w:rsidR="00FB7EAF">
        <w:t xml:space="preserve">breakdown </w:t>
      </w:r>
      <w:r>
        <w:t>or external fire</w:t>
      </w:r>
      <w:r w:rsidR="00FB7EAF">
        <w:t>s</w:t>
      </w:r>
      <w:r>
        <w:t xml:space="preserve">. This </w:t>
      </w:r>
      <w:r w:rsidR="00FB7EAF">
        <w:t>type of phenomenon</w:t>
      </w:r>
      <w:r>
        <w:t xml:space="preserve">, also </w:t>
      </w:r>
      <w:r w:rsidR="00FB7EAF">
        <w:t xml:space="preserve">referred to as </w:t>
      </w:r>
      <w:r>
        <w:t xml:space="preserve">thermal explosion, </w:t>
      </w:r>
      <w:r w:rsidR="00287A91">
        <w:t xml:space="preserve">always </w:t>
      </w:r>
      <w:r w:rsidR="00FB7EAF">
        <w:t>results in</w:t>
      </w:r>
      <w:r>
        <w:t xml:space="preserve"> a</w:t>
      </w:r>
      <w:r w:rsidR="00FB7EAF">
        <w:t xml:space="preserve"> huge </w:t>
      </w:r>
      <w:r>
        <w:t xml:space="preserve">increase of the desired reaction rate </w:t>
      </w:r>
      <w:r w:rsidR="00287A91">
        <w:t>that, increasing the system temperature, could</w:t>
      </w:r>
      <w:r>
        <w:t xml:space="preserve"> trigger unwanted decomposition reactions of the reacting mixture. </w:t>
      </w:r>
      <w:r w:rsidR="00287A91">
        <w:t xml:space="preserve">Whenever a decomposition occurs within a reactor, it is not possible to protect the vessel against overpressures because the rate of incoercible gases generation is so high to make impossible a </w:t>
      </w:r>
      <w:r w:rsidR="00E8786E">
        <w:t>realistic</w:t>
      </w:r>
      <w:r w:rsidR="00287A91">
        <w:t xml:space="preserve"> vent sizing. This means that the </w:t>
      </w:r>
      <w:r>
        <w:t xml:space="preserve">reactor </w:t>
      </w:r>
      <w:r w:rsidR="00287A91">
        <w:t xml:space="preserve">will unavoidably </w:t>
      </w:r>
      <w:r>
        <w:t>explode releasing high amounts of toxic and/or flammable gases into the atmosphere</w:t>
      </w:r>
      <w:r w:rsidR="00287A91">
        <w:t xml:space="preserve">. </w:t>
      </w:r>
      <w:r>
        <w:t xml:space="preserve"> Terrible examples of </w:t>
      </w:r>
      <w:r w:rsidR="00287A91">
        <w:t xml:space="preserve">runaway </w:t>
      </w:r>
      <w:r>
        <w:t xml:space="preserve">scenarios </w:t>
      </w:r>
      <w:r w:rsidR="00287A91">
        <w:t xml:space="preserve">were </w:t>
      </w:r>
      <w:r>
        <w:t>Seveso (1976) and Bhopal (1984) accidents</w:t>
      </w:r>
      <w:r w:rsidR="00287A91">
        <w:t xml:space="preserve"> that implied disastrous consequences for both workers and inhabitants of the neighboring of the damaged factories</w:t>
      </w:r>
      <w:r>
        <w:t xml:space="preserve">. </w:t>
      </w:r>
    </w:p>
    <w:p w14:paraId="4D67F857" w14:textId="6DFC4FC2" w:rsidR="001A5D0D" w:rsidRDefault="00E8786E" w:rsidP="00D87DEE">
      <w:pPr>
        <w:pStyle w:val="CETBodytext"/>
      </w:pPr>
      <w:r>
        <w:t>As a good practice</w:t>
      </w:r>
      <w:r w:rsidR="00D87DEE">
        <w:t xml:space="preserve">, to </w:t>
      </w:r>
      <w:r w:rsidR="002541DF">
        <w:t xml:space="preserve">either </w:t>
      </w:r>
      <w:r w:rsidR="00D87DEE">
        <w:t xml:space="preserve">evaluate the consequences </w:t>
      </w:r>
      <w:r w:rsidR="002541DF">
        <w:t xml:space="preserve">or prevent the triggering </w:t>
      </w:r>
      <w:r w:rsidR="00D87DEE">
        <w:t xml:space="preserve">of a </w:t>
      </w:r>
      <w:r w:rsidR="002541DF">
        <w:t xml:space="preserve">thermal </w:t>
      </w:r>
      <w:r w:rsidR="00D87DEE">
        <w:t>runaway</w:t>
      </w:r>
      <w:r w:rsidR="00BA67B6">
        <w:t xml:space="preserve"> in a chemical reactor</w:t>
      </w:r>
      <w:r w:rsidR="00D87DEE">
        <w:t xml:space="preserve">, </w:t>
      </w:r>
      <w:r w:rsidR="002541DF">
        <w:t>a series of</w:t>
      </w:r>
      <w:r w:rsidR="00D87DEE">
        <w:t xml:space="preserve"> </w:t>
      </w:r>
      <w:r w:rsidR="002541DF">
        <w:t>thermochemical and kinetic</w:t>
      </w:r>
      <w:r w:rsidR="00D87DEE">
        <w:t xml:space="preserve"> data </w:t>
      </w:r>
      <w:r w:rsidR="002541DF">
        <w:t xml:space="preserve">are </w:t>
      </w:r>
      <w:r>
        <w:t xml:space="preserve">usually </w:t>
      </w:r>
      <w:r w:rsidR="00D87DEE">
        <w:t xml:space="preserve">required. Particularly, it is necessary to know reaction enthalpy and heat capacity of the reacting mixture, boiling point of the reacting mixture (if </w:t>
      </w:r>
      <w:r>
        <w:t>boiling phenomena can be triggered in the temperature range of interest</w:t>
      </w:r>
      <w:r w:rsidR="00D87DEE">
        <w:t xml:space="preserve">), </w:t>
      </w:r>
      <w:r>
        <w:t xml:space="preserve">maximum allowable </w:t>
      </w:r>
      <w:r w:rsidR="00D87DEE">
        <w:t>temperature</w:t>
      </w:r>
      <w:r>
        <w:t>s</w:t>
      </w:r>
      <w:r w:rsidR="00D87DEE">
        <w:t xml:space="preserve"> </w:t>
      </w:r>
      <w:r>
        <w:t>above</w:t>
      </w:r>
      <w:r w:rsidR="00D87DEE">
        <w:t xml:space="preserve"> which dangerous decomposition reactions can be triggered and their reaction enthalpy, amount and rate </w:t>
      </w:r>
      <w:r w:rsidR="00D87DEE">
        <w:lastRenderedPageBreak/>
        <w:t xml:space="preserve">of gas evolution, </w:t>
      </w:r>
      <w:r w:rsidR="002541DF">
        <w:t>and last</w:t>
      </w:r>
      <w:r w:rsidR="00BA67B6">
        <w:t>,</w:t>
      </w:r>
      <w:r w:rsidR="002541DF">
        <w:t xml:space="preserve"> but not least</w:t>
      </w:r>
      <w:r w:rsidR="00BA67B6">
        <w:t>,</w:t>
      </w:r>
      <w:r w:rsidR="002541DF">
        <w:t xml:space="preserve"> the detailed kinetics of all the involved reactions</w:t>
      </w:r>
      <w:r w:rsidR="00D87DEE">
        <w:t xml:space="preserve">. </w:t>
      </w:r>
      <w:r w:rsidR="00BA67B6">
        <w:t xml:space="preserve">Moreover, </w:t>
      </w:r>
      <w:r w:rsidR="00D87DEE">
        <w:t xml:space="preserve">it is </w:t>
      </w:r>
      <w:r w:rsidR="00FF4D5E">
        <w:t>also</w:t>
      </w:r>
      <w:r w:rsidR="00D87DEE">
        <w:t xml:space="preserve"> important to take into account all features related to </w:t>
      </w:r>
      <w:r w:rsidR="00FF4D5E">
        <w:t xml:space="preserve">either the </w:t>
      </w:r>
      <w:r w:rsidR="00D87DEE">
        <w:t>reactants feeding procedures (linear, ramp, etc</w:t>
      </w:r>
      <w:r w:rsidR="00FF4D5E">
        <w:t>..</w:t>
      </w:r>
      <w:r w:rsidR="00D87DEE">
        <w:t>)</w:t>
      </w:r>
      <w:r w:rsidR="00FF4D5E">
        <w:t xml:space="preserve"> and the</w:t>
      </w:r>
      <w:r w:rsidR="00D87DEE">
        <w:t xml:space="preserve"> reactor temperature control (isothermal, isoperibolic, etc..)</w:t>
      </w:r>
      <w:r w:rsidR="00FF4D5E">
        <w:t>.</w:t>
      </w:r>
      <w:r w:rsidR="00D87DEE">
        <w:t xml:space="preserve"> </w:t>
      </w:r>
    </w:p>
    <w:p w14:paraId="2DF88E0E" w14:textId="0A1E7480" w:rsidR="00D87DEE" w:rsidRDefault="00FF4D5E" w:rsidP="00D87DEE">
      <w:pPr>
        <w:pStyle w:val="CETBodytext"/>
      </w:pPr>
      <w:r>
        <w:t>All these information are then used</w:t>
      </w:r>
      <w:r w:rsidR="00D87DEE">
        <w:t xml:space="preserve"> to write a suitable system of ordinary differential equations (ODEs) where mixing rules for volumes determination, global and components material balance equations, reactor and jacket energy balance equations, dosing strategies and reactor temperature control equations must be inserted to describe completely the analyzed process dynamics under </w:t>
      </w:r>
      <w:r>
        <w:t>whatever</w:t>
      </w:r>
      <w:r w:rsidR="00D87DEE">
        <w:t xml:space="preserve"> </w:t>
      </w:r>
      <w:r>
        <w:t xml:space="preserve">operating </w:t>
      </w:r>
      <w:r w:rsidR="00D87DEE">
        <w:t>conditions.</w:t>
      </w:r>
    </w:p>
    <w:p w14:paraId="705EB3F4" w14:textId="038CC755" w:rsidR="00BF6F7B" w:rsidRDefault="00D87DEE" w:rsidP="00043DC3">
      <w:pPr>
        <w:pStyle w:val="CETBodytext"/>
      </w:pPr>
      <w:r>
        <w:t>In this work,</w:t>
      </w:r>
      <w:r w:rsidR="00FF4D5E">
        <w:t xml:space="preserve"> </w:t>
      </w:r>
      <w:r w:rsidR="00043DC3">
        <w:t xml:space="preserve">the relevant case study of the esterification of acetic anhydride and methanol catalyzed by sulfuric acid was studied </w:t>
      </w:r>
      <w:r w:rsidR="001A5D0D">
        <w:t xml:space="preserve">to determine, using a </w:t>
      </w:r>
      <w:r w:rsidR="00C35E88">
        <w:t xml:space="preserve">“pure” </w:t>
      </w:r>
      <w:r w:rsidR="001A5D0D">
        <w:t>calorimetric approach</w:t>
      </w:r>
      <w:r w:rsidR="00C35E88">
        <w:t xml:space="preserve"> (that is, using only reaction calorimeters </w:t>
      </w:r>
      <w:r w:rsidR="00D75721">
        <w:t>of</w:t>
      </w:r>
      <w:r w:rsidR="00C35E88">
        <w:t xml:space="preserve"> Peltier-cells </w:t>
      </w:r>
      <w:r w:rsidR="00D75721">
        <w:t>type</w:t>
      </w:r>
      <w:r w:rsidR="00C35E88">
        <w:t>)</w:t>
      </w:r>
      <w:r w:rsidR="001A5D0D">
        <w:t xml:space="preserve">, the kinetics of all the reactions involved within the synthesis path of this process. </w:t>
      </w:r>
    </w:p>
    <w:p w14:paraId="4B9E8A7B" w14:textId="55825DE9" w:rsidR="001A5D0D" w:rsidRPr="00BF6F7B" w:rsidRDefault="001A5D0D" w:rsidP="00043DC3">
      <w:pPr>
        <w:pStyle w:val="CETBodytext"/>
      </w:pPr>
      <w:r>
        <w:t xml:space="preserve">The results showed that, for moderately exothermic and fast reactions (as that one selected in the present study), it is possible to employ a pure calorimetric </w:t>
      </w:r>
      <w:r w:rsidR="00D46F65">
        <w:t>approach to completely characterize the dynamic of the process avoiding loss of accuracy in the reaction kinetics determination. All data obtained in the present analysis</w:t>
      </w:r>
      <w:r w:rsidR="00D75721">
        <w:t>, also including the kinetics,</w:t>
      </w:r>
      <w:r w:rsidR="00D46F65">
        <w:t xml:space="preserve"> c</w:t>
      </w:r>
      <w:r w:rsidR="00C35E88">
        <w:t>ould</w:t>
      </w:r>
      <w:r w:rsidR="00D46F65">
        <w:t xml:space="preserve"> be therefore used to either optimized the proposed synthesis or simulate the system dynamics under both desired (e.g. using either an isothermal or an isoperibolic temperature control mode) and upset operating conditions (such as those originated by cooling system failures or </w:t>
      </w:r>
      <w:r w:rsidR="00C35E88">
        <w:t xml:space="preserve">the presence of an </w:t>
      </w:r>
      <w:r w:rsidR="00D46F65">
        <w:t>external fire).</w:t>
      </w:r>
    </w:p>
    <w:p w14:paraId="57B77C55" w14:textId="78C2D8E3" w:rsidR="00255FA8" w:rsidRDefault="0054698B" w:rsidP="00255FA8">
      <w:pPr>
        <w:pStyle w:val="CETHeading1"/>
      </w:pPr>
      <w:r>
        <w:t>Materials and methods</w:t>
      </w:r>
    </w:p>
    <w:p w14:paraId="66078655" w14:textId="43C2A469" w:rsidR="0054698B" w:rsidRDefault="0054698B" w:rsidP="0054698B">
      <w:pPr>
        <w:pStyle w:val="CETheadingx"/>
      </w:pPr>
      <w:r>
        <w:t>Case study</w:t>
      </w:r>
    </w:p>
    <w:p w14:paraId="1D2A233E" w14:textId="478D9748" w:rsidR="00CF1BF7" w:rsidRDefault="00CF1BF7" w:rsidP="00CF1BF7">
      <w:pPr>
        <w:pStyle w:val="CETBodytext"/>
      </w:pPr>
      <w:r>
        <w:t xml:space="preserve">The esterification of acetic anhydride </w:t>
      </w:r>
      <w:r w:rsidR="00B17A91">
        <w:t>with methanol can be described by the following chemical reactions</w:t>
      </w:r>
      <w:r w:rsidR="00C94A9F">
        <w:t>, all catalyzed by sulfuric acid</w:t>
      </w:r>
      <w:r w:rsidR="00B17A91">
        <w:t>:</w:t>
      </w:r>
    </w:p>
    <w:tbl>
      <w:tblPr>
        <w:tblW w:w="5000" w:type="pct"/>
        <w:tblLook w:val="04A0" w:firstRow="1" w:lastRow="0" w:firstColumn="1" w:lastColumn="0" w:noHBand="0" w:noVBand="1"/>
      </w:tblPr>
      <w:tblGrid>
        <w:gridCol w:w="7982"/>
        <w:gridCol w:w="805"/>
      </w:tblGrid>
      <w:tr w:rsidR="004C2FC3" w:rsidRPr="00B56B6E" w14:paraId="5D2B1AB2" w14:textId="77777777" w:rsidTr="00B56B6E">
        <w:tc>
          <w:tcPr>
            <w:tcW w:w="7982" w:type="dxa"/>
            <w:shd w:val="clear" w:color="auto" w:fill="auto"/>
            <w:vAlign w:val="center"/>
          </w:tcPr>
          <w:p w14:paraId="63D5B672" w14:textId="3997E6E1" w:rsidR="004C2FC3" w:rsidRPr="00B56B6E" w:rsidRDefault="004C2FC3" w:rsidP="00B56B6E">
            <w:pPr>
              <w:pStyle w:val="CETEquation"/>
            </w:pPr>
            <m:oMathPara>
              <m:oMathParaPr>
                <m:jc m:val="left"/>
              </m:oMathParaPr>
              <m:oMath>
                <m:r>
                  <w:rPr>
                    <w:rFonts w:ascii="Cambria Math" w:hAnsi="Cambria Math"/>
                  </w:rPr>
                  <m:t>A</m:t>
                </m:r>
                <m:r>
                  <m:rPr>
                    <m:sty m:val="p"/>
                  </m:rPr>
                  <w:rPr>
                    <w:rFonts w:ascii="Cambria Math" w:hAnsi="Cambria Math"/>
                  </w:rPr>
                  <m:t>+</m:t>
                </m:r>
                <m:r>
                  <w:rPr>
                    <w:rFonts w:ascii="Cambria Math" w:hAnsi="Cambria Math"/>
                  </w:rPr>
                  <m:t>B</m:t>
                </m:r>
                <m:box>
                  <m:boxPr>
                    <m:opEmu m:val="1"/>
                    <m:ctrlPr>
                      <w:rPr>
                        <w:rFonts w:ascii="Cambria Math" w:hAnsi="Cambria Math"/>
                      </w:rPr>
                    </m:ctrlPr>
                  </m:boxPr>
                  <m:e>
                    <m:groupChr>
                      <m:groupChrPr>
                        <m:chr m:val="→"/>
                        <m:vertJc m:val="bot"/>
                        <m:ctrlPr>
                          <w:rPr>
                            <w:rFonts w:ascii="Cambria Math" w:hAnsi="Cambria Math"/>
                          </w:rPr>
                        </m:ctrlPr>
                      </m:groupChr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xml:space="preserve">   </m:t>
                        </m:r>
                      </m:e>
                    </m:groupChr>
                  </m:e>
                </m:box>
                <m:r>
                  <w:rPr>
                    <w:rFonts w:ascii="Cambria Math" w:hAnsi="Cambria Math"/>
                  </w:rPr>
                  <m:t>C</m:t>
                </m:r>
                <m:r>
                  <m:rPr>
                    <m:sty m:val="p"/>
                  </m:rPr>
                  <w:rPr>
                    <w:rFonts w:ascii="Cambria Math" w:hAnsi="Cambria Math"/>
                  </w:rPr>
                  <m:t>+</m:t>
                </m:r>
                <m:r>
                  <w:rPr>
                    <w:rFonts w:ascii="Cambria Math" w:hAnsi="Cambria Math"/>
                  </w:rPr>
                  <m:t>D</m:t>
                </m:r>
              </m:oMath>
            </m:oMathPara>
          </w:p>
        </w:tc>
        <w:tc>
          <w:tcPr>
            <w:tcW w:w="805" w:type="dxa"/>
            <w:shd w:val="clear" w:color="auto" w:fill="auto"/>
            <w:vAlign w:val="center"/>
          </w:tcPr>
          <w:p w14:paraId="18C51E60" w14:textId="77777777" w:rsidR="004C2FC3" w:rsidRPr="00B56B6E" w:rsidRDefault="004C2FC3" w:rsidP="00B56B6E">
            <w:pPr>
              <w:pStyle w:val="CETEquation"/>
            </w:pPr>
            <w:r w:rsidRPr="00B56B6E">
              <w:t>(1)</w:t>
            </w:r>
          </w:p>
        </w:tc>
      </w:tr>
      <w:tr w:rsidR="00B56B6E" w:rsidRPr="00B56B6E" w14:paraId="35467F2A" w14:textId="77777777" w:rsidTr="00B56B6E">
        <w:tc>
          <w:tcPr>
            <w:tcW w:w="7982" w:type="dxa"/>
            <w:shd w:val="clear" w:color="auto" w:fill="auto"/>
            <w:vAlign w:val="center"/>
          </w:tcPr>
          <w:p w14:paraId="2C1EF852" w14:textId="45D0D60A" w:rsidR="00B56B6E" w:rsidRPr="00B56B6E" w:rsidRDefault="00F904B4" w:rsidP="00866973">
            <w:pPr>
              <w:pStyle w:val="CETEquation"/>
              <w:rPr>
                <w:rFonts w:ascii="Cambria Math" w:hAnsi="Cambria Math"/>
                <w:oMath/>
              </w:rPr>
            </w:pPr>
            <m:oMathPara>
              <m:oMathParaPr>
                <m:jc m:val="left"/>
              </m:oMathParaPr>
              <m:oMath>
                <m:r>
                  <w:rPr>
                    <w:rFonts w:ascii="Cambria Math" w:hAnsi="Cambria Math"/>
                  </w:rPr>
                  <m:t>D+B</m:t>
                </m:r>
                <m:box>
                  <m:boxPr>
                    <m:opEmu m:val="1"/>
                    <m:ctrlPr>
                      <w:rPr>
                        <w:rFonts w:ascii="Cambria Math" w:hAnsi="Cambria Math"/>
                        <w:i/>
                        <w:iCs/>
                      </w:rPr>
                    </m:ctrlPr>
                  </m:boxPr>
                  <m:e>
                    <m:limLow>
                      <m:limLowPr>
                        <m:ctrlPr>
                          <w:rPr>
                            <w:rFonts w:ascii="Cambria Math" w:hAnsi="Cambria Math"/>
                            <w:i/>
                            <w:iCs/>
                          </w:rPr>
                        </m:ctrlPr>
                      </m:limLowPr>
                      <m:e>
                        <m:groupChr>
                          <m:groupChrPr>
                            <m:chr m:val="⇔"/>
                            <m:vertJc m:val="bot"/>
                            <m:ctrlPr>
                              <w:rPr>
                                <w:rFonts w:ascii="Cambria Math" w:hAnsi="Cambria Math"/>
                                <w:i/>
                                <w:iCs/>
                              </w:rPr>
                            </m:ctrlPr>
                          </m:groupChrPr>
                          <m:e>
                            <m:r>
                              <w:rPr>
                                <w:rFonts w:ascii="Cambria Math" w:hAnsi="Cambria Math"/>
                              </w:rPr>
                              <m:t xml:space="preserve">   </m:t>
                            </m:r>
                            <m:sSub>
                              <m:sSubPr>
                                <m:ctrlPr>
                                  <w:rPr>
                                    <w:rFonts w:ascii="Cambria Math" w:hAnsi="Cambria Math"/>
                                    <w:i/>
                                    <w:iCs/>
                                  </w:rPr>
                                </m:ctrlPr>
                              </m:sSubPr>
                              <m:e>
                                <m:r>
                                  <w:rPr>
                                    <w:rFonts w:ascii="Cambria Math" w:hAnsi="Cambria Math"/>
                                  </w:rPr>
                                  <m:t>r</m:t>
                                </m:r>
                              </m:e>
                              <m:sub>
                                <m:r>
                                  <w:rPr>
                                    <w:rFonts w:ascii="Cambria Math" w:hAnsi="Cambria Math"/>
                                  </w:rPr>
                                  <m:t>2+</m:t>
                                </m:r>
                              </m:sub>
                            </m:sSub>
                            <m:r>
                              <w:rPr>
                                <w:rFonts w:ascii="Cambria Math" w:hAnsi="Cambria Math"/>
                              </w:rPr>
                              <m:t xml:space="preserve">   </m:t>
                            </m:r>
                          </m:e>
                        </m:groupChr>
                      </m:e>
                      <m:lim>
                        <m:r>
                          <w:rPr>
                            <w:rFonts w:ascii="Cambria Math" w:hAnsi="Cambria Math"/>
                          </w:rPr>
                          <m:t xml:space="preserve">   </m:t>
                        </m:r>
                        <m:sSub>
                          <m:sSubPr>
                            <m:ctrlPr>
                              <w:rPr>
                                <w:rFonts w:ascii="Cambria Math" w:hAnsi="Cambria Math"/>
                                <w:i/>
                                <w:iCs/>
                              </w:rPr>
                            </m:ctrlPr>
                          </m:sSubPr>
                          <m:e>
                            <m:r>
                              <w:rPr>
                                <w:rFonts w:ascii="Cambria Math" w:hAnsi="Cambria Math"/>
                              </w:rPr>
                              <m:t>r</m:t>
                            </m:r>
                          </m:e>
                          <m:sub>
                            <m:r>
                              <w:rPr>
                                <w:rFonts w:ascii="Cambria Math" w:hAnsi="Cambria Math"/>
                              </w:rPr>
                              <m:t>2-</m:t>
                            </m:r>
                          </m:sub>
                        </m:sSub>
                        <m:r>
                          <w:rPr>
                            <w:rFonts w:ascii="Cambria Math" w:hAnsi="Cambria Math"/>
                          </w:rPr>
                          <m:t xml:space="preserve">   </m:t>
                        </m:r>
                      </m:lim>
                    </m:limLow>
                  </m:e>
                </m:box>
                <m:r>
                  <w:rPr>
                    <w:rFonts w:ascii="Cambria Math" w:hAnsi="Cambria Math"/>
                  </w:rPr>
                  <m:t>C+W</m:t>
                </m:r>
              </m:oMath>
            </m:oMathPara>
          </w:p>
        </w:tc>
        <w:tc>
          <w:tcPr>
            <w:tcW w:w="805" w:type="dxa"/>
            <w:shd w:val="clear" w:color="auto" w:fill="auto"/>
            <w:vAlign w:val="center"/>
          </w:tcPr>
          <w:p w14:paraId="3B292A3F" w14:textId="6060090C" w:rsidR="00B56B6E" w:rsidRPr="00B56B6E" w:rsidRDefault="00B56B6E" w:rsidP="00866973">
            <w:pPr>
              <w:pStyle w:val="CETEquation"/>
            </w:pPr>
            <w:r w:rsidRPr="00B56B6E">
              <w:t>(</w:t>
            </w:r>
            <w:r>
              <w:t>2</w:t>
            </w:r>
            <w:r w:rsidRPr="00B56B6E">
              <w:t>)</w:t>
            </w:r>
          </w:p>
        </w:tc>
      </w:tr>
      <w:tr w:rsidR="00B56B6E" w:rsidRPr="00B56B6E" w14:paraId="6370468D" w14:textId="77777777" w:rsidTr="00866973">
        <w:tc>
          <w:tcPr>
            <w:tcW w:w="7982" w:type="dxa"/>
            <w:shd w:val="clear" w:color="auto" w:fill="auto"/>
            <w:vAlign w:val="center"/>
          </w:tcPr>
          <w:p w14:paraId="50F3AD43" w14:textId="64502ED1" w:rsidR="00B56B6E" w:rsidRPr="00B56B6E" w:rsidRDefault="00B56B6E" w:rsidP="00866973">
            <w:pPr>
              <w:pStyle w:val="CETEquation"/>
              <w:rPr>
                <w:rFonts w:ascii="Cambria Math" w:hAnsi="Cambria Math"/>
                <w:oMath/>
              </w:rPr>
            </w:pPr>
            <m:oMathPara>
              <m:oMathParaPr>
                <m:jc m:val="left"/>
              </m:oMathParaPr>
              <m:oMath>
                <m:r>
                  <w:rPr>
                    <w:rFonts w:ascii="Cambria Math" w:hAnsi="Cambria Math"/>
                  </w:rPr>
                  <m:t>A+W</m:t>
                </m:r>
                <m:box>
                  <m:boxPr>
                    <m:opEmu m:val="1"/>
                    <m:ctrlPr>
                      <w:rPr>
                        <w:rFonts w:ascii="Cambria Math" w:hAnsi="Cambria Math"/>
                      </w:rPr>
                    </m:ctrlPr>
                  </m:boxPr>
                  <m:e>
                    <m:groupChr>
                      <m:groupChrPr>
                        <m:chr m:val="→"/>
                        <m:vertJc m:val="bot"/>
                        <m:ctrlPr>
                          <w:rPr>
                            <w:rFonts w:ascii="Cambria Math" w:hAnsi="Cambria Math"/>
                          </w:rPr>
                        </m:ctrlPr>
                      </m:groupChrPr>
                      <m:e>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3</m:t>
                            </m:r>
                          </m:sub>
                        </m:sSub>
                        <m:r>
                          <w:rPr>
                            <w:rFonts w:ascii="Cambria Math" w:hAnsi="Cambria Math"/>
                          </w:rPr>
                          <m:t xml:space="preserve">   </m:t>
                        </m:r>
                      </m:e>
                    </m:groupChr>
                  </m:e>
                </m:box>
                <m:r>
                  <w:rPr>
                    <w:rFonts w:ascii="Cambria Math" w:hAnsi="Cambria Math"/>
                  </w:rPr>
                  <m:t>2D</m:t>
                </m:r>
              </m:oMath>
            </m:oMathPara>
          </w:p>
        </w:tc>
        <w:tc>
          <w:tcPr>
            <w:tcW w:w="805" w:type="dxa"/>
            <w:shd w:val="clear" w:color="auto" w:fill="auto"/>
            <w:vAlign w:val="center"/>
          </w:tcPr>
          <w:p w14:paraId="2F4ACB91" w14:textId="467F3C9B" w:rsidR="00B56B6E" w:rsidRPr="00B56B6E" w:rsidRDefault="00B56B6E" w:rsidP="00866973">
            <w:pPr>
              <w:pStyle w:val="CETEquation"/>
            </w:pPr>
            <w:r w:rsidRPr="00B56B6E">
              <w:t>(</w:t>
            </w:r>
            <w:r w:rsidR="00790DB9">
              <w:t>3</w:t>
            </w:r>
            <w:r w:rsidRPr="00B56B6E">
              <w:t>)</w:t>
            </w:r>
          </w:p>
        </w:tc>
      </w:tr>
    </w:tbl>
    <w:p w14:paraId="47C71B9F" w14:textId="51895667" w:rsidR="00FC7B19" w:rsidRDefault="00790DB9" w:rsidP="004C2FC3">
      <w:pPr>
        <w:pStyle w:val="CETBodytext"/>
      </w:pPr>
      <w:r>
        <w:t xml:space="preserve">where </w:t>
      </w:r>
      <m:oMath>
        <m:r>
          <w:rPr>
            <w:rFonts w:ascii="Cambria Math" w:hAnsi="Cambria Math"/>
          </w:rPr>
          <m:t>A</m:t>
        </m:r>
      </m:oMath>
      <w:r>
        <w:t xml:space="preserve"> is acetic anhydride, </w:t>
      </w:r>
      <m:oMath>
        <m:r>
          <w:rPr>
            <w:rFonts w:ascii="Cambria Math" w:hAnsi="Cambria Math"/>
          </w:rPr>
          <m:t>B</m:t>
        </m:r>
      </m:oMath>
      <w:r>
        <w:t xml:space="preserve"> methanol, </w:t>
      </w:r>
      <m:oMath>
        <m:r>
          <w:rPr>
            <w:rFonts w:ascii="Cambria Math" w:hAnsi="Cambria Math"/>
          </w:rPr>
          <m:t>C</m:t>
        </m:r>
      </m:oMath>
      <w:r>
        <w:t xml:space="preserve"> methyl acetate (the product of interest), </w:t>
      </w:r>
      <m:oMath>
        <m:r>
          <w:rPr>
            <w:rFonts w:ascii="Cambria Math" w:hAnsi="Cambria Math"/>
          </w:rPr>
          <m:t>D</m:t>
        </m:r>
      </m:oMath>
      <w:r>
        <w:t xml:space="preserve"> acetic acid</w:t>
      </w:r>
      <w:r w:rsidR="00C94A9F">
        <w:t xml:space="preserve">, </w:t>
      </w:r>
      <m:oMath>
        <m:r>
          <w:rPr>
            <w:rFonts w:ascii="Cambria Math" w:hAnsi="Cambria Math"/>
          </w:rPr>
          <m:t>W</m:t>
        </m:r>
      </m:oMath>
      <w:r w:rsidR="00C94A9F">
        <w:t xml:space="preserve"> water. Therefore, the main esterification reaction (Eq </w:t>
      </w:r>
      <w:r w:rsidR="00E8786E">
        <w:t>(</w:t>
      </w:r>
      <w:r w:rsidR="00C94A9F">
        <w:t>1</w:t>
      </w:r>
      <w:r w:rsidR="00E8786E">
        <w:t>)</w:t>
      </w:r>
      <w:r w:rsidR="00C94A9F">
        <w:t xml:space="preserve">) is complemented with the esterification of </w:t>
      </w:r>
      <w:r w:rsidR="00CF5FEB">
        <w:t>acetic acid (</w:t>
      </w:r>
      <w:r w:rsidR="00E8786E">
        <w:t>Eq (</w:t>
      </w:r>
      <w:r w:rsidR="00CF5FEB">
        <w:t>2</w:t>
      </w:r>
      <w:r w:rsidR="00E8786E">
        <w:t>)</w:t>
      </w:r>
      <w:r w:rsidR="00CF5FEB">
        <w:t>), and the hydrolysis of acetic anhydride (</w:t>
      </w:r>
      <w:r w:rsidR="00E8786E">
        <w:t>Eq (</w:t>
      </w:r>
      <w:r w:rsidR="00CF5FEB">
        <w:t>3</w:t>
      </w:r>
      <w:r w:rsidR="00E8786E">
        <w:t>)</w:t>
      </w:r>
      <w:r w:rsidR="00CF5FEB">
        <w:t>). A</w:t>
      </w:r>
      <w:r w:rsidR="00E97E10">
        <w:t xml:space="preserve">s written, the reactions are all exothermic and contribute to the exothermicity of the process. </w:t>
      </w:r>
      <w:r w:rsidR="00E8786E">
        <w:t xml:space="preserve">Eq </w:t>
      </w:r>
      <w:r w:rsidR="00E97E10">
        <w:t xml:space="preserve">(1) and </w:t>
      </w:r>
      <w:r w:rsidR="00E8786E">
        <w:t xml:space="preserve">Eq </w:t>
      </w:r>
      <w:r w:rsidR="00E97E10">
        <w:t>(3) are considered to be irreversible due to the large (negative) Gibbs free energy of reaction at common temperatures for the process (</w:t>
      </w:r>
      <w:r w:rsidR="006B0523">
        <w:t xml:space="preserve">-10 – 25 </w:t>
      </w:r>
      <w:r w:rsidR="00E97E10">
        <w:t>°C)</w:t>
      </w:r>
      <w:r w:rsidR="00FA71F3">
        <w:t>.</w:t>
      </w:r>
      <w:r w:rsidR="00577B88">
        <w:t xml:space="preserve"> </w:t>
      </w:r>
      <w:r w:rsidR="00FA71F3">
        <w:t xml:space="preserve">Instead, </w:t>
      </w:r>
      <w:r w:rsidR="00E8786E">
        <w:t xml:space="preserve">Eq </w:t>
      </w:r>
      <w:r w:rsidR="00E97E10">
        <w:t>(2) is considered to be reversible as the reaction Gibbs energy is small</w:t>
      </w:r>
      <w:r w:rsidR="00FA71F3">
        <w:t xml:space="preserve"> and positive</w:t>
      </w:r>
      <w:r w:rsidR="00E97E10">
        <w:t xml:space="preserve"> </w:t>
      </w:r>
      <w:r w:rsidR="006B0523">
        <w:t>(</w:t>
      </w:r>
      <w:r w:rsidR="00E97E10">
        <w:t>NIST</w:t>
      </w:r>
      <w:r w:rsidR="006B0523">
        <w:t>)</w:t>
      </w:r>
      <w:r w:rsidR="00E97E10">
        <w:t>.</w:t>
      </w:r>
      <w:r w:rsidR="00577B88">
        <w:t xml:space="preserve"> The catalytic effect of weak acids (</w:t>
      </w:r>
      <w:r w:rsidR="00577B88" w:rsidRPr="00C94A9F">
        <w:rPr>
          <w:i/>
          <w:iCs/>
        </w:rPr>
        <w:t>i.e.</w:t>
      </w:r>
      <w:r w:rsidR="00577B88">
        <w:t xml:space="preserve">, acetic acid) will be neglected and only the catalysis of sulfuric acid will be considered. All reactions rates are modelled using a power law, where the reaction order is unitary for reagents and sulfuric acid, </w:t>
      </w:r>
      <w:r w:rsidR="00EC6705">
        <w:t>while it is</w:t>
      </w:r>
      <w:r w:rsidR="00577B88">
        <w:t xml:space="preserve"> null for products</w:t>
      </w:r>
      <w:r w:rsidR="00D549F5">
        <w:t xml:space="preserve">; each reaction rate, </w:t>
      </w:r>
      <m:oMath>
        <m:sSub>
          <m:sSubPr>
            <m:ctrlPr>
              <w:rPr>
                <w:rFonts w:ascii="Cambria Math" w:hAnsi="Cambria Math"/>
                <w:i/>
              </w:rPr>
            </m:ctrlPr>
          </m:sSubPr>
          <m:e>
            <m:r>
              <w:rPr>
                <w:rFonts w:ascii="Cambria Math" w:hAnsi="Cambria Math"/>
              </w:rPr>
              <m:t>r</m:t>
            </m:r>
          </m:e>
          <m:sub>
            <m:r>
              <w:rPr>
                <w:rFonts w:ascii="Cambria Math" w:hAnsi="Cambria Math"/>
              </w:rPr>
              <m:t>j</m:t>
            </m:r>
          </m:sub>
        </m:sSub>
      </m:oMath>
      <w:r w:rsidR="00D549F5">
        <w:t xml:space="preserve">, is characterized by a kinetic constant </w:t>
      </w:r>
      <m:oMath>
        <m:sSub>
          <m:sSubPr>
            <m:ctrlPr>
              <w:rPr>
                <w:rFonts w:ascii="Cambria Math" w:hAnsi="Cambria Math"/>
                <w:i/>
              </w:rPr>
            </m:ctrlPr>
          </m:sSubPr>
          <m:e>
            <m:r>
              <w:rPr>
                <w:rFonts w:ascii="Cambria Math" w:hAnsi="Cambria Math"/>
              </w:rPr>
              <m:t>k</m:t>
            </m:r>
          </m:e>
          <m:sub>
            <m:r>
              <w:rPr>
                <w:rFonts w:ascii="Cambria Math" w:hAnsi="Cambria Math"/>
              </w:rPr>
              <m:t>j</m:t>
            </m:r>
          </m:sub>
        </m:sSub>
      </m:oMath>
      <w:r w:rsidR="00D549F5">
        <w:t xml:space="preserve"> described by an Arrhenius’ law.</w:t>
      </w:r>
      <w:r w:rsidR="00EC6705">
        <w:t xml:space="preserve"> </w:t>
      </w:r>
      <w:r w:rsidR="00D549F5">
        <w:t>C</w:t>
      </w:r>
      <w:r w:rsidR="00EC6705">
        <w:t>onsequently, all reactions are overall third order or they can be considered first order with respect to the reagents (overall second order) but with a kinetic constant that is dependent on the concentration of sulfuric acid. The uncatalyzed reactions happening in the system are neglected.</w:t>
      </w:r>
    </w:p>
    <w:p w14:paraId="6AAD71C2" w14:textId="77777777" w:rsidR="004B34B4" w:rsidRDefault="00FC7B19" w:rsidP="004C2FC3">
      <w:pPr>
        <w:pStyle w:val="CETBodytext"/>
      </w:pPr>
      <w:r>
        <w:t xml:space="preserve">The kinetic constants (pre-exponential factor and activation energies) of the four reactions can be found via fitting of experimental data. </w:t>
      </w:r>
      <w:r w:rsidR="00FA71F3">
        <w:t>Given the formation enthalpies, the Gibbs free energy of formation</w:t>
      </w:r>
      <w:r w:rsidR="008518AF">
        <w:t xml:space="preserve"> </w:t>
      </w:r>
      <w:r w:rsidR="004F5372">
        <w:t>(</w:t>
      </w:r>
      <w:r w:rsidR="008518AF">
        <w:t>NIST</w:t>
      </w:r>
      <w:r w:rsidR="004F5372">
        <w:t>)</w:t>
      </w:r>
      <w:r w:rsidR="00FA71F3">
        <w:t>, and the specific heat capacities (described via polynomial functions of temperature</w:t>
      </w:r>
      <w:r w:rsidR="004F5372">
        <w:t xml:space="preserve"> as detailed in </w:t>
      </w:r>
      <w:r w:rsidR="004B34B4">
        <w:t>Green</w:t>
      </w:r>
      <w:r w:rsidR="004F5372">
        <w:t xml:space="preserve"> et. al </w:t>
      </w:r>
      <w:r w:rsidR="004B34B4">
        <w:t>(2019)</w:t>
      </w:r>
      <w:r w:rsidR="00FA71F3">
        <w:t>) of the species involved, it is possible to establish a relationship between the forward and backward reactions (2) using the Van’t Hoff and Kir</w:t>
      </w:r>
      <w:r w:rsidR="00F904B4">
        <w:t>c</w:t>
      </w:r>
      <w:r w:rsidR="00FA71F3">
        <w:t>hhoff</w:t>
      </w:r>
      <w:r w:rsidR="00F904B4">
        <w:t>’s</w:t>
      </w:r>
      <w:r w:rsidR="00FA71F3">
        <w:t xml:space="preserve"> </w:t>
      </w:r>
      <w:r w:rsidR="00F904B4">
        <w:t>laws</w:t>
      </w:r>
      <w:r>
        <w:t>.</w:t>
      </w:r>
      <w:r w:rsidR="001826AC">
        <w:t xml:space="preserve"> </w:t>
      </w:r>
    </w:p>
    <w:p w14:paraId="5A8214C7" w14:textId="6DA84008" w:rsidR="004C2FC3" w:rsidRDefault="00FC7B19" w:rsidP="004C2FC3">
      <w:pPr>
        <w:pStyle w:val="CETBodytext"/>
      </w:pPr>
      <w:r>
        <w:t>I</w:t>
      </w:r>
      <w:r w:rsidR="001826AC">
        <w:t>n particular</w:t>
      </w:r>
      <w:r w:rsidR="00906FDE">
        <w:t>,</w:t>
      </w:r>
      <w:r>
        <w:t xml:space="preserve"> the ratio between the two kinetic constants can be found as a function of temperature:</w:t>
      </w:r>
      <w:r w:rsidR="001826AC">
        <w:t xml:space="preserve"> </w:t>
      </w:r>
      <m:oMath>
        <m:f>
          <m:fPr>
            <m:type m:val="lin"/>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2+</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=1.36⋅</m:t>
        </m:r>
        <m:sSup>
          <m:sSupPr>
            <m:ctrlPr>
              <w:rPr>
                <w:rFonts w:ascii="Cambria Math" w:hAnsi="Cambria Math"/>
                <w:i/>
              </w:rPr>
            </m:ctrlPr>
          </m:sSupPr>
          <m:e>
            <m:r>
              <w:rPr>
                <w:rFonts w:ascii="Cambria Math" w:hAnsi="Cambria Math"/>
              </w:rPr>
              <m:t>10</m:t>
            </m:r>
          </m:e>
          <m:sup>
            <m:r>
              <w:rPr>
                <w:rFonts w:ascii="Cambria Math" w:hAnsi="Cambria Math"/>
              </w:rPr>
              <m:t>-2</m:t>
            </m:r>
          </m:sup>
        </m:sSup>
        <m:r>
          <m:rPr>
            <m:sty m:val="p"/>
          </m:rPr>
          <w:rPr>
            <w:rFonts w:ascii="Cambria Math" w:hAnsi="Cambria Math"/>
          </w:rPr>
          <m:t>exp⁡</m:t>
        </m:r>
        <m:r>
          <w:rPr>
            <w:rFonts w:ascii="Cambria Math" w:hAnsi="Cambria Math"/>
          </w:rPr>
          <m:t>(</m:t>
        </m:r>
        <m:f>
          <m:fPr>
            <m:type m:val="lin"/>
            <m:ctrlPr>
              <w:rPr>
                <w:rFonts w:ascii="Cambria Math" w:hAnsi="Cambria Math"/>
                <w:i/>
              </w:rPr>
            </m:ctrlPr>
          </m:fPr>
          <m:num>
            <m:r>
              <w:rPr>
                <w:rFonts w:ascii="Cambria Math" w:hAnsi="Cambria Math"/>
              </w:rPr>
              <m:t>959</m:t>
            </m:r>
          </m:num>
          <m:den>
            <m:r>
              <w:rPr>
                <w:rFonts w:ascii="Cambria Math" w:hAnsi="Cambria Math"/>
              </w:rPr>
              <m:t>T</m:t>
            </m:r>
            <m:d>
              <m:dPr>
                <m:begChr m:val="["/>
                <m:endChr m:val="]"/>
                <m:ctrlPr>
                  <w:rPr>
                    <w:rFonts w:ascii="Cambria Math" w:hAnsi="Cambria Math"/>
                    <w:i/>
                  </w:rPr>
                </m:ctrlPr>
              </m:dPr>
              <m:e>
                <m:r>
                  <w:rPr>
                    <w:rFonts w:ascii="Cambria Math" w:hAnsi="Cambria Math"/>
                  </w:rPr>
                  <m:t>K</m:t>
                </m:r>
              </m:e>
            </m:d>
          </m:den>
        </m:f>
        <m:r>
          <w:rPr>
            <w:rFonts w:ascii="Cambria Math" w:hAnsi="Cambria Math"/>
          </w:rPr>
          <m:t>)</m:t>
        </m:r>
      </m:oMath>
      <w:r>
        <w:t xml:space="preserve">, which shows that </w:t>
      </w:r>
      <w:r w:rsidR="00061DF5">
        <w:t>the backward reaction is always thermodynamically favored with respect to the forward reaction (2) for all standard process temperatures</w:t>
      </w:r>
      <w:r>
        <w:t>.</w:t>
      </w:r>
      <w:r w:rsidR="00906FDE">
        <w:t xml:space="preserve"> This relationship will be used as a constrain on the experimental data fitting for the determination of the unknown</w:t>
      </w:r>
      <w:r w:rsidR="008518AF">
        <w:t xml:space="preserve"> kinetic</w:t>
      </w:r>
      <w:r w:rsidR="00906FDE">
        <w:t xml:space="preserve"> parameters.</w:t>
      </w:r>
    </w:p>
    <w:p w14:paraId="1BF1FBEC" w14:textId="2B74A2E5" w:rsidR="005E10C8" w:rsidRDefault="000D570F" w:rsidP="004C2FC3">
      <w:pPr>
        <w:pStyle w:val="CETBodytext"/>
      </w:pPr>
      <w:r>
        <w:t>E</w:t>
      </w:r>
      <w:r w:rsidR="008518AF">
        <w:t xml:space="preserve">xperimental data </w:t>
      </w:r>
      <w:r>
        <w:t>were collected using</w:t>
      </w:r>
      <w:r w:rsidR="008518AF">
        <w:t xml:space="preserve"> three recipes, </w:t>
      </w:r>
      <w:r w:rsidR="00F11EF7">
        <w:t xml:space="preserve">attempting to decouple the reactions, as </w:t>
      </w:r>
      <w:r w:rsidR="00E8786E">
        <w:t xml:space="preserve">Eq </w:t>
      </w:r>
      <w:r w:rsidR="00F11EF7">
        <w:t xml:space="preserve">(1) triggers </w:t>
      </w:r>
      <w:r w:rsidR="00E8786E">
        <w:t xml:space="preserve">Eq </w:t>
      </w:r>
      <w:r w:rsidR="00F11EF7">
        <w:t xml:space="preserve">(2) and (3), but </w:t>
      </w:r>
      <w:r w:rsidR="00E8786E">
        <w:t xml:space="preserve">Eq </w:t>
      </w:r>
      <w:r w:rsidR="00F11EF7">
        <w:t xml:space="preserve">(2) alone does not trigger </w:t>
      </w:r>
      <w:r w:rsidR="00E8786E">
        <w:t xml:space="preserve">Eq </w:t>
      </w:r>
      <w:r w:rsidR="00F11EF7">
        <w:t xml:space="preserve">(1) and (3). </w:t>
      </w:r>
      <w:r w:rsidR="009263E3">
        <w:t>The reaction</w:t>
      </w:r>
      <w:r w:rsidR="006172E5">
        <w:t>s</w:t>
      </w:r>
      <w:r w:rsidR="009263E3">
        <w:t xml:space="preserve"> were run both under isoperibolic and isothermal conditions</w:t>
      </w:r>
      <w:r w:rsidR="00F026E2">
        <w:t xml:space="preserve"> in reactors having volumes of 500 mL and 1 L</w:t>
      </w:r>
      <w:r w:rsidR="009263E3">
        <w:t xml:space="preserve">. </w:t>
      </w:r>
    </w:p>
    <w:p w14:paraId="07E03762" w14:textId="125E457D" w:rsidR="00817A32" w:rsidRDefault="00F11EF7" w:rsidP="004C2FC3">
      <w:pPr>
        <w:pStyle w:val="CETBodytext"/>
      </w:pPr>
      <w:r>
        <w:t>Table 1</w:t>
      </w:r>
      <w:r w:rsidR="009263E3">
        <w:t xml:space="preserve"> reports the </w:t>
      </w:r>
      <w:r w:rsidR="00817A32">
        <w:t xml:space="preserve">recipes </w:t>
      </w:r>
      <w:r w:rsidR="009263E3">
        <w:t>of the three experiments</w:t>
      </w:r>
      <w:r w:rsidR="00F026E2">
        <w:t>, indicating which species w</w:t>
      </w:r>
      <w:r w:rsidR="00817A32">
        <w:t>ere</w:t>
      </w:r>
      <w:r w:rsidR="00F026E2">
        <w:t xml:space="preserve"> fed and the temperature mode of operation (isoperibolic/isothermal)</w:t>
      </w:r>
      <w:r w:rsidR="009263E3">
        <w:t>.</w:t>
      </w:r>
      <w:r w:rsidR="00F026E2">
        <w:t xml:space="preserve"> </w:t>
      </w:r>
    </w:p>
    <w:p w14:paraId="1ADF1A33" w14:textId="6280F267" w:rsidR="00817A32" w:rsidRDefault="00817A32" w:rsidP="004C2FC3">
      <w:pPr>
        <w:pStyle w:val="CETBodytext"/>
      </w:pPr>
      <w:r>
        <w:t>Such tests will be used to fit the kinetic expressions of Eq (1), Eq (2) and Eq (3).</w:t>
      </w:r>
    </w:p>
    <w:p w14:paraId="06B7A0D5" w14:textId="056550F2" w:rsidR="008518AF" w:rsidRDefault="00F026E2" w:rsidP="004C2FC3">
      <w:pPr>
        <w:pStyle w:val="CETBodytext"/>
      </w:pPr>
      <w:r>
        <w:lastRenderedPageBreak/>
        <w:t>Acetic anhydride (&gt;</w:t>
      </w:r>
      <w:r w:rsidR="00507910">
        <w:t xml:space="preserve"> </w:t>
      </w:r>
      <w:r>
        <w:t>99%), methanol (&gt;</w:t>
      </w:r>
      <w:r w:rsidR="00507910">
        <w:t xml:space="preserve"> </w:t>
      </w:r>
      <w:r>
        <w:t>99.9 %), acetic acid (</w:t>
      </w:r>
      <w:r w:rsidR="00507910">
        <w:t xml:space="preserve">&gt; 99 %), and </w:t>
      </w:r>
      <w:r w:rsidR="00AB4065">
        <w:t xml:space="preserve">concentrated </w:t>
      </w:r>
      <w:r w:rsidR="00507910">
        <w:t>sulfuric acid (9</w:t>
      </w:r>
      <w:r w:rsidR="00A64924">
        <w:t>7</w:t>
      </w:r>
      <w:r w:rsidR="00507910">
        <w:t>%)</w:t>
      </w:r>
      <w:r>
        <w:t xml:space="preserve"> were purchased from Sigma Aldrich and used</w:t>
      </w:r>
      <w:r w:rsidR="00507910">
        <w:t xml:space="preserve"> without further purification.</w:t>
      </w:r>
    </w:p>
    <w:p w14:paraId="0DB26E6E" w14:textId="6DD24B7B" w:rsidR="00F11EF7" w:rsidRPr="00B57B36" w:rsidRDefault="00F11EF7" w:rsidP="00F11EF7">
      <w:pPr>
        <w:pStyle w:val="CETTabletitle"/>
      </w:pPr>
      <w:r w:rsidRPr="00B57B36">
        <w:t xml:space="preserve">Table 1: </w:t>
      </w:r>
      <w:r>
        <w:t>Parameters of the experimental tests.</w:t>
      </w:r>
      <w:r w:rsidR="009263E3">
        <w:t xml:space="preserve"> The symbol * on the mass indicates that the species was fed</w:t>
      </w:r>
      <w:r w:rsidR="009F7B23">
        <w:t>; (J) beside the temperature indicates isoperibolic conditions, while (R) indicates isothermal conditions.</w:t>
      </w:r>
    </w:p>
    <w:tbl>
      <w:tblPr>
        <w:tblW w:w="816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7"/>
        <w:gridCol w:w="1417"/>
        <w:gridCol w:w="1417"/>
        <w:gridCol w:w="1417"/>
        <w:gridCol w:w="1417"/>
        <w:gridCol w:w="1134"/>
        <w:gridCol w:w="964"/>
      </w:tblGrid>
      <w:tr w:rsidR="009F7B23" w:rsidRPr="00B57B36" w14:paraId="5C0A3762" w14:textId="783FD56B" w:rsidTr="004323A3">
        <w:tc>
          <w:tcPr>
            <w:tcW w:w="397" w:type="dxa"/>
            <w:tcBorders>
              <w:top w:val="single" w:sz="12" w:space="0" w:color="008000"/>
              <w:bottom w:val="single" w:sz="6" w:space="0" w:color="008000"/>
            </w:tcBorders>
            <w:shd w:val="clear" w:color="auto" w:fill="FFFFFF"/>
          </w:tcPr>
          <w:p w14:paraId="77CF7853" w14:textId="1712786F" w:rsidR="009F7B23" w:rsidRDefault="009F7B23" w:rsidP="00866973">
            <w:pPr>
              <w:pStyle w:val="CETBodytext"/>
              <w:rPr>
                <w:lang w:val="en-GB"/>
              </w:rPr>
            </w:pPr>
            <w:r>
              <w:rPr>
                <w:lang w:val="en-GB"/>
              </w:rPr>
              <w:t>Exp</w:t>
            </w:r>
          </w:p>
        </w:tc>
        <w:tc>
          <w:tcPr>
            <w:tcW w:w="1417" w:type="dxa"/>
            <w:tcBorders>
              <w:top w:val="single" w:sz="12" w:space="0" w:color="008000"/>
              <w:bottom w:val="single" w:sz="6" w:space="0" w:color="008000"/>
            </w:tcBorders>
            <w:shd w:val="clear" w:color="auto" w:fill="FFFFFF"/>
          </w:tcPr>
          <w:p w14:paraId="05035079" w14:textId="7A505B67" w:rsidR="009F7B23" w:rsidRDefault="009F7B23" w:rsidP="00866973">
            <w:pPr>
              <w:pStyle w:val="CETBodytext"/>
              <w:rPr>
                <w:lang w:val="en-GB"/>
              </w:rPr>
            </w:pPr>
            <w:r>
              <w:rPr>
                <w:lang w:val="en-GB"/>
              </w:rPr>
              <w:t>Acetic anhydride</w:t>
            </w:r>
          </w:p>
          <w:p w14:paraId="1143334D" w14:textId="7C48842B" w:rsidR="009F7B23" w:rsidRPr="00B57B36" w:rsidRDefault="009F7B23" w:rsidP="00866973">
            <w:pPr>
              <w:pStyle w:val="CETBodytext"/>
              <w:rPr>
                <w:lang w:val="en-GB"/>
              </w:rPr>
            </w:pPr>
            <w:r>
              <w:rPr>
                <w:lang w:val="en-GB"/>
              </w:rPr>
              <w:t>[g]</w:t>
            </w:r>
          </w:p>
        </w:tc>
        <w:tc>
          <w:tcPr>
            <w:tcW w:w="1417" w:type="dxa"/>
            <w:tcBorders>
              <w:top w:val="single" w:sz="12" w:space="0" w:color="008000"/>
              <w:bottom w:val="single" w:sz="6" w:space="0" w:color="008000"/>
            </w:tcBorders>
            <w:shd w:val="clear" w:color="auto" w:fill="FFFFFF"/>
          </w:tcPr>
          <w:p w14:paraId="184B9ADE" w14:textId="77777777" w:rsidR="009F7B23" w:rsidRDefault="009F7B23" w:rsidP="00866973">
            <w:pPr>
              <w:pStyle w:val="CETBodytext"/>
              <w:rPr>
                <w:lang w:val="en-GB"/>
              </w:rPr>
            </w:pPr>
            <w:r>
              <w:rPr>
                <w:lang w:val="en-GB"/>
              </w:rPr>
              <w:t>Methanol</w:t>
            </w:r>
          </w:p>
          <w:p w14:paraId="5A13D36F" w14:textId="1ABB2372" w:rsidR="009F7B23" w:rsidRPr="00B57B36" w:rsidRDefault="009F7B23" w:rsidP="00866973">
            <w:pPr>
              <w:pStyle w:val="CETBodytext"/>
              <w:rPr>
                <w:lang w:val="en-GB"/>
              </w:rPr>
            </w:pPr>
            <w:r>
              <w:rPr>
                <w:lang w:val="en-GB"/>
              </w:rPr>
              <w:t>[g]</w:t>
            </w:r>
          </w:p>
        </w:tc>
        <w:tc>
          <w:tcPr>
            <w:tcW w:w="1417" w:type="dxa"/>
            <w:tcBorders>
              <w:top w:val="single" w:sz="12" w:space="0" w:color="008000"/>
              <w:bottom w:val="single" w:sz="6" w:space="0" w:color="008000"/>
            </w:tcBorders>
            <w:shd w:val="clear" w:color="auto" w:fill="FFFFFF"/>
          </w:tcPr>
          <w:p w14:paraId="07CDA40E" w14:textId="77777777" w:rsidR="009F7B23" w:rsidRDefault="009F7B23" w:rsidP="00866973">
            <w:pPr>
              <w:pStyle w:val="CETBodytext"/>
              <w:rPr>
                <w:lang w:val="en-GB"/>
              </w:rPr>
            </w:pPr>
            <w:r>
              <w:rPr>
                <w:lang w:val="en-GB"/>
              </w:rPr>
              <w:t>Acetic acid</w:t>
            </w:r>
          </w:p>
          <w:p w14:paraId="45A32796" w14:textId="18A83388" w:rsidR="009F7B23" w:rsidRPr="00B57B36" w:rsidRDefault="009F7B23" w:rsidP="00866973">
            <w:pPr>
              <w:pStyle w:val="CETBodytext"/>
              <w:rPr>
                <w:lang w:val="en-GB"/>
              </w:rPr>
            </w:pPr>
            <w:r>
              <w:rPr>
                <w:lang w:val="en-GB"/>
              </w:rPr>
              <w:t>[g]</w:t>
            </w:r>
          </w:p>
        </w:tc>
        <w:tc>
          <w:tcPr>
            <w:tcW w:w="1417" w:type="dxa"/>
            <w:tcBorders>
              <w:top w:val="single" w:sz="12" w:space="0" w:color="008000"/>
              <w:bottom w:val="single" w:sz="6" w:space="0" w:color="008000"/>
            </w:tcBorders>
            <w:shd w:val="clear" w:color="auto" w:fill="FFFFFF"/>
          </w:tcPr>
          <w:p w14:paraId="19BDFD45" w14:textId="77777777" w:rsidR="009F7B23" w:rsidRDefault="009F7B23" w:rsidP="00866973">
            <w:pPr>
              <w:pStyle w:val="CETBodytext"/>
              <w:ind w:right="-1"/>
              <w:rPr>
                <w:rFonts w:cs="Arial"/>
                <w:szCs w:val="18"/>
                <w:lang w:val="en-GB"/>
              </w:rPr>
            </w:pPr>
            <w:r>
              <w:rPr>
                <w:rFonts w:cs="Arial"/>
                <w:szCs w:val="18"/>
                <w:lang w:val="en-GB"/>
              </w:rPr>
              <w:t>Sulfuric acid</w:t>
            </w:r>
          </w:p>
          <w:p w14:paraId="1F326C4D" w14:textId="6DF2E166" w:rsidR="009F7B23" w:rsidRPr="00B57B36" w:rsidRDefault="009F7B23" w:rsidP="00866973">
            <w:pPr>
              <w:pStyle w:val="CETBodytext"/>
              <w:ind w:right="-1"/>
              <w:rPr>
                <w:rFonts w:cs="Arial"/>
                <w:szCs w:val="18"/>
                <w:lang w:val="en-GB"/>
              </w:rPr>
            </w:pPr>
            <w:r>
              <w:rPr>
                <w:lang w:val="en-GB"/>
              </w:rPr>
              <w:t>[g]</w:t>
            </w:r>
          </w:p>
        </w:tc>
        <w:tc>
          <w:tcPr>
            <w:tcW w:w="1134" w:type="dxa"/>
            <w:tcBorders>
              <w:top w:val="single" w:sz="12" w:space="0" w:color="008000"/>
              <w:bottom w:val="single" w:sz="6" w:space="0" w:color="008000"/>
            </w:tcBorders>
            <w:shd w:val="clear" w:color="auto" w:fill="FFFFFF"/>
          </w:tcPr>
          <w:p w14:paraId="6EADBC72" w14:textId="77777777" w:rsidR="009F7B23" w:rsidRDefault="009F7B23" w:rsidP="00866973">
            <w:pPr>
              <w:pStyle w:val="CETBodytext"/>
              <w:ind w:right="-1"/>
              <w:rPr>
                <w:rFonts w:cs="Arial"/>
                <w:szCs w:val="18"/>
                <w:lang w:val="en-GB"/>
              </w:rPr>
            </w:pPr>
            <w:r>
              <w:rPr>
                <w:rFonts w:cs="Arial"/>
                <w:szCs w:val="18"/>
                <w:lang w:val="en-GB"/>
              </w:rPr>
              <w:t>Temperature</w:t>
            </w:r>
          </w:p>
          <w:p w14:paraId="4A1AEADD" w14:textId="1AE56DB0" w:rsidR="009F7B23" w:rsidRDefault="009F7B23" w:rsidP="00866973">
            <w:pPr>
              <w:pStyle w:val="CETBodytext"/>
              <w:ind w:right="-1"/>
              <w:rPr>
                <w:rFonts w:cs="Arial"/>
                <w:szCs w:val="18"/>
                <w:lang w:val="en-GB"/>
              </w:rPr>
            </w:pPr>
            <w:r>
              <w:rPr>
                <w:rFonts w:cs="Arial"/>
                <w:szCs w:val="18"/>
                <w:lang w:val="en-GB"/>
              </w:rPr>
              <w:t>[°C]</w:t>
            </w:r>
          </w:p>
        </w:tc>
        <w:tc>
          <w:tcPr>
            <w:tcW w:w="964" w:type="dxa"/>
            <w:tcBorders>
              <w:top w:val="single" w:sz="12" w:space="0" w:color="008000"/>
              <w:bottom w:val="single" w:sz="6" w:space="0" w:color="008000"/>
            </w:tcBorders>
            <w:shd w:val="clear" w:color="auto" w:fill="FFFFFF"/>
          </w:tcPr>
          <w:p w14:paraId="036D7511" w14:textId="77777777" w:rsidR="009F7B23" w:rsidRDefault="009F7B23" w:rsidP="00866973">
            <w:pPr>
              <w:pStyle w:val="CETBodytext"/>
              <w:ind w:right="-1"/>
              <w:rPr>
                <w:rFonts w:cs="Arial"/>
                <w:szCs w:val="18"/>
                <w:lang w:val="en-GB"/>
              </w:rPr>
            </w:pPr>
            <w:r>
              <w:rPr>
                <w:rFonts w:cs="Arial"/>
                <w:szCs w:val="18"/>
                <w:lang w:val="en-GB"/>
              </w:rPr>
              <w:t>Feed time</w:t>
            </w:r>
          </w:p>
          <w:p w14:paraId="43EB60C8" w14:textId="586DB2B3" w:rsidR="009F7B23" w:rsidRDefault="009F7B23" w:rsidP="00866973">
            <w:pPr>
              <w:pStyle w:val="CETBodytext"/>
              <w:ind w:right="-1"/>
              <w:rPr>
                <w:rFonts w:cs="Arial"/>
                <w:szCs w:val="18"/>
                <w:lang w:val="en-GB"/>
              </w:rPr>
            </w:pPr>
            <w:r>
              <w:rPr>
                <w:rFonts w:cs="Arial"/>
                <w:szCs w:val="18"/>
                <w:lang w:val="en-GB"/>
              </w:rPr>
              <w:t>[s]</w:t>
            </w:r>
          </w:p>
        </w:tc>
      </w:tr>
      <w:tr w:rsidR="009F7B23" w:rsidRPr="00B57B36" w14:paraId="5403D323" w14:textId="37ECBCB0" w:rsidTr="004323A3">
        <w:tc>
          <w:tcPr>
            <w:tcW w:w="397" w:type="dxa"/>
            <w:shd w:val="clear" w:color="auto" w:fill="FFFFFF"/>
          </w:tcPr>
          <w:p w14:paraId="7CC37BD7" w14:textId="3AA2FEF6" w:rsidR="009F7B23" w:rsidRPr="00B57B36" w:rsidRDefault="009F7B23" w:rsidP="00866973">
            <w:pPr>
              <w:pStyle w:val="CETBodytext"/>
              <w:rPr>
                <w:lang w:val="en-GB"/>
              </w:rPr>
            </w:pPr>
            <w:r>
              <w:rPr>
                <w:lang w:val="en-GB"/>
              </w:rPr>
              <w:t>1</w:t>
            </w:r>
          </w:p>
        </w:tc>
        <w:tc>
          <w:tcPr>
            <w:tcW w:w="1417" w:type="dxa"/>
            <w:shd w:val="clear" w:color="auto" w:fill="FFFFFF"/>
          </w:tcPr>
          <w:p w14:paraId="0EFB8CD6" w14:textId="3EBBBECA" w:rsidR="009F7B23" w:rsidRPr="00B57B36" w:rsidRDefault="009F7B23" w:rsidP="00866973">
            <w:pPr>
              <w:pStyle w:val="CETBodytext"/>
              <w:rPr>
                <w:lang w:val="en-GB"/>
              </w:rPr>
            </w:pPr>
            <w:r>
              <w:rPr>
                <w:lang w:val="en-GB"/>
              </w:rPr>
              <w:t>55.0 *</w:t>
            </w:r>
          </w:p>
        </w:tc>
        <w:tc>
          <w:tcPr>
            <w:tcW w:w="1417" w:type="dxa"/>
            <w:shd w:val="clear" w:color="auto" w:fill="FFFFFF"/>
          </w:tcPr>
          <w:p w14:paraId="6356A63C" w14:textId="7DD43B37" w:rsidR="009F7B23" w:rsidRPr="00B57B36" w:rsidRDefault="009F7B23" w:rsidP="00866973">
            <w:pPr>
              <w:pStyle w:val="CETBodytext"/>
              <w:rPr>
                <w:lang w:val="en-GB"/>
              </w:rPr>
            </w:pPr>
            <w:r>
              <w:rPr>
                <w:lang w:val="en-GB"/>
              </w:rPr>
              <w:t>150.0</w:t>
            </w:r>
          </w:p>
        </w:tc>
        <w:tc>
          <w:tcPr>
            <w:tcW w:w="1417" w:type="dxa"/>
            <w:shd w:val="clear" w:color="auto" w:fill="FFFFFF"/>
          </w:tcPr>
          <w:p w14:paraId="0E344A5B" w14:textId="107577EE" w:rsidR="009F7B23" w:rsidRPr="00B57B36" w:rsidRDefault="009F7B23" w:rsidP="00866973">
            <w:pPr>
              <w:pStyle w:val="CETBodytext"/>
              <w:rPr>
                <w:lang w:val="en-GB"/>
              </w:rPr>
            </w:pPr>
            <w:r>
              <w:rPr>
                <w:lang w:val="en-GB"/>
              </w:rPr>
              <w:t>0</w:t>
            </w:r>
          </w:p>
        </w:tc>
        <w:tc>
          <w:tcPr>
            <w:tcW w:w="1417" w:type="dxa"/>
            <w:shd w:val="clear" w:color="auto" w:fill="FFFFFF"/>
          </w:tcPr>
          <w:p w14:paraId="07153085" w14:textId="6CE6E81F" w:rsidR="009F7B23" w:rsidRPr="00B57B36" w:rsidRDefault="009F7B23" w:rsidP="00866973">
            <w:pPr>
              <w:pStyle w:val="CETBodytext"/>
              <w:ind w:right="-1"/>
              <w:rPr>
                <w:rFonts w:cs="Arial"/>
                <w:szCs w:val="18"/>
                <w:lang w:val="en-GB"/>
              </w:rPr>
            </w:pPr>
            <w:r>
              <w:rPr>
                <w:rFonts w:cs="Arial"/>
                <w:szCs w:val="18"/>
                <w:lang w:val="en-GB"/>
              </w:rPr>
              <w:t>0.47</w:t>
            </w:r>
          </w:p>
        </w:tc>
        <w:tc>
          <w:tcPr>
            <w:tcW w:w="1134" w:type="dxa"/>
            <w:shd w:val="clear" w:color="auto" w:fill="FFFFFF"/>
          </w:tcPr>
          <w:p w14:paraId="6FEBC124" w14:textId="11162775" w:rsidR="009F7B23" w:rsidRPr="00B57B36" w:rsidRDefault="009F7B23" w:rsidP="00866973">
            <w:pPr>
              <w:pStyle w:val="CETBodytext"/>
              <w:ind w:right="-1"/>
              <w:rPr>
                <w:rFonts w:cs="Arial"/>
                <w:szCs w:val="18"/>
                <w:lang w:val="en-GB"/>
              </w:rPr>
            </w:pPr>
            <w:r>
              <w:rPr>
                <w:rFonts w:cs="Arial"/>
                <w:szCs w:val="18"/>
                <w:lang w:val="en-GB"/>
              </w:rPr>
              <w:t>20 (J)</w:t>
            </w:r>
          </w:p>
        </w:tc>
        <w:tc>
          <w:tcPr>
            <w:tcW w:w="964" w:type="dxa"/>
            <w:shd w:val="clear" w:color="auto" w:fill="FFFFFF"/>
          </w:tcPr>
          <w:p w14:paraId="100F7239" w14:textId="19F45C6B" w:rsidR="009F7B23" w:rsidRPr="00B57B36" w:rsidRDefault="009F7B23" w:rsidP="00866973">
            <w:pPr>
              <w:pStyle w:val="CETBodytext"/>
              <w:ind w:right="-1"/>
              <w:rPr>
                <w:rFonts w:cs="Arial"/>
                <w:szCs w:val="18"/>
                <w:lang w:val="en-GB"/>
              </w:rPr>
            </w:pPr>
            <w:r>
              <w:rPr>
                <w:rFonts w:cs="Arial"/>
                <w:szCs w:val="18"/>
                <w:lang w:val="en-GB"/>
              </w:rPr>
              <w:t>9</w:t>
            </w:r>
          </w:p>
        </w:tc>
      </w:tr>
      <w:tr w:rsidR="009F7B23" w:rsidRPr="00B57B36" w14:paraId="59E99DF5" w14:textId="3B9DB6B8" w:rsidTr="004323A3">
        <w:tc>
          <w:tcPr>
            <w:tcW w:w="397" w:type="dxa"/>
            <w:shd w:val="clear" w:color="auto" w:fill="FFFFFF"/>
          </w:tcPr>
          <w:p w14:paraId="3CDB968D" w14:textId="1A1BE588" w:rsidR="009F7B23" w:rsidRPr="00B57B36" w:rsidRDefault="009F7B23" w:rsidP="00866973">
            <w:pPr>
              <w:pStyle w:val="CETBodytext"/>
              <w:ind w:right="-1"/>
              <w:rPr>
                <w:rFonts w:cs="Arial"/>
                <w:szCs w:val="18"/>
                <w:lang w:val="en-GB"/>
              </w:rPr>
            </w:pPr>
            <w:r>
              <w:rPr>
                <w:rFonts w:cs="Arial"/>
                <w:szCs w:val="18"/>
                <w:lang w:val="en-GB"/>
              </w:rPr>
              <w:t>2</w:t>
            </w:r>
          </w:p>
        </w:tc>
        <w:tc>
          <w:tcPr>
            <w:tcW w:w="1417" w:type="dxa"/>
            <w:shd w:val="clear" w:color="auto" w:fill="FFFFFF"/>
          </w:tcPr>
          <w:p w14:paraId="31C7D895" w14:textId="6B36BDE6" w:rsidR="009F7B23" w:rsidRPr="00B57B36" w:rsidRDefault="009F7B23" w:rsidP="00866973">
            <w:pPr>
              <w:pStyle w:val="CETBodytext"/>
              <w:ind w:right="-1"/>
              <w:rPr>
                <w:rFonts w:cs="Arial"/>
                <w:szCs w:val="18"/>
                <w:lang w:val="en-GB"/>
              </w:rPr>
            </w:pPr>
            <w:r>
              <w:rPr>
                <w:rFonts w:cs="Arial"/>
                <w:szCs w:val="18"/>
                <w:lang w:val="en-GB"/>
              </w:rPr>
              <w:t>81.3</w:t>
            </w:r>
            <w:r w:rsidR="004323A3">
              <w:rPr>
                <w:rFonts w:cs="Arial"/>
                <w:szCs w:val="18"/>
                <w:lang w:val="en-GB"/>
              </w:rPr>
              <w:t xml:space="preserve"> *</w:t>
            </w:r>
          </w:p>
        </w:tc>
        <w:tc>
          <w:tcPr>
            <w:tcW w:w="1417" w:type="dxa"/>
            <w:shd w:val="clear" w:color="auto" w:fill="FFFFFF"/>
          </w:tcPr>
          <w:p w14:paraId="5ACC9110" w14:textId="2AF94AB1" w:rsidR="009F7B23" w:rsidRPr="00B57B36" w:rsidRDefault="009F7B23" w:rsidP="00866973">
            <w:pPr>
              <w:pStyle w:val="CETBodytext"/>
              <w:ind w:right="-1"/>
              <w:rPr>
                <w:rFonts w:cs="Arial"/>
                <w:szCs w:val="18"/>
                <w:lang w:val="en-GB"/>
              </w:rPr>
            </w:pPr>
            <w:r>
              <w:rPr>
                <w:rFonts w:cs="Arial"/>
                <w:szCs w:val="18"/>
                <w:lang w:val="en-GB"/>
              </w:rPr>
              <w:t>222.3</w:t>
            </w:r>
          </w:p>
        </w:tc>
        <w:tc>
          <w:tcPr>
            <w:tcW w:w="1417" w:type="dxa"/>
            <w:shd w:val="clear" w:color="auto" w:fill="FFFFFF"/>
          </w:tcPr>
          <w:p w14:paraId="74E5F0D8" w14:textId="6FE7E5C9" w:rsidR="009F7B23" w:rsidRPr="00B57B36" w:rsidRDefault="004323A3" w:rsidP="00866973">
            <w:pPr>
              <w:pStyle w:val="CETBodytext"/>
              <w:ind w:right="-1"/>
              <w:rPr>
                <w:rFonts w:cs="Arial"/>
                <w:szCs w:val="18"/>
                <w:lang w:val="en-GB"/>
              </w:rPr>
            </w:pPr>
            <w:r>
              <w:rPr>
                <w:rFonts w:cs="Arial"/>
                <w:szCs w:val="18"/>
                <w:lang w:val="en-GB"/>
              </w:rPr>
              <w:t>0</w:t>
            </w:r>
          </w:p>
        </w:tc>
        <w:tc>
          <w:tcPr>
            <w:tcW w:w="1417" w:type="dxa"/>
            <w:shd w:val="clear" w:color="auto" w:fill="FFFFFF"/>
          </w:tcPr>
          <w:p w14:paraId="34558D19" w14:textId="6257A93C" w:rsidR="009F7B23" w:rsidRPr="00B57B36" w:rsidRDefault="004323A3" w:rsidP="00866973">
            <w:pPr>
              <w:pStyle w:val="CETBodytext"/>
              <w:ind w:right="-1"/>
              <w:rPr>
                <w:rFonts w:cs="Arial"/>
                <w:szCs w:val="18"/>
                <w:lang w:val="en-GB"/>
              </w:rPr>
            </w:pPr>
            <w:r>
              <w:rPr>
                <w:rFonts w:cs="Arial"/>
                <w:szCs w:val="18"/>
                <w:lang w:val="en-GB"/>
              </w:rPr>
              <w:t>1.00</w:t>
            </w:r>
          </w:p>
        </w:tc>
        <w:tc>
          <w:tcPr>
            <w:tcW w:w="1134" w:type="dxa"/>
            <w:shd w:val="clear" w:color="auto" w:fill="FFFFFF"/>
          </w:tcPr>
          <w:p w14:paraId="1747E252" w14:textId="03D7F3C2" w:rsidR="009F7B23" w:rsidRPr="00B57B36" w:rsidRDefault="004323A3" w:rsidP="00866973">
            <w:pPr>
              <w:pStyle w:val="CETBodytext"/>
              <w:ind w:right="-1"/>
              <w:rPr>
                <w:rFonts w:cs="Arial"/>
                <w:szCs w:val="18"/>
                <w:lang w:val="en-GB"/>
              </w:rPr>
            </w:pPr>
            <w:r>
              <w:rPr>
                <w:rFonts w:cs="Arial"/>
                <w:szCs w:val="18"/>
                <w:lang w:val="en-GB"/>
              </w:rPr>
              <w:t>20 (J)</w:t>
            </w:r>
          </w:p>
        </w:tc>
        <w:tc>
          <w:tcPr>
            <w:tcW w:w="964" w:type="dxa"/>
            <w:shd w:val="clear" w:color="auto" w:fill="FFFFFF"/>
          </w:tcPr>
          <w:p w14:paraId="2C778BA9" w14:textId="263D645E" w:rsidR="009F7B23" w:rsidRPr="00B57B36" w:rsidRDefault="009F7B23" w:rsidP="00866973">
            <w:pPr>
              <w:pStyle w:val="CETBodytext"/>
              <w:ind w:right="-1"/>
              <w:rPr>
                <w:rFonts w:cs="Arial"/>
                <w:szCs w:val="18"/>
                <w:lang w:val="en-GB"/>
              </w:rPr>
            </w:pPr>
            <w:r>
              <w:rPr>
                <w:rFonts w:cs="Arial"/>
                <w:szCs w:val="18"/>
                <w:lang w:val="en-GB"/>
              </w:rPr>
              <w:t>10</w:t>
            </w:r>
          </w:p>
        </w:tc>
      </w:tr>
      <w:tr w:rsidR="009F7B23" w:rsidRPr="00B57B36" w14:paraId="4ECE869C" w14:textId="77777777" w:rsidTr="004323A3">
        <w:tc>
          <w:tcPr>
            <w:tcW w:w="397" w:type="dxa"/>
            <w:shd w:val="clear" w:color="auto" w:fill="FFFFFF"/>
          </w:tcPr>
          <w:p w14:paraId="570B12A4" w14:textId="73DE2C86" w:rsidR="009F7B23" w:rsidRDefault="009F7B23" w:rsidP="00866973">
            <w:pPr>
              <w:pStyle w:val="CETBodytext"/>
              <w:ind w:right="-1"/>
              <w:rPr>
                <w:rFonts w:cs="Arial"/>
                <w:szCs w:val="18"/>
                <w:lang w:val="en-GB"/>
              </w:rPr>
            </w:pPr>
            <w:r>
              <w:rPr>
                <w:rFonts w:cs="Arial"/>
                <w:szCs w:val="18"/>
                <w:lang w:val="en-GB"/>
              </w:rPr>
              <w:t>3</w:t>
            </w:r>
          </w:p>
        </w:tc>
        <w:tc>
          <w:tcPr>
            <w:tcW w:w="1417" w:type="dxa"/>
            <w:shd w:val="clear" w:color="auto" w:fill="FFFFFF"/>
          </w:tcPr>
          <w:p w14:paraId="5ED70953" w14:textId="0EAF1E0A" w:rsidR="009F7B23" w:rsidRPr="00B57B36" w:rsidRDefault="004323A3" w:rsidP="00866973">
            <w:pPr>
              <w:pStyle w:val="CETBodytext"/>
              <w:ind w:right="-1"/>
              <w:rPr>
                <w:rFonts w:cs="Arial"/>
                <w:szCs w:val="18"/>
                <w:lang w:val="en-GB"/>
              </w:rPr>
            </w:pPr>
            <w:r>
              <w:rPr>
                <w:rFonts w:cs="Arial"/>
                <w:szCs w:val="18"/>
                <w:lang w:val="en-GB"/>
              </w:rPr>
              <w:t>0</w:t>
            </w:r>
          </w:p>
        </w:tc>
        <w:tc>
          <w:tcPr>
            <w:tcW w:w="1417" w:type="dxa"/>
            <w:shd w:val="clear" w:color="auto" w:fill="FFFFFF"/>
          </w:tcPr>
          <w:p w14:paraId="7A8D96A1" w14:textId="50E7B492" w:rsidR="009F7B23" w:rsidRPr="00B57B36" w:rsidRDefault="004323A3" w:rsidP="00866973">
            <w:pPr>
              <w:pStyle w:val="CETBodytext"/>
              <w:ind w:right="-1"/>
              <w:rPr>
                <w:rFonts w:cs="Arial"/>
                <w:szCs w:val="18"/>
                <w:lang w:val="en-GB"/>
              </w:rPr>
            </w:pPr>
            <w:r>
              <w:rPr>
                <w:rFonts w:cs="Arial"/>
                <w:szCs w:val="18"/>
                <w:lang w:val="en-GB"/>
              </w:rPr>
              <w:t>192.2</w:t>
            </w:r>
          </w:p>
        </w:tc>
        <w:tc>
          <w:tcPr>
            <w:tcW w:w="1417" w:type="dxa"/>
            <w:shd w:val="clear" w:color="auto" w:fill="FFFFFF"/>
          </w:tcPr>
          <w:p w14:paraId="24D8AAC2" w14:textId="19F93A54" w:rsidR="009F7B23" w:rsidRPr="00B57B36" w:rsidRDefault="004323A3" w:rsidP="00866973">
            <w:pPr>
              <w:pStyle w:val="CETBodytext"/>
              <w:ind w:right="-1"/>
              <w:rPr>
                <w:rFonts w:cs="Arial"/>
                <w:szCs w:val="18"/>
                <w:lang w:val="en-GB"/>
              </w:rPr>
            </w:pPr>
            <w:r>
              <w:rPr>
                <w:rFonts w:cs="Arial"/>
                <w:szCs w:val="18"/>
                <w:lang w:val="en-GB"/>
              </w:rPr>
              <w:t>90.1</w:t>
            </w:r>
          </w:p>
        </w:tc>
        <w:tc>
          <w:tcPr>
            <w:tcW w:w="1417" w:type="dxa"/>
            <w:shd w:val="clear" w:color="auto" w:fill="FFFFFF"/>
          </w:tcPr>
          <w:p w14:paraId="271B8927" w14:textId="1898F59E" w:rsidR="009F7B23" w:rsidRPr="00B57B36" w:rsidRDefault="004323A3" w:rsidP="00866973">
            <w:pPr>
              <w:pStyle w:val="CETBodytext"/>
              <w:ind w:right="-1"/>
              <w:rPr>
                <w:rFonts w:cs="Arial"/>
                <w:szCs w:val="18"/>
                <w:lang w:val="en-GB"/>
              </w:rPr>
            </w:pPr>
            <w:r>
              <w:rPr>
                <w:rFonts w:cs="Arial"/>
                <w:szCs w:val="18"/>
                <w:lang w:val="en-GB"/>
              </w:rPr>
              <w:t>5.0 *</w:t>
            </w:r>
          </w:p>
        </w:tc>
        <w:tc>
          <w:tcPr>
            <w:tcW w:w="1134" w:type="dxa"/>
            <w:shd w:val="clear" w:color="auto" w:fill="FFFFFF"/>
          </w:tcPr>
          <w:p w14:paraId="66696B3E" w14:textId="73529969" w:rsidR="009F7B23" w:rsidRPr="00B57B36" w:rsidRDefault="006172E5" w:rsidP="00866973">
            <w:pPr>
              <w:pStyle w:val="CETBodytext"/>
              <w:ind w:right="-1"/>
              <w:rPr>
                <w:rFonts w:cs="Arial"/>
                <w:szCs w:val="18"/>
                <w:lang w:val="en-GB"/>
              </w:rPr>
            </w:pPr>
            <w:r>
              <w:rPr>
                <w:rFonts w:cs="Arial"/>
                <w:szCs w:val="18"/>
                <w:lang w:val="en-GB"/>
              </w:rPr>
              <w:t>20 (R)</w:t>
            </w:r>
          </w:p>
        </w:tc>
        <w:tc>
          <w:tcPr>
            <w:tcW w:w="964" w:type="dxa"/>
            <w:shd w:val="clear" w:color="auto" w:fill="FFFFFF"/>
          </w:tcPr>
          <w:p w14:paraId="75440DB3" w14:textId="3E982B86" w:rsidR="009F7B23" w:rsidRPr="00B57B36" w:rsidRDefault="004323A3" w:rsidP="00866973">
            <w:pPr>
              <w:pStyle w:val="CETBodytext"/>
              <w:ind w:right="-1"/>
              <w:rPr>
                <w:rFonts w:cs="Arial"/>
                <w:szCs w:val="18"/>
                <w:lang w:val="en-GB"/>
              </w:rPr>
            </w:pPr>
            <w:r>
              <w:rPr>
                <w:rFonts w:cs="Arial"/>
                <w:szCs w:val="18"/>
                <w:lang w:val="en-GB"/>
              </w:rPr>
              <w:t>14</w:t>
            </w:r>
          </w:p>
        </w:tc>
      </w:tr>
    </w:tbl>
    <w:p w14:paraId="1CBC034B" w14:textId="1030EDF4" w:rsidR="0054698B" w:rsidRDefault="0055393A" w:rsidP="0054698B">
      <w:pPr>
        <w:pStyle w:val="CETheadingx"/>
      </w:pPr>
      <w:r>
        <w:t xml:space="preserve">Calorimetric </w:t>
      </w:r>
      <w:r w:rsidR="0054698B">
        <w:t>Reactor</w:t>
      </w:r>
      <w:r>
        <w:t>s</w:t>
      </w:r>
    </w:p>
    <w:p w14:paraId="2136AC43" w14:textId="055990C9" w:rsidR="00050CAD" w:rsidRDefault="00050CAD" w:rsidP="00CF1BF7">
      <w:pPr>
        <w:pStyle w:val="CETBodytext"/>
      </w:pPr>
      <w:r>
        <w:t xml:space="preserve">All the tests carried out within the present </w:t>
      </w:r>
      <w:r w:rsidR="00671FC9">
        <w:t>work w</w:t>
      </w:r>
      <w:r>
        <w:t>ere</w:t>
      </w:r>
      <w:r w:rsidR="00671FC9">
        <w:t xml:space="preserve"> </w:t>
      </w:r>
      <w:r>
        <w:t xml:space="preserve">conducted </w:t>
      </w:r>
      <w:r w:rsidR="00671FC9">
        <w:t>with</w:t>
      </w:r>
      <w:r>
        <w:t>in</w:t>
      </w:r>
      <w:r w:rsidR="00671FC9">
        <w:t xml:space="preserve"> Peltier</w:t>
      </w:r>
      <w:r>
        <w:t>-cells</w:t>
      </w:r>
      <w:r w:rsidR="00671FC9">
        <w:t xml:space="preserve"> calorimeters, namely Easymax 102™ and Optimax 1001™ f</w:t>
      </w:r>
      <w:r>
        <w:t xml:space="preserve">rom </w:t>
      </w:r>
      <w:r w:rsidR="00671FC9">
        <w:t xml:space="preserve">Mettler Toledo. </w:t>
      </w:r>
      <w:r>
        <w:t>Such</w:t>
      </w:r>
      <w:r w:rsidR="00671FC9">
        <w:t xml:space="preserve"> </w:t>
      </w:r>
      <w:r>
        <w:t>workstations</w:t>
      </w:r>
      <w:r w:rsidR="00671FC9">
        <w:t xml:space="preserve"> are widely used for studying reaction</w:t>
      </w:r>
      <w:r w:rsidR="00D75721">
        <w:t>s</w:t>
      </w:r>
      <w:r w:rsidR="00671FC9">
        <w:t xml:space="preserve"> </w:t>
      </w:r>
      <w:r>
        <w:t xml:space="preserve">under a </w:t>
      </w:r>
      <w:r w:rsidR="00671FC9">
        <w:t>calorimetr</w:t>
      </w:r>
      <w:r>
        <w:t>ic point of view</w:t>
      </w:r>
      <w:r w:rsidR="00797188">
        <w:t xml:space="preserve"> (Zogg et al., 2004)</w:t>
      </w:r>
      <w:r w:rsidR="00671FC9">
        <w:t xml:space="preserve">. </w:t>
      </w:r>
    </w:p>
    <w:p w14:paraId="470662E3" w14:textId="335132C4" w:rsidR="00050CAD" w:rsidRDefault="00671FC9" w:rsidP="00CF1BF7">
      <w:pPr>
        <w:pStyle w:val="CETBodytext"/>
      </w:pPr>
      <w:r>
        <w:t xml:space="preserve">The main concept behind their functioning consists in exploiting a Peltier element to control </w:t>
      </w:r>
      <w:r w:rsidR="00D75721">
        <w:t>the</w:t>
      </w:r>
      <w:r>
        <w:t xml:space="preserve"> temperature</w:t>
      </w:r>
      <w:r w:rsidR="00906B2D">
        <w:t xml:space="preserve"> of either the reacting mixture or the reactor walls</w:t>
      </w:r>
      <w:r>
        <w:t xml:space="preserve">. A Peltier </w:t>
      </w:r>
      <w:r w:rsidR="00906B2D">
        <w:t>cell</w:t>
      </w:r>
      <w:r>
        <w:t xml:space="preserve"> is a</w:t>
      </w:r>
      <w:r w:rsidR="00797188">
        <w:t xml:space="preserve">n </w:t>
      </w:r>
      <w:r>
        <w:t xml:space="preserve">element </w:t>
      </w:r>
      <w:r w:rsidR="00797188">
        <w:t xml:space="preserve">made of a coupling of </w:t>
      </w:r>
      <w:r w:rsidR="00D75721">
        <w:t>semi</w:t>
      </w:r>
      <w:r w:rsidR="00797188">
        <w:t>conductors</w:t>
      </w:r>
      <w:r>
        <w:t xml:space="preserve"> which can heat or cool </w:t>
      </w:r>
      <w:r w:rsidR="00350079">
        <w:t xml:space="preserve">the reactor jacket </w:t>
      </w:r>
      <w:r w:rsidR="00050CAD">
        <w:t xml:space="preserve">(that is, the reactor wall) </w:t>
      </w:r>
      <w:r>
        <w:t xml:space="preserve">according to </w:t>
      </w:r>
      <w:r w:rsidR="00906B2D">
        <w:t>a</w:t>
      </w:r>
      <w:r>
        <w:t xml:space="preserve"> </w:t>
      </w:r>
      <w:r w:rsidR="00050CAD">
        <w:t xml:space="preserve">supplied </w:t>
      </w:r>
      <w:r>
        <w:t xml:space="preserve">electrical power. </w:t>
      </w:r>
    </w:p>
    <w:p w14:paraId="45B07C7A" w14:textId="7DDBF7E6" w:rsidR="00D71BF8" w:rsidRDefault="00671FC9" w:rsidP="00CF1BF7">
      <w:pPr>
        <w:pStyle w:val="CETBodytext"/>
      </w:pPr>
      <w:r>
        <w:t xml:space="preserve">In short, a temperature controller </w:t>
      </w:r>
      <w:r w:rsidR="00D96F3B">
        <w:t>evaluate</w:t>
      </w:r>
      <w:r w:rsidR="00797188">
        <w:t>s</w:t>
      </w:r>
      <w:r w:rsidR="00D96F3B">
        <w:t xml:space="preserve"> the electric</w:t>
      </w:r>
      <w:r w:rsidR="00906B2D">
        <w:t>al power</w:t>
      </w:r>
      <w:r w:rsidR="00D96F3B">
        <w:t xml:space="preserve"> that should be </w:t>
      </w:r>
      <w:r w:rsidR="00906B2D">
        <w:t>supplied</w:t>
      </w:r>
      <w:r w:rsidR="00D96F3B">
        <w:t xml:space="preserve"> to the Peltier element in order to compensate the </w:t>
      </w:r>
      <w:r w:rsidR="00050CAD">
        <w:t xml:space="preserve">required </w:t>
      </w:r>
      <w:r w:rsidR="00D96F3B">
        <w:t>heat flow</w:t>
      </w:r>
      <w:r w:rsidR="00AC7C8E">
        <w:t xml:space="preserve">. </w:t>
      </w:r>
    </w:p>
    <w:p w14:paraId="15D9000E" w14:textId="77777777" w:rsidR="00906B2D" w:rsidRDefault="00671FC9" w:rsidP="00CF1BF7">
      <w:pPr>
        <w:pStyle w:val="CETBodytext"/>
      </w:pPr>
      <w:r>
        <w:t xml:space="preserve">They can </w:t>
      </w:r>
      <w:r w:rsidR="00906B2D">
        <w:t>be operated</w:t>
      </w:r>
      <w:r>
        <w:t xml:space="preserve"> </w:t>
      </w:r>
      <w:r w:rsidR="00906B2D">
        <w:t>with</w:t>
      </w:r>
      <w:r>
        <w:t xml:space="preserve">in a </w:t>
      </w:r>
      <w:r w:rsidR="00906B2D">
        <w:t xml:space="preserve">wide </w:t>
      </w:r>
      <w:r>
        <w:t xml:space="preserve">range </w:t>
      </w:r>
      <w:r w:rsidR="00906B2D">
        <w:t xml:space="preserve">of </w:t>
      </w:r>
      <w:r>
        <w:t>temperature</w:t>
      </w:r>
      <w:r w:rsidR="00906B2D">
        <w:t>s,</w:t>
      </w:r>
      <w:r>
        <w:t xml:space="preserve"> </w:t>
      </w:r>
      <w:r w:rsidR="00906B2D">
        <w:t>that is</w:t>
      </w:r>
      <w:r>
        <w:t xml:space="preserve"> -40</w:t>
      </w:r>
      <w:r w:rsidR="00D71BF8">
        <w:t xml:space="preserve"> </w:t>
      </w:r>
      <w:r>
        <w:t>°C</w:t>
      </w:r>
      <w:r w:rsidR="00906B2D">
        <w:t>/</w:t>
      </w:r>
      <w:r>
        <w:t>180</w:t>
      </w:r>
      <w:r w:rsidR="00D71BF8">
        <w:t xml:space="preserve"> </w:t>
      </w:r>
      <w:r>
        <w:t xml:space="preserve">°C, </w:t>
      </w:r>
      <w:r w:rsidR="00906B2D">
        <w:t xml:space="preserve">therefore </w:t>
      </w:r>
      <w:r>
        <w:t>allow</w:t>
      </w:r>
      <w:r w:rsidR="00906B2D">
        <w:t>ing</w:t>
      </w:r>
      <w:r>
        <w:t xml:space="preserve"> for </w:t>
      </w:r>
      <w:r w:rsidR="006749B6">
        <w:t xml:space="preserve">studying </w:t>
      </w:r>
      <w:r w:rsidR="00906B2D">
        <w:t>different</w:t>
      </w:r>
      <w:r w:rsidR="006749B6">
        <w:t xml:space="preserve"> </w:t>
      </w:r>
      <w:r w:rsidR="00906B2D">
        <w:t xml:space="preserve">groups of chemical </w:t>
      </w:r>
      <w:r w:rsidR="006749B6">
        <w:t>reaction</w:t>
      </w:r>
      <w:r w:rsidR="00D71BF8">
        <w:t>s</w:t>
      </w:r>
      <w:r w:rsidR="00906B2D">
        <w:t xml:space="preserve"> (from esterifications to nitrations, sulfonations, polymerizations, oxidations, etc..)</w:t>
      </w:r>
      <w:r w:rsidR="006749B6">
        <w:t>.</w:t>
      </w:r>
      <w:r w:rsidR="005D6B0F">
        <w:t xml:space="preserve"> </w:t>
      </w:r>
    </w:p>
    <w:p w14:paraId="53188653" w14:textId="5B038F7D" w:rsidR="00D71BF8" w:rsidRDefault="00906B2D" w:rsidP="00CF1BF7">
      <w:pPr>
        <w:pStyle w:val="CETBodytext"/>
      </w:pPr>
      <w:r>
        <w:t>The t</w:t>
      </w:r>
      <w:r w:rsidR="005D6B0F">
        <w:t xml:space="preserve">emperature control </w:t>
      </w:r>
      <w:r>
        <w:t xml:space="preserve">(either isoperibolic or isothermal) </w:t>
      </w:r>
      <w:r w:rsidR="005D6B0F">
        <w:t xml:space="preserve">is </w:t>
      </w:r>
      <w:r>
        <w:t>achieved</w:t>
      </w:r>
      <w:r w:rsidR="005D6B0F">
        <w:t xml:space="preserve"> by </w:t>
      </w:r>
      <w:r>
        <w:t xml:space="preserve">the means of </w:t>
      </w:r>
      <w:r w:rsidR="005D6B0F">
        <w:t xml:space="preserve">a Proportional-Integral controller, which can be tuned according to the reactive mixture type (organic or aqueous) and reactor </w:t>
      </w:r>
      <w:r>
        <w:t xml:space="preserve">nominal </w:t>
      </w:r>
      <w:r w:rsidR="005D6B0F">
        <w:t>volume (from 100 mL to 1L).</w:t>
      </w:r>
      <w:r w:rsidR="00EA08C3">
        <w:t xml:space="preserve"> </w:t>
      </w:r>
    </w:p>
    <w:p w14:paraId="6D4AF6B3" w14:textId="37648290" w:rsidR="006D42BA" w:rsidRDefault="00EA08C3" w:rsidP="00CF1BF7">
      <w:pPr>
        <w:pStyle w:val="CETBodytext"/>
      </w:pPr>
      <w:r>
        <w:t>The</w:t>
      </w:r>
      <w:r w:rsidR="005D6B0F">
        <w:t>se</w:t>
      </w:r>
      <w:r>
        <w:t xml:space="preserve"> </w:t>
      </w:r>
      <w:r w:rsidR="005D6B0F">
        <w:t>devices</w:t>
      </w:r>
      <w:r>
        <w:t xml:space="preserve"> can </w:t>
      </w:r>
      <w:r w:rsidR="00906B2D">
        <w:t>provide</w:t>
      </w:r>
      <w:r>
        <w:t xml:space="preserve"> </w:t>
      </w:r>
      <w:r w:rsidR="00906B2D">
        <w:t>different</w:t>
      </w:r>
      <w:r>
        <w:t xml:space="preserve"> output</w:t>
      </w:r>
      <w:r w:rsidR="00906B2D">
        <w:t>s such as:</w:t>
      </w:r>
      <w:r>
        <w:t xml:space="preserve"> the </w:t>
      </w:r>
      <w:r w:rsidR="00D71BF8">
        <w:t>overall</w:t>
      </w:r>
      <w:r>
        <w:t xml:space="preserve"> heat flow</w:t>
      </w:r>
      <w:r w:rsidR="006D42BA">
        <w:t xml:space="preserve"> exchanged between reactor and its walls</w:t>
      </w:r>
      <w:r>
        <w:t xml:space="preserve">, </w:t>
      </w:r>
      <w:r w:rsidR="00A67401">
        <w:t xml:space="preserve">jacket </w:t>
      </w:r>
      <w:r>
        <w:t>and reactor temperature vs</w:t>
      </w:r>
      <w:r w:rsidR="00D71BF8">
        <w:t>.</w:t>
      </w:r>
      <w:r>
        <w:t xml:space="preserve"> time</w:t>
      </w:r>
      <w:r w:rsidR="006D42BA">
        <w:t xml:space="preserve"> trend</w:t>
      </w:r>
      <w:r>
        <w:t xml:space="preserve"> </w:t>
      </w:r>
      <w:r w:rsidR="006D42BA">
        <w:t>(</w:t>
      </w:r>
      <w:r>
        <w:t xml:space="preserve">from which it is possible to </w:t>
      </w:r>
      <w:r w:rsidR="005D6B0F">
        <w:t>retrieve reaction kinetics</w:t>
      </w:r>
      <w:r w:rsidR="006D42BA">
        <w:t>), volumes variations, viscosity trends (through the monitoring of the power absorbed by the stirring unit; such a function is very useful to investigate the effects of the use of different agitator types, that is anchor, propeller, etc..)</w:t>
      </w:r>
      <w:r>
        <w:t>. In addition,</w:t>
      </w:r>
      <w:r w:rsidR="005D6B0F">
        <w:t xml:space="preserve"> with the use of a dedicated </w:t>
      </w:r>
      <w:r w:rsidR="006D42BA">
        <w:t xml:space="preserve">calibration </w:t>
      </w:r>
      <w:r w:rsidR="005D6B0F">
        <w:t xml:space="preserve">probe, </w:t>
      </w:r>
      <w:r w:rsidR="006D42BA">
        <w:t xml:space="preserve">it is possible to </w:t>
      </w:r>
      <w:r w:rsidR="005D6B0F">
        <w:t>evaluat</w:t>
      </w:r>
      <w:r w:rsidR="006D42BA">
        <w:t>e both the</w:t>
      </w:r>
      <w:r w:rsidR="005D6B0F">
        <w:t xml:space="preserve"> global heat </w:t>
      </w:r>
      <w:r w:rsidR="006D42BA">
        <w:t>transfer</w:t>
      </w:r>
      <w:r w:rsidR="005D6B0F">
        <w:t xml:space="preserve"> coefficient and </w:t>
      </w:r>
      <w:r w:rsidR="006D42BA">
        <w:t xml:space="preserve">the </w:t>
      </w:r>
      <w:r w:rsidR="005D6B0F">
        <w:t xml:space="preserve">specific heat of </w:t>
      </w:r>
      <w:r w:rsidR="006D42BA">
        <w:t xml:space="preserve">either the reacting mixture or all the involved </w:t>
      </w:r>
      <w:r w:rsidR="005D6B0F">
        <w:t>substances</w:t>
      </w:r>
      <w:r w:rsidR="006D42BA">
        <w:t xml:space="preserve"> (system calibration when a reaction is running </w:t>
      </w:r>
      <w:r w:rsidR="00F804DB">
        <w:t>can be done but taking into account a certain loss of accuracy; the same holds true whenever a boiling phenomenon is occurring)</w:t>
      </w:r>
      <w:r w:rsidR="005D6B0F">
        <w:t xml:space="preserve">. </w:t>
      </w:r>
    </w:p>
    <w:p w14:paraId="5A9B006E" w14:textId="3A875492" w:rsidR="00CF1BF7" w:rsidRDefault="00B42CD5" w:rsidP="00CF1BF7">
      <w:pPr>
        <w:pStyle w:val="CETBodytext"/>
      </w:pPr>
      <w:r>
        <w:t xml:space="preserve">The system is also provided with a dedicated software (iControl) that can be used to automatically integrate </w:t>
      </w:r>
      <w:r w:rsidR="00F804DB">
        <w:t xml:space="preserve">heat flow </w:t>
      </w:r>
      <w:r w:rsidR="00E5050D">
        <w:t xml:space="preserve">curves </w:t>
      </w:r>
      <w:r w:rsidR="00F804DB">
        <w:t xml:space="preserve">(both online and offline) </w:t>
      </w:r>
      <w:r w:rsidR="00E5050D">
        <w:t>to easily retrieve values such as reaction heat</w:t>
      </w:r>
      <w:r w:rsidR="00F804DB">
        <w:t>, calorimetric conversion,</w:t>
      </w:r>
      <w:r w:rsidR="00E5050D">
        <w:t xml:space="preserve"> and adiabatic temperature rise.</w:t>
      </w:r>
    </w:p>
    <w:p w14:paraId="3C4BCB53" w14:textId="1B872A77" w:rsidR="00F804DB" w:rsidRDefault="00F804DB" w:rsidP="00CF1BF7">
      <w:pPr>
        <w:pStyle w:val="CETBodytext"/>
      </w:pPr>
      <w:r>
        <w:t>One of the main concerns related to the use of these systems, and in general to the use of calorimetry, to study reaction kinetics of complex reacting systems</w:t>
      </w:r>
      <w:r w:rsidR="00217ED6">
        <w:t xml:space="preserve"> </w:t>
      </w:r>
      <w:r w:rsidR="00A67401">
        <w:t>(</w:t>
      </w:r>
      <w:r>
        <w:t>that is, where more than one exothermic reaction occurs</w:t>
      </w:r>
      <w:r w:rsidR="00A67401">
        <w:t>)</w:t>
      </w:r>
      <w:r>
        <w:t xml:space="preserve"> is related to their limitations in uncoupling </w:t>
      </w:r>
      <w:r w:rsidR="00217ED6">
        <w:t xml:space="preserve">the </w:t>
      </w:r>
      <w:r w:rsidR="009A558C">
        <w:t xml:space="preserve">contributions of the </w:t>
      </w:r>
      <w:r w:rsidR="00217ED6">
        <w:t xml:space="preserve">different </w:t>
      </w:r>
      <w:r w:rsidR="009A558C">
        <w:t xml:space="preserve">reactions to the overall </w:t>
      </w:r>
      <w:r w:rsidR="00217ED6">
        <w:t xml:space="preserve">heat </w:t>
      </w:r>
      <w:r w:rsidR="009A558C">
        <w:t xml:space="preserve">flux </w:t>
      </w:r>
      <w:r w:rsidR="00217ED6">
        <w:t>rele</w:t>
      </w:r>
      <w:r w:rsidR="009A558C">
        <w:t>ased during the synthesis. This is particularly true when very fast reactions</w:t>
      </w:r>
      <w:r w:rsidR="007C7D64">
        <w:t>, such as esterifications (either catalyzed or not),</w:t>
      </w:r>
      <w:r w:rsidR="009A558C">
        <w:t xml:space="preserve"> must be characterized</w:t>
      </w:r>
      <w:r w:rsidR="007C7D64">
        <w:t>.</w:t>
      </w:r>
    </w:p>
    <w:p w14:paraId="4BB807A8" w14:textId="0F15413C" w:rsidR="007C7D64" w:rsidRDefault="007C7D64" w:rsidP="00CF1BF7">
      <w:pPr>
        <w:pStyle w:val="CETBodytext"/>
      </w:pPr>
      <w:r>
        <w:t xml:space="preserve">Anyway, in principle, it is always possible to search for operating conditions where the exothermicity of all </w:t>
      </w:r>
      <w:r w:rsidR="00320057">
        <w:t>reactions,</w:t>
      </w:r>
      <w:r>
        <w:t xml:space="preserve"> but one</w:t>
      </w:r>
      <w:r w:rsidR="00320057">
        <w:t>,</w:t>
      </w:r>
      <w:r>
        <w:t xml:space="preserve"> is negligible, therefore permitting to study the kinetics of the “</w:t>
      </w:r>
      <w:r w:rsidR="00320057">
        <w:t xml:space="preserve">thermally </w:t>
      </w:r>
      <w:r>
        <w:t xml:space="preserve">active” reaction (with a good degree of accuracy for a use in either safety or optimization purposes) using a pure calorimetric approach. </w:t>
      </w:r>
    </w:p>
    <w:p w14:paraId="20393F59" w14:textId="599A02FD" w:rsidR="0054698B" w:rsidRDefault="0054698B" w:rsidP="0054698B">
      <w:pPr>
        <w:pStyle w:val="CETheadingx"/>
      </w:pPr>
      <w:r>
        <w:t>Mathematical model</w:t>
      </w:r>
    </w:p>
    <w:p w14:paraId="32F23256" w14:textId="77777777" w:rsidR="00ED5A4D" w:rsidRDefault="008518AF" w:rsidP="008518AF">
      <w:pPr>
        <w:pStyle w:val="CETBodytext"/>
      </w:pPr>
      <w:r>
        <w:t>The experimental apparatus can be modelled as a</w:t>
      </w:r>
      <w:r w:rsidR="000A78F0">
        <w:t xml:space="preserve"> non-isothermal</w:t>
      </w:r>
      <w:r>
        <w:t xml:space="preserve"> semi-batch reactor</w:t>
      </w:r>
      <w:r w:rsidR="000A78F0">
        <w:t xml:space="preserve"> </w:t>
      </w:r>
      <w:r w:rsidR="00672FF9">
        <w:t xml:space="preserve">where temperature (of </w:t>
      </w:r>
      <w:r w:rsidR="00ED5A4D">
        <w:t xml:space="preserve">either </w:t>
      </w:r>
      <w:r w:rsidR="00672FF9">
        <w:t>the reactor or the jacket) is controlled through a proportional-integral control action</w:t>
      </w:r>
      <w:r>
        <w:t xml:space="preserve">. </w:t>
      </w:r>
    </w:p>
    <w:p w14:paraId="04719714" w14:textId="1704EC84" w:rsidR="008518AF" w:rsidRDefault="008518AF" w:rsidP="008518AF">
      <w:pPr>
        <w:pStyle w:val="CETBodytext"/>
      </w:pPr>
      <w:r>
        <w:t xml:space="preserve">Experimentally, the addition of </w:t>
      </w:r>
      <w:r w:rsidR="00297D1B">
        <w:t xml:space="preserve">acetic anhydride in methanol leads to a very slight cooling </w:t>
      </w:r>
      <w:r w:rsidR="000A78F0">
        <w:t>due to endothermic mixing. Only this non ideality (mixing enthalpy) will be considered, while all other properties will be computed under the assumption of ideal mixtures.</w:t>
      </w:r>
    </w:p>
    <w:p w14:paraId="6D55439F" w14:textId="14A7AA75" w:rsidR="00672FF9" w:rsidRDefault="00672FF9" w:rsidP="008518AF">
      <w:pPr>
        <w:pStyle w:val="CETBodytext"/>
      </w:pPr>
      <w:r>
        <w:t>From a species material balance equation, the</w:t>
      </w:r>
      <w:r w:rsidR="00525A09">
        <w:t xml:space="preserve"> evolution over time, </w:t>
      </w:r>
      <m:oMath>
        <m:r>
          <w:rPr>
            <w:rFonts w:ascii="Cambria Math" w:hAnsi="Cambria Math"/>
          </w:rPr>
          <m:t>t</m:t>
        </m:r>
      </m:oMath>
      <w:r w:rsidR="00525A09">
        <w:t>, of the</w:t>
      </w:r>
      <w:r>
        <w:t xml:space="preserve"> number of moles of each species </w:t>
      </w:r>
      <m:oMath>
        <m:r>
          <w:rPr>
            <w:rFonts w:ascii="Cambria Math" w:hAnsi="Cambria Math"/>
          </w:rPr>
          <m:t>i</m:t>
        </m:r>
      </m:oMath>
      <w:r>
        <w:t xml:space="preserve"> can be described by the following equation:</w:t>
      </w:r>
    </w:p>
    <w:tbl>
      <w:tblPr>
        <w:tblW w:w="5000" w:type="pct"/>
        <w:tblLook w:val="04A0" w:firstRow="1" w:lastRow="0" w:firstColumn="1" w:lastColumn="0" w:noHBand="0" w:noVBand="1"/>
      </w:tblPr>
      <w:tblGrid>
        <w:gridCol w:w="7982"/>
        <w:gridCol w:w="805"/>
      </w:tblGrid>
      <w:tr w:rsidR="00672FF9" w:rsidRPr="00FA4A40" w14:paraId="5508A553" w14:textId="77777777" w:rsidTr="00F21BF2">
        <w:tc>
          <w:tcPr>
            <w:tcW w:w="7982" w:type="dxa"/>
            <w:shd w:val="clear" w:color="auto" w:fill="auto"/>
            <w:vAlign w:val="center"/>
          </w:tcPr>
          <w:p w14:paraId="6A0FD331" w14:textId="2C169DED" w:rsidR="00672FF9" w:rsidRPr="00FA4A40" w:rsidRDefault="00403E1A" w:rsidP="00FA4A40">
            <w:pPr>
              <w:pStyle w:val="CETEquation"/>
            </w:pPr>
            <m:oMathPara>
              <m:oMathParaPr>
                <m:jc m:val="left"/>
              </m:oMathParaPr>
              <m:oMath>
                <m:f>
                  <m:fPr>
                    <m:ctrlPr>
                      <w:rPr>
                        <w:rFonts w:ascii="Cambria Math" w:hAnsi="Cambria Math"/>
                      </w:rPr>
                    </m:ctrlPr>
                  </m:fPr>
                  <m:num>
                    <m:r>
                      <w:rPr>
                        <w:rFonts w:ascii="Cambria Math" w:hAnsi="Cambria Math"/>
                      </w:rPr>
                      <m:t>d</m:t>
                    </m:r>
                    <m:sSub>
                      <m:sSubPr>
                        <m:ctrlPr>
                          <w:rPr>
                            <w:rFonts w:ascii="Cambria Math" w:hAnsi="Cambria Math"/>
                          </w:rPr>
                        </m:ctrlPr>
                      </m:sSubPr>
                      <m:e>
                        <m:r>
                          <w:rPr>
                            <w:rFonts w:ascii="Cambria Math" w:hAnsi="Cambria Math"/>
                          </w:rPr>
                          <m:t>n</m:t>
                        </m:r>
                      </m:e>
                      <m:sub>
                        <m:r>
                          <w:rPr>
                            <w:rFonts w:ascii="Cambria Math" w:hAnsi="Cambria Math"/>
                          </w:rPr>
                          <m:t>i</m:t>
                        </m:r>
                      </m:sub>
                    </m:sSub>
                  </m:num>
                  <m:den>
                    <m:r>
                      <w:rPr>
                        <w:rFonts w:ascii="Cambria Math" w:hAnsi="Cambria Math"/>
                      </w:rPr>
                      <m:t>dt</m:t>
                    </m:r>
                  </m:den>
                </m:f>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i</m:t>
                    </m:r>
                  </m:sub>
                </m:sSub>
                <m:d>
                  <m:dPr>
                    <m:ctrlPr>
                      <w:rPr>
                        <w:rFonts w:ascii="Cambria Math" w:hAnsi="Cambria Math"/>
                      </w:rPr>
                    </m:ctrlPr>
                  </m:dPr>
                  <m:e>
                    <m:r>
                      <w:rPr>
                        <w:rFonts w:ascii="Cambria Math" w:hAnsi="Cambria Math"/>
                      </w:rPr>
                      <m:t>t</m:t>
                    </m:r>
                  </m:e>
                </m:d>
                <m:r>
                  <m:rPr>
                    <m:sty m:val="p"/>
                  </m:rPr>
                  <w:rPr>
                    <w:rFonts w:ascii="Cambria Math" w:hAnsi="Cambria Math"/>
                  </w:rPr>
                  <m:t>+</m:t>
                </m:r>
                <m:nary>
                  <m:naryPr>
                    <m:chr m:val="∑"/>
                    <m:ctrlPr>
                      <w:rPr>
                        <w:rFonts w:ascii="Cambria Math" w:hAnsi="Cambria Math"/>
                      </w:rPr>
                    </m:ctrlPr>
                  </m:naryPr>
                  <m:sub>
                    <m:r>
                      <w:rPr>
                        <w:rFonts w:ascii="Cambria Math" w:hAnsi="Cambria Math"/>
                      </w:rPr>
                      <m:t>j</m:t>
                    </m:r>
                  </m:sub>
                  <m:sup>
                    <m:r>
                      <w:rPr>
                        <w:rFonts w:ascii="Cambria Math" w:hAnsi="Cambria Math"/>
                      </w:rPr>
                      <m:t>NR</m:t>
                    </m:r>
                  </m:sup>
                  <m:e>
                    <m:sSub>
                      <m:sSubPr>
                        <m:ctrlPr>
                          <w:rPr>
                            <w:rFonts w:ascii="Cambria Math" w:hAnsi="Cambria Math"/>
                          </w:rPr>
                        </m:ctrlPr>
                      </m:sSubPr>
                      <m:e>
                        <m:r>
                          <w:rPr>
                            <w:rFonts w:ascii="Cambria Math" w:hAnsi="Cambria Math"/>
                          </w:rPr>
                          <m:t>ν</m:t>
                        </m:r>
                      </m:e>
                      <m:sub>
                        <m:r>
                          <w:rPr>
                            <w:rFonts w:ascii="Cambria Math" w:hAnsi="Cambria Math"/>
                          </w:rPr>
                          <m:t>ij</m:t>
                        </m:r>
                      </m:sub>
                    </m:sSub>
                    <m:sSub>
                      <m:sSubPr>
                        <m:ctrlPr>
                          <w:rPr>
                            <w:rFonts w:ascii="Cambria Math" w:hAnsi="Cambria Math"/>
                          </w:rPr>
                        </m:ctrlPr>
                      </m:sSubPr>
                      <m:e>
                        <m:r>
                          <w:rPr>
                            <w:rFonts w:ascii="Cambria Math" w:hAnsi="Cambria Math"/>
                          </w:rPr>
                          <m:t>r</m:t>
                        </m:r>
                      </m:e>
                      <m:sub>
                        <m:r>
                          <w:rPr>
                            <w:rFonts w:ascii="Cambria Math" w:hAnsi="Cambria Math"/>
                          </w:rPr>
                          <m:t>j</m:t>
                        </m:r>
                      </m:sub>
                    </m:sSub>
                    <m:r>
                      <w:rPr>
                        <w:rFonts w:ascii="Cambria Math" w:hAnsi="Cambria Math"/>
                      </w:rPr>
                      <m:t>V</m:t>
                    </m:r>
                  </m:e>
                </m:nary>
              </m:oMath>
            </m:oMathPara>
          </w:p>
        </w:tc>
        <w:tc>
          <w:tcPr>
            <w:tcW w:w="805" w:type="dxa"/>
            <w:shd w:val="clear" w:color="auto" w:fill="auto"/>
            <w:vAlign w:val="center"/>
          </w:tcPr>
          <w:p w14:paraId="7C25E680" w14:textId="7939D77A" w:rsidR="00672FF9" w:rsidRPr="00FA4A40" w:rsidRDefault="00672FF9" w:rsidP="00FA4A40">
            <w:pPr>
              <w:pStyle w:val="CETEquation"/>
            </w:pPr>
            <w:r w:rsidRPr="00FA4A40">
              <w:t>(</w:t>
            </w:r>
            <w:r w:rsidR="00FA4A40" w:rsidRPr="00FA4A40">
              <w:t>4</w:t>
            </w:r>
            <w:r w:rsidRPr="00FA4A40">
              <w:t>)</w:t>
            </w:r>
          </w:p>
        </w:tc>
      </w:tr>
    </w:tbl>
    <w:p w14:paraId="4149EF50" w14:textId="686682FB" w:rsidR="00672FF9" w:rsidRDefault="00525A09" w:rsidP="008518AF">
      <w:pPr>
        <w:pStyle w:val="CETBodytext"/>
      </w:pPr>
      <w:r>
        <w:t xml:space="preserve">where </w:t>
      </w:r>
      <m:oMath>
        <m:sSub>
          <m:sSubPr>
            <m:ctrlPr>
              <w:rPr>
                <w:rFonts w:ascii="Cambria Math" w:hAnsi="Cambria Math"/>
                <w:i/>
              </w:rPr>
            </m:ctrlPr>
          </m:sSubPr>
          <m:e>
            <m:r>
              <w:rPr>
                <w:rFonts w:ascii="Cambria Math" w:hAnsi="Cambria Math"/>
              </w:rPr>
              <m:t>F</m:t>
            </m:r>
          </m:e>
          <m:sub>
            <m:r>
              <w:rPr>
                <w:rFonts w:ascii="Cambria Math" w:hAnsi="Cambria Math"/>
              </w:rPr>
              <m:t>i</m:t>
            </m:r>
          </m:sub>
        </m:sSub>
      </m:oMath>
      <w:r>
        <w:t xml:space="preserve"> is the (constant) molar feed flowrate of species </w:t>
      </w:r>
      <m:oMath>
        <m:r>
          <w:rPr>
            <w:rFonts w:ascii="Cambria Math" w:hAnsi="Cambria Math"/>
          </w:rPr>
          <m:t>i</m:t>
        </m:r>
      </m:oMath>
      <w:r w:rsidR="00C233C2">
        <w:t xml:space="preserve">, </w:t>
      </w:r>
      <m:oMath>
        <m:r>
          <w:rPr>
            <w:rFonts w:ascii="Cambria Math" w:hAnsi="Cambria Math"/>
          </w:rPr>
          <m:t>NR</m:t>
        </m:r>
      </m:oMath>
      <w:r w:rsidR="00C233C2">
        <w:t xml:space="preserve"> is the number of reactions, </w:t>
      </w:r>
      <m:oMath>
        <m:sSub>
          <m:sSubPr>
            <m:ctrlPr>
              <w:rPr>
                <w:rFonts w:ascii="Cambria Math" w:hAnsi="Cambria Math"/>
                <w:i/>
              </w:rPr>
            </m:ctrlPr>
          </m:sSubPr>
          <m:e>
            <m:r>
              <w:rPr>
                <w:rFonts w:ascii="Cambria Math" w:hAnsi="Cambria Math"/>
              </w:rPr>
              <m:t>ν</m:t>
            </m:r>
          </m:e>
          <m:sub>
            <m:r>
              <w:rPr>
                <w:rFonts w:ascii="Cambria Math" w:hAnsi="Cambria Math"/>
              </w:rPr>
              <m:t>ij</m:t>
            </m:r>
          </m:sub>
        </m:sSub>
      </m:oMath>
      <w:r w:rsidR="00C233C2">
        <w:t xml:space="preserve"> is the stoichiometric coefficient of species </w:t>
      </w:r>
      <m:oMath>
        <m:r>
          <w:rPr>
            <w:rFonts w:ascii="Cambria Math" w:hAnsi="Cambria Math"/>
          </w:rPr>
          <m:t>i</m:t>
        </m:r>
      </m:oMath>
      <w:r w:rsidR="00C233C2">
        <w:t xml:space="preserve"> in reaction </w:t>
      </w:r>
      <m:oMath>
        <m:r>
          <w:rPr>
            <w:rFonts w:ascii="Cambria Math" w:hAnsi="Cambria Math"/>
          </w:rPr>
          <m:t>j</m:t>
        </m:r>
      </m:oMath>
      <w:r w:rsidR="00C233C2">
        <w:t xml:space="preserve">, and </w:t>
      </w:r>
      <m:oMath>
        <m:r>
          <w:rPr>
            <w:rFonts w:ascii="Cambria Math" w:hAnsi="Cambria Math"/>
          </w:rPr>
          <m:t>V</m:t>
        </m:r>
      </m:oMath>
      <w:r w:rsidR="00C233C2">
        <w:t xml:space="preserve"> the reaction volume.</w:t>
      </w:r>
    </w:p>
    <w:p w14:paraId="3FBBBC1D" w14:textId="3248C941" w:rsidR="00C233C2" w:rsidRDefault="00C233C2" w:rsidP="008518AF">
      <w:pPr>
        <w:pStyle w:val="CETBodytext"/>
      </w:pPr>
      <w:r>
        <w:t>The thermal inertia of the impeller and</w:t>
      </w:r>
      <w:r w:rsidR="00FA4A40">
        <w:t xml:space="preserve"> measuring</w:t>
      </w:r>
      <w:r>
        <w:t xml:space="preserve"> instruments</w:t>
      </w:r>
      <w:r w:rsidR="00FA4A40">
        <w:t xml:space="preserve">, together with the cooling effect of the head of the reactor, were considered in an energy balance equation to describe the evolution of temperature, </w:t>
      </w:r>
      <m:oMath>
        <m:r>
          <w:rPr>
            <w:rFonts w:ascii="Cambria Math" w:hAnsi="Cambria Math"/>
          </w:rPr>
          <m:t>T</m:t>
        </m:r>
      </m:oMath>
      <w:r w:rsidR="00FA4A40">
        <w:t>, over time:</w:t>
      </w:r>
    </w:p>
    <w:tbl>
      <w:tblPr>
        <w:tblW w:w="5000" w:type="pct"/>
        <w:tblLook w:val="04A0" w:firstRow="1" w:lastRow="0" w:firstColumn="1" w:lastColumn="0" w:noHBand="0" w:noVBand="1"/>
      </w:tblPr>
      <w:tblGrid>
        <w:gridCol w:w="7982"/>
        <w:gridCol w:w="805"/>
      </w:tblGrid>
      <w:tr w:rsidR="00FA4A40" w:rsidRPr="00B56B6E" w14:paraId="47C5E251" w14:textId="77777777" w:rsidTr="00F21BF2">
        <w:tc>
          <w:tcPr>
            <w:tcW w:w="7982" w:type="dxa"/>
            <w:shd w:val="clear" w:color="auto" w:fill="auto"/>
            <w:vAlign w:val="center"/>
          </w:tcPr>
          <w:p w14:paraId="1DEBCA34" w14:textId="5B06A461" w:rsidR="00FA4A40" w:rsidRPr="00B56B6E" w:rsidRDefault="00403E1A" w:rsidP="00F21BF2">
            <w:pPr>
              <w:pStyle w:val="CETEquation"/>
            </w:pPr>
            <m:oMathPara>
              <m:oMathParaPr>
                <m:jc m:val="left"/>
              </m:oMathParaP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L</m:t>
                        </m:r>
                      </m:sub>
                    </m:sSub>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S</m:t>
                        </m:r>
                      </m:sup>
                    </m:sSubSup>
                  </m:e>
                </m:d>
                <m:f>
                  <m:fPr>
                    <m:ctrlPr>
                      <w:rPr>
                        <w:rFonts w:ascii="Cambria Math" w:hAnsi="Cambria Math"/>
                        <w:i/>
                      </w:rPr>
                    </m:ctrlPr>
                  </m:fPr>
                  <m:num>
                    <m:r>
                      <w:rPr>
                        <w:rFonts w:ascii="Cambria Math" w:hAnsi="Cambria Math"/>
                      </w:rPr>
                      <m:t>dT</m:t>
                    </m:r>
                  </m:num>
                  <m:den>
                    <m:r>
                      <w:rPr>
                        <w:rFonts w:ascii="Cambria Math" w:hAnsi="Cambria Math"/>
                      </w:rPr>
                      <m:t>dt</m:t>
                    </m:r>
                  </m:den>
                </m:f>
                <m:r>
                  <w:rPr>
                    <w:rFonts w:ascii="Cambria Math" w:hAnsi="Cambria Math"/>
                  </w:rPr>
                  <m:t>=-</m:t>
                </m:r>
                <m:nary>
                  <m:naryPr>
                    <m:chr m:val="∑"/>
                    <m:ctrlPr>
                      <w:rPr>
                        <w:rFonts w:ascii="Cambria Math" w:hAnsi="Cambria Math"/>
                        <w:i/>
                      </w:rPr>
                    </m:ctrlPr>
                  </m:naryPr>
                  <m:sub>
                    <m:r>
                      <w:rPr>
                        <w:rFonts w:ascii="Cambria Math" w:hAnsi="Cambria Math"/>
                      </w:rPr>
                      <m:t>j</m:t>
                    </m:r>
                  </m:sub>
                  <m:sup>
                    <m:r>
                      <w:rPr>
                        <w:rFonts w:ascii="Cambria Math" w:hAnsi="Cambria Math"/>
                      </w:rPr>
                      <m:t>NR</m:t>
                    </m:r>
                  </m:sup>
                  <m:e>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R,j</m:t>
                        </m:r>
                      </m:sub>
                    </m:sSub>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V</m:t>
                    </m:r>
                  </m:e>
                </m:nary>
                <m:r>
                  <w:rPr>
                    <w:rFonts w:ascii="Cambria Math" w:hAnsi="Cambria Math"/>
                  </w:rPr>
                  <m:t>-</m:t>
                </m:r>
                <m:nary>
                  <m:naryPr>
                    <m:chr m:val="∑"/>
                    <m:ctrlPr>
                      <w:rPr>
                        <w:rFonts w:ascii="Cambria Math" w:hAnsi="Cambria Math"/>
                        <w:i/>
                      </w:rPr>
                    </m:ctrlPr>
                  </m:naryPr>
                  <m:sub>
                    <m:r>
                      <w:rPr>
                        <w:rFonts w:ascii="Cambria Math" w:hAnsi="Cambria Math"/>
                      </w:rPr>
                      <m:t>i</m:t>
                    </m:r>
                  </m:sub>
                  <m:sup>
                    <m:r>
                      <w:rPr>
                        <w:rFonts w:ascii="Cambria Math" w:hAnsi="Cambria Math"/>
                      </w:rPr>
                      <m:t>NC</m:t>
                    </m:r>
                  </m:sup>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i</m:t>
                            </m:r>
                          </m:sub>
                        </m:sSub>
                        <m:d>
                          <m:dPr>
                            <m:ctrlPr>
                              <w:rPr>
                                <w:rFonts w:ascii="Cambria Math" w:hAnsi="Cambria Math"/>
                                <w:i/>
                              </w:rPr>
                            </m:ctrlPr>
                          </m:dPr>
                          <m:e>
                            <m:r>
                              <w:rPr>
                                <w:rFonts w:ascii="Cambria Math" w:hAnsi="Cambria Math"/>
                              </w:rPr>
                              <m:t>t</m:t>
                            </m:r>
                          </m:e>
                        </m:d>
                        <m:nary>
                          <m:naryP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F</m:t>
                                </m:r>
                              </m:sub>
                            </m:sSub>
                          </m:sub>
                          <m:sup>
                            <m:r>
                              <w:rPr>
                                <w:rFonts w:ascii="Cambria Math" w:hAnsi="Cambria Math"/>
                              </w:rPr>
                              <m:t>T</m:t>
                            </m:r>
                          </m:sup>
                          <m:e>
                            <m:sSub>
                              <m:sSubPr>
                                <m:ctrlPr>
                                  <w:rPr>
                                    <w:rFonts w:ascii="Cambria Math" w:hAnsi="Cambria Math"/>
                                    <w:i/>
                                  </w:rPr>
                                </m:ctrlPr>
                              </m:sSubPr>
                              <m:e>
                                <m:r>
                                  <w:rPr>
                                    <w:rFonts w:ascii="Cambria Math" w:hAnsi="Cambria Math"/>
                                  </w:rPr>
                                  <m:t>c</m:t>
                                </m:r>
                              </m:e>
                              <m:sub>
                                <m:r>
                                  <w:rPr>
                                    <w:rFonts w:ascii="Cambria Math" w:hAnsi="Cambria Math"/>
                                  </w:rPr>
                                  <m:t>p,i</m:t>
                                </m:r>
                              </m:sub>
                            </m:sSub>
                            <m:d>
                              <m:dPr>
                                <m:ctrlPr>
                                  <w:rPr>
                                    <w:rFonts w:ascii="Cambria Math" w:hAnsi="Cambria Math"/>
                                    <w:i/>
                                  </w:rPr>
                                </m:ctrlPr>
                              </m:dPr>
                              <m:e>
                                <m:r>
                                  <w:rPr>
                                    <w:rFonts w:ascii="Cambria Math" w:hAnsi="Cambria Math"/>
                                  </w:rPr>
                                  <m:t>τ</m:t>
                                </m:r>
                              </m:e>
                            </m:d>
                          </m:e>
                        </m:nary>
                        <m:r>
                          <w:rPr>
                            <w:rFonts w:ascii="Cambria Math" w:hAnsi="Cambria Math"/>
                          </w:rPr>
                          <m:t>dτ</m:t>
                        </m:r>
                      </m:e>
                    </m:d>
                  </m:e>
                </m:nary>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dos</m:t>
                    </m:r>
                  </m:sub>
                </m:sSub>
                <m:d>
                  <m:dPr>
                    <m:ctrlPr>
                      <w:rPr>
                        <w:rFonts w:ascii="Cambria Math" w:hAnsi="Cambria Math"/>
                        <w:i/>
                      </w:rPr>
                    </m:ctrlPr>
                  </m:dPr>
                  <m:e>
                    <m:r>
                      <w:rPr>
                        <w:rFonts w:ascii="Cambria Math" w:hAnsi="Cambria Math"/>
                      </w:rPr>
                      <m:t>t</m:t>
                    </m:r>
                  </m:e>
                </m:d>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mix</m:t>
                    </m:r>
                  </m:sub>
                </m:sSub>
                <m:r>
                  <w:rPr>
                    <w:rFonts w:ascii="Cambria Math" w:hAnsi="Cambria Math"/>
                  </w:rPr>
                  <m:t>-</m:t>
                </m:r>
                <m:acc>
                  <m:accPr>
                    <m:chr m:val="̇"/>
                    <m:ctrlPr>
                      <w:rPr>
                        <w:rFonts w:ascii="Cambria Math" w:hAnsi="Cambria Math"/>
                        <w:i/>
                      </w:rPr>
                    </m:ctrlPr>
                  </m:accPr>
                  <m:e>
                    <m:r>
                      <w:rPr>
                        <w:rFonts w:ascii="Cambria Math" w:hAnsi="Cambria Math"/>
                      </w:rPr>
                      <m:t>Q</m:t>
                    </m:r>
                  </m:e>
                </m:acc>
              </m:oMath>
            </m:oMathPara>
          </w:p>
        </w:tc>
        <w:tc>
          <w:tcPr>
            <w:tcW w:w="805" w:type="dxa"/>
            <w:shd w:val="clear" w:color="auto" w:fill="auto"/>
            <w:vAlign w:val="center"/>
          </w:tcPr>
          <w:p w14:paraId="79B8F618" w14:textId="19DA4BEB" w:rsidR="00FA4A40" w:rsidRPr="00B56B6E" w:rsidRDefault="00FA4A40" w:rsidP="00F21BF2">
            <w:pPr>
              <w:pStyle w:val="CETEquation"/>
            </w:pPr>
            <w:r w:rsidRPr="00B56B6E">
              <w:t>(</w:t>
            </w:r>
            <w:r>
              <w:t>5</w:t>
            </w:r>
            <w:r w:rsidRPr="00B56B6E">
              <w:t>)</w:t>
            </w:r>
          </w:p>
        </w:tc>
      </w:tr>
    </w:tbl>
    <w:p w14:paraId="079AF2F7" w14:textId="77777777" w:rsidR="00ED5A4D" w:rsidRDefault="00883D98" w:rsidP="008518AF">
      <w:pPr>
        <w:pStyle w:val="CETBodytext"/>
      </w:pPr>
      <w:r>
        <w:t xml:space="preserve">where </w:t>
      </w:r>
      <m:oMath>
        <m:sSub>
          <m:sSubPr>
            <m:ctrlPr>
              <w:rPr>
                <w:rFonts w:ascii="Cambria Math" w:hAnsi="Cambria Math"/>
                <w:i/>
              </w:rPr>
            </m:ctrlPr>
          </m:sSubPr>
          <m:e>
            <m:r>
              <w:rPr>
                <w:rFonts w:ascii="Cambria Math" w:hAnsi="Cambria Math"/>
              </w:rPr>
              <m:t>m</m:t>
            </m:r>
          </m:e>
          <m:sub>
            <m:r>
              <w:rPr>
                <w:rFonts w:ascii="Cambria Math" w:hAnsi="Cambria Math"/>
              </w:rPr>
              <m:t>L</m:t>
            </m:r>
          </m:sub>
        </m:sSub>
      </m:oMath>
      <w:r>
        <w:t xml:space="preserve"> is the liquid mass, </w:t>
      </w:r>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L</m:t>
            </m:r>
          </m:sup>
        </m:sSubSup>
      </m:oMath>
      <w:r>
        <w:t xml:space="preserve"> is the liquid mixture specific heat capacity, </w:t>
      </w:r>
      <m:oMath>
        <m:sSubSup>
          <m:sSubSupPr>
            <m:ctrlPr>
              <w:rPr>
                <w:rFonts w:ascii="Cambria Math" w:hAnsi="Cambria Math"/>
                <w:i/>
              </w:rPr>
            </m:ctrlPr>
          </m:sSubSupPr>
          <m:e>
            <m:r>
              <w:rPr>
                <w:rFonts w:ascii="Cambria Math" w:hAnsi="Cambria Math"/>
              </w:rPr>
              <m:t>C</m:t>
            </m:r>
          </m:e>
          <m:sub>
            <m:r>
              <w:rPr>
                <w:rFonts w:ascii="Cambria Math" w:hAnsi="Cambria Math"/>
              </w:rPr>
              <m:t>p</m:t>
            </m:r>
          </m:sub>
          <m:sup>
            <m:r>
              <w:rPr>
                <w:rFonts w:ascii="Cambria Math" w:hAnsi="Cambria Math"/>
              </w:rPr>
              <m:t>S</m:t>
            </m:r>
          </m:sup>
        </m:sSubSup>
      </m:oMath>
      <w:r>
        <w:t xml:space="preserve"> the heat capacity of the inserts (impeller and instruments, given by the experimental apparatus), </w:t>
      </w:r>
      <m:oMath>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R,j</m:t>
            </m:r>
          </m:sub>
        </m:sSub>
      </m:oMath>
      <w:r>
        <w:t xml:space="preserve"> the </w:t>
      </w:r>
      <m:oMath>
        <m:r>
          <w:rPr>
            <w:rFonts w:ascii="Cambria Math" w:hAnsi="Cambria Math"/>
          </w:rPr>
          <m:t>j</m:t>
        </m:r>
      </m:oMath>
      <w:r>
        <w:t>-th reaction enthalpy,</w:t>
      </w:r>
      <w:r w:rsidR="0064099D">
        <w:t xml:space="preserve"> </w:t>
      </w:r>
      <m:oMath>
        <m:r>
          <w:rPr>
            <w:rFonts w:ascii="Cambria Math" w:hAnsi="Cambria Math"/>
          </w:rPr>
          <m:t>NC</m:t>
        </m:r>
      </m:oMath>
      <w:r w:rsidR="0064099D">
        <w:t xml:space="preserve"> the number of species involved in the system,</w:t>
      </w:r>
      <w:r>
        <w:t xml:space="preserve"> </w:t>
      </w:r>
      <m:oMath>
        <m:sSub>
          <m:sSubPr>
            <m:ctrlPr>
              <w:rPr>
                <w:rFonts w:ascii="Cambria Math" w:hAnsi="Cambria Math"/>
                <w:i/>
              </w:rPr>
            </m:ctrlPr>
          </m:sSubPr>
          <m:e>
            <m:r>
              <w:rPr>
                <w:rFonts w:ascii="Cambria Math" w:hAnsi="Cambria Math"/>
              </w:rPr>
              <m:t>c</m:t>
            </m:r>
          </m:e>
          <m:sub>
            <m:r>
              <w:rPr>
                <w:rFonts w:ascii="Cambria Math" w:hAnsi="Cambria Math"/>
              </w:rPr>
              <m:t>p,i</m:t>
            </m:r>
          </m:sub>
        </m:sSub>
      </m:oMath>
      <w:r>
        <w:t xml:space="preserve"> the specific heat capacity of species </w:t>
      </w:r>
      <m:oMath>
        <m:r>
          <w:rPr>
            <w:rFonts w:ascii="Cambria Math" w:hAnsi="Cambria Math"/>
          </w:rPr>
          <m:t>i</m:t>
        </m:r>
      </m:oMath>
      <w:r>
        <w:t xml:space="preserve">, </w:t>
      </w:r>
      <m:oMath>
        <m:sSub>
          <m:sSubPr>
            <m:ctrlPr>
              <w:rPr>
                <w:rFonts w:ascii="Cambria Math" w:hAnsi="Cambria Math"/>
                <w:i/>
              </w:rPr>
            </m:ctrlPr>
          </m:sSubPr>
          <m:e>
            <m:r>
              <w:rPr>
                <w:rFonts w:ascii="Cambria Math" w:hAnsi="Cambria Math"/>
              </w:rPr>
              <m:t>F</m:t>
            </m:r>
          </m:e>
          <m:sub>
            <m:r>
              <w:rPr>
                <w:rFonts w:ascii="Cambria Math" w:hAnsi="Cambria Math"/>
              </w:rPr>
              <m:t>dos</m:t>
            </m:r>
          </m:sub>
        </m:sSub>
        <m:r>
          <w:rPr>
            <w:rFonts w:ascii="Cambria Math" w:hAnsi="Cambria Math"/>
          </w:rPr>
          <m:t>=</m:t>
        </m:r>
        <m:nary>
          <m:naryPr>
            <m:chr m:val="∑"/>
            <m:ctrlPr>
              <w:rPr>
                <w:rFonts w:ascii="Cambria Math" w:hAnsi="Cambria Math"/>
                <w:i/>
              </w:rPr>
            </m:ctrlPr>
          </m:naryPr>
          <m:sub>
            <m:r>
              <w:rPr>
                <w:rFonts w:ascii="Cambria Math" w:hAnsi="Cambria Math"/>
              </w:rPr>
              <m:t>i</m:t>
            </m:r>
          </m:sub>
          <m:sup>
            <m:r>
              <w:rPr>
                <w:rFonts w:ascii="Cambria Math" w:hAnsi="Cambria Math"/>
              </w:rPr>
              <m:t>NC</m:t>
            </m:r>
          </m:sup>
          <m:e>
            <m:sSub>
              <m:sSubPr>
                <m:ctrlPr>
                  <w:rPr>
                    <w:rFonts w:ascii="Cambria Math" w:hAnsi="Cambria Math"/>
                    <w:i/>
                  </w:rPr>
                </m:ctrlPr>
              </m:sSubPr>
              <m:e>
                <m:r>
                  <w:rPr>
                    <w:rFonts w:ascii="Cambria Math" w:hAnsi="Cambria Math"/>
                  </w:rPr>
                  <m:t>F</m:t>
                </m:r>
              </m:e>
              <m:sub>
                <m:r>
                  <w:rPr>
                    <w:rFonts w:ascii="Cambria Math" w:hAnsi="Cambria Math"/>
                  </w:rPr>
                  <m:t>i</m:t>
                </m:r>
              </m:sub>
            </m:sSub>
          </m:e>
        </m:nary>
      </m:oMath>
      <w:r>
        <w:t xml:space="preserve"> the total feed flowrate, </w:t>
      </w:r>
      <m:oMath>
        <m:r>
          <m:rPr>
            <m:sty m:val="p"/>
          </m:rPr>
          <w:rPr>
            <w:rFonts w:ascii="Cambria Math" w:hAnsi="Cambria Math"/>
          </w:rPr>
          <m:t>Δ</m:t>
        </m:r>
        <m:sSub>
          <m:sSubPr>
            <m:ctrlPr>
              <w:rPr>
                <w:rFonts w:ascii="Cambria Math" w:hAnsi="Cambria Math"/>
                <w:i/>
              </w:rPr>
            </m:ctrlPr>
          </m:sSubPr>
          <m:e>
            <m:r>
              <w:rPr>
                <w:rFonts w:ascii="Cambria Math" w:hAnsi="Cambria Math"/>
              </w:rPr>
              <m:t>h</m:t>
            </m:r>
          </m:e>
          <m:sub>
            <m:r>
              <w:rPr>
                <w:rFonts w:ascii="Cambria Math" w:hAnsi="Cambria Math"/>
              </w:rPr>
              <m:t>mix</m:t>
            </m:r>
          </m:sub>
        </m:sSub>
      </m:oMath>
      <w:r>
        <w:t xml:space="preserve"> the mixing enthalpy, and </w:t>
      </w:r>
      <m:oMath>
        <m:acc>
          <m:accPr>
            <m:chr m:val="̇"/>
            <m:ctrlPr>
              <w:rPr>
                <w:rFonts w:ascii="Cambria Math" w:hAnsi="Cambria Math"/>
                <w:i/>
              </w:rPr>
            </m:ctrlPr>
          </m:accPr>
          <m:e>
            <m:r>
              <w:rPr>
                <w:rFonts w:ascii="Cambria Math" w:hAnsi="Cambria Math"/>
              </w:rPr>
              <m:t>Q</m:t>
            </m:r>
          </m:e>
        </m:acc>
      </m:oMath>
      <w:r>
        <w:t xml:space="preserve"> the </w:t>
      </w:r>
      <w:r w:rsidR="00FD2050">
        <w:t>thermal power</w:t>
      </w:r>
      <w:r>
        <w:t xml:space="preserve"> exchanged </w:t>
      </w:r>
      <w:r w:rsidR="00FD2050">
        <w:t xml:space="preserve">with the jacket and the external environment. The mixture specific heat capacity is computed as a mass-average of the pure species heat capacities (polynomial functions of temperature). </w:t>
      </w:r>
    </w:p>
    <w:p w14:paraId="47E84834" w14:textId="77777777" w:rsidR="00ED5A4D" w:rsidRDefault="00FD2050" w:rsidP="008518AF">
      <w:pPr>
        <w:pStyle w:val="CETBodytext"/>
      </w:pPr>
      <w:r>
        <w:t>The mixture enthalp</w:t>
      </w:r>
      <w:r w:rsidR="00722247">
        <w:t>y</w:t>
      </w:r>
      <w:r>
        <w:t xml:space="preserve"> </w:t>
      </w:r>
      <w:r w:rsidR="00722247">
        <w:t>is</w:t>
      </w:r>
      <w:r>
        <w:t xml:space="preserve"> obtained via fitting of the</w:t>
      </w:r>
      <w:r w:rsidR="00722247">
        <w:t xml:space="preserve"> experimental data. </w:t>
      </w:r>
    </w:p>
    <w:p w14:paraId="4C001A05" w14:textId="3526C77C" w:rsidR="00672FF9" w:rsidRDefault="00722247" w:rsidP="008518AF">
      <w:pPr>
        <w:pStyle w:val="CETBodytext"/>
      </w:pPr>
      <w:r>
        <w:t>The thermal power is computed as:</w:t>
      </w:r>
    </w:p>
    <w:tbl>
      <w:tblPr>
        <w:tblW w:w="5000" w:type="pct"/>
        <w:tblLook w:val="04A0" w:firstRow="1" w:lastRow="0" w:firstColumn="1" w:lastColumn="0" w:noHBand="0" w:noVBand="1"/>
      </w:tblPr>
      <w:tblGrid>
        <w:gridCol w:w="7982"/>
        <w:gridCol w:w="805"/>
      </w:tblGrid>
      <w:tr w:rsidR="00722247" w:rsidRPr="00B56B6E" w14:paraId="247788DA" w14:textId="77777777" w:rsidTr="00F21BF2">
        <w:tc>
          <w:tcPr>
            <w:tcW w:w="7982" w:type="dxa"/>
            <w:shd w:val="clear" w:color="auto" w:fill="auto"/>
            <w:vAlign w:val="center"/>
          </w:tcPr>
          <w:p w14:paraId="6C8D928A" w14:textId="21114B3A" w:rsidR="00722247" w:rsidRPr="00B56B6E" w:rsidRDefault="00403E1A" w:rsidP="00F21BF2">
            <w:pPr>
              <w:pStyle w:val="CETEquation"/>
            </w:pPr>
            <m:oMathPara>
              <m:oMathParaPr>
                <m:jc m:val="left"/>
              </m:oMathParaPr>
              <m:oMath>
                <m:acc>
                  <m:accPr>
                    <m:chr m:val="̇"/>
                    <m:ctrlPr>
                      <w:rPr>
                        <w:rFonts w:ascii="Cambria Math" w:hAnsi="Cambria Math"/>
                        <w:i/>
                      </w:rPr>
                    </m:ctrlPr>
                  </m:accPr>
                  <m:e>
                    <m:r>
                      <w:rPr>
                        <w:rFonts w:ascii="Cambria Math" w:hAnsi="Cambria Math"/>
                      </w:rPr>
                      <m:t>Q</m:t>
                    </m:r>
                  </m:e>
                </m:acc>
                <m:r>
                  <w:rPr>
                    <w:rFonts w:ascii="Cambria Math" w:hAnsi="Cambria Math"/>
                  </w:rPr>
                  <m:t>=UA</m:t>
                </m:r>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j</m:t>
                        </m:r>
                      </m:sub>
                    </m:sSub>
                  </m:e>
                </m:d>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UA</m:t>
                        </m:r>
                      </m:e>
                    </m:d>
                  </m:e>
                  <m:sub>
                    <m:r>
                      <w:rPr>
                        <w:rFonts w:ascii="Cambria Math" w:hAnsi="Cambria Math"/>
                      </w:rPr>
                      <m:t>ext</m:t>
                    </m:r>
                  </m:sub>
                </m:sSub>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ext</m:t>
                        </m:r>
                      </m:sub>
                    </m:sSub>
                  </m:e>
                </m:d>
              </m:oMath>
            </m:oMathPara>
          </w:p>
        </w:tc>
        <w:tc>
          <w:tcPr>
            <w:tcW w:w="805" w:type="dxa"/>
            <w:shd w:val="clear" w:color="auto" w:fill="auto"/>
            <w:vAlign w:val="center"/>
          </w:tcPr>
          <w:p w14:paraId="0E3BBABC" w14:textId="140D75A9" w:rsidR="00722247" w:rsidRPr="00B56B6E" w:rsidRDefault="00722247" w:rsidP="00F21BF2">
            <w:pPr>
              <w:pStyle w:val="CETEquation"/>
            </w:pPr>
            <w:r w:rsidRPr="00B56B6E">
              <w:t>(</w:t>
            </w:r>
            <w:r>
              <w:t>6</w:t>
            </w:r>
            <w:r w:rsidRPr="00B56B6E">
              <w:t>)</w:t>
            </w:r>
          </w:p>
        </w:tc>
      </w:tr>
    </w:tbl>
    <w:p w14:paraId="688766E9" w14:textId="51CE649D" w:rsidR="0014059C" w:rsidRDefault="00722247" w:rsidP="008518AF">
      <w:pPr>
        <w:pStyle w:val="CETBodytext"/>
      </w:pPr>
      <w:r>
        <w:t xml:space="preserve">where </w:t>
      </w:r>
      <m:oMath>
        <m:r>
          <w:rPr>
            <w:rFonts w:ascii="Cambria Math" w:hAnsi="Cambria Math"/>
          </w:rPr>
          <m:t>U</m:t>
        </m:r>
      </m:oMath>
      <w:r>
        <w:t xml:space="preserve"> is the global heat exchange coefficient, </w:t>
      </w:r>
      <m:oMath>
        <m:r>
          <w:rPr>
            <w:rFonts w:ascii="Cambria Math" w:hAnsi="Cambria Math"/>
          </w:rPr>
          <m:t>A</m:t>
        </m:r>
      </m:oMath>
      <w:r>
        <w:t xml:space="preserve"> the wetted surface, </w:t>
      </w:r>
      <m:oMath>
        <m:sSub>
          <m:sSubPr>
            <m:ctrlPr>
              <w:rPr>
                <w:rFonts w:ascii="Cambria Math" w:hAnsi="Cambria Math"/>
                <w:i/>
              </w:rPr>
            </m:ctrlPr>
          </m:sSubPr>
          <m:e>
            <m:r>
              <w:rPr>
                <w:rFonts w:ascii="Cambria Math" w:hAnsi="Cambria Math"/>
              </w:rPr>
              <m:t>T</m:t>
            </m:r>
          </m:e>
          <m:sub>
            <m:r>
              <w:rPr>
                <w:rFonts w:ascii="Cambria Math" w:hAnsi="Cambria Math"/>
              </w:rPr>
              <m:t>j</m:t>
            </m:r>
          </m:sub>
        </m:sSub>
      </m:oMath>
      <w:r>
        <w:t xml:space="preserve"> the jacket temperature</w:t>
      </w:r>
      <w:r w:rsidR="00EF4444">
        <w:t xml:space="preserve"> (controlled variable in the control loop), and </w:t>
      </w:r>
      <m:oMath>
        <m:sSub>
          <m:sSubPr>
            <m:ctrlPr>
              <w:rPr>
                <w:rFonts w:ascii="Cambria Math" w:hAnsi="Cambria Math"/>
                <w:i/>
              </w:rPr>
            </m:ctrlPr>
          </m:sSubPr>
          <m:e>
            <m:d>
              <m:dPr>
                <m:ctrlPr>
                  <w:rPr>
                    <w:rFonts w:ascii="Cambria Math" w:hAnsi="Cambria Math"/>
                    <w:i/>
                  </w:rPr>
                </m:ctrlPr>
              </m:dPr>
              <m:e>
                <m:r>
                  <w:rPr>
                    <w:rFonts w:ascii="Cambria Math" w:hAnsi="Cambria Math"/>
                  </w:rPr>
                  <m:t>UA</m:t>
                </m:r>
              </m:e>
            </m:d>
          </m:e>
          <m:sub>
            <m:r>
              <w:rPr>
                <w:rFonts w:ascii="Cambria Math" w:hAnsi="Cambria Math"/>
              </w:rPr>
              <m:t>ext</m:t>
            </m:r>
          </m:sub>
        </m:sSub>
        <m:r>
          <w:rPr>
            <w:rFonts w:ascii="Cambria Math" w:hAnsi="Cambria Math"/>
          </w:rPr>
          <m:t>=0.1 W/K</m:t>
        </m:r>
      </m:oMath>
      <w:r w:rsidR="00EF4444">
        <w:t xml:space="preserve"> a term considering the heat exchange at the top of the reaction vessel due to the external temperature </w:t>
      </w:r>
      <m:oMath>
        <m:sSub>
          <m:sSubPr>
            <m:ctrlPr>
              <w:rPr>
                <w:rFonts w:ascii="Cambria Math" w:hAnsi="Cambria Math"/>
                <w:i/>
              </w:rPr>
            </m:ctrlPr>
          </m:sSubPr>
          <m:e>
            <m:r>
              <w:rPr>
                <w:rFonts w:ascii="Cambria Math" w:hAnsi="Cambria Math"/>
              </w:rPr>
              <m:t>T</m:t>
            </m:r>
          </m:e>
          <m:sub>
            <m:r>
              <w:rPr>
                <w:rFonts w:ascii="Cambria Math" w:hAnsi="Cambria Math"/>
              </w:rPr>
              <m:t>ext</m:t>
            </m:r>
          </m:sub>
        </m:sSub>
        <m:r>
          <w:rPr>
            <w:rFonts w:ascii="Cambria Math" w:hAnsi="Cambria Math"/>
          </w:rPr>
          <m:t>=19 °C</m:t>
        </m:r>
      </m:oMath>
      <w:r w:rsidR="00EF4444">
        <w:t>.</w:t>
      </w:r>
      <w:r w:rsidR="007E053A">
        <w:t xml:space="preserve"> </w:t>
      </w:r>
      <m:oMath>
        <m:r>
          <w:rPr>
            <w:rFonts w:ascii="Cambria Math" w:hAnsi="Cambria Math"/>
          </w:rPr>
          <m:t>U</m:t>
        </m:r>
      </m:oMath>
      <w:r w:rsidR="007E053A">
        <w:t xml:space="preserve"> </w:t>
      </w:r>
      <w:r w:rsidR="00595CE9">
        <w:t>considers</w:t>
      </w:r>
      <w:r w:rsidR="007E053A">
        <w:t xml:space="preserve"> the resistances given by the</w:t>
      </w:r>
      <w:r w:rsidR="00595CE9">
        <w:t xml:space="preserve"> vessel</w:t>
      </w:r>
      <w:r w:rsidR="007E053A">
        <w:t xml:space="preserve"> glass</w:t>
      </w:r>
      <w:r w:rsidR="00595CE9">
        <w:t xml:space="preserve"> wall</w:t>
      </w:r>
      <w:r w:rsidR="007E053A">
        <w:t xml:space="preserve"> (roughly 1</w:t>
      </w:r>
      <w:r w:rsidR="006C3629">
        <w:t>3</w:t>
      </w:r>
      <w:r w:rsidR="007E053A">
        <w:t>0 W</w:t>
      </w:r>
      <w:r w:rsidR="00595CE9">
        <w:t>/m</w:t>
      </w:r>
      <w:r w:rsidR="00595CE9" w:rsidRPr="00595CE9">
        <w:rPr>
          <w:vertAlign w:val="superscript"/>
        </w:rPr>
        <w:t>2</w:t>
      </w:r>
      <w:r w:rsidR="007E053A">
        <w:t xml:space="preserve">/K) and the internal convection. The latter is computed with a correlation for agitated vessels equipped with propellers </w:t>
      </w:r>
      <w:r w:rsidR="00ED5A4D">
        <w:t>(</w:t>
      </w:r>
      <w:r w:rsidR="008D7B62">
        <w:t>using</w:t>
      </w:r>
      <w:r w:rsidR="001C3064">
        <w:t xml:space="preserve"> </w:t>
      </w:r>
      <w:r w:rsidR="007E053A">
        <w:t xml:space="preserve">Nienow </w:t>
      </w:r>
      <w:r w:rsidR="008D7B62">
        <w:t xml:space="preserve">correlation </w:t>
      </w:r>
      <w:r w:rsidR="001C3064">
        <w:t>(</w:t>
      </w:r>
      <w:r w:rsidR="008D7B62">
        <w:t>Green et al., 2019)</w:t>
      </w:r>
      <w:r w:rsidR="00ED5A4D">
        <w:t>)</w:t>
      </w:r>
      <w:r w:rsidR="00235801">
        <w:t>, taking into account</w:t>
      </w:r>
      <w:r w:rsidR="007E053A">
        <w:t xml:space="preserve"> the effect of the </w:t>
      </w:r>
      <w:r w:rsidR="00595CE9">
        <w:t xml:space="preserve">impeller speed and the </w:t>
      </w:r>
      <w:r w:rsidR="00235801">
        <w:t>fluid</w:t>
      </w:r>
      <w:r w:rsidR="00595CE9">
        <w:t xml:space="preserve"> properties</w:t>
      </w:r>
      <w:r w:rsidR="00235801">
        <w:t>.</w:t>
      </w:r>
      <w:r w:rsidR="0014059C">
        <w:t xml:space="preserve"> The Nusselt number for internal convection is evaluated as:</w:t>
      </w:r>
    </w:p>
    <w:tbl>
      <w:tblPr>
        <w:tblW w:w="5000" w:type="pct"/>
        <w:tblLook w:val="04A0" w:firstRow="1" w:lastRow="0" w:firstColumn="1" w:lastColumn="0" w:noHBand="0" w:noVBand="1"/>
      </w:tblPr>
      <w:tblGrid>
        <w:gridCol w:w="7982"/>
        <w:gridCol w:w="805"/>
      </w:tblGrid>
      <w:tr w:rsidR="0014059C" w:rsidRPr="00B56B6E" w14:paraId="6A1DF7FE" w14:textId="77777777" w:rsidTr="000F154A">
        <w:tc>
          <w:tcPr>
            <w:tcW w:w="7982" w:type="dxa"/>
            <w:shd w:val="clear" w:color="auto" w:fill="auto"/>
            <w:vAlign w:val="center"/>
          </w:tcPr>
          <w:p w14:paraId="69FDDE7C" w14:textId="5094E32F" w:rsidR="0014059C" w:rsidRPr="00B56B6E" w:rsidRDefault="0014059C" w:rsidP="000F154A">
            <w:pPr>
              <w:pStyle w:val="CETEquation"/>
            </w:pPr>
            <m:oMathPara>
              <m:oMathParaPr>
                <m:jc m:val="left"/>
              </m:oMathParaPr>
              <m:oMath>
                <m:r>
                  <w:rPr>
                    <w:rFonts w:ascii="Cambria Math" w:hAnsi="Cambria Math"/>
                  </w:rPr>
                  <m:t>Nu=0.46 R</m:t>
                </m:r>
                <m:sSup>
                  <m:sSupPr>
                    <m:ctrlPr>
                      <w:rPr>
                        <w:rFonts w:ascii="Cambria Math" w:hAnsi="Cambria Math"/>
                        <w:i/>
                      </w:rPr>
                    </m:ctrlPr>
                  </m:sSupPr>
                  <m:e>
                    <m:r>
                      <w:rPr>
                        <w:rFonts w:ascii="Cambria Math" w:hAnsi="Cambria Math"/>
                      </w:rPr>
                      <m:t>e</m:t>
                    </m:r>
                  </m:e>
                  <m:sup>
                    <m:r>
                      <w:rPr>
                        <w:rFonts w:ascii="Cambria Math" w:hAnsi="Cambria Math"/>
                      </w:rPr>
                      <m:t>2/3</m:t>
                    </m:r>
                  </m:sup>
                </m:sSup>
                <m:r>
                  <w:rPr>
                    <w:rFonts w:ascii="Cambria Math" w:hAnsi="Cambria Math"/>
                  </w:rPr>
                  <m:t>P</m:t>
                </m:r>
                <m:sSup>
                  <m:sSupPr>
                    <m:ctrlPr>
                      <w:rPr>
                        <w:rFonts w:ascii="Cambria Math" w:hAnsi="Cambria Math"/>
                        <w:i/>
                      </w:rPr>
                    </m:ctrlPr>
                  </m:sSupPr>
                  <m:e>
                    <m:r>
                      <w:rPr>
                        <w:rFonts w:ascii="Cambria Math" w:hAnsi="Cambria Math"/>
                      </w:rPr>
                      <m:t>r</m:t>
                    </m:r>
                  </m:e>
                  <m:sup>
                    <m:r>
                      <w:rPr>
                        <w:rFonts w:ascii="Cambria Math" w:hAnsi="Cambria Math"/>
                      </w:rPr>
                      <m:t>1/3</m:t>
                    </m:r>
                  </m:sup>
                </m:sSup>
              </m:oMath>
            </m:oMathPara>
          </w:p>
        </w:tc>
        <w:tc>
          <w:tcPr>
            <w:tcW w:w="805" w:type="dxa"/>
            <w:shd w:val="clear" w:color="auto" w:fill="auto"/>
            <w:vAlign w:val="center"/>
          </w:tcPr>
          <w:p w14:paraId="4B4D28AB" w14:textId="48CBB190" w:rsidR="0014059C" w:rsidRPr="00B56B6E" w:rsidRDefault="0014059C" w:rsidP="000F154A">
            <w:pPr>
              <w:pStyle w:val="CETEquation"/>
            </w:pPr>
            <w:r w:rsidRPr="00B56B6E">
              <w:t>(</w:t>
            </w:r>
            <w:r>
              <w:t>7</w:t>
            </w:r>
            <w:r w:rsidRPr="00B56B6E">
              <w:t>)</w:t>
            </w:r>
          </w:p>
        </w:tc>
      </w:tr>
    </w:tbl>
    <w:p w14:paraId="621C2BC7" w14:textId="4996E77C" w:rsidR="00722247" w:rsidRDefault="000C2CDF" w:rsidP="008518AF">
      <w:pPr>
        <w:pStyle w:val="CETBodytext"/>
      </w:pPr>
      <w:r>
        <w:t xml:space="preserve">where </w:t>
      </w:r>
      <m:oMath>
        <m:r>
          <w:rPr>
            <w:rFonts w:ascii="Cambria Math" w:hAnsi="Cambria Math"/>
          </w:rPr>
          <m:t>Re</m:t>
        </m:r>
      </m:oMath>
      <w:r>
        <w:t xml:space="preserve"> is the Reynolds number and </w:t>
      </w:r>
      <m:oMath>
        <m:r>
          <w:rPr>
            <w:rFonts w:ascii="Cambria Math" w:hAnsi="Cambria Math"/>
          </w:rPr>
          <m:t>Pr</m:t>
        </m:r>
      </m:oMath>
      <w:r>
        <w:t xml:space="preserve"> is the Prandtl number of the mixture. </w:t>
      </w:r>
      <m:oMath>
        <m:r>
          <w:rPr>
            <w:rFonts w:ascii="Cambria Math" w:hAnsi="Cambria Math"/>
          </w:rPr>
          <m:t>Re</m:t>
        </m:r>
      </m:oMath>
      <w:r>
        <w:t xml:space="preserve"> is evaluated as </w:t>
      </w:r>
      <m:oMath>
        <m:r>
          <w:rPr>
            <w:rFonts w:ascii="Cambria Math" w:hAnsi="Cambria Math"/>
          </w:rPr>
          <m:t>N</m:t>
        </m:r>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ρ/η</m:t>
        </m:r>
      </m:oMath>
      <w:r>
        <w:t xml:space="preserve">, being </w:t>
      </w:r>
      <m:oMath>
        <m:r>
          <w:rPr>
            <w:rFonts w:ascii="Cambria Math" w:hAnsi="Cambria Math"/>
          </w:rPr>
          <m:t>N</m:t>
        </m:r>
      </m:oMath>
      <w:r>
        <w:t xml:space="preserve"> the propeller rotation speed (200 rpm in this work), </w:t>
      </w:r>
      <m:oMath>
        <m:r>
          <w:rPr>
            <w:rFonts w:ascii="Cambria Math" w:hAnsi="Cambria Math"/>
          </w:rPr>
          <m:t>D</m:t>
        </m:r>
      </m:oMath>
      <w:r>
        <w:t xml:space="preserve"> the propeller diameter, </w:t>
      </w:r>
      <m:oMath>
        <m:r>
          <w:rPr>
            <w:rFonts w:ascii="Cambria Math" w:hAnsi="Cambria Math"/>
          </w:rPr>
          <m:t>ρ</m:t>
        </m:r>
      </m:oMath>
      <w:r>
        <w:t xml:space="preserve"> the mixture density (computed as an ideal mixture), and </w:t>
      </w:r>
      <m:oMath>
        <m:r>
          <w:rPr>
            <w:rFonts w:ascii="Cambria Math" w:hAnsi="Cambria Math"/>
          </w:rPr>
          <m:t>η</m:t>
        </m:r>
      </m:oMath>
      <w:r>
        <w:t xml:space="preserve"> the dynamic viscosity of the mixture (computed as a weight average of the pure species viscosities). </w:t>
      </w:r>
      <w:r w:rsidR="00EE7F54">
        <w:t>P</w:t>
      </w:r>
      <w:r w:rsidR="00595CE9">
        <w:t>ure</w:t>
      </w:r>
      <w:r>
        <w:t xml:space="preserve"> liquid </w:t>
      </w:r>
      <w:r w:rsidR="007E053A">
        <w:t>densities</w:t>
      </w:r>
      <w:r w:rsidR="00595CE9">
        <w:t xml:space="preserve"> and</w:t>
      </w:r>
      <w:r w:rsidR="007E053A">
        <w:t xml:space="preserve"> viscosities</w:t>
      </w:r>
      <w:r w:rsidR="00595CE9">
        <w:t xml:space="preserve"> were expressed as</w:t>
      </w:r>
      <w:r w:rsidR="007E053A">
        <w:t xml:space="preserve"> a function of temperature</w:t>
      </w:r>
      <w:r w:rsidR="00595CE9">
        <w:t xml:space="preserve"> </w:t>
      </w:r>
      <w:r w:rsidR="00B11743">
        <w:t>(Green et al., 2019)</w:t>
      </w:r>
      <w:r w:rsidR="007E053A">
        <w:t xml:space="preserve"> </w:t>
      </w:r>
      <w:r w:rsidR="00595CE9">
        <w:t>while</w:t>
      </w:r>
      <w:r w:rsidR="007E053A">
        <w:t xml:space="preserve"> constant thermal conductivities</w:t>
      </w:r>
      <w:r w:rsidR="00595CE9">
        <w:t xml:space="preserve"> were used.</w:t>
      </w:r>
    </w:p>
    <w:p w14:paraId="36738ADB" w14:textId="2C08272E" w:rsidR="00C30955" w:rsidRDefault="00C30955" w:rsidP="008518AF">
      <w:pPr>
        <w:pStyle w:val="CETBodytext"/>
      </w:pPr>
      <w:r>
        <w:t>The jacket temperature is controlled using Peltier cells and the control action is</w:t>
      </w:r>
      <w:r w:rsidR="00235801">
        <w:t xml:space="preserve"> described by</w:t>
      </w:r>
      <w:r>
        <w:t>:</w:t>
      </w:r>
    </w:p>
    <w:tbl>
      <w:tblPr>
        <w:tblW w:w="5000" w:type="pct"/>
        <w:tblLook w:val="04A0" w:firstRow="1" w:lastRow="0" w:firstColumn="1" w:lastColumn="0" w:noHBand="0" w:noVBand="1"/>
      </w:tblPr>
      <w:tblGrid>
        <w:gridCol w:w="7982"/>
        <w:gridCol w:w="805"/>
      </w:tblGrid>
      <w:tr w:rsidR="00C30955" w:rsidRPr="00B56B6E" w14:paraId="40E232F2" w14:textId="77777777" w:rsidTr="00F21BF2">
        <w:tc>
          <w:tcPr>
            <w:tcW w:w="7982" w:type="dxa"/>
            <w:shd w:val="clear" w:color="auto" w:fill="auto"/>
            <w:vAlign w:val="center"/>
          </w:tcPr>
          <w:p w14:paraId="7D0B6757" w14:textId="71BB646F" w:rsidR="00C30955" w:rsidRPr="00B56B6E" w:rsidRDefault="00403E1A" w:rsidP="00F21BF2">
            <w:pPr>
              <w:pStyle w:val="CETEquation"/>
            </w:pPr>
            <m:oMathPara>
              <m:oMathParaPr>
                <m:jc m:val="left"/>
              </m:oMathParaPr>
              <m:oMath>
                <m:sSub>
                  <m:sSubPr>
                    <m:ctrlPr>
                      <w:rPr>
                        <w:rFonts w:ascii="Cambria Math" w:hAnsi="Cambria Math"/>
                        <w:i/>
                      </w:rPr>
                    </m:ctrlPr>
                  </m:sSubPr>
                  <m:e>
                    <m:r>
                      <w:rPr>
                        <w:rFonts w:ascii="Cambria Math" w:hAnsi="Cambria Math"/>
                      </w:rPr>
                      <m:t>T</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d>
                  <m:dPr>
                    <m:ctrlPr>
                      <w:rPr>
                        <w:rFonts w:ascii="Cambria Math" w:hAnsi="Cambria Math"/>
                        <w:i/>
                      </w:rPr>
                    </m:ctrlPr>
                  </m:dPr>
                  <m:e>
                    <m:r>
                      <w:rPr>
                        <w:rFonts w:ascii="Cambria Math" w:hAnsi="Cambria Math"/>
                      </w:rPr>
                      <m:t>ε+</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τ</m:t>
                            </m:r>
                          </m:e>
                          <m:sub>
                            <m:r>
                              <w:rPr>
                                <w:rFonts w:ascii="Cambria Math" w:hAnsi="Cambria Math"/>
                              </w:rPr>
                              <m:t>I</m:t>
                            </m:r>
                          </m:sub>
                        </m:sSub>
                      </m:den>
                    </m:f>
                    <m:nary>
                      <m:naryP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ε</m:t>
                        </m:r>
                        <m:d>
                          <m:dPr>
                            <m:ctrlPr>
                              <w:rPr>
                                <w:rFonts w:ascii="Cambria Math" w:hAnsi="Cambria Math"/>
                                <w:i/>
                              </w:rPr>
                            </m:ctrlPr>
                          </m:dPr>
                          <m:e>
                            <m:r>
                              <w:rPr>
                                <w:rFonts w:ascii="Cambria Math" w:hAnsi="Cambria Math"/>
                              </w:rPr>
                              <m:t>τ</m:t>
                            </m:r>
                          </m:e>
                        </m:d>
                      </m:e>
                    </m:nary>
                    <m:r>
                      <w:rPr>
                        <w:rFonts w:ascii="Cambria Math" w:hAnsi="Cambria Math"/>
                      </w:rPr>
                      <m:t>dτ</m:t>
                    </m:r>
                  </m:e>
                </m:d>
              </m:oMath>
            </m:oMathPara>
          </w:p>
        </w:tc>
        <w:tc>
          <w:tcPr>
            <w:tcW w:w="805" w:type="dxa"/>
            <w:shd w:val="clear" w:color="auto" w:fill="auto"/>
            <w:vAlign w:val="center"/>
          </w:tcPr>
          <w:p w14:paraId="398866F2" w14:textId="77777777" w:rsidR="00C30955" w:rsidRPr="00B56B6E" w:rsidRDefault="00C30955" w:rsidP="00F21BF2">
            <w:pPr>
              <w:pStyle w:val="CETEquation"/>
            </w:pPr>
            <w:r w:rsidRPr="00B56B6E">
              <w:t>(</w:t>
            </w:r>
            <w:r>
              <w:t>6</w:t>
            </w:r>
            <w:r w:rsidRPr="00B56B6E">
              <w:t>)</w:t>
            </w:r>
          </w:p>
        </w:tc>
      </w:tr>
    </w:tbl>
    <w:p w14:paraId="1815F885" w14:textId="5A12947B" w:rsidR="00FA4A40" w:rsidRDefault="00C30955" w:rsidP="008518AF">
      <w:pPr>
        <w:pStyle w:val="CETBodytext"/>
      </w:pPr>
      <w:r>
        <w:t>where the proportional action</w:t>
      </w:r>
      <w:r w:rsidR="006C3629">
        <w:t xml:space="preserve">, </w:t>
      </w:r>
      <m:oMath>
        <m:sSub>
          <m:sSubPr>
            <m:ctrlPr>
              <w:rPr>
                <w:rFonts w:ascii="Cambria Math" w:hAnsi="Cambria Math"/>
                <w:i/>
              </w:rPr>
            </m:ctrlPr>
          </m:sSubPr>
          <m:e>
            <m:r>
              <w:rPr>
                <w:rFonts w:ascii="Cambria Math" w:hAnsi="Cambria Math"/>
              </w:rPr>
              <m:t>K</m:t>
            </m:r>
          </m:e>
          <m:sub>
            <m:r>
              <w:rPr>
                <w:rFonts w:ascii="Cambria Math" w:hAnsi="Cambria Math"/>
              </w:rPr>
              <m:t>p</m:t>
            </m:r>
          </m:sub>
        </m:sSub>
      </m:oMath>
      <w:r w:rsidR="006C3629">
        <w:t>,</w:t>
      </w:r>
      <w:r>
        <w:t xml:space="preserve"> is</w:t>
      </w:r>
      <w:r w:rsidR="006C3629">
        <w:t xml:space="preserve"> equal to 4 a</w:t>
      </w:r>
      <w:r>
        <w:t>nd the integral time</w:t>
      </w:r>
      <w:r w:rsidR="006C3629">
        <w:t xml:space="preserve">, </w:t>
      </w:r>
      <m:oMath>
        <m:sSub>
          <m:sSubPr>
            <m:ctrlPr>
              <w:rPr>
                <w:rFonts w:ascii="Cambria Math" w:hAnsi="Cambria Math"/>
                <w:i/>
              </w:rPr>
            </m:ctrlPr>
          </m:sSubPr>
          <m:e>
            <m:r>
              <w:rPr>
                <w:rFonts w:ascii="Cambria Math" w:hAnsi="Cambria Math"/>
              </w:rPr>
              <m:t>τ</m:t>
            </m:r>
          </m:e>
          <m:sub>
            <m:r>
              <w:rPr>
                <w:rFonts w:ascii="Cambria Math" w:hAnsi="Cambria Math"/>
              </w:rPr>
              <m:t>I</m:t>
            </m:r>
          </m:sub>
        </m:sSub>
      </m:oMath>
      <w:r w:rsidR="006C3629">
        <w:t>,</w:t>
      </w:r>
      <w:r>
        <w:t xml:space="preserve"> is</w:t>
      </w:r>
      <w:r w:rsidR="006C3629">
        <w:t xml:space="preserve"> equal to 500 s</w:t>
      </w:r>
      <w:r>
        <w:t xml:space="preserve"> </w:t>
      </w:r>
      <w:r w:rsidR="006C3629">
        <w:t>for the 500 mL reactor and 60 s for the 1 L reactor.</w:t>
      </w:r>
    </w:p>
    <w:p w14:paraId="15D72879" w14:textId="51B8427A" w:rsidR="00AB4065" w:rsidRDefault="00AB4065" w:rsidP="008518AF">
      <w:pPr>
        <w:pStyle w:val="CETBodytext"/>
      </w:pPr>
      <w:r>
        <w:t xml:space="preserve">The aforementioned equations were numerically </w:t>
      </w:r>
      <w:r w:rsidR="0055393A">
        <w:t xml:space="preserve">solved </w:t>
      </w:r>
      <w:r>
        <w:t>and the results fitted to the experimental data to obtain the unknown kinetic parameters (namely, the kinetic constants and the activation energies for the three forward reactions 1-3). The objective function selected was the sum of square errors of the reactor temperature.</w:t>
      </w:r>
    </w:p>
    <w:p w14:paraId="30B248AA" w14:textId="7D6A766D" w:rsidR="00255FA8" w:rsidRDefault="0054698B" w:rsidP="00255FA8">
      <w:pPr>
        <w:pStyle w:val="CETHeading1"/>
      </w:pPr>
      <w:r>
        <w:t>Results</w:t>
      </w:r>
    </w:p>
    <w:p w14:paraId="784E23D6" w14:textId="4D23B307" w:rsidR="00074071" w:rsidRDefault="002778FF" w:rsidP="00074071">
      <w:pPr>
        <w:pStyle w:val="CETBodytext"/>
      </w:pPr>
      <w:r>
        <w:t>Experimental t</w:t>
      </w:r>
      <w:r w:rsidR="00817A32">
        <w:t xml:space="preserve">ests </w:t>
      </w:r>
      <w:r>
        <w:t>#</w:t>
      </w:r>
      <w:r w:rsidR="00817A32">
        <w:t>1</w:t>
      </w:r>
      <w:r>
        <w:t>, #2</w:t>
      </w:r>
      <w:r w:rsidR="00817A32">
        <w:t xml:space="preserve"> </w:t>
      </w:r>
      <w:r>
        <w:t>and</w:t>
      </w:r>
      <w:r w:rsidR="00817A32">
        <w:t xml:space="preserve"> </w:t>
      </w:r>
      <w:r>
        <w:t>#</w:t>
      </w:r>
      <w:r w:rsidR="00817A32">
        <w:t xml:space="preserve">3, </w:t>
      </w:r>
      <w:r>
        <w:t>whose recipes are detailed</w:t>
      </w:r>
      <w:r w:rsidR="00817A32">
        <w:t xml:space="preserve"> in Table 1, were used to fit the kinetics of Eq (1) to Eq (3). </w:t>
      </w:r>
      <w:r>
        <w:t xml:space="preserve">Particulalry, </w:t>
      </w:r>
      <w:r w:rsidR="006E0B53">
        <w:t xml:space="preserve">Figure </w:t>
      </w:r>
      <w:r w:rsidR="008D7B62">
        <w:t>1</w:t>
      </w:r>
      <w:r w:rsidR="006E0B53">
        <w:t xml:space="preserve"> reports the comparison of </w:t>
      </w:r>
      <w:r>
        <w:t xml:space="preserve">experimental reactor temperature vs </w:t>
      </w:r>
      <w:r w:rsidR="006E0B53">
        <w:t xml:space="preserve">model predictions, showing a good agreement. </w:t>
      </w:r>
      <w:r w:rsidR="002B3E56">
        <w:t xml:space="preserve">Figures </w:t>
      </w:r>
      <w:r w:rsidR="008D7B62">
        <w:t>1</w:t>
      </w:r>
      <w:r w:rsidR="002B3E56">
        <w:t xml:space="preserve">a and </w:t>
      </w:r>
      <w:r w:rsidR="008D7B62">
        <w:t>1</w:t>
      </w:r>
      <w:r w:rsidR="002B3E56">
        <w:t>b denote the endothermic effect of mixing, accounted for by a mixing enthalpy of about 4 kJ/mol</w:t>
      </w:r>
      <w:r w:rsidR="00B77A4C">
        <w:t xml:space="preserve"> (in good agreement with the value of 5 kJ/mol reported in Casson </w:t>
      </w:r>
      <w:r w:rsidR="00224564">
        <w:t>et al. (2012)</w:t>
      </w:r>
      <w:r w:rsidR="00B77A4C">
        <w:t>). The slight overestimation of the peak temperature can be due to a minor evaporation of the solvent (neglected in the model) which was observed in the experiments, as droplets formed on the vessel ceiling.</w:t>
      </w:r>
      <w:r w:rsidR="002B3E56">
        <w:t xml:space="preserve"> Figure </w:t>
      </w:r>
      <w:r w:rsidR="008D7B62">
        <w:t>1</w:t>
      </w:r>
      <w:r w:rsidR="002B3E56">
        <w:t>c shows that reaction (2) is almost thermally neutral and that the integral action of the temperature controller becomes relevant leading to oscillations.</w:t>
      </w:r>
    </w:p>
    <w:p w14:paraId="0BFD044B" w14:textId="6E5C96D9" w:rsidR="00336431" w:rsidRDefault="0032397B" w:rsidP="00074071">
      <w:pPr>
        <w:pStyle w:val="CETBodytext"/>
      </w:pPr>
      <w:r>
        <w:lastRenderedPageBreak/>
        <w:t>a)</w:t>
      </w:r>
      <w:r w:rsidRPr="0032397B">
        <w:t xml:space="preserve"> </w:t>
      </w:r>
      <w:r w:rsidR="002B40CA" w:rsidRPr="002B40CA">
        <w:rPr>
          <w:noProof/>
        </w:rPr>
        <w:drawing>
          <wp:inline distT="0" distB="0" distL="0" distR="0" wp14:anchorId="1961DBDE" wp14:editId="7FAE5B49">
            <wp:extent cx="1564596" cy="252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2335" r="51101"/>
                    <a:stretch/>
                  </pic:blipFill>
                  <pic:spPr bwMode="auto">
                    <a:xfrm>
                      <a:off x="0" y="0"/>
                      <a:ext cx="1564596" cy="252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b)</w:t>
      </w:r>
      <w:r w:rsidR="002B40CA" w:rsidRPr="002B40CA">
        <w:t xml:space="preserve"> </w:t>
      </w:r>
      <w:r w:rsidR="002B40CA" w:rsidRPr="002B40CA">
        <w:rPr>
          <w:noProof/>
        </w:rPr>
        <w:drawing>
          <wp:inline distT="0" distB="0" distL="0" distR="0" wp14:anchorId="4198D3AC" wp14:editId="229C7E85">
            <wp:extent cx="1564595" cy="252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2198" r="51238"/>
                    <a:stretch/>
                  </pic:blipFill>
                  <pic:spPr bwMode="auto">
                    <a:xfrm>
                      <a:off x="0" y="0"/>
                      <a:ext cx="1564595" cy="252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c)</w:t>
      </w:r>
      <w:r w:rsidR="002B40CA">
        <w:t xml:space="preserve"> </w:t>
      </w:r>
      <w:r w:rsidR="002B40CA" w:rsidRPr="002B40CA">
        <w:rPr>
          <w:noProof/>
        </w:rPr>
        <w:drawing>
          <wp:inline distT="0" distB="0" distL="0" distR="0" wp14:anchorId="3E8A4405" wp14:editId="1D99ED4D">
            <wp:extent cx="1559980" cy="25200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2198" r="51376"/>
                    <a:stretch/>
                  </pic:blipFill>
                  <pic:spPr bwMode="auto">
                    <a:xfrm>
                      <a:off x="0" y="0"/>
                      <a:ext cx="1559980" cy="2520000"/>
                    </a:xfrm>
                    <a:prstGeom prst="rect">
                      <a:avLst/>
                    </a:prstGeom>
                    <a:noFill/>
                    <a:ln>
                      <a:noFill/>
                    </a:ln>
                    <a:extLst>
                      <a:ext uri="{53640926-AAD7-44D8-BBD7-CCE9431645EC}">
                        <a14:shadowObscured xmlns:a14="http://schemas.microsoft.com/office/drawing/2010/main"/>
                      </a:ext>
                    </a:extLst>
                  </pic:spPr>
                </pic:pic>
              </a:graphicData>
            </a:graphic>
          </wp:inline>
        </w:drawing>
      </w:r>
    </w:p>
    <w:p w14:paraId="1B1AAF0E" w14:textId="05060A94" w:rsidR="0032397B" w:rsidRDefault="0032397B" w:rsidP="0032397B">
      <w:pPr>
        <w:pStyle w:val="CETCaption"/>
      </w:pPr>
      <w:r>
        <w:t xml:space="preserve">Figure </w:t>
      </w:r>
      <w:r w:rsidR="008D7B62">
        <w:t>1</w:t>
      </w:r>
      <w:r>
        <w:t>: Comparison of the experimental data (solid blue line) and model predictions (dashed red line) for experiment 1 (a), 2 (b), and 3 (c).</w:t>
      </w:r>
    </w:p>
    <w:p w14:paraId="33C60B7B" w14:textId="5EEF7177" w:rsidR="00336431" w:rsidRPr="00074071" w:rsidRDefault="00B77A4C" w:rsidP="00074071">
      <w:pPr>
        <w:pStyle w:val="CETBodytext"/>
      </w:pPr>
      <w:r>
        <w:t xml:space="preserve">The </w:t>
      </w:r>
      <w:r w:rsidR="002778FF">
        <w:t xml:space="preserve">fitted </w:t>
      </w:r>
      <w:r>
        <w:t>kinetic parameters</w:t>
      </w:r>
      <w:r w:rsidR="002778FF">
        <w:t xml:space="preserve"> </w:t>
      </w:r>
      <w:r>
        <w:t>and the reaction enthalp</w:t>
      </w:r>
      <w:r w:rsidR="00817A32">
        <w:t>ies</w:t>
      </w:r>
      <w:r>
        <w:t xml:space="preserve"> at 25 °C are reported in Table 2.</w:t>
      </w:r>
      <w:r w:rsidR="00A35A58">
        <w:t xml:space="preserve"> The reaction enthalpies </w:t>
      </w:r>
      <w:r w:rsidR="002778FF">
        <w:t xml:space="preserve">considered in the model </w:t>
      </w:r>
      <w:r w:rsidR="00A35A58">
        <w:t xml:space="preserve">were </w:t>
      </w:r>
      <w:r w:rsidR="002778FF">
        <w:t xml:space="preserve">derived </w:t>
      </w:r>
      <w:r w:rsidR="00A35A58">
        <w:t xml:space="preserve">from the </w:t>
      </w:r>
      <w:r w:rsidR="002778FF">
        <w:t xml:space="preserve">reactants and products </w:t>
      </w:r>
      <w:r w:rsidR="00A35A58">
        <w:t xml:space="preserve">formation enthalpies </w:t>
      </w:r>
      <w:r w:rsidR="008D7B62">
        <w:t>(NIST)</w:t>
      </w:r>
      <w:r w:rsidR="00A35A58">
        <w:t xml:space="preserve"> and</w:t>
      </w:r>
      <w:r w:rsidR="002778FF">
        <w:t xml:space="preserve"> their comparison with the experimental values obtained from Tests #1, #2 and #3 was good.</w:t>
      </w:r>
      <w:r w:rsidR="00A35A58">
        <w:t xml:space="preserve"> </w:t>
      </w:r>
      <w:r w:rsidR="002778FF">
        <w:t>Moreover, for</w:t>
      </w:r>
      <w:r w:rsidR="00A35A58">
        <w:t xml:space="preserve"> </w:t>
      </w:r>
      <w:r w:rsidR="00817A32">
        <w:t xml:space="preserve">Eq </w:t>
      </w:r>
      <w:r w:rsidR="00A35A58">
        <w:t>(1)</w:t>
      </w:r>
      <w:r w:rsidR="002778FF">
        <w:t>, the modeled value</w:t>
      </w:r>
      <w:r w:rsidR="00A35A58">
        <w:t xml:space="preserve"> well agrees with </w:t>
      </w:r>
      <w:r w:rsidR="002778FF">
        <w:t xml:space="preserve">the experimental one determined by </w:t>
      </w:r>
      <w:r w:rsidR="00A35A58">
        <w:t xml:space="preserve">Casson </w:t>
      </w:r>
      <w:r w:rsidR="008D7B62">
        <w:t>et al. (2012)</w:t>
      </w:r>
      <w:r w:rsidR="00A35A58">
        <w:t>.</w:t>
      </w:r>
    </w:p>
    <w:p w14:paraId="42C38F5F" w14:textId="2B6F30AD" w:rsidR="008876AA" w:rsidRPr="00B57B36" w:rsidRDefault="008876AA" w:rsidP="008876AA">
      <w:pPr>
        <w:pStyle w:val="CETTabletitle"/>
      </w:pPr>
      <w:r w:rsidRPr="00B57B36">
        <w:t xml:space="preserve">Table </w:t>
      </w:r>
      <w:r>
        <w:t>2</w:t>
      </w:r>
      <w:r w:rsidRPr="00B57B36">
        <w:t xml:space="preserve">: </w:t>
      </w:r>
      <w:r>
        <w:t>Obtained kinetic parameters</w:t>
      </w:r>
      <w:r w:rsidR="00B77A4C">
        <w:t xml:space="preserve"> and reaction enthalpy at 25 °C</w:t>
      </w:r>
      <w:r>
        <w:t>.</w:t>
      </w:r>
    </w:p>
    <w:tbl>
      <w:tblPr>
        <w:tblW w:w="816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48"/>
        <w:gridCol w:w="1304"/>
        <w:gridCol w:w="1304"/>
        <w:gridCol w:w="1304"/>
        <w:gridCol w:w="1304"/>
      </w:tblGrid>
      <w:tr w:rsidR="00706126" w:rsidRPr="00B57B36" w14:paraId="472CC593" w14:textId="77777777" w:rsidTr="00706126">
        <w:tc>
          <w:tcPr>
            <w:tcW w:w="2948" w:type="dxa"/>
            <w:tcBorders>
              <w:top w:val="single" w:sz="12" w:space="0" w:color="008000"/>
              <w:bottom w:val="single" w:sz="6" w:space="0" w:color="008000"/>
            </w:tcBorders>
            <w:shd w:val="clear" w:color="auto" w:fill="FFFFFF"/>
            <w:vAlign w:val="center"/>
          </w:tcPr>
          <w:p w14:paraId="635FF891" w14:textId="1FE84D05" w:rsidR="00E26091" w:rsidRDefault="00E26091" w:rsidP="00E26091">
            <w:pPr>
              <w:pStyle w:val="CETBodytext"/>
              <w:jc w:val="left"/>
              <w:rPr>
                <w:lang w:val="en-GB"/>
              </w:rPr>
            </w:pPr>
          </w:p>
        </w:tc>
        <w:tc>
          <w:tcPr>
            <w:tcW w:w="1304" w:type="dxa"/>
            <w:tcBorders>
              <w:top w:val="single" w:sz="12" w:space="0" w:color="008000"/>
              <w:bottom w:val="single" w:sz="6" w:space="0" w:color="008000"/>
            </w:tcBorders>
            <w:shd w:val="clear" w:color="auto" w:fill="FFFFFF"/>
            <w:vAlign w:val="center"/>
          </w:tcPr>
          <w:p w14:paraId="01ACAF09" w14:textId="6E90056E" w:rsidR="00E26091" w:rsidRPr="00B57B36" w:rsidRDefault="00E26091" w:rsidP="00E26091">
            <w:pPr>
              <w:pStyle w:val="CETBodytext"/>
              <w:jc w:val="left"/>
              <w:rPr>
                <w:lang w:val="en-GB"/>
              </w:rPr>
            </w:pPr>
            <w:r>
              <w:rPr>
                <w:lang w:val="en-GB"/>
              </w:rPr>
              <w:t>Reaction 1</w:t>
            </w:r>
          </w:p>
        </w:tc>
        <w:tc>
          <w:tcPr>
            <w:tcW w:w="1304" w:type="dxa"/>
            <w:tcBorders>
              <w:top w:val="single" w:sz="12" w:space="0" w:color="008000"/>
              <w:bottom w:val="single" w:sz="6" w:space="0" w:color="008000"/>
            </w:tcBorders>
            <w:shd w:val="clear" w:color="auto" w:fill="FFFFFF"/>
            <w:vAlign w:val="center"/>
          </w:tcPr>
          <w:p w14:paraId="61059464" w14:textId="296B6881" w:rsidR="00E26091" w:rsidRPr="00B57B36" w:rsidRDefault="00E26091" w:rsidP="00E26091">
            <w:pPr>
              <w:pStyle w:val="CETBodytext"/>
              <w:jc w:val="left"/>
              <w:rPr>
                <w:lang w:val="en-GB"/>
              </w:rPr>
            </w:pPr>
            <w:r>
              <w:rPr>
                <w:lang w:val="en-GB"/>
              </w:rPr>
              <w:t>Reaction 2+</w:t>
            </w:r>
          </w:p>
        </w:tc>
        <w:tc>
          <w:tcPr>
            <w:tcW w:w="1304" w:type="dxa"/>
            <w:tcBorders>
              <w:top w:val="single" w:sz="12" w:space="0" w:color="008000"/>
              <w:bottom w:val="single" w:sz="6" w:space="0" w:color="008000"/>
            </w:tcBorders>
            <w:shd w:val="clear" w:color="auto" w:fill="FFFFFF"/>
            <w:vAlign w:val="center"/>
          </w:tcPr>
          <w:p w14:paraId="0374F739" w14:textId="4C087E68" w:rsidR="00E26091" w:rsidRDefault="00E26091" w:rsidP="00E26091">
            <w:pPr>
              <w:pStyle w:val="CETBodytext"/>
              <w:jc w:val="left"/>
              <w:rPr>
                <w:lang w:val="en-GB"/>
              </w:rPr>
            </w:pPr>
            <w:r>
              <w:rPr>
                <w:lang w:val="en-GB"/>
              </w:rPr>
              <w:t>Reaction 2-</w:t>
            </w:r>
          </w:p>
        </w:tc>
        <w:tc>
          <w:tcPr>
            <w:tcW w:w="1304" w:type="dxa"/>
            <w:tcBorders>
              <w:top w:val="single" w:sz="12" w:space="0" w:color="008000"/>
              <w:bottom w:val="single" w:sz="6" w:space="0" w:color="008000"/>
            </w:tcBorders>
            <w:shd w:val="clear" w:color="auto" w:fill="FFFFFF"/>
            <w:vAlign w:val="center"/>
          </w:tcPr>
          <w:p w14:paraId="5025B7EF" w14:textId="10B82520" w:rsidR="00E26091" w:rsidRPr="00B57B36" w:rsidRDefault="00E26091" w:rsidP="00E26091">
            <w:pPr>
              <w:pStyle w:val="CETBodytext"/>
              <w:jc w:val="left"/>
              <w:rPr>
                <w:lang w:val="en-GB"/>
              </w:rPr>
            </w:pPr>
            <w:r>
              <w:rPr>
                <w:lang w:val="en-GB"/>
              </w:rPr>
              <w:t>Reaction 3</w:t>
            </w:r>
          </w:p>
        </w:tc>
      </w:tr>
      <w:tr w:rsidR="00706126" w:rsidRPr="00B57B36" w14:paraId="31C8D71C" w14:textId="77777777" w:rsidTr="00706126">
        <w:tc>
          <w:tcPr>
            <w:tcW w:w="2948" w:type="dxa"/>
            <w:shd w:val="clear" w:color="auto" w:fill="FFFFFF"/>
            <w:vAlign w:val="center"/>
          </w:tcPr>
          <w:p w14:paraId="1BA47398" w14:textId="126BC2AD" w:rsidR="00E26091" w:rsidRPr="00B57B36" w:rsidRDefault="00E26091" w:rsidP="00E26091">
            <w:pPr>
              <w:pStyle w:val="CETBodytext"/>
              <w:jc w:val="left"/>
              <w:rPr>
                <w:lang w:val="en-GB"/>
              </w:rPr>
            </w:pPr>
            <w:r>
              <w:rPr>
                <w:lang w:val="en-GB"/>
              </w:rPr>
              <w:t>Pre-exponential factor [L</w:t>
            </w:r>
            <w:r w:rsidRPr="008876AA">
              <w:rPr>
                <w:vertAlign w:val="superscript"/>
                <w:lang w:val="en-GB"/>
              </w:rPr>
              <w:t>2</w:t>
            </w:r>
            <w:r>
              <w:rPr>
                <w:vertAlign w:val="superscript"/>
                <w:lang w:val="en-GB"/>
              </w:rPr>
              <w:t xml:space="preserve"> </w:t>
            </w:r>
            <w:r>
              <w:rPr>
                <w:lang w:val="en-GB"/>
              </w:rPr>
              <w:t>mol</w:t>
            </w:r>
            <w:r w:rsidRPr="008876AA">
              <w:rPr>
                <w:vertAlign w:val="superscript"/>
                <w:lang w:val="en-GB"/>
              </w:rPr>
              <w:t>-2</w:t>
            </w:r>
            <w:r>
              <w:rPr>
                <w:vertAlign w:val="superscript"/>
                <w:lang w:val="en-GB"/>
              </w:rPr>
              <w:t xml:space="preserve"> </w:t>
            </w:r>
            <w:r>
              <w:rPr>
                <w:lang w:val="en-GB"/>
              </w:rPr>
              <w:t>s</w:t>
            </w:r>
            <w:r w:rsidRPr="008876AA">
              <w:rPr>
                <w:vertAlign w:val="superscript"/>
                <w:lang w:val="en-GB"/>
              </w:rPr>
              <w:t>-1</w:t>
            </w:r>
            <w:r>
              <w:rPr>
                <w:lang w:val="en-GB"/>
              </w:rPr>
              <w:t>]</w:t>
            </w:r>
          </w:p>
        </w:tc>
        <w:tc>
          <w:tcPr>
            <w:tcW w:w="1304" w:type="dxa"/>
            <w:shd w:val="clear" w:color="auto" w:fill="FFFFFF"/>
            <w:vAlign w:val="center"/>
          </w:tcPr>
          <w:p w14:paraId="0EF343DF" w14:textId="5EE0A17A" w:rsidR="00E26091" w:rsidRPr="00E26091" w:rsidRDefault="00281999" w:rsidP="00E26091">
            <w:pPr>
              <w:pStyle w:val="CETBodytext"/>
              <w:jc w:val="left"/>
              <w:rPr>
                <w:lang w:val="en-GB"/>
              </w:rPr>
            </w:pPr>
            <m:oMathPara>
              <m:oMathParaPr>
                <m:jc m:val="left"/>
              </m:oMathParaPr>
              <m:oMath>
                <m:r>
                  <w:rPr>
                    <w:rFonts w:ascii="Cambria Math" w:hAnsi="Cambria Math"/>
                    <w:lang w:val="en-GB"/>
                  </w:rPr>
                  <m:t>1.28⋅</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m:oMathPara>
          </w:p>
        </w:tc>
        <w:tc>
          <w:tcPr>
            <w:tcW w:w="1304" w:type="dxa"/>
            <w:shd w:val="clear" w:color="auto" w:fill="FFFFFF"/>
            <w:vAlign w:val="center"/>
          </w:tcPr>
          <w:p w14:paraId="257F7796" w14:textId="48EF91FD" w:rsidR="00E26091" w:rsidRPr="00E26091" w:rsidRDefault="00281999" w:rsidP="00E26091">
            <w:pPr>
              <w:pStyle w:val="CETBodytext"/>
              <w:jc w:val="left"/>
              <w:rPr>
                <w:lang w:val="en-GB"/>
              </w:rPr>
            </w:pPr>
            <m:oMathPara>
              <m:oMathParaPr>
                <m:jc m:val="left"/>
              </m:oMathParaPr>
              <m:oMath>
                <m:r>
                  <w:rPr>
                    <w:rFonts w:ascii="Cambria Math" w:hAnsi="Cambria Math"/>
                    <w:lang w:val="en-GB"/>
                  </w:rPr>
                  <m:t>2.87⋅</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m:oMathPara>
          </w:p>
        </w:tc>
        <w:tc>
          <w:tcPr>
            <w:tcW w:w="1304" w:type="dxa"/>
            <w:shd w:val="clear" w:color="auto" w:fill="FFFFFF"/>
            <w:vAlign w:val="center"/>
          </w:tcPr>
          <w:p w14:paraId="736F8EE6" w14:textId="52095CA0" w:rsidR="00E26091" w:rsidRPr="00E26091" w:rsidRDefault="00281999" w:rsidP="00E26091">
            <w:pPr>
              <w:pStyle w:val="CETBodytext"/>
              <w:jc w:val="left"/>
              <w:rPr>
                <w:rFonts w:cs="Arial"/>
                <w:lang w:val="en-GB"/>
              </w:rPr>
            </w:pPr>
            <m:oMathPara>
              <m:oMathParaPr>
                <m:jc m:val="left"/>
              </m:oMathParaPr>
              <m:oMath>
                <m:r>
                  <w:rPr>
                    <w:rFonts w:ascii="Cambria Math" w:hAnsi="Cambria Math"/>
                    <w:lang w:val="en-GB"/>
                  </w:rPr>
                  <m:t>1.69⋅</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10</m:t>
                    </m:r>
                  </m:sup>
                </m:sSup>
              </m:oMath>
            </m:oMathPara>
          </w:p>
        </w:tc>
        <w:tc>
          <w:tcPr>
            <w:tcW w:w="1304" w:type="dxa"/>
            <w:shd w:val="clear" w:color="auto" w:fill="FFFFFF"/>
            <w:vAlign w:val="center"/>
          </w:tcPr>
          <w:p w14:paraId="261B8A76" w14:textId="47771B7F" w:rsidR="00E26091" w:rsidRPr="00E26091" w:rsidRDefault="00281999" w:rsidP="00E26091">
            <w:pPr>
              <w:pStyle w:val="CETBodytext"/>
              <w:jc w:val="left"/>
              <w:rPr>
                <w:lang w:val="en-GB"/>
              </w:rPr>
            </w:pPr>
            <m:oMathPara>
              <m:oMathParaPr>
                <m:jc m:val="left"/>
              </m:oMathParaPr>
              <m:oMath>
                <m:r>
                  <w:rPr>
                    <w:rFonts w:ascii="Cambria Math" w:hAnsi="Cambria Math"/>
                    <w:lang w:val="en-GB"/>
                  </w:rPr>
                  <m:t>2.15⋅</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m:oMathPara>
          </w:p>
        </w:tc>
      </w:tr>
      <w:tr w:rsidR="00706126" w:rsidRPr="00B57B36" w14:paraId="5B4DA8CB" w14:textId="77777777" w:rsidTr="00706126">
        <w:tc>
          <w:tcPr>
            <w:tcW w:w="2948" w:type="dxa"/>
            <w:shd w:val="clear" w:color="auto" w:fill="FFFFFF"/>
            <w:vAlign w:val="center"/>
          </w:tcPr>
          <w:p w14:paraId="00F115C8" w14:textId="4ADA5CC1" w:rsidR="00E26091" w:rsidRPr="00B57B36" w:rsidRDefault="00E26091" w:rsidP="00E26091">
            <w:pPr>
              <w:pStyle w:val="CETBodytext"/>
              <w:ind w:right="-1"/>
              <w:jc w:val="left"/>
              <w:rPr>
                <w:rFonts w:cs="Arial"/>
                <w:szCs w:val="18"/>
                <w:lang w:val="en-GB"/>
              </w:rPr>
            </w:pPr>
            <w:r>
              <w:rPr>
                <w:rFonts w:cs="Arial"/>
                <w:szCs w:val="18"/>
                <w:lang w:val="en-GB"/>
              </w:rPr>
              <w:t>Activation energy [kJ mol</w:t>
            </w:r>
            <w:r w:rsidRPr="008876AA">
              <w:rPr>
                <w:rFonts w:cs="Arial"/>
                <w:szCs w:val="18"/>
                <w:vertAlign w:val="superscript"/>
                <w:lang w:val="en-GB"/>
              </w:rPr>
              <w:t>-1</w:t>
            </w:r>
            <w:r>
              <w:rPr>
                <w:rFonts w:cs="Arial"/>
                <w:szCs w:val="18"/>
                <w:lang w:val="en-GB"/>
              </w:rPr>
              <w:t>]</w:t>
            </w:r>
          </w:p>
        </w:tc>
        <w:tc>
          <w:tcPr>
            <w:tcW w:w="1304" w:type="dxa"/>
            <w:shd w:val="clear" w:color="auto" w:fill="FFFFFF"/>
            <w:vAlign w:val="center"/>
          </w:tcPr>
          <w:p w14:paraId="3BDD4D82" w14:textId="06263BAB" w:rsidR="00E26091" w:rsidRPr="00E26091" w:rsidRDefault="00281999" w:rsidP="00E26091">
            <w:pPr>
              <w:pStyle w:val="CETBodytext"/>
              <w:ind w:right="-1"/>
              <w:jc w:val="left"/>
              <w:rPr>
                <w:rFonts w:cs="Arial"/>
                <w:szCs w:val="18"/>
                <w:lang w:val="en-GB"/>
              </w:rPr>
            </w:pPr>
            <m:oMathPara>
              <m:oMathParaPr>
                <m:jc m:val="left"/>
              </m:oMathParaPr>
              <m:oMath>
                <m:r>
                  <w:rPr>
                    <w:rFonts w:ascii="Cambria Math" w:hAnsi="Cambria Math" w:cs="Arial"/>
                    <w:szCs w:val="18"/>
                    <w:lang w:val="en-GB"/>
                  </w:rPr>
                  <m:t>41.6</m:t>
                </m:r>
              </m:oMath>
            </m:oMathPara>
          </w:p>
        </w:tc>
        <w:tc>
          <w:tcPr>
            <w:tcW w:w="1304" w:type="dxa"/>
            <w:shd w:val="clear" w:color="auto" w:fill="FFFFFF"/>
            <w:vAlign w:val="center"/>
          </w:tcPr>
          <w:p w14:paraId="33F34261" w14:textId="70F22A49" w:rsidR="00E26091" w:rsidRPr="00E26091" w:rsidRDefault="00281999" w:rsidP="00E26091">
            <w:pPr>
              <w:pStyle w:val="CETBodytext"/>
              <w:ind w:right="-1"/>
              <w:jc w:val="left"/>
              <w:rPr>
                <w:rFonts w:ascii="Cambria Math" w:hAnsi="Cambria Math" w:cs="Arial"/>
                <w:szCs w:val="18"/>
                <w:lang w:val="en-GB"/>
                <w:oMath/>
              </w:rPr>
            </w:pPr>
            <m:oMathPara>
              <m:oMathParaPr>
                <m:jc m:val="left"/>
              </m:oMathParaPr>
              <m:oMath>
                <m:r>
                  <w:rPr>
                    <w:rFonts w:ascii="Cambria Math" w:hAnsi="Cambria Math" w:cs="Arial"/>
                    <w:szCs w:val="18"/>
                    <w:lang w:val="en-GB"/>
                  </w:rPr>
                  <m:t>34.8</m:t>
                </m:r>
              </m:oMath>
            </m:oMathPara>
          </w:p>
        </w:tc>
        <w:tc>
          <w:tcPr>
            <w:tcW w:w="1304" w:type="dxa"/>
            <w:shd w:val="clear" w:color="auto" w:fill="FFFFFF"/>
            <w:vAlign w:val="center"/>
          </w:tcPr>
          <w:p w14:paraId="7556B60D" w14:textId="19CB2659" w:rsidR="00E26091" w:rsidRPr="00E26091" w:rsidRDefault="00281999" w:rsidP="00E26091">
            <w:pPr>
              <w:pStyle w:val="CETBodytext"/>
              <w:ind w:right="-1"/>
              <w:jc w:val="left"/>
              <w:rPr>
                <w:rFonts w:ascii="Tahoma" w:hAnsi="Tahoma" w:cs="Tahoma"/>
                <w:szCs w:val="18"/>
                <w:lang w:val="en-GB"/>
              </w:rPr>
            </w:pPr>
            <m:oMathPara>
              <m:oMathParaPr>
                <m:jc m:val="left"/>
              </m:oMathParaPr>
              <m:oMath>
                <m:r>
                  <w:rPr>
                    <w:rFonts w:ascii="Cambria Math" w:hAnsi="Cambria Math" w:cs="Tahoma"/>
                    <w:szCs w:val="18"/>
                    <w:lang w:val="en-GB"/>
                  </w:rPr>
                  <m:t>66.9</m:t>
                </m:r>
              </m:oMath>
            </m:oMathPara>
          </w:p>
        </w:tc>
        <w:tc>
          <w:tcPr>
            <w:tcW w:w="1304" w:type="dxa"/>
            <w:shd w:val="clear" w:color="auto" w:fill="FFFFFF"/>
            <w:vAlign w:val="center"/>
          </w:tcPr>
          <w:p w14:paraId="1646537D" w14:textId="1689D28D" w:rsidR="00E26091" w:rsidRPr="00E26091" w:rsidRDefault="00281999" w:rsidP="00E26091">
            <w:pPr>
              <w:pStyle w:val="CETBodytext"/>
              <w:ind w:right="-1"/>
              <w:jc w:val="left"/>
              <w:rPr>
                <w:rFonts w:ascii="Cambria Math" w:hAnsi="Cambria Math" w:cs="Arial"/>
                <w:szCs w:val="18"/>
                <w:lang w:val="en-GB"/>
                <w:oMath/>
              </w:rPr>
            </w:pPr>
            <m:oMathPara>
              <m:oMathParaPr>
                <m:jc m:val="left"/>
              </m:oMathParaPr>
              <m:oMath>
                <m:r>
                  <w:rPr>
                    <w:rFonts w:ascii="Cambria Math" w:hAnsi="Cambria Math" w:cs="Tahoma"/>
                    <w:szCs w:val="18"/>
                    <w:lang w:val="en-GB"/>
                  </w:rPr>
                  <m:t>42.8</m:t>
                </m:r>
              </m:oMath>
            </m:oMathPara>
          </w:p>
        </w:tc>
      </w:tr>
      <w:tr w:rsidR="00B77A4C" w:rsidRPr="00B57B36" w14:paraId="5BDD9C99" w14:textId="77777777" w:rsidTr="00706126">
        <w:tc>
          <w:tcPr>
            <w:tcW w:w="2948" w:type="dxa"/>
            <w:shd w:val="clear" w:color="auto" w:fill="FFFFFF"/>
            <w:vAlign w:val="center"/>
          </w:tcPr>
          <w:p w14:paraId="6318D04C" w14:textId="514FD3AD" w:rsidR="00B77A4C" w:rsidRDefault="00B77A4C" w:rsidP="00E26091">
            <w:pPr>
              <w:pStyle w:val="CETBodytext"/>
              <w:ind w:right="-1"/>
              <w:jc w:val="left"/>
              <w:rPr>
                <w:rFonts w:cs="Arial"/>
                <w:szCs w:val="18"/>
                <w:lang w:val="en-GB"/>
              </w:rPr>
            </w:pPr>
            <m:oMath>
              <m:r>
                <m:rPr>
                  <m:sty m:val="p"/>
                </m:rPr>
                <w:rPr>
                  <w:rFonts w:ascii="Cambria Math" w:hAnsi="Cambria Math" w:cs="Arial"/>
                  <w:szCs w:val="18"/>
                  <w:lang w:val="en-GB"/>
                </w:rPr>
                <m:t>Δ</m:t>
              </m:r>
              <m:sSub>
                <m:sSubPr>
                  <m:ctrlPr>
                    <w:rPr>
                      <w:rFonts w:ascii="Cambria Math" w:hAnsi="Cambria Math" w:cs="Arial"/>
                      <w:i/>
                      <w:szCs w:val="18"/>
                      <w:lang w:val="en-GB"/>
                    </w:rPr>
                  </m:ctrlPr>
                </m:sSubPr>
                <m:e>
                  <m:r>
                    <w:rPr>
                      <w:rFonts w:ascii="Cambria Math" w:hAnsi="Cambria Math" w:cs="Arial"/>
                      <w:szCs w:val="18"/>
                      <w:lang w:val="en-GB"/>
                    </w:rPr>
                    <m:t>H</m:t>
                  </m:r>
                </m:e>
                <m:sub>
                  <m:r>
                    <w:rPr>
                      <w:rFonts w:ascii="Cambria Math" w:hAnsi="Cambria Math" w:cs="Arial"/>
                      <w:szCs w:val="18"/>
                      <w:lang w:val="en-GB"/>
                    </w:rPr>
                    <m:t>R</m:t>
                  </m:r>
                </m:sub>
              </m:sSub>
              <m:d>
                <m:dPr>
                  <m:ctrlPr>
                    <w:rPr>
                      <w:rFonts w:ascii="Cambria Math" w:hAnsi="Cambria Math" w:cs="Arial"/>
                      <w:i/>
                      <w:szCs w:val="18"/>
                      <w:lang w:val="en-GB"/>
                    </w:rPr>
                  </m:ctrlPr>
                </m:dPr>
                <m:e>
                  <m:r>
                    <w:rPr>
                      <w:rFonts w:ascii="Cambria Math" w:hAnsi="Cambria Math" w:cs="Arial"/>
                      <w:szCs w:val="18"/>
                      <w:lang w:val="en-GB"/>
                    </w:rPr>
                    <m:t>25°C</m:t>
                  </m:r>
                </m:e>
              </m:d>
            </m:oMath>
            <w:r>
              <w:rPr>
                <w:rFonts w:cs="Arial"/>
                <w:szCs w:val="18"/>
                <w:lang w:val="en-GB"/>
              </w:rPr>
              <w:t xml:space="preserve"> [</w:t>
            </w:r>
            <w:r w:rsidR="00281999">
              <w:rPr>
                <w:rFonts w:cs="Arial"/>
                <w:szCs w:val="18"/>
                <w:lang w:val="en-GB"/>
              </w:rPr>
              <w:t>kJ mol</w:t>
            </w:r>
            <w:r w:rsidR="00281999" w:rsidRPr="008876AA">
              <w:rPr>
                <w:rFonts w:cs="Arial"/>
                <w:szCs w:val="18"/>
                <w:vertAlign w:val="superscript"/>
                <w:lang w:val="en-GB"/>
              </w:rPr>
              <w:t>-1</w:t>
            </w:r>
            <w:r w:rsidR="00281999">
              <w:rPr>
                <w:rFonts w:cs="Arial"/>
                <w:szCs w:val="18"/>
                <w:lang w:val="en-GB"/>
              </w:rPr>
              <w:t>]</w:t>
            </w:r>
          </w:p>
        </w:tc>
        <w:tc>
          <w:tcPr>
            <w:tcW w:w="1304" w:type="dxa"/>
            <w:shd w:val="clear" w:color="auto" w:fill="FFFFFF"/>
            <w:vAlign w:val="center"/>
          </w:tcPr>
          <w:p w14:paraId="49FBDCE2" w14:textId="35F3BADE" w:rsidR="00B77A4C" w:rsidRPr="00281999" w:rsidRDefault="00281999" w:rsidP="00E26091">
            <w:pPr>
              <w:pStyle w:val="CETBodytext"/>
              <w:ind w:right="-1"/>
              <w:jc w:val="left"/>
              <w:rPr>
                <w:rFonts w:cs="Arial"/>
                <w:szCs w:val="18"/>
                <w:lang w:val="en-GB"/>
              </w:rPr>
            </w:pPr>
            <m:oMathPara>
              <m:oMathParaPr>
                <m:jc m:val="left"/>
              </m:oMathParaPr>
              <m:oMath>
                <m:r>
                  <w:rPr>
                    <w:rFonts w:ascii="Cambria Math" w:hAnsi="Cambria Math" w:cs="Arial"/>
                    <w:szCs w:val="18"/>
                    <w:lang w:val="en-GB"/>
                  </w:rPr>
                  <m:t>-64.0</m:t>
                </m:r>
              </m:oMath>
            </m:oMathPara>
          </w:p>
        </w:tc>
        <w:tc>
          <w:tcPr>
            <w:tcW w:w="1304" w:type="dxa"/>
            <w:shd w:val="clear" w:color="auto" w:fill="FFFFFF"/>
            <w:vAlign w:val="center"/>
          </w:tcPr>
          <w:p w14:paraId="5E55ABCE" w14:textId="47A9BA4B" w:rsidR="00B77A4C" w:rsidRPr="00281999" w:rsidRDefault="00281999" w:rsidP="00E26091">
            <w:pPr>
              <w:pStyle w:val="CETBodytext"/>
              <w:ind w:right="-1"/>
              <w:jc w:val="left"/>
              <w:rPr>
                <w:rFonts w:cs="Arial"/>
                <w:szCs w:val="18"/>
                <w:lang w:val="en-GB"/>
              </w:rPr>
            </w:pPr>
            <m:oMathPara>
              <m:oMathParaPr>
                <m:jc m:val="left"/>
              </m:oMathParaPr>
              <m:oMath>
                <m:r>
                  <w:rPr>
                    <w:rFonts w:ascii="Cambria Math" w:hAnsi="Cambria Math" w:cs="Arial"/>
                    <w:szCs w:val="18"/>
                    <w:lang w:val="en-GB"/>
                  </w:rPr>
                  <m:t>-8.2</m:t>
                </m:r>
              </m:oMath>
            </m:oMathPara>
          </w:p>
        </w:tc>
        <w:tc>
          <w:tcPr>
            <w:tcW w:w="1304" w:type="dxa"/>
            <w:shd w:val="clear" w:color="auto" w:fill="FFFFFF"/>
            <w:vAlign w:val="center"/>
          </w:tcPr>
          <w:p w14:paraId="17ACF8A5" w14:textId="00C6180B" w:rsidR="00B77A4C" w:rsidRPr="00281999" w:rsidRDefault="00281999" w:rsidP="00E26091">
            <w:pPr>
              <w:pStyle w:val="CETBodytext"/>
              <w:ind w:right="-1"/>
              <w:jc w:val="left"/>
              <w:rPr>
                <w:rFonts w:cs="Arial"/>
                <w:szCs w:val="18"/>
                <w:lang w:val="en-GB"/>
              </w:rPr>
            </w:pPr>
            <m:oMathPara>
              <m:oMathParaPr>
                <m:jc m:val="left"/>
              </m:oMathParaPr>
              <m:oMath>
                <m:r>
                  <w:rPr>
                    <w:rFonts w:ascii="Cambria Math" w:hAnsi="Cambria Math" w:cs="Arial"/>
                    <w:szCs w:val="18"/>
                    <w:lang w:val="en-GB"/>
                  </w:rPr>
                  <m:t>-57.8</m:t>
                </m:r>
              </m:oMath>
            </m:oMathPara>
          </w:p>
        </w:tc>
        <w:tc>
          <w:tcPr>
            <w:tcW w:w="1304" w:type="dxa"/>
            <w:shd w:val="clear" w:color="auto" w:fill="FFFFFF"/>
            <w:vAlign w:val="center"/>
          </w:tcPr>
          <w:p w14:paraId="61CBA09D" w14:textId="405F3254" w:rsidR="00B77A4C" w:rsidRPr="00281999" w:rsidRDefault="00281999" w:rsidP="00E26091">
            <w:pPr>
              <w:pStyle w:val="CETBodytext"/>
              <w:ind w:right="-1"/>
              <w:jc w:val="left"/>
              <w:rPr>
                <w:rFonts w:ascii="Tahoma" w:hAnsi="Tahoma" w:cs="Tahoma"/>
                <w:szCs w:val="18"/>
                <w:lang w:val="en-GB"/>
              </w:rPr>
            </w:pPr>
            <m:oMathPara>
              <m:oMathParaPr>
                <m:jc m:val="left"/>
              </m:oMathParaPr>
              <m:oMath>
                <m:r>
                  <w:rPr>
                    <w:rFonts w:ascii="Cambria Math" w:hAnsi="Cambria Math" w:cs="Tahoma"/>
                    <w:szCs w:val="18"/>
                    <w:lang w:val="en-GB"/>
                  </w:rPr>
                  <m:t>+8.2</m:t>
                </m:r>
              </m:oMath>
            </m:oMathPara>
          </w:p>
        </w:tc>
      </w:tr>
    </w:tbl>
    <w:p w14:paraId="7218F6DE" w14:textId="77777777" w:rsidR="008876AA" w:rsidRDefault="008876AA" w:rsidP="00297D1B">
      <w:pPr>
        <w:pStyle w:val="CETBodytext"/>
      </w:pPr>
    </w:p>
    <w:p w14:paraId="018FF406" w14:textId="1A42A7C5" w:rsidR="008876AA" w:rsidRDefault="008876AA" w:rsidP="00297D1B">
      <w:pPr>
        <w:pStyle w:val="CETBodytext"/>
      </w:pPr>
      <w:r>
        <w:t xml:space="preserve">The predictions of </w:t>
      </w:r>
      <w:r w:rsidR="00A35A58">
        <w:t xml:space="preserve">the global heat exchange coefficient and the specific heat capacity estimated through correlations were </w:t>
      </w:r>
      <w:r>
        <w:t xml:space="preserve">compared to the </w:t>
      </w:r>
      <w:r w:rsidR="00A35A58">
        <w:t>values</w:t>
      </w:r>
      <w:r>
        <w:t xml:space="preserve"> </w:t>
      </w:r>
      <w:r w:rsidR="00A35A58">
        <w:t>measured at the end of the reaction</w:t>
      </w:r>
      <w:r>
        <w:t xml:space="preserve"> and the agreement </w:t>
      </w:r>
      <w:r w:rsidR="00A35A58">
        <w:t>wa</w:t>
      </w:r>
      <w:r>
        <w:t>s satisfactory with errors below</w:t>
      </w:r>
      <w:r w:rsidR="00186835">
        <w:t xml:space="preserve"> 10 </w:t>
      </w:r>
      <w:r>
        <w:t>%</w:t>
      </w:r>
      <w:r w:rsidR="00186835">
        <w:t xml:space="preserve"> for the specific heat capacity and </w:t>
      </w:r>
      <w:r w:rsidR="00226024">
        <w:t>below 6 % for the exchange coefficient.</w:t>
      </w:r>
    </w:p>
    <w:p w14:paraId="0A2AF774" w14:textId="77777777" w:rsidR="00FB11DA" w:rsidRDefault="00FB11DA" w:rsidP="00297D1B">
      <w:pPr>
        <w:pStyle w:val="CETBodytext"/>
      </w:pPr>
    </w:p>
    <w:p w14:paraId="661DA318" w14:textId="3FCCF3EB" w:rsidR="008E2327" w:rsidRDefault="001F6A2D" w:rsidP="00297D1B">
      <w:pPr>
        <w:pStyle w:val="CETBodytext"/>
      </w:pPr>
      <w:r>
        <w:t xml:space="preserve">a) </w:t>
      </w:r>
      <w:r w:rsidR="006E0B53" w:rsidRPr="006E0B53">
        <w:rPr>
          <w:noProof/>
        </w:rPr>
        <w:drawing>
          <wp:inline distT="0" distB="0" distL="0" distR="0" wp14:anchorId="20526D34" wp14:editId="684CD13E">
            <wp:extent cx="2360930" cy="2448650"/>
            <wp:effectExtent l="0" t="0" r="127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a:extLst>
                        <a:ext uri="{28A0092B-C50C-407E-A947-70E740481C1C}">
                          <a14:useLocalDpi xmlns:a14="http://schemas.microsoft.com/office/drawing/2010/main" val="0"/>
                        </a:ext>
                      </a:extLst>
                    </a:blip>
                    <a:srcRect l="11001" t="-388" r="16410"/>
                    <a:stretch/>
                  </pic:blipFill>
                  <pic:spPr bwMode="auto">
                    <a:xfrm>
                      <a:off x="0" y="0"/>
                      <a:ext cx="2361429" cy="2449168"/>
                    </a:xfrm>
                    <a:prstGeom prst="rect">
                      <a:avLst/>
                    </a:prstGeom>
                    <a:noFill/>
                    <a:ln>
                      <a:noFill/>
                    </a:ln>
                    <a:extLst>
                      <a:ext uri="{53640926-AAD7-44D8-BBD7-CCE9431645EC}">
                        <a14:shadowObscured xmlns:a14="http://schemas.microsoft.com/office/drawing/2010/main"/>
                      </a:ext>
                    </a:extLst>
                  </pic:spPr>
                </pic:pic>
              </a:graphicData>
            </a:graphic>
          </wp:inline>
        </w:drawing>
      </w:r>
      <w:r w:rsidR="00584BBD">
        <w:t xml:space="preserve"> b) </w:t>
      </w:r>
      <w:r w:rsidR="00584BBD" w:rsidRPr="00584BBD">
        <w:rPr>
          <w:noProof/>
        </w:rPr>
        <w:drawing>
          <wp:inline distT="0" distB="0" distL="0" distR="0" wp14:anchorId="74273DCB" wp14:editId="724112EF">
            <wp:extent cx="2376223" cy="2448000"/>
            <wp:effectExtent l="0" t="0" r="508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10989" r="16213"/>
                    <a:stretch/>
                  </pic:blipFill>
                  <pic:spPr bwMode="auto">
                    <a:xfrm>
                      <a:off x="0" y="0"/>
                      <a:ext cx="2376223" cy="2448000"/>
                    </a:xfrm>
                    <a:prstGeom prst="rect">
                      <a:avLst/>
                    </a:prstGeom>
                    <a:noFill/>
                    <a:ln>
                      <a:noFill/>
                    </a:ln>
                    <a:extLst>
                      <a:ext uri="{53640926-AAD7-44D8-BBD7-CCE9431645EC}">
                        <a14:shadowObscured xmlns:a14="http://schemas.microsoft.com/office/drawing/2010/main"/>
                      </a:ext>
                    </a:extLst>
                  </pic:spPr>
                </pic:pic>
              </a:graphicData>
            </a:graphic>
          </wp:inline>
        </w:drawing>
      </w:r>
    </w:p>
    <w:p w14:paraId="6002F6BF" w14:textId="14F2B227" w:rsidR="00CA4D3C" w:rsidRDefault="00CA4D3C" w:rsidP="00CA4D3C">
      <w:pPr>
        <w:pStyle w:val="CETCaption"/>
      </w:pPr>
      <w:r>
        <w:t xml:space="preserve">Figure </w:t>
      </w:r>
      <w:r w:rsidR="00102A73">
        <w:t>2</w:t>
      </w:r>
      <w:r>
        <w:t>: Comparison of peak temperature</w:t>
      </w:r>
      <w:r w:rsidR="00584BBD">
        <w:t xml:space="preserve"> value (a) and time location (b)</w:t>
      </w:r>
      <w:r>
        <w:t xml:space="preserve"> between the model predictions and the experimental data from Casson </w:t>
      </w:r>
      <w:r w:rsidR="00102A73">
        <w:t>et al. (2012)</w:t>
      </w:r>
      <w:r>
        <w:t>. The experiments are run with different sulfuric acid concentrations and various jacket temperatures.</w:t>
      </w:r>
      <w:r w:rsidR="00634E5B">
        <w:t xml:space="preserve"> The value of </w:t>
      </w:r>
      <m:oMath>
        <m:r>
          <w:rPr>
            <w:rFonts w:ascii="Cambria Math" w:hAnsi="Cambria Math"/>
          </w:rPr>
          <m:t>UA</m:t>
        </m:r>
      </m:oMath>
      <w:r w:rsidR="00634E5B">
        <w:t xml:space="preserve"> was set to the measured value of 4.2 W/K.</w:t>
      </w:r>
    </w:p>
    <w:p w14:paraId="00056DDE" w14:textId="77777777" w:rsidR="00102A73" w:rsidRDefault="00102A73" w:rsidP="00102A73">
      <w:pPr>
        <w:pStyle w:val="CETBodytext"/>
      </w:pPr>
      <w:r>
        <w:lastRenderedPageBreak/>
        <w:t xml:space="preserve">The model predictions were also compared to the experimental results given in Casson et al. (2012), where the esterification of acetic anhydride is conducted with a large methanol excess, using different concentrations of sulfuric acid and various jacket temperatures under isoperibolic conditions. The peak temperature value and location (over time) is compared to the predictions of the proposed model in Figure 2. </w:t>
      </w:r>
    </w:p>
    <w:p w14:paraId="22218DC9" w14:textId="22E0CBA8" w:rsidR="008D7B62" w:rsidRDefault="008D7B62" w:rsidP="008D7B62">
      <w:pPr>
        <w:pStyle w:val="CETBodytext"/>
      </w:pPr>
      <w:r>
        <w:t xml:space="preserve">The agreement is satisfactory both for the value of the peak (Figure 2a) and its location (Figure 2b), showing that the proposed model can be used under very </w:t>
      </w:r>
      <w:r w:rsidR="00817A32">
        <w:t xml:space="preserve">different </w:t>
      </w:r>
      <w:r>
        <w:t>reaction conditions.</w:t>
      </w:r>
    </w:p>
    <w:p w14:paraId="3D16E305" w14:textId="282A0035" w:rsidR="00255FA8" w:rsidRDefault="00255FA8" w:rsidP="00255FA8">
      <w:pPr>
        <w:pStyle w:val="CETHeading1"/>
      </w:pPr>
      <w:r w:rsidRPr="00135A3E">
        <w:t>Conclusions</w:t>
      </w:r>
    </w:p>
    <w:p w14:paraId="6E56BA9B" w14:textId="24F1B550" w:rsidR="00102A73" w:rsidRDefault="00FB11DA" w:rsidP="00102A73">
      <w:pPr>
        <w:pStyle w:val="CETBodytext"/>
      </w:pPr>
      <w:r>
        <w:t xml:space="preserve">This work aimed at demonstrating that it is possible to study the kinetics of a </w:t>
      </w:r>
      <w:r w:rsidR="00D219F0">
        <w:t xml:space="preserve">series of </w:t>
      </w:r>
      <w:r>
        <w:t>fast and moderately exothermic reaction</w:t>
      </w:r>
      <w:r w:rsidR="00D219F0">
        <w:t>s</w:t>
      </w:r>
      <w:r>
        <w:t xml:space="preserve"> using a simple calorimetric approach. </w:t>
      </w:r>
    </w:p>
    <w:p w14:paraId="2F29163B" w14:textId="77777777" w:rsidR="00BD1070" w:rsidRDefault="007E077D" w:rsidP="00854CAD">
      <w:pPr>
        <w:pStyle w:val="CETBodytext"/>
      </w:pPr>
      <w:r>
        <w:t xml:space="preserve">The relevant case study of the acid catalyzed </w:t>
      </w:r>
      <w:r w:rsidR="00854CAD">
        <w:t xml:space="preserve">(by concentrated sulfuric acid) </w:t>
      </w:r>
      <w:r>
        <w:t xml:space="preserve">esterification between acetic anhydride and methanol </w:t>
      </w:r>
      <w:r w:rsidR="00854CAD">
        <w:t xml:space="preserve">was selected to demonstrate </w:t>
      </w:r>
      <w:r>
        <w:t>that</w:t>
      </w:r>
      <w:r w:rsidR="00854CAD">
        <w:t>, in most cases,</w:t>
      </w:r>
      <w:r>
        <w:t xml:space="preserve"> </w:t>
      </w:r>
      <w:r w:rsidR="00854CAD">
        <w:t xml:space="preserve">it </w:t>
      </w:r>
      <w:r>
        <w:t xml:space="preserve">is always possible to uncouple the contributions of the different reactions to the overall heat flux released during the synthesis by </w:t>
      </w:r>
      <w:r w:rsidR="00854CAD">
        <w:t>selecting different operating conditions where all reactions, but one, are “thermally inactive”. The kinetics of the “thermally active” reaction can be therefore studied, with a good degree of accuracy for a quick and easy application for either optimization or safety purposes, using reaction calorimetry.</w:t>
      </w:r>
      <w:r w:rsidR="00D219F0">
        <w:t xml:space="preserve"> </w:t>
      </w:r>
    </w:p>
    <w:p w14:paraId="6C2736FE" w14:textId="748CA593" w:rsidR="00BD1070" w:rsidRDefault="00D219F0" w:rsidP="00854CAD">
      <w:pPr>
        <w:pStyle w:val="CETBodytext"/>
      </w:pPr>
      <w:r>
        <w:t xml:space="preserve">Particularly, the following kinetic parameters were estimated through the fitting procedure: </w:t>
      </w:r>
    </w:p>
    <w:p w14:paraId="3C2847D2" w14:textId="729FBE0A" w:rsidR="00BD1070" w:rsidRPr="00BD1070" w:rsidRDefault="00347D2B" w:rsidP="00BD1070">
      <w:pPr>
        <w:pStyle w:val="CETBodytext"/>
        <w:numPr>
          <w:ilvl w:val="0"/>
          <w:numId w:val="22"/>
        </w:numPr>
      </w:pPr>
      <w:r>
        <w:rPr>
          <w:lang w:val="en-GB"/>
        </w:rPr>
        <w:t>Reaction 1</w:t>
      </w:r>
      <w:r w:rsidR="00BD1070">
        <w:rPr>
          <w:lang w:val="en-GB"/>
        </w:rPr>
        <w:t xml:space="preserve">: </w:t>
      </w:r>
      <w:r>
        <w:rPr>
          <w:lang w:val="en-GB"/>
        </w:rPr>
        <w:t>Pre-exponential factor [L</w:t>
      </w:r>
      <w:r w:rsidRPr="008876AA">
        <w:rPr>
          <w:vertAlign w:val="superscript"/>
          <w:lang w:val="en-GB"/>
        </w:rPr>
        <w:t>2</w:t>
      </w:r>
      <w:r>
        <w:rPr>
          <w:vertAlign w:val="superscript"/>
          <w:lang w:val="en-GB"/>
        </w:rPr>
        <w:t xml:space="preserve"> </w:t>
      </w:r>
      <w:r>
        <w:rPr>
          <w:lang w:val="en-GB"/>
        </w:rPr>
        <w:t>mol</w:t>
      </w:r>
      <w:r w:rsidRPr="008876AA">
        <w:rPr>
          <w:vertAlign w:val="superscript"/>
          <w:lang w:val="en-GB"/>
        </w:rPr>
        <w:t>-2</w:t>
      </w:r>
      <w:r>
        <w:rPr>
          <w:vertAlign w:val="superscript"/>
          <w:lang w:val="en-GB"/>
        </w:rPr>
        <w:t xml:space="preserve"> </w:t>
      </w:r>
      <w:r>
        <w:rPr>
          <w:lang w:val="en-GB"/>
        </w:rPr>
        <w:t>s</w:t>
      </w:r>
      <w:r w:rsidRPr="008876AA">
        <w:rPr>
          <w:vertAlign w:val="superscript"/>
          <w:lang w:val="en-GB"/>
        </w:rPr>
        <w:t>-1</w:t>
      </w:r>
      <w:r>
        <w:rPr>
          <w:lang w:val="en-GB"/>
        </w:rPr>
        <w:t xml:space="preserve">]= </w:t>
      </w:r>
      <m:oMath>
        <m:r>
          <w:rPr>
            <w:rFonts w:ascii="Cambria Math" w:hAnsi="Cambria Math"/>
            <w:lang w:val="en-GB"/>
          </w:rPr>
          <m:t>1.28⋅</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w:r>
        <w:rPr>
          <w:lang w:val="en-GB"/>
        </w:rPr>
        <w:t xml:space="preserve">, </w:t>
      </w:r>
      <w:r>
        <w:rPr>
          <w:rFonts w:cs="Arial"/>
          <w:szCs w:val="18"/>
          <w:lang w:val="en-GB"/>
        </w:rPr>
        <w:t>Activation energy [kJ mol</w:t>
      </w:r>
      <w:r w:rsidRPr="008876AA">
        <w:rPr>
          <w:rFonts w:cs="Arial"/>
          <w:szCs w:val="18"/>
          <w:vertAlign w:val="superscript"/>
          <w:lang w:val="en-GB"/>
        </w:rPr>
        <w:t>-1</w:t>
      </w:r>
      <w:r>
        <w:rPr>
          <w:rFonts w:cs="Arial"/>
          <w:szCs w:val="18"/>
          <w:lang w:val="en-GB"/>
        </w:rPr>
        <w:t>] = 41.6</w:t>
      </w:r>
      <w:r>
        <w:rPr>
          <w:lang w:val="en-GB"/>
        </w:rPr>
        <w:t>;</w:t>
      </w:r>
    </w:p>
    <w:p w14:paraId="07851A93" w14:textId="0AA4E100" w:rsidR="00BD1070" w:rsidRPr="00BD1070" w:rsidRDefault="00347D2B" w:rsidP="00BD1070">
      <w:pPr>
        <w:pStyle w:val="CETBodytext"/>
        <w:numPr>
          <w:ilvl w:val="0"/>
          <w:numId w:val="22"/>
        </w:numPr>
      </w:pPr>
      <w:r>
        <w:rPr>
          <w:lang w:val="en-GB"/>
        </w:rPr>
        <w:t>Reaction 2+</w:t>
      </w:r>
      <w:r w:rsidR="00BD1070">
        <w:rPr>
          <w:lang w:val="en-GB"/>
        </w:rPr>
        <w:t xml:space="preserve">: </w:t>
      </w:r>
      <w:r>
        <w:rPr>
          <w:lang w:val="en-GB"/>
        </w:rPr>
        <w:t>Pre-exponential factor [L</w:t>
      </w:r>
      <w:r w:rsidRPr="008876AA">
        <w:rPr>
          <w:vertAlign w:val="superscript"/>
          <w:lang w:val="en-GB"/>
        </w:rPr>
        <w:t>2</w:t>
      </w:r>
      <w:r>
        <w:rPr>
          <w:vertAlign w:val="superscript"/>
          <w:lang w:val="en-GB"/>
        </w:rPr>
        <w:t xml:space="preserve"> </w:t>
      </w:r>
      <w:r>
        <w:rPr>
          <w:lang w:val="en-GB"/>
        </w:rPr>
        <w:t>mol</w:t>
      </w:r>
      <w:r w:rsidRPr="008876AA">
        <w:rPr>
          <w:vertAlign w:val="superscript"/>
          <w:lang w:val="en-GB"/>
        </w:rPr>
        <w:t>-2</w:t>
      </w:r>
      <w:r>
        <w:rPr>
          <w:vertAlign w:val="superscript"/>
          <w:lang w:val="en-GB"/>
        </w:rPr>
        <w:t xml:space="preserve"> </w:t>
      </w:r>
      <w:r>
        <w:rPr>
          <w:lang w:val="en-GB"/>
        </w:rPr>
        <w:t>s</w:t>
      </w:r>
      <w:r w:rsidRPr="008876AA">
        <w:rPr>
          <w:vertAlign w:val="superscript"/>
          <w:lang w:val="en-GB"/>
        </w:rPr>
        <w:t>-1</w:t>
      </w:r>
      <w:r>
        <w:rPr>
          <w:lang w:val="en-GB"/>
        </w:rPr>
        <w:t>]=</w:t>
      </w:r>
      <m:oMath>
        <m:r>
          <w:rPr>
            <w:rFonts w:ascii="Cambria Math" w:hAnsi="Cambria Math"/>
            <w:lang w:val="en-GB"/>
          </w:rPr>
          <m:t>2.87⋅</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3</m:t>
            </m:r>
          </m:sup>
        </m:sSup>
      </m:oMath>
      <w:r>
        <w:rPr>
          <w:lang w:val="en-GB"/>
        </w:rPr>
        <w:t xml:space="preserve">, </w:t>
      </w:r>
      <w:r>
        <w:rPr>
          <w:rFonts w:cs="Arial"/>
          <w:szCs w:val="18"/>
          <w:lang w:val="en-GB"/>
        </w:rPr>
        <w:t>Activation energy [kJ mol</w:t>
      </w:r>
      <w:r w:rsidRPr="008876AA">
        <w:rPr>
          <w:rFonts w:cs="Arial"/>
          <w:szCs w:val="18"/>
          <w:vertAlign w:val="superscript"/>
          <w:lang w:val="en-GB"/>
        </w:rPr>
        <w:t>-1</w:t>
      </w:r>
      <w:r>
        <w:rPr>
          <w:rFonts w:cs="Arial"/>
          <w:szCs w:val="18"/>
          <w:lang w:val="en-GB"/>
        </w:rPr>
        <w:t>] = 34.8</w:t>
      </w:r>
      <w:r>
        <w:rPr>
          <w:lang w:val="en-GB"/>
        </w:rPr>
        <w:t>;</w:t>
      </w:r>
    </w:p>
    <w:p w14:paraId="0E2302D9" w14:textId="72586994" w:rsidR="00BD1070" w:rsidRPr="00BD1070" w:rsidRDefault="00347D2B" w:rsidP="00BD1070">
      <w:pPr>
        <w:pStyle w:val="CETBodytext"/>
        <w:numPr>
          <w:ilvl w:val="0"/>
          <w:numId w:val="22"/>
        </w:numPr>
      </w:pPr>
      <w:r>
        <w:rPr>
          <w:lang w:val="en-GB"/>
        </w:rPr>
        <w:t>Reaction 2-</w:t>
      </w:r>
      <w:r w:rsidR="00BD1070">
        <w:rPr>
          <w:lang w:val="en-GB"/>
        </w:rPr>
        <w:t xml:space="preserve">: </w:t>
      </w:r>
      <w:r>
        <w:rPr>
          <w:lang w:val="en-GB"/>
        </w:rPr>
        <w:t>Pre-exponential factor [L</w:t>
      </w:r>
      <w:r w:rsidRPr="008876AA">
        <w:rPr>
          <w:vertAlign w:val="superscript"/>
          <w:lang w:val="en-GB"/>
        </w:rPr>
        <w:t>2</w:t>
      </w:r>
      <w:r>
        <w:rPr>
          <w:vertAlign w:val="superscript"/>
          <w:lang w:val="en-GB"/>
        </w:rPr>
        <w:t xml:space="preserve"> </w:t>
      </w:r>
      <w:r>
        <w:rPr>
          <w:lang w:val="en-GB"/>
        </w:rPr>
        <w:t>mol</w:t>
      </w:r>
      <w:r w:rsidRPr="008876AA">
        <w:rPr>
          <w:vertAlign w:val="superscript"/>
          <w:lang w:val="en-GB"/>
        </w:rPr>
        <w:t>-2</w:t>
      </w:r>
      <w:r>
        <w:rPr>
          <w:vertAlign w:val="superscript"/>
          <w:lang w:val="en-GB"/>
        </w:rPr>
        <w:t xml:space="preserve"> </w:t>
      </w:r>
      <w:r>
        <w:rPr>
          <w:lang w:val="en-GB"/>
        </w:rPr>
        <w:t>s</w:t>
      </w:r>
      <w:r w:rsidRPr="008876AA">
        <w:rPr>
          <w:vertAlign w:val="superscript"/>
          <w:lang w:val="en-GB"/>
        </w:rPr>
        <w:t>-1</w:t>
      </w:r>
      <w:r>
        <w:rPr>
          <w:lang w:val="en-GB"/>
        </w:rPr>
        <w:t>]=</w:t>
      </w:r>
      <m:oMath>
        <m:r>
          <w:rPr>
            <w:rFonts w:ascii="Cambria Math" w:hAnsi="Cambria Math"/>
            <w:lang w:val="en-GB"/>
          </w:rPr>
          <m:t>1.69⋅</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10</m:t>
            </m:r>
          </m:sup>
        </m:sSup>
      </m:oMath>
      <w:r>
        <w:rPr>
          <w:lang w:val="en-GB"/>
        </w:rPr>
        <w:t xml:space="preserve">, </w:t>
      </w:r>
      <w:r>
        <w:rPr>
          <w:rFonts w:cs="Arial"/>
          <w:szCs w:val="18"/>
          <w:lang w:val="en-GB"/>
        </w:rPr>
        <w:t>Activation energy [kJ mol</w:t>
      </w:r>
      <w:r w:rsidRPr="008876AA">
        <w:rPr>
          <w:rFonts w:cs="Arial"/>
          <w:szCs w:val="18"/>
          <w:vertAlign w:val="superscript"/>
          <w:lang w:val="en-GB"/>
        </w:rPr>
        <w:t>-1</w:t>
      </w:r>
      <w:r>
        <w:rPr>
          <w:rFonts w:cs="Arial"/>
          <w:szCs w:val="18"/>
          <w:lang w:val="en-GB"/>
        </w:rPr>
        <w:t>] = 66.9</w:t>
      </w:r>
      <w:r w:rsidR="00BD1070">
        <w:rPr>
          <w:lang w:val="en-GB"/>
        </w:rPr>
        <w:t xml:space="preserve">; </w:t>
      </w:r>
    </w:p>
    <w:p w14:paraId="4B55D4F0" w14:textId="44D755E4" w:rsidR="00FB11DA" w:rsidRDefault="00BD1070" w:rsidP="00BD1070">
      <w:pPr>
        <w:pStyle w:val="CETBodytext"/>
        <w:numPr>
          <w:ilvl w:val="0"/>
          <w:numId w:val="22"/>
        </w:numPr>
      </w:pPr>
      <w:r>
        <w:rPr>
          <w:lang w:val="en-GB"/>
        </w:rPr>
        <w:t>R</w:t>
      </w:r>
      <w:r w:rsidR="00347D2B">
        <w:rPr>
          <w:lang w:val="en-GB"/>
        </w:rPr>
        <w:t>eaction 3</w:t>
      </w:r>
      <w:r>
        <w:rPr>
          <w:lang w:val="en-GB"/>
        </w:rPr>
        <w:t xml:space="preserve">: </w:t>
      </w:r>
      <w:r w:rsidR="00347D2B">
        <w:rPr>
          <w:lang w:val="en-GB"/>
        </w:rPr>
        <w:t>Pre-exponential factor [L</w:t>
      </w:r>
      <w:r w:rsidR="00347D2B" w:rsidRPr="008876AA">
        <w:rPr>
          <w:vertAlign w:val="superscript"/>
          <w:lang w:val="en-GB"/>
        </w:rPr>
        <w:t>2</w:t>
      </w:r>
      <w:r w:rsidR="00347D2B">
        <w:rPr>
          <w:vertAlign w:val="superscript"/>
          <w:lang w:val="en-GB"/>
        </w:rPr>
        <w:t xml:space="preserve"> </w:t>
      </w:r>
      <w:r w:rsidR="00347D2B">
        <w:rPr>
          <w:lang w:val="en-GB"/>
        </w:rPr>
        <w:t>mol</w:t>
      </w:r>
      <w:r w:rsidR="00347D2B" w:rsidRPr="008876AA">
        <w:rPr>
          <w:vertAlign w:val="superscript"/>
          <w:lang w:val="en-GB"/>
        </w:rPr>
        <w:t>-2</w:t>
      </w:r>
      <w:r w:rsidR="00347D2B">
        <w:rPr>
          <w:vertAlign w:val="superscript"/>
          <w:lang w:val="en-GB"/>
        </w:rPr>
        <w:t xml:space="preserve"> </w:t>
      </w:r>
      <w:r w:rsidR="00347D2B">
        <w:rPr>
          <w:lang w:val="en-GB"/>
        </w:rPr>
        <w:t>s</w:t>
      </w:r>
      <w:r w:rsidR="00347D2B" w:rsidRPr="008876AA">
        <w:rPr>
          <w:vertAlign w:val="superscript"/>
          <w:lang w:val="en-GB"/>
        </w:rPr>
        <w:t>-1</w:t>
      </w:r>
      <w:r w:rsidR="00347D2B">
        <w:rPr>
          <w:lang w:val="en-GB"/>
        </w:rPr>
        <w:t>]=</w:t>
      </w:r>
      <m:oMath>
        <m:r>
          <w:rPr>
            <w:rFonts w:ascii="Cambria Math" w:hAnsi="Cambria Math"/>
            <w:lang w:val="en-GB"/>
          </w:rPr>
          <m:t>2.15⋅</m:t>
        </m:r>
        <m:sSup>
          <m:sSupPr>
            <m:ctrlPr>
              <w:rPr>
                <w:rFonts w:ascii="Cambria Math" w:hAnsi="Cambria Math"/>
                <w:i/>
                <w:lang w:val="en-GB"/>
              </w:rPr>
            </m:ctrlPr>
          </m:sSupPr>
          <m:e>
            <m:r>
              <w:rPr>
                <w:rFonts w:ascii="Cambria Math" w:hAnsi="Cambria Math"/>
                <w:lang w:val="en-GB"/>
              </w:rPr>
              <m:t>10</m:t>
            </m:r>
          </m:e>
          <m:sup>
            <m:r>
              <w:rPr>
                <w:rFonts w:ascii="Cambria Math" w:hAnsi="Cambria Math"/>
                <w:lang w:val="en-GB"/>
              </w:rPr>
              <m:t>5</m:t>
            </m:r>
          </m:sup>
        </m:sSup>
      </m:oMath>
      <w:r w:rsidR="00347D2B">
        <w:rPr>
          <w:lang w:val="en-GB"/>
        </w:rPr>
        <w:t xml:space="preserve">, </w:t>
      </w:r>
      <w:r w:rsidR="00347D2B">
        <w:rPr>
          <w:rFonts w:cs="Arial"/>
          <w:szCs w:val="18"/>
          <w:lang w:val="en-GB"/>
        </w:rPr>
        <w:t>Activation energy [kJ mol</w:t>
      </w:r>
      <w:r w:rsidR="00347D2B" w:rsidRPr="008876AA">
        <w:rPr>
          <w:rFonts w:cs="Arial"/>
          <w:szCs w:val="18"/>
          <w:vertAlign w:val="superscript"/>
          <w:lang w:val="en-GB"/>
        </w:rPr>
        <w:t>-1</w:t>
      </w:r>
      <w:r w:rsidR="00347D2B">
        <w:rPr>
          <w:rFonts w:cs="Arial"/>
          <w:szCs w:val="18"/>
          <w:lang w:val="en-GB"/>
        </w:rPr>
        <w:t>] = 42.8</w:t>
      </w:r>
      <w:r w:rsidR="00347D2B">
        <w:rPr>
          <w:lang w:val="en-GB"/>
        </w:rPr>
        <w:t>.</w:t>
      </w:r>
    </w:p>
    <w:p w14:paraId="0CC8D46F" w14:textId="3950A37D" w:rsidR="00C65B81" w:rsidRPr="00102A73" w:rsidRDefault="00C65B81" w:rsidP="00C65B81">
      <w:pPr>
        <w:pStyle w:val="CETBodytext"/>
      </w:pPr>
      <w:r>
        <w:t xml:space="preserve">Moreover, the use of Peltier cells calorimeters instead of reaction calorimeters (equipped with a flowing coolant within the reactor jacket) was found to be sufficiently accurate to determine all the thermochemical and kinetic parameters required to simulate the dynamics of </w:t>
      </w:r>
      <w:r w:rsidR="00F54D38">
        <w:t>a potentially runaway</w:t>
      </w:r>
      <w:r>
        <w:t xml:space="preserve"> system. </w:t>
      </w:r>
      <w:r w:rsidR="00F54D38">
        <w:t>Particularly</w:t>
      </w:r>
      <w:r>
        <w:t>, the most important advantage</w:t>
      </w:r>
      <w:r w:rsidR="00F54D38">
        <w:t>s</w:t>
      </w:r>
      <w:r>
        <w:t xml:space="preserve"> in the use of Peltier cells calorimeters </w:t>
      </w:r>
      <w:r w:rsidR="00F54D38">
        <w:t>for either safety or quick optimization purposes are: a) a low cost in terms of hardware employed in the study; b) a quick start up of the system due to the presence of the Peltier cells for thermal (heat and cool) conditioning; c) the wide choice of reactors nominal volumes (calorimetric experiments can be done down to a 100 mL scale).</w:t>
      </w:r>
    </w:p>
    <w:p w14:paraId="5BE98BE0" w14:textId="01A14BFF" w:rsidR="00854CAD" w:rsidRDefault="007517C3" w:rsidP="00854CAD">
      <w:pPr>
        <w:pStyle w:val="CETBodytext"/>
      </w:pPr>
      <w:r>
        <w:t>In conclusion</w:t>
      </w:r>
      <w:r w:rsidR="00C65B81">
        <w:t>, the r</w:t>
      </w:r>
      <w:r w:rsidR="00854CAD">
        <w:t xml:space="preserve">esults achieved within this work demonstrate that </w:t>
      </w:r>
      <w:r>
        <w:t>a pure calorimetric</w:t>
      </w:r>
      <w:r w:rsidR="00854CAD">
        <w:t xml:space="preserve"> approach </w:t>
      </w:r>
      <w:r>
        <w:t xml:space="preserve">to study reaction kinetics for safety purposes </w:t>
      </w:r>
      <w:r w:rsidR="00854CAD">
        <w:t xml:space="preserve">is </w:t>
      </w:r>
      <w:r>
        <w:t xml:space="preserve">highly </w:t>
      </w:r>
      <w:r w:rsidR="00854CAD">
        <w:t xml:space="preserve">promising and suggests </w:t>
      </w:r>
      <w:r w:rsidR="00C65B81">
        <w:t xml:space="preserve">possible </w:t>
      </w:r>
      <w:r w:rsidR="009C6715">
        <w:t xml:space="preserve">future </w:t>
      </w:r>
      <w:r w:rsidR="00C65B81">
        <w:t>applications to other complex reacting systems.</w:t>
      </w:r>
    </w:p>
    <w:p w14:paraId="72510037" w14:textId="20865395" w:rsidR="00B17A91" w:rsidRDefault="00255FA8" w:rsidP="004401FA">
      <w:pPr>
        <w:pStyle w:val="CETReference"/>
      </w:pPr>
      <w:r w:rsidRPr="00135A3E">
        <w:t>References</w:t>
      </w:r>
    </w:p>
    <w:p w14:paraId="4D638C6F" w14:textId="44989F94" w:rsidR="00163D86" w:rsidRDefault="00163D86" w:rsidP="00797188">
      <w:pPr>
        <w:pStyle w:val="CETReferencetext"/>
      </w:pPr>
      <w:r w:rsidRPr="00163D86">
        <w:rPr>
          <w:lang w:val="en-US"/>
        </w:rPr>
        <w:t xml:space="preserve">Casson V., Lister D.G., Milazzo M.F., Maschio G., 2012, </w:t>
      </w:r>
      <w:r w:rsidRPr="00163D86">
        <w:t>Comparison of criteria for prediction of runaway reactions in the sulphuric acid catalyzed esterification of acetic anhydride and methanol, J. Loss Prevent. Proc.</w:t>
      </w:r>
      <w:r>
        <w:t>,</w:t>
      </w:r>
      <w:r w:rsidRPr="00163D86">
        <w:t xml:space="preserve"> 25, 209-217</w:t>
      </w:r>
    </w:p>
    <w:p w14:paraId="2E2ED6D2" w14:textId="31C71A49" w:rsidR="00DC5B24" w:rsidRDefault="00DC5B24" w:rsidP="00DC5B24">
      <w:pPr>
        <w:pStyle w:val="CETReferencetext"/>
      </w:pPr>
      <w:r w:rsidRPr="00DC5B24">
        <w:rPr>
          <w:lang w:val="en-US"/>
        </w:rPr>
        <w:t>Casson Moreno V., Tugnoli A., Salzano E., Cozzani V.</w:t>
      </w:r>
      <w:r>
        <w:rPr>
          <w:lang w:val="en-US"/>
        </w:rPr>
        <w:t xml:space="preserve">, 2016, </w:t>
      </w:r>
      <w:r>
        <w:t>Escalation scenarios triggered by thermal explosions in batch and semi-batch reactors, Chemical Engineering Transactions, 48, 463 - 468</w:t>
      </w:r>
    </w:p>
    <w:p w14:paraId="483F79B5" w14:textId="7D0C2042" w:rsidR="002F594A" w:rsidRDefault="002F594A" w:rsidP="002F594A">
      <w:pPr>
        <w:pStyle w:val="CETReferencetext"/>
      </w:pPr>
      <w:r w:rsidRPr="002F594A">
        <w:rPr>
          <w:lang w:val="en-US"/>
        </w:rPr>
        <w:t xml:space="preserve">Copelli S., Derudi M., Rota R., 2010, </w:t>
      </w:r>
      <w:r>
        <w:t>Topological criteria to safely optimize hazardous chemical processes involving consecutive reactions, Industrial and Engineering Chemistry Research, 49 (10), 4583-4593</w:t>
      </w:r>
    </w:p>
    <w:p w14:paraId="553E91AA" w14:textId="4DDF89C2" w:rsidR="0077445E" w:rsidRDefault="0077445E" w:rsidP="0077445E">
      <w:pPr>
        <w:pStyle w:val="CETReferencetext"/>
      </w:pPr>
      <w:r w:rsidRPr="00DC5B24">
        <w:rPr>
          <w:lang w:val="en-US"/>
        </w:rPr>
        <w:t xml:space="preserve">Copelli S., Derudi M., Rota R., Torretta V., Pasturenzi C., Lunghi A., 2012, </w:t>
      </w:r>
      <w:r>
        <w:t>Safe optimization of 2-octanol oxidation and vinyl acetate emulsion polymerization, Chemical Engineering Transactions, 26, 21 - 26</w:t>
      </w:r>
    </w:p>
    <w:p w14:paraId="7EAAAA84" w14:textId="0122BF20" w:rsidR="00163D86" w:rsidRDefault="002F594A" w:rsidP="002F594A">
      <w:pPr>
        <w:pStyle w:val="CETReferencetext"/>
      </w:pPr>
      <w:r w:rsidRPr="002F594A">
        <w:rPr>
          <w:lang w:val="en-US"/>
        </w:rPr>
        <w:t>Copelli S., Derudi M., Sala Cattaneo C., Nano G., Torretta V., Rota, R., 2013, Classification and optimization of potentially runaway processes using topology tools</w:t>
      </w:r>
      <w:r>
        <w:rPr>
          <w:lang w:val="en-US"/>
        </w:rPr>
        <w:t xml:space="preserve">, </w:t>
      </w:r>
      <w:r w:rsidRPr="002F594A">
        <w:rPr>
          <w:lang w:val="en-US"/>
        </w:rPr>
        <w:t>Computers and Chemical Engineering, 56, 114-127</w:t>
      </w:r>
    </w:p>
    <w:p w14:paraId="66A5C338" w14:textId="70E41E32" w:rsidR="003C5978" w:rsidRDefault="003C5978" w:rsidP="00797188">
      <w:pPr>
        <w:pStyle w:val="CETReferencetext"/>
      </w:pPr>
      <w:r w:rsidRPr="003C5978">
        <w:t>Maestri F., Copelli S., Rota R., Gigante L., Lunghi A., Cardillo P., 2009, Simple procedure for optimally scaling-up fine chemical processes. I. Practical tools</w:t>
      </w:r>
      <w:r w:rsidR="00163D86">
        <w:t>,</w:t>
      </w:r>
      <w:r w:rsidRPr="003C5978">
        <w:t xml:space="preserve"> Ind. Eng. Chem. Res.</w:t>
      </w:r>
      <w:r w:rsidR="00163D86">
        <w:t>,</w:t>
      </w:r>
      <w:r w:rsidRPr="003C5978">
        <w:t xml:space="preserve"> 48, 1307-1315</w:t>
      </w:r>
    </w:p>
    <w:p w14:paraId="7A6767E3" w14:textId="42015DCC" w:rsidR="004F5372" w:rsidRDefault="004F5372" w:rsidP="00797188">
      <w:pPr>
        <w:pStyle w:val="CETReferencetext"/>
      </w:pPr>
      <w:r>
        <w:t xml:space="preserve">NIST, </w:t>
      </w:r>
      <w:hyperlink r:id="rId15" w:history="1">
        <w:r w:rsidRPr="009002F4">
          <w:rPr>
            <w:rStyle w:val="Collegamentoipertestuale"/>
          </w:rPr>
          <w:t>https://www.nist.gov/</w:t>
        </w:r>
      </w:hyperlink>
      <w:r>
        <w:t>, last access 12/12/2021</w:t>
      </w:r>
    </w:p>
    <w:p w14:paraId="49782CA2" w14:textId="4DBD6ED0" w:rsidR="004F5372" w:rsidRDefault="004F5372" w:rsidP="00797188">
      <w:pPr>
        <w:pStyle w:val="CETReferencetext"/>
      </w:pPr>
      <w:r>
        <w:t xml:space="preserve">Green D.W, Southard M.Z., 2019, </w:t>
      </w:r>
      <w:r w:rsidRPr="004F5372">
        <w:t>Perry's Chemical Engineers' Handbook, 9th Edition</w:t>
      </w:r>
      <w:r>
        <w:t>, McGraw-Hill</w:t>
      </w:r>
    </w:p>
    <w:p w14:paraId="05C53954" w14:textId="7DCABEF4" w:rsidR="00B17A91" w:rsidRPr="00135A3E" w:rsidRDefault="00797188" w:rsidP="00797188">
      <w:pPr>
        <w:pStyle w:val="CETReferencetext"/>
      </w:pPr>
      <w:r>
        <w:t>Zogg A., Stoessel F., Fischer</w:t>
      </w:r>
      <w:r>
        <w:rPr>
          <w:rFonts w:ascii="Cambria Math" w:hAnsi="Cambria Math" w:cs="Cambria Math"/>
        </w:rPr>
        <w:t xml:space="preserve"> U.</w:t>
      </w:r>
      <w:r>
        <w:t>, Hungerb</w:t>
      </w:r>
      <w:r>
        <w:rPr>
          <w:rFonts w:cs="Arial"/>
        </w:rPr>
        <w:t>ü</w:t>
      </w:r>
      <w:r>
        <w:t>hler K., 2004, Isothermal reaction calorimetry as a tool for kinetic analysis, Thermochimica Acta, 419, 1–17</w:t>
      </w:r>
    </w:p>
    <w:sectPr w:rsidR="00B17A91" w:rsidRPr="00135A3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58667" w14:textId="77777777" w:rsidR="00403E1A" w:rsidRDefault="00403E1A" w:rsidP="004F5E36">
      <w:r>
        <w:separator/>
      </w:r>
    </w:p>
  </w:endnote>
  <w:endnote w:type="continuationSeparator" w:id="0">
    <w:p w14:paraId="6DE2FA88" w14:textId="77777777" w:rsidR="00403E1A" w:rsidRDefault="00403E1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DCB06" w14:textId="77777777" w:rsidR="00403E1A" w:rsidRDefault="00403E1A" w:rsidP="004F5E36">
      <w:r>
        <w:separator/>
      </w:r>
    </w:p>
  </w:footnote>
  <w:footnote w:type="continuationSeparator" w:id="0">
    <w:p w14:paraId="76009870" w14:textId="77777777" w:rsidR="00403E1A" w:rsidRDefault="00403E1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B53A59"/>
    <w:multiLevelType w:val="hybridMultilevel"/>
    <w:tmpl w:val="60DC4C44"/>
    <w:lvl w:ilvl="0" w:tplc="1E16A50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9"/>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FFF"/>
    <w:rsid w:val="000027C0"/>
    <w:rsid w:val="00004DFA"/>
    <w:rsid w:val="000052FB"/>
    <w:rsid w:val="00007AEB"/>
    <w:rsid w:val="000117CB"/>
    <w:rsid w:val="000131DA"/>
    <w:rsid w:val="0003148D"/>
    <w:rsid w:val="00043DC3"/>
    <w:rsid w:val="00044B81"/>
    <w:rsid w:val="000459FE"/>
    <w:rsid w:val="00050CAD"/>
    <w:rsid w:val="00051566"/>
    <w:rsid w:val="000518EA"/>
    <w:rsid w:val="000563E8"/>
    <w:rsid w:val="00061DF5"/>
    <w:rsid w:val="00062A9A"/>
    <w:rsid w:val="00065058"/>
    <w:rsid w:val="00070AA3"/>
    <w:rsid w:val="00074071"/>
    <w:rsid w:val="000805FC"/>
    <w:rsid w:val="00086C39"/>
    <w:rsid w:val="00095735"/>
    <w:rsid w:val="000A03B2"/>
    <w:rsid w:val="000A0B71"/>
    <w:rsid w:val="000A78F0"/>
    <w:rsid w:val="000B44C9"/>
    <w:rsid w:val="000C2CDF"/>
    <w:rsid w:val="000D34BE"/>
    <w:rsid w:val="000D3735"/>
    <w:rsid w:val="000D570F"/>
    <w:rsid w:val="000E102F"/>
    <w:rsid w:val="000E36F1"/>
    <w:rsid w:val="000E3A73"/>
    <w:rsid w:val="000E414A"/>
    <w:rsid w:val="000F093C"/>
    <w:rsid w:val="000F787B"/>
    <w:rsid w:val="00101583"/>
    <w:rsid w:val="00102A73"/>
    <w:rsid w:val="00104BF6"/>
    <w:rsid w:val="0012091F"/>
    <w:rsid w:val="00123961"/>
    <w:rsid w:val="00126BC2"/>
    <w:rsid w:val="001308B6"/>
    <w:rsid w:val="0013121F"/>
    <w:rsid w:val="00131BC2"/>
    <w:rsid w:val="00131FE6"/>
    <w:rsid w:val="0013263F"/>
    <w:rsid w:val="00134DE4"/>
    <w:rsid w:val="00135A3E"/>
    <w:rsid w:val="0014034D"/>
    <w:rsid w:val="0014059C"/>
    <w:rsid w:val="00142BB3"/>
    <w:rsid w:val="0014464F"/>
    <w:rsid w:val="00150135"/>
    <w:rsid w:val="00150E59"/>
    <w:rsid w:val="00152DE3"/>
    <w:rsid w:val="0015734F"/>
    <w:rsid w:val="00163D86"/>
    <w:rsid w:val="00164CF9"/>
    <w:rsid w:val="0017241E"/>
    <w:rsid w:val="0017378F"/>
    <w:rsid w:val="00180860"/>
    <w:rsid w:val="001826AC"/>
    <w:rsid w:val="001839DB"/>
    <w:rsid w:val="00184AD6"/>
    <w:rsid w:val="00186835"/>
    <w:rsid w:val="001A05C8"/>
    <w:rsid w:val="001A5B78"/>
    <w:rsid w:val="001A5D0D"/>
    <w:rsid w:val="001B0349"/>
    <w:rsid w:val="001B65C1"/>
    <w:rsid w:val="001B6C4F"/>
    <w:rsid w:val="001C3064"/>
    <w:rsid w:val="001C684B"/>
    <w:rsid w:val="001C6956"/>
    <w:rsid w:val="001D40C2"/>
    <w:rsid w:val="001D53FC"/>
    <w:rsid w:val="001D6ABD"/>
    <w:rsid w:val="001D77B1"/>
    <w:rsid w:val="001E3D04"/>
    <w:rsid w:val="001F42A5"/>
    <w:rsid w:val="001F6A2D"/>
    <w:rsid w:val="001F7B9D"/>
    <w:rsid w:val="00203758"/>
    <w:rsid w:val="00217ED6"/>
    <w:rsid w:val="002224B4"/>
    <w:rsid w:val="00224564"/>
    <w:rsid w:val="00226024"/>
    <w:rsid w:val="002262D5"/>
    <w:rsid w:val="00235801"/>
    <w:rsid w:val="00241DC6"/>
    <w:rsid w:val="002447EF"/>
    <w:rsid w:val="00251550"/>
    <w:rsid w:val="002541DF"/>
    <w:rsid w:val="00255FA8"/>
    <w:rsid w:val="00263B05"/>
    <w:rsid w:val="0027221A"/>
    <w:rsid w:val="00275B61"/>
    <w:rsid w:val="00277748"/>
    <w:rsid w:val="002778FF"/>
    <w:rsid w:val="00281999"/>
    <w:rsid w:val="00282656"/>
    <w:rsid w:val="00287A91"/>
    <w:rsid w:val="00296B83"/>
    <w:rsid w:val="00297D1B"/>
    <w:rsid w:val="002A609E"/>
    <w:rsid w:val="002A7E30"/>
    <w:rsid w:val="002B3E56"/>
    <w:rsid w:val="002B40CA"/>
    <w:rsid w:val="002B78CE"/>
    <w:rsid w:val="002C0009"/>
    <w:rsid w:val="002C2FB6"/>
    <w:rsid w:val="002E413F"/>
    <w:rsid w:val="002F594A"/>
    <w:rsid w:val="003009B7"/>
    <w:rsid w:val="00300E56"/>
    <w:rsid w:val="0030469C"/>
    <w:rsid w:val="00320057"/>
    <w:rsid w:val="00321CA6"/>
    <w:rsid w:val="0032397B"/>
    <w:rsid w:val="00331282"/>
    <w:rsid w:val="00334C09"/>
    <w:rsid w:val="00336431"/>
    <w:rsid w:val="003367FE"/>
    <w:rsid w:val="003432F1"/>
    <w:rsid w:val="00346CBB"/>
    <w:rsid w:val="00347D2B"/>
    <w:rsid w:val="00350079"/>
    <w:rsid w:val="00365F30"/>
    <w:rsid w:val="003723D4"/>
    <w:rsid w:val="00376F0D"/>
    <w:rsid w:val="003828CD"/>
    <w:rsid w:val="00383F4B"/>
    <w:rsid w:val="00384CC8"/>
    <w:rsid w:val="003871FD"/>
    <w:rsid w:val="003A0C1A"/>
    <w:rsid w:val="003A1E30"/>
    <w:rsid w:val="003A32F9"/>
    <w:rsid w:val="003A41F1"/>
    <w:rsid w:val="003A75BA"/>
    <w:rsid w:val="003A7D1C"/>
    <w:rsid w:val="003B304B"/>
    <w:rsid w:val="003B3146"/>
    <w:rsid w:val="003B5595"/>
    <w:rsid w:val="003C5978"/>
    <w:rsid w:val="003C6CCE"/>
    <w:rsid w:val="003D5553"/>
    <w:rsid w:val="003D7360"/>
    <w:rsid w:val="003F015E"/>
    <w:rsid w:val="00400414"/>
    <w:rsid w:val="00403E1A"/>
    <w:rsid w:val="0041446B"/>
    <w:rsid w:val="00426639"/>
    <w:rsid w:val="00431583"/>
    <w:rsid w:val="004323A3"/>
    <w:rsid w:val="0043478C"/>
    <w:rsid w:val="004401FA"/>
    <w:rsid w:val="0044329C"/>
    <w:rsid w:val="0045720A"/>
    <w:rsid w:val="004577FE"/>
    <w:rsid w:val="00457B9C"/>
    <w:rsid w:val="0046164A"/>
    <w:rsid w:val="004628D2"/>
    <w:rsid w:val="00462DCD"/>
    <w:rsid w:val="004648AD"/>
    <w:rsid w:val="00467577"/>
    <w:rsid w:val="004703A9"/>
    <w:rsid w:val="00471FB7"/>
    <w:rsid w:val="004760DE"/>
    <w:rsid w:val="00484285"/>
    <w:rsid w:val="004847D2"/>
    <w:rsid w:val="004A004E"/>
    <w:rsid w:val="004A0E07"/>
    <w:rsid w:val="004A24CF"/>
    <w:rsid w:val="004B34B4"/>
    <w:rsid w:val="004B6E4F"/>
    <w:rsid w:val="004C2EA3"/>
    <w:rsid w:val="004C2FC3"/>
    <w:rsid w:val="004C3D1D"/>
    <w:rsid w:val="004C7913"/>
    <w:rsid w:val="004E4DD6"/>
    <w:rsid w:val="004F5372"/>
    <w:rsid w:val="004F5E36"/>
    <w:rsid w:val="004F781D"/>
    <w:rsid w:val="00507910"/>
    <w:rsid w:val="00507B47"/>
    <w:rsid w:val="00507CC9"/>
    <w:rsid w:val="00510DF8"/>
    <w:rsid w:val="005117F4"/>
    <w:rsid w:val="005119A5"/>
    <w:rsid w:val="00516D93"/>
    <w:rsid w:val="00525A09"/>
    <w:rsid w:val="00527776"/>
    <w:rsid w:val="005278B7"/>
    <w:rsid w:val="00532016"/>
    <w:rsid w:val="005346C8"/>
    <w:rsid w:val="00543E7D"/>
    <w:rsid w:val="0054698B"/>
    <w:rsid w:val="00547A68"/>
    <w:rsid w:val="005531C9"/>
    <w:rsid w:val="0055393A"/>
    <w:rsid w:val="0056436F"/>
    <w:rsid w:val="0056654F"/>
    <w:rsid w:val="00571AE6"/>
    <w:rsid w:val="005775CD"/>
    <w:rsid w:val="00577B88"/>
    <w:rsid w:val="00584BBD"/>
    <w:rsid w:val="00584CD8"/>
    <w:rsid w:val="00593A9E"/>
    <w:rsid w:val="00595CE9"/>
    <w:rsid w:val="00597401"/>
    <w:rsid w:val="005A3E9C"/>
    <w:rsid w:val="005B1490"/>
    <w:rsid w:val="005B2110"/>
    <w:rsid w:val="005B38E6"/>
    <w:rsid w:val="005B3E2E"/>
    <w:rsid w:val="005B61E6"/>
    <w:rsid w:val="005C4566"/>
    <w:rsid w:val="005C57E5"/>
    <w:rsid w:val="005C77E1"/>
    <w:rsid w:val="005D6A2F"/>
    <w:rsid w:val="005D6B0F"/>
    <w:rsid w:val="005E10C8"/>
    <w:rsid w:val="005E1A82"/>
    <w:rsid w:val="005E794C"/>
    <w:rsid w:val="005F0A28"/>
    <w:rsid w:val="005F0E5E"/>
    <w:rsid w:val="005F320B"/>
    <w:rsid w:val="00600535"/>
    <w:rsid w:val="00610CD6"/>
    <w:rsid w:val="006172E5"/>
    <w:rsid w:val="00620C11"/>
    <w:rsid w:val="00620DEE"/>
    <w:rsid w:val="00621F92"/>
    <w:rsid w:val="0062418D"/>
    <w:rsid w:val="00625639"/>
    <w:rsid w:val="00631B33"/>
    <w:rsid w:val="0063485A"/>
    <w:rsid w:val="00634E5B"/>
    <w:rsid w:val="0064099D"/>
    <w:rsid w:val="0064184D"/>
    <w:rsid w:val="00643540"/>
    <w:rsid w:val="00657A01"/>
    <w:rsid w:val="00660E3E"/>
    <w:rsid w:val="00662E74"/>
    <w:rsid w:val="00671FC9"/>
    <w:rsid w:val="00672FF9"/>
    <w:rsid w:val="006749B6"/>
    <w:rsid w:val="00680C23"/>
    <w:rsid w:val="00690903"/>
    <w:rsid w:val="00693766"/>
    <w:rsid w:val="00694F9A"/>
    <w:rsid w:val="006A3281"/>
    <w:rsid w:val="006B0523"/>
    <w:rsid w:val="006B1A71"/>
    <w:rsid w:val="006B4888"/>
    <w:rsid w:val="006B56C1"/>
    <w:rsid w:val="006C2E45"/>
    <w:rsid w:val="006C359C"/>
    <w:rsid w:val="006C3629"/>
    <w:rsid w:val="006C5579"/>
    <w:rsid w:val="006D42BA"/>
    <w:rsid w:val="006E04C1"/>
    <w:rsid w:val="006E0B53"/>
    <w:rsid w:val="006E1AF2"/>
    <w:rsid w:val="006E737D"/>
    <w:rsid w:val="006F15BF"/>
    <w:rsid w:val="006F2C8C"/>
    <w:rsid w:val="006F4500"/>
    <w:rsid w:val="00706126"/>
    <w:rsid w:val="00720A24"/>
    <w:rsid w:val="00722247"/>
    <w:rsid w:val="00732386"/>
    <w:rsid w:val="007369C9"/>
    <w:rsid w:val="00736E37"/>
    <w:rsid w:val="007408A3"/>
    <w:rsid w:val="007447F3"/>
    <w:rsid w:val="00746B30"/>
    <w:rsid w:val="0074758C"/>
    <w:rsid w:val="007517C3"/>
    <w:rsid w:val="0075300C"/>
    <w:rsid w:val="0075499F"/>
    <w:rsid w:val="00760B58"/>
    <w:rsid w:val="007651BD"/>
    <w:rsid w:val="007661C8"/>
    <w:rsid w:val="00766466"/>
    <w:rsid w:val="0077098D"/>
    <w:rsid w:val="00772E4C"/>
    <w:rsid w:val="0077445E"/>
    <w:rsid w:val="007756C8"/>
    <w:rsid w:val="00776EE7"/>
    <w:rsid w:val="007811D4"/>
    <w:rsid w:val="007872D2"/>
    <w:rsid w:val="00790DB9"/>
    <w:rsid w:val="00797188"/>
    <w:rsid w:val="007A7BBA"/>
    <w:rsid w:val="007B0C50"/>
    <w:rsid w:val="007B12F9"/>
    <w:rsid w:val="007B3ACE"/>
    <w:rsid w:val="007B51B9"/>
    <w:rsid w:val="007C1A43"/>
    <w:rsid w:val="007C7D64"/>
    <w:rsid w:val="007D03BF"/>
    <w:rsid w:val="007D404F"/>
    <w:rsid w:val="007E053A"/>
    <w:rsid w:val="007E077D"/>
    <w:rsid w:val="007E24CE"/>
    <w:rsid w:val="007E2A81"/>
    <w:rsid w:val="007F528C"/>
    <w:rsid w:val="00804F98"/>
    <w:rsid w:val="00813288"/>
    <w:rsid w:val="008168FC"/>
    <w:rsid w:val="00817840"/>
    <w:rsid w:val="00817A32"/>
    <w:rsid w:val="00823030"/>
    <w:rsid w:val="0083090F"/>
    <w:rsid w:val="00830996"/>
    <w:rsid w:val="00831148"/>
    <w:rsid w:val="008345F1"/>
    <w:rsid w:val="0083674D"/>
    <w:rsid w:val="008518AF"/>
    <w:rsid w:val="00854CAD"/>
    <w:rsid w:val="00865B07"/>
    <w:rsid w:val="008667EA"/>
    <w:rsid w:val="00873B3D"/>
    <w:rsid w:val="00873D70"/>
    <w:rsid w:val="0087637F"/>
    <w:rsid w:val="00883D98"/>
    <w:rsid w:val="008876AA"/>
    <w:rsid w:val="0089073D"/>
    <w:rsid w:val="00892AD5"/>
    <w:rsid w:val="00895379"/>
    <w:rsid w:val="008A1512"/>
    <w:rsid w:val="008A393A"/>
    <w:rsid w:val="008B29F1"/>
    <w:rsid w:val="008D36B2"/>
    <w:rsid w:val="008D433B"/>
    <w:rsid w:val="008D7B62"/>
    <w:rsid w:val="008E2327"/>
    <w:rsid w:val="008E566E"/>
    <w:rsid w:val="008F291C"/>
    <w:rsid w:val="0090161A"/>
    <w:rsid w:val="00901EB6"/>
    <w:rsid w:val="00904C62"/>
    <w:rsid w:val="00906B2D"/>
    <w:rsid w:val="00906FDE"/>
    <w:rsid w:val="00920FB3"/>
    <w:rsid w:val="00924DAC"/>
    <w:rsid w:val="0092567D"/>
    <w:rsid w:val="009263E3"/>
    <w:rsid w:val="00927058"/>
    <w:rsid w:val="00931F33"/>
    <w:rsid w:val="009450CE"/>
    <w:rsid w:val="00947179"/>
    <w:rsid w:val="0095164B"/>
    <w:rsid w:val="00954090"/>
    <w:rsid w:val="00955490"/>
    <w:rsid w:val="009573E7"/>
    <w:rsid w:val="00960958"/>
    <w:rsid w:val="009637B0"/>
    <w:rsid w:val="00963E05"/>
    <w:rsid w:val="00967D54"/>
    <w:rsid w:val="00971F25"/>
    <w:rsid w:val="0097659E"/>
    <w:rsid w:val="0099153B"/>
    <w:rsid w:val="00993B4E"/>
    <w:rsid w:val="00996483"/>
    <w:rsid w:val="00996F5A"/>
    <w:rsid w:val="009A558C"/>
    <w:rsid w:val="009B041A"/>
    <w:rsid w:val="009C6715"/>
    <w:rsid w:val="009C7C86"/>
    <w:rsid w:val="009D2FF7"/>
    <w:rsid w:val="009E7884"/>
    <w:rsid w:val="009E788A"/>
    <w:rsid w:val="009F0E08"/>
    <w:rsid w:val="009F7B23"/>
    <w:rsid w:val="009F7F64"/>
    <w:rsid w:val="00A16E1D"/>
    <w:rsid w:val="00A1763D"/>
    <w:rsid w:val="00A17CEC"/>
    <w:rsid w:val="00A2400E"/>
    <w:rsid w:val="00A27EF0"/>
    <w:rsid w:val="00A35A58"/>
    <w:rsid w:val="00A42749"/>
    <w:rsid w:val="00A50B20"/>
    <w:rsid w:val="00A51390"/>
    <w:rsid w:val="00A523DF"/>
    <w:rsid w:val="00A55B6A"/>
    <w:rsid w:val="00A56A58"/>
    <w:rsid w:val="00A60D13"/>
    <w:rsid w:val="00A60E20"/>
    <w:rsid w:val="00A64924"/>
    <w:rsid w:val="00A67401"/>
    <w:rsid w:val="00A72745"/>
    <w:rsid w:val="00A76EFC"/>
    <w:rsid w:val="00A85500"/>
    <w:rsid w:val="00A91010"/>
    <w:rsid w:val="00A93C0B"/>
    <w:rsid w:val="00A96076"/>
    <w:rsid w:val="00A97F29"/>
    <w:rsid w:val="00AA2561"/>
    <w:rsid w:val="00AA702E"/>
    <w:rsid w:val="00AB0964"/>
    <w:rsid w:val="00AB4065"/>
    <w:rsid w:val="00AB5011"/>
    <w:rsid w:val="00AC7368"/>
    <w:rsid w:val="00AC7C8E"/>
    <w:rsid w:val="00AD16B9"/>
    <w:rsid w:val="00AE1885"/>
    <w:rsid w:val="00AE377D"/>
    <w:rsid w:val="00AF2569"/>
    <w:rsid w:val="00AF7F6E"/>
    <w:rsid w:val="00B10EAB"/>
    <w:rsid w:val="00B11743"/>
    <w:rsid w:val="00B17A91"/>
    <w:rsid w:val="00B17FBD"/>
    <w:rsid w:val="00B315A6"/>
    <w:rsid w:val="00B31813"/>
    <w:rsid w:val="00B33365"/>
    <w:rsid w:val="00B42CD5"/>
    <w:rsid w:val="00B51DC5"/>
    <w:rsid w:val="00B56B6E"/>
    <w:rsid w:val="00B57B36"/>
    <w:rsid w:val="00B62A1E"/>
    <w:rsid w:val="00B77A4C"/>
    <w:rsid w:val="00B85170"/>
    <w:rsid w:val="00B8686D"/>
    <w:rsid w:val="00B868CD"/>
    <w:rsid w:val="00B86DCD"/>
    <w:rsid w:val="00BA67B6"/>
    <w:rsid w:val="00BB6764"/>
    <w:rsid w:val="00BC30C9"/>
    <w:rsid w:val="00BD1070"/>
    <w:rsid w:val="00BD763A"/>
    <w:rsid w:val="00BE2C8B"/>
    <w:rsid w:val="00BE3E58"/>
    <w:rsid w:val="00BF2E07"/>
    <w:rsid w:val="00BF6F7B"/>
    <w:rsid w:val="00C01616"/>
    <w:rsid w:val="00C0162B"/>
    <w:rsid w:val="00C0333F"/>
    <w:rsid w:val="00C12748"/>
    <w:rsid w:val="00C131BD"/>
    <w:rsid w:val="00C233C2"/>
    <w:rsid w:val="00C239FA"/>
    <w:rsid w:val="00C2413B"/>
    <w:rsid w:val="00C30955"/>
    <w:rsid w:val="00C3103C"/>
    <w:rsid w:val="00C345B1"/>
    <w:rsid w:val="00C34C4F"/>
    <w:rsid w:val="00C35E88"/>
    <w:rsid w:val="00C40142"/>
    <w:rsid w:val="00C56DCA"/>
    <w:rsid w:val="00C57182"/>
    <w:rsid w:val="00C57863"/>
    <w:rsid w:val="00C61511"/>
    <w:rsid w:val="00C655FD"/>
    <w:rsid w:val="00C65B81"/>
    <w:rsid w:val="00C71FB5"/>
    <w:rsid w:val="00C736A7"/>
    <w:rsid w:val="00C870A8"/>
    <w:rsid w:val="00C902D9"/>
    <w:rsid w:val="00C93CEA"/>
    <w:rsid w:val="00C94434"/>
    <w:rsid w:val="00C94A9F"/>
    <w:rsid w:val="00C95C96"/>
    <w:rsid w:val="00CA0D75"/>
    <w:rsid w:val="00CA1C95"/>
    <w:rsid w:val="00CA49E5"/>
    <w:rsid w:val="00CA4D3C"/>
    <w:rsid w:val="00CA5A9C"/>
    <w:rsid w:val="00CA6BCA"/>
    <w:rsid w:val="00CB1CC1"/>
    <w:rsid w:val="00CB2D3F"/>
    <w:rsid w:val="00CB7014"/>
    <w:rsid w:val="00CD1870"/>
    <w:rsid w:val="00CD5FE2"/>
    <w:rsid w:val="00CE1203"/>
    <w:rsid w:val="00CE19CC"/>
    <w:rsid w:val="00CE5102"/>
    <w:rsid w:val="00CE7C68"/>
    <w:rsid w:val="00CF02D7"/>
    <w:rsid w:val="00CF1BF7"/>
    <w:rsid w:val="00CF4BF2"/>
    <w:rsid w:val="00CF5FEB"/>
    <w:rsid w:val="00D02B4C"/>
    <w:rsid w:val="00D040C4"/>
    <w:rsid w:val="00D219F0"/>
    <w:rsid w:val="00D24734"/>
    <w:rsid w:val="00D440DE"/>
    <w:rsid w:val="00D46F65"/>
    <w:rsid w:val="00D52FCC"/>
    <w:rsid w:val="00D549F5"/>
    <w:rsid w:val="00D57C84"/>
    <w:rsid w:val="00D6057D"/>
    <w:rsid w:val="00D71BF8"/>
    <w:rsid w:val="00D72EBB"/>
    <w:rsid w:val="00D75721"/>
    <w:rsid w:val="00D83B39"/>
    <w:rsid w:val="00D84576"/>
    <w:rsid w:val="00D87DEE"/>
    <w:rsid w:val="00D96F3B"/>
    <w:rsid w:val="00DA1399"/>
    <w:rsid w:val="00DA24C6"/>
    <w:rsid w:val="00DA4B57"/>
    <w:rsid w:val="00DA4D7B"/>
    <w:rsid w:val="00DA65A9"/>
    <w:rsid w:val="00DB6770"/>
    <w:rsid w:val="00DC0B76"/>
    <w:rsid w:val="00DC5B24"/>
    <w:rsid w:val="00DE264A"/>
    <w:rsid w:val="00DE460C"/>
    <w:rsid w:val="00E002BD"/>
    <w:rsid w:val="00E02772"/>
    <w:rsid w:val="00E02D18"/>
    <w:rsid w:val="00E041E7"/>
    <w:rsid w:val="00E06292"/>
    <w:rsid w:val="00E10079"/>
    <w:rsid w:val="00E230CE"/>
    <w:rsid w:val="00E23CA1"/>
    <w:rsid w:val="00E26091"/>
    <w:rsid w:val="00E34095"/>
    <w:rsid w:val="00E409A8"/>
    <w:rsid w:val="00E40C43"/>
    <w:rsid w:val="00E41007"/>
    <w:rsid w:val="00E4504B"/>
    <w:rsid w:val="00E5050D"/>
    <w:rsid w:val="00E50C12"/>
    <w:rsid w:val="00E5239C"/>
    <w:rsid w:val="00E65B91"/>
    <w:rsid w:val="00E7209D"/>
    <w:rsid w:val="00E77223"/>
    <w:rsid w:val="00E8528B"/>
    <w:rsid w:val="00E85B94"/>
    <w:rsid w:val="00E8786E"/>
    <w:rsid w:val="00E92906"/>
    <w:rsid w:val="00E93D1A"/>
    <w:rsid w:val="00E964D2"/>
    <w:rsid w:val="00E978D0"/>
    <w:rsid w:val="00E97E10"/>
    <w:rsid w:val="00EA08C3"/>
    <w:rsid w:val="00EA2FAD"/>
    <w:rsid w:val="00EA4613"/>
    <w:rsid w:val="00EA7F91"/>
    <w:rsid w:val="00EB1523"/>
    <w:rsid w:val="00EC0E49"/>
    <w:rsid w:val="00EC6199"/>
    <w:rsid w:val="00EC6705"/>
    <w:rsid w:val="00ED2AD6"/>
    <w:rsid w:val="00ED3E2F"/>
    <w:rsid w:val="00ED5A4D"/>
    <w:rsid w:val="00ED70AE"/>
    <w:rsid w:val="00EE0131"/>
    <w:rsid w:val="00EE4841"/>
    <w:rsid w:val="00EE577F"/>
    <w:rsid w:val="00EE7F54"/>
    <w:rsid w:val="00EF2394"/>
    <w:rsid w:val="00EF39F2"/>
    <w:rsid w:val="00EF4444"/>
    <w:rsid w:val="00F026E2"/>
    <w:rsid w:val="00F11EF7"/>
    <w:rsid w:val="00F133E3"/>
    <w:rsid w:val="00F30C64"/>
    <w:rsid w:val="00F32CDB"/>
    <w:rsid w:val="00F40D0E"/>
    <w:rsid w:val="00F5439A"/>
    <w:rsid w:val="00F54D38"/>
    <w:rsid w:val="00F63A70"/>
    <w:rsid w:val="00F64C51"/>
    <w:rsid w:val="00F64C77"/>
    <w:rsid w:val="00F65B5A"/>
    <w:rsid w:val="00F75BC8"/>
    <w:rsid w:val="00F804DB"/>
    <w:rsid w:val="00F83A1A"/>
    <w:rsid w:val="00F868A1"/>
    <w:rsid w:val="00F904B4"/>
    <w:rsid w:val="00FA21D0"/>
    <w:rsid w:val="00FA25C9"/>
    <w:rsid w:val="00FA4A40"/>
    <w:rsid w:val="00FA5F5F"/>
    <w:rsid w:val="00FA71F3"/>
    <w:rsid w:val="00FB11DA"/>
    <w:rsid w:val="00FB730C"/>
    <w:rsid w:val="00FB7EAF"/>
    <w:rsid w:val="00FC2695"/>
    <w:rsid w:val="00FC3E03"/>
    <w:rsid w:val="00FC3FC1"/>
    <w:rsid w:val="00FC7B19"/>
    <w:rsid w:val="00FD2050"/>
    <w:rsid w:val="00FD4DCE"/>
    <w:rsid w:val="00FE480D"/>
    <w:rsid w:val="00FF4D5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53E816CA-D0BB-4DEF-A5C4-509E3713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55FA8"/>
    <w:pPr>
      <w:ind w:left="720"/>
      <w:contextualSpacing/>
    </w:pPr>
  </w:style>
  <w:style w:type="character" w:styleId="Testosegnaposto">
    <w:name w:val="Placeholder Text"/>
    <w:basedOn w:val="Carpredefinitoparagrafo"/>
    <w:uiPriority w:val="99"/>
    <w:semiHidden/>
    <w:rsid w:val="00E06292"/>
    <w:rPr>
      <w:color w:val="808080"/>
    </w:rPr>
  </w:style>
  <w:style w:type="paragraph" w:styleId="Revisione">
    <w:name w:val="Revision"/>
    <w:hidden/>
    <w:uiPriority w:val="99"/>
    <w:semiHidden/>
    <w:rsid w:val="008B29F1"/>
    <w:pPr>
      <w:spacing w:after="0" w:line="240" w:lineRule="auto"/>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4F5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180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8185">
      <w:bodyDiv w:val="1"/>
      <w:marLeft w:val="0"/>
      <w:marRight w:val="0"/>
      <w:marTop w:val="0"/>
      <w:marBottom w:val="0"/>
      <w:divBdr>
        <w:top w:val="none" w:sz="0" w:space="0" w:color="auto"/>
        <w:left w:val="none" w:sz="0" w:space="0" w:color="auto"/>
        <w:bottom w:val="none" w:sz="0" w:space="0" w:color="auto"/>
        <w:right w:val="none" w:sz="0" w:space="0" w:color="auto"/>
      </w:divBdr>
    </w:div>
    <w:div w:id="120686665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nist.gov/"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3513</Words>
  <Characters>20030</Characters>
  <Application>Microsoft Office Word</Application>
  <DocSecurity>0</DocSecurity>
  <Lines>166</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fflorit@mit.edu</dc:creator>
  <cp:lastModifiedBy>sabri</cp:lastModifiedBy>
  <cp:revision>7</cp:revision>
  <cp:lastPrinted>2015-05-12T18:31:00Z</cp:lastPrinted>
  <dcterms:created xsi:type="dcterms:W3CDTF">2022-02-23T13:47:00Z</dcterms:created>
  <dcterms:modified xsi:type="dcterms:W3CDTF">2022-02-23T14:12:00Z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