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B57E6F" w:rsidRDefault="00300E56" w:rsidP="00B57E6F">
            <w:pPr>
              <w:ind w:left="-107"/>
              <w:outlineLvl w:val="2"/>
              <w:rPr>
                <w:rFonts w:ascii="Tahoma" w:hAnsi="Tahoma" w:cs="Tahoma"/>
                <w:bCs/>
                <w:color w:val="000000"/>
                <w:sz w:val="14"/>
                <w:szCs w:val="14"/>
                <w:lang w:eastAsia="it-IT"/>
              </w:rPr>
            </w:pPr>
            <w:r w:rsidRPr="00B57B36">
              <w:rPr>
                <w:rFonts w:ascii="Tahoma" w:hAnsi="Tahoma" w:cs="Tahoma"/>
                <w:iCs/>
                <w:color w:val="333333"/>
                <w:sz w:val="14"/>
                <w:szCs w:val="14"/>
                <w:lang w:eastAsia="it-IT"/>
              </w:rPr>
              <w:t xml:space="preserve">Guest </w:t>
            </w:r>
            <w:r w:rsidRPr="001331DF">
              <w:rPr>
                <w:rFonts w:ascii="Tahoma" w:hAnsi="Tahoma" w:cs="Tahoma"/>
                <w:iCs/>
                <w:color w:val="333333"/>
                <w:sz w:val="14"/>
                <w:szCs w:val="14"/>
                <w:lang w:eastAsia="it-IT"/>
              </w:rPr>
              <w:t>Editors:</w:t>
            </w:r>
            <w:r w:rsidR="00904C62" w:rsidRPr="001331DF">
              <w:rPr>
                <w:rFonts w:ascii="Tahoma" w:hAnsi="Tahoma" w:cs="Tahoma"/>
                <w:iCs/>
                <w:color w:val="333333"/>
                <w:sz w:val="14"/>
                <w:szCs w:val="14"/>
                <w:lang w:eastAsia="it-IT"/>
              </w:rPr>
              <w:t xml:space="preserve"> </w:t>
            </w:r>
            <w:r w:rsidR="00B57E6F">
              <w:rPr>
                <w:rFonts w:ascii="Tahoma" w:hAnsi="Tahoma" w:cs="Tahoma"/>
                <w:color w:val="000000"/>
                <w:sz w:val="14"/>
                <w:szCs w:val="14"/>
                <w:shd w:val="clear" w:color="auto" w:fill="FFFFFF"/>
              </w:rPr>
              <w:t xml:space="preserve">Valerio </w:t>
            </w:r>
            <w:proofErr w:type="spellStart"/>
            <w:r w:rsidR="00B57E6F">
              <w:rPr>
                <w:rFonts w:ascii="Tahoma" w:hAnsi="Tahoma" w:cs="Tahoma"/>
                <w:color w:val="000000"/>
                <w:sz w:val="14"/>
                <w:szCs w:val="14"/>
                <w:shd w:val="clear" w:color="auto" w:fill="FFFFFF"/>
              </w:rPr>
              <w:t>Cozzani</w:t>
            </w:r>
            <w:proofErr w:type="spellEnd"/>
            <w:r w:rsidR="00B57E6F">
              <w:rPr>
                <w:rFonts w:ascii="Tahoma" w:hAnsi="Tahoma" w:cs="Tahoma"/>
                <w:color w:val="000000"/>
                <w:sz w:val="14"/>
                <w:szCs w:val="14"/>
                <w:shd w:val="clear" w:color="auto" w:fill="FFFFFF"/>
              </w:rPr>
              <w:t xml:space="preserve">, </w:t>
            </w:r>
            <w:r w:rsidR="001331DF">
              <w:rPr>
                <w:rFonts w:ascii="Tahoma" w:hAnsi="Tahoma" w:cs="Tahoma"/>
                <w:color w:val="000000"/>
                <w:sz w:val="14"/>
                <w:szCs w:val="14"/>
                <w:shd w:val="clear" w:color="auto" w:fill="FFFFFF"/>
              </w:rPr>
              <w:t>Bruno Fabiano</w:t>
            </w:r>
            <w:r w:rsidR="00B57E6F">
              <w:rPr>
                <w:rFonts w:ascii="Tahoma" w:hAnsi="Tahoma" w:cs="Tahoma"/>
                <w:color w:val="000000"/>
                <w:sz w:val="14"/>
                <w:szCs w:val="14"/>
                <w:shd w:val="clear" w:color="auto" w:fill="FFFFFF"/>
              </w:rPr>
              <w:t xml:space="preserve">, </w:t>
            </w:r>
            <w:proofErr w:type="spellStart"/>
            <w:r w:rsidR="00B57E6F" w:rsidRPr="00675866">
              <w:rPr>
                <w:rFonts w:ascii="Tahoma" w:hAnsi="Tahoma" w:cs="Tahoma"/>
                <w:bCs/>
                <w:color w:val="000000"/>
                <w:sz w:val="14"/>
                <w:szCs w:val="14"/>
                <w:lang w:eastAsia="it-IT"/>
              </w:rPr>
              <w:t>Genserik</w:t>
            </w:r>
            <w:proofErr w:type="spellEnd"/>
            <w:r w:rsidR="00B57E6F" w:rsidRPr="00675866">
              <w:rPr>
                <w:rFonts w:ascii="Tahoma" w:hAnsi="Tahoma" w:cs="Tahoma"/>
                <w:bCs/>
                <w:color w:val="000000"/>
                <w:sz w:val="14"/>
                <w:szCs w:val="14"/>
                <w:lang w:eastAsia="it-IT"/>
              </w:rPr>
              <w:t xml:space="preserve"> </w:t>
            </w:r>
            <w:proofErr w:type="spellStart"/>
            <w:r w:rsidR="00B57E6F" w:rsidRPr="00675866">
              <w:rPr>
                <w:rFonts w:ascii="Tahoma" w:hAnsi="Tahoma" w:cs="Tahoma"/>
                <w:bCs/>
                <w:color w:val="000000"/>
                <w:sz w:val="14"/>
                <w:szCs w:val="14"/>
                <w:lang w:eastAsia="it-IT"/>
              </w:rPr>
              <w:t>Reniers</w:t>
            </w:r>
            <w:proofErr w:type="spellEnd"/>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054B325E" w:rsidR="00E978D0" w:rsidRPr="00B57B36" w:rsidRDefault="006A5CE1" w:rsidP="00E978D0">
      <w:pPr>
        <w:pStyle w:val="CETTitle"/>
      </w:pPr>
      <w:r>
        <w:t>Estimating the Failure Probability of CO</w:t>
      </w:r>
      <w:r w:rsidRPr="006A5CE1">
        <w:rPr>
          <w:vertAlign w:val="subscript"/>
        </w:rPr>
        <w:t>2</w:t>
      </w:r>
      <w:r>
        <w:t xml:space="preserve"> Pipeline as Part of Carbon Capture and Storage Chain</w:t>
      </w:r>
    </w:p>
    <w:p w14:paraId="0488FED2" w14:textId="31BD43B8" w:rsidR="00B57E6F" w:rsidRPr="00B57B36" w:rsidRDefault="006A5CE1" w:rsidP="00B57E6F">
      <w:pPr>
        <w:pStyle w:val="CETAuthors"/>
      </w:pPr>
      <w:r>
        <w:t>Jiahuan Yi</w:t>
      </w:r>
      <w:r w:rsidR="00B57E6F" w:rsidRPr="00B57B36">
        <w:t xml:space="preserve">, </w:t>
      </w:r>
      <w:r>
        <w:t>Haroun Mahgerefteh</w:t>
      </w:r>
      <w:r w:rsidR="00B57E6F" w:rsidRPr="00B57B36">
        <w:t xml:space="preserve">*, </w:t>
      </w:r>
      <w:r>
        <w:t>Sergey Martynov</w:t>
      </w:r>
    </w:p>
    <w:p w14:paraId="6B2D21B3" w14:textId="7F55F810" w:rsidR="00B57E6F" w:rsidRPr="00B57B36" w:rsidRDefault="006A5CE1" w:rsidP="00B57E6F">
      <w:pPr>
        <w:pStyle w:val="CETAddress"/>
      </w:pPr>
      <w:r>
        <w:t>Department of Chemical Engineering, University College London, London WC1E 7JE, UK</w:t>
      </w:r>
      <w:r w:rsidR="00B57E6F" w:rsidRPr="00B57B36">
        <w:t xml:space="preserve"> </w:t>
      </w:r>
    </w:p>
    <w:p w14:paraId="73F1267A" w14:textId="43744A6D" w:rsidR="00B57E6F" w:rsidRPr="00B57B36" w:rsidRDefault="004412CC" w:rsidP="00B57E6F">
      <w:pPr>
        <w:pStyle w:val="CETemail"/>
      </w:pPr>
      <w:r>
        <w:t>h</w:t>
      </w:r>
      <w:r w:rsidR="00B57E6F" w:rsidRPr="00B57B36">
        <w:t>.</w:t>
      </w:r>
      <w:r>
        <w:t>mah</w:t>
      </w:r>
      <w:r w:rsidR="0081551D">
        <w:t>g</w:t>
      </w:r>
      <w:r>
        <w:t>erefteh</w:t>
      </w:r>
      <w:r w:rsidR="00B57E6F" w:rsidRPr="00B57B36">
        <w:t>@</w:t>
      </w:r>
      <w:r>
        <w:t>ucl.ac.uk</w:t>
      </w:r>
    </w:p>
    <w:p w14:paraId="717350F9" w14:textId="25FF2384" w:rsidR="00077808" w:rsidRDefault="002F5BF3" w:rsidP="00FD3A91">
      <w:pPr>
        <w:pStyle w:val="CETBodytext"/>
        <w:rPr>
          <w:rFonts w:eastAsiaTheme="minorEastAsia"/>
          <w:lang w:val="en-GB" w:eastAsia="zh-CN"/>
        </w:rPr>
      </w:pPr>
      <w:r w:rsidRPr="00B57B36">
        <w:rPr>
          <w:lang w:val="en-GB"/>
        </w:rPr>
        <w:t>T</w:t>
      </w:r>
      <w:r>
        <w:rPr>
          <w:lang w:val="en-GB"/>
        </w:rPr>
        <w:t xml:space="preserve">his </w:t>
      </w:r>
      <w:r w:rsidR="00FD3A91">
        <w:rPr>
          <w:lang w:val="en-GB"/>
        </w:rPr>
        <w:t xml:space="preserve">paper </w:t>
      </w:r>
      <w:r w:rsidR="00E427C7">
        <w:rPr>
          <w:lang w:val="en-GB"/>
        </w:rPr>
        <w:t>presents</w:t>
      </w:r>
      <w:r w:rsidR="00E427C7">
        <w:rPr>
          <w:rFonts w:eastAsiaTheme="minorEastAsia"/>
          <w:lang w:val="en-GB" w:eastAsia="zh-CN"/>
        </w:rPr>
        <w:t xml:space="preserve"> </w:t>
      </w:r>
      <w:r w:rsidR="008B4ECB">
        <w:rPr>
          <w:rFonts w:eastAsiaTheme="minorEastAsia"/>
          <w:lang w:val="en-GB" w:eastAsia="zh-CN"/>
        </w:rPr>
        <w:t xml:space="preserve">the development of </w:t>
      </w:r>
      <w:r w:rsidR="00E427C7">
        <w:rPr>
          <w:rFonts w:eastAsiaTheme="minorEastAsia"/>
          <w:lang w:val="en-GB" w:eastAsia="zh-CN"/>
        </w:rPr>
        <w:t>a</w:t>
      </w:r>
      <w:r>
        <w:rPr>
          <w:rFonts w:eastAsiaTheme="minorEastAsia"/>
          <w:lang w:val="en-GB" w:eastAsia="zh-CN"/>
        </w:rPr>
        <w:t xml:space="preserve">n analytical </w:t>
      </w:r>
      <w:r w:rsidR="00E427C7">
        <w:rPr>
          <w:rFonts w:eastAsiaTheme="minorEastAsia"/>
          <w:lang w:val="en-GB" w:eastAsia="zh-CN"/>
        </w:rPr>
        <w:t xml:space="preserve">method for </w:t>
      </w:r>
      <w:r w:rsidR="002801B8">
        <w:rPr>
          <w:rFonts w:eastAsiaTheme="minorEastAsia"/>
          <w:lang w:val="en-GB" w:eastAsia="zh-CN"/>
        </w:rPr>
        <w:t xml:space="preserve">predicting the </w:t>
      </w:r>
      <w:r w:rsidR="0049064A">
        <w:rPr>
          <w:rFonts w:eastAsiaTheme="minorEastAsia"/>
          <w:lang w:val="en-GB" w:eastAsia="zh-CN"/>
        </w:rPr>
        <w:t>Cumulative</w:t>
      </w:r>
      <w:r w:rsidR="002801B8">
        <w:rPr>
          <w:rFonts w:eastAsiaTheme="minorEastAsia"/>
          <w:lang w:val="en-GB" w:eastAsia="zh-CN"/>
        </w:rPr>
        <w:t xml:space="preserve"> D</w:t>
      </w:r>
      <w:r w:rsidR="00A535C0">
        <w:rPr>
          <w:rFonts w:eastAsiaTheme="minorEastAsia"/>
          <w:lang w:val="en-GB" w:eastAsia="zh-CN"/>
        </w:rPr>
        <w:t>istribution</w:t>
      </w:r>
      <w:r w:rsidR="002801B8">
        <w:rPr>
          <w:rFonts w:eastAsiaTheme="minorEastAsia"/>
          <w:lang w:val="en-GB" w:eastAsia="zh-CN"/>
        </w:rPr>
        <w:t xml:space="preserve"> Function</w:t>
      </w:r>
      <w:r w:rsidR="00E427C7">
        <w:rPr>
          <w:rFonts w:eastAsiaTheme="minorEastAsia"/>
          <w:lang w:val="en-GB" w:eastAsia="zh-CN"/>
        </w:rPr>
        <w:t xml:space="preserve"> </w:t>
      </w:r>
      <w:r w:rsidR="0049064A">
        <w:rPr>
          <w:rFonts w:eastAsiaTheme="minorEastAsia"/>
          <w:lang w:val="en-GB" w:eastAsia="zh-CN"/>
        </w:rPr>
        <w:t xml:space="preserve">(CDF) </w:t>
      </w:r>
      <w:r w:rsidR="00E427C7">
        <w:rPr>
          <w:rFonts w:eastAsiaTheme="minorEastAsia"/>
          <w:lang w:val="en-GB" w:eastAsia="zh-CN"/>
        </w:rPr>
        <w:t>for CO</w:t>
      </w:r>
      <w:r w:rsidR="00E427C7" w:rsidRPr="0091100C">
        <w:rPr>
          <w:rFonts w:eastAsiaTheme="minorEastAsia"/>
          <w:vertAlign w:val="subscript"/>
          <w:lang w:val="en-GB" w:eastAsia="zh-CN"/>
        </w:rPr>
        <w:t>2</w:t>
      </w:r>
      <w:r w:rsidR="00E427C7">
        <w:rPr>
          <w:rFonts w:eastAsiaTheme="minorEastAsia"/>
          <w:lang w:val="en-GB" w:eastAsia="zh-CN"/>
        </w:rPr>
        <w:t xml:space="preserve"> pipeline </w:t>
      </w:r>
      <w:r>
        <w:rPr>
          <w:rFonts w:eastAsiaTheme="minorEastAsia"/>
          <w:lang w:val="en-GB" w:eastAsia="zh-CN"/>
        </w:rPr>
        <w:t xml:space="preserve">puncture </w:t>
      </w:r>
      <w:r w:rsidR="00F87FB2">
        <w:rPr>
          <w:rFonts w:eastAsiaTheme="minorEastAsia"/>
          <w:lang w:val="en-GB" w:eastAsia="zh-CN"/>
        </w:rPr>
        <w:t xml:space="preserve">failures </w:t>
      </w:r>
      <w:r w:rsidR="00F51C29">
        <w:rPr>
          <w:rFonts w:eastAsiaTheme="minorEastAsia"/>
          <w:lang w:val="en-GB" w:eastAsia="zh-CN"/>
        </w:rPr>
        <w:t xml:space="preserve">based on fitting </w:t>
      </w:r>
      <w:r w:rsidR="00341C9E">
        <w:rPr>
          <w:rFonts w:eastAsiaTheme="minorEastAsia"/>
          <w:lang w:val="en-GB" w:eastAsia="zh-CN"/>
        </w:rPr>
        <w:t xml:space="preserve">the Weibull distribution to </w:t>
      </w:r>
      <w:r w:rsidR="00CD0883">
        <w:rPr>
          <w:rFonts w:eastAsiaTheme="minorEastAsia"/>
          <w:lang w:val="en-GB" w:eastAsia="zh-CN"/>
        </w:rPr>
        <w:t xml:space="preserve">the </w:t>
      </w:r>
      <w:r w:rsidR="0000729A">
        <w:rPr>
          <w:rFonts w:eastAsiaTheme="minorEastAsia"/>
          <w:lang w:val="en-GB" w:eastAsia="zh-CN"/>
        </w:rPr>
        <w:t xml:space="preserve">failure </w:t>
      </w:r>
      <w:r w:rsidR="00631AA4">
        <w:rPr>
          <w:rFonts w:eastAsiaTheme="minorEastAsia"/>
          <w:lang w:val="en-GB" w:eastAsia="zh-CN"/>
        </w:rPr>
        <w:t xml:space="preserve">hole size data in the </w:t>
      </w:r>
      <w:r w:rsidR="00802050" w:rsidRPr="005C120B">
        <w:rPr>
          <w:lang w:val="en-GB"/>
        </w:rPr>
        <w:t>Pipeline and Hazardous Material Safety Administration</w:t>
      </w:r>
      <w:r w:rsidR="00802050">
        <w:rPr>
          <w:rFonts w:eastAsiaTheme="minorEastAsia"/>
          <w:lang w:val="en-GB" w:eastAsia="zh-CN"/>
        </w:rPr>
        <w:t xml:space="preserve"> (</w:t>
      </w:r>
      <w:r w:rsidR="002605F2">
        <w:rPr>
          <w:rFonts w:eastAsiaTheme="minorEastAsia"/>
          <w:lang w:val="en-GB" w:eastAsia="zh-CN"/>
        </w:rPr>
        <w:t>PHMSA</w:t>
      </w:r>
      <w:r w:rsidR="00DD6F6F">
        <w:rPr>
          <w:rFonts w:eastAsiaTheme="minorEastAsia"/>
          <w:lang w:val="en-GB" w:eastAsia="zh-CN"/>
        </w:rPr>
        <w:t>)</w:t>
      </w:r>
      <w:r w:rsidR="002605F2">
        <w:rPr>
          <w:rFonts w:eastAsiaTheme="minorEastAsia"/>
          <w:lang w:val="en-GB" w:eastAsia="zh-CN"/>
        </w:rPr>
        <w:t xml:space="preserve"> </w:t>
      </w:r>
      <w:r w:rsidR="005855FE">
        <w:rPr>
          <w:rFonts w:eastAsiaTheme="minorEastAsia"/>
          <w:lang w:val="en-GB" w:eastAsia="zh-CN"/>
        </w:rPr>
        <w:t xml:space="preserve">historical </w:t>
      </w:r>
      <w:r w:rsidR="00CD0883">
        <w:rPr>
          <w:rFonts w:eastAsiaTheme="minorEastAsia"/>
          <w:lang w:val="en-GB" w:eastAsia="zh-CN"/>
        </w:rPr>
        <w:t>database using the Maximum Likelihood Estimator (MLE)</w:t>
      </w:r>
      <w:r w:rsidR="00E427C7">
        <w:rPr>
          <w:rFonts w:eastAsiaTheme="minorEastAsia"/>
          <w:lang w:val="en-GB" w:eastAsia="zh-CN"/>
        </w:rPr>
        <w:t xml:space="preserve">. </w:t>
      </w:r>
      <w:r w:rsidR="004973D3">
        <w:rPr>
          <w:rFonts w:eastAsiaTheme="minorEastAsia"/>
          <w:lang w:val="en-GB" w:eastAsia="zh-CN"/>
        </w:rPr>
        <w:t xml:space="preserve">The method starts with </w:t>
      </w:r>
      <w:r w:rsidR="00E14FF4">
        <w:rPr>
          <w:rFonts w:eastAsiaTheme="minorEastAsia"/>
          <w:lang w:val="en-GB" w:eastAsia="zh-CN"/>
        </w:rPr>
        <w:t xml:space="preserve">obtaining the minimum acceptable sample size for acquiring a reliable MLE through </w:t>
      </w:r>
      <w:r w:rsidR="00077808">
        <w:rPr>
          <w:rFonts w:eastAsiaTheme="minorEastAsia"/>
          <w:lang w:val="en-GB" w:eastAsia="zh-CN"/>
        </w:rPr>
        <w:t xml:space="preserve">assessing the quality of </w:t>
      </w:r>
      <w:r w:rsidR="006B1A91">
        <w:rPr>
          <w:rFonts w:eastAsiaTheme="minorEastAsia"/>
          <w:lang w:val="en-GB" w:eastAsia="zh-CN"/>
        </w:rPr>
        <w:t>the MLE</w:t>
      </w:r>
      <w:r w:rsidR="00077808">
        <w:rPr>
          <w:rFonts w:eastAsiaTheme="minorEastAsia"/>
          <w:lang w:val="en-GB" w:eastAsia="zh-CN"/>
        </w:rPr>
        <w:t xml:space="preserve"> </w:t>
      </w:r>
      <w:r w:rsidR="000C5F49">
        <w:rPr>
          <w:rFonts w:eastAsiaTheme="minorEastAsia"/>
          <w:lang w:val="en-GB" w:eastAsia="zh-CN"/>
        </w:rPr>
        <w:t>as a function of</w:t>
      </w:r>
      <w:r w:rsidR="00077808">
        <w:rPr>
          <w:rFonts w:eastAsiaTheme="minorEastAsia"/>
          <w:lang w:val="en-GB" w:eastAsia="zh-CN"/>
        </w:rPr>
        <w:t xml:space="preserve"> the</w:t>
      </w:r>
      <w:r w:rsidR="000C5F49">
        <w:rPr>
          <w:rFonts w:eastAsiaTheme="minorEastAsia"/>
          <w:lang w:val="en-GB" w:eastAsia="zh-CN"/>
        </w:rPr>
        <w:t xml:space="preserve"> data</w:t>
      </w:r>
      <w:r w:rsidR="00077808">
        <w:rPr>
          <w:rFonts w:eastAsiaTheme="minorEastAsia"/>
          <w:lang w:val="en-GB" w:eastAsia="zh-CN"/>
        </w:rPr>
        <w:t xml:space="preserve"> sample size using the Mean Squared Error (MSE)</w:t>
      </w:r>
      <w:r w:rsidR="009C444A">
        <w:rPr>
          <w:rFonts w:eastAsiaTheme="minorEastAsia"/>
          <w:lang w:val="en-GB" w:eastAsia="zh-CN"/>
        </w:rPr>
        <w:t>.</w:t>
      </w:r>
      <w:r w:rsidR="00652AFA">
        <w:rPr>
          <w:rFonts w:eastAsiaTheme="minorEastAsia"/>
          <w:lang w:val="en-GB" w:eastAsia="zh-CN"/>
        </w:rPr>
        <w:t xml:space="preserve"> For </w:t>
      </w:r>
      <w:r w:rsidR="002D278B">
        <w:rPr>
          <w:rFonts w:eastAsiaTheme="minorEastAsia"/>
          <w:lang w:val="en-GB" w:eastAsia="zh-CN"/>
        </w:rPr>
        <w:t xml:space="preserve">low quality </w:t>
      </w:r>
      <w:r w:rsidR="00287185">
        <w:rPr>
          <w:rFonts w:eastAsiaTheme="minorEastAsia"/>
          <w:lang w:val="en-GB" w:eastAsia="zh-CN"/>
        </w:rPr>
        <w:t>MLE</w:t>
      </w:r>
      <w:r w:rsidR="00652AFA">
        <w:rPr>
          <w:rFonts w:eastAsiaTheme="minorEastAsia"/>
          <w:lang w:val="en-GB" w:eastAsia="zh-CN"/>
        </w:rPr>
        <w:t xml:space="preserve">, the bootstrapping method is employed to </w:t>
      </w:r>
      <w:r w:rsidR="00B03D9F">
        <w:rPr>
          <w:rFonts w:eastAsiaTheme="minorEastAsia"/>
          <w:lang w:val="en-GB" w:eastAsia="zh-CN"/>
        </w:rPr>
        <w:t xml:space="preserve">enhance the confidence of the distribution fitting by </w:t>
      </w:r>
      <w:r w:rsidR="00652AFA">
        <w:rPr>
          <w:rFonts w:eastAsiaTheme="minorEastAsia"/>
          <w:lang w:val="en-GB" w:eastAsia="zh-CN"/>
        </w:rPr>
        <w:t>calculat</w:t>
      </w:r>
      <w:r w:rsidR="00B03D9F">
        <w:rPr>
          <w:rFonts w:eastAsiaTheme="minorEastAsia"/>
          <w:lang w:val="en-GB" w:eastAsia="zh-CN"/>
        </w:rPr>
        <w:t>ing</w:t>
      </w:r>
      <w:r w:rsidR="00652AFA">
        <w:rPr>
          <w:rFonts w:eastAsiaTheme="minorEastAsia"/>
          <w:lang w:val="en-GB" w:eastAsia="zh-CN"/>
        </w:rPr>
        <w:t xml:space="preserve"> the 95% Confidence Interval (CI) of the MLE. </w:t>
      </w:r>
      <w:r w:rsidR="00287185">
        <w:rPr>
          <w:rFonts w:eastAsiaTheme="minorEastAsia"/>
          <w:lang w:val="en-GB" w:eastAsia="zh-CN"/>
        </w:rPr>
        <w:t xml:space="preserve">The minimum acceptable sample size is then compared with the number of the </w:t>
      </w:r>
      <w:r w:rsidR="002605F2">
        <w:rPr>
          <w:rFonts w:eastAsiaTheme="minorEastAsia"/>
          <w:lang w:val="en-GB" w:eastAsia="zh-CN"/>
        </w:rPr>
        <w:t xml:space="preserve">database </w:t>
      </w:r>
      <w:r w:rsidR="00287185">
        <w:rPr>
          <w:rFonts w:eastAsiaTheme="minorEastAsia"/>
          <w:lang w:val="en-GB" w:eastAsia="zh-CN"/>
        </w:rPr>
        <w:t>CO</w:t>
      </w:r>
      <w:r w:rsidR="00287185" w:rsidRPr="00D45652">
        <w:rPr>
          <w:rFonts w:eastAsiaTheme="minorEastAsia"/>
          <w:vertAlign w:val="subscript"/>
          <w:lang w:val="en-GB" w:eastAsia="zh-CN"/>
        </w:rPr>
        <w:t>2</w:t>
      </w:r>
      <w:r w:rsidR="00287185">
        <w:rPr>
          <w:rFonts w:eastAsiaTheme="minorEastAsia"/>
          <w:lang w:val="en-GB" w:eastAsia="zh-CN"/>
        </w:rPr>
        <w:t xml:space="preserve"> hole size data</w:t>
      </w:r>
      <w:r w:rsidR="00A3015B">
        <w:rPr>
          <w:rFonts w:eastAsiaTheme="minorEastAsia"/>
          <w:lang w:val="en-GB" w:eastAsia="zh-CN"/>
        </w:rPr>
        <w:t xml:space="preserve"> to decide</w:t>
      </w:r>
      <w:r w:rsidR="00B0669E">
        <w:rPr>
          <w:rFonts w:eastAsiaTheme="minorEastAsia"/>
          <w:lang w:val="en-GB" w:eastAsia="zh-CN"/>
        </w:rPr>
        <w:t xml:space="preserve"> whether </w:t>
      </w:r>
      <w:r w:rsidR="00B77845">
        <w:rPr>
          <w:rFonts w:eastAsiaTheme="minorEastAsia"/>
          <w:lang w:val="en-GB" w:eastAsia="zh-CN"/>
        </w:rPr>
        <w:t>the</w:t>
      </w:r>
      <w:r w:rsidR="00B0669E">
        <w:rPr>
          <w:rFonts w:eastAsiaTheme="minorEastAsia"/>
          <w:lang w:val="en-GB" w:eastAsia="zh-CN"/>
        </w:rPr>
        <w:t xml:space="preserve"> bootstrapping is needed.</w:t>
      </w:r>
      <w:r w:rsidR="00287185">
        <w:rPr>
          <w:rFonts w:eastAsiaTheme="minorEastAsia"/>
          <w:lang w:val="en-GB" w:eastAsia="zh-CN"/>
        </w:rPr>
        <w:t xml:space="preserve"> </w:t>
      </w:r>
      <w:r w:rsidR="00CC5FC5">
        <w:rPr>
          <w:rFonts w:eastAsiaTheme="minorEastAsia"/>
          <w:lang w:val="en-GB" w:eastAsia="zh-CN"/>
        </w:rPr>
        <w:t xml:space="preserve">The results show that </w:t>
      </w:r>
      <w:r w:rsidR="00C25F26">
        <w:rPr>
          <w:rFonts w:eastAsiaTheme="minorEastAsia"/>
          <w:lang w:val="en-GB" w:eastAsia="zh-CN"/>
        </w:rPr>
        <w:t>the</w:t>
      </w:r>
      <w:r w:rsidR="00EA65BC">
        <w:rPr>
          <w:rFonts w:eastAsiaTheme="minorEastAsia"/>
          <w:lang w:val="en-GB" w:eastAsia="zh-CN"/>
        </w:rPr>
        <w:t xml:space="preserve"> </w:t>
      </w:r>
      <w:r w:rsidR="00B718C4" w:rsidRPr="00631AA4">
        <w:rPr>
          <w:rFonts w:eastAsiaTheme="minorEastAsia"/>
          <w:lang w:val="en-GB" w:eastAsia="zh-CN"/>
        </w:rPr>
        <w:t xml:space="preserve">sample </w:t>
      </w:r>
      <w:r w:rsidR="00F87FB2" w:rsidRPr="00631AA4">
        <w:rPr>
          <w:rFonts w:eastAsiaTheme="minorEastAsia"/>
          <w:lang w:val="en-GB" w:eastAsia="zh-CN"/>
        </w:rPr>
        <w:t>data</w:t>
      </w:r>
      <w:r w:rsidR="00EA65BC">
        <w:rPr>
          <w:rFonts w:eastAsiaTheme="minorEastAsia"/>
          <w:lang w:val="en-GB" w:eastAsia="zh-CN"/>
        </w:rPr>
        <w:t xml:space="preserve"> </w:t>
      </w:r>
      <w:r w:rsidR="00C00FCE">
        <w:rPr>
          <w:rFonts w:eastAsiaTheme="minorEastAsia"/>
          <w:lang w:val="en-GB" w:eastAsia="zh-CN"/>
        </w:rPr>
        <w:t>available</w:t>
      </w:r>
      <w:r w:rsidR="00EA65BC">
        <w:rPr>
          <w:rFonts w:eastAsiaTheme="minorEastAsia"/>
          <w:lang w:val="en-GB" w:eastAsia="zh-CN"/>
        </w:rPr>
        <w:t xml:space="preserve"> </w:t>
      </w:r>
      <w:r w:rsidR="00B42E19">
        <w:rPr>
          <w:rFonts w:eastAsiaTheme="minorEastAsia"/>
          <w:lang w:val="en-GB" w:eastAsia="zh-CN"/>
        </w:rPr>
        <w:t xml:space="preserve">are </w:t>
      </w:r>
      <w:r w:rsidR="00EA65BC">
        <w:rPr>
          <w:rFonts w:eastAsiaTheme="minorEastAsia"/>
          <w:lang w:val="en-GB" w:eastAsia="zh-CN"/>
        </w:rPr>
        <w:t>far less tha</w:t>
      </w:r>
      <w:r w:rsidR="00916432">
        <w:rPr>
          <w:rFonts w:eastAsiaTheme="minorEastAsia"/>
          <w:lang w:val="en-GB" w:eastAsia="zh-CN"/>
        </w:rPr>
        <w:t>n</w:t>
      </w:r>
      <w:r w:rsidR="00EA65BC">
        <w:rPr>
          <w:rFonts w:eastAsiaTheme="minorEastAsia"/>
          <w:lang w:val="en-GB" w:eastAsia="zh-CN"/>
        </w:rPr>
        <w:t xml:space="preserve"> what </w:t>
      </w:r>
      <w:r w:rsidR="00F87FB2">
        <w:rPr>
          <w:rFonts w:eastAsiaTheme="minorEastAsia"/>
          <w:lang w:val="en-GB" w:eastAsia="zh-CN"/>
        </w:rPr>
        <w:t xml:space="preserve">would be </w:t>
      </w:r>
      <w:r w:rsidR="00EA65BC">
        <w:rPr>
          <w:rFonts w:eastAsiaTheme="minorEastAsia"/>
          <w:lang w:val="en-GB" w:eastAsia="zh-CN"/>
        </w:rPr>
        <w:t xml:space="preserve">required </w:t>
      </w:r>
      <w:r w:rsidR="00A73ED8">
        <w:rPr>
          <w:rFonts w:eastAsiaTheme="minorEastAsia"/>
          <w:lang w:val="en-GB" w:eastAsia="zh-CN"/>
        </w:rPr>
        <w:t xml:space="preserve">for </w:t>
      </w:r>
      <w:r w:rsidR="001B0DF7">
        <w:rPr>
          <w:rFonts w:eastAsiaTheme="minorEastAsia"/>
          <w:lang w:val="en-GB" w:eastAsia="zh-CN"/>
        </w:rPr>
        <w:t>obtaining a reliable MLE</w:t>
      </w:r>
      <w:r w:rsidR="00A24360">
        <w:rPr>
          <w:rFonts w:eastAsiaTheme="minorEastAsia"/>
          <w:lang w:val="en-GB" w:eastAsia="zh-CN"/>
        </w:rPr>
        <w:t xml:space="preserve"> and hence the bootstrapping method is applied</w:t>
      </w:r>
      <w:r w:rsidR="00725534">
        <w:rPr>
          <w:rFonts w:eastAsiaTheme="minorEastAsia"/>
          <w:lang w:val="en-GB" w:eastAsia="zh-CN"/>
        </w:rPr>
        <w:t xml:space="preserve"> to acquire </w:t>
      </w:r>
      <w:r w:rsidR="002018BB">
        <w:rPr>
          <w:rFonts w:eastAsiaTheme="minorEastAsia"/>
          <w:lang w:val="en-GB" w:eastAsia="zh-CN"/>
        </w:rPr>
        <w:t xml:space="preserve">a range of CDFs </w:t>
      </w:r>
      <w:r w:rsidR="00D77E21">
        <w:rPr>
          <w:rFonts w:eastAsiaTheme="minorEastAsia"/>
          <w:lang w:val="en-GB" w:eastAsia="zh-CN"/>
        </w:rPr>
        <w:t xml:space="preserve">that may be considered valid for representing the probability distribution </w:t>
      </w:r>
      <w:r w:rsidR="00A06751">
        <w:rPr>
          <w:rFonts w:eastAsiaTheme="minorEastAsia"/>
          <w:lang w:val="en-GB" w:eastAsia="zh-CN"/>
        </w:rPr>
        <w:t>of CO</w:t>
      </w:r>
      <w:r w:rsidR="00A06751" w:rsidRPr="00B52549">
        <w:rPr>
          <w:rFonts w:eastAsiaTheme="minorEastAsia"/>
          <w:vertAlign w:val="subscript"/>
          <w:lang w:val="en-GB" w:eastAsia="zh-CN"/>
        </w:rPr>
        <w:t>2</w:t>
      </w:r>
      <w:r w:rsidR="00A06751">
        <w:rPr>
          <w:rFonts w:eastAsiaTheme="minorEastAsia"/>
          <w:lang w:val="en-GB" w:eastAsia="zh-CN"/>
        </w:rPr>
        <w:t xml:space="preserve"> pipeline </w:t>
      </w:r>
      <w:r w:rsidR="00B718C4">
        <w:rPr>
          <w:rFonts w:eastAsiaTheme="minorEastAsia"/>
          <w:lang w:val="en-GB" w:eastAsia="zh-CN"/>
        </w:rPr>
        <w:t xml:space="preserve">failure </w:t>
      </w:r>
      <w:r w:rsidR="00A06751">
        <w:rPr>
          <w:rFonts w:eastAsiaTheme="minorEastAsia"/>
          <w:lang w:val="en-GB" w:eastAsia="zh-CN"/>
        </w:rPr>
        <w:t>hole sizes</w:t>
      </w:r>
      <w:r w:rsidR="002A2ECD">
        <w:rPr>
          <w:rFonts w:eastAsiaTheme="minorEastAsia"/>
          <w:lang w:val="en-GB" w:eastAsia="zh-CN"/>
        </w:rPr>
        <w:t xml:space="preserve">. The resulting CDF </w:t>
      </w:r>
      <w:r w:rsidR="00C87C5B">
        <w:rPr>
          <w:rFonts w:eastAsiaTheme="minorEastAsia"/>
          <w:lang w:val="en-GB" w:eastAsia="zh-CN"/>
        </w:rPr>
        <w:t xml:space="preserve">range shows that </w:t>
      </w:r>
      <w:r w:rsidR="002B4BBB">
        <w:rPr>
          <w:rFonts w:eastAsiaTheme="minorEastAsia"/>
          <w:lang w:eastAsia="zh-CN"/>
        </w:rPr>
        <w:t xml:space="preserve">at least 70% of the failure holes are smaller than 0.25 of the pipe internal diameter </w:t>
      </w:r>
      <w:r w:rsidR="006A313F">
        <w:rPr>
          <w:rFonts w:eastAsiaTheme="minorEastAsia"/>
          <w:lang w:eastAsia="zh-CN"/>
        </w:rPr>
        <w:t xml:space="preserve">for </w:t>
      </w:r>
      <w:r w:rsidR="002B4BBB">
        <w:rPr>
          <w:rFonts w:eastAsiaTheme="minorEastAsia"/>
          <w:lang w:eastAsia="zh-CN"/>
        </w:rPr>
        <w:t>CO</w:t>
      </w:r>
      <w:r w:rsidR="002B4BBB" w:rsidRPr="002B4BBB">
        <w:rPr>
          <w:rFonts w:eastAsiaTheme="minorEastAsia"/>
          <w:vertAlign w:val="subscript"/>
          <w:lang w:eastAsia="zh-CN"/>
        </w:rPr>
        <w:t>2</w:t>
      </w:r>
      <w:r w:rsidR="002B4BBB">
        <w:rPr>
          <w:rFonts w:eastAsiaTheme="minorEastAsia"/>
          <w:lang w:eastAsia="zh-CN"/>
        </w:rPr>
        <w:t xml:space="preserve"> pipelines.</w:t>
      </w:r>
    </w:p>
    <w:p w14:paraId="476B2F2E" w14:textId="77777777" w:rsidR="00600535" w:rsidRPr="00B57B36" w:rsidRDefault="00600535" w:rsidP="00600535">
      <w:pPr>
        <w:pStyle w:val="CETHeading1"/>
        <w:rPr>
          <w:lang w:val="en-GB"/>
        </w:rPr>
      </w:pPr>
      <w:r w:rsidRPr="00B57B36">
        <w:rPr>
          <w:lang w:val="en-GB"/>
        </w:rPr>
        <w:t>Introduction</w:t>
      </w:r>
    </w:p>
    <w:p w14:paraId="5A53DC48" w14:textId="5F239B2C" w:rsidR="007551E5" w:rsidRDefault="007551E5" w:rsidP="00600535">
      <w:pPr>
        <w:pStyle w:val="CETBodytext"/>
        <w:rPr>
          <w:rFonts w:eastAsiaTheme="minorEastAsia"/>
          <w:lang w:val="en-GB" w:eastAsia="zh-CN"/>
        </w:rPr>
      </w:pPr>
      <w:r>
        <w:rPr>
          <w:rFonts w:eastAsiaTheme="minorEastAsia"/>
          <w:lang w:val="en-GB" w:eastAsia="zh-CN"/>
        </w:rPr>
        <w:t xml:space="preserve">As part of the quest for decelerating climate change, </w:t>
      </w:r>
      <w:r w:rsidR="00F97229">
        <w:rPr>
          <w:rFonts w:eastAsiaTheme="minorEastAsia" w:hint="eastAsia"/>
          <w:lang w:val="en-GB" w:eastAsia="zh-CN"/>
        </w:rPr>
        <w:t>C</w:t>
      </w:r>
      <w:r w:rsidR="00F97229">
        <w:rPr>
          <w:rFonts w:eastAsiaTheme="minorEastAsia"/>
          <w:lang w:val="en-GB" w:eastAsia="zh-CN"/>
        </w:rPr>
        <w:t xml:space="preserve">arbon Capture and Storage (CCS) is </w:t>
      </w:r>
      <w:r>
        <w:rPr>
          <w:rFonts w:eastAsiaTheme="minorEastAsia"/>
          <w:lang w:val="en-GB" w:eastAsia="zh-CN"/>
        </w:rPr>
        <w:t>considered</w:t>
      </w:r>
      <w:r w:rsidR="002605F2">
        <w:rPr>
          <w:rFonts w:eastAsiaTheme="minorEastAsia"/>
          <w:lang w:val="en-GB" w:eastAsia="zh-CN"/>
        </w:rPr>
        <w:t xml:space="preserve"> as </w:t>
      </w:r>
      <w:r w:rsidR="00F97229">
        <w:rPr>
          <w:rFonts w:eastAsiaTheme="minorEastAsia"/>
          <w:lang w:val="en-GB" w:eastAsia="zh-CN"/>
        </w:rPr>
        <w:t xml:space="preserve">one of the key technologies </w:t>
      </w:r>
      <w:r>
        <w:rPr>
          <w:rFonts w:eastAsiaTheme="minorEastAsia"/>
          <w:lang w:val="en-GB" w:eastAsia="zh-CN"/>
        </w:rPr>
        <w:t xml:space="preserve">needed </w:t>
      </w:r>
      <w:r w:rsidR="00F97229">
        <w:rPr>
          <w:rFonts w:eastAsiaTheme="minorEastAsia"/>
          <w:lang w:val="en-GB" w:eastAsia="zh-CN"/>
        </w:rPr>
        <w:t xml:space="preserve">to decarbonise the energy sector and industrial processes </w:t>
      </w:r>
      <w:r w:rsidR="00F97229">
        <w:rPr>
          <w:rFonts w:eastAsiaTheme="minorEastAsia"/>
          <w:lang w:val="en-GB" w:eastAsia="zh-CN"/>
        </w:rPr>
        <w:fldChar w:fldCharType="begin" w:fldLock="1"/>
      </w:r>
      <w:r w:rsidR="00F97229">
        <w:rPr>
          <w:rFonts w:eastAsiaTheme="minorEastAsia"/>
          <w:lang w:val="en-GB" w:eastAsia="zh-CN"/>
        </w:rPr>
        <w:instrText>ADDIN CSL_CITATION {"citationItems":[{"id":"ITEM-1","itemData":{"author":[{"dropping-particle":"","family":"Intergovernmental Panel on Climate Change (IPCC)","given":"","non-dropping-particle":"","parse-names":false,"suffix":""}],"id":"ITEM-1","issued":{"date-parts":[["2018"]]},"title":"Global warming of 1.5°C","type":"report"},"uris":["http://www.mendeley.com/documents/?uuid=651173ac-53b1-4d4b-9e73-75447e15511b"]}],"mendeley":{"formattedCitation":"(Intergovernmental Panel on Climate Change (IPCC), 2018)","manualFormatting":"(IPCC, 2018)","plainTextFormattedCitation":"(Intergovernmental Panel on Climate Change (IPCC), 2018)","previouslyFormattedCitation":"(Intergovernmental Panel on Climate Change (IPCC), 2018)"},"properties":{"noteIndex":0},"schema":"https://github.com/citation-style-language/schema/raw/master/csl-citation.json"}</w:instrText>
      </w:r>
      <w:r w:rsidR="00F97229">
        <w:rPr>
          <w:rFonts w:eastAsiaTheme="minorEastAsia"/>
          <w:lang w:val="en-GB" w:eastAsia="zh-CN"/>
        </w:rPr>
        <w:fldChar w:fldCharType="separate"/>
      </w:r>
      <w:r w:rsidR="00F97229" w:rsidRPr="00F97229">
        <w:rPr>
          <w:rFonts w:eastAsiaTheme="minorEastAsia"/>
          <w:noProof/>
          <w:lang w:val="en-GB" w:eastAsia="zh-CN"/>
        </w:rPr>
        <w:t>(IPCC, 2018)</w:t>
      </w:r>
      <w:r w:rsidR="00F97229">
        <w:rPr>
          <w:rFonts w:eastAsiaTheme="minorEastAsia"/>
          <w:lang w:val="en-GB" w:eastAsia="zh-CN"/>
        </w:rPr>
        <w:fldChar w:fldCharType="end"/>
      </w:r>
      <w:r w:rsidR="00F97229">
        <w:rPr>
          <w:rFonts w:eastAsiaTheme="minorEastAsia"/>
          <w:lang w:val="en-GB" w:eastAsia="zh-CN"/>
        </w:rPr>
        <w:t>. As part of the CCS chain, pressurised pipelines are widely recognised as the most practical and economical method for transporting the huge amounts of the captured CO</w:t>
      </w:r>
      <w:r w:rsidR="00F97229" w:rsidRPr="00F97229">
        <w:rPr>
          <w:rFonts w:eastAsiaTheme="minorEastAsia"/>
          <w:vertAlign w:val="subscript"/>
          <w:lang w:val="en-GB" w:eastAsia="zh-CN"/>
        </w:rPr>
        <w:t>2</w:t>
      </w:r>
      <w:r w:rsidR="00F97229">
        <w:rPr>
          <w:rFonts w:eastAsiaTheme="minorEastAsia"/>
          <w:lang w:val="en-GB" w:eastAsia="zh-CN"/>
        </w:rPr>
        <w:t xml:space="preserve"> from large emission sources such as fossil fuel power plants for the subsequent geological storage.</w:t>
      </w:r>
      <w:r w:rsidR="00796B3A">
        <w:rPr>
          <w:rFonts w:eastAsiaTheme="minorEastAsia"/>
          <w:lang w:val="en-GB" w:eastAsia="zh-CN"/>
        </w:rPr>
        <w:t xml:space="preserve"> I</w:t>
      </w:r>
      <w:r w:rsidR="00E101B3">
        <w:rPr>
          <w:rFonts w:eastAsiaTheme="minorEastAsia"/>
          <w:lang w:val="en-GB" w:eastAsia="zh-CN"/>
        </w:rPr>
        <w:t xml:space="preserve">t is estimated </w:t>
      </w:r>
      <w:r w:rsidR="00796B3A">
        <w:rPr>
          <w:rFonts w:eastAsiaTheme="minorEastAsia"/>
          <w:lang w:val="en-GB" w:eastAsia="zh-CN"/>
        </w:rPr>
        <w:fldChar w:fldCharType="begin" w:fldLock="1"/>
      </w:r>
      <w:r w:rsidR="00796B3A">
        <w:rPr>
          <w:rFonts w:eastAsiaTheme="minorEastAsia"/>
          <w:lang w:val="en-GB" w:eastAsia="zh-CN"/>
        </w:rPr>
        <w:instrText>ADDIN CSL_CITATION {"citationItems":[{"id":"ITEM-1","itemData":{"author":[{"dropping-particle":"","family":"Element Energy","given":"","non-dropping-particle":"","parse-names":false,"suffix":""}],"id":"ITEM-1","issued":{"date-parts":[["2010"]]},"title":"CO2 pipeline infrastructure: An analysis of global challenges and opportunities","type":"report"},"uris":["http://www.mendeley.com/documents/?uuid=1d107936-098a-419d-aaba-dffbfc39d73b"]}],"mendeley":{"formattedCitation":"(Element Energy, 2010)","plainTextFormattedCitation":"(Element Energy, 2010)","previouslyFormattedCitation":"(Element Energy, 2010)"},"properties":{"noteIndex":0},"schema":"https://github.com/citation-style-language/schema/raw/master/csl-citation.json"}</w:instrText>
      </w:r>
      <w:r w:rsidR="00796B3A">
        <w:rPr>
          <w:rFonts w:eastAsiaTheme="minorEastAsia"/>
          <w:lang w:val="en-GB" w:eastAsia="zh-CN"/>
        </w:rPr>
        <w:fldChar w:fldCharType="separate"/>
      </w:r>
      <w:r w:rsidR="00796B3A" w:rsidRPr="00C905A7">
        <w:rPr>
          <w:rFonts w:eastAsiaTheme="minorEastAsia"/>
          <w:noProof/>
          <w:lang w:val="en-GB" w:eastAsia="zh-CN"/>
        </w:rPr>
        <w:t>(Element Energy, 2010)</w:t>
      </w:r>
      <w:r w:rsidR="00796B3A">
        <w:rPr>
          <w:rFonts w:eastAsiaTheme="minorEastAsia"/>
          <w:lang w:val="en-GB" w:eastAsia="zh-CN"/>
        </w:rPr>
        <w:fldChar w:fldCharType="end"/>
      </w:r>
      <w:r w:rsidR="00796B3A">
        <w:rPr>
          <w:rFonts w:eastAsiaTheme="minorEastAsia"/>
          <w:lang w:val="en-GB" w:eastAsia="zh-CN"/>
        </w:rPr>
        <w:t xml:space="preserve"> </w:t>
      </w:r>
      <w:r w:rsidR="00C905A7">
        <w:rPr>
          <w:rFonts w:eastAsiaTheme="minorEastAsia"/>
          <w:lang w:val="en-GB" w:eastAsia="zh-CN"/>
        </w:rPr>
        <w:t>that the global demand for CO</w:t>
      </w:r>
      <w:r w:rsidR="00C905A7" w:rsidRPr="00C905A7">
        <w:rPr>
          <w:rFonts w:eastAsiaTheme="minorEastAsia"/>
          <w:vertAlign w:val="subscript"/>
          <w:lang w:val="en-GB" w:eastAsia="zh-CN"/>
        </w:rPr>
        <w:t>2</w:t>
      </w:r>
      <w:r w:rsidR="00C905A7">
        <w:rPr>
          <w:rFonts w:eastAsiaTheme="minorEastAsia"/>
          <w:lang w:val="en-GB" w:eastAsia="zh-CN"/>
        </w:rPr>
        <w:t xml:space="preserve"> pipelines </w:t>
      </w:r>
      <w:r>
        <w:rPr>
          <w:rFonts w:eastAsiaTheme="minorEastAsia"/>
          <w:lang w:val="en-GB" w:eastAsia="zh-CN"/>
        </w:rPr>
        <w:t xml:space="preserve">will </w:t>
      </w:r>
      <w:r w:rsidR="00796B3A">
        <w:rPr>
          <w:rFonts w:eastAsiaTheme="minorEastAsia"/>
          <w:lang w:val="en-GB" w:eastAsia="zh-CN"/>
        </w:rPr>
        <w:t xml:space="preserve">reach approximately </w:t>
      </w:r>
      <w:r w:rsidR="00C905A7">
        <w:rPr>
          <w:rFonts w:eastAsiaTheme="minorEastAsia"/>
          <w:lang w:val="en-GB" w:eastAsia="zh-CN"/>
        </w:rPr>
        <w:t xml:space="preserve">500,000 km in length by 2050. </w:t>
      </w:r>
    </w:p>
    <w:p w14:paraId="3E93A927" w14:textId="77777777" w:rsidR="007551E5" w:rsidRPr="00C851B7" w:rsidRDefault="007551E5" w:rsidP="00600535">
      <w:pPr>
        <w:pStyle w:val="CETBodytext"/>
        <w:rPr>
          <w:rFonts w:eastAsiaTheme="minorEastAsia"/>
          <w:lang w:val="en-GB" w:eastAsia="zh-CN"/>
        </w:rPr>
      </w:pPr>
    </w:p>
    <w:p w14:paraId="0A323368" w14:textId="6A9C38A1" w:rsidR="006D2CD6" w:rsidRDefault="00C905A7" w:rsidP="0050381F">
      <w:pPr>
        <w:pStyle w:val="CETBodytext"/>
        <w:rPr>
          <w:rFonts w:eastAsiaTheme="minorEastAsia"/>
          <w:lang w:val="en-GB" w:eastAsia="zh-CN"/>
        </w:rPr>
      </w:pPr>
      <w:r>
        <w:rPr>
          <w:rFonts w:eastAsiaTheme="minorEastAsia"/>
          <w:lang w:val="en-GB" w:eastAsia="zh-CN"/>
        </w:rPr>
        <w:t>Given that CO</w:t>
      </w:r>
      <w:r w:rsidRPr="00C905A7">
        <w:rPr>
          <w:rFonts w:eastAsiaTheme="minorEastAsia"/>
          <w:vertAlign w:val="subscript"/>
          <w:lang w:val="en-GB" w:eastAsia="zh-CN"/>
        </w:rPr>
        <w:t>2</w:t>
      </w:r>
      <w:r>
        <w:rPr>
          <w:rFonts w:eastAsiaTheme="minorEastAsia"/>
          <w:lang w:val="en-GB" w:eastAsia="zh-CN"/>
        </w:rPr>
        <w:t xml:space="preserve"> is toxic at high concentrations </w:t>
      </w:r>
      <w:r>
        <w:rPr>
          <w:rFonts w:eastAsiaTheme="minorEastAsia"/>
          <w:lang w:eastAsia="zh-CN"/>
        </w:rPr>
        <w:fldChar w:fldCharType="begin" w:fldLock="1"/>
      </w:r>
      <w:r w:rsidR="009701CE">
        <w:rPr>
          <w:rFonts w:eastAsiaTheme="minorEastAsia"/>
          <w:lang w:val="en-GB" w:eastAsia="zh-CN"/>
        </w:rPr>
        <w:instrText>ADDIN CSL_CITATION {"citationItems":[{"id":"ITEM-1","itemData":{"DOI":"10.1016/0196-8904(95)00291-X","ISSN":"01968904","author":[{"dropping-particle":"","family":"Kruse","given":"Henrik","non-dropping-particle":"","parse-names":false,"suffix":""},{"dropping-particle":"","family":"Tekiela","given":"Morten","non-dropping-particle":"","parse-names":false,"suffix":""}],"container-title":"Energy Conversion and Management","id":"ITEM-1","issue":"6-8","issued":{"date-parts":[["1996","6"]]},"page":"1013-1018","title":"Calculating the consequences of a CO2-pipeline rupture","type":"article-journal","volume":"37"},"uris":["http://www.mendeley.com/documents/?uuid=dc028b31-a80f-43c8-a503-255889f8b9f4"]}],"mendeley":{"formattedCitation":"(Kruse and Tekiela, 1996)","plainTextFormattedCitation":"(Kruse and Tekiela, 1996)","previouslyFormattedCitation":"(Kruse and Tekiela, 1996)"},"properties":{"noteIndex":0},"schema":"https://github.com/citation-style-language/schema/raw/master/csl-citation.json"}</w:instrText>
      </w:r>
      <w:r>
        <w:rPr>
          <w:rFonts w:eastAsiaTheme="minorEastAsia"/>
          <w:lang w:eastAsia="zh-CN"/>
        </w:rPr>
        <w:fldChar w:fldCharType="separate"/>
      </w:r>
      <w:r w:rsidRPr="00C905A7">
        <w:rPr>
          <w:rFonts w:eastAsiaTheme="minorEastAsia"/>
          <w:noProof/>
          <w:lang w:val="en-GB" w:eastAsia="zh-CN"/>
        </w:rPr>
        <w:t>(Kruse and Tekiela, 1996)</w:t>
      </w:r>
      <w:r>
        <w:rPr>
          <w:rFonts w:eastAsiaTheme="minorEastAsia"/>
          <w:lang w:eastAsia="zh-CN"/>
        </w:rPr>
        <w:fldChar w:fldCharType="end"/>
      </w:r>
      <w:r>
        <w:rPr>
          <w:rFonts w:eastAsiaTheme="minorEastAsia"/>
          <w:lang w:val="en-GB" w:eastAsia="zh-CN"/>
        </w:rPr>
        <w:t xml:space="preserve">, the risk assessment of </w:t>
      </w:r>
      <w:r w:rsidR="009D70C6">
        <w:rPr>
          <w:rFonts w:eastAsiaTheme="minorEastAsia"/>
          <w:lang w:val="en-GB" w:eastAsia="zh-CN"/>
        </w:rPr>
        <w:t>CO</w:t>
      </w:r>
      <w:r w:rsidR="009D70C6" w:rsidRPr="009D70C6">
        <w:rPr>
          <w:rFonts w:eastAsiaTheme="minorEastAsia"/>
          <w:vertAlign w:val="subscript"/>
          <w:lang w:val="en-GB" w:eastAsia="zh-CN"/>
        </w:rPr>
        <w:t>2</w:t>
      </w:r>
      <w:r w:rsidR="009D70C6">
        <w:rPr>
          <w:rFonts w:eastAsiaTheme="minorEastAsia"/>
          <w:lang w:val="en-GB" w:eastAsia="zh-CN"/>
        </w:rPr>
        <w:t xml:space="preserve"> pipeline in the unlikely event of pipeline failure is of paramount importance </w:t>
      </w:r>
      <w:r w:rsidR="00796B3A">
        <w:rPr>
          <w:rFonts w:eastAsiaTheme="minorEastAsia"/>
          <w:lang w:val="en-GB" w:eastAsia="zh-CN"/>
        </w:rPr>
        <w:t>to ensure the successful large</w:t>
      </w:r>
      <w:r w:rsidR="00F716DC">
        <w:rPr>
          <w:rFonts w:eastAsiaTheme="minorEastAsia"/>
          <w:lang w:val="en-GB" w:eastAsia="zh-CN"/>
        </w:rPr>
        <w:t>-scale</w:t>
      </w:r>
      <w:r w:rsidR="00796B3A">
        <w:rPr>
          <w:rFonts w:eastAsiaTheme="minorEastAsia"/>
          <w:lang w:val="en-GB" w:eastAsia="zh-CN"/>
        </w:rPr>
        <w:t xml:space="preserve"> </w:t>
      </w:r>
      <w:r w:rsidR="009D70C6">
        <w:rPr>
          <w:rFonts w:eastAsiaTheme="minorEastAsia"/>
          <w:lang w:val="en-GB" w:eastAsia="zh-CN"/>
        </w:rPr>
        <w:t xml:space="preserve"> deployment of CCS</w:t>
      </w:r>
      <w:r w:rsidR="00C851B7">
        <w:rPr>
          <w:rFonts w:eastAsiaTheme="minorEastAsia"/>
          <w:lang w:val="en-GB" w:eastAsia="zh-CN"/>
        </w:rPr>
        <w:t>.</w:t>
      </w:r>
      <w:r w:rsidR="009D70C6">
        <w:rPr>
          <w:rFonts w:eastAsiaTheme="minorEastAsia"/>
          <w:lang w:val="en-GB" w:eastAsia="zh-CN"/>
        </w:rPr>
        <w:t xml:space="preserve"> The above requires calculating </w:t>
      </w:r>
      <w:r w:rsidR="00BD62F4">
        <w:rPr>
          <w:rFonts w:eastAsiaTheme="minorEastAsia"/>
          <w:lang w:val="en-GB" w:eastAsia="zh-CN"/>
        </w:rPr>
        <w:t xml:space="preserve">the </w:t>
      </w:r>
      <w:r w:rsidR="009D70C6">
        <w:rPr>
          <w:rFonts w:eastAsiaTheme="minorEastAsia"/>
          <w:lang w:val="en-GB" w:eastAsia="zh-CN"/>
        </w:rPr>
        <w:t xml:space="preserve">consequences of loss of containment </w:t>
      </w:r>
      <w:r w:rsidR="00BD62F4">
        <w:rPr>
          <w:rFonts w:eastAsiaTheme="minorEastAsia"/>
          <w:lang w:val="en-GB" w:eastAsia="zh-CN"/>
        </w:rPr>
        <w:t>and the corresponding</w:t>
      </w:r>
      <w:r w:rsidR="009D70C6">
        <w:rPr>
          <w:rFonts w:eastAsiaTheme="minorEastAsia"/>
          <w:lang w:val="en-GB" w:eastAsia="zh-CN"/>
        </w:rPr>
        <w:t xml:space="preserve"> probability of occurrence</w:t>
      </w:r>
      <w:r w:rsidR="009701CE">
        <w:rPr>
          <w:rFonts w:eastAsiaTheme="minorEastAsia"/>
          <w:lang w:val="en-GB" w:eastAsia="zh-CN"/>
        </w:rPr>
        <w:t xml:space="preserve"> to estimate the individual and societal risk</w:t>
      </w:r>
      <w:r w:rsidR="007551E5">
        <w:rPr>
          <w:rFonts w:eastAsiaTheme="minorEastAsia"/>
          <w:lang w:val="en-GB" w:eastAsia="zh-CN"/>
        </w:rPr>
        <w:t>s</w:t>
      </w:r>
      <w:r w:rsidR="009701CE">
        <w:rPr>
          <w:rFonts w:eastAsiaTheme="minorEastAsia"/>
          <w:lang w:val="en-GB" w:eastAsia="zh-CN"/>
        </w:rPr>
        <w:t xml:space="preserve"> </w:t>
      </w:r>
      <w:r w:rsidR="009701CE">
        <w:rPr>
          <w:rFonts w:eastAsiaTheme="minorEastAsia"/>
          <w:lang w:val="en-GB" w:eastAsia="zh-CN"/>
        </w:rPr>
        <w:fldChar w:fldCharType="begin" w:fldLock="1"/>
      </w:r>
      <w:r w:rsidR="009701CE">
        <w:rPr>
          <w:rFonts w:eastAsiaTheme="minorEastAsia"/>
          <w:lang w:val="en-GB" w:eastAsia="zh-CN"/>
        </w:rPr>
        <w:instrText>ADDIN CSL_CITATION {"citationItems":[{"id":"ITEM-1","itemData":{"DOI":"10.1115/IPC2012-90247","ISBN":"978-0-7918-4515-8","abstract":"The United Kingdom Onshore Pipeline Operators Association (UKOPA) was formed by UK pipeline operators to provide a common forum for representing operators interests in the safe management of pipelines. This includes providing historical failure statistics for use in pipeline quantitative risk assessment and UKOPA maintain a database to record this data. The UKOPA database holds data on product loss failures of UK major accident hazard pipelines from 1962 onwards and currently has a total length of 22,370 km of pipelines reporting. Overall exposure from 1952 to 2010 is of over 785,000 km years of operating experience with a total of 184 product loss incidents during this period. The low number of failures means that the historical failure rate for pipelines of some specific diameters, wall thicknesses and material grades is zero or statistically insignificant. It is unreasonable to assume that the failure rate for these pipelines is actually zero. However, unlike the European Gas Incident data Group (EGIG) database, which also includes the UK gas transmission pipeline data, the UKOPA database contains extensive data on measured part wall damage that did not cause product loss. The data on damage to pipelines caused by external interference can be assessed to derive statistical distribution parameters describing the expected gouge length, gouge depth and dent depth resulting from an incident. Overall 3rd party interference incident rates for different class locations can also be determined. These distributions and incident rates can be used in structural reliability based techniques to predict the failure frequency due to 3rd party damage for a given set of pipeline parameters. The UKOPA recommended methodology for the assessment of pipeline failure frequency due to 3rd party damage is implemented in the FFREQ software. The distributions of 3rd party damage currently used in FFREQ date from the mid-1990s. This paper describes the work involved in updating the analysis of the damage database and presents the updated distribution parameters. A comparison of predictions using the old and new distributions is also presented.Copyright © 2012 by ASME.","author":[{"dropping-particle":"","family":"Goodfellow","given":"Graham","non-dropping-particle":"","parse-names":false,"suffix":""},{"dropping-particle":"","family":"Turner","given":"Susannah","non-dropping-particle":"","parse-names":false,"suffix":""},{"dropping-particle":"","family":"Haswell","given":"Jane","non-dropping-particle":"","parse-names":false,"suffix":""},{"dropping-particle":"","family":"Espiner","given":"Richard","non-dropping-particle":"","parse-names":false,"suffix":""}],"container-title":"International Pipeline Conference","id":"ITEM-1","issued":{"date-parts":[["2012","9"]]},"page":"541-547","publisher":"American Society of Mechanical Engineers","title":"An Update to the UKOPA Pipeline Damage Distributions","type":"paper-conference","volume":"45158"},"uris":["http://www.mendeley.com/documents/?uuid=6abd311c-a168-4cff-9840-49972ebf9610"]}],"mendeley":{"formattedCitation":"(Goodfellow et al., 2012)","plainTextFormattedCitation":"(Goodfellow et al., 2012)","previouslyFormattedCitation":"(Goodfellow et al., 2012)"},"properties":{"noteIndex":0},"schema":"https://github.com/citation-style-language/schema/raw/master/csl-citation.json"}</w:instrText>
      </w:r>
      <w:r w:rsidR="009701CE">
        <w:rPr>
          <w:rFonts w:eastAsiaTheme="minorEastAsia"/>
          <w:lang w:val="en-GB" w:eastAsia="zh-CN"/>
        </w:rPr>
        <w:fldChar w:fldCharType="separate"/>
      </w:r>
      <w:r w:rsidR="009701CE" w:rsidRPr="009701CE">
        <w:rPr>
          <w:rFonts w:eastAsiaTheme="minorEastAsia"/>
          <w:noProof/>
          <w:lang w:val="en-GB" w:eastAsia="zh-CN"/>
        </w:rPr>
        <w:t>(Goodfellow et al., 2012)</w:t>
      </w:r>
      <w:r w:rsidR="009701CE">
        <w:rPr>
          <w:rFonts w:eastAsiaTheme="minorEastAsia"/>
          <w:lang w:val="en-GB" w:eastAsia="zh-CN"/>
        </w:rPr>
        <w:fldChar w:fldCharType="end"/>
      </w:r>
      <w:r w:rsidR="009701CE">
        <w:rPr>
          <w:rFonts w:eastAsiaTheme="minorEastAsia"/>
          <w:lang w:val="en-GB" w:eastAsia="zh-CN"/>
        </w:rPr>
        <w:t xml:space="preserve">. To this end, many studies have focused on collecting pipeline failure statistics based on several parameters such as failure types and initiation mechanisms </w:t>
      </w:r>
      <w:r w:rsidR="009701CE">
        <w:rPr>
          <w:rFonts w:eastAsiaTheme="minorEastAsia"/>
          <w:lang w:val="en-GB" w:eastAsia="zh-CN"/>
        </w:rPr>
        <w:fldChar w:fldCharType="begin" w:fldLock="1"/>
      </w:r>
      <w:r w:rsidR="00337FCC">
        <w:rPr>
          <w:rFonts w:eastAsiaTheme="minorEastAsia"/>
          <w:lang w:val="en-GB" w:eastAsia="zh-CN"/>
        </w:rPr>
        <w:instrText>ADDIN CSL_CITATION {"citationItems":[{"id":"ITEM-1","itemData":{"author":[{"dropping-particle":"","family":"Muhlbauer","given":"W. Kent","non-dropping-particle":"","parse-names":false,"suffix":""}],"id":"ITEM-1","issued":{"date-parts":[["2004"]]},"publisher":"Elsevier","title":"Pipeline risk management manual (Third edition)-Ideas, techniques, and resources","type":"book"},"uris":["http://www.mendeley.com/documents/?uuid=35531a9d-ae5c-45ed-b0f2-2d69ff5c961c"]}],"mendeley":{"formattedCitation":"(Muhlbauer, 2004)","plainTextFormattedCitation":"(Muhlbauer, 2004)","previouslyFormattedCitation":"(Muhlbauer, 2004)"},"properties":{"noteIndex":0},"schema":"https://github.com/citation-style-language/schema/raw/master/csl-citation.json"}</w:instrText>
      </w:r>
      <w:r w:rsidR="009701CE">
        <w:rPr>
          <w:rFonts w:eastAsiaTheme="minorEastAsia"/>
          <w:lang w:val="en-GB" w:eastAsia="zh-CN"/>
        </w:rPr>
        <w:fldChar w:fldCharType="separate"/>
      </w:r>
      <w:r w:rsidR="009701CE" w:rsidRPr="009701CE">
        <w:rPr>
          <w:rFonts w:eastAsiaTheme="minorEastAsia"/>
          <w:noProof/>
          <w:lang w:val="en-GB" w:eastAsia="zh-CN"/>
        </w:rPr>
        <w:t>(Muhlbauer, 2004)</w:t>
      </w:r>
      <w:r w:rsidR="009701CE">
        <w:rPr>
          <w:rFonts w:eastAsiaTheme="minorEastAsia"/>
          <w:lang w:val="en-GB" w:eastAsia="zh-CN"/>
        </w:rPr>
        <w:fldChar w:fldCharType="end"/>
      </w:r>
      <w:r w:rsidR="009701CE">
        <w:rPr>
          <w:rFonts w:eastAsiaTheme="minorEastAsia"/>
          <w:lang w:val="en-GB" w:eastAsia="zh-CN"/>
        </w:rPr>
        <w:t>. Although the pipeline</w:t>
      </w:r>
      <w:r w:rsidR="009C4F38">
        <w:rPr>
          <w:rFonts w:eastAsiaTheme="minorEastAsia"/>
          <w:lang w:val="en-GB" w:eastAsia="zh-CN"/>
        </w:rPr>
        <w:t xml:space="preserve"> failure</w:t>
      </w:r>
      <w:r w:rsidR="009701CE">
        <w:rPr>
          <w:rFonts w:eastAsiaTheme="minorEastAsia"/>
          <w:lang w:val="en-GB" w:eastAsia="zh-CN"/>
        </w:rPr>
        <w:t xml:space="preserve"> hole size is the critical parameter that governs the mass release rate and hence the consequences associated with pipeline</w:t>
      </w:r>
      <w:r w:rsidR="007551E5">
        <w:rPr>
          <w:rFonts w:eastAsiaTheme="minorEastAsia"/>
          <w:lang w:val="en-GB" w:eastAsia="zh-CN"/>
        </w:rPr>
        <w:t xml:space="preserve"> failure</w:t>
      </w:r>
      <w:r w:rsidR="009701CE">
        <w:rPr>
          <w:rFonts w:eastAsiaTheme="minorEastAsia"/>
          <w:lang w:val="en-GB" w:eastAsia="zh-CN"/>
        </w:rPr>
        <w:t xml:space="preserve">, the probability of occurrence of failure </w:t>
      </w:r>
      <w:r w:rsidR="006706A3">
        <w:rPr>
          <w:rFonts w:eastAsiaTheme="minorEastAsia"/>
          <w:lang w:val="en-GB" w:eastAsia="zh-CN"/>
        </w:rPr>
        <w:t>based on the</w:t>
      </w:r>
      <w:r w:rsidR="009701CE">
        <w:rPr>
          <w:rFonts w:eastAsiaTheme="minorEastAsia"/>
          <w:lang w:val="en-GB" w:eastAsia="zh-CN"/>
        </w:rPr>
        <w:t xml:space="preserve"> hole size has received little attention. </w:t>
      </w:r>
    </w:p>
    <w:p w14:paraId="449AAD47" w14:textId="77777777" w:rsidR="006D2CD6" w:rsidRDefault="006D2CD6" w:rsidP="0050381F">
      <w:pPr>
        <w:pStyle w:val="CETBodytext"/>
        <w:rPr>
          <w:rFonts w:eastAsiaTheme="minorEastAsia"/>
          <w:lang w:val="en-GB" w:eastAsia="zh-CN"/>
        </w:rPr>
      </w:pPr>
    </w:p>
    <w:p w14:paraId="449590D7" w14:textId="3E679252" w:rsidR="00BC5B8C" w:rsidRDefault="009701CE" w:rsidP="0050381F">
      <w:pPr>
        <w:pStyle w:val="CETBodytext"/>
        <w:rPr>
          <w:rFonts w:eastAsiaTheme="minorEastAsia"/>
          <w:lang w:val="en-GB" w:eastAsia="zh-CN"/>
        </w:rPr>
      </w:pPr>
      <w:r>
        <w:rPr>
          <w:rFonts w:eastAsiaTheme="minorEastAsia"/>
          <w:lang w:val="en-GB" w:eastAsia="zh-CN"/>
        </w:rPr>
        <w:t xml:space="preserve">Central to the above </w:t>
      </w:r>
      <w:r w:rsidR="00C66115">
        <w:rPr>
          <w:rFonts w:eastAsiaTheme="minorEastAsia"/>
          <w:lang w:val="en-GB" w:eastAsia="zh-CN"/>
        </w:rPr>
        <w:t>is the accurate prediction of the probability distribution of the</w:t>
      </w:r>
      <w:r w:rsidR="004821F9">
        <w:rPr>
          <w:rFonts w:eastAsiaTheme="minorEastAsia"/>
          <w:lang w:val="en-GB" w:eastAsia="zh-CN"/>
        </w:rPr>
        <w:t xml:space="preserve"> failure</w:t>
      </w:r>
      <w:r w:rsidR="00C66115">
        <w:rPr>
          <w:rFonts w:eastAsiaTheme="minorEastAsia"/>
          <w:lang w:val="en-GB" w:eastAsia="zh-CN"/>
        </w:rPr>
        <w:t xml:space="preserve"> hole size.</w:t>
      </w:r>
      <w:r w:rsidR="005A78E8">
        <w:rPr>
          <w:rFonts w:eastAsiaTheme="minorEastAsia"/>
          <w:lang w:val="en-GB" w:eastAsia="zh-CN"/>
        </w:rPr>
        <w:t xml:space="preserve"> In previous studies,</w:t>
      </w:r>
      <w:r w:rsidR="0050381F">
        <w:rPr>
          <w:rFonts w:eastAsiaTheme="minorEastAsia"/>
          <w:lang w:val="en-GB" w:eastAsia="zh-CN"/>
        </w:rPr>
        <w:t xml:space="preserve"> </w:t>
      </w:r>
      <w:r w:rsidR="0050381F" w:rsidRPr="0050381F">
        <w:rPr>
          <w:rFonts w:eastAsiaTheme="minorEastAsia"/>
          <w:lang w:val="en-GB" w:eastAsia="zh-CN"/>
        </w:rPr>
        <w:t xml:space="preserve">the probability </w:t>
      </w:r>
      <w:r w:rsidR="001C515A">
        <w:rPr>
          <w:rFonts w:eastAsiaTheme="minorEastAsia"/>
          <w:lang w:val="en-GB" w:eastAsia="zh-CN"/>
        </w:rPr>
        <w:t xml:space="preserve">distribution </w:t>
      </w:r>
      <w:r w:rsidR="0050381F" w:rsidRPr="0050381F">
        <w:rPr>
          <w:rFonts w:eastAsiaTheme="minorEastAsia"/>
          <w:lang w:val="en-GB" w:eastAsia="zh-CN"/>
        </w:rPr>
        <w:t xml:space="preserve">of </w:t>
      </w:r>
      <w:r w:rsidR="001C515A">
        <w:rPr>
          <w:rFonts w:eastAsiaTheme="minorEastAsia"/>
          <w:lang w:val="en-GB" w:eastAsia="zh-CN"/>
        </w:rPr>
        <w:t>the</w:t>
      </w:r>
      <w:r w:rsidR="00220BA1">
        <w:rPr>
          <w:rFonts w:eastAsiaTheme="minorEastAsia"/>
          <w:lang w:val="en-GB" w:eastAsia="zh-CN"/>
        </w:rPr>
        <w:t xml:space="preserve"> failure</w:t>
      </w:r>
      <w:r w:rsidR="0050381F" w:rsidRPr="0050381F">
        <w:rPr>
          <w:rFonts w:eastAsiaTheme="minorEastAsia"/>
          <w:lang w:val="en-GB" w:eastAsia="zh-CN"/>
        </w:rPr>
        <w:t xml:space="preserve"> hole size is </w:t>
      </w:r>
      <w:r w:rsidR="00FB58BE">
        <w:rPr>
          <w:rFonts w:eastAsiaTheme="minorEastAsia"/>
          <w:lang w:val="en-GB" w:eastAsia="zh-CN"/>
        </w:rPr>
        <w:t>often</w:t>
      </w:r>
      <w:r w:rsidR="007B47D9">
        <w:rPr>
          <w:rFonts w:eastAsiaTheme="minorEastAsia"/>
          <w:lang w:val="en-GB" w:eastAsia="zh-CN"/>
        </w:rPr>
        <w:t xml:space="preserve"> obtained</w:t>
      </w:r>
      <w:r w:rsidR="00FB58BE">
        <w:rPr>
          <w:rFonts w:eastAsiaTheme="minorEastAsia"/>
          <w:lang w:val="en-GB" w:eastAsia="zh-CN"/>
        </w:rPr>
        <w:t xml:space="preserve"> </w:t>
      </w:r>
      <w:r w:rsidR="000A0792">
        <w:rPr>
          <w:rFonts w:eastAsiaTheme="minorEastAsia"/>
          <w:lang w:val="en-GB" w:eastAsia="zh-CN"/>
        </w:rPr>
        <w:t>based on dividing the failure counts of</w:t>
      </w:r>
      <w:r w:rsidR="0050381F" w:rsidRPr="0050381F">
        <w:rPr>
          <w:rFonts w:eastAsiaTheme="minorEastAsia"/>
          <w:lang w:val="en-GB" w:eastAsia="zh-CN"/>
        </w:rPr>
        <w:t xml:space="preserve"> a certain size range by the total failure counts recorded in historic databases.</w:t>
      </w:r>
      <w:r w:rsidR="00322E5B">
        <w:rPr>
          <w:rFonts w:eastAsiaTheme="minorEastAsia"/>
          <w:lang w:val="en-GB" w:eastAsia="zh-CN"/>
        </w:rPr>
        <w:t xml:space="preserve"> </w:t>
      </w:r>
      <w:r w:rsidR="00322E5B">
        <w:rPr>
          <w:rFonts w:eastAsiaTheme="minorEastAsia"/>
          <w:lang w:val="en-GB" w:eastAsia="zh-CN"/>
        </w:rPr>
        <w:fldChar w:fldCharType="begin" w:fldLock="1"/>
      </w:r>
      <w:r w:rsidR="000D04B7">
        <w:rPr>
          <w:rFonts w:eastAsiaTheme="minorEastAsia"/>
          <w:lang w:val="en-GB" w:eastAsia="zh-CN"/>
        </w:rPr>
        <w:instrText>ADDIN CSL_CITATION {"citationItems":[{"id":"ITEM-1","itemData":{"DOI":"10.1016/j.jlp.2011.12.005","ISSN":"09504230","author":[{"dropping-particle":"","family":"Medina","given":"Héctor","non-dropping-particle":"","parse-names":false,"suffix":""},{"dropping-particle":"","family":"Arnaldos","given":"Josep","non-dropping-particle":"","parse-names":false,"suffix":""},{"dropping-particle":"","family":"Casal","given":"Joaquim","non-dropping-particle":"","parse-names":false,"suffix":""},{"dropping-particle":"","family":"Bonvicini","given":"Sarah","non-dropping-particle":"","parse-names":false,"suffix":""},{"dropping-particle":"","family":"Cozzani","given":"Valerio","non-dropping-particle":"","parse-names":false,"suffix":""}],"container-title":"Journal of Loss Prevention in the Process Industries","id":"ITEM-1","issue":"3","issued":{"date-parts":[["2012","5"]]},"page":"489-493","title":"Risk-based optimization of the design of on-shore pipeline shutdown systems","type":"article-journal","volume":"25"},"uris":["http://www.mendeley.com/documents/?uuid=de066c5f-0ee6-41ee-97ce-5921b255ab98"]}],"mendeley":{"formattedCitation":"(Medina et al., 2012)","manualFormatting":"Medina et al. (2012)","plainTextFormattedCitation":"(Medina et al., 2012)","previouslyFormattedCitation":"(Medina et al., 2012)"},"properties":{"noteIndex":0},"schema":"https://github.com/citation-style-language/schema/raw/master/csl-citation.json"}</w:instrText>
      </w:r>
      <w:r w:rsidR="00322E5B">
        <w:rPr>
          <w:rFonts w:eastAsiaTheme="minorEastAsia"/>
          <w:lang w:val="en-GB" w:eastAsia="zh-CN"/>
        </w:rPr>
        <w:fldChar w:fldCharType="separate"/>
      </w:r>
      <w:r w:rsidR="00322E5B" w:rsidRPr="00322E5B">
        <w:rPr>
          <w:rFonts w:eastAsiaTheme="minorEastAsia"/>
          <w:noProof/>
          <w:lang w:val="en-GB" w:eastAsia="zh-CN"/>
        </w:rPr>
        <w:t xml:space="preserve">Medina et al. </w:t>
      </w:r>
      <w:r w:rsidR="00322E5B">
        <w:rPr>
          <w:rFonts w:eastAsiaTheme="minorEastAsia"/>
          <w:noProof/>
          <w:lang w:val="en-GB" w:eastAsia="zh-CN"/>
        </w:rPr>
        <w:t>(</w:t>
      </w:r>
      <w:r w:rsidR="00322E5B" w:rsidRPr="00322E5B">
        <w:rPr>
          <w:rFonts w:eastAsiaTheme="minorEastAsia"/>
          <w:noProof/>
          <w:lang w:val="en-GB" w:eastAsia="zh-CN"/>
        </w:rPr>
        <w:t>2012)</w:t>
      </w:r>
      <w:r w:rsidR="00322E5B">
        <w:rPr>
          <w:rFonts w:eastAsiaTheme="minorEastAsia"/>
          <w:lang w:val="en-GB" w:eastAsia="zh-CN"/>
        </w:rPr>
        <w:fldChar w:fldCharType="end"/>
      </w:r>
      <w:r w:rsidR="0050381F" w:rsidRPr="0050381F">
        <w:rPr>
          <w:rFonts w:eastAsiaTheme="minorEastAsia"/>
          <w:lang w:val="en-GB" w:eastAsia="zh-CN"/>
        </w:rPr>
        <w:t xml:space="preserve">, for example, employed </w:t>
      </w:r>
      <w:r w:rsidR="00AD558F">
        <w:rPr>
          <w:rFonts w:eastAsiaTheme="minorEastAsia"/>
          <w:lang w:val="en-GB" w:eastAsia="zh-CN"/>
        </w:rPr>
        <w:t>this</w:t>
      </w:r>
      <w:r w:rsidR="0050381F" w:rsidRPr="0050381F">
        <w:rPr>
          <w:rFonts w:eastAsiaTheme="minorEastAsia"/>
          <w:lang w:val="en-GB" w:eastAsia="zh-CN"/>
        </w:rPr>
        <w:t xml:space="preserve"> method to determine the release probability as a function of hole size based on the failure statistics from the CONCAWE database </w:t>
      </w:r>
      <w:r w:rsidR="00337FCC">
        <w:rPr>
          <w:rFonts w:eastAsiaTheme="minorEastAsia"/>
          <w:lang w:val="en-GB" w:eastAsia="zh-CN"/>
        </w:rPr>
        <w:fldChar w:fldCharType="begin" w:fldLock="1"/>
      </w:r>
      <w:r w:rsidR="00322E5B">
        <w:rPr>
          <w:rFonts w:eastAsiaTheme="minorEastAsia"/>
          <w:lang w:val="en-GB" w:eastAsia="zh-CN"/>
        </w:rPr>
        <w:instrText>ADDIN CSL_CITATION {"citationItems":[{"id":"ITEM-1","itemData":{"author":[{"dropping-particle":"","family":"CONCAWE","given":"","non-dropping-particle":"","parse-names":false,"suffix":""}],"id":"ITEM-1","issued":{"date-parts":[["2011"]]},"publisher-place":"Brussels","title":"Oil pipelines management group's special task force on oil pipeline spillages (OP/STF-1)","type":"report"},"uris":["http://www.mendeley.com/documents/?uuid=d290d225-6dfa-40d4-83ee-4d08d93c8ce2"]}],"mendeley":{"formattedCitation":"(CONCAWE, 2011)","plainTextFormattedCitation":"(CONCAWE, 2011)","previouslyFormattedCitation":"(CONCAWE, 2011)"},"properties":{"noteIndex":0},"schema":"https://github.com/citation-style-language/schema/raw/master/csl-citation.json"}</w:instrText>
      </w:r>
      <w:r w:rsidR="00337FCC">
        <w:rPr>
          <w:rFonts w:eastAsiaTheme="minorEastAsia"/>
          <w:lang w:val="en-GB" w:eastAsia="zh-CN"/>
        </w:rPr>
        <w:fldChar w:fldCharType="separate"/>
      </w:r>
      <w:r w:rsidR="00337FCC" w:rsidRPr="00337FCC">
        <w:rPr>
          <w:rFonts w:eastAsiaTheme="minorEastAsia"/>
          <w:noProof/>
          <w:lang w:val="en-GB" w:eastAsia="zh-CN"/>
        </w:rPr>
        <w:t>(CONCAWE, 2011)</w:t>
      </w:r>
      <w:r w:rsidR="00337FCC">
        <w:rPr>
          <w:rFonts w:eastAsiaTheme="minorEastAsia"/>
          <w:lang w:val="en-GB" w:eastAsia="zh-CN"/>
        </w:rPr>
        <w:fldChar w:fldCharType="end"/>
      </w:r>
      <w:r w:rsidR="0050381F" w:rsidRPr="0050381F">
        <w:rPr>
          <w:rFonts w:eastAsiaTheme="minorEastAsia"/>
          <w:lang w:val="en-GB" w:eastAsia="zh-CN"/>
        </w:rPr>
        <w:t xml:space="preserve"> for a risk-based optimisation of on-shore pipeline shutdown systems. In </w:t>
      </w:r>
      <w:r w:rsidR="007551E5" w:rsidRPr="0050381F">
        <w:rPr>
          <w:rFonts w:eastAsiaTheme="minorEastAsia"/>
          <w:lang w:val="en-GB" w:eastAsia="zh-CN"/>
        </w:rPr>
        <w:t>th</w:t>
      </w:r>
      <w:r w:rsidR="007551E5">
        <w:rPr>
          <w:rFonts w:eastAsiaTheme="minorEastAsia"/>
          <w:lang w:val="en-GB" w:eastAsia="zh-CN"/>
        </w:rPr>
        <w:t>e above</w:t>
      </w:r>
      <w:r w:rsidR="007551E5" w:rsidRPr="0050381F">
        <w:rPr>
          <w:rFonts w:eastAsiaTheme="minorEastAsia"/>
          <w:lang w:val="en-GB" w:eastAsia="zh-CN"/>
        </w:rPr>
        <w:t xml:space="preserve"> </w:t>
      </w:r>
      <w:r w:rsidR="0050381F" w:rsidRPr="0050381F">
        <w:rPr>
          <w:rFonts w:eastAsiaTheme="minorEastAsia"/>
          <w:lang w:val="en-GB" w:eastAsia="zh-CN"/>
        </w:rPr>
        <w:t xml:space="preserve">study, the through-wall holes following pipeline failure are assumed to have </w:t>
      </w:r>
      <w:r w:rsidR="0050381F" w:rsidRPr="0050381F">
        <w:rPr>
          <w:rFonts w:eastAsiaTheme="minorEastAsia"/>
          <w:lang w:val="en-GB" w:eastAsia="zh-CN"/>
        </w:rPr>
        <w:lastRenderedPageBreak/>
        <w:t>only three sizes including 10</w:t>
      </w:r>
      <w:r w:rsidR="00A5284E">
        <w:rPr>
          <w:rFonts w:eastAsiaTheme="minorEastAsia"/>
          <w:lang w:val="en-GB" w:eastAsia="zh-CN"/>
        </w:rPr>
        <w:t xml:space="preserve"> </w:t>
      </w:r>
      <w:r w:rsidR="0050381F" w:rsidRPr="0050381F">
        <w:rPr>
          <w:rFonts w:eastAsiaTheme="minorEastAsia"/>
          <w:lang w:val="en-GB" w:eastAsia="zh-CN"/>
        </w:rPr>
        <w:t>mm, 40</w:t>
      </w:r>
      <w:r w:rsidR="00A5284E">
        <w:rPr>
          <w:rFonts w:eastAsiaTheme="minorEastAsia"/>
          <w:lang w:val="en-GB" w:eastAsia="zh-CN"/>
        </w:rPr>
        <w:t xml:space="preserve"> </w:t>
      </w:r>
      <w:r w:rsidR="0050381F" w:rsidRPr="0050381F">
        <w:rPr>
          <w:rFonts w:eastAsiaTheme="minorEastAsia"/>
          <w:lang w:val="en-GB" w:eastAsia="zh-CN"/>
        </w:rPr>
        <w:t xml:space="preserve">mm and </w:t>
      </w:r>
      <w:r w:rsidR="005B394F">
        <w:rPr>
          <w:rFonts w:eastAsiaTheme="minorEastAsia"/>
          <w:lang w:val="en-GB" w:eastAsia="zh-CN"/>
        </w:rPr>
        <w:t>f</w:t>
      </w:r>
      <w:r w:rsidR="0050381F" w:rsidRPr="0050381F">
        <w:rPr>
          <w:rFonts w:eastAsiaTheme="minorEastAsia"/>
          <w:lang w:val="en-GB" w:eastAsia="zh-CN"/>
        </w:rPr>
        <w:t xml:space="preserve">ull </w:t>
      </w:r>
      <w:r w:rsidR="005B394F">
        <w:rPr>
          <w:rFonts w:eastAsiaTheme="minorEastAsia"/>
          <w:lang w:val="en-GB" w:eastAsia="zh-CN"/>
        </w:rPr>
        <w:t>b</w:t>
      </w:r>
      <w:r w:rsidR="0050381F" w:rsidRPr="0050381F">
        <w:rPr>
          <w:rFonts w:eastAsiaTheme="minorEastAsia"/>
          <w:lang w:val="en-GB" w:eastAsia="zh-CN"/>
        </w:rPr>
        <w:t xml:space="preserve">ore </w:t>
      </w:r>
      <w:r w:rsidR="005B394F">
        <w:rPr>
          <w:rFonts w:eastAsiaTheme="minorEastAsia"/>
          <w:lang w:val="en-GB" w:eastAsia="zh-CN"/>
        </w:rPr>
        <w:t>r</w:t>
      </w:r>
      <w:r w:rsidR="0050381F" w:rsidRPr="0050381F">
        <w:rPr>
          <w:rFonts w:eastAsiaTheme="minorEastAsia"/>
          <w:lang w:val="en-GB" w:eastAsia="zh-CN"/>
        </w:rPr>
        <w:t xml:space="preserve">upture, with their probabilities of occurrence being respectively reported as 59, 29 and 12%. </w:t>
      </w:r>
      <w:r w:rsidR="00D01D79">
        <w:rPr>
          <w:rFonts w:eastAsiaTheme="minorEastAsia"/>
          <w:lang w:val="en-GB" w:eastAsia="zh-CN"/>
        </w:rPr>
        <w:fldChar w:fldCharType="begin" w:fldLock="1"/>
      </w:r>
      <w:r w:rsidR="00B0508C">
        <w:rPr>
          <w:rFonts w:eastAsiaTheme="minorEastAsia"/>
          <w:lang w:val="en-GB" w:eastAsia="zh-CN"/>
        </w:rPr>
        <w:instrText>ADDIN CSL_CITATION {"citationItems":[{"id":"ITEM-1","itemData":{"DOI":"10.1016/j.jlp.2014.11.013","ISSN":"09504230","author":[{"dropping-particle":"","family":"Rusin","given":"Andrzej","non-dropping-particle":"","parse-names":false,"suffix":""},{"dropping-particle":"","family":"Stolecka","given":"Katarzyna","non-dropping-particle":"","parse-names":false,"suffix":""}],"container-title":"Journal of Loss Prevention in the Process Industries","id":"ITEM-1","issued":{"date-parts":[["2015","1"]]},"page":"77-87","title":"Reducing the risk level for pipelines transporting carbon dioxide and hydrogen by means of optimal safety valves spacing","type":"article-journal","volume":"33"},"uris":["http://www.mendeley.com/documents/?uuid=f3ea16f8-65e0-4719-a2e3-60095f2bf245"]}],"mendeley":{"formattedCitation":"(Rusin and Stolecka, 2015)","manualFormatting":"Rusin and Stolecka (2015)","plainTextFormattedCitation":"(Rusin and Stolecka, 2015)","previouslyFormattedCitation":"(Rusin and Stolecka, 2015)"},"properties":{"noteIndex":0},"schema":"https://github.com/citation-style-language/schema/raw/master/csl-citation.json"}</w:instrText>
      </w:r>
      <w:r w:rsidR="00D01D79">
        <w:rPr>
          <w:rFonts w:eastAsiaTheme="minorEastAsia"/>
          <w:lang w:val="en-GB" w:eastAsia="zh-CN"/>
        </w:rPr>
        <w:fldChar w:fldCharType="separate"/>
      </w:r>
      <w:r w:rsidR="00D01D79" w:rsidRPr="00D01D79">
        <w:rPr>
          <w:rFonts w:eastAsiaTheme="minorEastAsia"/>
          <w:noProof/>
          <w:lang w:val="en-GB" w:eastAsia="zh-CN"/>
        </w:rPr>
        <w:t xml:space="preserve">Rusin and Stolecka </w:t>
      </w:r>
      <w:r w:rsidR="00D01D79">
        <w:rPr>
          <w:rFonts w:eastAsiaTheme="minorEastAsia"/>
          <w:noProof/>
          <w:lang w:val="en-GB" w:eastAsia="zh-CN"/>
        </w:rPr>
        <w:t>(</w:t>
      </w:r>
      <w:r w:rsidR="00D01D79" w:rsidRPr="00D01D79">
        <w:rPr>
          <w:rFonts w:eastAsiaTheme="minorEastAsia"/>
          <w:noProof/>
          <w:lang w:val="en-GB" w:eastAsia="zh-CN"/>
        </w:rPr>
        <w:t>2015)</w:t>
      </w:r>
      <w:r w:rsidR="00D01D79">
        <w:rPr>
          <w:rFonts w:eastAsiaTheme="minorEastAsia"/>
          <w:lang w:val="en-GB" w:eastAsia="zh-CN"/>
        </w:rPr>
        <w:fldChar w:fldCharType="end"/>
      </w:r>
      <w:r w:rsidR="00D01D79">
        <w:rPr>
          <w:rFonts w:eastAsiaTheme="minorEastAsia"/>
          <w:lang w:val="en-GB" w:eastAsia="zh-CN"/>
        </w:rPr>
        <w:t xml:space="preserve"> </w:t>
      </w:r>
      <w:r w:rsidR="0050381F" w:rsidRPr="0050381F">
        <w:rPr>
          <w:rFonts w:eastAsiaTheme="minorEastAsia"/>
          <w:lang w:val="en-GB" w:eastAsia="zh-CN"/>
        </w:rPr>
        <w:t xml:space="preserve">on the other hand adopted the method to calculate the </w:t>
      </w:r>
      <w:r w:rsidR="00370E75" w:rsidRPr="0050381F">
        <w:rPr>
          <w:rFonts w:eastAsiaTheme="minorEastAsia"/>
          <w:lang w:val="en-GB" w:eastAsia="zh-CN"/>
        </w:rPr>
        <w:t>frequencies</w:t>
      </w:r>
      <w:r w:rsidR="0050381F" w:rsidRPr="0050381F">
        <w:rPr>
          <w:rFonts w:eastAsiaTheme="minorEastAsia"/>
          <w:lang w:val="en-GB" w:eastAsia="zh-CN"/>
        </w:rPr>
        <w:t xml:space="preserve"> of possible </w:t>
      </w:r>
      <w:r w:rsidR="00370E75" w:rsidRPr="0050381F">
        <w:rPr>
          <w:rFonts w:eastAsiaTheme="minorEastAsia"/>
          <w:lang w:val="en-GB" w:eastAsia="zh-CN"/>
        </w:rPr>
        <w:t>consequences</w:t>
      </w:r>
      <w:r w:rsidR="0050381F" w:rsidRPr="0050381F">
        <w:rPr>
          <w:rFonts w:eastAsiaTheme="minorEastAsia"/>
          <w:lang w:val="en-GB" w:eastAsia="zh-CN"/>
        </w:rPr>
        <w:t xml:space="preserve"> following pipeline failure for a study of optimal safety valve spacing for CO</w:t>
      </w:r>
      <w:r w:rsidR="0050381F" w:rsidRPr="009E0759">
        <w:rPr>
          <w:rFonts w:eastAsiaTheme="minorEastAsia"/>
          <w:vertAlign w:val="subscript"/>
          <w:lang w:val="en-GB" w:eastAsia="zh-CN"/>
        </w:rPr>
        <w:t>2</w:t>
      </w:r>
      <w:r w:rsidR="0050381F" w:rsidRPr="0050381F">
        <w:rPr>
          <w:rFonts w:eastAsiaTheme="minorEastAsia"/>
          <w:lang w:val="en-GB" w:eastAsia="zh-CN"/>
        </w:rPr>
        <w:t xml:space="preserve"> and hydrogen pipelines. The failures are assumed to be either puncture or rupture</w:t>
      </w:r>
      <w:r w:rsidR="00C97DF0">
        <w:rPr>
          <w:rFonts w:eastAsiaTheme="minorEastAsia"/>
          <w:lang w:val="en-GB" w:eastAsia="zh-CN"/>
        </w:rPr>
        <w:t>, with their ratio</w:t>
      </w:r>
      <w:r w:rsidR="0050381F" w:rsidRPr="0050381F">
        <w:rPr>
          <w:rFonts w:eastAsiaTheme="minorEastAsia"/>
          <w:lang w:val="en-GB" w:eastAsia="zh-CN"/>
        </w:rPr>
        <w:t xml:space="preserve"> (puncture/rupture) </w:t>
      </w:r>
      <w:r w:rsidR="00AD4C49">
        <w:rPr>
          <w:rFonts w:eastAsiaTheme="minorEastAsia"/>
          <w:lang w:val="en-GB" w:eastAsia="zh-CN"/>
        </w:rPr>
        <w:t>being</w:t>
      </w:r>
      <w:r w:rsidR="00AD4C49" w:rsidRPr="0050381F">
        <w:rPr>
          <w:rFonts w:eastAsiaTheme="minorEastAsia"/>
          <w:lang w:val="en-GB" w:eastAsia="zh-CN"/>
        </w:rPr>
        <w:t xml:space="preserve"> </w:t>
      </w:r>
      <w:r w:rsidR="0050381F" w:rsidRPr="0050381F">
        <w:rPr>
          <w:rFonts w:eastAsiaTheme="minorEastAsia"/>
          <w:lang w:val="en-GB" w:eastAsia="zh-CN"/>
        </w:rPr>
        <w:t xml:space="preserve">simply taken as 9:1 based on literature data. </w:t>
      </w:r>
    </w:p>
    <w:p w14:paraId="6291B307" w14:textId="77777777" w:rsidR="00BC5B8C" w:rsidRDefault="00BC5B8C" w:rsidP="0050381F">
      <w:pPr>
        <w:pStyle w:val="CETBodytext"/>
        <w:rPr>
          <w:rFonts w:eastAsiaTheme="minorEastAsia"/>
          <w:lang w:val="en-GB" w:eastAsia="zh-CN"/>
        </w:rPr>
      </w:pPr>
    </w:p>
    <w:p w14:paraId="002642ED" w14:textId="0F462AA0" w:rsidR="00F97229" w:rsidRDefault="0050381F" w:rsidP="0050381F">
      <w:pPr>
        <w:pStyle w:val="CETBodytext"/>
        <w:rPr>
          <w:rFonts w:eastAsiaTheme="minorEastAsia"/>
          <w:lang w:val="en-GB" w:eastAsia="zh-CN"/>
        </w:rPr>
      </w:pPr>
      <w:r w:rsidRPr="0050381F">
        <w:rPr>
          <w:rFonts w:eastAsiaTheme="minorEastAsia"/>
          <w:lang w:val="en-GB" w:eastAsia="zh-CN"/>
        </w:rPr>
        <w:t xml:space="preserve">Given the simplicity, the above method only </w:t>
      </w:r>
      <w:r w:rsidR="009038D3">
        <w:rPr>
          <w:rFonts w:eastAsiaTheme="minorEastAsia"/>
          <w:lang w:val="en-GB" w:eastAsia="zh-CN"/>
        </w:rPr>
        <w:t>presents</w:t>
      </w:r>
      <w:r w:rsidRPr="0050381F">
        <w:rPr>
          <w:rFonts w:eastAsiaTheme="minorEastAsia"/>
          <w:lang w:val="en-GB" w:eastAsia="zh-CN"/>
        </w:rPr>
        <w:t xml:space="preserve"> a rough estimation for the probability </w:t>
      </w:r>
      <w:r w:rsidR="007F688E">
        <w:rPr>
          <w:rFonts w:eastAsiaTheme="minorEastAsia"/>
          <w:lang w:val="en-GB" w:eastAsia="zh-CN"/>
        </w:rPr>
        <w:t>distribution</w:t>
      </w:r>
      <w:r w:rsidR="00C655BC">
        <w:rPr>
          <w:rFonts w:eastAsiaTheme="minorEastAsia"/>
          <w:lang w:val="en-GB" w:eastAsia="zh-CN"/>
        </w:rPr>
        <w:t xml:space="preserve"> of the </w:t>
      </w:r>
      <w:r w:rsidR="004F0B72">
        <w:rPr>
          <w:rFonts w:eastAsiaTheme="minorEastAsia"/>
          <w:lang w:val="en-GB" w:eastAsia="zh-CN"/>
        </w:rPr>
        <w:t xml:space="preserve">failure </w:t>
      </w:r>
      <w:r w:rsidR="00C655BC">
        <w:rPr>
          <w:rFonts w:eastAsiaTheme="minorEastAsia"/>
          <w:lang w:val="en-GB" w:eastAsia="zh-CN"/>
        </w:rPr>
        <w:t>hole size</w:t>
      </w:r>
      <w:r w:rsidRPr="0050381F">
        <w:rPr>
          <w:rFonts w:eastAsiaTheme="minorEastAsia"/>
          <w:lang w:val="en-GB" w:eastAsia="zh-CN"/>
        </w:rPr>
        <w:t xml:space="preserve"> and hence the risks</w:t>
      </w:r>
      <w:r w:rsidR="00CD4136">
        <w:rPr>
          <w:rFonts w:eastAsiaTheme="minorEastAsia"/>
          <w:lang w:val="en-GB" w:eastAsia="zh-CN"/>
        </w:rPr>
        <w:t xml:space="preserve"> associated with </w:t>
      </w:r>
      <w:r w:rsidR="004A5940">
        <w:rPr>
          <w:rFonts w:eastAsiaTheme="minorEastAsia"/>
          <w:lang w:val="en-GB" w:eastAsia="zh-CN"/>
        </w:rPr>
        <w:t xml:space="preserve">the </w:t>
      </w:r>
      <w:r w:rsidR="00CD4136">
        <w:rPr>
          <w:rFonts w:eastAsiaTheme="minorEastAsia"/>
          <w:lang w:val="en-GB" w:eastAsia="zh-CN"/>
        </w:rPr>
        <w:t>pipeline failure</w:t>
      </w:r>
      <w:r w:rsidRPr="0050381F">
        <w:rPr>
          <w:rFonts w:eastAsiaTheme="minorEastAsia"/>
          <w:lang w:val="en-GB" w:eastAsia="zh-CN"/>
        </w:rPr>
        <w:t>.</w:t>
      </w:r>
      <w:r w:rsidR="00C655BC">
        <w:rPr>
          <w:rFonts w:eastAsiaTheme="minorEastAsia"/>
          <w:lang w:val="en-GB" w:eastAsia="zh-CN"/>
        </w:rPr>
        <w:t xml:space="preserve"> The validity of using such results for the subsequent quantitative risk assessment </w:t>
      </w:r>
      <w:r w:rsidR="0085184B">
        <w:rPr>
          <w:rFonts w:eastAsiaTheme="minorEastAsia"/>
          <w:lang w:val="en-GB" w:eastAsia="zh-CN"/>
        </w:rPr>
        <w:t>remains</w:t>
      </w:r>
      <w:r w:rsidR="00C655BC">
        <w:rPr>
          <w:rFonts w:eastAsiaTheme="minorEastAsia"/>
          <w:lang w:val="en-GB" w:eastAsia="zh-CN"/>
        </w:rPr>
        <w:t xml:space="preserve"> unclear.</w:t>
      </w:r>
      <w:r w:rsidRPr="0050381F">
        <w:rPr>
          <w:rFonts w:eastAsiaTheme="minorEastAsia"/>
          <w:lang w:val="en-GB" w:eastAsia="zh-CN"/>
        </w:rPr>
        <w:t xml:space="preserve"> </w:t>
      </w:r>
      <w:r w:rsidR="002D24F4">
        <w:rPr>
          <w:rFonts w:eastAsiaTheme="minorEastAsia"/>
          <w:lang w:val="en-GB" w:eastAsia="zh-CN"/>
        </w:rPr>
        <w:t xml:space="preserve">In addition, </w:t>
      </w:r>
      <w:r w:rsidR="00CD4136">
        <w:rPr>
          <w:rFonts w:eastAsiaTheme="minorEastAsia"/>
          <w:lang w:val="en-GB" w:eastAsia="zh-CN"/>
        </w:rPr>
        <w:t xml:space="preserve">the </w:t>
      </w:r>
      <w:r w:rsidR="009038D3">
        <w:rPr>
          <w:rFonts w:eastAsiaTheme="minorEastAsia"/>
          <w:lang w:val="en-GB" w:eastAsia="zh-CN"/>
        </w:rPr>
        <w:t xml:space="preserve">statistical </w:t>
      </w:r>
      <w:r w:rsidR="00CD4136">
        <w:rPr>
          <w:rFonts w:eastAsiaTheme="minorEastAsia"/>
          <w:lang w:val="en-GB" w:eastAsia="zh-CN"/>
        </w:rPr>
        <w:t>quality</w:t>
      </w:r>
      <w:r w:rsidR="009C01AD">
        <w:rPr>
          <w:rFonts w:eastAsiaTheme="minorEastAsia"/>
          <w:lang w:val="en-GB" w:eastAsia="zh-CN"/>
        </w:rPr>
        <w:t xml:space="preserve"> </w:t>
      </w:r>
      <w:r w:rsidR="00CD4136">
        <w:rPr>
          <w:rFonts w:eastAsiaTheme="minorEastAsia"/>
          <w:lang w:val="en-GB" w:eastAsia="zh-CN"/>
        </w:rPr>
        <w:t xml:space="preserve">of </w:t>
      </w:r>
      <w:r w:rsidR="009C01AD">
        <w:rPr>
          <w:rFonts w:eastAsiaTheme="minorEastAsia"/>
          <w:lang w:val="en-GB" w:eastAsia="zh-CN"/>
        </w:rPr>
        <w:t>the</w:t>
      </w:r>
      <w:r w:rsidR="009038D3">
        <w:rPr>
          <w:rFonts w:eastAsiaTheme="minorEastAsia"/>
          <w:lang w:val="en-GB" w:eastAsia="zh-CN"/>
        </w:rPr>
        <w:t xml:space="preserve"> sample data used to derive </w:t>
      </w:r>
      <w:r w:rsidR="00A47563">
        <w:rPr>
          <w:rFonts w:eastAsiaTheme="minorEastAsia"/>
          <w:lang w:val="en-GB" w:eastAsia="zh-CN"/>
        </w:rPr>
        <w:t xml:space="preserve">the </w:t>
      </w:r>
      <w:r w:rsidR="009038D3">
        <w:rPr>
          <w:rFonts w:eastAsiaTheme="minorEastAsia"/>
          <w:lang w:val="en-GB" w:eastAsia="zh-CN"/>
        </w:rPr>
        <w:t>probability distribution</w:t>
      </w:r>
      <w:r w:rsidR="0017409A">
        <w:rPr>
          <w:rFonts w:eastAsiaTheme="minorEastAsia"/>
          <w:lang w:val="en-GB" w:eastAsia="zh-CN"/>
        </w:rPr>
        <w:t>s</w:t>
      </w:r>
      <w:r w:rsidR="009038D3">
        <w:rPr>
          <w:rFonts w:eastAsiaTheme="minorEastAsia"/>
          <w:lang w:val="en-GB" w:eastAsia="zh-CN"/>
        </w:rPr>
        <w:t xml:space="preserve"> </w:t>
      </w:r>
      <w:r w:rsidR="0017409A">
        <w:rPr>
          <w:rFonts w:eastAsiaTheme="minorEastAsia"/>
          <w:lang w:val="en-GB" w:eastAsia="zh-CN"/>
        </w:rPr>
        <w:t>is</w:t>
      </w:r>
      <w:r w:rsidR="009038D3">
        <w:rPr>
          <w:rFonts w:eastAsiaTheme="minorEastAsia"/>
          <w:lang w:val="en-GB" w:eastAsia="zh-CN"/>
        </w:rPr>
        <w:t xml:space="preserve"> not</w:t>
      </w:r>
      <w:r w:rsidR="0085184B">
        <w:rPr>
          <w:rFonts w:eastAsiaTheme="minorEastAsia"/>
          <w:lang w:val="en-GB" w:eastAsia="zh-CN"/>
        </w:rPr>
        <w:t xml:space="preserve"> examined</w:t>
      </w:r>
      <w:r w:rsidR="00324675">
        <w:rPr>
          <w:rFonts w:eastAsiaTheme="minorEastAsia"/>
          <w:lang w:val="en-GB" w:eastAsia="zh-CN"/>
        </w:rPr>
        <w:t xml:space="preserve">. Such a problem is </w:t>
      </w:r>
      <w:r w:rsidR="00133C68">
        <w:rPr>
          <w:rFonts w:eastAsiaTheme="minorEastAsia"/>
          <w:lang w:val="en-GB" w:eastAsia="zh-CN"/>
        </w:rPr>
        <w:t>challenging for CO</w:t>
      </w:r>
      <w:r w:rsidR="00133C68" w:rsidRPr="00543451">
        <w:rPr>
          <w:rFonts w:eastAsiaTheme="minorEastAsia"/>
          <w:vertAlign w:val="subscript"/>
          <w:lang w:val="en-GB" w:eastAsia="zh-CN"/>
        </w:rPr>
        <w:t>2</w:t>
      </w:r>
      <w:r w:rsidR="00133C68">
        <w:rPr>
          <w:rFonts w:eastAsiaTheme="minorEastAsia"/>
          <w:lang w:val="en-GB" w:eastAsia="zh-CN"/>
        </w:rPr>
        <w:t xml:space="preserve"> pipelines due to </w:t>
      </w:r>
      <w:r w:rsidRPr="0050381F">
        <w:rPr>
          <w:rFonts w:eastAsiaTheme="minorEastAsia"/>
          <w:lang w:val="en-GB" w:eastAsia="zh-CN"/>
        </w:rPr>
        <w:t>the relatively small pipeline failure statistics available.</w:t>
      </w:r>
      <w:r w:rsidR="00543451">
        <w:rPr>
          <w:rFonts w:eastAsiaTheme="minorEastAsia"/>
          <w:lang w:val="en-GB" w:eastAsia="zh-CN"/>
        </w:rPr>
        <w:t xml:space="preserve"> </w:t>
      </w:r>
      <w:proofErr w:type="gramStart"/>
      <w:r w:rsidR="00543451">
        <w:rPr>
          <w:rFonts w:eastAsiaTheme="minorEastAsia"/>
          <w:lang w:val="en-GB" w:eastAsia="zh-CN"/>
        </w:rPr>
        <w:t>In particular,</w:t>
      </w:r>
      <w:r w:rsidRPr="0050381F">
        <w:rPr>
          <w:rFonts w:eastAsiaTheme="minorEastAsia"/>
          <w:lang w:val="en-GB" w:eastAsia="zh-CN"/>
        </w:rPr>
        <w:t xml:space="preserve"> </w:t>
      </w:r>
      <w:r w:rsidR="00543451">
        <w:rPr>
          <w:rFonts w:eastAsiaTheme="minorEastAsia"/>
          <w:lang w:val="en-GB" w:eastAsia="zh-CN"/>
        </w:rPr>
        <w:t>it</w:t>
      </w:r>
      <w:proofErr w:type="gramEnd"/>
      <w:r w:rsidR="00BC5B8C">
        <w:rPr>
          <w:rFonts w:eastAsiaTheme="minorEastAsia"/>
          <w:lang w:val="en-GB" w:eastAsia="zh-CN"/>
        </w:rPr>
        <w:t xml:space="preserve"> is unclear what size of statistical samples suffices for reliable risk a</w:t>
      </w:r>
      <w:r w:rsidR="00593E64">
        <w:rPr>
          <w:rFonts w:eastAsiaTheme="minorEastAsia"/>
          <w:lang w:val="en-GB" w:eastAsia="zh-CN"/>
        </w:rPr>
        <w:t>ssessment</w:t>
      </w:r>
      <w:r w:rsidR="0042109A">
        <w:rPr>
          <w:rFonts w:eastAsiaTheme="minorEastAsia"/>
          <w:lang w:val="en-GB" w:eastAsia="zh-CN"/>
        </w:rPr>
        <w:t>.</w:t>
      </w:r>
    </w:p>
    <w:p w14:paraId="6C66D95B" w14:textId="40AD7244" w:rsidR="00133C68" w:rsidRDefault="00133C68" w:rsidP="0050381F">
      <w:pPr>
        <w:pStyle w:val="CETBodytext"/>
        <w:rPr>
          <w:rFonts w:eastAsiaTheme="minorEastAsia"/>
          <w:lang w:val="en-GB" w:eastAsia="zh-CN"/>
        </w:rPr>
      </w:pPr>
    </w:p>
    <w:p w14:paraId="2947D832" w14:textId="56C7F7A1" w:rsidR="00A94414" w:rsidRPr="00735C5C" w:rsidRDefault="00133C68" w:rsidP="00735C5C">
      <w:pPr>
        <w:pStyle w:val="CETBodytext"/>
        <w:rPr>
          <w:rFonts w:eastAsiaTheme="minorEastAsia"/>
          <w:lang w:val="en-GB" w:eastAsia="zh-CN"/>
        </w:rPr>
      </w:pPr>
      <w:proofErr w:type="gramStart"/>
      <w:r>
        <w:rPr>
          <w:rFonts w:eastAsiaTheme="minorEastAsia" w:hint="eastAsia"/>
          <w:lang w:val="en-GB" w:eastAsia="zh-CN"/>
        </w:rPr>
        <w:t>I</w:t>
      </w:r>
      <w:r>
        <w:rPr>
          <w:rFonts w:eastAsiaTheme="minorEastAsia"/>
          <w:lang w:val="en-GB" w:eastAsia="zh-CN"/>
        </w:rPr>
        <w:t>n light of</w:t>
      </w:r>
      <w:proofErr w:type="gramEnd"/>
      <w:r>
        <w:rPr>
          <w:rFonts w:eastAsiaTheme="minorEastAsia"/>
          <w:lang w:val="en-GB" w:eastAsia="zh-CN"/>
        </w:rPr>
        <w:t xml:space="preserve"> the above, </w:t>
      </w:r>
      <w:r w:rsidR="0091100C">
        <w:rPr>
          <w:rFonts w:eastAsiaTheme="minorEastAsia"/>
          <w:lang w:val="en-GB" w:eastAsia="zh-CN"/>
        </w:rPr>
        <w:t>this study describes the development of a</w:t>
      </w:r>
      <w:r w:rsidR="00877B5A">
        <w:rPr>
          <w:rFonts w:eastAsiaTheme="minorEastAsia"/>
          <w:lang w:val="en-GB" w:eastAsia="zh-CN"/>
        </w:rPr>
        <w:t>n</w:t>
      </w:r>
      <w:r w:rsidR="0091100C">
        <w:rPr>
          <w:rFonts w:eastAsiaTheme="minorEastAsia"/>
          <w:lang w:val="en-GB" w:eastAsia="zh-CN"/>
        </w:rPr>
        <w:t xml:space="preserve"> </w:t>
      </w:r>
      <w:r w:rsidR="00877B5A">
        <w:rPr>
          <w:rFonts w:eastAsiaTheme="minorEastAsia"/>
          <w:lang w:val="en-GB" w:eastAsia="zh-CN"/>
        </w:rPr>
        <w:t xml:space="preserve">analytical </w:t>
      </w:r>
      <w:r w:rsidR="0091100C">
        <w:rPr>
          <w:rFonts w:eastAsiaTheme="minorEastAsia"/>
          <w:lang w:val="en-GB" w:eastAsia="zh-CN"/>
        </w:rPr>
        <w:t>method for constructing a credible probability distribution for CO</w:t>
      </w:r>
      <w:r w:rsidR="0091100C" w:rsidRPr="0091100C">
        <w:rPr>
          <w:rFonts w:eastAsiaTheme="minorEastAsia"/>
          <w:vertAlign w:val="subscript"/>
          <w:lang w:val="en-GB" w:eastAsia="zh-CN"/>
        </w:rPr>
        <w:t>2</w:t>
      </w:r>
      <w:r w:rsidR="0091100C">
        <w:rPr>
          <w:rFonts w:eastAsiaTheme="minorEastAsia"/>
          <w:lang w:val="en-GB" w:eastAsia="zh-CN"/>
        </w:rPr>
        <w:t xml:space="preserve"> pipeline</w:t>
      </w:r>
      <w:r w:rsidR="00503738">
        <w:rPr>
          <w:rFonts w:eastAsiaTheme="minorEastAsia"/>
          <w:lang w:val="en-GB" w:eastAsia="zh-CN"/>
        </w:rPr>
        <w:t xml:space="preserve"> failure</w:t>
      </w:r>
      <w:r w:rsidR="0091100C">
        <w:rPr>
          <w:rFonts w:eastAsiaTheme="minorEastAsia"/>
          <w:lang w:val="en-GB" w:eastAsia="zh-CN"/>
        </w:rPr>
        <w:t xml:space="preserve"> hole size. This involves (a) using the Maximum Likelihood Estimator (MLE) to fit statistical distribution functions to historical </w:t>
      </w:r>
      <w:r w:rsidR="00007F7C">
        <w:rPr>
          <w:rFonts w:eastAsiaTheme="minorEastAsia"/>
          <w:lang w:val="en-GB" w:eastAsia="zh-CN"/>
        </w:rPr>
        <w:t>hole size</w:t>
      </w:r>
      <w:r w:rsidR="0091100C">
        <w:rPr>
          <w:rFonts w:eastAsiaTheme="minorEastAsia"/>
          <w:lang w:val="en-GB" w:eastAsia="zh-CN"/>
        </w:rPr>
        <w:t xml:space="preserve"> data, and (b) performing simulation test</w:t>
      </w:r>
      <w:r w:rsidR="00CC1A31">
        <w:rPr>
          <w:rFonts w:eastAsiaTheme="minorEastAsia"/>
          <w:lang w:val="en-GB" w:eastAsia="zh-CN"/>
        </w:rPr>
        <w:t>s</w:t>
      </w:r>
      <w:r w:rsidR="0091100C">
        <w:rPr>
          <w:rFonts w:eastAsiaTheme="minorEastAsia"/>
          <w:lang w:val="en-GB" w:eastAsia="zh-CN"/>
        </w:rPr>
        <w:t xml:space="preserve"> to assess the quality (statistical significance) of the MLEs based on the data sample size. When the MLE quality is low, a bootstrapping method, which artificially inflates the sample size, is employed to calculate the </w:t>
      </w:r>
      <w:r w:rsidR="001D644E">
        <w:rPr>
          <w:rFonts w:eastAsiaTheme="minorEastAsia"/>
          <w:lang w:val="en-GB" w:eastAsia="zh-CN"/>
        </w:rPr>
        <w:t>C</w:t>
      </w:r>
      <w:r w:rsidR="0091100C">
        <w:rPr>
          <w:rFonts w:eastAsiaTheme="minorEastAsia"/>
          <w:lang w:val="en-GB" w:eastAsia="zh-CN"/>
        </w:rPr>
        <w:t xml:space="preserve">onfidence </w:t>
      </w:r>
      <w:r w:rsidR="001D644E">
        <w:rPr>
          <w:rFonts w:eastAsiaTheme="minorEastAsia"/>
          <w:lang w:val="en-GB" w:eastAsia="zh-CN"/>
        </w:rPr>
        <w:t>I</w:t>
      </w:r>
      <w:r w:rsidR="0091100C">
        <w:rPr>
          <w:rFonts w:eastAsiaTheme="minorEastAsia"/>
          <w:lang w:val="en-GB" w:eastAsia="zh-CN"/>
        </w:rPr>
        <w:t>nterval</w:t>
      </w:r>
      <w:r w:rsidR="0042109A">
        <w:rPr>
          <w:rFonts w:eastAsiaTheme="minorEastAsia"/>
          <w:lang w:val="en-GB" w:eastAsia="zh-CN"/>
        </w:rPr>
        <w:t xml:space="preserve"> (CI)</w:t>
      </w:r>
      <w:r w:rsidR="0091100C">
        <w:rPr>
          <w:rFonts w:eastAsiaTheme="minorEastAsia"/>
          <w:lang w:val="en-GB" w:eastAsia="zh-CN"/>
        </w:rPr>
        <w:t xml:space="preserve"> of the MLE, from which a range of possible probability distributions representing the probability of occurrence of failure for different hole sizes can be </w:t>
      </w:r>
      <w:r w:rsidR="00C60F77">
        <w:rPr>
          <w:rFonts w:eastAsiaTheme="minorEastAsia"/>
          <w:lang w:val="en-GB" w:eastAsia="zh-CN"/>
        </w:rPr>
        <w:t>obtained</w:t>
      </w:r>
      <w:r w:rsidR="0091100C">
        <w:rPr>
          <w:rFonts w:eastAsiaTheme="minorEastAsia"/>
          <w:lang w:val="en-GB" w:eastAsia="zh-CN"/>
        </w:rPr>
        <w:t xml:space="preserve">. </w:t>
      </w:r>
    </w:p>
    <w:p w14:paraId="69C7CC3E" w14:textId="0E1D0FB3" w:rsidR="00A94414" w:rsidRDefault="00A94414" w:rsidP="00A94414">
      <w:pPr>
        <w:pStyle w:val="CETHeading1"/>
      </w:pPr>
      <w:r>
        <w:t>Methodology</w:t>
      </w:r>
    </w:p>
    <w:p w14:paraId="7A24C78D" w14:textId="22DD287F" w:rsidR="00A94414" w:rsidRDefault="00B24208" w:rsidP="00A94414">
      <w:pPr>
        <w:pStyle w:val="CETheadingx"/>
      </w:pPr>
      <w:r>
        <w:t xml:space="preserve">Data review </w:t>
      </w:r>
    </w:p>
    <w:p w14:paraId="196750E1" w14:textId="10E451EE" w:rsidR="00D266B6" w:rsidRDefault="00D266B6" w:rsidP="00D266B6">
      <w:pPr>
        <w:pStyle w:val="CETBodytext"/>
        <w:rPr>
          <w:lang w:val="en-GB"/>
        </w:rPr>
      </w:pPr>
      <w:r>
        <w:rPr>
          <w:lang w:val="en-GB"/>
        </w:rPr>
        <w:t>T</w:t>
      </w:r>
      <w:r w:rsidR="00605862">
        <w:rPr>
          <w:lang w:val="en-GB"/>
        </w:rPr>
        <w:t>here are many organisations</w:t>
      </w:r>
      <w:r w:rsidR="005C120B">
        <w:rPr>
          <w:lang w:val="en-GB"/>
        </w:rPr>
        <w:t xml:space="preserve"> (</w:t>
      </w:r>
      <w:proofErr w:type="gramStart"/>
      <w:r w:rsidR="005C120B">
        <w:rPr>
          <w:lang w:val="en-GB"/>
        </w:rPr>
        <w:t>e.g.</w:t>
      </w:r>
      <w:proofErr w:type="gramEnd"/>
      <w:r w:rsidR="005C120B">
        <w:rPr>
          <w:lang w:val="en-GB"/>
        </w:rPr>
        <w:t xml:space="preserve"> CONCAWE)</w:t>
      </w:r>
      <w:r w:rsidR="00605862">
        <w:rPr>
          <w:lang w:val="en-GB"/>
        </w:rPr>
        <w:t xml:space="preserve"> publishing pipeline failure statistics </w:t>
      </w:r>
      <w:r w:rsidR="005F02AD">
        <w:rPr>
          <w:lang w:val="en-GB"/>
        </w:rPr>
        <w:t>globally</w:t>
      </w:r>
      <w:r w:rsidR="005C120B">
        <w:rPr>
          <w:lang w:val="en-GB"/>
        </w:rPr>
        <w:t>, but few provide detailed information on the size of through-wall</w:t>
      </w:r>
      <w:r w:rsidR="00EC07A1">
        <w:rPr>
          <w:lang w:val="en-GB"/>
        </w:rPr>
        <w:t xml:space="preserve"> failure</w:t>
      </w:r>
      <w:r w:rsidR="005C120B">
        <w:rPr>
          <w:lang w:val="en-GB"/>
        </w:rPr>
        <w:t xml:space="preserve"> hole</w:t>
      </w:r>
      <w:r w:rsidR="00F53191">
        <w:rPr>
          <w:lang w:val="en-GB"/>
        </w:rPr>
        <w:t>s</w:t>
      </w:r>
      <w:r w:rsidR="005C120B">
        <w:rPr>
          <w:lang w:val="en-GB"/>
        </w:rPr>
        <w:t xml:space="preserve">. This study adopts </w:t>
      </w:r>
      <w:r w:rsidR="005C120B" w:rsidRPr="005C120B">
        <w:rPr>
          <w:lang w:val="en-GB"/>
        </w:rPr>
        <w:t xml:space="preserve">the Pipeline and Hazardous Material Safety Administration </w:t>
      </w:r>
      <w:r w:rsidR="000D04B7">
        <w:rPr>
          <w:lang w:val="en-GB"/>
        </w:rPr>
        <w:fldChar w:fldCharType="begin" w:fldLock="1"/>
      </w:r>
      <w:r w:rsidR="00735C5C">
        <w:rPr>
          <w:lang w:val="en-GB"/>
        </w:rPr>
        <w:instrText>ADDIN CSL_CITATION {"citationItems":[{"id":"ITEM-1","itemData":{"URL":"https://www.phmsa.dot.gov/data-and-statistics/pipeline/source-data","author":[{"dropping-particle":"","family":"Pipeline and Hazardous Materials Safety Administration (PHMSA)","given":"","non-dropping-particle":"","parse-names":false,"suffix":""}],"id":"ITEM-1","issued":{"date-parts":[["2020"]]},"title":"Source data","type":"webpage"},"uris":["http://www.mendeley.com/documents/?uuid=3a275067-3d66-4056-8161-824ffad1cf7a"]}],"mendeley":{"formattedCitation":"(Pipeline and Hazardous Materials Safety Administration (PHMSA), 2020)","manualFormatting":"(PHMSA, 2020)","plainTextFormattedCitation":"(Pipeline and Hazardous Materials Safety Administration (PHMSA), 2020)","previouslyFormattedCitation":"(Pipeline and Hazardous Materials Safety Administration (PHMSA), 2020)"},"properties":{"noteIndex":0},"schema":"https://github.com/citation-style-language/schema/raw/master/csl-citation.json"}</w:instrText>
      </w:r>
      <w:r w:rsidR="000D04B7">
        <w:rPr>
          <w:lang w:val="en-GB"/>
        </w:rPr>
        <w:fldChar w:fldCharType="separate"/>
      </w:r>
      <w:r w:rsidR="000D04B7" w:rsidRPr="000D04B7">
        <w:rPr>
          <w:noProof/>
          <w:lang w:val="en-GB"/>
        </w:rPr>
        <w:t>(PHMSA, 2020)</w:t>
      </w:r>
      <w:r w:rsidR="000D04B7">
        <w:rPr>
          <w:lang w:val="en-GB"/>
        </w:rPr>
        <w:fldChar w:fldCharType="end"/>
      </w:r>
      <w:r w:rsidR="000D04B7">
        <w:rPr>
          <w:lang w:val="en-GB"/>
        </w:rPr>
        <w:t xml:space="preserve"> </w:t>
      </w:r>
      <w:r w:rsidR="00BC1B59">
        <w:rPr>
          <w:lang w:val="en-GB"/>
        </w:rPr>
        <w:t xml:space="preserve">database </w:t>
      </w:r>
      <w:r w:rsidR="005C120B">
        <w:rPr>
          <w:lang w:val="en-GB"/>
        </w:rPr>
        <w:t xml:space="preserve">where such information is available. </w:t>
      </w:r>
      <w:r w:rsidR="00911E7D">
        <w:rPr>
          <w:lang w:val="en-GB"/>
        </w:rPr>
        <w:t xml:space="preserve">In the database, there are </w:t>
      </w:r>
      <w:r w:rsidR="0044374E">
        <w:rPr>
          <w:lang w:val="en-GB"/>
        </w:rPr>
        <w:t>57 CO</w:t>
      </w:r>
      <w:r w:rsidR="0044374E" w:rsidRPr="0044374E">
        <w:rPr>
          <w:vertAlign w:val="subscript"/>
          <w:lang w:val="en-GB"/>
        </w:rPr>
        <w:t>2</w:t>
      </w:r>
      <w:r w:rsidR="0044374E">
        <w:rPr>
          <w:lang w:val="en-GB"/>
        </w:rPr>
        <w:t xml:space="preserve"> pipeline loss of containment incidents in total</w:t>
      </w:r>
      <w:r w:rsidR="00735C5C">
        <w:rPr>
          <w:lang w:val="en-GB"/>
        </w:rPr>
        <w:t xml:space="preserve">, but only 18 of them are valid for this study. This is due to </w:t>
      </w:r>
      <w:r w:rsidR="00300D4A">
        <w:rPr>
          <w:lang w:val="en-GB"/>
        </w:rPr>
        <w:t xml:space="preserve">the fact </w:t>
      </w:r>
      <w:r w:rsidR="00735C5C">
        <w:rPr>
          <w:lang w:val="en-GB"/>
        </w:rPr>
        <w:t xml:space="preserve">that </w:t>
      </w:r>
      <w:r w:rsidR="00853D69">
        <w:rPr>
          <w:lang w:val="en-GB"/>
        </w:rPr>
        <w:t xml:space="preserve">the rest are leaks </w:t>
      </w:r>
      <w:r w:rsidR="008F67F9">
        <w:rPr>
          <w:lang w:val="en-GB"/>
        </w:rPr>
        <w:t>from pipeline flanges and infrastructure equipment (</w:t>
      </w:r>
      <w:proofErr w:type="gramStart"/>
      <w:r w:rsidR="008F67F9">
        <w:rPr>
          <w:lang w:val="en-GB"/>
        </w:rPr>
        <w:t>e.g.</w:t>
      </w:r>
      <w:proofErr w:type="gramEnd"/>
      <w:r w:rsidR="008F67F9">
        <w:rPr>
          <w:lang w:val="en-GB"/>
        </w:rPr>
        <w:t xml:space="preserve"> reli</w:t>
      </w:r>
      <w:r w:rsidR="00283725">
        <w:rPr>
          <w:lang w:val="en-GB"/>
        </w:rPr>
        <w:t>ef valves, compressors</w:t>
      </w:r>
      <w:r w:rsidR="008F67F9">
        <w:rPr>
          <w:lang w:val="en-GB"/>
        </w:rPr>
        <w:t>)</w:t>
      </w:r>
      <w:r w:rsidR="00283725">
        <w:rPr>
          <w:lang w:val="en-GB"/>
        </w:rPr>
        <w:t xml:space="preserve"> rather than through-wall holes and therefore are not relevant to the scope of this study.</w:t>
      </w:r>
    </w:p>
    <w:p w14:paraId="2029D72F" w14:textId="0030D762" w:rsidR="00283725" w:rsidRDefault="00283725" w:rsidP="00D266B6">
      <w:pPr>
        <w:pStyle w:val="CETBodytext"/>
        <w:rPr>
          <w:lang w:val="en-GB"/>
        </w:rPr>
      </w:pPr>
    </w:p>
    <w:p w14:paraId="6CC36BA4" w14:textId="2B43E44A" w:rsidR="00283725" w:rsidRDefault="00283725" w:rsidP="00D266B6">
      <w:pPr>
        <w:pStyle w:val="CETBodytext"/>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the PHMSA database, the size of the through-wall hole is measured in the </w:t>
      </w:r>
      <w:r w:rsidRPr="00283725">
        <w:rPr>
          <w:rFonts w:eastAsiaTheme="minorEastAsia"/>
          <w:lang w:val="en-GB" w:eastAsia="zh-CN"/>
        </w:rPr>
        <w:t>circumferential and longitudinal lengths of the hole.</w:t>
      </w:r>
      <w:r>
        <w:rPr>
          <w:rFonts w:eastAsiaTheme="minorEastAsia"/>
          <w:lang w:val="en-GB" w:eastAsia="zh-CN"/>
        </w:rPr>
        <w:t xml:space="preserve"> </w:t>
      </w:r>
      <w:r w:rsidRPr="00283725">
        <w:rPr>
          <w:rFonts w:eastAsiaTheme="minorEastAsia"/>
          <w:lang w:val="en-GB" w:eastAsia="zh-CN"/>
        </w:rPr>
        <w:t>In order to obtain the representative size of the hole, these lengths are converted into the Equivalent Hole Diameter (EHD)</w:t>
      </w:r>
      <w:r w:rsidR="00FE5E35">
        <w:rPr>
          <w:rFonts w:eastAsiaTheme="minorEastAsia" w:hint="eastAsia"/>
          <w:lang w:val="en-GB" w:eastAsia="zh-CN"/>
        </w:rPr>
        <w:t xml:space="preserve"> </w:t>
      </w:r>
      <w:r w:rsidRPr="00283725">
        <w:rPr>
          <w:rFonts w:eastAsiaTheme="minorEastAsia"/>
          <w:lang w:val="en-GB" w:eastAsia="zh-CN"/>
        </w:rPr>
        <w:t>as follows, assuming the hole is an oval</w:t>
      </w:r>
      <w:r w:rsidR="00B0508C">
        <w:rPr>
          <w:rFonts w:eastAsiaTheme="minorEastAsia"/>
          <w:lang w:val="en-GB" w:eastAsia="zh-CN"/>
        </w:rPr>
        <w:t xml:space="preserve"> </w:t>
      </w:r>
      <w:r w:rsidR="00B0508C">
        <w:rPr>
          <w:rFonts w:eastAsiaTheme="minorEastAsia"/>
          <w:lang w:val="en-GB" w:eastAsia="zh-CN"/>
        </w:rPr>
        <w:fldChar w:fldCharType="begin" w:fldLock="1"/>
      </w:r>
      <w:r w:rsidR="004527C6">
        <w:rPr>
          <w:rFonts w:eastAsiaTheme="minorEastAsia"/>
          <w:lang w:val="en-GB" w:eastAsia="zh-CN"/>
        </w:rPr>
        <w:instrText>ADDIN CSL_CITATION {"citationItems":[{"id":"ITEM-1","itemData":{"author":[{"dropping-particle":"","family":"Koch","given":"P","non-dropping-particle":"","parse-names":false,"suffix":""}],"container-title":"Building Services Engineering Research and Technology","id":"ITEM-1","issue":"4","issued":{"date-parts":[["2008"]]},"page":"341-347","title":"Equivalent diameters of rectangular and oval ducts","type":"article-journal","volume":"29"},"uris":["http://www.mendeley.com/documents/?uuid=d4c70c43-2dc6-4ede-8c67-e5349d704a49"]}],"mendeley":{"formattedCitation":"(Koch, 2008)","plainTextFormattedCitation":"(Koch, 2008)","previouslyFormattedCitation":"(Koch, 2008)"},"properties":{"noteIndex":0},"schema":"https://github.com/citation-style-language/schema/raw/master/csl-citation.json"}</w:instrText>
      </w:r>
      <w:r w:rsidR="00B0508C">
        <w:rPr>
          <w:rFonts w:eastAsiaTheme="minorEastAsia"/>
          <w:lang w:val="en-GB" w:eastAsia="zh-CN"/>
        </w:rPr>
        <w:fldChar w:fldCharType="separate"/>
      </w:r>
      <w:r w:rsidR="00B0508C" w:rsidRPr="00B0508C">
        <w:rPr>
          <w:rFonts w:eastAsiaTheme="minorEastAsia"/>
          <w:noProof/>
          <w:lang w:val="en-GB" w:eastAsia="zh-CN"/>
        </w:rPr>
        <w:t>(Koch, 2008)</w:t>
      </w:r>
      <w:r w:rsidR="00B0508C">
        <w:rPr>
          <w:rFonts w:eastAsiaTheme="minorEastAsia"/>
          <w:lang w:val="en-GB" w:eastAsia="zh-CN"/>
        </w:rPr>
        <w:fldChar w:fldCharType="end"/>
      </w:r>
      <w:r w:rsidR="00B0508C">
        <w:rPr>
          <w:rFonts w:eastAsiaTheme="minorEastAsia"/>
          <w:lang w:val="en-GB" w:eastAsia="zh-CN"/>
        </w:rPr>
        <w:t>:</w:t>
      </w:r>
    </w:p>
    <w:tbl>
      <w:tblPr>
        <w:tblW w:w="5000" w:type="pct"/>
        <w:tblLook w:val="04A0" w:firstRow="1" w:lastRow="0" w:firstColumn="1" w:lastColumn="0" w:noHBand="0" w:noVBand="1"/>
      </w:tblPr>
      <w:tblGrid>
        <w:gridCol w:w="7983"/>
        <w:gridCol w:w="804"/>
      </w:tblGrid>
      <w:tr w:rsidR="00FE5E35" w:rsidRPr="00B57B36" w14:paraId="6F2F16B9" w14:textId="77777777" w:rsidTr="00183BE5">
        <w:tc>
          <w:tcPr>
            <w:tcW w:w="8188" w:type="dxa"/>
            <w:shd w:val="clear" w:color="auto" w:fill="auto"/>
            <w:vAlign w:val="center"/>
          </w:tcPr>
          <w:p w14:paraId="3EA07734" w14:textId="166BA717" w:rsidR="00FE5E35" w:rsidRPr="00FE5E35" w:rsidRDefault="007F3AAC" w:rsidP="00183BE5">
            <w:pPr>
              <w:pStyle w:val="CETEquation"/>
              <w:rPr>
                <w:rFonts w:eastAsiaTheme="minorEastAsia"/>
                <w:lang w:eastAsia="zh-CN"/>
              </w:rPr>
            </w:pPr>
            <m:oMathPara>
              <m:oMathParaPr>
                <m:jc m:val="left"/>
              </m:oMathParaPr>
              <m:oMath>
                <m:r>
                  <m:rPr>
                    <m:sty m:val="p"/>
                  </m:rPr>
                  <w:rPr>
                    <w:rFonts w:ascii="Cambria Math" w:hAnsi="Cambria Math"/>
                  </w:rPr>
                  <m:t>EHD</m:t>
                </m:r>
                <m:r>
                  <w:rPr>
                    <w:rFonts w:ascii="Cambria Math" w:hAnsi="Cambria Math"/>
                  </w:rPr>
                  <m:t>=1.55</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0.625</m:t>
                        </m:r>
                      </m:sup>
                    </m:sSup>
                  </m:num>
                  <m:den>
                    <m:sSup>
                      <m:sSupPr>
                        <m:ctrlPr>
                          <w:rPr>
                            <w:rFonts w:ascii="Cambria Math" w:hAnsi="Cambria Math"/>
                            <w:i/>
                          </w:rPr>
                        </m:ctrlPr>
                      </m:sSupPr>
                      <m:e>
                        <m:r>
                          <w:rPr>
                            <w:rFonts w:ascii="Cambria Math" w:hAnsi="Cambria Math"/>
                          </w:rPr>
                          <m:t>P</m:t>
                        </m:r>
                      </m:e>
                      <m:sup>
                        <m:r>
                          <w:rPr>
                            <w:rFonts w:ascii="Cambria Math" w:hAnsi="Cambria Math"/>
                          </w:rPr>
                          <m:t>0.25</m:t>
                        </m:r>
                      </m:sup>
                    </m:sSup>
                  </m:den>
                </m:f>
              </m:oMath>
            </m:oMathPara>
          </w:p>
        </w:tc>
        <w:tc>
          <w:tcPr>
            <w:tcW w:w="815" w:type="dxa"/>
            <w:shd w:val="clear" w:color="auto" w:fill="auto"/>
            <w:vAlign w:val="center"/>
          </w:tcPr>
          <w:p w14:paraId="2D09E1FB" w14:textId="77777777" w:rsidR="00FE5E35" w:rsidRPr="00B57B36" w:rsidRDefault="00FE5E35" w:rsidP="00183BE5">
            <w:pPr>
              <w:pStyle w:val="CETEquation"/>
              <w:jc w:val="right"/>
            </w:pPr>
            <w:r w:rsidRPr="00B57B36">
              <w:t>(1)</w:t>
            </w:r>
          </w:p>
        </w:tc>
      </w:tr>
    </w:tbl>
    <w:p w14:paraId="08A1B4C4" w14:textId="3B4615F7" w:rsidR="00FE5E35" w:rsidRDefault="00FE5E35" w:rsidP="00D266B6">
      <w:pPr>
        <w:pStyle w:val="CETBodytext"/>
        <w:rPr>
          <w:rFonts w:eastAsiaTheme="minorEastAsia"/>
          <w:lang w:val="en-GB" w:eastAsia="zh-CN"/>
        </w:rPr>
      </w:pPr>
      <w:r>
        <w:rPr>
          <w:rFonts w:eastAsiaTheme="minorEastAsia"/>
          <w:lang w:eastAsia="zh-CN"/>
        </w:rPr>
        <w:t>where</w:t>
      </w:r>
      <w:r w:rsidRPr="00FE5E35">
        <w:rPr>
          <w:rFonts w:ascii="Cambria Math" w:hAnsi="Cambria Math"/>
          <w:i/>
        </w:rPr>
        <w:t xml:space="preserve"> </w:t>
      </w:r>
      <m:oMath>
        <m:r>
          <w:rPr>
            <w:rFonts w:ascii="Cambria Math" w:hAnsi="Cambria Math"/>
          </w:rPr>
          <m:t>A</m:t>
        </m:r>
      </m:oMath>
      <w:r>
        <w:rPr>
          <w:rFonts w:eastAsiaTheme="minorEastAsia"/>
          <w:lang w:eastAsia="zh-CN"/>
        </w:rPr>
        <w:t xml:space="preserve"> and </w:t>
      </w:r>
      <m:oMath>
        <m:r>
          <w:rPr>
            <w:rFonts w:ascii="Cambria Math" w:hAnsi="Cambria Math"/>
          </w:rPr>
          <m:t>P</m:t>
        </m:r>
      </m:oMath>
      <w:r>
        <w:rPr>
          <w:rFonts w:eastAsiaTheme="minorEastAsia"/>
          <w:lang w:eastAsia="zh-CN"/>
        </w:rPr>
        <w:t xml:space="preserve"> are respectively the cross</w:t>
      </w:r>
      <w:r w:rsidR="006A3426">
        <w:rPr>
          <w:rFonts w:eastAsiaTheme="minorEastAsia"/>
          <w:lang w:eastAsia="zh-CN"/>
        </w:rPr>
        <w:t>-</w:t>
      </w:r>
      <w:r>
        <w:rPr>
          <w:rFonts w:eastAsiaTheme="minorEastAsia"/>
          <w:lang w:eastAsia="zh-CN"/>
        </w:rPr>
        <w:t>section area and perimeter of the oval hole calculated based on its circumferential and longitudinal lengths.</w:t>
      </w:r>
      <w:r w:rsidR="00071D5E">
        <w:rPr>
          <w:rFonts w:eastAsiaTheme="minorEastAsia"/>
          <w:lang w:eastAsia="zh-CN"/>
        </w:rPr>
        <w:t xml:space="preserve"> To normalise the hole size, the Relative Hole Diameter (RHD)</w:t>
      </w:r>
      <w:r w:rsidR="00B0508C">
        <w:rPr>
          <w:rFonts w:eastAsiaTheme="minorEastAsia" w:hint="eastAsia"/>
          <w:lang w:val="en-GB" w:eastAsia="zh-CN"/>
        </w:rPr>
        <w:t xml:space="preserve"> </w:t>
      </w:r>
      <w:r w:rsidR="00B0508C">
        <w:rPr>
          <w:rFonts w:eastAsiaTheme="minorEastAsia"/>
          <w:lang w:val="en-GB" w:eastAsia="zh-CN"/>
        </w:rPr>
        <w:t>is defined:</w:t>
      </w:r>
    </w:p>
    <w:tbl>
      <w:tblPr>
        <w:tblW w:w="5000" w:type="pct"/>
        <w:tblLook w:val="04A0" w:firstRow="1" w:lastRow="0" w:firstColumn="1" w:lastColumn="0" w:noHBand="0" w:noVBand="1"/>
      </w:tblPr>
      <w:tblGrid>
        <w:gridCol w:w="7982"/>
        <w:gridCol w:w="805"/>
      </w:tblGrid>
      <w:tr w:rsidR="00B0508C" w:rsidRPr="00B57B36" w14:paraId="61CB5DC1" w14:textId="77777777" w:rsidTr="00183BE5">
        <w:tc>
          <w:tcPr>
            <w:tcW w:w="8188" w:type="dxa"/>
            <w:shd w:val="clear" w:color="auto" w:fill="auto"/>
            <w:vAlign w:val="center"/>
          </w:tcPr>
          <w:p w14:paraId="3EBBB629" w14:textId="7B64DE21" w:rsidR="00B0508C" w:rsidRPr="00FE5E35" w:rsidRDefault="00FE01E0" w:rsidP="00183BE5">
            <w:pPr>
              <w:pStyle w:val="CETEquation"/>
              <w:rPr>
                <w:rFonts w:eastAsiaTheme="minorEastAsia"/>
                <w:lang w:eastAsia="zh-CN"/>
              </w:rPr>
            </w:pPr>
            <m:oMathPara>
              <m:oMathParaPr>
                <m:jc m:val="left"/>
              </m:oMathParaPr>
              <m:oMath>
                <m:r>
                  <m:rPr>
                    <m:sty m:val="p"/>
                  </m:rPr>
                  <w:rPr>
                    <w:rFonts w:ascii="Cambria Math" w:hAnsi="Cambria Math"/>
                  </w:rPr>
                  <m:t>RHD</m:t>
                </m:r>
                <m:r>
                  <w:rPr>
                    <w:rFonts w:ascii="Cambria Math" w:hAnsi="Cambria Math"/>
                  </w:rPr>
                  <m:t>=</m:t>
                </m:r>
                <m:f>
                  <m:fPr>
                    <m:ctrlPr>
                      <w:rPr>
                        <w:rFonts w:ascii="Cambria Math" w:hAnsi="Cambria Math"/>
                        <w:i/>
                      </w:rPr>
                    </m:ctrlPr>
                  </m:fPr>
                  <m:num>
                    <m:r>
                      <m:rPr>
                        <m:sty m:val="p"/>
                      </m:rPr>
                      <w:rPr>
                        <w:rFonts w:ascii="Cambria Math" w:hAnsi="Cambria Math"/>
                      </w:rPr>
                      <m:t>EHD</m:t>
                    </m:r>
                  </m:num>
                  <m:den>
                    <m:sSub>
                      <m:sSubPr>
                        <m:ctrlPr>
                          <w:rPr>
                            <w:rFonts w:ascii="Cambria Math" w:hAnsi="Cambria Math"/>
                            <w:i/>
                          </w:rPr>
                        </m:ctrlPr>
                      </m:sSubPr>
                      <m:e>
                        <m:r>
                          <w:rPr>
                            <w:rFonts w:ascii="Cambria Math" w:hAnsi="Cambria Math"/>
                          </w:rPr>
                          <m:t>D</m:t>
                        </m:r>
                      </m:e>
                      <m:sub>
                        <m:r>
                          <w:rPr>
                            <w:rFonts w:ascii="Cambria Math" w:hAnsi="Cambria Math"/>
                          </w:rPr>
                          <m:t>in</m:t>
                        </m:r>
                      </m:sub>
                    </m:sSub>
                  </m:den>
                </m:f>
              </m:oMath>
            </m:oMathPara>
          </w:p>
        </w:tc>
        <w:tc>
          <w:tcPr>
            <w:tcW w:w="815" w:type="dxa"/>
            <w:shd w:val="clear" w:color="auto" w:fill="auto"/>
            <w:vAlign w:val="center"/>
          </w:tcPr>
          <w:p w14:paraId="42481145" w14:textId="7E60BC3F" w:rsidR="00B0508C" w:rsidRPr="00B57B36" w:rsidRDefault="00B0508C" w:rsidP="00183BE5">
            <w:pPr>
              <w:pStyle w:val="CETEquation"/>
              <w:jc w:val="right"/>
            </w:pPr>
            <w:r w:rsidRPr="00B57B36">
              <w:t>(</w:t>
            </w:r>
            <w:r>
              <w:t>2</w:t>
            </w:r>
            <w:r w:rsidRPr="00B57B36">
              <w:t>)</w:t>
            </w:r>
          </w:p>
        </w:tc>
      </w:tr>
    </w:tbl>
    <w:p w14:paraId="7B95D42E" w14:textId="05546845" w:rsidR="00B0508C" w:rsidRPr="00283725" w:rsidRDefault="00B0508C" w:rsidP="00D266B6">
      <w:pPr>
        <w:pStyle w:val="CETBodytext"/>
        <w:rPr>
          <w:rFonts w:eastAsiaTheme="minorEastAsia"/>
          <w:lang w:eastAsia="zh-CN"/>
        </w:rPr>
      </w:pPr>
      <w:r>
        <w:rPr>
          <w:rFonts w:eastAsiaTheme="minorEastAsia"/>
          <w:lang w:eastAsia="zh-CN"/>
        </w:rPr>
        <w:t xml:space="preserve">where </w:t>
      </w:r>
      <m:oMath>
        <m:sSub>
          <m:sSubPr>
            <m:ctrlPr>
              <w:rPr>
                <w:rFonts w:ascii="Cambria Math" w:hAnsi="Cambria Math"/>
                <w:i/>
                <w:lang w:val="en-GB"/>
              </w:rPr>
            </m:ctrlPr>
          </m:sSubPr>
          <m:e>
            <m:r>
              <w:rPr>
                <w:rFonts w:ascii="Cambria Math" w:hAnsi="Cambria Math"/>
              </w:rPr>
              <m:t>D</m:t>
            </m:r>
          </m:e>
          <m:sub>
            <m:r>
              <w:rPr>
                <w:rFonts w:ascii="Cambria Math" w:hAnsi="Cambria Math"/>
              </w:rPr>
              <m:t>in</m:t>
            </m:r>
          </m:sub>
        </m:sSub>
      </m:oMath>
      <w:r>
        <w:rPr>
          <w:rFonts w:eastAsiaTheme="minorEastAsia" w:hint="eastAsia"/>
          <w:lang w:val="en-GB" w:eastAsia="zh-CN"/>
        </w:rPr>
        <w:t xml:space="preserve"> </w:t>
      </w:r>
      <w:r>
        <w:rPr>
          <w:rFonts w:eastAsiaTheme="minorEastAsia"/>
          <w:lang w:val="en-GB" w:eastAsia="zh-CN"/>
        </w:rPr>
        <w:t xml:space="preserve">is the internal diameter of the </w:t>
      </w:r>
      <w:proofErr w:type="gramStart"/>
      <w:r>
        <w:rPr>
          <w:rFonts w:eastAsiaTheme="minorEastAsia"/>
          <w:lang w:val="en-GB" w:eastAsia="zh-CN"/>
        </w:rPr>
        <w:t>pipe.</w:t>
      </w:r>
      <w:proofErr w:type="gramEnd"/>
    </w:p>
    <w:p w14:paraId="70087437" w14:textId="61646872" w:rsidR="00A94414" w:rsidRDefault="00C56851" w:rsidP="00A94414">
      <w:pPr>
        <w:pStyle w:val="CETheadingx"/>
      </w:pPr>
      <w:r>
        <w:t>Statistical distribution model</w:t>
      </w:r>
    </w:p>
    <w:p w14:paraId="6407C6E9" w14:textId="6058CAA0" w:rsidR="00CA2D3B" w:rsidRDefault="00CA2D3B" w:rsidP="00CA2D3B">
      <w:pPr>
        <w:pStyle w:val="CETBodytext"/>
        <w:rPr>
          <w:rFonts w:eastAsiaTheme="minorEastAsia"/>
          <w:lang w:eastAsia="zh-CN"/>
        </w:rPr>
      </w:pPr>
      <w:r>
        <w:rPr>
          <w:rFonts w:eastAsiaTheme="minorEastAsia"/>
          <w:lang w:eastAsia="zh-CN"/>
        </w:rPr>
        <w:t xml:space="preserve">The probability distribution is often expressed </w:t>
      </w:r>
      <w:r w:rsidR="003010F9">
        <w:rPr>
          <w:rFonts w:eastAsiaTheme="minorEastAsia"/>
          <w:lang w:eastAsia="zh-CN"/>
        </w:rPr>
        <w:t>in the form</w:t>
      </w:r>
      <w:r w:rsidR="00EA695F">
        <w:rPr>
          <w:rFonts w:eastAsiaTheme="minorEastAsia"/>
          <w:lang w:eastAsia="zh-CN"/>
        </w:rPr>
        <w:t xml:space="preserve"> of</w:t>
      </w:r>
      <w:r>
        <w:rPr>
          <w:rFonts w:eastAsiaTheme="minorEastAsia"/>
          <w:lang w:eastAsia="zh-CN"/>
        </w:rPr>
        <w:t xml:space="preserve"> Cumulative D</w:t>
      </w:r>
      <w:r w:rsidR="00F206C7">
        <w:rPr>
          <w:rFonts w:eastAsiaTheme="minorEastAsia"/>
          <w:lang w:eastAsia="zh-CN"/>
        </w:rPr>
        <w:t>istribution</w:t>
      </w:r>
      <w:r>
        <w:rPr>
          <w:rFonts w:eastAsiaTheme="minorEastAsia"/>
          <w:lang w:eastAsia="zh-CN"/>
        </w:rPr>
        <w:t xml:space="preserve"> Function (CDF)</w:t>
      </w:r>
      <w:r w:rsidR="00943E7A">
        <w:rPr>
          <w:rFonts w:eastAsiaTheme="minorEastAsia"/>
          <w:lang w:eastAsia="zh-CN"/>
        </w:rPr>
        <w:t xml:space="preserve">. </w:t>
      </w:r>
      <w:r w:rsidR="003335E4">
        <w:rPr>
          <w:rFonts w:eastAsiaTheme="minorEastAsia"/>
          <w:lang w:eastAsia="zh-CN"/>
        </w:rPr>
        <w:t>In this study, t</w:t>
      </w:r>
      <w:r w:rsidR="00943E7A">
        <w:rPr>
          <w:rFonts w:eastAsiaTheme="minorEastAsia"/>
          <w:lang w:eastAsia="zh-CN"/>
        </w:rPr>
        <w:t xml:space="preserve">he </w:t>
      </w:r>
      <w:r w:rsidR="00FE5531">
        <w:rPr>
          <w:rFonts w:eastAsiaTheme="minorEastAsia"/>
          <w:lang w:eastAsia="zh-CN"/>
        </w:rPr>
        <w:t>Weibull</w:t>
      </w:r>
      <w:r w:rsidR="007B31A0">
        <w:rPr>
          <w:rFonts w:eastAsiaTheme="minorEastAsia"/>
          <w:lang w:eastAsia="zh-CN"/>
        </w:rPr>
        <w:t xml:space="preserve"> </w:t>
      </w:r>
      <w:r w:rsidR="00AE0F08">
        <w:rPr>
          <w:rFonts w:eastAsiaTheme="minorEastAsia"/>
          <w:lang w:eastAsia="zh-CN"/>
        </w:rPr>
        <w:t>distribution</w:t>
      </w:r>
      <w:r w:rsidR="00E46AD3">
        <w:rPr>
          <w:rFonts w:eastAsiaTheme="minorEastAsia"/>
          <w:lang w:eastAsia="zh-CN"/>
        </w:rPr>
        <w:t xml:space="preserve"> </w:t>
      </w:r>
      <w:r w:rsidR="007B31A0">
        <w:rPr>
          <w:rFonts w:eastAsiaTheme="minorEastAsia"/>
          <w:lang w:eastAsia="zh-CN"/>
        </w:rPr>
        <w:fldChar w:fldCharType="begin" w:fldLock="1"/>
      </w:r>
      <w:r w:rsidR="006F6EA1">
        <w:rPr>
          <w:rFonts w:eastAsiaTheme="minorEastAsia"/>
          <w:lang w:eastAsia="zh-CN"/>
        </w:rPr>
        <w:instrText>ADDIN CSL_CITATION {"citationItems":[{"id":"ITEM-1","itemData":{"author":[{"dropping-particle":"","family":"Weibull","given":"Waloddi","non-dropping-particle":"","parse-names":false,"suffix":""}],"container-title":"Journal of Applied Mechanics","id":"ITEM-1","issue":"3","issued":{"date-parts":[["1951"]]},"page":"293-297","title":"A statistical distribution function of wide applicability","type":"article-journal","volume":"18"},"uris":["http://www.mendeley.com/documents/?uuid=dbe294e0-aeda-4e9f-a2c0-1e0e408ca6dc"]}],"mendeley":{"formattedCitation":"(Weibull, 1951)","plainTextFormattedCitation":"(Weibull, 1951)","previouslyFormattedCitation":"(Weibull, 1951)"},"properties":{"noteIndex":0},"schema":"https://github.com/citation-style-language/schema/raw/master/csl-citation.json"}</w:instrText>
      </w:r>
      <w:r w:rsidR="007B31A0">
        <w:rPr>
          <w:rFonts w:eastAsiaTheme="minorEastAsia"/>
          <w:lang w:eastAsia="zh-CN"/>
        </w:rPr>
        <w:fldChar w:fldCharType="separate"/>
      </w:r>
      <w:r w:rsidR="007B31A0" w:rsidRPr="007B31A0">
        <w:rPr>
          <w:rFonts w:eastAsiaTheme="minorEastAsia"/>
          <w:noProof/>
          <w:lang w:eastAsia="zh-CN"/>
        </w:rPr>
        <w:t>(Weibull, 1951)</w:t>
      </w:r>
      <w:r w:rsidR="007B31A0">
        <w:rPr>
          <w:rFonts w:eastAsiaTheme="minorEastAsia"/>
          <w:lang w:eastAsia="zh-CN"/>
        </w:rPr>
        <w:fldChar w:fldCharType="end"/>
      </w:r>
      <w:r w:rsidR="007B31A0">
        <w:rPr>
          <w:rFonts w:eastAsiaTheme="minorEastAsia"/>
          <w:lang w:eastAsia="zh-CN"/>
        </w:rPr>
        <w:t xml:space="preserve"> </w:t>
      </w:r>
      <w:r w:rsidR="00E46AD3">
        <w:rPr>
          <w:rFonts w:eastAsiaTheme="minorEastAsia"/>
          <w:lang w:eastAsia="zh-CN"/>
        </w:rPr>
        <w:t xml:space="preserve">is employed as the potential </w:t>
      </w:r>
      <w:r w:rsidR="004940FB">
        <w:rPr>
          <w:rFonts w:eastAsiaTheme="minorEastAsia"/>
          <w:lang w:eastAsia="zh-CN"/>
        </w:rPr>
        <w:t xml:space="preserve">statistical </w:t>
      </w:r>
      <w:r w:rsidR="00E46AD3">
        <w:rPr>
          <w:rFonts w:eastAsiaTheme="minorEastAsia"/>
          <w:lang w:eastAsia="zh-CN"/>
        </w:rPr>
        <w:t>function</w:t>
      </w:r>
      <w:r w:rsidR="00FE5531">
        <w:rPr>
          <w:rFonts w:eastAsiaTheme="minorEastAsia"/>
          <w:lang w:eastAsia="zh-CN"/>
        </w:rPr>
        <w:t xml:space="preserve"> to represent the </w:t>
      </w:r>
      <w:r w:rsidR="00D54A61">
        <w:rPr>
          <w:rFonts w:eastAsiaTheme="minorEastAsia"/>
          <w:lang w:eastAsia="zh-CN"/>
        </w:rPr>
        <w:t>probability distribution</w:t>
      </w:r>
      <w:r w:rsidR="00FE5531">
        <w:rPr>
          <w:rFonts w:eastAsiaTheme="minorEastAsia"/>
          <w:lang w:eastAsia="zh-CN"/>
        </w:rPr>
        <w:t xml:space="preserve"> of the hole size</w:t>
      </w:r>
      <w:r w:rsidR="00701AC3">
        <w:rPr>
          <w:rFonts w:eastAsiaTheme="minorEastAsia"/>
          <w:lang w:eastAsia="zh-CN"/>
        </w:rPr>
        <w:t xml:space="preserve"> </w:t>
      </w:r>
      <w:r w:rsidR="00F871F0">
        <w:rPr>
          <w:rFonts w:eastAsiaTheme="minorEastAsia"/>
          <w:lang w:eastAsia="zh-CN"/>
        </w:rPr>
        <w:t>given its</w:t>
      </w:r>
      <w:r w:rsidR="00FE5531">
        <w:rPr>
          <w:rFonts w:eastAsiaTheme="minorEastAsia"/>
          <w:lang w:eastAsia="zh-CN"/>
        </w:rPr>
        <w:t xml:space="preserve"> </w:t>
      </w:r>
      <w:r w:rsidR="00F95CC6">
        <w:rPr>
          <w:rFonts w:eastAsiaTheme="minorEastAsia"/>
          <w:lang w:eastAsia="zh-CN"/>
        </w:rPr>
        <w:t>extensive application</w:t>
      </w:r>
      <w:r w:rsidR="00FE5531">
        <w:rPr>
          <w:rFonts w:eastAsiaTheme="minorEastAsia"/>
          <w:lang w:eastAsia="zh-CN"/>
        </w:rPr>
        <w:t xml:space="preserve"> </w:t>
      </w:r>
      <w:r w:rsidR="00A34EAF">
        <w:rPr>
          <w:rFonts w:eastAsiaTheme="minorEastAsia"/>
          <w:lang w:eastAsia="zh-CN"/>
        </w:rPr>
        <w:t xml:space="preserve">in </w:t>
      </w:r>
      <w:r w:rsidR="00FE5531">
        <w:rPr>
          <w:rFonts w:eastAsiaTheme="minorEastAsia"/>
          <w:lang w:eastAsia="zh-CN"/>
        </w:rPr>
        <w:t>reliability engineering for the assessment of pipeline failure rate</w:t>
      </w:r>
      <w:r w:rsidR="00A34EAF">
        <w:rPr>
          <w:rFonts w:eastAsiaTheme="minorEastAsia"/>
          <w:lang w:eastAsia="zh-CN"/>
        </w:rPr>
        <w:t>s</w:t>
      </w:r>
      <w:r w:rsidR="00057C41">
        <w:rPr>
          <w:rFonts w:eastAsiaTheme="minorEastAsia"/>
          <w:lang w:eastAsia="zh-CN"/>
        </w:rPr>
        <w:t xml:space="preserve">. </w:t>
      </w:r>
      <w:r w:rsidR="00525D75">
        <w:rPr>
          <w:rFonts w:eastAsiaTheme="minorEastAsia"/>
          <w:lang w:eastAsia="zh-CN"/>
        </w:rPr>
        <w:t>The CDF of the Weibull distribution take</w:t>
      </w:r>
      <w:r w:rsidR="00C914AD">
        <w:rPr>
          <w:rFonts w:eastAsiaTheme="minorEastAsia"/>
          <w:lang w:eastAsia="zh-CN"/>
        </w:rPr>
        <w:t>s</w:t>
      </w:r>
      <w:r w:rsidR="00525D75">
        <w:rPr>
          <w:rFonts w:eastAsiaTheme="minorEastAsia"/>
          <w:lang w:eastAsia="zh-CN"/>
        </w:rPr>
        <w:t xml:space="preserve"> the form</w:t>
      </w:r>
      <w:r w:rsidR="00714302">
        <w:rPr>
          <w:rFonts w:eastAsiaTheme="minorEastAsia"/>
          <w:lang w:eastAsia="zh-CN"/>
        </w:rPr>
        <w:t>:</w:t>
      </w:r>
    </w:p>
    <w:tbl>
      <w:tblPr>
        <w:tblW w:w="5000" w:type="pct"/>
        <w:tblLook w:val="04A0" w:firstRow="1" w:lastRow="0" w:firstColumn="1" w:lastColumn="0" w:noHBand="0" w:noVBand="1"/>
      </w:tblPr>
      <w:tblGrid>
        <w:gridCol w:w="7983"/>
        <w:gridCol w:w="804"/>
      </w:tblGrid>
      <w:tr w:rsidR="00714302" w:rsidRPr="00B57B36" w14:paraId="297D4021" w14:textId="77777777" w:rsidTr="00183BE5">
        <w:tc>
          <w:tcPr>
            <w:tcW w:w="8188" w:type="dxa"/>
            <w:shd w:val="clear" w:color="auto" w:fill="auto"/>
            <w:vAlign w:val="center"/>
          </w:tcPr>
          <w:p w14:paraId="5D6C2665" w14:textId="70D94F2C" w:rsidR="00714302" w:rsidRPr="00FE5E35" w:rsidRDefault="00714302" w:rsidP="00183BE5">
            <w:pPr>
              <w:pStyle w:val="CETEquation"/>
              <w:rPr>
                <w:rFonts w:eastAsiaTheme="minorEastAsia"/>
                <w:lang w:eastAsia="zh-CN"/>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x;α,β</m:t>
                    </m:r>
                  </m:e>
                </m:d>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α</m:t>
                                </m:r>
                              </m:den>
                            </m:f>
                          </m:e>
                        </m:d>
                      </m:e>
                      <m:sup>
                        <m:r>
                          <w:rPr>
                            <w:rFonts w:ascii="Cambria Math" w:hAnsi="Cambria Math"/>
                          </w:rPr>
                          <m:t>β</m:t>
                        </m:r>
                      </m:sup>
                    </m:sSup>
                  </m:sup>
                </m:sSup>
              </m:oMath>
            </m:oMathPara>
          </w:p>
        </w:tc>
        <w:tc>
          <w:tcPr>
            <w:tcW w:w="815" w:type="dxa"/>
            <w:shd w:val="clear" w:color="auto" w:fill="auto"/>
            <w:vAlign w:val="center"/>
          </w:tcPr>
          <w:p w14:paraId="1909D6AC" w14:textId="5DFB311A" w:rsidR="00714302" w:rsidRPr="00B57B36" w:rsidRDefault="00714302" w:rsidP="00183BE5">
            <w:pPr>
              <w:pStyle w:val="CETEquation"/>
              <w:jc w:val="right"/>
            </w:pPr>
            <w:r w:rsidRPr="00B57B36">
              <w:t>(</w:t>
            </w:r>
            <w:r>
              <w:t>3</w:t>
            </w:r>
            <w:r w:rsidRPr="00B57B36">
              <w:t>)</w:t>
            </w:r>
          </w:p>
        </w:tc>
      </w:tr>
    </w:tbl>
    <w:p w14:paraId="1C08B37D" w14:textId="14DA76F0" w:rsidR="00CE0BCE" w:rsidRPr="00CA2D3B" w:rsidRDefault="00264243" w:rsidP="00CA2D3B">
      <w:pPr>
        <w:pStyle w:val="CETBodytext"/>
        <w:rPr>
          <w:rFonts w:eastAsiaTheme="minorEastAsia"/>
          <w:lang w:eastAsia="zh-CN"/>
        </w:rPr>
      </w:pPr>
      <w:r>
        <w:rPr>
          <w:rFonts w:eastAsiaTheme="minorEastAsia"/>
          <w:lang w:eastAsia="zh-CN"/>
        </w:rPr>
        <w:t xml:space="preserve">where </w:t>
      </w:r>
      <m:oMath>
        <m:r>
          <w:rPr>
            <w:rFonts w:ascii="Cambria Math" w:hAnsi="Cambria Math"/>
          </w:rPr>
          <m:t>α</m:t>
        </m:r>
      </m:oMath>
      <w:r>
        <w:rPr>
          <w:rFonts w:eastAsiaTheme="minorEastAsia" w:hint="eastAsia"/>
          <w:lang w:eastAsia="zh-CN"/>
        </w:rPr>
        <w:t xml:space="preserve"> </w:t>
      </w:r>
      <w:r>
        <w:rPr>
          <w:rFonts w:eastAsiaTheme="minorEastAsia"/>
          <w:lang w:eastAsia="zh-CN"/>
        </w:rPr>
        <w:t xml:space="preserve">is the scale parameter that stretches or squeezes the Weibull distribution graph and </w:t>
      </w:r>
      <m:oMath>
        <m:r>
          <w:rPr>
            <w:rFonts w:ascii="Cambria Math" w:hAnsi="Cambria Math"/>
          </w:rPr>
          <m:t>β</m:t>
        </m:r>
      </m:oMath>
      <w:r>
        <w:rPr>
          <w:rFonts w:eastAsiaTheme="minorEastAsia" w:hint="eastAsia"/>
          <w:lang w:eastAsia="zh-CN"/>
        </w:rPr>
        <w:t xml:space="preserve"> </w:t>
      </w:r>
      <w:r>
        <w:rPr>
          <w:rFonts w:eastAsiaTheme="minorEastAsia"/>
          <w:lang w:eastAsia="zh-CN"/>
        </w:rPr>
        <w:t xml:space="preserve">is the shape parameter that </w:t>
      </w:r>
      <w:r w:rsidR="008B7564">
        <w:rPr>
          <w:rFonts w:eastAsiaTheme="minorEastAsia"/>
          <w:lang w:eastAsia="zh-CN"/>
        </w:rPr>
        <w:t>determines</w:t>
      </w:r>
      <w:r>
        <w:rPr>
          <w:rFonts w:eastAsiaTheme="minorEastAsia"/>
          <w:lang w:eastAsia="zh-CN"/>
        </w:rPr>
        <w:t xml:space="preserve"> the general shape of the </w:t>
      </w:r>
      <w:proofErr w:type="gramStart"/>
      <w:r>
        <w:rPr>
          <w:rFonts w:eastAsiaTheme="minorEastAsia"/>
          <w:lang w:eastAsia="zh-CN"/>
        </w:rPr>
        <w:t>graph.</w:t>
      </w:r>
      <w:proofErr w:type="gramEnd"/>
    </w:p>
    <w:p w14:paraId="0F5F55E6" w14:textId="6277E7B2" w:rsidR="00A94414" w:rsidRDefault="00CE0BCE" w:rsidP="00A94414">
      <w:pPr>
        <w:pStyle w:val="CETheadingx"/>
      </w:pPr>
      <w:r>
        <w:t>Distribution fitting</w:t>
      </w:r>
    </w:p>
    <w:p w14:paraId="24F7161C" w14:textId="1432C7EF" w:rsidR="00B17ABD" w:rsidRDefault="0037493F" w:rsidP="00623D4F">
      <w:pPr>
        <w:pStyle w:val="CETBodytext"/>
        <w:rPr>
          <w:rFonts w:eastAsiaTheme="minorEastAsia"/>
          <w:lang w:eastAsia="zh-CN"/>
        </w:rPr>
      </w:pPr>
      <w:r>
        <w:rPr>
          <w:rFonts w:eastAsiaTheme="minorEastAsia"/>
          <w:lang w:eastAsia="zh-CN"/>
        </w:rPr>
        <w:t>T</w:t>
      </w:r>
      <w:r w:rsidR="00623D4F">
        <w:rPr>
          <w:rFonts w:eastAsiaTheme="minorEastAsia"/>
          <w:lang w:eastAsia="zh-CN"/>
        </w:rPr>
        <w:t xml:space="preserve">he </w:t>
      </w:r>
      <w:r w:rsidR="007E204C">
        <w:rPr>
          <w:rFonts w:eastAsiaTheme="minorEastAsia"/>
          <w:lang w:eastAsia="zh-CN"/>
        </w:rPr>
        <w:t xml:space="preserve">Weibull distribution is fitted to the </w:t>
      </w:r>
      <w:r w:rsidR="00790B7A">
        <w:rPr>
          <w:rFonts w:eastAsiaTheme="minorEastAsia"/>
          <w:lang w:eastAsia="zh-CN"/>
        </w:rPr>
        <w:t xml:space="preserve">failure </w:t>
      </w:r>
      <w:r w:rsidR="00623D4F">
        <w:rPr>
          <w:rFonts w:eastAsiaTheme="minorEastAsia"/>
          <w:lang w:eastAsia="zh-CN"/>
        </w:rPr>
        <w:t>hole size data obtained from the PHMSA database</w:t>
      </w:r>
      <w:r w:rsidR="000C51C7">
        <w:rPr>
          <w:rFonts w:eastAsiaTheme="minorEastAsia"/>
          <w:lang w:eastAsia="zh-CN"/>
        </w:rPr>
        <w:t>. The fitting parameters are obtained using</w:t>
      </w:r>
      <w:r w:rsidR="00623D4F">
        <w:rPr>
          <w:rFonts w:eastAsiaTheme="minorEastAsia"/>
          <w:lang w:eastAsia="zh-CN"/>
        </w:rPr>
        <w:t xml:space="preserve"> the MLE</w:t>
      </w:r>
      <w:r w:rsidR="00583FDA">
        <w:rPr>
          <w:rFonts w:eastAsiaTheme="minorEastAsia"/>
          <w:lang w:eastAsia="zh-CN"/>
        </w:rPr>
        <w:t xml:space="preserve"> method</w:t>
      </w:r>
      <w:r w:rsidR="00623D4F">
        <w:rPr>
          <w:rFonts w:eastAsiaTheme="minorEastAsia"/>
          <w:lang w:eastAsia="zh-CN"/>
        </w:rPr>
        <w:t xml:space="preserve">. </w:t>
      </w:r>
      <w:r w:rsidR="00800A27">
        <w:rPr>
          <w:rFonts w:eastAsiaTheme="minorEastAsia"/>
          <w:lang w:eastAsia="zh-CN"/>
        </w:rPr>
        <w:t>The</w:t>
      </w:r>
      <w:r w:rsidR="00A7555A">
        <w:rPr>
          <w:rFonts w:eastAsiaTheme="minorEastAsia"/>
          <w:lang w:eastAsia="zh-CN"/>
        </w:rPr>
        <w:t xml:space="preserve"> </w:t>
      </w:r>
      <w:r w:rsidR="00583FDA">
        <w:rPr>
          <w:rFonts w:eastAsiaTheme="minorEastAsia"/>
          <w:lang w:eastAsia="zh-CN"/>
        </w:rPr>
        <w:t>method</w:t>
      </w:r>
      <w:r w:rsidR="00800A27">
        <w:rPr>
          <w:rFonts w:eastAsiaTheme="minorEastAsia"/>
          <w:lang w:eastAsia="zh-CN"/>
        </w:rPr>
        <w:t xml:space="preserve"> involves estimating the fitting parameters</w:t>
      </w:r>
      <w:r w:rsidR="00800A27" w:rsidRPr="00623D4F">
        <w:rPr>
          <w:rFonts w:eastAsiaTheme="minorEastAsia"/>
          <w:lang w:eastAsia="zh-CN"/>
        </w:rPr>
        <w:t xml:space="preserve"> </w:t>
      </w:r>
      <w:r w:rsidR="00583FDA">
        <w:rPr>
          <w:rFonts w:eastAsiaTheme="minorEastAsia"/>
          <w:lang w:eastAsia="zh-CN"/>
        </w:rPr>
        <w:t>for a given set of observed data by finding the parameter values that will most likely generate the observed data.</w:t>
      </w:r>
      <w:r w:rsidR="00AE5A8C">
        <w:rPr>
          <w:rFonts w:eastAsiaTheme="minorEastAsia"/>
          <w:lang w:eastAsia="zh-CN"/>
        </w:rPr>
        <w:t xml:space="preserve"> </w:t>
      </w:r>
      <w:r w:rsidR="00623D4F" w:rsidRPr="00623D4F">
        <w:rPr>
          <w:rFonts w:eastAsiaTheme="minorEastAsia"/>
          <w:lang w:eastAsia="zh-CN"/>
        </w:rPr>
        <w:t xml:space="preserve">The </w:t>
      </w:r>
      <w:r w:rsidR="00623D4F" w:rsidRPr="00623D4F">
        <w:rPr>
          <w:rFonts w:eastAsiaTheme="minorEastAsia"/>
          <w:lang w:eastAsia="zh-CN"/>
        </w:rPr>
        <w:lastRenderedPageBreak/>
        <w:t xml:space="preserve">MLE is </w:t>
      </w:r>
      <w:r w:rsidR="00C12244">
        <w:rPr>
          <w:rFonts w:eastAsiaTheme="minorEastAsia"/>
          <w:lang w:eastAsia="zh-CN"/>
        </w:rPr>
        <w:t>among the most dependable statistical estimators for distribution fitting</w:t>
      </w:r>
      <w:r w:rsidR="004527C6">
        <w:rPr>
          <w:rFonts w:eastAsiaTheme="minorEastAsia"/>
          <w:lang w:eastAsia="zh-CN"/>
        </w:rPr>
        <w:t xml:space="preserve"> </w:t>
      </w:r>
      <w:r w:rsidR="004527C6">
        <w:rPr>
          <w:rFonts w:eastAsiaTheme="minorEastAsia"/>
          <w:lang w:eastAsia="zh-CN"/>
        </w:rPr>
        <w:fldChar w:fldCharType="begin" w:fldLock="1"/>
      </w:r>
      <w:r w:rsidR="00AE5A8C">
        <w:rPr>
          <w:rFonts w:eastAsiaTheme="minorEastAsia"/>
          <w:lang w:eastAsia="zh-CN"/>
        </w:rPr>
        <w:instrText>ADDIN CSL_CITATION {"citationItems":[{"id":"ITEM-1","itemData":{"author":[{"dropping-particle":"","family":"Ginos","given":"B.F.","non-dropping-particle":"","parse-names":false,"suffix":""}],"id":"ITEM-1","issued":{"date-parts":[["2009"]]},"publisher":"Brigham Young University","title":"Parameter estimation for the lognormal distribution","type":"thesis"},"uris":["http://www.mendeley.com/documents/?uuid=c8379b76-7ce6-4009-ad4d-18a66155bbc3"]}],"mendeley":{"formattedCitation":"(Ginos, 2009)","plainTextFormattedCitation":"(Ginos, 2009)","previouslyFormattedCitation":"(Ginos, 2009)"},"properties":{"noteIndex":0},"schema":"https://github.com/citation-style-language/schema/raw/master/csl-citation.json"}</w:instrText>
      </w:r>
      <w:r w:rsidR="004527C6">
        <w:rPr>
          <w:rFonts w:eastAsiaTheme="minorEastAsia"/>
          <w:lang w:eastAsia="zh-CN"/>
        </w:rPr>
        <w:fldChar w:fldCharType="separate"/>
      </w:r>
      <w:r w:rsidR="004527C6" w:rsidRPr="004527C6">
        <w:rPr>
          <w:rFonts w:eastAsiaTheme="minorEastAsia"/>
          <w:noProof/>
          <w:lang w:eastAsia="zh-CN"/>
        </w:rPr>
        <w:t>(Ginos, 2009)</w:t>
      </w:r>
      <w:r w:rsidR="004527C6">
        <w:rPr>
          <w:rFonts w:eastAsiaTheme="minorEastAsia"/>
          <w:lang w:eastAsia="zh-CN"/>
        </w:rPr>
        <w:fldChar w:fldCharType="end"/>
      </w:r>
      <w:r w:rsidR="004527C6">
        <w:rPr>
          <w:rFonts w:eastAsiaTheme="minorEastAsia"/>
          <w:lang w:eastAsia="zh-CN"/>
        </w:rPr>
        <w:t xml:space="preserve">. </w:t>
      </w:r>
      <w:r w:rsidR="00AE5A8C">
        <w:rPr>
          <w:rFonts w:eastAsiaTheme="minorEastAsia"/>
          <w:lang w:eastAsia="zh-CN"/>
        </w:rPr>
        <w:t xml:space="preserve">Some appealing features of it include that it is consistent, efficient and asymptotically normal </w:t>
      </w:r>
      <w:r w:rsidR="00AE5A8C">
        <w:rPr>
          <w:rFonts w:eastAsiaTheme="minorEastAsia"/>
          <w:lang w:eastAsia="zh-CN"/>
        </w:rPr>
        <w:fldChar w:fldCharType="begin" w:fldLock="1"/>
      </w:r>
      <w:r w:rsidR="002B082C">
        <w:rPr>
          <w:rFonts w:eastAsiaTheme="minorEastAsia"/>
          <w:lang w:eastAsia="zh-CN"/>
        </w:rPr>
        <w:instrText>ADDIN CSL_CITATION {"citationItems":[{"id":"ITEM-1","itemData":{"author":[{"dropping-particle":"","family":"Long","given":"J. Scott","non-dropping-particle":"","parse-names":false,"suffix":""},{"dropping-particle":"","family":"Freese","given":"Jeremy","non-dropping-particle":"","parse-names":false,"suffix":""}],"id":"ITEM-1","issued":{"date-parts":[["2006"]]},"publisher":"Stata Press","title":"Regression Models for Categorical Dependent Variables using Stata","type":"book"},"uris":["http://www.mendeley.com/documents/?uuid=c1b1f834-4d5b-4f53-ba56-90e4516a3440"]}],"mendeley":{"formattedCitation":"(Long and Freese, 2006)","plainTextFormattedCitation":"(Long and Freese, 2006)","previouslyFormattedCitation":"(Long and Freese, 2006)"},"properties":{"noteIndex":0},"schema":"https://github.com/citation-style-language/schema/raw/master/csl-citation.json"}</w:instrText>
      </w:r>
      <w:r w:rsidR="00AE5A8C">
        <w:rPr>
          <w:rFonts w:eastAsiaTheme="minorEastAsia"/>
          <w:lang w:eastAsia="zh-CN"/>
        </w:rPr>
        <w:fldChar w:fldCharType="separate"/>
      </w:r>
      <w:r w:rsidR="00AE5A8C" w:rsidRPr="00AE5A8C">
        <w:rPr>
          <w:rFonts w:eastAsiaTheme="minorEastAsia"/>
          <w:noProof/>
          <w:lang w:eastAsia="zh-CN"/>
        </w:rPr>
        <w:t>(Long and Freese, 2006)</w:t>
      </w:r>
      <w:r w:rsidR="00AE5A8C">
        <w:rPr>
          <w:rFonts w:eastAsiaTheme="minorEastAsia"/>
          <w:lang w:eastAsia="zh-CN"/>
        </w:rPr>
        <w:fldChar w:fldCharType="end"/>
      </w:r>
      <w:r w:rsidR="00AE5A8C">
        <w:rPr>
          <w:rFonts w:eastAsiaTheme="minorEastAsia"/>
          <w:lang w:eastAsia="zh-CN"/>
        </w:rPr>
        <w:t>. However</w:t>
      </w:r>
      <w:r w:rsidR="00317F5C">
        <w:rPr>
          <w:rFonts w:eastAsiaTheme="minorEastAsia"/>
          <w:lang w:eastAsia="zh-CN"/>
        </w:rPr>
        <w:t xml:space="preserve">, </w:t>
      </w:r>
      <w:r w:rsidR="002B082C">
        <w:rPr>
          <w:rFonts w:eastAsiaTheme="minorEastAsia"/>
          <w:lang w:eastAsia="zh-CN"/>
        </w:rPr>
        <w:t xml:space="preserve">these features have been only proven to hold </w:t>
      </w:r>
      <w:r w:rsidR="00A34EAF">
        <w:rPr>
          <w:rFonts w:eastAsiaTheme="minorEastAsia"/>
          <w:lang w:eastAsia="zh-CN"/>
        </w:rPr>
        <w:t>provided</w:t>
      </w:r>
      <w:r w:rsidR="002B082C">
        <w:rPr>
          <w:rFonts w:eastAsiaTheme="minorEastAsia"/>
          <w:lang w:eastAsia="zh-CN"/>
        </w:rPr>
        <w:t xml:space="preserve"> the number of data being used in the estimation process is large enough </w:t>
      </w:r>
      <w:r w:rsidR="002B082C">
        <w:rPr>
          <w:rFonts w:eastAsiaTheme="minorEastAsia"/>
          <w:lang w:eastAsia="zh-CN"/>
        </w:rPr>
        <w:fldChar w:fldCharType="begin" w:fldLock="1"/>
      </w:r>
      <w:r w:rsidR="00B17ABD">
        <w:rPr>
          <w:rFonts w:eastAsiaTheme="minorEastAsia"/>
          <w:lang w:eastAsia="zh-CN"/>
        </w:rPr>
        <w:instrText>ADDIN CSL_CITATION {"citationItems":[{"id":"ITEM-1","itemData":{"DOI":"https://doi.org/10.1016/B978-0-12-803467-5.00007-1","author":[{"dropping-particle":"","family":"Ji","given":"Qiang","non-dropping-particle":"","parse-names":false,"suffix":""}],"chapter-number":"2","container-title":"Probabilistic Graphical Models for Computer Vision","id":"ITEM-1","issued":{"date-parts":[["2020"]]},"page":"11-29","publisher":"Elsevier","title":"Foundation and basics","type":"chapter"},"uris":["http://www.mendeley.com/documents/?uuid=8d3c0f9f-1747-4d64-ba26-bc97671f74c6"]}],"mendeley":{"formattedCitation":"(Ji, 2020)","plainTextFormattedCitation":"(Ji, 2020)","previouslyFormattedCitation":"(Ji, 2020)"},"properties":{"noteIndex":0},"schema":"https://github.com/citation-style-language/schema/raw/master/csl-citation.json"}</w:instrText>
      </w:r>
      <w:r w:rsidR="002B082C">
        <w:rPr>
          <w:rFonts w:eastAsiaTheme="minorEastAsia"/>
          <w:lang w:eastAsia="zh-CN"/>
        </w:rPr>
        <w:fldChar w:fldCharType="separate"/>
      </w:r>
      <w:r w:rsidR="002B082C" w:rsidRPr="002B082C">
        <w:rPr>
          <w:rFonts w:eastAsiaTheme="minorEastAsia"/>
          <w:noProof/>
          <w:lang w:eastAsia="zh-CN"/>
        </w:rPr>
        <w:t>(Ji, 2020)</w:t>
      </w:r>
      <w:r w:rsidR="002B082C">
        <w:rPr>
          <w:rFonts w:eastAsiaTheme="minorEastAsia"/>
          <w:lang w:eastAsia="zh-CN"/>
        </w:rPr>
        <w:fldChar w:fldCharType="end"/>
      </w:r>
      <w:r w:rsidR="002B082C">
        <w:rPr>
          <w:rFonts w:eastAsiaTheme="minorEastAsia"/>
          <w:lang w:eastAsia="zh-CN"/>
        </w:rPr>
        <w:t xml:space="preserve">. </w:t>
      </w:r>
    </w:p>
    <w:p w14:paraId="4EAD3BA8" w14:textId="77777777" w:rsidR="00B17ABD" w:rsidRDefault="00B17ABD" w:rsidP="00623D4F">
      <w:pPr>
        <w:pStyle w:val="CETBodytext"/>
        <w:rPr>
          <w:rFonts w:eastAsiaTheme="minorEastAsia"/>
          <w:lang w:eastAsia="zh-CN"/>
        </w:rPr>
      </w:pPr>
    </w:p>
    <w:p w14:paraId="75EDB151" w14:textId="10E494BC" w:rsidR="00B2518D" w:rsidRDefault="002B082C" w:rsidP="00623D4F">
      <w:pPr>
        <w:pStyle w:val="CETBodytext"/>
        <w:rPr>
          <w:rFonts w:eastAsiaTheme="minorEastAsia"/>
          <w:lang w:eastAsia="zh-CN"/>
        </w:rPr>
      </w:pPr>
      <w:r>
        <w:rPr>
          <w:rFonts w:eastAsiaTheme="minorEastAsia"/>
          <w:lang w:eastAsia="zh-CN"/>
        </w:rPr>
        <w:t>To address th</w:t>
      </w:r>
      <w:r w:rsidR="00B17ABD">
        <w:rPr>
          <w:rFonts w:eastAsiaTheme="minorEastAsia"/>
          <w:lang w:eastAsia="zh-CN"/>
        </w:rPr>
        <w:t xml:space="preserve">e </w:t>
      </w:r>
      <w:r w:rsidR="00B2518D">
        <w:rPr>
          <w:rFonts w:eastAsiaTheme="minorEastAsia"/>
          <w:lang w:eastAsia="zh-CN"/>
        </w:rPr>
        <w:t>small sample</w:t>
      </w:r>
      <w:r w:rsidR="00897B89">
        <w:rPr>
          <w:rFonts w:eastAsiaTheme="minorEastAsia"/>
          <w:lang w:eastAsia="zh-CN"/>
        </w:rPr>
        <w:t xml:space="preserve"> is</w:t>
      </w:r>
      <w:r w:rsidR="002926E2">
        <w:rPr>
          <w:rFonts w:eastAsiaTheme="minorEastAsia"/>
          <w:lang w:eastAsia="zh-CN"/>
        </w:rPr>
        <w:t>sue</w:t>
      </w:r>
      <w:r>
        <w:rPr>
          <w:rFonts w:eastAsiaTheme="minorEastAsia"/>
          <w:lang w:eastAsia="zh-CN"/>
        </w:rPr>
        <w:t xml:space="preserve">, </w:t>
      </w:r>
      <w:r w:rsidR="00D27A13" w:rsidRPr="00D27A13">
        <w:rPr>
          <w:rFonts w:eastAsiaTheme="minorEastAsia"/>
          <w:lang w:eastAsia="zh-CN"/>
        </w:rPr>
        <w:t xml:space="preserve">the bootstrapping method, which can artificially inflate the sample by random sampling with replacement, is employed to calculate the Confidence Interval (CI) of the MLE. The bootstrapping method </w:t>
      </w:r>
      <w:r w:rsidR="00A34EAF">
        <w:rPr>
          <w:rFonts w:eastAsiaTheme="minorEastAsia"/>
          <w:lang w:eastAsia="zh-CN"/>
        </w:rPr>
        <w:t>has been</w:t>
      </w:r>
      <w:r w:rsidR="00A34EAF" w:rsidRPr="00D27A13">
        <w:rPr>
          <w:rFonts w:eastAsiaTheme="minorEastAsia"/>
          <w:lang w:eastAsia="zh-CN"/>
        </w:rPr>
        <w:t xml:space="preserve"> </w:t>
      </w:r>
      <w:r w:rsidR="00D27A13" w:rsidRPr="00D27A13">
        <w:rPr>
          <w:rFonts w:eastAsiaTheme="minorEastAsia"/>
          <w:lang w:eastAsia="zh-CN"/>
        </w:rPr>
        <w:t>employed by many authors for enhancing the confidence of maximum likelihood estimation when the sample size is too small</w:t>
      </w:r>
      <w:r w:rsidR="00B17ABD">
        <w:rPr>
          <w:rFonts w:eastAsiaTheme="minorEastAsia"/>
          <w:lang w:eastAsia="zh-CN"/>
        </w:rPr>
        <w:t xml:space="preserve"> </w:t>
      </w:r>
      <w:r w:rsidR="00B17ABD">
        <w:rPr>
          <w:rFonts w:eastAsiaTheme="minorEastAsia"/>
          <w:lang w:eastAsia="zh-CN"/>
        </w:rPr>
        <w:fldChar w:fldCharType="begin" w:fldLock="1"/>
      </w:r>
      <w:r w:rsidR="005778A7">
        <w:rPr>
          <w:rFonts w:eastAsiaTheme="minorEastAsia"/>
          <w:lang w:eastAsia="zh-CN"/>
        </w:rPr>
        <w:instrText>ADDIN CSL_CITATION {"citationItems":[{"id":"ITEM-1","itemData":{"author":[{"dropping-particle":"","family":"Wei","given":"Shengxue","non-dropping-particle":"","parse-names":false,"suffix":""},{"dropping-particle":"","family":"Li","given":"Naiyi","non-dropping-particle":"","parse-names":false,"suffix":""}],"container-title":"Statistics &amp; Decision","id":"ITEM-1","issue":"23","issued":{"date-parts":[["2019"]]},"page":"34-37","title":"Bootstrap estimation for Weibull distribution parameters based on small sample and censored condition","type":"article-journal"},"uris":["http://www.mendeley.com/documents/?uuid=dcef9c69-fef2-4d94-aefc-c93d803b7519"]},{"id":"ITEM-2","itemData":{"DOI":"https://doi.org/10.1080/17446540701604309","author":[{"dropping-particle":"","family":"Tsagkanos","given":"Athanasios","non-dropping-particle":"","parse-names":false,"suffix":""}],"container-title":"Applied Financial Economics Letters","id":"ITEM-2","issue":"3","issued":{"date-parts":[["2008"]]},"page":"209-212","title":"The bootstrap maximum likelihood estimator: The case of logit","type":"article-journal","volume":"4"},"uris":["http://www.mendeley.com/documents/?uuid=4e837ae9-bfe0-412f-b278-d42a01c80f43"]}],"mendeley":{"formattedCitation":"(Tsagkanos, 2008; Wei and Li, 2019)","manualFormatting":"(see for example Tsagkanos, 2008; Wei and Li, 2019)","plainTextFormattedCitation":"(Tsagkanos, 2008; Wei and Li, 2019)","previouslyFormattedCitation":"(Tsagkanos, 2008; Wei and Li, 2019)"},"properties":{"noteIndex":0},"schema":"https://github.com/citation-style-language/schema/raw/master/csl-citation.json"}</w:instrText>
      </w:r>
      <w:r w:rsidR="00B17ABD">
        <w:rPr>
          <w:rFonts w:eastAsiaTheme="minorEastAsia"/>
          <w:lang w:eastAsia="zh-CN"/>
        </w:rPr>
        <w:fldChar w:fldCharType="separate"/>
      </w:r>
      <w:r w:rsidR="00B17ABD" w:rsidRPr="00B17ABD">
        <w:rPr>
          <w:rFonts w:eastAsiaTheme="minorEastAsia"/>
          <w:noProof/>
          <w:lang w:eastAsia="zh-CN"/>
        </w:rPr>
        <w:t>(</w:t>
      </w:r>
      <w:r w:rsidR="00B17ABD">
        <w:rPr>
          <w:rFonts w:eastAsiaTheme="minorEastAsia"/>
          <w:noProof/>
          <w:lang w:eastAsia="zh-CN"/>
        </w:rPr>
        <w:t xml:space="preserve">see for example </w:t>
      </w:r>
      <w:r w:rsidR="00B17ABD" w:rsidRPr="00B17ABD">
        <w:rPr>
          <w:rFonts w:eastAsiaTheme="minorEastAsia"/>
          <w:noProof/>
          <w:lang w:eastAsia="zh-CN"/>
        </w:rPr>
        <w:t>Tsagkanos, 2008; Wei and Li, 2019)</w:t>
      </w:r>
      <w:r w:rsidR="00B17ABD">
        <w:rPr>
          <w:rFonts w:eastAsiaTheme="minorEastAsia"/>
          <w:lang w:eastAsia="zh-CN"/>
        </w:rPr>
        <w:fldChar w:fldCharType="end"/>
      </w:r>
      <w:r w:rsidR="00D27A13" w:rsidRPr="00D27A13">
        <w:rPr>
          <w:rFonts w:eastAsiaTheme="minorEastAsia"/>
          <w:lang w:eastAsia="zh-CN"/>
        </w:rPr>
        <w:t xml:space="preserve">. </w:t>
      </w:r>
      <w:r w:rsidR="00B2518D">
        <w:rPr>
          <w:rFonts w:eastAsiaTheme="minorEastAsia"/>
          <w:lang w:eastAsia="zh-CN"/>
        </w:rPr>
        <w:t>The bootstrapping process f</w:t>
      </w:r>
      <w:r w:rsidR="00897B89">
        <w:rPr>
          <w:rFonts w:eastAsiaTheme="minorEastAsia"/>
          <w:lang w:eastAsia="zh-CN"/>
        </w:rPr>
        <w:t>or calculating the CI of the MLE comprises the following steps:</w:t>
      </w:r>
    </w:p>
    <w:p w14:paraId="2035C295" w14:textId="77777777" w:rsidR="005E253D" w:rsidRDefault="005E253D" w:rsidP="00623D4F">
      <w:pPr>
        <w:pStyle w:val="CETBodytext"/>
        <w:rPr>
          <w:rFonts w:eastAsiaTheme="minorEastAsia"/>
          <w:lang w:eastAsia="zh-CN"/>
        </w:rPr>
      </w:pPr>
    </w:p>
    <w:p w14:paraId="4DA40413" w14:textId="7BC68B05" w:rsidR="00897B89" w:rsidRDefault="001A34EE" w:rsidP="00897B89">
      <w:pPr>
        <w:pStyle w:val="CETBodytext"/>
        <w:numPr>
          <w:ilvl w:val="0"/>
          <w:numId w:val="23"/>
        </w:numPr>
        <w:rPr>
          <w:rFonts w:eastAsiaTheme="minorEastAsia"/>
          <w:lang w:eastAsia="zh-CN"/>
        </w:rPr>
      </w:pPr>
      <w:r>
        <w:rPr>
          <w:rFonts w:eastAsiaTheme="minorEastAsia"/>
          <w:lang w:eastAsia="zh-CN"/>
        </w:rPr>
        <w:t>r</w:t>
      </w:r>
      <w:r w:rsidR="00450912">
        <w:rPr>
          <w:rFonts w:eastAsiaTheme="minorEastAsia"/>
          <w:lang w:eastAsia="zh-CN"/>
        </w:rPr>
        <w:t>esampl</w:t>
      </w:r>
      <w:r w:rsidR="001C1F5A">
        <w:rPr>
          <w:rFonts w:eastAsiaTheme="minorEastAsia"/>
          <w:lang w:eastAsia="zh-CN"/>
        </w:rPr>
        <w:t>ing</w:t>
      </w:r>
      <w:r w:rsidR="00450912">
        <w:rPr>
          <w:rFonts w:eastAsiaTheme="minorEastAsia"/>
          <w:lang w:eastAsia="zh-CN"/>
        </w:rPr>
        <w:t xml:space="preserve"> the original data sample with replacement to create resampled datasets that have the same size as the original </w:t>
      </w:r>
      <w:proofErr w:type="gramStart"/>
      <w:r w:rsidR="00F436A4">
        <w:rPr>
          <w:rFonts w:eastAsiaTheme="minorEastAsia"/>
          <w:lang w:eastAsia="zh-CN"/>
        </w:rPr>
        <w:t>sample</w:t>
      </w:r>
      <w:r>
        <w:rPr>
          <w:rFonts w:eastAsiaTheme="minorEastAsia"/>
          <w:lang w:eastAsia="zh-CN"/>
        </w:rPr>
        <w:t>;</w:t>
      </w:r>
      <w:proofErr w:type="gramEnd"/>
    </w:p>
    <w:p w14:paraId="1C888CD7" w14:textId="1C3D4A8E" w:rsidR="00450912" w:rsidRDefault="001A34EE" w:rsidP="00897B89">
      <w:pPr>
        <w:pStyle w:val="CETBodytext"/>
        <w:numPr>
          <w:ilvl w:val="0"/>
          <w:numId w:val="23"/>
        </w:numPr>
        <w:rPr>
          <w:rFonts w:eastAsiaTheme="minorEastAsia"/>
          <w:lang w:eastAsia="zh-CN"/>
        </w:rPr>
      </w:pPr>
      <w:r>
        <w:rPr>
          <w:rFonts w:eastAsiaTheme="minorEastAsia"/>
          <w:lang w:eastAsia="zh-CN"/>
        </w:rPr>
        <w:t>c</w:t>
      </w:r>
      <w:r w:rsidR="00450912">
        <w:rPr>
          <w:rFonts w:eastAsiaTheme="minorEastAsia"/>
          <w:lang w:eastAsia="zh-CN"/>
        </w:rPr>
        <w:t>omput</w:t>
      </w:r>
      <w:r w:rsidR="001C1F5A">
        <w:rPr>
          <w:rFonts w:eastAsiaTheme="minorEastAsia"/>
          <w:lang w:eastAsia="zh-CN"/>
        </w:rPr>
        <w:t>ing</w:t>
      </w:r>
      <w:r w:rsidR="00450912">
        <w:rPr>
          <w:rFonts w:eastAsiaTheme="minorEastAsia"/>
          <w:lang w:eastAsia="zh-CN"/>
        </w:rPr>
        <w:t xml:space="preserve"> the MLE of each resampled </w:t>
      </w:r>
      <w:proofErr w:type="gramStart"/>
      <w:r w:rsidR="00F436A4">
        <w:rPr>
          <w:rFonts w:eastAsiaTheme="minorEastAsia"/>
          <w:lang w:eastAsia="zh-CN"/>
        </w:rPr>
        <w:t>dataset</w:t>
      </w:r>
      <w:r>
        <w:rPr>
          <w:rFonts w:eastAsiaTheme="minorEastAsia"/>
          <w:lang w:eastAsia="zh-CN"/>
        </w:rPr>
        <w:t>;</w:t>
      </w:r>
      <w:proofErr w:type="gramEnd"/>
    </w:p>
    <w:p w14:paraId="51C296DB" w14:textId="25E0042A" w:rsidR="00B2518D" w:rsidRDefault="001A34EE" w:rsidP="00623D4F">
      <w:pPr>
        <w:pStyle w:val="CETBodytext"/>
        <w:numPr>
          <w:ilvl w:val="0"/>
          <w:numId w:val="23"/>
        </w:numPr>
        <w:rPr>
          <w:rFonts w:eastAsiaTheme="minorEastAsia"/>
          <w:lang w:eastAsia="zh-CN"/>
        </w:rPr>
      </w:pPr>
      <w:r>
        <w:rPr>
          <w:rFonts w:eastAsiaTheme="minorEastAsia"/>
          <w:lang w:eastAsia="zh-CN"/>
        </w:rPr>
        <w:t>c</w:t>
      </w:r>
      <w:r w:rsidR="00450912">
        <w:rPr>
          <w:rFonts w:eastAsiaTheme="minorEastAsia"/>
          <w:lang w:eastAsia="zh-CN"/>
        </w:rPr>
        <w:t>alculat</w:t>
      </w:r>
      <w:r w:rsidR="001C1F5A">
        <w:rPr>
          <w:rFonts w:eastAsiaTheme="minorEastAsia"/>
          <w:lang w:eastAsia="zh-CN"/>
        </w:rPr>
        <w:t>ing</w:t>
      </w:r>
      <w:r w:rsidR="00450912">
        <w:rPr>
          <w:rFonts w:eastAsiaTheme="minorEastAsia"/>
          <w:lang w:eastAsia="zh-CN"/>
        </w:rPr>
        <w:t xml:space="preserve"> the CI of the MLE based on the collection of MLE values obtained from step 2)</w:t>
      </w:r>
      <w:r w:rsidR="00F333C7">
        <w:rPr>
          <w:rFonts w:eastAsiaTheme="minorEastAsia"/>
          <w:lang w:eastAsia="zh-CN"/>
        </w:rPr>
        <w:t>.</w:t>
      </w:r>
    </w:p>
    <w:p w14:paraId="0B1E6E02" w14:textId="77777777" w:rsidR="005E253D" w:rsidRPr="00F333C7" w:rsidRDefault="005E253D" w:rsidP="005E253D">
      <w:pPr>
        <w:pStyle w:val="CETBodytext"/>
        <w:ind w:left="360"/>
        <w:rPr>
          <w:rFonts w:eastAsiaTheme="minorEastAsia"/>
          <w:lang w:eastAsia="zh-CN"/>
        </w:rPr>
      </w:pPr>
    </w:p>
    <w:p w14:paraId="2D008AFB" w14:textId="2F781E15" w:rsidR="00623D4F" w:rsidRPr="00623D4F" w:rsidRDefault="006F6EA1" w:rsidP="00623D4F">
      <w:pPr>
        <w:pStyle w:val="CETBodytext"/>
        <w:rPr>
          <w:rFonts w:eastAsiaTheme="minorEastAsia"/>
          <w:lang w:eastAsia="zh-CN"/>
        </w:rPr>
      </w:pPr>
      <w:r>
        <w:rPr>
          <w:rFonts w:eastAsiaTheme="minorEastAsia"/>
          <w:lang w:eastAsia="zh-CN"/>
        </w:rPr>
        <w:t xml:space="preserve">The above process will give a range of </w:t>
      </w:r>
      <w:r w:rsidR="00506D4C">
        <w:rPr>
          <w:rFonts w:eastAsiaTheme="minorEastAsia"/>
          <w:lang w:eastAsia="zh-CN"/>
        </w:rPr>
        <w:t>value where the unknown parameter is expected to lie.</w:t>
      </w:r>
    </w:p>
    <w:p w14:paraId="6CD5C82D" w14:textId="6FFD9002" w:rsidR="00FE5531" w:rsidRDefault="00623CC1" w:rsidP="00FE5531">
      <w:pPr>
        <w:pStyle w:val="CETheadingx"/>
      </w:pPr>
      <w:r>
        <w:t>Minimum acceptable sample size</w:t>
      </w:r>
    </w:p>
    <w:p w14:paraId="4E675286" w14:textId="37EB81E5" w:rsidR="00FE5531" w:rsidRPr="00FE5531" w:rsidRDefault="005C4376" w:rsidP="00FE5531">
      <w:pPr>
        <w:pStyle w:val="CETBodytext"/>
      </w:pPr>
      <w:r>
        <w:t>T</w:t>
      </w:r>
      <w:r w:rsidRPr="005C4376">
        <w:t xml:space="preserve">o determine the sample size appropriate for employing </w:t>
      </w:r>
      <w:r w:rsidR="00DC7322">
        <w:t xml:space="preserve">the </w:t>
      </w:r>
      <w:r w:rsidRPr="005C4376">
        <w:t>MLE</w:t>
      </w:r>
      <w:r w:rsidR="00F333C7">
        <w:t xml:space="preserve"> for distribution fitting</w:t>
      </w:r>
      <w:r w:rsidRPr="005C4376">
        <w:t>, the quality of MLE is assessed</w:t>
      </w:r>
      <w:r w:rsidR="00826E78">
        <w:t xml:space="preserve"> using</w:t>
      </w:r>
      <w:r w:rsidRPr="005C4376">
        <w:t xml:space="preserve"> the Mean Squared Error (MSE).</w:t>
      </w:r>
      <w:r>
        <w:t xml:space="preserve"> </w:t>
      </w:r>
      <w:r w:rsidRPr="005C4376">
        <w:t>The MSE is considered an excellent general-purpose error metric for numerical predictions (Neill and Hashemi, 2018)</w:t>
      </w:r>
      <w:r w:rsidR="00F436A4">
        <w:t xml:space="preserve"> and is widely adopted in the study of MLE</w:t>
      </w:r>
      <w:r w:rsidRPr="005C4376">
        <w:t>. Mathematically, the MSE of the MLE to an unknown parameter</w:t>
      </w:r>
      <w:r w:rsidR="0028447D">
        <w:t xml:space="preserve"> is</w:t>
      </w:r>
      <w:r w:rsidRPr="005C4376">
        <w:t xml:space="preserve"> defined as</w:t>
      </w:r>
      <w:r w:rsidR="000E5575">
        <w:t xml:space="preserve"> the addition of the variance and bias squared</w:t>
      </w:r>
      <w:r w:rsidRPr="005C4376">
        <w:t>:</w:t>
      </w:r>
    </w:p>
    <w:tbl>
      <w:tblPr>
        <w:tblW w:w="5000" w:type="pct"/>
        <w:tblLook w:val="04A0" w:firstRow="1" w:lastRow="0" w:firstColumn="1" w:lastColumn="0" w:noHBand="0" w:noVBand="1"/>
      </w:tblPr>
      <w:tblGrid>
        <w:gridCol w:w="7983"/>
        <w:gridCol w:w="804"/>
      </w:tblGrid>
      <w:tr w:rsidR="005040CA" w:rsidRPr="00B57B36" w14:paraId="5F2BC782" w14:textId="77777777" w:rsidTr="00183BE5">
        <w:tc>
          <w:tcPr>
            <w:tcW w:w="8188" w:type="dxa"/>
            <w:shd w:val="clear" w:color="auto" w:fill="auto"/>
            <w:vAlign w:val="center"/>
          </w:tcPr>
          <w:p w14:paraId="043A6D23" w14:textId="6BB5B501" w:rsidR="005040CA" w:rsidRPr="00FE5E35" w:rsidRDefault="005040CA" w:rsidP="00183BE5">
            <w:pPr>
              <w:pStyle w:val="CETEquation"/>
              <w:rPr>
                <w:rFonts w:eastAsiaTheme="minorEastAsia"/>
                <w:lang w:eastAsia="zh-CN"/>
              </w:rPr>
            </w:pPr>
            <m:oMathPara>
              <m:oMathParaPr>
                <m:jc m:val="left"/>
              </m:oMathParaPr>
              <m:oMath>
                <m:r>
                  <m:rPr>
                    <m:sty m:val="p"/>
                  </m:rPr>
                  <w:rPr>
                    <w:rFonts w:ascii="Cambria Math" w:hAnsi="Cambria Math"/>
                  </w:rPr>
                  <m:t>MSE</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m:t>
                </m:r>
                <m:r>
                  <m:rPr>
                    <m:sty m:val="p"/>
                  </m:rPr>
                  <w:rPr>
                    <w:rFonts w:ascii="Cambria Math" w:hAnsi="Cambria Math"/>
                  </w:rPr>
                  <m:t>Variance</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m:t>
                </m:r>
                <m:sSup>
                  <m:sSupPr>
                    <m:ctrlPr>
                      <w:rPr>
                        <w:rFonts w:ascii="Cambria Math" w:hAnsi="Cambria Math"/>
                        <w:i/>
                      </w:rPr>
                    </m:ctrlPr>
                  </m:sSupPr>
                  <m:e>
                    <m:r>
                      <m:rPr>
                        <m:sty m:val="p"/>
                      </m:rPr>
                      <w:rPr>
                        <w:rFonts w:ascii="Cambria Math" w:hAnsi="Cambria Math"/>
                      </w:rPr>
                      <m:t>Bias</m:t>
                    </m:r>
                  </m:e>
                  <m:sup>
                    <m:r>
                      <w:rPr>
                        <w:rFonts w:ascii="Cambria Math" w:hAnsi="Cambria Math"/>
                      </w:rPr>
                      <m:t>2</m:t>
                    </m:r>
                  </m:sup>
                </m:sSup>
                <m:d>
                  <m:dPr>
                    <m:ctrlPr>
                      <w:rPr>
                        <w:rFonts w:ascii="Cambria Math" w:hAnsi="Cambria Math"/>
                        <w:i/>
                      </w:rPr>
                    </m:ctrlPr>
                  </m:dPr>
                  <m:e>
                    <m:acc>
                      <m:accPr>
                        <m:ctrlPr>
                          <w:rPr>
                            <w:rFonts w:ascii="Cambria Math" w:hAnsi="Cambria Math"/>
                            <w:i/>
                          </w:rPr>
                        </m:ctrlPr>
                      </m:accPr>
                      <m:e>
                        <m:r>
                          <w:rPr>
                            <w:rFonts w:ascii="Cambria Math" w:hAnsi="Cambria Math"/>
                          </w:rPr>
                          <m:t>θ</m:t>
                        </m:r>
                      </m:e>
                    </m:acc>
                    <m:r>
                      <w:rPr>
                        <w:rFonts w:ascii="Cambria Math" w:hAnsi="Cambria Math"/>
                      </w:rPr>
                      <m:t>,θ</m:t>
                    </m:r>
                  </m:e>
                </m:d>
              </m:oMath>
            </m:oMathPara>
          </w:p>
        </w:tc>
        <w:tc>
          <w:tcPr>
            <w:tcW w:w="815" w:type="dxa"/>
            <w:shd w:val="clear" w:color="auto" w:fill="auto"/>
            <w:vAlign w:val="center"/>
          </w:tcPr>
          <w:p w14:paraId="50797935" w14:textId="4B230AE5" w:rsidR="005040CA" w:rsidRPr="00B57B36" w:rsidRDefault="005040CA" w:rsidP="00183BE5">
            <w:pPr>
              <w:pStyle w:val="CETEquation"/>
              <w:jc w:val="right"/>
            </w:pPr>
            <w:r w:rsidRPr="00B57B36">
              <w:t>(</w:t>
            </w:r>
            <w:r>
              <w:t>4</w:t>
            </w:r>
            <w:r w:rsidRPr="00B57B36">
              <w:t>)</w:t>
            </w:r>
          </w:p>
        </w:tc>
      </w:tr>
    </w:tbl>
    <w:p w14:paraId="6BC629FF" w14:textId="56B4722C" w:rsidR="00FE5531" w:rsidRPr="00DC7322" w:rsidRDefault="00DC7322" w:rsidP="00FE5531">
      <w:pPr>
        <w:pStyle w:val="CETBodytext"/>
        <w:rPr>
          <w:rFonts w:eastAsiaTheme="minorEastAsia"/>
          <w:lang w:eastAsia="zh-CN"/>
        </w:rPr>
      </w:pPr>
      <w:r>
        <w:rPr>
          <w:rFonts w:eastAsiaTheme="minorEastAsia"/>
          <w:lang w:eastAsia="zh-CN"/>
        </w:rPr>
        <w:t xml:space="preserve">where </w:t>
      </w:r>
      <m:oMath>
        <m:r>
          <w:rPr>
            <w:rFonts w:ascii="Cambria Math" w:hAnsi="Cambria Math"/>
          </w:rPr>
          <m:t>θ</m:t>
        </m:r>
      </m:oMath>
      <w:r w:rsidR="00B25A4E">
        <w:rPr>
          <w:rFonts w:eastAsiaTheme="minorEastAsia" w:hint="eastAsia"/>
          <w:lang w:eastAsia="zh-CN"/>
        </w:rPr>
        <w:t xml:space="preserve"> </w:t>
      </w:r>
      <w:r w:rsidR="00B25A4E">
        <w:rPr>
          <w:rFonts w:eastAsiaTheme="minorEastAsia"/>
          <w:lang w:eastAsia="zh-CN"/>
        </w:rPr>
        <w:t>is the unknown parameter and the superscript</w:t>
      </w:r>
      <w:r w:rsidR="002D2D54">
        <w:rPr>
          <w:rFonts w:eastAsiaTheme="minorEastAsia"/>
          <w:lang w:eastAsia="zh-CN"/>
        </w:rPr>
        <w:t xml:space="preserve"> </w:t>
      </w:r>
      <m:oMath>
        <m:acc>
          <m:accPr>
            <m:ctrlPr>
              <w:rPr>
                <w:rFonts w:ascii="Cambria Math" w:hAnsi="Cambria Math"/>
                <w:i/>
              </w:rPr>
            </m:ctrlPr>
          </m:accPr>
          <m:e>
            <m:r>
              <w:rPr>
                <w:rFonts w:ascii="Cambria Math" w:hAnsi="Cambria Math"/>
              </w:rPr>
              <m:t xml:space="preserve"> </m:t>
            </m:r>
          </m:e>
        </m:acc>
      </m:oMath>
      <w:r w:rsidR="00B25A4E">
        <w:rPr>
          <w:rFonts w:eastAsiaTheme="minorEastAsia"/>
          <w:lang w:eastAsia="zh-CN"/>
        </w:rPr>
        <w:t xml:space="preserve"> denotes the MLE to </w:t>
      </w:r>
      <m:oMath>
        <m:r>
          <w:rPr>
            <w:rFonts w:ascii="Cambria Math" w:hAnsi="Cambria Math"/>
          </w:rPr>
          <m:t>θ</m:t>
        </m:r>
      </m:oMath>
      <w:r w:rsidR="00B25A4E">
        <w:rPr>
          <w:rFonts w:eastAsiaTheme="minorEastAsia" w:hint="eastAsia"/>
          <w:lang w:eastAsia="zh-CN"/>
        </w:rPr>
        <w:t>.</w:t>
      </w:r>
    </w:p>
    <w:p w14:paraId="2ED9F1FA" w14:textId="052F66B6" w:rsidR="00A94414" w:rsidRDefault="00A94414" w:rsidP="00A94414">
      <w:pPr>
        <w:pStyle w:val="CETBodytext"/>
      </w:pPr>
    </w:p>
    <w:p w14:paraId="34BDCF48" w14:textId="021D263C" w:rsidR="003E038C" w:rsidRDefault="00682465" w:rsidP="00A94414">
      <w:pPr>
        <w:pStyle w:val="CETBodytext"/>
        <w:rPr>
          <w:rFonts w:ascii="宋体" w:eastAsia="宋体" w:hAnsi="宋体" w:cs="宋体"/>
        </w:rPr>
      </w:pPr>
      <w:r>
        <w:t>I</w:t>
      </w:r>
      <w:r w:rsidR="005E253D" w:rsidRPr="005E253D">
        <w:t>n general, an estimator that ha</w:t>
      </w:r>
      <w:r w:rsidR="00430CD3">
        <w:t>s</w:t>
      </w:r>
      <w:r w:rsidR="005E253D" w:rsidRPr="005E253D">
        <w:t xml:space="preserve"> </w:t>
      </w:r>
      <w:r w:rsidR="0027591D">
        <w:t xml:space="preserve">an </w:t>
      </w:r>
      <w:r w:rsidR="005E253D" w:rsidRPr="005E253D">
        <w:t xml:space="preserve">MSE close to zero is considered of high quality. </w:t>
      </w:r>
      <w:r w:rsidR="00A34EAF" w:rsidRPr="005E253D">
        <w:t>Regarding</w:t>
      </w:r>
      <w:r w:rsidR="005E253D" w:rsidRPr="005E253D">
        <w:t xml:space="preserve"> the present study, </w:t>
      </w:r>
      <w:r w:rsidR="009B2EA5">
        <w:t>s</w:t>
      </w:r>
      <w:r w:rsidR="005E253D" w:rsidRPr="005E253D">
        <w:t>imulation tests</w:t>
      </w:r>
      <w:r w:rsidR="00E83D11">
        <w:t xml:space="preserve"> are performed</w:t>
      </w:r>
      <w:r w:rsidR="005E253D" w:rsidRPr="005E253D">
        <w:t xml:space="preserve"> to investigate the quality of MLE based on computing the MSEs for different sample sizes. The tests </w:t>
      </w:r>
      <w:r w:rsidR="004F08D0">
        <w:t>involve:</w:t>
      </w:r>
    </w:p>
    <w:p w14:paraId="62D49471" w14:textId="77777777" w:rsidR="004F08D0" w:rsidRDefault="004F08D0" w:rsidP="00A94414">
      <w:pPr>
        <w:pStyle w:val="CETBodytext"/>
      </w:pPr>
    </w:p>
    <w:p w14:paraId="316D20AA" w14:textId="61468930" w:rsidR="003E038C" w:rsidRDefault="003E038C" w:rsidP="003E038C">
      <w:pPr>
        <w:pStyle w:val="CETBodytext"/>
        <w:numPr>
          <w:ilvl w:val="0"/>
          <w:numId w:val="24"/>
        </w:numPr>
      </w:pPr>
      <w:r w:rsidRPr="003E038C">
        <w:t>for a given sample size,</w:t>
      </w:r>
      <w:r w:rsidR="001C1F5A">
        <w:t xml:space="preserve"> </w:t>
      </w:r>
      <w:r w:rsidRPr="003E038C">
        <w:t xml:space="preserve">calculating the corresponding MLE using data randomly sampled from </w:t>
      </w:r>
      <w:r w:rsidR="004D0C01">
        <w:t>a</w:t>
      </w:r>
      <w:r w:rsidRPr="003E038C">
        <w:t xml:space="preserve"> Weibull </w:t>
      </w:r>
      <w:proofErr w:type="gramStart"/>
      <w:r w:rsidRPr="003E038C">
        <w:t>distribution</w:t>
      </w:r>
      <w:r w:rsidR="001A34EE">
        <w:t>;</w:t>
      </w:r>
      <w:proofErr w:type="gramEnd"/>
    </w:p>
    <w:p w14:paraId="4F322F18" w14:textId="257A0C74" w:rsidR="004F08D0" w:rsidRDefault="004F08D0" w:rsidP="003E038C">
      <w:pPr>
        <w:pStyle w:val="CETBodytext"/>
        <w:numPr>
          <w:ilvl w:val="0"/>
          <w:numId w:val="24"/>
        </w:numPr>
      </w:pPr>
      <w:r w:rsidRPr="004F08D0">
        <w:t xml:space="preserve">repeating step 2) for </w:t>
      </w:r>
      <w:proofErr w:type="gramStart"/>
      <w:r w:rsidRPr="004F08D0">
        <w:t>a large number of</w:t>
      </w:r>
      <w:proofErr w:type="gramEnd"/>
      <w:r w:rsidRPr="004F08D0">
        <w:t xml:space="preserve"> times and computing the corresponding MSE.</w:t>
      </w:r>
    </w:p>
    <w:p w14:paraId="39FDDB65" w14:textId="4C9C5CB5" w:rsidR="005E253D" w:rsidRDefault="00297003" w:rsidP="005E253D">
      <w:pPr>
        <w:pStyle w:val="CETHeading1"/>
      </w:pPr>
      <w:r>
        <w:t>Results and discussion</w:t>
      </w:r>
    </w:p>
    <w:p w14:paraId="12F9AA97" w14:textId="77777777" w:rsidR="00AF59FD" w:rsidRDefault="00AF59FD" w:rsidP="00AF59FD">
      <w:pPr>
        <w:pStyle w:val="CETheadingx"/>
      </w:pPr>
      <w:r>
        <w:t>Minimum acceptable sample size</w:t>
      </w:r>
    </w:p>
    <w:p w14:paraId="32836409" w14:textId="09EB3C90" w:rsidR="00330199" w:rsidRDefault="00330199" w:rsidP="00330199">
      <w:pPr>
        <w:pStyle w:val="CETBodytext"/>
      </w:pPr>
      <w:r>
        <w:t>To</w:t>
      </w:r>
      <w:r w:rsidRPr="00330199">
        <w:t xml:space="preserve"> investigate the quality of MLE based on the sample size for </w:t>
      </w:r>
      <w:r w:rsidR="0073461E">
        <w:t>the scale and shape</w:t>
      </w:r>
      <w:r w:rsidRPr="00330199">
        <w:t xml:space="preserve"> parameter</w:t>
      </w:r>
      <w:r w:rsidR="00823638">
        <w:t>s</w:t>
      </w:r>
      <w:r w:rsidRPr="00330199">
        <w:t xml:space="preserve"> </w:t>
      </w:r>
      <w:r w:rsidR="0073461E">
        <w:t>of</w:t>
      </w:r>
      <w:r w:rsidRPr="00330199">
        <w:t xml:space="preserve"> Weibull distribution, </w:t>
      </w:r>
      <w:r w:rsidR="003C524E">
        <w:t>two</w:t>
      </w:r>
      <w:r w:rsidRPr="00330199">
        <w:t xml:space="preserve"> simulation tests as described in Section 2.4 are performed. The </w:t>
      </w:r>
      <w:r w:rsidR="00F42238">
        <w:t>selected</w:t>
      </w:r>
      <w:r w:rsidR="00F42238" w:rsidRPr="00330199">
        <w:t xml:space="preserve"> </w:t>
      </w:r>
      <w:r w:rsidRPr="00330199">
        <w:t xml:space="preserve">values of the parameters for the simulation tests are </w:t>
      </w:r>
      <w:proofErr w:type="spellStart"/>
      <w:r w:rsidRPr="00330199">
        <w:t>summarised</w:t>
      </w:r>
      <w:proofErr w:type="spellEnd"/>
      <w:r w:rsidRPr="00330199">
        <w:t xml:space="preserve"> in </w:t>
      </w:r>
      <w:r w:rsidR="00803AE2">
        <w:t>T</w:t>
      </w:r>
      <w:r w:rsidRPr="00330199">
        <w:t>able 1.</w:t>
      </w:r>
      <w:r w:rsidR="00A97932">
        <w:t xml:space="preserve"> For each parameter, three different values are tested.</w:t>
      </w:r>
      <w:r w:rsidRPr="00330199">
        <w:t xml:space="preserve"> </w:t>
      </w:r>
      <w:r w:rsidR="00D34526">
        <w:t>The tested sample sizes are 10, 20, 30, …, 100, 200, …, 500.</w:t>
      </w:r>
    </w:p>
    <w:p w14:paraId="17A3CBA6" w14:textId="08003156" w:rsidR="00DA3F53" w:rsidRPr="00B57B36" w:rsidRDefault="00DA3F53" w:rsidP="00DA3F53">
      <w:pPr>
        <w:pStyle w:val="CETTabletitle"/>
      </w:pPr>
      <w:r w:rsidRPr="00B57B36">
        <w:t xml:space="preserve">Table 1: </w:t>
      </w:r>
      <w:r w:rsidR="00A94F47" w:rsidRPr="00A94F47">
        <w:t xml:space="preserve">The </w:t>
      </w:r>
      <w:r w:rsidR="00A34EAF">
        <w:t>selected</w:t>
      </w:r>
      <w:r w:rsidR="00A34EAF" w:rsidRPr="00A94F47">
        <w:t xml:space="preserve"> </w:t>
      </w:r>
      <w:r w:rsidR="00A94F47" w:rsidRPr="00A94F47">
        <w:t xml:space="preserve">values of the Weibull </w:t>
      </w:r>
      <w:r w:rsidR="00551EDB">
        <w:t xml:space="preserve">scale and shape </w:t>
      </w:r>
      <w:r w:rsidR="00A94F47" w:rsidRPr="00A94F47">
        <w:t xml:space="preserve">parameters being used in the </w:t>
      </w:r>
      <w:r w:rsidR="00551EDB">
        <w:t>two</w:t>
      </w:r>
      <w:r w:rsidR="00A94F47" w:rsidRPr="00A94F47">
        <w:t xml:space="preserve"> simulation tests for investigating the quality of MLE based on the sample size.</w:t>
      </w:r>
    </w:p>
    <w:tbl>
      <w:tblPr>
        <w:tblW w:w="680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2410"/>
        <w:gridCol w:w="2268"/>
        <w:gridCol w:w="992"/>
      </w:tblGrid>
      <w:tr w:rsidR="00DA3F53" w:rsidRPr="00B57B36" w14:paraId="322DCE1B" w14:textId="77777777" w:rsidTr="00B27B3E">
        <w:tc>
          <w:tcPr>
            <w:tcW w:w="1134" w:type="dxa"/>
            <w:tcBorders>
              <w:top w:val="single" w:sz="12" w:space="0" w:color="008000"/>
              <w:bottom w:val="single" w:sz="6" w:space="0" w:color="008000"/>
            </w:tcBorders>
            <w:shd w:val="clear" w:color="auto" w:fill="FFFFFF"/>
          </w:tcPr>
          <w:p w14:paraId="01C86DC2" w14:textId="1E5B848E" w:rsidR="00DA3F53" w:rsidRPr="00551D21" w:rsidRDefault="00DA3F53" w:rsidP="00B27B3E">
            <w:pPr>
              <w:pStyle w:val="CETBodytext"/>
              <w:jc w:val="left"/>
              <w:rPr>
                <w:b/>
                <w:bCs/>
                <w:lang w:val="en-GB"/>
              </w:rPr>
            </w:pPr>
            <w:r w:rsidRPr="00551D21">
              <w:rPr>
                <w:b/>
                <w:bCs/>
                <w:lang w:val="en-GB"/>
              </w:rPr>
              <w:t>Test no.</w:t>
            </w:r>
          </w:p>
        </w:tc>
        <w:tc>
          <w:tcPr>
            <w:tcW w:w="2410" w:type="dxa"/>
            <w:tcBorders>
              <w:top w:val="single" w:sz="12" w:space="0" w:color="008000"/>
              <w:bottom w:val="single" w:sz="6" w:space="0" w:color="008000"/>
            </w:tcBorders>
            <w:shd w:val="clear" w:color="auto" w:fill="FFFFFF"/>
          </w:tcPr>
          <w:p w14:paraId="012765C6" w14:textId="42998970" w:rsidR="00DA3F53" w:rsidRPr="00551D21" w:rsidRDefault="00DA3F53" w:rsidP="00B27B3E">
            <w:pPr>
              <w:pStyle w:val="CETBodytext"/>
              <w:jc w:val="left"/>
              <w:rPr>
                <w:b/>
                <w:bCs/>
                <w:lang w:val="en-GB"/>
              </w:rPr>
            </w:pPr>
            <w:r w:rsidRPr="00551D21">
              <w:rPr>
                <w:b/>
                <w:bCs/>
                <w:lang w:val="en-GB"/>
              </w:rPr>
              <w:t>Tested parameters</w:t>
            </w:r>
          </w:p>
        </w:tc>
        <w:tc>
          <w:tcPr>
            <w:tcW w:w="3260" w:type="dxa"/>
            <w:gridSpan w:val="2"/>
            <w:tcBorders>
              <w:top w:val="single" w:sz="12" w:space="0" w:color="008000"/>
              <w:bottom w:val="single" w:sz="6" w:space="0" w:color="008000"/>
            </w:tcBorders>
            <w:shd w:val="clear" w:color="auto" w:fill="FFFFFF"/>
          </w:tcPr>
          <w:p w14:paraId="1DEBF980" w14:textId="73621631" w:rsidR="00DA3F53" w:rsidRPr="00551D21" w:rsidRDefault="00DA3F53" w:rsidP="00B27B3E">
            <w:pPr>
              <w:pStyle w:val="CETBodytext"/>
              <w:ind w:right="-1"/>
              <w:jc w:val="left"/>
              <w:rPr>
                <w:rFonts w:cs="Arial"/>
                <w:b/>
                <w:bCs/>
                <w:szCs w:val="18"/>
                <w:lang w:val="en-GB"/>
              </w:rPr>
            </w:pPr>
            <w:r w:rsidRPr="00551D21">
              <w:rPr>
                <w:b/>
                <w:bCs/>
                <w:lang w:val="en-GB"/>
              </w:rPr>
              <w:t>Value</w:t>
            </w:r>
          </w:p>
        </w:tc>
      </w:tr>
      <w:tr w:rsidR="00DA3F53" w:rsidRPr="00B57B36" w14:paraId="75105078" w14:textId="77777777" w:rsidTr="00B27B3E">
        <w:tc>
          <w:tcPr>
            <w:tcW w:w="1134" w:type="dxa"/>
            <w:shd w:val="clear" w:color="auto" w:fill="FFFFFF"/>
          </w:tcPr>
          <w:p w14:paraId="2248C17F" w14:textId="63C20A86" w:rsidR="00DA3F53" w:rsidRPr="00B57B36" w:rsidRDefault="00DA3F53" w:rsidP="00B27B3E">
            <w:pPr>
              <w:pStyle w:val="CETBodytext"/>
              <w:jc w:val="left"/>
              <w:rPr>
                <w:lang w:val="en-GB"/>
              </w:rPr>
            </w:pPr>
            <w:r>
              <w:rPr>
                <w:lang w:val="en-GB"/>
              </w:rPr>
              <w:t>1</w:t>
            </w:r>
          </w:p>
        </w:tc>
        <w:tc>
          <w:tcPr>
            <w:tcW w:w="2410" w:type="dxa"/>
            <w:shd w:val="clear" w:color="auto" w:fill="FFFFFF"/>
          </w:tcPr>
          <w:p w14:paraId="5C33E264" w14:textId="312B9FB9" w:rsidR="00DA3F53" w:rsidRPr="00DA3F53" w:rsidRDefault="00DA3F53" w:rsidP="00B27B3E">
            <w:pPr>
              <w:pStyle w:val="CETBodytext"/>
              <w:jc w:val="left"/>
              <w:rPr>
                <w:rFonts w:eastAsiaTheme="minorEastAsia"/>
                <w:lang w:val="en-GB" w:eastAsia="zh-CN"/>
              </w:rPr>
            </w:pPr>
            <w:r>
              <w:rPr>
                <w:rFonts w:eastAsiaTheme="minorEastAsia" w:hint="eastAsia"/>
                <w:lang w:val="en-GB" w:eastAsia="zh-CN"/>
              </w:rPr>
              <w:t>S</w:t>
            </w:r>
            <w:r>
              <w:rPr>
                <w:rFonts w:eastAsiaTheme="minorEastAsia"/>
                <w:lang w:val="en-GB" w:eastAsia="zh-CN"/>
              </w:rPr>
              <w:t>cale parameter</w:t>
            </w:r>
            <w:r w:rsidR="00D8633E">
              <w:rPr>
                <w:rFonts w:eastAsiaTheme="minorEastAsia"/>
                <w:lang w:val="en-GB" w:eastAsia="zh-CN"/>
              </w:rPr>
              <w:t xml:space="preserve">, </w:t>
            </w:r>
            <m:oMath>
              <m:r>
                <w:rPr>
                  <w:rFonts w:ascii="Cambria Math" w:hAnsi="Cambria Math"/>
                </w:rPr>
                <m:t>α</m:t>
              </m:r>
            </m:oMath>
          </w:p>
        </w:tc>
        <w:tc>
          <w:tcPr>
            <w:tcW w:w="2268" w:type="dxa"/>
            <w:shd w:val="clear" w:color="auto" w:fill="FFFFFF"/>
          </w:tcPr>
          <w:p w14:paraId="4D80EFD4" w14:textId="7CB1EC68" w:rsidR="00DA3F53" w:rsidRPr="00D8633E" w:rsidRDefault="00D8633E" w:rsidP="00B27B3E">
            <w:pPr>
              <w:pStyle w:val="CETBodytext"/>
              <w:jc w:val="left"/>
              <w:rPr>
                <w:rFonts w:eastAsiaTheme="minorEastAsia"/>
                <w:lang w:val="en-GB" w:eastAsia="zh-CN"/>
              </w:rPr>
            </w:pPr>
            <m:oMath>
              <m:r>
                <w:rPr>
                  <w:rFonts w:ascii="Cambria Math" w:hAnsi="Cambria Math"/>
                </w:rPr>
                <m:t>α</m:t>
              </m:r>
            </m:oMath>
            <w:r>
              <w:rPr>
                <w:rFonts w:eastAsiaTheme="minorEastAsia" w:hint="eastAsia"/>
                <w:lang w:eastAsia="zh-CN"/>
              </w:rPr>
              <w:t>=</w:t>
            </w:r>
            <w:r>
              <w:rPr>
                <w:rFonts w:eastAsiaTheme="minorEastAsia"/>
                <w:lang w:eastAsia="zh-CN"/>
              </w:rPr>
              <w:t>1, 1.5, 2</w:t>
            </w:r>
          </w:p>
        </w:tc>
        <w:tc>
          <w:tcPr>
            <w:tcW w:w="992" w:type="dxa"/>
            <w:shd w:val="clear" w:color="auto" w:fill="FFFFFF"/>
          </w:tcPr>
          <w:p w14:paraId="667D83E9" w14:textId="667610B7" w:rsidR="00DA3F53" w:rsidRPr="00AD6E56" w:rsidRDefault="00AD6E56" w:rsidP="00B27B3E">
            <w:pPr>
              <w:pStyle w:val="CETBodytext"/>
              <w:ind w:right="-1"/>
              <w:jc w:val="left"/>
              <w:rPr>
                <w:rFonts w:eastAsiaTheme="minorEastAsia" w:cs="Arial"/>
                <w:szCs w:val="18"/>
                <w:lang w:val="en-GB" w:eastAsia="zh-CN"/>
              </w:rPr>
            </w:pPr>
            <m:oMath>
              <m:r>
                <w:rPr>
                  <w:rFonts w:ascii="Cambria Math" w:hAnsi="Cambria Math"/>
                </w:rPr>
                <m:t>β</m:t>
              </m:r>
            </m:oMath>
            <w:r>
              <w:rPr>
                <w:rFonts w:eastAsiaTheme="minorEastAsia" w:cs="Arial" w:hint="eastAsia"/>
                <w:lang w:eastAsia="zh-CN"/>
              </w:rPr>
              <w:t>=</w:t>
            </w:r>
            <w:r>
              <w:rPr>
                <w:rFonts w:eastAsiaTheme="minorEastAsia" w:cs="Arial"/>
                <w:lang w:eastAsia="zh-CN"/>
              </w:rPr>
              <w:t>2</w:t>
            </w:r>
          </w:p>
        </w:tc>
      </w:tr>
      <w:tr w:rsidR="00DA3F53" w:rsidRPr="00B57B36" w14:paraId="5C04D99D" w14:textId="77777777" w:rsidTr="00B27B3E">
        <w:tc>
          <w:tcPr>
            <w:tcW w:w="1134" w:type="dxa"/>
            <w:shd w:val="clear" w:color="auto" w:fill="FFFFFF"/>
          </w:tcPr>
          <w:p w14:paraId="0DEC0DE6" w14:textId="261AA0EE" w:rsidR="00DA3F53" w:rsidRPr="00DA3F53" w:rsidRDefault="00DA3F53" w:rsidP="00B27B3E">
            <w:pPr>
              <w:pStyle w:val="CETBodytext"/>
              <w:ind w:right="-1"/>
              <w:jc w:val="left"/>
              <w:rPr>
                <w:rFonts w:eastAsiaTheme="minorEastAsia" w:cs="Arial"/>
                <w:szCs w:val="18"/>
                <w:lang w:val="en-GB" w:eastAsia="zh-CN"/>
              </w:rPr>
            </w:pPr>
            <w:r>
              <w:rPr>
                <w:rFonts w:eastAsiaTheme="minorEastAsia" w:cs="Arial" w:hint="eastAsia"/>
                <w:szCs w:val="18"/>
                <w:lang w:val="en-GB" w:eastAsia="zh-CN"/>
              </w:rPr>
              <w:t>2</w:t>
            </w:r>
          </w:p>
        </w:tc>
        <w:tc>
          <w:tcPr>
            <w:tcW w:w="2410" w:type="dxa"/>
            <w:shd w:val="clear" w:color="auto" w:fill="FFFFFF"/>
          </w:tcPr>
          <w:p w14:paraId="33DDDF3C" w14:textId="11755C13" w:rsidR="00DA3F53" w:rsidRPr="00DA3F53" w:rsidRDefault="00DA3F53" w:rsidP="00B27B3E">
            <w:pPr>
              <w:pStyle w:val="CETBodytext"/>
              <w:ind w:right="-1"/>
              <w:jc w:val="left"/>
              <w:rPr>
                <w:rFonts w:eastAsiaTheme="minorEastAsia" w:cs="Arial"/>
                <w:szCs w:val="18"/>
                <w:lang w:val="en-GB" w:eastAsia="zh-CN"/>
              </w:rPr>
            </w:pPr>
            <w:r>
              <w:rPr>
                <w:rFonts w:eastAsiaTheme="minorEastAsia" w:cs="Arial" w:hint="eastAsia"/>
                <w:szCs w:val="18"/>
                <w:lang w:val="en-GB" w:eastAsia="zh-CN"/>
              </w:rPr>
              <w:t>S</w:t>
            </w:r>
            <w:r>
              <w:rPr>
                <w:rFonts w:eastAsiaTheme="minorEastAsia" w:cs="Arial"/>
                <w:szCs w:val="18"/>
                <w:lang w:val="en-GB" w:eastAsia="zh-CN"/>
              </w:rPr>
              <w:t>hape parameter</w:t>
            </w:r>
            <w:r w:rsidR="00AD6E56">
              <w:rPr>
                <w:rFonts w:eastAsiaTheme="minorEastAsia" w:cs="Arial"/>
                <w:szCs w:val="18"/>
                <w:lang w:val="en-GB" w:eastAsia="zh-CN"/>
              </w:rPr>
              <w:t xml:space="preserve">, </w:t>
            </w:r>
            <m:oMath>
              <m:r>
                <w:rPr>
                  <w:rFonts w:ascii="Cambria Math" w:hAnsi="Cambria Math"/>
                </w:rPr>
                <m:t>β</m:t>
              </m:r>
            </m:oMath>
          </w:p>
        </w:tc>
        <w:tc>
          <w:tcPr>
            <w:tcW w:w="2268" w:type="dxa"/>
            <w:shd w:val="clear" w:color="auto" w:fill="FFFFFF"/>
          </w:tcPr>
          <w:p w14:paraId="61C9E0DA" w14:textId="22DCCCC6" w:rsidR="00DA3F53" w:rsidRPr="00AD6E56" w:rsidRDefault="00AD6E56" w:rsidP="00B27B3E">
            <w:pPr>
              <w:pStyle w:val="CETBodytext"/>
              <w:ind w:right="-1"/>
              <w:jc w:val="left"/>
              <w:rPr>
                <w:rFonts w:eastAsiaTheme="minorEastAsia" w:cs="Arial"/>
                <w:szCs w:val="18"/>
                <w:lang w:val="en-GB" w:eastAsia="zh-CN"/>
              </w:rPr>
            </w:pPr>
            <m:oMath>
              <m:r>
                <w:rPr>
                  <w:rFonts w:ascii="Cambria Math" w:hAnsi="Cambria Math"/>
                </w:rPr>
                <m:t>β</m:t>
              </m:r>
            </m:oMath>
            <w:r>
              <w:rPr>
                <w:rFonts w:eastAsiaTheme="minorEastAsia" w:cs="Arial" w:hint="eastAsia"/>
                <w:lang w:eastAsia="zh-CN"/>
              </w:rPr>
              <w:t>=</w:t>
            </w:r>
            <w:r>
              <w:rPr>
                <w:rFonts w:eastAsiaTheme="minorEastAsia" w:cs="Arial"/>
                <w:lang w:eastAsia="zh-CN"/>
              </w:rPr>
              <w:t>1.5, 2, 2.5</w:t>
            </w:r>
          </w:p>
        </w:tc>
        <w:tc>
          <w:tcPr>
            <w:tcW w:w="992" w:type="dxa"/>
            <w:shd w:val="clear" w:color="auto" w:fill="FFFFFF"/>
          </w:tcPr>
          <w:p w14:paraId="18C40628" w14:textId="5F87680C" w:rsidR="00DA3F53" w:rsidRPr="00AD6E56" w:rsidRDefault="00AD6E56" w:rsidP="00B27B3E">
            <w:pPr>
              <w:pStyle w:val="CETBodytext"/>
              <w:ind w:right="-1"/>
              <w:jc w:val="left"/>
              <w:rPr>
                <w:rFonts w:eastAsiaTheme="minorEastAsia" w:cs="Arial"/>
                <w:szCs w:val="18"/>
                <w:lang w:val="en-GB" w:eastAsia="zh-CN"/>
              </w:rPr>
            </w:pPr>
            <m:oMath>
              <m:r>
                <w:rPr>
                  <w:rFonts w:ascii="Cambria Math" w:hAnsi="Cambria Math"/>
                </w:rPr>
                <m:t>α</m:t>
              </m:r>
            </m:oMath>
            <w:r>
              <w:rPr>
                <w:rFonts w:eastAsiaTheme="minorEastAsia" w:cs="Arial" w:hint="eastAsia"/>
                <w:lang w:eastAsia="zh-CN"/>
              </w:rPr>
              <w:t>=</w:t>
            </w:r>
            <w:r>
              <w:rPr>
                <w:rFonts w:eastAsiaTheme="minorEastAsia" w:cs="Arial"/>
                <w:lang w:eastAsia="zh-CN"/>
              </w:rPr>
              <w:t>1</w:t>
            </w:r>
          </w:p>
        </w:tc>
      </w:tr>
    </w:tbl>
    <w:p w14:paraId="2702CB97" w14:textId="558299D1" w:rsidR="00D34526" w:rsidRDefault="00D34526" w:rsidP="00330199">
      <w:pPr>
        <w:pStyle w:val="CETBodytext"/>
        <w:rPr>
          <w:rFonts w:eastAsiaTheme="minorEastAsia"/>
          <w:lang w:eastAsia="zh-CN"/>
        </w:rPr>
      </w:pPr>
    </w:p>
    <w:p w14:paraId="398C4E03" w14:textId="2C598152" w:rsidR="00D34526" w:rsidRPr="00D34526" w:rsidRDefault="00D34526" w:rsidP="00D34526">
      <w:pPr>
        <w:pStyle w:val="CETBodytext"/>
        <w:rPr>
          <w:rFonts w:eastAsiaTheme="minorEastAsia"/>
          <w:lang w:eastAsia="zh-CN"/>
        </w:rPr>
      </w:pPr>
      <w:r>
        <w:rPr>
          <w:rFonts w:eastAsiaTheme="minorEastAsia" w:hint="eastAsia"/>
          <w:lang w:eastAsia="zh-CN"/>
        </w:rPr>
        <w:t>F</w:t>
      </w:r>
      <w:r>
        <w:rPr>
          <w:rFonts w:eastAsiaTheme="minorEastAsia"/>
          <w:lang w:eastAsia="zh-CN"/>
        </w:rPr>
        <w:t xml:space="preserve">igure 1 shows </w:t>
      </w:r>
      <w:r w:rsidRPr="00D34526">
        <w:rPr>
          <w:rFonts w:eastAsiaTheme="minorEastAsia"/>
          <w:lang w:eastAsia="zh-CN"/>
        </w:rPr>
        <w:t xml:space="preserve">the variation of the MSE of the MLE for the Weibull scale (a) and shape (b) parameters as a function of the sample size. As can be observed, </w:t>
      </w:r>
      <w:r w:rsidR="00ED1E42">
        <w:rPr>
          <w:rFonts w:eastAsiaTheme="minorEastAsia"/>
          <w:lang w:eastAsia="zh-CN"/>
        </w:rPr>
        <w:t>for</w:t>
      </w:r>
      <w:r w:rsidRPr="00D34526">
        <w:rPr>
          <w:rFonts w:eastAsiaTheme="minorEastAsia"/>
          <w:lang w:eastAsia="zh-CN"/>
        </w:rPr>
        <w:t xml:space="preserve"> all three </w:t>
      </w:r>
      <w:r w:rsidR="000E3FF5">
        <w:rPr>
          <w:rFonts w:eastAsiaTheme="minorEastAsia"/>
          <w:lang w:eastAsia="zh-CN"/>
        </w:rPr>
        <w:t xml:space="preserve">tested </w:t>
      </w:r>
      <w:r w:rsidR="00D95975">
        <w:rPr>
          <w:rFonts w:eastAsiaTheme="minorEastAsia"/>
          <w:lang w:eastAsia="zh-CN"/>
        </w:rPr>
        <w:t>values</w:t>
      </w:r>
      <w:r w:rsidRPr="00D34526">
        <w:rPr>
          <w:rFonts w:eastAsiaTheme="minorEastAsia"/>
          <w:lang w:eastAsia="zh-CN"/>
        </w:rPr>
        <w:t xml:space="preserve"> for both parameters, the MSE decreases and tends to zero with increased sample size, showing that as the sample size increases, the quality of MLE improves. </w:t>
      </w:r>
    </w:p>
    <w:p w14:paraId="116104C0" w14:textId="77777777" w:rsidR="00D34526" w:rsidRPr="00D34526" w:rsidRDefault="00D34526" w:rsidP="00D34526">
      <w:pPr>
        <w:pStyle w:val="CETBodytext"/>
        <w:rPr>
          <w:rFonts w:eastAsiaTheme="minorEastAsia"/>
          <w:lang w:eastAsia="zh-CN"/>
        </w:rPr>
      </w:pPr>
    </w:p>
    <w:p w14:paraId="2A04B8EC" w14:textId="13AF69F6" w:rsidR="00B27B3E" w:rsidRPr="0004104E" w:rsidRDefault="00C03134" w:rsidP="00D34526">
      <w:pPr>
        <w:pStyle w:val="CETBodytext"/>
        <w:rPr>
          <w:rFonts w:eastAsiaTheme="minorEastAsia"/>
          <w:lang w:eastAsia="zh-CN"/>
        </w:rPr>
      </w:pPr>
      <w:r>
        <w:rPr>
          <w:rFonts w:eastAsiaTheme="minorEastAsia"/>
          <w:lang w:eastAsia="zh-CN"/>
        </w:rPr>
        <w:t xml:space="preserve">As </w:t>
      </w:r>
      <w:r w:rsidR="00A34EAF">
        <w:rPr>
          <w:rFonts w:eastAsiaTheme="minorEastAsia"/>
          <w:lang w:eastAsia="zh-CN"/>
        </w:rPr>
        <w:t xml:space="preserve">it </w:t>
      </w:r>
      <w:r>
        <w:rPr>
          <w:rFonts w:eastAsiaTheme="minorEastAsia"/>
          <w:lang w:eastAsia="zh-CN"/>
        </w:rPr>
        <w:t>may be observed</w:t>
      </w:r>
      <w:r w:rsidR="00D34526" w:rsidRPr="00D34526">
        <w:rPr>
          <w:rFonts w:eastAsiaTheme="minorEastAsia"/>
          <w:lang w:eastAsia="zh-CN"/>
        </w:rPr>
        <w:t xml:space="preserve">, generally three regions for the different stages of the MSE decrease for </w:t>
      </w:r>
      <w:r w:rsidR="000430D7">
        <w:rPr>
          <w:rFonts w:eastAsiaTheme="minorEastAsia"/>
          <w:lang w:eastAsia="zh-CN"/>
        </w:rPr>
        <w:t>both</w:t>
      </w:r>
      <w:r w:rsidR="00D34526" w:rsidRPr="00D34526">
        <w:rPr>
          <w:rFonts w:eastAsiaTheme="minorEastAsia"/>
          <w:lang w:eastAsia="zh-CN"/>
        </w:rPr>
        <w:t xml:space="preserve"> tests</w:t>
      </w:r>
      <w:r w:rsidR="00D208E9">
        <w:rPr>
          <w:rFonts w:eastAsiaTheme="minorEastAsia"/>
          <w:lang w:eastAsia="zh-CN"/>
        </w:rPr>
        <w:t xml:space="preserve"> can be identified</w:t>
      </w:r>
      <w:r w:rsidR="00D34526" w:rsidRPr="00D34526">
        <w:rPr>
          <w:rFonts w:eastAsiaTheme="minorEastAsia"/>
          <w:lang w:eastAsia="zh-CN"/>
        </w:rPr>
        <w:t xml:space="preserve">. First, when the sample size is smaller than 100, the MSE </w:t>
      </w:r>
      <w:r w:rsidR="00056642">
        <w:rPr>
          <w:rFonts w:eastAsiaTheme="minorEastAsia"/>
          <w:lang w:eastAsia="zh-CN"/>
        </w:rPr>
        <w:t>sharply decreases</w:t>
      </w:r>
      <w:r w:rsidR="00D34526" w:rsidRPr="00D34526">
        <w:rPr>
          <w:rFonts w:eastAsiaTheme="minorEastAsia"/>
          <w:lang w:eastAsia="zh-CN"/>
        </w:rPr>
        <w:t xml:space="preserve">. This shows in this </w:t>
      </w:r>
      <w:r w:rsidR="00D34526" w:rsidRPr="00D34526">
        <w:rPr>
          <w:rFonts w:eastAsiaTheme="minorEastAsia"/>
          <w:lang w:eastAsia="zh-CN"/>
        </w:rPr>
        <w:lastRenderedPageBreak/>
        <w:t xml:space="preserve">size range the quality of MLE is highly sensitive to the sample size and therefore the MLE should be used with cautions. Second, at sample size between 100 to 200, the decrease in MSE readily slows down, indicating that using sample with more than 100 observations will substantially improve the quality of the MLE. Third, as the sample size surpasses 200, the decrease in MSE further slows down, meaning that further increasing the sample size provides limited improvement to the quality of MLE. The above suggests that </w:t>
      </w:r>
      <w:r w:rsidR="00080A06">
        <w:rPr>
          <w:rFonts w:eastAsiaTheme="minorEastAsia"/>
          <w:lang w:eastAsia="zh-CN"/>
        </w:rPr>
        <w:t>the minimum acceptable sample size for obtaining a reliable</w:t>
      </w:r>
      <w:r w:rsidR="000925AB">
        <w:rPr>
          <w:rFonts w:eastAsiaTheme="minorEastAsia"/>
          <w:lang w:eastAsia="zh-CN"/>
        </w:rPr>
        <w:t xml:space="preserve"> MLE</w:t>
      </w:r>
      <w:r w:rsidR="00080A06">
        <w:rPr>
          <w:rFonts w:eastAsiaTheme="minorEastAsia"/>
          <w:lang w:eastAsia="zh-CN"/>
        </w:rPr>
        <w:t xml:space="preserve"> is 100</w:t>
      </w:r>
      <w:r w:rsidR="00D34526" w:rsidRPr="00D34526">
        <w:rPr>
          <w:rFonts w:eastAsiaTheme="minorEastAsia"/>
          <w:lang w:eastAsia="zh-CN"/>
        </w:rPr>
        <w:t xml:space="preserve"> while 200 observations can lead to further improved quality.</w:t>
      </w:r>
    </w:p>
    <w:tbl>
      <w:tblPr>
        <w:tblStyle w:val="afffb"/>
        <w:tblW w:w="0" w:type="auto"/>
        <w:tblLook w:val="04A0" w:firstRow="1" w:lastRow="0" w:firstColumn="1" w:lastColumn="0" w:noHBand="0" w:noVBand="1"/>
      </w:tblPr>
      <w:tblGrid>
        <w:gridCol w:w="4393"/>
        <w:gridCol w:w="4394"/>
      </w:tblGrid>
      <w:tr w:rsidR="00B27B3E" w14:paraId="1264C7D6" w14:textId="77777777" w:rsidTr="00772EC3">
        <w:tc>
          <w:tcPr>
            <w:tcW w:w="4501" w:type="dxa"/>
            <w:tcBorders>
              <w:top w:val="nil"/>
              <w:left w:val="nil"/>
              <w:bottom w:val="nil"/>
              <w:right w:val="nil"/>
            </w:tcBorders>
            <w:vAlign w:val="center"/>
          </w:tcPr>
          <w:p w14:paraId="3CD55DF8" w14:textId="53C324B3" w:rsidR="00B27B3E" w:rsidRDefault="0037411A" w:rsidP="00B27B3E">
            <w:pPr>
              <w:pStyle w:val="CETBodytext"/>
              <w:jc w:val="center"/>
              <w:rPr>
                <w:rFonts w:eastAsiaTheme="minorEastAsia"/>
                <w:lang w:val="en-GB" w:eastAsia="zh-CN"/>
              </w:rPr>
            </w:pPr>
            <w:r>
              <w:rPr>
                <w:rFonts w:eastAsiaTheme="minorEastAsia"/>
                <w:noProof/>
                <w:lang w:val="en-GB" w:eastAsia="zh-CN"/>
              </w:rPr>
              <w:drawing>
                <wp:inline distT="0" distB="0" distL="0" distR="0" wp14:anchorId="0063C478" wp14:editId="126052FC">
                  <wp:extent cx="2639698" cy="1980000"/>
                  <wp:effectExtent l="0" t="0" r="8255" b="1270"/>
                  <wp:docPr id="8" name="图片 8"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表, 直方图&#10;&#10;描述已自动生成"/>
                          <pic:cNvPicPr/>
                        </pic:nvPicPr>
                        <pic:blipFill>
                          <a:blip r:embed="rId10"/>
                          <a:stretch>
                            <a:fillRect/>
                          </a:stretch>
                        </pic:blipFill>
                        <pic:spPr>
                          <a:xfrm>
                            <a:off x="0" y="0"/>
                            <a:ext cx="2639698" cy="1980000"/>
                          </a:xfrm>
                          <a:prstGeom prst="rect">
                            <a:avLst/>
                          </a:prstGeom>
                        </pic:spPr>
                      </pic:pic>
                    </a:graphicData>
                  </a:graphic>
                </wp:inline>
              </w:drawing>
            </w:r>
          </w:p>
        </w:tc>
        <w:tc>
          <w:tcPr>
            <w:tcW w:w="4502" w:type="dxa"/>
            <w:tcBorders>
              <w:top w:val="nil"/>
              <w:left w:val="nil"/>
              <w:bottom w:val="nil"/>
              <w:right w:val="nil"/>
            </w:tcBorders>
            <w:vAlign w:val="center"/>
          </w:tcPr>
          <w:p w14:paraId="6082BBA0" w14:textId="24E7FC45" w:rsidR="00B27B3E" w:rsidRDefault="00D35B18" w:rsidP="00B27B3E">
            <w:pPr>
              <w:pStyle w:val="CETBodytext"/>
              <w:jc w:val="center"/>
              <w:rPr>
                <w:rFonts w:eastAsiaTheme="minorEastAsia"/>
                <w:lang w:val="en-GB" w:eastAsia="zh-CN"/>
              </w:rPr>
            </w:pPr>
            <w:r>
              <w:rPr>
                <w:rFonts w:eastAsiaTheme="minorEastAsia"/>
                <w:noProof/>
                <w:lang w:val="en-GB" w:eastAsia="zh-CN"/>
              </w:rPr>
              <w:drawing>
                <wp:inline distT="0" distB="0" distL="0" distR="0" wp14:anchorId="72C5B077" wp14:editId="27908D18">
                  <wp:extent cx="2639698" cy="1980000"/>
                  <wp:effectExtent l="0" t="0" r="8255" b="1270"/>
                  <wp:docPr id="3" name="图片 3"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表, 折线图&#10;&#10;描述已自动生成"/>
                          <pic:cNvPicPr/>
                        </pic:nvPicPr>
                        <pic:blipFill>
                          <a:blip r:embed="rId11"/>
                          <a:stretch>
                            <a:fillRect/>
                          </a:stretch>
                        </pic:blipFill>
                        <pic:spPr>
                          <a:xfrm>
                            <a:off x="0" y="0"/>
                            <a:ext cx="2639698" cy="1980000"/>
                          </a:xfrm>
                          <a:prstGeom prst="rect">
                            <a:avLst/>
                          </a:prstGeom>
                        </pic:spPr>
                      </pic:pic>
                    </a:graphicData>
                  </a:graphic>
                </wp:inline>
              </w:drawing>
            </w:r>
          </w:p>
        </w:tc>
      </w:tr>
      <w:tr w:rsidR="00B27B3E" w14:paraId="00ADB477" w14:textId="77777777" w:rsidTr="00772EC3">
        <w:tc>
          <w:tcPr>
            <w:tcW w:w="4501" w:type="dxa"/>
            <w:tcBorders>
              <w:top w:val="nil"/>
              <w:left w:val="nil"/>
              <w:bottom w:val="nil"/>
              <w:right w:val="nil"/>
            </w:tcBorders>
            <w:vAlign w:val="center"/>
          </w:tcPr>
          <w:p w14:paraId="066B5F9C" w14:textId="71486B45" w:rsidR="00B27B3E" w:rsidRDefault="00B27B3E" w:rsidP="00B27B3E">
            <w:pPr>
              <w:pStyle w:val="CETBodytext"/>
              <w:jc w:val="center"/>
              <w:rPr>
                <w:rFonts w:eastAsiaTheme="minorEastAsia"/>
                <w:lang w:val="en-GB" w:eastAsia="zh-CN"/>
              </w:rPr>
            </w:pPr>
            <w:r w:rsidRPr="00B27B3E">
              <w:rPr>
                <w:rFonts w:eastAsiaTheme="minorEastAsia"/>
                <w:lang w:val="en-GB" w:eastAsia="zh-CN"/>
              </w:rPr>
              <w:t>(a)</w:t>
            </w:r>
          </w:p>
        </w:tc>
        <w:tc>
          <w:tcPr>
            <w:tcW w:w="4502" w:type="dxa"/>
            <w:tcBorders>
              <w:top w:val="nil"/>
              <w:left w:val="nil"/>
              <w:bottom w:val="nil"/>
              <w:right w:val="nil"/>
            </w:tcBorders>
            <w:vAlign w:val="center"/>
          </w:tcPr>
          <w:p w14:paraId="603F8A68" w14:textId="3135A651" w:rsidR="00B27B3E" w:rsidRDefault="00B27B3E" w:rsidP="00B27B3E">
            <w:pPr>
              <w:pStyle w:val="CETBodytext"/>
              <w:jc w:val="center"/>
              <w:rPr>
                <w:rFonts w:eastAsiaTheme="minorEastAsia"/>
                <w:lang w:val="en-GB" w:eastAsia="zh-CN"/>
              </w:rPr>
            </w:pPr>
            <w:r w:rsidRPr="00B27B3E">
              <w:rPr>
                <w:rFonts w:eastAsiaTheme="minorEastAsia"/>
                <w:lang w:val="en-GB" w:eastAsia="zh-CN"/>
              </w:rPr>
              <w:t>(</w:t>
            </w:r>
            <w:r>
              <w:rPr>
                <w:rFonts w:eastAsiaTheme="minorEastAsia"/>
                <w:lang w:val="en-GB" w:eastAsia="zh-CN"/>
              </w:rPr>
              <w:t>b</w:t>
            </w:r>
            <w:r w:rsidRPr="00B27B3E">
              <w:rPr>
                <w:rFonts w:eastAsiaTheme="minorEastAsia"/>
                <w:lang w:val="en-GB" w:eastAsia="zh-CN"/>
              </w:rPr>
              <w:t>)</w:t>
            </w:r>
          </w:p>
        </w:tc>
      </w:tr>
      <w:tr w:rsidR="00B27B3E" w14:paraId="6F068EF3" w14:textId="77777777" w:rsidTr="00772EC3">
        <w:tc>
          <w:tcPr>
            <w:tcW w:w="9003" w:type="dxa"/>
            <w:gridSpan w:val="2"/>
            <w:tcBorders>
              <w:top w:val="nil"/>
              <w:left w:val="nil"/>
              <w:bottom w:val="nil"/>
              <w:right w:val="nil"/>
            </w:tcBorders>
            <w:vAlign w:val="center"/>
          </w:tcPr>
          <w:p w14:paraId="7ADF993C" w14:textId="22148A12" w:rsidR="00B27B3E" w:rsidRPr="008B08BD" w:rsidRDefault="00B27B3E" w:rsidP="00D34526">
            <w:pPr>
              <w:pStyle w:val="CETBodytext"/>
              <w:rPr>
                <w:rFonts w:eastAsiaTheme="minorEastAsia"/>
                <w:i/>
                <w:iCs/>
                <w:lang w:val="en-GB" w:eastAsia="zh-CN"/>
              </w:rPr>
            </w:pPr>
            <w:r w:rsidRPr="008B08BD">
              <w:rPr>
                <w:rFonts w:eastAsiaTheme="minorEastAsia"/>
                <w:i/>
                <w:iCs/>
                <w:lang w:val="en-GB" w:eastAsia="zh-CN"/>
              </w:rPr>
              <w:t>Figure 1</w:t>
            </w:r>
            <w:r w:rsidR="008B08BD" w:rsidRPr="008B08BD">
              <w:rPr>
                <w:rFonts w:eastAsiaTheme="minorEastAsia"/>
                <w:i/>
                <w:iCs/>
                <w:lang w:val="en-GB" w:eastAsia="zh-CN"/>
              </w:rPr>
              <w:t>:</w:t>
            </w:r>
            <w:r w:rsidRPr="008B08BD">
              <w:rPr>
                <w:rFonts w:eastAsiaTheme="minorEastAsia"/>
                <w:i/>
                <w:iCs/>
                <w:lang w:val="en-GB" w:eastAsia="zh-CN"/>
              </w:rPr>
              <w:t xml:space="preserve"> Simulation results of the MSE of the MLE as a function of the sample size for test 1 for Weibull scale parameter, α (a) and test 2 for Weibull shape parameter, β (b).</w:t>
            </w:r>
          </w:p>
        </w:tc>
      </w:tr>
    </w:tbl>
    <w:p w14:paraId="01035FC1" w14:textId="043AC75E" w:rsidR="005E253D" w:rsidRDefault="008B08BD" w:rsidP="005E253D">
      <w:pPr>
        <w:pStyle w:val="CETheadingx"/>
      </w:pPr>
      <w:r>
        <w:t>Distribution fitting results</w:t>
      </w:r>
    </w:p>
    <w:p w14:paraId="2C043F51" w14:textId="4A354D37" w:rsidR="005E253D" w:rsidRDefault="006718B0" w:rsidP="00523E73">
      <w:pPr>
        <w:pStyle w:val="CETListbullets"/>
        <w:ind w:left="0" w:firstLine="0"/>
        <w:rPr>
          <w:rFonts w:eastAsiaTheme="minorEastAsia"/>
          <w:lang w:eastAsia="zh-CN"/>
        </w:rPr>
      </w:pPr>
      <w:r>
        <w:rPr>
          <w:rFonts w:eastAsiaTheme="minorEastAsia"/>
          <w:lang w:eastAsia="zh-CN"/>
        </w:rPr>
        <w:t>As mentioned in Section 2.1</w:t>
      </w:r>
      <w:r w:rsidR="00D37FE8">
        <w:rPr>
          <w:rFonts w:eastAsiaTheme="minorEastAsia"/>
          <w:lang w:eastAsia="zh-CN"/>
        </w:rPr>
        <w:t xml:space="preserve">, </w:t>
      </w:r>
      <w:r w:rsidR="00A62D4C">
        <w:rPr>
          <w:rFonts w:eastAsiaTheme="minorEastAsia"/>
          <w:lang w:eastAsia="zh-CN"/>
        </w:rPr>
        <w:t xml:space="preserve">the number of </w:t>
      </w:r>
      <w:r w:rsidR="009537F1">
        <w:rPr>
          <w:rFonts w:eastAsiaTheme="minorEastAsia"/>
          <w:lang w:eastAsia="zh-CN"/>
        </w:rPr>
        <w:t>CO</w:t>
      </w:r>
      <w:r w:rsidR="009537F1" w:rsidRPr="009537F1">
        <w:rPr>
          <w:rFonts w:eastAsiaTheme="minorEastAsia"/>
          <w:vertAlign w:val="subscript"/>
          <w:lang w:eastAsia="zh-CN"/>
        </w:rPr>
        <w:t>2</w:t>
      </w:r>
      <w:r w:rsidR="009537F1">
        <w:rPr>
          <w:rFonts w:eastAsiaTheme="minorEastAsia"/>
          <w:lang w:eastAsia="zh-CN"/>
        </w:rPr>
        <w:t xml:space="preserve"> pipeline incident</w:t>
      </w:r>
      <w:r w:rsidR="002F6974">
        <w:rPr>
          <w:rFonts w:eastAsiaTheme="minorEastAsia"/>
          <w:lang w:eastAsia="zh-CN"/>
        </w:rPr>
        <w:t>s</w:t>
      </w:r>
      <w:r w:rsidR="00EA70CC">
        <w:rPr>
          <w:rFonts w:eastAsiaTheme="minorEastAsia"/>
          <w:lang w:eastAsia="zh-CN"/>
        </w:rPr>
        <w:t xml:space="preserve"> </w:t>
      </w:r>
      <w:r w:rsidR="009C0EDA">
        <w:rPr>
          <w:rFonts w:eastAsiaTheme="minorEastAsia"/>
          <w:lang w:eastAsia="zh-CN"/>
        </w:rPr>
        <w:t>available</w:t>
      </w:r>
      <w:r w:rsidR="00EA70CC">
        <w:rPr>
          <w:rFonts w:eastAsiaTheme="minorEastAsia"/>
          <w:lang w:eastAsia="zh-CN"/>
        </w:rPr>
        <w:t xml:space="preserve"> for this study</w:t>
      </w:r>
      <w:r w:rsidR="00A62D4C">
        <w:rPr>
          <w:rFonts w:eastAsiaTheme="minorEastAsia"/>
          <w:lang w:eastAsia="zh-CN"/>
        </w:rPr>
        <w:t xml:space="preserve"> is 18, which</w:t>
      </w:r>
      <w:r w:rsidR="00B226EE">
        <w:rPr>
          <w:rFonts w:eastAsiaTheme="minorEastAsia"/>
          <w:lang w:eastAsia="zh-CN"/>
        </w:rPr>
        <w:t xml:space="preserve"> </w:t>
      </w:r>
      <w:r w:rsidR="00A62D4C">
        <w:rPr>
          <w:rFonts w:eastAsiaTheme="minorEastAsia"/>
          <w:lang w:eastAsia="zh-CN"/>
        </w:rPr>
        <w:t xml:space="preserve">is </w:t>
      </w:r>
      <w:r w:rsidR="00EA7BD0">
        <w:rPr>
          <w:rFonts w:eastAsiaTheme="minorEastAsia"/>
          <w:lang w:eastAsia="zh-CN"/>
        </w:rPr>
        <w:t xml:space="preserve">far </w:t>
      </w:r>
      <w:r w:rsidR="00A62D4C">
        <w:rPr>
          <w:rFonts w:eastAsiaTheme="minorEastAsia"/>
          <w:lang w:eastAsia="zh-CN"/>
        </w:rPr>
        <w:t>less</w:t>
      </w:r>
      <w:r w:rsidR="004F3C5D">
        <w:rPr>
          <w:rFonts w:eastAsiaTheme="minorEastAsia"/>
          <w:lang w:eastAsia="zh-CN"/>
        </w:rPr>
        <w:t xml:space="preserve"> </w:t>
      </w:r>
      <w:r w:rsidR="00EA7BD0">
        <w:rPr>
          <w:rFonts w:eastAsiaTheme="minorEastAsia"/>
          <w:lang w:eastAsia="zh-CN"/>
        </w:rPr>
        <w:t xml:space="preserve">than </w:t>
      </w:r>
      <w:r w:rsidR="00C1766A">
        <w:rPr>
          <w:rFonts w:eastAsiaTheme="minorEastAsia"/>
          <w:lang w:eastAsia="zh-CN"/>
        </w:rPr>
        <w:t xml:space="preserve">the </w:t>
      </w:r>
      <w:r w:rsidR="00B744B0">
        <w:rPr>
          <w:rFonts w:eastAsiaTheme="minorEastAsia"/>
          <w:lang w:eastAsia="zh-CN"/>
        </w:rPr>
        <w:t>minimum acceptable sample size</w:t>
      </w:r>
      <w:r w:rsidR="003B74B7">
        <w:rPr>
          <w:rFonts w:eastAsiaTheme="minorEastAsia"/>
          <w:lang w:eastAsia="zh-CN"/>
        </w:rPr>
        <w:t xml:space="preserve"> required for obtaining a reliable MLE (see Section 3.1)</w:t>
      </w:r>
      <w:r w:rsidR="00A62D4C">
        <w:rPr>
          <w:rFonts w:eastAsiaTheme="minorEastAsia"/>
          <w:lang w:eastAsia="zh-CN"/>
        </w:rPr>
        <w:t xml:space="preserve">. </w:t>
      </w:r>
      <w:r w:rsidR="00CE35DE">
        <w:rPr>
          <w:rFonts w:eastAsiaTheme="minorEastAsia"/>
          <w:lang w:eastAsia="zh-CN"/>
        </w:rPr>
        <w:t xml:space="preserve">As a result, the bootstrapping method is employed </w:t>
      </w:r>
      <w:r w:rsidR="004A09FF">
        <w:rPr>
          <w:rFonts w:eastAsiaTheme="minorEastAsia"/>
          <w:lang w:eastAsia="zh-CN"/>
        </w:rPr>
        <w:t xml:space="preserve">to </w:t>
      </w:r>
      <w:r w:rsidR="00A70010">
        <w:rPr>
          <w:rFonts w:eastAsiaTheme="minorEastAsia"/>
          <w:lang w:eastAsia="zh-CN"/>
        </w:rPr>
        <w:t>obtain the CI</w:t>
      </w:r>
      <w:r w:rsidR="005B1F0F">
        <w:rPr>
          <w:rFonts w:eastAsiaTheme="minorEastAsia"/>
          <w:lang w:eastAsia="zh-CN"/>
        </w:rPr>
        <w:t xml:space="preserve"> of the MLE</w:t>
      </w:r>
      <w:r w:rsidR="00BD6989">
        <w:rPr>
          <w:rFonts w:eastAsiaTheme="minorEastAsia"/>
          <w:lang w:eastAsia="zh-CN"/>
        </w:rPr>
        <w:t xml:space="preserve"> following the steps described in Section 2.3</w:t>
      </w:r>
      <w:r w:rsidR="005B1F0F">
        <w:rPr>
          <w:rFonts w:eastAsiaTheme="minorEastAsia"/>
          <w:lang w:eastAsia="zh-CN"/>
        </w:rPr>
        <w:t>.</w:t>
      </w:r>
      <w:r w:rsidR="00FD3A91">
        <w:rPr>
          <w:rFonts w:eastAsiaTheme="minorEastAsia"/>
          <w:lang w:eastAsia="zh-CN"/>
        </w:rPr>
        <w:t xml:space="preserve"> In this study,</w:t>
      </w:r>
      <w:r w:rsidR="005B1F0F">
        <w:rPr>
          <w:rFonts w:eastAsiaTheme="minorEastAsia"/>
          <w:lang w:eastAsia="zh-CN"/>
        </w:rPr>
        <w:t xml:space="preserve"> </w:t>
      </w:r>
      <w:r w:rsidR="00FD3A91">
        <w:rPr>
          <w:rFonts w:eastAsiaTheme="minorEastAsia"/>
          <w:lang w:eastAsia="zh-CN"/>
        </w:rPr>
        <w:t>t</w:t>
      </w:r>
      <w:r w:rsidR="003609A2" w:rsidRPr="003609A2">
        <w:rPr>
          <w:rFonts w:eastAsiaTheme="minorEastAsia"/>
          <w:lang w:eastAsia="zh-CN"/>
        </w:rPr>
        <w:t>he chosen level of significance</w:t>
      </w:r>
      <w:r w:rsidR="00EF42CA">
        <w:rPr>
          <w:rFonts w:eastAsiaTheme="minorEastAsia"/>
          <w:lang w:eastAsia="zh-CN"/>
        </w:rPr>
        <w:t xml:space="preserve"> </w:t>
      </w:r>
      <w:r w:rsidR="003609A2" w:rsidRPr="003609A2">
        <w:rPr>
          <w:rFonts w:eastAsiaTheme="minorEastAsia"/>
          <w:lang w:eastAsia="zh-CN"/>
        </w:rPr>
        <w:t>for obtaining the CI is 0.05, referring to 95% confidence</w:t>
      </w:r>
      <w:r w:rsidR="000E03D6">
        <w:rPr>
          <w:rFonts w:eastAsiaTheme="minorEastAsia"/>
          <w:lang w:eastAsia="zh-CN"/>
        </w:rPr>
        <w:t>.</w:t>
      </w:r>
      <w:r w:rsidR="003609A2" w:rsidRPr="003609A2">
        <w:rPr>
          <w:rFonts w:eastAsiaTheme="minorEastAsia"/>
          <w:lang w:eastAsia="zh-CN"/>
        </w:rPr>
        <w:t xml:space="preserve"> </w:t>
      </w:r>
      <w:r w:rsidR="00FD3A91">
        <w:rPr>
          <w:rFonts w:eastAsiaTheme="minorEastAsia"/>
          <w:lang w:eastAsia="zh-CN"/>
        </w:rPr>
        <w:t>1</w:t>
      </w:r>
      <w:r w:rsidR="00F74CEF">
        <w:rPr>
          <w:rFonts w:eastAsiaTheme="minorEastAsia"/>
          <w:lang w:eastAsia="zh-CN"/>
        </w:rPr>
        <w:t>,</w:t>
      </w:r>
      <w:r w:rsidR="00FD3A91">
        <w:rPr>
          <w:rFonts w:eastAsiaTheme="minorEastAsia"/>
          <w:lang w:eastAsia="zh-CN"/>
        </w:rPr>
        <w:t xml:space="preserve">000 </w:t>
      </w:r>
      <w:r w:rsidR="008B3D01">
        <w:rPr>
          <w:rFonts w:eastAsiaTheme="minorEastAsia"/>
          <w:lang w:eastAsia="zh-CN"/>
        </w:rPr>
        <w:t xml:space="preserve">resampled datasets were generated. </w:t>
      </w:r>
      <w:r w:rsidR="004D7202">
        <w:rPr>
          <w:rFonts w:eastAsiaTheme="minorEastAsia"/>
          <w:lang w:eastAsia="zh-CN"/>
        </w:rPr>
        <w:t>Table 2 summarises the</w:t>
      </w:r>
      <w:r w:rsidR="00AB6C1A">
        <w:rPr>
          <w:rFonts w:eastAsiaTheme="minorEastAsia"/>
          <w:lang w:eastAsia="zh-CN"/>
        </w:rPr>
        <w:t xml:space="preserve"> bootstrapping</w:t>
      </w:r>
      <w:r w:rsidR="004D7202">
        <w:rPr>
          <w:rFonts w:eastAsiaTheme="minorEastAsia"/>
          <w:lang w:eastAsia="zh-CN"/>
        </w:rPr>
        <w:t xml:space="preserve"> </w:t>
      </w:r>
      <w:r w:rsidR="00F40E0A">
        <w:rPr>
          <w:rFonts w:eastAsiaTheme="minorEastAsia"/>
          <w:lang w:eastAsia="zh-CN"/>
        </w:rPr>
        <w:t>results</w:t>
      </w:r>
      <w:r w:rsidR="00754ED9">
        <w:rPr>
          <w:rFonts w:eastAsiaTheme="minorEastAsia"/>
          <w:lang w:eastAsia="zh-CN"/>
        </w:rPr>
        <w:t>, including</w:t>
      </w:r>
      <w:r w:rsidR="00F40E0A">
        <w:rPr>
          <w:rFonts w:eastAsiaTheme="minorEastAsia"/>
          <w:lang w:eastAsia="zh-CN"/>
        </w:rPr>
        <w:t xml:space="preserve"> </w:t>
      </w:r>
      <w:r w:rsidR="000E03D6" w:rsidRPr="005D57EB">
        <w:rPr>
          <w:rFonts w:eastAsiaTheme="minorEastAsia"/>
          <w:lang w:eastAsia="zh-CN"/>
        </w:rPr>
        <w:t xml:space="preserve">the arithmetic means and 95% CIs of the </w:t>
      </w:r>
      <w:r w:rsidR="00F74CEF">
        <w:rPr>
          <w:rFonts w:eastAsiaTheme="minorEastAsia"/>
          <w:lang w:eastAsia="zh-CN"/>
        </w:rPr>
        <w:t>MLE</w:t>
      </w:r>
      <w:r w:rsidR="000E03D6" w:rsidRPr="005D57EB">
        <w:rPr>
          <w:rFonts w:eastAsiaTheme="minorEastAsia"/>
          <w:lang w:eastAsia="zh-CN"/>
        </w:rPr>
        <w:t>s</w:t>
      </w:r>
      <w:r w:rsidR="00F74CEF">
        <w:rPr>
          <w:rFonts w:eastAsiaTheme="minorEastAsia"/>
          <w:lang w:eastAsia="zh-CN"/>
        </w:rPr>
        <w:t xml:space="preserve"> of the 1,000 resampled datasets</w:t>
      </w:r>
      <w:r w:rsidR="00BA1970">
        <w:rPr>
          <w:rFonts w:eastAsiaTheme="minorEastAsia"/>
          <w:lang w:eastAsia="zh-CN"/>
        </w:rPr>
        <w:t>. The results are given</w:t>
      </w:r>
      <w:r w:rsidR="000E03D6" w:rsidRPr="005D57EB">
        <w:rPr>
          <w:rFonts w:eastAsiaTheme="minorEastAsia"/>
          <w:lang w:eastAsia="zh-CN"/>
        </w:rPr>
        <w:t xml:space="preserve"> for </w:t>
      </w:r>
      <w:r w:rsidR="00BA1970">
        <w:rPr>
          <w:rFonts w:eastAsiaTheme="minorEastAsia"/>
          <w:lang w:eastAsia="zh-CN"/>
        </w:rPr>
        <w:t>both</w:t>
      </w:r>
      <w:r w:rsidR="000E03D6" w:rsidRPr="005D57EB">
        <w:rPr>
          <w:rFonts w:eastAsiaTheme="minorEastAsia"/>
          <w:lang w:eastAsia="zh-CN"/>
        </w:rPr>
        <w:t xml:space="preserve"> EHD and RHD</w:t>
      </w:r>
      <w:r w:rsidR="00CE2F24">
        <w:rPr>
          <w:rFonts w:eastAsiaTheme="minorEastAsia"/>
          <w:lang w:eastAsia="zh-CN"/>
        </w:rPr>
        <w:t>.</w:t>
      </w:r>
    </w:p>
    <w:p w14:paraId="1704574D" w14:textId="409A61B6" w:rsidR="003A0697" w:rsidRPr="003A0697" w:rsidRDefault="003A0697" w:rsidP="003A0697">
      <w:pPr>
        <w:pStyle w:val="CETTabletitle"/>
      </w:pPr>
      <w:r w:rsidRPr="00B57B36">
        <w:t xml:space="preserve">Table </w:t>
      </w:r>
      <w:r w:rsidR="000E0836">
        <w:t>2</w:t>
      </w:r>
      <w:r w:rsidRPr="00B57B36">
        <w:t xml:space="preserve">: </w:t>
      </w:r>
      <w:r w:rsidR="00D3794C">
        <w:t>T</w:t>
      </w:r>
      <w:r w:rsidR="003858F8">
        <w:t xml:space="preserve">he arithmetic means and 95% CIs of the MLEs </w:t>
      </w:r>
      <w:r w:rsidR="00643061">
        <w:t>of</w:t>
      </w:r>
      <w:r w:rsidR="003858F8">
        <w:t xml:space="preserve"> the </w:t>
      </w:r>
      <w:r w:rsidR="008701EA">
        <w:t xml:space="preserve">Weibull </w:t>
      </w:r>
      <w:r w:rsidR="003858F8">
        <w:t>scale and shape parameters for EHD and RHD.</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01"/>
        <w:gridCol w:w="2610"/>
        <w:gridCol w:w="2126"/>
        <w:gridCol w:w="2552"/>
      </w:tblGrid>
      <w:tr w:rsidR="0079381A" w:rsidRPr="00B57B36" w14:paraId="4AE94642" w14:textId="77777777" w:rsidTr="00473E63">
        <w:tc>
          <w:tcPr>
            <w:tcW w:w="1501" w:type="dxa"/>
            <w:tcBorders>
              <w:top w:val="single" w:sz="12" w:space="0" w:color="008000"/>
              <w:bottom w:val="single" w:sz="6" w:space="0" w:color="008000"/>
            </w:tcBorders>
            <w:shd w:val="clear" w:color="auto" w:fill="FFFFFF"/>
            <w:vAlign w:val="center"/>
          </w:tcPr>
          <w:p w14:paraId="715B1BE5" w14:textId="77056300" w:rsidR="0079381A" w:rsidRPr="001247D6" w:rsidRDefault="0079381A" w:rsidP="0079381A">
            <w:pPr>
              <w:pStyle w:val="CETBodytext"/>
              <w:jc w:val="left"/>
              <w:rPr>
                <w:b/>
                <w:bCs/>
                <w:lang w:val="en-GB"/>
              </w:rPr>
            </w:pPr>
            <w:r w:rsidRPr="001247D6">
              <w:rPr>
                <w:b/>
                <w:bCs/>
                <w:lang w:val="en-GB"/>
              </w:rPr>
              <w:t>Diameter type</w:t>
            </w:r>
          </w:p>
        </w:tc>
        <w:tc>
          <w:tcPr>
            <w:tcW w:w="2610" w:type="dxa"/>
            <w:tcBorders>
              <w:top w:val="single" w:sz="12" w:space="0" w:color="008000"/>
              <w:bottom w:val="single" w:sz="6" w:space="0" w:color="008000"/>
            </w:tcBorders>
            <w:shd w:val="clear" w:color="auto" w:fill="FFFFFF"/>
            <w:vAlign w:val="center"/>
          </w:tcPr>
          <w:p w14:paraId="4F4A0498" w14:textId="35963B81" w:rsidR="0079381A" w:rsidRPr="001247D6" w:rsidRDefault="00C32DF1" w:rsidP="0079381A">
            <w:pPr>
              <w:pStyle w:val="CETBodytext"/>
              <w:jc w:val="left"/>
              <w:rPr>
                <w:b/>
                <w:bCs/>
                <w:lang w:val="en-GB"/>
              </w:rPr>
            </w:pPr>
            <w:r>
              <w:rPr>
                <w:b/>
                <w:bCs/>
                <w:lang w:val="en-GB"/>
              </w:rPr>
              <w:t>Weibull p</w:t>
            </w:r>
            <w:r w:rsidR="0079381A" w:rsidRPr="001247D6">
              <w:rPr>
                <w:b/>
                <w:bCs/>
                <w:lang w:val="en-GB"/>
              </w:rPr>
              <w:t>arameter</w:t>
            </w:r>
          </w:p>
        </w:tc>
        <w:tc>
          <w:tcPr>
            <w:tcW w:w="2126" w:type="dxa"/>
            <w:tcBorders>
              <w:top w:val="single" w:sz="12" w:space="0" w:color="008000"/>
              <w:bottom w:val="single" w:sz="6" w:space="0" w:color="008000"/>
            </w:tcBorders>
            <w:shd w:val="clear" w:color="auto" w:fill="FFFFFF"/>
            <w:vAlign w:val="center"/>
          </w:tcPr>
          <w:p w14:paraId="659F2457" w14:textId="641C5AAE" w:rsidR="0079381A" w:rsidRPr="001247D6" w:rsidRDefault="0079381A" w:rsidP="0079381A">
            <w:pPr>
              <w:pStyle w:val="CETBodytext"/>
              <w:jc w:val="left"/>
              <w:rPr>
                <w:rFonts w:eastAsiaTheme="minorEastAsia"/>
                <w:b/>
                <w:bCs/>
                <w:lang w:val="en-GB" w:eastAsia="zh-CN"/>
              </w:rPr>
            </w:pPr>
            <w:r w:rsidRPr="001247D6">
              <w:rPr>
                <w:rFonts w:eastAsiaTheme="minorEastAsia" w:hint="eastAsia"/>
                <w:b/>
                <w:bCs/>
                <w:lang w:val="en-GB" w:eastAsia="zh-CN"/>
              </w:rPr>
              <w:t>9</w:t>
            </w:r>
            <w:r w:rsidRPr="001247D6">
              <w:rPr>
                <w:rFonts w:eastAsiaTheme="minorEastAsia"/>
                <w:b/>
                <w:bCs/>
                <w:lang w:val="en-GB" w:eastAsia="zh-CN"/>
              </w:rPr>
              <w:t>5% CI</w:t>
            </w:r>
          </w:p>
        </w:tc>
        <w:tc>
          <w:tcPr>
            <w:tcW w:w="2552" w:type="dxa"/>
            <w:tcBorders>
              <w:top w:val="single" w:sz="12" w:space="0" w:color="008000"/>
              <w:bottom w:val="single" w:sz="6" w:space="0" w:color="008000"/>
            </w:tcBorders>
            <w:shd w:val="clear" w:color="auto" w:fill="FFFFFF"/>
            <w:vAlign w:val="center"/>
          </w:tcPr>
          <w:p w14:paraId="254217BE" w14:textId="2A743C1F" w:rsidR="0079381A" w:rsidRPr="001247D6" w:rsidRDefault="0079381A" w:rsidP="0079381A">
            <w:pPr>
              <w:pStyle w:val="CETBodytext"/>
              <w:ind w:right="-1"/>
              <w:jc w:val="left"/>
              <w:rPr>
                <w:rFonts w:eastAsiaTheme="minorEastAsia" w:cs="Arial"/>
                <w:b/>
                <w:bCs/>
                <w:szCs w:val="18"/>
                <w:lang w:val="en-GB" w:eastAsia="zh-CN"/>
              </w:rPr>
            </w:pPr>
            <w:r w:rsidRPr="001247D6">
              <w:rPr>
                <w:rFonts w:eastAsiaTheme="minorEastAsia" w:cs="Arial" w:hint="eastAsia"/>
                <w:b/>
                <w:bCs/>
                <w:szCs w:val="18"/>
                <w:lang w:val="en-GB" w:eastAsia="zh-CN"/>
              </w:rPr>
              <w:t>A</w:t>
            </w:r>
            <w:r w:rsidRPr="001247D6">
              <w:rPr>
                <w:rFonts w:eastAsiaTheme="minorEastAsia" w:cs="Arial"/>
                <w:b/>
                <w:bCs/>
                <w:szCs w:val="18"/>
                <w:lang w:val="en-GB" w:eastAsia="zh-CN"/>
              </w:rPr>
              <w:t>rithmetic mean</w:t>
            </w:r>
          </w:p>
        </w:tc>
      </w:tr>
      <w:tr w:rsidR="0079381A" w:rsidRPr="00B57B36" w14:paraId="64F11663" w14:textId="77777777" w:rsidTr="00473E63">
        <w:tc>
          <w:tcPr>
            <w:tcW w:w="1501" w:type="dxa"/>
            <w:vMerge w:val="restart"/>
            <w:shd w:val="clear" w:color="auto" w:fill="FFFFFF"/>
            <w:vAlign w:val="center"/>
          </w:tcPr>
          <w:p w14:paraId="72392837" w14:textId="66E2F06F" w:rsidR="0079381A" w:rsidRPr="00B57B36" w:rsidRDefault="0079381A" w:rsidP="0079381A">
            <w:pPr>
              <w:pStyle w:val="CETBodytext"/>
              <w:jc w:val="left"/>
              <w:rPr>
                <w:lang w:val="en-GB"/>
              </w:rPr>
            </w:pPr>
            <w:r>
              <w:rPr>
                <w:lang w:val="en-GB"/>
              </w:rPr>
              <w:t>EHD</w:t>
            </w:r>
          </w:p>
        </w:tc>
        <w:tc>
          <w:tcPr>
            <w:tcW w:w="2610" w:type="dxa"/>
            <w:shd w:val="clear" w:color="auto" w:fill="FFFFFF"/>
            <w:vAlign w:val="center"/>
          </w:tcPr>
          <w:p w14:paraId="15C8C8CF" w14:textId="6B7DE183" w:rsidR="0079381A" w:rsidRPr="00B57B36" w:rsidRDefault="001247D6" w:rsidP="0079381A">
            <w:pPr>
              <w:pStyle w:val="CETBodytext"/>
              <w:jc w:val="left"/>
              <w:rPr>
                <w:lang w:val="en-GB"/>
              </w:rPr>
            </w:pPr>
            <w:r>
              <w:rPr>
                <w:rFonts w:eastAsiaTheme="minorEastAsia" w:hint="eastAsia"/>
                <w:lang w:val="en-GB" w:eastAsia="zh-CN"/>
              </w:rPr>
              <w:t>S</w:t>
            </w:r>
            <w:r>
              <w:rPr>
                <w:rFonts w:eastAsiaTheme="minorEastAsia"/>
                <w:lang w:val="en-GB" w:eastAsia="zh-CN"/>
              </w:rPr>
              <w:t xml:space="preserve">cale parameter, </w:t>
            </w:r>
            <m:oMath>
              <m:r>
                <w:rPr>
                  <w:rFonts w:ascii="Cambria Math" w:hAnsi="Cambria Math"/>
                </w:rPr>
                <m:t>α</m:t>
              </m:r>
            </m:oMath>
          </w:p>
        </w:tc>
        <w:tc>
          <w:tcPr>
            <w:tcW w:w="2126" w:type="dxa"/>
            <w:shd w:val="clear" w:color="auto" w:fill="FFFFFF"/>
            <w:vAlign w:val="center"/>
          </w:tcPr>
          <w:p w14:paraId="52CC665E" w14:textId="797E3FD8" w:rsidR="0079381A" w:rsidRPr="00B57B36" w:rsidRDefault="001247D6" w:rsidP="0079381A">
            <w:pPr>
              <w:pStyle w:val="CETBodytext"/>
              <w:jc w:val="left"/>
              <w:rPr>
                <w:lang w:val="en-GB"/>
              </w:rPr>
            </w:pPr>
            <w:r w:rsidRPr="001247D6">
              <w:rPr>
                <w:lang w:val="en-GB"/>
              </w:rPr>
              <w:t>[17.812,37.011]</w:t>
            </w:r>
          </w:p>
        </w:tc>
        <w:tc>
          <w:tcPr>
            <w:tcW w:w="2552" w:type="dxa"/>
            <w:shd w:val="clear" w:color="auto" w:fill="FFFFFF"/>
            <w:vAlign w:val="center"/>
          </w:tcPr>
          <w:p w14:paraId="068014B2" w14:textId="3B07F035" w:rsidR="0079381A" w:rsidRPr="00B57B36" w:rsidRDefault="001247D6" w:rsidP="0079381A">
            <w:pPr>
              <w:pStyle w:val="CETBodytext"/>
              <w:ind w:right="-1"/>
              <w:jc w:val="left"/>
              <w:rPr>
                <w:rFonts w:cs="Arial"/>
                <w:szCs w:val="18"/>
                <w:lang w:val="en-GB"/>
              </w:rPr>
            </w:pPr>
            <w:r w:rsidRPr="001247D6">
              <w:rPr>
                <w:rFonts w:cs="Arial"/>
                <w:szCs w:val="18"/>
                <w:lang w:val="en-GB"/>
              </w:rPr>
              <w:t>26.278</w:t>
            </w:r>
          </w:p>
        </w:tc>
      </w:tr>
      <w:tr w:rsidR="0079381A" w:rsidRPr="00B57B36" w14:paraId="48BFF548" w14:textId="77777777" w:rsidTr="00473E63">
        <w:tc>
          <w:tcPr>
            <w:tcW w:w="1501" w:type="dxa"/>
            <w:vMerge/>
            <w:shd w:val="clear" w:color="auto" w:fill="FFFFFF"/>
            <w:vAlign w:val="center"/>
          </w:tcPr>
          <w:p w14:paraId="0FF4C6FC" w14:textId="77777777" w:rsidR="0079381A" w:rsidRPr="00B57B36" w:rsidRDefault="0079381A" w:rsidP="0079381A">
            <w:pPr>
              <w:pStyle w:val="CETBodytext"/>
              <w:ind w:right="-1"/>
              <w:jc w:val="left"/>
              <w:rPr>
                <w:rFonts w:cs="Arial"/>
                <w:szCs w:val="18"/>
                <w:lang w:val="en-GB"/>
              </w:rPr>
            </w:pPr>
          </w:p>
        </w:tc>
        <w:tc>
          <w:tcPr>
            <w:tcW w:w="2610" w:type="dxa"/>
            <w:shd w:val="clear" w:color="auto" w:fill="FFFFFF"/>
            <w:vAlign w:val="center"/>
          </w:tcPr>
          <w:p w14:paraId="3C825E0E" w14:textId="4E64B678" w:rsidR="0079381A" w:rsidRPr="00B57B36" w:rsidRDefault="001247D6" w:rsidP="0079381A">
            <w:pPr>
              <w:pStyle w:val="CETBodytext"/>
              <w:ind w:right="-1"/>
              <w:jc w:val="left"/>
              <w:rPr>
                <w:rFonts w:cs="Arial"/>
                <w:szCs w:val="18"/>
                <w:lang w:val="en-GB"/>
              </w:rPr>
            </w:pPr>
            <w:r>
              <w:rPr>
                <w:rFonts w:eastAsiaTheme="minorEastAsia" w:cs="Arial" w:hint="eastAsia"/>
                <w:szCs w:val="18"/>
                <w:lang w:val="en-GB" w:eastAsia="zh-CN"/>
              </w:rPr>
              <w:t>S</w:t>
            </w:r>
            <w:r>
              <w:rPr>
                <w:rFonts w:eastAsiaTheme="minorEastAsia" w:cs="Arial"/>
                <w:szCs w:val="18"/>
                <w:lang w:val="en-GB" w:eastAsia="zh-CN"/>
              </w:rPr>
              <w:t xml:space="preserve">hape parameter, </w:t>
            </w:r>
            <m:oMath>
              <m:r>
                <w:rPr>
                  <w:rFonts w:ascii="Cambria Math" w:hAnsi="Cambria Math"/>
                </w:rPr>
                <m:t>β</m:t>
              </m:r>
            </m:oMath>
          </w:p>
        </w:tc>
        <w:tc>
          <w:tcPr>
            <w:tcW w:w="2126" w:type="dxa"/>
            <w:shd w:val="clear" w:color="auto" w:fill="FFFFFF"/>
            <w:vAlign w:val="center"/>
          </w:tcPr>
          <w:p w14:paraId="705F14E0" w14:textId="0358D340" w:rsidR="0079381A" w:rsidRPr="00B57B36" w:rsidRDefault="001247D6" w:rsidP="0079381A">
            <w:pPr>
              <w:pStyle w:val="CETBodytext"/>
              <w:ind w:right="-1"/>
              <w:jc w:val="left"/>
              <w:rPr>
                <w:rFonts w:cs="Arial"/>
                <w:szCs w:val="18"/>
                <w:lang w:val="en-GB"/>
              </w:rPr>
            </w:pPr>
            <w:r w:rsidRPr="001247D6">
              <w:rPr>
                <w:rFonts w:cs="Arial"/>
                <w:szCs w:val="18"/>
                <w:lang w:val="en-GB"/>
              </w:rPr>
              <w:t>[1.171,2.221]</w:t>
            </w:r>
          </w:p>
        </w:tc>
        <w:tc>
          <w:tcPr>
            <w:tcW w:w="2552" w:type="dxa"/>
            <w:shd w:val="clear" w:color="auto" w:fill="FFFFFF"/>
            <w:vAlign w:val="center"/>
          </w:tcPr>
          <w:p w14:paraId="0AB0D4C2" w14:textId="41487C15" w:rsidR="0079381A" w:rsidRPr="00B57B36" w:rsidRDefault="001247D6" w:rsidP="0079381A">
            <w:pPr>
              <w:pStyle w:val="CETBodytext"/>
              <w:ind w:right="-1"/>
              <w:jc w:val="left"/>
              <w:rPr>
                <w:rFonts w:cs="Arial"/>
                <w:szCs w:val="18"/>
                <w:lang w:val="en-GB"/>
              </w:rPr>
            </w:pPr>
            <w:r w:rsidRPr="001247D6">
              <w:rPr>
                <w:rFonts w:cs="Arial"/>
                <w:szCs w:val="18"/>
                <w:lang w:val="en-GB"/>
              </w:rPr>
              <w:t>1.557</w:t>
            </w:r>
          </w:p>
        </w:tc>
      </w:tr>
      <w:tr w:rsidR="0079381A" w:rsidRPr="00B57B36" w14:paraId="737BA095" w14:textId="77777777" w:rsidTr="00473E63">
        <w:tc>
          <w:tcPr>
            <w:tcW w:w="1501" w:type="dxa"/>
            <w:vMerge w:val="restart"/>
            <w:shd w:val="clear" w:color="auto" w:fill="FFFFFF"/>
            <w:vAlign w:val="center"/>
          </w:tcPr>
          <w:p w14:paraId="7D094DB0" w14:textId="1AA3396E" w:rsidR="0079381A" w:rsidRPr="0079381A" w:rsidRDefault="0079381A" w:rsidP="0079381A">
            <w:pPr>
              <w:pStyle w:val="CETBodytext"/>
              <w:ind w:right="-1"/>
              <w:jc w:val="left"/>
              <w:rPr>
                <w:rFonts w:eastAsiaTheme="minorEastAsia" w:cs="Arial"/>
                <w:szCs w:val="18"/>
                <w:lang w:val="en-GB" w:eastAsia="zh-CN"/>
              </w:rPr>
            </w:pPr>
            <w:r>
              <w:rPr>
                <w:rFonts w:eastAsiaTheme="minorEastAsia" w:cs="Arial" w:hint="eastAsia"/>
                <w:szCs w:val="18"/>
                <w:lang w:val="en-GB" w:eastAsia="zh-CN"/>
              </w:rPr>
              <w:t>R</w:t>
            </w:r>
            <w:r>
              <w:rPr>
                <w:rFonts w:eastAsiaTheme="minorEastAsia" w:cs="Arial"/>
                <w:szCs w:val="18"/>
                <w:lang w:val="en-GB" w:eastAsia="zh-CN"/>
              </w:rPr>
              <w:t>HD</w:t>
            </w:r>
          </w:p>
        </w:tc>
        <w:tc>
          <w:tcPr>
            <w:tcW w:w="2610" w:type="dxa"/>
            <w:shd w:val="clear" w:color="auto" w:fill="FFFFFF"/>
            <w:vAlign w:val="center"/>
          </w:tcPr>
          <w:p w14:paraId="68F655EA" w14:textId="57415C2B" w:rsidR="0079381A" w:rsidRPr="00B57B36" w:rsidRDefault="001247D6" w:rsidP="0079381A">
            <w:pPr>
              <w:pStyle w:val="CETBodytext"/>
              <w:ind w:right="-1"/>
              <w:jc w:val="left"/>
              <w:rPr>
                <w:rFonts w:cs="Arial"/>
                <w:szCs w:val="18"/>
                <w:lang w:val="en-GB"/>
              </w:rPr>
            </w:pPr>
            <w:r>
              <w:rPr>
                <w:rFonts w:eastAsiaTheme="minorEastAsia" w:hint="eastAsia"/>
                <w:lang w:val="en-GB" w:eastAsia="zh-CN"/>
              </w:rPr>
              <w:t>S</w:t>
            </w:r>
            <w:r>
              <w:rPr>
                <w:rFonts w:eastAsiaTheme="minorEastAsia"/>
                <w:lang w:val="en-GB" w:eastAsia="zh-CN"/>
              </w:rPr>
              <w:t xml:space="preserve">cale parameter, </w:t>
            </w:r>
            <m:oMath>
              <m:r>
                <w:rPr>
                  <w:rFonts w:ascii="Cambria Math" w:hAnsi="Cambria Math"/>
                </w:rPr>
                <m:t>α</m:t>
              </m:r>
            </m:oMath>
          </w:p>
        </w:tc>
        <w:tc>
          <w:tcPr>
            <w:tcW w:w="2126" w:type="dxa"/>
            <w:shd w:val="clear" w:color="auto" w:fill="FFFFFF"/>
            <w:vAlign w:val="center"/>
          </w:tcPr>
          <w:p w14:paraId="4D4AF14F" w14:textId="090FFAC0" w:rsidR="0079381A" w:rsidRPr="00B57B36" w:rsidRDefault="001247D6" w:rsidP="0079381A">
            <w:pPr>
              <w:pStyle w:val="CETBodytext"/>
              <w:ind w:right="-1"/>
              <w:jc w:val="left"/>
              <w:rPr>
                <w:rFonts w:cs="Arial"/>
                <w:szCs w:val="18"/>
                <w:lang w:val="en-GB"/>
              </w:rPr>
            </w:pPr>
            <w:r w:rsidRPr="001247D6">
              <w:rPr>
                <w:rFonts w:cs="Arial"/>
                <w:szCs w:val="18"/>
                <w:lang w:val="en-GB"/>
              </w:rPr>
              <w:t>[0.093,0.191]</w:t>
            </w:r>
          </w:p>
        </w:tc>
        <w:tc>
          <w:tcPr>
            <w:tcW w:w="2552" w:type="dxa"/>
            <w:shd w:val="clear" w:color="auto" w:fill="FFFFFF"/>
            <w:vAlign w:val="center"/>
          </w:tcPr>
          <w:p w14:paraId="4F1854D7" w14:textId="0F447D2A" w:rsidR="0079381A" w:rsidRPr="00B57B36" w:rsidRDefault="001247D6" w:rsidP="0079381A">
            <w:pPr>
              <w:pStyle w:val="CETBodytext"/>
              <w:ind w:right="-1"/>
              <w:jc w:val="left"/>
              <w:rPr>
                <w:rFonts w:cs="Arial"/>
                <w:szCs w:val="18"/>
                <w:lang w:val="en-GB"/>
              </w:rPr>
            </w:pPr>
            <w:r w:rsidRPr="001247D6">
              <w:rPr>
                <w:rFonts w:cs="Arial"/>
                <w:szCs w:val="18"/>
                <w:lang w:val="en-GB"/>
              </w:rPr>
              <w:t>0.137</w:t>
            </w:r>
          </w:p>
        </w:tc>
      </w:tr>
      <w:tr w:rsidR="0079381A" w:rsidRPr="00B57B36" w14:paraId="1F4FA75A" w14:textId="77777777" w:rsidTr="00473E63">
        <w:tc>
          <w:tcPr>
            <w:tcW w:w="1501" w:type="dxa"/>
            <w:vMerge/>
            <w:shd w:val="clear" w:color="auto" w:fill="FFFFFF"/>
            <w:vAlign w:val="center"/>
          </w:tcPr>
          <w:p w14:paraId="0E189AC3" w14:textId="77777777" w:rsidR="0079381A" w:rsidRPr="00B57B36" w:rsidRDefault="0079381A" w:rsidP="0079381A">
            <w:pPr>
              <w:pStyle w:val="CETBodytext"/>
              <w:ind w:right="-1"/>
              <w:jc w:val="left"/>
              <w:rPr>
                <w:rFonts w:cs="Arial"/>
                <w:szCs w:val="18"/>
                <w:lang w:val="en-GB"/>
              </w:rPr>
            </w:pPr>
          </w:p>
        </w:tc>
        <w:tc>
          <w:tcPr>
            <w:tcW w:w="2610" w:type="dxa"/>
            <w:shd w:val="clear" w:color="auto" w:fill="FFFFFF"/>
            <w:vAlign w:val="center"/>
          </w:tcPr>
          <w:p w14:paraId="60F5E2CF" w14:textId="5A67B70B" w:rsidR="0079381A" w:rsidRPr="00B57B36" w:rsidRDefault="001247D6" w:rsidP="0079381A">
            <w:pPr>
              <w:pStyle w:val="CETBodytext"/>
              <w:ind w:right="-1"/>
              <w:jc w:val="left"/>
              <w:rPr>
                <w:rFonts w:cs="Arial"/>
                <w:szCs w:val="18"/>
                <w:lang w:val="en-GB"/>
              </w:rPr>
            </w:pPr>
            <w:r>
              <w:rPr>
                <w:rFonts w:eastAsiaTheme="minorEastAsia" w:cs="Arial" w:hint="eastAsia"/>
                <w:szCs w:val="18"/>
                <w:lang w:val="en-GB" w:eastAsia="zh-CN"/>
              </w:rPr>
              <w:t>S</w:t>
            </w:r>
            <w:r>
              <w:rPr>
                <w:rFonts w:eastAsiaTheme="minorEastAsia" w:cs="Arial"/>
                <w:szCs w:val="18"/>
                <w:lang w:val="en-GB" w:eastAsia="zh-CN"/>
              </w:rPr>
              <w:t xml:space="preserve">hape parameter, </w:t>
            </w:r>
            <m:oMath>
              <m:r>
                <w:rPr>
                  <w:rFonts w:ascii="Cambria Math" w:hAnsi="Cambria Math"/>
                </w:rPr>
                <m:t>β</m:t>
              </m:r>
            </m:oMath>
          </w:p>
        </w:tc>
        <w:tc>
          <w:tcPr>
            <w:tcW w:w="2126" w:type="dxa"/>
            <w:shd w:val="clear" w:color="auto" w:fill="FFFFFF"/>
            <w:vAlign w:val="center"/>
          </w:tcPr>
          <w:p w14:paraId="540B1356" w14:textId="3E480AA3" w:rsidR="0079381A" w:rsidRPr="00B57B36" w:rsidRDefault="001247D6" w:rsidP="0079381A">
            <w:pPr>
              <w:pStyle w:val="CETBodytext"/>
              <w:ind w:right="-1"/>
              <w:jc w:val="left"/>
              <w:rPr>
                <w:rFonts w:cs="Arial"/>
                <w:szCs w:val="18"/>
                <w:lang w:val="en-GB"/>
              </w:rPr>
            </w:pPr>
            <w:r w:rsidRPr="001247D6">
              <w:rPr>
                <w:rFonts w:cs="Arial"/>
                <w:szCs w:val="18"/>
                <w:lang w:val="en-GB"/>
              </w:rPr>
              <w:t>[1.174,2.712]</w:t>
            </w:r>
          </w:p>
        </w:tc>
        <w:tc>
          <w:tcPr>
            <w:tcW w:w="2552" w:type="dxa"/>
            <w:shd w:val="clear" w:color="auto" w:fill="FFFFFF"/>
            <w:vAlign w:val="center"/>
          </w:tcPr>
          <w:p w14:paraId="47F1B8E9" w14:textId="35F393CB" w:rsidR="0079381A" w:rsidRPr="00B57B36" w:rsidRDefault="001247D6" w:rsidP="0079381A">
            <w:pPr>
              <w:pStyle w:val="CETBodytext"/>
              <w:ind w:right="-1"/>
              <w:jc w:val="left"/>
              <w:rPr>
                <w:rFonts w:cs="Arial"/>
                <w:szCs w:val="18"/>
                <w:lang w:val="en-GB"/>
              </w:rPr>
            </w:pPr>
            <w:r w:rsidRPr="001247D6">
              <w:rPr>
                <w:rFonts w:cs="Arial"/>
                <w:szCs w:val="18"/>
                <w:lang w:val="en-GB"/>
              </w:rPr>
              <w:t>1.573</w:t>
            </w:r>
          </w:p>
        </w:tc>
      </w:tr>
    </w:tbl>
    <w:p w14:paraId="2002A75A" w14:textId="77777777" w:rsidR="00A91A35" w:rsidRDefault="00A91A35" w:rsidP="00523E73">
      <w:pPr>
        <w:pStyle w:val="CETListbullets"/>
        <w:ind w:left="0" w:firstLine="0"/>
        <w:rPr>
          <w:rFonts w:eastAsiaTheme="minorEastAsia"/>
          <w:lang w:eastAsia="zh-CN"/>
        </w:rPr>
      </w:pPr>
    </w:p>
    <w:p w14:paraId="203F3A98" w14:textId="664CA6DE" w:rsidR="00523E73" w:rsidRDefault="00523E73" w:rsidP="00523E73">
      <w:pPr>
        <w:pStyle w:val="CETListbullets"/>
        <w:ind w:left="0" w:firstLine="0"/>
        <w:rPr>
          <w:rFonts w:eastAsiaTheme="minorEastAsia"/>
          <w:lang w:eastAsia="zh-CN"/>
        </w:rPr>
      </w:pPr>
      <w:r w:rsidRPr="00523E73">
        <w:rPr>
          <w:rFonts w:eastAsiaTheme="minorEastAsia"/>
          <w:lang w:eastAsia="zh-CN"/>
        </w:rPr>
        <w:t>Figure</w:t>
      </w:r>
      <w:r w:rsidR="002E260F">
        <w:rPr>
          <w:rFonts w:eastAsiaTheme="minorEastAsia"/>
          <w:lang w:eastAsia="zh-CN"/>
        </w:rPr>
        <w:t>s</w:t>
      </w:r>
      <w:r w:rsidR="00E70A36">
        <w:rPr>
          <w:rFonts w:eastAsiaTheme="minorEastAsia"/>
          <w:lang w:eastAsia="zh-CN"/>
        </w:rPr>
        <w:t xml:space="preserve"> </w:t>
      </w:r>
      <w:r w:rsidR="0004104E">
        <w:rPr>
          <w:rFonts w:eastAsiaTheme="minorEastAsia"/>
          <w:lang w:eastAsia="zh-CN"/>
        </w:rPr>
        <w:t xml:space="preserve">2 and </w:t>
      </w:r>
      <w:r w:rsidR="00402193">
        <w:rPr>
          <w:rFonts w:eastAsiaTheme="minorEastAsia"/>
          <w:lang w:eastAsia="zh-CN"/>
        </w:rPr>
        <w:t>3</w:t>
      </w:r>
      <w:r w:rsidR="0004104E">
        <w:rPr>
          <w:rFonts w:eastAsiaTheme="minorEastAsia"/>
          <w:lang w:eastAsia="zh-CN"/>
        </w:rPr>
        <w:t xml:space="preserve"> </w:t>
      </w:r>
      <w:r w:rsidRPr="00523E73">
        <w:rPr>
          <w:rFonts w:eastAsiaTheme="minorEastAsia"/>
          <w:lang w:eastAsia="zh-CN"/>
        </w:rPr>
        <w:t xml:space="preserve">respectively show the probability distributions of the EHD and RHD </w:t>
      </w:r>
      <w:r w:rsidR="00FC2E34">
        <w:rPr>
          <w:rFonts w:eastAsiaTheme="minorEastAsia"/>
          <w:lang w:eastAsia="zh-CN"/>
        </w:rPr>
        <w:t>determined by the bootstrapping results in Table 2</w:t>
      </w:r>
      <w:r w:rsidRPr="00523E73">
        <w:rPr>
          <w:rFonts w:eastAsiaTheme="minorEastAsia"/>
          <w:lang w:eastAsia="zh-CN"/>
        </w:rPr>
        <w:t xml:space="preserve">. </w:t>
      </w:r>
      <w:r w:rsidR="00D32737">
        <w:rPr>
          <w:rFonts w:eastAsiaTheme="minorEastAsia"/>
          <w:lang w:eastAsia="zh-CN"/>
        </w:rPr>
        <w:t>H</w:t>
      </w:r>
      <w:r w:rsidRPr="00523E73">
        <w:rPr>
          <w:rFonts w:eastAsiaTheme="minorEastAsia"/>
          <w:lang w:eastAsia="zh-CN"/>
        </w:rPr>
        <w:t xml:space="preserve">ere the bootstrapping process gives </w:t>
      </w:r>
      <w:r w:rsidR="00F94EF1">
        <w:rPr>
          <w:rFonts w:eastAsiaTheme="minorEastAsia"/>
          <w:lang w:eastAsia="zh-CN"/>
        </w:rPr>
        <w:t>the</w:t>
      </w:r>
      <w:r w:rsidRPr="00523E73">
        <w:rPr>
          <w:rFonts w:eastAsiaTheme="minorEastAsia"/>
          <w:lang w:eastAsia="zh-CN"/>
        </w:rPr>
        <w:t xml:space="preserve"> range of credible </w:t>
      </w:r>
      <w:r w:rsidR="005B2D35">
        <w:rPr>
          <w:rFonts w:eastAsiaTheme="minorEastAsia"/>
          <w:lang w:eastAsia="zh-CN"/>
        </w:rPr>
        <w:t xml:space="preserve">failure </w:t>
      </w:r>
      <w:r w:rsidR="000A56C8">
        <w:rPr>
          <w:rFonts w:eastAsiaTheme="minorEastAsia"/>
          <w:lang w:eastAsia="zh-CN"/>
        </w:rPr>
        <w:t xml:space="preserve">hole size </w:t>
      </w:r>
      <w:r w:rsidRPr="00523E73">
        <w:rPr>
          <w:rFonts w:eastAsiaTheme="minorEastAsia"/>
          <w:lang w:eastAsia="zh-CN"/>
        </w:rPr>
        <w:t>CDFs for CO</w:t>
      </w:r>
      <w:r w:rsidRPr="00F332FE">
        <w:rPr>
          <w:rFonts w:eastAsiaTheme="minorEastAsia"/>
          <w:vertAlign w:val="subscript"/>
          <w:lang w:eastAsia="zh-CN"/>
        </w:rPr>
        <w:t>2</w:t>
      </w:r>
      <w:r w:rsidRPr="00523E73">
        <w:rPr>
          <w:rFonts w:eastAsiaTheme="minorEastAsia"/>
          <w:lang w:eastAsia="zh-CN"/>
        </w:rPr>
        <w:t xml:space="preserve"> pipelines</w:t>
      </w:r>
      <w:r w:rsidR="00697581">
        <w:rPr>
          <w:rFonts w:eastAsiaTheme="minorEastAsia"/>
          <w:lang w:eastAsia="zh-CN"/>
        </w:rPr>
        <w:t>. The CDFs</w:t>
      </w:r>
      <w:r w:rsidR="008173E2">
        <w:rPr>
          <w:rFonts w:eastAsiaTheme="minorEastAsia"/>
          <w:lang w:eastAsia="zh-CN"/>
        </w:rPr>
        <w:t xml:space="preserve"> </w:t>
      </w:r>
      <w:r w:rsidR="006F524F">
        <w:rPr>
          <w:rFonts w:eastAsiaTheme="minorEastAsia"/>
          <w:lang w:eastAsia="zh-CN"/>
        </w:rPr>
        <w:t xml:space="preserve">characterised by </w:t>
      </w:r>
      <w:r w:rsidR="00A80F6E">
        <w:rPr>
          <w:rFonts w:eastAsiaTheme="minorEastAsia"/>
          <w:lang w:eastAsia="zh-CN"/>
        </w:rPr>
        <w:t>the</w:t>
      </w:r>
      <w:r w:rsidRPr="00523E73">
        <w:rPr>
          <w:rFonts w:eastAsiaTheme="minorEastAsia"/>
          <w:lang w:eastAsia="zh-CN"/>
        </w:rPr>
        <w:t xml:space="preserve"> lower and upper bounds </w:t>
      </w:r>
      <w:r w:rsidR="006F524F">
        <w:rPr>
          <w:rFonts w:eastAsiaTheme="minorEastAsia"/>
          <w:lang w:eastAsia="zh-CN"/>
        </w:rPr>
        <w:t>of</w:t>
      </w:r>
      <w:r w:rsidRPr="00523E73">
        <w:rPr>
          <w:rFonts w:eastAsiaTheme="minorEastAsia"/>
          <w:lang w:eastAsia="zh-CN"/>
        </w:rPr>
        <w:t xml:space="preserve"> the 95% CIs</w:t>
      </w:r>
      <w:r w:rsidR="00FC2E34">
        <w:rPr>
          <w:rFonts w:eastAsiaTheme="minorEastAsia"/>
          <w:lang w:eastAsia="zh-CN"/>
        </w:rPr>
        <w:t xml:space="preserve"> (dashed lines)</w:t>
      </w:r>
      <w:r w:rsidRPr="00523E73">
        <w:rPr>
          <w:rFonts w:eastAsiaTheme="minorEastAsia"/>
          <w:lang w:eastAsia="zh-CN"/>
        </w:rPr>
        <w:t xml:space="preserve">, </w:t>
      </w:r>
      <w:r w:rsidR="006F524F">
        <w:rPr>
          <w:rFonts w:eastAsiaTheme="minorEastAsia"/>
          <w:lang w:eastAsia="zh-CN"/>
        </w:rPr>
        <w:t>and</w:t>
      </w:r>
      <w:r w:rsidRPr="00523E73">
        <w:rPr>
          <w:rFonts w:eastAsiaTheme="minorEastAsia"/>
          <w:lang w:eastAsia="zh-CN"/>
        </w:rPr>
        <w:t xml:space="preserve"> by the arithmetic means</w:t>
      </w:r>
      <w:r w:rsidR="00FC2E34">
        <w:rPr>
          <w:rFonts w:eastAsiaTheme="minorEastAsia"/>
          <w:lang w:eastAsia="zh-CN"/>
        </w:rPr>
        <w:t xml:space="preserve"> (solid lines)</w:t>
      </w:r>
      <w:r w:rsidR="00C045EF">
        <w:rPr>
          <w:rFonts w:eastAsiaTheme="minorEastAsia"/>
          <w:lang w:eastAsia="zh-CN"/>
        </w:rPr>
        <w:t xml:space="preserve"> are highlighted in both figures</w:t>
      </w:r>
      <w:r w:rsidRPr="00523E73">
        <w:rPr>
          <w:rFonts w:eastAsiaTheme="minorEastAsia"/>
          <w:lang w:eastAsia="zh-CN"/>
        </w:rPr>
        <w:t>.</w:t>
      </w:r>
    </w:p>
    <w:p w14:paraId="552FA750" w14:textId="20328A98" w:rsidR="00114A7A" w:rsidRDefault="00114A7A" w:rsidP="00523E73">
      <w:pPr>
        <w:pStyle w:val="CETListbullets"/>
        <w:ind w:left="0" w:firstLine="0"/>
        <w:rPr>
          <w:rFonts w:eastAsiaTheme="minorEastAsia"/>
          <w:lang w:eastAsia="zh-CN"/>
        </w:rPr>
      </w:pPr>
    </w:p>
    <w:p w14:paraId="4159B23D" w14:textId="108D1A4F" w:rsidR="00C94ECF" w:rsidRDefault="00A40027" w:rsidP="00D73B73">
      <w:pPr>
        <w:pStyle w:val="CETListbullets"/>
        <w:ind w:left="0" w:firstLine="0"/>
        <w:rPr>
          <w:rFonts w:eastAsiaTheme="minorEastAsia"/>
          <w:lang w:eastAsia="zh-CN"/>
        </w:rPr>
      </w:pPr>
      <w:r>
        <w:rPr>
          <w:rFonts w:eastAsiaTheme="minorEastAsia"/>
          <w:lang w:eastAsia="zh-CN"/>
        </w:rPr>
        <w:t>As can</w:t>
      </w:r>
      <w:r w:rsidR="00C94ECF">
        <w:rPr>
          <w:rFonts w:eastAsiaTheme="minorEastAsia"/>
          <w:lang w:eastAsia="zh-CN"/>
        </w:rPr>
        <w:t xml:space="preserve"> be observed</w:t>
      </w:r>
      <w:r w:rsidR="00F30DEB">
        <w:rPr>
          <w:rFonts w:eastAsiaTheme="minorEastAsia"/>
          <w:lang w:eastAsia="zh-CN"/>
        </w:rPr>
        <w:t xml:space="preserve"> from </w:t>
      </w:r>
      <w:r w:rsidR="000351D8">
        <w:rPr>
          <w:rFonts w:eastAsiaTheme="minorEastAsia"/>
          <w:lang w:eastAsia="zh-CN"/>
        </w:rPr>
        <w:t>Figure 2</w:t>
      </w:r>
      <w:r w:rsidR="00C94ECF">
        <w:rPr>
          <w:rFonts w:eastAsiaTheme="minorEastAsia"/>
          <w:lang w:eastAsia="zh-CN"/>
        </w:rPr>
        <w:t>,</w:t>
      </w:r>
      <w:r w:rsidR="009E6882">
        <w:rPr>
          <w:rFonts w:eastAsiaTheme="minorEastAsia"/>
          <w:lang w:eastAsia="zh-CN"/>
        </w:rPr>
        <w:t xml:space="preserve"> for all CDFs in the range</w:t>
      </w:r>
      <w:r w:rsidR="00254C8B">
        <w:rPr>
          <w:rFonts w:eastAsiaTheme="minorEastAsia"/>
          <w:lang w:eastAsia="zh-CN"/>
        </w:rPr>
        <w:t>,</w:t>
      </w:r>
      <w:r w:rsidR="00C94ECF">
        <w:rPr>
          <w:rFonts w:eastAsiaTheme="minorEastAsia"/>
          <w:lang w:eastAsia="zh-CN"/>
        </w:rPr>
        <w:t xml:space="preserve"> the cumulative probability</w:t>
      </w:r>
      <w:r w:rsidR="00D73B73">
        <w:rPr>
          <w:rFonts w:eastAsiaTheme="minorEastAsia"/>
          <w:lang w:eastAsia="zh-CN"/>
        </w:rPr>
        <w:t xml:space="preserve"> </w:t>
      </w:r>
      <w:r w:rsidR="009F1D96">
        <w:rPr>
          <w:rFonts w:eastAsiaTheme="minorEastAsia"/>
          <w:lang w:eastAsia="zh-CN"/>
        </w:rPr>
        <w:t xml:space="preserve">initially </w:t>
      </w:r>
      <w:r w:rsidR="00D73B73">
        <w:rPr>
          <w:rFonts w:eastAsiaTheme="minorEastAsia"/>
          <w:lang w:eastAsia="zh-CN"/>
        </w:rPr>
        <w:t>sharply increase</w:t>
      </w:r>
      <w:r w:rsidR="00EA7BD0">
        <w:rPr>
          <w:rFonts w:eastAsiaTheme="minorEastAsia"/>
          <w:lang w:eastAsia="zh-CN"/>
        </w:rPr>
        <w:t>s</w:t>
      </w:r>
      <w:r w:rsidR="009E3A50">
        <w:rPr>
          <w:rFonts w:eastAsiaTheme="minorEastAsia"/>
          <w:lang w:eastAsia="zh-CN"/>
        </w:rPr>
        <w:t xml:space="preserve"> to over </w:t>
      </w:r>
      <w:r w:rsidR="00BC2F4A">
        <w:rPr>
          <w:rFonts w:eastAsiaTheme="minorEastAsia"/>
          <w:lang w:eastAsia="zh-CN"/>
        </w:rPr>
        <w:t>70</w:t>
      </w:r>
      <w:r w:rsidR="009E3A50">
        <w:rPr>
          <w:rFonts w:eastAsiaTheme="minorEastAsia"/>
          <w:lang w:eastAsia="zh-CN"/>
        </w:rPr>
        <w:t>%</w:t>
      </w:r>
      <w:r w:rsidR="00BC2F4A">
        <w:rPr>
          <w:rFonts w:eastAsiaTheme="minorEastAsia"/>
          <w:lang w:eastAsia="zh-CN"/>
        </w:rPr>
        <w:t xml:space="preserve"> at relatively</w:t>
      </w:r>
      <w:r w:rsidR="00291FED">
        <w:rPr>
          <w:rFonts w:eastAsiaTheme="minorEastAsia"/>
          <w:lang w:eastAsia="zh-CN"/>
        </w:rPr>
        <w:t xml:space="preserve"> small</w:t>
      </w:r>
      <w:r w:rsidR="00955779">
        <w:rPr>
          <w:rFonts w:eastAsiaTheme="minorEastAsia"/>
          <w:lang w:eastAsia="zh-CN"/>
        </w:rPr>
        <w:t xml:space="preserve"> </w:t>
      </w:r>
      <w:r w:rsidR="00254C8B">
        <w:rPr>
          <w:rFonts w:eastAsiaTheme="minorEastAsia"/>
          <w:lang w:eastAsia="zh-CN"/>
        </w:rPr>
        <w:t>EHD</w:t>
      </w:r>
      <w:r w:rsidR="00717930">
        <w:rPr>
          <w:rFonts w:eastAsiaTheme="minorEastAsia"/>
          <w:lang w:eastAsia="zh-CN"/>
        </w:rPr>
        <w:t xml:space="preserve"> (ca. 20 and 40 mm for the upper and lower bounds</w:t>
      </w:r>
      <w:r w:rsidR="001A3983">
        <w:rPr>
          <w:rFonts w:eastAsiaTheme="minorEastAsia"/>
          <w:lang w:eastAsia="zh-CN"/>
        </w:rPr>
        <w:t xml:space="preserve"> re</w:t>
      </w:r>
      <w:r w:rsidR="00CD13FB">
        <w:rPr>
          <w:rFonts w:eastAsiaTheme="minorEastAsia"/>
          <w:lang w:eastAsia="zh-CN"/>
        </w:rPr>
        <w:t>s</w:t>
      </w:r>
      <w:r w:rsidR="001A3983">
        <w:rPr>
          <w:rFonts w:eastAsiaTheme="minorEastAsia"/>
          <w:lang w:eastAsia="zh-CN"/>
        </w:rPr>
        <w:t>pectively</w:t>
      </w:r>
      <w:r w:rsidR="00717930">
        <w:rPr>
          <w:rFonts w:eastAsiaTheme="minorEastAsia"/>
          <w:lang w:eastAsia="zh-CN"/>
        </w:rPr>
        <w:t>)</w:t>
      </w:r>
      <w:r w:rsidR="00254C8B">
        <w:rPr>
          <w:rFonts w:eastAsiaTheme="minorEastAsia"/>
          <w:lang w:eastAsia="zh-CN"/>
        </w:rPr>
        <w:t xml:space="preserve"> </w:t>
      </w:r>
      <w:r w:rsidR="00D73B73">
        <w:rPr>
          <w:rFonts w:eastAsiaTheme="minorEastAsia"/>
          <w:lang w:eastAsia="zh-CN"/>
        </w:rPr>
        <w:t>and gradually converges to 1</w:t>
      </w:r>
      <w:r w:rsidR="00D75543">
        <w:rPr>
          <w:rFonts w:eastAsiaTheme="minorEastAsia"/>
          <w:lang w:eastAsia="zh-CN"/>
        </w:rPr>
        <w:t xml:space="preserve"> as</w:t>
      </w:r>
      <w:r w:rsidR="00C35BE9">
        <w:rPr>
          <w:rFonts w:eastAsiaTheme="minorEastAsia"/>
          <w:lang w:eastAsia="zh-CN"/>
        </w:rPr>
        <w:t xml:space="preserve"> </w:t>
      </w:r>
      <w:r w:rsidR="00AE7B4F">
        <w:rPr>
          <w:rFonts w:eastAsiaTheme="minorEastAsia"/>
          <w:lang w:eastAsia="zh-CN"/>
        </w:rPr>
        <w:t>the</w:t>
      </w:r>
      <w:r w:rsidR="00D75543">
        <w:rPr>
          <w:rFonts w:eastAsiaTheme="minorEastAsia"/>
          <w:lang w:eastAsia="zh-CN"/>
        </w:rPr>
        <w:t xml:space="preserve"> EHD increases</w:t>
      </w:r>
      <w:r w:rsidR="00C94ECF">
        <w:rPr>
          <w:rFonts w:eastAsiaTheme="minorEastAsia"/>
          <w:lang w:eastAsia="zh-CN"/>
        </w:rPr>
        <w:t>.</w:t>
      </w:r>
      <w:r w:rsidR="00EE369C">
        <w:rPr>
          <w:rFonts w:eastAsiaTheme="minorEastAsia"/>
          <w:lang w:eastAsia="zh-CN"/>
        </w:rPr>
        <w:t xml:space="preserve"> </w:t>
      </w:r>
      <w:r w:rsidR="00402531">
        <w:rPr>
          <w:rFonts w:eastAsiaTheme="minorEastAsia"/>
          <w:lang w:eastAsia="zh-CN"/>
        </w:rPr>
        <w:t xml:space="preserve">Similar patterns can be seen </w:t>
      </w:r>
      <w:r w:rsidR="00C35BE9">
        <w:rPr>
          <w:rFonts w:eastAsiaTheme="minorEastAsia"/>
          <w:lang w:eastAsia="zh-CN"/>
        </w:rPr>
        <w:t xml:space="preserve">in the </w:t>
      </w:r>
      <w:r w:rsidR="00D24E5A">
        <w:rPr>
          <w:rFonts w:eastAsiaTheme="minorEastAsia"/>
          <w:lang w:eastAsia="zh-CN"/>
        </w:rPr>
        <w:t>case of RHD in Figure 3</w:t>
      </w:r>
      <w:r w:rsidR="00DC3DF1">
        <w:rPr>
          <w:rFonts w:eastAsiaTheme="minorEastAsia"/>
          <w:lang w:eastAsia="zh-CN"/>
        </w:rPr>
        <w:t xml:space="preserve"> where </w:t>
      </w:r>
      <w:r w:rsidR="001B007E">
        <w:rPr>
          <w:rFonts w:eastAsiaTheme="minorEastAsia"/>
          <w:lang w:eastAsia="zh-CN"/>
        </w:rPr>
        <w:t>the</w:t>
      </w:r>
      <w:r w:rsidR="00B203B6">
        <w:rPr>
          <w:rFonts w:eastAsiaTheme="minorEastAsia"/>
          <w:lang w:eastAsia="zh-CN"/>
        </w:rPr>
        <w:t xml:space="preserve"> cumulative probability </w:t>
      </w:r>
      <w:r w:rsidR="00EC1562">
        <w:rPr>
          <w:rFonts w:eastAsiaTheme="minorEastAsia"/>
          <w:lang w:eastAsia="zh-CN"/>
        </w:rPr>
        <w:t xml:space="preserve">increase to over 70% at EHD=ca. 0.1 </w:t>
      </w:r>
      <w:r w:rsidR="00157E43">
        <w:rPr>
          <w:rFonts w:eastAsiaTheme="minorEastAsia"/>
          <w:lang w:eastAsia="zh-CN"/>
        </w:rPr>
        <w:t>for the upper bound and 0.25 for the lower bound</w:t>
      </w:r>
      <w:r w:rsidR="009E3A50">
        <w:rPr>
          <w:rFonts w:eastAsiaTheme="minorEastAsia"/>
          <w:lang w:eastAsia="zh-CN"/>
        </w:rPr>
        <w:t xml:space="preserve">. </w:t>
      </w:r>
      <w:r w:rsidR="00524FFE">
        <w:rPr>
          <w:rFonts w:eastAsiaTheme="minorEastAsia"/>
          <w:lang w:eastAsia="zh-CN"/>
        </w:rPr>
        <w:t>Th</w:t>
      </w:r>
      <w:r w:rsidR="00583A73">
        <w:rPr>
          <w:rFonts w:eastAsiaTheme="minorEastAsia"/>
          <w:lang w:eastAsia="zh-CN"/>
        </w:rPr>
        <w:t>is</w:t>
      </w:r>
      <w:r w:rsidR="00524FFE">
        <w:rPr>
          <w:rFonts w:eastAsiaTheme="minorEastAsia"/>
          <w:lang w:eastAsia="zh-CN"/>
        </w:rPr>
        <w:t xml:space="preserve"> </w:t>
      </w:r>
      <w:r w:rsidR="00583A73">
        <w:rPr>
          <w:rFonts w:eastAsiaTheme="minorEastAsia"/>
          <w:lang w:eastAsia="zh-CN"/>
        </w:rPr>
        <w:t>means that</w:t>
      </w:r>
      <w:r w:rsidR="005A6197">
        <w:rPr>
          <w:rFonts w:eastAsiaTheme="minorEastAsia"/>
          <w:lang w:eastAsia="zh-CN"/>
        </w:rPr>
        <w:t xml:space="preserve"> </w:t>
      </w:r>
      <w:r w:rsidR="00053CF7">
        <w:rPr>
          <w:rFonts w:eastAsiaTheme="minorEastAsia"/>
          <w:lang w:eastAsia="zh-CN"/>
        </w:rPr>
        <w:t xml:space="preserve">the sizes of </w:t>
      </w:r>
      <w:r w:rsidR="005A6197">
        <w:rPr>
          <w:rFonts w:eastAsiaTheme="minorEastAsia"/>
          <w:lang w:eastAsia="zh-CN"/>
        </w:rPr>
        <w:t>at least</w:t>
      </w:r>
      <w:r w:rsidR="00583A73">
        <w:rPr>
          <w:rFonts w:eastAsiaTheme="minorEastAsia"/>
          <w:lang w:eastAsia="zh-CN"/>
        </w:rPr>
        <w:t xml:space="preserve"> </w:t>
      </w:r>
      <w:r w:rsidR="00015CA0">
        <w:rPr>
          <w:rFonts w:eastAsiaTheme="minorEastAsia"/>
          <w:lang w:eastAsia="zh-CN"/>
        </w:rPr>
        <w:t xml:space="preserve">70% of </w:t>
      </w:r>
      <w:r w:rsidR="009A3037">
        <w:rPr>
          <w:rFonts w:eastAsiaTheme="minorEastAsia"/>
          <w:lang w:eastAsia="zh-CN"/>
        </w:rPr>
        <w:t xml:space="preserve">the </w:t>
      </w:r>
      <w:r w:rsidR="00015CA0">
        <w:rPr>
          <w:rFonts w:eastAsiaTheme="minorEastAsia"/>
          <w:lang w:eastAsia="zh-CN"/>
        </w:rPr>
        <w:t xml:space="preserve">holes </w:t>
      </w:r>
      <w:r w:rsidR="005A6197">
        <w:rPr>
          <w:rFonts w:eastAsiaTheme="minorEastAsia"/>
          <w:lang w:eastAsia="zh-CN"/>
        </w:rPr>
        <w:t xml:space="preserve">are smaller than 0.25 </w:t>
      </w:r>
      <w:r w:rsidR="00F679C1">
        <w:rPr>
          <w:rFonts w:eastAsiaTheme="minorEastAsia"/>
          <w:lang w:eastAsia="zh-CN"/>
        </w:rPr>
        <w:t xml:space="preserve">of the pipe internal diameter, </w:t>
      </w:r>
      <w:r w:rsidR="004B1A8D">
        <w:rPr>
          <w:rFonts w:eastAsiaTheme="minorEastAsia"/>
          <w:lang w:eastAsia="zh-CN"/>
        </w:rPr>
        <w:t>suggest</w:t>
      </w:r>
      <w:r w:rsidR="00F679C1">
        <w:rPr>
          <w:rFonts w:eastAsiaTheme="minorEastAsia"/>
          <w:lang w:eastAsia="zh-CN"/>
        </w:rPr>
        <w:t>ing</w:t>
      </w:r>
      <w:r w:rsidR="00C94ECF" w:rsidRPr="001E6C0A">
        <w:rPr>
          <w:rFonts w:eastAsiaTheme="minorEastAsia"/>
          <w:lang w:eastAsia="zh-CN"/>
        </w:rPr>
        <w:t xml:space="preserve"> that smaller holes </w:t>
      </w:r>
      <w:r w:rsidR="00A8712E">
        <w:rPr>
          <w:rFonts w:eastAsiaTheme="minorEastAsia"/>
          <w:lang w:eastAsia="zh-CN"/>
        </w:rPr>
        <w:t>are much more likely to occur</w:t>
      </w:r>
      <w:r w:rsidR="00C94ECF" w:rsidRPr="001E6C0A">
        <w:rPr>
          <w:rFonts w:eastAsiaTheme="minorEastAsia"/>
          <w:lang w:eastAsia="zh-CN"/>
        </w:rPr>
        <w:t xml:space="preserve"> on </w:t>
      </w:r>
      <w:r w:rsidR="00C94ECF">
        <w:rPr>
          <w:rFonts w:eastAsiaTheme="minorEastAsia"/>
          <w:lang w:eastAsia="zh-CN"/>
        </w:rPr>
        <w:t>CO</w:t>
      </w:r>
      <w:r w:rsidR="00C94ECF" w:rsidRPr="001E6C0A">
        <w:rPr>
          <w:rFonts w:eastAsiaTheme="minorEastAsia"/>
          <w:vertAlign w:val="subscript"/>
          <w:lang w:eastAsia="zh-CN"/>
        </w:rPr>
        <w:t>2</w:t>
      </w:r>
      <w:r w:rsidR="00C94ECF" w:rsidRPr="001E6C0A">
        <w:rPr>
          <w:rFonts w:eastAsiaTheme="minorEastAsia"/>
          <w:lang w:eastAsia="zh-CN"/>
        </w:rPr>
        <w:t xml:space="preserve"> pipelines.</w:t>
      </w:r>
      <w:r w:rsidR="00C94ECF">
        <w:rPr>
          <w:rFonts w:eastAsiaTheme="minorEastAsia"/>
          <w:lang w:eastAsia="zh-CN"/>
        </w:rPr>
        <w:t xml:space="preserve"> This may be attributed to the fact that </w:t>
      </w:r>
      <w:r w:rsidR="00C94ECF" w:rsidRPr="00523E73">
        <w:rPr>
          <w:rFonts w:eastAsiaTheme="minorEastAsia"/>
          <w:lang w:eastAsia="zh-CN"/>
        </w:rPr>
        <w:t xml:space="preserve">over 80% </w:t>
      </w:r>
      <w:r w:rsidR="00334627">
        <w:rPr>
          <w:rFonts w:eastAsiaTheme="minorEastAsia"/>
          <w:lang w:eastAsia="zh-CN"/>
        </w:rPr>
        <w:t>of the CO</w:t>
      </w:r>
      <w:r w:rsidR="00334627" w:rsidRPr="00832907">
        <w:rPr>
          <w:rFonts w:eastAsiaTheme="minorEastAsia"/>
          <w:vertAlign w:val="subscript"/>
          <w:lang w:eastAsia="zh-CN"/>
        </w:rPr>
        <w:t>2</w:t>
      </w:r>
      <w:r w:rsidR="00334627">
        <w:rPr>
          <w:rFonts w:eastAsiaTheme="minorEastAsia"/>
          <w:lang w:eastAsia="zh-CN"/>
        </w:rPr>
        <w:t xml:space="preserve"> pipeline </w:t>
      </w:r>
      <w:r w:rsidR="00D903EE">
        <w:rPr>
          <w:rFonts w:eastAsiaTheme="minorEastAsia"/>
          <w:lang w:eastAsia="zh-CN"/>
        </w:rPr>
        <w:t xml:space="preserve">incidents </w:t>
      </w:r>
      <w:r w:rsidR="00247F81">
        <w:rPr>
          <w:rFonts w:eastAsiaTheme="minorEastAsia"/>
          <w:lang w:eastAsia="zh-CN"/>
        </w:rPr>
        <w:t xml:space="preserve">in the PHMSA </w:t>
      </w:r>
      <w:r w:rsidR="00C94ECF" w:rsidRPr="00523E73">
        <w:rPr>
          <w:rFonts w:eastAsiaTheme="minorEastAsia"/>
          <w:lang w:eastAsia="zh-CN"/>
        </w:rPr>
        <w:t xml:space="preserve">are resulted from </w:t>
      </w:r>
      <w:r w:rsidR="00C94ECF">
        <w:rPr>
          <w:rFonts w:eastAsiaTheme="minorEastAsia"/>
          <w:lang w:eastAsia="zh-CN"/>
        </w:rPr>
        <w:t xml:space="preserve">corrosions </w:t>
      </w:r>
      <w:r w:rsidR="00C94ECF" w:rsidRPr="00523E73">
        <w:rPr>
          <w:rFonts w:eastAsiaTheme="minorEastAsia"/>
          <w:lang w:eastAsia="zh-CN"/>
        </w:rPr>
        <w:t xml:space="preserve">that are less likely to initiate </w:t>
      </w:r>
      <w:r w:rsidR="00C94ECF">
        <w:rPr>
          <w:rFonts w:eastAsiaTheme="minorEastAsia"/>
          <w:lang w:eastAsia="zh-CN"/>
        </w:rPr>
        <w:t>catastrophic failures</w:t>
      </w:r>
      <w:r w:rsidR="00C94ECF" w:rsidRPr="00523E73">
        <w:rPr>
          <w:rFonts w:eastAsiaTheme="minorEastAsia"/>
          <w:lang w:eastAsia="zh-CN"/>
        </w:rPr>
        <w:t>.</w:t>
      </w:r>
    </w:p>
    <w:p w14:paraId="4A7E1B6F" w14:textId="77777777" w:rsidR="00D73B73" w:rsidRDefault="00D73B73" w:rsidP="00D73B73">
      <w:pPr>
        <w:pStyle w:val="CETListbullets"/>
        <w:ind w:left="0" w:firstLine="0"/>
        <w:rPr>
          <w:rFonts w:eastAsiaTheme="minorEastAsia"/>
          <w:lang w:eastAsia="zh-CN"/>
        </w:rPr>
      </w:pPr>
    </w:p>
    <w:p w14:paraId="472CC8D1" w14:textId="383FD4BE" w:rsidR="005D57EB" w:rsidRDefault="008173E2" w:rsidP="005E253D">
      <w:pPr>
        <w:pStyle w:val="CETListbullets"/>
        <w:ind w:left="0" w:firstLine="0"/>
        <w:rPr>
          <w:rFonts w:eastAsiaTheme="minorEastAsia"/>
          <w:lang w:eastAsia="zh-CN"/>
        </w:rPr>
      </w:pPr>
      <w:r>
        <w:rPr>
          <w:rFonts w:eastAsiaTheme="minorEastAsia"/>
          <w:lang w:eastAsia="zh-CN"/>
        </w:rPr>
        <w:t>T</w:t>
      </w:r>
      <w:r w:rsidR="00A341B2">
        <w:rPr>
          <w:rFonts w:eastAsiaTheme="minorEastAsia"/>
          <w:lang w:eastAsia="zh-CN"/>
        </w:rPr>
        <w:t xml:space="preserve">he range </w:t>
      </w:r>
      <w:r w:rsidR="00290A96">
        <w:rPr>
          <w:rFonts w:eastAsiaTheme="minorEastAsia"/>
          <w:lang w:eastAsia="zh-CN"/>
        </w:rPr>
        <w:t xml:space="preserve">defined </w:t>
      </w:r>
      <w:r w:rsidR="007B6740">
        <w:rPr>
          <w:rFonts w:eastAsiaTheme="minorEastAsia"/>
          <w:lang w:eastAsia="zh-CN"/>
        </w:rPr>
        <w:t xml:space="preserve">by the upper and lower bounds </w:t>
      </w:r>
      <w:r w:rsidR="00A341B2">
        <w:rPr>
          <w:rFonts w:eastAsiaTheme="minorEastAsia"/>
          <w:lang w:eastAsia="zh-CN"/>
        </w:rPr>
        <w:t xml:space="preserve">essentially </w:t>
      </w:r>
      <w:r w:rsidR="001F5FF1">
        <w:rPr>
          <w:rFonts w:eastAsiaTheme="minorEastAsia"/>
          <w:lang w:eastAsia="zh-CN"/>
        </w:rPr>
        <w:t>present</w:t>
      </w:r>
      <w:r w:rsidR="00A341B2">
        <w:rPr>
          <w:rFonts w:eastAsiaTheme="minorEastAsia"/>
          <w:lang w:eastAsia="zh-CN"/>
        </w:rPr>
        <w:t xml:space="preserve">s the uncertainties in </w:t>
      </w:r>
      <w:r w:rsidR="00C02ACE">
        <w:rPr>
          <w:rFonts w:eastAsiaTheme="minorEastAsia"/>
          <w:lang w:eastAsia="zh-CN"/>
        </w:rPr>
        <w:t>the prediction</w:t>
      </w:r>
      <w:r w:rsidR="00334FEC">
        <w:rPr>
          <w:rFonts w:eastAsiaTheme="minorEastAsia"/>
          <w:lang w:eastAsia="zh-CN"/>
        </w:rPr>
        <w:t xml:space="preserve"> of</w:t>
      </w:r>
      <w:r w:rsidR="00763C00">
        <w:rPr>
          <w:rFonts w:eastAsiaTheme="minorEastAsia"/>
          <w:lang w:eastAsia="zh-CN"/>
        </w:rPr>
        <w:t xml:space="preserve"> </w:t>
      </w:r>
      <w:r w:rsidR="00F1205A">
        <w:rPr>
          <w:rFonts w:eastAsiaTheme="minorEastAsia"/>
          <w:lang w:eastAsia="zh-CN"/>
        </w:rPr>
        <w:t xml:space="preserve">the </w:t>
      </w:r>
      <w:r w:rsidR="00826A0C">
        <w:rPr>
          <w:rFonts w:eastAsiaTheme="minorEastAsia"/>
          <w:lang w:eastAsia="zh-CN"/>
        </w:rPr>
        <w:t xml:space="preserve">hole size </w:t>
      </w:r>
      <w:r w:rsidR="00F1205A">
        <w:rPr>
          <w:rFonts w:eastAsiaTheme="minorEastAsia"/>
          <w:lang w:eastAsia="zh-CN"/>
        </w:rPr>
        <w:t>probability distribution</w:t>
      </w:r>
      <w:r w:rsidR="00B9135E">
        <w:rPr>
          <w:rFonts w:eastAsiaTheme="minorEastAsia"/>
          <w:lang w:eastAsia="zh-CN"/>
        </w:rPr>
        <w:t xml:space="preserve">. </w:t>
      </w:r>
      <w:r w:rsidR="0047692E">
        <w:rPr>
          <w:rFonts w:eastAsiaTheme="minorEastAsia"/>
          <w:lang w:eastAsia="zh-CN"/>
        </w:rPr>
        <w:t>T</w:t>
      </w:r>
      <w:r w:rsidR="0047692E" w:rsidRPr="00523E73">
        <w:rPr>
          <w:rFonts w:eastAsiaTheme="minorEastAsia"/>
          <w:lang w:eastAsia="zh-CN"/>
        </w:rPr>
        <w:t xml:space="preserve">he </w:t>
      </w:r>
      <w:r w:rsidR="0047692E">
        <w:rPr>
          <w:rFonts w:eastAsiaTheme="minorEastAsia"/>
          <w:lang w:eastAsia="zh-CN"/>
        </w:rPr>
        <w:t xml:space="preserve">CDFs within the </w:t>
      </w:r>
      <w:r w:rsidR="005B3303">
        <w:rPr>
          <w:rFonts w:eastAsiaTheme="minorEastAsia"/>
          <w:lang w:eastAsia="zh-CN"/>
        </w:rPr>
        <w:t xml:space="preserve">uncertainty </w:t>
      </w:r>
      <w:r w:rsidR="0047692E">
        <w:rPr>
          <w:rFonts w:eastAsiaTheme="minorEastAsia"/>
          <w:lang w:eastAsia="zh-CN"/>
        </w:rPr>
        <w:t>range are considered valid hole size probability distribution for CO</w:t>
      </w:r>
      <w:r w:rsidR="0047692E" w:rsidRPr="005B5705">
        <w:rPr>
          <w:rFonts w:eastAsiaTheme="minorEastAsia"/>
          <w:vertAlign w:val="subscript"/>
          <w:lang w:eastAsia="zh-CN"/>
        </w:rPr>
        <w:t>2</w:t>
      </w:r>
      <w:r w:rsidR="0047692E">
        <w:rPr>
          <w:rFonts w:eastAsiaTheme="minorEastAsia"/>
          <w:lang w:eastAsia="zh-CN"/>
        </w:rPr>
        <w:t xml:space="preserve"> pipelines and</w:t>
      </w:r>
      <w:r w:rsidR="0047692E" w:rsidRPr="00523E73">
        <w:rPr>
          <w:rFonts w:eastAsiaTheme="minorEastAsia"/>
          <w:lang w:eastAsia="zh-CN"/>
        </w:rPr>
        <w:t xml:space="preserve"> </w:t>
      </w:r>
      <w:r w:rsidR="0047692E">
        <w:rPr>
          <w:rFonts w:eastAsiaTheme="minorEastAsia"/>
          <w:lang w:eastAsia="zh-CN"/>
        </w:rPr>
        <w:t>hence can be used</w:t>
      </w:r>
      <w:r w:rsidR="0047692E" w:rsidRPr="00523E73">
        <w:rPr>
          <w:rFonts w:eastAsiaTheme="minorEastAsia"/>
          <w:lang w:eastAsia="zh-CN"/>
        </w:rPr>
        <w:t xml:space="preserve"> </w:t>
      </w:r>
      <w:r w:rsidR="0047692E">
        <w:rPr>
          <w:rFonts w:eastAsiaTheme="minorEastAsia"/>
          <w:lang w:eastAsia="zh-CN"/>
        </w:rPr>
        <w:t xml:space="preserve">with confidence </w:t>
      </w:r>
      <w:r w:rsidR="0047692E" w:rsidRPr="00523E73">
        <w:rPr>
          <w:rFonts w:eastAsiaTheme="minorEastAsia"/>
          <w:lang w:eastAsia="zh-CN"/>
        </w:rPr>
        <w:t xml:space="preserve">for the purpose of </w:t>
      </w:r>
      <w:r w:rsidR="0047692E">
        <w:rPr>
          <w:rFonts w:eastAsiaTheme="minorEastAsia"/>
          <w:lang w:eastAsia="zh-CN"/>
        </w:rPr>
        <w:t xml:space="preserve">quantitative </w:t>
      </w:r>
      <w:r w:rsidR="0047692E" w:rsidRPr="00523E73">
        <w:rPr>
          <w:rFonts w:eastAsiaTheme="minorEastAsia"/>
          <w:lang w:eastAsia="zh-CN"/>
        </w:rPr>
        <w:t xml:space="preserve">risk </w:t>
      </w:r>
      <w:r w:rsidR="0047692E" w:rsidRPr="00523E73">
        <w:rPr>
          <w:rFonts w:eastAsiaTheme="minorEastAsia"/>
          <w:lang w:eastAsia="zh-CN"/>
        </w:rPr>
        <w:lastRenderedPageBreak/>
        <w:t xml:space="preserve">assessment where the </w:t>
      </w:r>
      <w:r w:rsidR="0047692E">
        <w:rPr>
          <w:rFonts w:eastAsiaTheme="minorEastAsia"/>
          <w:lang w:eastAsia="zh-CN"/>
        </w:rPr>
        <w:t>probability of occurrence of certain failure event</w:t>
      </w:r>
      <w:r w:rsidR="00E0569D">
        <w:rPr>
          <w:rFonts w:eastAsiaTheme="minorEastAsia"/>
          <w:lang w:eastAsia="zh-CN"/>
        </w:rPr>
        <w:t>s</w:t>
      </w:r>
      <w:r w:rsidR="0047692E">
        <w:rPr>
          <w:rFonts w:eastAsiaTheme="minorEastAsia"/>
          <w:lang w:eastAsia="zh-CN"/>
        </w:rPr>
        <w:t xml:space="preserve"> is required</w:t>
      </w:r>
      <w:r w:rsidR="0047692E" w:rsidRPr="00523E73">
        <w:rPr>
          <w:rFonts w:eastAsiaTheme="minorEastAsia"/>
          <w:lang w:eastAsia="zh-CN"/>
        </w:rPr>
        <w:t xml:space="preserve">. </w:t>
      </w:r>
      <w:r w:rsidR="0047692E">
        <w:rPr>
          <w:rFonts w:eastAsiaTheme="minorEastAsia"/>
          <w:lang w:eastAsia="zh-CN"/>
        </w:rPr>
        <w:t>D</w:t>
      </w:r>
      <w:r w:rsidR="0047692E" w:rsidRPr="00523E73">
        <w:rPr>
          <w:rFonts w:eastAsiaTheme="minorEastAsia"/>
          <w:lang w:eastAsia="zh-CN"/>
        </w:rPr>
        <w:t xml:space="preserve">ecision makers can choose from </w:t>
      </w:r>
      <w:r w:rsidR="007C1C38">
        <w:rPr>
          <w:rFonts w:eastAsiaTheme="minorEastAsia"/>
          <w:lang w:eastAsia="zh-CN"/>
        </w:rPr>
        <w:t>the</w:t>
      </w:r>
      <w:r w:rsidR="0047692E" w:rsidRPr="00523E73">
        <w:rPr>
          <w:rFonts w:eastAsiaTheme="minorEastAsia"/>
          <w:lang w:eastAsia="zh-CN"/>
        </w:rPr>
        <w:t xml:space="preserve"> range of CDFs based on their subjective preferences. </w:t>
      </w:r>
      <w:r w:rsidR="001652B1">
        <w:rPr>
          <w:rFonts w:eastAsiaTheme="minorEastAsia"/>
          <w:lang w:eastAsia="zh-CN"/>
        </w:rPr>
        <w:t>For example, t</w:t>
      </w:r>
      <w:r w:rsidR="0047692E" w:rsidRPr="00523E73">
        <w:rPr>
          <w:rFonts w:eastAsiaTheme="minorEastAsia"/>
          <w:lang w:eastAsia="zh-CN"/>
        </w:rPr>
        <w:t>he CDF characterised by the arithmetic mean</w:t>
      </w:r>
      <w:r w:rsidR="001652B1">
        <w:rPr>
          <w:rFonts w:eastAsiaTheme="minorEastAsia"/>
          <w:lang w:eastAsia="zh-CN"/>
        </w:rPr>
        <w:t xml:space="preserve"> </w:t>
      </w:r>
      <w:r w:rsidR="0047692E" w:rsidRPr="00523E73">
        <w:rPr>
          <w:rFonts w:eastAsiaTheme="minorEastAsia"/>
          <w:lang w:eastAsia="zh-CN"/>
        </w:rPr>
        <w:t xml:space="preserve">can be used as </w:t>
      </w:r>
      <w:r w:rsidR="001652B1">
        <w:rPr>
          <w:rFonts w:eastAsiaTheme="minorEastAsia"/>
          <w:lang w:eastAsia="zh-CN"/>
        </w:rPr>
        <w:t>the</w:t>
      </w:r>
      <w:r w:rsidR="0047692E" w:rsidRPr="00523E73">
        <w:rPr>
          <w:rFonts w:eastAsiaTheme="minorEastAsia"/>
          <w:lang w:eastAsia="zh-CN"/>
        </w:rPr>
        <w:t xml:space="preserve"> general-purposed guideline while the lower bound CDF can be taken as the worst</w:t>
      </w:r>
      <w:r w:rsidR="0047692E">
        <w:rPr>
          <w:rFonts w:eastAsiaTheme="minorEastAsia"/>
          <w:lang w:eastAsia="zh-CN"/>
        </w:rPr>
        <w:t>-</w:t>
      </w:r>
      <w:r w:rsidR="0047692E" w:rsidRPr="00523E73">
        <w:rPr>
          <w:rFonts w:eastAsiaTheme="minorEastAsia"/>
          <w:lang w:eastAsia="zh-CN"/>
        </w:rPr>
        <w:t>case scenario CDF in determining the risks associated with CO</w:t>
      </w:r>
      <w:r w:rsidR="0047692E" w:rsidRPr="00AC1524">
        <w:rPr>
          <w:rFonts w:eastAsiaTheme="minorEastAsia"/>
          <w:vertAlign w:val="subscript"/>
          <w:lang w:eastAsia="zh-CN"/>
        </w:rPr>
        <w:t>2</w:t>
      </w:r>
      <w:r w:rsidR="0047692E" w:rsidRPr="00523E73">
        <w:rPr>
          <w:rFonts w:eastAsiaTheme="minorEastAsia"/>
          <w:lang w:eastAsia="zh-CN"/>
        </w:rPr>
        <w:t xml:space="preserve"> pipeline failure, as it represents the highest probability occurrence of larger holes among the possible CDFs.</w:t>
      </w:r>
      <w:r w:rsidR="002A4964">
        <w:rPr>
          <w:rFonts w:eastAsiaTheme="minorEastAsia" w:hint="eastAsia"/>
          <w:lang w:eastAsia="zh-CN"/>
        </w:rPr>
        <w:t xml:space="preserve"> </w:t>
      </w:r>
      <w:r w:rsidR="002A4964">
        <w:rPr>
          <w:rFonts w:eastAsiaTheme="minorEastAsia"/>
          <w:lang w:eastAsia="zh-CN"/>
        </w:rPr>
        <w:t>It should be noted that a</w:t>
      </w:r>
      <w:r w:rsidR="00A24D8A">
        <w:rPr>
          <w:rFonts w:eastAsiaTheme="minorEastAsia"/>
          <w:lang w:eastAsia="zh-CN"/>
        </w:rPr>
        <w:t xml:space="preserve">lthough the upper bound CDF </w:t>
      </w:r>
      <w:r w:rsidR="000F7F4D">
        <w:rPr>
          <w:rFonts w:eastAsiaTheme="minorEastAsia"/>
          <w:lang w:eastAsia="zh-CN"/>
        </w:rPr>
        <w:t>can be a</w:t>
      </w:r>
      <w:r w:rsidR="00A24D8A">
        <w:rPr>
          <w:rFonts w:eastAsiaTheme="minorEastAsia"/>
          <w:lang w:eastAsia="zh-CN"/>
        </w:rPr>
        <w:t xml:space="preserve"> valid </w:t>
      </w:r>
      <w:r w:rsidR="000F7F4D">
        <w:rPr>
          <w:rFonts w:eastAsiaTheme="minorEastAsia"/>
          <w:lang w:eastAsia="zh-CN"/>
        </w:rPr>
        <w:t xml:space="preserve">distribution </w:t>
      </w:r>
      <w:r w:rsidR="00A24D8A">
        <w:rPr>
          <w:rFonts w:eastAsiaTheme="minorEastAsia"/>
          <w:lang w:eastAsia="zh-CN"/>
        </w:rPr>
        <w:t xml:space="preserve">from a statistical point of view, it is practically more reasonable to use </w:t>
      </w:r>
      <w:r w:rsidR="005B595F">
        <w:rPr>
          <w:rFonts w:eastAsiaTheme="minorEastAsia"/>
          <w:lang w:eastAsia="zh-CN"/>
        </w:rPr>
        <w:t xml:space="preserve">the </w:t>
      </w:r>
      <w:r w:rsidR="00A24D8A">
        <w:rPr>
          <w:rFonts w:eastAsiaTheme="minorEastAsia"/>
          <w:lang w:eastAsia="zh-CN"/>
        </w:rPr>
        <w:t>CDFs closer to the lower bound</w:t>
      </w:r>
      <w:r w:rsidR="008954CA">
        <w:rPr>
          <w:rFonts w:eastAsiaTheme="minorEastAsia"/>
          <w:lang w:eastAsia="zh-CN"/>
        </w:rPr>
        <w:t xml:space="preserve"> as they cover a wider range of hole size and </w:t>
      </w:r>
      <w:r w:rsidR="00625DAB">
        <w:rPr>
          <w:rFonts w:eastAsiaTheme="minorEastAsia"/>
          <w:lang w:eastAsia="zh-CN"/>
        </w:rPr>
        <w:t xml:space="preserve">therefore can </w:t>
      </w:r>
      <w:r w:rsidR="00C50998">
        <w:rPr>
          <w:rFonts w:eastAsiaTheme="minorEastAsia"/>
          <w:lang w:eastAsia="zh-CN"/>
        </w:rPr>
        <w:t>account for larger safety margins for</w:t>
      </w:r>
      <w:r w:rsidR="00625DAB">
        <w:rPr>
          <w:rFonts w:eastAsiaTheme="minorEastAsia"/>
          <w:lang w:eastAsia="zh-CN"/>
        </w:rPr>
        <w:t xml:space="preserve"> </w:t>
      </w:r>
      <w:r w:rsidR="001A1AF4">
        <w:rPr>
          <w:rFonts w:eastAsiaTheme="minorEastAsia"/>
          <w:lang w:eastAsia="zh-CN"/>
        </w:rPr>
        <w:t>quantitative risk assessment</w:t>
      </w:r>
      <w:r w:rsidR="00A24D8A">
        <w:rPr>
          <w:rFonts w:eastAsiaTheme="minorEastAsia"/>
          <w:lang w:eastAsia="zh-CN"/>
        </w:rPr>
        <w:t xml:space="preserve">.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402193" w14:paraId="073836B4" w14:textId="77777777" w:rsidTr="00402193">
        <w:tc>
          <w:tcPr>
            <w:tcW w:w="9003" w:type="dxa"/>
            <w:vAlign w:val="center"/>
          </w:tcPr>
          <w:p w14:paraId="551E51E2" w14:textId="634DD045" w:rsidR="00402193" w:rsidRDefault="009F6F6D" w:rsidP="002031DC">
            <w:pPr>
              <w:pStyle w:val="CETBodytext"/>
              <w:jc w:val="left"/>
              <w:rPr>
                <w:rFonts w:eastAsiaTheme="minorEastAsia"/>
                <w:lang w:val="en-GB" w:eastAsia="zh-CN"/>
              </w:rPr>
            </w:pPr>
            <w:r>
              <w:rPr>
                <w:rFonts w:eastAsiaTheme="minorEastAsia"/>
                <w:noProof/>
                <w:lang w:val="en-GB" w:eastAsia="zh-CN"/>
              </w:rPr>
              <w:drawing>
                <wp:inline distT="0" distB="0" distL="0" distR="0" wp14:anchorId="3B3BDD3B" wp14:editId="7B606EFA">
                  <wp:extent cx="3599589" cy="2700000"/>
                  <wp:effectExtent l="0" t="0" r="1270" b="5715"/>
                  <wp:docPr id="1" name="图片 1" descr="图片包含 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图表&#10;&#10;描述已自动生成"/>
                          <pic:cNvPicPr/>
                        </pic:nvPicPr>
                        <pic:blipFill>
                          <a:blip r:embed="rId12"/>
                          <a:stretch>
                            <a:fillRect/>
                          </a:stretch>
                        </pic:blipFill>
                        <pic:spPr>
                          <a:xfrm>
                            <a:off x="0" y="0"/>
                            <a:ext cx="3599589" cy="2700000"/>
                          </a:xfrm>
                          <a:prstGeom prst="rect">
                            <a:avLst/>
                          </a:prstGeom>
                        </pic:spPr>
                      </pic:pic>
                    </a:graphicData>
                  </a:graphic>
                </wp:inline>
              </w:drawing>
            </w:r>
          </w:p>
        </w:tc>
      </w:tr>
      <w:tr w:rsidR="00523E73" w:rsidRPr="008B08BD" w14:paraId="1AF114F2" w14:textId="77777777" w:rsidTr="00402193">
        <w:tc>
          <w:tcPr>
            <w:tcW w:w="9003" w:type="dxa"/>
            <w:vAlign w:val="center"/>
          </w:tcPr>
          <w:p w14:paraId="6D8ED0E7" w14:textId="538F9C04" w:rsidR="00523E73" w:rsidRPr="008B08BD" w:rsidRDefault="00F5798B" w:rsidP="00183BE5">
            <w:pPr>
              <w:pStyle w:val="CETBodytext"/>
              <w:rPr>
                <w:rFonts w:eastAsiaTheme="minorEastAsia"/>
                <w:i/>
                <w:iCs/>
                <w:lang w:val="en-GB" w:eastAsia="zh-CN"/>
              </w:rPr>
            </w:pPr>
            <w:r w:rsidRPr="00F5798B">
              <w:rPr>
                <w:rFonts w:eastAsiaTheme="minorEastAsia"/>
                <w:i/>
                <w:iCs/>
                <w:lang w:val="en-GB" w:eastAsia="zh-CN"/>
              </w:rPr>
              <w:t xml:space="preserve">Figure </w:t>
            </w:r>
            <w:r w:rsidR="005D2861">
              <w:rPr>
                <w:rFonts w:eastAsiaTheme="minorEastAsia"/>
                <w:i/>
                <w:iCs/>
                <w:lang w:val="en-GB" w:eastAsia="zh-CN"/>
              </w:rPr>
              <w:t>2</w:t>
            </w:r>
            <w:r>
              <w:rPr>
                <w:rFonts w:eastAsiaTheme="minorEastAsia"/>
                <w:i/>
                <w:iCs/>
                <w:lang w:val="en-GB" w:eastAsia="zh-CN"/>
              </w:rPr>
              <w:t>:</w:t>
            </w:r>
            <w:r w:rsidRPr="00F5798B">
              <w:rPr>
                <w:rFonts w:eastAsiaTheme="minorEastAsia"/>
                <w:i/>
                <w:iCs/>
                <w:lang w:val="en-GB" w:eastAsia="zh-CN"/>
              </w:rPr>
              <w:t xml:space="preserve"> </w:t>
            </w:r>
            <w:r w:rsidR="00820E4E">
              <w:rPr>
                <w:rFonts w:eastAsiaTheme="minorEastAsia"/>
                <w:i/>
                <w:iCs/>
                <w:lang w:val="en-GB" w:eastAsia="zh-CN"/>
              </w:rPr>
              <w:t xml:space="preserve">The EHD </w:t>
            </w:r>
            <w:r w:rsidRPr="00F5798B">
              <w:rPr>
                <w:rFonts w:eastAsiaTheme="minorEastAsia"/>
                <w:i/>
                <w:iCs/>
                <w:lang w:val="en-GB" w:eastAsia="zh-CN"/>
              </w:rPr>
              <w:t>CDF</w:t>
            </w:r>
            <w:r w:rsidR="00012A28">
              <w:rPr>
                <w:rFonts w:eastAsiaTheme="minorEastAsia"/>
                <w:i/>
                <w:iCs/>
                <w:lang w:val="en-GB" w:eastAsia="zh-CN"/>
              </w:rPr>
              <w:t xml:space="preserve"> range</w:t>
            </w:r>
            <w:r w:rsidR="0024756E">
              <w:rPr>
                <w:rFonts w:eastAsiaTheme="minorEastAsia"/>
                <w:i/>
                <w:iCs/>
                <w:lang w:val="en-GB" w:eastAsia="zh-CN"/>
              </w:rPr>
              <w:t xml:space="preserve"> for CO</w:t>
            </w:r>
            <w:r w:rsidR="0024756E" w:rsidRPr="0024756E">
              <w:rPr>
                <w:rFonts w:eastAsiaTheme="minorEastAsia"/>
                <w:i/>
                <w:iCs/>
                <w:vertAlign w:val="subscript"/>
                <w:lang w:val="en-GB" w:eastAsia="zh-CN"/>
              </w:rPr>
              <w:t>2</w:t>
            </w:r>
            <w:r w:rsidR="0024756E">
              <w:rPr>
                <w:rFonts w:eastAsiaTheme="minorEastAsia"/>
                <w:i/>
                <w:iCs/>
                <w:lang w:val="en-GB" w:eastAsia="zh-CN"/>
              </w:rPr>
              <w:t xml:space="preserve"> pipelines obtained by the bootstrapping process (see Table 2). The solid line is the CDF</w:t>
            </w:r>
            <w:r w:rsidRPr="00F5798B">
              <w:rPr>
                <w:rFonts w:eastAsiaTheme="minorEastAsia"/>
                <w:i/>
                <w:iCs/>
                <w:lang w:val="en-GB" w:eastAsia="zh-CN"/>
              </w:rPr>
              <w:t xml:space="preserve"> characterised by the arithmetic mean and</w:t>
            </w:r>
            <w:r w:rsidR="00CA0600">
              <w:rPr>
                <w:rFonts w:eastAsiaTheme="minorEastAsia"/>
                <w:i/>
                <w:iCs/>
                <w:lang w:val="en-GB" w:eastAsia="zh-CN"/>
              </w:rPr>
              <w:t xml:space="preserve"> the dashed lines are the CDFs characterised by the</w:t>
            </w:r>
            <w:r w:rsidRPr="00F5798B">
              <w:rPr>
                <w:rFonts w:eastAsiaTheme="minorEastAsia"/>
                <w:i/>
                <w:iCs/>
                <w:lang w:val="en-GB" w:eastAsia="zh-CN"/>
              </w:rPr>
              <w:t xml:space="preserve"> 95% CI</w:t>
            </w:r>
            <w:r w:rsidR="00711C2E">
              <w:rPr>
                <w:rFonts w:eastAsiaTheme="minorEastAsia"/>
                <w:i/>
                <w:iCs/>
                <w:lang w:val="en-GB" w:eastAsia="zh-CN"/>
              </w:rPr>
              <w:t>.</w:t>
            </w:r>
          </w:p>
        </w:tc>
      </w:tr>
    </w:tbl>
    <w:p w14:paraId="3FA56011" w14:textId="303F3161" w:rsidR="00402193" w:rsidRDefault="00402193" w:rsidP="00402193">
      <w:pPr>
        <w:pStyle w:val="CETBodytext"/>
        <w:rPr>
          <w:rFonts w:eastAsiaTheme="minorEastAsia"/>
          <w:lang w:eastAsia="zh-CN"/>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402193" w14:paraId="62EB61D5" w14:textId="77777777" w:rsidTr="00402193">
        <w:tc>
          <w:tcPr>
            <w:tcW w:w="9003" w:type="dxa"/>
            <w:vAlign w:val="center"/>
          </w:tcPr>
          <w:p w14:paraId="3B05A72E" w14:textId="4121805B" w:rsidR="00402193" w:rsidRDefault="009F6F6D" w:rsidP="002031DC">
            <w:pPr>
              <w:pStyle w:val="CETBodytext"/>
              <w:jc w:val="left"/>
              <w:rPr>
                <w:rFonts w:eastAsiaTheme="minorEastAsia"/>
                <w:lang w:val="en-GB" w:eastAsia="zh-CN"/>
              </w:rPr>
            </w:pPr>
            <w:r>
              <w:rPr>
                <w:rFonts w:eastAsiaTheme="minorEastAsia"/>
                <w:noProof/>
                <w:lang w:val="en-GB" w:eastAsia="zh-CN"/>
              </w:rPr>
              <w:drawing>
                <wp:inline distT="0" distB="0" distL="0" distR="0" wp14:anchorId="3D45FEFF" wp14:editId="7046C14A">
                  <wp:extent cx="3599590" cy="2700000"/>
                  <wp:effectExtent l="0" t="0" r="1270" b="5715"/>
                  <wp:docPr id="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pic:nvPicPr>
                        <pic:blipFill>
                          <a:blip r:embed="rId13"/>
                          <a:stretch>
                            <a:fillRect/>
                          </a:stretch>
                        </pic:blipFill>
                        <pic:spPr>
                          <a:xfrm>
                            <a:off x="0" y="0"/>
                            <a:ext cx="3599590" cy="2700000"/>
                          </a:xfrm>
                          <a:prstGeom prst="rect">
                            <a:avLst/>
                          </a:prstGeom>
                        </pic:spPr>
                      </pic:pic>
                    </a:graphicData>
                  </a:graphic>
                </wp:inline>
              </w:drawing>
            </w:r>
          </w:p>
        </w:tc>
      </w:tr>
      <w:tr w:rsidR="00402193" w:rsidRPr="008B08BD" w14:paraId="191100E8" w14:textId="77777777" w:rsidTr="00402193">
        <w:tc>
          <w:tcPr>
            <w:tcW w:w="9003" w:type="dxa"/>
            <w:vAlign w:val="center"/>
          </w:tcPr>
          <w:p w14:paraId="1F6C4EA0" w14:textId="47613A7E" w:rsidR="00402193" w:rsidRPr="008B08BD" w:rsidRDefault="00711C2E" w:rsidP="00183BE5">
            <w:pPr>
              <w:pStyle w:val="CETBodytext"/>
              <w:rPr>
                <w:rFonts w:eastAsiaTheme="minorEastAsia"/>
                <w:i/>
                <w:iCs/>
                <w:lang w:val="en-GB" w:eastAsia="zh-CN"/>
              </w:rPr>
            </w:pPr>
            <w:r w:rsidRPr="00F5798B">
              <w:rPr>
                <w:rFonts w:eastAsiaTheme="minorEastAsia"/>
                <w:i/>
                <w:iCs/>
                <w:lang w:val="en-GB" w:eastAsia="zh-CN"/>
              </w:rPr>
              <w:t xml:space="preserve">Figure </w:t>
            </w:r>
            <w:r w:rsidR="00AE504A">
              <w:rPr>
                <w:rFonts w:eastAsiaTheme="minorEastAsia"/>
                <w:i/>
                <w:iCs/>
                <w:lang w:val="en-GB" w:eastAsia="zh-CN"/>
              </w:rPr>
              <w:t>3</w:t>
            </w:r>
            <w:r>
              <w:rPr>
                <w:rFonts w:eastAsiaTheme="minorEastAsia"/>
                <w:i/>
                <w:iCs/>
                <w:lang w:val="en-GB" w:eastAsia="zh-CN"/>
              </w:rPr>
              <w:t>:</w:t>
            </w:r>
            <w:r w:rsidRPr="00F5798B">
              <w:rPr>
                <w:rFonts w:eastAsiaTheme="minorEastAsia"/>
                <w:i/>
                <w:iCs/>
                <w:lang w:val="en-GB" w:eastAsia="zh-CN"/>
              </w:rPr>
              <w:t xml:space="preserve"> </w:t>
            </w:r>
            <w:r>
              <w:rPr>
                <w:rFonts w:eastAsiaTheme="minorEastAsia"/>
                <w:i/>
                <w:iCs/>
                <w:lang w:val="en-GB" w:eastAsia="zh-CN"/>
              </w:rPr>
              <w:t xml:space="preserve">The </w:t>
            </w:r>
            <w:r w:rsidR="00AE504A">
              <w:rPr>
                <w:rFonts w:eastAsiaTheme="minorEastAsia"/>
                <w:i/>
                <w:iCs/>
                <w:lang w:val="en-GB" w:eastAsia="zh-CN"/>
              </w:rPr>
              <w:t>R</w:t>
            </w:r>
            <w:r>
              <w:rPr>
                <w:rFonts w:eastAsiaTheme="minorEastAsia"/>
                <w:i/>
                <w:iCs/>
                <w:lang w:val="en-GB" w:eastAsia="zh-CN"/>
              </w:rPr>
              <w:t xml:space="preserve">HD </w:t>
            </w:r>
            <w:r w:rsidRPr="00F5798B">
              <w:rPr>
                <w:rFonts w:eastAsiaTheme="minorEastAsia"/>
                <w:i/>
                <w:iCs/>
                <w:lang w:val="en-GB" w:eastAsia="zh-CN"/>
              </w:rPr>
              <w:t>CDF</w:t>
            </w:r>
            <w:r>
              <w:rPr>
                <w:rFonts w:eastAsiaTheme="minorEastAsia"/>
                <w:i/>
                <w:iCs/>
                <w:lang w:val="en-GB" w:eastAsia="zh-CN"/>
              </w:rPr>
              <w:t xml:space="preserve"> range for CO</w:t>
            </w:r>
            <w:r w:rsidRPr="0024756E">
              <w:rPr>
                <w:rFonts w:eastAsiaTheme="minorEastAsia"/>
                <w:i/>
                <w:iCs/>
                <w:vertAlign w:val="subscript"/>
                <w:lang w:val="en-GB" w:eastAsia="zh-CN"/>
              </w:rPr>
              <w:t>2</w:t>
            </w:r>
            <w:r>
              <w:rPr>
                <w:rFonts w:eastAsiaTheme="minorEastAsia"/>
                <w:i/>
                <w:iCs/>
                <w:lang w:val="en-GB" w:eastAsia="zh-CN"/>
              </w:rPr>
              <w:t xml:space="preserve"> pipelines obtained by the bootstrapping process (see Table 2). The solid line is the CDF</w:t>
            </w:r>
            <w:r w:rsidRPr="00F5798B">
              <w:rPr>
                <w:rFonts w:eastAsiaTheme="minorEastAsia"/>
                <w:i/>
                <w:iCs/>
                <w:lang w:val="en-GB" w:eastAsia="zh-CN"/>
              </w:rPr>
              <w:t xml:space="preserve"> characterised by the arithmetic mean and</w:t>
            </w:r>
            <w:r>
              <w:rPr>
                <w:rFonts w:eastAsiaTheme="minorEastAsia"/>
                <w:i/>
                <w:iCs/>
                <w:lang w:val="en-GB" w:eastAsia="zh-CN"/>
              </w:rPr>
              <w:t xml:space="preserve"> the dashed lines are the CDFs characterised by the</w:t>
            </w:r>
            <w:r w:rsidRPr="00F5798B">
              <w:rPr>
                <w:rFonts w:eastAsiaTheme="minorEastAsia"/>
                <w:i/>
                <w:iCs/>
                <w:lang w:val="en-GB" w:eastAsia="zh-CN"/>
              </w:rPr>
              <w:t xml:space="preserve"> 95% CI</w:t>
            </w:r>
            <w:r>
              <w:rPr>
                <w:rFonts w:eastAsiaTheme="minorEastAsia"/>
                <w:i/>
                <w:iCs/>
                <w:lang w:val="en-GB" w:eastAsia="zh-CN"/>
              </w:rPr>
              <w:t>.</w:t>
            </w:r>
          </w:p>
        </w:tc>
      </w:tr>
    </w:tbl>
    <w:p w14:paraId="6B2F91E1" w14:textId="7FF6F1C0" w:rsidR="00A91A35" w:rsidRDefault="00A91A35" w:rsidP="00A91A35">
      <w:pPr>
        <w:pStyle w:val="CETHeading1"/>
      </w:pPr>
      <w:r>
        <w:t>Conclusions</w:t>
      </w:r>
    </w:p>
    <w:p w14:paraId="4FB17D83" w14:textId="574A1290" w:rsidR="002F0063" w:rsidRPr="002F0063" w:rsidRDefault="002F0063" w:rsidP="003A0697">
      <w:pPr>
        <w:pStyle w:val="CETListbullets"/>
        <w:ind w:left="0" w:firstLine="0"/>
        <w:rPr>
          <w:rFonts w:eastAsiaTheme="minorEastAsia"/>
          <w:lang w:eastAsia="zh-CN"/>
        </w:rPr>
      </w:pPr>
      <w:r w:rsidRPr="002F0063">
        <w:rPr>
          <w:rFonts w:eastAsiaTheme="minorEastAsia"/>
          <w:lang w:eastAsia="zh-CN"/>
        </w:rPr>
        <w:t>The development</w:t>
      </w:r>
      <w:r w:rsidR="00EA7BD0">
        <w:rPr>
          <w:rFonts w:eastAsiaTheme="minorEastAsia"/>
          <w:lang w:eastAsia="zh-CN"/>
        </w:rPr>
        <w:t xml:space="preserve"> and testing </w:t>
      </w:r>
      <w:r w:rsidRPr="002F0063">
        <w:rPr>
          <w:rFonts w:eastAsiaTheme="minorEastAsia"/>
          <w:lang w:eastAsia="zh-CN"/>
        </w:rPr>
        <w:t>of a</w:t>
      </w:r>
      <w:r w:rsidR="00EA7BD0">
        <w:rPr>
          <w:rFonts w:eastAsiaTheme="minorEastAsia"/>
          <w:lang w:eastAsia="zh-CN"/>
        </w:rPr>
        <w:t>n</w:t>
      </w:r>
      <w:r w:rsidRPr="002F0063">
        <w:rPr>
          <w:rFonts w:eastAsiaTheme="minorEastAsia"/>
          <w:lang w:eastAsia="zh-CN"/>
        </w:rPr>
        <w:t xml:space="preserve"> </w:t>
      </w:r>
      <w:r w:rsidR="00F329E8">
        <w:rPr>
          <w:rFonts w:eastAsiaTheme="minorEastAsia"/>
          <w:lang w:eastAsia="zh-CN"/>
        </w:rPr>
        <w:t xml:space="preserve">analytical </w:t>
      </w:r>
      <w:r w:rsidR="00F329E8" w:rsidRPr="002F0063">
        <w:rPr>
          <w:rFonts w:eastAsiaTheme="minorEastAsia"/>
          <w:lang w:eastAsia="zh-CN"/>
        </w:rPr>
        <w:t>method</w:t>
      </w:r>
      <w:r w:rsidRPr="002F0063">
        <w:rPr>
          <w:rFonts w:eastAsiaTheme="minorEastAsia"/>
          <w:lang w:eastAsia="zh-CN"/>
        </w:rPr>
        <w:t xml:space="preserve"> for constructing credible hole size probability distributions for the failure of CO</w:t>
      </w:r>
      <w:r w:rsidRPr="00F43860">
        <w:rPr>
          <w:rFonts w:eastAsiaTheme="minorEastAsia"/>
          <w:vertAlign w:val="subscript"/>
          <w:lang w:eastAsia="zh-CN"/>
        </w:rPr>
        <w:t>2</w:t>
      </w:r>
      <w:r w:rsidRPr="002F0063">
        <w:rPr>
          <w:rFonts w:eastAsiaTheme="minorEastAsia"/>
          <w:lang w:eastAsia="zh-CN"/>
        </w:rPr>
        <w:t xml:space="preserve"> pipelines was </w:t>
      </w:r>
      <w:r w:rsidR="00EA7BD0">
        <w:rPr>
          <w:rFonts w:eastAsiaTheme="minorEastAsia"/>
          <w:lang w:eastAsia="zh-CN"/>
        </w:rPr>
        <w:t>presented</w:t>
      </w:r>
      <w:r w:rsidRPr="002F0063">
        <w:rPr>
          <w:rFonts w:eastAsiaTheme="minorEastAsia"/>
          <w:lang w:eastAsia="zh-CN"/>
        </w:rPr>
        <w:t xml:space="preserve">. The method involves fitting the Weibull distribution </w:t>
      </w:r>
      <w:r w:rsidR="007650D4">
        <w:rPr>
          <w:rFonts w:eastAsiaTheme="minorEastAsia"/>
          <w:lang w:eastAsia="zh-CN"/>
        </w:rPr>
        <w:t xml:space="preserve">to the </w:t>
      </w:r>
      <w:r w:rsidR="00993982">
        <w:rPr>
          <w:rFonts w:eastAsiaTheme="minorEastAsia"/>
          <w:lang w:eastAsia="zh-CN"/>
        </w:rPr>
        <w:t xml:space="preserve">failure </w:t>
      </w:r>
      <w:r w:rsidR="002A0EAB">
        <w:rPr>
          <w:rFonts w:eastAsiaTheme="minorEastAsia"/>
          <w:lang w:eastAsia="zh-CN"/>
        </w:rPr>
        <w:t xml:space="preserve">hole size data from </w:t>
      </w:r>
      <w:r w:rsidR="007650D4">
        <w:rPr>
          <w:rFonts w:eastAsiaTheme="minorEastAsia"/>
          <w:lang w:eastAsia="zh-CN"/>
        </w:rPr>
        <w:t>18</w:t>
      </w:r>
      <w:r w:rsidR="00B3333E">
        <w:rPr>
          <w:rFonts w:eastAsiaTheme="minorEastAsia"/>
          <w:lang w:eastAsia="zh-CN"/>
        </w:rPr>
        <w:t xml:space="preserve"> CO</w:t>
      </w:r>
      <w:r w:rsidR="00B3333E" w:rsidRPr="00B3333E">
        <w:rPr>
          <w:rFonts w:eastAsiaTheme="minorEastAsia"/>
          <w:vertAlign w:val="subscript"/>
          <w:lang w:eastAsia="zh-CN"/>
        </w:rPr>
        <w:t>2</w:t>
      </w:r>
      <w:r w:rsidR="00B3333E">
        <w:rPr>
          <w:rFonts w:eastAsiaTheme="minorEastAsia"/>
          <w:lang w:eastAsia="zh-CN"/>
        </w:rPr>
        <w:t xml:space="preserve"> pipeline loss of containment incidents recorded in the PHMSA database</w:t>
      </w:r>
      <w:r w:rsidRPr="002F0063">
        <w:rPr>
          <w:rFonts w:eastAsiaTheme="minorEastAsia"/>
          <w:lang w:eastAsia="zh-CN"/>
        </w:rPr>
        <w:t xml:space="preserve"> using </w:t>
      </w:r>
      <w:r w:rsidR="00F43860">
        <w:rPr>
          <w:rFonts w:eastAsiaTheme="minorEastAsia"/>
          <w:lang w:eastAsia="zh-CN"/>
        </w:rPr>
        <w:t xml:space="preserve">the </w:t>
      </w:r>
      <w:r w:rsidR="00C86FD7">
        <w:rPr>
          <w:rFonts w:eastAsiaTheme="minorEastAsia"/>
          <w:lang w:eastAsia="zh-CN"/>
        </w:rPr>
        <w:lastRenderedPageBreak/>
        <w:t xml:space="preserve">MLE </w:t>
      </w:r>
      <w:r w:rsidR="00BE3693">
        <w:rPr>
          <w:rFonts w:eastAsiaTheme="minorEastAsia"/>
          <w:lang w:eastAsia="zh-CN"/>
        </w:rPr>
        <w:t xml:space="preserve">method. </w:t>
      </w:r>
      <w:r w:rsidR="00CF51B4">
        <w:rPr>
          <w:rFonts w:eastAsiaTheme="minorEastAsia"/>
          <w:lang w:eastAsia="zh-CN"/>
        </w:rPr>
        <w:t>T</w:t>
      </w:r>
      <w:r w:rsidR="00CD6371">
        <w:rPr>
          <w:rFonts w:eastAsiaTheme="minorEastAsia"/>
          <w:lang w:eastAsia="zh-CN"/>
        </w:rPr>
        <w:t>he</w:t>
      </w:r>
      <w:r w:rsidR="001F75BA">
        <w:rPr>
          <w:rFonts w:eastAsiaTheme="minorEastAsia"/>
          <w:lang w:eastAsia="zh-CN"/>
        </w:rPr>
        <w:t xml:space="preserve"> quality of the MLE was then assessed by calculating the MSE based on </w:t>
      </w:r>
      <w:r w:rsidR="000A2ED5">
        <w:rPr>
          <w:rFonts w:eastAsiaTheme="minorEastAsia"/>
          <w:lang w:eastAsia="zh-CN"/>
        </w:rPr>
        <w:t>the</w:t>
      </w:r>
      <w:r w:rsidR="001F75BA">
        <w:rPr>
          <w:rFonts w:eastAsiaTheme="minorEastAsia"/>
          <w:lang w:eastAsia="zh-CN"/>
        </w:rPr>
        <w:t xml:space="preserve"> sample size. </w:t>
      </w:r>
      <w:r w:rsidR="000A2ED5">
        <w:rPr>
          <w:rFonts w:eastAsiaTheme="minorEastAsia"/>
          <w:lang w:eastAsia="zh-CN"/>
        </w:rPr>
        <w:t>The results</w:t>
      </w:r>
      <w:r w:rsidR="00D6164E">
        <w:rPr>
          <w:rFonts w:eastAsiaTheme="minorEastAsia"/>
          <w:lang w:eastAsia="zh-CN"/>
        </w:rPr>
        <w:t xml:space="preserve"> </w:t>
      </w:r>
      <w:r w:rsidR="00F329E8">
        <w:rPr>
          <w:rFonts w:eastAsiaTheme="minorEastAsia"/>
          <w:lang w:eastAsia="zh-CN"/>
        </w:rPr>
        <w:t>indicated that</w:t>
      </w:r>
      <w:r w:rsidR="000A2ED5">
        <w:rPr>
          <w:rFonts w:eastAsiaTheme="minorEastAsia"/>
          <w:lang w:eastAsia="zh-CN"/>
        </w:rPr>
        <w:t xml:space="preserve"> </w:t>
      </w:r>
      <w:r w:rsidR="00FB3880">
        <w:rPr>
          <w:rFonts w:eastAsiaTheme="minorEastAsia"/>
          <w:lang w:eastAsia="zh-CN"/>
        </w:rPr>
        <w:t xml:space="preserve">at least </w:t>
      </w:r>
      <w:proofErr w:type="gramStart"/>
      <w:r w:rsidR="00EA7BD0">
        <w:rPr>
          <w:rFonts w:eastAsiaTheme="minorEastAsia"/>
          <w:lang w:eastAsia="zh-CN"/>
        </w:rPr>
        <w:t>100</w:t>
      </w:r>
      <w:r w:rsidR="006E09FB">
        <w:rPr>
          <w:rFonts w:eastAsiaTheme="minorEastAsia"/>
          <w:lang w:eastAsia="zh-CN"/>
        </w:rPr>
        <w:t xml:space="preserve"> </w:t>
      </w:r>
      <w:r w:rsidR="00EA7BD0">
        <w:rPr>
          <w:rFonts w:eastAsiaTheme="minorEastAsia"/>
          <w:lang w:eastAsia="zh-CN"/>
        </w:rPr>
        <w:t>hole</w:t>
      </w:r>
      <w:proofErr w:type="gramEnd"/>
      <w:r w:rsidR="00F209B0">
        <w:rPr>
          <w:rFonts w:eastAsiaTheme="minorEastAsia"/>
          <w:lang w:eastAsia="zh-CN"/>
        </w:rPr>
        <w:t xml:space="preserve"> size data</w:t>
      </w:r>
      <w:r w:rsidR="007274FC">
        <w:rPr>
          <w:rFonts w:eastAsiaTheme="minorEastAsia"/>
          <w:lang w:eastAsia="zh-CN"/>
        </w:rPr>
        <w:t xml:space="preserve"> are considered sufficient for obtaining a reliable MLE for CO</w:t>
      </w:r>
      <w:r w:rsidR="007274FC" w:rsidRPr="007274FC">
        <w:rPr>
          <w:rFonts w:eastAsiaTheme="minorEastAsia"/>
          <w:vertAlign w:val="subscript"/>
          <w:lang w:eastAsia="zh-CN"/>
        </w:rPr>
        <w:t>2</w:t>
      </w:r>
      <w:r w:rsidR="007274FC">
        <w:rPr>
          <w:rFonts w:eastAsiaTheme="minorEastAsia"/>
          <w:lang w:eastAsia="zh-CN"/>
        </w:rPr>
        <w:t xml:space="preserve"> pipelines</w:t>
      </w:r>
      <w:r w:rsidR="006B53DC">
        <w:rPr>
          <w:rFonts w:eastAsiaTheme="minorEastAsia"/>
          <w:lang w:eastAsia="zh-CN"/>
        </w:rPr>
        <w:t xml:space="preserve"> while 200 are ideal. </w:t>
      </w:r>
      <w:r w:rsidR="00C14DCF">
        <w:rPr>
          <w:rFonts w:eastAsiaTheme="minorEastAsia"/>
          <w:lang w:eastAsia="zh-CN"/>
        </w:rPr>
        <w:t xml:space="preserve">The 18 </w:t>
      </w:r>
      <w:r w:rsidR="00376B0A">
        <w:rPr>
          <w:rFonts w:eastAsiaTheme="minorEastAsia"/>
          <w:lang w:eastAsia="zh-CN"/>
        </w:rPr>
        <w:t>recorded CO</w:t>
      </w:r>
      <w:r w:rsidR="00376B0A" w:rsidRPr="00F00686">
        <w:rPr>
          <w:rFonts w:eastAsiaTheme="minorEastAsia"/>
          <w:vertAlign w:val="subscript"/>
          <w:lang w:eastAsia="zh-CN"/>
        </w:rPr>
        <w:t>2</w:t>
      </w:r>
      <w:r w:rsidR="00376B0A">
        <w:rPr>
          <w:rFonts w:eastAsiaTheme="minorEastAsia"/>
          <w:lang w:eastAsia="zh-CN"/>
        </w:rPr>
        <w:t xml:space="preserve"> pipeline </w:t>
      </w:r>
      <w:r w:rsidR="00C14DCF">
        <w:rPr>
          <w:rFonts w:eastAsiaTheme="minorEastAsia"/>
          <w:lang w:eastAsia="zh-CN"/>
        </w:rPr>
        <w:t xml:space="preserve">incidents </w:t>
      </w:r>
      <w:r w:rsidR="00376B0A">
        <w:rPr>
          <w:rFonts w:eastAsiaTheme="minorEastAsia"/>
          <w:lang w:eastAsia="zh-CN"/>
        </w:rPr>
        <w:t xml:space="preserve">data </w:t>
      </w:r>
      <w:r w:rsidR="00C14DCF">
        <w:rPr>
          <w:rFonts w:eastAsiaTheme="minorEastAsia"/>
          <w:lang w:eastAsia="zh-CN"/>
        </w:rPr>
        <w:t xml:space="preserve">are </w:t>
      </w:r>
      <w:r w:rsidR="00376B0A">
        <w:rPr>
          <w:rFonts w:eastAsiaTheme="minorEastAsia"/>
          <w:lang w:eastAsia="zh-CN"/>
        </w:rPr>
        <w:t xml:space="preserve">far </w:t>
      </w:r>
      <w:r w:rsidR="00F00686">
        <w:rPr>
          <w:rFonts w:eastAsiaTheme="minorEastAsia"/>
          <w:lang w:eastAsia="zh-CN"/>
        </w:rPr>
        <w:t>insufficient, and</w:t>
      </w:r>
      <w:r w:rsidR="00C14DCF">
        <w:rPr>
          <w:rFonts w:eastAsiaTheme="minorEastAsia"/>
          <w:lang w:eastAsia="zh-CN"/>
        </w:rPr>
        <w:t xml:space="preserve"> therefore t</w:t>
      </w:r>
      <w:r w:rsidR="003A14A7">
        <w:rPr>
          <w:rFonts w:eastAsiaTheme="minorEastAsia"/>
          <w:lang w:eastAsia="zh-CN"/>
        </w:rPr>
        <w:t xml:space="preserve">he bootstrapping method involving computing the 95% CI of the MLE was employed to </w:t>
      </w:r>
      <w:r w:rsidR="00465BFE">
        <w:rPr>
          <w:rFonts w:eastAsiaTheme="minorEastAsia"/>
          <w:lang w:eastAsia="zh-CN"/>
        </w:rPr>
        <w:t>obtain</w:t>
      </w:r>
      <w:r w:rsidRPr="002F0063">
        <w:rPr>
          <w:rFonts w:eastAsiaTheme="minorEastAsia"/>
          <w:lang w:eastAsia="zh-CN"/>
        </w:rPr>
        <w:t xml:space="preserve"> </w:t>
      </w:r>
      <w:r w:rsidR="00F8077A">
        <w:rPr>
          <w:rFonts w:eastAsiaTheme="minorEastAsia"/>
          <w:lang w:eastAsia="zh-CN"/>
        </w:rPr>
        <w:t>a</w:t>
      </w:r>
      <w:r w:rsidR="003360E9">
        <w:rPr>
          <w:rFonts w:eastAsiaTheme="minorEastAsia"/>
          <w:lang w:eastAsia="zh-CN"/>
        </w:rPr>
        <w:t xml:space="preserve"> credible</w:t>
      </w:r>
      <w:r w:rsidR="00F8077A">
        <w:rPr>
          <w:rFonts w:eastAsiaTheme="minorEastAsia"/>
          <w:lang w:eastAsia="zh-CN"/>
        </w:rPr>
        <w:t xml:space="preserve"> range of</w:t>
      </w:r>
      <w:r w:rsidR="00567856">
        <w:rPr>
          <w:rFonts w:eastAsiaTheme="minorEastAsia"/>
          <w:lang w:eastAsia="zh-CN"/>
        </w:rPr>
        <w:t xml:space="preserve"> the</w:t>
      </w:r>
      <w:r w:rsidR="00F8077A">
        <w:rPr>
          <w:rFonts w:eastAsiaTheme="minorEastAsia"/>
          <w:lang w:eastAsia="zh-CN"/>
        </w:rPr>
        <w:t xml:space="preserve"> </w:t>
      </w:r>
      <w:r w:rsidR="00362A0D">
        <w:rPr>
          <w:rFonts w:eastAsiaTheme="minorEastAsia"/>
          <w:lang w:eastAsia="zh-CN"/>
        </w:rPr>
        <w:t>MLE</w:t>
      </w:r>
      <w:r w:rsidR="00253E25">
        <w:rPr>
          <w:rFonts w:eastAsiaTheme="minorEastAsia"/>
          <w:lang w:eastAsia="zh-CN"/>
        </w:rPr>
        <w:t>.</w:t>
      </w:r>
      <w:r w:rsidR="007A1487">
        <w:rPr>
          <w:rFonts w:eastAsiaTheme="minorEastAsia"/>
          <w:lang w:eastAsia="zh-CN"/>
        </w:rPr>
        <w:t xml:space="preserve"> </w:t>
      </w:r>
      <w:r w:rsidR="00A23AC4">
        <w:rPr>
          <w:rFonts w:eastAsiaTheme="minorEastAsia"/>
          <w:lang w:eastAsia="zh-CN"/>
        </w:rPr>
        <w:t xml:space="preserve">The resulting </w:t>
      </w:r>
      <w:r w:rsidR="00D1339F">
        <w:rPr>
          <w:rFonts w:eastAsiaTheme="minorEastAsia"/>
          <w:lang w:eastAsia="zh-CN"/>
        </w:rPr>
        <w:t xml:space="preserve">range of </w:t>
      </w:r>
      <w:r w:rsidR="00A23AC4">
        <w:rPr>
          <w:rFonts w:eastAsiaTheme="minorEastAsia"/>
          <w:lang w:eastAsia="zh-CN"/>
        </w:rPr>
        <w:t>CDF</w:t>
      </w:r>
      <w:r w:rsidR="00CD7F47">
        <w:rPr>
          <w:rFonts w:eastAsiaTheme="minorEastAsia"/>
          <w:lang w:eastAsia="zh-CN"/>
        </w:rPr>
        <w:t xml:space="preserve"> suggests that </w:t>
      </w:r>
      <w:r w:rsidR="0090328A" w:rsidRPr="001E6C0A">
        <w:rPr>
          <w:rFonts w:eastAsiaTheme="minorEastAsia"/>
          <w:lang w:eastAsia="zh-CN"/>
        </w:rPr>
        <w:t xml:space="preserve">smaller holes </w:t>
      </w:r>
      <w:r w:rsidR="0090328A">
        <w:rPr>
          <w:rFonts w:eastAsiaTheme="minorEastAsia"/>
          <w:lang w:eastAsia="zh-CN"/>
        </w:rPr>
        <w:t>are much more likely to occur</w:t>
      </w:r>
      <w:r w:rsidR="0090328A" w:rsidRPr="001E6C0A">
        <w:rPr>
          <w:rFonts w:eastAsiaTheme="minorEastAsia"/>
          <w:lang w:eastAsia="zh-CN"/>
        </w:rPr>
        <w:t xml:space="preserve"> </w:t>
      </w:r>
      <w:r w:rsidR="00376B0A">
        <w:rPr>
          <w:rFonts w:eastAsiaTheme="minorEastAsia"/>
          <w:lang w:eastAsia="zh-CN"/>
        </w:rPr>
        <w:t>i</w:t>
      </w:r>
      <w:r w:rsidR="00376B0A" w:rsidRPr="001E6C0A">
        <w:rPr>
          <w:rFonts w:eastAsiaTheme="minorEastAsia"/>
          <w:lang w:eastAsia="zh-CN"/>
        </w:rPr>
        <w:t xml:space="preserve">n </w:t>
      </w:r>
      <w:r w:rsidR="0090328A">
        <w:rPr>
          <w:rFonts w:eastAsiaTheme="minorEastAsia"/>
          <w:lang w:eastAsia="zh-CN"/>
        </w:rPr>
        <w:t>CO</w:t>
      </w:r>
      <w:r w:rsidR="0090328A" w:rsidRPr="001E6C0A">
        <w:rPr>
          <w:rFonts w:eastAsiaTheme="minorEastAsia"/>
          <w:vertAlign w:val="subscript"/>
          <w:lang w:eastAsia="zh-CN"/>
        </w:rPr>
        <w:t>2</w:t>
      </w:r>
      <w:r w:rsidR="0090328A" w:rsidRPr="001E6C0A">
        <w:rPr>
          <w:rFonts w:eastAsiaTheme="minorEastAsia"/>
          <w:lang w:eastAsia="zh-CN"/>
        </w:rPr>
        <w:t xml:space="preserve"> pipelines</w:t>
      </w:r>
      <w:r w:rsidR="00F00686">
        <w:rPr>
          <w:rFonts w:eastAsiaTheme="minorEastAsia"/>
          <w:lang w:eastAsia="zh-CN"/>
        </w:rPr>
        <w:t xml:space="preserve">, with </w:t>
      </w:r>
      <w:r w:rsidR="00E858E4">
        <w:rPr>
          <w:rFonts w:eastAsiaTheme="minorEastAsia"/>
          <w:lang w:eastAsia="zh-CN"/>
        </w:rPr>
        <w:t xml:space="preserve">at least 70% of the holes </w:t>
      </w:r>
      <w:r w:rsidR="00A64DB5">
        <w:rPr>
          <w:rFonts w:eastAsiaTheme="minorEastAsia"/>
          <w:lang w:eastAsia="zh-CN"/>
        </w:rPr>
        <w:t xml:space="preserve">being </w:t>
      </w:r>
      <w:r w:rsidR="00E858E4">
        <w:rPr>
          <w:rFonts w:eastAsiaTheme="minorEastAsia"/>
          <w:lang w:eastAsia="zh-CN"/>
        </w:rPr>
        <w:t>smaller than 0.25 of the pipe internal diameter</w:t>
      </w:r>
      <w:r w:rsidR="005D05F0">
        <w:rPr>
          <w:rFonts w:eastAsiaTheme="minorEastAsia"/>
          <w:lang w:eastAsia="zh-CN"/>
        </w:rPr>
        <w:t>. The range</w:t>
      </w:r>
      <w:r w:rsidR="003A2483">
        <w:rPr>
          <w:rFonts w:eastAsiaTheme="minorEastAsia"/>
          <w:lang w:eastAsia="zh-CN"/>
        </w:rPr>
        <w:t xml:space="preserve"> </w:t>
      </w:r>
      <w:r w:rsidR="00A23AC4">
        <w:rPr>
          <w:rFonts w:eastAsiaTheme="minorEastAsia"/>
          <w:lang w:eastAsia="zh-CN"/>
        </w:rPr>
        <w:t xml:space="preserve">can be used </w:t>
      </w:r>
      <w:r w:rsidR="005E05A5">
        <w:rPr>
          <w:rFonts w:eastAsiaTheme="minorEastAsia"/>
          <w:lang w:eastAsia="zh-CN"/>
        </w:rPr>
        <w:t>by</w:t>
      </w:r>
      <w:r w:rsidR="00BB5225">
        <w:rPr>
          <w:rFonts w:eastAsiaTheme="minorEastAsia"/>
          <w:lang w:eastAsia="zh-CN"/>
        </w:rPr>
        <w:t xml:space="preserve"> the d</w:t>
      </w:r>
      <w:r w:rsidR="007A1487">
        <w:rPr>
          <w:rFonts w:eastAsiaTheme="minorEastAsia"/>
          <w:lang w:eastAsia="zh-CN"/>
        </w:rPr>
        <w:t>ecision makers</w:t>
      </w:r>
      <w:r w:rsidR="00154693">
        <w:rPr>
          <w:rFonts w:eastAsiaTheme="minorEastAsia"/>
          <w:lang w:eastAsia="zh-CN"/>
        </w:rPr>
        <w:t xml:space="preserve"> </w:t>
      </w:r>
      <w:r w:rsidRPr="002F0063">
        <w:rPr>
          <w:rFonts w:eastAsiaTheme="minorEastAsia"/>
          <w:lang w:eastAsia="zh-CN"/>
        </w:rPr>
        <w:t xml:space="preserve">for </w:t>
      </w:r>
      <w:r w:rsidR="009A0328">
        <w:rPr>
          <w:rFonts w:eastAsiaTheme="minorEastAsia"/>
          <w:lang w:eastAsia="zh-CN"/>
        </w:rPr>
        <w:t>the subsequent quantitative</w:t>
      </w:r>
      <w:r w:rsidRPr="002F0063">
        <w:rPr>
          <w:rFonts w:eastAsiaTheme="minorEastAsia"/>
          <w:lang w:eastAsia="zh-CN"/>
        </w:rPr>
        <w:t xml:space="preserve"> risk assessment</w:t>
      </w:r>
      <w:r w:rsidR="009A0328">
        <w:rPr>
          <w:rFonts w:eastAsiaTheme="minorEastAsia"/>
          <w:lang w:eastAsia="zh-CN"/>
        </w:rPr>
        <w:t>, depending on</w:t>
      </w:r>
      <w:r w:rsidRPr="002F0063">
        <w:rPr>
          <w:rFonts w:eastAsiaTheme="minorEastAsia"/>
          <w:lang w:eastAsia="zh-CN"/>
        </w:rPr>
        <w:t xml:space="preserve"> their subjective preferences. </w:t>
      </w:r>
    </w:p>
    <w:p w14:paraId="78A3AD46" w14:textId="77777777" w:rsidR="00B86909" w:rsidRDefault="00B86909" w:rsidP="003A0697">
      <w:pPr>
        <w:pStyle w:val="CETListbullets"/>
        <w:ind w:left="0" w:firstLine="0"/>
        <w:rPr>
          <w:rFonts w:eastAsiaTheme="minorEastAsia"/>
          <w:lang w:eastAsia="zh-CN"/>
        </w:rPr>
      </w:pPr>
    </w:p>
    <w:p w14:paraId="0AE0BFED" w14:textId="5EA86A16" w:rsidR="00A91A35" w:rsidRDefault="002F0063" w:rsidP="003A0697">
      <w:pPr>
        <w:pStyle w:val="CETListbullets"/>
        <w:ind w:left="0" w:firstLine="0"/>
        <w:rPr>
          <w:rFonts w:eastAsiaTheme="minorEastAsia"/>
          <w:lang w:eastAsia="zh-CN"/>
        </w:rPr>
      </w:pPr>
      <w:r w:rsidRPr="002F0063">
        <w:rPr>
          <w:rFonts w:eastAsiaTheme="minorEastAsia"/>
          <w:lang w:eastAsia="zh-CN"/>
        </w:rPr>
        <w:t xml:space="preserve">The probability distributions derived using the method proposed in this study can be readily updated with the growing wealth of the </w:t>
      </w:r>
      <w:r w:rsidR="00296659">
        <w:rPr>
          <w:rFonts w:eastAsiaTheme="minorEastAsia"/>
          <w:lang w:eastAsia="zh-CN"/>
        </w:rPr>
        <w:t>hole size data for CO</w:t>
      </w:r>
      <w:r w:rsidR="00296659" w:rsidRPr="00296659">
        <w:rPr>
          <w:rFonts w:eastAsiaTheme="minorEastAsia"/>
          <w:vertAlign w:val="subscript"/>
          <w:lang w:eastAsia="zh-CN"/>
        </w:rPr>
        <w:t>2</w:t>
      </w:r>
      <w:r w:rsidR="00296659">
        <w:rPr>
          <w:rFonts w:eastAsiaTheme="minorEastAsia"/>
          <w:lang w:eastAsia="zh-CN"/>
        </w:rPr>
        <w:t xml:space="preserve"> pipeline</w:t>
      </w:r>
      <w:r w:rsidR="003D652A">
        <w:rPr>
          <w:rFonts w:eastAsiaTheme="minorEastAsia"/>
          <w:lang w:eastAsia="zh-CN"/>
        </w:rPr>
        <w:t xml:space="preserve"> failures</w:t>
      </w:r>
      <w:r w:rsidRPr="002F0063">
        <w:rPr>
          <w:rFonts w:eastAsiaTheme="minorEastAsia"/>
          <w:lang w:eastAsia="zh-CN"/>
        </w:rPr>
        <w:t xml:space="preserve">. </w:t>
      </w:r>
      <w:r w:rsidR="0072404E">
        <w:rPr>
          <w:rFonts w:eastAsiaTheme="minorEastAsia"/>
          <w:lang w:eastAsia="zh-CN"/>
        </w:rPr>
        <w:t xml:space="preserve">Future work is needed to </w:t>
      </w:r>
      <w:r w:rsidR="00A442AA">
        <w:rPr>
          <w:rFonts w:eastAsiaTheme="minorEastAsia"/>
          <w:lang w:eastAsia="zh-CN"/>
        </w:rPr>
        <w:t xml:space="preserve">study </w:t>
      </w:r>
      <w:r w:rsidR="00CA6CED">
        <w:rPr>
          <w:rFonts w:eastAsiaTheme="minorEastAsia"/>
          <w:lang w:eastAsia="zh-CN"/>
        </w:rPr>
        <w:t xml:space="preserve">the quality of the MLE based on </w:t>
      </w:r>
      <w:r w:rsidR="00EA0EEC">
        <w:rPr>
          <w:rFonts w:eastAsiaTheme="minorEastAsia"/>
          <w:lang w:eastAsia="zh-CN"/>
        </w:rPr>
        <w:t xml:space="preserve">other </w:t>
      </w:r>
      <w:r w:rsidR="00C911F9">
        <w:rPr>
          <w:rFonts w:eastAsiaTheme="minorEastAsia"/>
          <w:lang w:eastAsia="zh-CN"/>
        </w:rPr>
        <w:t>sample features</w:t>
      </w:r>
      <w:r w:rsidR="009A6AF8">
        <w:rPr>
          <w:rFonts w:eastAsiaTheme="minorEastAsia"/>
          <w:lang w:eastAsia="zh-CN"/>
        </w:rPr>
        <w:t xml:space="preserve"> besides the </w:t>
      </w:r>
      <w:r w:rsidR="00B241F8">
        <w:rPr>
          <w:rFonts w:eastAsiaTheme="minorEastAsia"/>
          <w:lang w:eastAsia="zh-CN"/>
        </w:rPr>
        <w:t xml:space="preserve">sample </w:t>
      </w:r>
      <w:r w:rsidR="009A6AF8">
        <w:rPr>
          <w:rFonts w:eastAsiaTheme="minorEastAsia"/>
          <w:lang w:eastAsia="zh-CN"/>
        </w:rPr>
        <w:t>size</w:t>
      </w:r>
      <w:r w:rsidR="007669C5">
        <w:rPr>
          <w:rFonts w:eastAsiaTheme="minorEastAsia"/>
          <w:lang w:eastAsia="zh-CN"/>
        </w:rPr>
        <w:t>.</w:t>
      </w:r>
      <w:r w:rsidR="0056294C">
        <w:rPr>
          <w:rFonts w:eastAsiaTheme="minorEastAsia"/>
          <w:lang w:eastAsia="zh-CN"/>
        </w:rPr>
        <w:t xml:space="preserve"> </w:t>
      </w:r>
      <w:r w:rsidR="007669C5">
        <w:rPr>
          <w:rFonts w:eastAsiaTheme="minorEastAsia"/>
          <w:lang w:eastAsia="zh-CN"/>
        </w:rPr>
        <w:t>W</w:t>
      </w:r>
      <w:r w:rsidR="00C911F9">
        <w:rPr>
          <w:rFonts w:eastAsiaTheme="minorEastAsia"/>
          <w:lang w:eastAsia="zh-CN"/>
        </w:rPr>
        <w:t xml:space="preserve">hether </w:t>
      </w:r>
      <w:r w:rsidR="0015783F">
        <w:rPr>
          <w:rFonts w:eastAsiaTheme="minorEastAsia"/>
          <w:lang w:eastAsia="zh-CN"/>
        </w:rPr>
        <w:t>the sample</w:t>
      </w:r>
      <w:r w:rsidR="00C911F9">
        <w:rPr>
          <w:rFonts w:eastAsiaTheme="minorEastAsia"/>
          <w:lang w:eastAsia="zh-CN"/>
        </w:rPr>
        <w:t xml:space="preserve"> ideally cover</w:t>
      </w:r>
      <w:r w:rsidR="00CC042E">
        <w:rPr>
          <w:rFonts w:eastAsiaTheme="minorEastAsia"/>
          <w:lang w:eastAsia="zh-CN"/>
        </w:rPr>
        <w:t>s</w:t>
      </w:r>
      <w:r w:rsidR="007D0ABB">
        <w:rPr>
          <w:rFonts w:eastAsiaTheme="minorEastAsia"/>
          <w:lang w:eastAsia="zh-CN"/>
        </w:rPr>
        <w:t>,</w:t>
      </w:r>
      <w:r w:rsidR="00C911F9">
        <w:rPr>
          <w:rFonts w:eastAsiaTheme="minorEastAsia"/>
          <w:lang w:eastAsia="zh-CN"/>
        </w:rPr>
        <w:t xml:space="preserve"> </w:t>
      </w:r>
      <w:r w:rsidR="00376B0A">
        <w:rPr>
          <w:rFonts w:eastAsiaTheme="minorEastAsia"/>
          <w:lang w:eastAsia="zh-CN"/>
        </w:rPr>
        <w:t xml:space="preserve">for example, </w:t>
      </w:r>
      <w:r w:rsidR="007610A3">
        <w:rPr>
          <w:rFonts w:eastAsiaTheme="minorEastAsia"/>
          <w:lang w:eastAsia="zh-CN"/>
        </w:rPr>
        <w:t xml:space="preserve">a </w:t>
      </w:r>
      <w:r w:rsidR="00376B0A">
        <w:rPr>
          <w:rFonts w:eastAsiaTheme="minorEastAsia"/>
          <w:lang w:eastAsia="zh-CN"/>
        </w:rPr>
        <w:t xml:space="preserve">sufficiently </w:t>
      </w:r>
      <w:r w:rsidR="007610A3">
        <w:rPr>
          <w:rFonts w:eastAsiaTheme="minorEastAsia"/>
          <w:lang w:eastAsia="zh-CN"/>
        </w:rPr>
        <w:t>wide range of</w:t>
      </w:r>
      <w:r w:rsidR="007B0A69">
        <w:rPr>
          <w:rFonts w:eastAsiaTheme="minorEastAsia"/>
          <w:lang w:eastAsia="zh-CN"/>
        </w:rPr>
        <w:t xml:space="preserve"> failure modes</w:t>
      </w:r>
      <w:r w:rsidR="005E05A5">
        <w:rPr>
          <w:rFonts w:eastAsiaTheme="minorEastAsia"/>
          <w:lang w:eastAsia="zh-CN"/>
        </w:rPr>
        <w:t xml:space="preserve"> </w:t>
      </w:r>
      <w:r w:rsidR="00FF35A3">
        <w:rPr>
          <w:rFonts w:eastAsiaTheme="minorEastAsia"/>
          <w:lang w:eastAsia="zh-CN"/>
        </w:rPr>
        <w:t xml:space="preserve">or the entire range of hole sizes </w:t>
      </w:r>
      <w:r w:rsidR="00376B0A">
        <w:rPr>
          <w:rFonts w:eastAsiaTheme="minorEastAsia"/>
          <w:lang w:eastAsia="zh-CN"/>
        </w:rPr>
        <w:t xml:space="preserve">is </w:t>
      </w:r>
      <w:r w:rsidR="00FF35A3">
        <w:rPr>
          <w:rFonts w:eastAsiaTheme="minorEastAsia"/>
          <w:lang w:eastAsia="zh-CN"/>
        </w:rPr>
        <w:t>important.</w:t>
      </w:r>
      <w:r w:rsidR="0063386E">
        <w:rPr>
          <w:rFonts w:eastAsiaTheme="minorEastAsia"/>
          <w:lang w:eastAsia="zh-CN"/>
        </w:rPr>
        <w:t xml:space="preserve"> </w:t>
      </w:r>
    </w:p>
    <w:p w14:paraId="6AA3EC70" w14:textId="50DC5B7A" w:rsidR="00AB64EB" w:rsidRDefault="00AB64EB" w:rsidP="00AB64EB">
      <w:pPr>
        <w:pStyle w:val="CETHeadingxx"/>
        <w:rPr>
          <w:rFonts w:eastAsiaTheme="minorEastAsia"/>
          <w:lang w:eastAsia="zh-CN"/>
        </w:rPr>
      </w:pPr>
      <w:r w:rsidRPr="00AB64EB">
        <w:rPr>
          <w:rFonts w:eastAsiaTheme="minorEastAsia"/>
          <w:lang w:eastAsia="zh-CN"/>
        </w:rPr>
        <w:t>Nomenclature</w:t>
      </w:r>
    </w:p>
    <w:p w14:paraId="30AE40E5" w14:textId="28CC2E93" w:rsidR="00AB64EB" w:rsidRDefault="00AB64EB" w:rsidP="00AB64EB">
      <w:pPr>
        <w:pStyle w:val="CETBodytext"/>
        <w:rPr>
          <w:rFonts w:eastAsiaTheme="minorEastAsia"/>
          <w:vertAlign w:val="superscript"/>
          <w:lang w:eastAsia="zh-CN"/>
        </w:rPr>
      </w:pPr>
      <m:oMath>
        <m:r>
          <w:rPr>
            <w:rFonts w:ascii="Cambria Math" w:hAnsi="Cambria Math"/>
          </w:rPr>
          <m:t>A</m:t>
        </m:r>
      </m:oMath>
      <w:r w:rsidRPr="00AB64EB">
        <w:rPr>
          <w:rFonts w:eastAsiaTheme="minorEastAsia"/>
          <w:lang w:eastAsia="zh-CN"/>
        </w:rPr>
        <w:t xml:space="preserve"> – hole cross section area, m</w:t>
      </w:r>
      <w:r w:rsidRPr="00AB64EB">
        <w:rPr>
          <w:rFonts w:eastAsiaTheme="minorEastAsia"/>
          <w:vertAlign w:val="superscript"/>
          <w:lang w:eastAsia="zh-CN"/>
        </w:rPr>
        <w:t>2</w:t>
      </w:r>
    </w:p>
    <w:p w14:paraId="5A20B2E3" w14:textId="11DFAF2E" w:rsidR="00AB64EB" w:rsidRDefault="0098235E" w:rsidP="00AB64EB">
      <w:pPr>
        <w:pStyle w:val="CETBodytext"/>
        <w:rPr>
          <w:rFonts w:eastAsiaTheme="minorEastAsia"/>
          <w:lang w:eastAsia="zh-CN"/>
        </w:rPr>
      </w:pPr>
      <m:oMath>
        <m:sSub>
          <m:sSubPr>
            <m:ctrlPr>
              <w:rPr>
                <w:rFonts w:ascii="Cambria Math" w:hAnsi="Cambria Math"/>
                <w:i/>
                <w:lang w:val="en-GB"/>
              </w:rPr>
            </m:ctrlPr>
          </m:sSubPr>
          <m:e>
            <m:r>
              <w:rPr>
                <w:rFonts w:ascii="Cambria Math" w:hAnsi="Cambria Math"/>
              </w:rPr>
              <m:t>D</m:t>
            </m:r>
          </m:e>
          <m:sub>
            <m:r>
              <w:rPr>
                <w:rFonts w:ascii="Cambria Math" w:hAnsi="Cambria Math"/>
              </w:rPr>
              <m:t>in</m:t>
            </m:r>
          </m:sub>
        </m:sSub>
      </m:oMath>
      <w:r w:rsidR="00AB64EB" w:rsidRPr="00AB64EB">
        <w:rPr>
          <w:rFonts w:eastAsiaTheme="minorEastAsia"/>
          <w:lang w:eastAsia="zh-CN"/>
        </w:rPr>
        <w:t xml:space="preserve"> – </w:t>
      </w:r>
      <w:r w:rsidR="00AB64EB">
        <w:rPr>
          <w:rFonts w:eastAsiaTheme="minorEastAsia"/>
          <w:lang w:eastAsia="zh-CN"/>
        </w:rPr>
        <w:t>pipe internal diameter, m</w:t>
      </w:r>
    </w:p>
    <w:p w14:paraId="4D50209F" w14:textId="36BD9967" w:rsidR="0098235E" w:rsidRDefault="0098235E" w:rsidP="00AB64EB">
      <w:pPr>
        <w:pStyle w:val="CETBodytext"/>
        <w:rPr>
          <w:rFonts w:eastAsiaTheme="minorEastAsia" w:hint="eastAsia"/>
          <w:lang w:eastAsia="zh-CN"/>
        </w:rPr>
      </w:pPr>
      <m:oMath>
        <m:r>
          <m:rPr>
            <m:sty m:val="p"/>
          </m:rPr>
          <w:rPr>
            <w:rFonts w:ascii="Cambria Math" w:hAnsi="Cambria Math"/>
          </w:rPr>
          <m:t>EHD</m:t>
        </m:r>
      </m:oMath>
      <w:r>
        <w:rPr>
          <w:rFonts w:eastAsiaTheme="minorEastAsia" w:hint="eastAsia"/>
          <w:lang w:eastAsia="zh-CN"/>
        </w:rPr>
        <w:t xml:space="preserve"> </w:t>
      </w:r>
      <w:r w:rsidRPr="00AB64EB">
        <w:rPr>
          <w:rFonts w:eastAsiaTheme="minorEastAsia"/>
          <w:lang w:eastAsia="zh-CN"/>
        </w:rPr>
        <w:t>–</w:t>
      </w:r>
      <w:r>
        <w:rPr>
          <w:rFonts w:eastAsiaTheme="minorEastAsia"/>
          <w:lang w:eastAsia="zh-CN"/>
        </w:rPr>
        <w:t xml:space="preserve"> equivalent hole diameter, mm</w:t>
      </w:r>
    </w:p>
    <w:p w14:paraId="3654E2C8" w14:textId="557E7E40" w:rsidR="00DB7593" w:rsidRDefault="00DB7593" w:rsidP="00AB64EB">
      <w:pPr>
        <w:pStyle w:val="CETBodytext"/>
        <w:rPr>
          <w:rFonts w:eastAsiaTheme="minorEastAsia"/>
          <w:lang w:eastAsia="zh-CN"/>
        </w:rPr>
      </w:pPr>
      <m:oMath>
        <m:r>
          <w:rPr>
            <w:rFonts w:ascii="Cambria Math" w:hAnsi="Cambria Math"/>
          </w:rPr>
          <m:t>P</m:t>
        </m:r>
      </m:oMath>
      <w:r w:rsidRPr="00AB64EB">
        <w:rPr>
          <w:rFonts w:eastAsiaTheme="minorEastAsia"/>
          <w:lang w:eastAsia="zh-CN"/>
        </w:rPr>
        <w:t xml:space="preserve"> – hole perimeter, m</w:t>
      </w:r>
    </w:p>
    <w:p w14:paraId="70BE49BE" w14:textId="3ECE3DC0" w:rsidR="0098235E" w:rsidRPr="00AB64EB" w:rsidRDefault="0098235E" w:rsidP="00AB64EB">
      <w:pPr>
        <w:pStyle w:val="CETBodytext"/>
        <w:rPr>
          <w:rFonts w:eastAsiaTheme="minorEastAsia" w:hint="eastAsia"/>
          <w:lang w:eastAsia="zh-CN"/>
        </w:rPr>
      </w:pPr>
      <m:oMath>
        <m:r>
          <m:rPr>
            <m:sty m:val="p"/>
          </m:rPr>
          <w:rPr>
            <w:rFonts w:ascii="Cambria Math" w:hAnsi="Cambria Math"/>
          </w:rPr>
          <m:t>RHD</m:t>
        </m:r>
      </m:oMath>
      <w:r>
        <w:rPr>
          <w:rFonts w:eastAsiaTheme="minorEastAsia" w:hint="eastAsia"/>
          <w:lang w:eastAsia="zh-CN"/>
        </w:rPr>
        <w:t xml:space="preserve"> </w:t>
      </w:r>
      <w:r w:rsidRPr="00AB64EB">
        <w:rPr>
          <w:rFonts w:eastAsiaTheme="minorEastAsia"/>
          <w:lang w:eastAsia="zh-CN"/>
        </w:rPr>
        <w:t>–</w:t>
      </w:r>
      <w:r>
        <w:rPr>
          <w:rFonts w:eastAsiaTheme="minorEastAsia"/>
          <w:lang w:eastAsia="zh-CN"/>
        </w:rPr>
        <w:t xml:space="preserve"> relative hole diameter, dimensionless</w:t>
      </w:r>
    </w:p>
    <w:p w14:paraId="25CFA282" w14:textId="32A80CBF" w:rsidR="00AB64EB" w:rsidRPr="00AB64EB" w:rsidRDefault="00733ACF" w:rsidP="00AB64EB">
      <w:pPr>
        <w:pStyle w:val="CETBodytext"/>
        <w:rPr>
          <w:rFonts w:eastAsiaTheme="minorEastAsia"/>
          <w:lang w:eastAsia="zh-CN"/>
        </w:rPr>
      </w:pPr>
      <m:oMath>
        <m:r>
          <w:rPr>
            <w:rFonts w:ascii="Cambria Math" w:hAnsi="Cambria Math"/>
          </w:rPr>
          <m:t>α</m:t>
        </m:r>
      </m:oMath>
      <w:r w:rsidR="00AB64EB" w:rsidRPr="00AB64EB">
        <w:rPr>
          <w:rFonts w:eastAsiaTheme="minorEastAsia"/>
          <w:lang w:eastAsia="zh-CN"/>
        </w:rPr>
        <w:t xml:space="preserve"> – </w:t>
      </w:r>
      <w:r>
        <w:rPr>
          <w:rFonts w:eastAsiaTheme="minorEastAsia"/>
          <w:lang w:eastAsia="zh-CN"/>
        </w:rPr>
        <w:t>Weibull scale parameter</w:t>
      </w:r>
    </w:p>
    <w:p w14:paraId="299A25C7" w14:textId="0E19374E" w:rsidR="00AB64EB" w:rsidRPr="00AB64EB" w:rsidRDefault="00733ACF" w:rsidP="00AB64EB">
      <w:pPr>
        <w:pStyle w:val="CETBodytext"/>
        <w:rPr>
          <w:rFonts w:eastAsiaTheme="minorEastAsia"/>
          <w:lang w:eastAsia="zh-CN"/>
        </w:rPr>
      </w:pPr>
      <m:oMath>
        <m:r>
          <w:rPr>
            <w:rFonts w:ascii="Cambria Math" w:hAnsi="Cambria Math"/>
          </w:rPr>
          <m:t>β</m:t>
        </m:r>
      </m:oMath>
      <w:r w:rsidR="00AB64EB" w:rsidRPr="00AB64EB">
        <w:rPr>
          <w:rFonts w:eastAsiaTheme="minorEastAsia"/>
          <w:lang w:eastAsia="zh-CN"/>
        </w:rPr>
        <w:t xml:space="preserve"> – </w:t>
      </w:r>
      <w:r>
        <w:rPr>
          <w:rFonts w:eastAsiaTheme="minorEastAsia"/>
          <w:lang w:eastAsia="zh-CN"/>
        </w:rPr>
        <w:t>Weibull shape parameter</w:t>
      </w:r>
    </w:p>
    <w:p w14:paraId="459D05E6" w14:textId="77777777" w:rsidR="00600535" w:rsidRPr="00B57B36" w:rsidRDefault="00600535" w:rsidP="00600535">
      <w:pPr>
        <w:pStyle w:val="CETAcknowledgementstitle"/>
      </w:pPr>
      <w:r w:rsidRPr="00B57B36">
        <w:t>Acknowledgments</w:t>
      </w:r>
    </w:p>
    <w:p w14:paraId="33F8138F" w14:textId="07611D47" w:rsidR="00600535" w:rsidRPr="00B57B36" w:rsidRDefault="00D61262" w:rsidP="00600535">
      <w:pPr>
        <w:pStyle w:val="CETBodytext"/>
        <w:rPr>
          <w:lang w:val="en-GB"/>
        </w:rPr>
      </w:pPr>
      <w:r>
        <w:rPr>
          <w:lang w:val="en-GB"/>
        </w:rPr>
        <w:t xml:space="preserve">This work has received funding from the European Union’s Horizon 2020 research and innovation programme under grant agreement no. 884418. The work reflects only the authors’ </w:t>
      </w:r>
      <w:proofErr w:type="gramStart"/>
      <w:r>
        <w:rPr>
          <w:lang w:val="en-GB"/>
        </w:rPr>
        <w:t>views</w:t>
      </w:r>
      <w:proofErr w:type="gramEnd"/>
      <w:r>
        <w:rPr>
          <w:lang w:val="en-GB"/>
        </w:rPr>
        <w:t xml:space="preserve"> and the European Union is not liable for any use that may be made of the information contained therein.</w:t>
      </w:r>
    </w:p>
    <w:p w14:paraId="4F1327F8" w14:textId="77777777" w:rsidR="00600535" w:rsidRPr="00B57B36" w:rsidRDefault="00600535" w:rsidP="00600535">
      <w:pPr>
        <w:pStyle w:val="CETReference"/>
      </w:pPr>
      <w:r w:rsidRPr="00B57B36">
        <w:t>References</w:t>
      </w:r>
    </w:p>
    <w:p w14:paraId="37391CBD" w14:textId="674101D9" w:rsidR="006F6EA1" w:rsidRPr="006F6EA1" w:rsidRDefault="00F97229" w:rsidP="006F6EA1">
      <w:pPr>
        <w:autoSpaceDE w:val="0"/>
        <w:autoSpaceDN w:val="0"/>
        <w:adjustRightInd w:val="0"/>
        <w:spacing w:line="240" w:lineRule="auto"/>
        <w:ind w:left="480" w:hanging="480"/>
        <w:jc w:val="left"/>
        <w:rPr>
          <w:rFonts w:cs="Arial"/>
          <w:noProof/>
          <w:szCs w:val="24"/>
        </w:rPr>
      </w:pPr>
      <w:r>
        <w:fldChar w:fldCharType="begin" w:fldLock="1"/>
      </w:r>
      <w:r>
        <w:instrText xml:space="preserve">ADDIN Mendeley Bibliography CSL_BIBLIOGRAPHY </w:instrText>
      </w:r>
      <w:r>
        <w:fldChar w:fldCharType="separate"/>
      </w:r>
      <w:r w:rsidR="006F6EA1" w:rsidRPr="006F6EA1">
        <w:rPr>
          <w:rFonts w:cs="Arial"/>
          <w:noProof/>
          <w:szCs w:val="24"/>
        </w:rPr>
        <w:t>CONCAWE, 2011. Oil pipelines management group’s special task force on oil pipeline spillages (OP/STF-1). Brussels.</w:t>
      </w:r>
    </w:p>
    <w:p w14:paraId="25105F2B" w14:textId="77777777" w:rsidR="006F6EA1" w:rsidRPr="006F6EA1" w:rsidRDefault="006F6EA1" w:rsidP="006F6EA1">
      <w:pPr>
        <w:autoSpaceDE w:val="0"/>
        <w:autoSpaceDN w:val="0"/>
        <w:adjustRightInd w:val="0"/>
        <w:spacing w:line="240" w:lineRule="auto"/>
        <w:ind w:left="480" w:hanging="480"/>
        <w:jc w:val="left"/>
        <w:rPr>
          <w:rFonts w:cs="Arial"/>
          <w:noProof/>
          <w:szCs w:val="24"/>
        </w:rPr>
      </w:pPr>
      <w:r w:rsidRPr="006F6EA1">
        <w:rPr>
          <w:rFonts w:cs="Arial"/>
          <w:noProof/>
          <w:szCs w:val="24"/>
        </w:rPr>
        <w:t>Element Energy, 2010. CO2 pipeline infrastructure: An analysis of global challenges and opportunities.</w:t>
      </w:r>
    </w:p>
    <w:p w14:paraId="001FCCAB" w14:textId="77777777" w:rsidR="006F6EA1" w:rsidRPr="006F6EA1" w:rsidRDefault="006F6EA1" w:rsidP="006F6EA1">
      <w:pPr>
        <w:autoSpaceDE w:val="0"/>
        <w:autoSpaceDN w:val="0"/>
        <w:adjustRightInd w:val="0"/>
        <w:spacing w:line="240" w:lineRule="auto"/>
        <w:ind w:left="480" w:hanging="480"/>
        <w:jc w:val="left"/>
        <w:rPr>
          <w:rFonts w:cs="Arial"/>
          <w:noProof/>
          <w:szCs w:val="24"/>
        </w:rPr>
      </w:pPr>
      <w:r w:rsidRPr="006F6EA1">
        <w:rPr>
          <w:rFonts w:cs="Arial"/>
          <w:noProof/>
          <w:szCs w:val="24"/>
        </w:rPr>
        <w:t>Ginos, B.F., 2009. Parameter estimation for the lognormal distribution. Brigham Young University.</w:t>
      </w:r>
    </w:p>
    <w:p w14:paraId="5EFB59A4" w14:textId="0C84E665" w:rsidR="006F6EA1" w:rsidRPr="006F6EA1" w:rsidRDefault="006F6EA1" w:rsidP="006F6EA1">
      <w:pPr>
        <w:autoSpaceDE w:val="0"/>
        <w:autoSpaceDN w:val="0"/>
        <w:adjustRightInd w:val="0"/>
        <w:spacing w:line="240" w:lineRule="auto"/>
        <w:ind w:left="480" w:hanging="480"/>
        <w:jc w:val="left"/>
        <w:rPr>
          <w:rFonts w:cs="Arial"/>
          <w:noProof/>
          <w:szCs w:val="24"/>
        </w:rPr>
      </w:pPr>
      <w:r w:rsidRPr="006F6EA1">
        <w:rPr>
          <w:rFonts w:cs="Arial"/>
          <w:noProof/>
          <w:szCs w:val="24"/>
        </w:rPr>
        <w:t>Goodfellow, G., Turner, S., Haswell, J., Espiner, R., 2012. An Update to the UKOPA Pipeline Damage Distributions, in: International Pipeline Conference. American Society of Mechanical Engineers, pp. 541–547.</w:t>
      </w:r>
    </w:p>
    <w:p w14:paraId="6BAAD825" w14:textId="77777777" w:rsidR="006F6EA1" w:rsidRPr="006F6EA1" w:rsidRDefault="006F6EA1" w:rsidP="006F6EA1">
      <w:pPr>
        <w:autoSpaceDE w:val="0"/>
        <w:autoSpaceDN w:val="0"/>
        <w:adjustRightInd w:val="0"/>
        <w:spacing w:line="240" w:lineRule="auto"/>
        <w:ind w:left="480" w:hanging="480"/>
        <w:jc w:val="left"/>
        <w:rPr>
          <w:rFonts w:cs="Arial"/>
          <w:noProof/>
          <w:szCs w:val="24"/>
        </w:rPr>
      </w:pPr>
      <w:r w:rsidRPr="006F6EA1">
        <w:rPr>
          <w:rFonts w:cs="Arial"/>
          <w:noProof/>
          <w:szCs w:val="24"/>
        </w:rPr>
        <w:t>Intergovernmental Panel on Climate Change (IPCC), 2018. Global warming of 1.5°C.</w:t>
      </w:r>
    </w:p>
    <w:p w14:paraId="1432FD6D" w14:textId="61875A93" w:rsidR="006F6EA1" w:rsidRPr="006F6EA1" w:rsidRDefault="006F6EA1" w:rsidP="006F6EA1">
      <w:pPr>
        <w:autoSpaceDE w:val="0"/>
        <w:autoSpaceDN w:val="0"/>
        <w:adjustRightInd w:val="0"/>
        <w:spacing w:line="240" w:lineRule="auto"/>
        <w:ind w:left="480" w:hanging="480"/>
        <w:jc w:val="left"/>
        <w:rPr>
          <w:rFonts w:cs="Arial"/>
          <w:noProof/>
          <w:szCs w:val="24"/>
        </w:rPr>
      </w:pPr>
      <w:r w:rsidRPr="006F6EA1">
        <w:rPr>
          <w:rFonts w:cs="Arial"/>
          <w:noProof/>
          <w:szCs w:val="24"/>
        </w:rPr>
        <w:t>Ji, Q., 2020. Foundation and basics, in: Probabilistic Graphical Models for Computer Vision. Elsevier, pp. 11–29.</w:t>
      </w:r>
    </w:p>
    <w:p w14:paraId="03310D5A" w14:textId="77777777" w:rsidR="006F6EA1" w:rsidRPr="006F6EA1" w:rsidRDefault="006F6EA1" w:rsidP="006F6EA1">
      <w:pPr>
        <w:autoSpaceDE w:val="0"/>
        <w:autoSpaceDN w:val="0"/>
        <w:adjustRightInd w:val="0"/>
        <w:spacing w:line="240" w:lineRule="auto"/>
        <w:ind w:left="480" w:hanging="480"/>
        <w:jc w:val="left"/>
        <w:rPr>
          <w:rFonts w:cs="Arial"/>
          <w:noProof/>
          <w:szCs w:val="24"/>
        </w:rPr>
      </w:pPr>
      <w:r w:rsidRPr="006F6EA1">
        <w:rPr>
          <w:rFonts w:cs="Arial"/>
          <w:noProof/>
          <w:szCs w:val="24"/>
        </w:rPr>
        <w:t>Koch, P., 2008. Equivalent diameters of rectangular and oval ducts. Build. Serv. Eng. Res. Technol. 29, 341–347.</w:t>
      </w:r>
    </w:p>
    <w:p w14:paraId="0BD9E581" w14:textId="20AAA7D9" w:rsidR="006F6EA1" w:rsidRPr="006F6EA1" w:rsidRDefault="006F6EA1" w:rsidP="006F6EA1">
      <w:pPr>
        <w:autoSpaceDE w:val="0"/>
        <w:autoSpaceDN w:val="0"/>
        <w:adjustRightInd w:val="0"/>
        <w:spacing w:line="240" w:lineRule="auto"/>
        <w:ind w:left="480" w:hanging="480"/>
        <w:jc w:val="left"/>
        <w:rPr>
          <w:rFonts w:cs="Arial"/>
          <w:noProof/>
          <w:szCs w:val="24"/>
        </w:rPr>
      </w:pPr>
      <w:r w:rsidRPr="006F6EA1">
        <w:rPr>
          <w:rFonts w:cs="Arial"/>
          <w:noProof/>
          <w:szCs w:val="24"/>
        </w:rPr>
        <w:t>Kruse, H., Tekiela, M., 1996. Calculating the consequences of a CO2-pipeline rupture. Energy Convers. Manag. 37, 1013–1018.</w:t>
      </w:r>
    </w:p>
    <w:p w14:paraId="414634FF" w14:textId="77777777" w:rsidR="006F6EA1" w:rsidRPr="006F6EA1" w:rsidRDefault="006F6EA1" w:rsidP="006F6EA1">
      <w:pPr>
        <w:autoSpaceDE w:val="0"/>
        <w:autoSpaceDN w:val="0"/>
        <w:adjustRightInd w:val="0"/>
        <w:spacing w:line="240" w:lineRule="auto"/>
        <w:ind w:left="480" w:hanging="480"/>
        <w:jc w:val="left"/>
        <w:rPr>
          <w:rFonts w:cs="Arial"/>
          <w:noProof/>
          <w:szCs w:val="24"/>
        </w:rPr>
      </w:pPr>
      <w:r w:rsidRPr="006F6EA1">
        <w:rPr>
          <w:rFonts w:cs="Arial"/>
          <w:noProof/>
          <w:szCs w:val="24"/>
        </w:rPr>
        <w:t>Long, J.S., Freese, J., 2006. Regression Models for Categorical Dependent Variables using Stata. Stata Press.</w:t>
      </w:r>
    </w:p>
    <w:p w14:paraId="3D6BEEC6" w14:textId="4DF5FFA1" w:rsidR="006F6EA1" w:rsidRPr="006F6EA1" w:rsidRDefault="006F6EA1" w:rsidP="006F6EA1">
      <w:pPr>
        <w:autoSpaceDE w:val="0"/>
        <w:autoSpaceDN w:val="0"/>
        <w:adjustRightInd w:val="0"/>
        <w:spacing w:line="240" w:lineRule="auto"/>
        <w:ind w:left="480" w:hanging="480"/>
        <w:jc w:val="left"/>
        <w:rPr>
          <w:rFonts w:cs="Arial"/>
          <w:noProof/>
          <w:szCs w:val="24"/>
        </w:rPr>
      </w:pPr>
      <w:r w:rsidRPr="006F6EA1">
        <w:rPr>
          <w:rFonts w:cs="Arial"/>
          <w:noProof/>
          <w:szCs w:val="24"/>
        </w:rPr>
        <w:t xml:space="preserve">Medina, H., Arnaldos, J., Casal, J., Bonvicini, S., Cozzani, V., 2012. Risk-based optimization of the design of on-shore pipeline shutdown systems. J. Loss Prev. Process Ind. 25, 489–493. </w:t>
      </w:r>
    </w:p>
    <w:p w14:paraId="70B3EBCE" w14:textId="77777777" w:rsidR="006F6EA1" w:rsidRPr="006F6EA1" w:rsidRDefault="006F6EA1" w:rsidP="006F6EA1">
      <w:pPr>
        <w:autoSpaceDE w:val="0"/>
        <w:autoSpaceDN w:val="0"/>
        <w:adjustRightInd w:val="0"/>
        <w:spacing w:line="240" w:lineRule="auto"/>
        <w:ind w:left="480" w:hanging="480"/>
        <w:jc w:val="left"/>
        <w:rPr>
          <w:rFonts w:cs="Arial"/>
          <w:noProof/>
          <w:szCs w:val="24"/>
        </w:rPr>
      </w:pPr>
      <w:r w:rsidRPr="006F6EA1">
        <w:rPr>
          <w:rFonts w:cs="Arial"/>
          <w:noProof/>
          <w:szCs w:val="24"/>
        </w:rPr>
        <w:t>Muhlbauer, W.K., 2004. Pipeline risk management manual (Third edition)-Ideas, techniques, and resources. Elsevier.</w:t>
      </w:r>
    </w:p>
    <w:p w14:paraId="416A41C9" w14:textId="715CAE7C" w:rsidR="006F6EA1" w:rsidRPr="006F6EA1" w:rsidRDefault="006F6EA1" w:rsidP="006F6EA1">
      <w:pPr>
        <w:autoSpaceDE w:val="0"/>
        <w:autoSpaceDN w:val="0"/>
        <w:adjustRightInd w:val="0"/>
        <w:spacing w:line="240" w:lineRule="auto"/>
        <w:ind w:left="480" w:hanging="480"/>
        <w:jc w:val="left"/>
        <w:rPr>
          <w:rFonts w:cs="Arial"/>
          <w:noProof/>
          <w:szCs w:val="24"/>
        </w:rPr>
      </w:pPr>
      <w:r w:rsidRPr="006F6EA1">
        <w:rPr>
          <w:rFonts w:cs="Arial"/>
          <w:noProof/>
          <w:szCs w:val="24"/>
        </w:rPr>
        <w:t xml:space="preserve">Pipeline and Hazardous Materials Safety Administration (PHMSA), 2020. Source data [WWW Document]. </w:t>
      </w:r>
    </w:p>
    <w:p w14:paraId="246A90EA" w14:textId="0B9EB393" w:rsidR="006F6EA1" w:rsidRPr="006F6EA1" w:rsidRDefault="006F6EA1" w:rsidP="006F6EA1">
      <w:pPr>
        <w:autoSpaceDE w:val="0"/>
        <w:autoSpaceDN w:val="0"/>
        <w:adjustRightInd w:val="0"/>
        <w:spacing w:line="240" w:lineRule="auto"/>
        <w:ind w:left="480" w:hanging="480"/>
        <w:jc w:val="left"/>
        <w:rPr>
          <w:rFonts w:cs="Arial"/>
          <w:noProof/>
          <w:szCs w:val="24"/>
        </w:rPr>
      </w:pPr>
      <w:r w:rsidRPr="006F6EA1">
        <w:rPr>
          <w:rFonts w:cs="Arial"/>
          <w:noProof/>
          <w:szCs w:val="24"/>
        </w:rPr>
        <w:t xml:space="preserve">Rusin, A., Stolecka, K., 2015. Reducing the risk level for pipelines transporting carbon dioxide and hydrogen by means of optimal safety valves spacing. J. Loss Prev. Process Ind. 33, 77–87. </w:t>
      </w:r>
    </w:p>
    <w:p w14:paraId="27463322" w14:textId="6130F65A" w:rsidR="006F6EA1" w:rsidRPr="006F6EA1" w:rsidRDefault="006F6EA1" w:rsidP="006F6EA1">
      <w:pPr>
        <w:autoSpaceDE w:val="0"/>
        <w:autoSpaceDN w:val="0"/>
        <w:adjustRightInd w:val="0"/>
        <w:spacing w:line="240" w:lineRule="auto"/>
        <w:ind w:left="480" w:hanging="480"/>
        <w:jc w:val="left"/>
        <w:rPr>
          <w:rFonts w:cs="Arial"/>
          <w:noProof/>
          <w:szCs w:val="24"/>
        </w:rPr>
      </w:pPr>
      <w:r w:rsidRPr="006F6EA1">
        <w:rPr>
          <w:rFonts w:cs="Arial"/>
          <w:noProof/>
          <w:szCs w:val="24"/>
        </w:rPr>
        <w:t>Tsagkanos, A., 2008. The bootstrap maximum likelihood estimator: The case of logit. Appl. Financ. Econ. Lett. 4, 209–212.</w:t>
      </w:r>
    </w:p>
    <w:p w14:paraId="4B2455D3" w14:textId="5883F5A0" w:rsidR="006F6EA1" w:rsidRPr="006F6EA1" w:rsidRDefault="006F6EA1" w:rsidP="006F6EA1">
      <w:pPr>
        <w:autoSpaceDE w:val="0"/>
        <w:autoSpaceDN w:val="0"/>
        <w:adjustRightInd w:val="0"/>
        <w:spacing w:line="240" w:lineRule="auto"/>
        <w:ind w:left="480" w:hanging="480"/>
        <w:jc w:val="left"/>
        <w:rPr>
          <w:rFonts w:cs="Arial"/>
          <w:noProof/>
          <w:szCs w:val="24"/>
        </w:rPr>
      </w:pPr>
      <w:r w:rsidRPr="006F6EA1">
        <w:rPr>
          <w:rFonts w:cs="Arial"/>
          <w:noProof/>
          <w:szCs w:val="24"/>
        </w:rPr>
        <w:t>Wei, S., Li, N., 2019. Bootstrap estimation for Weibull distribution parameters based on small sample and censored condition. Stat. Decis. 34–37.</w:t>
      </w:r>
      <w:r w:rsidR="00004226">
        <w:rPr>
          <w:rFonts w:cs="Arial"/>
          <w:noProof/>
          <w:szCs w:val="24"/>
        </w:rPr>
        <w:t xml:space="preserve"> (in Chinese)</w:t>
      </w:r>
    </w:p>
    <w:p w14:paraId="4BFD5B84" w14:textId="77777777" w:rsidR="006F6EA1" w:rsidRPr="006F6EA1" w:rsidRDefault="006F6EA1" w:rsidP="006F6EA1">
      <w:pPr>
        <w:autoSpaceDE w:val="0"/>
        <w:autoSpaceDN w:val="0"/>
        <w:adjustRightInd w:val="0"/>
        <w:spacing w:line="240" w:lineRule="auto"/>
        <w:ind w:left="480" w:hanging="480"/>
        <w:jc w:val="left"/>
        <w:rPr>
          <w:rFonts w:cs="Arial"/>
          <w:noProof/>
        </w:rPr>
      </w:pPr>
      <w:r w:rsidRPr="006F6EA1">
        <w:rPr>
          <w:rFonts w:cs="Arial"/>
          <w:noProof/>
          <w:szCs w:val="24"/>
        </w:rPr>
        <w:t>Weibull, W., 1951. A statistical distribution function of wide applicability. J. Appl. Mech. 18, 293–297.</w:t>
      </w:r>
    </w:p>
    <w:p w14:paraId="19C4FC68" w14:textId="25C4D7B8" w:rsidR="004628D2" w:rsidRDefault="00F97229" w:rsidP="00F43860">
      <w:pPr>
        <w:pStyle w:val="CETReferencetext"/>
        <w:ind w:left="0" w:firstLine="0"/>
      </w:pPr>
      <w:r>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C361" w14:textId="77777777" w:rsidR="00676F11" w:rsidRDefault="00676F11" w:rsidP="004F5E36">
      <w:r>
        <w:separator/>
      </w:r>
    </w:p>
  </w:endnote>
  <w:endnote w:type="continuationSeparator" w:id="0">
    <w:p w14:paraId="6AEEC903" w14:textId="77777777" w:rsidR="00676F11" w:rsidRDefault="00676F1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A0E1" w14:textId="77777777" w:rsidR="00676F11" w:rsidRDefault="00676F11" w:rsidP="004F5E36">
      <w:r>
        <w:separator/>
      </w:r>
    </w:p>
  </w:footnote>
  <w:footnote w:type="continuationSeparator" w:id="0">
    <w:p w14:paraId="5A8E5E06" w14:textId="77777777" w:rsidR="00676F11" w:rsidRDefault="00676F1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F6F0AAF"/>
    <w:multiLevelType w:val="hybridMultilevel"/>
    <w:tmpl w:val="43F81750"/>
    <w:lvl w:ilvl="0" w:tplc="D6426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381289A"/>
    <w:multiLevelType w:val="hybridMultilevel"/>
    <w:tmpl w:val="D674AA52"/>
    <w:lvl w:ilvl="0" w:tplc="7290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2"/>
  </w:num>
  <w:num w:numId="16">
    <w:abstractNumId w:val="21"/>
  </w:num>
  <w:num w:numId="17">
    <w:abstractNumId w:val="11"/>
  </w:num>
  <w:num w:numId="18">
    <w:abstractNumId w:val="12"/>
    <w:lvlOverride w:ilvl="0">
      <w:startOverride w:val="1"/>
    </w:lvlOverride>
  </w:num>
  <w:num w:numId="19">
    <w:abstractNumId w:val="17"/>
  </w:num>
  <w:num w:numId="20">
    <w:abstractNumId w:val="16"/>
  </w:num>
  <w:num w:numId="21">
    <w:abstractNumId w:val="14"/>
  </w:num>
  <w:num w:numId="22">
    <w:abstractNumId w:val="13"/>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226"/>
    <w:rsid w:val="000052FB"/>
    <w:rsid w:val="00005BAC"/>
    <w:rsid w:val="00006EBC"/>
    <w:rsid w:val="0000729A"/>
    <w:rsid w:val="00007F7C"/>
    <w:rsid w:val="000117CB"/>
    <w:rsid w:val="000120F6"/>
    <w:rsid w:val="00012A28"/>
    <w:rsid w:val="00015CA0"/>
    <w:rsid w:val="00016D73"/>
    <w:rsid w:val="0003148D"/>
    <w:rsid w:val="00031EEC"/>
    <w:rsid w:val="000351D8"/>
    <w:rsid w:val="00035E9B"/>
    <w:rsid w:val="0004104E"/>
    <w:rsid w:val="000430D7"/>
    <w:rsid w:val="00051566"/>
    <w:rsid w:val="00053CF7"/>
    <w:rsid w:val="000561F7"/>
    <w:rsid w:val="00056642"/>
    <w:rsid w:val="00057C41"/>
    <w:rsid w:val="000617BA"/>
    <w:rsid w:val="00062A9A"/>
    <w:rsid w:val="00065058"/>
    <w:rsid w:val="00065945"/>
    <w:rsid w:val="00066801"/>
    <w:rsid w:val="00071D5E"/>
    <w:rsid w:val="00077808"/>
    <w:rsid w:val="00080A06"/>
    <w:rsid w:val="000851B9"/>
    <w:rsid w:val="00086C39"/>
    <w:rsid w:val="0008791F"/>
    <w:rsid w:val="00087EC3"/>
    <w:rsid w:val="000925AB"/>
    <w:rsid w:val="000A03B2"/>
    <w:rsid w:val="000A0792"/>
    <w:rsid w:val="000A2796"/>
    <w:rsid w:val="000A29C6"/>
    <w:rsid w:val="000A2ED5"/>
    <w:rsid w:val="000A3BD3"/>
    <w:rsid w:val="000A56C8"/>
    <w:rsid w:val="000B0714"/>
    <w:rsid w:val="000C51C7"/>
    <w:rsid w:val="000C5F49"/>
    <w:rsid w:val="000D0268"/>
    <w:rsid w:val="000D04B7"/>
    <w:rsid w:val="000D34BE"/>
    <w:rsid w:val="000E03D6"/>
    <w:rsid w:val="000E0836"/>
    <w:rsid w:val="000E102F"/>
    <w:rsid w:val="000E1664"/>
    <w:rsid w:val="000E33DF"/>
    <w:rsid w:val="000E36F1"/>
    <w:rsid w:val="000E3A73"/>
    <w:rsid w:val="000E3FF5"/>
    <w:rsid w:val="000E414A"/>
    <w:rsid w:val="000E4BF2"/>
    <w:rsid w:val="000E5575"/>
    <w:rsid w:val="000F093C"/>
    <w:rsid w:val="000F74BC"/>
    <w:rsid w:val="000F787B"/>
    <w:rsid w:val="000F7F4D"/>
    <w:rsid w:val="001000A3"/>
    <w:rsid w:val="001010E9"/>
    <w:rsid w:val="00114A7A"/>
    <w:rsid w:val="00116812"/>
    <w:rsid w:val="0012091F"/>
    <w:rsid w:val="00121555"/>
    <w:rsid w:val="001247D6"/>
    <w:rsid w:val="00125EB2"/>
    <w:rsid w:val="00126BC2"/>
    <w:rsid w:val="001308B6"/>
    <w:rsid w:val="0013121F"/>
    <w:rsid w:val="00131FE6"/>
    <w:rsid w:val="0013263F"/>
    <w:rsid w:val="001331DF"/>
    <w:rsid w:val="00133900"/>
    <w:rsid w:val="00133C68"/>
    <w:rsid w:val="00134DE4"/>
    <w:rsid w:val="0014034D"/>
    <w:rsid w:val="00144D16"/>
    <w:rsid w:val="00150E59"/>
    <w:rsid w:val="0015212F"/>
    <w:rsid w:val="00152A54"/>
    <w:rsid w:val="00152A81"/>
    <w:rsid w:val="00152DE3"/>
    <w:rsid w:val="00153764"/>
    <w:rsid w:val="00154693"/>
    <w:rsid w:val="0015783F"/>
    <w:rsid w:val="00157E43"/>
    <w:rsid w:val="00164CF9"/>
    <w:rsid w:val="001652B1"/>
    <w:rsid w:val="001667A6"/>
    <w:rsid w:val="001669DB"/>
    <w:rsid w:val="0017409A"/>
    <w:rsid w:val="001831AE"/>
    <w:rsid w:val="00184AD6"/>
    <w:rsid w:val="00197D20"/>
    <w:rsid w:val="001A1AF4"/>
    <w:rsid w:val="001A34EE"/>
    <w:rsid w:val="001A3983"/>
    <w:rsid w:val="001A4AF7"/>
    <w:rsid w:val="001B007E"/>
    <w:rsid w:val="001B0349"/>
    <w:rsid w:val="001B0DF7"/>
    <w:rsid w:val="001B1E93"/>
    <w:rsid w:val="001B65C1"/>
    <w:rsid w:val="001C0144"/>
    <w:rsid w:val="001C1F5A"/>
    <w:rsid w:val="001C487E"/>
    <w:rsid w:val="001C515A"/>
    <w:rsid w:val="001C684B"/>
    <w:rsid w:val="001D0293"/>
    <w:rsid w:val="001D0CFB"/>
    <w:rsid w:val="001D53FC"/>
    <w:rsid w:val="001D644E"/>
    <w:rsid w:val="001E0CBA"/>
    <w:rsid w:val="001E6C0A"/>
    <w:rsid w:val="001F42A5"/>
    <w:rsid w:val="001F5144"/>
    <w:rsid w:val="001F5FF1"/>
    <w:rsid w:val="001F75BA"/>
    <w:rsid w:val="001F7B9D"/>
    <w:rsid w:val="002018BB"/>
    <w:rsid w:val="00201C93"/>
    <w:rsid w:val="002031DC"/>
    <w:rsid w:val="00220BA1"/>
    <w:rsid w:val="00220FED"/>
    <w:rsid w:val="002224B4"/>
    <w:rsid w:val="00223D7E"/>
    <w:rsid w:val="00227198"/>
    <w:rsid w:val="00234976"/>
    <w:rsid w:val="00243EBD"/>
    <w:rsid w:val="002447EF"/>
    <w:rsid w:val="0024756E"/>
    <w:rsid w:val="00247F81"/>
    <w:rsid w:val="00251550"/>
    <w:rsid w:val="00253E25"/>
    <w:rsid w:val="0025487A"/>
    <w:rsid w:val="00254C8B"/>
    <w:rsid w:val="002605F2"/>
    <w:rsid w:val="00263B05"/>
    <w:rsid w:val="00264243"/>
    <w:rsid w:val="0027221A"/>
    <w:rsid w:val="0027591D"/>
    <w:rsid w:val="00275B61"/>
    <w:rsid w:val="002801B8"/>
    <w:rsid w:val="00280FAF"/>
    <w:rsid w:val="00282656"/>
    <w:rsid w:val="00283725"/>
    <w:rsid w:val="0028447D"/>
    <w:rsid w:val="00284879"/>
    <w:rsid w:val="00287185"/>
    <w:rsid w:val="00290A96"/>
    <w:rsid w:val="00291FED"/>
    <w:rsid w:val="002926E2"/>
    <w:rsid w:val="00296659"/>
    <w:rsid w:val="00296B83"/>
    <w:rsid w:val="00297003"/>
    <w:rsid w:val="002A0EAB"/>
    <w:rsid w:val="002A2ECD"/>
    <w:rsid w:val="002A4964"/>
    <w:rsid w:val="002B082C"/>
    <w:rsid w:val="002B4015"/>
    <w:rsid w:val="002B4BBB"/>
    <w:rsid w:val="002B78CE"/>
    <w:rsid w:val="002C144A"/>
    <w:rsid w:val="002C2FB6"/>
    <w:rsid w:val="002D24F4"/>
    <w:rsid w:val="002D278B"/>
    <w:rsid w:val="002D2D54"/>
    <w:rsid w:val="002E260F"/>
    <w:rsid w:val="002E5FA7"/>
    <w:rsid w:val="002F0063"/>
    <w:rsid w:val="002F3309"/>
    <w:rsid w:val="002F5BF3"/>
    <w:rsid w:val="002F6974"/>
    <w:rsid w:val="0030026F"/>
    <w:rsid w:val="003008CE"/>
    <w:rsid w:val="003009B7"/>
    <w:rsid w:val="00300D4A"/>
    <w:rsid w:val="00300E56"/>
    <w:rsid w:val="0030101C"/>
    <w:rsid w:val="003010F9"/>
    <w:rsid w:val="00302CAF"/>
    <w:rsid w:val="00302D8D"/>
    <w:rsid w:val="00303110"/>
    <w:rsid w:val="0030469C"/>
    <w:rsid w:val="0031029D"/>
    <w:rsid w:val="003147FA"/>
    <w:rsid w:val="00317F5C"/>
    <w:rsid w:val="00321CA6"/>
    <w:rsid w:val="00322E5B"/>
    <w:rsid w:val="00323763"/>
    <w:rsid w:val="00324675"/>
    <w:rsid w:val="0032731E"/>
    <w:rsid w:val="00330199"/>
    <w:rsid w:val="003335E4"/>
    <w:rsid w:val="00334627"/>
    <w:rsid w:val="00334C09"/>
    <w:rsid w:val="00334FEC"/>
    <w:rsid w:val="003360E9"/>
    <w:rsid w:val="00336DCF"/>
    <w:rsid w:val="00337FCC"/>
    <w:rsid w:val="00341952"/>
    <w:rsid w:val="00341C9E"/>
    <w:rsid w:val="0034269A"/>
    <w:rsid w:val="00354592"/>
    <w:rsid w:val="003609A2"/>
    <w:rsid w:val="00362A0D"/>
    <w:rsid w:val="00362AA7"/>
    <w:rsid w:val="00370E75"/>
    <w:rsid w:val="00371635"/>
    <w:rsid w:val="003723D4"/>
    <w:rsid w:val="0037411A"/>
    <w:rsid w:val="0037493F"/>
    <w:rsid w:val="00375A0F"/>
    <w:rsid w:val="00376B0A"/>
    <w:rsid w:val="00381905"/>
    <w:rsid w:val="00381FA8"/>
    <w:rsid w:val="00384CC8"/>
    <w:rsid w:val="003858F8"/>
    <w:rsid w:val="003871FD"/>
    <w:rsid w:val="0038757D"/>
    <w:rsid w:val="00394C1C"/>
    <w:rsid w:val="00394CCE"/>
    <w:rsid w:val="00396A71"/>
    <w:rsid w:val="00397106"/>
    <w:rsid w:val="003A0697"/>
    <w:rsid w:val="003A14A7"/>
    <w:rsid w:val="003A1E30"/>
    <w:rsid w:val="003A2483"/>
    <w:rsid w:val="003A2829"/>
    <w:rsid w:val="003A7D1C"/>
    <w:rsid w:val="003B025C"/>
    <w:rsid w:val="003B304B"/>
    <w:rsid w:val="003B3146"/>
    <w:rsid w:val="003B4624"/>
    <w:rsid w:val="003B74B7"/>
    <w:rsid w:val="003C2459"/>
    <w:rsid w:val="003C524E"/>
    <w:rsid w:val="003D40CA"/>
    <w:rsid w:val="003D652A"/>
    <w:rsid w:val="003E038C"/>
    <w:rsid w:val="003F015E"/>
    <w:rsid w:val="00400414"/>
    <w:rsid w:val="00402193"/>
    <w:rsid w:val="00402531"/>
    <w:rsid w:val="0041446B"/>
    <w:rsid w:val="0042109A"/>
    <w:rsid w:val="00430CD3"/>
    <w:rsid w:val="004412CC"/>
    <w:rsid w:val="0044329C"/>
    <w:rsid w:val="00443528"/>
    <w:rsid w:val="0044374E"/>
    <w:rsid w:val="00450912"/>
    <w:rsid w:val="004527C6"/>
    <w:rsid w:val="00453E24"/>
    <w:rsid w:val="00457456"/>
    <w:rsid w:val="004577FE"/>
    <w:rsid w:val="00457B9C"/>
    <w:rsid w:val="0046164A"/>
    <w:rsid w:val="00461E20"/>
    <w:rsid w:val="004628D2"/>
    <w:rsid w:val="00462A00"/>
    <w:rsid w:val="00462DCD"/>
    <w:rsid w:val="004648AD"/>
    <w:rsid w:val="00465BFE"/>
    <w:rsid w:val="004703A9"/>
    <w:rsid w:val="00473019"/>
    <w:rsid w:val="00473E63"/>
    <w:rsid w:val="0047438A"/>
    <w:rsid w:val="004760DE"/>
    <w:rsid w:val="004763D7"/>
    <w:rsid w:val="0047692E"/>
    <w:rsid w:val="004821F9"/>
    <w:rsid w:val="00483010"/>
    <w:rsid w:val="00490042"/>
    <w:rsid w:val="0049064A"/>
    <w:rsid w:val="00492D08"/>
    <w:rsid w:val="004940FB"/>
    <w:rsid w:val="004973D3"/>
    <w:rsid w:val="004A004E"/>
    <w:rsid w:val="004A09FF"/>
    <w:rsid w:val="004A24CF"/>
    <w:rsid w:val="004A4976"/>
    <w:rsid w:val="004A5940"/>
    <w:rsid w:val="004B1A8D"/>
    <w:rsid w:val="004C3D1D"/>
    <w:rsid w:val="004C7913"/>
    <w:rsid w:val="004D0907"/>
    <w:rsid w:val="004D0C01"/>
    <w:rsid w:val="004D33E3"/>
    <w:rsid w:val="004D7202"/>
    <w:rsid w:val="004E4578"/>
    <w:rsid w:val="004E4DD6"/>
    <w:rsid w:val="004F08D0"/>
    <w:rsid w:val="004F0B72"/>
    <w:rsid w:val="004F3A88"/>
    <w:rsid w:val="004F3C5D"/>
    <w:rsid w:val="004F5E36"/>
    <w:rsid w:val="00503738"/>
    <w:rsid w:val="0050381F"/>
    <w:rsid w:val="005040CA"/>
    <w:rsid w:val="00505857"/>
    <w:rsid w:val="00506D4C"/>
    <w:rsid w:val="00507B47"/>
    <w:rsid w:val="00507BEF"/>
    <w:rsid w:val="00507CC9"/>
    <w:rsid w:val="005119A5"/>
    <w:rsid w:val="0052051E"/>
    <w:rsid w:val="00523E73"/>
    <w:rsid w:val="00524FFE"/>
    <w:rsid w:val="00525D75"/>
    <w:rsid w:val="005278B7"/>
    <w:rsid w:val="00532016"/>
    <w:rsid w:val="005346C8"/>
    <w:rsid w:val="005416F4"/>
    <w:rsid w:val="00543451"/>
    <w:rsid w:val="00543E7D"/>
    <w:rsid w:val="00544626"/>
    <w:rsid w:val="00547A68"/>
    <w:rsid w:val="00551D21"/>
    <w:rsid w:val="00551EDB"/>
    <w:rsid w:val="005531C9"/>
    <w:rsid w:val="00557A9B"/>
    <w:rsid w:val="0056294C"/>
    <w:rsid w:val="00567856"/>
    <w:rsid w:val="00570C43"/>
    <w:rsid w:val="005778A7"/>
    <w:rsid w:val="00583A73"/>
    <w:rsid w:val="00583FDA"/>
    <w:rsid w:val="005855FE"/>
    <w:rsid w:val="00593AF0"/>
    <w:rsid w:val="00593E64"/>
    <w:rsid w:val="005A110A"/>
    <w:rsid w:val="005A6197"/>
    <w:rsid w:val="005A78E8"/>
    <w:rsid w:val="005B1F0F"/>
    <w:rsid w:val="005B2110"/>
    <w:rsid w:val="005B2D35"/>
    <w:rsid w:val="005B3303"/>
    <w:rsid w:val="005B394F"/>
    <w:rsid w:val="005B5705"/>
    <w:rsid w:val="005B595F"/>
    <w:rsid w:val="005B61E6"/>
    <w:rsid w:val="005B7B15"/>
    <w:rsid w:val="005C120B"/>
    <w:rsid w:val="005C4376"/>
    <w:rsid w:val="005C77E1"/>
    <w:rsid w:val="005D05F0"/>
    <w:rsid w:val="005D2861"/>
    <w:rsid w:val="005D57EB"/>
    <w:rsid w:val="005D668A"/>
    <w:rsid w:val="005D6A2F"/>
    <w:rsid w:val="005E0020"/>
    <w:rsid w:val="005E05A5"/>
    <w:rsid w:val="005E1A82"/>
    <w:rsid w:val="005E253D"/>
    <w:rsid w:val="005E3FD6"/>
    <w:rsid w:val="005E794C"/>
    <w:rsid w:val="005F02AD"/>
    <w:rsid w:val="005F0A28"/>
    <w:rsid w:val="005F0E5E"/>
    <w:rsid w:val="005F30A8"/>
    <w:rsid w:val="00600535"/>
    <w:rsid w:val="00600898"/>
    <w:rsid w:val="0060261C"/>
    <w:rsid w:val="00603662"/>
    <w:rsid w:val="00605862"/>
    <w:rsid w:val="00605E3E"/>
    <w:rsid w:val="00610CD6"/>
    <w:rsid w:val="006156C6"/>
    <w:rsid w:val="006160A7"/>
    <w:rsid w:val="00617311"/>
    <w:rsid w:val="00620DEE"/>
    <w:rsid w:val="00621F92"/>
    <w:rsid w:val="0062280A"/>
    <w:rsid w:val="00623CC1"/>
    <w:rsid w:val="00623D4F"/>
    <w:rsid w:val="00625639"/>
    <w:rsid w:val="00625DAB"/>
    <w:rsid w:val="00630282"/>
    <w:rsid w:val="00631AA4"/>
    <w:rsid w:val="00631B33"/>
    <w:rsid w:val="0063386E"/>
    <w:rsid w:val="0064184D"/>
    <w:rsid w:val="006422CC"/>
    <w:rsid w:val="006429F4"/>
    <w:rsid w:val="00643061"/>
    <w:rsid w:val="00645D1D"/>
    <w:rsid w:val="00652AFA"/>
    <w:rsid w:val="00660E3E"/>
    <w:rsid w:val="006615B0"/>
    <w:rsid w:val="00662E74"/>
    <w:rsid w:val="0066557E"/>
    <w:rsid w:val="006658E6"/>
    <w:rsid w:val="00666F10"/>
    <w:rsid w:val="006706A3"/>
    <w:rsid w:val="006718B0"/>
    <w:rsid w:val="00676F11"/>
    <w:rsid w:val="00680C23"/>
    <w:rsid w:val="00682465"/>
    <w:rsid w:val="00684F1A"/>
    <w:rsid w:val="00693766"/>
    <w:rsid w:val="006938EA"/>
    <w:rsid w:val="00697581"/>
    <w:rsid w:val="006A1683"/>
    <w:rsid w:val="006A313F"/>
    <w:rsid w:val="006A3281"/>
    <w:rsid w:val="006A32D0"/>
    <w:rsid w:val="006A3426"/>
    <w:rsid w:val="006A5CE1"/>
    <w:rsid w:val="006B1A91"/>
    <w:rsid w:val="006B4888"/>
    <w:rsid w:val="006B53DC"/>
    <w:rsid w:val="006C2B47"/>
    <w:rsid w:val="006C2E45"/>
    <w:rsid w:val="006C359C"/>
    <w:rsid w:val="006C5579"/>
    <w:rsid w:val="006C74BE"/>
    <w:rsid w:val="006D2CD6"/>
    <w:rsid w:val="006D6E8B"/>
    <w:rsid w:val="006E09FB"/>
    <w:rsid w:val="006E1CA8"/>
    <w:rsid w:val="006E6F08"/>
    <w:rsid w:val="006E737D"/>
    <w:rsid w:val="006F4491"/>
    <w:rsid w:val="006F524F"/>
    <w:rsid w:val="006F6EA1"/>
    <w:rsid w:val="00701AC3"/>
    <w:rsid w:val="00703834"/>
    <w:rsid w:val="00704388"/>
    <w:rsid w:val="0070472F"/>
    <w:rsid w:val="00711C2E"/>
    <w:rsid w:val="00713973"/>
    <w:rsid w:val="00714302"/>
    <w:rsid w:val="00715BF7"/>
    <w:rsid w:val="00717930"/>
    <w:rsid w:val="00720A24"/>
    <w:rsid w:val="00723BAB"/>
    <w:rsid w:val="0072404E"/>
    <w:rsid w:val="00725534"/>
    <w:rsid w:val="00726C59"/>
    <w:rsid w:val="0072717D"/>
    <w:rsid w:val="007274FC"/>
    <w:rsid w:val="00727541"/>
    <w:rsid w:val="00732386"/>
    <w:rsid w:val="00733ACF"/>
    <w:rsid w:val="0073461E"/>
    <w:rsid w:val="0073514D"/>
    <w:rsid w:val="00735C5C"/>
    <w:rsid w:val="007447F3"/>
    <w:rsid w:val="0075499F"/>
    <w:rsid w:val="00754ED9"/>
    <w:rsid w:val="007551E5"/>
    <w:rsid w:val="007610A3"/>
    <w:rsid w:val="00763C00"/>
    <w:rsid w:val="007650D4"/>
    <w:rsid w:val="007661C8"/>
    <w:rsid w:val="007669C5"/>
    <w:rsid w:val="00766C7B"/>
    <w:rsid w:val="0077098D"/>
    <w:rsid w:val="00772EC3"/>
    <w:rsid w:val="00786FD0"/>
    <w:rsid w:val="007870E3"/>
    <w:rsid w:val="00787F45"/>
    <w:rsid w:val="00790B7A"/>
    <w:rsid w:val="007931FA"/>
    <w:rsid w:val="0079381A"/>
    <w:rsid w:val="007951E8"/>
    <w:rsid w:val="00796B3A"/>
    <w:rsid w:val="007A1487"/>
    <w:rsid w:val="007A1D14"/>
    <w:rsid w:val="007A4861"/>
    <w:rsid w:val="007A7BBA"/>
    <w:rsid w:val="007A7F9E"/>
    <w:rsid w:val="007B0A69"/>
    <w:rsid w:val="007B0C50"/>
    <w:rsid w:val="007B19C8"/>
    <w:rsid w:val="007B31A0"/>
    <w:rsid w:val="007B47D9"/>
    <w:rsid w:val="007B48F9"/>
    <w:rsid w:val="007B6740"/>
    <w:rsid w:val="007C1A43"/>
    <w:rsid w:val="007C1C38"/>
    <w:rsid w:val="007C2872"/>
    <w:rsid w:val="007D0ABB"/>
    <w:rsid w:val="007E114A"/>
    <w:rsid w:val="007E204C"/>
    <w:rsid w:val="007E4E6F"/>
    <w:rsid w:val="007F3AAC"/>
    <w:rsid w:val="007F688E"/>
    <w:rsid w:val="0080013E"/>
    <w:rsid w:val="00800A27"/>
    <w:rsid w:val="00802050"/>
    <w:rsid w:val="0080356B"/>
    <w:rsid w:val="00803AE2"/>
    <w:rsid w:val="00810899"/>
    <w:rsid w:val="00812A02"/>
    <w:rsid w:val="00813288"/>
    <w:rsid w:val="0081551D"/>
    <w:rsid w:val="008168FC"/>
    <w:rsid w:val="008173E2"/>
    <w:rsid w:val="00817C1A"/>
    <w:rsid w:val="00820E4E"/>
    <w:rsid w:val="00823638"/>
    <w:rsid w:val="00826A0C"/>
    <w:rsid w:val="00826E78"/>
    <w:rsid w:val="00830996"/>
    <w:rsid w:val="00832907"/>
    <w:rsid w:val="008345F1"/>
    <w:rsid w:val="008434B0"/>
    <w:rsid w:val="008474BF"/>
    <w:rsid w:val="0085184B"/>
    <w:rsid w:val="00853D69"/>
    <w:rsid w:val="0085438C"/>
    <w:rsid w:val="00857353"/>
    <w:rsid w:val="00865B07"/>
    <w:rsid w:val="008667EA"/>
    <w:rsid w:val="008701EA"/>
    <w:rsid w:val="00871053"/>
    <w:rsid w:val="00872E10"/>
    <w:rsid w:val="0087637F"/>
    <w:rsid w:val="00877B5A"/>
    <w:rsid w:val="008841AE"/>
    <w:rsid w:val="008874D7"/>
    <w:rsid w:val="00892AD5"/>
    <w:rsid w:val="008954CA"/>
    <w:rsid w:val="00897641"/>
    <w:rsid w:val="00897B89"/>
    <w:rsid w:val="008A1512"/>
    <w:rsid w:val="008A2B84"/>
    <w:rsid w:val="008A663A"/>
    <w:rsid w:val="008B08BD"/>
    <w:rsid w:val="008B3D01"/>
    <w:rsid w:val="008B4ECB"/>
    <w:rsid w:val="008B514E"/>
    <w:rsid w:val="008B7564"/>
    <w:rsid w:val="008B7726"/>
    <w:rsid w:val="008C1C47"/>
    <w:rsid w:val="008C228F"/>
    <w:rsid w:val="008D2968"/>
    <w:rsid w:val="008D32B9"/>
    <w:rsid w:val="008D433B"/>
    <w:rsid w:val="008D5340"/>
    <w:rsid w:val="008D62EC"/>
    <w:rsid w:val="008E566E"/>
    <w:rsid w:val="008F67F9"/>
    <w:rsid w:val="008F6874"/>
    <w:rsid w:val="008F7DFB"/>
    <w:rsid w:val="0090161A"/>
    <w:rsid w:val="00901EB6"/>
    <w:rsid w:val="00903260"/>
    <w:rsid w:val="0090328A"/>
    <w:rsid w:val="009038D3"/>
    <w:rsid w:val="00904C62"/>
    <w:rsid w:val="00907C2E"/>
    <w:rsid w:val="0091100C"/>
    <w:rsid w:val="00911E7D"/>
    <w:rsid w:val="00915A78"/>
    <w:rsid w:val="00916432"/>
    <w:rsid w:val="00922BA8"/>
    <w:rsid w:val="009246AD"/>
    <w:rsid w:val="00924DAC"/>
    <w:rsid w:val="00927058"/>
    <w:rsid w:val="00936F01"/>
    <w:rsid w:val="00942750"/>
    <w:rsid w:val="00943E7A"/>
    <w:rsid w:val="009450CE"/>
    <w:rsid w:val="00947179"/>
    <w:rsid w:val="00950738"/>
    <w:rsid w:val="0095164B"/>
    <w:rsid w:val="00953383"/>
    <w:rsid w:val="009537F1"/>
    <w:rsid w:val="00954090"/>
    <w:rsid w:val="00955779"/>
    <w:rsid w:val="009573E7"/>
    <w:rsid w:val="00963E05"/>
    <w:rsid w:val="009647C1"/>
    <w:rsid w:val="00967843"/>
    <w:rsid w:val="00967D54"/>
    <w:rsid w:val="009701CE"/>
    <w:rsid w:val="00971028"/>
    <w:rsid w:val="0097576C"/>
    <w:rsid w:val="00977BDC"/>
    <w:rsid w:val="0098235E"/>
    <w:rsid w:val="00982CFE"/>
    <w:rsid w:val="00993982"/>
    <w:rsid w:val="00993B84"/>
    <w:rsid w:val="00996483"/>
    <w:rsid w:val="00996F5A"/>
    <w:rsid w:val="009971F2"/>
    <w:rsid w:val="009A030C"/>
    <w:rsid w:val="009A0328"/>
    <w:rsid w:val="009A09B6"/>
    <w:rsid w:val="009A1AF5"/>
    <w:rsid w:val="009A3037"/>
    <w:rsid w:val="009A4789"/>
    <w:rsid w:val="009A6AF8"/>
    <w:rsid w:val="009B041A"/>
    <w:rsid w:val="009B2EA5"/>
    <w:rsid w:val="009B33F6"/>
    <w:rsid w:val="009B4B2C"/>
    <w:rsid w:val="009B68B8"/>
    <w:rsid w:val="009C01AD"/>
    <w:rsid w:val="009C0EDA"/>
    <w:rsid w:val="009C37C3"/>
    <w:rsid w:val="009C444A"/>
    <w:rsid w:val="009C4F38"/>
    <w:rsid w:val="009C7C86"/>
    <w:rsid w:val="009D2FF7"/>
    <w:rsid w:val="009D4AA4"/>
    <w:rsid w:val="009D70C6"/>
    <w:rsid w:val="009E01BF"/>
    <w:rsid w:val="009E0759"/>
    <w:rsid w:val="009E0DB0"/>
    <w:rsid w:val="009E3A50"/>
    <w:rsid w:val="009E6882"/>
    <w:rsid w:val="009E7884"/>
    <w:rsid w:val="009E788A"/>
    <w:rsid w:val="009F0E08"/>
    <w:rsid w:val="009F1D96"/>
    <w:rsid w:val="009F5C6C"/>
    <w:rsid w:val="009F6F6D"/>
    <w:rsid w:val="00A020F4"/>
    <w:rsid w:val="00A06751"/>
    <w:rsid w:val="00A07D7D"/>
    <w:rsid w:val="00A1763D"/>
    <w:rsid w:val="00A17CEC"/>
    <w:rsid w:val="00A23AC4"/>
    <w:rsid w:val="00A24360"/>
    <w:rsid w:val="00A24D8A"/>
    <w:rsid w:val="00A27EF0"/>
    <w:rsid w:val="00A3015B"/>
    <w:rsid w:val="00A341B2"/>
    <w:rsid w:val="00A34EAF"/>
    <w:rsid w:val="00A3679B"/>
    <w:rsid w:val="00A40027"/>
    <w:rsid w:val="00A42361"/>
    <w:rsid w:val="00A442AA"/>
    <w:rsid w:val="00A47563"/>
    <w:rsid w:val="00A50B20"/>
    <w:rsid w:val="00A51390"/>
    <w:rsid w:val="00A5147F"/>
    <w:rsid w:val="00A5284E"/>
    <w:rsid w:val="00A535C0"/>
    <w:rsid w:val="00A553A6"/>
    <w:rsid w:val="00A60D13"/>
    <w:rsid w:val="00A62D4C"/>
    <w:rsid w:val="00A62EBA"/>
    <w:rsid w:val="00A64DB5"/>
    <w:rsid w:val="00A70010"/>
    <w:rsid w:val="00A72745"/>
    <w:rsid w:val="00A73ED8"/>
    <w:rsid w:val="00A74B30"/>
    <w:rsid w:val="00A7555A"/>
    <w:rsid w:val="00A76EFC"/>
    <w:rsid w:val="00A80F6E"/>
    <w:rsid w:val="00A8712E"/>
    <w:rsid w:val="00A91010"/>
    <w:rsid w:val="00A91A35"/>
    <w:rsid w:val="00A94414"/>
    <w:rsid w:val="00A94F47"/>
    <w:rsid w:val="00A97932"/>
    <w:rsid w:val="00A97F29"/>
    <w:rsid w:val="00AA5442"/>
    <w:rsid w:val="00AA702E"/>
    <w:rsid w:val="00AB042B"/>
    <w:rsid w:val="00AB0964"/>
    <w:rsid w:val="00AB39B8"/>
    <w:rsid w:val="00AB5011"/>
    <w:rsid w:val="00AB64EB"/>
    <w:rsid w:val="00AB6C1A"/>
    <w:rsid w:val="00AC1524"/>
    <w:rsid w:val="00AC7368"/>
    <w:rsid w:val="00AD16B9"/>
    <w:rsid w:val="00AD4C49"/>
    <w:rsid w:val="00AD558F"/>
    <w:rsid w:val="00AD6E56"/>
    <w:rsid w:val="00AE0F08"/>
    <w:rsid w:val="00AE377D"/>
    <w:rsid w:val="00AE504A"/>
    <w:rsid w:val="00AE5A8C"/>
    <w:rsid w:val="00AE7B4F"/>
    <w:rsid w:val="00AF0EBA"/>
    <w:rsid w:val="00AF35D3"/>
    <w:rsid w:val="00AF59FD"/>
    <w:rsid w:val="00B022F4"/>
    <w:rsid w:val="00B02C8A"/>
    <w:rsid w:val="00B036C2"/>
    <w:rsid w:val="00B03D9F"/>
    <w:rsid w:val="00B0494E"/>
    <w:rsid w:val="00B0508C"/>
    <w:rsid w:val="00B0669E"/>
    <w:rsid w:val="00B1080F"/>
    <w:rsid w:val="00B11B8C"/>
    <w:rsid w:val="00B17ABD"/>
    <w:rsid w:val="00B17FBD"/>
    <w:rsid w:val="00B203B6"/>
    <w:rsid w:val="00B225B4"/>
    <w:rsid w:val="00B226EE"/>
    <w:rsid w:val="00B241F8"/>
    <w:rsid w:val="00B24208"/>
    <w:rsid w:val="00B2518D"/>
    <w:rsid w:val="00B25A4E"/>
    <w:rsid w:val="00B27B3E"/>
    <w:rsid w:val="00B315A6"/>
    <w:rsid w:val="00B31813"/>
    <w:rsid w:val="00B3333E"/>
    <w:rsid w:val="00B33365"/>
    <w:rsid w:val="00B42E19"/>
    <w:rsid w:val="00B47247"/>
    <w:rsid w:val="00B50D7E"/>
    <w:rsid w:val="00B52549"/>
    <w:rsid w:val="00B53E81"/>
    <w:rsid w:val="00B570F6"/>
    <w:rsid w:val="00B57B36"/>
    <w:rsid w:val="00B57E6F"/>
    <w:rsid w:val="00B67D8A"/>
    <w:rsid w:val="00B718C4"/>
    <w:rsid w:val="00B744B0"/>
    <w:rsid w:val="00B77845"/>
    <w:rsid w:val="00B8686D"/>
    <w:rsid w:val="00B86909"/>
    <w:rsid w:val="00B86C83"/>
    <w:rsid w:val="00B9135E"/>
    <w:rsid w:val="00B93F69"/>
    <w:rsid w:val="00BA0D17"/>
    <w:rsid w:val="00BA1344"/>
    <w:rsid w:val="00BA1970"/>
    <w:rsid w:val="00BB1DDC"/>
    <w:rsid w:val="00BB5225"/>
    <w:rsid w:val="00BC1B59"/>
    <w:rsid w:val="00BC2F4A"/>
    <w:rsid w:val="00BC30C9"/>
    <w:rsid w:val="00BC5B8C"/>
    <w:rsid w:val="00BD077D"/>
    <w:rsid w:val="00BD62F4"/>
    <w:rsid w:val="00BD6989"/>
    <w:rsid w:val="00BE3693"/>
    <w:rsid w:val="00BE3E58"/>
    <w:rsid w:val="00BE68D4"/>
    <w:rsid w:val="00BF5350"/>
    <w:rsid w:val="00C00FCE"/>
    <w:rsid w:val="00C01616"/>
    <w:rsid w:val="00C0162B"/>
    <w:rsid w:val="00C02ACE"/>
    <w:rsid w:val="00C03134"/>
    <w:rsid w:val="00C045EF"/>
    <w:rsid w:val="00C05D1A"/>
    <w:rsid w:val="00C068ED"/>
    <w:rsid w:val="00C12244"/>
    <w:rsid w:val="00C14DCF"/>
    <w:rsid w:val="00C16BF2"/>
    <w:rsid w:val="00C1766A"/>
    <w:rsid w:val="00C22E0C"/>
    <w:rsid w:val="00C25F26"/>
    <w:rsid w:val="00C32DF1"/>
    <w:rsid w:val="00C345B1"/>
    <w:rsid w:val="00C357BC"/>
    <w:rsid w:val="00C35BE9"/>
    <w:rsid w:val="00C369B7"/>
    <w:rsid w:val="00C40142"/>
    <w:rsid w:val="00C461C6"/>
    <w:rsid w:val="00C50998"/>
    <w:rsid w:val="00C52C3C"/>
    <w:rsid w:val="00C56851"/>
    <w:rsid w:val="00C57182"/>
    <w:rsid w:val="00C57863"/>
    <w:rsid w:val="00C60F77"/>
    <w:rsid w:val="00C64016"/>
    <w:rsid w:val="00C655BC"/>
    <w:rsid w:val="00C655FD"/>
    <w:rsid w:val="00C66115"/>
    <w:rsid w:val="00C720DE"/>
    <w:rsid w:val="00C75407"/>
    <w:rsid w:val="00C851B7"/>
    <w:rsid w:val="00C86FD7"/>
    <w:rsid w:val="00C870A8"/>
    <w:rsid w:val="00C87C5B"/>
    <w:rsid w:val="00C905A7"/>
    <w:rsid w:val="00C911F9"/>
    <w:rsid w:val="00C914AD"/>
    <w:rsid w:val="00C94434"/>
    <w:rsid w:val="00C94A3B"/>
    <w:rsid w:val="00C94ECF"/>
    <w:rsid w:val="00C96132"/>
    <w:rsid w:val="00C97DF0"/>
    <w:rsid w:val="00CA0600"/>
    <w:rsid w:val="00CA0D75"/>
    <w:rsid w:val="00CA1C95"/>
    <w:rsid w:val="00CA2D3B"/>
    <w:rsid w:val="00CA5A9C"/>
    <w:rsid w:val="00CA6CED"/>
    <w:rsid w:val="00CB32E7"/>
    <w:rsid w:val="00CC042E"/>
    <w:rsid w:val="00CC1A31"/>
    <w:rsid w:val="00CC4C20"/>
    <w:rsid w:val="00CC5FC5"/>
    <w:rsid w:val="00CD0883"/>
    <w:rsid w:val="00CD13FB"/>
    <w:rsid w:val="00CD3517"/>
    <w:rsid w:val="00CD4136"/>
    <w:rsid w:val="00CD5FE2"/>
    <w:rsid w:val="00CD6005"/>
    <w:rsid w:val="00CD6371"/>
    <w:rsid w:val="00CD7F47"/>
    <w:rsid w:val="00CE0BCE"/>
    <w:rsid w:val="00CE2F24"/>
    <w:rsid w:val="00CE35DE"/>
    <w:rsid w:val="00CE58EB"/>
    <w:rsid w:val="00CE7C68"/>
    <w:rsid w:val="00CF3156"/>
    <w:rsid w:val="00CF51B4"/>
    <w:rsid w:val="00CF7472"/>
    <w:rsid w:val="00D01D79"/>
    <w:rsid w:val="00D02B4C"/>
    <w:rsid w:val="00D040C4"/>
    <w:rsid w:val="00D1339F"/>
    <w:rsid w:val="00D208E9"/>
    <w:rsid w:val="00D24E5A"/>
    <w:rsid w:val="00D266B6"/>
    <w:rsid w:val="00D27A13"/>
    <w:rsid w:val="00D32368"/>
    <w:rsid w:val="00D32737"/>
    <w:rsid w:val="00D34526"/>
    <w:rsid w:val="00D35B18"/>
    <w:rsid w:val="00D3794C"/>
    <w:rsid w:val="00D37FE8"/>
    <w:rsid w:val="00D433D4"/>
    <w:rsid w:val="00D433F6"/>
    <w:rsid w:val="00D45652"/>
    <w:rsid w:val="00D45754"/>
    <w:rsid w:val="00D46B7E"/>
    <w:rsid w:val="00D53175"/>
    <w:rsid w:val="00D54A61"/>
    <w:rsid w:val="00D57C84"/>
    <w:rsid w:val="00D6057D"/>
    <w:rsid w:val="00D61262"/>
    <w:rsid w:val="00D6164E"/>
    <w:rsid w:val="00D62950"/>
    <w:rsid w:val="00D717AD"/>
    <w:rsid w:val="00D723FB"/>
    <w:rsid w:val="00D73B73"/>
    <w:rsid w:val="00D75543"/>
    <w:rsid w:val="00D77E21"/>
    <w:rsid w:val="00D836C5"/>
    <w:rsid w:val="00D84576"/>
    <w:rsid w:val="00D8633E"/>
    <w:rsid w:val="00D903EE"/>
    <w:rsid w:val="00D93118"/>
    <w:rsid w:val="00D95975"/>
    <w:rsid w:val="00DA1399"/>
    <w:rsid w:val="00DA24C6"/>
    <w:rsid w:val="00DA3F53"/>
    <w:rsid w:val="00DA4D7B"/>
    <w:rsid w:val="00DB2AE4"/>
    <w:rsid w:val="00DB3295"/>
    <w:rsid w:val="00DB7593"/>
    <w:rsid w:val="00DC3DF1"/>
    <w:rsid w:val="00DC7322"/>
    <w:rsid w:val="00DD6F6F"/>
    <w:rsid w:val="00DE264A"/>
    <w:rsid w:val="00DF5072"/>
    <w:rsid w:val="00E019D5"/>
    <w:rsid w:val="00E02D18"/>
    <w:rsid w:val="00E041E7"/>
    <w:rsid w:val="00E0569D"/>
    <w:rsid w:val="00E0767A"/>
    <w:rsid w:val="00E101B3"/>
    <w:rsid w:val="00E14FF4"/>
    <w:rsid w:val="00E15AB7"/>
    <w:rsid w:val="00E15C8D"/>
    <w:rsid w:val="00E23CA1"/>
    <w:rsid w:val="00E305EE"/>
    <w:rsid w:val="00E3622A"/>
    <w:rsid w:val="00E37B71"/>
    <w:rsid w:val="00E37DF7"/>
    <w:rsid w:val="00E409A8"/>
    <w:rsid w:val="00E427C7"/>
    <w:rsid w:val="00E46AD3"/>
    <w:rsid w:val="00E46F2C"/>
    <w:rsid w:val="00E50C12"/>
    <w:rsid w:val="00E51422"/>
    <w:rsid w:val="00E64851"/>
    <w:rsid w:val="00E65B91"/>
    <w:rsid w:val="00E66A1F"/>
    <w:rsid w:val="00E70A36"/>
    <w:rsid w:val="00E7209D"/>
    <w:rsid w:val="00E72EAD"/>
    <w:rsid w:val="00E77223"/>
    <w:rsid w:val="00E81604"/>
    <w:rsid w:val="00E83D11"/>
    <w:rsid w:val="00E8528B"/>
    <w:rsid w:val="00E858E4"/>
    <w:rsid w:val="00E85B94"/>
    <w:rsid w:val="00E978D0"/>
    <w:rsid w:val="00EA0EEC"/>
    <w:rsid w:val="00EA2B73"/>
    <w:rsid w:val="00EA4613"/>
    <w:rsid w:val="00EA5695"/>
    <w:rsid w:val="00EA65BC"/>
    <w:rsid w:val="00EA695F"/>
    <w:rsid w:val="00EA70CC"/>
    <w:rsid w:val="00EA7BD0"/>
    <w:rsid w:val="00EA7F91"/>
    <w:rsid w:val="00EB1523"/>
    <w:rsid w:val="00EC07A1"/>
    <w:rsid w:val="00EC0E49"/>
    <w:rsid w:val="00EC101F"/>
    <w:rsid w:val="00EC1562"/>
    <w:rsid w:val="00EC183B"/>
    <w:rsid w:val="00EC1D9F"/>
    <w:rsid w:val="00ED1E42"/>
    <w:rsid w:val="00ED3F30"/>
    <w:rsid w:val="00EE0131"/>
    <w:rsid w:val="00EE17B0"/>
    <w:rsid w:val="00EE369C"/>
    <w:rsid w:val="00EE376B"/>
    <w:rsid w:val="00EF06D9"/>
    <w:rsid w:val="00EF42CA"/>
    <w:rsid w:val="00F00686"/>
    <w:rsid w:val="00F0109E"/>
    <w:rsid w:val="00F060FA"/>
    <w:rsid w:val="00F1205A"/>
    <w:rsid w:val="00F17D1D"/>
    <w:rsid w:val="00F206C7"/>
    <w:rsid w:val="00F209B0"/>
    <w:rsid w:val="00F24516"/>
    <w:rsid w:val="00F30C64"/>
    <w:rsid w:val="00F30DEB"/>
    <w:rsid w:val="00F32969"/>
    <w:rsid w:val="00F329E8"/>
    <w:rsid w:val="00F32BA2"/>
    <w:rsid w:val="00F32CDB"/>
    <w:rsid w:val="00F332FE"/>
    <w:rsid w:val="00F333C7"/>
    <w:rsid w:val="00F34733"/>
    <w:rsid w:val="00F40E0A"/>
    <w:rsid w:val="00F41895"/>
    <w:rsid w:val="00F42238"/>
    <w:rsid w:val="00F436A4"/>
    <w:rsid w:val="00F43860"/>
    <w:rsid w:val="00F51C29"/>
    <w:rsid w:val="00F53191"/>
    <w:rsid w:val="00F54A5F"/>
    <w:rsid w:val="00F565FE"/>
    <w:rsid w:val="00F5798B"/>
    <w:rsid w:val="00F63A70"/>
    <w:rsid w:val="00F679C1"/>
    <w:rsid w:val="00F716DC"/>
    <w:rsid w:val="00F74CEF"/>
    <w:rsid w:val="00F7534E"/>
    <w:rsid w:val="00F7605A"/>
    <w:rsid w:val="00F76A57"/>
    <w:rsid w:val="00F8077A"/>
    <w:rsid w:val="00F871F0"/>
    <w:rsid w:val="00F87FB2"/>
    <w:rsid w:val="00F94EF1"/>
    <w:rsid w:val="00F95CC6"/>
    <w:rsid w:val="00F97229"/>
    <w:rsid w:val="00FA21D0"/>
    <w:rsid w:val="00FA4F31"/>
    <w:rsid w:val="00FA5F5F"/>
    <w:rsid w:val="00FB183A"/>
    <w:rsid w:val="00FB3880"/>
    <w:rsid w:val="00FB58BE"/>
    <w:rsid w:val="00FB730C"/>
    <w:rsid w:val="00FC2695"/>
    <w:rsid w:val="00FC2E34"/>
    <w:rsid w:val="00FC3E03"/>
    <w:rsid w:val="00FC3FC1"/>
    <w:rsid w:val="00FD3A91"/>
    <w:rsid w:val="00FE001B"/>
    <w:rsid w:val="00FE01E0"/>
    <w:rsid w:val="00FE5531"/>
    <w:rsid w:val="00FE5E35"/>
    <w:rsid w:val="00FF33D0"/>
    <w:rsid w:val="00FF35A3"/>
    <w:rsid w:val="00FF4AF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50AA406-2A52-4513-A5AF-75A0AE18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批注框文本 字符"/>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正文文本 2 字符"/>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正文文本 3 字符"/>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正文文本 字符"/>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日期 字符"/>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签名 字符"/>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电子邮件签名 字符"/>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称呼 字符"/>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结束语 字符"/>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HTML 地址 字符"/>
    <w:basedOn w:val="a2"/>
    <w:link w:val="HTML"/>
    <w:uiPriority w:val="99"/>
    <w:semiHidden/>
    <w:rsid w:val="0003148D"/>
    <w:rPr>
      <w:i/>
      <w:iCs/>
    </w:rPr>
  </w:style>
  <w:style w:type="paragraph" w:styleId="afb">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c">
    <w:name w:val="Message Header"/>
    <w:basedOn w:val="a1"/>
    <w:link w:val="afd"/>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d">
    <w:name w:val="信息标题 字符"/>
    <w:basedOn w:val="a2"/>
    <w:link w:val="afc"/>
    <w:uiPriority w:val="99"/>
    <w:semiHidden/>
    <w:rsid w:val="0003148D"/>
    <w:rPr>
      <w:rFonts w:asciiTheme="majorHAnsi" w:eastAsiaTheme="majorEastAsia" w:hAnsiTheme="majorHAnsi" w:cstheme="majorBidi"/>
      <w:sz w:val="24"/>
      <w:szCs w:val="24"/>
      <w:shd w:val="pct20" w:color="auto" w:fill="auto"/>
    </w:rPr>
  </w:style>
  <w:style w:type="paragraph" w:styleId="afe">
    <w:name w:val="Note Heading"/>
    <w:basedOn w:val="a1"/>
    <w:next w:val="a1"/>
    <w:link w:val="aff"/>
    <w:uiPriority w:val="99"/>
    <w:semiHidden/>
    <w:unhideWhenUsed/>
    <w:rsid w:val="0003148D"/>
    <w:pPr>
      <w:spacing w:line="240" w:lineRule="auto"/>
    </w:pPr>
  </w:style>
  <w:style w:type="character" w:customStyle="1" w:styleId="aff">
    <w:name w:val="注释标题 字符"/>
    <w:basedOn w:val="a2"/>
    <w:link w:val="afe"/>
    <w:uiPriority w:val="99"/>
    <w:semiHidden/>
    <w:rsid w:val="0003148D"/>
  </w:style>
  <w:style w:type="paragraph" w:styleId="aff0">
    <w:name w:val="Document Map"/>
    <w:basedOn w:val="a1"/>
    <w:link w:val="aff1"/>
    <w:uiPriority w:val="99"/>
    <w:semiHidden/>
    <w:unhideWhenUsed/>
    <w:rsid w:val="0003148D"/>
    <w:pPr>
      <w:spacing w:line="240" w:lineRule="auto"/>
    </w:pPr>
    <w:rPr>
      <w:rFonts w:ascii="Tahoma" w:hAnsi="Tahoma" w:cs="Tahoma"/>
      <w:sz w:val="16"/>
      <w:szCs w:val="16"/>
    </w:rPr>
  </w:style>
  <w:style w:type="character" w:customStyle="1" w:styleId="aff1">
    <w:name w:val="文档结构图 字符"/>
    <w:basedOn w:val="a2"/>
    <w:link w:val="aff0"/>
    <w:uiPriority w:val="99"/>
    <w:semiHidden/>
    <w:rsid w:val="0003148D"/>
    <w:rPr>
      <w:rFonts w:ascii="Tahoma" w:hAnsi="Tahoma" w:cs="Tahoma"/>
      <w:sz w:val="16"/>
      <w:szCs w:val="16"/>
    </w:rPr>
  </w:style>
  <w:style w:type="paragraph" w:styleId="aff2">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HTML 预设格式 字符"/>
    <w:basedOn w:val="a2"/>
    <w:link w:val="HTML1"/>
    <w:uiPriority w:val="99"/>
    <w:semiHidden/>
    <w:rsid w:val="0003148D"/>
    <w:rPr>
      <w:rFonts w:ascii="Consolas" w:hAnsi="Consolas" w:cs="Consolas"/>
      <w:sz w:val="20"/>
      <w:szCs w:val="20"/>
    </w:rPr>
  </w:style>
  <w:style w:type="paragraph" w:styleId="aff3">
    <w:name w:val="Body Text First Indent"/>
    <w:basedOn w:val="a9"/>
    <w:link w:val="aff4"/>
    <w:uiPriority w:val="99"/>
    <w:semiHidden/>
    <w:unhideWhenUsed/>
    <w:rsid w:val="0003148D"/>
    <w:pPr>
      <w:spacing w:after="200"/>
      <w:ind w:firstLine="360"/>
    </w:pPr>
  </w:style>
  <w:style w:type="character" w:customStyle="1" w:styleId="aff4">
    <w:name w:val="正文文本首行缩进 字符"/>
    <w:basedOn w:val="aa"/>
    <w:link w:val="aff3"/>
    <w:uiPriority w:val="99"/>
    <w:semiHidden/>
    <w:rsid w:val="0003148D"/>
  </w:style>
  <w:style w:type="paragraph" w:styleId="aff5">
    <w:name w:val="Body Text Indent"/>
    <w:basedOn w:val="a1"/>
    <w:link w:val="aff6"/>
    <w:uiPriority w:val="99"/>
    <w:semiHidden/>
    <w:unhideWhenUsed/>
    <w:rsid w:val="0003148D"/>
    <w:pPr>
      <w:spacing w:after="120"/>
      <w:ind w:left="283"/>
    </w:pPr>
  </w:style>
  <w:style w:type="character" w:customStyle="1" w:styleId="aff6">
    <w:name w:val="正文文本缩进 字符"/>
    <w:basedOn w:val="a2"/>
    <w:link w:val="aff5"/>
    <w:uiPriority w:val="99"/>
    <w:semiHidden/>
    <w:rsid w:val="0003148D"/>
  </w:style>
  <w:style w:type="paragraph" w:styleId="28">
    <w:name w:val="Body Text First Indent 2"/>
    <w:basedOn w:val="aff5"/>
    <w:link w:val="29"/>
    <w:uiPriority w:val="99"/>
    <w:semiHidden/>
    <w:unhideWhenUsed/>
    <w:rsid w:val="0003148D"/>
    <w:pPr>
      <w:spacing w:after="200"/>
      <w:ind w:left="360" w:firstLine="360"/>
    </w:pPr>
  </w:style>
  <w:style w:type="character" w:customStyle="1" w:styleId="29">
    <w:name w:val="正文文本首行缩进 2 字符"/>
    <w:basedOn w:val="aff6"/>
    <w:link w:val="28"/>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a">
    <w:name w:val="Body Text Indent 2"/>
    <w:basedOn w:val="a1"/>
    <w:link w:val="2b"/>
    <w:uiPriority w:val="99"/>
    <w:semiHidden/>
    <w:unhideWhenUsed/>
    <w:rsid w:val="0003148D"/>
    <w:pPr>
      <w:spacing w:after="120" w:line="480" w:lineRule="auto"/>
      <w:ind w:left="283"/>
    </w:pPr>
  </w:style>
  <w:style w:type="character" w:customStyle="1" w:styleId="2b">
    <w:name w:val="正文文本缩进 2 字符"/>
    <w:basedOn w:val="a2"/>
    <w:link w:val="2a"/>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正文文本缩进 3 字符"/>
    <w:basedOn w:val="a2"/>
    <w:link w:val="38"/>
    <w:uiPriority w:val="99"/>
    <w:semiHidden/>
    <w:rsid w:val="0003148D"/>
    <w:rPr>
      <w:sz w:val="16"/>
      <w:szCs w:val="16"/>
    </w:rPr>
  </w:style>
  <w:style w:type="paragraph" w:styleId="aff7">
    <w:name w:val="Normal Indent"/>
    <w:basedOn w:val="a1"/>
    <w:uiPriority w:val="99"/>
    <w:semiHidden/>
    <w:unhideWhenUsed/>
    <w:rsid w:val="0003148D"/>
    <w:pPr>
      <w:ind w:left="720"/>
    </w:pPr>
  </w:style>
  <w:style w:type="paragraph" w:styleId="aff8">
    <w:name w:val="annotation text"/>
    <w:basedOn w:val="a1"/>
    <w:link w:val="aff9"/>
    <w:uiPriority w:val="99"/>
    <w:unhideWhenUsed/>
    <w:rsid w:val="0003148D"/>
    <w:pPr>
      <w:spacing w:line="240" w:lineRule="auto"/>
    </w:pPr>
  </w:style>
  <w:style w:type="character" w:customStyle="1" w:styleId="aff9">
    <w:name w:val="批注文字 字符"/>
    <w:basedOn w:val="a2"/>
    <w:link w:val="aff8"/>
    <w:uiPriority w:val="99"/>
    <w:rsid w:val="0003148D"/>
    <w:rPr>
      <w:sz w:val="20"/>
      <w:szCs w:val="20"/>
    </w:rPr>
  </w:style>
  <w:style w:type="paragraph" w:styleId="affa">
    <w:name w:val="annotation subject"/>
    <w:basedOn w:val="aff8"/>
    <w:next w:val="aff8"/>
    <w:link w:val="affb"/>
    <w:uiPriority w:val="99"/>
    <w:semiHidden/>
    <w:unhideWhenUsed/>
    <w:rsid w:val="0003148D"/>
    <w:rPr>
      <w:b/>
      <w:bCs/>
    </w:rPr>
  </w:style>
  <w:style w:type="character" w:customStyle="1" w:styleId="affb">
    <w:name w:val="批注主题 字符"/>
    <w:basedOn w:val="aff9"/>
    <w:link w:val="affa"/>
    <w:uiPriority w:val="99"/>
    <w:semiHidden/>
    <w:rsid w:val="0003148D"/>
    <w:rPr>
      <w:b/>
      <w:bCs/>
      <w:sz w:val="20"/>
      <w:szCs w:val="20"/>
    </w:rPr>
  </w:style>
  <w:style w:type="paragraph" w:styleId="TOC1">
    <w:name w:val="toc 1"/>
    <w:basedOn w:val="a1"/>
    <w:next w:val="a1"/>
    <w:autoRedefine/>
    <w:uiPriority w:val="39"/>
    <w:semiHidden/>
    <w:unhideWhenUsed/>
    <w:rsid w:val="0003148D"/>
    <w:pPr>
      <w:spacing w:after="100"/>
    </w:pPr>
  </w:style>
  <w:style w:type="paragraph" w:styleId="TOC2">
    <w:name w:val="toc 2"/>
    <w:basedOn w:val="a1"/>
    <w:next w:val="a1"/>
    <w:autoRedefine/>
    <w:uiPriority w:val="39"/>
    <w:semiHidden/>
    <w:unhideWhenUsed/>
    <w:rsid w:val="0003148D"/>
    <w:pPr>
      <w:spacing w:after="100"/>
      <w:ind w:left="220"/>
    </w:pPr>
  </w:style>
  <w:style w:type="paragraph" w:styleId="TOC3">
    <w:name w:val="toc 3"/>
    <w:basedOn w:val="a1"/>
    <w:next w:val="a1"/>
    <w:autoRedefine/>
    <w:uiPriority w:val="39"/>
    <w:semiHidden/>
    <w:unhideWhenUsed/>
    <w:rsid w:val="0003148D"/>
    <w:pPr>
      <w:spacing w:after="100"/>
      <w:ind w:left="440"/>
    </w:pPr>
  </w:style>
  <w:style w:type="paragraph" w:styleId="TOC4">
    <w:name w:val="toc 4"/>
    <w:basedOn w:val="a1"/>
    <w:next w:val="a1"/>
    <w:autoRedefine/>
    <w:uiPriority w:val="39"/>
    <w:semiHidden/>
    <w:unhideWhenUsed/>
    <w:rsid w:val="0003148D"/>
    <w:pPr>
      <w:spacing w:after="100"/>
      <w:ind w:left="660"/>
    </w:pPr>
  </w:style>
  <w:style w:type="paragraph" w:styleId="TOC5">
    <w:name w:val="toc 5"/>
    <w:basedOn w:val="a1"/>
    <w:next w:val="a1"/>
    <w:autoRedefine/>
    <w:uiPriority w:val="39"/>
    <w:semiHidden/>
    <w:unhideWhenUsed/>
    <w:rsid w:val="0003148D"/>
    <w:pPr>
      <w:spacing w:after="100"/>
      <w:ind w:left="880"/>
    </w:pPr>
  </w:style>
  <w:style w:type="paragraph" w:styleId="TOC6">
    <w:name w:val="toc 6"/>
    <w:basedOn w:val="a1"/>
    <w:next w:val="a1"/>
    <w:autoRedefine/>
    <w:uiPriority w:val="39"/>
    <w:semiHidden/>
    <w:unhideWhenUsed/>
    <w:rsid w:val="0003148D"/>
    <w:pPr>
      <w:spacing w:after="100"/>
      <w:ind w:left="1100"/>
    </w:pPr>
  </w:style>
  <w:style w:type="paragraph" w:styleId="TOC7">
    <w:name w:val="toc 7"/>
    <w:basedOn w:val="a1"/>
    <w:next w:val="a1"/>
    <w:autoRedefine/>
    <w:uiPriority w:val="39"/>
    <w:semiHidden/>
    <w:unhideWhenUsed/>
    <w:rsid w:val="0003148D"/>
    <w:pPr>
      <w:spacing w:after="100"/>
      <w:ind w:left="1320"/>
    </w:pPr>
  </w:style>
  <w:style w:type="paragraph" w:styleId="TOC8">
    <w:name w:val="toc 8"/>
    <w:basedOn w:val="a1"/>
    <w:next w:val="a1"/>
    <w:autoRedefine/>
    <w:uiPriority w:val="39"/>
    <w:semiHidden/>
    <w:unhideWhenUsed/>
    <w:rsid w:val="0003148D"/>
    <w:pPr>
      <w:spacing w:after="100"/>
      <w:ind w:left="1540"/>
    </w:pPr>
  </w:style>
  <w:style w:type="paragraph" w:styleId="TOC9">
    <w:name w:val="toc 9"/>
    <w:basedOn w:val="a1"/>
    <w:next w:val="a1"/>
    <w:autoRedefine/>
    <w:uiPriority w:val="39"/>
    <w:semiHidden/>
    <w:unhideWhenUsed/>
    <w:rsid w:val="0003148D"/>
    <w:pPr>
      <w:spacing w:after="100"/>
      <w:ind w:left="1760"/>
    </w:pPr>
  </w:style>
  <w:style w:type="paragraph" w:styleId="affc">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d">
    <w:name w:val="macro"/>
    <w:link w:val="aff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e">
    <w:name w:val="宏文本 字符"/>
    <w:basedOn w:val="a2"/>
    <w:link w:val="affd"/>
    <w:uiPriority w:val="99"/>
    <w:semiHidden/>
    <w:rsid w:val="0003148D"/>
    <w:rPr>
      <w:rFonts w:ascii="Consolas" w:hAnsi="Consolas" w:cs="Consolas"/>
      <w:sz w:val="20"/>
      <w:szCs w:val="20"/>
    </w:rPr>
  </w:style>
  <w:style w:type="paragraph" w:styleId="afff">
    <w:name w:val="Plain Text"/>
    <w:basedOn w:val="a1"/>
    <w:link w:val="afff0"/>
    <w:uiPriority w:val="99"/>
    <w:semiHidden/>
    <w:unhideWhenUsed/>
    <w:rsid w:val="0003148D"/>
    <w:pPr>
      <w:spacing w:line="240" w:lineRule="auto"/>
    </w:pPr>
    <w:rPr>
      <w:rFonts w:ascii="Consolas" w:hAnsi="Consolas" w:cs="Consolas"/>
      <w:sz w:val="21"/>
      <w:szCs w:val="21"/>
    </w:rPr>
  </w:style>
  <w:style w:type="character" w:customStyle="1" w:styleId="afff0">
    <w:name w:val="纯文本 字符"/>
    <w:basedOn w:val="a2"/>
    <w:link w:val="afff"/>
    <w:uiPriority w:val="99"/>
    <w:semiHidden/>
    <w:rsid w:val="0003148D"/>
    <w:rPr>
      <w:rFonts w:ascii="Consolas" w:hAnsi="Consolas" w:cs="Consolas"/>
      <w:sz w:val="21"/>
      <w:szCs w:val="21"/>
    </w:rPr>
  </w:style>
  <w:style w:type="paragraph" w:styleId="afff1">
    <w:name w:val="footnote text"/>
    <w:basedOn w:val="a1"/>
    <w:link w:val="afff2"/>
    <w:uiPriority w:val="99"/>
    <w:semiHidden/>
    <w:unhideWhenUsed/>
    <w:rsid w:val="0003148D"/>
    <w:pPr>
      <w:spacing w:line="240" w:lineRule="auto"/>
    </w:pPr>
  </w:style>
  <w:style w:type="character" w:customStyle="1" w:styleId="afff2">
    <w:name w:val="脚注文本 字符"/>
    <w:basedOn w:val="a2"/>
    <w:link w:val="afff1"/>
    <w:uiPriority w:val="99"/>
    <w:semiHidden/>
    <w:rsid w:val="0003148D"/>
    <w:rPr>
      <w:sz w:val="20"/>
      <w:szCs w:val="20"/>
    </w:rPr>
  </w:style>
  <w:style w:type="paragraph" w:styleId="afff3">
    <w:name w:val="endnote text"/>
    <w:basedOn w:val="a1"/>
    <w:link w:val="afff4"/>
    <w:uiPriority w:val="99"/>
    <w:semiHidden/>
    <w:unhideWhenUsed/>
    <w:rsid w:val="0003148D"/>
    <w:pPr>
      <w:spacing w:line="240" w:lineRule="auto"/>
    </w:pPr>
  </w:style>
  <w:style w:type="character" w:customStyle="1" w:styleId="afff4">
    <w:name w:val="尾注文本 字符"/>
    <w:basedOn w:val="a2"/>
    <w:link w:val="afff3"/>
    <w:uiPriority w:val="99"/>
    <w:semiHidden/>
    <w:rsid w:val="0003148D"/>
    <w:rPr>
      <w:sz w:val="20"/>
      <w:szCs w:val="20"/>
    </w:rPr>
  </w:style>
  <w:style w:type="character" w:customStyle="1" w:styleId="11">
    <w:name w:val="标题 1 字符"/>
    <w:basedOn w:val="a2"/>
    <w:link w:val="10"/>
    <w:uiPriority w:val="9"/>
    <w:rsid w:val="004F5E36"/>
    <w:rPr>
      <w:rFonts w:ascii="Arial" w:eastAsia="Times New Roman" w:hAnsi="Arial" w:cs="Times New Roman"/>
      <w:b/>
      <w:sz w:val="20"/>
      <w:szCs w:val="20"/>
      <w:lang w:val="en-GB"/>
    </w:rPr>
  </w:style>
  <w:style w:type="character" w:customStyle="1" w:styleId="22">
    <w:name w:val="标题 2 字符"/>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标题 4 字符"/>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标题 5 字符"/>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标题 9 字符"/>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5">
    <w:name w:val="index heading"/>
    <w:basedOn w:val="a1"/>
    <w:next w:val="12"/>
    <w:uiPriority w:val="99"/>
    <w:semiHidden/>
    <w:unhideWhenUsed/>
    <w:rsid w:val="0003148D"/>
    <w:rPr>
      <w:rFonts w:asciiTheme="majorHAnsi" w:eastAsiaTheme="majorEastAsia" w:hAnsiTheme="majorHAnsi" w:cstheme="majorBidi"/>
      <w:b/>
      <w:bCs/>
    </w:rPr>
  </w:style>
  <w:style w:type="paragraph" w:styleId="afff6">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页眉 字符"/>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页脚 字符"/>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fd">
    <w:name w:val="List Paragraph"/>
    <w:basedOn w:val="a1"/>
    <w:uiPriority w:val="34"/>
    <w:rsid w:val="00280FAF"/>
    <w:pPr>
      <w:ind w:left="720"/>
      <w:contextualSpacing/>
    </w:pPr>
  </w:style>
  <w:style w:type="character" w:styleId="afffe">
    <w:name w:val="Placeholder Text"/>
    <w:basedOn w:val="a2"/>
    <w:uiPriority w:val="99"/>
    <w:semiHidden/>
    <w:rsid w:val="00FE5E35"/>
    <w:rPr>
      <w:color w:val="808080"/>
    </w:rPr>
  </w:style>
  <w:style w:type="paragraph" w:styleId="affff">
    <w:name w:val="Revision"/>
    <w:hidden/>
    <w:uiPriority w:val="99"/>
    <w:semiHidden/>
    <w:rsid w:val="002F5BF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4464</TotalTime>
  <Pages>6</Pages>
  <Words>5584</Words>
  <Characters>31829</Characters>
  <Application>Microsoft Office Word</Application>
  <DocSecurity>0</DocSecurity>
  <Lines>265</Lines>
  <Paragraphs>74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Jiahuan</cp:lastModifiedBy>
  <cp:revision>218</cp:revision>
  <cp:lastPrinted>2015-05-12T18:31:00Z</cp:lastPrinted>
  <dcterms:created xsi:type="dcterms:W3CDTF">2021-12-24T16:17:00Z</dcterms:created>
  <dcterms:modified xsi:type="dcterms:W3CDTF">2022-03-14T08:42:00Z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http://www.zotero.org/styles/african-online-scientific-information-systems-harvard</vt:lpwstr>
  </property>
  <property fmtid="{D5CDD505-2E9C-101B-9397-08002B2CF9AE}" pid="5" name="Mendeley Recent Style Name 0_1">
    <vt:lpwstr>African Online Scientific Information Systems - Harvard</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 11th edition</vt:lpwstr>
  </property>
  <property fmtid="{D5CDD505-2E9C-101B-9397-08002B2CF9AE}" pid="8" name="Mendeley Recent Style Id 2_1">
    <vt:lpwstr>http://www.zotero.org/styles/american-political-science-association</vt:lpwstr>
  </property>
  <property fmtid="{D5CDD505-2E9C-101B-9397-08002B2CF9AE}" pid="9" name="Mendeley Recent Style Name 2_1">
    <vt:lpwstr>American Political Science Association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https://csl.mendeley.com/styles/553880011/harvard-cite-them-right</vt:lpwstr>
  </property>
  <property fmtid="{D5CDD505-2E9C-101B-9397-08002B2CF9AE}" pid="17" name="Mendeley Recent Style Name 6_1">
    <vt:lpwstr>Cite Them Right 10th edition - Harvard - Jiahuan Yi</vt:lpwstr>
  </property>
  <property fmtid="{D5CDD505-2E9C-101B-9397-08002B2CF9AE}" pid="18" name="Mendeley Recent Style Id 7_1">
    <vt:lpwstr>http://csl.mendeley.com/styles/553880011/harvard-cite-them-right</vt:lpwstr>
  </property>
  <property fmtid="{D5CDD505-2E9C-101B-9397-08002B2CF9AE}" pid="19" name="Mendeley Recent Style Name 7_1">
    <vt:lpwstr>Cite Them Right 10th edition - Harvard - Jiahuan Yi</vt:lpwstr>
  </property>
  <property fmtid="{D5CDD505-2E9C-101B-9397-08002B2CF9AE}" pid="20" name="Mendeley Recent Style Id 8_1">
    <vt:lpwstr>http://www.zotero.org/styles/elsevier-harvard</vt:lpwstr>
  </property>
  <property fmtid="{D5CDD505-2E9C-101B-9397-08002B2CF9AE}" pid="21" name="Mendeley Recent Style Name 8_1">
    <vt:lpwstr>Elsevier - Harvard (with titles)</vt:lpwstr>
  </property>
  <property fmtid="{D5CDD505-2E9C-101B-9397-08002B2CF9AE}" pid="22" name="Mendeley Recent Style Id 9_1">
    <vt:lpwstr>http://www.zotero.org/styles/international-journal-of-greenhouse-gas-control</vt:lpwstr>
  </property>
  <property fmtid="{D5CDD505-2E9C-101B-9397-08002B2CF9AE}" pid="23" name="Mendeley Recent Style Name 9_1">
    <vt:lpwstr>International Journal of Greenhouse Gas Control</vt:lpwstr>
  </property>
  <property fmtid="{D5CDD505-2E9C-101B-9397-08002B2CF9AE}" pid="24" name="Mendeley Document_1">
    <vt:lpwstr>True</vt:lpwstr>
  </property>
  <property fmtid="{D5CDD505-2E9C-101B-9397-08002B2CF9AE}" pid="25" name="Mendeley Unique User Id_1">
    <vt:lpwstr>6c3d41c9-7a6e-31c3-a613-adcbd518c2c3</vt:lpwstr>
  </property>
  <property fmtid="{D5CDD505-2E9C-101B-9397-08002B2CF9AE}" pid="26" name="Mendeley Citation Style_1">
    <vt:lpwstr>http://www.zotero.org/styles/elsevier-harvard</vt:lpwstr>
  </property>
</Properties>
</file>